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38EDA" w14:textId="77777777" w:rsidR="00D426D6" w:rsidRDefault="002C008F" w:rsidP="00D426D6">
      <w:pPr>
        <w:pStyle w:val="MainTitle"/>
      </w:pPr>
      <w:r>
        <w:t xml:space="preserve">Review of </w:t>
      </w:r>
    </w:p>
    <w:p w14:paraId="1A0D0F83" w14:textId="77777777" w:rsidR="00D426D6" w:rsidRDefault="00D426D6" w:rsidP="00D426D6">
      <w:pPr>
        <w:pStyle w:val="MainTitle"/>
      </w:pPr>
      <w:r>
        <w:t xml:space="preserve">Australian Federal Police </w:t>
      </w:r>
    </w:p>
    <w:p w14:paraId="0DD82606" w14:textId="48FC81D1" w:rsidR="00D426D6" w:rsidRDefault="00D426D6" w:rsidP="00D426D6">
      <w:pPr>
        <w:pStyle w:val="MainTitle"/>
      </w:pPr>
      <w:r>
        <w:t>Powers</w:t>
      </w:r>
    </w:p>
    <w:p w14:paraId="42BB30BE" w14:textId="121C38D4" w:rsidR="00A355F9" w:rsidRDefault="00A355F9" w:rsidP="00A355F9">
      <w:pPr>
        <w:pStyle w:val="MainTitle"/>
      </w:pPr>
    </w:p>
    <w:p w14:paraId="2249CCAE" w14:textId="102FD463" w:rsidR="00817C73" w:rsidRPr="004A351F" w:rsidRDefault="00C86324" w:rsidP="004A351F">
      <w:pPr>
        <w:pStyle w:val="Date"/>
        <w:rPr>
          <w:color w:val="2E74B5" w:themeColor="accent1" w:themeShade="BF"/>
          <w:sz w:val="28"/>
        </w:rPr>
      </w:pPr>
      <w:bookmarkStart w:id="0" w:name="_Toc525894097"/>
      <w:r w:rsidRPr="004A351F">
        <w:rPr>
          <w:color w:val="2E74B5" w:themeColor="accent1" w:themeShade="BF"/>
          <w:sz w:val="28"/>
        </w:rPr>
        <w:t xml:space="preserve">Submission to the </w:t>
      </w:r>
      <w:bookmarkEnd w:id="0"/>
      <w:r w:rsidR="002C008F">
        <w:rPr>
          <w:color w:val="2E74B5" w:themeColor="accent1" w:themeShade="BF"/>
          <w:sz w:val="28"/>
        </w:rPr>
        <w:t>Parliamentary Joint Committee on Intelligence and Security</w:t>
      </w:r>
    </w:p>
    <w:p w14:paraId="043DF905" w14:textId="66D812CC" w:rsidR="00F220A5" w:rsidRPr="00817C73" w:rsidRDefault="006A4A1F" w:rsidP="00F220A5">
      <w:pPr>
        <w:pStyle w:val="Date"/>
      </w:pPr>
      <w:r>
        <w:t>10 September</w:t>
      </w:r>
      <w:r w:rsidR="002C008F">
        <w:t xml:space="preserve"> 2020</w:t>
      </w:r>
    </w:p>
    <w:p w14:paraId="5886E512" w14:textId="77777777" w:rsidR="00AC636D" w:rsidRDefault="00AC636D" w:rsidP="00AC636D"/>
    <w:p w14:paraId="4A0EBC7B"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322FACC3" w14:textId="259A94C0" w:rsidR="009C37D3"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50633809" w:history="1">
        <w:r w:rsidR="009C37D3" w:rsidRPr="00A57D16">
          <w:rPr>
            <w:rStyle w:val="Hyperlink"/>
          </w:rPr>
          <w:t>1</w:t>
        </w:r>
        <w:r w:rsidR="009C37D3">
          <w:rPr>
            <w:rFonts w:asciiTheme="minorHAnsi" w:eastAsiaTheme="minorEastAsia" w:hAnsiTheme="minorHAnsi" w:cstheme="minorBidi"/>
            <w:b w:val="0"/>
            <w:sz w:val="22"/>
            <w:szCs w:val="22"/>
          </w:rPr>
          <w:tab/>
        </w:r>
        <w:r w:rsidR="009C37D3" w:rsidRPr="00A57D16">
          <w:rPr>
            <w:rStyle w:val="Hyperlink"/>
          </w:rPr>
          <w:t>Introduction</w:t>
        </w:r>
        <w:r w:rsidR="009C37D3">
          <w:rPr>
            <w:webHidden/>
          </w:rPr>
          <w:tab/>
        </w:r>
        <w:r w:rsidR="009C37D3">
          <w:rPr>
            <w:webHidden/>
          </w:rPr>
          <w:fldChar w:fldCharType="begin"/>
        </w:r>
        <w:r w:rsidR="009C37D3">
          <w:rPr>
            <w:webHidden/>
          </w:rPr>
          <w:instrText xml:space="preserve"> PAGEREF _Toc50633809 \h </w:instrText>
        </w:r>
        <w:r w:rsidR="009C37D3">
          <w:rPr>
            <w:webHidden/>
          </w:rPr>
        </w:r>
        <w:r w:rsidR="009C37D3">
          <w:rPr>
            <w:webHidden/>
          </w:rPr>
          <w:fldChar w:fldCharType="separate"/>
        </w:r>
        <w:r w:rsidR="00381A9B">
          <w:rPr>
            <w:webHidden/>
          </w:rPr>
          <w:t>4</w:t>
        </w:r>
        <w:r w:rsidR="009C37D3">
          <w:rPr>
            <w:webHidden/>
          </w:rPr>
          <w:fldChar w:fldCharType="end"/>
        </w:r>
      </w:hyperlink>
    </w:p>
    <w:p w14:paraId="6A039558" w14:textId="6488F1EE" w:rsidR="009C37D3" w:rsidRDefault="009C37D3">
      <w:pPr>
        <w:pStyle w:val="TOC1"/>
        <w:rPr>
          <w:rFonts w:asciiTheme="minorHAnsi" w:eastAsiaTheme="minorEastAsia" w:hAnsiTheme="minorHAnsi" w:cstheme="minorBidi"/>
          <w:b w:val="0"/>
          <w:sz w:val="22"/>
          <w:szCs w:val="22"/>
        </w:rPr>
      </w:pPr>
      <w:hyperlink w:anchor="_Toc50633810" w:history="1">
        <w:r w:rsidRPr="00A57D16">
          <w:rPr>
            <w:rStyle w:val="Hyperlink"/>
          </w:rPr>
          <w:t>2</w:t>
        </w:r>
        <w:r>
          <w:rPr>
            <w:rFonts w:asciiTheme="minorHAnsi" w:eastAsiaTheme="minorEastAsia" w:hAnsiTheme="minorHAnsi" w:cstheme="minorBidi"/>
            <w:b w:val="0"/>
            <w:sz w:val="22"/>
            <w:szCs w:val="22"/>
          </w:rPr>
          <w:tab/>
        </w:r>
        <w:r w:rsidRPr="00A57D16">
          <w:rPr>
            <w:rStyle w:val="Hyperlink"/>
          </w:rPr>
          <w:t>Summary</w:t>
        </w:r>
        <w:r>
          <w:rPr>
            <w:webHidden/>
          </w:rPr>
          <w:tab/>
        </w:r>
        <w:r>
          <w:rPr>
            <w:webHidden/>
          </w:rPr>
          <w:fldChar w:fldCharType="begin"/>
        </w:r>
        <w:r>
          <w:rPr>
            <w:webHidden/>
          </w:rPr>
          <w:instrText xml:space="preserve"> PAGEREF _Toc50633810 \h </w:instrText>
        </w:r>
        <w:r>
          <w:rPr>
            <w:webHidden/>
          </w:rPr>
        </w:r>
        <w:r>
          <w:rPr>
            <w:webHidden/>
          </w:rPr>
          <w:fldChar w:fldCharType="separate"/>
        </w:r>
        <w:r w:rsidR="00381A9B">
          <w:rPr>
            <w:webHidden/>
          </w:rPr>
          <w:t>5</w:t>
        </w:r>
        <w:r>
          <w:rPr>
            <w:webHidden/>
          </w:rPr>
          <w:fldChar w:fldCharType="end"/>
        </w:r>
      </w:hyperlink>
    </w:p>
    <w:p w14:paraId="26854F60" w14:textId="09E78FF2" w:rsidR="009C37D3" w:rsidRDefault="009C37D3">
      <w:pPr>
        <w:pStyle w:val="TOC1"/>
        <w:rPr>
          <w:rFonts w:asciiTheme="minorHAnsi" w:eastAsiaTheme="minorEastAsia" w:hAnsiTheme="minorHAnsi" w:cstheme="minorBidi"/>
          <w:b w:val="0"/>
          <w:sz w:val="22"/>
          <w:szCs w:val="22"/>
        </w:rPr>
      </w:pPr>
      <w:hyperlink w:anchor="_Toc50633811" w:history="1">
        <w:r w:rsidRPr="00A57D16">
          <w:rPr>
            <w:rStyle w:val="Hyperlink"/>
          </w:rPr>
          <w:t>3</w:t>
        </w:r>
        <w:r>
          <w:rPr>
            <w:rFonts w:asciiTheme="minorHAnsi" w:eastAsiaTheme="minorEastAsia" w:hAnsiTheme="minorHAnsi" w:cstheme="minorBidi"/>
            <w:b w:val="0"/>
            <w:sz w:val="22"/>
            <w:szCs w:val="22"/>
          </w:rPr>
          <w:tab/>
        </w:r>
        <w:r w:rsidRPr="00A57D16">
          <w:rPr>
            <w:rStyle w:val="Hyperlink"/>
          </w:rPr>
          <w:t>Recommendations</w:t>
        </w:r>
        <w:r>
          <w:rPr>
            <w:webHidden/>
          </w:rPr>
          <w:tab/>
        </w:r>
        <w:r>
          <w:rPr>
            <w:webHidden/>
          </w:rPr>
          <w:fldChar w:fldCharType="begin"/>
        </w:r>
        <w:r>
          <w:rPr>
            <w:webHidden/>
          </w:rPr>
          <w:instrText xml:space="preserve"> PAGEREF _Toc50633811 \h </w:instrText>
        </w:r>
        <w:r>
          <w:rPr>
            <w:webHidden/>
          </w:rPr>
        </w:r>
        <w:r>
          <w:rPr>
            <w:webHidden/>
          </w:rPr>
          <w:fldChar w:fldCharType="separate"/>
        </w:r>
        <w:r w:rsidR="00381A9B">
          <w:rPr>
            <w:webHidden/>
          </w:rPr>
          <w:t>11</w:t>
        </w:r>
        <w:r>
          <w:rPr>
            <w:webHidden/>
          </w:rPr>
          <w:fldChar w:fldCharType="end"/>
        </w:r>
      </w:hyperlink>
    </w:p>
    <w:p w14:paraId="6342D9C2" w14:textId="2FA970B4" w:rsidR="009C37D3" w:rsidRDefault="009C37D3">
      <w:pPr>
        <w:pStyle w:val="TOC1"/>
        <w:rPr>
          <w:rFonts w:asciiTheme="minorHAnsi" w:eastAsiaTheme="minorEastAsia" w:hAnsiTheme="minorHAnsi" w:cstheme="minorBidi"/>
          <w:b w:val="0"/>
          <w:sz w:val="22"/>
          <w:szCs w:val="22"/>
        </w:rPr>
      </w:pPr>
      <w:hyperlink w:anchor="_Toc50633812" w:history="1">
        <w:r w:rsidRPr="00A57D16">
          <w:rPr>
            <w:rStyle w:val="Hyperlink"/>
          </w:rPr>
          <w:t>4</w:t>
        </w:r>
        <w:r>
          <w:rPr>
            <w:rFonts w:asciiTheme="minorHAnsi" w:eastAsiaTheme="minorEastAsia" w:hAnsiTheme="minorHAnsi" w:cstheme="minorBidi"/>
            <w:b w:val="0"/>
            <w:sz w:val="22"/>
            <w:szCs w:val="22"/>
          </w:rPr>
          <w:tab/>
        </w:r>
        <w:r w:rsidRPr="00A57D16">
          <w:rPr>
            <w:rStyle w:val="Hyperlink"/>
          </w:rPr>
          <w:t>Background</w:t>
        </w:r>
        <w:r>
          <w:rPr>
            <w:webHidden/>
          </w:rPr>
          <w:tab/>
        </w:r>
        <w:r>
          <w:rPr>
            <w:webHidden/>
          </w:rPr>
          <w:fldChar w:fldCharType="begin"/>
        </w:r>
        <w:r>
          <w:rPr>
            <w:webHidden/>
          </w:rPr>
          <w:instrText xml:space="preserve"> PAGEREF _Toc50633812 \h </w:instrText>
        </w:r>
        <w:r>
          <w:rPr>
            <w:webHidden/>
          </w:rPr>
        </w:r>
        <w:r>
          <w:rPr>
            <w:webHidden/>
          </w:rPr>
          <w:fldChar w:fldCharType="separate"/>
        </w:r>
        <w:r w:rsidR="00381A9B">
          <w:rPr>
            <w:webHidden/>
          </w:rPr>
          <w:t>15</w:t>
        </w:r>
        <w:r>
          <w:rPr>
            <w:webHidden/>
          </w:rPr>
          <w:fldChar w:fldCharType="end"/>
        </w:r>
      </w:hyperlink>
    </w:p>
    <w:p w14:paraId="16A8D70C" w14:textId="758CC09F" w:rsidR="009C37D3" w:rsidRDefault="009C37D3">
      <w:pPr>
        <w:pStyle w:val="TOC1"/>
        <w:rPr>
          <w:rFonts w:asciiTheme="minorHAnsi" w:eastAsiaTheme="minorEastAsia" w:hAnsiTheme="minorHAnsi" w:cstheme="minorBidi"/>
          <w:b w:val="0"/>
          <w:sz w:val="22"/>
          <w:szCs w:val="22"/>
        </w:rPr>
      </w:pPr>
      <w:hyperlink w:anchor="_Toc50633813" w:history="1">
        <w:r w:rsidRPr="00A57D16">
          <w:rPr>
            <w:rStyle w:val="Hyperlink"/>
          </w:rPr>
          <w:t>5</w:t>
        </w:r>
        <w:r>
          <w:rPr>
            <w:rFonts w:asciiTheme="minorHAnsi" w:eastAsiaTheme="minorEastAsia" w:hAnsiTheme="minorHAnsi" w:cstheme="minorBidi"/>
            <w:b w:val="0"/>
            <w:sz w:val="22"/>
            <w:szCs w:val="22"/>
          </w:rPr>
          <w:tab/>
        </w:r>
        <w:r w:rsidRPr="00A57D16">
          <w:rPr>
            <w:rStyle w:val="Hyperlink"/>
          </w:rPr>
          <w:t>Stop, search and seize powers</w:t>
        </w:r>
        <w:r>
          <w:rPr>
            <w:webHidden/>
          </w:rPr>
          <w:tab/>
        </w:r>
        <w:r>
          <w:rPr>
            <w:webHidden/>
          </w:rPr>
          <w:fldChar w:fldCharType="begin"/>
        </w:r>
        <w:r>
          <w:rPr>
            <w:webHidden/>
          </w:rPr>
          <w:instrText xml:space="preserve"> PAGEREF _Toc50633813 \h </w:instrText>
        </w:r>
        <w:r>
          <w:rPr>
            <w:webHidden/>
          </w:rPr>
        </w:r>
        <w:r>
          <w:rPr>
            <w:webHidden/>
          </w:rPr>
          <w:fldChar w:fldCharType="separate"/>
        </w:r>
        <w:r w:rsidR="00381A9B">
          <w:rPr>
            <w:webHidden/>
          </w:rPr>
          <w:t>18</w:t>
        </w:r>
        <w:r>
          <w:rPr>
            <w:webHidden/>
          </w:rPr>
          <w:fldChar w:fldCharType="end"/>
        </w:r>
      </w:hyperlink>
    </w:p>
    <w:p w14:paraId="664EAC97" w14:textId="60CEA304" w:rsidR="009C37D3" w:rsidRDefault="009C37D3">
      <w:pPr>
        <w:pStyle w:val="TOC2"/>
        <w:rPr>
          <w:rFonts w:asciiTheme="minorHAnsi" w:eastAsiaTheme="minorEastAsia" w:hAnsiTheme="minorHAnsi" w:cstheme="minorBidi"/>
          <w:b w:val="0"/>
          <w:i w:val="0"/>
          <w:sz w:val="22"/>
          <w:szCs w:val="22"/>
        </w:rPr>
      </w:pPr>
      <w:hyperlink w:anchor="_Toc50633814" w:history="1">
        <w:r w:rsidRPr="00A57D16">
          <w:rPr>
            <w:rStyle w:val="Hyperlink"/>
          </w:rPr>
          <w:t>5.1</w:t>
        </w:r>
        <w:r>
          <w:rPr>
            <w:rFonts w:asciiTheme="minorHAnsi" w:eastAsiaTheme="minorEastAsia" w:hAnsiTheme="minorHAnsi" w:cstheme="minorBidi"/>
            <w:b w:val="0"/>
            <w:i w:val="0"/>
            <w:sz w:val="22"/>
            <w:szCs w:val="22"/>
          </w:rPr>
          <w:tab/>
        </w:r>
        <w:r w:rsidRPr="00A57D16">
          <w:rPr>
            <w:rStyle w:val="Hyperlink"/>
          </w:rPr>
          <w:t>Structure of provisions</w:t>
        </w:r>
        <w:r>
          <w:rPr>
            <w:webHidden/>
          </w:rPr>
          <w:tab/>
        </w:r>
        <w:r>
          <w:rPr>
            <w:webHidden/>
          </w:rPr>
          <w:fldChar w:fldCharType="begin"/>
        </w:r>
        <w:r>
          <w:rPr>
            <w:webHidden/>
          </w:rPr>
          <w:instrText xml:space="preserve"> PAGEREF _Toc50633814 \h </w:instrText>
        </w:r>
        <w:r>
          <w:rPr>
            <w:webHidden/>
          </w:rPr>
        </w:r>
        <w:r>
          <w:rPr>
            <w:webHidden/>
          </w:rPr>
          <w:fldChar w:fldCharType="separate"/>
        </w:r>
        <w:r w:rsidR="00381A9B">
          <w:rPr>
            <w:webHidden/>
          </w:rPr>
          <w:t>18</w:t>
        </w:r>
        <w:r>
          <w:rPr>
            <w:webHidden/>
          </w:rPr>
          <w:fldChar w:fldCharType="end"/>
        </w:r>
      </w:hyperlink>
    </w:p>
    <w:p w14:paraId="734016C3" w14:textId="1CAD24E5" w:rsidR="009C37D3" w:rsidRDefault="009C37D3">
      <w:pPr>
        <w:pStyle w:val="TOC2"/>
        <w:rPr>
          <w:rFonts w:asciiTheme="minorHAnsi" w:eastAsiaTheme="minorEastAsia" w:hAnsiTheme="minorHAnsi" w:cstheme="minorBidi"/>
          <w:b w:val="0"/>
          <w:i w:val="0"/>
          <w:sz w:val="22"/>
          <w:szCs w:val="22"/>
        </w:rPr>
      </w:pPr>
      <w:hyperlink w:anchor="_Toc50633815" w:history="1">
        <w:r w:rsidRPr="00A57D16">
          <w:rPr>
            <w:rStyle w:val="Hyperlink"/>
          </w:rPr>
          <w:t>5.2</w:t>
        </w:r>
        <w:r>
          <w:rPr>
            <w:rFonts w:asciiTheme="minorHAnsi" w:eastAsiaTheme="minorEastAsia" w:hAnsiTheme="minorHAnsi" w:cstheme="minorBidi"/>
            <w:b w:val="0"/>
            <w:i w:val="0"/>
            <w:sz w:val="22"/>
            <w:szCs w:val="22"/>
          </w:rPr>
          <w:tab/>
        </w:r>
        <w:r w:rsidRPr="00A57D16">
          <w:rPr>
            <w:rStyle w:val="Hyperlink"/>
          </w:rPr>
          <w:t>Consideration</w:t>
        </w:r>
        <w:r>
          <w:rPr>
            <w:webHidden/>
          </w:rPr>
          <w:tab/>
        </w:r>
        <w:r>
          <w:rPr>
            <w:webHidden/>
          </w:rPr>
          <w:fldChar w:fldCharType="begin"/>
        </w:r>
        <w:r>
          <w:rPr>
            <w:webHidden/>
          </w:rPr>
          <w:instrText xml:space="preserve"> PAGEREF _Toc50633815 \h </w:instrText>
        </w:r>
        <w:r>
          <w:rPr>
            <w:webHidden/>
          </w:rPr>
        </w:r>
        <w:r>
          <w:rPr>
            <w:webHidden/>
          </w:rPr>
          <w:fldChar w:fldCharType="separate"/>
        </w:r>
        <w:r w:rsidR="00381A9B">
          <w:rPr>
            <w:webHidden/>
          </w:rPr>
          <w:t>20</w:t>
        </w:r>
        <w:r>
          <w:rPr>
            <w:webHidden/>
          </w:rPr>
          <w:fldChar w:fldCharType="end"/>
        </w:r>
      </w:hyperlink>
    </w:p>
    <w:p w14:paraId="7CB624FB" w14:textId="295829CB" w:rsidR="009C37D3" w:rsidRDefault="009C37D3">
      <w:pPr>
        <w:pStyle w:val="TOC3"/>
        <w:rPr>
          <w:rFonts w:asciiTheme="minorHAnsi" w:eastAsiaTheme="minorEastAsia" w:hAnsiTheme="minorHAnsi" w:cstheme="minorBidi"/>
          <w:i w:val="0"/>
          <w:sz w:val="22"/>
          <w:szCs w:val="22"/>
        </w:rPr>
      </w:pPr>
      <w:hyperlink w:anchor="_Toc50633816" w:history="1">
        <w:r w:rsidRPr="00A57D16">
          <w:rPr>
            <w:rStyle w:val="Hyperlink"/>
          </w:rPr>
          <w:t>(a)</w:t>
        </w:r>
        <w:r>
          <w:rPr>
            <w:rFonts w:asciiTheme="minorHAnsi" w:eastAsiaTheme="minorEastAsia" w:hAnsiTheme="minorHAnsi" w:cstheme="minorBidi"/>
            <w:i w:val="0"/>
            <w:sz w:val="22"/>
            <w:szCs w:val="22"/>
          </w:rPr>
          <w:tab/>
        </w:r>
        <w:r w:rsidRPr="00A57D16">
          <w:rPr>
            <w:rStyle w:val="Hyperlink"/>
          </w:rPr>
          <w:t>Relevant human rights</w:t>
        </w:r>
        <w:r>
          <w:rPr>
            <w:webHidden/>
          </w:rPr>
          <w:tab/>
        </w:r>
        <w:r>
          <w:rPr>
            <w:webHidden/>
          </w:rPr>
          <w:fldChar w:fldCharType="begin"/>
        </w:r>
        <w:r>
          <w:rPr>
            <w:webHidden/>
          </w:rPr>
          <w:instrText xml:space="preserve"> PAGEREF _Toc50633816 \h </w:instrText>
        </w:r>
        <w:r>
          <w:rPr>
            <w:webHidden/>
          </w:rPr>
        </w:r>
        <w:r>
          <w:rPr>
            <w:webHidden/>
          </w:rPr>
          <w:fldChar w:fldCharType="separate"/>
        </w:r>
        <w:r w:rsidR="00381A9B">
          <w:rPr>
            <w:webHidden/>
          </w:rPr>
          <w:t>20</w:t>
        </w:r>
        <w:r>
          <w:rPr>
            <w:webHidden/>
          </w:rPr>
          <w:fldChar w:fldCharType="end"/>
        </w:r>
      </w:hyperlink>
    </w:p>
    <w:p w14:paraId="72B5B1FC" w14:textId="09854EF2" w:rsidR="009C37D3" w:rsidRDefault="009C37D3">
      <w:pPr>
        <w:pStyle w:val="TOC3"/>
        <w:rPr>
          <w:rFonts w:asciiTheme="minorHAnsi" w:eastAsiaTheme="minorEastAsia" w:hAnsiTheme="minorHAnsi" w:cstheme="minorBidi"/>
          <w:i w:val="0"/>
          <w:sz w:val="22"/>
          <w:szCs w:val="22"/>
        </w:rPr>
      </w:pPr>
      <w:hyperlink w:anchor="_Toc50633817" w:history="1">
        <w:r w:rsidRPr="00A57D16">
          <w:rPr>
            <w:rStyle w:val="Hyperlink"/>
          </w:rPr>
          <w:t>(b)</w:t>
        </w:r>
        <w:r>
          <w:rPr>
            <w:rFonts w:asciiTheme="minorHAnsi" w:eastAsiaTheme="minorEastAsia" w:hAnsiTheme="minorHAnsi" w:cstheme="minorBidi"/>
            <w:i w:val="0"/>
            <w:sz w:val="22"/>
            <w:szCs w:val="22"/>
          </w:rPr>
          <w:tab/>
        </w:r>
        <w:r w:rsidRPr="00A57D16">
          <w:rPr>
            <w:rStyle w:val="Hyperlink"/>
          </w:rPr>
          <w:t>Stop, search and seize powers</w:t>
        </w:r>
        <w:r>
          <w:rPr>
            <w:webHidden/>
          </w:rPr>
          <w:tab/>
        </w:r>
        <w:r>
          <w:rPr>
            <w:webHidden/>
          </w:rPr>
          <w:fldChar w:fldCharType="begin"/>
        </w:r>
        <w:r>
          <w:rPr>
            <w:webHidden/>
          </w:rPr>
          <w:instrText xml:space="preserve"> PAGEREF _Toc50633817 \h </w:instrText>
        </w:r>
        <w:r>
          <w:rPr>
            <w:webHidden/>
          </w:rPr>
        </w:r>
        <w:r>
          <w:rPr>
            <w:webHidden/>
          </w:rPr>
          <w:fldChar w:fldCharType="separate"/>
        </w:r>
        <w:r w:rsidR="00381A9B">
          <w:rPr>
            <w:webHidden/>
          </w:rPr>
          <w:t>21</w:t>
        </w:r>
        <w:r>
          <w:rPr>
            <w:webHidden/>
          </w:rPr>
          <w:fldChar w:fldCharType="end"/>
        </w:r>
      </w:hyperlink>
    </w:p>
    <w:p w14:paraId="3F79F3AD" w14:textId="54B35F50" w:rsidR="009C37D3" w:rsidRDefault="009C37D3">
      <w:pPr>
        <w:pStyle w:val="TOC3"/>
        <w:rPr>
          <w:rFonts w:asciiTheme="minorHAnsi" w:eastAsiaTheme="minorEastAsia" w:hAnsiTheme="minorHAnsi" w:cstheme="minorBidi"/>
          <w:i w:val="0"/>
          <w:sz w:val="22"/>
          <w:szCs w:val="22"/>
        </w:rPr>
      </w:pPr>
      <w:hyperlink w:anchor="_Toc50633818" w:history="1">
        <w:r w:rsidRPr="00A57D16">
          <w:rPr>
            <w:rStyle w:val="Hyperlink"/>
          </w:rPr>
          <w:t>(c)</w:t>
        </w:r>
        <w:r>
          <w:rPr>
            <w:rFonts w:asciiTheme="minorHAnsi" w:eastAsiaTheme="minorEastAsia" w:hAnsiTheme="minorHAnsi" w:cstheme="minorBidi"/>
            <w:i w:val="0"/>
            <w:sz w:val="22"/>
            <w:szCs w:val="22"/>
          </w:rPr>
          <w:tab/>
        </w:r>
        <w:r w:rsidRPr="00A57D16">
          <w:rPr>
            <w:rStyle w:val="Hyperlink"/>
          </w:rPr>
          <w:t>Prescribed security zones</w:t>
        </w:r>
        <w:r>
          <w:rPr>
            <w:webHidden/>
          </w:rPr>
          <w:tab/>
        </w:r>
        <w:r>
          <w:rPr>
            <w:webHidden/>
          </w:rPr>
          <w:fldChar w:fldCharType="begin"/>
        </w:r>
        <w:r>
          <w:rPr>
            <w:webHidden/>
          </w:rPr>
          <w:instrText xml:space="preserve"> PAGEREF _Toc50633818 \h </w:instrText>
        </w:r>
        <w:r>
          <w:rPr>
            <w:webHidden/>
          </w:rPr>
        </w:r>
        <w:r>
          <w:rPr>
            <w:webHidden/>
          </w:rPr>
          <w:fldChar w:fldCharType="separate"/>
        </w:r>
        <w:r w:rsidR="00381A9B">
          <w:rPr>
            <w:webHidden/>
          </w:rPr>
          <w:t>22</w:t>
        </w:r>
        <w:r>
          <w:rPr>
            <w:webHidden/>
          </w:rPr>
          <w:fldChar w:fldCharType="end"/>
        </w:r>
      </w:hyperlink>
    </w:p>
    <w:p w14:paraId="448619AD" w14:textId="72FFF86E" w:rsidR="009C37D3" w:rsidRDefault="009C37D3">
      <w:pPr>
        <w:pStyle w:val="TOC3"/>
        <w:rPr>
          <w:rFonts w:asciiTheme="minorHAnsi" w:eastAsiaTheme="minorEastAsia" w:hAnsiTheme="minorHAnsi" w:cstheme="minorBidi"/>
          <w:i w:val="0"/>
          <w:sz w:val="22"/>
          <w:szCs w:val="22"/>
        </w:rPr>
      </w:pPr>
      <w:hyperlink w:anchor="_Toc50633819" w:history="1">
        <w:r w:rsidRPr="00A57D16">
          <w:rPr>
            <w:rStyle w:val="Hyperlink"/>
          </w:rPr>
          <w:t>(d)</w:t>
        </w:r>
        <w:r>
          <w:rPr>
            <w:rFonts w:asciiTheme="minorHAnsi" w:eastAsiaTheme="minorEastAsia" w:hAnsiTheme="minorHAnsi" w:cstheme="minorBidi"/>
            <w:i w:val="0"/>
            <w:sz w:val="22"/>
            <w:szCs w:val="22"/>
          </w:rPr>
          <w:tab/>
        </w:r>
        <w:r w:rsidRPr="00A57D16">
          <w:rPr>
            <w:rStyle w:val="Hyperlink"/>
          </w:rPr>
          <w:t>Warrantless entry to premises</w:t>
        </w:r>
        <w:r>
          <w:rPr>
            <w:webHidden/>
          </w:rPr>
          <w:tab/>
        </w:r>
        <w:r>
          <w:rPr>
            <w:webHidden/>
          </w:rPr>
          <w:fldChar w:fldCharType="begin"/>
        </w:r>
        <w:r>
          <w:rPr>
            <w:webHidden/>
          </w:rPr>
          <w:instrText xml:space="preserve"> PAGEREF _Toc50633819 \h </w:instrText>
        </w:r>
        <w:r>
          <w:rPr>
            <w:webHidden/>
          </w:rPr>
        </w:r>
        <w:r>
          <w:rPr>
            <w:webHidden/>
          </w:rPr>
          <w:fldChar w:fldCharType="separate"/>
        </w:r>
        <w:r w:rsidR="00381A9B">
          <w:rPr>
            <w:webHidden/>
          </w:rPr>
          <w:t>26</w:t>
        </w:r>
        <w:r>
          <w:rPr>
            <w:webHidden/>
          </w:rPr>
          <w:fldChar w:fldCharType="end"/>
        </w:r>
      </w:hyperlink>
    </w:p>
    <w:p w14:paraId="6793D5EA" w14:textId="21A1F6A3" w:rsidR="009C37D3" w:rsidRDefault="009C37D3">
      <w:pPr>
        <w:pStyle w:val="TOC3"/>
        <w:rPr>
          <w:rFonts w:asciiTheme="minorHAnsi" w:eastAsiaTheme="minorEastAsia" w:hAnsiTheme="minorHAnsi" w:cstheme="minorBidi"/>
          <w:i w:val="0"/>
          <w:sz w:val="22"/>
          <w:szCs w:val="22"/>
        </w:rPr>
      </w:pPr>
      <w:hyperlink w:anchor="_Toc50633820" w:history="1">
        <w:r w:rsidRPr="00A57D16">
          <w:rPr>
            <w:rStyle w:val="Hyperlink"/>
          </w:rPr>
          <w:t>(e)</w:t>
        </w:r>
        <w:r>
          <w:rPr>
            <w:rFonts w:asciiTheme="minorHAnsi" w:eastAsiaTheme="minorEastAsia" w:hAnsiTheme="minorHAnsi" w:cstheme="minorBidi"/>
            <w:i w:val="0"/>
            <w:sz w:val="22"/>
            <w:szCs w:val="22"/>
          </w:rPr>
          <w:tab/>
        </w:r>
        <w:r w:rsidRPr="00A57D16">
          <w:rPr>
            <w:rStyle w:val="Hyperlink"/>
          </w:rPr>
          <w:t>Extension of emergency powers</w:t>
        </w:r>
        <w:r>
          <w:rPr>
            <w:webHidden/>
          </w:rPr>
          <w:tab/>
        </w:r>
        <w:r>
          <w:rPr>
            <w:webHidden/>
          </w:rPr>
          <w:fldChar w:fldCharType="begin"/>
        </w:r>
        <w:r>
          <w:rPr>
            <w:webHidden/>
          </w:rPr>
          <w:instrText xml:space="preserve"> PAGEREF _Toc50633820 \h </w:instrText>
        </w:r>
        <w:r>
          <w:rPr>
            <w:webHidden/>
          </w:rPr>
        </w:r>
        <w:r>
          <w:rPr>
            <w:webHidden/>
          </w:rPr>
          <w:fldChar w:fldCharType="separate"/>
        </w:r>
        <w:r w:rsidR="00381A9B">
          <w:rPr>
            <w:webHidden/>
          </w:rPr>
          <w:t>31</w:t>
        </w:r>
        <w:r>
          <w:rPr>
            <w:webHidden/>
          </w:rPr>
          <w:fldChar w:fldCharType="end"/>
        </w:r>
      </w:hyperlink>
    </w:p>
    <w:p w14:paraId="2D826A92" w14:textId="7F8539F6" w:rsidR="009C37D3" w:rsidRDefault="009C37D3">
      <w:pPr>
        <w:pStyle w:val="TOC1"/>
        <w:rPr>
          <w:rFonts w:asciiTheme="minorHAnsi" w:eastAsiaTheme="minorEastAsia" w:hAnsiTheme="minorHAnsi" w:cstheme="minorBidi"/>
          <w:b w:val="0"/>
          <w:sz w:val="22"/>
          <w:szCs w:val="22"/>
        </w:rPr>
      </w:pPr>
      <w:hyperlink w:anchor="_Toc50633821" w:history="1">
        <w:r w:rsidRPr="00A57D16">
          <w:rPr>
            <w:rStyle w:val="Hyperlink"/>
          </w:rPr>
          <w:t>6</w:t>
        </w:r>
        <w:r>
          <w:rPr>
            <w:rFonts w:asciiTheme="minorHAnsi" w:eastAsiaTheme="minorEastAsia" w:hAnsiTheme="minorHAnsi" w:cstheme="minorBidi"/>
            <w:b w:val="0"/>
            <w:sz w:val="22"/>
            <w:szCs w:val="22"/>
          </w:rPr>
          <w:tab/>
        </w:r>
        <w:r w:rsidRPr="00A57D16">
          <w:rPr>
            <w:rStyle w:val="Hyperlink"/>
          </w:rPr>
          <w:t>Control orders</w:t>
        </w:r>
        <w:r>
          <w:rPr>
            <w:webHidden/>
          </w:rPr>
          <w:tab/>
        </w:r>
        <w:r>
          <w:rPr>
            <w:webHidden/>
          </w:rPr>
          <w:fldChar w:fldCharType="begin"/>
        </w:r>
        <w:r>
          <w:rPr>
            <w:webHidden/>
          </w:rPr>
          <w:instrText xml:space="preserve"> PAGEREF _Toc50633821 \h </w:instrText>
        </w:r>
        <w:r>
          <w:rPr>
            <w:webHidden/>
          </w:rPr>
        </w:r>
        <w:r>
          <w:rPr>
            <w:webHidden/>
          </w:rPr>
          <w:fldChar w:fldCharType="separate"/>
        </w:r>
        <w:r w:rsidR="00381A9B">
          <w:rPr>
            <w:webHidden/>
          </w:rPr>
          <w:t>32</w:t>
        </w:r>
        <w:r>
          <w:rPr>
            <w:webHidden/>
          </w:rPr>
          <w:fldChar w:fldCharType="end"/>
        </w:r>
      </w:hyperlink>
    </w:p>
    <w:p w14:paraId="7F3F207A" w14:textId="62C5B357" w:rsidR="009C37D3" w:rsidRDefault="009C37D3">
      <w:pPr>
        <w:pStyle w:val="TOC2"/>
        <w:rPr>
          <w:rFonts w:asciiTheme="minorHAnsi" w:eastAsiaTheme="minorEastAsia" w:hAnsiTheme="minorHAnsi" w:cstheme="minorBidi"/>
          <w:b w:val="0"/>
          <w:i w:val="0"/>
          <w:sz w:val="22"/>
          <w:szCs w:val="22"/>
        </w:rPr>
      </w:pPr>
      <w:hyperlink w:anchor="_Toc50633822" w:history="1">
        <w:r w:rsidRPr="00A57D16">
          <w:rPr>
            <w:rStyle w:val="Hyperlink"/>
          </w:rPr>
          <w:t>6.1</w:t>
        </w:r>
        <w:r>
          <w:rPr>
            <w:rFonts w:asciiTheme="minorHAnsi" w:eastAsiaTheme="minorEastAsia" w:hAnsiTheme="minorHAnsi" w:cstheme="minorBidi"/>
            <w:b w:val="0"/>
            <w:i w:val="0"/>
            <w:sz w:val="22"/>
            <w:szCs w:val="22"/>
          </w:rPr>
          <w:tab/>
        </w:r>
        <w:r w:rsidRPr="00A57D16">
          <w:rPr>
            <w:rStyle w:val="Hyperlink"/>
          </w:rPr>
          <w:t>Structure of provisions</w:t>
        </w:r>
        <w:r>
          <w:rPr>
            <w:webHidden/>
          </w:rPr>
          <w:tab/>
        </w:r>
        <w:r>
          <w:rPr>
            <w:webHidden/>
          </w:rPr>
          <w:fldChar w:fldCharType="begin"/>
        </w:r>
        <w:r>
          <w:rPr>
            <w:webHidden/>
          </w:rPr>
          <w:instrText xml:space="preserve"> PAGEREF _Toc50633822 \h </w:instrText>
        </w:r>
        <w:r>
          <w:rPr>
            <w:webHidden/>
          </w:rPr>
        </w:r>
        <w:r>
          <w:rPr>
            <w:webHidden/>
          </w:rPr>
          <w:fldChar w:fldCharType="separate"/>
        </w:r>
        <w:r w:rsidR="00381A9B">
          <w:rPr>
            <w:webHidden/>
          </w:rPr>
          <w:t>33</w:t>
        </w:r>
        <w:r>
          <w:rPr>
            <w:webHidden/>
          </w:rPr>
          <w:fldChar w:fldCharType="end"/>
        </w:r>
      </w:hyperlink>
    </w:p>
    <w:p w14:paraId="33CDE66D" w14:textId="5F1E54F7" w:rsidR="009C37D3" w:rsidRDefault="009C37D3">
      <w:pPr>
        <w:pStyle w:val="TOC3"/>
        <w:rPr>
          <w:rFonts w:asciiTheme="minorHAnsi" w:eastAsiaTheme="minorEastAsia" w:hAnsiTheme="minorHAnsi" w:cstheme="minorBidi"/>
          <w:i w:val="0"/>
          <w:sz w:val="22"/>
          <w:szCs w:val="22"/>
        </w:rPr>
      </w:pPr>
      <w:hyperlink w:anchor="_Toc50633823" w:history="1">
        <w:r w:rsidRPr="00A57D16">
          <w:rPr>
            <w:rStyle w:val="Hyperlink"/>
          </w:rPr>
          <w:t>(a)</w:t>
        </w:r>
        <w:r>
          <w:rPr>
            <w:rFonts w:asciiTheme="minorHAnsi" w:eastAsiaTheme="minorEastAsia" w:hAnsiTheme="minorHAnsi" w:cstheme="minorBidi"/>
            <w:i w:val="0"/>
            <w:sz w:val="22"/>
            <w:szCs w:val="22"/>
          </w:rPr>
          <w:tab/>
        </w:r>
        <w:r w:rsidRPr="00A57D16">
          <w:rPr>
            <w:rStyle w:val="Hyperlink"/>
          </w:rPr>
          <w:t>Nature of controls and consequences for breach</w:t>
        </w:r>
        <w:r>
          <w:rPr>
            <w:webHidden/>
          </w:rPr>
          <w:tab/>
        </w:r>
        <w:r>
          <w:rPr>
            <w:webHidden/>
          </w:rPr>
          <w:fldChar w:fldCharType="begin"/>
        </w:r>
        <w:r>
          <w:rPr>
            <w:webHidden/>
          </w:rPr>
          <w:instrText xml:space="preserve"> PAGEREF _Toc50633823 \h </w:instrText>
        </w:r>
        <w:r>
          <w:rPr>
            <w:webHidden/>
          </w:rPr>
        </w:r>
        <w:r>
          <w:rPr>
            <w:webHidden/>
          </w:rPr>
          <w:fldChar w:fldCharType="separate"/>
        </w:r>
        <w:r w:rsidR="00381A9B">
          <w:rPr>
            <w:webHidden/>
          </w:rPr>
          <w:t>33</w:t>
        </w:r>
        <w:r>
          <w:rPr>
            <w:webHidden/>
          </w:rPr>
          <w:fldChar w:fldCharType="end"/>
        </w:r>
      </w:hyperlink>
    </w:p>
    <w:p w14:paraId="7D0DB20B" w14:textId="25E4218B" w:rsidR="009C37D3" w:rsidRDefault="009C37D3">
      <w:pPr>
        <w:pStyle w:val="TOC3"/>
        <w:rPr>
          <w:rFonts w:asciiTheme="minorHAnsi" w:eastAsiaTheme="minorEastAsia" w:hAnsiTheme="minorHAnsi" w:cstheme="minorBidi"/>
          <w:i w:val="0"/>
          <w:sz w:val="22"/>
          <w:szCs w:val="22"/>
        </w:rPr>
      </w:pPr>
      <w:hyperlink w:anchor="_Toc50633824" w:history="1">
        <w:r w:rsidRPr="00A57D16">
          <w:rPr>
            <w:rStyle w:val="Hyperlink"/>
          </w:rPr>
          <w:t>(b)</w:t>
        </w:r>
        <w:r>
          <w:rPr>
            <w:rFonts w:asciiTheme="minorHAnsi" w:eastAsiaTheme="minorEastAsia" w:hAnsiTheme="minorHAnsi" w:cstheme="minorBidi"/>
            <w:i w:val="0"/>
            <w:sz w:val="22"/>
            <w:szCs w:val="22"/>
          </w:rPr>
          <w:tab/>
        </w:r>
        <w:r w:rsidRPr="00A57D16">
          <w:rPr>
            <w:rStyle w:val="Hyperlink"/>
          </w:rPr>
          <w:t>Process of making a control order</w:t>
        </w:r>
        <w:r>
          <w:rPr>
            <w:webHidden/>
          </w:rPr>
          <w:tab/>
        </w:r>
        <w:r>
          <w:rPr>
            <w:webHidden/>
          </w:rPr>
          <w:fldChar w:fldCharType="begin"/>
        </w:r>
        <w:r>
          <w:rPr>
            <w:webHidden/>
          </w:rPr>
          <w:instrText xml:space="preserve"> PAGEREF _Toc50633824 \h </w:instrText>
        </w:r>
        <w:r>
          <w:rPr>
            <w:webHidden/>
          </w:rPr>
        </w:r>
        <w:r>
          <w:rPr>
            <w:webHidden/>
          </w:rPr>
          <w:fldChar w:fldCharType="separate"/>
        </w:r>
        <w:r w:rsidR="00381A9B">
          <w:rPr>
            <w:webHidden/>
          </w:rPr>
          <w:t>38</w:t>
        </w:r>
        <w:r>
          <w:rPr>
            <w:webHidden/>
          </w:rPr>
          <w:fldChar w:fldCharType="end"/>
        </w:r>
      </w:hyperlink>
    </w:p>
    <w:p w14:paraId="11745705" w14:textId="3F910BD7" w:rsidR="009C37D3" w:rsidRDefault="009C37D3">
      <w:pPr>
        <w:pStyle w:val="TOC3"/>
        <w:rPr>
          <w:rFonts w:asciiTheme="minorHAnsi" w:eastAsiaTheme="minorEastAsia" w:hAnsiTheme="minorHAnsi" w:cstheme="minorBidi"/>
          <w:i w:val="0"/>
          <w:sz w:val="22"/>
          <w:szCs w:val="22"/>
        </w:rPr>
      </w:pPr>
      <w:hyperlink w:anchor="_Toc50633825" w:history="1">
        <w:r w:rsidRPr="00A57D16">
          <w:rPr>
            <w:rStyle w:val="Hyperlink"/>
          </w:rPr>
          <w:t>(c)</w:t>
        </w:r>
        <w:r>
          <w:rPr>
            <w:rFonts w:asciiTheme="minorHAnsi" w:eastAsiaTheme="minorEastAsia" w:hAnsiTheme="minorHAnsi" w:cstheme="minorBidi"/>
            <w:i w:val="0"/>
            <w:sz w:val="22"/>
            <w:szCs w:val="22"/>
          </w:rPr>
          <w:tab/>
        </w:r>
        <w:r w:rsidRPr="00A57D16">
          <w:rPr>
            <w:rStyle w:val="Hyperlink"/>
          </w:rPr>
          <w:t>Threshold for making a control order</w:t>
        </w:r>
        <w:r>
          <w:rPr>
            <w:webHidden/>
          </w:rPr>
          <w:tab/>
        </w:r>
        <w:r>
          <w:rPr>
            <w:webHidden/>
          </w:rPr>
          <w:fldChar w:fldCharType="begin"/>
        </w:r>
        <w:r>
          <w:rPr>
            <w:webHidden/>
          </w:rPr>
          <w:instrText xml:space="preserve"> PAGEREF _Toc50633825 \h </w:instrText>
        </w:r>
        <w:r>
          <w:rPr>
            <w:webHidden/>
          </w:rPr>
        </w:r>
        <w:r>
          <w:rPr>
            <w:webHidden/>
          </w:rPr>
          <w:fldChar w:fldCharType="separate"/>
        </w:r>
        <w:r w:rsidR="00381A9B">
          <w:rPr>
            <w:webHidden/>
          </w:rPr>
          <w:t>42</w:t>
        </w:r>
        <w:r>
          <w:rPr>
            <w:webHidden/>
          </w:rPr>
          <w:fldChar w:fldCharType="end"/>
        </w:r>
      </w:hyperlink>
    </w:p>
    <w:p w14:paraId="373B1A95" w14:textId="5D4ACEC4" w:rsidR="009C37D3" w:rsidRDefault="009C37D3">
      <w:pPr>
        <w:pStyle w:val="TOC2"/>
        <w:rPr>
          <w:rFonts w:asciiTheme="minorHAnsi" w:eastAsiaTheme="minorEastAsia" w:hAnsiTheme="minorHAnsi" w:cstheme="minorBidi"/>
          <w:b w:val="0"/>
          <w:i w:val="0"/>
          <w:sz w:val="22"/>
          <w:szCs w:val="22"/>
        </w:rPr>
      </w:pPr>
      <w:hyperlink w:anchor="_Toc50633826" w:history="1">
        <w:r w:rsidRPr="00A57D16">
          <w:rPr>
            <w:rStyle w:val="Hyperlink"/>
          </w:rPr>
          <w:t>6.2</w:t>
        </w:r>
        <w:r>
          <w:rPr>
            <w:rFonts w:asciiTheme="minorHAnsi" w:eastAsiaTheme="minorEastAsia" w:hAnsiTheme="minorHAnsi" w:cstheme="minorBidi"/>
            <w:b w:val="0"/>
            <w:i w:val="0"/>
            <w:sz w:val="22"/>
            <w:szCs w:val="22"/>
          </w:rPr>
          <w:tab/>
        </w:r>
        <w:r w:rsidRPr="00A57D16">
          <w:rPr>
            <w:rStyle w:val="Hyperlink"/>
          </w:rPr>
          <w:t>Use of control orders</w:t>
        </w:r>
        <w:r>
          <w:rPr>
            <w:webHidden/>
          </w:rPr>
          <w:tab/>
        </w:r>
        <w:r>
          <w:rPr>
            <w:webHidden/>
          </w:rPr>
          <w:fldChar w:fldCharType="begin"/>
        </w:r>
        <w:r>
          <w:rPr>
            <w:webHidden/>
          </w:rPr>
          <w:instrText xml:space="preserve"> PAGEREF _Toc50633826 \h </w:instrText>
        </w:r>
        <w:r>
          <w:rPr>
            <w:webHidden/>
          </w:rPr>
        </w:r>
        <w:r>
          <w:rPr>
            <w:webHidden/>
          </w:rPr>
          <w:fldChar w:fldCharType="separate"/>
        </w:r>
        <w:r w:rsidR="00381A9B">
          <w:rPr>
            <w:webHidden/>
          </w:rPr>
          <w:t>44</w:t>
        </w:r>
        <w:r>
          <w:rPr>
            <w:webHidden/>
          </w:rPr>
          <w:fldChar w:fldCharType="end"/>
        </w:r>
      </w:hyperlink>
    </w:p>
    <w:p w14:paraId="71778FB5" w14:textId="6D3661EE" w:rsidR="009C37D3" w:rsidRDefault="009C37D3">
      <w:pPr>
        <w:pStyle w:val="TOC3"/>
        <w:rPr>
          <w:rFonts w:asciiTheme="minorHAnsi" w:eastAsiaTheme="minorEastAsia" w:hAnsiTheme="minorHAnsi" w:cstheme="minorBidi"/>
          <w:i w:val="0"/>
          <w:sz w:val="22"/>
          <w:szCs w:val="22"/>
        </w:rPr>
      </w:pPr>
      <w:hyperlink w:anchor="_Toc50633827" w:history="1">
        <w:r w:rsidRPr="00A57D16">
          <w:rPr>
            <w:rStyle w:val="Hyperlink"/>
          </w:rPr>
          <w:t>(a)</w:t>
        </w:r>
        <w:r>
          <w:rPr>
            <w:rFonts w:asciiTheme="minorHAnsi" w:eastAsiaTheme="minorEastAsia" w:hAnsiTheme="minorHAnsi" w:cstheme="minorBidi"/>
            <w:i w:val="0"/>
            <w:sz w:val="22"/>
            <w:szCs w:val="22"/>
          </w:rPr>
          <w:tab/>
        </w:r>
        <w:r w:rsidRPr="00A57D16">
          <w:rPr>
            <w:rStyle w:val="Hyperlink"/>
          </w:rPr>
          <w:t>Initial experience with control orders</w:t>
        </w:r>
        <w:r>
          <w:rPr>
            <w:webHidden/>
          </w:rPr>
          <w:tab/>
        </w:r>
        <w:r>
          <w:rPr>
            <w:webHidden/>
          </w:rPr>
          <w:fldChar w:fldCharType="begin"/>
        </w:r>
        <w:r>
          <w:rPr>
            <w:webHidden/>
          </w:rPr>
          <w:instrText xml:space="preserve"> PAGEREF _Toc50633827 \h </w:instrText>
        </w:r>
        <w:r>
          <w:rPr>
            <w:webHidden/>
          </w:rPr>
        </w:r>
        <w:r>
          <w:rPr>
            <w:webHidden/>
          </w:rPr>
          <w:fldChar w:fldCharType="separate"/>
        </w:r>
        <w:r w:rsidR="00381A9B">
          <w:rPr>
            <w:webHidden/>
          </w:rPr>
          <w:t>44</w:t>
        </w:r>
        <w:r>
          <w:rPr>
            <w:webHidden/>
          </w:rPr>
          <w:fldChar w:fldCharType="end"/>
        </w:r>
      </w:hyperlink>
    </w:p>
    <w:p w14:paraId="12D0FAD5" w14:textId="747CCEAF" w:rsidR="009C37D3" w:rsidRDefault="009C37D3">
      <w:pPr>
        <w:pStyle w:val="TOC3"/>
        <w:rPr>
          <w:rFonts w:asciiTheme="minorHAnsi" w:eastAsiaTheme="minorEastAsia" w:hAnsiTheme="minorHAnsi" w:cstheme="minorBidi"/>
          <w:i w:val="0"/>
          <w:sz w:val="22"/>
          <w:szCs w:val="22"/>
        </w:rPr>
      </w:pPr>
      <w:hyperlink w:anchor="_Toc50633828" w:history="1">
        <w:r w:rsidRPr="00A57D16">
          <w:rPr>
            <w:rStyle w:val="Hyperlink"/>
          </w:rPr>
          <w:t>(b)</w:t>
        </w:r>
        <w:r>
          <w:rPr>
            <w:rFonts w:asciiTheme="minorHAnsi" w:eastAsiaTheme="minorEastAsia" w:hAnsiTheme="minorHAnsi" w:cstheme="minorBidi"/>
            <w:i w:val="0"/>
            <w:sz w:val="22"/>
            <w:szCs w:val="22"/>
          </w:rPr>
          <w:tab/>
        </w:r>
        <w:r w:rsidRPr="00A57D16">
          <w:rPr>
            <w:rStyle w:val="Hyperlink"/>
          </w:rPr>
          <w:t>Situations in which control orders may be imposed</w:t>
        </w:r>
        <w:r>
          <w:rPr>
            <w:webHidden/>
          </w:rPr>
          <w:tab/>
        </w:r>
        <w:r>
          <w:rPr>
            <w:webHidden/>
          </w:rPr>
          <w:fldChar w:fldCharType="begin"/>
        </w:r>
        <w:r>
          <w:rPr>
            <w:webHidden/>
          </w:rPr>
          <w:instrText xml:space="preserve"> PAGEREF _Toc50633828 \h </w:instrText>
        </w:r>
        <w:r>
          <w:rPr>
            <w:webHidden/>
          </w:rPr>
        </w:r>
        <w:r>
          <w:rPr>
            <w:webHidden/>
          </w:rPr>
          <w:fldChar w:fldCharType="separate"/>
        </w:r>
        <w:r w:rsidR="00381A9B">
          <w:rPr>
            <w:webHidden/>
          </w:rPr>
          <w:t>47</w:t>
        </w:r>
        <w:r>
          <w:rPr>
            <w:webHidden/>
          </w:rPr>
          <w:fldChar w:fldCharType="end"/>
        </w:r>
      </w:hyperlink>
    </w:p>
    <w:p w14:paraId="76337C64" w14:textId="155349DF" w:rsidR="009C37D3" w:rsidRDefault="009C37D3">
      <w:pPr>
        <w:pStyle w:val="TOC2"/>
        <w:rPr>
          <w:rFonts w:asciiTheme="minorHAnsi" w:eastAsiaTheme="minorEastAsia" w:hAnsiTheme="minorHAnsi" w:cstheme="minorBidi"/>
          <w:b w:val="0"/>
          <w:i w:val="0"/>
          <w:sz w:val="22"/>
          <w:szCs w:val="22"/>
        </w:rPr>
      </w:pPr>
      <w:hyperlink w:anchor="_Toc50633829" w:history="1">
        <w:r w:rsidRPr="00A57D16">
          <w:rPr>
            <w:rStyle w:val="Hyperlink"/>
          </w:rPr>
          <w:t>6.3</w:t>
        </w:r>
        <w:r>
          <w:rPr>
            <w:rFonts w:asciiTheme="minorHAnsi" w:eastAsiaTheme="minorEastAsia" w:hAnsiTheme="minorHAnsi" w:cstheme="minorBidi"/>
            <w:b w:val="0"/>
            <w:i w:val="0"/>
            <w:sz w:val="22"/>
            <w:szCs w:val="22"/>
          </w:rPr>
          <w:tab/>
        </w:r>
        <w:r w:rsidRPr="00A57D16">
          <w:rPr>
            <w:rStyle w:val="Hyperlink"/>
          </w:rPr>
          <w:t>Consideration</w:t>
        </w:r>
        <w:r>
          <w:rPr>
            <w:webHidden/>
          </w:rPr>
          <w:tab/>
        </w:r>
        <w:r>
          <w:rPr>
            <w:webHidden/>
          </w:rPr>
          <w:fldChar w:fldCharType="begin"/>
        </w:r>
        <w:r>
          <w:rPr>
            <w:webHidden/>
          </w:rPr>
          <w:instrText xml:space="preserve"> PAGEREF _Toc50633829 \h </w:instrText>
        </w:r>
        <w:r>
          <w:rPr>
            <w:webHidden/>
          </w:rPr>
        </w:r>
        <w:r>
          <w:rPr>
            <w:webHidden/>
          </w:rPr>
          <w:fldChar w:fldCharType="separate"/>
        </w:r>
        <w:r w:rsidR="00381A9B">
          <w:rPr>
            <w:webHidden/>
          </w:rPr>
          <w:t>57</w:t>
        </w:r>
        <w:r>
          <w:rPr>
            <w:webHidden/>
          </w:rPr>
          <w:fldChar w:fldCharType="end"/>
        </w:r>
      </w:hyperlink>
    </w:p>
    <w:p w14:paraId="3037FF51" w14:textId="053648BE" w:rsidR="009C37D3" w:rsidRDefault="009C37D3">
      <w:pPr>
        <w:pStyle w:val="TOC2"/>
        <w:rPr>
          <w:rFonts w:asciiTheme="minorHAnsi" w:eastAsiaTheme="minorEastAsia" w:hAnsiTheme="minorHAnsi" w:cstheme="minorBidi"/>
          <w:b w:val="0"/>
          <w:i w:val="0"/>
          <w:sz w:val="22"/>
          <w:szCs w:val="22"/>
        </w:rPr>
      </w:pPr>
      <w:hyperlink w:anchor="_Toc50633830" w:history="1">
        <w:r w:rsidRPr="00A57D16">
          <w:rPr>
            <w:rStyle w:val="Hyperlink"/>
          </w:rPr>
          <w:t>6.4</w:t>
        </w:r>
        <w:r>
          <w:rPr>
            <w:rFonts w:asciiTheme="minorHAnsi" w:eastAsiaTheme="minorEastAsia" w:hAnsiTheme="minorHAnsi" w:cstheme="minorBidi"/>
            <w:b w:val="0"/>
            <w:i w:val="0"/>
            <w:sz w:val="22"/>
            <w:szCs w:val="22"/>
          </w:rPr>
          <w:tab/>
        </w:r>
        <w:r w:rsidRPr="00A57D16">
          <w:rPr>
            <w:rStyle w:val="Hyperlink"/>
          </w:rPr>
          <w:t>Scope of control orders</w:t>
        </w:r>
        <w:r>
          <w:rPr>
            <w:webHidden/>
          </w:rPr>
          <w:tab/>
        </w:r>
        <w:r>
          <w:rPr>
            <w:webHidden/>
          </w:rPr>
          <w:fldChar w:fldCharType="begin"/>
        </w:r>
        <w:r>
          <w:rPr>
            <w:webHidden/>
          </w:rPr>
          <w:instrText xml:space="preserve"> PAGEREF _Toc50633830 \h </w:instrText>
        </w:r>
        <w:r>
          <w:rPr>
            <w:webHidden/>
          </w:rPr>
        </w:r>
        <w:r>
          <w:rPr>
            <w:webHidden/>
          </w:rPr>
          <w:fldChar w:fldCharType="separate"/>
        </w:r>
        <w:r w:rsidR="00381A9B">
          <w:rPr>
            <w:webHidden/>
          </w:rPr>
          <w:t>61</w:t>
        </w:r>
        <w:r>
          <w:rPr>
            <w:webHidden/>
          </w:rPr>
          <w:fldChar w:fldCharType="end"/>
        </w:r>
      </w:hyperlink>
    </w:p>
    <w:p w14:paraId="6F4A8AFC" w14:textId="778ECDBD" w:rsidR="009C37D3" w:rsidRDefault="009C37D3">
      <w:pPr>
        <w:pStyle w:val="TOC1"/>
        <w:rPr>
          <w:rFonts w:asciiTheme="minorHAnsi" w:eastAsiaTheme="minorEastAsia" w:hAnsiTheme="minorHAnsi" w:cstheme="minorBidi"/>
          <w:b w:val="0"/>
          <w:sz w:val="22"/>
          <w:szCs w:val="22"/>
        </w:rPr>
      </w:pPr>
      <w:hyperlink w:anchor="_Toc50633831" w:history="1">
        <w:r w:rsidRPr="00A57D16">
          <w:rPr>
            <w:rStyle w:val="Hyperlink"/>
          </w:rPr>
          <w:t>7</w:t>
        </w:r>
        <w:r>
          <w:rPr>
            <w:rFonts w:asciiTheme="minorHAnsi" w:eastAsiaTheme="minorEastAsia" w:hAnsiTheme="minorHAnsi" w:cstheme="minorBidi"/>
            <w:b w:val="0"/>
            <w:sz w:val="22"/>
            <w:szCs w:val="22"/>
          </w:rPr>
          <w:tab/>
        </w:r>
        <w:r w:rsidRPr="00A57D16">
          <w:rPr>
            <w:rStyle w:val="Hyperlink"/>
          </w:rPr>
          <w:t>Preventative detention orders</w:t>
        </w:r>
        <w:r>
          <w:rPr>
            <w:webHidden/>
          </w:rPr>
          <w:tab/>
        </w:r>
        <w:r>
          <w:rPr>
            <w:webHidden/>
          </w:rPr>
          <w:fldChar w:fldCharType="begin"/>
        </w:r>
        <w:r>
          <w:rPr>
            <w:webHidden/>
          </w:rPr>
          <w:instrText xml:space="preserve"> PAGEREF _Toc50633831 \h </w:instrText>
        </w:r>
        <w:r>
          <w:rPr>
            <w:webHidden/>
          </w:rPr>
        </w:r>
        <w:r>
          <w:rPr>
            <w:webHidden/>
          </w:rPr>
          <w:fldChar w:fldCharType="separate"/>
        </w:r>
        <w:r w:rsidR="00381A9B">
          <w:rPr>
            <w:webHidden/>
          </w:rPr>
          <w:t>63</w:t>
        </w:r>
        <w:r>
          <w:rPr>
            <w:webHidden/>
          </w:rPr>
          <w:fldChar w:fldCharType="end"/>
        </w:r>
      </w:hyperlink>
    </w:p>
    <w:p w14:paraId="19C2C71B" w14:textId="5A78B32B" w:rsidR="009C37D3" w:rsidRDefault="009C37D3">
      <w:pPr>
        <w:pStyle w:val="TOC2"/>
        <w:rPr>
          <w:rFonts w:asciiTheme="minorHAnsi" w:eastAsiaTheme="minorEastAsia" w:hAnsiTheme="minorHAnsi" w:cstheme="minorBidi"/>
          <w:b w:val="0"/>
          <w:i w:val="0"/>
          <w:sz w:val="22"/>
          <w:szCs w:val="22"/>
        </w:rPr>
      </w:pPr>
      <w:hyperlink w:anchor="_Toc50633832" w:history="1">
        <w:r w:rsidRPr="00A57D16">
          <w:rPr>
            <w:rStyle w:val="Hyperlink"/>
          </w:rPr>
          <w:t>7.1</w:t>
        </w:r>
        <w:r>
          <w:rPr>
            <w:rFonts w:asciiTheme="minorHAnsi" w:eastAsiaTheme="minorEastAsia" w:hAnsiTheme="minorHAnsi" w:cstheme="minorBidi"/>
            <w:b w:val="0"/>
            <w:i w:val="0"/>
            <w:sz w:val="22"/>
            <w:szCs w:val="22"/>
          </w:rPr>
          <w:tab/>
        </w:r>
        <w:r w:rsidRPr="00A57D16">
          <w:rPr>
            <w:rStyle w:val="Hyperlink"/>
          </w:rPr>
          <w:t>Structure of provisions</w:t>
        </w:r>
        <w:r>
          <w:rPr>
            <w:webHidden/>
          </w:rPr>
          <w:tab/>
        </w:r>
        <w:r>
          <w:rPr>
            <w:webHidden/>
          </w:rPr>
          <w:fldChar w:fldCharType="begin"/>
        </w:r>
        <w:r>
          <w:rPr>
            <w:webHidden/>
          </w:rPr>
          <w:instrText xml:space="preserve"> PAGEREF _Toc50633832 \h </w:instrText>
        </w:r>
        <w:r>
          <w:rPr>
            <w:webHidden/>
          </w:rPr>
        </w:r>
        <w:r>
          <w:rPr>
            <w:webHidden/>
          </w:rPr>
          <w:fldChar w:fldCharType="separate"/>
        </w:r>
        <w:r w:rsidR="00381A9B">
          <w:rPr>
            <w:webHidden/>
          </w:rPr>
          <w:t>63</w:t>
        </w:r>
        <w:r>
          <w:rPr>
            <w:webHidden/>
          </w:rPr>
          <w:fldChar w:fldCharType="end"/>
        </w:r>
      </w:hyperlink>
    </w:p>
    <w:p w14:paraId="605D1D77" w14:textId="03AC4253" w:rsidR="009C37D3" w:rsidRDefault="009C37D3">
      <w:pPr>
        <w:pStyle w:val="TOC2"/>
        <w:rPr>
          <w:rFonts w:asciiTheme="minorHAnsi" w:eastAsiaTheme="minorEastAsia" w:hAnsiTheme="minorHAnsi" w:cstheme="minorBidi"/>
          <w:b w:val="0"/>
          <w:i w:val="0"/>
          <w:sz w:val="22"/>
          <w:szCs w:val="22"/>
        </w:rPr>
      </w:pPr>
      <w:hyperlink w:anchor="_Toc50633833" w:history="1">
        <w:r w:rsidRPr="00A57D16">
          <w:rPr>
            <w:rStyle w:val="Hyperlink"/>
          </w:rPr>
          <w:t>7.2</w:t>
        </w:r>
        <w:r>
          <w:rPr>
            <w:rFonts w:asciiTheme="minorHAnsi" w:eastAsiaTheme="minorEastAsia" w:hAnsiTheme="minorHAnsi" w:cstheme="minorBidi"/>
            <w:b w:val="0"/>
            <w:i w:val="0"/>
            <w:sz w:val="22"/>
            <w:szCs w:val="22"/>
          </w:rPr>
          <w:tab/>
        </w:r>
        <w:r w:rsidRPr="00A57D16">
          <w:rPr>
            <w:rStyle w:val="Hyperlink"/>
          </w:rPr>
          <w:t>Human rights issues</w:t>
        </w:r>
        <w:r>
          <w:rPr>
            <w:webHidden/>
          </w:rPr>
          <w:tab/>
        </w:r>
        <w:r>
          <w:rPr>
            <w:webHidden/>
          </w:rPr>
          <w:fldChar w:fldCharType="begin"/>
        </w:r>
        <w:r>
          <w:rPr>
            <w:webHidden/>
          </w:rPr>
          <w:instrText xml:space="preserve"> PAGEREF _Toc50633833 \h </w:instrText>
        </w:r>
        <w:r>
          <w:rPr>
            <w:webHidden/>
          </w:rPr>
        </w:r>
        <w:r>
          <w:rPr>
            <w:webHidden/>
          </w:rPr>
          <w:fldChar w:fldCharType="separate"/>
        </w:r>
        <w:r w:rsidR="00381A9B">
          <w:rPr>
            <w:webHidden/>
          </w:rPr>
          <w:t>67</w:t>
        </w:r>
        <w:r>
          <w:rPr>
            <w:webHidden/>
          </w:rPr>
          <w:fldChar w:fldCharType="end"/>
        </w:r>
      </w:hyperlink>
    </w:p>
    <w:p w14:paraId="6F404315" w14:textId="790876F6" w:rsidR="009C37D3" w:rsidRDefault="009C37D3">
      <w:pPr>
        <w:pStyle w:val="TOC2"/>
        <w:rPr>
          <w:rFonts w:asciiTheme="minorHAnsi" w:eastAsiaTheme="minorEastAsia" w:hAnsiTheme="minorHAnsi" w:cstheme="minorBidi"/>
          <w:b w:val="0"/>
          <w:i w:val="0"/>
          <w:sz w:val="22"/>
          <w:szCs w:val="22"/>
        </w:rPr>
      </w:pPr>
      <w:hyperlink w:anchor="_Toc50633834" w:history="1">
        <w:r w:rsidRPr="00A57D16">
          <w:rPr>
            <w:rStyle w:val="Hyperlink"/>
          </w:rPr>
          <w:t>7.3</w:t>
        </w:r>
        <w:r>
          <w:rPr>
            <w:rFonts w:asciiTheme="minorHAnsi" w:eastAsiaTheme="minorEastAsia" w:hAnsiTheme="minorHAnsi" w:cstheme="minorBidi"/>
            <w:b w:val="0"/>
            <w:i w:val="0"/>
            <w:sz w:val="22"/>
            <w:szCs w:val="22"/>
          </w:rPr>
          <w:tab/>
        </w:r>
        <w:r w:rsidRPr="00A57D16">
          <w:rPr>
            <w:rStyle w:val="Hyperlink"/>
          </w:rPr>
          <w:t>Use of preventative detention orders</w:t>
        </w:r>
        <w:r>
          <w:rPr>
            <w:webHidden/>
          </w:rPr>
          <w:tab/>
        </w:r>
        <w:r>
          <w:rPr>
            <w:webHidden/>
          </w:rPr>
          <w:fldChar w:fldCharType="begin"/>
        </w:r>
        <w:r>
          <w:rPr>
            <w:webHidden/>
          </w:rPr>
          <w:instrText xml:space="preserve"> PAGEREF _Toc50633834 \h </w:instrText>
        </w:r>
        <w:r>
          <w:rPr>
            <w:webHidden/>
          </w:rPr>
        </w:r>
        <w:r>
          <w:rPr>
            <w:webHidden/>
          </w:rPr>
          <w:fldChar w:fldCharType="separate"/>
        </w:r>
        <w:r w:rsidR="00381A9B">
          <w:rPr>
            <w:webHidden/>
          </w:rPr>
          <w:t>68</w:t>
        </w:r>
        <w:r>
          <w:rPr>
            <w:webHidden/>
          </w:rPr>
          <w:fldChar w:fldCharType="end"/>
        </w:r>
      </w:hyperlink>
    </w:p>
    <w:p w14:paraId="0F5A6934" w14:textId="344C533B" w:rsidR="009C37D3" w:rsidRDefault="009C37D3">
      <w:pPr>
        <w:pStyle w:val="TOC3"/>
        <w:rPr>
          <w:rFonts w:asciiTheme="minorHAnsi" w:eastAsiaTheme="minorEastAsia" w:hAnsiTheme="minorHAnsi" w:cstheme="minorBidi"/>
          <w:i w:val="0"/>
          <w:sz w:val="22"/>
          <w:szCs w:val="22"/>
        </w:rPr>
      </w:pPr>
      <w:hyperlink w:anchor="_Toc50633835" w:history="1">
        <w:r w:rsidRPr="00A57D16">
          <w:rPr>
            <w:rStyle w:val="Hyperlink"/>
          </w:rPr>
          <w:t>(a)</w:t>
        </w:r>
        <w:r>
          <w:rPr>
            <w:rFonts w:asciiTheme="minorHAnsi" w:eastAsiaTheme="minorEastAsia" w:hAnsiTheme="minorHAnsi" w:cstheme="minorBidi"/>
            <w:i w:val="0"/>
            <w:sz w:val="22"/>
            <w:szCs w:val="22"/>
          </w:rPr>
          <w:tab/>
        </w:r>
        <w:r w:rsidRPr="00A57D16">
          <w:rPr>
            <w:rStyle w:val="Hyperlink"/>
          </w:rPr>
          <w:t>Actual use</w:t>
        </w:r>
        <w:r>
          <w:rPr>
            <w:webHidden/>
          </w:rPr>
          <w:tab/>
        </w:r>
        <w:r>
          <w:rPr>
            <w:webHidden/>
          </w:rPr>
          <w:fldChar w:fldCharType="begin"/>
        </w:r>
        <w:r>
          <w:rPr>
            <w:webHidden/>
          </w:rPr>
          <w:instrText xml:space="preserve"> PAGEREF _Toc50633835 \h </w:instrText>
        </w:r>
        <w:r>
          <w:rPr>
            <w:webHidden/>
          </w:rPr>
        </w:r>
        <w:r>
          <w:rPr>
            <w:webHidden/>
          </w:rPr>
          <w:fldChar w:fldCharType="separate"/>
        </w:r>
        <w:r w:rsidR="00381A9B">
          <w:rPr>
            <w:webHidden/>
          </w:rPr>
          <w:t>68</w:t>
        </w:r>
        <w:r>
          <w:rPr>
            <w:webHidden/>
          </w:rPr>
          <w:fldChar w:fldCharType="end"/>
        </w:r>
      </w:hyperlink>
    </w:p>
    <w:p w14:paraId="1A82AB03" w14:textId="7C81D47E" w:rsidR="009C37D3" w:rsidRDefault="009C37D3">
      <w:pPr>
        <w:pStyle w:val="TOC3"/>
        <w:rPr>
          <w:rFonts w:asciiTheme="minorHAnsi" w:eastAsiaTheme="minorEastAsia" w:hAnsiTheme="minorHAnsi" w:cstheme="minorBidi"/>
          <w:i w:val="0"/>
          <w:sz w:val="22"/>
          <w:szCs w:val="22"/>
        </w:rPr>
      </w:pPr>
      <w:hyperlink w:anchor="_Toc50633836" w:history="1">
        <w:r w:rsidRPr="00A57D16">
          <w:rPr>
            <w:rStyle w:val="Hyperlink"/>
          </w:rPr>
          <w:t>(b)</w:t>
        </w:r>
        <w:r>
          <w:rPr>
            <w:rFonts w:asciiTheme="minorHAnsi" w:eastAsiaTheme="minorEastAsia" w:hAnsiTheme="minorHAnsi" w:cstheme="minorBidi"/>
            <w:i w:val="0"/>
            <w:sz w:val="22"/>
            <w:szCs w:val="22"/>
          </w:rPr>
          <w:tab/>
        </w:r>
        <w:r w:rsidRPr="00A57D16">
          <w:rPr>
            <w:rStyle w:val="Hyperlink"/>
          </w:rPr>
          <w:t>Hypothetical examples</w:t>
        </w:r>
        <w:r>
          <w:rPr>
            <w:webHidden/>
          </w:rPr>
          <w:tab/>
        </w:r>
        <w:r>
          <w:rPr>
            <w:webHidden/>
          </w:rPr>
          <w:fldChar w:fldCharType="begin"/>
        </w:r>
        <w:r>
          <w:rPr>
            <w:webHidden/>
          </w:rPr>
          <w:instrText xml:space="preserve"> PAGEREF _Toc50633836 \h </w:instrText>
        </w:r>
        <w:r>
          <w:rPr>
            <w:webHidden/>
          </w:rPr>
        </w:r>
        <w:r>
          <w:rPr>
            <w:webHidden/>
          </w:rPr>
          <w:fldChar w:fldCharType="separate"/>
        </w:r>
        <w:r w:rsidR="00381A9B">
          <w:rPr>
            <w:webHidden/>
          </w:rPr>
          <w:t>71</w:t>
        </w:r>
        <w:r>
          <w:rPr>
            <w:webHidden/>
          </w:rPr>
          <w:fldChar w:fldCharType="end"/>
        </w:r>
      </w:hyperlink>
    </w:p>
    <w:p w14:paraId="21E751A2" w14:textId="76E00DBD" w:rsidR="009C37D3" w:rsidRDefault="009C37D3">
      <w:pPr>
        <w:pStyle w:val="TOC2"/>
        <w:rPr>
          <w:rFonts w:asciiTheme="minorHAnsi" w:eastAsiaTheme="minorEastAsia" w:hAnsiTheme="minorHAnsi" w:cstheme="minorBidi"/>
          <w:b w:val="0"/>
          <w:i w:val="0"/>
          <w:sz w:val="22"/>
          <w:szCs w:val="22"/>
        </w:rPr>
      </w:pPr>
      <w:hyperlink w:anchor="_Toc50633837" w:history="1">
        <w:r w:rsidRPr="00A57D16">
          <w:rPr>
            <w:rStyle w:val="Hyperlink"/>
          </w:rPr>
          <w:t>7.4</w:t>
        </w:r>
        <w:r>
          <w:rPr>
            <w:rFonts w:asciiTheme="minorHAnsi" w:eastAsiaTheme="minorEastAsia" w:hAnsiTheme="minorHAnsi" w:cstheme="minorBidi"/>
            <w:b w:val="0"/>
            <w:i w:val="0"/>
            <w:sz w:val="22"/>
            <w:szCs w:val="22"/>
          </w:rPr>
          <w:tab/>
        </w:r>
        <w:r w:rsidRPr="00A57D16">
          <w:rPr>
            <w:rStyle w:val="Hyperlink"/>
          </w:rPr>
          <w:t>Assessment</w:t>
        </w:r>
        <w:r>
          <w:rPr>
            <w:webHidden/>
          </w:rPr>
          <w:tab/>
        </w:r>
        <w:r>
          <w:rPr>
            <w:webHidden/>
          </w:rPr>
          <w:fldChar w:fldCharType="begin"/>
        </w:r>
        <w:r>
          <w:rPr>
            <w:webHidden/>
          </w:rPr>
          <w:instrText xml:space="preserve"> PAGEREF _Toc50633837 \h </w:instrText>
        </w:r>
        <w:r>
          <w:rPr>
            <w:webHidden/>
          </w:rPr>
        </w:r>
        <w:r>
          <w:rPr>
            <w:webHidden/>
          </w:rPr>
          <w:fldChar w:fldCharType="separate"/>
        </w:r>
        <w:r w:rsidR="00381A9B">
          <w:rPr>
            <w:webHidden/>
          </w:rPr>
          <w:t>73</w:t>
        </w:r>
        <w:r>
          <w:rPr>
            <w:webHidden/>
          </w:rPr>
          <w:fldChar w:fldCharType="end"/>
        </w:r>
      </w:hyperlink>
    </w:p>
    <w:p w14:paraId="42336887" w14:textId="0D7593E5" w:rsidR="009C37D3" w:rsidRDefault="009C37D3">
      <w:pPr>
        <w:pStyle w:val="TOC1"/>
        <w:rPr>
          <w:rFonts w:asciiTheme="minorHAnsi" w:eastAsiaTheme="minorEastAsia" w:hAnsiTheme="minorHAnsi" w:cstheme="minorBidi"/>
          <w:b w:val="0"/>
          <w:sz w:val="22"/>
          <w:szCs w:val="22"/>
        </w:rPr>
      </w:pPr>
      <w:hyperlink w:anchor="_Toc50633838" w:history="1">
        <w:r w:rsidRPr="00A57D16">
          <w:rPr>
            <w:rStyle w:val="Hyperlink"/>
          </w:rPr>
          <w:t>8</w:t>
        </w:r>
        <w:r>
          <w:rPr>
            <w:rFonts w:asciiTheme="minorHAnsi" w:eastAsiaTheme="minorEastAsia" w:hAnsiTheme="minorHAnsi" w:cstheme="minorBidi"/>
            <w:b w:val="0"/>
            <w:sz w:val="22"/>
            <w:szCs w:val="22"/>
          </w:rPr>
          <w:tab/>
        </w:r>
        <w:r w:rsidRPr="00A57D16">
          <w:rPr>
            <w:rStyle w:val="Hyperlink"/>
          </w:rPr>
          <w:t>Continuing detention orders</w:t>
        </w:r>
        <w:r>
          <w:rPr>
            <w:webHidden/>
          </w:rPr>
          <w:tab/>
        </w:r>
        <w:r>
          <w:rPr>
            <w:webHidden/>
          </w:rPr>
          <w:fldChar w:fldCharType="begin"/>
        </w:r>
        <w:r>
          <w:rPr>
            <w:webHidden/>
          </w:rPr>
          <w:instrText xml:space="preserve"> PAGEREF _Toc50633838 \h </w:instrText>
        </w:r>
        <w:r>
          <w:rPr>
            <w:webHidden/>
          </w:rPr>
        </w:r>
        <w:r>
          <w:rPr>
            <w:webHidden/>
          </w:rPr>
          <w:fldChar w:fldCharType="separate"/>
        </w:r>
        <w:r w:rsidR="00381A9B">
          <w:rPr>
            <w:webHidden/>
          </w:rPr>
          <w:t>74</w:t>
        </w:r>
        <w:r>
          <w:rPr>
            <w:webHidden/>
          </w:rPr>
          <w:fldChar w:fldCharType="end"/>
        </w:r>
      </w:hyperlink>
    </w:p>
    <w:p w14:paraId="493DD11E" w14:textId="038A5B33" w:rsidR="009C37D3" w:rsidRDefault="009C37D3">
      <w:pPr>
        <w:pStyle w:val="TOC2"/>
        <w:rPr>
          <w:rFonts w:asciiTheme="minorHAnsi" w:eastAsiaTheme="minorEastAsia" w:hAnsiTheme="minorHAnsi" w:cstheme="minorBidi"/>
          <w:b w:val="0"/>
          <w:i w:val="0"/>
          <w:sz w:val="22"/>
          <w:szCs w:val="22"/>
        </w:rPr>
      </w:pPr>
      <w:hyperlink w:anchor="_Toc50633839" w:history="1">
        <w:r w:rsidRPr="00A57D16">
          <w:rPr>
            <w:rStyle w:val="Hyperlink"/>
          </w:rPr>
          <w:t>8.1</w:t>
        </w:r>
        <w:r>
          <w:rPr>
            <w:rFonts w:asciiTheme="minorHAnsi" w:eastAsiaTheme="minorEastAsia" w:hAnsiTheme="minorHAnsi" w:cstheme="minorBidi"/>
            <w:b w:val="0"/>
            <w:i w:val="0"/>
            <w:sz w:val="22"/>
            <w:szCs w:val="22"/>
          </w:rPr>
          <w:tab/>
        </w:r>
        <w:r w:rsidRPr="00A57D16">
          <w:rPr>
            <w:rStyle w:val="Hyperlink"/>
          </w:rPr>
          <w:t>Structure of provisions</w:t>
        </w:r>
        <w:r>
          <w:rPr>
            <w:webHidden/>
          </w:rPr>
          <w:tab/>
        </w:r>
        <w:r>
          <w:rPr>
            <w:webHidden/>
          </w:rPr>
          <w:fldChar w:fldCharType="begin"/>
        </w:r>
        <w:r>
          <w:rPr>
            <w:webHidden/>
          </w:rPr>
          <w:instrText xml:space="preserve"> PAGEREF _Toc50633839 \h </w:instrText>
        </w:r>
        <w:r>
          <w:rPr>
            <w:webHidden/>
          </w:rPr>
        </w:r>
        <w:r>
          <w:rPr>
            <w:webHidden/>
          </w:rPr>
          <w:fldChar w:fldCharType="separate"/>
        </w:r>
        <w:r w:rsidR="00381A9B">
          <w:rPr>
            <w:webHidden/>
          </w:rPr>
          <w:t>75</w:t>
        </w:r>
        <w:r>
          <w:rPr>
            <w:webHidden/>
          </w:rPr>
          <w:fldChar w:fldCharType="end"/>
        </w:r>
      </w:hyperlink>
    </w:p>
    <w:p w14:paraId="638C5013" w14:textId="489C1FAC" w:rsidR="009C37D3" w:rsidRDefault="009C37D3">
      <w:pPr>
        <w:pStyle w:val="TOC2"/>
        <w:rPr>
          <w:rFonts w:asciiTheme="minorHAnsi" w:eastAsiaTheme="minorEastAsia" w:hAnsiTheme="minorHAnsi" w:cstheme="minorBidi"/>
          <w:b w:val="0"/>
          <w:i w:val="0"/>
          <w:sz w:val="22"/>
          <w:szCs w:val="22"/>
        </w:rPr>
      </w:pPr>
      <w:hyperlink w:anchor="_Toc50633840" w:history="1">
        <w:r w:rsidRPr="00A57D16">
          <w:rPr>
            <w:rStyle w:val="Hyperlink"/>
          </w:rPr>
          <w:t>8.2</w:t>
        </w:r>
        <w:r>
          <w:rPr>
            <w:rFonts w:asciiTheme="minorHAnsi" w:eastAsiaTheme="minorEastAsia" w:hAnsiTheme="minorHAnsi" w:cstheme="minorBidi"/>
            <w:b w:val="0"/>
            <w:i w:val="0"/>
            <w:sz w:val="22"/>
            <w:szCs w:val="22"/>
          </w:rPr>
          <w:tab/>
        </w:r>
        <w:r w:rsidRPr="00A57D16">
          <w:rPr>
            <w:rStyle w:val="Hyperlink"/>
          </w:rPr>
          <w:t>Use of provisions</w:t>
        </w:r>
        <w:r>
          <w:rPr>
            <w:webHidden/>
          </w:rPr>
          <w:tab/>
        </w:r>
        <w:r>
          <w:rPr>
            <w:webHidden/>
          </w:rPr>
          <w:fldChar w:fldCharType="begin"/>
        </w:r>
        <w:r>
          <w:rPr>
            <w:webHidden/>
          </w:rPr>
          <w:instrText xml:space="preserve"> PAGEREF _Toc50633840 \h </w:instrText>
        </w:r>
        <w:r>
          <w:rPr>
            <w:webHidden/>
          </w:rPr>
        </w:r>
        <w:r>
          <w:rPr>
            <w:webHidden/>
          </w:rPr>
          <w:fldChar w:fldCharType="separate"/>
        </w:r>
        <w:r w:rsidR="00381A9B">
          <w:rPr>
            <w:webHidden/>
          </w:rPr>
          <w:t>77</w:t>
        </w:r>
        <w:r>
          <w:rPr>
            <w:webHidden/>
          </w:rPr>
          <w:fldChar w:fldCharType="end"/>
        </w:r>
      </w:hyperlink>
    </w:p>
    <w:p w14:paraId="18E8E37D" w14:textId="1B782BE5" w:rsidR="009C37D3" w:rsidRDefault="009C37D3">
      <w:pPr>
        <w:pStyle w:val="TOC2"/>
        <w:rPr>
          <w:rFonts w:asciiTheme="minorHAnsi" w:eastAsiaTheme="minorEastAsia" w:hAnsiTheme="minorHAnsi" w:cstheme="minorBidi"/>
          <w:b w:val="0"/>
          <w:i w:val="0"/>
          <w:sz w:val="22"/>
          <w:szCs w:val="22"/>
        </w:rPr>
      </w:pPr>
      <w:hyperlink w:anchor="_Toc50633841" w:history="1">
        <w:r w:rsidRPr="00A57D16">
          <w:rPr>
            <w:rStyle w:val="Hyperlink"/>
          </w:rPr>
          <w:t>8.3</w:t>
        </w:r>
        <w:r>
          <w:rPr>
            <w:rFonts w:asciiTheme="minorHAnsi" w:eastAsiaTheme="minorEastAsia" w:hAnsiTheme="minorHAnsi" w:cstheme="minorBidi"/>
            <w:b w:val="0"/>
            <w:i w:val="0"/>
            <w:sz w:val="22"/>
            <w:szCs w:val="22"/>
          </w:rPr>
          <w:tab/>
        </w:r>
        <w:r w:rsidRPr="00A57D16">
          <w:rPr>
            <w:rStyle w:val="Hyperlink"/>
          </w:rPr>
          <w:t>Consideration</w:t>
        </w:r>
        <w:r>
          <w:rPr>
            <w:webHidden/>
          </w:rPr>
          <w:tab/>
        </w:r>
        <w:r>
          <w:rPr>
            <w:webHidden/>
          </w:rPr>
          <w:fldChar w:fldCharType="begin"/>
        </w:r>
        <w:r>
          <w:rPr>
            <w:webHidden/>
          </w:rPr>
          <w:instrText xml:space="preserve"> PAGEREF _Toc50633841 \h </w:instrText>
        </w:r>
        <w:r>
          <w:rPr>
            <w:webHidden/>
          </w:rPr>
        </w:r>
        <w:r>
          <w:rPr>
            <w:webHidden/>
          </w:rPr>
          <w:fldChar w:fldCharType="separate"/>
        </w:r>
        <w:r w:rsidR="00381A9B">
          <w:rPr>
            <w:webHidden/>
          </w:rPr>
          <w:t>77</w:t>
        </w:r>
        <w:r>
          <w:rPr>
            <w:webHidden/>
          </w:rPr>
          <w:fldChar w:fldCharType="end"/>
        </w:r>
      </w:hyperlink>
    </w:p>
    <w:p w14:paraId="396BEC2E" w14:textId="5555D87F" w:rsidR="009C37D3" w:rsidRDefault="009C37D3">
      <w:pPr>
        <w:pStyle w:val="TOC3"/>
        <w:rPr>
          <w:rFonts w:asciiTheme="minorHAnsi" w:eastAsiaTheme="minorEastAsia" w:hAnsiTheme="minorHAnsi" w:cstheme="minorBidi"/>
          <w:i w:val="0"/>
          <w:sz w:val="22"/>
          <w:szCs w:val="22"/>
        </w:rPr>
      </w:pPr>
      <w:hyperlink w:anchor="_Toc50633842" w:history="1">
        <w:r w:rsidRPr="00A57D16">
          <w:rPr>
            <w:rStyle w:val="Hyperlink"/>
          </w:rPr>
          <w:t>(a)</w:t>
        </w:r>
        <w:r>
          <w:rPr>
            <w:rFonts w:asciiTheme="minorHAnsi" w:eastAsiaTheme="minorEastAsia" w:hAnsiTheme="minorHAnsi" w:cstheme="minorBidi"/>
            <w:i w:val="0"/>
            <w:sz w:val="22"/>
            <w:szCs w:val="22"/>
          </w:rPr>
          <w:tab/>
        </w:r>
        <w:r w:rsidRPr="00A57D16">
          <w:rPr>
            <w:rStyle w:val="Hyperlink"/>
          </w:rPr>
          <w:t>Scope of offences</w:t>
        </w:r>
        <w:r>
          <w:rPr>
            <w:webHidden/>
          </w:rPr>
          <w:tab/>
        </w:r>
        <w:r>
          <w:rPr>
            <w:webHidden/>
          </w:rPr>
          <w:fldChar w:fldCharType="begin"/>
        </w:r>
        <w:r>
          <w:rPr>
            <w:webHidden/>
          </w:rPr>
          <w:instrText xml:space="preserve"> PAGEREF _Toc50633842 \h </w:instrText>
        </w:r>
        <w:r>
          <w:rPr>
            <w:webHidden/>
          </w:rPr>
        </w:r>
        <w:r>
          <w:rPr>
            <w:webHidden/>
          </w:rPr>
          <w:fldChar w:fldCharType="separate"/>
        </w:r>
        <w:r w:rsidR="00381A9B">
          <w:rPr>
            <w:webHidden/>
          </w:rPr>
          <w:t>77</w:t>
        </w:r>
        <w:r>
          <w:rPr>
            <w:webHidden/>
          </w:rPr>
          <w:fldChar w:fldCharType="end"/>
        </w:r>
      </w:hyperlink>
    </w:p>
    <w:p w14:paraId="7C507C45" w14:textId="3CA67F7D" w:rsidR="009C37D3" w:rsidRDefault="009C37D3">
      <w:pPr>
        <w:pStyle w:val="TOC3"/>
        <w:rPr>
          <w:rFonts w:asciiTheme="minorHAnsi" w:eastAsiaTheme="minorEastAsia" w:hAnsiTheme="minorHAnsi" w:cstheme="minorBidi"/>
          <w:i w:val="0"/>
          <w:sz w:val="22"/>
          <w:szCs w:val="22"/>
        </w:rPr>
      </w:pPr>
      <w:hyperlink w:anchor="_Toc50633843" w:history="1">
        <w:r w:rsidRPr="00A57D16">
          <w:rPr>
            <w:rStyle w:val="Hyperlink"/>
          </w:rPr>
          <w:t>(b)</w:t>
        </w:r>
        <w:r>
          <w:rPr>
            <w:rFonts w:asciiTheme="minorHAnsi" w:eastAsiaTheme="minorEastAsia" w:hAnsiTheme="minorHAnsi" w:cstheme="minorBidi"/>
            <w:i w:val="0"/>
            <w:sz w:val="22"/>
            <w:szCs w:val="22"/>
          </w:rPr>
          <w:tab/>
        </w:r>
        <w:r w:rsidRPr="00A57D16">
          <w:rPr>
            <w:rStyle w:val="Hyperlink"/>
          </w:rPr>
          <w:t>Assessment of risk</w:t>
        </w:r>
        <w:r>
          <w:rPr>
            <w:webHidden/>
          </w:rPr>
          <w:tab/>
        </w:r>
        <w:r>
          <w:rPr>
            <w:webHidden/>
          </w:rPr>
          <w:fldChar w:fldCharType="begin"/>
        </w:r>
        <w:r>
          <w:rPr>
            <w:webHidden/>
          </w:rPr>
          <w:instrText xml:space="preserve"> PAGEREF _Toc50633843 \h </w:instrText>
        </w:r>
        <w:r>
          <w:rPr>
            <w:webHidden/>
          </w:rPr>
        </w:r>
        <w:r>
          <w:rPr>
            <w:webHidden/>
          </w:rPr>
          <w:fldChar w:fldCharType="separate"/>
        </w:r>
        <w:r w:rsidR="00381A9B">
          <w:rPr>
            <w:webHidden/>
          </w:rPr>
          <w:t>79</w:t>
        </w:r>
        <w:r>
          <w:rPr>
            <w:webHidden/>
          </w:rPr>
          <w:fldChar w:fldCharType="end"/>
        </w:r>
      </w:hyperlink>
    </w:p>
    <w:p w14:paraId="36BC61EC" w14:textId="718BFC86" w:rsidR="009C37D3" w:rsidRDefault="009C37D3">
      <w:pPr>
        <w:pStyle w:val="TOC3"/>
        <w:rPr>
          <w:rFonts w:asciiTheme="minorHAnsi" w:eastAsiaTheme="minorEastAsia" w:hAnsiTheme="minorHAnsi" w:cstheme="minorBidi"/>
          <w:i w:val="0"/>
          <w:sz w:val="22"/>
          <w:szCs w:val="22"/>
        </w:rPr>
      </w:pPr>
      <w:hyperlink w:anchor="_Toc50633844" w:history="1">
        <w:r w:rsidRPr="00A57D16">
          <w:rPr>
            <w:rStyle w:val="Hyperlink"/>
          </w:rPr>
          <w:t>(c)</w:t>
        </w:r>
        <w:r>
          <w:rPr>
            <w:rFonts w:asciiTheme="minorHAnsi" w:eastAsiaTheme="minorEastAsia" w:hAnsiTheme="minorHAnsi" w:cstheme="minorBidi"/>
            <w:i w:val="0"/>
            <w:sz w:val="22"/>
            <w:szCs w:val="22"/>
          </w:rPr>
          <w:tab/>
        </w:r>
        <w:r w:rsidRPr="00A57D16">
          <w:rPr>
            <w:rStyle w:val="Hyperlink"/>
          </w:rPr>
          <w:t>Availability of less restrictive alternatives</w:t>
        </w:r>
        <w:r>
          <w:rPr>
            <w:webHidden/>
          </w:rPr>
          <w:tab/>
        </w:r>
        <w:r>
          <w:rPr>
            <w:webHidden/>
          </w:rPr>
          <w:fldChar w:fldCharType="begin"/>
        </w:r>
        <w:r>
          <w:rPr>
            <w:webHidden/>
          </w:rPr>
          <w:instrText xml:space="preserve"> PAGEREF _Toc50633844 \h </w:instrText>
        </w:r>
        <w:r>
          <w:rPr>
            <w:webHidden/>
          </w:rPr>
        </w:r>
        <w:r>
          <w:rPr>
            <w:webHidden/>
          </w:rPr>
          <w:fldChar w:fldCharType="separate"/>
        </w:r>
        <w:r w:rsidR="00381A9B">
          <w:rPr>
            <w:webHidden/>
          </w:rPr>
          <w:t>88</w:t>
        </w:r>
        <w:r>
          <w:rPr>
            <w:webHidden/>
          </w:rPr>
          <w:fldChar w:fldCharType="end"/>
        </w:r>
      </w:hyperlink>
    </w:p>
    <w:p w14:paraId="74056223" w14:textId="5F4E7BD1" w:rsidR="009C37D3" w:rsidRDefault="009C37D3">
      <w:pPr>
        <w:pStyle w:val="TOC1"/>
        <w:rPr>
          <w:rFonts w:asciiTheme="minorHAnsi" w:eastAsiaTheme="minorEastAsia" w:hAnsiTheme="minorHAnsi" w:cstheme="minorBidi"/>
          <w:b w:val="0"/>
          <w:sz w:val="22"/>
          <w:szCs w:val="22"/>
        </w:rPr>
      </w:pPr>
      <w:hyperlink w:anchor="_Toc50633845" w:history="1">
        <w:r w:rsidRPr="00A57D16">
          <w:rPr>
            <w:rStyle w:val="Hyperlink"/>
          </w:rPr>
          <w:t>Appendix A: Control orders made</w:t>
        </w:r>
        <w:r>
          <w:rPr>
            <w:webHidden/>
          </w:rPr>
          <w:tab/>
        </w:r>
        <w:r>
          <w:rPr>
            <w:webHidden/>
          </w:rPr>
          <w:fldChar w:fldCharType="begin"/>
        </w:r>
        <w:r>
          <w:rPr>
            <w:webHidden/>
          </w:rPr>
          <w:instrText xml:space="preserve"> PAGEREF _Toc50633845 \h </w:instrText>
        </w:r>
        <w:r>
          <w:rPr>
            <w:webHidden/>
          </w:rPr>
        </w:r>
        <w:r>
          <w:rPr>
            <w:webHidden/>
          </w:rPr>
          <w:fldChar w:fldCharType="separate"/>
        </w:r>
        <w:r w:rsidR="00381A9B">
          <w:rPr>
            <w:webHidden/>
          </w:rPr>
          <w:t>94</w:t>
        </w:r>
        <w:r>
          <w:rPr>
            <w:webHidden/>
          </w:rPr>
          <w:fldChar w:fldCharType="end"/>
        </w:r>
      </w:hyperlink>
    </w:p>
    <w:p w14:paraId="4B8E54DD" w14:textId="0D92DCE4" w:rsidR="00C86324" w:rsidRDefault="000E4837">
      <w:pPr>
        <w:spacing w:before="0" w:after="0"/>
        <w:rPr>
          <w:b/>
          <w:noProof/>
        </w:rPr>
      </w:pPr>
      <w:r>
        <w:rPr>
          <w:b/>
          <w:noProof/>
        </w:rPr>
        <w:fldChar w:fldCharType="end"/>
      </w:r>
      <w:r w:rsidR="00C86324">
        <w:br w:type="page"/>
      </w:r>
    </w:p>
    <w:p w14:paraId="2E5A8A49" w14:textId="7A151624" w:rsidR="00510390" w:rsidRDefault="009F2764" w:rsidP="00A27ABE">
      <w:pPr>
        <w:pStyle w:val="Heading1"/>
      </w:pPr>
      <w:bookmarkStart w:id="2" w:name="_Toc207761830"/>
      <w:bookmarkStart w:id="3" w:name="_Toc209578266"/>
      <w:bookmarkStart w:id="4" w:name="_Toc209941766"/>
      <w:bookmarkStart w:id="5" w:name="_Toc525894098"/>
      <w:bookmarkStart w:id="6" w:name="_Toc50633809"/>
      <w:r w:rsidRPr="009E08D1">
        <w:lastRenderedPageBreak/>
        <w:t>Introduction</w:t>
      </w:r>
      <w:bookmarkEnd w:id="2"/>
      <w:bookmarkEnd w:id="3"/>
      <w:bookmarkEnd w:id="4"/>
      <w:bookmarkEnd w:id="5"/>
      <w:bookmarkEnd w:id="6"/>
    </w:p>
    <w:p w14:paraId="6465F22E" w14:textId="53B48F9D" w:rsidR="0053794C" w:rsidRPr="00822C3D" w:rsidRDefault="00D426D6" w:rsidP="003E74AE">
      <w:pPr>
        <w:pStyle w:val="ListNumber2"/>
        <w:tabs>
          <w:tab w:val="clear" w:pos="643"/>
          <w:tab w:val="num" w:pos="1080"/>
        </w:tabs>
        <w:ind w:left="1080" w:hanging="797"/>
      </w:pPr>
      <w:r w:rsidRPr="00822C3D">
        <w:t xml:space="preserve">The Australian Human Rights Commission </w:t>
      </w:r>
      <w:r w:rsidR="000D324A">
        <w:t xml:space="preserve">(the Commission) </w:t>
      </w:r>
      <w:r w:rsidRPr="00822C3D">
        <w:t xml:space="preserve">makes this submission to the Parliamentary Joint Committee on Intelligence and Security (PJCIS) in relation to its </w:t>
      </w:r>
      <w:r w:rsidR="009077DB">
        <w:t xml:space="preserve">‘Review of </w:t>
      </w:r>
      <w:r w:rsidRPr="00822C3D">
        <w:t>AFP Powers</w:t>
      </w:r>
      <w:r w:rsidR="00F67CD7">
        <w:t>’</w:t>
      </w:r>
      <w:r w:rsidRPr="00822C3D">
        <w:t xml:space="preserve">.  </w:t>
      </w:r>
    </w:p>
    <w:p w14:paraId="0AFA4D6F" w14:textId="14735D02" w:rsidR="0053794C" w:rsidRPr="00E23043" w:rsidRDefault="00D426D6" w:rsidP="003E74AE">
      <w:pPr>
        <w:pStyle w:val="ListNumber2"/>
        <w:tabs>
          <w:tab w:val="clear" w:pos="643"/>
          <w:tab w:val="num" w:pos="1080"/>
        </w:tabs>
        <w:ind w:left="1080" w:hanging="797"/>
      </w:pPr>
      <w:r>
        <w:t xml:space="preserve">This is a statutory review required by </w:t>
      </w:r>
      <w:r w:rsidR="00A96053">
        <w:t>s </w:t>
      </w:r>
      <w:r w:rsidR="0053794C" w:rsidRPr="00E23043">
        <w:t>29(</w:t>
      </w:r>
      <w:proofErr w:type="gramStart"/>
      <w:r w:rsidR="0053794C" w:rsidRPr="00E23043">
        <w:t>1)(</w:t>
      </w:r>
      <w:proofErr w:type="gramEnd"/>
      <w:r w:rsidR="0053794C" w:rsidRPr="00E23043">
        <w:t>bb)(</w:t>
      </w:r>
      <w:proofErr w:type="spellStart"/>
      <w:r w:rsidR="0053794C" w:rsidRPr="00E23043">
        <w:t>i</w:t>
      </w:r>
      <w:proofErr w:type="spellEnd"/>
      <w:r w:rsidR="0053794C" w:rsidRPr="00E23043">
        <w:t xml:space="preserve">) and (ii) </w:t>
      </w:r>
      <w:r w:rsidR="00A96053">
        <w:t>and s 29(1)(</w:t>
      </w:r>
      <w:proofErr w:type="spellStart"/>
      <w:r w:rsidR="00A96053">
        <w:t>cb</w:t>
      </w:r>
      <w:proofErr w:type="spellEnd"/>
      <w:r w:rsidR="00A96053">
        <w:t xml:space="preserve">) </w:t>
      </w:r>
      <w:r w:rsidR="0053794C" w:rsidRPr="00E23043">
        <w:t xml:space="preserve">of the </w:t>
      </w:r>
      <w:r w:rsidR="0053794C" w:rsidRPr="003E74AE">
        <w:rPr>
          <w:i/>
          <w:iCs/>
        </w:rPr>
        <w:t>Intelligence Services Act 2001</w:t>
      </w:r>
      <w:r w:rsidR="0053794C" w:rsidRPr="00E23043">
        <w:t xml:space="preserve"> (</w:t>
      </w:r>
      <w:proofErr w:type="spellStart"/>
      <w:r w:rsidR="0053794C" w:rsidRPr="00E23043">
        <w:t>Cth</w:t>
      </w:r>
      <w:proofErr w:type="spellEnd"/>
      <w:r w:rsidR="0053794C" w:rsidRPr="00E23043">
        <w:t>) into the operation, effectiveness and implications of:</w:t>
      </w:r>
    </w:p>
    <w:p w14:paraId="3F79577E" w14:textId="5DA039C3" w:rsidR="0053794C" w:rsidRPr="0053794C" w:rsidRDefault="0053794C" w:rsidP="00484581">
      <w:pPr>
        <w:pStyle w:val="ListNumber"/>
        <w:numPr>
          <w:ilvl w:val="0"/>
          <w:numId w:val="13"/>
        </w:numPr>
        <w:ind w:left="1440"/>
        <w:rPr>
          <w:lang w:val="en-US"/>
        </w:rPr>
      </w:pPr>
      <w:r w:rsidRPr="0053794C">
        <w:rPr>
          <w:lang w:val="en-US"/>
        </w:rPr>
        <w:t>Division 3A of Part IAA of the</w:t>
      </w:r>
      <w:r>
        <w:rPr>
          <w:lang w:val="en-US"/>
        </w:rPr>
        <w:t xml:space="preserve"> </w:t>
      </w:r>
      <w:r w:rsidRPr="0053794C">
        <w:rPr>
          <w:i/>
          <w:iCs/>
          <w:lang w:val="en-US"/>
        </w:rPr>
        <w:t>Crimes Act 1914</w:t>
      </w:r>
      <w:r>
        <w:rPr>
          <w:i/>
          <w:iCs/>
          <w:lang w:val="en-US"/>
        </w:rPr>
        <w:t xml:space="preserve"> </w:t>
      </w:r>
      <w:r>
        <w:rPr>
          <w:lang w:val="en-US"/>
        </w:rPr>
        <w:t>(</w:t>
      </w:r>
      <w:proofErr w:type="spellStart"/>
      <w:r>
        <w:rPr>
          <w:lang w:val="en-US"/>
        </w:rPr>
        <w:t>Cth</w:t>
      </w:r>
      <w:proofErr w:type="spellEnd"/>
      <w:r>
        <w:rPr>
          <w:lang w:val="en-US"/>
        </w:rPr>
        <w:t>) (Crimes Ac</w:t>
      </w:r>
      <w:r w:rsidR="00A54874">
        <w:rPr>
          <w:lang w:val="en-US"/>
        </w:rPr>
        <w:t>t</w:t>
      </w:r>
      <w:r>
        <w:rPr>
          <w:lang w:val="en-US"/>
        </w:rPr>
        <w:t xml:space="preserve">) </w:t>
      </w:r>
      <w:r w:rsidRPr="0053794C">
        <w:rPr>
          <w:lang w:val="en-US"/>
        </w:rPr>
        <w:t xml:space="preserve">(which provides for </w:t>
      </w:r>
      <w:r w:rsidR="00CA73B3">
        <w:rPr>
          <w:lang w:val="en-US"/>
        </w:rPr>
        <w:t xml:space="preserve">certain police powers, including </w:t>
      </w:r>
      <w:r w:rsidR="00525DAD">
        <w:rPr>
          <w:lang w:val="en-US"/>
        </w:rPr>
        <w:t>‘stop, search and seize</w:t>
      </w:r>
      <w:r w:rsidR="00CE0308">
        <w:rPr>
          <w:lang w:val="en-US"/>
        </w:rPr>
        <w:t xml:space="preserve"> </w:t>
      </w:r>
      <w:r w:rsidRPr="0053794C">
        <w:rPr>
          <w:lang w:val="en-US"/>
        </w:rPr>
        <w:t>powers</w:t>
      </w:r>
      <w:r w:rsidR="00CE0308">
        <w:rPr>
          <w:lang w:val="en-US"/>
        </w:rPr>
        <w:t>’</w:t>
      </w:r>
      <w:r w:rsidR="00CA73B3">
        <w:rPr>
          <w:lang w:val="en-US"/>
        </w:rPr>
        <w:t>,</w:t>
      </w:r>
      <w:r w:rsidRPr="0053794C">
        <w:rPr>
          <w:lang w:val="en-US"/>
        </w:rPr>
        <w:t xml:space="preserve"> in relation to terrorism) and any other provision of the</w:t>
      </w:r>
      <w:r>
        <w:rPr>
          <w:lang w:val="en-US"/>
        </w:rPr>
        <w:t xml:space="preserve"> </w:t>
      </w:r>
      <w:r w:rsidRPr="0053794C">
        <w:rPr>
          <w:lang w:val="en-US"/>
        </w:rPr>
        <w:t>Crimes Act</w:t>
      </w:r>
      <w:r w:rsidRPr="0053794C">
        <w:rPr>
          <w:i/>
          <w:iCs/>
          <w:lang w:val="en-US"/>
        </w:rPr>
        <w:t xml:space="preserve"> </w:t>
      </w:r>
      <w:r w:rsidRPr="0053794C">
        <w:rPr>
          <w:lang w:val="en-US"/>
        </w:rPr>
        <w:t>as it relates to that Division</w:t>
      </w:r>
    </w:p>
    <w:p w14:paraId="15FF5546" w14:textId="66D4E93F" w:rsidR="00D426D6" w:rsidRDefault="0053794C" w:rsidP="00484581">
      <w:pPr>
        <w:pStyle w:val="ListNumber"/>
        <w:numPr>
          <w:ilvl w:val="0"/>
          <w:numId w:val="13"/>
        </w:numPr>
        <w:ind w:left="1440"/>
        <w:rPr>
          <w:lang w:val="en-US"/>
        </w:rPr>
      </w:pPr>
      <w:r w:rsidRPr="0053794C">
        <w:rPr>
          <w:lang w:val="en-US"/>
        </w:rPr>
        <w:t>Divisions 104 and 105 of the Criminal Code (which provide for control orders and preventative detention orders in relation to terrorism) and any other provision of the</w:t>
      </w:r>
      <w:r>
        <w:rPr>
          <w:lang w:val="en-US"/>
        </w:rPr>
        <w:t xml:space="preserve"> </w:t>
      </w:r>
      <w:r w:rsidRPr="0053794C">
        <w:rPr>
          <w:i/>
          <w:iCs/>
          <w:lang w:val="en-US"/>
        </w:rPr>
        <w:t>Criminal Code Act 1995</w:t>
      </w:r>
      <w:r>
        <w:rPr>
          <w:lang w:val="en-US"/>
        </w:rPr>
        <w:t xml:space="preserve"> (</w:t>
      </w:r>
      <w:proofErr w:type="spellStart"/>
      <w:r>
        <w:rPr>
          <w:lang w:val="en-US"/>
        </w:rPr>
        <w:t>Cth</w:t>
      </w:r>
      <w:proofErr w:type="spellEnd"/>
      <w:r>
        <w:rPr>
          <w:lang w:val="en-US"/>
        </w:rPr>
        <w:t xml:space="preserve">) </w:t>
      </w:r>
      <w:r w:rsidRPr="0053794C">
        <w:rPr>
          <w:lang w:val="en-US"/>
        </w:rPr>
        <w:t>as it relates to those Divisions</w:t>
      </w:r>
    </w:p>
    <w:p w14:paraId="598E5B92" w14:textId="0FD04277" w:rsidR="00D645DC" w:rsidRPr="00FD0548" w:rsidRDefault="00FD0548" w:rsidP="00484581">
      <w:pPr>
        <w:pStyle w:val="ListNumber"/>
        <w:numPr>
          <w:ilvl w:val="0"/>
          <w:numId w:val="13"/>
        </w:numPr>
        <w:ind w:left="1440"/>
        <w:rPr>
          <w:lang w:val="en-US"/>
        </w:rPr>
      </w:pPr>
      <w:r>
        <w:rPr>
          <w:lang w:val="en-US"/>
        </w:rPr>
        <w:t>Division 105A of the Criminal Code (</w:t>
      </w:r>
      <w:r w:rsidR="00D53B4C">
        <w:rPr>
          <w:lang w:val="en-US"/>
        </w:rPr>
        <w:t>which provides for continuing detention orders)</w:t>
      </w:r>
      <w:r w:rsidR="007D3FB7">
        <w:rPr>
          <w:lang w:val="en-US"/>
        </w:rPr>
        <w:t>.</w:t>
      </w:r>
    </w:p>
    <w:p w14:paraId="700FD24C" w14:textId="70416446" w:rsidR="00E23043" w:rsidRDefault="00E23043" w:rsidP="003E74AE">
      <w:pPr>
        <w:pStyle w:val="ListNumber2"/>
        <w:tabs>
          <w:tab w:val="clear" w:pos="643"/>
          <w:tab w:val="num" w:pos="1080"/>
        </w:tabs>
        <w:ind w:left="1080" w:hanging="797"/>
      </w:pPr>
      <w:r>
        <w:t xml:space="preserve">The PJCIS is required to conduct its review </w:t>
      </w:r>
      <w:r w:rsidR="00D53B4C">
        <w:t xml:space="preserve">of the first two </w:t>
      </w:r>
      <w:r w:rsidR="005E79C1">
        <w:t xml:space="preserve">matters </w:t>
      </w:r>
      <w:r>
        <w:t>by 7</w:t>
      </w:r>
      <w:r w:rsidR="005E79C1">
        <w:t> </w:t>
      </w:r>
      <w:r>
        <w:t>January 2021</w:t>
      </w:r>
      <w:r w:rsidR="005E79C1">
        <w:t xml:space="preserve"> and the third matter by </w:t>
      </w:r>
      <w:r w:rsidR="00AF1C8E">
        <w:t>7 December 2022.</w:t>
      </w:r>
    </w:p>
    <w:p w14:paraId="732AFF42" w14:textId="50F64C61" w:rsidR="0033067C" w:rsidRDefault="0033067C" w:rsidP="0033067C">
      <w:pPr>
        <w:pStyle w:val="ListNumber2"/>
        <w:tabs>
          <w:tab w:val="clear" w:pos="643"/>
          <w:tab w:val="num" w:pos="1080"/>
        </w:tabs>
        <w:ind w:left="1080" w:hanging="797"/>
      </w:pPr>
      <w:r>
        <w:t xml:space="preserve">The Commission has </w:t>
      </w:r>
      <w:r w:rsidR="00912124">
        <w:t xml:space="preserve">made </w:t>
      </w:r>
      <w:r w:rsidR="009435D9">
        <w:t xml:space="preserve">several </w:t>
      </w:r>
      <w:r w:rsidR="00912124">
        <w:t xml:space="preserve">submissions about </w:t>
      </w:r>
      <w:r w:rsidR="00FC77F7">
        <w:t xml:space="preserve">the </w:t>
      </w:r>
      <w:r w:rsidR="00A574C5">
        <w:t>counter-terrorism laws</w:t>
      </w:r>
      <w:r w:rsidR="00FC77F7">
        <w:t xml:space="preserve"> that are under consideration in this review.  This includes submissions made to</w:t>
      </w:r>
      <w:r>
        <w:t>:</w:t>
      </w:r>
    </w:p>
    <w:p w14:paraId="538F6ED4" w14:textId="32E636A9" w:rsidR="0033067C" w:rsidRDefault="0033067C" w:rsidP="0033067C">
      <w:pPr>
        <w:pStyle w:val="ListNumber"/>
        <w:numPr>
          <w:ilvl w:val="0"/>
          <w:numId w:val="14"/>
        </w:numPr>
      </w:pPr>
      <w:r>
        <w:t xml:space="preserve">the Legal and Constitutional Legislation Committee </w:t>
      </w:r>
      <w:r w:rsidR="00E92361">
        <w:t xml:space="preserve">in relation to </w:t>
      </w:r>
      <w:r>
        <w:t xml:space="preserve">the 2005 Bill </w:t>
      </w:r>
      <w:r w:rsidR="00E92361">
        <w:t xml:space="preserve">that </w:t>
      </w:r>
      <w:r w:rsidR="00FC77F7">
        <w:t>introdu</w:t>
      </w:r>
      <w:r w:rsidR="00E92361">
        <w:t>ced</w:t>
      </w:r>
      <w:r w:rsidR="00FC77F7">
        <w:t xml:space="preserve"> </w:t>
      </w:r>
      <w:r w:rsidR="00A84B0D">
        <w:t xml:space="preserve">the stop, search and seize powers in relation to terrorism, </w:t>
      </w:r>
      <w:r w:rsidR="00CD75E7">
        <w:t>control orders and preventative detention orders</w:t>
      </w:r>
      <w:r>
        <w:rPr>
          <w:rStyle w:val="EndnoteReference"/>
        </w:rPr>
        <w:endnoteReference w:id="2"/>
      </w:r>
    </w:p>
    <w:p w14:paraId="409B8B90" w14:textId="3BE52C4B" w:rsidR="0033067C" w:rsidRDefault="0033067C" w:rsidP="0033067C">
      <w:pPr>
        <w:pStyle w:val="ListNumber"/>
        <w:numPr>
          <w:ilvl w:val="0"/>
          <w:numId w:val="14"/>
        </w:numPr>
      </w:pPr>
      <w:r>
        <w:t>the 2013 COAG Review of Counter-Terrorism Legislation</w:t>
      </w:r>
      <w:r>
        <w:rPr>
          <w:rStyle w:val="EndnoteReference"/>
        </w:rPr>
        <w:endnoteReference w:id="3"/>
      </w:r>
    </w:p>
    <w:p w14:paraId="61E118BE" w14:textId="189598F3" w:rsidR="00AC19E2" w:rsidRDefault="00AC19E2" w:rsidP="0033067C">
      <w:pPr>
        <w:pStyle w:val="ListNumber"/>
        <w:numPr>
          <w:ilvl w:val="0"/>
          <w:numId w:val="14"/>
        </w:numPr>
      </w:pPr>
      <w:r>
        <w:t>the 2016 PJCIS review of the Criminal Code Amendment (High Risk Terrorist Offenders) Bill</w:t>
      </w:r>
      <w:r w:rsidR="00754B62">
        <w:t xml:space="preserve"> that introduced continuing detention orders</w:t>
      </w:r>
      <w:r w:rsidR="0076278F">
        <w:rPr>
          <w:rStyle w:val="EndnoteReference"/>
        </w:rPr>
        <w:endnoteReference w:id="4"/>
      </w:r>
    </w:p>
    <w:p w14:paraId="2A45F745" w14:textId="0A7071AC" w:rsidR="0033067C" w:rsidRDefault="0033067C" w:rsidP="0033067C">
      <w:pPr>
        <w:pStyle w:val="ListNumber"/>
        <w:numPr>
          <w:ilvl w:val="0"/>
          <w:numId w:val="14"/>
        </w:numPr>
      </w:pPr>
      <w:r>
        <w:t>the 2017 Statutory Deadline Review</w:t>
      </w:r>
      <w:r w:rsidR="00C943AF">
        <w:t>s</w:t>
      </w:r>
      <w:r>
        <w:t xml:space="preserve"> by the </w:t>
      </w:r>
      <w:r w:rsidR="007A48C1">
        <w:t>Independent National Security Legislation Monitor (</w:t>
      </w:r>
      <w:r>
        <w:t>INSLM</w:t>
      </w:r>
      <w:r w:rsidR="007A48C1">
        <w:t>)</w:t>
      </w:r>
      <w:r>
        <w:rPr>
          <w:rStyle w:val="EndnoteReference"/>
        </w:rPr>
        <w:endnoteReference w:id="5"/>
      </w:r>
    </w:p>
    <w:p w14:paraId="17B0C2B9" w14:textId="6039376E" w:rsidR="0033067C" w:rsidRDefault="0033067C" w:rsidP="00244737">
      <w:pPr>
        <w:pStyle w:val="ListNumber"/>
        <w:numPr>
          <w:ilvl w:val="0"/>
          <w:numId w:val="14"/>
        </w:numPr>
      </w:pPr>
      <w:r>
        <w:lastRenderedPageBreak/>
        <w:t>the 2018 PJCIS review</w:t>
      </w:r>
      <w:r w:rsidR="00CB6065">
        <w:t xml:space="preserve"> </w:t>
      </w:r>
      <w:r w:rsidR="00CB6065" w:rsidRPr="00CB6065">
        <w:t>of police powers, control orders and preventative detention orders</w:t>
      </w:r>
      <w:r>
        <w:t>.</w:t>
      </w:r>
      <w:r>
        <w:rPr>
          <w:rStyle w:val="EndnoteReference"/>
        </w:rPr>
        <w:endnoteReference w:id="6"/>
      </w:r>
    </w:p>
    <w:p w14:paraId="0E106DA7" w14:textId="4CA5694D" w:rsidR="003C5E42" w:rsidRPr="00E23043" w:rsidRDefault="003C5E42" w:rsidP="003C5E42">
      <w:pPr>
        <w:pStyle w:val="ListNumber2"/>
        <w:tabs>
          <w:tab w:val="clear" w:pos="643"/>
          <w:tab w:val="num" w:pos="1080"/>
        </w:tabs>
        <w:ind w:left="1080" w:hanging="797"/>
      </w:pPr>
      <w:r>
        <w:t>The Commission welcomes the opportunity to make a submission to this review.</w:t>
      </w:r>
    </w:p>
    <w:p w14:paraId="3C1022FF" w14:textId="77777777" w:rsidR="00077565" w:rsidRDefault="00077565" w:rsidP="001C04F6">
      <w:pPr>
        <w:pStyle w:val="Heading1"/>
      </w:pPr>
      <w:bookmarkStart w:id="7" w:name="_Toc525894100"/>
      <w:bookmarkStart w:id="8" w:name="_Toc50633810"/>
      <w:r>
        <w:t>Summary</w:t>
      </w:r>
      <w:bookmarkEnd w:id="8"/>
    </w:p>
    <w:p w14:paraId="714DA2BE" w14:textId="1A2888CD" w:rsidR="00C00130" w:rsidRDefault="00C00130" w:rsidP="003E74AE">
      <w:pPr>
        <w:pStyle w:val="ListNumber2"/>
        <w:tabs>
          <w:tab w:val="clear" w:pos="643"/>
          <w:tab w:val="num" w:pos="1080"/>
        </w:tabs>
        <w:ind w:left="1080" w:hanging="797"/>
      </w:pPr>
      <w:r>
        <w:t xml:space="preserve">Ensuring community safety is one of the most important tasks of government. </w:t>
      </w:r>
      <w:r w:rsidR="00276250">
        <w:t xml:space="preserve"> </w:t>
      </w:r>
      <w:r>
        <w:t>Taking steps to prevent the commission of terrorist acts</w:t>
      </w:r>
      <w:r w:rsidR="00EC7DBB">
        <w:t>,</w:t>
      </w:r>
      <w:r>
        <w:t xml:space="preserve"> </w:t>
      </w:r>
      <w:r w:rsidR="008E0F06">
        <w:t xml:space="preserve">and to prosecute </w:t>
      </w:r>
      <w:r w:rsidR="00E7621E">
        <w:t>those responsible for committing terrorist acts</w:t>
      </w:r>
      <w:r w:rsidR="00EC7DBB">
        <w:t>,</w:t>
      </w:r>
      <w:r w:rsidR="00E7621E">
        <w:t xml:space="preserve"> </w:t>
      </w:r>
      <w:r>
        <w:t>promotes the human rights of members of the Australian community</w:t>
      </w:r>
      <w:r w:rsidRPr="003E74AE">
        <w:rPr>
          <w:sz w:val="20"/>
          <w:szCs w:val="20"/>
          <w:vertAlign w:val="superscript"/>
        </w:rPr>
        <w:endnoteReference w:id="7"/>
      </w:r>
      <w:r>
        <w:t xml:space="preserve"> and is an obligation on Australia under international law.</w:t>
      </w:r>
      <w:r w:rsidRPr="003E74AE">
        <w:rPr>
          <w:sz w:val="20"/>
          <w:szCs w:val="20"/>
          <w:vertAlign w:val="superscript"/>
        </w:rPr>
        <w:endnoteReference w:id="8"/>
      </w:r>
    </w:p>
    <w:p w14:paraId="4A695639" w14:textId="562BA465" w:rsidR="00C00130" w:rsidRDefault="009435D9" w:rsidP="003E74AE">
      <w:pPr>
        <w:pStyle w:val="ListNumber2"/>
        <w:tabs>
          <w:tab w:val="clear" w:pos="643"/>
          <w:tab w:val="num" w:pos="1080"/>
        </w:tabs>
        <w:ind w:left="1080" w:hanging="797"/>
      </w:pPr>
      <w:r>
        <w:t>International law also require</w:t>
      </w:r>
      <w:r w:rsidR="00894726">
        <w:t>s</w:t>
      </w:r>
      <w:r>
        <w:t xml:space="preserve"> </w:t>
      </w:r>
      <w:r w:rsidR="00C00130">
        <w:t>that the steps taken to prevent the commission of terrorist acts are themselves consistent with human rights.</w:t>
      </w:r>
      <w:r w:rsidR="00C00130" w:rsidRPr="003E74AE">
        <w:rPr>
          <w:sz w:val="20"/>
          <w:szCs w:val="20"/>
          <w:vertAlign w:val="superscript"/>
        </w:rPr>
        <w:endnoteReference w:id="9"/>
      </w:r>
      <w:r w:rsidR="00C00130">
        <w:t xml:space="preserve"> </w:t>
      </w:r>
      <w:r w:rsidR="00276250">
        <w:t xml:space="preserve"> </w:t>
      </w:r>
      <w:r w:rsidR="00C00130">
        <w:t>As the UN General Assembly has said:</w:t>
      </w:r>
    </w:p>
    <w:p w14:paraId="461DA4A5" w14:textId="78765BB0" w:rsidR="00C00130" w:rsidRPr="00D17853" w:rsidRDefault="00C00130" w:rsidP="00C00130">
      <w:pPr>
        <w:pStyle w:val="SubmissionNormal"/>
        <w:numPr>
          <w:ilvl w:val="0"/>
          <w:numId w:val="0"/>
        </w:numPr>
        <w:ind w:left="1440"/>
        <w:rPr>
          <w:sz w:val="22"/>
        </w:rPr>
      </w:pPr>
      <w:r>
        <w:rPr>
          <w:sz w:val="22"/>
        </w:rPr>
        <w:t>[</w:t>
      </w:r>
      <w:r w:rsidRPr="00D17853">
        <w:rPr>
          <w:sz w:val="22"/>
        </w:rPr>
        <w:t>T</w:t>
      </w:r>
      <w:r>
        <w:rPr>
          <w:sz w:val="22"/>
        </w:rPr>
        <w:t>]</w:t>
      </w:r>
      <w:r w:rsidRPr="00D17853">
        <w:rPr>
          <w:sz w:val="22"/>
        </w:rPr>
        <w:t xml:space="preserve">he promotion and protection of human rights for all and the rule of law is essential to all components of the [United Nations Global Counter-Terrorism] Strategy, recognizing that effective counter-terrorism measures and the </w:t>
      </w:r>
      <w:r>
        <w:rPr>
          <w:sz w:val="22"/>
        </w:rPr>
        <w:t>protection</w:t>
      </w:r>
      <w:r w:rsidRPr="00D17853">
        <w:rPr>
          <w:sz w:val="22"/>
        </w:rPr>
        <w:t xml:space="preserve"> of human rights are not conflicting goals, but complementary and mutually reinforcing.</w:t>
      </w:r>
      <w:r>
        <w:rPr>
          <w:rStyle w:val="EndnoteReference"/>
        </w:rPr>
        <w:endnoteReference w:id="10"/>
      </w:r>
    </w:p>
    <w:p w14:paraId="78A82926" w14:textId="586264AE" w:rsidR="00EB6156" w:rsidRDefault="00174A54" w:rsidP="003E74AE">
      <w:pPr>
        <w:pStyle w:val="ListNumber2"/>
        <w:tabs>
          <w:tab w:val="clear" w:pos="643"/>
          <w:tab w:val="num" w:pos="1080"/>
        </w:tabs>
        <w:ind w:left="1080" w:hanging="797"/>
      </w:pPr>
      <w:r>
        <w:t>When asses</w:t>
      </w:r>
      <w:r w:rsidR="009A0A81">
        <w:t xml:space="preserve">sing the impact of powers given to law enforcement </w:t>
      </w:r>
      <w:r w:rsidR="000D324A">
        <w:t xml:space="preserve">agencies </w:t>
      </w:r>
      <w:r w:rsidR="009A0A81">
        <w:t>to prevent terrorist acts, t</w:t>
      </w:r>
      <w:r w:rsidR="00EB6156">
        <w:t xml:space="preserve">he rights of two groups of people are particularly relevant: first, people who are at risk of being victims of terrorist attacks; secondly, people who are accused of involvement in terrorist acts or who are otherwise </w:t>
      </w:r>
      <w:r w:rsidR="005452F3">
        <w:t xml:space="preserve">affected by </w:t>
      </w:r>
      <w:r w:rsidR="00EB6156">
        <w:t>its prevention or investigation.</w:t>
      </w:r>
      <w:r w:rsidR="00EB6156" w:rsidRPr="003E74AE">
        <w:rPr>
          <w:sz w:val="20"/>
          <w:szCs w:val="20"/>
          <w:vertAlign w:val="superscript"/>
        </w:rPr>
        <w:endnoteReference w:id="11"/>
      </w:r>
      <w:r w:rsidR="00EB6156">
        <w:t xml:space="preserve"> </w:t>
      </w:r>
    </w:p>
    <w:p w14:paraId="663F864C" w14:textId="36B8CEAF" w:rsidR="00EB6156" w:rsidRDefault="00EB6156" w:rsidP="003E74AE">
      <w:pPr>
        <w:pStyle w:val="ListNumber2"/>
        <w:tabs>
          <w:tab w:val="clear" w:pos="643"/>
          <w:tab w:val="num" w:pos="1080"/>
        </w:tabs>
        <w:ind w:left="1080" w:hanging="797"/>
      </w:pPr>
      <w:r>
        <w:t xml:space="preserve">In terms of the first group, the </w:t>
      </w:r>
      <w:r w:rsidR="00E60CB7">
        <w:t xml:space="preserve">most important of the </w:t>
      </w:r>
      <w:r>
        <w:t xml:space="preserve">human rights </w:t>
      </w:r>
      <w:r w:rsidR="00E60CB7">
        <w:t>sought to be protected are</w:t>
      </w:r>
      <w:r>
        <w:t xml:space="preserve"> the right to life (article 6(1) of the </w:t>
      </w:r>
      <w:r w:rsidR="00EB3BD8" w:rsidRPr="00BF1A38">
        <w:rPr>
          <w:i/>
          <w:iCs/>
        </w:rPr>
        <w:t>International Covenant on Civil and Political Rights</w:t>
      </w:r>
      <w:r w:rsidR="005276CD">
        <w:t xml:space="preserve"> (ICCPR)</w:t>
      </w:r>
      <w:r>
        <w:t>)</w:t>
      </w:r>
      <w:r w:rsidR="003D7A0C">
        <w:rPr>
          <w:rStyle w:val="EndnoteReference"/>
        </w:rPr>
        <w:endnoteReference w:id="12"/>
      </w:r>
      <w:r>
        <w:t xml:space="preserve"> and the right to liberty and security of the person (article 9(1) of the ICCPR) </w:t>
      </w:r>
      <w:r w:rsidR="000D324A">
        <w:t>including</w:t>
      </w:r>
      <w:r>
        <w:t xml:space="preserve"> the right to bodily integrity. </w:t>
      </w:r>
      <w:r w:rsidR="00633900">
        <w:t xml:space="preserve"> </w:t>
      </w:r>
      <w:r w:rsidR="006E3DBA">
        <w:t>We must</w:t>
      </w:r>
      <w:r w:rsidR="00633900">
        <w:t xml:space="preserve"> have comp</w:t>
      </w:r>
      <w:r w:rsidR="004B6807">
        <w:t xml:space="preserve">rehensive and effective measures in place in order to </w:t>
      </w:r>
      <w:r w:rsidR="00FE6910">
        <w:t>protect</w:t>
      </w:r>
      <w:r w:rsidR="004B6807">
        <w:t xml:space="preserve"> the </w:t>
      </w:r>
      <w:r w:rsidR="00FE6910">
        <w:t xml:space="preserve">lives of </w:t>
      </w:r>
      <w:r w:rsidR="00812329">
        <w:t xml:space="preserve">all </w:t>
      </w:r>
      <w:r w:rsidR="00FE6910">
        <w:t>those who live in Australia from the threat of terrorism.</w:t>
      </w:r>
      <w:r w:rsidR="000D0371">
        <w:t xml:space="preserve">  </w:t>
      </w:r>
    </w:p>
    <w:p w14:paraId="6145C427" w14:textId="32632707" w:rsidR="0066708B" w:rsidRPr="0066708B" w:rsidRDefault="0066708B" w:rsidP="0066708B">
      <w:pPr>
        <w:pStyle w:val="ListNumber2"/>
        <w:tabs>
          <w:tab w:val="clear" w:pos="643"/>
          <w:tab w:val="num" w:pos="1080"/>
        </w:tabs>
        <w:ind w:left="1080" w:hanging="797"/>
      </w:pPr>
      <w:r>
        <w:t xml:space="preserve">Because terrorism is ideologically </w:t>
      </w:r>
      <w:r w:rsidR="005452F3">
        <w:t xml:space="preserve">or </w:t>
      </w:r>
      <w:r>
        <w:t>politically motivated</w:t>
      </w:r>
      <w:r w:rsidR="00664946">
        <w:t>, a</w:t>
      </w:r>
      <w:r>
        <w:t xml:space="preserve">n essential strategy in countering the extremism that breeds terrorism is to win ‘the contest of ideas’ by rigorously defending the basic human rights </w:t>
      </w:r>
      <w:r>
        <w:lastRenderedPageBreak/>
        <w:t>and freedoms which form ‘the bedrock of dignity and democracy that make our societies worth protecting’.</w:t>
      </w:r>
      <w:r w:rsidR="00BF2061">
        <w:rPr>
          <w:rStyle w:val="EndnoteReference"/>
        </w:rPr>
        <w:endnoteReference w:id="13"/>
      </w:r>
      <w:r w:rsidRPr="0066708B">
        <w:t xml:space="preserve"> </w:t>
      </w:r>
    </w:p>
    <w:p w14:paraId="4C82EB67" w14:textId="45348D65" w:rsidR="0066708B" w:rsidRDefault="0066708B" w:rsidP="0066708B">
      <w:pPr>
        <w:pStyle w:val="ListNumber2"/>
        <w:tabs>
          <w:tab w:val="clear" w:pos="643"/>
          <w:tab w:val="num" w:pos="1080"/>
        </w:tabs>
        <w:ind w:left="1080" w:hanging="797"/>
      </w:pPr>
      <w:r>
        <w:t xml:space="preserve">Winning the contest of ideas becomes </w:t>
      </w:r>
      <w:r w:rsidR="00997313">
        <w:t>much</w:t>
      </w:r>
      <w:r>
        <w:t xml:space="preserve"> more difficult if </w:t>
      </w:r>
      <w:r w:rsidR="0067409B">
        <w:t xml:space="preserve">counter-terrorism laws, or the way that they are used, </w:t>
      </w:r>
      <w:r>
        <w:t>undermine basic human rights standards.</w:t>
      </w:r>
      <w:r w:rsidR="009812C0">
        <w:t xml:space="preserve">  </w:t>
      </w:r>
      <w:r w:rsidR="00BF6C91">
        <w:t xml:space="preserve">That is one reason why </w:t>
      </w:r>
      <w:r w:rsidR="002E6231">
        <w:t>i</w:t>
      </w:r>
      <w:r w:rsidR="009812C0">
        <w:t xml:space="preserve">t is necessary that the human rights of those in the </w:t>
      </w:r>
      <w:r w:rsidR="00BF6C91">
        <w:t>second group are also safeguarded.</w:t>
      </w:r>
    </w:p>
    <w:p w14:paraId="055DE82F" w14:textId="1A12B83D" w:rsidR="00C93374" w:rsidRDefault="002E6231" w:rsidP="0066708B">
      <w:pPr>
        <w:pStyle w:val="ListNumber2"/>
        <w:tabs>
          <w:tab w:val="clear" w:pos="643"/>
          <w:tab w:val="num" w:pos="1080"/>
        </w:tabs>
        <w:ind w:left="1080" w:hanging="797"/>
      </w:pPr>
      <w:r>
        <w:t xml:space="preserve">But </w:t>
      </w:r>
      <w:r w:rsidR="006A22A1">
        <w:t xml:space="preserve">we </w:t>
      </w:r>
      <w:r w:rsidR="00D51254">
        <w:t xml:space="preserve">must </w:t>
      </w:r>
      <w:r w:rsidR="006A22A1">
        <w:t xml:space="preserve">protect </w:t>
      </w:r>
      <w:r>
        <w:t xml:space="preserve">the human rights of people who are accused </w:t>
      </w:r>
      <w:r w:rsidR="004F63BE">
        <w:t xml:space="preserve">or suspected </w:t>
      </w:r>
      <w:r>
        <w:t>of involvement in terrorist acts</w:t>
      </w:r>
      <w:r w:rsidR="006A22A1">
        <w:t xml:space="preserve">, not merely to </w:t>
      </w:r>
      <w:r w:rsidR="00267A4C">
        <w:t xml:space="preserve">demonstrate </w:t>
      </w:r>
      <w:r w:rsidR="000D324A">
        <w:t xml:space="preserve">to others </w:t>
      </w:r>
      <w:r w:rsidR="0076398A">
        <w:t xml:space="preserve">the strength of </w:t>
      </w:r>
      <w:r w:rsidR="00267A4C">
        <w:t>our values</w:t>
      </w:r>
      <w:r w:rsidR="00C4626A">
        <w:t>,</w:t>
      </w:r>
      <w:r w:rsidR="00267A4C">
        <w:t xml:space="preserve"> but </w:t>
      </w:r>
      <w:r w:rsidR="00141033">
        <w:t xml:space="preserve">because </w:t>
      </w:r>
      <w:r w:rsidR="00D51254">
        <w:t xml:space="preserve">we </w:t>
      </w:r>
      <w:r w:rsidR="00E614EE">
        <w:t xml:space="preserve">recognise </w:t>
      </w:r>
      <w:r w:rsidR="00D51254">
        <w:t xml:space="preserve">those values </w:t>
      </w:r>
      <w:r w:rsidR="00E614EE">
        <w:t>as</w:t>
      </w:r>
      <w:r w:rsidR="00D51254">
        <w:t xml:space="preserve"> intrinsically important</w:t>
      </w:r>
      <w:r w:rsidR="000F4A31">
        <w:t xml:space="preserve"> in a ‘free and confident society</w:t>
      </w:r>
      <w:r w:rsidR="00DB13C1">
        <w:t>’</w:t>
      </w:r>
      <w:r w:rsidR="00D51254">
        <w:t>.</w:t>
      </w:r>
      <w:r w:rsidR="00DB13C1">
        <w:rPr>
          <w:rStyle w:val="EndnoteReference"/>
        </w:rPr>
        <w:endnoteReference w:id="14"/>
      </w:r>
      <w:r w:rsidR="00D51254">
        <w:t xml:space="preserve"> </w:t>
      </w:r>
    </w:p>
    <w:p w14:paraId="243F8C9C" w14:textId="4746BC5D" w:rsidR="00E90517" w:rsidRDefault="00E90517" w:rsidP="00E90517">
      <w:pPr>
        <w:pStyle w:val="ListNumber2"/>
        <w:tabs>
          <w:tab w:val="clear" w:pos="643"/>
          <w:tab w:val="num" w:pos="1080"/>
        </w:tabs>
        <w:ind w:left="1080" w:hanging="797"/>
      </w:pPr>
      <w:r>
        <w:t xml:space="preserve">The </w:t>
      </w:r>
      <w:r w:rsidR="00337DE4">
        <w:t xml:space="preserve">Australian Government has assessed that the </w:t>
      </w:r>
      <w:r>
        <w:t xml:space="preserve">primary terrorist threat </w:t>
      </w:r>
      <w:r w:rsidR="00437855">
        <w:t xml:space="preserve">in Australia </w:t>
      </w:r>
      <w:r w:rsidR="00734056">
        <w:t xml:space="preserve">currently </w:t>
      </w:r>
      <w:r>
        <w:t xml:space="preserve">comes from people motivated by </w:t>
      </w:r>
      <w:r w:rsidRPr="00A41A55">
        <w:t>Islamist extremist ideolog</w:t>
      </w:r>
      <w:r>
        <w:t>y.</w:t>
      </w:r>
      <w:r>
        <w:rPr>
          <w:rStyle w:val="EndnoteReference"/>
        </w:rPr>
        <w:endnoteReference w:id="15"/>
      </w:r>
      <w:r>
        <w:t xml:space="preserve">  This threat was heightened in September 2014 by a number of factors including </w:t>
      </w:r>
      <w:r w:rsidR="00304C84">
        <w:t xml:space="preserve">the return to Australia of </w:t>
      </w:r>
      <w:r w:rsidR="005A1532">
        <w:t xml:space="preserve">people </w:t>
      </w:r>
      <w:r w:rsidR="00D149B4">
        <w:t xml:space="preserve">who had been fighting </w:t>
      </w:r>
      <w:r w:rsidR="00C57A07">
        <w:t xml:space="preserve">in </w:t>
      </w:r>
      <w:r w:rsidR="00304C84" w:rsidRPr="00304C84">
        <w:t>Syria and Iraq</w:t>
      </w:r>
      <w:r w:rsidR="00D149B4">
        <w:t>,</w:t>
      </w:r>
      <w:r w:rsidR="00AD19DA">
        <w:rPr>
          <w:rStyle w:val="EndnoteReference"/>
        </w:rPr>
        <w:endnoteReference w:id="16"/>
      </w:r>
      <w:r w:rsidR="00D149B4">
        <w:t xml:space="preserve"> and </w:t>
      </w:r>
      <w:r w:rsidR="00B50B22">
        <w:t xml:space="preserve">the call by </w:t>
      </w:r>
      <w:r w:rsidR="00D91F8F">
        <w:t xml:space="preserve">the </w:t>
      </w:r>
      <w:r w:rsidR="00964810">
        <w:t xml:space="preserve">terrorist organisation </w:t>
      </w:r>
      <w:r w:rsidR="00B50B22">
        <w:t>Islamic State for a war against the West.</w:t>
      </w:r>
      <w:r w:rsidR="00B50B22">
        <w:rPr>
          <w:rStyle w:val="EndnoteReference"/>
        </w:rPr>
        <w:endnoteReference w:id="17"/>
      </w:r>
    </w:p>
    <w:p w14:paraId="2DA84ED8" w14:textId="57717EE0" w:rsidR="00CC03FA" w:rsidRDefault="00FF2EEB" w:rsidP="00E90517">
      <w:pPr>
        <w:pStyle w:val="ListNumber2"/>
        <w:tabs>
          <w:tab w:val="clear" w:pos="643"/>
          <w:tab w:val="num" w:pos="1080"/>
        </w:tabs>
        <w:ind w:left="1080" w:hanging="797"/>
      </w:pPr>
      <w:r>
        <w:t xml:space="preserve">The risks are particularly acute for </w:t>
      </w:r>
      <w:r w:rsidR="0090762F">
        <w:t>Australian Federal Police (AFP)</w:t>
      </w:r>
      <w:r w:rsidR="00B269C4">
        <w:t xml:space="preserve"> members</w:t>
      </w:r>
      <w:r w:rsidR="0090762F">
        <w:t xml:space="preserve"> and other police and intelligence officers </w:t>
      </w:r>
      <w:r w:rsidR="007D5B5A">
        <w:t xml:space="preserve">who are charged </w:t>
      </w:r>
      <w:r w:rsidR="00AA2AB7">
        <w:t xml:space="preserve">with the dangerous task of </w:t>
      </w:r>
      <w:r w:rsidR="00DF1364">
        <w:t xml:space="preserve">investigating </w:t>
      </w:r>
      <w:r w:rsidR="00AA2AB7">
        <w:t xml:space="preserve">these acts.  </w:t>
      </w:r>
      <w:r w:rsidR="00B41B12">
        <w:t xml:space="preserve">In 2014, two </w:t>
      </w:r>
      <w:r w:rsidR="004D3646">
        <w:t xml:space="preserve">Victorian police </w:t>
      </w:r>
      <w:r w:rsidR="00B41B12">
        <w:t>officers were stabbed in a</w:t>
      </w:r>
      <w:r w:rsidR="003B5CB0">
        <w:t xml:space="preserve">n ideologically </w:t>
      </w:r>
      <w:r w:rsidR="004D3646">
        <w:t xml:space="preserve">motivated attack.  In </w:t>
      </w:r>
      <w:r w:rsidR="008A1C3E">
        <w:t xml:space="preserve">a separate attack in </w:t>
      </w:r>
      <w:r w:rsidR="004D3646">
        <w:t xml:space="preserve">2015, </w:t>
      </w:r>
      <w:r w:rsidR="00B45E2B">
        <w:t>Mr Curtis Cheng, an employee of the New South Wales police force, was shot and killed</w:t>
      </w:r>
      <w:r w:rsidR="00251F28">
        <w:t>.</w:t>
      </w:r>
    </w:p>
    <w:p w14:paraId="5468EF1A" w14:textId="30E8B49A" w:rsidR="00AF1B98" w:rsidRDefault="00C64AE1" w:rsidP="0066708B">
      <w:pPr>
        <w:pStyle w:val="ListNumber2"/>
        <w:tabs>
          <w:tab w:val="clear" w:pos="643"/>
          <w:tab w:val="num" w:pos="1080"/>
        </w:tabs>
        <w:ind w:left="1080" w:hanging="797"/>
      </w:pPr>
      <w:r>
        <w:t xml:space="preserve">Australia’s federal, </w:t>
      </w:r>
      <w:r w:rsidR="001D6673">
        <w:t>S</w:t>
      </w:r>
      <w:r>
        <w:t xml:space="preserve">tate and </w:t>
      </w:r>
      <w:r w:rsidR="001D6673">
        <w:t>T</w:t>
      </w:r>
      <w:r>
        <w:t>erritory government</w:t>
      </w:r>
      <w:r w:rsidR="001D6673">
        <w:t>s</w:t>
      </w:r>
      <w:r>
        <w:t xml:space="preserve"> have multi</w:t>
      </w:r>
      <w:r w:rsidR="000D324A">
        <w:t>-</w:t>
      </w:r>
      <w:r>
        <w:t>layered strategies to combat</w:t>
      </w:r>
      <w:r w:rsidR="00797FF5">
        <w:t xml:space="preserve"> </w:t>
      </w:r>
      <w:r w:rsidR="00AF1B98">
        <w:t>terrorism</w:t>
      </w:r>
      <w:r w:rsidR="00797FF5">
        <w:t>.</w:t>
      </w:r>
      <w:r w:rsidR="00AF1B98">
        <w:t xml:space="preserve"> </w:t>
      </w:r>
      <w:r w:rsidR="008D5D48">
        <w:t xml:space="preserve"> </w:t>
      </w:r>
      <w:r w:rsidR="00797FF5">
        <w:t>A critical too</w:t>
      </w:r>
      <w:r w:rsidR="008D5D48">
        <w:t>l</w:t>
      </w:r>
      <w:r w:rsidR="00797FF5">
        <w:t xml:space="preserve"> in those strategies is </w:t>
      </w:r>
      <w:r w:rsidR="00523263">
        <w:t xml:space="preserve">the </w:t>
      </w:r>
      <w:r w:rsidR="0063614D">
        <w:t xml:space="preserve">investigation of those suspected of </w:t>
      </w:r>
      <w:r w:rsidR="003E13AA">
        <w:t xml:space="preserve">planning terrorist acts, followed by </w:t>
      </w:r>
      <w:r w:rsidR="00C47181">
        <w:t xml:space="preserve">their </w:t>
      </w:r>
      <w:r w:rsidR="00523263">
        <w:t xml:space="preserve">arrest and prosecution </w:t>
      </w:r>
      <w:r w:rsidR="003E13AA">
        <w:t xml:space="preserve">where </w:t>
      </w:r>
      <w:r w:rsidR="000C6423">
        <w:t xml:space="preserve">the investigation reveals evidence that an offence has been committed. </w:t>
      </w:r>
    </w:p>
    <w:p w14:paraId="6DCB5F01" w14:textId="4AD1A5B3" w:rsidR="000C6423" w:rsidRDefault="00A47CB5" w:rsidP="0066708B">
      <w:pPr>
        <w:pStyle w:val="ListNumber2"/>
        <w:tabs>
          <w:tab w:val="clear" w:pos="643"/>
          <w:tab w:val="num" w:pos="1080"/>
        </w:tabs>
        <w:ind w:left="1080" w:hanging="797"/>
      </w:pPr>
      <w:r>
        <w:t>S</w:t>
      </w:r>
      <w:r w:rsidR="0096269D">
        <w:t xml:space="preserve">ince </w:t>
      </w:r>
      <w:r w:rsidR="00E020DC">
        <w:t xml:space="preserve">the </w:t>
      </w:r>
      <w:r w:rsidR="003C5E42">
        <w:t>significant</w:t>
      </w:r>
      <w:r w:rsidR="00EE141D">
        <w:t xml:space="preserve"> </w:t>
      </w:r>
      <w:r w:rsidR="00E020DC">
        <w:t xml:space="preserve">counter-terrorism raids </w:t>
      </w:r>
      <w:r w:rsidR="004F27C7">
        <w:t xml:space="preserve">conducted </w:t>
      </w:r>
      <w:r w:rsidR="00E020DC">
        <w:t xml:space="preserve">in Sydney and Brisbane in September 2014, </w:t>
      </w:r>
      <w:r>
        <w:t>110</w:t>
      </w:r>
      <w:r w:rsidR="00FA4EC9">
        <w:t xml:space="preserve"> people </w:t>
      </w:r>
      <w:r w:rsidR="00EE0F19">
        <w:t xml:space="preserve">have been </w:t>
      </w:r>
      <w:r w:rsidR="00FA4EC9">
        <w:t xml:space="preserve">charged as a result of </w:t>
      </w:r>
      <w:r w:rsidR="00E761F5">
        <w:t>51</w:t>
      </w:r>
      <w:r w:rsidR="00FA4EC9">
        <w:t xml:space="preserve"> counter</w:t>
      </w:r>
      <w:r w:rsidR="00A41791">
        <w:t>-</w:t>
      </w:r>
      <w:r w:rsidR="00FA4EC9">
        <w:t>terrorism</w:t>
      </w:r>
      <w:r w:rsidR="00A41791">
        <w:t xml:space="preserve"> </w:t>
      </w:r>
      <w:r w:rsidR="00FA4EC9">
        <w:t>related operations across the country.</w:t>
      </w:r>
      <w:r w:rsidR="00FA4EC9">
        <w:rPr>
          <w:rStyle w:val="EndnoteReference"/>
        </w:rPr>
        <w:endnoteReference w:id="18"/>
      </w:r>
    </w:p>
    <w:p w14:paraId="19F8D100" w14:textId="5BB94D13" w:rsidR="003C5E42" w:rsidRDefault="008A1597" w:rsidP="0066708B">
      <w:pPr>
        <w:pStyle w:val="ListNumber2"/>
        <w:tabs>
          <w:tab w:val="clear" w:pos="643"/>
          <w:tab w:val="num" w:pos="1080"/>
        </w:tabs>
        <w:ind w:left="1080" w:hanging="797"/>
      </w:pPr>
      <w:r>
        <w:t>There are two significant differences between</w:t>
      </w:r>
      <w:r w:rsidR="00035BE8">
        <w:t xml:space="preserve"> the investigation and prosecution of</w:t>
      </w:r>
      <w:r>
        <w:t xml:space="preserve"> terrorism offences</w:t>
      </w:r>
      <w:r w:rsidR="00280915">
        <w:t xml:space="preserve"> on the one hand,</w:t>
      </w:r>
      <w:r>
        <w:t xml:space="preserve"> and other criminal law offences</w:t>
      </w:r>
      <w:r w:rsidR="00025FDB">
        <w:t xml:space="preserve"> on the other</w:t>
      </w:r>
      <w:r w:rsidR="00280915">
        <w:t xml:space="preserve">, </w:t>
      </w:r>
      <w:r>
        <w:t xml:space="preserve">which give the police the ability to intervene </w:t>
      </w:r>
      <w:r w:rsidR="003D392D">
        <w:t>at an earl</w:t>
      </w:r>
      <w:r w:rsidR="00E77D9D">
        <w:t>ier</w:t>
      </w:r>
      <w:r w:rsidR="003D392D">
        <w:t xml:space="preserve"> point in time and prevent terrorist acts before they take place.  The first difference is the inclusion in</w:t>
      </w:r>
      <w:r w:rsidR="00973BAC">
        <w:t xml:space="preserve"> </w:t>
      </w:r>
      <w:r w:rsidR="003D392D">
        <w:t xml:space="preserve">the Criminal Code of </w:t>
      </w:r>
      <w:r w:rsidR="00CD5125">
        <w:t xml:space="preserve">a </w:t>
      </w:r>
      <w:r w:rsidR="00CD5125">
        <w:lastRenderedPageBreak/>
        <w:t>broad</w:t>
      </w:r>
      <w:r w:rsidR="00AE3391">
        <w:t>er</w:t>
      </w:r>
      <w:r w:rsidR="00CD5125">
        <w:t xml:space="preserve"> range of inchoate, or preparatory</w:t>
      </w:r>
      <w:r w:rsidR="00025FDB">
        <w:t>,</w:t>
      </w:r>
      <w:r w:rsidR="00CD5125">
        <w:t xml:space="preserve"> offences</w:t>
      </w:r>
      <w:r w:rsidR="00025FDB">
        <w:t xml:space="preserve"> relating to terrorist acts.  </w:t>
      </w:r>
      <w:r w:rsidR="0003142B">
        <w:t xml:space="preserve">One of the most commonly </w:t>
      </w:r>
      <w:r w:rsidR="0093363E">
        <w:t xml:space="preserve">prosecuted </w:t>
      </w:r>
      <w:r w:rsidR="00E80EF9">
        <w:t xml:space="preserve">terrorism </w:t>
      </w:r>
      <w:r w:rsidR="001B04E0">
        <w:t xml:space="preserve">offences </w:t>
      </w:r>
      <w:r w:rsidR="0093363E">
        <w:t>is a conspiracy to do an act in preparation for a terrorist act.</w:t>
      </w:r>
      <w:r w:rsidR="001B04E0">
        <w:rPr>
          <w:rStyle w:val="EndnoteReference"/>
        </w:rPr>
        <w:endnoteReference w:id="19"/>
      </w:r>
      <w:r w:rsidR="001B04E0">
        <w:t xml:space="preserve">  </w:t>
      </w:r>
      <w:r w:rsidR="00280995">
        <w:t>Some acts</w:t>
      </w:r>
      <w:r w:rsidR="000D324A">
        <w:t>,</w:t>
      </w:r>
      <w:r w:rsidR="00280995">
        <w:t xml:space="preserve"> </w:t>
      </w:r>
      <w:r w:rsidR="000D324A">
        <w:t xml:space="preserve">occurring </w:t>
      </w:r>
      <w:r w:rsidR="0052077A">
        <w:t xml:space="preserve">at an </w:t>
      </w:r>
      <w:r w:rsidR="00280995">
        <w:t xml:space="preserve">even earlier </w:t>
      </w:r>
      <w:r w:rsidR="0052077A">
        <w:t xml:space="preserve">stage, before any intention to engage in an act of terrorism, have also been criminalised.  </w:t>
      </w:r>
      <w:r w:rsidR="009B39B8">
        <w:t xml:space="preserve">The High Court has </w:t>
      </w:r>
      <w:r w:rsidR="009B39B8" w:rsidRPr="004E407E">
        <w:t>recently heard</w:t>
      </w:r>
      <w:r w:rsidR="009B39B8">
        <w:t xml:space="preserve"> a</w:t>
      </w:r>
      <w:r w:rsidR="00CB4F18">
        <w:t>n appeal dealing with the offence of taking an intentional step to become a member of a terrorist organisation.</w:t>
      </w:r>
      <w:r w:rsidR="005967EA">
        <w:rPr>
          <w:rStyle w:val="EndnoteReference"/>
        </w:rPr>
        <w:endnoteReference w:id="20"/>
      </w:r>
      <w:r w:rsidR="00CB4F18">
        <w:t xml:space="preserve"> </w:t>
      </w:r>
    </w:p>
    <w:p w14:paraId="22F4C1C8" w14:textId="622ECA38" w:rsidR="00AE3391" w:rsidRDefault="00AE3391" w:rsidP="0066708B">
      <w:pPr>
        <w:pStyle w:val="ListNumber2"/>
        <w:tabs>
          <w:tab w:val="clear" w:pos="643"/>
          <w:tab w:val="num" w:pos="1080"/>
        </w:tabs>
        <w:ind w:left="1080" w:hanging="797"/>
      </w:pPr>
      <w:r>
        <w:t xml:space="preserve">The second difference relates to the threshold </w:t>
      </w:r>
      <w:r w:rsidR="008147D3">
        <w:t xml:space="preserve">for arrest.  Since 2014, police have had the ability to arrest a person </w:t>
      </w:r>
      <w:r w:rsidR="00BD6CA2">
        <w:t xml:space="preserve">without a warrant </w:t>
      </w:r>
      <w:r w:rsidR="008147D3">
        <w:t xml:space="preserve">in relation to a terrorism offence if they </w:t>
      </w:r>
      <w:r w:rsidR="00BD6CA2">
        <w:t>‘suspect on reasonable grounds’ that the person has committed an offence (including a preparatory offence).</w:t>
      </w:r>
      <w:r w:rsidR="0017643F">
        <w:rPr>
          <w:rStyle w:val="EndnoteReference"/>
        </w:rPr>
        <w:endnoteReference w:id="21"/>
      </w:r>
      <w:r w:rsidR="00BD6CA2">
        <w:t xml:space="preserve"> </w:t>
      </w:r>
      <w:r w:rsidR="00407217">
        <w:t xml:space="preserve"> This is a lower threshold than ‘belief on reasonable grounds’ which applies to </w:t>
      </w:r>
      <w:r w:rsidR="0017643F">
        <w:t>all other Commonwealth offences.</w:t>
      </w:r>
      <w:r w:rsidR="0017643F">
        <w:rPr>
          <w:rStyle w:val="EndnoteReference"/>
        </w:rPr>
        <w:endnoteReference w:id="22"/>
      </w:r>
      <w:r w:rsidR="00973958">
        <w:t xml:space="preserve">  The reduced threshold </w:t>
      </w:r>
      <w:r w:rsidR="000006A2">
        <w:t xml:space="preserve">allows police to intervene at an earlier stage in an investigation.  </w:t>
      </w:r>
    </w:p>
    <w:p w14:paraId="3810A654" w14:textId="3B7C9301" w:rsidR="004D5489" w:rsidRDefault="004D5489" w:rsidP="0066708B">
      <w:pPr>
        <w:pStyle w:val="ListNumber2"/>
        <w:tabs>
          <w:tab w:val="clear" w:pos="643"/>
          <w:tab w:val="num" w:pos="1080"/>
        </w:tabs>
        <w:ind w:left="1080" w:hanging="797"/>
      </w:pPr>
      <w:r>
        <w:t xml:space="preserve">Other </w:t>
      </w:r>
      <w:r w:rsidR="004C7391">
        <w:t xml:space="preserve">relevant </w:t>
      </w:r>
      <w:r>
        <w:t>powers includ</w:t>
      </w:r>
      <w:r w:rsidR="004C7391">
        <w:t xml:space="preserve">e the ability under Part IC of the </w:t>
      </w:r>
      <w:r w:rsidR="004C7391" w:rsidRPr="004C7391">
        <w:rPr>
          <w:i/>
          <w:iCs/>
        </w:rPr>
        <w:t>Crimes Act 1914</w:t>
      </w:r>
      <w:r w:rsidR="004C7391">
        <w:t xml:space="preserve"> (</w:t>
      </w:r>
      <w:proofErr w:type="spellStart"/>
      <w:r w:rsidR="004C7391">
        <w:t>Cth</w:t>
      </w:r>
      <w:proofErr w:type="spellEnd"/>
      <w:r w:rsidR="004C7391">
        <w:t>) (Crimes Act) to continue to investigate and question suspects</w:t>
      </w:r>
      <w:r w:rsidR="000D324A">
        <w:t>,</w:t>
      </w:r>
      <w:r w:rsidR="004C7391">
        <w:t xml:space="preserve"> after they have been arrested</w:t>
      </w:r>
      <w:r w:rsidR="000D324A">
        <w:t>,</w:t>
      </w:r>
      <w:r w:rsidR="004C7391">
        <w:t xml:space="preserve"> for a limited period under </w:t>
      </w:r>
      <w:r w:rsidR="00D23489">
        <w:t>strict conditions</w:t>
      </w:r>
      <w:r w:rsidR="00C865C4">
        <w:t xml:space="preserve"> including judicial oversight</w:t>
      </w:r>
      <w:r w:rsidR="00D23489">
        <w:t xml:space="preserve">. </w:t>
      </w:r>
    </w:p>
    <w:p w14:paraId="050E5551" w14:textId="36F0FDD3" w:rsidR="00660984" w:rsidRDefault="006757DF" w:rsidP="00660984">
      <w:pPr>
        <w:pStyle w:val="ListNumber2"/>
        <w:tabs>
          <w:tab w:val="clear" w:pos="643"/>
          <w:tab w:val="num" w:pos="1080"/>
        </w:tabs>
        <w:ind w:left="1080" w:hanging="797"/>
      </w:pPr>
      <w:r>
        <w:t xml:space="preserve">These differences need to be kept in mind when evaluating </w:t>
      </w:r>
      <w:r w:rsidR="00E8147F">
        <w:t xml:space="preserve">the continued utility </w:t>
      </w:r>
      <w:r w:rsidR="008A571B">
        <w:t xml:space="preserve">and appropriateness </w:t>
      </w:r>
      <w:r w:rsidR="00E8147F">
        <w:t xml:space="preserve">of </w:t>
      </w:r>
      <w:r>
        <w:t xml:space="preserve">some of the </w:t>
      </w:r>
      <w:r w:rsidR="00A11337">
        <w:t xml:space="preserve">‘preventative’ </w:t>
      </w:r>
      <w:r>
        <w:t>powers</w:t>
      </w:r>
      <w:r w:rsidR="00A11337">
        <w:t xml:space="preserve"> introduced in 2005, particularly control orders and preventative detention orders (PDOs).</w:t>
      </w:r>
    </w:p>
    <w:p w14:paraId="56466696" w14:textId="44503CEC" w:rsidR="00660984" w:rsidRDefault="00660984" w:rsidP="00660984">
      <w:pPr>
        <w:pStyle w:val="ListNumber2"/>
        <w:tabs>
          <w:tab w:val="clear" w:pos="643"/>
          <w:tab w:val="num" w:pos="1080"/>
        </w:tabs>
        <w:ind w:left="1080" w:hanging="797"/>
      </w:pPr>
      <w:r>
        <w:t xml:space="preserve">Further, </w:t>
      </w:r>
      <w:r w:rsidR="007D290B">
        <w:t xml:space="preserve">it is important that each of the powers being considered in the present review is </w:t>
      </w:r>
      <w:r w:rsidR="00183E2F">
        <w:t>assessed on its merits.  It is not enough to justify the retention of a particular power that it is part of a ‘full suite’</w:t>
      </w:r>
      <w:r w:rsidR="009A166B">
        <w:t xml:space="preserve"> or a ‘comprehensive suite’ of powers.</w:t>
      </w:r>
      <w:r w:rsidR="0014651B">
        <w:rPr>
          <w:rStyle w:val="EndnoteReference"/>
        </w:rPr>
        <w:endnoteReference w:id="23"/>
      </w:r>
      <w:r w:rsidR="009A166B">
        <w:t xml:space="preserve">  There should be no assumption that </w:t>
      </w:r>
      <w:r w:rsidR="00DB0D09">
        <w:t>it is better to have more counter-terrorism powers</w:t>
      </w:r>
      <w:r w:rsidR="002E509C">
        <w:t>.  On the contrary</w:t>
      </w:r>
      <w:r w:rsidR="00DB0D09">
        <w:t xml:space="preserve">, </w:t>
      </w:r>
      <w:r w:rsidR="002E509C">
        <w:t xml:space="preserve">it may be better to have fewer powers </w:t>
      </w:r>
      <w:r w:rsidR="001B732C">
        <w:t xml:space="preserve">that are appropriately targeted </w:t>
      </w:r>
      <w:r w:rsidR="004366BE">
        <w:t>to the risks faced, and to remove powers that merely duplicate existing capacity but have greater potential to impact adversely on human rights</w:t>
      </w:r>
      <w:r w:rsidR="0014651B">
        <w:t xml:space="preserve">.  </w:t>
      </w:r>
      <w:r w:rsidR="00A639A5">
        <w:t>PDOs represent</w:t>
      </w:r>
      <w:r w:rsidR="0014651B">
        <w:t xml:space="preserve"> a clear example falling into this category.</w:t>
      </w:r>
    </w:p>
    <w:p w14:paraId="6EAA23C1" w14:textId="0F12D3CD" w:rsidR="00E8147F" w:rsidRDefault="000343DE" w:rsidP="0066708B">
      <w:pPr>
        <w:pStyle w:val="ListNumber2"/>
        <w:tabs>
          <w:tab w:val="clear" w:pos="643"/>
          <w:tab w:val="num" w:pos="1080"/>
        </w:tabs>
        <w:ind w:left="1080" w:hanging="797"/>
      </w:pPr>
      <w:r>
        <w:t xml:space="preserve">Section </w:t>
      </w:r>
      <w:r w:rsidR="001C1E47">
        <w:fldChar w:fldCharType="begin"/>
      </w:r>
      <w:r w:rsidR="001C1E47">
        <w:instrText xml:space="preserve"> REF _Ref49252846 \r \h </w:instrText>
      </w:r>
      <w:r w:rsidR="001C1E47">
        <w:fldChar w:fldCharType="separate"/>
      </w:r>
      <w:r w:rsidR="00381A9B">
        <w:t>5</w:t>
      </w:r>
      <w:r w:rsidR="001C1E47">
        <w:fldChar w:fldCharType="end"/>
      </w:r>
      <w:r w:rsidR="001C1E47">
        <w:t xml:space="preserve"> of this submission examines the </w:t>
      </w:r>
      <w:r w:rsidR="005B4D83">
        <w:t xml:space="preserve">additional </w:t>
      </w:r>
      <w:r w:rsidR="001C1E47">
        <w:t xml:space="preserve">stop, search and seize powers given to the AFP and other police officers </w:t>
      </w:r>
      <w:r w:rsidR="005B4D83">
        <w:t xml:space="preserve">to </w:t>
      </w:r>
      <w:r w:rsidR="00A67922">
        <w:t>investigate actual or potential terrorist acts, primarily in Commonwealth places.</w:t>
      </w:r>
      <w:r w:rsidR="00F51BEF">
        <w:t xml:space="preserve">  These powers have not been used since they were </w:t>
      </w:r>
      <w:r w:rsidR="00FC7AA7">
        <w:t>enacted in 2005.</w:t>
      </w:r>
    </w:p>
    <w:p w14:paraId="7518D794" w14:textId="77777777" w:rsidR="00317E03" w:rsidRDefault="004B168E" w:rsidP="0066708B">
      <w:pPr>
        <w:pStyle w:val="ListNumber2"/>
        <w:tabs>
          <w:tab w:val="clear" w:pos="643"/>
          <w:tab w:val="num" w:pos="1080"/>
        </w:tabs>
        <w:ind w:left="1080" w:hanging="797"/>
      </w:pPr>
      <w:r>
        <w:lastRenderedPageBreak/>
        <w:t xml:space="preserve">In the context of the current security environment, the Commission considers that it would be open to the PJCIS to find that the stop, search and seize powers </w:t>
      </w:r>
      <w:r w:rsidR="00C30F0B">
        <w:t xml:space="preserve">that are limited to Commonwealth places </w:t>
      </w:r>
      <w:r w:rsidR="00063DB5">
        <w:t xml:space="preserve">continue to be necessary and </w:t>
      </w:r>
      <w:r>
        <w:t>are consistent with Australia’s human rights obligations</w:t>
      </w:r>
      <w:r w:rsidR="000D21E1">
        <w:t xml:space="preserve">, subject to a </w:t>
      </w:r>
      <w:r w:rsidR="00C30F0B">
        <w:t xml:space="preserve">reduction in the scope of </w:t>
      </w:r>
      <w:r w:rsidR="004A0C63">
        <w:t>the duration of a declaration of a prescribed security zone</w:t>
      </w:r>
      <w:r>
        <w:t xml:space="preserve">.  </w:t>
      </w:r>
    </w:p>
    <w:p w14:paraId="7F300050" w14:textId="1A9BCF80" w:rsidR="003004D8" w:rsidRDefault="003004D8" w:rsidP="0066708B">
      <w:pPr>
        <w:pStyle w:val="ListNumber2"/>
        <w:tabs>
          <w:tab w:val="clear" w:pos="643"/>
          <w:tab w:val="num" w:pos="1080"/>
        </w:tabs>
        <w:ind w:left="1080" w:hanging="797"/>
      </w:pPr>
      <w:r>
        <w:t>The power that should be given the most scruti</w:t>
      </w:r>
      <w:r w:rsidR="00551598">
        <w:t xml:space="preserve">ny is the power </w:t>
      </w:r>
      <w:r w:rsidR="00754632">
        <w:t>in s 3UEA of the Crimes Act</w:t>
      </w:r>
      <w:r w:rsidR="00473C2E">
        <w:t>, which enables</w:t>
      </w:r>
      <w:r w:rsidR="00A6554D">
        <w:t xml:space="preserve"> warrantless entry to any premises (whether or not in a Commonwealth place)</w:t>
      </w:r>
      <w:r w:rsidR="00551598">
        <w:t xml:space="preserve"> to search for a thing </w:t>
      </w:r>
      <w:r w:rsidR="00754632">
        <w:t xml:space="preserve">that may be used in </w:t>
      </w:r>
      <w:r w:rsidR="00551598">
        <w:t xml:space="preserve">connection with a terrorism offence.  </w:t>
      </w:r>
      <w:r w:rsidR="00C56067">
        <w:t xml:space="preserve">In practice, the power will only be available where </w:t>
      </w:r>
      <w:r w:rsidR="00E1246A">
        <w:t xml:space="preserve">a telephone warrant could not be obtained first.  </w:t>
      </w:r>
      <w:r w:rsidR="006736EE">
        <w:t>T</w:t>
      </w:r>
      <w:r w:rsidR="00317E03">
        <w:t>he limited situations in which this power could conceivably be used, combined with its extraordinary nature, suggests that serious consideration should be given to its repeal</w:t>
      </w:r>
      <w:r w:rsidR="006736EE">
        <w:t>.</w:t>
      </w:r>
    </w:p>
    <w:p w14:paraId="7596E961" w14:textId="50C9B4C2" w:rsidR="003004D8" w:rsidRDefault="00BD7AB2" w:rsidP="0066708B">
      <w:pPr>
        <w:pStyle w:val="ListNumber2"/>
        <w:tabs>
          <w:tab w:val="clear" w:pos="643"/>
          <w:tab w:val="num" w:pos="1080"/>
        </w:tabs>
        <w:ind w:left="1080" w:hanging="797"/>
      </w:pPr>
      <w:r>
        <w:t xml:space="preserve">Oversight </w:t>
      </w:r>
      <w:r w:rsidR="00120FC9">
        <w:t xml:space="preserve">of counter-terrorism powers, including by this Committee, </w:t>
      </w:r>
      <w:r w:rsidR="00A74CF7">
        <w:t xml:space="preserve">helps to </w:t>
      </w:r>
      <w:r w:rsidR="00E97F49">
        <w:t>ensure that</w:t>
      </w:r>
      <w:r w:rsidR="00161659">
        <w:t xml:space="preserve"> the</w:t>
      </w:r>
      <w:r w:rsidR="00460CBA">
        <w:t>y</w:t>
      </w:r>
      <w:r w:rsidR="00161659">
        <w:t xml:space="preserve"> </w:t>
      </w:r>
      <w:r w:rsidR="00460CBA" w:rsidRPr="00E23043">
        <w:t>operat</w:t>
      </w:r>
      <w:r w:rsidR="00460CBA">
        <w:t xml:space="preserve">e </w:t>
      </w:r>
      <w:r w:rsidR="00E97F49">
        <w:t>appropriately.</w:t>
      </w:r>
      <w:r w:rsidR="00A74CF7">
        <w:t xml:space="preserve">  An important aspect of oversight is proper authorisation for the use of powers.  </w:t>
      </w:r>
      <w:r w:rsidR="007C58FA">
        <w:t xml:space="preserve">In the case of </w:t>
      </w:r>
      <w:r w:rsidR="00DB21C6">
        <w:t xml:space="preserve">searches of people and premises, </w:t>
      </w:r>
      <w:r w:rsidR="00611C38">
        <w:t xml:space="preserve">police </w:t>
      </w:r>
      <w:r w:rsidR="00173268">
        <w:t xml:space="preserve">are required, except in very limited circumstances, to obtain a warrant on each occasion that they wish to exercise those powers.  </w:t>
      </w:r>
      <w:r w:rsidR="00E84836">
        <w:t xml:space="preserve">While </w:t>
      </w:r>
      <w:r w:rsidR="009C7709">
        <w:t xml:space="preserve">warrantless powers can be justified in very limited circumstances, the </w:t>
      </w:r>
      <w:r w:rsidR="00FC7351">
        <w:t>reduction in</w:t>
      </w:r>
      <w:r w:rsidR="009C7709">
        <w:t xml:space="preserve"> oversight also creates a </w:t>
      </w:r>
      <w:r w:rsidR="00FA3978">
        <w:t xml:space="preserve">risk of misuse. </w:t>
      </w:r>
    </w:p>
    <w:p w14:paraId="41CDDA6B" w14:textId="5346641B" w:rsidR="00E84836" w:rsidRDefault="00E84836" w:rsidP="0066708B">
      <w:pPr>
        <w:pStyle w:val="ListNumber2"/>
        <w:tabs>
          <w:tab w:val="clear" w:pos="643"/>
          <w:tab w:val="num" w:pos="1080"/>
        </w:tabs>
        <w:ind w:left="1080" w:hanging="797"/>
      </w:pPr>
      <w:r>
        <w:t>Our submission includes a case study dealing with</w:t>
      </w:r>
      <w:r w:rsidR="00005194">
        <w:t xml:space="preserve"> recent findings about the misuse of warrantless arrest powers by Victorian police in the course of a counter-terrorism raid in 2015.  </w:t>
      </w:r>
      <w:r w:rsidR="000D324A">
        <w:t xml:space="preserve">In this raid, </w:t>
      </w:r>
      <w:r w:rsidR="00005194">
        <w:t xml:space="preserve">Mr </w:t>
      </w:r>
      <w:proofErr w:type="spellStart"/>
      <w:r w:rsidR="00005194">
        <w:t>Eathan</w:t>
      </w:r>
      <w:proofErr w:type="spellEnd"/>
      <w:r w:rsidR="00005194">
        <w:t xml:space="preserve"> Cruse, a young Aboriginal man, was beaten by police </w:t>
      </w:r>
      <w:r w:rsidR="00EF78C7">
        <w:t>after he had been handcuffed and while lying on the floor</w:t>
      </w:r>
      <w:r w:rsidR="00005194">
        <w:t>.</w:t>
      </w:r>
      <w:r w:rsidR="00FA3978">
        <w:t xml:space="preserve"> </w:t>
      </w:r>
    </w:p>
    <w:p w14:paraId="3DE9BA9A" w14:textId="4E20223A" w:rsidR="004B168E" w:rsidRDefault="004B168E" w:rsidP="0066708B">
      <w:pPr>
        <w:pStyle w:val="ListNumber2"/>
        <w:tabs>
          <w:tab w:val="clear" w:pos="643"/>
          <w:tab w:val="num" w:pos="1080"/>
        </w:tabs>
        <w:ind w:left="1080" w:hanging="797"/>
      </w:pPr>
      <w:r>
        <w:t>If the PJCIS decides to recommend that the</w:t>
      </w:r>
      <w:r w:rsidR="003F4116">
        <w:t xml:space="preserve"> stop, search and seize </w:t>
      </w:r>
      <w:r>
        <w:t xml:space="preserve">powers continue, the Commission submits that </w:t>
      </w:r>
      <w:r w:rsidR="003F4116">
        <w:t xml:space="preserve">they </w:t>
      </w:r>
      <w:r>
        <w:t xml:space="preserve">should continue to be viewed as temporary, emergency powers and subject to a further sunsetting period.  </w:t>
      </w:r>
    </w:p>
    <w:p w14:paraId="29C50320" w14:textId="15BB0459" w:rsidR="00CA3275" w:rsidRDefault="008A6EB3" w:rsidP="0066708B">
      <w:pPr>
        <w:pStyle w:val="ListNumber2"/>
        <w:tabs>
          <w:tab w:val="clear" w:pos="643"/>
          <w:tab w:val="num" w:pos="1080"/>
        </w:tabs>
        <w:ind w:left="1080" w:hanging="797"/>
      </w:pPr>
      <w:r>
        <w:t xml:space="preserve">Section </w:t>
      </w:r>
      <w:r w:rsidR="002C7668">
        <w:fldChar w:fldCharType="begin"/>
      </w:r>
      <w:r w:rsidR="002C7668">
        <w:instrText xml:space="preserve"> REF _Ref49525242 \r \h </w:instrText>
      </w:r>
      <w:r w:rsidR="002C7668">
        <w:fldChar w:fldCharType="separate"/>
      </w:r>
      <w:r w:rsidR="00381A9B">
        <w:t>6</w:t>
      </w:r>
      <w:r w:rsidR="002C7668">
        <w:fldChar w:fldCharType="end"/>
      </w:r>
      <w:r>
        <w:t xml:space="preserve"> of this submission </w:t>
      </w:r>
      <w:r w:rsidR="002C7668">
        <w:t>examines the control order regime.</w:t>
      </w:r>
      <w:r w:rsidR="008E300C">
        <w:t xml:space="preserve">  Control orders are the only powers</w:t>
      </w:r>
      <w:r w:rsidR="00C60DD5">
        <w:t>, within the scope</w:t>
      </w:r>
      <w:r w:rsidR="008E300C">
        <w:t xml:space="preserve"> of the present review</w:t>
      </w:r>
      <w:r w:rsidR="00E153E7">
        <w:t>,</w:t>
      </w:r>
      <w:r w:rsidR="008E300C">
        <w:t xml:space="preserve"> </w:t>
      </w:r>
      <w:r w:rsidR="00E153E7">
        <w:t xml:space="preserve">which </w:t>
      </w:r>
      <w:r w:rsidR="00203986">
        <w:t xml:space="preserve">have been </w:t>
      </w:r>
      <w:r w:rsidR="000D324A">
        <w:t>exercised</w:t>
      </w:r>
      <w:r w:rsidR="00203986">
        <w:t xml:space="preserve">.  Appendix </w:t>
      </w:r>
      <w:r w:rsidR="00BF6766">
        <w:t xml:space="preserve">A </w:t>
      </w:r>
      <w:r w:rsidR="00203986">
        <w:t xml:space="preserve">to this submission </w:t>
      </w:r>
      <w:r w:rsidR="00D04535">
        <w:t xml:space="preserve">contains a table summarising </w:t>
      </w:r>
      <w:r w:rsidR="005A642B">
        <w:t>the 1</w:t>
      </w:r>
      <w:r w:rsidR="00D31933">
        <w:t>6</w:t>
      </w:r>
      <w:r w:rsidR="005A642B">
        <w:t xml:space="preserve"> control orders </w:t>
      </w:r>
      <w:r w:rsidR="008F7417">
        <w:t>made</w:t>
      </w:r>
      <w:r w:rsidR="005A642B">
        <w:t xml:space="preserve"> </w:t>
      </w:r>
      <w:r w:rsidR="00D31933">
        <w:t>to date</w:t>
      </w:r>
      <w:r w:rsidR="00987781">
        <w:t xml:space="preserve">.  </w:t>
      </w:r>
      <w:r w:rsidR="00B00923">
        <w:t xml:space="preserve">Ten </w:t>
      </w:r>
      <w:r w:rsidR="00AF33E2">
        <w:t xml:space="preserve">of those control orders were made since 1 January 2019.  The </w:t>
      </w:r>
      <w:r w:rsidR="00D05D37">
        <w:lastRenderedPageBreak/>
        <w:t xml:space="preserve">experience </w:t>
      </w:r>
      <w:r w:rsidR="00883093">
        <w:t>of</w:t>
      </w:r>
      <w:r w:rsidR="00D05D37">
        <w:t xml:space="preserve"> how control orders have been used in practice </w:t>
      </w:r>
      <w:r w:rsidR="00CA3275">
        <w:t xml:space="preserve">provides a </w:t>
      </w:r>
      <w:r w:rsidR="00AE6015">
        <w:t>stronger</w:t>
      </w:r>
      <w:r w:rsidR="00CA3275">
        <w:t xml:space="preserve"> basis for determining the </w:t>
      </w:r>
      <w:r w:rsidR="007239EF">
        <w:t xml:space="preserve">kinds of </w:t>
      </w:r>
      <w:r w:rsidR="00CA3275">
        <w:t>situation in which they are appropriate.</w:t>
      </w:r>
      <w:r w:rsidR="007239EF">
        <w:t xml:space="preserve"> </w:t>
      </w:r>
      <w:r w:rsidR="00540970">
        <w:t xml:space="preserve"> The </w:t>
      </w:r>
      <w:r w:rsidR="007239EF">
        <w:t xml:space="preserve">submission contains a number of relevant case studies </w:t>
      </w:r>
      <w:r w:rsidR="000D324A">
        <w:t xml:space="preserve">to illustrate those points, </w:t>
      </w:r>
      <w:r w:rsidR="00540970">
        <w:t>based on the experience to date</w:t>
      </w:r>
      <w:r w:rsidR="00CA3275">
        <w:t>.</w:t>
      </w:r>
    </w:p>
    <w:p w14:paraId="4ECDAD5C" w14:textId="4D73228D" w:rsidR="00760943" w:rsidRDefault="00760943" w:rsidP="00760943">
      <w:pPr>
        <w:pStyle w:val="ListNumber2"/>
        <w:tabs>
          <w:tab w:val="clear" w:pos="643"/>
          <w:tab w:val="num" w:pos="1080"/>
        </w:tabs>
        <w:ind w:left="1080" w:hanging="797"/>
      </w:pPr>
      <w:r>
        <w:t xml:space="preserve">The Commission submits that if </w:t>
      </w:r>
      <w:r w:rsidR="000F35D4">
        <w:t>a</w:t>
      </w:r>
      <w:r>
        <w:t xml:space="preserve"> control order regime is retained</w:t>
      </w:r>
      <w:r w:rsidR="00B90DD8">
        <w:t xml:space="preserve"> in some form</w:t>
      </w:r>
      <w:r>
        <w:t xml:space="preserve">, it should be more tightly targeted to people demonstrated to be a risk to the community.  </w:t>
      </w:r>
      <w:r w:rsidR="00634C3B">
        <w:t>I</w:t>
      </w:r>
      <w:r>
        <w:t>t should be limited to people who have been convicted of a terrorist offence and who would still present unacceptable risks to the community at the end of their sentence if they were free of all restraint upon release from imprisonment.</w:t>
      </w:r>
    </w:p>
    <w:p w14:paraId="2EE9C086" w14:textId="0F0890B7" w:rsidR="005A49DA" w:rsidRDefault="006C0E5B" w:rsidP="00E30A13">
      <w:pPr>
        <w:pStyle w:val="ListNumber2"/>
        <w:tabs>
          <w:tab w:val="clear" w:pos="643"/>
          <w:tab w:val="num" w:pos="1080"/>
        </w:tabs>
        <w:ind w:left="1080" w:hanging="797"/>
      </w:pPr>
      <w:r>
        <w:t xml:space="preserve">The best way to do this would be to </w:t>
      </w:r>
      <w:r w:rsidR="00D32F7D">
        <w:t>replace the current control order regime with the extended supervision order (ESO) regime recommended by the third INSLM</w:t>
      </w:r>
      <w:r w:rsidR="006918D8">
        <w:t>, Dr James Renwick CSC SC</w:t>
      </w:r>
      <w:r w:rsidR="0031712B">
        <w:t>.</w:t>
      </w:r>
      <w:r w:rsidR="00D32F7D">
        <w:t xml:space="preserve"> </w:t>
      </w:r>
      <w:r w:rsidR="0031712B">
        <w:t xml:space="preserve"> </w:t>
      </w:r>
      <w:r w:rsidR="005A49DA">
        <w:t>Such a regime would be more consistent with human rights because:</w:t>
      </w:r>
    </w:p>
    <w:p w14:paraId="588BAD52" w14:textId="77777777" w:rsidR="005A49DA" w:rsidRDefault="005A49DA" w:rsidP="005A49DA">
      <w:pPr>
        <w:pStyle w:val="ListNumber2"/>
        <w:numPr>
          <w:ilvl w:val="0"/>
          <w:numId w:val="14"/>
        </w:numPr>
      </w:pPr>
      <w:r>
        <w:t xml:space="preserve">the scope of the regime would be better targeted to situations where there was more likely to be risk to the community </w:t>
      </w:r>
    </w:p>
    <w:p w14:paraId="0184F810" w14:textId="3A938D6A" w:rsidR="005A49DA" w:rsidRDefault="005A49DA" w:rsidP="005A49DA">
      <w:pPr>
        <w:pStyle w:val="ListNumber2"/>
        <w:numPr>
          <w:ilvl w:val="0"/>
          <w:numId w:val="14"/>
        </w:numPr>
      </w:pPr>
      <w:r>
        <w:t xml:space="preserve">as a result, the degree to which the controls </w:t>
      </w:r>
      <w:r w:rsidR="003F7A97">
        <w:t>limit</w:t>
      </w:r>
      <w:r>
        <w:t xml:space="preserve"> the human rights of the </w:t>
      </w:r>
      <w:r w:rsidR="00E3318D">
        <w:t xml:space="preserve">person subject to the control order </w:t>
      </w:r>
      <w:r w:rsidR="00A462F8">
        <w:t>would be</w:t>
      </w:r>
      <w:r>
        <w:t xml:space="preserve"> more likely to be proportionate to the purpose for their imposition </w:t>
      </w:r>
    </w:p>
    <w:p w14:paraId="652D260C" w14:textId="55AC47F7" w:rsidR="005A49DA" w:rsidRDefault="005A49DA" w:rsidP="005A49DA">
      <w:pPr>
        <w:pStyle w:val="ListNumber2"/>
        <w:numPr>
          <w:ilvl w:val="0"/>
          <w:numId w:val="14"/>
        </w:numPr>
      </w:pPr>
      <w:r>
        <w:t xml:space="preserve">the evidence in support of an application could be properly tested in court proceedings when the order was first </w:t>
      </w:r>
      <w:r w:rsidR="00A82B77">
        <w:t>sought</w:t>
      </w:r>
      <w:r>
        <w:t xml:space="preserve">. </w:t>
      </w:r>
    </w:p>
    <w:p w14:paraId="44DBD6BA" w14:textId="4CFF2955" w:rsidR="007E1C48" w:rsidRDefault="00634C3B" w:rsidP="007E1C48">
      <w:pPr>
        <w:pStyle w:val="ListNumber2"/>
        <w:tabs>
          <w:tab w:val="clear" w:pos="643"/>
          <w:tab w:val="num" w:pos="1080"/>
        </w:tabs>
        <w:ind w:left="1080" w:hanging="797"/>
      </w:pPr>
      <w:r>
        <w:t xml:space="preserve">As can be seen from Appendix </w:t>
      </w:r>
      <w:r w:rsidR="00BF6766">
        <w:t xml:space="preserve">A, </w:t>
      </w:r>
      <w:r w:rsidR="00A575B4">
        <w:t xml:space="preserve">most control orders made </w:t>
      </w:r>
      <w:r w:rsidR="00A23395">
        <w:t xml:space="preserve">in practice relate </w:t>
      </w:r>
      <w:r w:rsidR="00A575B4">
        <w:t xml:space="preserve">to </w:t>
      </w:r>
      <w:r w:rsidR="006833DA">
        <w:t xml:space="preserve">people who have already been convicted of a terrorism offence and who are being released into the community. </w:t>
      </w:r>
      <w:r w:rsidR="00A575B4">
        <w:t xml:space="preserve"> </w:t>
      </w:r>
      <w:r w:rsidR="00A23395">
        <w:t xml:space="preserve">In light of the </w:t>
      </w:r>
      <w:r w:rsidR="0023769B">
        <w:t xml:space="preserve">range of other investigation and </w:t>
      </w:r>
      <w:r w:rsidR="00A23395">
        <w:t>prevent</w:t>
      </w:r>
      <w:r w:rsidR="0023769B">
        <w:t>ion</w:t>
      </w:r>
      <w:r w:rsidR="00A23395">
        <w:t xml:space="preserve"> </w:t>
      </w:r>
      <w:r w:rsidR="007317FF">
        <w:t xml:space="preserve">measures available, </w:t>
      </w:r>
      <w:r w:rsidR="00140172">
        <w:t xml:space="preserve">and their effectiveness when compared with control orders, </w:t>
      </w:r>
      <w:r w:rsidR="007317FF">
        <w:t xml:space="preserve">the </w:t>
      </w:r>
      <w:r w:rsidR="00A23395">
        <w:t>use of control order</w:t>
      </w:r>
      <w:r w:rsidR="007317FF">
        <w:t xml:space="preserve">s in other situations </w:t>
      </w:r>
      <w:r w:rsidR="00222453">
        <w:t xml:space="preserve">is not </w:t>
      </w:r>
      <w:r w:rsidR="007317FF">
        <w:t>justified</w:t>
      </w:r>
      <w:r w:rsidR="0099671A">
        <w:t xml:space="preserve">.  This includes </w:t>
      </w:r>
      <w:r w:rsidR="00B90DD8">
        <w:t xml:space="preserve">the </w:t>
      </w:r>
      <w:r w:rsidR="0099671A">
        <w:t>use of control orders:</w:t>
      </w:r>
    </w:p>
    <w:p w14:paraId="029D5E2C" w14:textId="340B65C2" w:rsidR="008C480A" w:rsidRDefault="008C480A" w:rsidP="0099671A">
      <w:pPr>
        <w:pStyle w:val="ListNumber2"/>
        <w:numPr>
          <w:ilvl w:val="0"/>
          <w:numId w:val="14"/>
        </w:numPr>
      </w:pPr>
      <w:r>
        <w:t xml:space="preserve">as an alternative to prosecution, </w:t>
      </w:r>
      <w:r w:rsidR="007B6808">
        <w:t xml:space="preserve">either where there is a lack of probative evidence that would ground a ‘reasonable suspicion’ </w:t>
      </w:r>
      <w:r w:rsidR="009F567B">
        <w:t xml:space="preserve">permitting arrest, or </w:t>
      </w:r>
      <w:r>
        <w:t xml:space="preserve">where the </w:t>
      </w:r>
      <w:r w:rsidR="00DE4A0E">
        <w:t>Commonwealth Director of Public Prosecutions (</w:t>
      </w:r>
      <w:r>
        <w:t>CDPP</w:t>
      </w:r>
      <w:r w:rsidR="00DE4A0E">
        <w:t>)</w:t>
      </w:r>
      <w:r>
        <w:t xml:space="preserve"> has advised that there is no reasonable prospect of conviction</w:t>
      </w:r>
    </w:p>
    <w:p w14:paraId="6A32720F" w14:textId="43DBD43A" w:rsidR="008C480A" w:rsidRDefault="009F567B" w:rsidP="009F567B">
      <w:pPr>
        <w:pStyle w:val="ListNumber2"/>
        <w:numPr>
          <w:ilvl w:val="0"/>
          <w:numId w:val="14"/>
        </w:numPr>
      </w:pPr>
      <w:r>
        <w:lastRenderedPageBreak/>
        <w:t>as a ‘second attempt’ following an unsuccessful prosecution</w:t>
      </w:r>
      <w:r w:rsidR="00F904F3" w:rsidRPr="00207439">
        <w:rPr>
          <w:lang w:val="en-GB"/>
        </w:rPr>
        <w:t>—</w:t>
      </w:r>
      <w:r>
        <w:t>for example</w:t>
      </w:r>
      <w:r w:rsidR="005B1DFE">
        <w:t>,</w:t>
      </w:r>
      <w:r>
        <w:t xml:space="preserve"> where a person has been tried and acquitted.</w:t>
      </w:r>
    </w:p>
    <w:p w14:paraId="12EC036B" w14:textId="6FB594E0" w:rsidR="003F4116" w:rsidRDefault="00780138" w:rsidP="0066708B">
      <w:pPr>
        <w:pStyle w:val="ListNumber2"/>
        <w:tabs>
          <w:tab w:val="clear" w:pos="643"/>
          <w:tab w:val="num" w:pos="1080"/>
        </w:tabs>
        <w:ind w:left="1080" w:hanging="797"/>
      </w:pPr>
      <w:r>
        <w:t xml:space="preserve">Section </w:t>
      </w:r>
      <w:r w:rsidR="00377540">
        <w:fldChar w:fldCharType="begin"/>
      </w:r>
      <w:r w:rsidR="00377540">
        <w:instrText xml:space="preserve"> REF _Ref49856686 \r \h </w:instrText>
      </w:r>
      <w:r w:rsidR="00377540">
        <w:fldChar w:fldCharType="separate"/>
      </w:r>
      <w:r w:rsidR="00381A9B">
        <w:t>7</w:t>
      </w:r>
      <w:r w:rsidR="00377540">
        <w:fldChar w:fldCharType="end"/>
      </w:r>
      <w:r>
        <w:t xml:space="preserve"> of this submission examines the </w:t>
      </w:r>
      <w:r w:rsidR="00134196">
        <w:t>PDO regime</w:t>
      </w:r>
      <w:r>
        <w:t>.</w:t>
      </w:r>
      <w:r w:rsidR="00377540">
        <w:t xml:space="preserve">  </w:t>
      </w:r>
      <w:r w:rsidR="00912E2F">
        <w:t>The Commonwealth regime allows detention of people for up to two days</w:t>
      </w:r>
      <w:r w:rsidR="002C2453">
        <w:t>, with restrictions on their communication</w:t>
      </w:r>
      <w:r w:rsidR="00DD0C92">
        <w:t>s</w:t>
      </w:r>
      <w:r w:rsidR="002C2453">
        <w:t xml:space="preserve">, </w:t>
      </w:r>
      <w:r w:rsidR="00912E2F">
        <w:t xml:space="preserve">for the purpose of preventing a </w:t>
      </w:r>
      <w:r w:rsidR="00281C49">
        <w:t xml:space="preserve">potential </w:t>
      </w:r>
      <w:r w:rsidR="00912E2F">
        <w:t xml:space="preserve">terrorist act or </w:t>
      </w:r>
      <w:r w:rsidR="00416C91">
        <w:t xml:space="preserve">preserving evidence of a </w:t>
      </w:r>
      <w:r w:rsidR="00281C49">
        <w:t xml:space="preserve">recent </w:t>
      </w:r>
      <w:r w:rsidR="00416C91">
        <w:t xml:space="preserve">terrorist act.  </w:t>
      </w:r>
      <w:r w:rsidR="00377540">
        <w:t>The Commonwealth regime has not been used, but there have been two examples of the use of similar State</w:t>
      </w:r>
      <w:r w:rsidR="005B1DFE">
        <w:t>-</w:t>
      </w:r>
      <w:r w:rsidR="00377540">
        <w:t xml:space="preserve">based </w:t>
      </w:r>
      <w:r w:rsidR="00DD0C92">
        <w:t>powers</w:t>
      </w:r>
      <w:r w:rsidR="00377540">
        <w:t>.</w:t>
      </w:r>
    </w:p>
    <w:p w14:paraId="5EE2DDCC" w14:textId="6F21BFBF" w:rsidR="00377540" w:rsidRDefault="00B03524" w:rsidP="0066708B">
      <w:pPr>
        <w:pStyle w:val="ListNumber2"/>
        <w:tabs>
          <w:tab w:val="clear" w:pos="643"/>
          <w:tab w:val="num" w:pos="1080"/>
        </w:tabs>
        <w:ind w:left="1080" w:hanging="797"/>
      </w:pPr>
      <w:r>
        <w:t>On the basis of publicly available evidence, t</w:t>
      </w:r>
      <w:r w:rsidR="002818A5">
        <w:t xml:space="preserve">his is a clear example of a power that is not necessary.  </w:t>
      </w:r>
      <w:r w:rsidR="0047138B">
        <w:t xml:space="preserve">The Commission’s submission examines the </w:t>
      </w:r>
      <w:r w:rsidR="00C53610">
        <w:t>purpose</w:t>
      </w:r>
      <w:r w:rsidR="00C076C3">
        <w:t>s</w:t>
      </w:r>
      <w:r w:rsidR="00C53610">
        <w:t xml:space="preserve"> and threshold for obtaining a PDO, </w:t>
      </w:r>
      <w:r w:rsidR="00DD0C92">
        <w:t>concluding</w:t>
      </w:r>
      <w:r w:rsidR="000921EC">
        <w:t xml:space="preserve"> that </w:t>
      </w:r>
      <w:r w:rsidR="0030285E">
        <w:t xml:space="preserve">in every case where </w:t>
      </w:r>
      <w:r w:rsidR="00C37EE6">
        <w:t xml:space="preserve">relevant </w:t>
      </w:r>
      <w:proofErr w:type="gramStart"/>
      <w:r w:rsidR="00C37EE6">
        <w:t>authorities</w:t>
      </w:r>
      <w:proofErr w:type="gramEnd"/>
      <w:r w:rsidR="00C37EE6">
        <w:t xml:space="preserve"> have </w:t>
      </w:r>
      <w:r w:rsidR="003B3440">
        <w:t xml:space="preserve">suggested </w:t>
      </w:r>
      <w:r w:rsidR="00E10242">
        <w:t xml:space="preserve">a </w:t>
      </w:r>
      <w:r w:rsidR="0030285E">
        <w:t>PDO might be used</w:t>
      </w:r>
      <w:r w:rsidR="00DD0C92">
        <w:t>,</w:t>
      </w:r>
      <w:r w:rsidR="0030285E">
        <w:t xml:space="preserve"> </w:t>
      </w:r>
      <w:r w:rsidR="000921EC">
        <w:t xml:space="preserve">there are alternative, less restrictive options </w:t>
      </w:r>
      <w:r w:rsidR="00134196">
        <w:t xml:space="preserve">available </w:t>
      </w:r>
      <w:r w:rsidR="00ED4905">
        <w:t xml:space="preserve">that are just as effective. </w:t>
      </w:r>
    </w:p>
    <w:p w14:paraId="6B5A559C" w14:textId="13970A08" w:rsidR="00ED4905" w:rsidRDefault="000405E6" w:rsidP="0066708B">
      <w:pPr>
        <w:pStyle w:val="ListNumber2"/>
        <w:tabs>
          <w:tab w:val="clear" w:pos="643"/>
          <w:tab w:val="num" w:pos="1080"/>
        </w:tabs>
        <w:ind w:left="1080" w:hanging="797"/>
      </w:pPr>
      <w:r>
        <w:t xml:space="preserve">Section </w:t>
      </w:r>
      <w:r>
        <w:fldChar w:fldCharType="begin"/>
      </w:r>
      <w:r>
        <w:instrText xml:space="preserve"> REF _Ref49620899 \r \h </w:instrText>
      </w:r>
      <w:r>
        <w:fldChar w:fldCharType="separate"/>
      </w:r>
      <w:r w:rsidR="00381A9B">
        <w:t>8</w:t>
      </w:r>
      <w:r>
        <w:fldChar w:fldCharType="end"/>
      </w:r>
      <w:r>
        <w:t xml:space="preserve"> of this submission examines the continuing detention order (CDO) regime.</w:t>
      </w:r>
      <w:r w:rsidR="004F1C7F">
        <w:t xml:space="preserve">  </w:t>
      </w:r>
      <w:r w:rsidR="00272198">
        <w:t xml:space="preserve">When </w:t>
      </w:r>
      <w:r w:rsidR="00527892">
        <w:t xml:space="preserve">this </w:t>
      </w:r>
      <w:r w:rsidR="00EB0603">
        <w:t>regime</w:t>
      </w:r>
      <w:r w:rsidR="00272198">
        <w:t xml:space="preserve"> </w:t>
      </w:r>
      <w:r w:rsidR="00527892">
        <w:t xml:space="preserve">was </w:t>
      </w:r>
      <w:r w:rsidR="00272198">
        <w:t xml:space="preserve">first proposed, </w:t>
      </w:r>
      <w:r w:rsidR="004F1C7F">
        <w:t xml:space="preserve">the Commission recognised that </w:t>
      </w:r>
      <w:r w:rsidR="000D0EC9">
        <w:t xml:space="preserve">it could be </w:t>
      </w:r>
      <w:r w:rsidR="004F1C7F">
        <w:t xml:space="preserve">a reasonable and necessary response to the </w:t>
      </w:r>
      <w:r w:rsidR="00EC106F">
        <w:t xml:space="preserve">potential </w:t>
      </w:r>
      <w:r w:rsidR="004F1C7F">
        <w:t>risk posed by people convicted of terrorism related offences</w:t>
      </w:r>
      <w:r w:rsidR="00DD0C92">
        <w:t>,</w:t>
      </w:r>
      <w:r w:rsidR="004F1C7F">
        <w:t xml:space="preserve"> after </w:t>
      </w:r>
      <w:r w:rsidR="00417A4B">
        <w:t xml:space="preserve">their </w:t>
      </w:r>
      <w:r w:rsidR="00AC57EB">
        <w:t>release from</w:t>
      </w:r>
      <w:r w:rsidR="004F1C7F">
        <w:t xml:space="preserve"> imprisonment.  However, the scope of any such regime should be narrowly confined so that it applies only in the most serious of cases and only to the extent necessary to address an unacceptable risk to the community.  </w:t>
      </w:r>
    </w:p>
    <w:p w14:paraId="7C4055E0" w14:textId="2F85A159" w:rsidR="002818A5" w:rsidRDefault="00527892" w:rsidP="0066708B">
      <w:pPr>
        <w:pStyle w:val="ListNumber2"/>
        <w:tabs>
          <w:tab w:val="clear" w:pos="643"/>
          <w:tab w:val="num" w:pos="1080"/>
        </w:tabs>
        <w:ind w:left="1080" w:hanging="797"/>
      </w:pPr>
      <w:r>
        <w:t xml:space="preserve">There are still </w:t>
      </w:r>
      <w:r w:rsidR="00417A4B">
        <w:t>many</w:t>
      </w:r>
      <w:r>
        <w:t xml:space="preserve"> aspects of this regime that </w:t>
      </w:r>
      <w:r w:rsidR="00417A4B">
        <w:t>are not</w:t>
      </w:r>
      <w:r>
        <w:t xml:space="preserve"> settled.  This includes </w:t>
      </w:r>
      <w:r w:rsidR="00AF7965">
        <w:t>the way that risk is assessed</w:t>
      </w:r>
      <w:r w:rsidR="007D37D9">
        <w:t xml:space="preserve"> and</w:t>
      </w:r>
      <w:r w:rsidR="00AF7965">
        <w:t xml:space="preserve"> the </w:t>
      </w:r>
      <w:r w:rsidR="00CD092C">
        <w:t>identification, training and qualification of relevant experts</w:t>
      </w:r>
      <w:r w:rsidR="007D37D9">
        <w:t xml:space="preserve">.  </w:t>
      </w:r>
      <w:r w:rsidR="00FD085F" w:rsidRPr="00207439">
        <w:rPr>
          <w:lang w:val="en-GB"/>
        </w:rPr>
        <w:t>There has been no independent appraisal of the Government’s method of assessing whether an individual should be subject to a CDO.  Robust and independent appraisal of this assessment methodology is necessary to assure the public</w:t>
      </w:r>
      <w:r w:rsidR="00420027">
        <w:rPr>
          <w:lang w:val="en-GB"/>
        </w:rPr>
        <w:t>,</w:t>
      </w:r>
      <w:r w:rsidR="00FD085F" w:rsidRPr="00207439">
        <w:rPr>
          <w:lang w:val="en-GB"/>
        </w:rPr>
        <w:t xml:space="preserve"> and ultimately the courts</w:t>
      </w:r>
      <w:r w:rsidR="00420027">
        <w:rPr>
          <w:lang w:val="en-GB"/>
        </w:rPr>
        <w:t>,</w:t>
      </w:r>
      <w:r w:rsidR="00FD085F" w:rsidRPr="00207439">
        <w:rPr>
          <w:lang w:val="en-GB"/>
        </w:rPr>
        <w:t xml:space="preserve"> that such assessments are sufficiently accurate and reliable, </w:t>
      </w:r>
      <w:proofErr w:type="gramStart"/>
      <w:r w:rsidR="00FD085F" w:rsidRPr="00207439">
        <w:rPr>
          <w:lang w:val="en-GB"/>
        </w:rPr>
        <w:t>taking into account</w:t>
      </w:r>
      <w:proofErr w:type="gramEnd"/>
      <w:r w:rsidR="00FD085F" w:rsidRPr="00207439">
        <w:rPr>
          <w:lang w:val="en-GB"/>
        </w:rPr>
        <w:t xml:space="preserve"> the gravity of the decision-making process to which they relate.  </w:t>
      </w:r>
      <w:r w:rsidR="00FD085F">
        <w:rPr>
          <w:lang w:val="en-GB"/>
        </w:rPr>
        <w:t xml:space="preserve">To this end, </w:t>
      </w:r>
      <w:r w:rsidR="00FD085F">
        <w:t>t</w:t>
      </w:r>
      <w:r w:rsidR="007D37D9">
        <w:t xml:space="preserve">he Commission reiterates </w:t>
      </w:r>
      <w:r w:rsidR="00D27011">
        <w:t xml:space="preserve">a number of </w:t>
      </w:r>
      <w:r w:rsidR="007D37D9">
        <w:t>its recommendation</w:t>
      </w:r>
      <w:r w:rsidR="00D27011">
        <w:t>s</w:t>
      </w:r>
      <w:r w:rsidR="008B3484">
        <w:t xml:space="preserve">, including that expert reports identify any limitations in </w:t>
      </w:r>
      <w:r w:rsidR="0081503C">
        <w:t xml:space="preserve">their assessment of </w:t>
      </w:r>
      <w:r w:rsidR="008B3484">
        <w:t>risk</w:t>
      </w:r>
      <w:r w:rsidR="00EF61D9">
        <w:t xml:space="preserve"> and</w:t>
      </w:r>
      <w:r w:rsidR="007D37D9">
        <w:t xml:space="preserve"> that an independent risk management body be established</w:t>
      </w:r>
      <w:r w:rsidR="00EF61D9">
        <w:t xml:space="preserve"> to accredit experts </w:t>
      </w:r>
      <w:r w:rsidR="00E01E56">
        <w:t>and evaluate the operation of risk assessment tools</w:t>
      </w:r>
      <w:r w:rsidR="007D37D9">
        <w:t>.</w:t>
      </w:r>
    </w:p>
    <w:p w14:paraId="5852C33C" w14:textId="752494CF" w:rsidR="00AF7965" w:rsidRDefault="005A4C08" w:rsidP="006C1BEB">
      <w:pPr>
        <w:pStyle w:val="ListNumber2"/>
        <w:tabs>
          <w:tab w:val="clear" w:pos="643"/>
          <w:tab w:val="num" w:pos="1080"/>
        </w:tabs>
        <w:ind w:left="1080" w:hanging="797"/>
      </w:pPr>
      <w:r>
        <w:lastRenderedPageBreak/>
        <w:t xml:space="preserve">Also </w:t>
      </w:r>
      <w:r w:rsidR="00395E98">
        <w:t>unresolved</w:t>
      </w:r>
      <w:r>
        <w:t xml:space="preserve"> is the way in which people subject to a CDO will be detained, bearing in mind that this will be civil and not criminal detention</w:t>
      </w:r>
      <w:r w:rsidR="00411868">
        <w:t>, and how the conditions of their detention will be monitored.</w:t>
      </w:r>
    </w:p>
    <w:p w14:paraId="37A28B8D" w14:textId="725A8AE3" w:rsidR="00411868" w:rsidRDefault="00411868" w:rsidP="006C1BEB">
      <w:pPr>
        <w:pStyle w:val="ListNumber2"/>
        <w:tabs>
          <w:tab w:val="clear" w:pos="643"/>
          <w:tab w:val="num" w:pos="1080"/>
        </w:tabs>
        <w:ind w:left="1080" w:hanging="797"/>
      </w:pPr>
      <w:r>
        <w:t xml:space="preserve">Finally, </w:t>
      </w:r>
      <w:r w:rsidR="00127F79">
        <w:t>as noted above</w:t>
      </w:r>
      <w:r>
        <w:t>, there are a range of important outstanding recommendations from the third INSLM</w:t>
      </w:r>
      <w:r w:rsidR="00DF785D">
        <w:t xml:space="preserve"> </w:t>
      </w:r>
      <w:r w:rsidR="00204BD9">
        <w:t xml:space="preserve">and the PJCIS </w:t>
      </w:r>
      <w:r>
        <w:t>in relation to the establishment of a</w:t>
      </w:r>
      <w:r w:rsidR="00B63F81">
        <w:t>n extended supervision order (ESO) regime.  This would allow a court considering an application for a CDO to con</w:t>
      </w:r>
      <w:r w:rsidR="006864F2">
        <w:t>sider whether an ESO would be an effective and less restrictive alternativ</w:t>
      </w:r>
      <w:r w:rsidR="00C110A0">
        <w:t>e and, if so, to make an ESO instead</w:t>
      </w:r>
      <w:r w:rsidR="006864F2">
        <w:t>.</w:t>
      </w:r>
      <w:r w:rsidR="00CE4B3E">
        <w:t xml:space="preserve">  </w:t>
      </w:r>
      <w:r w:rsidR="006E11BB">
        <w:t>T</w:t>
      </w:r>
      <w:r w:rsidR="00CE4B3E">
        <w:t xml:space="preserve">he Commission submits that the ESO regime </w:t>
      </w:r>
      <w:r w:rsidR="006E11BB">
        <w:t xml:space="preserve">in this form </w:t>
      </w:r>
      <w:r w:rsidR="00CE4B3E">
        <w:t>could replace the existing control order regime</w:t>
      </w:r>
      <w:r w:rsidR="00CF3291">
        <w:t xml:space="preserve"> on the basis that it has a better focus on risk and is more consistent with human rights</w:t>
      </w:r>
      <w:r w:rsidR="00CE4B3E">
        <w:t>.</w:t>
      </w:r>
    </w:p>
    <w:p w14:paraId="35A7E911" w14:textId="3E8D0533" w:rsidR="006E11BB" w:rsidRDefault="003451F9" w:rsidP="006C1BEB">
      <w:pPr>
        <w:pStyle w:val="ListNumber2"/>
        <w:tabs>
          <w:tab w:val="clear" w:pos="643"/>
          <w:tab w:val="num" w:pos="1080"/>
        </w:tabs>
        <w:ind w:left="1080" w:hanging="797"/>
      </w:pPr>
      <w:r>
        <w:t xml:space="preserve">Shortly before this submission was due, the Australian Government introduced the Counter-Terrorism Legislation Amendment (High Risk Terrorist Offenders) Bill 2020 into Parliament.  This Bill would implement an ESO regime, but </w:t>
      </w:r>
      <w:r w:rsidR="005F4E56">
        <w:t xml:space="preserve">with significant differences from the model </w:t>
      </w:r>
      <w:r w:rsidR="004950E0">
        <w:t xml:space="preserve">recommended by the third INSLM and the PJCIS.  The Commission notes that </w:t>
      </w:r>
      <w:r w:rsidR="0089136D">
        <w:t xml:space="preserve">the Government intends to refer </w:t>
      </w:r>
      <w:r w:rsidR="004950E0">
        <w:t>this Bill to the PJCIS for separate inquiry.</w:t>
      </w:r>
    </w:p>
    <w:p w14:paraId="2CA1DE8D" w14:textId="521B7411" w:rsidR="00D03307" w:rsidRDefault="00D03307" w:rsidP="001C04F6">
      <w:pPr>
        <w:pStyle w:val="Heading1"/>
      </w:pPr>
      <w:bookmarkStart w:id="9" w:name="_Toc50633811"/>
      <w:r>
        <w:t>Recommendations</w:t>
      </w:r>
      <w:bookmarkEnd w:id="7"/>
      <w:bookmarkEnd w:id="9"/>
    </w:p>
    <w:p w14:paraId="58E38590" w14:textId="14E72E74" w:rsidR="003423F4" w:rsidRDefault="003423F4" w:rsidP="00D80D24">
      <w:pPr>
        <w:pStyle w:val="ListNumber2"/>
        <w:keepNext/>
        <w:tabs>
          <w:tab w:val="clear" w:pos="643"/>
          <w:tab w:val="num" w:pos="1080"/>
        </w:tabs>
        <w:ind w:left="1080" w:hanging="792"/>
      </w:pPr>
      <w:r>
        <w:t xml:space="preserve">The </w:t>
      </w:r>
      <w:r w:rsidR="00D21607">
        <w:t>C</w:t>
      </w:r>
      <w:r>
        <w:t xml:space="preserve">ommission </w:t>
      </w:r>
      <w:r w:rsidR="00D21607">
        <w:t xml:space="preserve">makes the following </w:t>
      </w:r>
      <w:r>
        <w:t>recommend</w:t>
      </w:r>
      <w:r w:rsidR="00D21607">
        <w:t>ations.</w:t>
      </w:r>
      <w:r>
        <w:t xml:space="preserve"> </w:t>
      </w:r>
    </w:p>
    <w:p w14:paraId="25FA63E8" w14:textId="77777777" w:rsidR="00961AB8" w:rsidRPr="00F53819" w:rsidRDefault="00961AB8" w:rsidP="00F53819">
      <w:pPr>
        <w:pStyle w:val="ListNumber2"/>
        <w:keepNext/>
        <w:numPr>
          <w:ilvl w:val="0"/>
          <w:numId w:val="0"/>
        </w:numPr>
        <w:ind w:left="1008" w:firstLine="72"/>
        <w:rPr>
          <w:b/>
          <w:bCs/>
        </w:rPr>
      </w:pPr>
      <w:r w:rsidRPr="00F53819">
        <w:rPr>
          <w:b/>
          <w:bCs/>
        </w:rPr>
        <w:t>Recommendation 1</w:t>
      </w:r>
    </w:p>
    <w:p w14:paraId="11D7919A" w14:textId="1A3E6921" w:rsidR="00961AB8" w:rsidRDefault="00B2651D" w:rsidP="00F53819">
      <w:pPr>
        <w:pStyle w:val="ListNumber2"/>
        <w:numPr>
          <w:ilvl w:val="0"/>
          <w:numId w:val="0"/>
        </w:numPr>
        <w:ind w:left="1080"/>
      </w:pPr>
      <w:r>
        <w:t xml:space="preserve">The Commission recommends that </w:t>
      </w:r>
      <w:r w:rsidR="00B57AE6">
        <w:t xml:space="preserve">s 3UJ(3) of the Crimes Act be amended to reduce the maximum duration of a declaration of a prescribed security zone to 14 days, consistent with equivalent legislation in the United Kingdom, unless there is compelling evidence that a longer period is necessary in Australian circumstances. </w:t>
      </w:r>
    </w:p>
    <w:p w14:paraId="15F97E04" w14:textId="77777777" w:rsidR="00961AB8" w:rsidRPr="005A5C7E" w:rsidRDefault="00961AB8" w:rsidP="005A5C7E">
      <w:pPr>
        <w:pStyle w:val="ListNumber2"/>
        <w:keepNext/>
        <w:numPr>
          <w:ilvl w:val="0"/>
          <w:numId w:val="0"/>
        </w:numPr>
        <w:ind w:left="1008" w:firstLine="72"/>
        <w:rPr>
          <w:b/>
          <w:bCs/>
        </w:rPr>
      </w:pPr>
      <w:r w:rsidRPr="005A5C7E">
        <w:rPr>
          <w:b/>
          <w:bCs/>
        </w:rPr>
        <w:t>Recommendation 2</w:t>
      </w:r>
    </w:p>
    <w:p w14:paraId="1F64145B" w14:textId="00733040" w:rsidR="00961AB8" w:rsidRDefault="00493A30" w:rsidP="005A5C7E">
      <w:pPr>
        <w:pStyle w:val="ListNumber2"/>
        <w:numPr>
          <w:ilvl w:val="0"/>
          <w:numId w:val="0"/>
        </w:numPr>
        <w:ind w:left="1080"/>
      </w:pPr>
      <w:r>
        <w:t>The Commission recommends that t</w:t>
      </w:r>
      <w:r w:rsidR="00961AB8">
        <w:t xml:space="preserve">he PJCIS seek evidence from the Australian Federal Police about the process involved in obtaining a warrant by telephone or other electronic </w:t>
      </w:r>
      <w:proofErr w:type="gramStart"/>
      <w:r w:rsidR="00961AB8">
        <w:t>means, and</w:t>
      </w:r>
      <w:proofErr w:type="gramEnd"/>
      <w:r w:rsidR="00961AB8">
        <w:t xml:space="preserve"> consider any improvements that could be made to </w:t>
      </w:r>
      <w:r w:rsidR="00FC70C4">
        <w:t xml:space="preserve">this process. </w:t>
      </w:r>
    </w:p>
    <w:p w14:paraId="6E3C5A32" w14:textId="1988DC32" w:rsidR="00FC70C4" w:rsidRDefault="00FC70C4" w:rsidP="005A5C7E">
      <w:pPr>
        <w:pStyle w:val="ListNumber2"/>
        <w:keepNext/>
        <w:numPr>
          <w:ilvl w:val="0"/>
          <w:numId w:val="0"/>
        </w:numPr>
        <w:ind w:left="1008" w:firstLine="72"/>
        <w:rPr>
          <w:b/>
          <w:bCs/>
        </w:rPr>
      </w:pPr>
      <w:r>
        <w:rPr>
          <w:b/>
          <w:bCs/>
        </w:rPr>
        <w:lastRenderedPageBreak/>
        <w:t>Recommendation 3</w:t>
      </w:r>
    </w:p>
    <w:p w14:paraId="32742090" w14:textId="5E0EB9E7" w:rsidR="00FC70C4" w:rsidRPr="00FC70C4" w:rsidRDefault="00FC70C4" w:rsidP="00FC70C4">
      <w:pPr>
        <w:pStyle w:val="ListNumber2"/>
        <w:numPr>
          <w:ilvl w:val="0"/>
          <w:numId w:val="0"/>
        </w:numPr>
        <w:ind w:left="1080"/>
      </w:pPr>
      <w:r>
        <w:t xml:space="preserve">The Commission recommends that </w:t>
      </w:r>
      <w:r w:rsidR="001608EA">
        <w:t>s </w:t>
      </w:r>
      <w:r w:rsidR="00EB3E04">
        <w:t xml:space="preserve">3UEA of the Crimes Act, which permits warrantless entry by police onto private premises in </w:t>
      </w:r>
      <w:r w:rsidR="000F1D72">
        <w:t>certain emergency circumstances, be repealed</w:t>
      </w:r>
      <w:r w:rsidR="00E00E83">
        <w:t>,</w:t>
      </w:r>
      <w:r w:rsidR="000F1D72">
        <w:t xml:space="preserve"> unless </w:t>
      </w:r>
      <w:r w:rsidR="00E00E83">
        <w:t xml:space="preserve">investigations </w:t>
      </w:r>
      <w:r w:rsidR="00D453A8">
        <w:t xml:space="preserve">in response </w:t>
      </w:r>
      <w:r w:rsidR="00955895">
        <w:t>to</w:t>
      </w:r>
      <w:r w:rsidR="00E00E83">
        <w:t xml:space="preserve"> Recommendation 2 reveal a significant operational gap that requires </w:t>
      </w:r>
      <w:r w:rsidR="001D34B8">
        <w:t xml:space="preserve">the retention of </w:t>
      </w:r>
      <w:r w:rsidR="00E00E83">
        <w:t xml:space="preserve">such </w:t>
      </w:r>
      <w:r w:rsidR="001A144A">
        <w:t xml:space="preserve">an </w:t>
      </w:r>
      <w:r w:rsidR="00E00E83">
        <w:t>extraordinary power</w:t>
      </w:r>
      <w:r w:rsidR="001D34B8">
        <w:t>.</w:t>
      </w:r>
    </w:p>
    <w:p w14:paraId="5D6DA3AD" w14:textId="75FEBBA9" w:rsidR="00961AB8" w:rsidRPr="005A5C7E" w:rsidRDefault="00961AB8" w:rsidP="005A5C7E">
      <w:pPr>
        <w:pStyle w:val="ListNumber2"/>
        <w:keepNext/>
        <w:numPr>
          <w:ilvl w:val="0"/>
          <w:numId w:val="0"/>
        </w:numPr>
        <w:ind w:left="1008" w:firstLine="72"/>
        <w:rPr>
          <w:b/>
          <w:bCs/>
        </w:rPr>
      </w:pPr>
      <w:r w:rsidRPr="005A5C7E">
        <w:rPr>
          <w:b/>
          <w:bCs/>
        </w:rPr>
        <w:t xml:space="preserve">Recommendation </w:t>
      </w:r>
      <w:r w:rsidR="005E3E9A">
        <w:rPr>
          <w:b/>
          <w:bCs/>
        </w:rPr>
        <w:t>4</w:t>
      </w:r>
    </w:p>
    <w:p w14:paraId="522CFBAA" w14:textId="7CEBF788" w:rsidR="00961AB8" w:rsidRDefault="00493A30" w:rsidP="005A5C7E">
      <w:pPr>
        <w:pStyle w:val="ListNumber2"/>
        <w:numPr>
          <w:ilvl w:val="0"/>
          <w:numId w:val="0"/>
        </w:numPr>
        <w:ind w:left="1080"/>
      </w:pPr>
      <w:r>
        <w:t>The Commission recommends that, i</w:t>
      </w:r>
      <w:r w:rsidR="00961AB8">
        <w:t xml:space="preserve">f the PJCIS decides to recommend that the powers in </w:t>
      </w:r>
      <w:r w:rsidR="00961AB8" w:rsidRPr="0035411E">
        <w:t>Division 3A of Part IAA of the Crimes Act</w:t>
      </w:r>
      <w:r w:rsidR="00961AB8">
        <w:t xml:space="preserve"> continue, they be subject to a further sunsetting period.</w:t>
      </w:r>
    </w:p>
    <w:p w14:paraId="5AFCBC77" w14:textId="0A6C7924" w:rsidR="00B2651D" w:rsidRPr="0058675F" w:rsidRDefault="00B2651D" w:rsidP="00B2651D">
      <w:pPr>
        <w:pStyle w:val="ListNumber2"/>
        <w:keepNext/>
        <w:numPr>
          <w:ilvl w:val="0"/>
          <w:numId w:val="0"/>
        </w:numPr>
        <w:ind w:left="1080"/>
        <w:rPr>
          <w:b/>
          <w:bCs/>
        </w:rPr>
      </w:pPr>
      <w:r w:rsidRPr="0058675F">
        <w:rPr>
          <w:b/>
          <w:bCs/>
        </w:rPr>
        <w:t xml:space="preserve">Recommendation </w:t>
      </w:r>
      <w:r w:rsidR="005E3E9A">
        <w:rPr>
          <w:b/>
          <w:bCs/>
        </w:rPr>
        <w:t>5</w:t>
      </w:r>
    </w:p>
    <w:p w14:paraId="2CD701AA" w14:textId="5C2B6C68" w:rsidR="00B2651D" w:rsidRDefault="00B2651D" w:rsidP="00B2651D">
      <w:pPr>
        <w:pStyle w:val="ListNumber2"/>
        <w:numPr>
          <w:ilvl w:val="0"/>
          <w:numId w:val="0"/>
        </w:numPr>
        <w:ind w:left="1080"/>
      </w:pPr>
      <w:r>
        <w:t>The Commission recommends that control orders be limited to people who have been convicted of a terrorist offence and who would still present unacceptable risks to the community at the end of their sentence if they were free of all restraint upon release from imprisonment.</w:t>
      </w:r>
      <w:r w:rsidR="00ED5BC5">
        <w:t xml:space="preserve">  This should be done by replacing the existing control order scheme with the extended supervision order scheme previously recommended by the third INSLM and the PJCIS.</w:t>
      </w:r>
    </w:p>
    <w:p w14:paraId="7354D83C" w14:textId="141FFEBB" w:rsidR="009C1366" w:rsidRPr="00E47787" w:rsidRDefault="009C1366" w:rsidP="009C1366">
      <w:pPr>
        <w:pStyle w:val="ListNumber2"/>
        <w:keepNext/>
        <w:numPr>
          <w:ilvl w:val="0"/>
          <w:numId w:val="0"/>
        </w:numPr>
        <w:ind w:left="1080"/>
        <w:rPr>
          <w:b/>
          <w:bCs/>
        </w:rPr>
      </w:pPr>
      <w:r w:rsidRPr="00E47787">
        <w:rPr>
          <w:b/>
          <w:bCs/>
        </w:rPr>
        <w:t xml:space="preserve">Recommendation </w:t>
      </w:r>
      <w:r w:rsidR="005E3E9A">
        <w:rPr>
          <w:b/>
          <w:bCs/>
        </w:rPr>
        <w:t>6</w:t>
      </w:r>
    </w:p>
    <w:p w14:paraId="18F874CE" w14:textId="4FA3F174" w:rsidR="009C1366" w:rsidRDefault="009C1366" w:rsidP="009C1366">
      <w:pPr>
        <w:pStyle w:val="ListNumber2"/>
        <w:numPr>
          <w:ilvl w:val="0"/>
          <w:numId w:val="0"/>
        </w:numPr>
        <w:ind w:left="1080"/>
      </w:pPr>
      <w:r>
        <w:t xml:space="preserve">The Commission recommends that s 104.5(3) </w:t>
      </w:r>
      <w:r w:rsidR="00F615CA">
        <w:t xml:space="preserve">of the Criminal Code </w:t>
      </w:r>
      <w:r>
        <w:t>be amended to expressly prohibit the making of a relocation order as part of a control order</w:t>
      </w:r>
      <w:r w:rsidR="00A2147C">
        <w:t xml:space="preserve"> (or extended supervision order)</w:t>
      </w:r>
      <w:r>
        <w:t>.</w:t>
      </w:r>
    </w:p>
    <w:p w14:paraId="6B65C4AB" w14:textId="2A7C0B7A" w:rsidR="00ED24E2" w:rsidRPr="00BE4AB0" w:rsidRDefault="00ED24E2" w:rsidP="00891C40">
      <w:pPr>
        <w:pStyle w:val="ListNumber2"/>
        <w:keepNext/>
        <w:numPr>
          <w:ilvl w:val="0"/>
          <w:numId w:val="0"/>
        </w:numPr>
        <w:ind w:left="1080"/>
        <w:rPr>
          <w:b/>
          <w:bCs/>
        </w:rPr>
      </w:pPr>
      <w:r w:rsidRPr="00BE4AB0">
        <w:rPr>
          <w:b/>
          <w:bCs/>
        </w:rPr>
        <w:t xml:space="preserve">Recommendation </w:t>
      </w:r>
      <w:r w:rsidR="005E3E9A">
        <w:rPr>
          <w:b/>
          <w:bCs/>
        </w:rPr>
        <w:t>7</w:t>
      </w:r>
    </w:p>
    <w:p w14:paraId="3A36D79F" w14:textId="52C2E947" w:rsidR="00ED24E2" w:rsidRDefault="00ED24E2" w:rsidP="00ED24E2">
      <w:pPr>
        <w:pStyle w:val="ListNumber2"/>
        <w:numPr>
          <w:ilvl w:val="0"/>
          <w:numId w:val="0"/>
        </w:numPr>
        <w:ind w:left="1080"/>
      </w:pPr>
      <w:r>
        <w:t xml:space="preserve">The Commission recommends that s 104.5(3) </w:t>
      </w:r>
      <w:r w:rsidR="00F615CA">
        <w:t xml:space="preserve">of the Criminal Code </w:t>
      </w:r>
      <w:r>
        <w:t>be amended to expressly prohibit long curfew periods during daylight hours</w:t>
      </w:r>
      <w:r w:rsidR="00603569">
        <w:t xml:space="preserve"> as part of a control order</w:t>
      </w:r>
      <w:r w:rsidR="00A2147C">
        <w:t xml:space="preserve"> (or extended supervision order)</w:t>
      </w:r>
      <w:r>
        <w:t>.</w:t>
      </w:r>
    </w:p>
    <w:p w14:paraId="22475B46" w14:textId="73D1077E" w:rsidR="00243185" w:rsidRPr="00EE1A48" w:rsidRDefault="00243185" w:rsidP="00243185">
      <w:pPr>
        <w:pStyle w:val="ListNumber2"/>
        <w:keepNext/>
        <w:numPr>
          <w:ilvl w:val="0"/>
          <w:numId w:val="0"/>
        </w:numPr>
        <w:ind w:left="1080"/>
        <w:rPr>
          <w:b/>
          <w:bCs/>
        </w:rPr>
      </w:pPr>
      <w:r w:rsidRPr="00EE1A48">
        <w:rPr>
          <w:b/>
          <w:bCs/>
        </w:rPr>
        <w:t xml:space="preserve">Recommendation </w:t>
      </w:r>
      <w:r w:rsidR="005E3E9A">
        <w:rPr>
          <w:b/>
          <w:bCs/>
        </w:rPr>
        <w:t>8</w:t>
      </w:r>
    </w:p>
    <w:p w14:paraId="268545E7" w14:textId="77777777" w:rsidR="00243185" w:rsidRDefault="00243185" w:rsidP="00243185">
      <w:pPr>
        <w:pStyle w:val="ListNumber2"/>
        <w:numPr>
          <w:ilvl w:val="0"/>
          <w:numId w:val="0"/>
        </w:numPr>
        <w:ind w:left="1080"/>
      </w:pPr>
      <w:r>
        <w:t>In the absence of some further compelling justification for the retention of the preventative detention order regime, the Commission recommends that the regime be repealed.</w:t>
      </w:r>
    </w:p>
    <w:p w14:paraId="071A0B9A" w14:textId="35196FDD" w:rsidR="00926CA3" w:rsidRPr="00980DC6" w:rsidRDefault="00926CA3" w:rsidP="00926CA3">
      <w:pPr>
        <w:pStyle w:val="ListNumber2"/>
        <w:keepNext/>
        <w:numPr>
          <w:ilvl w:val="0"/>
          <w:numId w:val="0"/>
        </w:numPr>
        <w:ind w:left="1077"/>
        <w:rPr>
          <w:b/>
          <w:bCs/>
        </w:rPr>
      </w:pPr>
      <w:r w:rsidRPr="00980DC6">
        <w:rPr>
          <w:b/>
          <w:bCs/>
        </w:rPr>
        <w:lastRenderedPageBreak/>
        <w:t xml:space="preserve">Recommendation </w:t>
      </w:r>
      <w:r w:rsidR="005E3E9A">
        <w:rPr>
          <w:b/>
          <w:bCs/>
        </w:rPr>
        <w:t>9</w:t>
      </w:r>
    </w:p>
    <w:p w14:paraId="0D3BC154" w14:textId="3430F2E9" w:rsidR="00926CA3" w:rsidRDefault="00926CA3" w:rsidP="00926CA3">
      <w:pPr>
        <w:pStyle w:val="ListNumber2"/>
        <w:numPr>
          <w:ilvl w:val="0"/>
          <w:numId w:val="0"/>
        </w:numPr>
        <w:ind w:left="1080"/>
      </w:pPr>
      <w:r>
        <w:t xml:space="preserve">The Commission recommends that the offence in s 119.2 of the </w:t>
      </w:r>
      <w:r w:rsidRPr="00891C40">
        <w:rPr>
          <w:iCs/>
        </w:rPr>
        <w:t>Criminal Code</w:t>
      </w:r>
      <w:r>
        <w:t xml:space="preserve"> (entering, or remaining in, declared areas) be excluded from the definition of ‘terrorist offender’ in s 105A.3(1)(a) of the Criminal Code, with the effect that a person convicted of such an offence is not liable for a continuing detention order.</w:t>
      </w:r>
    </w:p>
    <w:p w14:paraId="3D7B9ECA" w14:textId="77777777" w:rsidR="003060A7" w:rsidRPr="0020327D" w:rsidRDefault="003060A7" w:rsidP="003060A7">
      <w:pPr>
        <w:pStyle w:val="ListNumber2"/>
        <w:keepNext/>
        <w:numPr>
          <w:ilvl w:val="0"/>
          <w:numId w:val="0"/>
        </w:numPr>
        <w:ind w:left="1077"/>
        <w:rPr>
          <w:b/>
          <w:bCs/>
        </w:rPr>
      </w:pPr>
      <w:r w:rsidRPr="0020327D">
        <w:rPr>
          <w:b/>
          <w:bCs/>
        </w:rPr>
        <w:t>Recommendation 10</w:t>
      </w:r>
    </w:p>
    <w:p w14:paraId="4A8779FB" w14:textId="5D8C61E2" w:rsidR="003060A7" w:rsidRDefault="003060A7" w:rsidP="003060A7">
      <w:pPr>
        <w:pStyle w:val="ListNumber2"/>
        <w:numPr>
          <w:ilvl w:val="0"/>
          <w:numId w:val="0"/>
        </w:numPr>
        <w:ind w:left="1080"/>
      </w:pPr>
      <w:r>
        <w:t xml:space="preserve">The Commission recommends that a report prepared by an expert appointed under s 105A.6 </w:t>
      </w:r>
      <w:r w:rsidR="005D1F8C">
        <w:t xml:space="preserve">of the Criminal Code </w:t>
      </w:r>
      <w:r>
        <w:t>be required to contain details of any limitations on the expert’s assessment of the risk of the offender committing a serious Part 5.3 offence if the offender were released into the community, and the expert’s degree of confidence in that assessment.</w:t>
      </w:r>
    </w:p>
    <w:p w14:paraId="35B0DAE3" w14:textId="75F4C4A5" w:rsidR="00B850BF" w:rsidRPr="003F7743" w:rsidRDefault="00B850BF" w:rsidP="00B850BF">
      <w:pPr>
        <w:pStyle w:val="ListNumber2"/>
        <w:keepNext/>
        <w:numPr>
          <w:ilvl w:val="0"/>
          <w:numId w:val="0"/>
        </w:numPr>
        <w:ind w:left="1080"/>
        <w:rPr>
          <w:b/>
          <w:bCs/>
        </w:rPr>
      </w:pPr>
      <w:r w:rsidRPr="003F7743">
        <w:rPr>
          <w:b/>
          <w:bCs/>
        </w:rPr>
        <w:t xml:space="preserve">Recommendation </w:t>
      </w:r>
      <w:r w:rsidR="005E3E9A">
        <w:rPr>
          <w:b/>
          <w:bCs/>
        </w:rPr>
        <w:t>1</w:t>
      </w:r>
      <w:r w:rsidR="003060A7">
        <w:rPr>
          <w:b/>
          <w:bCs/>
        </w:rPr>
        <w:t>1</w:t>
      </w:r>
    </w:p>
    <w:p w14:paraId="5CCA05D0" w14:textId="69407449" w:rsidR="00B850BF" w:rsidRDefault="00B850BF" w:rsidP="00B850BF">
      <w:pPr>
        <w:pStyle w:val="ListNumber2"/>
        <w:numPr>
          <w:ilvl w:val="0"/>
          <w:numId w:val="0"/>
        </w:numPr>
        <w:ind w:left="1080"/>
      </w:pPr>
      <w:r>
        <w:t>The Commission recommends that the PJCIS seek an update from the Department of Home Affairs about</w:t>
      </w:r>
      <w:r w:rsidR="008E3C25">
        <w:t xml:space="preserve"> the following matter</w:t>
      </w:r>
      <w:r w:rsidR="005F116E">
        <w:t>s</w:t>
      </w:r>
      <w:r w:rsidR="008E3C25">
        <w:t xml:space="preserve"> in relation to the continuing detention order </w:t>
      </w:r>
      <w:r w:rsidR="003103CA">
        <w:t>regime</w:t>
      </w:r>
      <w:r w:rsidR="008E3C25">
        <w:t xml:space="preserve"> in </w:t>
      </w:r>
      <w:proofErr w:type="spellStart"/>
      <w:r w:rsidR="008E3C25">
        <w:t>Div</w:t>
      </w:r>
      <w:proofErr w:type="spellEnd"/>
      <w:r w:rsidR="008E3C25">
        <w:t xml:space="preserve"> 105A of the Criminal Code</w:t>
      </w:r>
      <w:r>
        <w:t>:</w:t>
      </w:r>
    </w:p>
    <w:p w14:paraId="4D4DE41D" w14:textId="374A17FD" w:rsidR="00B850BF" w:rsidRPr="001073D9" w:rsidRDefault="00B850BF" w:rsidP="00B850BF">
      <w:pPr>
        <w:pStyle w:val="SubmissionNormal"/>
        <w:numPr>
          <w:ilvl w:val="0"/>
          <w:numId w:val="0"/>
        </w:numPr>
        <w:ind w:left="1800" w:hanging="720"/>
      </w:pPr>
      <w:r>
        <w:t>(a)</w:t>
      </w:r>
      <w:r>
        <w:tab/>
      </w:r>
      <w:r w:rsidRPr="001073D9">
        <w:t>the development of a risk assessment too</w:t>
      </w:r>
      <w:r w:rsidR="008E3C25">
        <w:t>l</w:t>
      </w:r>
      <w:r w:rsidRPr="001073D9">
        <w:t>, steps taken to validate any tool for Australian circumstances</w:t>
      </w:r>
      <w:r w:rsidR="003060A7">
        <w:t>,</w:t>
      </w:r>
      <w:r w:rsidR="003060A7" w:rsidRPr="003060A7">
        <w:t xml:space="preserve"> </w:t>
      </w:r>
      <w:r w:rsidR="003060A7">
        <w:t>and any independent evaluation of the reliability of this tool in Australia and/or other comparable jurisdictions</w:t>
      </w:r>
    </w:p>
    <w:p w14:paraId="4035076C" w14:textId="77777777" w:rsidR="00B850BF" w:rsidRPr="001073D9" w:rsidRDefault="00B850BF" w:rsidP="00B850BF">
      <w:pPr>
        <w:pStyle w:val="SubmissionNormal"/>
        <w:numPr>
          <w:ilvl w:val="0"/>
          <w:numId w:val="0"/>
        </w:numPr>
        <w:ind w:left="1800" w:hanging="720"/>
      </w:pPr>
      <w:r>
        <w:t>(b)</w:t>
      </w:r>
      <w:r>
        <w:tab/>
      </w:r>
      <w:r w:rsidRPr="001073D9">
        <w:t>the identification, training and qualification of relevant experts</w:t>
      </w:r>
    </w:p>
    <w:p w14:paraId="4D6AA0BC" w14:textId="62233D89" w:rsidR="00B850BF" w:rsidRPr="001073D9" w:rsidRDefault="00B850BF" w:rsidP="00B850BF">
      <w:pPr>
        <w:pStyle w:val="SubmissionNormal"/>
        <w:numPr>
          <w:ilvl w:val="0"/>
          <w:numId w:val="0"/>
        </w:numPr>
        <w:ind w:left="1800" w:hanging="720"/>
      </w:pPr>
      <w:r>
        <w:t>(c)</w:t>
      </w:r>
      <w:r>
        <w:tab/>
      </w:r>
      <w:r w:rsidRPr="001073D9">
        <w:t xml:space="preserve">the minimum standards for housing people detained under the </w:t>
      </w:r>
      <w:r w:rsidR="00C354C6">
        <w:t xml:space="preserve">continuing detention order </w:t>
      </w:r>
      <w:r w:rsidR="003D483D">
        <w:t>regime</w:t>
      </w:r>
    </w:p>
    <w:p w14:paraId="0EA538B9" w14:textId="02CDECC6" w:rsidR="00B850BF" w:rsidRPr="001073D9" w:rsidRDefault="00B850BF" w:rsidP="00B850BF">
      <w:pPr>
        <w:pStyle w:val="SubmissionNormal"/>
        <w:numPr>
          <w:ilvl w:val="0"/>
          <w:numId w:val="0"/>
        </w:numPr>
        <w:ind w:left="1800" w:hanging="720"/>
      </w:pPr>
      <w:r>
        <w:t>(d)</w:t>
      </w:r>
      <w:r>
        <w:tab/>
      </w:r>
      <w:r w:rsidRPr="001073D9">
        <w:t xml:space="preserve">the mechanisms for oversight and inspection of conditions of detention for people detained under the </w:t>
      </w:r>
      <w:r w:rsidR="00C354C6">
        <w:t xml:space="preserve">continuing detention order </w:t>
      </w:r>
      <w:r w:rsidR="003D483D">
        <w:t>regime</w:t>
      </w:r>
    </w:p>
    <w:p w14:paraId="737DBE50" w14:textId="77777777" w:rsidR="00B850BF" w:rsidRDefault="00B850BF" w:rsidP="00B850BF">
      <w:pPr>
        <w:pStyle w:val="SubmissionNormal"/>
        <w:numPr>
          <w:ilvl w:val="0"/>
          <w:numId w:val="0"/>
        </w:numPr>
        <w:ind w:left="1800" w:hanging="720"/>
      </w:pPr>
      <w:r>
        <w:t>(e)</w:t>
      </w:r>
      <w:r>
        <w:tab/>
      </w:r>
      <w:r w:rsidRPr="001073D9">
        <w:t>the steps taken to develop rehabilitation programs to reduce the risk of reoffending</w:t>
      </w:r>
    </w:p>
    <w:p w14:paraId="39FAEA3D" w14:textId="77777777" w:rsidR="00B850BF" w:rsidRDefault="00B850BF" w:rsidP="00B850BF">
      <w:pPr>
        <w:pStyle w:val="ListNumber2"/>
        <w:numPr>
          <w:ilvl w:val="0"/>
          <w:numId w:val="0"/>
        </w:numPr>
        <w:ind w:left="1080"/>
      </w:pPr>
      <w:r>
        <w:t>and publish the responses to the full extent possible that is consistent with the requirements of national security.</w:t>
      </w:r>
    </w:p>
    <w:p w14:paraId="0973596F" w14:textId="0DEE2E1A" w:rsidR="007F7432" w:rsidRPr="008A2266" w:rsidRDefault="007F7432" w:rsidP="007F7432">
      <w:pPr>
        <w:pStyle w:val="SubmissionNormal"/>
        <w:keepNext/>
        <w:numPr>
          <w:ilvl w:val="0"/>
          <w:numId w:val="0"/>
        </w:numPr>
        <w:ind w:left="1080"/>
        <w:rPr>
          <w:b/>
        </w:rPr>
      </w:pPr>
      <w:r>
        <w:rPr>
          <w:b/>
        </w:rPr>
        <w:lastRenderedPageBreak/>
        <w:t>Recommendation 1</w:t>
      </w:r>
      <w:r w:rsidR="003060A7">
        <w:rPr>
          <w:b/>
        </w:rPr>
        <w:t>2</w:t>
      </w:r>
    </w:p>
    <w:p w14:paraId="293AADE0" w14:textId="77777777" w:rsidR="007F7432" w:rsidRDefault="007F7432" w:rsidP="007F7432">
      <w:pPr>
        <w:pStyle w:val="SubmissionNormal"/>
        <w:numPr>
          <w:ilvl w:val="0"/>
          <w:numId w:val="0"/>
        </w:numPr>
        <w:ind w:left="1080"/>
      </w:pPr>
      <w:r>
        <w:t>The Commission recommends that an independent risk management body be established to:</w:t>
      </w:r>
    </w:p>
    <w:p w14:paraId="4B2D26D7" w14:textId="77777777" w:rsidR="007F7432" w:rsidRDefault="007F7432" w:rsidP="007F7432">
      <w:pPr>
        <w:pStyle w:val="SubmissionNormal"/>
        <w:numPr>
          <w:ilvl w:val="0"/>
          <w:numId w:val="0"/>
        </w:numPr>
        <w:ind w:left="1800" w:hanging="720"/>
      </w:pPr>
      <w:r>
        <w:t>(a)</w:t>
      </w:r>
      <w:r>
        <w:tab/>
        <w:t>accredit people in the assessment of risk for the purpose of becoming ‘relevant experts’ as defined in s 105A.2 of the Criminal Code</w:t>
      </w:r>
    </w:p>
    <w:p w14:paraId="1E37F65A" w14:textId="77777777" w:rsidR="007F7432" w:rsidRDefault="007F7432" w:rsidP="007F7432">
      <w:pPr>
        <w:pStyle w:val="SubmissionNormal"/>
        <w:numPr>
          <w:ilvl w:val="0"/>
          <w:numId w:val="0"/>
        </w:numPr>
        <w:ind w:left="1800" w:hanging="720"/>
      </w:pPr>
      <w:r>
        <w:t>(b)</w:t>
      </w:r>
      <w:r>
        <w:tab/>
        <w:t>develop best-practice risk-assessment and risk-management processes, guidelines and standards</w:t>
      </w:r>
    </w:p>
    <w:p w14:paraId="63F291EA" w14:textId="77777777" w:rsidR="007F7432" w:rsidRDefault="007F7432" w:rsidP="007F7432">
      <w:pPr>
        <w:pStyle w:val="SubmissionNormal"/>
        <w:numPr>
          <w:ilvl w:val="0"/>
          <w:numId w:val="0"/>
        </w:numPr>
        <w:ind w:left="1800" w:hanging="720"/>
      </w:pPr>
      <w:r>
        <w:t>(c)</w:t>
      </w:r>
      <w:r>
        <w:tab/>
        <w:t>validate new risk assessment tools and processes</w:t>
      </w:r>
    </w:p>
    <w:p w14:paraId="1EB9A892" w14:textId="1A8F6109" w:rsidR="00284843" w:rsidRDefault="007F7432" w:rsidP="007F7432">
      <w:pPr>
        <w:pStyle w:val="SubmissionNormal"/>
        <w:numPr>
          <w:ilvl w:val="0"/>
          <w:numId w:val="0"/>
        </w:numPr>
        <w:ind w:left="1800" w:hanging="720"/>
      </w:pPr>
      <w:r>
        <w:t>(d)</w:t>
      </w:r>
      <w:r>
        <w:tab/>
      </w:r>
      <w:r w:rsidR="00284843">
        <w:t>evaluate the operation of risk assessment tools</w:t>
      </w:r>
    </w:p>
    <w:p w14:paraId="6BD4B930" w14:textId="1B6C0884" w:rsidR="007F7432" w:rsidRDefault="00284843" w:rsidP="007F7432">
      <w:pPr>
        <w:pStyle w:val="SubmissionNormal"/>
        <w:numPr>
          <w:ilvl w:val="0"/>
          <w:numId w:val="0"/>
        </w:numPr>
        <w:ind w:left="1800" w:hanging="720"/>
      </w:pPr>
      <w:r>
        <w:t>(e)</w:t>
      </w:r>
      <w:r>
        <w:tab/>
      </w:r>
      <w:r w:rsidR="007F7432">
        <w:t>undertake and commission research on risk assessment methods; and</w:t>
      </w:r>
    </w:p>
    <w:p w14:paraId="5AD157F4" w14:textId="013B1FD9" w:rsidR="007F7432" w:rsidRDefault="007F7432" w:rsidP="007F7432">
      <w:pPr>
        <w:pStyle w:val="SubmissionNormal"/>
        <w:numPr>
          <w:ilvl w:val="0"/>
          <w:numId w:val="0"/>
        </w:numPr>
        <w:ind w:left="1800" w:hanging="720"/>
      </w:pPr>
      <w:r>
        <w:t>(</w:t>
      </w:r>
      <w:r w:rsidR="00864C4B">
        <w:t>f</w:t>
      </w:r>
      <w:r>
        <w:t>)</w:t>
      </w:r>
      <w:r>
        <w:tab/>
        <w:t>provide education and training for risk assessors.</w:t>
      </w:r>
    </w:p>
    <w:p w14:paraId="2C280CAD" w14:textId="54418978" w:rsidR="007F7432" w:rsidRPr="004343CF" w:rsidRDefault="007F7432" w:rsidP="007F7432">
      <w:pPr>
        <w:pStyle w:val="SubmissionNormal"/>
        <w:keepNext/>
        <w:numPr>
          <w:ilvl w:val="0"/>
          <w:numId w:val="0"/>
        </w:numPr>
        <w:ind w:left="1800" w:hanging="720"/>
        <w:rPr>
          <w:b/>
        </w:rPr>
      </w:pPr>
      <w:r>
        <w:rPr>
          <w:b/>
        </w:rPr>
        <w:t>Recommendation 1</w:t>
      </w:r>
      <w:r w:rsidR="003060A7">
        <w:rPr>
          <w:b/>
        </w:rPr>
        <w:t>3</w:t>
      </w:r>
    </w:p>
    <w:p w14:paraId="177B04F1" w14:textId="77777777" w:rsidR="007F7432" w:rsidRDefault="007F7432" w:rsidP="007F7432">
      <w:pPr>
        <w:pStyle w:val="SubmissionNormal"/>
        <w:numPr>
          <w:ilvl w:val="0"/>
          <w:numId w:val="0"/>
        </w:numPr>
        <w:ind w:left="1080"/>
      </w:pPr>
      <w:r>
        <w:t>The Commission recommends that ‘relevant experts’ be required to be accredited by the independent risk management body in order to be appointed under s 105A.6 of the Criminal Code.</w:t>
      </w:r>
    </w:p>
    <w:p w14:paraId="79F0D9B5" w14:textId="71439EED" w:rsidR="00FA4EA0" w:rsidRPr="008D7BD5" w:rsidRDefault="00FA4EA0" w:rsidP="00FA4EA0">
      <w:pPr>
        <w:pStyle w:val="ListNumber2"/>
        <w:keepNext/>
        <w:numPr>
          <w:ilvl w:val="0"/>
          <w:numId w:val="0"/>
        </w:numPr>
        <w:ind w:left="1080"/>
        <w:rPr>
          <w:b/>
          <w:bCs/>
        </w:rPr>
      </w:pPr>
      <w:r w:rsidRPr="008D7BD5">
        <w:rPr>
          <w:b/>
          <w:bCs/>
        </w:rPr>
        <w:t xml:space="preserve">Recommendation </w:t>
      </w:r>
      <w:r>
        <w:rPr>
          <w:b/>
          <w:bCs/>
        </w:rPr>
        <w:t>1</w:t>
      </w:r>
      <w:r w:rsidR="003060A7">
        <w:rPr>
          <w:b/>
          <w:bCs/>
        </w:rPr>
        <w:t>4</w:t>
      </w:r>
    </w:p>
    <w:p w14:paraId="27DCDC15" w14:textId="0B120FF8" w:rsidR="00FA4EA0" w:rsidRDefault="00FA4EA0" w:rsidP="00FA4EA0">
      <w:pPr>
        <w:pStyle w:val="ListNumber2"/>
        <w:numPr>
          <w:ilvl w:val="0"/>
          <w:numId w:val="0"/>
        </w:numPr>
        <w:ind w:left="1080"/>
      </w:pPr>
      <w:r>
        <w:t xml:space="preserve">The Commission recommends that the </w:t>
      </w:r>
      <w:r w:rsidR="009F0B31">
        <w:t xml:space="preserve">State and Territory </w:t>
      </w:r>
      <w:r>
        <w:t xml:space="preserve">Supreme Courts be authorised to make an extended supervision order as an alternative to a continuing detention order under </w:t>
      </w:r>
      <w:proofErr w:type="spellStart"/>
      <w:r>
        <w:t>Div</w:t>
      </w:r>
      <w:proofErr w:type="spellEnd"/>
      <w:r>
        <w:t xml:space="preserve"> 105A of the Criminal Code, based on the criteria recommended by the INSLM in the 2017 Statutory Deadline Review</w:t>
      </w:r>
      <w:r w:rsidR="00477292">
        <w:t>s</w:t>
      </w:r>
      <w:r>
        <w:t>.</w:t>
      </w:r>
    </w:p>
    <w:p w14:paraId="5EF3D7AF" w14:textId="4A34E9B3" w:rsidR="00FA4EA0" w:rsidRPr="00D73DF2" w:rsidRDefault="00FA4EA0" w:rsidP="00FA4EA0">
      <w:pPr>
        <w:pStyle w:val="ListNumber2"/>
        <w:keepNext/>
        <w:numPr>
          <w:ilvl w:val="0"/>
          <w:numId w:val="0"/>
        </w:numPr>
        <w:ind w:left="1080"/>
        <w:rPr>
          <w:b/>
          <w:bCs/>
        </w:rPr>
      </w:pPr>
      <w:r w:rsidRPr="00D73DF2">
        <w:rPr>
          <w:b/>
          <w:bCs/>
        </w:rPr>
        <w:t xml:space="preserve">Recommendation </w:t>
      </w:r>
      <w:r>
        <w:rPr>
          <w:b/>
          <w:bCs/>
        </w:rPr>
        <w:t>1</w:t>
      </w:r>
      <w:r w:rsidR="003060A7">
        <w:rPr>
          <w:b/>
          <w:bCs/>
        </w:rPr>
        <w:t>5</w:t>
      </w:r>
    </w:p>
    <w:p w14:paraId="4BA64E68" w14:textId="77777777" w:rsidR="00FA4EA0" w:rsidRDefault="00FA4EA0" w:rsidP="00FA4EA0">
      <w:pPr>
        <w:pStyle w:val="ListNumber2"/>
        <w:numPr>
          <w:ilvl w:val="0"/>
          <w:numId w:val="0"/>
        </w:numPr>
        <w:ind w:left="1080"/>
      </w:pPr>
      <w:r>
        <w:t xml:space="preserve">The Commission recommends that the special advocate regime currently available for use in control order proceedings also be available for proceedings in relation to applications for continuing detention orders or extended supervision orders under </w:t>
      </w:r>
      <w:proofErr w:type="spellStart"/>
      <w:r>
        <w:t>Div</w:t>
      </w:r>
      <w:proofErr w:type="spellEnd"/>
      <w:r>
        <w:t xml:space="preserve"> 105A of the Criminal Code.</w:t>
      </w:r>
    </w:p>
    <w:p w14:paraId="2546B040" w14:textId="6AF65EC0" w:rsidR="00E902D0" w:rsidRDefault="00E902D0" w:rsidP="00E902D0">
      <w:pPr>
        <w:pStyle w:val="ListNumber2"/>
        <w:keepNext/>
        <w:numPr>
          <w:ilvl w:val="0"/>
          <w:numId w:val="0"/>
        </w:numPr>
        <w:ind w:left="1080"/>
        <w:rPr>
          <w:b/>
          <w:bCs/>
        </w:rPr>
      </w:pPr>
      <w:r w:rsidRPr="00EA5619">
        <w:rPr>
          <w:b/>
          <w:bCs/>
        </w:rPr>
        <w:lastRenderedPageBreak/>
        <w:t xml:space="preserve">Recommendation </w:t>
      </w:r>
      <w:r>
        <w:rPr>
          <w:b/>
          <w:bCs/>
        </w:rPr>
        <w:t>1</w:t>
      </w:r>
      <w:r w:rsidR="003060A7">
        <w:rPr>
          <w:b/>
          <w:bCs/>
        </w:rPr>
        <w:t>6</w:t>
      </w:r>
    </w:p>
    <w:p w14:paraId="23E45720" w14:textId="4D1F772B" w:rsidR="00E902D0" w:rsidRDefault="00E902D0" w:rsidP="00E902D0">
      <w:pPr>
        <w:pStyle w:val="ListNumber2"/>
        <w:numPr>
          <w:ilvl w:val="0"/>
          <w:numId w:val="0"/>
        </w:numPr>
        <w:ind w:left="1080"/>
      </w:pPr>
      <w:r>
        <w:t>The Commission recommends that</w:t>
      </w:r>
      <w:r w:rsidR="00B42E5C">
        <w:t xml:space="preserve">, if the control order regime is retained </w:t>
      </w:r>
      <w:r w:rsidR="0038135D">
        <w:t xml:space="preserve">and a parallel </w:t>
      </w:r>
      <w:r w:rsidR="00B42E5C">
        <w:t xml:space="preserve">extended </w:t>
      </w:r>
      <w:r w:rsidR="0038135D">
        <w:t>supervision order regime is created</w:t>
      </w:r>
      <w:r>
        <w:t>:</w:t>
      </w:r>
    </w:p>
    <w:p w14:paraId="09EF323B" w14:textId="3C60FCE6" w:rsidR="00E902D0" w:rsidRDefault="00E902D0" w:rsidP="00E902D0">
      <w:pPr>
        <w:pStyle w:val="SubmissionNormal"/>
        <w:numPr>
          <w:ilvl w:val="0"/>
          <w:numId w:val="0"/>
        </w:numPr>
        <w:ind w:left="1800" w:hanging="720"/>
      </w:pPr>
      <w:r>
        <w:t>(a)</w:t>
      </w:r>
      <w:r>
        <w:tab/>
        <w:t xml:space="preserve">the AFP Minister be unable to give consent under s 104.2 of the Criminal Code to the AFP requesting a control order, if proceedings for a continuing detention order or an extended supervision order under </w:t>
      </w:r>
      <w:proofErr w:type="spellStart"/>
      <w:r>
        <w:t>Div</w:t>
      </w:r>
      <w:proofErr w:type="spellEnd"/>
      <w:r>
        <w:t xml:space="preserve"> 105A are pending</w:t>
      </w:r>
    </w:p>
    <w:p w14:paraId="3866BF7A" w14:textId="77777777" w:rsidR="00E902D0" w:rsidRDefault="00E902D0" w:rsidP="00E902D0">
      <w:pPr>
        <w:pStyle w:val="SubmissionNormal"/>
        <w:numPr>
          <w:ilvl w:val="0"/>
          <w:numId w:val="0"/>
        </w:numPr>
        <w:ind w:left="1800" w:hanging="720"/>
      </w:pPr>
      <w:r>
        <w:t>(b)</w:t>
      </w:r>
      <w:r>
        <w:tab/>
        <w:t xml:space="preserve">in requesting an interim control order in relation to a person, the senior AFP member be required to give the issuing court a copy of any application under </w:t>
      </w:r>
      <w:proofErr w:type="spellStart"/>
      <w:r>
        <w:t>Div</w:t>
      </w:r>
      <w:proofErr w:type="spellEnd"/>
      <w:r>
        <w:t xml:space="preserve"> 105A in relation to that person, and any order (including reasons) of the relevant court in respect of that application</w:t>
      </w:r>
    </w:p>
    <w:p w14:paraId="03EDC9D2" w14:textId="1452D8C8" w:rsidR="00D21607" w:rsidRPr="003423F4" w:rsidRDefault="00E902D0" w:rsidP="00E902D0">
      <w:pPr>
        <w:pStyle w:val="SubmissionNormal"/>
        <w:numPr>
          <w:ilvl w:val="0"/>
          <w:numId w:val="0"/>
        </w:numPr>
        <w:ind w:left="1800" w:hanging="720"/>
      </w:pPr>
      <w:r>
        <w:t>(c)</w:t>
      </w:r>
      <w:r>
        <w:tab/>
        <w:t>no control order may be in force in relation to a person while a continuing detention order or an extended supervision order is in force in relation to that person.</w:t>
      </w:r>
    </w:p>
    <w:p w14:paraId="2B87C3F3" w14:textId="2876D39B" w:rsidR="003423F4" w:rsidRDefault="00BA1E27" w:rsidP="003423F4">
      <w:pPr>
        <w:pStyle w:val="Heading1"/>
      </w:pPr>
      <w:bookmarkStart w:id="10" w:name="_Toc50633812"/>
      <w:r>
        <w:t>Background</w:t>
      </w:r>
      <w:bookmarkEnd w:id="10"/>
    </w:p>
    <w:p w14:paraId="2023C970" w14:textId="64E5D883" w:rsidR="0020423D" w:rsidRDefault="0080157C" w:rsidP="00741EB9">
      <w:pPr>
        <w:pStyle w:val="ListNumber2"/>
        <w:tabs>
          <w:tab w:val="clear" w:pos="643"/>
          <w:tab w:val="num" w:pos="1080"/>
        </w:tabs>
        <w:ind w:left="1080" w:hanging="797"/>
      </w:pPr>
      <w:r>
        <w:t xml:space="preserve">The stop, search and </w:t>
      </w:r>
      <w:r w:rsidR="008346EA">
        <w:t xml:space="preserve">seize powers in </w:t>
      </w:r>
      <w:proofErr w:type="spellStart"/>
      <w:r w:rsidR="008346EA">
        <w:t>Div</w:t>
      </w:r>
      <w:proofErr w:type="spellEnd"/>
      <w:r w:rsidR="008346EA">
        <w:t xml:space="preserve"> 3A of Part IAA of the Crimes Act and the control order and </w:t>
      </w:r>
      <w:r w:rsidR="001D2331">
        <w:t>PDO</w:t>
      </w:r>
      <w:r w:rsidR="008346EA">
        <w:t xml:space="preserve"> regimes in </w:t>
      </w:r>
      <w:proofErr w:type="spellStart"/>
      <w:r w:rsidR="008346EA">
        <w:t>Divs</w:t>
      </w:r>
      <w:proofErr w:type="spellEnd"/>
      <w:r w:rsidR="008346EA">
        <w:t xml:space="preserve"> 104 and 105 of Part 5.3 of the Criminal Code were first introduced </w:t>
      </w:r>
      <w:r w:rsidR="004C5EBC">
        <w:t xml:space="preserve">by the </w:t>
      </w:r>
      <w:r w:rsidR="004C5EBC" w:rsidRPr="00741EB9">
        <w:rPr>
          <w:i/>
          <w:iCs/>
        </w:rPr>
        <w:t>Anti-Terrorism Act (No 2) 2005</w:t>
      </w:r>
      <w:r w:rsidR="004C5EBC">
        <w:t xml:space="preserve"> (</w:t>
      </w:r>
      <w:proofErr w:type="spellStart"/>
      <w:r w:rsidR="004C5EBC">
        <w:t>Cth</w:t>
      </w:r>
      <w:proofErr w:type="spellEnd"/>
      <w:r w:rsidR="004C5EBC">
        <w:t>)</w:t>
      </w:r>
      <w:r w:rsidR="000B571C">
        <w:t>,</w:t>
      </w:r>
      <w:r w:rsidR="00E47A60">
        <w:t xml:space="preserve"> </w:t>
      </w:r>
      <w:r w:rsidR="00E96C63">
        <w:t>following the July 2005 terrorist attacks in London</w:t>
      </w:r>
      <w:r w:rsidR="004C5EBC">
        <w:t xml:space="preserve">.  </w:t>
      </w:r>
    </w:p>
    <w:p w14:paraId="7829E653" w14:textId="64E9B7CC" w:rsidR="0020423D" w:rsidRDefault="00055E93" w:rsidP="00741EB9">
      <w:pPr>
        <w:pStyle w:val="ListNumber2"/>
        <w:tabs>
          <w:tab w:val="clear" w:pos="643"/>
          <w:tab w:val="num" w:pos="1080"/>
        </w:tabs>
        <w:ind w:left="1080" w:hanging="797"/>
      </w:pPr>
      <w:r>
        <w:t xml:space="preserve">The legislative proposals were reviewed </w:t>
      </w:r>
      <w:r w:rsidR="0098330C">
        <w:t>in detail</w:t>
      </w:r>
      <w:r w:rsidR="00191A6D">
        <w:t>,</w:t>
      </w:r>
      <w:r w:rsidR="0098330C">
        <w:t xml:space="preserve"> prior to their introduction</w:t>
      </w:r>
      <w:r w:rsidR="00191A6D">
        <w:t>,</w:t>
      </w:r>
      <w:r w:rsidR="0098330C">
        <w:t xml:space="preserve"> by the Senate Legal and Constitutional Legislation Committee </w:t>
      </w:r>
      <w:r w:rsidR="00191A6D">
        <w:t>c</w:t>
      </w:r>
      <w:r w:rsidR="0098330C">
        <w:t xml:space="preserve">haired by </w:t>
      </w:r>
      <w:r w:rsidR="0098330C" w:rsidRPr="00B05EC0">
        <w:t xml:space="preserve">Senator </w:t>
      </w:r>
      <w:proofErr w:type="spellStart"/>
      <w:r w:rsidR="0098330C" w:rsidRPr="00B05EC0">
        <w:t>Marise</w:t>
      </w:r>
      <w:proofErr w:type="spellEnd"/>
      <w:r w:rsidR="0098330C" w:rsidRPr="00B05EC0">
        <w:t xml:space="preserve"> Payne</w:t>
      </w:r>
      <w:r w:rsidR="0098330C">
        <w:t xml:space="preserve">.  </w:t>
      </w:r>
      <w:r w:rsidR="000D1606">
        <w:t>T</w:t>
      </w:r>
      <w:r w:rsidR="0098330C">
        <w:t xml:space="preserve">he Committee </w:t>
      </w:r>
      <w:r w:rsidR="000D1606">
        <w:t xml:space="preserve">recognised that the </w:t>
      </w:r>
      <w:r w:rsidR="00B11751">
        <w:t>Bill</w:t>
      </w:r>
      <w:r w:rsidR="000D1606">
        <w:t xml:space="preserve"> represented </w:t>
      </w:r>
      <w:r w:rsidR="00283ABB">
        <w:t>‘</w:t>
      </w:r>
      <w:r w:rsidR="00B11751">
        <w:t>the proposed introduction into Australian law of a completely new scheme capable of depriving citizens and residents of their liberty and allowing far reaching intrusions into other fundamental civil liberties</w:t>
      </w:r>
      <w:r w:rsidR="00283ABB">
        <w:t>’</w:t>
      </w:r>
      <w:r w:rsidR="00B11751">
        <w:t>.</w:t>
      </w:r>
      <w:r w:rsidR="00A16A82" w:rsidRPr="00895256">
        <w:rPr>
          <w:sz w:val="20"/>
          <w:szCs w:val="20"/>
          <w:vertAlign w:val="superscript"/>
        </w:rPr>
        <w:endnoteReference w:id="24"/>
      </w:r>
      <w:r w:rsidR="0098330C">
        <w:t xml:space="preserve"> </w:t>
      </w:r>
      <w:r w:rsidR="00330E7F">
        <w:t xml:space="preserve"> The rationale for such provisions was the </w:t>
      </w:r>
      <w:r w:rsidR="00692404">
        <w:t xml:space="preserve">changing nature of the </w:t>
      </w:r>
      <w:r w:rsidR="00330E7F">
        <w:t>terrorist threat facing Australia</w:t>
      </w:r>
      <w:r w:rsidR="00191A6D">
        <w:t>.</w:t>
      </w:r>
      <w:r w:rsidR="0086180B">
        <w:t xml:space="preserve">  The Committee made 52 recommendations, some of which were accepted by the Government. </w:t>
      </w:r>
    </w:p>
    <w:p w14:paraId="2AD40B5E" w14:textId="2BF5C311" w:rsidR="00546B47" w:rsidRDefault="004C5EBC" w:rsidP="00741EB9">
      <w:pPr>
        <w:pStyle w:val="ListNumber2"/>
        <w:tabs>
          <w:tab w:val="clear" w:pos="643"/>
          <w:tab w:val="num" w:pos="1080"/>
        </w:tabs>
        <w:ind w:left="1080" w:hanging="797"/>
      </w:pPr>
      <w:r>
        <w:t xml:space="preserve">The </w:t>
      </w:r>
      <w:r w:rsidR="004C4C87">
        <w:t>Act</w:t>
      </w:r>
      <w:r>
        <w:t xml:space="preserve"> entered into force </w:t>
      </w:r>
      <w:r w:rsidR="007F46B1">
        <w:t>on 14 December 2005</w:t>
      </w:r>
      <w:r w:rsidR="00F57847">
        <w:t>.</w:t>
      </w:r>
      <w:r w:rsidR="007F46B1">
        <w:t xml:space="preserve"> </w:t>
      </w:r>
      <w:r w:rsidR="00F57847">
        <w:t xml:space="preserve"> T</w:t>
      </w:r>
      <w:r w:rsidR="00D1792F">
        <w:t>he new provisions were</w:t>
      </w:r>
      <w:r w:rsidR="007F46B1">
        <w:t xml:space="preserve"> made subject to sunset provisions</w:t>
      </w:r>
      <w:r w:rsidR="00D16E1B">
        <w:t xml:space="preserve"> which meant that they would cease operation after 10 years</w:t>
      </w:r>
      <w:r w:rsidR="003840C7">
        <w:t>, that is,</w:t>
      </w:r>
      <w:r w:rsidR="000B60DC">
        <w:t xml:space="preserve"> on 15 December 2015</w:t>
      </w:r>
      <w:r w:rsidR="00E77873">
        <w:t>.</w:t>
      </w:r>
      <w:r w:rsidR="00EA2240">
        <w:t xml:space="preserve"> </w:t>
      </w:r>
      <w:r w:rsidR="00DF7021">
        <w:t xml:space="preserve"> </w:t>
      </w:r>
      <w:r w:rsidR="00546B47">
        <w:t xml:space="preserve">The </w:t>
      </w:r>
      <w:r w:rsidR="00546B47">
        <w:lastRenderedPageBreak/>
        <w:t xml:space="preserve">rationale for </w:t>
      </w:r>
      <w:r w:rsidR="007806C4">
        <w:t>making the</w:t>
      </w:r>
      <w:r w:rsidR="00EB03BD">
        <w:t xml:space="preserve"> existence of these</w:t>
      </w:r>
      <w:r w:rsidR="007806C4">
        <w:t xml:space="preserve"> provisions subject to a time limit was </w:t>
      </w:r>
      <w:r w:rsidR="00F044B9">
        <w:t>discussed by the Senate Legal and Constitutional Legislation Committee</w:t>
      </w:r>
      <w:r w:rsidR="00A52408">
        <w:t xml:space="preserve">.  </w:t>
      </w:r>
      <w:r w:rsidR="00892CB5">
        <w:t>It</w:t>
      </w:r>
      <w:r w:rsidR="00A52408">
        <w:t xml:space="preserve"> said:</w:t>
      </w:r>
      <w:r w:rsidR="00EE02C1">
        <w:t xml:space="preserve"> </w:t>
      </w:r>
    </w:p>
    <w:p w14:paraId="521E304F" w14:textId="4DAF0D76" w:rsidR="00EE02C1" w:rsidRPr="005A041F" w:rsidRDefault="00A52408" w:rsidP="00D32247">
      <w:pPr>
        <w:pStyle w:val="Quote"/>
        <w:rPr>
          <w:szCs w:val="22"/>
        </w:rPr>
      </w:pPr>
      <w:r w:rsidRPr="00D32247">
        <w:rPr>
          <w:rStyle w:val="EndnoteReference"/>
          <w:sz w:val="22"/>
          <w:vertAlign w:val="baseline"/>
        </w:rPr>
        <w:t xml:space="preserve">Extraordinary laws may be justifiable but they must also be temporary in nature. </w:t>
      </w:r>
      <w:r w:rsidR="00F2380F">
        <w:t xml:space="preserve"> </w:t>
      </w:r>
      <w:r w:rsidRPr="00D32247">
        <w:rPr>
          <w:rStyle w:val="EndnoteReference"/>
          <w:sz w:val="22"/>
          <w:vertAlign w:val="baseline"/>
        </w:rPr>
        <w:t xml:space="preserve">Sunset provisions ensure that such laws expire on a certain date. </w:t>
      </w:r>
      <w:r w:rsidR="00F2380F">
        <w:t xml:space="preserve"> </w:t>
      </w:r>
      <w:r w:rsidRPr="00D32247">
        <w:rPr>
          <w:rStyle w:val="EndnoteReference"/>
          <w:sz w:val="22"/>
          <w:vertAlign w:val="baseline"/>
        </w:rPr>
        <w:t>This mechanism ensures that extraordinary executive powers legislated during times of emergency are not integrated as the norm and that the case for continued use of extraordinary executive powers is publicly made out by the Government of the day.</w:t>
      </w:r>
      <w:r w:rsidR="00AD7DD1" w:rsidRPr="00741EB9">
        <w:rPr>
          <w:sz w:val="20"/>
          <w:szCs w:val="20"/>
          <w:vertAlign w:val="superscript"/>
        </w:rPr>
        <w:endnoteReference w:id="25"/>
      </w:r>
    </w:p>
    <w:p w14:paraId="6059FF23" w14:textId="77777777" w:rsidR="00F85024" w:rsidRDefault="002950D8" w:rsidP="00AD666E">
      <w:pPr>
        <w:pStyle w:val="ListNumber2"/>
        <w:tabs>
          <w:tab w:val="clear" w:pos="643"/>
          <w:tab w:val="num" w:pos="1080"/>
        </w:tabs>
        <w:ind w:left="1080" w:hanging="797"/>
      </w:pPr>
      <w:r>
        <w:t xml:space="preserve">The </w:t>
      </w:r>
      <w:r w:rsidR="00E056AC">
        <w:t xml:space="preserve">date for the </w:t>
      </w:r>
      <w:r>
        <w:t xml:space="preserve">sunsetting </w:t>
      </w:r>
      <w:r w:rsidR="004B1C50">
        <w:t xml:space="preserve">of these provisions was extended in 2014 by the </w:t>
      </w:r>
      <w:r w:rsidR="004B1C50" w:rsidRPr="00AD666E">
        <w:rPr>
          <w:i/>
          <w:iCs/>
        </w:rPr>
        <w:t>Counter-Terrorism Legislation Amendment (Foreign Fighters) Act 2014</w:t>
      </w:r>
      <w:r w:rsidR="004B1C50">
        <w:t xml:space="preserve"> (</w:t>
      </w:r>
      <w:proofErr w:type="spellStart"/>
      <w:r w:rsidR="004B1C50">
        <w:t>Cth</w:t>
      </w:r>
      <w:proofErr w:type="spellEnd"/>
      <w:r w:rsidR="004B1C50">
        <w:t xml:space="preserve">).  As a result of that extension, the provisions were due to expire on </w:t>
      </w:r>
      <w:r w:rsidR="00295BB1">
        <w:t>7</w:t>
      </w:r>
      <w:r w:rsidR="008143EA">
        <w:t xml:space="preserve"> </w:t>
      </w:r>
      <w:r w:rsidR="00295BB1">
        <w:t>September 2018</w:t>
      </w:r>
      <w:r w:rsidR="00252D73">
        <w:t>.</w:t>
      </w:r>
      <w:r w:rsidR="00DE3013" w:rsidRPr="00AD666E">
        <w:rPr>
          <w:sz w:val="20"/>
          <w:szCs w:val="20"/>
          <w:vertAlign w:val="superscript"/>
        </w:rPr>
        <w:endnoteReference w:id="26"/>
      </w:r>
      <w:r w:rsidR="00B63047">
        <w:t xml:space="preserve">  </w:t>
      </w:r>
    </w:p>
    <w:p w14:paraId="4EE414BD" w14:textId="0E493B25" w:rsidR="00C30BA4" w:rsidRDefault="00C30BA4" w:rsidP="00AD666E">
      <w:pPr>
        <w:pStyle w:val="ListNumber2"/>
        <w:tabs>
          <w:tab w:val="clear" w:pos="643"/>
          <w:tab w:val="num" w:pos="1080"/>
        </w:tabs>
        <w:ind w:left="1080" w:hanging="797"/>
      </w:pPr>
      <w:r>
        <w:t xml:space="preserve">In 2016, </w:t>
      </w:r>
      <w:r w:rsidR="006638A5">
        <w:t>the CDO regime</w:t>
      </w:r>
      <w:r w:rsidR="002B49C0">
        <w:t xml:space="preserve"> </w:t>
      </w:r>
      <w:r w:rsidR="00951C6E">
        <w:t>was inserted into</w:t>
      </w:r>
      <w:r w:rsidR="002B49C0">
        <w:t xml:space="preserve"> </w:t>
      </w:r>
      <w:proofErr w:type="spellStart"/>
      <w:r w:rsidR="002B49C0">
        <w:t>Div</w:t>
      </w:r>
      <w:proofErr w:type="spellEnd"/>
      <w:r w:rsidR="002B49C0">
        <w:t xml:space="preserve"> 105A</w:t>
      </w:r>
      <w:r w:rsidR="006638A5">
        <w:t xml:space="preserve"> </w:t>
      </w:r>
      <w:r w:rsidR="00951C6E">
        <w:t xml:space="preserve">of Part 5.3 of the </w:t>
      </w:r>
      <w:r w:rsidR="006638A5">
        <w:t xml:space="preserve">Criminal Code by the </w:t>
      </w:r>
      <w:r w:rsidR="006638A5" w:rsidRPr="002B49C0">
        <w:rPr>
          <w:i/>
          <w:iCs/>
        </w:rPr>
        <w:t>Criminal Code Amendment (High Risk Terrorist Offenders) Act 2016</w:t>
      </w:r>
      <w:r w:rsidR="006638A5">
        <w:t xml:space="preserve"> (</w:t>
      </w:r>
      <w:proofErr w:type="spellStart"/>
      <w:r w:rsidR="006638A5">
        <w:t>Cth</w:t>
      </w:r>
      <w:proofErr w:type="spellEnd"/>
      <w:r w:rsidR="006638A5">
        <w:t>).</w:t>
      </w:r>
      <w:r w:rsidR="0081201F">
        <w:t xml:space="preserve">  The CDO regime was made subject to a </w:t>
      </w:r>
      <w:r w:rsidR="003739BE">
        <w:t>10</w:t>
      </w:r>
      <w:r w:rsidR="00B62396">
        <w:t>-</w:t>
      </w:r>
      <w:r w:rsidR="0081201F">
        <w:t xml:space="preserve">year sunset provision from the date </w:t>
      </w:r>
      <w:r w:rsidR="00700C7E">
        <w:t xml:space="preserve">that Act received Royal Assent.  Unless extended, it will expire on </w:t>
      </w:r>
      <w:r w:rsidR="00A55FA2">
        <w:t>8 December 2026.</w:t>
      </w:r>
      <w:r w:rsidR="00D46D6F">
        <w:t xml:space="preserve">  </w:t>
      </w:r>
    </w:p>
    <w:p w14:paraId="25258801" w14:textId="211D7209" w:rsidR="007B0F95" w:rsidRDefault="007D7AFB" w:rsidP="00AD666E">
      <w:pPr>
        <w:pStyle w:val="ListNumber2"/>
        <w:tabs>
          <w:tab w:val="clear" w:pos="643"/>
          <w:tab w:val="num" w:pos="1080"/>
        </w:tabs>
        <w:ind w:left="1080" w:hanging="797"/>
      </w:pPr>
      <w:r>
        <w:t>T</w:t>
      </w:r>
      <w:r w:rsidR="005F0328">
        <w:t xml:space="preserve">he INSLM was tasked </w:t>
      </w:r>
      <w:r w:rsidR="00C50F0F">
        <w:t xml:space="preserve">to inquire into and report on </w:t>
      </w:r>
      <w:r w:rsidR="00401236">
        <w:t xml:space="preserve">the stop, search and seize powers, control orders and PDOs by 7 September 2017, </w:t>
      </w:r>
      <w:r w:rsidR="00C50F0F">
        <w:t xml:space="preserve">one year </w:t>
      </w:r>
      <w:r w:rsidR="00401236">
        <w:t>before these provisions were due to sunset</w:t>
      </w:r>
      <w:r w:rsidR="00C50F0F">
        <w:t xml:space="preserve"> </w:t>
      </w:r>
      <w:r w:rsidR="0024768E">
        <w:t>(the Statutory Deadline Reviews)</w:t>
      </w:r>
      <w:r w:rsidR="005F0328">
        <w:t>.</w:t>
      </w:r>
      <w:r w:rsidR="00A71D94" w:rsidRPr="00AD666E">
        <w:rPr>
          <w:sz w:val="20"/>
          <w:szCs w:val="20"/>
          <w:vertAlign w:val="superscript"/>
        </w:rPr>
        <w:endnoteReference w:id="27"/>
      </w:r>
    </w:p>
    <w:p w14:paraId="10E4C97F" w14:textId="7469ED5F" w:rsidR="00295BB1" w:rsidRDefault="00295BB1" w:rsidP="00AD666E">
      <w:pPr>
        <w:pStyle w:val="ListNumber2"/>
        <w:tabs>
          <w:tab w:val="clear" w:pos="643"/>
          <w:tab w:val="num" w:pos="1080"/>
        </w:tabs>
        <w:ind w:left="1080" w:hanging="797"/>
      </w:pPr>
      <w:r>
        <w:t xml:space="preserve">The </w:t>
      </w:r>
      <w:r w:rsidR="00253612">
        <w:t xml:space="preserve">INSLM </w:t>
      </w:r>
      <w:r>
        <w:t xml:space="preserve">conducted </w:t>
      </w:r>
      <w:r w:rsidR="00253612">
        <w:t xml:space="preserve">an inquiry into these provisions.  The Commission made a submission to the INSLM’s inquiry on </w:t>
      </w:r>
      <w:r w:rsidR="00504ED3">
        <w:t>15 May 2017.</w:t>
      </w:r>
      <w:r w:rsidR="00504ED3" w:rsidRPr="00AD666E">
        <w:rPr>
          <w:sz w:val="20"/>
          <w:szCs w:val="20"/>
          <w:vertAlign w:val="superscript"/>
        </w:rPr>
        <w:endnoteReference w:id="28"/>
      </w:r>
      <w:r w:rsidR="00015ECC">
        <w:t xml:space="preserve">  The INSLM reported by the statutory deadline of 7 September 201</w:t>
      </w:r>
      <w:r w:rsidR="00C47DB5">
        <w:t>7</w:t>
      </w:r>
      <w:r w:rsidR="001E134A">
        <w:t>.</w:t>
      </w:r>
      <w:r w:rsidR="004734FA" w:rsidRPr="00AD666E">
        <w:rPr>
          <w:sz w:val="20"/>
          <w:szCs w:val="20"/>
          <w:vertAlign w:val="superscript"/>
        </w:rPr>
        <w:endnoteReference w:id="29"/>
      </w:r>
      <w:r w:rsidR="00015ECC">
        <w:t xml:space="preserve"> </w:t>
      </w:r>
    </w:p>
    <w:p w14:paraId="469A3EB6" w14:textId="53EAF235" w:rsidR="003B17E4" w:rsidRDefault="00E23043" w:rsidP="00AD666E">
      <w:pPr>
        <w:pStyle w:val="ListNumber2"/>
        <w:tabs>
          <w:tab w:val="clear" w:pos="643"/>
          <w:tab w:val="num" w:pos="1080"/>
        </w:tabs>
        <w:ind w:left="1080" w:hanging="797"/>
      </w:pPr>
      <w:r>
        <w:t>The PJCIS then conducted an inquiry into these provisions.  The Commission made a submission to the PJCIS inquiry on 3 November 2017.</w:t>
      </w:r>
      <w:r w:rsidRPr="00AD666E">
        <w:rPr>
          <w:sz w:val="20"/>
          <w:szCs w:val="20"/>
          <w:vertAlign w:val="superscript"/>
        </w:rPr>
        <w:endnoteReference w:id="30"/>
      </w:r>
      <w:r>
        <w:t xml:space="preserve">  </w:t>
      </w:r>
      <w:r w:rsidR="001E134A">
        <w:t xml:space="preserve">On 1 March 2018, </w:t>
      </w:r>
      <w:r w:rsidR="00D57195">
        <w:t xml:space="preserve">the PJCIS published a report </w:t>
      </w:r>
      <w:r w:rsidR="006970E4">
        <w:t>of its review into these provisions.</w:t>
      </w:r>
      <w:r w:rsidR="006970E4" w:rsidRPr="00AD666E">
        <w:rPr>
          <w:sz w:val="20"/>
          <w:szCs w:val="20"/>
          <w:vertAlign w:val="superscript"/>
        </w:rPr>
        <w:endnoteReference w:id="31"/>
      </w:r>
    </w:p>
    <w:p w14:paraId="4C1702CA" w14:textId="00F39124" w:rsidR="001E134A" w:rsidRDefault="00523FB6" w:rsidP="00AD666E">
      <w:pPr>
        <w:pStyle w:val="ListNumber2"/>
        <w:tabs>
          <w:tab w:val="clear" w:pos="643"/>
          <w:tab w:val="num" w:pos="1080"/>
        </w:tabs>
        <w:ind w:left="1080" w:hanging="797"/>
      </w:pPr>
      <w:r>
        <w:t xml:space="preserve">In August 2018, </w:t>
      </w:r>
      <w:r w:rsidR="001E134A">
        <w:t xml:space="preserve">the </w:t>
      </w:r>
      <w:r w:rsidR="00FB3AA4">
        <w:t xml:space="preserve">sunset </w:t>
      </w:r>
      <w:r w:rsidR="0084457A">
        <w:t xml:space="preserve">date for these </w:t>
      </w:r>
      <w:r w:rsidR="00FB3AA4">
        <w:t xml:space="preserve">provisions </w:t>
      </w:r>
      <w:r w:rsidR="0084457A">
        <w:t>was</w:t>
      </w:r>
      <w:r w:rsidR="00FB3AA4">
        <w:t xml:space="preserve"> extended </w:t>
      </w:r>
      <w:r w:rsidR="00FC6D67">
        <w:t xml:space="preserve">by a further </w:t>
      </w:r>
      <w:r w:rsidR="00A4265F">
        <w:t>three</w:t>
      </w:r>
      <w:r w:rsidR="00FC6D67">
        <w:t xml:space="preserve"> years</w:t>
      </w:r>
      <w:r w:rsidR="00FB3AA4">
        <w:t xml:space="preserve"> to </w:t>
      </w:r>
      <w:r w:rsidR="00FC6D67">
        <w:t>7 September 2021.</w:t>
      </w:r>
      <w:r w:rsidR="00A4265F" w:rsidRPr="00AD666E">
        <w:rPr>
          <w:sz w:val="20"/>
          <w:szCs w:val="20"/>
          <w:vertAlign w:val="superscript"/>
        </w:rPr>
        <w:endnoteReference w:id="32"/>
      </w:r>
    </w:p>
    <w:p w14:paraId="52C66D19" w14:textId="2A6EB75C" w:rsidR="00D22CEC" w:rsidRDefault="00F6230E" w:rsidP="00AD666E">
      <w:pPr>
        <w:pStyle w:val="ListNumber2"/>
        <w:tabs>
          <w:tab w:val="clear" w:pos="643"/>
          <w:tab w:val="num" w:pos="1080"/>
        </w:tabs>
        <w:ind w:left="1080" w:hanging="797"/>
      </w:pPr>
      <w:r>
        <w:t>The</w:t>
      </w:r>
      <w:r w:rsidR="008604D9">
        <w:t xml:space="preserve"> suite of</w:t>
      </w:r>
      <w:r>
        <w:t xml:space="preserve"> provisions </w:t>
      </w:r>
      <w:r w:rsidR="008604D9">
        <w:t xml:space="preserve">the subject of the present review </w:t>
      </w:r>
      <w:r w:rsidR="00036FCE">
        <w:t xml:space="preserve">was </w:t>
      </w:r>
      <w:r>
        <w:t>first introduced as a result of a dramatic change in</w:t>
      </w:r>
      <w:r w:rsidR="005C3B59">
        <w:t xml:space="preserve"> Australia’s security environment.  </w:t>
      </w:r>
      <w:r>
        <w:t xml:space="preserve">Since </w:t>
      </w:r>
      <w:r w:rsidR="0024734B">
        <w:t>then</w:t>
      </w:r>
      <w:r>
        <w:t xml:space="preserve">, the threat environment has continued to </w:t>
      </w:r>
      <w:r>
        <w:lastRenderedPageBreak/>
        <w:t xml:space="preserve">change.  </w:t>
      </w:r>
      <w:r w:rsidR="000C191E">
        <w:t xml:space="preserve">Australia’s current </w:t>
      </w:r>
      <w:r w:rsidR="00796F51">
        <w:t xml:space="preserve">national terrorism threat level is </w:t>
      </w:r>
      <w:r w:rsidR="00036FCE">
        <w:t>‘</w:t>
      </w:r>
      <w:r w:rsidR="00796F51">
        <w:t>probable</w:t>
      </w:r>
      <w:r w:rsidR="00036FCE">
        <w:t>’</w:t>
      </w:r>
      <w:r w:rsidR="00E2274C">
        <w:t xml:space="preserve"> and has been at this level</w:t>
      </w:r>
      <w:r w:rsidR="00E178E5">
        <w:t xml:space="preserve"> (or ‘high’ under the previous </w:t>
      </w:r>
      <w:r w:rsidR="00FA1848">
        <w:t>regime)</w:t>
      </w:r>
      <w:r w:rsidR="00E2274C">
        <w:t xml:space="preserve"> since </w:t>
      </w:r>
      <w:r w:rsidR="00FA1848">
        <w:t>September 2014</w:t>
      </w:r>
      <w:r w:rsidR="00796F51">
        <w:t>.</w:t>
      </w:r>
      <w:r w:rsidR="00737FF5" w:rsidRPr="00AD666E">
        <w:rPr>
          <w:sz w:val="20"/>
          <w:szCs w:val="20"/>
          <w:vertAlign w:val="superscript"/>
        </w:rPr>
        <w:endnoteReference w:id="33"/>
      </w:r>
      <w:r w:rsidR="00796F51">
        <w:t xml:space="preserve"> </w:t>
      </w:r>
      <w:r w:rsidR="000C191E">
        <w:t xml:space="preserve"> </w:t>
      </w:r>
      <w:r w:rsidR="00817DCC">
        <w:t xml:space="preserve">This means there is credible intelligence indicating individuals or groups have both the intention and capability of conducting an attack in Australia.  </w:t>
      </w:r>
      <w:r w:rsidR="008F3774">
        <w:t xml:space="preserve">The most recent </w:t>
      </w:r>
      <w:r w:rsidR="00B150B1">
        <w:t>summary</w:t>
      </w:r>
      <w:r w:rsidR="008F3774">
        <w:t xml:space="preserve"> of the national security and counter-terrorism landscape produced by the IN</w:t>
      </w:r>
      <w:r w:rsidR="00B150B1">
        <w:t>SLM highlighted the following matters:</w:t>
      </w:r>
    </w:p>
    <w:p w14:paraId="359CF60C" w14:textId="4FB6213F" w:rsidR="008B755C" w:rsidRDefault="008B755C" w:rsidP="008B755C">
      <w:pPr>
        <w:pStyle w:val="ListNumber2"/>
        <w:numPr>
          <w:ilvl w:val="0"/>
          <w:numId w:val="28"/>
        </w:numPr>
      </w:pPr>
      <w:r>
        <w:t>t</w:t>
      </w:r>
      <w:r w:rsidR="00B150B1">
        <w:t>he credible threat of one or more terrorist attacks will remain a significant factor in the Australian national security and counter</w:t>
      </w:r>
      <w:r w:rsidR="006E47A9">
        <w:t>-</w:t>
      </w:r>
      <w:r w:rsidR="00B150B1">
        <w:t>terrorism landscape for the reasonably foreseeable future</w:t>
      </w:r>
    </w:p>
    <w:p w14:paraId="3C1B2F01" w14:textId="139CB2F9" w:rsidR="008B755C" w:rsidRDefault="008B755C" w:rsidP="008B755C">
      <w:pPr>
        <w:pStyle w:val="ListNumber2"/>
        <w:numPr>
          <w:ilvl w:val="0"/>
          <w:numId w:val="28"/>
        </w:numPr>
      </w:pPr>
      <w:r>
        <w:t>w</w:t>
      </w:r>
      <w:r w:rsidR="00B150B1">
        <w:t>hile more complex or extensive attacks cannot be ruled out and must be prepared for, attacks by lone actors using simple but deadly weapons, with little if any warning, are more likely</w:t>
      </w:r>
    </w:p>
    <w:p w14:paraId="52EE534F" w14:textId="5A1754BA" w:rsidR="008B755C" w:rsidRDefault="008B755C" w:rsidP="008B755C">
      <w:pPr>
        <w:pStyle w:val="ListNumber2"/>
        <w:numPr>
          <w:ilvl w:val="0"/>
          <w:numId w:val="28"/>
        </w:numPr>
      </w:pPr>
      <w:r>
        <w:t>t</w:t>
      </w:r>
      <w:r w:rsidR="00B150B1">
        <w:t>here can be no guarantee that the authorities will detect and prevent all attacks</w:t>
      </w:r>
      <w:r w:rsidR="00036FCE">
        <w:t>,</w:t>
      </w:r>
      <w:r w:rsidR="00B150B1">
        <w:t xml:space="preserve"> although most have been </w:t>
      </w:r>
    </w:p>
    <w:p w14:paraId="2F8E1724" w14:textId="45F2411F" w:rsidR="008B755C" w:rsidRDefault="008B755C" w:rsidP="008B755C">
      <w:pPr>
        <w:pStyle w:val="ListNumber2"/>
        <w:numPr>
          <w:ilvl w:val="0"/>
          <w:numId w:val="28"/>
        </w:numPr>
      </w:pPr>
      <w:r>
        <w:t>t</w:t>
      </w:r>
      <w:r w:rsidR="00B150B1">
        <w:t>here is also the risk of opportunistic</w:t>
      </w:r>
      <w:r w:rsidR="00036FCE">
        <w:t>,</w:t>
      </w:r>
      <w:r w:rsidR="00B150B1">
        <w:t xml:space="preserve"> if unconnected</w:t>
      </w:r>
      <w:r w:rsidR="00036FCE">
        <w:t>,</w:t>
      </w:r>
      <w:r w:rsidR="00B150B1">
        <w:t xml:space="preserve"> ‘follow-up’ attacks in the immediate aftermath of a completed attack</w:t>
      </w:r>
      <w:r w:rsidR="00036FCE">
        <w:t>,</w:t>
      </w:r>
      <w:r w:rsidR="00B150B1">
        <w:t xml:space="preserve"> at a time when police and intelligence agencies are fully occupied in obtaining evidence and returning the attacked locality to normality</w:t>
      </w:r>
    </w:p>
    <w:p w14:paraId="62FB8152" w14:textId="24154480" w:rsidR="00C96532" w:rsidRDefault="00C96532" w:rsidP="008B755C">
      <w:pPr>
        <w:pStyle w:val="ListNumber2"/>
        <w:numPr>
          <w:ilvl w:val="0"/>
          <w:numId w:val="28"/>
        </w:numPr>
      </w:pPr>
      <w:r>
        <w:t>t</w:t>
      </w:r>
      <w:r w:rsidR="00B150B1">
        <w:t>he threats come mainly from radical and violent Islamist action – which is not to be confused with the great world religion of Islam which practices peace, but there are also increasing concerns about radical, violent, right</w:t>
      </w:r>
      <w:r w:rsidR="00036FCE">
        <w:t>-</w:t>
      </w:r>
      <w:r w:rsidR="00B150B1">
        <w:t>wing activity</w:t>
      </w:r>
    </w:p>
    <w:p w14:paraId="3561131D" w14:textId="17BAA004" w:rsidR="00C96532" w:rsidRDefault="00C96532" w:rsidP="008B755C">
      <w:pPr>
        <w:pStyle w:val="ListNumber2"/>
        <w:numPr>
          <w:ilvl w:val="0"/>
          <w:numId w:val="28"/>
        </w:numPr>
      </w:pPr>
      <w:r>
        <w:t>t</w:t>
      </w:r>
      <w:r w:rsidR="00B150B1">
        <w:t>he implications of the recent atrocities in Christchurch and Sri Lanka are yet to be fully worked out. Equally hard to predict are the likely activities of the remnant foreign fighters (and their supporters) of the so-called Caliphate of ISIL</w:t>
      </w:r>
    </w:p>
    <w:p w14:paraId="0BF0A9CF" w14:textId="4BA07854" w:rsidR="00B150B1" w:rsidRDefault="00C96532" w:rsidP="008B755C">
      <w:pPr>
        <w:pStyle w:val="ListNumber2"/>
        <w:numPr>
          <w:ilvl w:val="0"/>
          <w:numId w:val="28"/>
        </w:numPr>
      </w:pPr>
      <w:r>
        <w:t>a</w:t>
      </w:r>
      <w:r w:rsidR="00B150B1">
        <w:t>s well as terrorism threats, there is an increasing threat to Australia’s national security posed by acts contrary to the Criminal Code</w:t>
      </w:r>
      <w:r w:rsidR="00036FCE">
        <w:t>,</w:t>
      </w:r>
      <w:r w:rsidR="00B150B1">
        <w:t xml:space="preserve"> including foreign interference, foreign interference involving foreign intelligence agencies, and espionage.</w:t>
      </w:r>
      <w:r w:rsidR="000C189C">
        <w:rPr>
          <w:rStyle w:val="EndnoteReference"/>
        </w:rPr>
        <w:endnoteReference w:id="34"/>
      </w:r>
    </w:p>
    <w:p w14:paraId="46884542" w14:textId="670A7F8D" w:rsidR="00F6230E" w:rsidRDefault="00F6230E" w:rsidP="00AD666E">
      <w:pPr>
        <w:pStyle w:val="ListNumber2"/>
        <w:tabs>
          <w:tab w:val="clear" w:pos="643"/>
          <w:tab w:val="num" w:pos="1080"/>
        </w:tabs>
        <w:ind w:left="1080" w:hanging="797"/>
      </w:pPr>
      <w:r>
        <w:t xml:space="preserve">Given </w:t>
      </w:r>
      <w:r w:rsidR="00FF651F">
        <w:t xml:space="preserve">that </w:t>
      </w:r>
      <w:r>
        <w:t>the powers considered in this review</w:t>
      </w:r>
      <w:r w:rsidR="00FF651F">
        <w:t xml:space="preserve"> impinge significantly on a range of human rights</w:t>
      </w:r>
      <w:r>
        <w:t xml:space="preserve">, it is important that </w:t>
      </w:r>
      <w:r w:rsidR="002471AB">
        <w:t xml:space="preserve">the powers are regularly </w:t>
      </w:r>
      <w:r w:rsidR="00E25655">
        <w:t xml:space="preserve">examined to determine </w:t>
      </w:r>
      <w:r w:rsidR="0075797D">
        <w:t xml:space="preserve">whether they are effective and </w:t>
      </w:r>
      <w:r w:rsidR="0075797D">
        <w:lastRenderedPageBreak/>
        <w:t>appropriate</w:t>
      </w:r>
      <w:r w:rsidR="006E7307" w:rsidRPr="00207439">
        <w:rPr>
          <w:lang w:val="en-GB"/>
        </w:rPr>
        <w:t>, by reference to the current threats facing Australia and the totality of counter-terrorism and related laws that have been introduced, especially since 2001</w:t>
      </w:r>
      <w:r w:rsidR="0075797D">
        <w:t>.</w:t>
      </w:r>
    </w:p>
    <w:p w14:paraId="26F5C230" w14:textId="1BFBF356" w:rsidR="0009165E" w:rsidRDefault="0009165E" w:rsidP="0009165E">
      <w:pPr>
        <w:pStyle w:val="Heading1"/>
      </w:pPr>
      <w:bookmarkStart w:id="11" w:name="_Ref49252846"/>
      <w:bookmarkStart w:id="12" w:name="_Toc50633813"/>
      <w:r>
        <w:t>Stop, search and seize powers</w:t>
      </w:r>
      <w:bookmarkEnd w:id="11"/>
      <w:bookmarkEnd w:id="12"/>
    </w:p>
    <w:p w14:paraId="470962C0" w14:textId="1F52358A" w:rsidR="006E49B7" w:rsidRDefault="006E49B7" w:rsidP="006E49B7">
      <w:pPr>
        <w:pStyle w:val="Heading2"/>
      </w:pPr>
      <w:bookmarkStart w:id="13" w:name="_Toc50633814"/>
      <w:r>
        <w:t xml:space="preserve">Structure of </w:t>
      </w:r>
      <w:r w:rsidR="00F01144">
        <w:t>provisions</w:t>
      </w:r>
      <w:bookmarkEnd w:id="13"/>
    </w:p>
    <w:p w14:paraId="45AB7A4F" w14:textId="3C5B8D1B" w:rsidR="00400CE5" w:rsidRDefault="00AB096A" w:rsidP="00335599">
      <w:pPr>
        <w:pStyle w:val="ListNumber2"/>
        <w:tabs>
          <w:tab w:val="clear" w:pos="643"/>
          <w:tab w:val="num" w:pos="1080"/>
        </w:tabs>
        <w:ind w:left="1080" w:hanging="797"/>
      </w:pPr>
      <w:r w:rsidRPr="0035411E">
        <w:t xml:space="preserve">Division 3A of Part IAA of the Crimes Act </w:t>
      </w:r>
      <w:r w:rsidR="00BE1073">
        <w:t>grant</w:t>
      </w:r>
      <w:r w:rsidR="00C2409E">
        <w:t>s</w:t>
      </w:r>
      <w:r w:rsidR="00BE1073">
        <w:t xml:space="preserve"> police officers</w:t>
      </w:r>
      <w:r w:rsidRPr="0035411E">
        <w:t xml:space="preserve"> stop, search and seize powers </w:t>
      </w:r>
      <w:r w:rsidR="00BE1073">
        <w:t xml:space="preserve">that can be used in relation to </w:t>
      </w:r>
      <w:r w:rsidR="00761512">
        <w:t xml:space="preserve">suspected </w:t>
      </w:r>
      <w:r w:rsidRPr="0035411E">
        <w:t xml:space="preserve">terrorist acts.  </w:t>
      </w:r>
      <w:r w:rsidR="00B753E2">
        <w:t xml:space="preserve">While the </w:t>
      </w:r>
      <w:r w:rsidR="00400CE5">
        <w:t xml:space="preserve">title of the present review is ‘Review of AFP powers’, these provisions grant powers both to officers of the </w:t>
      </w:r>
      <w:r w:rsidR="00A446E9">
        <w:t xml:space="preserve">AFP </w:t>
      </w:r>
      <w:r w:rsidR="00C3776B">
        <w:t>and to officers of State and Territory police forces.</w:t>
      </w:r>
      <w:r w:rsidR="00455520" w:rsidRPr="00AD666E">
        <w:rPr>
          <w:sz w:val="20"/>
          <w:szCs w:val="20"/>
          <w:vertAlign w:val="superscript"/>
        </w:rPr>
        <w:endnoteReference w:id="35"/>
      </w:r>
    </w:p>
    <w:p w14:paraId="7E5AF643" w14:textId="1369C892" w:rsidR="00C2409E" w:rsidRDefault="00036FCE" w:rsidP="00335599">
      <w:pPr>
        <w:pStyle w:val="ListNumber2"/>
        <w:tabs>
          <w:tab w:val="clear" w:pos="643"/>
          <w:tab w:val="num" w:pos="1080"/>
        </w:tabs>
        <w:ind w:left="1080" w:hanging="797"/>
      </w:pPr>
      <w:r>
        <w:t>All</w:t>
      </w:r>
      <w:r w:rsidR="005309AB">
        <w:t xml:space="preserve"> but one of these powers</w:t>
      </w:r>
      <w:r w:rsidR="005309AB" w:rsidRPr="00AD666E">
        <w:rPr>
          <w:sz w:val="20"/>
          <w:szCs w:val="20"/>
          <w:vertAlign w:val="superscript"/>
        </w:rPr>
        <w:endnoteReference w:id="36"/>
      </w:r>
      <w:r w:rsidR="005309AB">
        <w:t xml:space="preserve"> may be used in two kinds of situations.  The first situation is </w:t>
      </w:r>
      <w:r w:rsidR="00C2409E">
        <w:t>where a person is in a ‘Commonwealth place’</w:t>
      </w:r>
      <w:r w:rsidR="00206151">
        <w:t xml:space="preserve"> </w:t>
      </w:r>
      <w:r w:rsidR="00C2409E">
        <w:t>and the officer suspects</w:t>
      </w:r>
      <w:r>
        <w:t>,</w:t>
      </w:r>
      <w:r w:rsidR="00C2409E">
        <w:t xml:space="preserve"> on reasonable grounds</w:t>
      </w:r>
      <w:r>
        <w:t>,</w:t>
      </w:r>
      <w:r w:rsidR="00C2409E">
        <w:t xml:space="preserve"> that the person </w:t>
      </w:r>
      <w:r w:rsidR="00EC41B3">
        <w:t xml:space="preserve">might be about to commit, </w:t>
      </w:r>
      <w:r w:rsidR="00716FCD">
        <w:t xml:space="preserve">might be committing, or might just </w:t>
      </w:r>
      <w:r>
        <w:t xml:space="preserve">have </w:t>
      </w:r>
      <w:r w:rsidR="00716FCD">
        <w:t>committed, a terrorist act.</w:t>
      </w:r>
      <w:r w:rsidR="00BC3BF4" w:rsidRPr="00335599">
        <w:rPr>
          <w:sz w:val="20"/>
          <w:szCs w:val="20"/>
          <w:vertAlign w:val="superscript"/>
        </w:rPr>
        <w:endnoteReference w:id="37"/>
      </w:r>
      <w:r w:rsidR="00716FCD">
        <w:t xml:space="preserve">  That is, </w:t>
      </w:r>
      <w:r w:rsidR="00175896">
        <w:t xml:space="preserve">there must be a reasonable basis to suspect </w:t>
      </w:r>
      <w:r w:rsidR="00716FCD">
        <w:t xml:space="preserve">a terrorist act </w:t>
      </w:r>
      <w:r w:rsidR="00175896">
        <w:t>is imminent, occurring</w:t>
      </w:r>
      <w:r>
        <w:t>,</w:t>
      </w:r>
      <w:r w:rsidR="00175896">
        <w:t xml:space="preserve"> or </w:t>
      </w:r>
      <w:r w:rsidR="00BC3BF4">
        <w:t xml:space="preserve">has just occurred.  </w:t>
      </w:r>
      <w:r w:rsidR="00AF2115">
        <w:t xml:space="preserve">A ‘Commonwealth place’ includes places like </w:t>
      </w:r>
      <w:r w:rsidR="00C163BE">
        <w:t xml:space="preserve">airports, defence establishments, </w:t>
      </w:r>
      <w:r w:rsidR="00B940CD">
        <w:t xml:space="preserve">Commonwealth </w:t>
      </w:r>
      <w:r w:rsidR="00FC56F2">
        <w:t xml:space="preserve">departmental premises, </w:t>
      </w:r>
      <w:r w:rsidR="00E869C6">
        <w:t xml:space="preserve">the various </w:t>
      </w:r>
      <w:r w:rsidR="00887C81">
        <w:t>federal courts and the High Court.</w:t>
      </w:r>
      <w:r w:rsidR="00887C81" w:rsidRPr="00335599">
        <w:rPr>
          <w:sz w:val="20"/>
          <w:szCs w:val="20"/>
          <w:vertAlign w:val="superscript"/>
        </w:rPr>
        <w:endnoteReference w:id="38"/>
      </w:r>
    </w:p>
    <w:p w14:paraId="11A67B5E" w14:textId="2877FF83" w:rsidR="00D06DC6" w:rsidRDefault="00D06DC6" w:rsidP="00335599">
      <w:pPr>
        <w:pStyle w:val="ListNumber2"/>
        <w:tabs>
          <w:tab w:val="clear" w:pos="643"/>
          <w:tab w:val="num" w:pos="1080"/>
        </w:tabs>
        <w:ind w:left="1080" w:hanging="797"/>
      </w:pPr>
      <w:r>
        <w:t xml:space="preserve">The </w:t>
      </w:r>
      <w:r w:rsidR="008A4158">
        <w:t xml:space="preserve">second situation is where a person is in a Commonwealth place </w:t>
      </w:r>
      <w:r w:rsidR="00864571">
        <w:t xml:space="preserve">that the </w:t>
      </w:r>
      <w:r w:rsidR="0007682B">
        <w:t>relevant Minister (</w:t>
      </w:r>
      <w:r w:rsidR="008B26AC">
        <w:t xml:space="preserve">formerly the Attorney-General, now </w:t>
      </w:r>
      <w:r w:rsidR="0007682B">
        <w:t xml:space="preserve">the Minister for Home Affairs) </w:t>
      </w:r>
      <w:r w:rsidR="00864571">
        <w:t>has declared to be a ‘prescribed security zone’ under s </w:t>
      </w:r>
      <w:r w:rsidR="00B5025F">
        <w:t>3UJ</w:t>
      </w:r>
      <w:r w:rsidR="00ED5D5B">
        <w:t xml:space="preserve"> of the Crimes Act</w:t>
      </w:r>
      <w:r w:rsidR="00B5025F">
        <w:t xml:space="preserve">.  In those circumstances, there is no need for </w:t>
      </w:r>
      <w:r w:rsidR="002F6BE1">
        <w:t xml:space="preserve">the police officer to form any </w:t>
      </w:r>
      <w:r w:rsidR="006F7FC7">
        <w:t xml:space="preserve">suspicion about </w:t>
      </w:r>
      <w:r w:rsidR="0012375D">
        <w:t xml:space="preserve">the likelihood of a terrorist act occurring.  The fact that a person is in a prescribed security zone is </w:t>
      </w:r>
      <w:r w:rsidR="008066F1">
        <w:t xml:space="preserve">sufficient </w:t>
      </w:r>
      <w:r w:rsidR="0012375D">
        <w:t>for the stop, search and seize powers to be available.</w:t>
      </w:r>
      <w:r w:rsidR="007D4D3F" w:rsidRPr="00335599">
        <w:rPr>
          <w:sz w:val="20"/>
          <w:szCs w:val="20"/>
          <w:vertAlign w:val="superscript"/>
        </w:rPr>
        <w:endnoteReference w:id="39"/>
      </w:r>
    </w:p>
    <w:p w14:paraId="2517E285" w14:textId="0ED56767" w:rsidR="005B630D" w:rsidRDefault="00AB096A" w:rsidP="00335599">
      <w:pPr>
        <w:pStyle w:val="ListNumber2"/>
        <w:tabs>
          <w:tab w:val="clear" w:pos="643"/>
          <w:tab w:val="num" w:pos="1080"/>
        </w:tabs>
        <w:ind w:left="1080" w:hanging="797"/>
      </w:pPr>
      <w:r w:rsidRPr="0035411E">
        <w:t xml:space="preserve">The </w:t>
      </w:r>
      <w:r w:rsidR="00570E72">
        <w:t>Minister for Home Affairs</w:t>
      </w:r>
      <w:r w:rsidR="00D2567B">
        <w:t xml:space="preserve"> may </w:t>
      </w:r>
      <w:r w:rsidRPr="0035411E">
        <w:t xml:space="preserve">declare that </w:t>
      </w:r>
      <w:r w:rsidR="00D2567B">
        <w:t xml:space="preserve">a Commonwealth place </w:t>
      </w:r>
      <w:r w:rsidRPr="0035411E">
        <w:t xml:space="preserve">is a prescribed security zone if </w:t>
      </w:r>
      <w:r w:rsidR="008066F1">
        <w:t>the Minister</w:t>
      </w:r>
      <w:r w:rsidR="008066F1" w:rsidRPr="0035411E">
        <w:t xml:space="preserve"> </w:t>
      </w:r>
      <w:r w:rsidRPr="0035411E">
        <w:t>consider</w:t>
      </w:r>
      <w:r w:rsidR="008066F1">
        <w:t>s</w:t>
      </w:r>
      <w:r w:rsidRPr="0035411E">
        <w:t xml:space="preserve"> that a declaration would assist:</w:t>
      </w:r>
    </w:p>
    <w:p w14:paraId="34F0A935" w14:textId="77777777" w:rsidR="0043691A" w:rsidRDefault="00AB096A" w:rsidP="00484581">
      <w:pPr>
        <w:pStyle w:val="ListNumber"/>
        <w:numPr>
          <w:ilvl w:val="0"/>
          <w:numId w:val="15"/>
        </w:numPr>
        <w:ind w:left="1440"/>
      </w:pPr>
      <w:r w:rsidRPr="0035411E">
        <w:t>in preventing a terrorist act occurring; or</w:t>
      </w:r>
      <w:r w:rsidR="0043691A">
        <w:t xml:space="preserve"> </w:t>
      </w:r>
    </w:p>
    <w:p w14:paraId="3FE3DA71" w14:textId="38231530" w:rsidR="00AB096A" w:rsidRPr="0035411E" w:rsidRDefault="00AB096A" w:rsidP="00484581">
      <w:pPr>
        <w:pStyle w:val="ListNumber"/>
        <w:numPr>
          <w:ilvl w:val="0"/>
          <w:numId w:val="15"/>
        </w:numPr>
        <w:ind w:left="1440"/>
      </w:pPr>
      <w:r w:rsidRPr="0035411E">
        <w:t>in responding to a terrorist act that has occurred.</w:t>
      </w:r>
      <w:r w:rsidRPr="0035411E">
        <w:rPr>
          <w:rStyle w:val="EndnoteReference"/>
        </w:rPr>
        <w:endnoteReference w:id="40"/>
      </w:r>
    </w:p>
    <w:p w14:paraId="79E464EE" w14:textId="63C52E74" w:rsidR="00956221" w:rsidRDefault="00956221" w:rsidP="00335599">
      <w:pPr>
        <w:pStyle w:val="ListNumber2"/>
        <w:tabs>
          <w:tab w:val="clear" w:pos="643"/>
          <w:tab w:val="num" w:pos="1080"/>
        </w:tabs>
        <w:ind w:left="1080" w:hanging="797"/>
      </w:pPr>
      <w:r>
        <w:lastRenderedPageBreak/>
        <w:t xml:space="preserve">The declaration </w:t>
      </w:r>
      <w:r w:rsidR="00AB4DF6">
        <w:t>lasts for 28 days unless revoked earlier.</w:t>
      </w:r>
    </w:p>
    <w:p w14:paraId="5909B5F7" w14:textId="77777777" w:rsidR="00A5488C" w:rsidRDefault="006970E6" w:rsidP="00335599">
      <w:pPr>
        <w:pStyle w:val="ListNumber2"/>
        <w:tabs>
          <w:tab w:val="clear" w:pos="643"/>
          <w:tab w:val="num" w:pos="1080"/>
        </w:tabs>
        <w:ind w:left="1080" w:hanging="797"/>
      </w:pPr>
      <w:r>
        <w:t xml:space="preserve">The powers that may be exercised in these two situations allow </w:t>
      </w:r>
      <w:r w:rsidR="006F17F5">
        <w:t>a police officer to:</w:t>
      </w:r>
      <w:r w:rsidR="00A5488C">
        <w:t xml:space="preserve"> </w:t>
      </w:r>
    </w:p>
    <w:p w14:paraId="0C3123C2" w14:textId="7241954E" w:rsidR="0000500C" w:rsidRDefault="000E5ABB" w:rsidP="00484581">
      <w:pPr>
        <w:pStyle w:val="ListNumber"/>
        <w:numPr>
          <w:ilvl w:val="0"/>
          <w:numId w:val="16"/>
        </w:numPr>
      </w:pPr>
      <w:r>
        <w:t xml:space="preserve">require </w:t>
      </w:r>
      <w:r w:rsidR="007240AB">
        <w:t>a</w:t>
      </w:r>
      <w:r>
        <w:t xml:space="preserve"> person to </w:t>
      </w:r>
      <w:r w:rsidR="003C05AA">
        <w:t xml:space="preserve">show evidence of their identity </w:t>
      </w:r>
      <w:r w:rsidR="0000500C">
        <w:t xml:space="preserve">and </w:t>
      </w:r>
      <w:r>
        <w:t xml:space="preserve">provide </w:t>
      </w:r>
      <w:r w:rsidR="003C05AA">
        <w:t>details of their name, residential address,</w:t>
      </w:r>
      <w:r w:rsidR="0000500C">
        <w:t xml:space="preserve"> and reason for being in that Commonwealth place</w:t>
      </w:r>
      <w:r w:rsidR="00AB5B57">
        <w:rPr>
          <w:rStyle w:val="EndnoteReference"/>
        </w:rPr>
        <w:endnoteReference w:id="41"/>
      </w:r>
    </w:p>
    <w:p w14:paraId="0C22F686" w14:textId="03DCEE5B" w:rsidR="004A7AA9" w:rsidRDefault="00C975E2" w:rsidP="00484581">
      <w:pPr>
        <w:pStyle w:val="ListParagraph"/>
        <w:numPr>
          <w:ilvl w:val="0"/>
          <w:numId w:val="14"/>
        </w:numPr>
      </w:pPr>
      <w:r>
        <w:t>stop</w:t>
      </w:r>
      <w:r w:rsidR="00A3484F">
        <w:t xml:space="preserve"> and</w:t>
      </w:r>
      <w:r w:rsidR="00A503A5">
        <w:t xml:space="preserve"> detain</w:t>
      </w:r>
      <w:r>
        <w:t xml:space="preserve"> </w:t>
      </w:r>
      <w:r w:rsidR="00A3484F">
        <w:t xml:space="preserve">a person for the purpose of conducting a </w:t>
      </w:r>
      <w:r w:rsidR="00625D0E">
        <w:t xml:space="preserve">search </w:t>
      </w:r>
      <w:r w:rsidR="00A3484F">
        <w:t xml:space="preserve">of their </w:t>
      </w:r>
      <w:r w:rsidR="00AD13A3">
        <w:t>person</w:t>
      </w:r>
      <w:r w:rsidR="00A3484F">
        <w:t xml:space="preserve"> </w:t>
      </w:r>
      <w:r w:rsidR="00E1180B">
        <w:t>(</w:t>
      </w:r>
      <w:r w:rsidR="00AD13A3">
        <w:t xml:space="preserve">either an ordinary search or </w:t>
      </w:r>
      <w:r w:rsidR="00B6731E">
        <w:t xml:space="preserve">a frisk search), </w:t>
      </w:r>
      <w:r w:rsidR="004C3642">
        <w:t>their vehicle</w:t>
      </w:r>
      <w:r w:rsidR="0064592B">
        <w:t>,</w:t>
      </w:r>
      <w:r w:rsidR="004C3642">
        <w:t xml:space="preserve"> anything in their possession</w:t>
      </w:r>
      <w:r w:rsidR="00656020">
        <w:t>,</w:t>
      </w:r>
      <w:r w:rsidR="004C3642">
        <w:t xml:space="preserve"> or </w:t>
      </w:r>
      <w:r w:rsidR="00656020">
        <w:t xml:space="preserve">anything </w:t>
      </w:r>
      <w:r w:rsidR="004C3642">
        <w:t>that the</w:t>
      </w:r>
      <w:r w:rsidR="00656020">
        <w:t>y</w:t>
      </w:r>
      <w:r w:rsidR="004C3642">
        <w:t xml:space="preserve"> ha</w:t>
      </w:r>
      <w:r w:rsidR="00656020">
        <w:t>ve</w:t>
      </w:r>
      <w:r w:rsidR="004C3642">
        <w:t xml:space="preserve"> brought into the Commonwealth place</w:t>
      </w:r>
      <w:r w:rsidR="008C6BED">
        <w:rPr>
          <w:rStyle w:val="EndnoteReference"/>
        </w:rPr>
        <w:endnoteReference w:id="42"/>
      </w:r>
      <w:r w:rsidR="004C3642">
        <w:t xml:space="preserve"> </w:t>
      </w:r>
    </w:p>
    <w:p w14:paraId="3C317EFB" w14:textId="51BAAC83" w:rsidR="006F17F5" w:rsidRDefault="0064592B" w:rsidP="00484581">
      <w:pPr>
        <w:pStyle w:val="ListParagraph"/>
        <w:numPr>
          <w:ilvl w:val="0"/>
          <w:numId w:val="14"/>
        </w:numPr>
      </w:pPr>
      <w:r>
        <w:t xml:space="preserve">seize any </w:t>
      </w:r>
      <w:r w:rsidR="00986428">
        <w:t>item that the officer reasonably suspects may be used in</w:t>
      </w:r>
      <w:r w:rsidR="009D7E1C">
        <w:t>,</w:t>
      </w:r>
      <w:r w:rsidR="00986428">
        <w:t xml:space="preserve"> </w:t>
      </w:r>
      <w:r w:rsidR="00472762">
        <w:t>is connected with the preparation for</w:t>
      </w:r>
      <w:r w:rsidR="009D7E1C">
        <w:t>,</w:t>
      </w:r>
      <w:r w:rsidR="00472762">
        <w:t xml:space="preserve"> </w:t>
      </w:r>
      <w:r w:rsidR="009B2654">
        <w:t>is evidence of</w:t>
      </w:r>
      <w:r w:rsidR="008E298A">
        <w:t>,</w:t>
      </w:r>
      <w:r w:rsidR="009B2654">
        <w:t xml:space="preserve"> or </w:t>
      </w:r>
      <w:r w:rsidR="008E298A">
        <w:t>relates to</w:t>
      </w:r>
      <w:r w:rsidR="00847C28">
        <w:t>,</w:t>
      </w:r>
      <w:r w:rsidR="008E298A">
        <w:t xml:space="preserve"> a serious offence or a terrorist act</w:t>
      </w:r>
      <w:r w:rsidR="00C975E2">
        <w:t>.</w:t>
      </w:r>
      <w:r w:rsidR="008C6BED">
        <w:rPr>
          <w:rStyle w:val="EndnoteReference"/>
        </w:rPr>
        <w:endnoteReference w:id="43"/>
      </w:r>
      <w:r w:rsidR="008E298A">
        <w:t xml:space="preserve"> </w:t>
      </w:r>
    </w:p>
    <w:p w14:paraId="658F5FB4" w14:textId="5EACE81B" w:rsidR="00C226E6" w:rsidRDefault="00C226E6" w:rsidP="00D41339">
      <w:pPr>
        <w:pStyle w:val="ListNumber2"/>
        <w:tabs>
          <w:tab w:val="clear" w:pos="643"/>
          <w:tab w:val="num" w:pos="1080"/>
        </w:tabs>
        <w:ind w:left="1080" w:hanging="797"/>
      </w:pPr>
      <w:r>
        <w:t xml:space="preserve">In addition, </w:t>
      </w:r>
      <w:r w:rsidR="007F5639">
        <w:t xml:space="preserve">this Division contains </w:t>
      </w:r>
      <w:r>
        <w:t xml:space="preserve">a broader power that </w:t>
      </w:r>
      <w:r w:rsidR="007F5639">
        <w:t xml:space="preserve">is not limited to Commonwealth places.  </w:t>
      </w:r>
      <w:r w:rsidR="00E86725">
        <w:t xml:space="preserve">By virtue of s 3UEA of the Crimes Act, </w:t>
      </w:r>
      <w:r w:rsidR="006B4402">
        <w:t>introduced in 2010,</w:t>
      </w:r>
      <w:r w:rsidR="004437C1" w:rsidRPr="00D41339">
        <w:rPr>
          <w:sz w:val="20"/>
          <w:szCs w:val="20"/>
          <w:vertAlign w:val="superscript"/>
        </w:rPr>
        <w:endnoteReference w:id="44"/>
      </w:r>
      <w:r w:rsidR="006B4402">
        <w:t xml:space="preserve"> </w:t>
      </w:r>
      <w:r w:rsidR="00E86725">
        <w:t xml:space="preserve">a police officer may enter </w:t>
      </w:r>
      <w:r w:rsidR="003B4E90">
        <w:t>any premises</w:t>
      </w:r>
      <w:r w:rsidR="00521ADF">
        <w:t xml:space="preserve"> (including any private premises)</w:t>
      </w:r>
      <w:r w:rsidR="003B4E90">
        <w:t xml:space="preserve"> without a warrant </w:t>
      </w:r>
      <w:r w:rsidR="00E91886">
        <w:t xml:space="preserve">if the officer suspects on reasonable grounds that </w:t>
      </w:r>
      <w:r w:rsidR="00003C09">
        <w:t>it is necessary to search the premises for a thing</w:t>
      </w:r>
      <w:r w:rsidR="00CE49A9">
        <w:t xml:space="preserve"> in order to prevent it from being used in connection with a terrorism offence.  This power </w:t>
      </w:r>
      <w:r w:rsidR="0070398E">
        <w:t xml:space="preserve">can only be used where the officer also </w:t>
      </w:r>
      <w:r w:rsidR="001B75F6">
        <w:t>suspects on reasonable grounds that it is necessary to exercise the power without a warrant because there is a serious and imminent threat to a person’s life, health or safety.</w:t>
      </w:r>
    </w:p>
    <w:p w14:paraId="2684AB50" w14:textId="550E1226" w:rsidR="00ED4266" w:rsidRDefault="00ED4266" w:rsidP="00D41339">
      <w:pPr>
        <w:pStyle w:val="ListNumber2"/>
        <w:tabs>
          <w:tab w:val="clear" w:pos="643"/>
          <w:tab w:val="num" w:pos="1080"/>
        </w:tabs>
        <w:ind w:left="1080" w:hanging="797"/>
      </w:pPr>
      <w:r>
        <w:t xml:space="preserve">In 2018, additional reporting </w:t>
      </w:r>
      <w:r w:rsidR="008010F8">
        <w:t xml:space="preserve">and oversight provisions </w:t>
      </w:r>
      <w:r>
        <w:t xml:space="preserve">were introduced to increase transparency in relation to </w:t>
      </w:r>
      <w:proofErr w:type="gramStart"/>
      <w:r>
        <w:t>the</w:t>
      </w:r>
      <w:r w:rsidR="00D07035">
        <w:t>se</w:t>
      </w:r>
      <w:r>
        <w:t xml:space="preserve"> stop</w:t>
      </w:r>
      <w:proofErr w:type="gramEnd"/>
      <w:r>
        <w:t>, search and seize powers.</w:t>
      </w:r>
      <w:r w:rsidRPr="00942D24">
        <w:rPr>
          <w:sz w:val="20"/>
          <w:szCs w:val="20"/>
          <w:vertAlign w:val="superscript"/>
        </w:rPr>
        <w:endnoteReference w:id="45"/>
      </w:r>
      <w:r>
        <w:t xml:space="preserve">  These amendments were made following recommendations of the INSLM</w:t>
      </w:r>
      <w:r w:rsidRPr="00942D24">
        <w:rPr>
          <w:sz w:val="20"/>
          <w:szCs w:val="20"/>
          <w:vertAlign w:val="superscript"/>
        </w:rPr>
        <w:endnoteReference w:id="46"/>
      </w:r>
      <w:r>
        <w:t xml:space="preserve"> and the </w:t>
      </w:r>
      <w:r w:rsidRPr="00152A8F">
        <w:t>PJCIS</w:t>
      </w:r>
      <w:r>
        <w:t>.</w:t>
      </w:r>
      <w:r w:rsidRPr="00942D24">
        <w:rPr>
          <w:sz w:val="20"/>
          <w:szCs w:val="20"/>
          <w:vertAlign w:val="superscript"/>
        </w:rPr>
        <w:endnoteReference w:id="47"/>
      </w:r>
      <w:r>
        <w:t xml:space="preserve">  The new </w:t>
      </w:r>
      <w:r w:rsidR="00C55C4A">
        <w:t xml:space="preserve">reporting </w:t>
      </w:r>
      <w:r w:rsidR="008010F8">
        <w:t>requirements involve</w:t>
      </w:r>
      <w:r>
        <w:t>:</w:t>
      </w:r>
    </w:p>
    <w:p w14:paraId="4AACDCE0" w14:textId="571F9405" w:rsidR="00ED4266" w:rsidRDefault="00ED4266" w:rsidP="00484581">
      <w:pPr>
        <w:pStyle w:val="ListNumber"/>
        <w:numPr>
          <w:ilvl w:val="0"/>
          <w:numId w:val="14"/>
        </w:numPr>
      </w:pPr>
      <w:r>
        <w:t xml:space="preserve">reporting by the AFP to the </w:t>
      </w:r>
      <w:r w:rsidR="00D07035">
        <w:t>Minister for Home Affairs</w:t>
      </w:r>
      <w:r>
        <w:t>, the INSLM and the PJCIS in relation to the exercise of the powers, as soon as practicable after they are exercised</w:t>
      </w:r>
    </w:p>
    <w:p w14:paraId="64A25BC8" w14:textId="02597D23" w:rsidR="00ED4266" w:rsidRDefault="00ED4266" w:rsidP="00484581">
      <w:pPr>
        <w:pStyle w:val="ListNumber"/>
        <w:numPr>
          <w:ilvl w:val="0"/>
          <w:numId w:val="14"/>
        </w:numPr>
      </w:pPr>
      <w:r>
        <w:t xml:space="preserve">annual reporting by the </w:t>
      </w:r>
      <w:r w:rsidR="00D07035">
        <w:t>Minister for Home Affairs</w:t>
      </w:r>
      <w:r>
        <w:t xml:space="preserve"> to Parliament on the exercise of the powers.</w:t>
      </w:r>
    </w:p>
    <w:p w14:paraId="7475C657" w14:textId="602F3D48" w:rsidR="00FE705D" w:rsidRDefault="00FE705D" w:rsidP="00B13036">
      <w:pPr>
        <w:pStyle w:val="ListNumber2"/>
        <w:tabs>
          <w:tab w:val="clear" w:pos="643"/>
          <w:tab w:val="num" w:pos="1080"/>
        </w:tabs>
        <w:ind w:left="1080" w:hanging="797"/>
      </w:pPr>
      <w:r>
        <w:lastRenderedPageBreak/>
        <w:t xml:space="preserve">The reporting is limited to </w:t>
      </w:r>
      <w:r w:rsidR="00950347">
        <w:t xml:space="preserve">the exercise of stop, search and seize powers </w:t>
      </w:r>
      <w:r>
        <w:t>by AFP</w:t>
      </w:r>
      <w:r w:rsidR="00A53265">
        <w:t xml:space="preserve"> officers</w:t>
      </w:r>
      <w:r w:rsidR="00C11A36">
        <w:t xml:space="preserve">, and to requests </w:t>
      </w:r>
      <w:r w:rsidR="00DC5AEA">
        <w:t>by any police officer</w:t>
      </w:r>
      <w:r w:rsidR="00007CDC">
        <w:t xml:space="preserve"> to the Minister</w:t>
      </w:r>
      <w:r w:rsidR="00DC5AEA">
        <w:t xml:space="preserve"> </w:t>
      </w:r>
      <w:r w:rsidR="00C11A36">
        <w:t xml:space="preserve">for declarations of prescribed security zones.  </w:t>
      </w:r>
      <w:r w:rsidR="0047423F">
        <w:t xml:space="preserve">Reporting is not required in relation to </w:t>
      </w:r>
      <w:r w:rsidR="000C6797">
        <w:t xml:space="preserve">the exercise of stop, search and seize powers </w:t>
      </w:r>
      <w:r w:rsidR="00A53265">
        <w:t>by officers of State or Territory police forces.</w:t>
      </w:r>
    </w:p>
    <w:p w14:paraId="2D619C97" w14:textId="5DF2FAE0" w:rsidR="000B6E69" w:rsidRDefault="000B6E69" w:rsidP="00B13036">
      <w:pPr>
        <w:pStyle w:val="ListNumber2"/>
        <w:tabs>
          <w:tab w:val="clear" w:pos="643"/>
          <w:tab w:val="num" w:pos="1080"/>
        </w:tabs>
        <w:ind w:left="1080" w:hanging="797"/>
      </w:pPr>
      <w:r>
        <w:t xml:space="preserve">An additional oversight role </w:t>
      </w:r>
      <w:r w:rsidR="00A73A64">
        <w:t xml:space="preserve">was given to the PJCIS to monitor and review the performance by the AFP of its functions under </w:t>
      </w:r>
      <w:proofErr w:type="spellStart"/>
      <w:r w:rsidR="00A73A64">
        <w:t>Div</w:t>
      </w:r>
      <w:proofErr w:type="spellEnd"/>
      <w:r w:rsidR="00A73A64">
        <w:t xml:space="preserve"> 3A of Part </w:t>
      </w:r>
      <w:r w:rsidR="00861B8D">
        <w:t>IAA of the Crimes Act</w:t>
      </w:r>
      <w:r w:rsidR="00E319C3">
        <w:t xml:space="preserve"> and the </w:t>
      </w:r>
      <w:r w:rsidR="00E319C3" w:rsidRPr="00E319C3">
        <w:t>basis of the Minister’s declarations of prescribed security zones</w:t>
      </w:r>
      <w:r w:rsidR="00861B8D">
        <w:t>.</w:t>
      </w:r>
      <w:r w:rsidR="00FC3CCD" w:rsidRPr="004A07DF">
        <w:rPr>
          <w:sz w:val="20"/>
          <w:szCs w:val="20"/>
          <w:vertAlign w:val="superscript"/>
        </w:rPr>
        <w:endnoteReference w:id="48"/>
      </w:r>
      <w:r w:rsidR="00861B8D">
        <w:t xml:space="preserve"> </w:t>
      </w:r>
      <w:r w:rsidR="000B7D86">
        <w:t xml:space="preserve"> The PJCIS does not have a role in </w:t>
      </w:r>
      <w:r w:rsidR="0081290F">
        <w:t xml:space="preserve">monitoring or reviewing the performance </w:t>
      </w:r>
      <w:r w:rsidR="00860852">
        <w:t>by</w:t>
      </w:r>
      <w:r w:rsidR="0081290F">
        <w:t xml:space="preserve"> officers of State and Territory police forces </w:t>
      </w:r>
      <w:r w:rsidR="00860852">
        <w:t xml:space="preserve">of their </w:t>
      </w:r>
      <w:r w:rsidR="0081290F">
        <w:t>exercis</w:t>
      </w:r>
      <w:r w:rsidR="00860852">
        <w:t>e of</w:t>
      </w:r>
      <w:r w:rsidR="0081290F">
        <w:t xml:space="preserve"> the </w:t>
      </w:r>
      <w:r w:rsidR="007A1106">
        <w:t xml:space="preserve">stop, search and seize </w:t>
      </w:r>
      <w:r w:rsidR="0081290F">
        <w:t>powers.</w:t>
      </w:r>
    </w:p>
    <w:p w14:paraId="4561C699" w14:textId="019EDE6B" w:rsidR="00263339" w:rsidRDefault="00EC5619" w:rsidP="00B13036">
      <w:pPr>
        <w:pStyle w:val="ListNumber2"/>
        <w:tabs>
          <w:tab w:val="clear" w:pos="643"/>
          <w:tab w:val="num" w:pos="1080"/>
        </w:tabs>
        <w:ind w:left="1080" w:hanging="797"/>
      </w:pPr>
      <w:r>
        <w:t>These powers have not been used since they were introduced.</w:t>
      </w:r>
      <w:r w:rsidR="00DF2045">
        <w:rPr>
          <w:rStyle w:val="EndnoteReference"/>
        </w:rPr>
        <w:endnoteReference w:id="49"/>
      </w:r>
      <w:r>
        <w:t xml:space="preserve"> </w:t>
      </w:r>
    </w:p>
    <w:p w14:paraId="387B309A" w14:textId="399547B8" w:rsidR="006E49B7" w:rsidRDefault="00B40BFE" w:rsidP="006E49B7">
      <w:pPr>
        <w:pStyle w:val="Heading2"/>
      </w:pPr>
      <w:bookmarkStart w:id="14" w:name="_Toc50633815"/>
      <w:r>
        <w:t>Consideration</w:t>
      </w:r>
      <w:bookmarkEnd w:id="14"/>
    </w:p>
    <w:p w14:paraId="0E95102D" w14:textId="2D8B35AC" w:rsidR="003E14BE" w:rsidRDefault="007166DB" w:rsidP="003E14BE">
      <w:pPr>
        <w:pStyle w:val="Heading3"/>
      </w:pPr>
      <w:bookmarkStart w:id="15" w:name="_Toc50633816"/>
      <w:r>
        <w:t>Relevant human rights</w:t>
      </w:r>
      <w:bookmarkEnd w:id="15"/>
    </w:p>
    <w:p w14:paraId="60770057" w14:textId="30D0B0C7" w:rsidR="0009165E" w:rsidRDefault="00E06B75" w:rsidP="00B13036">
      <w:pPr>
        <w:pStyle w:val="ListNumber2"/>
        <w:tabs>
          <w:tab w:val="clear" w:pos="643"/>
          <w:tab w:val="num" w:pos="1080"/>
        </w:tabs>
        <w:ind w:left="1080" w:hanging="797"/>
      </w:pPr>
      <w:r>
        <w:t xml:space="preserve">The power to detain a person for the purposes of conducting a search </w:t>
      </w:r>
      <w:r w:rsidR="008A1787">
        <w:t xml:space="preserve">engages the </w:t>
      </w:r>
      <w:r w:rsidR="00940D4F">
        <w:t xml:space="preserve">right to liberty and security of the person (article 9(1) of the ICCPR) </w:t>
      </w:r>
      <w:r w:rsidR="008A1787">
        <w:t xml:space="preserve">and </w:t>
      </w:r>
      <w:r w:rsidR="00940D4F">
        <w:t>the right</w:t>
      </w:r>
      <w:r w:rsidR="00D3563B">
        <w:t>s</w:t>
      </w:r>
      <w:r w:rsidR="00940D4F">
        <w:t xml:space="preserve"> to</w:t>
      </w:r>
      <w:r w:rsidR="00AB096A" w:rsidRPr="0035411E">
        <w:t xml:space="preserve"> freedom of movement </w:t>
      </w:r>
      <w:r w:rsidR="00D3563B">
        <w:t xml:space="preserve">and privacy </w:t>
      </w:r>
      <w:r w:rsidR="00AB096A" w:rsidRPr="0035411E">
        <w:t>(article</w:t>
      </w:r>
      <w:r w:rsidR="00D3563B">
        <w:t>s</w:t>
      </w:r>
      <w:r w:rsidR="00AB096A" w:rsidRPr="0035411E">
        <w:t xml:space="preserve"> 12 </w:t>
      </w:r>
      <w:r w:rsidR="00D3563B">
        <w:t xml:space="preserve">and 17 </w:t>
      </w:r>
      <w:r w:rsidR="00AB096A" w:rsidRPr="0035411E">
        <w:t>of the ICCPR)</w:t>
      </w:r>
      <w:r w:rsidR="008A1787">
        <w:t xml:space="preserve">.  The </w:t>
      </w:r>
      <w:r w:rsidR="00B73F9F">
        <w:t xml:space="preserve">power to require a person to show evidence of their identity and provide details of their name, residential address, and reason for being in </w:t>
      </w:r>
      <w:r w:rsidR="00B8455B">
        <w:t>a</w:t>
      </w:r>
      <w:r w:rsidR="00B73F9F">
        <w:t xml:space="preserve"> Commonwealth place</w:t>
      </w:r>
      <w:r w:rsidR="00AB096A" w:rsidRPr="0035411E">
        <w:t xml:space="preserve"> </w:t>
      </w:r>
      <w:r w:rsidR="00B8455B">
        <w:t xml:space="preserve">engages the </w:t>
      </w:r>
      <w:r w:rsidR="00AB096A" w:rsidRPr="0035411E">
        <w:t>right to privacy.</w:t>
      </w:r>
    </w:p>
    <w:p w14:paraId="77AF545D" w14:textId="7CD5EA4D" w:rsidR="00A1789C" w:rsidRDefault="000507FA" w:rsidP="00B13036">
      <w:pPr>
        <w:pStyle w:val="ListNumber2"/>
        <w:tabs>
          <w:tab w:val="clear" w:pos="643"/>
          <w:tab w:val="num" w:pos="1080"/>
        </w:tabs>
        <w:ind w:left="1080" w:hanging="797"/>
      </w:pPr>
      <w:r>
        <w:t>Under international law, a</w:t>
      </w:r>
      <w:r w:rsidR="008F6B3A">
        <w:t xml:space="preserve"> restriction on these rights </w:t>
      </w:r>
      <w:r w:rsidR="00123F18">
        <w:t xml:space="preserve">is </w:t>
      </w:r>
      <w:r w:rsidR="008A1491">
        <w:t xml:space="preserve">permissible </w:t>
      </w:r>
      <w:r w:rsidR="00123F18">
        <w:t xml:space="preserve">only if it is in accordance with </w:t>
      </w:r>
      <w:r w:rsidR="008A1491">
        <w:t xml:space="preserve">the relevant provisions of the ICCPR.  </w:t>
      </w:r>
      <w:r w:rsidR="00C7292E">
        <w:t>In particular</w:t>
      </w:r>
      <w:r w:rsidR="008A1491">
        <w:t xml:space="preserve">, the State must </w:t>
      </w:r>
      <w:r w:rsidR="008F6B3A" w:rsidRPr="008F6B3A">
        <w:t xml:space="preserve">demonstrate the necessity </w:t>
      </w:r>
      <w:r w:rsidR="00C7292E">
        <w:t xml:space="preserve">of any restriction </w:t>
      </w:r>
      <w:r w:rsidR="008F6B3A" w:rsidRPr="008F6B3A">
        <w:t xml:space="preserve">and </w:t>
      </w:r>
      <w:r w:rsidR="00C7292E">
        <w:t xml:space="preserve">it may </w:t>
      </w:r>
      <w:r w:rsidR="008F6B3A" w:rsidRPr="008F6B3A">
        <w:t xml:space="preserve">only take measures </w:t>
      </w:r>
      <w:r w:rsidR="00AE5163">
        <w:t xml:space="preserve">that are </w:t>
      </w:r>
      <w:r w:rsidR="00793FF9">
        <w:t xml:space="preserve">reasonable and </w:t>
      </w:r>
      <w:r w:rsidR="008F6B3A" w:rsidRPr="008F6B3A">
        <w:t xml:space="preserve">proportionate </w:t>
      </w:r>
      <w:r w:rsidR="00CB334C">
        <w:t>in carrying out</w:t>
      </w:r>
      <w:r w:rsidR="008F6B3A" w:rsidRPr="008F6B3A">
        <w:t xml:space="preserve"> legitimate aims</w:t>
      </w:r>
      <w:r w:rsidR="00AE5163">
        <w:t>.</w:t>
      </w:r>
      <w:r w:rsidR="00AE5163" w:rsidRPr="00B13036">
        <w:rPr>
          <w:sz w:val="20"/>
          <w:szCs w:val="20"/>
          <w:vertAlign w:val="superscript"/>
        </w:rPr>
        <w:endnoteReference w:id="50"/>
      </w:r>
    </w:p>
    <w:p w14:paraId="511A8BDF" w14:textId="00F19184" w:rsidR="009F4837" w:rsidRPr="0046240E" w:rsidRDefault="009D76D3" w:rsidP="00B13036">
      <w:pPr>
        <w:pStyle w:val="ListNumber2"/>
        <w:tabs>
          <w:tab w:val="clear" w:pos="643"/>
          <w:tab w:val="num" w:pos="1080"/>
        </w:tabs>
        <w:ind w:left="1080" w:hanging="797"/>
      </w:pPr>
      <w:r>
        <w:t xml:space="preserve">The right to liberty in article 9 of the ICCPR prohibits </w:t>
      </w:r>
      <w:r w:rsidR="00CD1315">
        <w:t xml:space="preserve">‘arbitrary’ detention and provides that no one shall be deprived of </w:t>
      </w:r>
      <w:r w:rsidR="008F2085">
        <w:t xml:space="preserve">their </w:t>
      </w:r>
      <w:r w:rsidR="00CD1315">
        <w:t xml:space="preserve">liberty except on such grounds and </w:t>
      </w:r>
      <w:r w:rsidR="00C96B64">
        <w:t>in accordance with such procedure</w:t>
      </w:r>
      <w:r w:rsidR="00CB334C">
        <w:t>s</w:t>
      </w:r>
      <w:r w:rsidR="00C96B64">
        <w:t xml:space="preserve"> as are established by law.  Lawful and non-arbitrary detention </w:t>
      </w:r>
      <w:r w:rsidR="008233BA">
        <w:t xml:space="preserve">is not a breach of this right.  However, </w:t>
      </w:r>
      <w:r w:rsidR="00E75B59" w:rsidRPr="00B13036">
        <w:t xml:space="preserve">lawful detention may become arbitrary </w:t>
      </w:r>
      <w:r w:rsidR="004F7101" w:rsidRPr="00B13036">
        <w:t xml:space="preserve">if </w:t>
      </w:r>
      <w:r w:rsidR="00082B75" w:rsidRPr="00B13036">
        <w:t xml:space="preserve">it has elements of </w:t>
      </w:r>
      <w:r w:rsidR="004F7101" w:rsidRPr="00B13036">
        <w:t>inappropriateness, injustice or lack of predictability</w:t>
      </w:r>
      <w:r w:rsidR="00E75B59" w:rsidRPr="00B13036">
        <w:t>.</w:t>
      </w:r>
      <w:r w:rsidR="0021579B" w:rsidRPr="00B13036">
        <w:rPr>
          <w:sz w:val="20"/>
          <w:szCs w:val="20"/>
          <w:vertAlign w:val="superscript"/>
        </w:rPr>
        <w:endnoteReference w:id="51"/>
      </w:r>
      <w:r w:rsidR="00E75B59" w:rsidRPr="00B13036">
        <w:t xml:space="preserve"> </w:t>
      </w:r>
      <w:r w:rsidR="00082B75" w:rsidRPr="00B13036">
        <w:t xml:space="preserve"> </w:t>
      </w:r>
      <w:r w:rsidR="00082B75" w:rsidRPr="00B13036">
        <w:lastRenderedPageBreak/>
        <w:t xml:space="preserve">Further, </w:t>
      </w:r>
      <w:r w:rsidR="00A768D5" w:rsidRPr="00B13036">
        <w:t xml:space="preserve">detention should not continue for longer than </w:t>
      </w:r>
      <w:r w:rsidR="00660322" w:rsidRPr="00B13036">
        <w:t xml:space="preserve">the </w:t>
      </w:r>
      <w:r w:rsidR="00A768D5" w:rsidRPr="00B13036">
        <w:t>State can provide appropriate justification</w:t>
      </w:r>
      <w:r w:rsidR="00660322" w:rsidRPr="00B13036">
        <w:t>.</w:t>
      </w:r>
      <w:r w:rsidR="00660322" w:rsidRPr="00B13036">
        <w:rPr>
          <w:sz w:val="20"/>
          <w:szCs w:val="20"/>
          <w:vertAlign w:val="superscript"/>
        </w:rPr>
        <w:endnoteReference w:id="52"/>
      </w:r>
    </w:p>
    <w:p w14:paraId="08982B52" w14:textId="2C9FB938" w:rsidR="0046240E" w:rsidRDefault="0046240E" w:rsidP="00B13036">
      <w:pPr>
        <w:pStyle w:val="ListNumber2"/>
        <w:tabs>
          <w:tab w:val="clear" w:pos="643"/>
          <w:tab w:val="num" w:pos="1080"/>
        </w:tabs>
        <w:ind w:left="1080" w:hanging="797"/>
      </w:pPr>
      <w:r w:rsidRPr="00B13036">
        <w:t xml:space="preserve">The right to privacy </w:t>
      </w:r>
      <w:r w:rsidR="009B4F21" w:rsidRPr="00B13036">
        <w:t xml:space="preserve">in article 17 of the ICCPR </w:t>
      </w:r>
      <w:r w:rsidR="00300893" w:rsidRPr="00B13036">
        <w:t xml:space="preserve">is similarly </w:t>
      </w:r>
      <w:r w:rsidR="00CF607B" w:rsidRPr="00B13036">
        <w:t>confined to protection against ‘arbitrary or unlawful interference’.</w:t>
      </w:r>
      <w:r w:rsidR="009B4F21" w:rsidRPr="00B13036">
        <w:t xml:space="preserve">  The right to freedom of movement can be subject to lawful restrictions</w:t>
      </w:r>
      <w:r w:rsidR="00536D9C" w:rsidRPr="00B13036">
        <w:t xml:space="preserve"> that are necessary to protect national security, public order or the rights and freedoms of others.</w:t>
      </w:r>
    </w:p>
    <w:p w14:paraId="46240C46" w14:textId="6FF7B969" w:rsidR="007166DB" w:rsidRDefault="007166DB" w:rsidP="007166DB">
      <w:pPr>
        <w:pStyle w:val="Heading3"/>
      </w:pPr>
      <w:bookmarkStart w:id="16" w:name="_Toc50633817"/>
      <w:r>
        <w:t>Stop, search and seize powers</w:t>
      </w:r>
      <w:bookmarkEnd w:id="16"/>
    </w:p>
    <w:p w14:paraId="57C40337" w14:textId="66889204" w:rsidR="001C4854" w:rsidRDefault="001C4854" w:rsidP="00B13036">
      <w:pPr>
        <w:pStyle w:val="ListNumber2"/>
        <w:tabs>
          <w:tab w:val="clear" w:pos="643"/>
          <w:tab w:val="num" w:pos="1080"/>
        </w:tabs>
        <w:ind w:left="1080" w:hanging="797"/>
      </w:pPr>
      <w:r>
        <w:t xml:space="preserve">The first step in a human rights analysis is assessing whether these powers are </w:t>
      </w:r>
      <w:r w:rsidR="0049484B">
        <w:t>‘</w:t>
      </w:r>
      <w:r>
        <w:t>necessary</w:t>
      </w:r>
      <w:r w:rsidR="0049484B">
        <w:t xml:space="preserve">’ </w:t>
      </w:r>
      <w:r w:rsidR="00045748">
        <w:t xml:space="preserve">to achieve </w:t>
      </w:r>
      <w:r w:rsidR="00233604">
        <w:t xml:space="preserve">a </w:t>
      </w:r>
      <w:r w:rsidR="0049484B">
        <w:t>legitimate purpose</w:t>
      </w:r>
      <w:r>
        <w:t xml:space="preserve">.  The fact that </w:t>
      </w:r>
      <w:r w:rsidR="0084037D">
        <w:t xml:space="preserve">the powers have </w:t>
      </w:r>
      <w:r w:rsidR="00BD2F4E">
        <w:t>not</w:t>
      </w:r>
      <w:r w:rsidR="00BE504D">
        <w:t xml:space="preserve"> been used </w:t>
      </w:r>
      <w:r w:rsidR="00BD2F4E">
        <w:t xml:space="preserve">in 15 years </w:t>
      </w:r>
      <w:r w:rsidR="0084037D">
        <w:t xml:space="preserve">may </w:t>
      </w:r>
      <w:r w:rsidR="005E127E">
        <w:t>be an indication</w:t>
      </w:r>
      <w:r w:rsidR="0084037D">
        <w:t xml:space="preserve"> that </w:t>
      </w:r>
      <w:r>
        <w:t xml:space="preserve">they </w:t>
      </w:r>
      <w:r w:rsidR="00BD2F4E">
        <w:t xml:space="preserve">are not necessary.  </w:t>
      </w:r>
      <w:r w:rsidR="00C77045">
        <w:t xml:space="preserve">However, the AFP has submitted previously that </w:t>
      </w:r>
      <w:r w:rsidR="00DC6E04">
        <w:t xml:space="preserve">there are two reasons why </w:t>
      </w:r>
      <w:r w:rsidR="00C77045">
        <w:t>the powers have not been used</w:t>
      </w:r>
      <w:r w:rsidR="00DC6E04">
        <w:t>.</w:t>
      </w:r>
      <w:r w:rsidR="006A29E3" w:rsidRPr="00B13036">
        <w:rPr>
          <w:sz w:val="20"/>
          <w:szCs w:val="20"/>
          <w:vertAlign w:val="superscript"/>
        </w:rPr>
        <w:endnoteReference w:id="53"/>
      </w:r>
      <w:r w:rsidR="00DC6E04">
        <w:t xml:space="preserve">  First</w:t>
      </w:r>
      <w:r w:rsidR="00212F4E">
        <w:t xml:space="preserve">, the powers </w:t>
      </w:r>
      <w:r w:rsidR="00DC6E04">
        <w:t>have a narrow field of application</w:t>
      </w:r>
      <w:r w:rsidR="00CB334C">
        <w:t>,</w:t>
      </w:r>
      <w:r w:rsidR="00DC6E04">
        <w:t xml:space="preserve"> because they are </w:t>
      </w:r>
      <w:r w:rsidR="00212F4E">
        <w:t>limited to Commonwealth places</w:t>
      </w:r>
      <w:r w:rsidR="00DC6E04">
        <w:t xml:space="preserve">.  Secondly, </w:t>
      </w:r>
      <w:r w:rsidR="00487802">
        <w:t>since the powers were introduced</w:t>
      </w:r>
      <w:r w:rsidR="00212F4E">
        <w:t xml:space="preserve">, </w:t>
      </w:r>
      <w:r w:rsidR="00487802">
        <w:t xml:space="preserve">the AFP has not </w:t>
      </w:r>
      <w:r w:rsidR="00BA0DF4">
        <w:t>responded to a terrorist attack on a Commonwealth place.</w:t>
      </w:r>
      <w:r w:rsidR="00487802">
        <w:t xml:space="preserve"> </w:t>
      </w:r>
    </w:p>
    <w:p w14:paraId="4B9B6EAF" w14:textId="2AD1AD67" w:rsidR="00606A2E" w:rsidRDefault="007C2311" w:rsidP="00B13036">
      <w:pPr>
        <w:pStyle w:val="ListNumber2"/>
        <w:tabs>
          <w:tab w:val="clear" w:pos="643"/>
          <w:tab w:val="num" w:pos="1080"/>
        </w:tabs>
        <w:ind w:left="1080" w:hanging="797"/>
      </w:pPr>
      <w:r>
        <w:t xml:space="preserve">The </w:t>
      </w:r>
      <w:r w:rsidR="00F71AFB">
        <w:t xml:space="preserve">AFP says that the powers are </w:t>
      </w:r>
      <w:r w:rsidR="00B5363E">
        <w:t xml:space="preserve">necessary </w:t>
      </w:r>
      <w:r w:rsidR="00730AAA">
        <w:t>because</w:t>
      </w:r>
      <w:r w:rsidR="00606A2E">
        <w:t>, although</w:t>
      </w:r>
      <w:r w:rsidR="00365F65">
        <w:t xml:space="preserve"> they have not been used</w:t>
      </w:r>
      <w:r w:rsidR="000A3C62">
        <w:t xml:space="preserve"> to date</w:t>
      </w:r>
      <w:r w:rsidR="00365F65">
        <w:t xml:space="preserve">, there have been a number of threats to Commonwealth places where the powers could </w:t>
      </w:r>
      <w:r w:rsidR="000A3C62">
        <w:t xml:space="preserve">have </w:t>
      </w:r>
      <w:r w:rsidR="00365F65">
        <w:t>be</w:t>
      </w:r>
      <w:r w:rsidR="000A3C62">
        <w:t>en</w:t>
      </w:r>
      <w:r w:rsidR="00365F65">
        <w:t xml:space="preserve"> </w:t>
      </w:r>
      <w:r w:rsidR="000A3C62">
        <w:t>required</w:t>
      </w:r>
      <w:r w:rsidR="00365F65">
        <w:t>.</w:t>
      </w:r>
      <w:r w:rsidR="000A3C62" w:rsidRPr="00B13036">
        <w:rPr>
          <w:sz w:val="20"/>
          <w:szCs w:val="20"/>
          <w:vertAlign w:val="superscript"/>
        </w:rPr>
        <w:endnoteReference w:id="54"/>
      </w:r>
    </w:p>
    <w:p w14:paraId="3AC964B1" w14:textId="48F61C0A" w:rsidR="009F3A04" w:rsidRDefault="00365F65" w:rsidP="00B13036">
      <w:pPr>
        <w:pStyle w:val="ListNumber2"/>
        <w:tabs>
          <w:tab w:val="clear" w:pos="643"/>
          <w:tab w:val="num" w:pos="1080"/>
        </w:tabs>
        <w:ind w:left="1080" w:hanging="797"/>
      </w:pPr>
      <w:r>
        <w:t xml:space="preserve">Further, the AFP says that these powers </w:t>
      </w:r>
      <w:r w:rsidR="00730AAA">
        <w:t>‘fill a gap’ in State and Territory emergency counter-terrorism powers.  Around the time that the stop, search and seize powers were first introduced into the Crimes Act, the States and Territories gave similar powers to their own police forces.</w:t>
      </w:r>
      <w:r w:rsidR="00730AAA" w:rsidRPr="00B13036">
        <w:rPr>
          <w:sz w:val="20"/>
          <w:szCs w:val="20"/>
          <w:vertAlign w:val="superscript"/>
        </w:rPr>
        <w:endnoteReference w:id="55"/>
      </w:r>
      <w:r w:rsidR="00730AAA">
        <w:t xml:space="preserve">  The powers in the Crimes Act were intended to ‘dovetail’ </w:t>
      </w:r>
      <w:r w:rsidR="00CB334C">
        <w:t xml:space="preserve">with </w:t>
      </w:r>
      <w:r w:rsidR="00730AAA">
        <w:t xml:space="preserve">these State and Territory regimes and provide a common approach when dealing with Commonwealth places.  </w:t>
      </w:r>
      <w:r w:rsidR="00E94B20">
        <w:t xml:space="preserve">The Commission has not </w:t>
      </w:r>
      <w:r w:rsidR="000E5061">
        <w:t>reviewed the scope</w:t>
      </w:r>
      <w:r w:rsidR="00E94B20">
        <w:t xml:space="preserve"> of </w:t>
      </w:r>
      <w:r w:rsidR="000E5061">
        <w:t xml:space="preserve">the equivalent powers in </w:t>
      </w:r>
      <w:r w:rsidR="004A2094">
        <w:t xml:space="preserve">each of the </w:t>
      </w:r>
      <w:r w:rsidR="000E5061">
        <w:t xml:space="preserve">State and Territory regimes to identify whether a gap exists, but accepts that the provisions in the Crimes Act would ensure consistency </w:t>
      </w:r>
      <w:r w:rsidR="004A2094">
        <w:t xml:space="preserve">in application </w:t>
      </w:r>
      <w:r w:rsidR="000E5061">
        <w:t>across Commonwealth places.</w:t>
      </w:r>
    </w:p>
    <w:p w14:paraId="43F2767B" w14:textId="060811FC" w:rsidR="009F3A04" w:rsidRDefault="00D5660B" w:rsidP="00B13036">
      <w:pPr>
        <w:pStyle w:val="ListNumber2"/>
        <w:tabs>
          <w:tab w:val="clear" w:pos="643"/>
          <w:tab w:val="num" w:pos="1080"/>
        </w:tabs>
        <w:ind w:left="1080" w:hanging="797"/>
      </w:pPr>
      <w:r>
        <w:t xml:space="preserve">The second step in a human rights analysis is examining whether the </w:t>
      </w:r>
      <w:r w:rsidR="00445DE9">
        <w:t>powers are reasonable.  This involves examining the checks and balances on the power</w:t>
      </w:r>
      <w:r w:rsidR="00846648">
        <w:t>s</w:t>
      </w:r>
      <w:r w:rsidR="00445DE9">
        <w:t xml:space="preserve">, and </w:t>
      </w:r>
      <w:r w:rsidR="00D275FA">
        <w:t xml:space="preserve">whether less restrictive alternatives are available.  Here, </w:t>
      </w:r>
      <w:r w:rsidR="001B70ED">
        <w:t xml:space="preserve">the powers </w:t>
      </w:r>
      <w:r w:rsidR="0074173F">
        <w:t>are</w:t>
      </w:r>
      <w:r w:rsidR="001B70ED">
        <w:t xml:space="preserve"> </w:t>
      </w:r>
      <w:r w:rsidR="0074173F">
        <w:t xml:space="preserve">geographically </w:t>
      </w:r>
      <w:r w:rsidR="001B70ED">
        <w:t>limited</w:t>
      </w:r>
      <w:r w:rsidR="00C36FC5">
        <w:t xml:space="preserve"> in that they only </w:t>
      </w:r>
      <w:r w:rsidR="00C36FC5">
        <w:lastRenderedPageBreak/>
        <w:t xml:space="preserve">apply in </w:t>
      </w:r>
      <w:r w:rsidR="00DB098E">
        <w:t>Commonwealth places</w:t>
      </w:r>
      <w:r w:rsidR="001B70ED">
        <w:t xml:space="preserve">.  </w:t>
      </w:r>
      <w:r w:rsidR="00B6448D">
        <w:t xml:space="preserve">Further, there are </w:t>
      </w:r>
      <w:r w:rsidR="00114E7C">
        <w:t>appropriate limits on the power to conduct a search</w:t>
      </w:r>
      <w:r w:rsidR="00CC53D1">
        <w:t>.</w:t>
      </w:r>
      <w:r w:rsidR="00114E7C">
        <w:t xml:space="preserve">  An officer conducting a search</w:t>
      </w:r>
      <w:r w:rsidR="00CB334C">
        <w:t xml:space="preserve"> must not</w:t>
      </w:r>
      <w:r w:rsidR="00114E7C">
        <w:t>:</w:t>
      </w:r>
    </w:p>
    <w:p w14:paraId="7719C5BC" w14:textId="7EA6B1F5" w:rsidR="00114E7C" w:rsidRDefault="00114E7C" w:rsidP="00484581">
      <w:pPr>
        <w:pStyle w:val="ListNumber"/>
        <w:numPr>
          <w:ilvl w:val="0"/>
          <w:numId w:val="14"/>
        </w:numPr>
      </w:pPr>
      <w:r>
        <w:t>use more force, or subject a person to greater indignity, than is reasonable and necessary</w:t>
      </w:r>
      <w:r w:rsidR="002523A9">
        <w:rPr>
          <w:rStyle w:val="EndnoteReference"/>
        </w:rPr>
        <w:endnoteReference w:id="56"/>
      </w:r>
    </w:p>
    <w:p w14:paraId="586C306D" w14:textId="5C05F3CC" w:rsidR="00114E7C" w:rsidRDefault="00871739" w:rsidP="00484581">
      <w:pPr>
        <w:pStyle w:val="ListNumber"/>
        <w:numPr>
          <w:ilvl w:val="0"/>
          <w:numId w:val="14"/>
        </w:numPr>
      </w:pPr>
      <w:r>
        <w:t xml:space="preserve">detain a person for longer than is </w:t>
      </w:r>
      <w:r w:rsidR="002523A9">
        <w:t xml:space="preserve">reasonably </w:t>
      </w:r>
      <w:r>
        <w:t xml:space="preserve">necessary </w:t>
      </w:r>
      <w:r w:rsidR="002523A9">
        <w:t>for the search to be conducted</w:t>
      </w:r>
      <w:r w:rsidR="00AC752E">
        <w:rPr>
          <w:rStyle w:val="EndnoteReference"/>
        </w:rPr>
        <w:endnoteReference w:id="57"/>
      </w:r>
    </w:p>
    <w:p w14:paraId="5ACA6A23" w14:textId="6B66B33F" w:rsidR="00EF001E" w:rsidRDefault="00EF001E" w:rsidP="00484581">
      <w:pPr>
        <w:pStyle w:val="ListNumber"/>
        <w:numPr>
          <w:ilvl w:val="0"/>
          <w:numId w:val="14"/>
        </w:numPr>
      </w:pPr>
      <w:r>
        <w:t>damage a thing being searched</w:t>
      </w:r>
      <w:r w:rsidR="005068E7">
        <w:t xml:space="preserve"> by forcing it open, unless the person has been given a reasonable opportunity to open the thing</w:t>
      </w:r>
      <w:r w:rsidR="00116342">
        <w:t xml:space="preserve"> (or it is not possible to give that opportunity).</w:t>
      </w:r>
      <w:r w:rsidR="00116342">
        <w:rPr>
          <w:rStyle w:val="EndnoteReference"/>
        </w:rPr>
        <w:endnoteReference w:id="58"/>
      </w:r>
    </w:p>
    <w:p w14:paraId="2ED8F1EE" w14:textId="3A127249" w:rsidR="00622BC5" w:rsidRDefault="00DF6B6C" w:rsidP="00B13036">
      <w:pPr>
        <w:pStyle w:val="ListNumber2"/>
        <w:tabs>
          <w:tab w:val="clear" w:pos="643"/>
          <w:tab w:val="num" w:pos="1080"/>
        </w:tabs>
        <w:ind w:left="1080" w:hanging="797"/>
      </w:pPr>
      <w:r>
        <w:t xml:space="preserve">The third step in a human rights analysis is examining whether </w:t>
      </w:r>
      <w:r w:rsidR="00D011CB">
        <w:t xml:space="preserve">the impact on rights is proportionate to the purpose of the power.  </w:t>
      </w:r>
      <w:r w:rsidR="00026D3C">
        <w:t>In the first kind of situation where these powers can be used</w:t>
      </w:r>
      <w:r w:rsidR="00F40D31">
        <w:t xml:space="preserve">—namely, where a police officer </w:t>
      </w:r>
      <w:r w:rsidR="003F2950">
        <w:t xml:space="preserve">suspects on reasonable grounds that a terrorist act </w:t>
      </w:r>
      <w:r w:rsidR="00F40D31">
        <w:t>is imminent, occurring or has just occurred</w:t>
      </w:r>
      <w:r w:rsidR="003F2950">
        <w:t xml:space="preserve">—there is a tight correlation between </w:t>
      </w:r>
      <w:r w:rsidR="00032C1E">
        <w:t>the purpose of the power and its exercise.</w:t>
      </w:r>
      <w:r w:rsidR="00F40D31">
        <w:t xml:space="preserve"> </w:t>
      </w:r>
      <w:r w:rsidR="000316D4">
        <w:t xml:space="preserve"> </w:t>
      </w:r>
      <w:r w:rsidR="00D77363">
        <w:t xml:space="preserve">It is only those people who are suspected of being involved in the act that </w:t>
      </w:r>
      <w:r w:rsidR="00CB334C">
        <w:t>can be</w:t>
      </w:r>
      <w:r w:rsidR="00D77363">
        <w:t xml:space="preserve"> </w:t>
      </w:r>
      <w:r w:rsidR="002A5FA3">
        <w:t xml:space="preserve">stopped, questioned and searched.  </w:t>
      </w:r>
      <w:r w:rsidR="00AB7E37">
        <w:t>Further, the impact on liberty</w:t>
      </w:r>
      <w:r w:rsidR="009848F4">
        <w:t>,</w:t>
      </w:r>
      <w:r w:rsidR="00AB7E37">
        <w:t xml:space="preserve"> freedom of movement </w:t>
      </w:r>
      <w:r w:rsidR="009848F4">
        <w:t xml:space="preserve">and privacy </w:t>
      </w:r>
      <w:r w:rsidR="00AB7E37">
        <w:t xml:space="preserve">is </w:t>
      </w:r>
      <w:r w:rsidR="003A6035">
        <w:t>limited</w:t>
      </w:r>
      <w:r w:rsidR="00F23ECE">
        <w:t xml:space="preserve"> in time and </w:t>
      </w:r>
      <w:r w:rsidR="00204786">
        <w:t>intensity to what is reasonably necessary</w:t>
      </w:r>
      <w:r w:rsidR="003A6035">
        <w:t xml:space="preserve">.  </w:t>
      </w:r>
      <w:r w:rsidR="000316D4">
        <w:t>In those circumstances, t</w:t>
      </w:r>
      <w:r w:rsidR="003B6CF3">
        <w:t>here is a reasonable basis to find that any detention for the purpose of a search is not arbitrary</w:t>
      </w:r>
      <w:r w:rsidR="000316D4">
        <w:t xml:space="preserve"> and that the impact on freedom of movement and privacy is proportionate</w:t>
      </w:r>
      <w:r w:rsidR="00AF0C0B">
        <w:t xml:space="preserve"> to the purpose </w:t>
      </w:r>
      <w:r w:rsidR="00E77FB7">
        <w:t>of the power</w:t>
      </w:r>
      <w:r w:rsidR="009C0CF0">
        <w:t xml:space="preserve"> in the context of the current security environment</w:t>
      </w:r>
      <w:r w:rsidR="00895BF2">
        <w:t xml:space="preserve">. </w:t>
      </w:r>
      <w:r w:rsidR="003B6CF3">
        <w:t xml:space="preserve"> </w:t>
      </w:r>
    </w:p>
    <w:p w14:paraId="4398655D" w14:textId="4F888781" w:rsidR="00B75DAB" w:rsidRDefault="00B75DAB" w:rsidP="00B75DAB">
      <w:pPr>
        <w:pStyle w:val="Heading3"/>
      </w:pPr>
      <w:bookmarkStart w:id="17" w:name="_Toc50633818"/>
      <w:r>
        <w:t>Prescribed security zones</w:t>
      </w:r>
      <w:bookmarkEnd w:id="17"/>
    </w:p>
    <w:p w14:paraId="37AAB17E" w14:textId="7E701646" w:rsidR="00F048AA" w:rsidRDefault="00F005AC" w:rsidP="00B13036">
      <w:pPr>
        <w:pStyle w:val="ListNumber2"/>
        <w:tabs>
          <w:tab w:val="clear" w:pos="643"/>
          <w:tab w:val="num" w:pos="1080"/>
        </w:tabs>
        <w:ind w:left="1080" w:hanging="797"/>
      </w:pPr>
      <w:r>
        <w:t xml:space="preserve">It is more doubtful that the current provisions dealing with </w:t>
      </w:r>
      <w:r w:rsidR="006C5E44">
        <w:t>the declaration of prescribed security zones</w:t>
      </w:r>
      <w:r w:rsidR="008871E3">
        <w:t xml:space="preserve"> meet the requirements of reasonableness and proportionality</w:t>
      </w:r>
      <w:r w:rsidR="006C5E44">
        <w:t xml:space="preserve">.  Once a security zone is prescribed, there is </w:t>
      </w:r>
      <w:r w:rsidR="00DD5529">
        <w:t xml:space="preserve">no requirement for a police officer to </w:t>
      </w:r>
      <w:r w:rsidR="00182EC2">
        <w:t xml:space="preserve">suspect that a person in the zone </w:t>
      </w:r>
      <w:r w:rsidR="00536E6A">
        <w:t xml:space="preserve">is connected in any way with a terrorist act.  Any person in the zone is liable to </w:t>
      </w:r>
      <w:r w:rsidR="001F77FD">
        <w:t>detention for the purpose of a search by police</w:t>
      </w:r>
      <w:r w:rsidR="00B23141">
        <w:t xml:space="preserve"> </w:t>
      </w:r>
      <w:r w:rsidR="002D2D61">
        <w:t xml:space="preserve">while the zone is in force, which can be </w:t>
      </w:r>
      <w:r w:rsidR="00B23141">
        <w:t>for a period of up to 28 days</w:t>
      </w:r>
      <w:r w:rsidR="001F77FD">
        <w:t xml:space="preserve">.  </w:t>
      </w:r>
      <w:r w:rsidR="000B561C">
        <w:t xml:space="preserve">This clearly </w:t>
      </w:r>
      <w:r w:rsidR="007525E7">
        <w:t xml:space="preserve">has a </w:t>
      </w:r>
      <w:r w:rsidR="000B561C">
        <w:t xml:space="preserve">much </w:t>
      </w:r>
      <w:r w:rsidR="007525E7">
        <w:t>broader impact on human rights</w:t>
      </w:r>
      <w:r w:rsidR="008C7D79">
        <w:t>,</w:t>
      </w:r>
      <w:r w:rsidR="007525E7">
        <w:t xml:space="preserve"> because it subjects ordinary citizens, </w:t>
      </w:r>
      <w:r w:rsidR="00F048AA">
        <w:t>unrelated to any terrorist act, to</w:t>
      </w:r>
      <w:r w:rsidR="00E35F6B">
        <w:t xml:space="preserve"> the potential of</w:t>
      </w:r>
      <w:r w:rsidR="00F048AA">
        <w:t xml:space="preserve"> </w:t>
      </w:r>
      <w:r w:rsidR="00E35F6B">
        <w:t>detention and search.</w:t>
      </w:r>
    </w:p>
    <w:p w14:paraId="1C14ACFE" w14:textId="3AC251F7" w:rsidR="001A5568" w:rsidRDefault="008871E3" w:rsidP="00B13036">
      <w:pPr>
        <w:pStyle w:val="ListNumber2"/>
        <w:tabs>
          <w:tab w:val="clear" w:pos="643"/>
          <w:tab w:val="num" w:pos="1080"/>
        </w:tabs>
        <w:ind w:left="1080" w:hanging="797"/>
      </w:pPr>
      <w:r>
        <w:lastRenderedPageBreak/>
        <w:t>Two</w:t>
      </w:r>
      <w:r w:rsidR="00E35F6B">
        <w:t xml:space="preserve"> </w:t>
      </w:r>
      <w:r w:rsidR="00B56B40">
        <w:t xml:space="preserve">reasonably available </w:t>
      </w:r>
      <w:r w:rsidR="00E35F6B">
        <w:t>alternatives</w:t>
      </w:r>
      <w:r w:rsidR="00B56B40">
        <w:t xml:space="preserve"> that would be less restrictive of human rights</w:t>
      </w:r>
      <w:r w:rsidR="00422D48">
        <w:t xml:space="preserve"> are as follows</w:t>
      </w:r>
      <w:r w:rsidR="001A5568">
        <w:t>:</w:t>
      </w:r>
    </w:p>
    <w:p w14:paraId="2C27935E" w14:textId="77ABE561" w:rsidR="001A5568" w:rsidRDefault="00422D48" w:rsidP="00484581">
      <w:pPr>
        <w:pStyle w:val="ListNumber"/>
        <w:numPr>
          <w:ilvl w:val="0"/>
          <w:numId w:val="14"/>
        </w:numPr>
      </w:pPr>
      <w:r>
        <w:t>D</w:t>
      </w:r>
      <w:r w:rsidR="00593D77">
        <w:t xml:space="preserve">etention </w:t>
      </w:r>
      <w:r>
        <w:t xml:space="preserve">could be limited </w:t>
      </w:r>
      <w:r w:rsidR="00D812EE">
        <w:t>for the purpose of</w:t>
      </w:r>
      <w:r w:rsidR="00593D77">
        <w:t xml:space="preserve"> sear</w:t>
      </w:r>
      <w:r w:rsidR="00D812EE">
        <w:t xml:space="preserve">ch to people reasonably suspected by police </w:t>
      </w:r>
      <w:r w:rsidR="008C7D79">
        <w:t xml:space="preserve">of </w:t>
      </w:r>
      <w:r w:rsidR="00D812EE">
        <w:t xml:space="preserve">being involved in </w:t>
      </w:r>
      <w:r w:rsidR="00B56B40">
        <w:t>the terrorist act.</w:t>
      </w:r>
      <w:r w:rsidR="00D35935">
        <w:t xml:space="preserve">  This would involve a removal of the </w:t>
      </w:r>
      <w:r w:rsidR="008E3BEA">
        <w:t>prescribed security zone regime entirely</w:t>
      </w:r>
      <w:r w:rsidR="00F26EF5">
        <w:t xml:space="preserve"> and </w:t>
      </w:r>
      <w:r w:rsidR="0038311E">
        <w:t xml:space="preserve">limiting the application of </w:t>
      </w:r>
      <w:r w:rsidR="00F15E30">
        <w:t xml:space="preserve">the </w:t>
      </w:r>
      <w:r w:rsidR="00FE384A">
        <w:t xml:space="preserve">stop, search and seize </w:t>
      </w:r>
      <w:r w:rsidR="00F15E30">
        <w:t>powers to the circumstances in s 3UB(1)(a)</w:t>
      </w:r>
      <w:r w:rsidR="00793702">
        <w:t xml:space="preserve"> of the Crimes Act</w:t>
      </w:r>
      <w:r w:rsidR="008E3BEA">
        <w:t>.</w:t>
      </w:r>
    </w:p>
    <w:p w14:paraId="761E179D" w14:textId="3A80537A" w:rsidR="00B56B40" w:rsidRDefault="00B56B40" w:rsidP="00484581">
      <w:pPr>
        <w:pStyle w:val="ListNumber"/>
        <w:numPr>
          <w:ilvl w:val="0"/>
          <w:numId w:val="14"/>
        </w:numPr>
      </w:pPr>
      <w:r>
        <w:t>A second less restrictive alternative</w:t>
      </w:r>
      <w:r w:rsidR="00014DEE">
        <w:t xml:space="preserve"> would be </w:t>
      </w:r>
      <w:r w:rsidR="001D2CC0">
        <w:t xml:space="preserve">to reduce the period </w:t>
      </w:r>
      <w:r w:rsidR="008C7D79">
        <w:t xml:space="preserve">for which </w:t>
      </w:r>
      <w:r w:rsidR="001D2CC0">
        <w:t xml:space="preserve">a security zone could be prescribed.  </w:t>
      </w:r>
      <w:r w:rsidR="00C477BE">
        <w:t xml:space="preserve">This was the recommendation of </w:t>
      </w:r>
      <w:r w:rsidR="00322D4F">
        <w:t>the UN Special Rapporteur on the promotion and protection of human rights and fundamental freedoms while countering terrorism.</w:t>
      </w:r>
      <w:r w:rsidR="00517BD9">
        <w:rPr>
          <w:rStyle w:val="EndnoteReference"/>
        </w:rPr>
        <w:endnoteReference w:id="59"/>
      </w:r>
      <w:r w:rsidR="00322D4F">
        <w:t xml:space="preserve">  Both the</w:t>
      </w:r>
      <w:r w:rsidR="00BF3A60">
        <w:t xml:space="preserve"> COAG </w:t>
      </w:r>
      <w:r w:rsidR="002A2729">
        <w:t>Review Committee</w:t>
      </w:r>
      <w:r w:rsidR="00D44F5E">
        <w:rPr>
          <w:rStyle w:val="EndnoteReference"/>
        </w:rPr>
        <w:endnoteReference w:id="60"/>
      </w:r>
      <w:r w:rsidR="002A2729">
        <w:t xml:space="preserve"> and the</w:t>
      </w:r>
      <w:r w:rsidR="00322D4F">
        <w:t xml:space="preserve"> </w:t>
      </w:r>
      <w:r w:rsidR="00240966">
        <w:t xml:space="preserve">third </w:t>
      </w:r>
      <w:r w:rsidR="00322D4F">
        <w:t>INSLM</w:t>
      </w:r>
      <w:r w:rsidR="009F7462">
        <w:t xml:space="preserve">, </w:t>
      </w:r>
      <w:r w:rsidR="009851F4" w:rsidRPr="009851F4">
        <w:t>Dr James Renwick CSC SC</w:t>
      </w:r>
      <w:r w:rsidR="0010611C">
        <w:t>,</w:t>
      </w:r>
      <w:r w:rsidR="00F94F7E">
        <w:rPr>
          <w:rStyle w:val="EndnoteReference"/>
        </w:rPr>
        <w:endnoteReference w:id="61"/>
      </w:r>
      <w:r w:rsidR="00322D4F">
        <w:t xml:space="preserve"> </w:t>
      </w:r>
      <w:r w:rsidR="002A2729">
        <w:t xml:space="preserve">recognised that there may be merit in reducing the duration of a </w:t>
      </w:r>
      <w:r w:rsidR="005D4022">
        <w:t>declaration, but both hesitated before making such a recommendation</w:t>
      </w:r>
      <w:r w:rsidR="00557B62">
        <w:t xml:space="preserve"> ‘in the absence of any evidence </w:t>
      </w:r>
      <w:r w:rsidR="00865AAF">
        <w:t xml:space="preserve">to </w:t>
      </w:r>
      <w:r w:rsidR="00557B62">
        <w:t>suggest</w:t>
      </w:r>
      <w:r w:rsidR="00865AAF">
        <w:t xml:space="preserve"> the 28 day period is unreasonable’.  In the Commission’s view, this </w:t>
      </w:r>
      <w:r w:rsidR="00B427E3">
        <w:t xml:space="preserve">reverses the proper analysis.  It would be appropriate for the PJCIS, in the course of the current review, to </w:t>
      </w:r>
      <w:r w:rsidR="00DD347E">
        <w:t>seek evidence from the proponents of the law that the 28</w:t>
      </w:r>
      <w:r w:rsidR="00CE4A4B">
        <w:t>-</w:t>
      </w:r>
      <w:r w:rsidR="00DD347E">
        <w:t xml:space="preserve">day period is </w:t>
      </w:r>
      <w:r w:rsidR="00E708E1">
        <w:t>appropriate.</w:t>
      </w:r>
    </w:p>
    <w:p w14:paraId="2DA7595F" w14:textId="07CBA0A5" w:rsidR="00CD596C" w:rsidRDefault="00CD596C" w:rsidP="00B13036">
      <w:pPr>
        <w:pStyle w:val="ListNumber2"/>
        <w:tabs>
          <w:tab w:val="clear" w:pos="643"/>
          <w:tab w:val="num" w:pos="1080"/>
        </w:tabs>
        <w:ind w:left="1080" w:hanging="797"/>
      </w:pPr>
      <w:r>
        <w:t xml:space="preserve">In relation to the first of these alternatives, while </w:t>
      </w:r>
      <w:r w:rsidR="004A77D5">
        <w:t xml:space="preserve">removing </w:t>
      </w:r>
      <w:r w:rsidR="00DD7BC8">
        <w:t xml:space="preserve">the prescribed security zone regime and requiring </w:t>
      </w:r>
      <w:r w:rsidR="004D1298">
        <w:t xml:space="preserve">police to have a reasonable suspicion in order to search a person would be less restrictive, </w:t>
      </w:r>
      <w:r w:rsidR="008036CA">
        <w:t>there may be circumstances where it is not as effective in achieving the relevant purpose</w:t>
      </w:r>
      <w:r w:rsidR="00303E0D">
        <w:t xml:space="preserve"> and the additional burden on ordinary citizens </w:t>
      </w:r>
      <w:r w:rsidR="00E40916">
        <w:t>may</w:t>
      </w:r>
      <w:r w:rsidR="00303E0D">
        <w:t xml:space="preserve"> be justified.  For example, the </w:t>
      </w:r>
      <w:r w:rsidR="00143E90">
        <w:t xml:space="preserve">AFP </w:t>
      </w:r>
      <w:r w:rsidR="00303E0D">
        <w:t xml:space="preserve">may be </w:t>
      </w:r>
      <w:r w:rsidR="00143E90">
        <w:t xml:space="preserve">able to identify </w:t>
      </w:r>
      <w:r w:rsidR="00303E0D">
        <w:t xml:space="preserve">specific </w:t>
      </w:r>
      <w:r w:rsidR="00143E90">
        <w:t xml:space="preserve">circumstances where </w:t>
      </w:r>
      <w:r w:rsidR="00A07C7A">
        <w:t xml:space="preserve">being able to conduct searches without a reasonable suspicion in limited areas and for limited </w:t>
      </w:r>
      <w:r w:rsidR="00303E0D">
        <w:t xml:space="preserve">time periods </w:t>
      </w:r>
      <w:r w:rsidR="002964A2">
        <w:t xml:space="preserve">would assist them in responding quickly to a terrorist threat. </w:t>
      </w:r>
    </w:p>
    <w:p w14:paraId="4F647BEF" w14:textId="2FC1B10F" w:rsidR="00BE2360" w:rsidRDefault="005450A2" w:rsidP="00B13036">
      <w:pPr>
        <w:pStyle w:val="ListNumber2"/>
        <w:tabs>
          <w:tab w:val="clear" w:pos="643"/>
          <w:tab w:val="num" w:pos="1080"/>
        </w:tabs>
        <w:ind w:left="1080" w:hanging="797"/>
      </w:pPr>
      <w:r>
        <w:t xml:space="preserve">In relation to the second of these </w:t>
      </w:r>
      <w:r w:rsidR="00867583">
        <w:t>alternatives</w:t>
      </w:r>
      <w:r>
        <w:t xml:space="preserve">, </w:t>
      </w:r>
      <w:r w:rsidR="00867583">
        <w:t xml:space="preserve">the Commission considers that there has been little justification </w:t>
      </w:r>
      <w:r w:rsidR="00B76036">
        <w:t xml:space="preserve">given for the </w:t>
      </w:r>
      <w:r w:rsidR="00996F82">
        <w:t xml:space="preserve">ability to prescribe </w:t>
      </w:r>
      <w:r w:rsidR="00633C08">
        <w:t xml:space="preserve">security </w:t>
      </w:r>
      <w:r w:rsidR="00996F82">
        <w:t>zones for 28 days</w:t>
      </w:r>
      <w:r w:rsidR="00141371">
        <w:t xml:space="preserve"> at a time</w:t>
      </w:r>
      <w:r w:rsidR="00996F82">
        <w:t xml:space="preserve">.  In their submission to the present inquiry, government agencies have identified the United Kingdom </w:t>
      </w:r>
      <w:r w:rsidR="008A6BFD">
        <w:t xml:space="preserve">as </w:t>
      </w:r>
      <w:r w:rsidR="00996F82">
        <w:t>the only jurisdiction to have a comparable provision</w:t>
      </w:r>
      <w:r w:rsidR="00F72F14">
        <w:t xml:space="preserve">, in s 47A of the </w:t>
      </w:r>
      <w:r w:rsidR="00F72F14" w:rsidRPr="00F72F14">
        <w:rPr>
          <w:i/>
          <w:iCs/>
        </w:rPr>
        <w:t>Terrorism Act 2000</w:t>
      </w:r>
      <w:r w:rsidR="00F72F14">
        <w:t xml:space="preserve"> (UK).</w:t>
      </w:r>
      <w:r w:rsidR="00D05087">
        <w:rPr>
          <w:rStyle w:val="EndnoteReference"/>
        </w:rPr>
        <w:endnoteReference w:id="62"/>
      </w:r>
      <w:r w:rsidR="00D05087">
        <w:t xml:space="preserve">  </w:t>
      </w:r>
      <w:r w:rsidR="00BE2360">
        <w:t xml:space="preserve">Section 47A was introduced following a decision of the European Court of Human Rights </w:t>
      </w:r>
      <w:r w:rsidR="00CA752E">
        <w:t xml:space="preserve">in 2010 </w:t>
      </w:r>
      <w:r w:rsidR="00BE2360">
        <w:t xml:space="preserve">which </w:t>
      </w:r>
      <w:r w:rsidR="00CA752E">
        <w:t xml:space="preserve">held that a previous regime </w:t>
      </w:r>
      <w:r w:rsidR="009A70C0">
        <w:t xml:space="preserve">of no-suspicion searches </w:t>
      </w:r>
      <w:r w:rsidR="00F65645">
        <w:t xml:space="preserve">was </w:t>
      </w:r>
      <w:r w:rsidR="00F40449">
        <w:t>contrary to human rights</w:t>
      </w:r>
      <w:r w:rsidR="00F65645">
        <w:t>.</w:t>
      </w:r>
      <w:r w:rsidR="00286ADE">
        <w:rPr>
          <w:rStyle w:val="EndnoteReference"/>
        </w:rPr>
        <w:endnoteReference w:id="63"/>
      </w:r>
      <w:r w:rsidR="00F65645">
        <w:t xml:space="preserve">  That previous regime </w:t>
      </w:r>
      <w:r w:rsidR="00CA752E">
        <w:t xml:space="preserve">permitted ‘rolling’ </w:t>
      </w:r>
      <w:r w:rsidR="00CA752E">
        <w:lastRenderedPageBreak/>
        <w:t xml:space="preserve">authorisations </w:t>
      </w:r>
      <w:r w:rsidR="00B217B8">
        <w:t xml:space="preserve">of particular police areas for 28 days at a time, </w:t>
      </w:r>
      <w:r w:rsidR="00427F66">
        <w:t>allowing</w:t>
      </w:r>
      <w:r w:rsidR="00B217B8">
        <w:t xml:space="preserve"> </w:t>
      </w:r>
      <w:r w:rsidR="00B76A61">
        <w:t xml:space="preserve">police to </w:t>
      </w:r>
      <w:r w:rsidR="008665BC">
        <w:t>stop</w:t>
      </w:r>
      <w:r w:rsidR="00B76A61">
        <w:t xml:space="preserve"> anyone in the relevant area </w:t>
      </w:r>
      <w:r w:rsidR="008665BC">
        <w:t xml:space="preserve">to search for articles that could be used in connection with terrorism, </w:t>
      </w:r>
      <w:r w:rsidR="00B76A61">
        <w:t>regardless of whether</w:t>
      </w:r>
      <w:r w:rsidR="008665BC">
        <w:t xml:space="preserve"> police </w:t>
      </w:r>
      <w:r w:rsidR="00B76A61">
        <w:t xml:space="preserve">had a reasonable suspicion that the person </w:t>
      </w:r>
      <w:r w:rsidR="002D77BF">
        <w:t xml:space="preserve">was carrying </w:t>
      </w:r>
      <w:r w:rsidR="008665BC">
        <w:t>such</w:t>
      </w:r>
      <w:r w:rsidR="00582EF0">
        <w:t xml:space="preserve"> an article</w:t>
      </w:r>
      <w:r w:rsidR="008D6714">
        <w:t>.</w:t>
      </w:r>
      <w:r w:rsidR="00350E70">
        <w:t xml:space="preserve">  These powers were held not to be sufficiently circumscribed</w:t>
      </w:r>
      <w:r w:rsidR="0044380F">
        <w:t>, nor subject to adequate legal safeguards against abuse.</w:t>
      </w:r>
      <w:r w:rsidR="0044380F">
        <w:rPr>
          <w:rStyle w:val="EndnoteReference"/>
        </w:rPr>
        <w:endnoteReference w:id="64"/>
      </w:r>
    </w:p>
    <w:p w14:paraId="1F2AF6F5" w14:textId="204D2EF2" w:rsidR="00B76036" w:rsidRDefault="00D05087" w:rsidP="00C15CF3">
      <w:pPr>
        <w:pStyle w:val="ListNumber2"/>
        <w:tabs>
          <w:tab w:val="clear" w:pos="643"/>
          <w:tab w:val="num" w:pos="1080"/>
        </w:tabs>
        <w:ind w:left="1080" w:hanging="797"/>
      </w:pPr>
      <w:r>
        <w:t xml:space="preserve">Significantly, </w:t>
      </w:r>
      <w:r w:rsidR="00B217B8">
        <w:t xml:space="preserve">since the introduction of s 47A, </w:t>
      </w:r>
      <w:r>
        <w:t>the maximum duration of a</w:t>
      </w:r>
      <w:r w:rsidR="00FF7F8C">
        <w:t xml:space="preserve">n authorisation </w:t>
      </w:r>
      <w:r w:rsidR="00A937F2">
        <w:t xml:space="preserve">under </w:t>
      </w:r>
      <w:r w:rsidR="00C07A4A">
        <w:t>the UK legislation is 14 days.</w:t>
      </w:r>
      <w:r w:rsidR="00A937F2">
        <w:rPr>
          <w:rStyle w:val="EndnoteReference"/>
        </w:rPr>
        <w:endnoteReference w:id="65"/>
      </w:r>
      <w:r>
        <w:t xml:space="preserve"> </w:t>
      </w:r>
      <w:r w:rsidR="006C56CC">
        <w:t xml:space="preserve"> That power</w:t>
      </w:r>
      <w:r w:rsidR="00180333">
        <w:t>, in its present form,</w:t>
      </w:r>
      <w:r w:rsidR="006C56CC">
        <w:t xml:space="preserve"> has only been used once, following </w:t>
      </w:r>
      <w:r w:rsidR="001D673B">
        <w:t xml:space="preserve">the detonation of </w:t>
      </w:r>
      <w:r w:rsidR="006C56CC">
        <w:t xml:space="preserve">an </w:t>
      </w:r>
      <w:r w:rsidR="001D673B">
        <w:t xml:space="preserve">improvised </w:t>
      </w:r>
      <w:r w:rsidR="006C56CC">
        <w:t>explosi</w:t>
      </w:r>
      <w:r w:rsidR="001D673B">
        <w:t>ve device</w:t>
      </w:r>
      <w:r w:rsidR="006C56CC">
        <w:t xml:space="preserve"> </w:t>
      </w:r>
      <w:r w:rsidR="00FA512D">
        <w:t xml:space="preserve">on the District Line at Parsons Green underground station </w:t>
      </w:r>
      <w:r w:rsidR="00AC463F">
        <w:t xml:space="preserve">in London </w:t>
      </w:r>
      <w:r w:rsidR="00FA512D">
        <w:t xml:space="preserve">on 15 September 2017.  </w:t>
      </w:r>
      <w:r w:rsidR="00EA1483">
        <w:t xml:space="preserve">29 people were injured in the attack.  </w:t>
      </w:r>
      <w:r w:rsidR="00394254">
        <w:t xml:space="preserve">On that occasion, </w:t>
      </w:r>
      <w:r w:rsidR="007D599D">
        <w:t xml:space="preserve">authorisations were made in relation to </w:t>
      </w:r>
      <w:r w:rsidR="00394254">
        <w:t>f</w:t>
      </w:r>
      <w:r w:rsidR="000C30A0">
        <w:t xml:space="preserve">our police </w:t>
      </w:r>
      <w:r w:rsidR="007D599D">
        <w:t>areas, and each authorisation lasted for less than two days.</w:t>
      </w:r>
      <w:r w:rsidR="00CD4E04">
        <w:rPr>
          <w:rStyle w:val="EndnoteReference"/>
        </w:rPr>
        <w:endnoteReference w:id="66"/>
      </w:r>
      <w:r w:rsidR="00E8119C">
        <w:t xml:space="preserve">  1</w:t>
      </w:r>
      <w:r w:rsidR="002716BC">
        <w:t>49</w:t>
      </w:r>
      <w:r w:rsidR="00E8119C">
        <w:t xml:space="preserve"> people were </w:t>
      </w:r>
      <w:r w:rsidR="003639A0">
        <w:t>stopped</w:t>
      </w:r>
      <w:r w:rsidR="00E8119C">
        <w:t xml:space="preserve">, </w:t>
      </w:r>
      <w:r w:rsidR="003639A0">
        <w:t>with 1</w:t>
      </w:r>
      <w:r w:rsidR="002716BC">
        <w:t>45</w:t>
      </w:r>
      <w:r w:rsidR="003639A0">
        <w:t xml:space="preserve"> of those stops being conducted by Bri</w:t>
      </w:r>
      <w:r w:rsidR="008E2AA9">
        <w:t>tish Transport Police.</w:t>
      </w:r>
      <w:r w:rsidR="002716BC">
        <w:t xml:space="preserve">  As at March 2020, the use of the s 47A power in this case had not yet been reviewed by </w:t>
      </w:r>
      <w:r w:rsidR="004937A2">
        <w:t xml:space="preserve">the UK </w:t>
      </w:r>
      <w:r w:rsidR="006F5BA8">
        <w:t>Independent Reviewer of Terrorism Legislation.</w:t>
      </w:r>
      <w:r w:rsidR="006F5BA8">
        <w:rPr>
          <w:rStyle w:val="EndnoteReference"/>
        </w:rPr>
        <w:endnoteReference w:id="67"/>
      </w:r>
      <w:r w:rsidR="001F7988">
        <w:t xml:space="preserve">  The results of that review may be relevant when the PJCIS comes to review th</w:t>
      </w:r>
      <w:r w:rsidR="008B1B6E">
        <w:t>e power in s 3UJ of the Crimes Act again.</w:t>
      </w:r>
    </w:p>
    <w:p w14:paraId="534BF11F" w14:textId="5A7484C2" w:rsidR="00A67D4B" w:rsidRDefault="001C331C" w:rsidP="00B13036">
      <w:pPr>
        <w:pStyle w:val="ListNumber2"/>
        <w:tabs>
          <w:tab w:val="clear" w:pos="643"/>
          <w:tab w:val="num" w:pos="1080"/>
        </w:tabs>
        <w:ind w:left="1080" w:hanging="797"/>
      </w:pPr>
      <w:r>
        <w:t xml:space="preserve">Unless some unique circumstances can be identified that are particular to the Australian environment, </w:t>
      </w:r>
      <w:r w:rsidR="00DF20C0">
        <w:t xml:space="preserve">it would be reasonable for the </w:t>
      </w:r>
      <w:r w:rsidR="00155B37">
        <w:t xml:space="preserve">PJCIS </w:t>
      </w:r>
      <w:r w:rsidR="00DF20C0">
        <w:t xml:space="preserve">to </w:t>
      </w:r>
      <w:r w:rsidR="00951FD3">
        <w:t>conclude</w:t>
      </w:r>
      <w:r w:rsidR="00DF20C0">
        <w:t xml:space="preserve"> that </w:t>
      </w:r>
      <w:r w:rsidR="00EC6959">
        <w:t>the maximum period for a prescribed security zone under the Crimes Act should also be 14 days.</w:t>
      </w:r>
    </w:p>
    <w:p w14:paraId="5D2B72A1" w14:textId="45872CDF" w:rsidR="005450A2" w:rsidRDefault="00155B37" w:rsidP="00B13036">
      <w:pPr>
        <w:pStyle w:val="ListNumber2"/>
        <w:tabs>
          <w:tab w:val="clear" w:pos="643"/>
          <w:tab w:val="num" w:pos="1080"/>
        </w:tabs>
        <w:ind w:left="1080" w:hanging="797"/>
      </w:pPr>
      <w:r>
        <w:t>It would also be relevant for the PJCIS to consider</w:t>
      </w:r>
      <w:r w:rsidR="00B954A5">
        <w:t xml:space="preserve">, in the event that a longer period were </w:t>
      </w:r>
      <w:r w:rsidR="00A973CC">
        <w:t xml:space="preserve">deemed </w:t>
      </w:r>
      <w:r w:rsidR="00B954A5">
        <w:t>necessary</w:t>
      </w:r>
      <w:r w:rsidR="006E6E0C">
        <w:t xml:space="preserve"> in a particular case</w:t>
      </w:r>
      <w:r w:rsidR="00B954A5">
        <w:t>,</w:t>
      </w:r>
      <w:r>
        <w:t xml:space="preserve"> </w:t>
      </w:r>
      <w:r w:rsidR="00A11A0F">
        <w:t xml:space="preserve">whether any renewal of </w:t>
      </w:r>
      <w:r w:rsidR="00A948A5">
        <w:t xml:space="preserve">a </w:t>
      </w:r>
      <w:r w:rsidR="009A59CE">
        <w:t xml:space="preserve">declaration would necessarily </w:t>
      </w:r>
      <w:r w:rsidR="003813DD">
        <w:t>involve a substantial ‘</w:t>
      </w:r>
      <w:r w:rsidR="009A59CE">
        <w:t>diversion of resources from operational agencies’</w:t>
      </w:r>
      <w:r w:rsidR="008C7D79">
        <w:t>,</w:t>
      </w:r>
      <w:r w:rsidR="007D7B97" w:rsidRPr="00B13036">
        <w:rPr>
          <w:sz w:val="20"/>
          <w:szCs w:val="20"/>
          <w:vertAlign w:val="superscript"/>
        </w:rPr>
        <w:endnoteReference w:id="68"/>
      </w:r>
      <w:r w:rsidR="009A59CE">
        <w:t xml:space="preserve"> or whether the </w:t>
      </w:r>
      <w:r w:rsidR="007D7B97">
        <w:t>work involved in seeking a renewal could be primarily carried out by officers within the Department</w:t>
      </w:r>
      <w:r w:rsidR="00B7600D">
        <w:t xml:space="preserve"> of Home Affairs</w:t>
      </w:r>
      <w:r w:rsidR="007D7B97">
        <w:t>.</w:t>
      </w:r>
    </w:p>
    <w:p w14:paraId="7033C52D" w14:textId="2BD8504E" w:rsidR="00E708E1" w:rsidRDefault="00E708E1" w:rsidP="00B13036">
      <w:pPr>
        <w:pStyle w:val="ListNumber2"/>
        <w:tabs>
          <w:tab w:val="clear" w:pos="643"/>
          <w:tab w:val="num" w:pos="1080"/>
        </w:tabs>
        <w:ind w:left="1080" w:hanging="797"/>
      </w:pPr>
      <w:r>
        <w:t xml:space="preserve">The Commission recognises that there are </w:t>
      </w:r>
      <w:r w:rsidR="008C7D79">
        <w:t xml:space="preserve">already </w:t>
      </w:r>
      <w:r>
        <w:t xml:space="preserve">some </w:t>
      </w:r>
      <w:r w:rsidR="00303689">
        <w:t xml:space="preserve">appropriate limitations on the ability </w:t>
      </w:r>
      <w:r w:rsidR="003739CD">
        <w:t xml:space="preserve">of the </w:t>
      </w:r>
      <w:r w:rsidR="00577E12">
        <w:t>Minister for Home Affairs</w:t>
      </w:r>
      <w:r w:rsidR="00382F0F">
        <w:t xml:space="preserve"> </w:t>
      </w:r>
      <w:r w:rsidR="00303689">
        <w:t>to prescribe security zones</w:t>
      </w:r>
      <w:r w:rsidR="008C7D79">
        <w:t>,</w:t>
      </w:r>
      <w:r w:rsidR="003739CD">
        <w:t xml:space="preserve"> which may </w:t>
      </w:r>
      <w:r w:rsidR="0033288E">
        <w:t xml:space="preserve">support a finding that a temporary continuation of </w:t>
      </w:r>
      <w:r w:rsidR="001B6044">
        <w:t xml:space="preserve">this </w:t>
      </w:r>
      <w:r w:rsidR="0033288E">
        <w:t>power</w:t>
      </w:r>
      <w:r w:rsidR="00BA7556">
        <w:t>, limited to a maximum period of 14 days,</w:t>
      </w:r>
      <w:r w:rsidR="0033288E">
        <w:t xml:space="preserve"> is reasonable in the circumstances</w:t>
      </w:r>
      <w:r w:rsidR="00303689">
        <w:t>:</w:t>
      </w:r>
    </w:p>
    <w:p w14:paraId="32F17B66" w14:textId="2C1680BE" w:rsidR="00303689" w:rsidRDefault="00D82931" w:rsidP="00484581">
      <w:pPr>
        <w:pStyle w:val="ListNumber"/>
        <w:numPr>
          <w:ilvl w:val="0"/>
          <w:numId w:val="14"/>
        </w:numPr>
      </w:pPr>
      <w:r>
        <w:t>T</w:t>
      </w:r>
      <w:r w:rsidR="00082FA0">
        <w:t xml:space="preserve">he </w:t>
      </w:r>
      <w:r w:rsidR="00577E12">
        <w:t>Minister</w:t>
      </w:r>
      <w:r w:rsidR="00382F0F">
        <w:t xml:space="preserve"> </w:t>
      </w:r>
      <w:r w:rsidR="00082FA0">
        <w:t xml:space="preserve">must consider that </w:t>
      </w:r>
      <w:r>
        <w:t>the declaration ‘would assist’ in either preventing or responding to a terrorist act.</w:t>
      </w:r>
      <w:r w:rsidR="009A1BC1">
        <w:rPr>
          <w:rStyle w:val="EndnoteReference"/>
        </w:rPr>
        <w:endnoteReference w:id="69"/>
      </w:r>
      <w:r w:rsidR="001D7EFD">
        <w:t xml:space="preserve">  As with all such </w:t>
      </w:r>
      <w:r w:rsidR="001D7EFD">
        <w:lastRenderedPageBreak/>
        <w:t>powers</w:t>
      </w:r>
      <w:r w:rsidR="000A32C8">
        <w:t xml:space="preserve"> that depend on the subjective view of a Minister</w:t>
      </w:r>
      <w:r w:rsidR="001D7EFD">
        <w:t xml:space="preserve">, </w:t>
      </w:r>
      <w:r w:rsidR="00152268">
        <w:t>this state of satisfaction must be reasonably formed</w:t>
      </w:r>
      <w:r w:rsidR="000A32C8">
        <w:t>.</w:t>
      </w:r>
      <w:r w:rsidR="00FA4D30">
        <w:rPr>
          <w:rStyle w:val="EndnoteReference"/>
        </w:rPr>
        <w:endnoteReference w:id="70"/>
      </w:r>
      <w:r w:rsidR="005E57CA">
        <w:t xml:space="preserve">  </w:t>
      </w:r>
    </w:p>
    <w:p w14:paraId="331DEE35" w14:textId="1959AE22" w:rsidR="00E83FFC" w:rsidRDefault="00E83FFC" w:rsidP="00484581">
      <w:pPr>
        <w:pStyle w:val="ListNumber"/>
        <w:numPr>
          <w:ilvl w:val="0"/>
          <w:numId w:val="14"/>
        </w:numPr>
      </w:pPr>
      <w:r>
        <w:t xml:space="preserve">A prescribed security zone can only be declared in relation </w:t>
      </w:r>
      <w:r w:rsidR="004E74F9">
        <w:t xml:space="preserve">to a ‘Commonwealth place’.  Leaving to one side the application of any concurrent State or Territory emergency powers, </w:t>
      </w:r>
      <w:r w:rsidR="000050E6">
        <w:t xml:space="preserve">once </w:t>
      </w:r>
      <w:r w:rsidR="00F64E39">
        <w:t xml:space="preserve">the </w:t>
      </w:r>
      <w:r w:rsidR="00B54F51">
        <w:t xml:space="preserve">fact of the declaration of a </w:t>
      </w:r>
      <w:r w:rsidR="000050E6">
        <w:t xml:space="preserve">zone has </w:t>
      </w:r>
      <w:r w:rsidR="008C7D79">
        <w:t xml:space="preserve">been </w:t>
      </w:r>
      <w:r w:rsidR="000050E6">
        <w:t>publi</w:t>
      </w:r>
      <w:r w:rsidR="00B54F51">
        <w:t>shed,</w:t>
      </w:r>
      <w:r w:rsidR="00EE6CCF">
        <w:rPr>
          <w:rStyle w:val="EndnoteReference"/>
        </w:rPr>
        <w:endnoteReference w:id="71"/>
      </w:r>
      <w:r w:rsidR="00B54F51">
        <w:t xml:space="preserve"> the public has some ability to </w:t>
      </w:r>
      <w:r w:rsidR="00990C3A">
        <w:t xml:space="preserve">avoid </w:t>
      </w:r>
      <w:r w:rsidR="00076966">
        <w:t xml:space="preserve">an intrusion into their rights by not entering the zone.  However, for </w:t>
      </w:r>
      <w:r w:rsidR="00EE6CCF">
        <w:t>other</w:t>
      </w:r>
      <w:r w:rsidR="00076966">
        <w:t xml:space="preserve"> people this will not be possible, for example, if the zone includes essential </w:t>
      </w:r>
      <w:r w:rsidR="00EE6CCF">
        <w:t>services like airports and courts.</w:t>
      </w:r>
    </w:p>
    <w:p w14:paraId="37DB3026" w14:textId="3FCCB567" w:rsidR="00045017" w:rsidRDefault="004F0D4E" w:rsidP="00484581">
      <w:pPr>
        <w:pStyle w:val="ListNumber"/>
        <w:numPr>
          <w:ilvl w:val="0"/>
          <w:numId w:val="14"/>
        </w:numPr>
      </w:pPr>
      <w:r>
        <w:t xml:space="preserve">While these ministerial decisions are not subject to independent merits review, </w:t>
      </w:r>
      <w:r w:rsidR="00D35854">
        <w:t xml:space="preserve">the </w:t>
      </w:r>
      <w:r w:rsidR="00D35854" w:rsidRPr="00D35854">
        <w:rPr>
          <w:i/>
          <w:iCs/>
        </w:rPr>
        <w:t>legality</w:t>
      </w:r>
      <w:r w:rsidR="00D35854">
        <w:t xml:space="preserve"> of any </w:t>
      </w:r>
      <w:r w:rsidR="00382F0F">
        <w:t xml:space="preserve">decision by the </w:t>
      </w:r>
      <w:r w:rsidR="00CD5219">
        <w:t>Minister</w:t>
      </w:r>
      <w:r w:rsidR="00382F0F">
        <w:t xml:space="preserve"> to </w:t>
      </w:r>
      <w:r w:rsidR="00045017">
        <w:t>mak</w:t>
      </w:r>
      <w:r w:rsidR="00382F0F">
        <w:t>e</w:t>
      </w:r>
      <w:r w:rsidR="00045017">
        <w:t xml:space="preserve"> </w:t>
      </w:r>
      <w:r w:rsidR="008F5541">
        <w:t>a</w:t>
      </w:r>
      <w:r w:rsidR="00045017">
        <w:t xml:space="preserve"> declaration is </w:t>
      </w:r>
      <w:r w:rsidR="008F5541">
        <w:t xml:space="preserve">reviewable under the </w:t>
      </w:r>
      <w:r w:rsidR="008F5541" w:rsidRPr="008F5541">
        <w:rPr>
          <w:i/>
          <w:iCs/>
        </w:rPr>
        <w:t>Administrative Decisions (Judicial Review) Act 1977</w:t>
      </w:r>
      <w:r w:rsidR="008F5541">
        <w:t xml:space="preserve"> (</w:t>
      </w:r>
      <w:proofErr w:type="spellStart"/>
      <w:r w:rsidR="008F5541">
        <w:t>Cth</w:t>
      </w:r>
      <w:proofErr w:type="spellEnd"/>
      <w:r w:rsidR="008F5541">
        <w:t>).</w:t>
      </w:r>
      <w:r w:rsidR="003F3285">
        <w:rPr>
          <w:rStyle w:val="EndnoteReference"/>
        </w:rPr>
        <w:endnoteReference w:id="72"/>
      </w:r>
      <w:r w:rsidR="00045017">
        <w:t xml:space="preserve"> </w:t>
      </w:r>
    </w:p>
    <w:p w14:paraId="507FADB1" w14:textId="34633C51" w:rsidR="000A32C8" w:rsidRDefault="00CD2512" w:rsidP="00484581">
      <w:pPr>
        <w:pStyle w:val="ListNumber"/>
        <w:numPr>
          <w:ilvl w:val="0"/>
          <w:numId w:val="14"/>
        </w:numPr>
      </w:pPr>
      <w:r>
        <w:t xml:space="preserve">The </w:t>
      </w:r>
      <w:r w:rsidR="00CD5219">
        <w:t>Minister</w:t>
      </w:r>
      <w:r w:rsidR="00382F0F">
        <w:t xml:space="preserve"> </w:t>
      </w:r>
      <w:r w:rsidR="00EB0AE8">
        <w:t>must revoke a declaration if satisfied that there is no longer a terroris</w:t>
      </w:r>
      <w:r w:rsidR="008875E2">
        <w:t>m</w:t>
      </w:r>
      <w:r w:rsidR="00EB0AE8">
        <w:t xml:space="preserve"> threat</w:t>
      </w:r>
      <w:r w:rsidR="008B01FC">
        <w:t xml:space="preserve"> that justifies the declaration</w:t>
      </w:r>
      <w:r w:rsidR="00EB0AE8">
        <w:t>, or that the declaration is no longer required.</w:t>
      </w:r>
      <w:r w:rsidR="009A1BC1">
        <w:rPr>
          <w:rStyle w:val="EndnoteReference"/>
        </w:rPr>
        <w:endnoteReference w:id="73"/>
      </w:r>
    </w:p>
    <w:p w14:paraId="41BD738B" w14:textId="3C27B5C4" w:rsidR="00895BF2" w:rsidRDefault="006D3206" w:rsidP="00B13036">
      <w:pPr>
        <w:pStyle w:val="ListNumber2"/>
        <w:tabs>
          <w:tab w:val="clear" w:pos="643"/>
          <w:tab w:val="num" w:pos="1080"/>
        </w:tabs>
        <w:ind w:left="1080" w:hanging="797"/>
      </w:pPr>
      <w:r>
        <w:t xml:space="preserve">As noted by the first INSLM, </w:t>
      </w:r>
      <w:r w:rsidR="00A703FE">
        <w:t xml:space="preserve">Mr Bret Walker </w:t>
      </w:r>
      <w:r w:rsidR="00314DBA">
        <w:t>S</w:t>
      </w:r>
      <w:r w:rsidR="00A703FE">
        <w:t xml:space="preserve">C, </w:t>
      </w:r>
      <w:r w:rsidR="00847E3B">
        <w:t xml:space="preserve">one of the key risks in giving these kinds of broad </w:t>
      </w:r>
      <w:r w:rsidR="00314DBA">
        <w:t xml:space="preserve">search and seizure </w:t>
      </w:r>
      <w:r w:rsidR="00847E3B">
        <w:t xml:space="preserve">powers to police is the potential for them to be </w:t>
      </w:r>
      <w:r w:rsidR="009A688F">
        <w:t>abused</w:t>
      </w:r>
      <w:r w:rsidR="00847E3B">
        <w:t xml:space="preserve">.  This </w:t>
      </w:r>
      <w:r w:rsidR="00AD4A87">
        <w:t xml:space="preserve">was not a comment on the propensity of police </w:t>
      </w:r>
      <w:r w:rsidR="00BD6C06">
        <w:t xml:space="preserve">or other authorities to abuse their powers, but rather </w:t>
      </w:r>
      <w:r w:rsidR="00AE2DD9">
        <w:t xml:space="preserve">a question about </w:t>
      </w:r>
      <w:r w:rsidR="00BD6C06">
        <w:t xml:space="preserve">whether the nature of the powers </w:t>
      </w:r>
      <w:r w:rsidR="005E5C16">
        <w:t xml:space="preserve">themselves </w:t>
      </w:r>
      <w:r w:rsidR="001C784D">
        <w:t>lends them to be abused.</w:t>
      </w:r>
      <w:r w:rsidR="00336F00" w:rsidRPr="00B13036">
        <w:rPr>
          <w:sz w:val="20"/>
          <w:szCs w:val="20"/>
          <w:vertAlign w:val="superscript"/>
        </w:rPr>
        <w:endnoteReference w:id="74"/>
      </w:r>
      <w:r w:rsidR="00AE2DD9">
        <w:t xml:space="preserve">  That risk is higher when police are given the power to </w:t>
      </w:r>
      <w:r w:rsidR="000816FA">
        <w:t>‘systematically stop and search’</w:t>
      </w:r>
      <w:r w:rsidR="000816FA" w:rsidRPr="00B13036">
        <w:rPr>
          <w:sz w:val="20"/>
          <w:szCs w:val="20"/>
          <w:vertAlign w:val="superscript"/>
        </w:rPr>
        <w:endnoteReference w:id="75"/>
      </w:r>
      <w:r w:rsidR="000816FA">
        <w:t xml:space="preserve"> </w:t>
      </w:r>
      <w:r w:rsidR="00AE2DD9">
        <w:t xml:space="preserve">ordinary citizens </w:t>
      </w:r>
      <w:r w:rsidR="000816FA">
        <w:t>with</w:t>
      </w:r>
      <w:r w:rsidR="001A12A6">
        <w:t xml:space="preserve">out </w:t>
      </w:r>
      <w:r w:rsidR="00D77A5D">
        <w:t>the</w:t>
      </w:r>
      <w:r w:rsidR="001A12A6">
        <w:t xml:space="preserve"> need to form a reasonable suspicion that they are involved in any act of terrorism.</w:t>
      </w:r>
      <w:r w:rsidR="000816FA">
        <w:t xml:space="preserve"> </w:t>
      </w:r>
      <w:r w:rsidR="00437BA9">
        <w:t xml:space="preserve"> </w:t>
      </w:r>
      <w:r w:rsidR="00741FB5">
        <w:t xml:space="preserve">If there are no criteria to delineate </w:t>
      </w:r>
      <w:r w:rsidR="000D05FA">
        <w:t xml:space="preserve">the scope of a lawful search, there is a risk that arbitrary, irrelevant or discriminatory criteria may be applied.  </w:t>
      </w:r>
      <w:r w:rsidR="00024323">
        <w:t>For example, t</w:t>
      </w:r>
      <w:r w:rsidR="00A24DDE">
        <w:t xml:space="preserve">he House of Lords recognised the potential for such powers to be used </w:t>
      </w:r>
      <w:r w:rsidR="00DC7D9E">
        <w:t xml:space="preserve">to disproportionately target </w:t>
      </w:r>
      <w:r w:rsidR="00024323">
        <w:t xml:space="preserve">people from </w:t>
      </w:r>
      <w:r w:rsidR="00DC7D9E">
        <w:t>ethnic minorities</w:t>
      </w:r>
      <w:r w:rsidR="00024323">
        <w:t>.</w:t>
      </w:r>
      <w:r w:rsidR="005301BA">
        <w:rPr>
          <w:rStyle w:val="EndnoteReference"/>
        </w:rPr>
        <w:endnoteReference w:id="76"/>
      </w:r>
    </w:p>
    <w:p w14:paraId="01C8BA53" w14:textId="1A3C55BF" w:rsidR="005B369A" w:rsidRDefault="005B369A" w:rsidP="00B13036">
      <w:pPr>
        <w:pStyle w:val="ListNumber2"/>
        <w:tabs>
          <w:tab w:val="clear" w:pos="643"/>
          <w:tab w:val="num" w:pos="1080"/>
        </w:tabs>
        <w:ind w:left="1080" w:hanging="797"/>
      </w:pPr>
      <w:r>
        <w:t xml:space="preserve">Fortunately, </w:t>
      </w:r>
      <w:r w:rsidR="007D1039">
        <w:t>there has been no need for these powers to be exercised</w:t>
      </w:r>
      <w:r w:rsidR="006C1FD6">
        <w:t xml:space="preserve"> in Australia</w:t>
      </w:r>
      <w:r w:rsidR="007D1039">
        <w:t xml:space="preserve">.  </w:t>
      </w:r>
      <w:r w:rsidR="00A03DBE">
        <w:t xml:space="preserve">The lack of </w:t>
      </w:r>
      <w:r w:rsidR="00BB693A">
        <w:t>experience</w:t>
      </w:r>
      <w:r w:rsidR="00E656B6">
        <w:t xml:space="preserve"> of how these </w:t>
      </w:r>
      <w:r w:rsidR="00D414E5">
        <w:t xml:space="preserve">temporary emergency </w:t>
      </w:r>
      <w:r w:rsidR="00E656B6">
        <w:t xml:space="preserve">powers might be used in practice is another reason why </w:t>
      </w:r>
      <w:r w:rsidR="00EF0593">
        <w:t xml:space="preserve">it is important to keep </w:t>
      </w:r>
      <w:r w:rsidR="00D414E5">
        <w:t xml:space="preserve">them </w:t>
      </w:r>
      <w:r w:rsidR="00EF0593">
        <w:t xml:space="preserve">under review by this Committee. </w:t>
      </w:r>
    </w:p>
    <w:p w14:paraId="47D47A71" w14:textId="6FA56085" w:rsidR="00A36A37" w:rsidRDefault="00A36A37" w:rsidP="00A36A37">
      <w:pPr>
        <w:pStyle w:val="Heading3"/>
      </w:pPr>
      <w:bookmarkStart w:id="18" w:name="_Toc50633819"/>
      <w:r>
        <w:lastRenderedPageBreak/>
        <w:t>Warrantless entry to premises</w:t>
      </w:r>
      <w:bookmarkEnd w:id="18"/>
    </w:p>
    <w:p w14:paraId="141CA946" w14:textId="2EE689CB" w:rsidR="007027F4" w:rsidRDefault="006175CE" w:rsidP="00B13036">
      <w:pPr>
        <w:pStyle w:val="ListNumber2"/>
        <w:tabs>
          <w:tab w:val="clear" w:pos="643"/>
          <w:tab w:val="num" w:pos="1080"/>
        </w:tabs>
        <w:ind w:left="1080" w:hanging="797"/>
      </w:pPr>
      <w:r>
        <w:t xml:space="preserve">The most intrusive of the </w:t>
      </w:r>
      <w:r w:rsidR="00C35D79">
        <w:t xml:space="preserve">emergency powers in </w:t>
      </w:r>
      <w:r w:rsidR="00C35D79" w:rsidRPr="0035411E">
        <w:t>Division 3A of Part IAA of the Crimes Act</w:t>
      </w:r>
      <w:r w:rsidR="00C35D79">
        <w:t xml:space="preserve"> is the power </w:t>
      </w:r>
      <w:r w:rsidR="000168FF">
        <w:t>in s 3UEA</w:t>
      </w:r>
      <w:r w:rsidR="008C7D79">
        <w:t>,</w:t>
      </w:r>
      <w:r w:rsidR="000168FF">
        <w:t xml:space="preserve"> which permits </w:t>
      </w:r>
      <w:r w:rsidR="00C35D79">
        <w:t xml:space="preserve">police to enter </w:t>
      </w:r>
      <w:r w:rsidR="000168FF">
        <w:t>any premises without a warrant.</w:t>
      </w:r>
      <w:r w:rsidR="00A139AB">
        <w:t xml:space="preserve">  </w:t>
      </w:r>
      <w:r w:rsidR="007027F4">
        <w:t>This power is much broader than the powers</w:t>
      </w:r>
      <w:r w:rsidR="00633B34">
        <w:t xml:space="preserve"> described above</w:t>
      </w:r>
      <w:r w:rsidR="008C7D79">
        <w:t>,</w:t>
      </w:r>
      <w:r w:rsidR="007027F4">
        <w:t xml:space="preserve"> because it is not limited to Commonwealth places.</w:t>
      </w:r>
      <w:r w:rsidR="007428B3" w:rsidRPr="00B13036">
        <w:rPr>
          <w:sz w:val="20"/>
          <w:szCs w:val="20"/>
          <w:vertAlign w:val="superscript"/>
        </w:rPr>
        <w:endnoteReference w:id="77"/>
      </w:r>
      <w:r w:rsidR="001E6F14">
        <w:t xml:space="preserve">  It can be used in relation to any premises in any location including</w:t>
      </w:r>
      <w:r w:rsidR="00471C34">
        <w:t>, for example,</w:t>
      </w:r>
      <w:r w:rsidR="001E6F14">
        <w:t xml:space="preserve"> </w:t>
      </w:r>
      <w:r w:rsidR="00471C34">
        <w:t>a family home.</w:t>
      </w:r>
    </w:p>
    <w:p w14:paraId="1F4D4589" w14:textId="4AC752D1" w:rsidR="00471C34" w:rsidRDefault="00427E3C" w:rsidP="00B13036">
      <w:pPr>
        <w:pStyle w:val="ListNumber2"/>
        <w:tabs>
          <w:tab w:val="clear" w:pos="643"/>
          <w:tab w:val="num" w:pos="1080"/>
        </w:tabs>
        <w:ind w:left="1080" w:hanging="797"/>
      </w:pPr>
      <w:r>
        <w:t xml:space="preserve">Warrantless entry to premises clearly </w:t>
      </w:r>
      <w:r w:rsidR="00FF6AD1">
        <w:t>engages the right to privacy.  This right is also recognised at common law.  Every unauthorised entry</w:t>
      </w:r>
      <w:r w:rsidR="00727153">
        <w:t xml:space="preserve"> onto private premises</w:t>
      </w:r>
      <w:r w:rsidR="00DF5351">
        <w:t xml:space="preserve">, whether by </w:t>
      </w:r>
      <w:r w:rsidR="008A168C">
        <w:t>police officers or anyone else,</w:t>
      </w:r>
      <w:r w:rsidR="00FF6AD1">
        <w:t xml:space="preserve"> </w:t>
      </w:r>
      <w:r w:rsidR="00D4044E">
        <w:t>amounts to a trespass.</w:t>
      </w:r>
      <w:r w:rsidR="001A7633" w:rsidRPr="00B13036">
        <w:rPr>
          <w:sz w:val="20"/>
          <w:szCs w:val="20"/>
          <w:vertAlign w:val="superscript"/>
        </w:rPr>
        <w:endnoteReference w:id="78"/>
      </w:r>
      <w:r w:rsidR="00CC6EDB">
        <w:t xml:space="preserve"> </w:t>
      </w:r>
    </w:p>
    <w:p w14:paraId="1EA96A5F" w14:textId="7BAE0DB7" w:rsidR="00AA6CCF" w:rsidRDefault="003F04B9" w:rsidP="00B13036">
      <w:pPr>
        <w:pStyle w:val="ListNumber2"/>
        <w:tabs>
          <w:tab w:val="clear" w:pos="643"/>
          <w:tab w:val="num" w:pos="1080"/>
        </w:tabs>
        <w:ind w:left="1080" w:hanging="797"/>
      </w:pPr>
      <w:r>
        <w:t xml:space="preserve">In the absence of </w:t>
      </w:r>
      <w:r w:rsidR="003D741A">
        <w:t xml:space="preserve">permission from the </w:t>
      </w:r>
      <w:r w:rsidR="00136C16">
        <w:t xml:space="preserve">lawful </w:t>
      </w:r>
      <w:r w:rsidR="003D741A">
        <w:t xml:space="preserve">owner </w:t>
      </w:r>
      <w:r w:rsidR="00136C16">
        <w:t>or occupier</w:t>
      </w:r>
      <w:r w:rsidR="003D741A">
        <w:t xml:space="preserve">, </w:t>
      </w:r>
      <w:r>
        <w:t>a</w:t>
      </w:r>
      <w:r w:rsidR="00B47823">
        <w:t xml:space="preserve"> police officer may </w:t>
      </w:r>
      <w:r w:rsidR="003D741A">
        <w:t xml:space="preserve">normally </w:t>
      </w:r>
      <w:r>
        <w:t xml:space="preserve">only </w:t>
      </w:r>
      <w:r w:rsidR="00B47823">
        <w:t xml:space="preserve">enter </w:t>
      </w:r>
      <w:r w:rsidR="00AA6CCF">
        <w:t xml:space="preserve">private premises </w:t>
      </w:r>
      <w:r w:rsidR="00B47823">
        <w:t>pursuant to a warrant</w:t>
      </w:r>
      <w:r>
        <w:t>.</w:t>
      </w:r>
      <w:r w:rsidR="0024110B">
        <w:t xml:space="preserve">  </w:t>
      </w:r>
      <w:r w:rsidR="007E0C7B">
        <w:t xml:space="preserve">Legislation provides for warrants to be issued by </w:t>
      </w:r>
      <w:r w:rsidR="001014E7">
        <w:t xml:space="preserve">justices or </w:t>
      </w:r>
      <w:r w:rsidR="007E0C7B">
        <w:t xml:space="preserve">magistrates and </w:t>
      </w:r>
      <w:r w:rsidR="00840B24">
        <w:t xml:space="preserve">to be </w:t>
      </w:r>
      <w:r w:rsidR="00152D7E">
        <w:t xml:space="preserve">subject to conditions, in order to </w:t>
      </w:r>
      <w:r w:rsidR="00786069">
        <w:t xml:space="preserve">‘balance the need for an effective criminal justice system against </w:t>
      </w:r>
      <w:r w:rsidR="00A0626F">
        <w:t>t</w:t>
      </w:r>
      <w:r w:rsidR="00786069">
        <w:t xml:space="preserve">he need to protect </w:t>
      </w:r>
      <w:r w:rsidR="005A2887">
        <w:t>the individual from arbitrary invasions of his privacy and property’.</w:t>
      </w:r>
      <w:r w:rsidR="005A2887" w:rsidRPr="00B13036">
        <w:rPr>
          <w:sz w:val="20"/>
          <w:szCs w:val="20"/>
          <w:vertAlign w:val="superscript"/>
        </w:rPr>
        <w:endnoteReference w:id="79"/>
      </w:r>
    </w:p>
    <w:p w14:paraId="3834397B" w14:textId="63118A40" w:rsidR="003F04B9" w:rsidRDefault="003F04B9" w:rsidP="00B13036">
      <w:pPr>
        <w:pStyle w:val="ListNumber2"/>
        <w:tabs>
          <w:tab w:val="clear" w:pos="643"/>
          <w:tab w:val="num" w:pos="1080"/>
        </w:tabs>
        <w:ind w:left="1080" w:hanging="797"/>
      </w:pPr>
      <w:r>
        <w:t xml:space="preserve">At common law, a police officer </w:t>
      </w:r>
      <w:r w:rsidR="003D741A">
        <w:t xml:space="preserve">may enter private premises without a warrant </w:t>
      </w:r>
      <w:r w:rsidR="00725AE8">
        <w:t xml:space="preserve">in order to arrest a person who the officer suspects on reasonable grounds has committed </w:t>
      </w:r>
      <w:r w:rsidR="00C20CED">
        <w:t xml:space="preserve">a </w:t>
      </w:r>
      <w:r w:rsidR="00725AE8">
        <w:t>felony.</w:t>
      </w:r>
      <w:r w:rsidR="00950FF9" w:rsidRPr="00B13036">
        <w:rPr>
          <w:sz w:val="20"/>
          <w:szCs w:val="20"/>
          <w:vertAlign w:val="superscript"/>
        </w:rPr>
        <w:endnoteReference w:id="80"/>
      </w:r>
      <w:r w:rsidR="0023262F">
        <w:t xml:space="preserve">  Section 3</w:t>
      </w:r>
      <w:r w:rsidR="00891865">
        <w:t>ZB(2)</w:t>
      </w:r>
      <w:r w:rsidR="0023262F">
        <w:t xml:space="preserve"> of the Crimes Act provides a </w:t>
      </w:r>
      <w:r w:rsidR="0047086C">
        <w:t xml:space="preserve">limited </w:t>
      </w:r>
      <w:r w:rsidR="0023262F">
        <w:t xml:space="preserve">statutory power </w:t>
      </w:r>
      <w:r w:rsidR="0047086C">
        <w:t>to enter premises without a warrant for the purpose of arresting a person for</w:t>
      </w:r>
      <w:r w:rsidR="00BC74D3">
        <w:t xml:space="preserve"> an indictable offence</w:t>
      </w:r>
      <w:r w:rsidR="008424E3">
        <w:t>.</w:t>
      </w:r>
    </w:p>
    <w:p w14:paraId="69227DCF" w14:textId="4041651B" w:rsidR="00725AE8" w:rsidRDefault="008D1DFE" w:rsidP="00B13036">
      <w:pPr>
        <w:pStyle w:val="ListNumber2"/>
        <w:tabs>
          <w:tab w:val="clear" w:pos="643"/>
          <w:tab w:val="num" w:pos="1080"/>
        </w:tabs>
        <w:ind w:left="1080" w:hanging="797"/>
      </w:pPr>
      <w:r>
        <w:t xml:space="preserve">Section 3UEA extends the ability of </w:t>
      </w:r>
      <w:r w:rsidR="00CD6C5C">
        <w:t xml:space="preserve">police to enter private premises </w:t>
      </w:r>
      <w:r w:rsidR="009F08B5">
        <w:t xml:space="preserve">without a warrant </w:t>
      </w:r>
      <w:r w:rsidR="00CD6C5C">
        <w:t>to circumstances where</w:t>
      </w:r>
      <w:r w:rsidR="00F07868">
        <w:t xml:space="preserve"> both of the following apply</w:t>
      </w:r>
      <w:r w:rsidR="004B2D23">
        <w:t>:</w:t>
      </w:r>
    </w:p>
    <w:p w14:paraId="43746658" w14:textId="73D1087C" w:rsidR="004B2D23" w:rsidRDefault="00BE792E" w:rsidP="00484581">
      <w:pPr>
        <w:pStyle w:val="ListNumber"/>
        <w:numPr>
          <w:ilvl w:val="0"/>
          <w:numId w:val="14"/>
        </w:numPr>
      </w:pPr>
      <w:r>
        <w:t>a police officer suspects, on reasonable grounds, that it is necessary to search the premises</w:t>
      </w:r>
      <w:r w:rsidR="00973071">
        <w:t xml:space="preserve"> for a thing, in order to prevent it from being used in connection with a terrorism offence; and</w:t>
      </w:r>
    </w:p>
    <w:p w14:paraId="1DB2BFCD" w14:textId="19D84D6A" w:rsidR="00973071" w:rsidRDefault="00973071" w:rsidP="00484581">
      <w:pPr>
        <w:pStyle w:val="ListNumber"/>
        <w:numPr>
          <w:ilvl w:val="0"/>
          <w:numId w:val="14"/>
        </w:numPr>
      </w:pPr>
      <w:r>
        <w:t>it is necessary to exercise the power without a warrant because there is a serious and imminent threat to a person’s life, health or safety.</w:t>
      </w:r>
    </w:p>
    <w:p w14:paraId="4966C223" w14:textId="4555170A" w:rsidR="00E232D6" w:rsidRDefault="00F949BE" w:rsidP="00746478">
      <w:pPr>
        <w:pStyle w:val="ListNumber2"/>
        <w:tabs>
          <w:tab w:val="clear" w:pos="643"/>
          <w:tab w:val="num" w:pos="1080"/>
        </w:tabs>
        <w:ind w:left="1080" w:hanging="797"/>
      </w:pPr>
      <w:r>
        <w:t xml:space="preserve">There are two related issues involved with the scope of this power.  First, it </w:t>
      </w:r>
      <w:r w:rsidR="00B96904">
        <w:t xml:space="preserve">permits </w:t>
      </w:r>
      <w:r w:rsidR="00753231">
        <w:t xml:space="preserve">police entry to private property in circumstances that would otherwise not be permitted.  Secondly, it </w:t>
      </w:r>
      <w:r w:rsidR="00D93AC1">
        <w:t xml:space="preserve">removes the oversight </w:t>
      </w:r>
      <w:r w:rsidR="00D93AC1">
        <w:lastRenderedPageBreak/>
        <w:t xml:space="preserve">of the warrant process which, among other things, is designed to ensure that </w:t>
      </w:r>
      <w:r w:rsidR="001668AC">
        <w:t>powers</w:t>
      </w:r>
      <w:r w:rsidR="00C64438">
        <w:t xml:space="preserve"> of entry</w:t>
      </w:r>
      <w:r w:rsidR="00673901">
        <w:t xml:space="preserve"> reserved to police</w:t>
      </w:r>
      <w:r w:rsidR="001668AC">
        <w:t xml:space="preserve"> are not misu</w:t>
      </w:r>
      <w:r w:rsidR="00673901">
        <w:t>s</w:t>
      </w:r>
      <w:r w:rsidR="001668AC">
        <w:t>ed.</w:t>
      </w:r>
    </w:p>
    <w:p w14:paraId="236E3F0E" w14:textId="26CBEFB9" w:rsidR="00973071" w:rsidRDefault="00C25CF8" w:rsidP="00746478">
      <w:pPr>
        <w:pStyle w:val="ListNumber2"/>
        <w:tabs>
          <w:tab w:val="clear" w:pos="643"/>
          <w:tab w:val="num" w:pos="1080"/>
        </w:tabs>
        <w:ind w:left="1080" w:hanging="797"/>
      </w:pPr>
      <w:r>
        <w:t xml:space="preserve">In </w:t>
      </w:r>
      <w:r w:rsidR="0082774B">
        <w:t xml:space="preserve">considering whether </w:t>
      </w:r>
      <w:r w:rsidR="00D177BD">
        <w:t xml:space="preserve">this power is necessary, a </w:t>
      </w:r>
      <w:r w:rsidR="00E2069E">
        <w:t xml:space="preserve">key question is why </w:t>
      </w:r>
      <w:r w:rsidR="007660F9">
        <w:t xml:space="preserve">it is not sufficient to obtain a warrant, particularly given </w:t>
      </w:r>
      <w:r w:rsidR="002B2B0D">
        <w:t xml:space="preserve">that </w:t>
      </w:r>
      <w:r w:rsidR="007660F9">
        <w:t xml:space="preserve">telephone warrants can be obtained </w:t>
      </w:r>
      <w:r w:rsidR="00E91CDE">
        <w:t xml:space="preserve">quickly and simply </w:t>
      </w:r>
      <w:r w:rsidR="007660F9">
        <w:t>under s 3</w:t>
      </w:r>
      <w:r w:rsidR="00162DF6">
        <w:t xml:space="preserve">R of the Crimes Act.  </w:t>
      </w:r>
      <w:r w:rsidR="00E46AAE">
        <w:t xml:space="preserve">An application for a </w:t>
      </w:r>
      <w:r w:rsidR="00C112E4">
        <w:t>warrant may be made by telephone, fax or other electronic means in an urgent case</w:t>
      </w:r>
      <w:r w:rsidR="00AA59A4">
        <w:t>,</w:t>
      </w:r>
      <w:r w:rsidR="00C112E4">
        <w:t xml:space="preserve"> or if the delay that would occur if an application were made in person would frustrate the effective execution of the warrant.</w:t>
      </w:r>
      <w:r w:rsidR="00FE5CC1" w:rsidRPr="00746478">
        <w:rPr>
          <w:sz w:val="20"/>
          <w:szCs w:val="20"/>
          <w:vertAlign w:val="superscript"/>
        </w:rPr>
        <w:endnoteReference w:id="81"/>
      </w:r>
      <w:r w:rsidR="00C112E4">
        <w:t xml:space="preserve">  This permits </w:t>
      </w:r>
      <w:r w:rsidR="00FD6AE0">
        <w:t>warrants to be obtained quickly, while still subjecting searches to appropriate oversight by a justice or magistrate.</w:t>
      </w:r>
    </w:p>
    <w:p w14:paraId="0F671386" w14:textId="2572B3C2" w:rsidR="00DC12C2" w:rsidRDefault="00E46AAE" w:rsidP="00746478">
      <w:pPr>
        <w:pStyle w:val="ListNumber2"/>
        <w:tabs>
          <w:tab w:val="clear" w:pos="643"/>
          <w:tab w:val="num" w:pos="1080"/>
        </w:tabs>
        <w:ind w:left="1080" w:hanging="797"/>
      </w:pPr>
      <w:r>
        <w:t xml:space="preserve">If there are practical obstacles in obtaining a warrant, then, as the </w:t>
      </w:r>
      <w:r w:rsidR="000B10F7">
        <w:t xml:space="preserve">Commission and other bodies such as the </w:t>
      </w:r>
      <w:r>
        <w:t xml:space="preserve">Law Council of Australia </w:t>
      </w:r>
      <w:r w:rsidR="000B10F7">
        <w:t xml:space="preserve">have </w:t>
      </w:r>
      <w:r>
        <w:t>previously recommended, attention should be directed to improving that process</w:t>
      </w:r>
      <w:r w:rsidR="000304CF">
        <w:t xml:space="preserve"> </w:t>
      </w:r>
      <w:r w:rsidR="009B06A9">
        <w:t>s</w:t>
      </w:r>
      <w:r w:rsidR="000304CF">
        <w:t xml:space="preserve">o that it is effective </w:t>
      </w:r>
      <w:r w:rsidR="009B06A9">
        <w:t xml:space="preserve">in </w:t>
      </w:r>
      <w:r w:rsidR="00275608">
        <w:t>times</w:t>
      </w:r>
      <w:r w:rsidR="009B06A9">
        <w:t xml:space="preserve"> of emergency</w:t>
      </w:r>
      <w:r>
        <w:t>.</w:t>
      </w:r>
      <w:r w:rsidR="00027260" w:rsidRPr="00746478">
        <w:rPr>
          <w:sz w:val="20"/>
          <w:szCs w:val="20"/>
          <w:vertAlign w:val="superscript"/>
        </w:rPr>
        <w:endnoteReference w:id="82"/>
      </w:r>
      <w:r>
        <w:t xml:space="preserve"> </w:t>
      </w:r>
    </w:p>
    <w:p w14:paraId="3C66DA11" w14:textId="4C27459D" w:rsidR="007147C9" w:rsidRDefault="00C4335B" w:rsidP="00746478">
      <w:pPr>
        <w:pStyle w:val="ListNumber2"/>
        <w:tabs>
          <w:tab w:val="clear" w:pos="643"/>
          <w:tab w:val="num" w:pos="1080"/>
        </w:tabs>
        <w:ind w:left="1080" w:hanging="797"/>
      </w:pPr>
      <w:r>
        <w:t>In their submission to the present inquiry, the government agencies have not identified any comparable provision</w:t>
      </w:r>
      <w:r w:rsidR="003904AD">
        <w:t>,</w:t>
      </w:r>
      <w:r>
        <w:t xml:space="preserve"> </w:t>
      </w:r>
      <w:r w:rsidR="00BE777C">
        <w:t xml:space="preserve">in </w:t>
      </w:r>
      <w:r w:rsidR="003904AD">
        <w:t xml:space="preserve">the laws of </w:t>
      </w:r>
      <w:r w:rsidR="00BE777C">
        <w:t xml:space="preserve">countries </w:t>
      </w:r>
      <w:r w:rsidR="00955895">
        <w:t>comparable to</w:t>
      </w:r>
      <w:r w:rsidR="00BE777C">
        <w:t xml:space="preserve"> Australia</w:t>
      </w:r>
      <w:r w:rsidR="003904AD">
        <w:t>,</w:t>
      </w:r>
      <w:r w:rsidR="00BE777C">
        <w:t xml:space="preserve"> </w:t>
      </w:r>
      <w:r w:rsidR="00243E57">
        <w:t>that permits warrantless entry to private premises without a reasonable suspicion that a serious crime has been committed.</w:t>
      </w:r>
      <w:r w:rsidR="002C72CD">
        <w:rPr>
          <w:rStyle w:val="EndnoteReference"/>
        </w:rPr>
        <w:endnoteReference w:id="83"/>
      </w:r>
    </w:p>
    <w:p w14:paraId="49113C65" w14:textId="4690CEFB" w:rsidR="00F7185E" w:rsidRDefault="00A32488" w:rsidP="00406F90">
      <w:pPr>
        <w:pStyle w:val="ListNumber2"/>
        <w:tabs>
          <w:tab w:val="clear" w:pos="643"/>
          <w:tab w:val="num" w:pos="1080"/>
        </w:tabs>
        <w:ind w:left="1080" w:hanging="797"/>
      </w:pPr>
      <w:r>
        <w:t xml:space="preserve">The Commission expects that the PJCIS </w:t>
      </w:r>
      <w:r w:rsidR="00F7185E">
        <w:t xml:space="preserve">will receive evidence on whether </w:t>
      </w:r>
      <w:r w:rsidR="007F2395">
        <w:t xml:space="preserve">police consider that </w:t>
      </w:r>
      <w:r w:rsidR="004B2BBE">
        <w:t>the continuation of this power is necessary</w:t>
      </w:r>
      <w:r w:rsidR="000A449D">
        <w:t>.  The AFP has previously said that it has not been faced with a situation warranting the use of the power</w:t>
      </w:r>
      <w:r w:rsidR="00AA59A4">
        <w:t>,</w:t>
      </w:r>
      <w:r w:rsidR="000A449D">
        <w:t xml:space="preserve"> but </w:t>
      </w:r>
      <w:r w:rsidR="00935888">
        <w:t>that it would be of critical use where police have no prior warning of an attack and immediate action is required to protect an individual or the public.</w:t>
      </w:r>
      <w:r w:rsidR="00841FA0" w:rsidRPr="002D7F3F">
        <w:rPr>
          <w:sz w:val="20"/>
          <w:szCs w:val="20"/>
          <w:vertAlign w:val="superscript"/>
        </w:rPr>
        <w:endnoteReference w:id="84"/>
      </w:r>
      <w:r w:rsidR="00935888">
        <w:t xml:space="preserve"> </w:t>
      </w:r>
      <w:r w:rsidR="000F18EA">
        <w:t xml:space="preserve"> It will be necessary for the PJCIS to take into account </w:t>
      </w:r>
      <w:r w:rsidR="008D33B3">
        <w:t>Australia’s current security environment.</w:t>
      </w:r>
    </w:p>
    <w:p w14:paraId="6F8DC9C9" w14:textId="28AF62E1" w:rsidR="00D15DF5" w:rsidRDefault="000B0CD5" w:rsidP="00406F90">
      <w:pPr>
        <w:pStyle w:val="ListNumber2"/>
        <w:tabs>
          <w:tab w:val="clear" w:pos="643"/>
          <w:tab w:val="num" w:pos="1080"/>
        </w:tabs>
        <w:ind w:left="1080" w:hanging="797"/>
      </w:pPr>
      <w:r>
        <w:t xml:space="preserve">The PJCIS should also </w:t>
      </w:r>
      <w:proofErr w:type="gramStart"/>
      <w:r>
        <w:t>take into account</w:t>
      </w:r>
      <w:proofErr w:type="gramEnd"/>
      <w:r>
        <w:t xml:space="preserve"> the way in which </w:t>
      </w:r>
      <w:r w:rsidR="00BC0FF9">
        <w:t>warrantless anti-terrorism powers have been used by police in practice</w:t>
      </w:r>
      <w:r w:rsidR="00435FC0">
        <w:t xml:space="preserve">.  The case study set out below </w:t>
      </w:r>
      <w:r w:rsidR="00136401">
        <w:t xml:space="preserve">describes recent findings of misuse of such powers by police during </w:t>
      </w:r>
      <w:r w:rsidR="00FF6D40">
        <w:t>Operation Rising in 2015.</w:t>
      </w:r>
    </w:p>
    <w:p w14:paraId="6B71097C" w14:textId="77777777" w:rsidR="00D15DF5" w:rsidRDefault="00D15DF5">
      <w:pPr>
        <w:spacing w:before="0" w:after="0"/>
      </w:pPr>
      <w:r>
        <w:br w:type="page"/>
      </w:r>
    </w:p>
    <w:p w14:paraId="2054A643" w14:textId="230CDC4F" w:rsidR="00FF6D40" w:rsidRPr="00284ABA" w:rsidRDefault="00A23D9D" w:rsidP="00F71D3F">
      <w:pPr>
        <w:pStyle w:val="ListNumber2"/>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b/>
          <w:bCs/>
        </w:rPr>
      </w:pPr>
      <w:r w:rsidRPr="00284ABA">
        <w:rPr>
          <w:b/>
          <w:bCs/>
        </w:rPr>
        <w:lastRenderedPageBreak/>
        <w:t xml:space="preserve">Case study 1: </w:t>
      </w:r>
      <w:r w:rsidR="00F71D3F">
        <w:rPr>
          <w:b/>
          <w:bCs/>
        </w:rPr>
        <w:t xml:space="preserve">Mr </w:t>
      </w:r>
      <w:proofErr w:type="spellStart"/>
      <w:r w:rsidR="00F47585">
        <w:rPr>
          <w:b/>
          <w:bCs/>
        </w:rPr>
        <w:t>Eathan</w:t>
      </w:r>
      <w:proofErr w:type="spellEnd"/>
      <w:r w:rsidR="00F47585">
        <w:rPr>
          <w:b/>
          <w:bCs/>
        </w:rPr>
        <w:t xml:space="preserve"> </w:t>
      </w:r>
      <w:r w:rsidR="00633E68" w:rsidRPr="00284ABA">
        <w:rPr>
          <w:b/>
          <w:bCs/>
        </w:rPr>
        <w:t xml:space="preserve">Cruse </w:t>
      </w:r>
    </w:p>
    <w:p w14:paraId="7CDA6EA5" w14:textId="352C457E" w:rsidR="00633E68" w:rsidRDefault="007222F4"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Mr </w:t>
      </w:r>
      <w:proofErr w:type="spellStart"/>
      <w:r>
        <w:t>Eathan</w:t>
      </w:r>
      <w:proofErr w:type="spellEnd"/>
      <w:r>
        <w:t xml:space="preserve"> Cruse</w:t>
      </w:r>
      <w:r w:rsidR="00273DCB">
        <w:t>, a young Aboriginal man,</w:t>
      </w:r>
      <w:r>
        <w:t xml:space="preserve"> was </w:t>
      </w:r>
      <w:r w:rsidR="00DA7778">
        <w:t>19 year</w:t>
      </w:r>
      <w:r w:rsidR="00273DCB">
        <w:t>s</w:t>
      </w:r>
      <w:r w:rsidR="00DA7778">
        <w:t xml:space="preserve"> old </w:t>
      </w:r>
      <w:r w:rsidR="00973000">
        <w:t xml:space="preserve">on </w:t>
      </w:r>
      <w:r w:rsidR="0014057A">
        <w:t xml:space="preserve">18 April 2015 when the house </w:t>
      </w:r>
      <w:r w:rsidR="00F71D3F">
        <w:t>in which</w:t>
      </w:r>
      <w:r w:rsidR="0014057A">
        <w:t xml:space="preserve"> he was </w:t>
      </w:r>
      <w:r w:rsidR="00F71D3F">
        <w:t>staying</w:t>
      </w:r>
      <w:r w:rsidR="0014057A">
        <w:t xml:space="preserve"> with his parents and </w:t>
      </w:r>
      <w:r w:rsidR="00166799">
        <w:t xml:space="preserve">siblings was raided by </w:t>
      </w:r>
      <w:r w:rsidR="00573BF2">
        <w:t xml:space="preserve">Victorian police from </w:t>
      </w:r>
      <w:r w:rsidR="00166799">
        <w:t xml:space="preserve">specialist counter-terrorism units </w:t>
      </w:r>
      <w:r w:rsidR="00EF440F">
        <w:t xml:space="preserve">at around </w:t>
      </w:r>
      <w:r w:rsidR="00313DD2">
        <w:t>3</w:t>
      </w:r>
      <w:r w:rsidR="00EF440F">
        <w:t>.30am</w:t>
      </w:r>
      <w:r w:rsidR="00166799">
        <w:t>.</w:t>
      </w:r>
    </w:p>
    <w:p w14:paraId="60CAAA30" w14:textId="6FE5FCD0" w:rsidR="00532449" w:rsidRDefault="00532449"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The raid was one of six raids conducted</w:t>
      </w:r>
      <w:r w:rsidR="000810A4">
        <w:t xml:space="preserve"> </w:t>
      </w:r>
      <w:r w:rsidR="00034C81">
        <w:t xml:space="preserve">in different locations </w:t>
      </w:r>
      <w:r w:rsidR="000810A4">
        <w:t>across Melbourne</w:t>
      </w:r>
      <w:r>
        <w:t xml:space="preserve"> </w:t>
      </w:r>
      <w:r w:rsidR="00C32F2E">
        <w:t xml:space="preserve">in the early hours of that morning as part of Operation Rising.  One of the people arrested as a result of those raids, Mr </w:t>
      </w:r>
      <w:proofErr w:type="spellStart"/>
      <w:r w:rsidR="00663421">
        <w:t>Sevdet</w:t>
      </w:r>
      <w:proofErr w:type="spellEnd"/>
      <w:r w:rsidR="00663421">
        <w:t xml:space="preserve"> </w:t>
      </w:r>
      <w:proofErr w:type="spellStart"/>
      <w:r w:rsidR="00663421">
        <w:t>Besim</w:t>
      </w:r>
      <w:proofErr w:type="spellEnd"/>
      <w:r w:rsidR="00663421">
        <w:t xml:space="preserve">, was later convicted of </w:t>
      </w:r>
      <w:r w:rsidR="00BE69A1">
        <w:rPr>
          <w:lang w:val="en"/>
        </w:rPr>
        <w:t>doing an act in preparation for, or planning, a terrorist act</w:t>
      </w:r>
      <w:r w:rsidR="00EE4077">
        <w:rPr>
          <w:lang w:val="en"/>
        </w:rPr>
        <w:t xml:space="preserve"> and sentenced to 14 years imprisonment</w:t>
      </w:r>
      <w:r w:rsidR="00BE69A1">
        <w:rPr>
          <w:lang w:val="en"/>
        </w:rPr>
        <w:t>.</w:t>
      </w:r>
      <w:r w:rsidR="00B201F1">
        <w:rPr>
          <w:rStyle w:val="EndnoteReference"/>
          <w:lang w:val="en"/>
        </w:rPr>
        <w:endnoteReference w:id="85"/>
      </w:r>
      <w:r>
        <w:t xml:space="preserve"> </w:t>
      </w:r>
    </w:p>
    <w:p w14:paraId="33DD7E1C" w14:textId="225D6D65" w:rsidR="00881154" w:rsidRDefault="00881154"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Mr Cruse </w:t>
      </w:r>
      <w:r w:rsidR="00F025F6">
        <w:t xml:space="preserve">had been </w:t>
      </w:r>
      <w:r>
        <w:t xml:space="preserve">a friend of Mr </w:t>
      </w:r>
      <w:r w:rsidR="00F75C0F">
        <w:t xml:space="preserve">Ahmad </w:t>
      </w:r>
      <w:proofErr w:type="spellStart"/>
      <w:r>
        <w:t>Numan</w:t>
      </w:r>
      <w:proofErr w:type="spellEnd"/>
      <w:r>
        <w:t xml:space="preserve"> Haider</w:t>
      </w:r>
      <w:r w:rsidR="00ED0FE5">
        <w:t>.</w:t>
      </w:r>
      <w:r w:rsidR="00CF1BCD">
        <w:rPr>
          <w:rStyle w:val="EndnoteReference"/>
        </w:rPr>
        <w:endnoteReference w:id="86"/>
      </w:r>
      <w:r>
        <w:t xml:space="preserve"> </w:t>
      </w:r>
      <w:r w:rsidR="00ED0FE5">
        <w:t xml:space="preserve"> </w:t>
      </w:r>
      <w:r w:rsidR="00C63AF0">
        <w:t>Mr Haider</w:t>
      </w:r>
      <w:r w:rsidR="00ED0FE5">
        <w:t xml:space="preserve"> </w:t>
      </w:r>
      <w:r>
        <w:t xml:space="preserve">had been shot and killed by </w:t>
      </w:r>
      <w:r w:rsidR="002A5AA7">
        <w:t xml:space="preserve">a </w:t>
      </w:r>
      <w:r>
        <w:t xml:space="preserve">police </w:t>
      </w:r>
      <w:r w:rsidR="002A5AA7">
        <w:t xml:space="preserve">officer </w:t>
      </w:r>
      <w:r w:rsidR="00500FC0">
        <w:t>in September 2014</w:t>
      </w:r>
      <w:r w:rsidR="00AA59A4">
        <w:t>,</w:t>
      </w:r>
      <w:r w:rsidR="00500FC0">
        <w:t xml:space="preserve"> </w:t>
      </w:r>
      <w:r>
        <w:t xml:space="preserve">after </w:t>
      </w:r>
      <w:r w:rsidR="00C63AF0">
        <w:t>Mr Haider</w:t>
      </w:r>
      <w:r>
        <w:t xml:space="preserve"> had stabbed </w:t>
      </w:r>
      <w:r w:rsidR="003C7776">
        <w:t xml:space="preserve">him and </w:t>
      </w:r>
      <w:r>
        <w:t>a</w:t>
      </w:r>
      <w:r w:rsidR="00DA19BF">
        <w:t>nother</w:t>
      </w:r>
      <w:r>
        <w:t xml:space="preserve"> police officer with a knife.</w:t>
      </w:r>
      <w:r>
        <w:rPr>
          <w:rStyle w:val="EndnoteReference"/>
        </w:rPr>
        <w:endnoteReference w:id="87"/>
      </w:r>
      <w:r w:rsidR="008D0C86">
        <w:t xml:space="preserve">  Mr Cruse became a person of interest to the police because he was a friend of Mr Haider and is </w:t>
      </w:r>
      <w:r w:rsidR="00AA59A4">
        <w:t xml:space="preserve">a </w:t>
      </w:r>
      <w:r w:rsidR="008D0C86">
        <w:t>Muslim.</w:t>
      </w:r>
      <w:r w:rsidR="008D0C86">
        <w:rPr>
          <w:rStyle w:val="EndnoteReference"/>
        </w:rPr>
        <w:endnoteReference w:id="88"/>
      </w:r>
    </w:p>
    <w:p w14:paraId="20C5F1A2" w14:textId="753A766F" w:rsidR="00166799" w:rsidRDefault="000810A4"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arrest of Mr Cruse </w:t>
      </w:r>
      <w:r w:rsidR="000C7A4E">
        <w:t>was recently considered in detail in a civil action brought by him against the State of Victoria.</w:t>
      </w:r>
      <w:r w:rsidR="00626548">
        <w:rPr>
          <w:rStyle w:val="EndnoteReference"/>
        </w:rPr>
        <w:endnoteReference w:id="89"/>
      </w:r>
      <w:r w:rsidR="000C7A4E">
        <w:t xml:space="preserve">  The f</w:t>
      </w:r>
      <w:r w:rsidR="00626548">
        <w:t xml:space="preserve">ollowing factual findings were made by the </w:t>
      </w:r>
      <w:r w:rsidR="001147CE">
        <w:t>Court</w:t>
      </w:r>
      <w:r w:rsidR="00626548">
        <w:t xml:space="preserve"> in that case</w:t>
      </w:r>
      <w:r w:rsidR="002C7200">
        <w:t>:</w:t>
      </w:r>
    </w:p>
    <w:p w14:paraId="0D210764" w14:textId="6BF3C971" w:rsidR="00030E75" w:rsidRPr="00922990" w:rsidRDefault="00D13452" w:rsidP="00922990">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440" w:hanging="360"/>
        <w:rPr>
          <w:sz w:val="22"/>
          <w:szCs w:val="22"/>
        </w:rPr>
      </w:pPr>
      <w:r>
        <w:tab/>
      </w:r>
      <w:r w:rsidR="00E36304" w:rsidRPr="00922990">
        <w:rPr>
          <w:sz w:val="22"/>
          <w:szCs w:val="22"/>
        </w:rPr>
        <w:t>When he was told by a police officer to ‘Get down’, Mr Cruse immediately lay face down on the hallway floor, with his hands flat down on the floor.  …</w:t>
      </w:r>
      <w:r w:rsidR="00922990" w:rsidRPr="00922990">
        <w:rPr>
          <w:sz w:val="22"/>
          <w:szCs w:val="22"/>
        </w:rPr>
        <w:br/>
      </w:r>
      <w:r w:rsidR="00922990" w:rsidRPr="00922990">
        <w:rPr>
          <w:sz w:val="22"/>
          <w:szCs w:val="22"/>
        </w:rPr>
        <w:br/>
        <w:t>[A]</w:t>
      </w:r>
      <w:proofErr w:type="spellStart"/>
      <w:r w:rsidR="00922990" w:rsidRPr="00922990">
        <w:rPr>
          <w:sz w:val="22"/>
          <w:szCs w:val="22"/>
        </w:rPr>
        <w:t>fter</w:t>
      </w:r>
      <w:proofErr w:type="spellEnd"/>
      <w:r w:rsidR="00922990" w:rsidRPr="00922990">
        <w:rPr>
          <w:sz w:val="22"/>
          <w:szCs w:val="22"/>
        </w:rPr>
        <w:t xml:space="preserve"> his hands had been cuffed behind his back, a police officer struck him to the left side of his head, causing him to bleed.  … [A] police officer slammed Mr Cruse into the fridge, and then pushed him to the floor.  …</w:t>
      </w:r>
      <w:r w:rsidR="00922990" w:rsidRPr="00922990">
        <w:rPr>
          <w:sz w:val="22"/>
          <w:szCs w:val="22"/>
        </w:rPr>
        <w:br/>
      </w:r>
      <w:r w:rsidR="00922990" w:rsidRPr="00922990">
        <w:rPr>
          <w:sz w:val="22"/>
          <w:szCs w:val="22"/>
        </w:rPr>
        <w:br/>
      </w:r>
      <w:r w:rsidR="007143FA" w:rsidRPr="007143FA">
        <w:rPr>
          <w:sz w:val="22"/>
          <w:szCs w:val="22"/>
        </w:rPr>
        <w:t>One or more police officers, armed and armoured, their faces masked, struck Mr Cruse repeatedly to his head, neck and upper body while he was lying, handcuffed and defenceless, on his parents’ kitchen floor.</w:t>
      </w:r>
      <w:r w:rsidR="001452CF">
        <w:rPr>
          <w:sz w:val="22"/>
          <w:szCs w:val="22"/>
        </w:rPr>
        <w:t xml:space="preserve"> </w:t>
      </w:r>
      <w:r w:rsidR="007143FA" w:rsidRPr="007143FA">
        <w:rPr>
          <w:sz w:val="22"/>
          <w:szCs w:val="22"/>
        </w:rPr>
        <w:t xml:space="preserve"> As he lay there, bleeding from the head, one of them threatened him with more of the same. </w:t>
      </w:r>
      <w:r w:rsidR="00F753D4">
        <w:rPr>
          <w:sz w:val="22"/>
          <w:szCs w:val="22"/>
        </w:rPr>
        <w:t>…</w:t>
      </w:r>
      <w:r w:rsidR="001452CF">
        <w:rPr>
          <w:sz w:val="22"/>
          <w:szCs w:val="22"/>
        </w:rPr>
        <w:br/>
      </w:r>
      <w:r w:rsidR="001452CF">
        <w:rPr>
          <w:sz w:val="22"/>
          <w:szCs w:val="22"/>
        </w:rPr>
        <w:br/>
      </w:r>
      <w:r w:rsidR="00922990" w:rsidRPr="00922990">
        <w:rPr>
          <w:sz w:val="22"/>
          <w:szCs w:val="22"/>
        </w:rPr>
        <w:t>Two police officers then escorted Mr Cruse out of the house.  As they walked out the front door, one of the officers twisted Mr Cruse’s wrist and said: ‘Don’t fucking say a word’.</w:t>
      </w:r>
      <w:r w:rsidR="00922990" w:rsidRPr="00922990">
        <w:rPr>
          <w:sz w:val="20"/>
          <w:szCs w:val="20"/>
          <w:vertAlign w:val="superscript"/>
        </w:rPr>
        <w:endnoteReference w:id="90"/>
      </w:r>
    </w:p>
    <w:p w14:paraId="10FA6625" w14:textId="5C8D0734" w:rsidR="001F2923" w:rsidRDefault="0053026D"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w:t>
      </w:r>
      <w:r w:rsidR="00F1071B">
        <w:t>judge</w:t>
      </w:r>
      <w:r>
        <w:t xml:space="preserve"> did not make these findings lightly, saying that she was ‘acutely conscious that it is a serious matter to find that police officers </w:t>
      </w:r>
      <w:r>
        <w:lastRenderedPageBreak/>
        <w:t>beat a man who was restrained and defenceless’.</w:t>
      </w:r>
      <w:r w:rsidR="00C6499A">
        <w:rPr>
          <w:rStyle w:val="EndnoteReference"/>
          <w:szCs w:val="22"/>
        </w:rPr>
        <w:endnoteReference w:id="91"/>
      </w:r>
      <w:r>
        <w:t xml:space="preserve">  Her Honour described the assault on Mr Cruse as ‘cowardly and brutal’</w:t>
      </w:r>
      <w:r w:rsidR="003533F7">
        <w:t xml:space="preserve"> and ‘a shocking departure from the standards set for police officers by Parliament and expected of them by the community’</w:t>
      </w:r>
      <w:r>
        <w:t>.</w:t>
      </w:r>
      <w:r w:rsidR="00C6499A">
        <w:rPr>
          <w:rStyle w:val="EndnoteReference"/>
          <w:szCs w:val="22"/>
        </w:rPr>
        <w:endnoteReference w:id="92"/>
      </w:r>
      <w:r>
        <w:t xml:space="preserve">  </w:t>
      </w:r>
    </w:p>
    <w:p w14:paraId="223CC22A" w14:textId="49010627" w:rsidR="00C17A91" w:rsidRDefault="004D74E3"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The raid on Mr Cr</w:t>
      </w:r>
      <w:r w:rsidR="001A3E47">
        <w:t>use’s parents</w:t>
      </w:r>
      <w:r w:rsidR="00B17D9A">
        <w:t>’</w:t>
      </w:r>
      <w:r w:rsidR="001A3E47">
        <w:t xml:space="preserve"> house was undertaken pursuant to a search warrant under s 3E of the Crimes Act.  </w:t>
      </w:r>
      <w:r w:rsidR="00727B30">
        <w:t xml:space="preserve">Mr Cruse was purportedly arrested pursuant to s 3WA of the Crimes Act, which </w:t>
      </w:r>
      <w:r w:rsidR="00FF3A0F">
        <w:t xml:space="preserve">is a power </w:t>
      </w:r>
      <w:r w:rsidR="00B8156F">
        <w:t>to arrest a person, without first obtaining a warrant, for a terrorism offence.</w:t>
      </w:r>
      <w:r w:rsidR="00727B30">
        <w:t xml:space="preserve">  </w:t>
      </w:r>
      <w:r w:rsidR="000340B4">
        <w:t>The alleged offence was that he was ‘</w:t>
      </w:r>
      <w:r w:rsidR="00137B37">
        <w:t xml:space="preserve">doing acts in preparation for a terrorist act’, contrary to </w:t>
      </w:r>
      <w:r w:rsidR="00E841B1">
        <w:t xml:space="preserve">s 101.6(1) of the Criminal Code.  </w:t>
      </w:r>
      <w:r w:rsidR="00B8156F">
        <w:t xml:space="preserve">The Court found that </w:t>
      </w:r>
      <w:r w:rsidR="00600E72">
        <w:t>the arrest was unlawful because n</w:t>
      </w:r>
      <w:r w:rsidR="00727B30">
        <w:t xml:space="preserve">either of the arresting officers suspected on reasonable grounds that he had committed the terrorism offence for which he was arrested.  Further, there were no reasonable grounds </w:t>
      </w:r>
      <w:r w:rsidR="00BD577B">
        <w:t xml:space="preserve">for anyone </w:t>
      </w:r>
      <w:r w:rsidR="00727B30">
        <w:t>to suspect him of that offence.</w:t>
      </w:r>
      <w:r w:rsidR="008615DB">
        <w:rPr>
          <w:rStyle w:val="EndnoteReference"/>
        </w:rPr>
        <w:endnoteReference w:id="93"/>
      </w:r>
    </w:p>
    <w:p w14:paraId="6FC9C326" w14:textId="3F3D6ED8" w:rsidR="007222F4" w:rsidRDefault="00587EC5"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After Mr Cruse was interviewed by investigators, he was released without charge.</w:t>
      </w:r>
      <w:r w:rsidR="00775D86">
        <w:t xml:space="preserve">  </w:t>
      </w:r>
      <w:r w:rsidR="008668BD">
        <w:t>As at the date of his civil hearing in July 2019, h</w:t>
      </w:r>
      <w:r w:rsidR="00775D86">
        <w:t>e ha</w:t>
      </w:r>
      <w:r w:rsidR="008668BD">
        <w:t>d</w:t>
      </w:r>
      <w:r w:rsidR="00775D86">
        <w:t xml:space="preserve"> </w:t>
      </w:r>
      <w:r w:rsidR="004D4A88">
        <w:t>never been charged with any terrorism offence.</w:t>
      </w:r>
      <w:r w:rsidR="004D4A88">
        <w:rPr>
          <w:rStyle w:val="EndnoteReference"/>
        </w:rPr>
        <w:endnoteReference w:id="94"/>
      </w:r>
    </w:p>
    <w:p w14:paraId="37E0D8C5" w14:textId="46EACD00" w:rsidR="00584233" w:rsidRDefault="00D34FA6"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judge made a number of comments about the </w:t>
      </w:r>
      <w:r w:rsidR="002B4EB9">
        <w:t>danger of police misusing the extraordinary powers given to them to combat terrorism:</w:t>
      </w:r>
    </w:p>
    <w:p w14:paraId="32D23859" w14:textId="4B4F7311" w:rsidR="00753CD0" w:rsidRDefault="00584233" w:rsidP="00584233">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440" w:hanging="360"/>
      </w:pPr>
      <w:r>
        <w:tab/>
      </w:r>
      <w:r w:rsidRPr="00C50D4C">
        <w:rPr>
          <w:sz w:val="22"/>
          <w:szCs w:val="22"/>
        </w:rPr>
        <w:t>Section 3WA was added to the Crimes Act (</w:t>
      </w:r>
      <w:proofErr w:type="spellStart"/>
      <w:r w:rsidRPr="00C50D4C">
        <w:rPr>
          <w:sz w:val="22"/>
          <w:szCs w:val="22"/>
        </w:rPr>
        <w:t>Cth</w:t>
      </w:r>
      <w:proofErr w:type="spellEnd"/>
      <w:r w:rsidRPr="00C50D4C">
        <w:rPr>
          <w:sz w:val="22"/>
          <w:szCs w:val="22"/>
        </w:rPr>
        <w:t xml:space="preserve">) as part of a suite of counter-terrorism measures </w:t>
      </w:r>
      <w:proofErr w:type="gramStart"/>
      <w:r w:rsidRPr="00C50D4C">
        <w:rPr>
          <w:sz w:val="22"/>
          <w:szCs w:val="22"/>
        </w:rPr>
        <w:t>… .</w:t>
      </w:r>
      <w:proofErr w:type="gramEnd"/>
      <w:r w:rsidRPr="00C50D4C">
        <w:rPr>
          <w:sz w:val="22"/>
          <w:szCs w:val="22"/>
        </w:rPr>
        <w:t xml:space="preserve">  It lowered the threshold for arrest without warrant for terrorism offences to enable police to take more rapid action and to disrupt terrorist activity at an earlier stage.  Other measures introduced by that legislation included control orders, preventative detention orders, and stop, search and seizure powers.  These measures conferred on police, and other law enforcement agencies, extensive powers to interfere with the liberty, privacy and personal integrity of suspected terrorists. …</w:t>
      </w:r>
      <w:r w:rsidR="00484581">
        <w:rPr>
          <w:sz w:val="22"/>
          <w:szCs w:val="22"/>
        </w:rPr>
        <w:br/>
      </w:r>
      <w:r w:rsidR="00484581">
        <w:rPr>
          <w:sz w:val="22"/>
          <w:szCs w:val="22"/>
        </w:rPr>
        <w:br/>
      </w:r>
      <w:r w:rsidR="00484581" w:rsidRPr="00132ACF">
        <w:rPr>
          <w:sz w:val="22"/>
          <w:szCs w:val="22"/>
        </w:rPr>
        <w:t>It is imperative that police exercise these powers with care and discretion, and only when the conditions for their exercise exist.</w:t>
      </w:r>
      <w:r w:rsidR="00484581">
        <w:rPr>
          <w:sz w:val="22"/>
          <w:szCs w:val="22"/>
        </w:rPr>
        <w:br/>
      </w:r>
      <w:r w:rsidR="00484581">
        <w:rPr>
          <w:sz w:val="22"/>
          <w:szCs w:val="22"/>
        </w:rPr>
        <w:br/>
      </w:r>
      <w:r w:rsidR="00484581" w:rsidRPr="00C50D4C">
        <w:rPr>
          <w:sz w:val="22"/>
          <w:szCs w:val="22"/>
        </w:rPr>
        <w:t>The necessary care and discretion was not exercised in this case.  The decision of the Joint Management Committee to arrest Mr Cruse, rather than simply executing a search warrant at his house, was unexplained.  The evidence did not demonstrate a reasonable basis to suspect that he was planning a terrorist act.</w:t>
      </w:r>
      <w:r w:rsidR="00484581">
        <w:rPr>
          <w:rStyle w:val="EndnoteReference"/>
          <w:szCs w:val="22"/>
        </w:rPr>
        <w:endnoteReference w:id="95"/>
      </w:r>
    </w:p>
    <w:p w14:paraId="657E9176" w14:textId="7074F3FD" w:rsidR="00587EC5" w:rsidRDefault="004B2EAC"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lastRenderedPageBreak/>
        <w:t>This misuse by police of the power of arrest without warrant was a significant factor in the Court awarding exemplary damages to Mr Cruse.</w:t>
      </w:r>
    </w:p>
    <w:p w14:paraId="51C11730" w14:textId="0E370D7B" w:rsidR="00050DA5" w:rsidRDefault="00050DA5" w:rsidP="00F71D3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case has reportedly been </w:t>
      </w:r>
      <w:r w:rsidR="00061BBB">
        <w:t xml:space="preserve">referred to Victoria’s </w:t>
      </w:r>
      <w:r w:rsidR="00061BBB" w:rsidRPr="00061BBB">
        <w:t>Independent Broad-based Anti-</w:t>
      </w:r>
      <w:proofErr w:type="gramStart"/>
      <w:r w:rsidR="00061BBB" w:rsidRPr="00061BBB">
        <w:t>corruption</w:t>
      </w:r>
      <w:proofErr w:type="gramEnd"/>
      <w:r w:rsidR="00061BBB" w:rsidRPr="00061BBB">
        <w:t xml:space="preserve"> Commission</w:t>
      </w:r>
      <w:r w:rsidR="00061BBB">
        <w:t xml:space="preserve">, </w:t>
      </w:r>
      <w:r w:rsidR="00E86CE8">
        <w:t xml:space="preserve">which </w:t>
      </w:r>
      <w:r w:rsidR="00B10BA3">
        <w:t xml:space="preserve">may also </w:t>
      </w:r>
      <w:r w:rsidR="00061BBB">
        <w:t xml:space="preserve">investigate </w:t>
      </w:r>
      <w:r w:rsidR="002800FB">
        <w:t>potential</w:t>
      </w:r>
      <w:r w:rsidR="00061BBB">
        <w:t xml:space="preserve"> collusion between police officers in relation to statements given by them to the </w:t>
      </w:r>
      <w:r w:rsidR="00F936CB">
        <w:t>Court.</w:t>
      </w:r>
      <w:r w:rsidR="00B10BA3">
        <w:rPr>
          <w:rStyle w:val="EndnoteReference"/>
        </w:rPr>
        <w:endnoteReference w:id="96"/>
      </w:r>
    </w:p>
    <w:p w14:paraId="39D2BC9F" w14:textId="3D1F78B4" w:rsidR="003637C7" w:rsidRDefault="00EC5A05" w:rsidP="00406F90">
      <w:pPr>
        <w:pStyle w:val="ListNumber2"/>
        <w:tabs>
          <w:tab w:val="clear" w:pos="643"/>
          <w:tab w:val="num" w:pos="1080"/>
        </w:tabs>
        <w:ind w:left="1080" w:hanging="797"/>
      </w:pPr>
      <w:r>
        <w:t xml:space="preserve">In its review of whether </w:t>
      </w:r>
      <w:r w:rsidR="007C783B">
        <w:t xml:space="preserve">the extraordinary powers in </w:t>
      </w:r>
      <w:r w:rsidR="007C783B" w:rsidRPr="0035411E">
        <w:t>Division 3A of Part IAA of the Crimes Act</w:t>
      </w:r>
      <w:r w:rsidR="007C783B">
        <w:t xml:space="preserve"> continue to be warranted, </w:t>
      </w:r>
      <w:r w:rsidR="00E662B0">
        <w:t>it is important for the PJCIS to inquire into circumstances where those</w:t>
      </w:r>
      <w:r w:rsidR="00885CC6">
        <w:t xml:space="preserve"> powers</w:t>
      </w:r>
      <w:r w:rsidR="00E662B0">
        <w:t xml:space="preserve">, or </w:t>
      </w:r>
      <w:r w:rsidR="00EC10DD">
        <w:t>related</w:t>
      </w:r>
      <w:r w:rsidR="00885CC6">
        <w:t xml:space="preserve"> powers</w:t>
      </w:r>
      <w:r w:rsidR="00E662B0">
        <w:t xml:space="preserve">, have been abused.  As noted above, this was </w:t>
      </w:r>
      <w:r w:rsidR="006C21FB">
        <w:t xml:space="preserve">one of the key concerns identified by the first INSLM.  In Mr Cruse’s case, while identifying instances of </w:t>
      </w:r>
      <w:r w:rsidR="00DE66CB">
        <w:t>abuse</w:t>
      </w:r>
      <w:r w:rsidR="00E00507">
        <w:t xml:space="preserve"> of power</w:t>
      </w:r>
      <w:r w:rsidR="006C21FB">
        <w:t xml:space="preserve">, the Court also </w:t>
      </w:r>
      <w:r w:rsidR="00A60C2D">
        <w:t>identified limitations on those powers designed to protect human rights.</w:t>
      </w:r>
      <w:r w:rsidR="00EC52EA">
        <w:rPr>
          <w:rStyle w:val="EndnoteReference"/>
          <w:szCs w:val="22"/>
        </w:rPr>
        <w:endnoteReference w:id="97"/>
      </w:r>
      <w:r w:rsidR="006C21FB">
        <w:t xml:space="preserve"> </w:t>
      </w:r>
      <w:r w:rsidR="00747329">
        <w:t xml:space="preserve"> </w:t>
      </w:r>
      <w:r w:rsidR="00E725A5">
        <w:t>Particular instances of abuse do not necessarily mean that the powers</w:t>
      </w:r>
      <w:r w:rsidR="00AA59A4">
        <w:t>,</w:t>
      </w:r>
      <w:r w:rsidR="00E725A5">
        <w:t xml:space="preserve"> </w:t>
      </w:r>
      <w:r w:rsidR="00AA59A4">
        <w:t xml:space="preserve">in appropriate cases, </w:t>
      </w:r>
      <w:r w:rsidR="00E725A5">
        <w:t>should not be available at all</w:t>
      </w:r>
      <w:r w:rsidR="005500AE">
        <w:t>.</w:t>
      </w:r>
      <w:r w:rsidR="00D13DC3">
        <w:t xml:space="preserve"> </w:t>
      </w:r>
      <w:r w:rsidR="0035379A">
        <w:t xml:space="preserve"> </w:t>
      </w:r>
      <w:r w:rsidR="00D13DC3" w:rsidRPr="00207439">
        <w:rPr>
          <w:lang w:val="en-GB"/>
        </w:rPr>
        <w:t>However, the Committee has an important role in considering whether the relevant legislation could be amended to make such abuses less likely to occur in future.</w:t>
      </w:r>
    </w:p>
    <w:p w14:paraId="68AC68C3" w14:textId="30C4338C" w:rsidR="009B06A9" w:rsidRDefault="00302A6E" w:rsidP="00406F90">
      <w:pPr>
        <w:pStyle w:val="ListNumber2"/>
        <w:tabs>
          <w:tab w:val="clear" w:pos="643"/>
          <w:tab w:val="num" w:pos="1080"/>
        </w:tabs>
        <w:ind w:left="1080" w:hanging="797"/>
      </w:pPr>
      <w:r>
        <w:t>T</w:t>
      </w:r>
      <w:r w:rsidR="0082134E">
        <w:t xml:space="preserve">he Commission recognises that there are some appropriate limitations </w:t>
      </w:r>
      <w:r w:rsidR="006D0CC4">
        <w:t xml:space="preserve">on </w:t>
      </w:r>
      <w:r>
        <w:t>the power in s 3UEA</w:t>
      </w:r>
      <w:r w:rsidR="00F16E53">
        <w:t>,</w:t>
      </w:r>
      <w:r w:rsidR="002F50C4">
        <w:t xml:space="preserve"> which </w:t>
      </w:r>
      <w:r w:rsidR="00D40BD8">
        <w:t>c</w:t>
      </w:r>
      <w:r w:rsidR="002F50C4">
        <w:t>ould support a finding that the scope of the power is reasonable and proportionate to a legitimate aim</w:t>
      </w:r>
      <w:r w:rsidR="006D0CC4">
        <w:t>.  In particular:</w:t>
      </w:r>
    </w:p>
    <w:p w14:paraId="7061745B" w14:textId="68BA48B2" w:rsidR="00EF6413" w:rsidRDefault="006D0CC4" w:rsidP="00484581">
      <w:pPr>
        <w:pStyle w:val="ListNumber"/>
        <w:numPr>
          <w:ilvl w:val="0"/>
          <w:numId w:val="14"/>
        </w:numPr>
      </w:pPr>
      <w:r>
        <w:t>there m</w:t>
      </w:r>
      <w:r w:rsidR="00EF6413">
        <w:t xml:space="preserve">ust be </w:t>
      </w:r>
      <w:r w:rsidR="00FC6BA6">
        <w:t>a serious and imminent threat to a person’s life, health or safety</w:t>
      </w:r>
    </w:p>
    <w:p w14:paraId="1B78E322" w14:textId="7DB48D4B" w:rsidR="00FC6BA6" w:rsidRDefault="00FA0F33" w:rsidP="00484581">
      <w:pPr>
        <w:pStyle w:val="ListNumber"/>
        <w:numPr>
          <w:ilvl w:val="0"/>
          <w:numId w:val="14"/>
        </w:numPr>
      </w:pPr>
      <w:r>
        <w:t>it m</w:t>
      </w:r>
      <w:r w:rsidR="00FC6BA6">
        <w:t xml:space="preserve">ust be </w:t>
      </w:r>
      <w:r w:rsidR="00D13E2B">
        <w:t>‘</w:t>
      </w:r>
      <w:r w:rsidR="00FF5B50">
        <w:t>necessary</w:t>
      </w:r>
      <w:r w:rsidR="00D13E2B">
        <w:t>’</w:t>
      </w:r>
      <w:r w:rsidR="00FF5B50">
        <w:t xml:space="preserve"> to </w:t>
      </w:r>
      <w:r w:rsidR="004546F2">
        <w:t xml:space="preserve">exercise the power without a warrant because of that </w:t>
      </w:r>
      <w:r w:rsidR="00967347">
        <w:t>serious and imminent threat.</w:t>
      </w:r>
    </w:p>
    <w:p w14:paraId="4B745DC8" w14:textId="567E307A" w:rsidR="001E66F4" w:rsidRDefault="00302AC9" w:rsidP="000B0CD5">
      <w:pPr>
        <w:pStyle w:val="ListNumber2"/>
        <w:tabs>
          <w:tab w:val="clear" w:pos="643"/>
          <w:tab w:val="num" w:pos="1080"/>
        </w:tabs>
        <w:ind w:left="1080" w:hanging="797"/>
      </w:pPr>
      <w:r>
        <w:t xml:space="preserve">However, the Commission considers that the </w:t>
      </w:r>
      <w:r w:rsidR="009F16E3">
        <w:t>limited situations in which this power could conceivably be used</w:t>
      </w:r>
      <w:r w:rsidR="003F449E">
        <w:t xml:space="preserve">, combined with </w:t>
      </w:r>
      <w:r w:rsidR="004804B7">
        <w:t xml:space="preserve">its </w:t>
      </w:r>
      <w:r w:rsidR="003F449E">
        <w:t>extraordinary nature,</w:t>
      </w:r>
      <w:r w:rsidR="00977A58">
        <w:t xml:space="preserve"> </w:t>
      </w:r>
      <w:r w:rsidR="003F449E">
        <w:t xml:space="preserve">suggests that serious consideration should be given to </w:t>
      </w:r>
      <w:r w:rsidR="004804B7">
        <w:t xml:space="preserve">its </w:t>
      </w:r>
      <w:r w:rsidR="003F449E">
        <w:t xml:space="preserve">repeal. </w:t>
      </w:r>
      <w:r w:rsidR="002A7CD8">
        <w:t xml:space="preserve"> As noted above, </w:t>
      </w:r>
      <w:r w:rsidR="005B5DFF">
        <w:t xml:space="preserve">the availability of telephone warrants </w:t>
      </w:r>
      <w:r w:rsidR="004804B7">
        <w:t xml:space="preserve">means that the opportunity for the use of this power is </w:t>
      </w:r>
      <w:r w:rsidR="009053B0">
        <w:t>extremely limited</w:t>
      </w:r>
      <w:r w:rsidR="004804B7">
        <w:t>.  T</w:t>
      </w:r>
      <w:r w:rsidR="008B2097">
        <w:t>he AFP ha</w:t>
      </w:r>
      <w:r w:rsidR="00A7020C">
        <w:t>s</w:t>
      </w:r>
      <w:r w:rsidR="008B2097">
        <w:t xml:space="preserve"> </w:t>
      </w:r>
      <w:r w:rsidR="00FA0F33">
        <w:t xml:space="preserve">previously </w:t>
      </w:r>
      <w:r w:rsidR="008B2097">
        <w:t>submitted</w:t>
      </w:r>
      <w:r w:rsidR="004804B7">
        <w:t xml:space="preserve"> that</w:t>
      </w:r>
      <w:r w:rsidR="008B2097">
        <w:t xml:space="preserve"> </w:t>
      </w:r>
      <w:r w:rsidR="00151061">
        <w:t>the warrantless entry power will only be available ‘where the immediacy of the threat is such that there is not even enough time to make a telephone warrant application’</w:t>
      </w:r>
      <w:r w:rsidR="00492A9F">
        <w:t>.</w:t>
      </w:r>
      <w:r w:rsidR="00B66A1D" w:rsidRPr="001E66F4">
        <w:rPr>
          <w:sz w:val="20"/>
          <w:szCs w:val="20"/>
          <w:vertAlign w:val="superscript"/>
        </w:rPr>
        <w:endnoteReference w:id="98"/>
      </w:r>
      <w:r w:rsidR="00492A9F">
        <w:t xml:space="preserve">  </w:t>
      </w:r>
      <w:r w:rsidR="00975930">
        <w:t xml:space="preserve">If there are real concerns about the </w:t>
      </w:r>
      <w:r w:rsidR="00975930">
        <w:lastRenderedPageBreak/>
        <w:t xml:space="preserve">time taken to obtain a telephone warrant, </w:t>
      </w:r>
      <w:r w:rsidR="009D5E4B">
        <w:t>it would be far preferable to devote energy into simplifying that process</w:t>
      </w:r>
      <w:r w:rsidR="003E3F4D">
        <w:t xml:space="preserve">, rather than dispensing with </w:t>
      </w:r>
      <w:r w:rsidR="000B506E">
        <w:t>the appropriate scrutiny that the warrant process provides</w:t>
      </w:r>
      <w:r w:rsidR="003E3F4D">
        <w:t xml:space="preserve">. </w:t>
      </w:r>
      <w:r w:rsidR="009D5E4B">
        <w:t xml:space="preserve"> </w:t>
      </w:r>
    </w:p>
    <w:p w14:paraId="477AFCB7" w14:textId="0467CF8F" w:rsidR="0041438B" w:rsidRDefault="00FF7C65" w:rsidP="00B900CD">
      <w:pPr>
        <w:pStyle w:val="Heading3"/>
      </w:pPr>
      <w:bookmarkStart w:id="19" w:name="_Toc50633820"/>
      <w:r>
        <w:t>Extension of emergency powers</w:t>
      </w:r>
      <w:bookmarkEnd w:id="19"/>
    </w:p>
    <w:p w14:paraId="6C990E21" w14:textId="5F698CFD" w:rsidR="00B900CD" w:rsidRDefault="00B900CD" w:rsidP="00406F90">
      <w:pPr>
        <w:pStyle w:val="ListNumber2"/>
        <w:tabs>
          <w:tab w:val="clear" w:pos="643"/>
          <w:tab w:val="num" w:pos="1080"/>
        </w:tabs>
        <w:ind w:left="1080" w:hanging="797"/>
      </w:pPr>
      <w:r>
        <w:t xml:space="preserve">The Commission’s submissions have sought to outline the matters that the PJCIS should </w:t>
      </w:r>
      <w:proofErr w:type="gramStart"/>
      <w:r>
        <w:t>take into account</w:t>
      </w:r>
      <w:proofErr w:type="gramEnd"/>
      <w:r>
        <w:t xml:space="preserve"> in assessing whether these powers continue to be necessary.</w:t>
      </w:r>
    </w:p>
    <w:p w14:paraId="461C8F1A" w14:textId="2BD6F381" w:rsidR="00464762" w:rsidRDefault="00464762" w:rsidP="00406F90">
      <w:pPr>
        <w:pStyle w:val="ListNumber2"/>
        <w:tabs>
          <w:tab w:val="clear" w:pos="643"/>
          <w:tab w:val="num" w:pos="1080"/>
        </w:tabs>
        <w:ind w:left="1080" w:hanging="797"/>
      </w:pPr>
      <w:r>
        <w:t xml:space="preserve">In the context of the current security environment, the Commission considers that it would be open to the Committee to find that the stop, search and seize powers </w:t>
      </w:r>
      <w:r w:rsidR="00CB261F">
        <w:t xml:space="preserve">that are limited to Commonwealth places </w:t>
      </w:r>
      <w:r>
        <w:t>are consistent with Australia’s human rights obligations</w:t>
      </w:r>
      <w:r w:rsidR="006A6CB7">
        <w:t xml:space="preserve">, subject to a reduction in the </w:t>
      </w:r>
      <w:r w:rsidR="00457E50">
        <w:t xml:space="preserve">maximum </w:t>
      </w:r>
      <w:r w:rsidR="006A6CB7">
        <w:t>duration of a declaration of a prescribed security zone</w:t>
      </w:r>
      <w:r>
        <w:t xml:space="preserve">.  </w:t>
      </w:r>
      <w:r w:rsidR="002C14F3">
        <w:t>If the PJCIS decides to recommend that the powers continue, t</w:t>
      </w:r>
      <w:r>
        <w:t>he Commission submits that these powers should continue to be viewed as temporary, emergency powers and subject to a further sunsetting period.</w:t>
      </w:r>
      <w:r w:rsidR="00CF3DA3">
        <w:t xml:space="preserve">  </w:t>
      </w:r>
    </w:p>
    <w:p w14:paraId="5E5EE4E5" w14:textId="5976AF82" w:rsidR="00E903FE" w:rsidRPr="00333590" w:rsidRDefault="00333590" w:rsidP="000C68ED">
      <w:pPr>
        <w:pStyle w:val="ListNumber"/>
        <w:keepNext/>
        <w:numPr>
          <w:ilvl w:val="0"/>
          <w:numId w:val="0"/>
        </w:numPr>
        <w:ind w:left="1094"/>
        <w:rPr>
          <w:b/>
        </w:rPr>
      </w:pPr>
      <w:r w:rsidRPr="00333590">
        <w:rPr>
          <w:b/>
          <w:bCs/>
        </w:rPr>
        <w:t>Recommendation 1</w:t>
      </w:r>
    </w:p>
    <w:p w14:paraId="3937F9C0" w14:textId="6B1E5608" w:rsidR="00333590" w:rsidRDefault="00300D3D" w:rsidP="005D5F05">
      <w:pPr>
        <w:pStyle w:val="ListNumber"/>
        <w:numPr>
          <w:ilvl w:val="0"/>
          <w:numId w:val="0"/>
        </w:numPr>
        <w:ind w:left="1094"/>
      </w:pPr>
      <w:r>
        <w:t>The Commission recommends that</w:t>
      </w:r>
      <w:r w:rsidR="00F80B31">
        <w:t xml:space="preserve"> s 3UJ</w:t>
      </w:r>
      <w:r w:rsidR="007E0392">
        <w:t xml:space="preserve">(3) be amended to reduce the maximum duration of a </w:t>
      </w:r>
      <w:r w:rsidR="00DE3ACC">
        <w:t xml:space="preserve">declaration of a </w:t>
      </w:r>
      <w:r w:rsidR="007E0392">
        <w:t>prescribed security zone to 14 days, consistent with equivalent legislation in the United Kingdom</w:t>
      </w:r>
      <w:r w:rsidR="00D02215">
        <w:t xml:space="preserve">, </w:t>
      </w:r>
      <w:r w:rsidR="007E0392">
        <w:t xml:space="preserve">unless there is compelling evidence that a longer period is necessary in Australian circumstances. </w:t>
      </w:r>
    </w:p>
    <w:p w14:paraId="0F147267" w14:textId="07182047" w:rsidR="005D5F05" w:rsidRPr="005D5F05" w:rsidRDefault="005D5F05" w:rsidP="005D5F05">
      <w:pPr>
        <w:pStyle w:val="ListNumber"/>
        <w:keepNext/>
        <w:numPr>
          <w:ilvl w:val="0"/>
          <w:numId w:val="0"/>
        </w:numPr>
        <w:ind w:left="1094"/>
        <w:rPr>
          <w:b/>
          <w:bCs/>
        </w:rPr>
      </w:pPr>
      <w:r w:rsidRPr="005D5F05">
        <w:rPr>
          <w:b/>
          <w:bCs/>
        </w:rPr>
        <w:t>Recommendation 2</w:t>
      </w:r>
    </w:p>
    <w:p w14:paraId="439AE5E3" w14:textId="75B1D381" w:rsidR="005D5F05" w:rsidRDefault="00DC4C5E" w:rsidP="00625BC2">
      <w:pPr>
        <w:pStyle w:val="ListNumber"/>
        <w:numPr>
          <w:ilvl w:val="0"/>
          <w:numId w:val="0"/>
        </w:numPr>
        <w:ind w:left="1094"/>
      </w:pPr>
      <w:r>
        <w:t>The Commission recommends that t</w:t>
      </w:r>
      <w:r w:rsidR="00A30CC0">
        <w:t xml:space="preserve">he PJCIS seek evidence from the Australian Federal Police about the process involved in obtaining a warrant by telephone or other electronic </w:t>
      </w:r>
      <w:proofErr w:type="gramStart"/>
      <w:r w:rsidR="00A30CC0">
        <w:t>means</w:t>
      </w:r>
      <w:r w:rsidR="00BF0114">
        <w:t>, and</w:t>
      </w:r>
      <w:proofErr w:type="gramEnd"/>
      <w:r w:rsidR="00BF0114">
        <w:t xml:space="preserve"> consider any improvements could be made to </w:t>
      </w:r>
      <w:r w:rsidR="00D06D4A">
        <w:t>this process</w:t>
      </w:r>
      <w:r w:rsidR="003F2D94">
        <w:t>.</w:t>
      </w:r>
    </w:p>
    <w:p w14:paraId="43F0603C" w14:textId="77777777" w:rsidR="00D06D4A" w:rsidRDefault="00D06D4A" w:rsidP="00D06D4A">
      <w:pPr>
        <w:pStyle w:val="ListNumber2"/>
        <w:keepNext/>
        <w:numPr>
          <w:ilvl w:val="0"/>
          <w:numId w:val="0"/>
        </w:numPr>
        <w:ind w:left="1008" w:firstLine="72"/>
        <w:rPr>
          <w:b/>
          <w:bCs/>
        </w:rPr>
      </w:pPr>
      <w:r>
        <w:rPr>
          <w:b/>
          <w:bCs/>
        </w:rPr>
        <w:t>Recommendation 3</w:t>
      </w:r>
    </w:p>
    <w:p w14:paraId="77A8A68D" w14:textId="48722CF1" w:rsidR="00D06D4A" w:rsidRPr="00FC70C4" w:rsidRDefault="00D06D4A" w:rsidP="00D06D4A">
      <w:pPr>
        <w:pStyle w:val="ListNumber2"/>
        <w:numPr>
          <w:ilvl w:val="0"/>
          <w:numId w:val="0"/>
        </w:numPr>
        <w:ind w:left="1080"/>
      </w:pPr>
      <w:r>
        <w:t xml:space="preserve">The Commission recommends that s 3UEA of the Crimes Act, which permits warrantless entry by police onto private premises in certain emergency circumstances, be repealed, unless investigations in response </w:t>
      </w:r>
      <w:r w:rsidR="001F15D4">
        <w:t>to</w:t>
      </w:r>
      <w:r>
        <w:t xml:space="preserve"> Recommendation 2 reveal a significant operational gap that requires the retention of such </w:t>
      </w:r>
      <w:r w:rsidR="001A144A">
        <w:t xml:space="preserve">an </w:t>
      </w:r>
      <w:r>
        <w:t>extraordinary power.</w:t>
      </w:r>
    </w:p>
    <w:p w14:paraId="781AC615" w14:textId="420C04FB" w:rsidR="003F2D94" w:rsidRPr="003F2D94" w:rsidRDefault="003F2D94" w:rsidP="003F2D94">
      <w:pPr>
        <w:pStyle w:val="ListNumber"/>
        <w:keepNext/>
        <w:numPr>
          <w:ilvl w:val="0"/>
          <w:numId w:val="0"/>
        </w:numPr>
        <w:ind w:left="1094"/>
        <w:rPr>
          <w:b/>
          <w:bCs/>
        </w:rPr>
      </w:pPr>
      <w:r w:rsidRPr="003F2D94">
        <w:rPr>
          <w:b/>
          <w:bCs/>
        </w:rPr>
        <w:lastRenderedPageBreak/>
        <w:t xml:space="preserve">Recommendation </w:t>
      </w:r>
      <w:r w:rsidR="00D06D4A">
        <w:rPr>
          <w:b/>
          <w:bCs/>
        </w:rPr>
        <w:t>4</w:t>
      </w:r>
    </w:p>
    <w:p w14:paraId="3CBE7C3C" w14:textId="5FFD0F64" w:rsidR="003F2D94" w:rsidRDefault="00DC4C5E" w:rsidP="00625BC2">
      <w:pPr>
        <w:pStyle w:val="ListNumber"/>
        <w:numPr>
          <w:ilvl w:val="0"/>
          <w:numId w:val="0"/>
        </w:numPr>
        <w:ind w:left="1094"/>
      </w:pPr>
      <w:r>
        <w:t>The Commission recommends that, i</w:t>
      </w:r>
      <w:r w:rsidR="00A3333A">
        <w:t xml:space="preserve">f the PJCIS </w:t>
      </w:r>
      <w:r w:rsidR="007A31D2">
        <w:t xml:space="preserve">decides to recommend that the powers in </w:t>
      </w:r>
      <w:r w:rsidR="007A31D2" w:rsidRPr="0035411E">
        <w:t>Division 3A of Part IAA of the Crimes Act</w:t>
      </w:r>
      <w:r w:rsidR="007A31D2">
        <w:t xml:space="preserve"> continue, they be subject to a further sunsetting period.</w:t>
      </w:r>
    </w:p>
    <w:p w14:paraId="3AF86295" w14:textId="1A27EEC2" w:rsidR="0009165E" w:rsidRDefault="00D21607" w:rsidP="00D21607">
      <w:pPr>
        <w:pStyle w:val="Heading1"/>
      </w:pPr>
      <w:bookmarkStart w:id="20" w:name="_Ref49525242"/>
      <w:bookmarkStart w:id="21" w:name="_Toc50633821"/>
      <w:r>
        <w:t>Control orders</w:t>
      </w:r>
      <w:bookmarkEnd w:id="20"/>
      <w:bookmarkEnd w:id="21"/>
    </w:p>
    <w:p w14:paraId="18A07453" w14:textId="5DDD41B6" w:rsidR="00A366B5" w:rsidRDefault="00A366B5" w:rsidP="00A366B5">
      <w:pPr>
        <w:pStyle w:val="ListNumber2"/>
        <w:tabs>
          <w:tab w:val="clear" w:pos="643"/>
          <w:tab w:val="num" w:pos="1080"/>
        </w:tabs>
        <w:ind w:left="1080" w:hanging="797"/>
      </w:pPr>
      <w:r>
        <w:t xml:space="preserve">Control orders represent a </w:t>
      </w:r>
      <w:r w:rsidR="0042042C">
        <w:t xml:space="preserve">substantial </w:t>
      </w:r>
      <w:r>
        <w:t xml:space="preserve">departure from the way in which the law has </w:t>
      </w:r>
      <w:r w:rsidR="0042042C">
        <w:t xml:space="preserve">traditionally </w:t>
      </w:r>
      <w:r>
        <w:t>addressed criminal wrongdoing.</w:t>
      </w:r>
    </w:p>
    <w:p w14:paraId="5E9B4215" w14:textId="3B9B611D" w:rsidR="00A366B5" w:rsidRDefault="00706C61" w:rsidP="00A366B5">
      <w:pPr>
        <w:pStyle w:val="ListNumber2"/>
        <w:tabs>
          <w:tab w:val="clear" w:pos="643"/>
          <w:tab w:val="num" w:pos="1080"/>
        </w:tabs>
        <w:ind w:left="1080" w:hanging="797"/>
      </w:pPr>
      <w:r>
        <w:t xml:space="preserve">Under </w:t>
      </w:r>
      <w:r w:rsidR="001F15D4">
        <w:t>well-established</w:t>
      </w:r>
      <w:r>
        <w:t xml:space="preserve"> principles</w:t>
      </w:r>
      <w:r w:rsidR="001F15D4">
        <w:t xml:space="preserve"> central to our criminal law</w:t>
      </w:r>
      <w:r>
        <w:t xml:space="preserve">, </w:t>
      </w:r>
      <w:r w:rsidR="00937212">
        <w:t xml:space="preserve">if an individual is reasonably suspected of relevant criminal conduct, the appropriate course is to arrest the person and bring them before a court. </w:t>
      </w:r>
      <w:r w:rsidR="005043E1">
        <w:t xml:space="preserve"> </w:t>
      </w:r>
      <w:r w:rsidR="00A366B5">
        <w:t xml:space="preserve">Those who have been convicted of committing </w:t>
      </w:r>
      <w:r w:rsidR="00CD6E57">
        <w:t xml:space="preserve">a </w:t>
      </w:r>
      <w:r w:rsidR="00A366B5">
        <w:t xml:space="preserve">criminal offence are subject to punishment, including imprisonment or the imposition of bond conditions.  This includes </w:t>
      </w:r>
      <w:r w:rsidR="00CD6E57">
        <w:t xml:space="preserve">people who commit </w:t>
      </w:r>
      <w:r w:rsidR="00A366B5">
        <w:t>inchoate offences</w:t>
      </w:r>
      <w:r w:rsidR="00F16E53">
        <w:t>,</w:t>
      </w:r>
      <w:r w:rsidR="00A366B5">
        <w:t xml:space="preserve"> such as </w:t>
      </w:r>
      <w:r w:rsidR="00A366B5" w:rsidRPr="00B63013">
        <w:t>attempting</w:t>
      </w:r>
      <w:r w:rsidR="00A366B5">
        <w:t>,</w:t>
      </w:r>
      <w:r w:rsidR="00A366B5" w:rsidRPr="00B63013">
        <w:t xml:space="preserve"> encouraging or assisting</w:t>
      </w:r>
      <w:r w:rsidR="00951AB1">
        <w:t>; doing an act in preparation for, or planning</w:t>
      </w:r>
      <w:r w:rsidR="00D516F3">
        <w:t>;</w:t>
      </w:r>
      <w:r w:rsidR="00A366B5">
        <w:t xml:space="preserve"> or conspiring to commit a substantive offence.  </w:t>
      </w:r>
      <w:r w:rsidR="004D3AC6">
        <w:t>T</w:t>
      </w:r>
      <w:r w:rsidR="00A366B5">
        <w:t>hose charged with criminal offences who are awaiting trial may be remanded in custody or subject to bail conditions.</w:t>
      </w:r>
    </w:p>
    <w:p w14:paraId="054306BC" w14:textId="5365671F" w:rsidR="00A366B5" w:rsidRDefault="00A366B5" w:rsidP="00A366B5">
      <w:pPr>
        <w:pStyle w:val="ListNumber2"/>
        <w:tabs>
          <w:tab w:val="clear" w:pos="643"/>
          <w:tab w:val="num" w:pos="1080"/>
        </w:tabs>
        <w:ind w:left="1080" w:hanging="797"/>
      </w:pPr>
      <w:r>
        <w:t>Control orders</w:t>
      </w:r>
      <w:r w:rsidR="00454427">
        <w:t>, by contrast,</w:t>
      </w:r>
      <w:r>
        <w:t xml:space="preserve"> are civil remedies, but they impose significant </w:t>
      </w:r>
      <w:r w:rsidR="00EB01CB">
        <w:t xml:space="preserve">obligations, prohibitions and </w:t>
      </w:r>
      <w:r>
        <w:t xml:space="preserve">restrictions based on anticipated future involvement in criminal conduct.  Significantly, they allow restrictions to be placed on people who may not have committed any offence in the past and in respect of whom there is </w:t>
      </w:r>
      <w:r w:rsidR="00DC62C5">
        <w:t xml:space="preserve">no reasonable basis to suspect that they </w:t>
      </w:r>
      <w:r w:rsidR="00764BD2">
        <w:t xml:space="preserve">are planning to commit a terrorist act in the future. </w:t>
      </w:r>
    </w:p>
    <w:p w14:paraId="49B9500B" w14:textId="38A5613F" w:rsidR="00C34637" w:rsidRDefault="00C34637" w:rsidP="00C34637">
      <w:pPr>
        <w:pStyle w:val="ListNumber2"/>
        <w:tabs>
          <w:tab w:val="clear" w:pos="643"/>
          <w:tab w:val="num" w:pos="1080"/>
        </w:tabs>
        <w:ind w:left="1080" w:hanging="797"/>
      </w:pPr>
      <w:r>
        <w:t>The Commission submits that if the current control order regime is retained, it should be more tightly targeted to people demonstrated to be a risk to the community.  It should be limited to people who have been convicted of a terrorist offence and who would still present unacceptable risks to the community at the end of their sentence if they were free of all restraint upon release from imprisonment.</w:t>
      </w:r>
    </w:p>
    <w:p w14:paraId="5265C503" w14:textId="7A1B2F30" w:rsidR="00B05891" w:rsidRDefault="00825F2F" w:rsidP="00C34637">
      <w:pPr>
        <w:pStyle w:val="ListNumber2"/>
        <w:tabs>
          <w:tab w:val="clear" w:pos="643"/>
          <w:tab w:val="num" w:pos="1080"/>
        </w:tabs>
        <w:ind w:left="1080" w:hanging="797"/>
      </w:pPr>
      <w:r>
        <w:t>The most effective way to do this would be to replace the current control order regime with the ESO regime recommended by the third INSLM</w:t>
      </w:r>
      <w:r w:rsidR="00F25798">
        <w:t xml:space="preserve"> and </w:t>
      </w:r>
      <w:r w:rsidR="00050558">
        <w:t xml:space="preserve">the PJCIS </w:t>
      </w:r>
      <w:r w:rsidR="00F25798">
        <w:t xml:space="preserve">discussed in section </w:t>
      </w:r>
      <w:r w:rsidR="00F25798">
        <w:fldChar w:fldCharType="begin"/>
      </w:r>
      <w:r w:rsidR="00F25798">
        <w:instrText xml:space="preserve"> REF _Ref49620899 \r \h </w:instrText>
      </w:r>
      <w:r w:rsidR="00F25798">
        <w:fldChar w:fldCharType="separate"/>
      </w:r>
      <w:r w:rsidR="00381A9B">
        <w:t>8</w:t>
      </w:r>
      <w:r w:rsidR="00F25798">
        <w:fldChar w:fldCharType="end"/>
      </w:r>
      <w:r w:rsidR="00F25798">
        <w:t xml:space="preserve"> below</w:t>
      </w:r>
      <w:r>
        <w:t>.</w:t>
      </w:r>
      <w:r w:rsidR="009021B9">
        <w:t xml:space="preserve">  This would allow the </w:t>
      </w:r>
      <w:r w:rsidR="009021B9">
        <w:lastRenderedPageBreak/>
        <w:t>same controls to be imposed, but</w:t>
      </w:r>
      <w:r w:rsidR="00A975AB">
        <w:t xml:space="preserve"> </w:t>
      </w:r>
      <w:r w:rsidR="00096DD9">
        <w:t>would amount to a regime that was more consistent with human rights because</w:t>
      </w:r>
      <w:r w:rsidR="00B05891">
        <w:t>:</w:t>
      </w:r>
    </w:p>
    <w:p w14:paraId="2159C686" w14:textId="40343780" w:rsidR="009F7846" w:rsidRDefault="005D14DA" w:rsidP="00B05891">
      <w:pPr>
        <w:pStyle w:val="ListNumber2"/>
        <w:numPr>
          <w:ilvl w:val="0"/>
          <w:numId w:val="14"/>
        </w:numPr>
      </w:pPr>
      <w:r>
        <w:t>t</w:t>
      </w:r>
      <w:r w:rsidR="009F7846">
        <w:t xml:space="preserve">he scope of the regime would be better targeted to situations </w:t>
      </w:r>
      <w:r>
        <w:t xml:space="preserve">where </w:t>
      </w:r>
      <w:r w:rsidR="00BE7F43">
        <w:t xml:space="preserve">there was more likely to be </w:t>
      </w:r>
      <w:r>
        <w:t xml:space="preserve">risk to the community </w:t>
      </w:r>
    </w:p>
    <w:p w14:paraId="3B9073A5" w14:textId="62FE4FA3" w:rsidR="00825F2F" w:rsidRDefault="00BE7F43" w:rsidP="00A740FE">
      <w:pPr>
        <w:pStyle w:val="ListNumber2"/>
        <w:numPr>
          <w:ilvl w:val="0"/>
          <w:numId w:val="14"/>
        </w:numPr>
      </w:pPr>
      <w:r>
        <w:t xml:space="preserve">the evidence </w:t>
      </w:r>
      <w:r w:rsidR="00A740FE">
        <w:t xml:space="preserve">in support of an application could be </w:t>
      </w:r>
      <w:r w:rsidR="007D52C8">
        <w:t xml:space="preserve">properly </w:t>
      </w:r>
      <w:r w:rsidR="00A740FE">
        <w:t xml:space="preserve">tested </w:t>
      </w:r>
      <w:r w:rsidR="007D52C8">
        <w:t xml:space="preserve">in court proceedings </w:t>
      </w:r>
      <w:r w:rsidR="00A740FE">
        <w:t xml:space="preserve">when the order was first </w:t>
      </w:r>
      <w:r w:rsidR="00F16E53">
        <w:t>sought</w:t>
      </w:r>
      <w:r w:rsidR="00A740FE">
        <w:t xml:space="preserve">. </w:t>
      </w:r>
    </w:p>
    <w:p w14:paraId="65409D78" w14:textId="72A7D1C2" w:rsidR="00C34637" w:rsidRDefault="00C34637" w:rsidP="00C34637">
      <w:pPr>
        <w:pStyle w:val="ListNumber2"/>
        <w:tabs>
          <w:tab w:val="clear" w:pos="643"/>
          <w:tab w:val="num" w:pos="1080"/>
        </w:tabs>
        <w:ind w:left="1080" w:hanging="797"/>
      </w:pPr>
      <w:r>
        <w:t xml:space="preserve">As can be seen from Appendix A, most control orders made in practice relate to people who have already been convicted of a terrorism offence and who are being released into the community.  In light of the range of other investigation and prevention measures available, </w:t>
      </w:r>
      <w:r w:rsidR="00A751CB">
        <w:t xml:space="preserve">and their </w:t>
      </w:r>
      <w:r w:rsidR="00B25A31">
        <w:t xml:space="preserve">effectiveness when compared with control orders, </w:t>
      </w:r>
      <w:r>
        <w:t xml:space="preserve">the </w:t>
      </w:r>
      <w:r w:rsidR="00C84CFF">
        <w:t xml:space="preserve">Commission considers that </w:t>
      </w:r>
      <w:r>
        <w:t xml:space="preserve">the use of control orders in other situations </w:t>
      </w:r>
      <w:r w:rsidR="00C1102C">
        <w:t>is not</w:t>
      </w:r>
      <w:r>
        <w:t xml:space="preserve"> justified.  This includes use of control orders:</w:t>
      </w:r>
    </w:p>
    <w:p w14:paraId="7AE5FEE0" w14:textId="11203410" w:rsidR="00C34637" w:rsidRDefault="00C34637" w:rsidP="00C34637">
      <w:pPr>
        <w:pStyle w:val="ListNumber2"/>
        <w:numPr>
          <w:ilvl w:val="0"/>
          <w:numId w:val="14"/>
        </w:numPr>
      </w:pPr>
      <w:r>
        <w:t>as an alternative to prosecution, either where there is a lack of probative evidence that would ground a ‘reasonable suspicion’ permitting arrest, or where the CDPP has advised that there is no reasonable prospect of conviction</w:t>
      </w:r>
    </w:p>
    <w:p w14:paraId="0BBF4C08" w14:textId="1B7A0A67" w:rsidR="00A366B5" w:rsidRDefault="00C34637" w:rsidP="005534AE">
      <w:pPr>
        <w:pStyle w:val="ListNumber2"/>
        <w:numPr>
          <w:ilvl w:val="0"/>
          <w:numId w:val="14"/>
        </w:numPr>
      </w:pPr>
      <w:r>
        <w:t>as a ‘second attempt’ following an unsuccessful prosecution</w:t>
      </w:r>
      <w:r w:rsidR="00A84CA1" w:rsidRPr="00207439">
        <w:rPr>
          <w:lang w:val="en-GB"/>
        </w:rPr>
        <w:t>—</w:t>
      </w:r>
      <w:r>
        <w:t>for example</w:t>
      </w:r>
      <w:r w:rsidR="00A84CA1">
        <w:t>,</w:t>
      </w:r>
      <w:r>
        <w:t xml:space="preserve"> where a person has been tried and acquitted.</w:t>
      </w:r>
    </w:p>
    <w:p w14:paraId="6D9AF675" w14:textId="35E4207E" w:rsidR="006C72A9" w:rsidRDefault="006C72A9" w:rsidP="006C72A9">
      <w:pPr>
        <w:pStyle w:val="Heading2"/>
      </w:pPr>
      <w:bookmarkStart w:id="22" w:name="_Toc50633822"/>
      <w:r>
        <w:t>Structure of provisions</w:t>
      </w:r>
      <w:bookmarkEnd w:id="22"/>
    </w:p>
    <w:p w14:paraId="2A4BCFAE" w14:textId="5C009F34" w:rsidR="00357C7C" w:rsidRDefault="00357C7C" w:rsidP="00357C7C">
      <w:pPr>
        <w:pStyle w:val="Heading3"/>
      </w:pPr>
      <w:bookmarkStart w:id="23" w:name="_Toc50633823"/>
      <w:r>
        <w:t>Nature of controls and consequences for breach</w:t>
      </w:r>
      <w:bookmarkEnd w:id="23"/>
    </w:p>
    <w:p w14:paraId="43384E36" w14:textId="66BAE0B8" w:rsidR="00747045" w:rsidRDefault="000A623C" w:rsidP="00CE7FF1">
      <w:pPr>
        <w:pStyle w:val="ListNumber2"/>
        <w:tabs>
          <w:tab w:val="clear" w:pos="643"/>
          <w:tab w:val="num" w:pos="1080"/>
        </w:tabs>
        <w:ind w:left="1080" w:hanging="797"/>
      </w:pPr>
      <w:bookmarkStart w:id="24" w:name="_Ref48759324"/>
      <w:r>
        <w:t xml:space="preserve">Control orders allow </w:t>
      </w:r>
      <w:r w:rsidR="00F86A70">
        <w:t xml:space="preserve">certain kinds of </w:t>
      </w:r>
      <w:r>
        <w:t>ob</w:t>
      </w:r>
      <w:r w:rsidR="00F86A70">
        <w:t>li</w:t>
      </w:r>
      <w:r>
        <w:t>gations</w:t>
      </w:r>
      <w:r w:rsidR="00F86A70">
        <w:t>, prohibitions and restrictions to be imposed on a person</w:t>
      </w:r>
      <w:r w:rsidR="00477634">
        <w:t>.  They may be imposed for one or more of the following purposes:</w:t>
      </w:r>
      <w:bookmarkEnd w:id="24"/>
    </w:p>
    <w:p w14:paraId="09E02F19" w14:textId="12DB0CCE" w:rsidR="00477634" w:rsidRDefault="007560C6" w:rsidP="00484581">
      <w:pPr>
        <w:pStyle w:val="ListNumber"/>
        <w:numPr>
          <w:ilvl w:val="0"/>
          <w:numId w:val="14"/>
        </w:numPr>
      </w:pPr>
      <w:r>
        <w:t>protecting the public from a terrorist act</w:t>
      </w:r>
    </w:p>
    <w:p w14:paraId="7AAF26A6" w14:textId="1BC756E0" w:rsidR="007560C6" w:rsidRDefault="007560C6" w:rsidP="00484581">
      <w:pPr>
        <w:pStyle w:val="ListNumber"/>
        <w:numPr>
          <w:ilvl w:val="0"/>
          <w:numId w:val="14"/>
        </w:numPr>
      </w:pPr>
      <w:r>
        <w:t>preventing the provision of support for</w:t>
      </w:r>
      <w:r w:rsidR="00F16E53">
        <w:t>,</w:t>
      </w:r>
      <w:r>
        <w:t xml:space="preserve"> or the facilitation of</w:t>
      </w:r>
      <w:r w:rsidR="00F16E53">
        <w:t>,</w:t>
      </w:r>
      <w:r>
        <w:t xml:space="preserve"> a terrorist a</w:t>
      </w:r>
      <w:r w:rsidR="003035E6">
        <w:t>ct</w:t>
      </w:r>
    </w:p>
    <w:p w14:paraId="398AD2A1" w14:textId="01A9821B" w:rsidR="003035E6" w:rsidRDefault="003035E6" w:rsidP="00484581">
      <w:pPr>
        <w:pStyle w:val="ListNumber"/>
        <w:numPr>
          <w:ilvl w:val="0"/>
          <w:numId w:val="14"/>
        </w:numPr>
      </w:pPr>
      <w:r>
        <w:t>preventing the provision of support for</w:t>
      </w:r>
      <w:r w:rsidR="00F16E53">
        <w:t>,</w:t>
      </w:r>
      <w:r>
        <w:t xml:space="preserve"> or the facilitation of</w:t>
      </w:r>
      <w:r w:rsidR="00F16E53">
        <w:t>,</w:t>
      </w:r>
      <w:r>
        <w:t xml:space="preserve"> the engagement in a hostile activity in a foreign country.</w:t>
      </w:r>
      <w:r w:rsidR="00CC7709">
        <w:rPr>
          <w:rStyle w:val="EndnoteReference"/>
        </w:rPr>
        <w:endnoteReference w:id="99"/>
      </w:r>
    </w:p>
    <w:p w14:paraId="7CAFB762" w14:textId="29126426" w:rsidR="007109E8" w:rsidRDefault="007109E8" w:rsidP="00CE7FF1">
      <w:pPr>
        <w:pStyle w:val="ListNumber2"/>
        <w:tabs>
          <w:tab w:val="clear" w:pos="643"/>
          <w:tab w:val="num" w:pos="1080"/>
        </w:tabs>
        <w:ind w:left="1080" w:hanging="797"/>
      </w:pPr>
      <w:r>
        <w:lastRenderedPageBreak/>
        <w:t>However, as discussed in more detail below, it is not necessary to demonstrate that any of these events is likely to occur for a control order to be issued.</w:t>
      </w:r>
    </w:p>
    <w:p w14:paraId="1628FDC0" w14:textId="45693734" w:rsidR="00747045" w:rsidRDefault="00E37686" w:rsidP="00A01335">
      <w:pPr>
        <w:pStyle w:val="ListNumber2"/>
        <w:tabs>
          <w:tab w:val="clear" w:pos="643"/>
          <w:tab w:val="num" w:pos="1080"/>
        </w:tabs>
        <w:ind w:left="1080" w:hanging="797"/>
      </w:pPr>
      <w:r>
        <w:t xml:space="preserve">There are </w:t>
      </w:r>
      <w:r w:rsidR="00A84CA1">
        <w:t xml:space="preserve">12 </w:t>
      </w:r>
      <w:r w:rsidR="00C848F2">
        <w:t>broad categories of obligations, prohibitions and restrictions that can be imposed on a person.</w:t>
      </w:r>
      <w:r w:rsidR="00A21DB8" w:rsidRPr="00A01335">
        <w:rPr>
          <w:sz w:val="20"/>
          <w:szCs w:val="20"/>
          <w:vertAlign w:val="superscript"/>
        </w:rPr>
        <w:endnoteReference w:id="100"/>
      </w:r>
      <w:r w:rsidR="00C848F2">
        <w:t xml:space="preserve">  Some of these </w:t>
      </w:r>
      <w:r w:rsidR="00773212">
        <w:t>amount to restr</w:t>
      </w:r>
      <w:r w:rsidR="00A21DB8">
        <w:t xml:space="preserve">ictions on the liberty or freedom of movement of a person, </w:t>
      </w:r>
      <w:r w:rsidR="00C11E05">
        <w:t xml:space="preserve">and engage rights under articles 9 and </w:t>
      </w:r>
      <w:r w:rsidR="00E323E3">
        <w:t>12 of the ICCPR</w:t>
      </w:r>
      <w:r w:rsidR="00BF456F" w:rsidRPr="00207439">
        <w:rPr>
          <w:lang w:val="en-GB"/>
        </w:rPr>
        <w:t>—</w:t>
      </w:r>
      <w:r w:rsidR="00A21DB8">
        <w:t>for example:</w:t>
      </w:r>
    </w:p>
    <w:p w14:paraId="67F4C8D3" w14:textId="6F4C84FD" w:rsidR="00A21DB8" w:rsidRDefault="002F7764" w:rsidP="00484581">
      <w:pPr>
        <w:pStyle w:val="ListNumber"/>
        <w:numPr>
          <w:ilvl w:val="0"/>
          <w:numId w:val="14"/>
        </w:numPr>
      </w:pPr>
      <w:r>
        <w:t>curfews</w:t>
      </w:r>
      <w:r w:rsidR="00C26213">
        <w:t>, requiring a person to stay at particular premises</w:t>
      </w:r>
      <w:r>
        <w:t xml:space="preserve"> for up to 12 hours per day</w:t>
      </w:r>
    </w:p>
    <w:p w14:paraId="6596C084" w14:textId="10336CC1" w:rsidR="00C26213" w:rsidRDefault="00203584" w:rsidP="00484581">
      <w:pPr>
        <w:pStyle w:val="ListNumber"/>
        <w:numPr>
          <w:ilvl w:val="0"/>
          <w:numId w:val="14"/>
        </w:numPr>
      </w:pPr>
      <w:r>
        <w:t xml:space="preserve">prohibitions on </w:t>
      </w:r>
      <w:r w:rsidR="004212B0">
        <w:t>going to particular areas or places</w:t>
      </w:r>
    </w:p>
    <w:p w14:paraId="1FDFEE66" w14:textId="272CBCF5" w:rsidR="004212B0" w:rsidRDefault="004212B0" w:rsidP="00484581">
      <w:pPr>
        <w:pStyle w:val="ListNumber"/>
        <w:numPr>
          <w:ilvl w:val="0"/>
          <w:numId w:val="14"/>
        </w:numPr>
      </w:pPr>
      <w:r>
        <w:t>prohibitions on travelling overseas</w:t>
      </w:r>
    </w:p>
    <w:p w14:paraId="3C580E60" w14:textId="77777777" w:rsidR="00F50726" w:rsidRDefault="00DC0F75" w:rsidP="00484581">
      <w:pPr>
        <w:pStyle w:val="ListNumber"/>
        <w:numPr>
          <w:ilvl w:val="0"/>
          <w:numId w:val="14"/>
        </w:numPr>
      </w:pPr>
      <w:r>
        <w:t>a</w:t>
      </w:r>
      <w:r w:rsidR="00FD5451">
        <w:t xml:space="preserve"> requirement to wear a tracking device</w:t>
      </w:r>
    </w:p>
    <w:p w14:paraId="7A59D473" w14:textId="578C29CD" w:rsidR="00DC0F75" w:rsidRDefault="00F50726" w:rsidP="00484581">
      <w:pPr>
        <w:pStyle w:val="ListNumber"/>
        <w:numPr>
          <w:ilvl w:val="0"/>
          <w:numId w:val="14"/>
        </w:numPr>
      </w:pPr>
      <w:r>
        <w:t xml:space="preserve">a requirement to </w:t>
      </w:r>
      <w:r w:rsidR="00580C28">
        <w:t xml:space="preserve">report to police </w:t>
      </w:r>
      <w:r w:rsidR="00CD55B9">
        <w:t>at certain times and places</w:t>
      </w:r>
      <w:r w:rsidR="00FD5451">
        <w:t>.</w:t>
      </w:r>
    </w:p>
    <w:p w14:paraId="14AD9909" w14:textId="7077928A" w:rsidR="00FD5451" w:rsidRDefault="00D564B5" w:rsidP="00A01335">
      <w:pPr>
        <w:pStyle w:val="ListNumber2"/>
        <w:tabs>
          <w:tab w:val="clear" w:pos="643"/>
          <w:tab w:val="num" w:pos="1080"/>
        </w:tabs>
        <w:ind w:left="1080" w:hanging="797"/>
      </w:pPr>
      <w:r>
        <w:t xml:space="preserve">Other restrictions </w:t>
      </w:r>
      <w:r w:rsidR="00AE60CC">
        <w:t>place limits on a person’s freedom of communication</w:t>
      </w:r>
      <w:r w:rsidR="005314D6">
        <w:t xml:space="preserve"> and</w:t>
      </w:r>
      <w:r w:rsidR="00D50B9F">
        <w:t xml:space="preserve"> </w:t>
      </w:r>
      <w:r w:rsidR="00FA670D">
        <w:t>their freedom to associate with others,</w:t>
      </w:r>
      <w:r w:rsidR="00AE60CC">
        <w:t xml:space="preserve"> </w:t>
      </w:r>
      <w:r w:rsidR="00C57B7C">
        <w:t>or</w:t>
      </w:r>
      <w:r w:rsidR="00AE60CC">
        <w:t xml:space="preserve"> </w:t>
      </w:r>
      <w:r w:rsidR="00C57B7C">
        <w:t xml:space="preserve">interfere with their family life, </w:t>
      </w:r>
      <w:r w:rsidR="00E323E3">
        <w:t xml:space="preserve">engaging articles </w:t>
      </w:r>
      <w:r w:rsidR="001F6BD5">
        <w:t>17, 19 and 22 of the ICCPR</w:t>
      </w:r>
      <w:r w:rsidR="00BF456F" w:rsidRPr="00207439">
        <w:rPr>
          <w:lang w:val="en-GB"/>
        </w:rPr>
        <w:t>—</w:t>
      </w:r>
      <w:r w:rsidR="00C57B7C">
        <w:t>for example:</w:t>
      </w:r>
    </w:p>
    <w:p w14:paraId="7A4E2CFA" w14:textId="206BBB75" w:rsidR="00D50B9F" w:rsidRDefault="00D50B9F" w:rsidP="00484581">
      <w:pPr>
        <w:pStyle w:val="ListNumber"/>
        <w:numPr>
          <w:ilvl w:val="0"/>
          <w:numId w:val="14"/>
        </w:numPr>
      </w:pPr>
      <w:r>
        <w:t>a</w:t>
      </w:r>
      <w:r w:rsidR="00FA670D">
        <w:t xml:space="preserve"> prohibition on communicating </w:t>
      </w:r>
      <w:r>
        <w:t>with particular people</w:t>
      </w:r>
    </w:p>
    <w:p w14:paraId="02BFEE7B" w14:textId="60033BFD" w:rsidR="00D50B9F" w:rsidRDefault="00D50B9F" w:rsidP="00484581">
      <w:pPr>
        <w:pStyle w:val="ListNumber"/>
        <w:numPr>
          <w:ilvl w:val="0"/>
          <w:numId w:val="14"/>
        </w:numPr>
      </w:pPr>
      <w:r>
        <w:t>a prohibition on associating with particular people</w:t>
      </w:r>
    </w:p>
    <w:p w14:paraId="5B64B5D0" w14:textId="77CA3917" w:rsidR="00C57B7C" w:rsidRDefault="00F9659A" w:rsidP="00484581">
      <w:pPr>
        <w:pStyle w:val="ListNumber"/>
        <w:numPr>
          <w:ilvl w:val="0"/>
          <w:numId w:val="14"/>
        </w:numPr>
      </w:pPr>
      <w:r>
        <w:t xml:space="preserve">a restriction on accessing </w:t>
      </w:r>
      <w:r w:rsidR="007A0563">
        <w:t xml:space="preserve">the internet </w:t>
      </w:r>
      <w:r>
        <w:t xml:space="preserve">or using </w:t>
      </w:r>
      <w:r w:rsidR="007A0563">
        <w:t>certain telecommunications devices</w:t>
      </w:r>
      <w:r w:rsidR="00971625" w:rsidRPr="00207439">
        <w:rPr>
          <w:lang w:val="en-GB"/>
        </w:rPr>
        <w:t>—</w:t>
      </w:r>
      <w:r w:rsidR="00BA59CF">
        <w:t>for example</w:t>
      </w:r>
      <w:r w:rsidR="00971625">
        <w:t>,</w:t>
      </w:r>
      <w:r w:rsidR="00BA59CF">
        <w:t xml:space="preserve"> a requirement to only use a particular, identified mobile phone</w:t>
      </w:r>
    </w:p>
    <w:p w14:paraId="015690C9" w14:textId="35F07FAA" w:rsidR="007A0563" w:rsidRPr="00FD5451" w:rsidRDefault="001901B5" w:rsidP="00484581">
      <w:pPr>
        <w:pStyle w:val="ListNumber"/>
        <w:numPr>
          <w:ilvl w:val="0"/>
          <w:numId w:val="14"/>
        </w:numPr>
      </w:pPr>
      <w:r>
        <w:t xml:space="preserve">a prohibition on carrying out certain activities, including in relation </w:t>
      </w:r>
      <w:r w:rsidR="005469D5">
        <w:t>to work.</w:t>
      </w:r>
    </w:p>
    <w:p w14:paraId="37E26AB5" w14:textId="23FD0E4F" w:rsidR="00954ED0" w:rsidRDefault="004C1582" w:rsidP="00A01335">
      <w:pPr>
        <w:pStyle w:val="ListNumber2"/>
        <w:tabs>
          <w:tab w:val="clear" w:pos="643"/>
          <w:tab w:val="num" w:pos="1080"/>
        </w:tabs>
        <w:ind w:left="1080" w:hanging="797"/>
      </w:pPr>
      <w:r>
        <w:t xml:space="preserve">Some restrictions, including some of those set out above, </w:t>
      </w:r>
      <w:r w:rsidR="00954ED0">
        <w:t xml:space="preserve">interfere with a person’s right to privacy, </w:t>
      </w:r>
      <w:r w:rsidR="00077AC8">
        <w:t>engaging article 17 of the ICCPR</w:t>
      </w:r>
      <w:r w:rsidR="00971625" w:rsidRPr="00207439">
        <w:rPr>
          <w:lang w:val="en-GB"/>
        </w:rPr>
        <w:t>—</w:t>
      </w:r>
      <w:r w:rsidR="00954ED0">
        <w:t>for example</w:t>
      </w:r>
      <w:r w:rsidR="00523FD3">
        <w:t>, a requirement</w:t>
      </w:r>
      <w:r w:rsidR="00954ED0">
        <w:t>:</w:t>
      </w:r>
    </w:p>
    <w:p w14:paraId="64A7E23F" w14:textId="3E1AB65B" w:rsidR="00954ED0" w:rsidRDefault="00954ED0" w:rsidP="00484581">
      <w:pPr>
        <w:pStyle w:val="ListNumber"/>
        <w:numPr>
          <w:ilvl w:val="0"/>
          <w:numId w:val="14"/>
        </w:numPr>
      </w:pPr>
      <w:r>
        <w:t>to be photographed</w:t>
      </w:r>
    </w:p>
    <w:p w14:paraId="69B8D621" w14:textId="21D289BE" w:rsidR="00DA483F" w:rsidRDefault="00954ED0" w:rsidP="00484581">
      <w:pPr>
        <w:pStyle w:val="ListNumber"/>
        <w:numPr>
          <w:ilvl w:val="0"/>
          <w:numId w:val="14"/>
        </w:numPr>
      </w:pPr>
      <w:r>
        <w:t>to be fingerprinted</w:t>
      </w:r>
    </w:p>
    <w:p w14:paraId="3DDBB583" w14:textId="24FAF8D8" w:rsidR="004C1582" w:rsidRDefault="00DA483F" w:rsidP="00484581">
      <w:pPr>
        <w:pStyle w:val="ListNumber"/>
        <w:numPr>
          <w:ilvl w:val="0"/>
          <w:numId w:val="14"/>
        </w:numPr>
      </w:pPr>
      <w:r>
        <w:t xml:space="preserve">that a person </w:t>
      </w:r>
      <w:proofErr w:type="gramStart"/>
      <w:r>
        <w:t>participate</w:t>
      </w:r>
      <w:proofErr w:type="gramEnd"/>
      <w:r>
        <w:t xml:space="preserve"> in specified counsell</w:t>
      </w:r>
      <w:r w:rsidR="00F50278">
        <w:t>ing or education</w:t>
      </w:r>
      <w:r w:rsidR="00FA18F2">
        <w:t xml:space="preserve"> (but only if they agree to do so)</w:t>
      </w:r>
      <w:r w:rsidR="00F50278">
        <w:t>.</w:t>
      </w:r>
      <w:r w:rsidR="00FA18F2">
        <w:rPr>
          <w:rStyle w:val="EndnoteReference"/>
        </w:rPr>
        <w:endnoteReference w:id="101"/>
      </w:r>
      <w:r w:rsidR="004C1582">
        <w:t xml:space="preserve"> </w:t>
      </w:r>
    </w:p>
    <w:p w14:paraId="6665C412" w14:textId="39DE0966" w:rsidR="00F50278" w:rsidRDefault="00DA1F52" w:rsidP="00A01335">
      <w:pPr>
        <w:pStyle w:val="ListNumber2"/>
        <w:tabs>
          <w:tab w:val="clear" w:pos="643"/>
          <w:tab w:val="num" w:pos="1080"/>
        </w:tabs>
        <w:ind w:left="1080" w:hanging="797"/>
      </w:pPr>
      <w:r>
        <w:t xml:space="preserve">Restrictions can also be imposed on a person ‘possessing or using </w:t>
      </w:r>
      <w:r w:rsidR="006D4F65">
        <w:t xml:space="preserve">specified articles or </w:t>
      </w:r>
      <w:proofErr w:type="gramStart"/>
      <w:r w:rsidR="006D4F65">
        <w:t>substances’</w:t>
      </w:r>
      <w:proofErr w:type="gramEnd"/>
      <w:r w:rsidR="006D4F65">
        <w:t xml:space="preserve">. </w:t>
      </w:r>
      <w:r w:rsidR="00456705">
        <w:t xml:space="preserve"> </w:t>
      </w:r>
      <w:r w:rsidR="005F0779">
        <w:t xml:space="preserve">In practice, </w:t>
      </w:r>
      <w:r w:rsidR="00456705">
        <w:t xml:space="preserve">these restrictions </w:t>
      </w:r>
      <w:r w:rsidR="00D50C92">
        <w:lastRenderedPageBreak/>
        <w:t>sometime</w:t>
      </w:r>
      <w:r w:rsidR="00523FD3">
        <w:t>s</w:t>
      </w:r>
      <w:r w:rsidR="00D50C92">
        <w:t xml:space="preserve"> </w:t>
      </w:r>
      <w:r w:rsidR="00456705">
        <w:t xml:space="preserve">merely </w:t>
      </w:r>
      <w:r w:rsidR="005F0779">
        <w:t xml:space="preserve">reiterate </w:t>
      </w:r>
      <w:r w:rsidR="000760EC">
        <w:t xml:space="preserve">other </w:t>
      </w:r>
      <w:r w:rsidR="00606B73">
        <w:t xml:space="preserve">existing </w:t>
      </w:r>
      <w:r w:rsidR="000760EC">
        <w:t>legal requirements</w:t>
      </w:r>
      <w:r w:rsidR="00523FD3">
        <w:t>,</w:t>
      </w:r>
      <w:r w:rsidR="000760EC">
        <w:t xml:space="preserve"> but add the criminal consequences involv</w:t>
      </w:r>
      <w:r w:rsidR="00D50C92">
        <w:t>ed</w:t>
      </w:r>
      <w:r w:rsidR="000760EC">
        <w:t xml:space="preserve"> in breaching a control order.</w:t>
      </w:r>
    </w:p>
    <w:p w14:paraId="2AD1583F" w14:textId="3061E805" w:rsidR="002204AC" w:rsidRDefault="00436E3E" w:rsidP="00A01335">
      <w:pPr>
        <w:pStyle w:val="ListNumber2"/>
        <w:tabs>
          <w:tab w:val="clear" w:pos="643"/>
          <w:tab w:val="num" w:pos="1080"/>
        </w:tabs>
        <w:ind w:left="1080" w:hanging="797"/>
      </w:pPr>
      <w:r>
        <w:t>When a control order is imposed on an adult, it may be in force for up to 12 months</w:t>
      </w:r>
      <w:r w:rsidR="00E666CB">
        <w:t xml:space="preserve"> at a time</w:t>
      </w:r>
      <w:r>
        <w:t>.</w:t>
      </w:r>
      <w:r w:rsidR="00472C57" w:rsidRPr="00A01335">
        <w:rPr>
          <w:sz w:val="20"/>
          <w:szCs w:val="20"/>
          <w:vertAlign w:val="superscript"/>
        </w:rPr>
        <w:endnoteReference w:id="102"/>
      </w:r>
      <w:r>
        <w:t xml:space="preserve">  In practice, all control orders </w:t>
      </w:r>
      <w:r w:rsidR="00BE4A13">
        <w:t xml:space="preserve">issued to date </w:t>
      </w:r>
      <w:r>
        <w:t xml:space="preserve">have been </w:t>
      </w:r>
      <w:r w:rsidR="00472C57">
        <w:t>made for 12 months.</w:t>
      </w:r>
      <w:r w:rsidR="00FB583D">
        <w:t xml:space="preserve">  When a control order is</w:t>
      </w:r>
      <w:r w:rsidR="0050671F">
        <w:t xml:space="preserve"> imposed on a child aged 14 to 17, it may be in force for</w:t>
      </w:r>
      <w:r w:rsidR="00BE4A13">
        <w:t xml:space="preserve"> up to </w:t>
      </w:r>
      <w:r w:rsidR="00523FD3">
        <w:t xml:space="preserve">three </w:t>
      </w:r>
      <w:r w:rsidR="00BE4A13">
        <w:t>months</w:t>
      </w:r>
      <w:r w:rsidR="00E666CB">
        <w:t xml:space="preserve"> at a time</w:t>
      </w:r>
      <w:r w:rsidR="00BE4A13">
        <w:t>.</w:t>
      </w:r>
      <w:r w:rsidR="00A14569" w:rsidRPr="00A01335">
        <w:rPr>
          <w:sz w:val="20"/>
          <w:szCs w:val="20"/>
          <w:vertAlign w:val="superscript"/>
        </w:rPr>
        <w:endnoteReference w:id="103"/>
      </w:r>
      <w:r w:rsidR="00BE4A13">
        <w:t xml:space="preserve">  </w:t>
      </w:r>
      <w:r w:rsidR="00B07835">
        <w:t xml:space="preserve">While some control orders have been imposed on young </w:t>
      </w:r>
      <w:r w:rsidR="009273E0">
        <w:t>adults</w:t>
      </w:r>
      <w:r w:rsidR="00B07835">
        <w:t xml:space="preserve"> in their </w:t>
      </w:r>
      <w:r w:rsidR="000B77A6">
        <w:t xml:space="preserve">late teens and </w:t>
      </w:r>
      <w:r w:rsidR="00B07835">
        <w:t>early 20s, n</w:t>
      </w:r>
      <w:r w:rsidR="00BE4A13">
        <w:t>o control orders have yet been imposed on children.</w:t>
      </w:r>
    </w:p>
    <w:p w14:paraId="29D6EA29" w14:textId="3068AB3A" w:rsidR="00342E90" w:rsidRPr="005308D0" w:rsidRDefault="000D4625" w:rsidP="00A01335">
      <w:pPr>
        <w:pStyle w:val="ListNumber2"/>
        <w:tabs>
          <w:tab w:val="clear" w:pos="643"/>
          <w:tab w:val="num" w:pos="1080"/>
        </w:tabs>
        <w:ind w:left="1080" w:hanging="797"/>
      </w:pPr>
      <w:r>
        <w:t>It is</w:t>
      </w:r>
      <w:r w:rsidR="00CC4CBB">
        <w:t xml:space="preserve"> possible to make successive control orders in relation to the same person</w:t>
      </w:r>
      <w:r w:rsidR="00B47116">
        <w:t xml:space="preserve"> (whether an adult or a child)</w:t>
      </w:r>
      <w:r w:rsidR="00CC4CBB">
        <w:t>.</w:t>
      </w:r>
      <w:r w:rsidR="00856CE6" w:rsidRPr="00350FAA">
        <w:rPr>
          <w:sz w:val="20"/>
          <w:szCs w:val="20"/>
          <w:vertAlign w:val="superscript"/>
        </w:rPr>
        <w:endnoteReference w:id="104"/>
      </w:r>
      <w:r w:rsidR="00CC4CBB">
        <w:t xml:space="preserve">  The Commission is only aware of one person who has </w:t>
      </w:r>
      <w:r w:rsidR="00523FD3">
        <w:t xml:space="preserve">been subject to </w:t>
      </w:r>
      <w:r w:rsidR="00CC4CBB">
        <w:t>more than one control order</w:t>
      </w:r>
      <w:r w:rsidR="00342E90">
        <w:t xml:space="preserve">.  Mr </w:t>
      </w:r>
      <w:r w:rsidR="00342E90" w:rsidRPr="005308D0">
        <w:t xml:space="preserve">Ahmad </w:t>
      </w:r>
      <w:proofErr w:type="spellStart"/>
      <w:r w:rsidR="00342E90" w:rsidRPr="005308D0">
        <w:t>Saiyer</w:t>
      </w:r>
      <w:proofErr w:type="spellEnd"/>
      <w:r w:rsidR="00342E90" w:rsidRPr="005308D0">
        <w:t xml:space="preserve"> </w:t>
      </w:r>
      <w:proofErr w:type="spellStart"/>
      <w:r w:rsidR="00342E90" w:rsidRPr="005308D0">
        <w:t>Naizmand</w:t>
      </w:r>
      <w:proofErr w:type="spellEnd"/>
      <w:r w:rsidR="005308D0">
        <w:t xml:space="preserve"> first had an interim control order made against him on </w:t>
      </w:r>
      <w:r w:rsidR="000D74B6">
        <w:t xml:space="preserve">5 March 2015.  He was </w:t>
      </w:r>
      <w:r w:rsidR="0076152F">
        <w:t xml:space="preserve">charged with breaching that control order </w:t>
      </w:r>
      <w:r w:rsidR="00523FD3">
        <w:t xml:space="preserve">six </w:t>
      </w:r>
      <w:r w:rsidR="0076152F">
        <w:t>days before it was due to expire</w:t>
      </w:r>
      <w:r w:rsidR="00370E9F">
        <w:t xml:space="preserve">.  </w:t>
      </w:r>
      <w:r w:rsidR="00AA61C5">
        <w:t xml:space="preserve">As discussed in </w:t>
      </w:r>
      <w:r w:rsidR="00971C8A">
        <w:t>case study 3</w:t>
      </w:r>
      <w:r w:rsidR="00AA61C5">
        <w:t xml:space="preserve"> below, the breach involved him watching </w:t>
      </w:r>
      <w:r w:rsidR="00AA61C5" w:rsidRPr="00A01335">
        <w:t>three short ISIL propaganda videos on YouTube.</w:t>
      </w:r>
      <w:r w:rsidR="00AA61C5">
        <w:t xml:space="preserve">  </w:t>
      </w:r>
      <w:r w:rsidR="00370E9F">
        <w:t xml:space="preserve">He was convicted </w:t>
      </w:r>
      <w:r w:rsidR="005A7C49">
        <w:t xml:space="preserve">of the breach of the control order </w:t>
      </w:r>
      <w:r w:rsidR="00AA2BEB">
        <w:t xml:space="preserve">and sentenced to </w:t>
      </w:r>
      <w:r w:rsidR="007C1B2B">
        <w:t>four years imprisonment.</w:t>
      </w:r>
      <w:r w:rsidR="00EE7801" w:rsidRPr="00350FAA">
        <w:rPr>
          <w:sz w:val="20"/>
          <w:szCs w:val="20"/>
          <w:vertAlign w:val="superscript"/>
        </w:rPr>
        <w:endnoteReference w:id="105"/>
      </w:r>
      <w:r w:rsidR="007C1B2B">
        <w:t xml:space="preserve">  </w:t>
      </w:r>
      <w:r w:rsidR="00F5643F">
        <w:t xml:space="preserve">He served the full period of the sentence, without parole.  </w:t>
      </w:r>
      <w:r w:rsidR="006420C1">
        <w:t>On 27 February 2020, t</w:t>
      </w:r>
      <w:r w:rsidR="00F5643F">
        <w:t>he day before he was released, a second interim control order was made against him</w:t>
      </w:r>
      <w:r w:rsidR="005115C1">
        <w:t xml:space="preserve"> for a further period of 12 months</w:t>
      </w:r>
      <w:r w:rsidR="000F5B55">
        <w:t>.</w:t>
      </w:r>
      <w:r w:rsidR="00350D42" w:rsidRPr="00350FAA">
        <w:rPr>
          <w:sz w:val="20"/>
          <w:szCs w:val="20"/>
          <w:vertAlign w:val="superscript"/>
        </w:rPr>
        <w:endnoteReference w:id="106"/>
      </w:r>
    </w:p>
    <w:p w14:paraId="03FC5355" w14:textId="25623CE2" w:rsidR="00A14569" w:rsidRDefault="001952FE" w:rsidP="00A01335">
      <w:pPr>
        <w:pStyle w:val="ListNumber2"/>
        <w:tabs>
          <w:tab w:val="clear" w:pos="643"/>
          <w:tab w:val="num" w:pos="1080"/>
        </w:tabs>
        <w:ind w:left="1080" w:hanging="797"/>
      </w:pPr>
      <w:r>
        <w:t xml:space="preserve">The </w:t>
      </w:r>
      <w:r w:rsidR="00605927">
        <w:t xml:space="preserve">particular conditions that may be </w:t>
      </w:r>
      <w:r w:rsidR="004E0C1D">
        <w:t xml:space="preserve">imposed on a person by a control order vary in terms of their severity and their impact on human rights.  </w:t>
      </w:r>
      <w:r w:rsidR="001B309F">
        <w:t>The most severe</w:t>
      </w:r>
      <w:r w:rsidR="000A1F9E">
        <w:t xml:space="preserve"> are the restrictions on liberty which, </w:t>
      </w:r>
      <w:r w:rsidR="00850BB6">
        <w:t>if applied inappropriately</w:t>
      </w:r>
      <w:r w:rsidR="000A1F9E">
        <w:t>, have the potential to amount to arbitrary detention</w:t>
      </w:r>
      <w:r w:rsidR="005D19B2">
        <w:t>, and the restrictions on communication and association</w:t>
      </w:r>
      <w:r w:rsidR="00492B93">
        <w:t xml:space="preserve">.  </w:t>
      </w:r>
    </w:p>
    <w:p w14:paraId="0F5B88A2" w14:textId="1CE6ED27" w:rsidR="00492B93" w:rsidRDefault="00492B93" w:rsidP="00A01335">
      <w:pPr>
        <w:pStyle w:val="ListNumber2"/>
        <w:tabs>
          <w:tab w:val="clear" w:pos="643"/>
          <w:tab w:val="num" w:pos="1080"/>
        </w:tabs>
        <w:ind w:left="1080" w:hanging="797"/>
      </w:pPr>
      <w:r>
        <w:t xml:space="preserve">However, in assessing the full impact of the imposition of control orders, it is also necessary to </w:t>
      </w:r>
      <w:r w:rsidR="007E2353">
        <w:t xml:space="preserve">consider the penalties available for their breach.  If a control order is in force in relation to a person and the person contravenes any of the conditions in that control order, </w:t>
      </w:r>
      <w:r w:rsidR="00B47298">
        <w:t>they commit an offence and are liable for imprisonment for up to five years.</w:t>
      </w:r>
      <w:r w:rsidR="00A75F9C" w:rsidRPr="00350FAA">
        <w:rPr>
          <w:sz w:val="20"/>
          <w:szCs w:val="20"/>
          <w:vertAlign w:val="superscript"/>
        </w:rPr>
        <w:endnoteReference w:id="107"/>
      </w:r>
      <w:r w:rsidR="001C493F">
        <w:t xml:space="preserve">  The same penalty applies to both adults and children older than 14.</w:t>
      </w:r>
    </w:p>
    <w:p w14:paraId="7ACFFBD6" w14:textId="3E8A1BAF" w:rsidR="00B47298" w:rsidRDefault="00551602" w:rsidP="00A01335">
      <w:pPr>
        <w:pStyle w:val="ListNumber2"/>
        <w:tabs>
          <w:tab w:val="clear" w:pos="643"/>
          <w:tab w:val="num" w:pos="1080"/>
        </w:tabs>
        <w:ind w:left="1080" w:hanging="797"/>
      </w:pPr>
      <w:r>
        <w:t xml:space="preserve">The Commission is aware of two cases in which a person has been prosecuted for a breach of </w:t>
      </w:r>
      <w:r w:rsidR="00293590">
        <w:t xml:space="preserve">a control order.  In each case, in the Commission’s view, the penalties imposed for the breach have been </w:t>
      </w:r>
      <w:r w:rsidR="00293590">
        <w:lastRenderedPageBreak/>
        <w:t>severe and arguably disproportionate</w:t>
      </w:r>
      <w:r w:rsidR="00B340D0">
        <w:t xml:space="preserve"> to the seriousness of the breach</w:t>
      </w:r>
      <w:r w:rsidR="00293590">
        <w:t>.</w:t>
      </w:r>
      <w:r w:rsidR="00106370" w:rsidRPr="00350FAA">
        <w:rPr>
          <w:sz w:val="20"/>
          <w:szCs w:val="20"/>
          <w:vertAlign w:val="superscript"/>
        </w:rPr>
        <w:endnoteReference w:id="108"/>
      </w:r>
      <w:r w:rsidR="008D50F0">
        <w:t xml:space="preserve">  </w:t>
      </w:r>
      <w:r w:rsidR="008D50F0" w:rsidRPr="00207439">
        <w:rPr>
          <w:lang w:val="en-GB"/>
        </w:rPr>
        <w:t>Their respective situations are summarised in case studies 2 and 3 below.</w:t>
      </w:r>
    </w:p>
    <w:p w14:paraId="7D6F4ECD" w14:textId="2C4E6152" w:rsidR="00293590" w:rsidRPr="00951ED3" w:rsidRDefault="004C1670" w:rsidP="006525F4">
      <w:pPr>
        <w:pStyle w:val="ListNumber"/>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b/>
          <w:bCs/>
        </w:rPr>
      </w:pPr>
      <w:r w:rsidRPr="00951ED3">
        <w:rPr>
          <w:b/>
          <w:bCs/>
        </w:rPr>
        <w:t>Case study</w:t>
      </w:r>
      <w:r w:rsidR="006525F4">
        <w:rPr>
          <w:b/>
          <w:bCs/>
        </w:rPr>
        <w:t xml:space="preserve"> </w:t>
      </w:r>
      <w:r w:rsidR="003C1658">
        <w:rPr>
          <w:b/>
          <w:bCs/>
        </w:rPr>
        <w:t>2</w:t>
      </w:r>
      <w:r w:rsidRPr="00951ED3">
        <w:rPr>
          <w:b/>
          <w:bCs/>
        </w:rPr>
        <w:t>: Mr MO</w:t>
      </w:r>
    </w:p>
    <w:p w14:paraId="2092BE21" w14:textId="42513786" w:rsidR="004C1670" w:rsidRDefault="00523FD3" w:rsidP="00FA2023">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On 17 December 2014, t</w:t>
      </w:r>
      <w:r w:rsidR="00951ED3">
        <w:t xml:space="preserve">he third control order under </w:t>
      </w:r>
      <w:proofErr w:type="spellStart"/>
      <w:r w:rsidR="00123BDE">
        <w:t>Div</w:t>
      </w:r>
      <w:proofErr w:type="spellEnd"/>
      <w:r w:rsidR="00123BDE">
        <w:t xml:space="preserve"> 104 of the Criminal Code was imposed on a man known as </w:t>
      </w:r>
      <w:r w:rsidR="00951ED3">
        <w:t>Mr MO</w:t>
      </w:r>
      <w:r w:rsidR="00621507">
        <w:t>.</w:t>
      </w:r>
      <w:r w:rsidR="00D47D62">
        <w:t xml:space="preserve">  It </w:t>
      </w:r>
      <w:r w:rsidR="00AB2F24">
        <w:t xml:space="preserve">followed a period of approximately </w:t>
      </w:r>
      <w:r>
        <w:t xml:space="preserve">seven </w:t>
      </w:r>
      <w:r w:rsidR="00AB2F24">
        <w:t>years during which no control orders had been made</w:t>
      </w:r>
      <w:r w:rsidR="004E3539">
        <w:t xml:space="preserve"> in relation to any person</w:t>
      </w:r>
      <w:r w:rsidR="00AB2F24">
        <w:t xml:space="preserve">. </w:t>
      </w:r>
    </w:p>
    <w:p w14:paraId="7C4B297A" w14:textId="1CC0932C" w:rsidR="005C7CD6" w:rsidRDefault="0003372C" w:rsidP="00FA2023">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Mr MO was on bail in relation to an undisclosed offence at the time </w:t>
      </w:r>
      <w:r w:rsidR="005D10EE">
        <w:t>that the control order was imposed on him.</w:t>
      </w:r>
      <w:r w:rsidR="00954CA7">
        <w:t xml:space="preserve">  The terms of the control order</w:t>
      </w:r>
      <w:r w:rsidR="001D1B36">
        <w:t>, among other things,</w:t>
      </w:r>
      <w:r w:rsidR="00954CA7">
        <w:t xml:space="preserve"> prohibited him from using public telephones </w:t>
      </w:r>
      <w:r w:rsidR="003C0543">
        <w:t xml:space="preserve">except in an emergency, and </w:t>
      </w:r>
      <w:r w:rsidR="004F30F6">
        <w:t>restrict</w:t>
      </w:r>
      <w:r w:rsidR="00715219">
        <w:t>ed him to</w:t>
      </w:r>
      <w:r w:rsidR="003C0543">
        <w:t xml:space="preserve"> using </w:t>
      </w:r>
      <w:r w:rsidR="004F30F6">
        <w:t>one</w:t>
      </w:r>
      <w:r w:rsidR="001D1B36">
        <w:t xml:space="preserve"> mobile phone that had been approved by the Joint Counter</w:t>
      </w:r>
      <w:r w:rsidR="005A4169">
        <w:t xml:space="preserve"> </w:t>
      </w:r>
      <w:r w:rsidR="001D1B36">
        <w:t xml:space="preserve">Terrorism </w:t>
      </w:r>
      <w:r w:rsidR="000723E0">
        <w:t>Team.</w:t>
      </w:r>
      <w:r w:rsidR="000723E0">
        <w:rPr>
          <w:rStyle w:val="EndnoteReference"/>
        </w:rPr>
        <w:endnoteReference w:id="109"/>
      </w:r>
    </w:p>
    <w:p w14:paraId="67F277F7" w14:textId="66C58F08" w:rsidR="005D10EE" w:rsidRDefault="00455A5D" w:rsidP="00FA2023">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Six days after the control order was imposed, MO </w:t>
      </w:r>
      <w:r w:rsidR="00BE3267">
        <w:t xml:space="preserve">was charged with using a public telephone on two occasions and using an unapproved mobile phone on one occasion.  </w:t>
      </w:r>
      <w:r w:rsidR="008F6E0F">
        <w:t xml:space="preserve">He called the same person each time.  Those calls were monitored </w:t>
      </w:r>
      <w:r w:rsidR="00D82470">
        <w:t xml:space="preserve">by authorities </w:t>
      </w:r>
      <w:r w:rsidR="008F6E0F">
        <w:t xml:space="preserve">and it was </w:t>
      </w:r>
      <w:r w:rsidR="004618FA">
        <w:t>common ground that the content of the calls w</w:t>
      </w:r>
      <w:r w:rsidR="00FA7FF4">
        <w:t>as</w:t>
      </w:r>
      <w:r w:rsidR="004618FA">
        <w:t xml:space="preserve"> ‘trivial’ and did not relate to any criminal activity.</w:t>
      </w:r>
      <w:r w:rsidR="004618FA">
        <w:rPr>
          <w:rStyle w:val="EndnoteReference"/>
        </w:rPr>
        <w:endnoteReference w:id="110"/>
      </w:r>
    </w:p>
    <w:p w14:paraId="1E4430EC" w14:textId="35D32697" w:rsidR="00CB5B61" w:rsidRDefault="00CB5B61" w:rsidP="00FA2023">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Mr MO was not provided with a </w:t>
      </w:r>
      <w:r w:rsidR="006071DF">
        <w:t>warning in relation to his conduct.  He was immediately prosecuted for a breach.</w:t>
      </w:r>
    </w:p>
    <w:p w14:paraId="538F81D5" w14:textId="1D53F867" w:rsidR="00D82470" w:rsidRDefault="00443D34" w:rsidP="00E17C00">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Mr MO </w:t>
      </w:r>
      <w:r w:rsidR="006D2395">
        <w:t xml:space="preserve">pleaded guilty and said that he was </w:t>
      </w:r>
      <w:r w:rsidR="000D6754">
        <w:t xml:space="preserve">simply </w:t>
      </w:r>
      <w:r w:rsidR="00145961">
        <w:t>naïve</w:t>
      </w:r>
      <w:r w:rsidR="007010A0">
        <w:t>.</w:t>
      </w:r>
      <w:r w:rsidR="00145961">
        <w:t xml:space="preserve"> </w:t>
      </w:r>
      <w:r w:rsidR="007010A0">
        <w:t xml:space="preserve"> The Court sentenced him to two years imprisonment, with a non-parole period of 18 months.</w:t>
      </w:r>
      <w:r w:rsidR="00C5543E">
        <w:rPr>
          <w:rStyle w:val="EndnoteReference"/>
        </w:rPr>
        <w:endnoteReference w:id="111"/>
      </w:r>
      <w:r w:rsidR="007010A0">
        <w:t xml:space="preserve">  </w:t>
      </w:r>
    </w:p>
    <w:p w14:paraId="6D4162E1" w14:textId="77777777" w:rsidR="008475D4" w:rsidRDefault="008475D4" w:rsidP="008475D4">
      <w:pPr>
        <w:pStyle w:val="ListNumber2"/>
        <w:numPr>
          <w:ilvl w:val="0"/>
          <w:numId w:val="0"/>
        </w:numPr>
        <w:ind w:left="1080"/>
      </w:pPr>
    </w:p>
    <w:p w14:paraId="12784773" w14:textId="39FB0025" w:rsidR="008475D4" w:rsidRDefault="00F204E9" w:rsidP="00E17C00">
      <w:pPr>
        <w:pStyle w:val="ListNumber2"/>
        <w:tabs>
          <w:tab w:val="clear" w:pos="643"/>
          <w:tab w:val="num" w:pos="1080"/>
        </w:tabs>
        <w:ind w:left="1080" w:hanging="797"/>
      </w:pPr>
      <w:r w:rsidRPr="00E9359E">
        <w:t xml:space="preserve">The only other </w:t>
      </w:r>
      <w:r w:rsidR="00A256A0" w:rsidRPr="00E9359E">
        <w:t xml:space="preserve">prosecution for a breach of </w:t>
      </w:r>
      <w:r w:rsidR="00E56EFE" w:rsidRPr="00E9359E">
        <w:t xml:space="preserve">a control order that the Commission is aware of was the prosecution of Mr </w:t>
      </w:r>
      <w:proofErr w:type="spellStart"/>
      <w:r w:rsidR="00E56EFE" w:rsidRPr="00E9359E">
        <w:t>Naizmand</w:t>
      </w:r>
      <w:proofErr w:type="spellEnd"/>
      <w:r w:rsidR="00EE4DAE">
        <w:t>,</w:t>
      </w:r>
      <w:r w:rsidR="00E56EFE" w:rsidRPr="00E9359E">
        <w:t xml:space="preserve"> referred to above.  While the </w:t>
      </w:r>
      <w:r w:rsidR="008B2619" w:rsidRPr="00E9359E">
        <w:t>conduct was more serious tha</w:t>
      </w:r>
      <w:r w:rsidR="000C6062">
        <w:t>n</w:t>
      </w:r>
      <w:r w:rsidR="008B2619" w:rsidRPr="00E9359E">
        <w:t xml:space="preserve"> the conduct of Mr MO, </w:t>
      </w:r>
      <w:r w:rsidR="006525F4" w:rsidRPr="00E9359E">
        <w:t>the sentence imposed was particularly severe.</w:t>
      </w:r>
    </w:p>
    <w:p w14:paraId="0E8091C0" w14:textId="72D394A9" w:rsidR="00AB2F24" w:rsidRPr="00E9359E" w:rsidRDefault="008475D4" w:rsidP="008475D4">
      <w:pPr>
        <w:spacing w:before="0" w:after="0"/>
      </w:pPr>
      <w:r>
        <w:br w:type="page"/>
      </w:r>
    </w:p>
    <w:p w14:paraId="7A28921D" w14:textId="30BA5F0A" w:rsidR="006525F4" w:rsidRPr="006525F4" w:rsidRDefault="006525F4" w:rsidP="00F53B07">
      <w:pPr>
        <w:pStyle w:val="ListNumber"/>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b/>
          <w:bCs/>
        </w:rPr>
      </w:pPr>
      <w:r w:rsidRPr="006525F4">
        <w:rPr>
          <w:b/>
          <w:bCs/>
        </w:rPr>
        <w:lastRenderedPageBreak/>
        <w:t xml:space="preserve">Case study </w:t>
      </w:r>
      <w:r w:rsidR="003C1658">
        <w:rPr>
          <w:b/>
          <w:bCs/>
        </w:rPr>
        <w:t>3</w:t>
      </w:r>
      <w:r w:rsidRPr="006525F4">
        <w:rPr>
          <w:b/>
          <w:bCs/>
        </w:rPr>
        <w:t xml:space="preserve">: Mr Ahmad </w:t>
      </w:r>
      <w:proofErr w:type="spellStart"/>
      <w:r w:rsidRPr="006525F4">
        <w:rPr>
          <w:b/>
          <w:bCs/>
        </w:rPr>
        <w:t>Saiyer</w:t>
      </w:r>
      <w:proofErr w:type="spellEnd"/>
      <w:r w:rsidRPr="006525F4">
        <w:rPr>
          <w:b/>
          <w:bCs/>
        </w:rPr>
        <w:t xml:space="preserve"> </w:t>
      </w:r>
      <w:proofErr w:type="spellStart"/>
      <w:r w:rsidRPr="006525F4">
        <w:rPr>
          <w:b/>
          <w:bCs/>
        </w:rPr>
        <w:t>Naizmand</w:t>
      </w:r>
      <w:proofErr w:type="spellEnd"/>
    </w:p>
    <w:p w14:paraId="78FC926A" w14:textId="58FAE2D0" w:rsidR="006525F4" w:rsidRDefault="00F12E3E"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In February 2017, </w:t>
      </w:r>
      <w:r w:rsidR="00004A41">
        <w:t xml:space="preserve">when he was sentenced for breaching a control order, </w:t>
      </w:r>
      <w:r w:rsidR="00DA4838">
        <w:t xml:space="preserve">Mr </w:t>
      </w:r>
      <w:proofErr w:type="spellStart"/>
      <w:r w:rsidR="00DA4838">
        <w:t>Nai</w:t>
      </w:r>
      <w:r w:rsidR="00351FE5">
        <w:t>zmand</w:t>
      </w:r>
      <w:proofErr w:type="spellEnd"/>
      <w:r w:rsidR="00351FE5">
        <w:t xml:space="preserve"> </w:t>
      </w:r>
      <w:r>
        <w:t xml:space="preserve">was 22 years old, married and working as a </w:t>
      </w:r>
      <w:proofErr w:type="spellStart"/>
      <w:r>
        <w:t>gyprocker</w:t>
      </w:r>
      <w:proofErr w:type="spellEnd"/>
      <w:r w:rsidR="00004A41">
        <w:t xml:space="preserve"> in </w:t>
      </w:r>
      <w:r w:rsidR="00C65DF2">
        <w:t>Sydney</w:t>
      </w:r>
      <w:r>
        <w:t>.</w:t>
      </w:r>
      <w:r w:rsidR="00F31F42">
        <w:t xml:space="preserve"> </w:t>
      </w:r>
    </w:p>
    <w:p w14:paraId="5ABD0FFD" w14:textId="5B340347" w:rsidR="00EF7AB6" w:rsidRPr="00EF7AB6" w:rsidRDefault="00E21F36"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Almost four years previously, in July 2013, he had had his </w:t>
      </w:r>
      <w:r w:rsidR="00E81801">
        <w:t xml:space="preserve">passport cancelled due to security concerns.  </w:t>
      </w:r>
      <w:r w:rsidR="00DE4411">
        <w:t xml:space="preserve">In </w:t>
      </w:r>
      <w:r w:rsidR="00EF7AB6" w:rsidRPr="00EF7AB6">
        <w:rPr>
          <w:lang w:val="en-US"/>
        </w:rPr>
        <w:t xml:space="preserve">August 2014 </w:t>
      </w:r>
      <w:r w:rsidR="00DE4411">
        <w:rPr>
          <w:lang w:val="en-US"/>
        </w:rPr>
        <w:t>he used his brother’s passport to fly</w:t>
      </w:r>
      <w:r w:rsidR="00EF7AB6" w:rsidRPr="00EF7AB6">
        <w:rPr>
          <w:lang w:val="en-US"/>
        </w:rPr>
        <w:t xml:space="preserve"> from Australia to Malaysia and then to the United Arab Emirates. </w:t>
      </w:r>
      <w:r w:rsidR="00DE4411">
        <w:rPr>
          <w:lang w:val="en-US"/>
        </w:rPr>
        <w:t xml:space="preserve"> </w:t>
      </w:r>
      <w:r w:rsidR="00EF7AB6" w:rsidRPr="00EF7AB6">
        <w:rPr>
          <w:lang w:val="en-US"/>
        </w:rPr>
        <w:t>He was detained in Dubai for passport irregularities and returned to Australia.</w:t>
      </w:r>
      <w:r w:rsidR="00DE4411">
        <w:rPr>
          <w:lang w:val="en-US"/>
        </w:rPr>
        <w:t xml:space="preserve">  In </w:t>
      </w:r>
      <w:r w:rsidR="00EF7AB6" w:rsidRPr="00EF7AB6">
        <w:rPr>
          <w:lang w:val="en-US"/>
        </w:rPr>
        <w:t>February 2015</w:t>
      </w:r>
      <w:r w:rsidR="00565FDD">
        <w:rPr>
          <w:lang w:val="en-US"/>
        </w:rPr>
        <w:t>,</w:t>
      </w:r>
      <w:r w:rsidR="00EF7AB6" w:rsidRPr="00EF7AB6">
        <w:rPr>
          <w:lang w:val="en-US"/>
        </w:rPr>
        <w:t xml:space="preserve"> he was convicted of using an Australian travel document that had not been issued to him</w:t>
      </w:r>
      <w:r w:rsidR="00DE4411">
        <w:rPr>
          <w:lang w:val="en-US"/>
        </w:rPr>
        <w:t xml:space="preserve"> and </w:t>
      </w:r>
      <w:r w:rsidR="00EF7AB6" w:rsidRPr="00EF7AB6">
        <w:rPr>
          <w:lang w:val="en-US"/>
        </w:rPr>
        <w:t xml:space="preserve">placed on a </w:t>
      </w:r>
      <w:proofErr w:type="spellStart"/>
      <w:r w:rsidR="00EF7AB6" w:rsidRPr="00EF7AB6">
        <w:rPr>
          <w:lang w:val="en-US"/>
        </w:rPr>
        <w:t>recognisance</w:t>
      </w:r>
      <w:proofErr w:type="spellEnd"/>
      <w:r w:rsidR="00EF7AB6" w:rsidRPr="00EF7AB6">
        <w:rPr>
          <w:lang w:val="en-US"/>
        </w:rPr>
        <w:t xml:space="preserve"> to be of good </w:t>
      </w:r>
      <w:proofErr w:type="spellStart"/>
      <w:r w:rsidR="00EF7AB6" w:rsidRPr="00EF7AB6">
        <w:rPr>
          <w:lang w:val="en-US"/>
        </w:rPr>
        <w:t>behaviour</w:t>
      </w:r>
      <w:proofErr w:type="spellEnd"/>
      <w:r w:rsidR="00EF7AB6" w:rsidRPr="00EF7AB6">
        <w:rPr>
          <w:lang w:val="en-US"/>
        </w:rPr>
        <w:t xml:space="preserve"> for 12 months.</w:t>
      </w:r>
    </w:p>
    <w:p w14:paraId="33020B75" w14:textId="77777777" w:rsidR="00F03C7E" w:rsidRDefault="005B7563"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On 5 March 2015, an interim control order was made in relation to him.  </w:t>
      </w:r>
      <w:r w:rsidR="00C03E2E">
        <w:t xml:space="preserve">It </w:t>
      </w:r>
      <w:r w:rsidR="009878AD">
        <w:t xml:space="preserve">does not appear that </w:t>
      </w:r>
      <w:r w:rsidR="00C03E2E">
        <w:t xml:space="preserve">Mr </w:t>
      </w:r>
      <w:proofErr w:type="spellStart"/>
      <w:r w:rsidR="00C03E2E">
        <w:t>Naizmand</w:t>
      </w:r>
      <w:proofErr w:type="spellEnd"/>
      <w:r w:rsidR="00C03E2E">
        <w:t xml:space="preserve"> was present when the interim control order was made</w:t>
      </w:r>
      <w:r w:rsidR="009878AD">
        <w:t xml:space="preserve">, or </w:t>
      </w:r>
      <w:r w:rsidR="00E57B5D">
        <w:t xml:space="preserve">that he </w:t>
      </w:r>
      <w:r w:rsidR="009878AD">
        <w:t>was given the opportunity to make submissions about the</w:t>
      </w:r>
      <w:r w:rsidR="0040507B">
        <w:t xml:space="preserve"> basis for the</w:t>
      </w:r>
      <w:r w:rsidR="009878AD">
        <w:t xml:space="preserve"> control order, given that it was served on h</w:t>
      </w:r>
      <w:r w:rsidR="00F76FD4">
        <w:t>i</w:t>
      </w:r>
      <w:r w:rsidR="009878AD">
        <w:t>m the following day</w:t>
      </w:r>
      <w:r w:rsidR="00C03E2E">
        <w:t>.</w:t>
      </w:r>
      <w:r w:rsidR="0040507B">
        <w:rPr>
          <w:rStyle w:val="EndnoteReference"/>
        </w:rPr>
        <w:endnoteReference w:id="112"/>
      </w:r>
      <w:r w:rsidR="00C03E2E">
        <w:t xml:space="preserve">  </w:t>
      </w:r>
      <w:r w:rsidR="00F05D4A">
        <w:t xml:space="preserve">The evidence put forward by the police during </w:t>
      </w:r>
      <w:r w:rsidR="00E57B5D">
        <w:t>the</w:t>
      </w:r>
      <w:r w:rsidR="00F05D4A">
        <w:t xml:space="preserve"> hearing was largely about Mr </w:t>
      </w:r>
      <w:proofErr w:type="spellStart"/>
      <w:r w:rsidR="00F05D4A">
        <w:t>Naizmand’s</w:t>
      </w:r>
      <w:proofErr w:type="spellEnd"/>
      <w:r w:rsidR="00F05D4A">
        <w:t xml:space="preserve"> </w:t>
      </w:r>
      <w:r w:rsidR="00E57B5D">
        <w:t xml:space="preserve">alleged </w:t>
      </w:r>
      <w:r w:rsidR="00F05D4A">
        <w:t xml:space="preserve">association with others.  </w:t>
      </w:r>
    </w:p>
    <w:p w14:paraId="0E5F7875" w14:textId="44533A73" w:rsidR="001F048B" w:rsidRPr="001F048B" w:rsidRDefault="00C03E2E"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The judge was satisfied on the balance of probabilities that </w:t>
      </w:r>
      <w:r w:rsidR="00B3445E">
        <w:t xml:space="preserve">Mr </w:t>
      </w:r>
      <w:proofErr w:type="spellStart"/>
      <w:r w:rsidR="00B3445E">
        <w:t>Naizmand</w:t>
      </w:r>
      <w:proofErr w:type="spellEnd"/>
      <w:r w:rsidR="00F03C7E">
        <w:t xml:space="preserve">: </w:t>
      </w:r>
      <w:r w:rsidR="001F048B" w:rsidRPr="001F048B">
        <w:t>was name</w:t>
      </w:r>
      <w:r w:rsidR="00B126B0">
        <w:t>d</w:t>
      </w:r>
      <w:r w:rsidR="001F048B" w:rsidRPr="001F048B">
        <w:t xml:space="preserve"> in an intercepted telephone call concern</w:t>
      </w:r>
      <w:r w:rsidR="0009491E">
        <w:t>ing</w:t>
      </w:r>
      <w:r w:rsidR="001F048B" w:rsidRPr="001F048B">
        <w:t xml:space="preserve"> the threat of a terrorist act in Australia</w:t>
      </w:r>
      <w:r w:rsidR="00F03C7E">
        <w:t xml:space="preserve">; </w:t>
      </w:r>
      <w:r w:rsidR="001F048B" w:rsidRPr="001F048B">
        <w:t>was a member of a group of men who strongly supported the ideology and activities of Islamic State;</w:t>
      </w:r>
      <w:r w:rsidR="00BB60AF">
        <w:t xml:space="preserve"> and had a close association with </w:t>
      </w:r>
      <w:r w:rsidR="001F048B" w:rsidRPr="001F048B">
        <w:t xml:space="preserve">the activities and intentions of his brother-in-law, who had been charged with </w:t>
      </w:r>
      <w:r w:rsidR="005F59CF">
        <w:t>a number of serious</w:t>
      </w:r>
      <w:r w:rsidR="006C7678">
        <w:t xml:space="preserve"> terrorism offences</w:t>
      </w:r>
      <w:r w:rsidR="00D204DE">
        <w:t>.</w:t>
      </w:r>
      <w:r w:rsidR="003B5DE3">
        <w:rPr>
          <w:rStyle w:val="EndnoteReference"/>
        </w:rPr>
        <w:endnoteReference w:id="113"/>
      </w:r>
    </w:p>
    <w:p w14:paraId="324913AB" w14:textId="72A26D8E" w:rsidR="00E81801" w:rsidRDefault="005560C3"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lang w:val="en-US"/>
        </w:rPr>
      </w:pPr>
      <w:r>
        <w:rPr>
          <w:lang w:val="en-US"/>
        </w:rPr>
        <w:t xml:space="preserve">Mr </w:t>
      </w:r>
      <w:proofErr w:type="spellStart"/>
      <w:r>
        <w:rPr>
          <w:lang w:val="en-US"/>
        </w:rPr>
        <w:t>Naizmand</w:t>
      </w:r>
      <w:proofErr w:type="spellEnd"/>
      <w:r>
        <w:rPr>
          <w:lang w:val="en-US"/>
        </w:rPr>
        <w:t xml:space="preserve"> consented to </w:t>
      </w:r>
      <w:r w:rsidR="008A5B9E">
        <w:rPr>
          <w:lang w:val="en-US"/>
        </w:rPr>
        <w:t xml:space="preserve">orders </w:t>
      </w:r>
      <w:r w:rsidR="00DD2B12">
        <w:rPr>
          <w:lang w:val="en-US"/>
        </w:rPr>
        <w:t>confirming the control order</w:t>
      </w:r>
      <w:r w:rsidR="0042760E">
        <w:rPr>
          <w:lang w:val="en-US"/>
        </w:rPr>
        <w:t xml:space="preserve"> </w:t>
      </w:r>
      <w:r w:rsidR="005E0661">
        <w:rPr>
          <w:lang w:val="en-US"/>
        </w:rPr>
        <w:t xml:space="preserve">at a confirmation hearing </w:t>
      </w:r>
      <w:r w:rsidR="0042760E">
        <w:rPr>
          <w:lang w:val="en-US"/>
        </w:rPr>
        <w:t xml:space="preserve">almost </w:t>
      </w:r>
      <w:r w:rsidR="00523FD3">
        <w:rPr>
          <w:lang w:val="en-US"/>
        </w:rPr>
        <w:t xml:space="preserve">nine </w:t>
      </w:r>
      <w:r w:rsidR="0042760E">
        <w:rPr>
          <w:lang w:val="en-US"/>
        </w:rPr>
        <w:t>months later on 30</w:t>
      </w:r>
      <w:r w:rsidR="00DD2B12">
        <w:rPr>
          <w:lang w:val="en-US"/>
        </w:rPr>
        <w:t xml:space="preserve"> November 201</w:t>
      </w:r>
      <w:r w:rsidR="003C336B">
        <w:rPr>
          <w:lang w:val="en-US"/>
        </w:rPr>
        <w:t>5</w:t>
      </w:r>
      <w:r w:rsidR="00DD2B12">
        <w:rPr>
          <w:lang w:val="en-US"/>
        </w:rPr>
        <w:t>.</w:t>
      </w:r>
      <w:r w:rsidR="006259B6">
        <w:rPr>
          <w:lang w:val="en-US"/>
        </w:rPr>
        <w:t xml:space="preserve">  </w:t>
      </w:r>
    </w:p>
    <w:p w14:paraId="5590BE6B" w14:textId="5C51DC37" w:rsidR="007967BC" w:rsidRDefault="006C7DDB"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rFonts w:cs="Open Sans"/>
        </w:rPr>
      </w:pPr>
      <w:r>
        <w:rPr>
          <w:lang w:val="en-US"/>
        </w:rPr>
        <w:t xml:space="preserve">On </w:t>
      </w:r>
      <w:r w:rsidR="00863415">
        <w:rPr>
          <w:rFonts w:cs="Open Sans"/>
        </w:rPr>
        <w:t xml:space="preserve">29 February 2016, </w:t>
      </w:r>
      <w:r w:rsidR="00523FD3">
        <w:rPr>
          <w:rFonts w:cs="Open Sans"/>
        </w:rPr>
        <w:t xml:space="preserve">six </w:t>
      </w:r>
      <w:r w:rsidR="00863415">
        <w:rPr>
          <w:rFonts w:cs="Open Sans"/>
        </w:rPr>
        <w:t xml:space="preserve">days prior to the end of the control order, he was charged with </w:t>
      </w:r>
      <w:r w:rsidR="00462601">
        <w:rPr>
          <w:rFonts w:cs="Open Sans"/>
        </w:rPr>
        <w:t>breaching a term of the order</w:t>
      </w:r>
      <w:r w:rsidR="00792AB1">
        <w:rPr>
          <w:rFonts w:cs="Open Sans"/>
        </w:rPr>
        <w:t xml:space="preserve">.  </w:t>
      </w:r>
      <w:r w:rsidR="00354FC0">
        <w:rPr>
          <w:rFonts w:cs="Open Sans"/>
        </w:rPr>
        <w:t>The</w:t>
      </w:r>
      <w:r w:rsidR="00C84269">
        <w:rPr>
          <w:rFonts w:cs="Open Sans"/>
        </w:rPr>
        <w:t xml:space="preserve"> control order did not prohibit him from accessing the internet</w:t>
      </w:r>
      <w:r w:rsidR="00354FC0">
        <w:rPr>
          <w:rFonts w:cs="Open Sans"/>
        </w:rPr>
        <w:t>.  I</w:t>
      </w:r>
      <w:r w:rsidR="00C84269">
        <w:rPr>
          <w:rFonts w:cs="Open Sans"/>
        </w:rPr>
        <w:t xml:space="preserve">t </w:t>
      </w:r>
      <w:r w:rsidR="00354FC0">
        <w:rPr>
          <w:rFonts w:cs="Open Sans"/>
        </w:rPr>
        <w:t xml:space="preserve">did </w:t>
      </w:r>
      <w:r w:rsidR="00863415">
        <w:rPr>
          <w:rFonts w:cs="Open Sans"/>
        </w:rPr>
        <w:t xml:space="preserve">prohibit </w:t>
      </w:r>
      <w:r w:rsidR="00354FC0">
        <w:rPr>
          <w:rFonts w:cs="Open Sans"/>
        </w:rPr>
        <w:t xml:space="preserve">him from </w:t>
      </w:r>
      <w:r w:rsidR="00863415">
        <w:rPr>
          <w:rFonts w:cs="Open Sans"/>
        </w:rPr>
        <w:t xml:space="preserve">accessing electronic media depicting </w:t>
      </w:r>
      <w:r w:rsidR="00863415" w:rsidRPr="00EA120A">
        <w:rPr>
          <w:rFonts w:cs="Open Sans"/>
        </w:rPr>
        <w:t xml:space="preserve">propaganda for </w:t>
      </w:r>
      <w:r w:rsidR="004A29A7">
        <w:rPr>
          <w:rFonts w:cs="Open Sans"/>
        </w:rPr>
        <w:t xml:space="preserve">a </w:t>
      </w:r>
      <w:r w:rsidR="00863415" w:rsidRPr="00EA120A">
        <w:rPr>
          <w:rFonts w:cs="Open Sans"/>
        </w:rPr>
        <w:t xml:space="preserve">terrorist organisation </w:t>
      </w:r>
      <w:r w:rsidR="00863415">
        <w:rPr>
          <w:rFonts w:cs="Open Sans"/>
        </w:rPr>
        <w:t>(</w:t>
      </w:r>
      <w:r w:rsidR="00863415" w:rsidRPr="00EA120A">
        <w:rPr>
          <w:rFonts w:cs="Open Sans"/>
        </w:rPr>
        <w:t xml:space="preserve">unless </w:t>
      </w:r>
      <w:r w:rsidR="00863415">
        <w:rPr>
          <w:rFonts w:cs="Open Sans"/>
        </w:rPr>
        <w:t xml:space="preserve">the </w:t>
      </w:r>
      <w:r w:rsidR="00863415" w:rsidRPr="00EA120A">
        <w:rPr>
          <w:rFonts w:cs="Open Sans"/>
        </w:rPr>
        <w:t xml:space="preserve">material </w:t>
      </w:r>
      <w:r w:rsidR="00792AB1">
        <w:rPr>
          <w:rFonts w:cs="Open Sans"/>
        </w:rPr>
        <w:t>was</w:t>
      </w:r>
      <w:r w:rsidR="00863415" w:rsidRPr="00EA120A">
        <w:rPr>
          <w:rFonts w:cs="Open Sans"/>
        </w:rPr>
        <w:t xml:space="preserve"> broadcast on free to air television, pay television, commercial cinema, or has a classification from </w:t>
      </w:r>
      <w:r w:rsidR="00565FDD">
        <w:rPr>
          <w:rFonts w:cs="Open Sans"/>
        </w:rPr>
        <w:t xml:space="preserve">the </w:t>
      </w:r>
      <w:r w:rsidR="00863415" w:rsidRPr="00EA120A">
        <w:rPr>
          <w:rFonts w:cs="Open Sans"/>
        </w:rPr>
        <w:t>Office of Film and Literature</w:t>
      </w:r>
      <w:r w:rsidR="00863415">
        <w:rPr>
          <w:rFonts w:cs="Open Sans"/>
        </w:rPr>
        <w:t>).</w:t>
      </w:r>
      <w:r w:rsidR="00792AB1">
        <w:rPr>
          <w:rFonts w:cs="Open Sans"/>
        </w:rPr>
        <w:t xml:space="preserve">  </w:t>
      </w:r>
    </w:p>
    <w:p w14:paraId="11944CEE" w14:textId="1742763E" w:rsidR="005560C3" w:rsidRDefault="00792AB1"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rFonts w:cs="Open Sans"/>
        </w:rPr>
      </w:pPr>
      <w:r>
        <w:rPr>
          <w:rFonts w:cs="Open Sans"/>
        </w:rPr>
        <w:t xml:space="preserve">In Mr </w:t>
      </w:r>
      <w:proofErr w:type="spellStart"/>
      <w:r>
        <w:rPr>
          <w:rFonts w:cs="Open Sans"/>
        </w:rPr>
        <w:t>Naizmand’s</w:t>
      </w:r>
      <w:proofErr w:type="spellEnd"/>
      <w:r>
        <w:rPr>
          <w:rFonts w:cs="Open Sans"/>
        </w:rPr>
        <w:t xml:space="preserve"> case, he </w:t>
      </w:r>
      <w:r w:rsidR="00A44AAC">
        <w:rPr>
          <w:rFonts w:cs="Open Sans"/>
        </w:rPr>
        <w:t xml:space="preserve">had </w:t>
      </w:r>
      <w:r>
        <w:rPr>
          <w:rFonts w:cs="Open Sans"/>
        </w:rPr>
        <w:t xml:space="preserve">accessed </w:t>
      </w:r>
      <w:r w:rsidR="00B26BC0">
        <w:rPr>
          <w:rFonts w:cs="Open Sans"/>
        </w:rPr>
        <w:t xml:space="preserve">three ISIL propaganda videos on YouTube of between </w:t>
      </w:r>
      <w:r w:rsidR="007967BC">
        <w:rPr>
          <w:rFonts w:cs="Open Sans"/>
        </w:rPr>
        <w:t xml:space="preserve">3 minutes and 18 seconds and 6 minutes and </w:t>
      </w:r>
      <w:r w:rsidR="007967BC">
        <w:rPr>
          <w:rFonts w:cs="Open Sans"/>
        </w:rPr>
        <w:lastRenderedPageBreak/>
        <w:t>26 seconds</w:t>
      </w:r>
      <w:r w:rsidR="00AD5225">
        <w:rPr>
          <w:rFonts w:cs="Open Sans"/>
        </w:rPr>
        <w:t xml:space="preserve"> in duration</w:t>
      </w:r>
      <w:r w:rsidR="007967BC">
        <w:rPr>
          <w:rFonts w:cs="Open Sans"/>
        </w:rPr>
        <w:t>.  Two of the videos he watched twice.  As a result, he was charged with five separate breaches of the control order.</w:t>
      </w:r>
    </w:p>
    <w:p w14:paraId="62ACD6BF" w14:textId="4B7A1F18" w:rsidR="00CE4D66" w:rsidRDefault="00194935"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lang w:val="en-US"/>
        </w:rPr>
      </w:pPr>
      <w:r>
        <w:rPr>
          <w:lang w:val="en-US"/>
        </w:rPr>
        <w:t xml:space="preserve">Prior to the trial, Mr </w:t>
      </w:r>
      <w:proofErr w:type="spellStart"/>
      <w:r>
        <w:rPr>
          <w:lang w:val="en-US"/>
        </w:rPr>
        <w:t>Naizmand</w:t>
      </w:r>
      <w:proofErr w:type="spellEnd"/>
      <w:r>
        <w:rPr>
          <w:lang w:val="en-US"/>
        </w:rPr>
        <w:t xml:space="preserve"> was detained in the </w:t>
      </w:r>
      <w:proofErr w:type="gramStart"/>
      <w:r w:rsidRPr="00565AC2">
        <w:t>High Risk</w:t>
      </w:r>
      <w:proofErr w:type="gramEnd"/>
      <w:r w:rsidRPr="00565AC2">
        <w:t xml:space="preserve"> Management Unit in Goulburn Correctional Centre</w:t>
      </w:r>
      <w:r>
        <w:t xml:space="preserve">: the most secure prison in New South Wales. </w:t>
      </w:r>
      <w:r w:rsidR="0065456E">
        <w:t xml:space="preserve"> During the day he was locked in a cell </w:t>
      </w:r>
      <w:r w:rsidR="0065456E" w:rsidRPr="0065456E">
        <w:t>without windows from 2.30pm to 8.30am the following day</w:t>
      </w:r>
      <w:r w:rsidR="0065456E">
        <w:t xml:space="preserve">.  </w:t>
      </w:r>
      <w:r w:rsidR="00CE4D66" w:rsidRPr="00CE4D66">
        <w:t xml:space="preserve">When outside his cell he was handcuffed and had his legs shackled. </w:t>
      </w:r>
      <w:r w:rsidR="0065456E">
        <w:t xml:space="preserve"> </w:t>
      </w:r>
      <w:r w:rsidR="00CE4D66" w:rsidRPr="00CE4D66">
        <w:t xml:space="preserve">He was always escorted by </w:t>
      </w:r>
      <w:r w:rsidR="00523FD3">
        <w:t>six</w:t>
      </w:r>
      <w:r w:rsidR="00523FD3" w:rsidRPr="00CE4D66">
        <w:t xml:space="preserve"> </w:t>
      </w:r>
      <w:r w:rsidR="00CE4D66" w:rsidRPr="00CE4D66">
        <w:t>correctional officers</w:t>
      </w:r>
      <w:r w:rsidR="0065456E">
        <w:t>.</w:t>
      </w:r>
      <w:r w:rsidR="0020220E">
        <w:rPr>
          <w:rStyle w:val="EndnoteReference"/>
        </w:rPr>
        <w:endnoteReference w:id="114"/>
      </w:r>
      <w:r w:rsidR="002E40FA">
        <w:t xml:space="preserve">  Those conditions were expected to continue for the duration of his sentence.</w:t>
      </w:r>
      <w:r w:rsidR="002E40FA">
        <w:rPr>
          <w:rStyle w:val="EndnoteReference"/>
        </w:rPr>
        <w:endnoteReference w:id="115"/>
      </w:r>
    </w:p>
    <w:p w14:paraId="0FA31A54" w14:textId="2707B1E3" w:rsidR="004C61FE" w:rsidRPr="0020220E" w:rsidRDefault="00373B2A" w:rsidP="0020220E">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lang w:val="en-US"/>
        </w:rPr>
      </w:pPr>
      <w:r>
        <w:rPr>
          <w:lang w:val="en-US"/>
        </w:rPr>
        <w:t xml:space="preserve">Mr </w:t>
      </w:r>
      <w:proofErr w:type="spellStart"/>
      <w:r>
        <w:rPr>
          <w:lang w:val="en-US"/>
        </w:rPr>
        <w:t>Naizmand</w:t>
      </w:r>
      <w:proofErr w:type="spellEnd"/>
      <w:r>
        <w:rPr>
          <w:lang w:val="en-US"/>
        </w:rPr>
        <w:t xml:space="preserve"> pleaded guilty to the breaches of the control order and </w:t>
      </w:r>
      <w:r w:rsidR="003B5DE3">
        <w:rPr>
          <w:lang w:val="en-US"/>
        </w:rPr>
        <w:t xml:space="preserve">was sentenced to </w:t>
      </w:r>
      <w:r w:rsidR="00836CF6">
        <w:rPr>
          <w:lang w:val="en-US"/>
        </w:rPr>
        <w:t xml:space="preserve">a total of </w:t>
      </w:r>
      <w:r w:rsidR="003B5DE3">
        <w:rPr>
          <w:lang w:val="en-US"/>
        </w:rPr>
        <w:t>four years imprisonment</w:t>
      </w:r>
      <w:r w:rsidR="00604382">
        <w:rPr>
          <w:lang w:val="en-US"/>
        </w:rPr>
        <w:t>, with a non-parole period of three years</w:t>
      </w:r>
      <w:r w:rsidR="00836CF6">
        <w:rPr>
          <w:lang w:val="en-US"/>
        </w:rPr>
        <w:t>.</w:t>
      </w:r>
      <w:r w:rsidR="00AC5256">
        <w:rPr>
          <w:rStyle w:val="EndnoteReference"/>
          <w:lang w:val="en-US"/>
        </w:rPr>
        <w:endnoteReference w:id="116"/>
      </w:r>
      <w:r w:rsidR="00836CF6">
        <w:rPr>
          <w:lang w:val="en-US"/>
        </w:rPr>
        <w:t xml:space="preserve">  This was four times longer than the </w:t>
      </w:r>
      <w:r w:rsidR="002A3AC9">
        <w:rPr>
          <w:lang w:val="en-US"/>
        </w:rPr>
        <w:t xml:space="preserve">good </w:t>
      </w:r>
      <w:proofErr w:type="spellStart"/>
      <w:r w:rsidR="002A3AC9">
        <w:rPr>
          <w:lang w:val="en-US"/>
        </w:rPr>
        <w:t>behaviour</w:t>
      </w:r>
      <w:proofErr w:type="spellEnd"/>
      <w:r w:rsidR="002A3AC9">
        <w:rPr>
          <w:lang w:val="en-US"/>
        </w:rPr>
        <w:t xml:space="preserve"> bond that he had been ordered to comply with </w:t>
      </w:r>
      <w:r w:rsidR="00E36F47">
        <w:rPr>
          <w:lang w:val="en-US"/>
        </w:rPr>
        <w:t xml:space="preserve">as a result of his </w:t>
      </w:r>
      <w:r w:rsidR="0033162E">
        <w:rPr>
          <w:lang w:val="en-US"/>
        </w:rPr>
        <w:t xml:space="preserve">only </w:t>
      </w:r>
      <w:r w:rsidR="00015B6F">
        <w:rPr>
          <w:lang w:val="en-US"/>
        </w:rPr>
        <w:t xml:space="preserve">previous </w:t>
      </w:r>
      <w:r w:rsidR="0033162E">
        <w:rPr>
          <w:lang w:val="en-US"/>
        </w:rPr>
        <w:t xml:space="preserve">criminal </w:t>
      </w:r>
      <w:r w:rsidR="00E36F47">
        <w:rPr>
          <w:lang w:val="en-US"/>
        </w:rPr>
        <w:t>conviction.</w:t>
      </w:r>
    </w:p>
    <w:p w14:paraId="05AFE4F2" w14:textId="4723B9F3" w:rsidR="00090A07" w:rsidRDefault="00090A07" w:rsidP="00F53B07">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Mr </w:t>
      </w:r>
      <w:proofErr w:type="spellStart"/>
      <w:r>
        <w:t>Naizmand</w:t>
      </w:r>
      <w:proofErr w:type="spellEnd"/>
      <w:r>
        <w:t xml:space="preserve"> served the full period of </w:t>
      </w:r>
      <w:r w:rsidR="003E2E72">
        <w:t>his sentence, without parole.  On 27 February 2020, the day before he was released, a second interim control order was made against him for a further period of 12 months.</w:t>
      </w:r>
      <w:r w:rsidR="003E2E72" w:rsidRPr="00350FAA">
        <w:rPr>
          <w:sz w:val="20"/>
          <w:szCs w:val="20"/>
          <w:vertAlign w:val="superscript"/>
        </w:rPr>
        <w:endnoteReference w:id="117"/>
      </w:r>
    </w:p>
    <w:p w14:paraId="56E6D395" w14:textId="4F22AE85" w:rsidR="00836CF6" w:rsidRDefault="000A4E2A" w:rsidP="00DF620E">
      <w:pPr>
        <w:pStyle w:val="ListNumber2"/>
        <w:tabs>
          <w:tab w:val="clear" w:pos="643"/>
          <w:tab w:val="num" w:pos="1080"/>
        </w:tabs>
        <w:ind w:left="1080" w:hanging="797"/>
      </w:pPr>
      <w:r>
        <w:t xml:space="preserve">Breaching a control order is </w:t>
      </w:r>
      <w:r w:rsidR="004B6550">
        <w:t>classified as a ‘terroris</w:t>
      </w:r>
      <w:r w:rsidR="00AD501D">
        <w:t>m</w:t>
      </w:r>
      <w:r w:rsidR="004B6550">
        <w:t xml:space="preserve"> offence’.</w:t>
      </w:r>
      <w:r w:rsidR="00AD501D">
        <w:rPr>
          <w:rStyle w:val="EndnoteReference"/>
        </w:rPr>
        <w:endnoteReference w:id="118"/>
      </w:r>
      <w:r w:rsidR="004B6550">
        <w:t xml:space="preserve">  </w:t>
      </w:r>
      <w:r w:rsidR="00743FD1">
        <w:t xml:space="preserve">One result of that is that the Attorney-General </w:t>
      </w:r>
      <w:r w:rsidR="00803F05">
        <w:t xml:space="preserve">must not make an order for parole in relation to </w:t>
      </w:r>
      <w:r w:rsidR="00D15B35">
        <w:t>such a person unless there are exceptional circumstances.</w:t>
      </w:r>
      <w:r w:rsidR="00D15B35">
        <w:rPr>
          <w:rStyle w:val="EndnoteReference"/>
        </w:rPr>
        <w:endnoteReference w:id="119"/>
      </w:r>
      <w:r w:rsidR="00D15B35">
        <w:t xml:space="preserve">  </w:t>
      </w:r>
      <w:r w:rsidR="004B6550">
        <w:t xml:space="preserve">Mr MO and Mr </w:t>
      </w:r>
      <w:proofErr w:type="spellStart"/>
      <w:r w:rsidR="004B6550">
        <w:t>Naizmand</w:t>
      </w:r>
      <w:proofErr w:type="spellEnd"/>
      <w:r w:rsidR="004B6550">
        <w:t xml:space="preserve"> are now </w:t>
      </w:r>
      <w:r w:rsidR="00EB7244">
        <w:t xml:space="preserve">classed as </w:t>
      </w:r>
      <w:r w:rsidR="004B6550">
        <w:t>terrorist offenders as a result of making three trivial telephone calls and watching three YouTube videos, respectively, while subject to a prohibition not to do so.</w:t>
      </w:r>
    </w:p>
    <w:p w14:paraId="4E081DC8" w14:textId="06B7CFDE" w:rsidR="004B6550" w:rsidRDefault="007C0448" w:rsidP="00357C7C">
      <w:pPr>
        <w:pStyle w:val="Heading3"/>
      </w:pPr>
      <w:bookmarkStart w:id="25" w:name="_Toc50633824"/>
      <w:r>
        <w:t xml:space="preserve">Process of </w:t>
      </w:r>
      <w:r w:rsidR="00357C7C">
        <w:t>making a control order</w:t>
      </w:r>
      <w:bookmarkEnd w:id="25"/>
    </w:p>
    <w:p w14:paraId="346D3105" w14:textId="7D290D54" w:rsidR="00F82663" w:rsidRDefault="00D33D8B" w:rsidP="00DF620E">
      <w:pPr>
        <w:pStyle w:val="ListNumber2"/>
        <w:tabs>
          <w:tab w:val="clear" w:pos="643"/>
          <w:tab w:val="num" w:pos="1080"/>
        </w:tabs>
        <w:ind w:left="1080" w:hanging="797"/>
      </w:pPr>
      <w:r>
        <w:t>The first step in making a control order is that a</w:t>
      </w:r>
      <w:r w:rsidR="00AA42E5">
        <w:t xml:space="preserve"> senior member of the AFP </w:t>
      </w:r>
      <w:r>
        <w:t xml:space="preserve">must seek the </w:t>
      </w:r>
      <w:r w:rsidR="00325529">
        <w:t xml:space="preserve">written </w:t>
      </w:r>
      <w:r>
        <w:t xml:space="preserve">consent of the </w:t>
      </w:r>
      <w:r w:rsidR="00F50E2B">
        <w:t>Minister for Home Affairs</w:t>
      </w:r>
      <w:r>
        <w:t xml:space="preserve"> (un</w:t>
      </w:r>
      <w:r w:rsidR="00325529">
        <w:t xml:space="preserve">less </w:t>
      </w:r>
      <w:r w:rsidR="001E481C">
        <w:t>there are urgent circumstances).</w:t>
      </w:r>
      <w:r w:rsidR="001E481C">
        <w:rPr>
          <w:rStyle w:val="EndnoteReference"/>
        </w:rPr>
        <w:endnoteReference w:id="120"/>
      </w:r>
      <w:r w:rsidR="00250596">
        <w:t xml:space="preserve">  </w:t>
      </w:r>
      <w:r w:rsidR="00F82663">
        <w:t>Prior to the establishment of the Department of Home Affairs</w:t>
      </w:r>
      <w:r w:rsidR="002A1292">
        <w:t xml:space="preserve"> in December 2017</w:t>
      </w:r>
      <w:r w:rsidR="00F82663">
        <w:t>, the responsible Minister was the Attorney-General.</w:t>
      </w:r>
    </w:p>
    <w:p w14:paraId="54AE1DC9" w14:textId="481A8734" w:rsidR="00357C7C" w:rsidRDefault="00250596" w:rsidP="00DF620E">
      <w:pPr>
        <w:pStyle w:val="ListNumber2"/>
        <w:tabs>
          <w:tab w:val="clear" w:pos="643"/>
          <w:tab w:val="num" w:pos="1080"/>
        </w:tabs>
        <w:ind w:left="1080" w:hanging="797"/>
      </w:pPr>
      <w:r>
        <w:t xml:space="preserve">Once </w:t>
      </w:r>
      <w:r w:rsidR="00154B11">
        <w:t>the Minister’s</w:t>
      </w:r>
      <w:r>
        <w:t xml:space="preserve"> consent is obtained, the senior AFP member may apply to the Federal Court or the Federal Circuit Court for an interim control order.</w:t>
      </w:r>
      <w:r w:rsidR="000115B1">
        <w:rPr>
          <w:rStyle w:val="EndnoteReference"/>
        </w:rPr>
        <w:endnoteReference w:id="121"/>
      </w:r>
      <w:r w:rsidR="00574BE2">
        <w:t xml:space="preserve">  </w:t>
      </w:r>
      <w:r w:rsidR="008358F1">
        <w:t xml:space="preserve">The first six </w:t>
      </w:r>
      <w:r w:rsidR="008154DF">
        <w:t xml:space="preserve">applications for </w:t>
      </w:r>
      <w:r w:rsidR="008358F1">
        <w:t xml:space="preserve">control orders </w:t>
      </w:r>
      <w:r w:rsidR="009732BA">
        <w:t xml:space="preserve">(up to 2016) </w:t>
      </w:r>
      <w:r w:rsidR="00574BE2">
        <w:t>were made to the Federal Circuit Court</w:t>
      </w:r>
      <w:r w:rsidR="00E53961">
        <w:t xml:space="preserve"> (</w:t>
      </w:r>
      <w:r w:rsidR="008154DF">
        <w:t>or</w:t>
      </w:r>
      <w:r w:rsidR="00E53961">
        <w:t xml:space="preserve"> the Federal Magistrates Court</w:t>
      </w:r>
      <w:r w:rsidR="008154DF">
        <w:t xml:space="preserve"> as it was formerly known</w:t>
      </w:r>
      <w:r w:rsidR="00E53961">
        <w:t>)</w:t>
      </w:r>
      <w:r w:rsidR="00574BE2">
        <w:t xml:space="preserve">.  </w:t>
      </w:r>
      <w:r w:rsidR="007B6AC9">
        <w:t xml:space="preserve">No control orders were </w:t>
      </w:r>
      <w:r w:rsidR="007B6AC9">
        <w:lastRenderedPageBreak/>
        <w:t xml:space="preserve">sought in 2017 or 2018.  </w:t>
      </w:r>
      <w:r w:rsidR="008154DF">
        <w:t xml:space="preserve">Since </w:t>
      </w:r>
      <w:r w:rsidR="007B6AC9">
        <w:t xml:space="preserve">2019, </w:t>
      </w:r>
      <w:r w:rsidR="005D1FAE">
        <w:t xml:space="preserve">all applications for control orders have been </w:t>
      </w:r>
      <w:r w:rsidR="00574BE2">
        <w:t>made to the Federal Court.</w:t>
      </w:r>
      <w:r w:rsidR="00984C85">
        <w:rPr>
          <w:rStyle w:val="EndnoteReference"/>
        </w:rPr>
        <w:endnoteReference w:id="122"/>
      </w:r>
    </w:p>
    <w:p w14:paraId="316098A4" w14:textId="57147EA7" w:rsidR="004C6155" w:rsidRDefault="0031305C" w:rsidP="00DF620E">
      <w:pPr>
        <w:pStyle w:val="ListNumber2"/>
        <w:tabs>
          <w:tab w:val="clear" w:pos="643"/>
          <w:tab w:val="num" w:pos="1080"/>
        </w:tabs>
        <w:ind w:left="1080" w:hanging="797"/>
      </w:pPr>
      <w:r>
        <w:t xml:space="preserve">The hearing in relation to </w:t>
      </w:r>
      <w:r w:rsidR="00B92817">
        <w:t xml:space="preserve">an application for an </w:t>
      </w:r>
      <w:r w:rsidR="00D92839">
        <w:t xml:space="preserve">interim control order </w:t>
      </w:r>
      <w:r>
        <w:t xml:space="preserve">can take place on an </w:t>
      </w:r>
      <w:r w:rsidRPr="0031305C">
        <w:rPr>
          <w:i/>
          <w:iCs/>
        </w:rPr>
        <w:t xml:space="preserve">ex </w:t>
      </w:r>
      <w:proofErr w:type="spellStart"/>
      <w:r w:rsidRPr="0031305C">
        <w:rPr>
          <w:i/>
          <w:iCs/>
        </w:rPr>
        <w:t>parte</w:t>
      </w:r>
      <w:proofErr w:type="spellEnd"/>
      <w:r>
        <w:t xml:space="preserve"> basis, without the person who is to be subject to the control order being present.  </w:t>
      </w:r>
      <w:r w:rsidR="008A7610">
        <w:t>The proceedings are interlocutory,</w:t>
      </w:r>
      <w:r w:rsidR="00BA1003">
        <w:rPr>
          <w:rStyle w:val="EndnoteReference"/>
        </w:rPr>
        <w:endnoteReference w:id="123"/>
      </w:r>
      <w:r w:rsidR="008A7610">
        <w:t xml:space="preserve"> which means that </w:t>
      </w:r>
      <w:r w:rsidR="00075B8B">
        <w:t>the request for the interim control order can be supported by hearsay evidence</w:t>
      </w:r>
      <w:r w:rsidR="004105B4">
        <w:t>,</w:t>
      </w:r>
      <w:r w:rsidR="00565C05">
        <w:t xml:space="preserve"> provided that the source of the evidence is identified.</w:t>
      </w:r>
      <w:r w:rsidR="008F7F09">
        <w:rPr>
          <w:rStyle w:val="EndnoteReference"/>
        </w:rPr>
        <w:endnoteReference w:id="124"/>
      </w:r>
      <w:r w:rsidR="00565C05">
        <w:t xml:space="preserve"> </w:t>
      </w:r>
      <w:r w:rsidR="00041383">
        <w:t xml:space="preserve"> </w:t>
      </w:r>
      <w:r>
        <w:t xml:space="preserve">In some </w:t>
      </w:r>
      <w:r w:rsidR="008A7610">
        <w:t xml:space="preserve">recent cases, the AFP has notified the </w:t>
      </w:r>
      <w:r w:rsidR="00565C05">
        <w:t xml:space="preserve">person who is the subject of the request </w:t>
      </w:r>
      <w:r w:rsidR="00BA1003">
        <w:t>of the hearing and they have been allowed to appear.</w:t>
      </w:r>
    </w:p>
    <w:p w14:paraId="54647978" w14:textId="284A6782" w:rsidR="00574BE2" w:rsidRDefault="00BF19FF" w:rsidP="00DF620E">
      <w:pPr>
        <w:pStyle w:val="ListNumber2"/>
        <w:tabs>
          <w:tab w:val="clear" w:pos="643"/>
          <w:tab w:val="num" w:pos="1080"/>
        </w:tabs>
        <w:ind w:left="1080" w:hanging="797"/>
      </w:pPr>
      <w:r>
        <w:t xml:space="preserve">If the Court makes </w:t>
      </w:r>
      <w:r w:rsidR="006B5749">
        <w:t>an interim control order, it must be served on the person who is the subject of the order</w:t>
      </w:r>
      <w:r w:rsidR="00C07370">
        <w:t xml:space="preserve"> as soon as practicable</w:t>
      </w:r>
      <w:r w:rsidR="006B5749">
        <w:t>.</w:t>
      </w:r>
      <w:r w:rsidR="00F25E14">
        <w:rPr>
          <w:rStyle w:val="EndnoteReference"/>
        </w:rPr>
        <w:endnoteReference w:id="125"/>
      </w:r>
      <w:r w:rsidR="008535D1">
        <w:t xml:space="preserve">  The </w:t>
      </w:r>
      <w:r w:rsidR="00CA6DF0">
        <w:t xml:space="preserve">interim control </w:t>
      </w:r>
      <w:r w:rsidR="008535D1">
        <w:t xml:space="preserve">order comes into effect </w:t>
      </w:r>
      <w:r w:rsidR="00B2292E">
        <w:t>when it is served.</w:t>
      </w:r>
      <w:r w:rsidR="00B2292E">
        <w:rPr>
          <w:rStyle w:val="EndnoteReference"/>
        </w:rPr>
        <w:endnoteReference w:id="126"/>
      </w:r>
      <w:r w:rsidR="00CA6DF0">
        <w:t xml:space="preserve">  </w:t>
      </w:r>
    </w:p>
    <w:p w14:paraId="24FA8033" w14:textId="533D30B6" w:rsidR="000776A0" w:rsidRDefault="000776A0" w:rsidP="00DF620E">
      <w:pPr>
        <w:pStyle w:val="ListNumber2"/>
        <w:tabs>
          <w:tab w:val="clear" w:pos="643"/>
          <w:tab w:val="num" w:pos="1080"/>
        </w:tabs>
        <w:ind w:left="1080" w:hanging="797"/>
      </w:pPr>
      <w:r>
        <w:t xml:space="preserve">At the time the Court makes the interim control order, it also sets a date for </w:t>
      </w:r>
      <w:r w:rsidR="00515706">
        <w:t xml:space="preserve">another hearing to determine whether </w:t>
      </w:r>
      <w:r>
        <w:t xml:space="preserve">the control order </w:t>
      </w:r>
      <w:r w:rsidR="00515706">
        <w:t xml:space="preserve">will be </w:t>
      </w:r>
      <w:r>
        <w:t>confirmed</w:t>
      </w:r>
      <w:r w:rsidR="00515706">
        <w:t>, varied</w:t>
      </w:r>
      <w:r w:rsidR="00136106">
        <w:t>, declared void</w:t>
      </w:r>
      <w:r w:rsidR="00515706">
        <w:t xml:space="preserve"> or revoked</w:t>
      </w:r>
      <w:r>
        <w:t>.</w:t>
      </w:r>
      <w:r w:rsidR="00DF505E">
        <w:rPr>
          <w:rStyle w:val="EndnoteReference"/>
        </w:rPr>
        <w:endnoteReference w:id="127"/>
      </w:r>
      <w:r>
        <w:t xml:space="preserve">  This is a final hearing where the rules of evidence apply</w:t>
      </w:r>
      <w:r w:rsidR="0029175E">
        <w:t xml:space="preserve"> and the person who is the subject of the interim control order is entitled to be present</w:t>
      </w:r>
      <w:r w:rsidR="006A6108">
        <w:t xml:space="preserve"> and challenge the </w:t>
      </w:r>
      <w:r w:rsidR="00A42380">
        <w:t xml:space="preserve">basis for </w:t>
      </w:r>
      <w:r w:rsidR="00E6087C">
        <w:t>the making of the order</w:t>
      </w:r>
      <w:r>
        <w:t>.</w:t>
      </w:r>
      <w:r w:rsidR="008C6EEB">
        <w:rPr>
          <w:rStyle w:val="EndnoteReference"/>
        </w:rPr>
        <w:endnoteReference w:id="128"/>
      </w:r>
      <w:r w:rsidR="003742C3">
        <w:t xml:space="preserve">  </w:t>
      </w:r>
      <w:r w:rsidR="00A0039E">
        <w:t xml:space="preserve">The confirmation hearing will only take place if the senior AFP member </w:t>
      </w:r>
      <w:r w:rsidR="00A17445">
        <w:t>elects to confirm the order.</w:t>
      </w:r>
      <w:r w:rsidR="00A17445">
        <w:rPr>
          <w:rStyle w:val="EndnoteReference"/>
        </w:rPr>
        <w:endnoteReference w:id="129"/>
      </w:r>
      <w:r w:rsidR="006D3730">
        <w:t xml:space="preserve">  </w:t>
      </w:r>
      <w:r w:rsidR="002073B3">
        <w:t xml:space="preserve">In those circumstances, the </w:t>
      </w:r>
      <w:r w:rsidR="00FF7A99">
        <w:t xml:space="preserve">senior AFP member must serve the </w:t>
      </w:r>
      <w:r w:rsidR="002073B3">
        <w:t xml:space="preserve">person </w:t>
      </w:r>
      <w:r w:rsidR="00180549">
        <w:t xml:space="preserve">who is subject to the interim control order with </w:t>
      </w:r>
      <w:r w:rsidR="00F73494">
        <w:t xml:space="preserve">a range of </w:t>
      </w:r>
      <w:r w:rsidR="0016670E">
        <w:t xml:space="preserve">documents including </w:t>
      </w:r>
      <w:r w:rsidR="00F73494">
        <w:t xml:space="preserve">the statement of facts supporting </w:t>
      </w:r>
      <w:r w:rsidR="00272026">
        <w:t>the making of the interim order and an explanation of why each of the control conditions should be imposed.</w:t>
      </w:r>
      <w:r w:rsidR="00511B68">
        <w:rPr>
          <w:rStyle w:val="EndnoteReference"/>
        </w:rPr>
        <w:endnoteReference w:id="130"/>
      </w:r>
      <w:r w:rsidR="00511B68">
        <w:t xml:space="preserve">  </w:t>
      </w:r>
      <w:r w:rsidR="006D3730">
        <w:t xml:space="preserve">If the senior AFP member </w:t>
      </w:r>
      <w:r w:rsidR="000E10F6">
        <w:t>elects not to confirm an interim control order, it immediately ceases to be in force.</w:t>
      </w:r>
      <w:r w:rsidR="000E10F6">
        <w:rPr>
          <w:rStyle w:val="EndnoteReference"/>
        </w:rPr>
        <w:endnoteReference w:id="131"/>
      </w:r>
    </w:p>
    <w:p w14:paraId="2E8B88C2" w14:textId="1AF7671D" w:rsidR="000E10F6" w:rsidRDefault="0053282C" w:rsidP="00DF620E">
      <w:pPr>
        <w:pStyle w:val="ListNumber2"/>
        <w:tabs>
          <w:tab w:val="clear" w:pos="643"/>
          <w:tab w:val="num" w:pos="1080"/>
        </w:tabs>
        <w:ind w:left="1080" w:hanging="797"/>
      </w:pPr>
      <w:r>
        <w:t xml:space="preserve">The confirmation hearing is supposed to occur ‘as soon as practicable, </w:t>
      </w:r>
      <w:r w:rsidR="0032328E">
        <w:t>but at least 7 days, after’ the interim control order is made.</w:t>
      </w:r>
      <w:r w:rsidR="0032328E">
        <w:rPr>
          <w:rStyle w:val="EndnoteReference"/>
        </w:rPr>
        <w:endnoteReference w:id="132"/>
      </w:r>
      <w:r w:rsidR="0032328E">
        <w:t xml:space="preserve">  However, in practice, t</w:t>
      </w:r>
      <w:r w:rsidR="003F5FDB">
        <w:t xml:space="preserve">here can be significant delays between an interim control order being made and a confirmation hearing.  </w:t>
      </w:r>
      <w:r w:rsidR="000E10F6">
        <w:t xml:space="preserve">In </w:t>
      </w:r>
      <w:r w:rsidR="000E3F1A">
        <w:t xml:space="preserve">three </w:t>
      </w:r>
      <w:r w:rsidR="000E10F6">
        <w:t xml:space="preserve">cases, </w:t>
      </w:r>
      <w:r w:rsidR="00B72631">
        <w:t xml:space="preserve">there </w:t>
      </w:r>
      <w:r w:rsidR="000E3F1A">
        <w:t>were</w:t>
      </w:r>
      <w:r w:rsidR="00B72631">
        <w:t xml:space="preserve"> so many delays that the interim control order continued for 12 months before expiring, without any confirmation hearing.</w:t>
      </w:r>
      <w:r w:rsidR="00CE26D1">
        <w:rPr>
          <w:rStyle w:val="EndnoteReference"/>
        </w:rPr>
        <w:endnoteReference w:id="133"/>
      </w:r>
      <w:r w:rsidR="0090360A">
        <w:t xml:space="preserve">  In three other cases, </w:t>
      </w:r>
      <w:r w:rsidR="00F81F00">
        <w:t xml:space="preserve">the confirmation hearing occurred between </w:t>
      </w:r>
      <w:r w:rsidR="00645CB4">
        <w:t xml:space="preserve">seven </w:t>
      </w:r>
      <w:r w:rsidR="00F81F00">
        <w:t xml:space="preserve">and 10 months after the interim control order hearing, </w:t>
      </w:r>
      <w:r w:rsidR="00CB1EA4">
        <w:t>with comparatively little time left before the control order was due to expire.</w:t>
      </w:r>
      <w:r w:rsidR="00C33FE1">
        <w:rPr>
          <w:rStyle w:val="EndnoteReference"/>
        </w:rPr>
        <w:endnoteReference w:id="134"/>
      </w:r>
      <w:r w:rsidR="00CB1EA4">
        <w:t xml:space="preserve"> </w:t>
      </w:r>
      <w:r w:rsidR="00572B03">
        <w:t xml:space="preserve"> In each of these six cases, the control order continued in force for substantial periods of time based on the lower </w:t>
      </w:r>
      <w:r w:rsidR="005B3687">
        <w:t>level of scrutiny</w:t>
      </w:r>
      <w:r w:rsidR="000C1F10">
        <w:t xml:space="preserve"> and lower </w:t>
      </w:r>
      <w:r w:rsidR="000C1F10">
        <w:lastRenderedPageBreak/>
        <w:t>standards of evidence</w:t>
      </w:r>
      <w:r w:rsidR="005B3687">
        <w:t xml:space="preserve"> of the often </w:t>
      </w:r>
      <w:r w:rsidR="005B3687" w:rsidRPr="000543E9">
        <w:rPr>
          <w:i/>
          <w:iCs/>
        </w:rPr>
        <w:t xml:space="preserve">ex </w:t>
      </w:r>
      <w:proofErr w:type="spellStart"/>
      <w:r w:rsidR="005B3687" w:rsidRPr="000543E9">
        <w:rPr>
          <w:i/>
          <w:iCs/>
        </w:rPr>
        <w:t>parte</w:t>
      </w:r>
      <w:proofErr w:type="spellEnd"/>
      <w:r w:rsidR="005B3687">
        <w:t xml:space="preserve"> interlocutory </w:t>
      </w:r>
      <w:r w:rsidR="000543E9">
        <w:t>proceedings.</w:t>
      </w:r>
      <w:r w:rsidR="003B2672">
        <w:t xml:space="preserve">  This is a cause </w:t>
      </w:r>
      <w:r w:rsidR="00B92817">
        <w:t xml:space="preserve">for </w:t>
      </w:r>
      <w:r w:rsidR="003B2672">
        <w:t>concern, particularly because</w:t>
      </w:r>
      <w:r w:rsidR="00701257">
        <w:t>, as the PJCIS has recognised</w:t>
      </w:r>
      <w:r w:rsidR="003D3207">
        <w:t>,</w:t>
      </w:r>
      <w:r w:rsidR="003B2672">
        <w:t xml:space="preserve"> the confirmation hearing </w:t>
      </w:r>
      <w:r w:rsidR="00606D93">
        <w:t>‘</w:t>
      </w:r>
      <w:r w:rsidR="003B2672">
        <w:t xml:space="preserve">is </w:t>
      </w:r>
      <w:r w:rsidR="00606D93">
        <w:t>an essential</w:t>
      </w:r>
      <w:r w:rsidR="003B2672">
        <w:t xml:space="preserve"> safeguard</w:t>
      </w:r>
      <w:r w:rsidR="00606D93">
        <w:t xml:space="preserve"> in the legislation that provides a controlee </w:t>
      </w:r>
      <w:r w:rsidR="003D3207">
        <w:t>with their first and only opportunity to have an interim order revoked’</w:t>
      </w:r>
      <w:r w:rsidR="00D109FD">
        <w:t>.</w:t>
      </w:r>
      <w:r w:rsidR="003D3207">
        <w:rPr>
          <w:rStyle w:val="EndnoteReference"/>
        </w:rPr>
        <w:endnoteReference w:id="135"/>
      </w:r>
    </w:p>
    <w:p w14:paraId="17957697" w14:textId="7BDF5F23" w:rsidR="00887701" w:rsidRDefault="00B42CB0" w:rsidP="00DF620E">
      <w:pPr>
        <w:pStyle w:val="ListNumber2"/>
        <w:tabs>
          <w:tab w:val="clear" w:pos="643"/>
          <w:tab w:val="num" w:pos="1080"/>
        </w:tabs>
        <w:ind w:left="1080" w:hanging="797"/>
      </w:pPr>
      <w:r>
        <w:t xml:space="preserve">In the case of Mr </w:t>
      </w:r>
      <w:proofErr w:type="spellStart"/>
      <w:r>
        <w:t>Causevic</w:t>
      </w:r>
      <w:proofErr w:type="spellEnd"/>
      <w:r>
        <w:t>, for example</w:t>
      </w:r>
      <w:r w:rsidR="00051B25">
        <w:t xml:space="preserve"> (see case study </w:t>
      </w:r>
      <w:r w:rsidR="00F46900">
        <w:t>4</w:t>
      </w:r>
      <w:r w:rsidR="00051B25">
        <w:t xml:space="preserve"> below)</w:t>
      </w:r>
      <w:r>
        <w:t xml:space="preserve">, </w:t>
      </w:r>
      <w:r w:rsidR="00B956A1">
        <w:t xml:space="preserve">he was required to wear a monitoring device for </w:t>
      </w:r>
      <w:r w:rsidR="00F02527">
        <w:t xml:space="preserve">almost 10 months before the judge at a </w:t>
      </w:r>
      <w:r w:rsidR="00EF3599">
        <w:t xml:space="preserve">contested </w:t>
      </w:r>
      <w:r w:rsidR="00F02527">
        <w:t>confirmation hearing determined that</w:t>
      </w:r>
      <w:r w:rsidR="006F0F0F">
        <w:t xml:space="preserve"> such a control was not </w:t>
      </w:r>
      <w:r w:rsidR="004D47FA">
        <w:t>warranted</w:t>
      </w:r>
      <w:r w:rsidR="00F02527">
        <w:t>.</w:t>
      </w:r>
      <w:r w:rsidR="004E6120">
        <w:t xml:space="preserve">  While a </w:t>
      </w:r>
      <w:r w:rsidR="002A5E72">
        <w:t xml:space="preserve">material reason for the delay in the confirmation hearing was two requests for an adjournment, first by both parties and then by Mr </w:t>
      </w:r>
      <w:proofErr w:type="spellStart"/>
      <w:r w:rsidR="002A5E72">
        <w:t>Causevic</w:t>
      </w:r>
      <w:proofErr w:type="spellEnd"/>
      <w:r w:rsidR="005D2517">
        <w:t>,</w:t>
      </w:r>
      <w:r w:rsidR="009E45E5">
        <w:rPr>
          <w:rStyle w:val="EndnoteReference"/>
        </w:rPr>
        <w:endnoteReference w:id="136"/>
      </w:r>
      <w:r w:rsidR="005D2517">
        <w:t xml:space="preserve"> this was considered necessary by Mr </w:t>
      </w:r>
      <w:proofErr w:type="spellStart"/>
      <w:r w:rsidR="005D2517">
        <w:t>Causevic’s</w:t>
      </w:r>
      <w:proofErr w:type="spellEnd"/>
      <w:r w:rsidR="005D2517">
        <w:t xml:space="preserve"> legal advisers in order to effectively respond to the allegations </w:t>
      </w:r>
      <w:r w:rsidR="006D007B">
        <w:t xml:space="preserve">that had been made.  </w:t>
      </w:r>
      <w:r w:rsidR="00C23984">
        <w:t xml:space="preserve">As the PJCIS heard during the last </w:t>
      </w:r>
      <w:r w:rsidR="00DD6017">
        <w:t xml:space="preserve">review hearing, the interim control order </w:t>
      </w:r>
      <w:r w:rsidR="005B653A">
        <w:t xml:space="preserve">application </w:t>
      </w:r>
      <w:r w:rsidR="00211DF2">
        <w:t xml:space="preserve">in this case </w:t>
      </w:r>
      <w:r w:rsidR="005B653A">
        <w:t>was over 140 pages long and attached over 2</w:t>
      </w:r>
      <w:r w:rsidR="00645CB4">
        <w:t>,</w:t>
      </w:r>
      <w:r w:rsidR="005B653A">
        <w:t>000 pages of annexures</w:t>
      </w:r>
      <w:r w:rsidR="004A0A2F">
        <w:t>.</w:t>
      </w:r>
      <w:r w:rsidR="00313856">
        <w:rPr>
          <w:rStyle w:val="EndnoteReference"/>
        </w:rPr>
        <w:endnoteReference w:id="137"/>
      </w:r>
      <w:r w:rsidR="004A0A2F">
        <w:t xml:space="preserve">  </w:t>
      </w:r>
    </w:p>
    <w:p w14:paraId="4EE40AD4" w14:textId="03E73679" w:rsidR="00D574D2" w:rsidRPr="006D122F" w:rsidRDefault="003C1784" w:rsidP="006D122F">
      <w:pPr>
        <w:pStyle w:val="ListNumber2"/>
        <w:tabs>
          <w:tab w:val="clear" w:pos="643"/>
          <w:tab w:val="num" w:pos="1080"/>
        </w:tabs>
        <w:ind w:left="1080" w:hanging="797"/>
        <w:rPr>
          <w:lang w:val="en-US"/>
        </w:rPr>
      </w:pPr>
      <w:r w:rsidRPr="00537EAA">
        <w:t xml:space="preserve">In 2016, </w:t>
      </w:r>
      <w:r w:rsidR="00B62D81" w:rsidRPr="00537EAA">
        <w:t xml:space="preserve">the </w:t>
      </w:r>
      <w:r w:rsidR="00537EAA" w:rsidRPr="00537EAA">
        <w:rPr>
          <w:i/>
          <w:iCs/>
          <w:lang w:val="en-US"/>
        </w:rPr>
        <w:t>National Security Information (Criminal and Civil Proceedings) Act 2004</w:t>
      </w:r>
      <w:r w:rsidR="00537EAA" w:rsidRPr="00537EAA">
        <w:rPr>
          <w:lang w:val="en-US"/>
        </w:rPr>
        <w:t xml:space="preserve"> </w:t>
      </w:r>
      <w:r w:rsidR="00537EAA">
        <w:rPr>
          <w:lang w:val="en-US"/>
        </w:rPr>
        <w:t>(</w:t>
      </w:r>
      <w:proofErr w:type="spellStart"/>
      <w:r w:rsidR="00537EAA">
        <w:rPr>
          <w:lang w:val="en-US"/>
        </w:rPr>
        <w:t>Cth</w:t>
      </w:r>
      <w:proofErr w:type="spellEnd"/>
      <w:r w:rsidR="00537EAA">
        <w:rPr>
          <w:lang w:val="en-US"/>
        </w:rPr>
        <w:t xml:space="preserve">) (NSI Act) was amended to </w:t>
      </w:r>
      <w:r w:rsidR="002205F8">
        <w:rPr>
          <w:lang w:val="en-US"/>
        </w:rPr>
        <w:t xml:space="preserve">make provision for the withholding of sensitive information from a respondent during a control order </w:t>
      </w:r>
      <w:r w:rsidR="00F43805">
        <w:rPr>
          <w:lang w:val="en-US"/>
        </w:rPr>
        <w:t>proceeding, along with the introduction of a regime for the use of special advocates in such proceedings.</w:t>
      </w:r>
      <w:r w:rsidR="00366DF4">
        <w:rPr>
          <w:rStyle w:val="EndnoteReference"/>
          <w:lang w:val="en-US"/>
        </w:rPr>
        <w:endnoteReference w:id="138"/>
      </w:r>
      <w:r w:rsidR="00F43805">
        <w:rPr>
          <w:lang w:val="en-US"/>
        </w:rPr>
        <w:t xml:space="preserve">  </w:t>
      </w:r>
      <w:r w:rsidR="002C67DB">
        <w:rPr>
          <w:lang w:val="en-US"/>
        </w:rPr>
        <w:t xml:space="preserve">Regulations </w:t>
      </w:r>
      <w:r w:rsidR="002C67DB" w:rsidRPr="00537EAA">
        <w:t>contain</w:t>
      </w:r>
      <w:r w:rsidR="002C67DB">
        <w:t>ing</w:t>
      </w:r>
      <w:r w:rsidR="002C67DB" w:rsidRPr="00537EAA">
        <w:t xml:space="preserve"> the administrative arrangements relating to special advocates came into force on 20 December 2017</w:t>
      </w:r>
      <w:r w:rsidR="002C67DB">
        <w:t>.</w:t>
      </w:r>
      <w:r w:rsidR="00D26452">
        <w:rPr>
          <w:rStyle w:val="EndnoteReference"/>
        </w:rPr>
        <w:endnoteReference w:id="139"/>
      </w:r>
      <w:r w:rsidR="002C67DB">
        <w:t xml:space="preserve">  </w:t>
      </w:r>
      <w:r w:rsidR="006D122F">
        <w:t>The Commission has previously made submissions to the PJCIS about these matters.</w:t>
      </w:r>
      <w:r w:rsidR="006D122F">
        <w:rPr>
          <w:rStyle w:val="EndnoteReference"/>
        </w:rPr>
        <w:endnoteReference w:id="140"/>
      </w:r>
      <w:r w:rsidR="006D122F">
        <w:t xml:space="preserve">  </w:t>
      </w:r>
      <w:r w:rsidR="00892F98">
        <w:t>It appears that t</w:t>
      </w:r>
      <w:r w:rsidR="006D122F">
        <w:t>hey</w:t>
      </w:r>
      <w:r w:rsidR="002C67DB">
        <w:t xml:space="preserve"> are outside the scope of the current review</w:t>
      </w:r>
      <w:r w:rsidR="00D26452">
        <w:t xml:space="preserve">.  </w:t>
      </w:r>
    </w:p>
    <w:p w14:paraId="6EA3D567" w14:textId="476B56D1" w:rsidR="00504789" w:rsidRDefault="00B25417" w:rsidP="00DF620E">
      <w:pPr>
        <w:pStyle w:val="ListNumber2"/>
        <w:tabs>
          <w:tab w:val="clear" w:pos="643"/>
          <w:tab w:val="num" w:pos="1080"/>
        </w:tabs>
        <w:ind w:left="1080" w:hanging="797"/>
      </w:pPr>
      <w:r>
        <w:t xml:space="preserve">Regardless of whether it is confirmed, a control order will expire 12 months after the </w:t>
      </w:r>
      <w:r w:rsidR="00E26717">
        <w:t>interim control order was first granted</w:t>
      </w:r>
      <w:r w:rsidR="00F84569">
        <w:t xml:space="preserve"> (for adults)</w:t>
      </w:r>
      <w:r w:rsidR="00E26717">
        <w:t>,</w:t>
      </w:r>
      <w:r w:rsidR="00B805D9">
        <w:rPr>
          <w:rStyle w:val="EndnoteReference"/>
        </w:rPr>
        <w:endnoteReference w:id="141"/>
      </w:r>
      <w:r w:rsidR="00E26717">
        <w:t xml:space="preserve"> </w:t>
      </w:r>
      <w:r w:rsidR="005A2822">
        <w:t>or</w:t>
      </w:r>
      <w:r w:rsidR="003F1163">
        <w:t xml:space="preserve"> three</w:t>
      </w:r>
      <w:r w:rsidR="005A2822">
        <w:t xml:space="preserve"> months </w:t>
      </w:r>
      <w:r w:rsidR="00F84569">
        <w:t xml:space="preserve">after </w:t>
      </w:r>
      <w:r w:rsidR="000D4705">
        <w:t>the interim control order was granted (</w:t>
      </w:r>
      <w:r w:rsidR="00F84569">
        <w:t>for children aged 14</w:t>
      </w:r>
      <w:r w:rsidR="000D4705">
        <w:t xml:space="preserve"> to </w:t>
      </w:r>
      <w:r w:rsidR="00F84569">
        <w:t>17)</w:t>
      </w:r>
      <w:r w:rsidR="00F84569">
        <w:rPr>
          <w:rStyle w:val="EndnoteReference"/>
        </w:rPr>
        <w:endnoteReference w:id="142"/>
      </w:r>
      <w:r w:rsidR="00F84569">
        <w:t xml:space="preserve"> </w:t>
      </w:r>
      <w:r w:rsidR="00E26717">
        <w:t xml:space="preserve">unless it is </w:t>
      </w:r>
      <w:r w:rsidR="001B024B">
        <w:t xml:space="preserve">declared void, </w:t>
      </w:r>
      <w:r w:rsidR="00E26717">
        <w:t>revoked or ceases to be in force earlier.</w:t>
      </w:r>
    </w:p>
    <w:p w14:paraId="79976E4F" w14:textId="03AD46B4" w:rsidR="000A081A" w:rsidRDefault="00625A91" w:rsidP="00DF620E">
      <w:pPr>
        <w:pStyle w:val="ListNumber2"/>
        <w:tabs>
          <w:tab w:val="clear" w:pos="643"/>
          <w:tab w:val="num" w:pos="1080"/>
        </w:tabs>
        <w:ind w:left="1080" w:hanging="797"/>
      </w:pPr>
      <w:r w:rsidRPr="00DE2D89">
        <w:t>Once</w:t>
      </w:r>
      <w:r>
        <w:t xml:space="preserve"> a control order is </w:t>
      </w:r>
      <w:r w:rsidR="00F2388E">
        <w:t>made</w:t>
      </w:r>
      <w:r>
        <w:t xml:space="preserve">, it </w:t>
      </w:r>
      <w:r w:rsidR="00F2388E">
        <w:t xml:space="preserve">permits </w:t>
      </w:r>
      <w:r w:rsidR="00914486">
        <w:t>police</w:t>
      </w:r>
      <w:r w:rsidR="00EF0C07">
        <w:t xml:space="preserve"> and other relevant authorities</w:t>
      </w:r>
      <w:r w:rsidR="00914486">
        <w:t xml:space="preserve"> to use </w:t>
      </w:r>
      <w:r>
        <w:t xml:space="preserve">a </w:t>
      </w:r>
      <w:r w:rsidR="00D87370">
        <w:t xml:space="preserve">wide range of </w:t>
      </w:r>
      <w:r>
        <w:t xml:space="preserve">investigatory tools to monitor compliance with the order.  </w:t>
      </w:r>
      <w:r w:rsidR="00D87370">
        <w:t>As the second INSLM</w:t>
      </w:r>
      <w:r w:rsidR="00E11E53">
        <w:t xml:space="preserve">, the Hon Roger </w:t>
      </w:r>
      <w:proofErr w:type="spellStart"/>
      <w:r w:rsidR="00E11E53">
        <w:t>Gyles</w:t>
      </w:r>
      <w:proofErr w:type="spellEnd"/>
      <w:r w:rsidR="00E11E53">
        <w:t xml:space="preserve"> AO QC,</w:t>
      </w:r>
      <w:r w:rsidR="00D87370">
        <w:t xml:space="preserve"> noted, ‘the mere existence of the order is a trigger for monitoring’.  </w:t>
      </w:r>
      <w:r>
        <w:t>The</w:t>
      </w:r>
      <w:r w:rsidR="00514B0C">
        <w:t xml:space="preserve"> monitoring powers</w:t>
      </w:r>
      <w:r>
        <w:t xml:space="preserve"> include</w:t>
      </w:r>
      <w:r w:rsidR="00714788">
        <w:t xml:space="preserve"> the power to</w:t>
      </w:r>
      <w:r w:rsidR="00401C04">
        <w:t xml:space="preserve"> obtain</w:t>
      </w:r>
      <w:r w:rsidR="000A081A">
        <w:t>:</w:t>
      </w:r>
    </w:p>
    <w:p w14:paraId="669C37E6" w14:textId="6CF93F15" w:rsidR="00047EF7" w:rsidRDefault="0093395B" w:rsidP="00484581">
      <w:pPr>
        <w:pStyle w:val="ListNumber2"/>
        <w:numPr>
          <w:ilvl w:val="0"/>
          <w:numId w:val="14"/>
        </w:numPr>
      </w:pPr>
      <w:r>
        <w:t xml:space="preserve">a ‘monitoring warrant’ to </w:t>
      </w:r>
      <w:r w:rsidR="00714788">
        <w:t xml:space="preserve">enter </w:t>
      </w:r>
      <w:r w:rsidR="000F03E6">
        <w:t xml:space="preserve">and search </w:t>
      </w:r>
      <w:r w:rsidR="00714788">
        <w:t xml:space="preserve">premises </w:t>
      </w:r>
      <w:r w:rsidR="00ED73F6">
        <w:t xml:space="preserve">owned or occupied by the </w:t>
      </w:r>
      <w:r w:rsidR="00847A6C">
        <w:t>relevant person</w:t>
      </w:r>
      <w:r w:rsidR="00831390">
        <w:rPr>
          <w:rStyle w:val="EndnoteReference"/>
        </w:rPr>
        <w:endnoteReference w:id="143"/>
      </w:r>
      <w:r w:rsidR="002A2F50">
        <w:t xml:space="preserve"> </w:t>
      </w:r>
    </w:p>
    <w:p w14:paraId="7335A6DD" w14:textId="6CFB326B" w:rsidR="0093395B" w:rsidRDefault="007B3CE4" w:rsidP="00484581">
      <w:pPr>
        <w:pStyle w:val="ListNumber2"/>
        <w:numPr>
          <w:ilvl w:val="0"/>
          <w:numId w:val="14"/>
        </w:numPr>
      </w:pPr>
      <w:r>
        <w:lastRenderedPageBreak/>
        <w:t xml:space="preserve">a </w:t>
      </w:r>
      <w:r w:rsidR="00A73FF6">
        <w:t>‘</w:t>
      </w:r>
      <w:r>
        <w:t>monitoring warrant</w:t>
      </w:r>
      <w:r w:rsidR="00A73FF6">
        <w:t>’</w:t>
      </w:r>
      <w:r>
        <w:t xml:space="preserve"> to </w:t>
      </w:r>
      <w:r w:rsidR="00DE2D89">
        <w:t xml:space="preserve">conduct a frisk </w:t>
      </w:r>
      <w:r>
        <w:t xml:space="preserve">search </w:t>
      </w:r>
      <w:r w:rsidR="00DE2D89">
        <w:t xml:space="preserve">of </w:t>
      </w:r>
      <w:r w:rsidR="00FA52E0">
        <w:t xml:space="preserve">the </w:t>
      </w:r>
      <w:r w:rsidR="00847A6C">
        <w:t xml:space="preserve">person </w:t>
      </w:r>
      <w:r w:rsidR="00F30004">
        <w:t>or a search of a recently used conveyance</w:t>
      </w:r>
      <w:r w:rsidR="00DE2D89">
        <w:rPr>
          <w:rStyle w:val="EndnoteReference"/>
        </w:rPr>
        <w:endnoteReference w:id="144"/>
      </w:r>
    </w:p>
    <w:p w14:paraId="7CADAE4E" w14:textId="1B06AAA4" w:rsidR="00FA52E0" w:rsidRDefault="00401C04" w:rsidP="00484581">
      <w:pPr>
        <w:pStyle w:val="ListNumber2"/>
        <w:numPr>
          <w:ilvl w:val="0"/>
          <w:numId w:val="14"/>
        </w:numPr>
      </w:pPr>
      <w:r>
        <w:t xml:space="preserve">a ‘control order warrant’ </w:t>
      </w:r>
      <w:r w:rsidR="00844BFE">
        <w:t xml:space="preserve">to </w:t>
      </w:r>
      <w:r w:rsidR="00E41038">
        <w:t xml:space="preserve">intercept communications </w:t>
      </w:r>
      <w:r w:rsidR="00A727D6">
        <w:t xml:space="preserve">made by the </w:t>
      </w:r>
      <w:r w:rsidR="00847A6C">
        <w:t xml:space="preserve">person </w:t>
      </w:r>
      <w:r w:rsidR="00873ECC">
        <w:t>over a telecommunications service</w:t>
      </w:r>
      <w:r w:rsidR="00311DA0">
        <w:rPr>
          <w:rStyle w:val="EndnoteReference"/>
        </w:rPr>
        <w:endnoteReference w:id="145"/>
      </w:r>
    </w:p>
    <w:p w14:paraId="55DC821A" w14:textId="78530F09" w:rsidR="00C8660D" w:rsidRDefault="00764A5A" w:rsidP="00484581">
      <w:pPr>
        <w:pStyle w:val="ListNumber2"/>
        <w:numPr>
          <w:ilvl w:val="0"/>
          <w:numId w:val="14"/>
        </w:numPr>
      </w:pPr>
      <w:r>
        <w:t xml:space="preserve">a ‘control order warrant’ </w:t>
      </w:r>
      <w:r w:rsidR="003C6CF5">
        <w:t>for the installation and use of surveillance devices</w:t>
      </w:r>
      <w:r w:rsidR="00C8660D">
        <w:rPr>
          <w:rStyle w:val="EndnoteReference"/>
        </w:rPr>
        <w:endnoteReference w:id="146"/>
      </w:r>
    </w:p>
    <w:p w14:paraId="2574B2A0" w14:textId="69CD1A96" w:rsidR="00D64046" w:rsidRDefault="00D64046" w:rsidP="00484581">
      <w:pPr>
        <w:pStyle w:val="ListNumber2"/>
        <w:numPr>
          <w:ilvl w:val="0"/>
          <w:numId w:val="14"/>
        </w:numPr>
      </w:pPr>
      <w:r>
        <w:t xml:space="preserve">a </w:t>
      </w:r>
      <w:r w:rsidR="00C61F02">
        <w:t xml:space="preserve">tracking device authorisation, where one of the conditions in the control order is that the </w:t>
      </w:r>
      <w:r w:rsidR="002D6FB2">
        <w:t xml:space="preserve">person </w:t>
      </w:r>
      <w:r w:rsidR="00C61F02">
        <w:t>wear a tracking device</w:t>
      </w:r>
      <w:r w:rsidR="00234DDF">
        <w:t>.</w:t>
      </w:r>
      <w:r w:rsidR="00C61F02">
        <w:rPr>
          <w:rStyle w:val="EndnoteReference"/>
        </w:rPr>
        <w:endnoteReference w:id="147"/>
      </w:r>
    </w:p>
    <w:p w14:paraId="35EF37AA" w14:textId="25DB4D4A" w:rsidR="00625A91" w:rsidRDefault="00A727D6" w:rsidP="00A727D6">
      <w:pPr>
        <w:pStyle w:val="ListNumber2"/>
        <w:numPr>
          <w:ilvl w:val="0"/>
          <w:numId w:val="0"/>
        </w:numPr>
        <w:ind w:left="1094"/>
      </w:pPr>
      <w:r>
        <w:t xml:space="preserve">Each of these warrants may be obtained for a range of purposes including determining whether the control order is being complied with. </w:t>
      </w:r>
      <w:r w:rsidR="00625A91">
        <w:t xml:space="preserve"> </w:t>
      </w:r>
    </w:p>
    <w:p w14:paraId="6930C920" w14:textId="0581C791" w:rsidR="00514B0C" w:rsidRDefault="00C646B4" w:rsidP="00514B0C">
      <w:pPr>
        <w:pStyle w:val="ListNumber2"/>
        <w:tabs>
          <w:tab w:val="clear" w:pos="643"/>
          <w:tab w:val="num" w:pos="1080"/>
        </w:tabs>
        <w:ind w:left="1080" w:hanging="797"/>
      </w:pPr>
      <w:r>
        <w:t xml:space="preserve">As the Commission has previously submitted to the PJCIS, </w:t>
      </w:r>
      <w:r w:rsidR="007C1CBD">
        <w:t>the broad scope of monitoring that control orders permit need</w:t>
      </w:r>
      <w:r w:rsidR="00B92817">
        <w:t>s</w:t>
      </w:r>
      <w:r w:rsidR="007C1CBD">
        <w:t xml:space="preserve"> to be considered alongside the </w:t>
      </w:r>
      <w:r w:rsidR="007C7A9C">
        <w:t xml:space="preserve">range of formal controls that may be imposed (and the potential penalties for non-compliance) when assessing whether </w:t>
      </w:r>
      <w:r w:rsidR="007E703A">
        <w:t xml:space="preserve">the infringement on human rights imposed is proportionate to a legitimate aim.  In relation to the additional burden imposed by monitoring, the second INSLM said: </w:t>
      </w:r>
    </w:p>
    <w:p w14:paraId="1AA2FE31" w14:textId="569958F9" w:rsidR="007E703A" w:rsidRDefault="007E703A" w:rsidP="007E703A">
      <w:pPr>
        <w:pStyle w:val="ListNumber2"/>
        <w:numPr>
          <w:ilvl w:val="0"/>
          <w:numId w:val="0"/>
        </w:numPr>
        <w:ind w:left="1440"/>
        <w:rPr>
          <w:sz w:val="22"/>
          <w:szCs w:val="22"/>
        </w:rPr>
      </w:pPr>
      <w:r w:rsidRPr="007E703A">
        <w:rPr>
          <w:sz w:val="22"/>
          <w:szCs w:val="22"/>
        </w:rPr>
        <w:t>Monitoring compliance seems a reasonable concept, but reading these schedules [</w:t>
      </w:r>
      <w:proofErr w:type="spellStart"/>
      <w:r w:rsidRPr="007E703A">
        <w:rPr>
          <w:sz w:val="22"/>
          <w:szCs w:val="22"/>
        </w:rPr>
        <w:t>ie</w:t>
      </w:r>
      <w:proofErr w:type="spellEnd"/>
      <w:r w:rsidRPr="007E703A">
        <w:rPr>
          <w:sz w:val="22"/>
          <w:szCs w:val="22"/>
        </w:rPr>
        <w:t xml:space="preserve"> the schedules of the Bill which introduced the current control order monitoring powers] brings home forcibly the extent of intrusion into life and liberty by the making of a control order. The mere existence of the order is a trigger for monitoring. The details of the potential monitoring blur, if not eliminate, the line between monitoring and investigation. The case for control orders is weakened if control orders are of little utility without such far reaching surveillance. It is difficult to imagine such provisions being applied to an accused on bail. The significance for present purposes is to emphasise the seriousness of the impact upon a person of the grant of a control order if these changes come into force and the consequent necessity for proper safeguards of the interests of a potential controlee.</w:t>
      </w:r>
      <w:r w:rsidR="00303F59">
        <w:rPr>
          <w:rStyle w:val="EndnoteReference"/>
          <w:szCs w:val="22"/>
        </w:rPr>
        <w:endnoteReference w:id="148"/>
      </w:r>
    </w:p>
    <w:p w14:paraId="07A1268D" w14:textId="0466D3FF" w:rsidR="003466AA" w:rsidRPr="003466AA" w:rsidRDefault="00303F59" w:rsidP="003466AA">
      <w:pPr>
        <w:pStyle w:val="ListNumber2"/>
        <w:tabs>
          <w:tab w:val="clear" w:pos="643"/>
          <w:tab w:val="num" w:pos="1080"/>
        </w:tabs>
        <w:ind w:left="1080" w:hanging="797"/>
      </w:pPr>
      <w:r>
        <w:t>The greater the limits that control orders place on the human rights of those subject to them, the more compelling the evidence in support of the need for control orders must be.</w:t>
      </w:r>
    </w:p>
    <w:p w14:paraId="767B5471" w14:textId="639263FC" w:rsidR="00C6284D" w:rsidRDefault="0013498F" w:rsidP="0013498F">
      <w:pPr>
        <w:pStyle w:val="Heading3"/>
      </w:pPr>
      <w:bookmarkStart w:id="28" w:name="_Toc50633825"/>
      <w:r>
        <w:lastRenderedPageBreak/>
        <w:t>Threshold for making a control order</w:t>
      </w:r>
      <w:bookmarkEnd w:id="28"/>
    </w:p>
    <w:p w14:paraId="0212A506" w14:textId="412D3B4D" w:rsidR="0013498F" w:rsidRDefault="00410784" w:rsidP="00DF620E">
      <w:pPr>
        <w:pStyle w:val="ListNumber2"/>
        <w:tabs>
          <w:tab w:val="clear" w:pos="643"/>
          <w:tab w:val="num" w:pos="1080"/>
        </w:tabs>
        <w:ind w:left="1080" w:hanging="797"/>
      </w:pPr>
      <w:r>
        <w:t xml:space="preserve">Although </w:t>
      </w:r>
      <w:r w:rsidR="00915181">
        <w:t>the making of a control order</w:t>
      </w:r>
      <w:r>
        <w:t xml:space="preserve"> has </w:t>
      </w:r>
      <w:r w:rsidR="00095107">
        <w:t xml:space="preserve">serious consequences, particularly in the event of a breach, </w:t>
      </w:r>
      <w:r w:rsidR="00915181">
        <w:t>the</w:t>
      </w:r>
      <w:r w:rsidR="00095107">
        <w:t xml:space="preserve"> </w:t>
      </w:r>
      <w:r w:rsidR="00052274">
        <w:t>proceedings are civil proceedings and not criminal proceedings.  In order for a Court to make a control order (whether interim or confirmed)</w:t>
      </w:r>
      <w:r w:rsidR="00F37BED">
        <w:t>, it must be satisfied on the balance of probabilities of at least one of the following matters:</w:t>
      </w:r>
      <w:r w:rsidR="00FD0917" w:rsidDel="00FD0917">
        <w:rPr>
          <w:rStyle w:val="EndnoteReference"/>
        </w:rPr>
        <w:t xml:space="preserve"> </w:t>
      </w:r>
    </w:p>
    <w:p w14:paraId="09807AAC" w14:textId="14F98F6B" w:rsidR="00F37BED" w:rsidRDefault="00A30079" w:rsidP="00484581">
      <w:pPr>
        <w:pStyle w:val="ListNumber2"/>
        <w:numPr>
          <w:ilvl w:val="0"/>
          <w:numId w:val="17"/>
        </w:numPr>
        <w:ind w:left="1800"/>
      </w:pPr>
      <w:r>
        <w:t>m</w:t>
      </w:r>
      <w:r w:rsidR="00724F9F">
        <w:t xml:space="preserve">aking the order </w:t>
      </w:r>
      <w:r>
        <w:t>would substantially assist in preventing a terrorist act</w:t>
      </w:r>
    </w:p>
    <w:p w14:paraId="1D1A67ED" w14:textId="69F6D7D8" w:rsidR="00A30079" w:rsidRDefault="00A30079" w:rsidP="00484581">
      <w:pPr>
        <w:pStyle w:val="ListNumber2"/>
        <w:numPr>
          <w:ilvl w:val="0"/>
          <w:numId w:val="17"/>
        </w:numPr>
        <w:ind w:left="1800"/>
      </w:pPr>
      <w:r>
        <w:t>the person has provided training to, re</w:t>
      </w:r>
      <w:r w:rsidR="009A2BDF">
        <w:t>ceived training from or participated in training with a listed terrorist organisation</w:t>
      </w:r>
    </w:p>
    <w:p w14:paraId="3DC37ADF" w14:textId="1C15FE8D" w:rsidR="009A2BDF" w:rsidRDefault="009A2BDF" w:rsidP="00484581">
      <w:pPr>
        <w:pStyle w:val="ListNumber2"/>
        <w:numPr>
          <w:ilvl w:val="0"/>
          <w:numId w:val="17"/>
        </w:numPr>
        <w:ind w:left="1800"/>
      </w:pPr>
      <w:r>
        <w:t>the person has engaged in hostile activity in a foreign country</w:t>
      </w:r>
    </w:p>
    <w:p w14:paraId="12D32232" w14:textId="4E2E32C0" w:rsidR="009A2BDF" w:rsidRDefault="005114D8" w:rsidP="00484581">
      <w:pPr>
        <w:pStyle w:val="ListNumber2"/>
        <w:numPr>
          <w:ilvl w:val="0"/>
          <w:numId w:val="17"/>
        </w:numPr>
        <w:ind w:left="1800"/>
      </w:pPr>
      <w:r>
        <w:t>the person has been convicted in Australia of an offence relating to terrorism, a terrorist organisation or a terrorist act</w:t>
      </w:r>
    </w:p>
    <w:p w14:paraId="5D5DCB50" w14:textId="128901DF" w:rsidR="005114D8" w:rsidRDefault="005114D8" w:rsidP="00484581">
      <w:pPr>
        <w:pStyle w:val="ListNumber2"/>
        <w:numPr>
          <w:ilvl w:val="0"/>
          <w:numId w:val="17"/>
        </w:numPr>
        <w:ind w:left="1800"/>
      </w:pPr>
      <w:r>
        <w:t xml:space="preserve">the person has been convicted in a foreign country </w:t>
      </w:r>
      <w:r w:rsidR="00F332F8">
        <w:t>of an offence that is constituted by conduct that, if engaged in in Australia, would constitute a terrorism offence</w:t>
      </w:r>
    </w:p>
    <w:p w14:paraId="2D198933" w14:textId="5077CE2D" w:rsidR="00F332F8" w:rsidRDefault="00F332F8" w:rsidP="00484581">
      <w:pPr>
        <w:pStyle w:val="ListNumber2"/>
        <w:numPr>
          <w:ilvl w:val="0"/>
          <w:numId w:val="17"/>
        </w:numPr>
        <w:ind w:left="1800"/>
      </w:pPr>
      <w:r>
        <w:t xml:space="preserve">making the order would substantially assist in preventing </w:t>
      </w:r>
      <w:r w:rsidR="00711B22">
        <w:t>the provision of support for or the facilitation of a terrorist act</w:t>
      </w:r>
    </w:p>
    <w:p w14:paraId="1F2D8318" w14:textId="029EF1DF" w:rsidR="00711B22" w:rsidRDefault="004947C1" w:rsidP="00484581">
      <w:pPr>
        <w:pStyle w:val="ListNumber2"/>
        <w:numPr>
          <w:ilvl w:val="0"/>
          <w:numId w:val="17"/>
        </w:numPr>
        <w:ind w:left="1800"/>
      </w:pPr>
      <w:r>
        <w:t>the person has provided support for or otherwise facilitated the engagement in a hostile activity in a foreign country</w:t>
      </w:r>
      <w:r w:rsidR="00463605">
        <w:t>.</w:t>
      </w:r>
      <w:r w:rsidR="00FD0917">
        <w:rPr>
          <w:rStyle w:val="EndnoteReference"/>
        </w:rPr>
        <w:endnoteReference w:id="149"/>
      </w:r>
    </w:p>
    <w:p w14:paraId="49BC7AD1" w14:textId="72563EB3" w:rsidR="00463605" w:rsidRDefault="004E587F" w:rsidP="00463605">
      <w:pPr>
        <w:pStyle w:val="ListNumber2"/>
        <w:tabs>
          <w:tab w:val="clear" w:pos="643"/>
          <w:tab w:val="num" w:pos="1080"/>
        </w:tabs>
        <w:ind w:left="1080" w:hanging="797"/>
      </w:pPr>
      <w:r>
        <w:t>In addition, it must be satisfied</w:t>
      </w:r>
      <w:r w:rsidR="0039247E">
        <w:t xml:space="preserve"> on the balance of probabilities that each of the obligations, prohibitions and restrictions are reasonably necessary, and reasonably appropriate and adapted, for the purposes set out in s 104.1</w:t>
      </w:r>
      <w:r w:rsidR="00FF48E3">
        <w:t xml:space="preserve"> (see paragraph </w:t>
      </w:r>
      <w:r w:rsidR="00FF48E3">
        <w:fldChar w:fldCharType="begin"/>
      </w:r>
      <w:r w:rsidR="00FF48E3">
        <w:instrText xml:space="preserve"> REF _Ref48759324 \r \h </w:instrText>
      </w:r>
      <w:r w:rsidR="00FF48E3">
        <w:fldChar w:fldCharType="separate"/>
      </w:r>
      <w:r w:rsidR="00381A9B">
        <w:t>103</w:t>
      </w:r>
      <w:r w:rsidR="00FF48E3">
        <w:fldChar w:fldCharType="end"/>
      </w:r>
      <w:r w:rsidR="00FF48E3">
        <w:t xml:space="preserve"> above).</w:t>
      </w:r>
      <w:r w:rsidR="00FF48E3">
        <w:rPr>
          <w:rStyle w:val="EndnoteReference"/>
        </w:rPr>
        <w:endnoteReference w:id="150"/>
      </w:r>
    </w:p>
    <w:p w14:paraId="1DB908B9" w14:textId="125E734A" w:rsidR="00FF48E3" w:rsidRDefault="00CB3703" w:rsidP="00463605">
      <w:pPr>
        <w:pStyle w:val="ListNumber2"/>
        <w:tabs>
          <w:tab w:val="clear" w:pos="643"/>
          <w:tab w:val="num" w:pos="1080"/>
        </w:tabs>
        <w:ind w:left="1080" w:hanging="797"/>
      </w:pPr>
      <w:r>
        <w:t xml:space="preserve">It can immediately be seen that </w:t>
      </w:r>
      <w:r w:rsidR="00720763">
        <w:t xml:space="preserve">each of the </w:t>
      </w:r>
      <w:r>
        <w:t xml:space="preserve">grounds </w:t>
      </w:r>
      <w:r w:rsidR="00720763">
        <w:t>for making a control order, other than grounds (</w:t>
      </w:r>
      <w:proofErr w:type="spellStart"/>
      <w:r w:rsidR="00720763">
        <w:t>i</w:t>
      </w:r>
      <w:proofErr w:type="spellEnd"/>
      <w:r w:rsidR="00720763">
        <w:t>) and (vi)</w:t>
      </w:r>
      <w:r w:rsidR="0048551E">
        <w:t>,</w:t>
      </w:r>
      <w:r w:rsidR="00720763">
        <w:t xml:space="preserve"> relate to past conduct.</w:t>
      </w:r>
      <w:r w:rsidR="00231673">
        <w:t xml:space="preserve">  </w:t>
      </w:r>
      <w:r w:rsidR="00B110F3">
        <w:t>In substance, t</w:t>
      </w:r>
      <w:r w:rsidR="0025365B">
        <w:t xml:space="preserve">he past conduct </w:t>
      </w:r>
      <w:r w:rsidR="0071503E">
        <w:t>is all conduct that is prohibited under the Criminal Code and could be the subject of a prosecution.</w:t>
      </w:r>
      <w:r w:rsidR="0071503E">
        <w:rPr>
          <w:rStyle w:val="EndnoteReference"/>
        </w:rPr>
        <w:endnoteReference w:id="151"/>
      </w:r>
      <w:r w:rsidR="0071503E">
        <w:t xml:space="preserve">  </w:t>
      </w:r>
      <w:r w:rsidR="006E4CFA">
        <w:t>G</w:t>
      </w:r>
      <w:r w:rsidR="00231673">
        <w:t>rounds (</w:t>
      </w:r>
      <w:proofErr w:type="spellStart"/>
      <w:r w:rsidR="00231673">
        <w:t>i</w:t>
      </w:r>
      <w:proofErr w:type="spellEnd"/>
      <w:r w:rsidR="00231673">
        <w:t>) and (vi)</w:t>
      </w:r>
      <w:r w:rsidR="006E4CFA">
        <w:t xml:space="preserve">, by contrast, </w:t>
      </w:r>
      <w:r w:rsidR="0048551E">
        <w:t>enable a control order to be made where it</w:t>
      </w:r>
      <w:r w:rsidR="00770B14">
        <w:t xml:space="preserve"> would ‘substantially assist in preventing’ certain future conduct. </w:t>
      </w:r>
      <w:r w:rsidR="00231673">
        <w:t xml:space="preserve"> </w:t>
      </w:r>
    </w:p>
    <w:p w14:paraId="549C787F" w14:textId="5E7CE5E4" w:rsidR="00AB0903" w:rsidRDefault="00AB0903" w:rsidP="00463605">
      <w:pPr>
        <w:pStyle w:val="ListNumber2"/>
        <w:tabs>
          <w:tab w:val="clear" w:pos="643"/>
          <w:tab w:val="num" w:pos="1080"/>
        </w:tabs>
        <w:ind w:left="1080" w:hanging="797"/>
      </w:pPr>
      <w:r>
        <w:lastRenderedPageBreak/>
        <w:t xml:space="preserve">The phrase ‘substantially assist’ is apt to mislead.  It does not mean that the assistance </w:t>
      </w:r>
      <w:r w:rsidR="001E5021">
        <w:t xml:space="preserve">provided by the control order </w:t>
      </w:r>
      <w:r>
        <w:t xml:space="preserve">must be </w:t>
      </w:r>
      <w:r w:rsidR="0082135F">
        <w:t xml:space="preserve">large.  Instead, as the AFP submitted in a recent control order case, it merely means that the assistance must be </w:t>
      </w:r>
      <w:r w:rsidR="00E96709">
        <w:t>‘</w:t>
      </w:r>
      <w:r w:rsidR="0082135F">
        <w:t>non</w:t>
      </w:r>
      <w:r w:rsidR="004E7E22">
        <w:t>-</w:t>
      </w:r>
      <w:r w:rsidR="0082135F">
        <w:t>trivial</w:t>
      </w:r>
      <w:r w:rsidR="00E96709">
        <w:t>’</w:t>
      </w:r>
      <w:r w:rsidR="0082135F">
        <w:t>.</w:t>
      </w:r>
    </w:p>
    <w:p w14:paraId="67072226" w14:textId="70B72B78" w:rsidR="00231673" w:rsidRDefault="00F2171E" w:rsidP="00463605">
      <w:pPr>
        <w:pStyle w:val="ListNumber2"/>
        <w:tabs>
          <w:tab w:val="clear" w:pos="643"/>
          <w:tab w:val="num" w:pos="1080"/>
        </w:tabs>
        <w:ind w:left="1080" w:hanging="797"/>
      </w:pPr>
      <w:r>
        <w:t xml:space="preserve">In </w:t>
      </w:r>
      <w:r w:rsidR="00E537CC" w:rsidRPr="002473AE">
        <w:rPr>
          <w:i/>
          <w:iCs/>
          <w:lang w:val="en-US"/>
        </w:rPr>
        <w:t>McCartney v Abdirahman-Khalif</w:t>
      </w:r>
      <w:r w:rsidR="00E537CC" w:rsidRPr="002473AE">
        <w:rPr>
          <w:lang w:val="en-US"/>
        </w:rPr>
        <w:t xml:space="preserve"> [2019] FCA 2218</w:t>
      </w:r>
      <w:r>
        <w:t xml:space="preserve">, </w:t>
      </w:r>
      <w:r w:rsidR="003217D9">
        <w:t xml:space="preserve">the AFP said that </w:t>
      </w:r>
      <w:r w:rsidR="003217D9" w:rsidRPr="00C9660E">
        <w:t xml:space="preserve">the Court does not need to find on the balance of probabilities that a terrorist act would otherwise occur before it can grant an </w:t>
      </w:r>
      <w:r w:rsidR="003217D9">
        <w:t>interim control order.</w:t>
      </w:r>
      <w:r w:rsidR="003E32F7">
        <w:rPr>
          <w:rStyle w:val="EndnoteReference"/>
          <w:szCs w:val="22"/>
        </w:rPr>
        <w:endnoteReference w:id="152"/>
      </w:r>
      <w:r w:rsidR="00005817">
        <w:t xml:space="preserve">  </w:t>
      </w:r>
      <w:r w:rsidR="007D4E38">
        <w:t>Further</w:t>
      </w:r>
      <w:r w:rsidR="00DE6ED7">
        <w:t>, the phrase ‘substantially assist’ should be read as meaning</w:t>
      </w:r>
      <w:r w:rsidR="003B15FF">
        <w:t xml:space="preserve"> that the assistance </w:t>
      </w:r>
      <w:r w:rsidR="006A68DE">
        <w:t xml:space="preserve">the control order would provide </w:t>
      </w:r>
      <w:r w:rsidR="000B4C78">
        <w:t xml:space="preserve">in preventing </w:t>
      </w:r>
      <w:r w:rsidR="00B51AB6">
        <w:t xml:space="preserve">the provision of support for, the facilitation of or the doing of an act of terrorism </w:t>
      </w:r>
      <w:r w:rsidR="003B15FF">
        <w:t>should be</w:t>
      </w:r>
      <w:r w:rsidR="003F111A">
        <w:t xml:space="preserve"> ‘not trivial or minimal’ or</w:t>
      </w:r>
      <w:r w:rsidR="00DE6ED7">
        <w:t xml:space="preserve"> </w:t>
      </w:r>
      <w:r w:rsidR="00CF040F">
        <w:t>‘</w:t>
      </w:r>
      <w:r w:rsidR="00CF040F" w:rsidRPr="00ED4A34">
        <w:t>more than merely insubstantial or insignificant’</w:t>
      </w:r>
      <w:r w:rsidR="003B15FF">
        <w:t>.</w:t>
      </w:r>
      <w:r w:rsidR="003B15FF">
        <w:rPr>
          <w:rStyle w:val="EndnoteReference"/>
          <w:szCs w:val="22"/>
        </w:rPr>
        <w:endnoteReference w:id="153"/>
      </w:r>
      <w:r w:rsidR="003B15FF">
        <w:t xml:space="preserve">  </w:t>
      </w:r>
      <w:r w:rsidR="00005817">
        <w:t>In support of this submission, the AFP said:</w:t>
      </w:r>
    </w:p>
    <w:p w14:paraId="37F3B98F" w14:textId="24F31316" w:rsidR="00005817" w:rsidRPr="00005817" w:rsidRDefault="00005817" w:rsidP="00005817">
      <w:pPr>
        <w:pStyle w:val="ListNumber2"/>
        <w:numPr>
          <w:ilvl w:val="0"/>
          <w:numId w:val="0"/>
        </w:numPr>
        <w:ind w:left="1440"/>
        <w:rPr>
          <w:sz w:val="22"/>
          <w:szCs w:val="22"/>
        </w:rPr>
      </w:pPr>
      <w:r w:rsidRPr="00005817">
        <w:rPr>
          <w:sz w:val="22"/>
          <w:szCs w:val="22"/>
        </w:rPr>
        <w:t>The sorts of obligations, prohibitions and restrictions that can be contained in a control order are, by their very nature, not necessarily going to be decisive in preventing a terrorist act.</w:t>
      </w:r>
      <w:r w:rsidR="00A21D88">
        <w:rPr>
          <w:rStyle w:val="EndnoteReference"/>
          <w:szCs w:val="22"/>
        </w:rPr>
        <w:endnoteReference w:id="154"/>
      </w:r>
    </w:p>
    <w:p w14:paraId="1EBA246A" w14:textId="10B02F98" w:rsidR="00896620" w:rsidRDefault="00F7242F" w:rsidP="00463605">
      <w:pPr>
        <w:pStyle w:val="ListNumber2"/>
        <w:tabs>
          <w:tab w:val="clear" w:pos="643"/>
          <w:tab w:val="num" w:pos="1080"/>
        </w:tabs>
        <w:ind w:left="1080" w:hanging="797"/>
      </w:pPr>
      <w:r>
        <w:t xml:space="preserve">It appears that </w:t>
      </w:r>
      <w:r w:rsidR="00D86C57">
        <w:t xml:space="preserve">the </w:t>
      </w:r>
      <w:r w:rsidR="00287EFB">
        <w:t>AFP argued</w:t>
      </w:r>
      <w:r w:rsidR="00D86C57">
        <w:t xml:space="preserve"> for </w:t>
      </w:r>
      <w:r w:rsidR="00287EFB">
        <w:t xml:space="preserve">such a low </w:t>
      </w:r>
      <w:r w:rsidR="00D86C57">
        <w:t xml:space="preserve">threshold </w:t>
      </w:r>
      <w:r w:rsidR="00287EFB">
        <w:t>because</w:t>
      </w:r>
      <w:r w:rsidR="00D86C57">
        <w:t xml:space="preserve"> the case involved a</w:t>
      </w:r>
      <w:r w:rsidR="00AF395E">
        <w:t xml:space="preserve">n application </w:t>
      </w:r>
      <w:r w:rsidR="00291895">
        <w:t xml:space="preserve">for an interim control order </w:t>
      </w:r>
      <w:r w:rsidR="00AF395E">
        <w:t xml:space="preserve">in relation to a person </w:t>
      </w:r>
      <w:r w:rsidR="00896620">
        <w:t xml:space="preserve">who had been assessed </w:t>
      </w:r>
      <w:r w:rsidR="00291895">
        <w:t xml:space="preserve">by </w:t>
      </w:r>
      <w:r w:rsidR="00291895">
        <w:rPr>
          <w:lang w:val="en-US"/>
        </w:rPr>
        <w:t xml:space="preserve">a </w:t>
      </w:r>
      <w:r w:rsidR="00291895" w:rsidRPr="00ED4A34">
        <w:t>Joint Terrorism Threat Assessment</w:t>
      </w:r>
      <w:r w:rsidR="00291895">
        <w:t xml:space="preserve"> as being ‘</w:t>
      </w:r>
      <w:r w:rsidR="00291895" w:rsidRPr="00ED4A34">
        <w:t>highly unlikely</w:t>
      </w:r>
      <w:r w:rsidR="00291895">
        <w:t>’ to have</w:t>
      </w:r>
      <w:r w:rsidR="00291895">
        <w:rPr>
          <w:lang w:val="en-US"/>
        </w:rPr>
        <w:t xml:space="preserve"> either the </w:t>
      </w:r>
      <w:r w:rsidR="00291895" w:rsidRPr="00ED4A34">
        <w:t xml:space="preserve">knowledge </w:t>
      </w:r>
      <w:r w:rsidR="00291895">
        <w:t>or</w:t>
      </w:r>
      <w:r w:rsidR="00291895" w:rsidRPr="00ED4A34">
        <w:t xml:space="preserve"> skills to carry out an act of politically-motivated violence</w:t>
      </w:r>
      <w:r w:rsidR="00A62224">
        <w:t xml:space="preserve"> (see case study 5 below)</w:t>
      </w:r>
      <w:r w:rsidR="00291895">
        <w:t xml:space="preserve">. </w:t>
      </w:r>
    </w:p>
    <w:p w14:paraId="0C974BC0" w14:textId="014066F3" w:rsidR="00932242" w:rsidRDefault="00932242" w:rsidP="00463605">
      <w:pPr>
        <w:pStyle w:val="ListNumber2"/>
        <w:tabs>
          <w:tab w:val="clear" w:pos="643"/>
          <w:tab w:val="num" w:pos="1080"/>
        </w:tabs>
        <w:ind w:left="1080" w:hanging="797"/>
      </w:pPr>
      <w:r>
        <w:t>The AFP’s construction was accepted by the Court.</w:t>
      </w:r>
      <w:r>
        <w:rPr>
          <w:rStyle w:val="EndnoteReference"/>
          <w:szCs w:val="22"/>
        </w:rPr>
        <w:endnoteReference w:id="155"/>
      </w:r>
    </w:p>
    <w:p w14:paraId="76B290AF" w14:textId="6861CD58" w:rsidR="0023184B" w:rsidRDefault="00431E55" w:rsidP="00625A91">
      <w:pPr>
        <w:pStyle w:val="ListNumber2"/>
        <w:tabs>
          <w:tab w:val="clear" w:pos="643"/>
          <w:tab w:val="num" w:pos="1080"/>
        </w:tabs>
        <w:ind w:left="1080" w:hanging="797"/>
      </w:pPr>
      <w:r>
        <w:t xml:space="preserve">This </w:t>
      </w:r>
      <w:r w:rsidR="0023184B">
        <w:t xml:space="preserve">concession </w:t>
      </w:r>
      <w:r>
        <w:t>by the AFP</w:t>
      </w:r>
      <w:r w:rsidR="007015FA">
        <w:t xml:space="preserve"> </w:t>
      </w:r>
      <w:r w:rsidR="00D64FED">
        <w:t xml:space="preserve">in this case </w:t>
      </w:r>
      <w:r w:rsidR="007015FA">
        <w:t xml:space="preserve">about the </w:t>
      </w:r>
      <w:r w:rsidR="00535295">
        <w:t>utility of control orders</w:t>
      </w:r>
      <w:r>
        <w:t xml:space="preserve"> </w:t>
      </w:r>
      <w:r w:rsidR="0023184B">
        <w:t xml:space="preserve">is also significant.  The </w:t>
      </w:r>
      <w:r w:rsidR="0059082F">
        <w:t xml:space="preserve">stated </w:t>
      </w:r>
      <w:r w:rsidR="0023184B">
        <w:t>purpose</w:t>
      </w:r>
      <w:r w:rsidR="009A2E42">
        <w:t>s</w:t>
      </w:r>
      <w:r w:rsidR="0023184B">
        <w:t xml:space="preserve"> of control orders </w:t>
      </w:r>
      <w:r w:rsidR="009A2E42">
        <w:t>are</w:t>
      </w:r>
      <w:r w:rsidR="0023184B">
        <w:t xml:space="preserve"> </w:t>
      </w:r>
      <w:r w:rsidR="0059082F">
        <w:t>to protect the public from a terrorist act</w:t>
      </w:r>
      <w:r w:rsidR="009A2E42">
        <w:t>;</w:t>
      </w:r>
      <w:r w:rsidR="0059082F">
        <w:t xml:space="preserve"> </w:t>
      </w:r>
      <w:r w:rsidR="00AB05E8">
        <w:t>to prevent the provision of support for or the facilitation of a terrorist act</w:t>
      </w:r>
      <w:r w:rsidR="009A2E42">
        <w:t>;</w:t>
      </w:r>
      <w:r w:rsidR="00AB05E8">
        <w:t xml:space="preserve"> </w:t>
      </w:r>
      <w:r w:rsidR="009A2E42">
        <w:t xml:space="preserve">and to prevent the provision of support for or the facilitation of </w:t>
      </w:r>
      <w:r w:rsidR="00812EFD">
        <w:t xml:space="preserve">the engagement in a hostile activity in another country.  However, </w:t>
      </w:r>
      <w:r w:rsidR="007B6BD0">
        <w:t xml:space="preserve">according to </w:t>
      </w:r>
      <w:r w:rsidR="00812EFD">
        <w:t>the AFP</w:t>
      </w:r>
      <w:r w:rsidR="007B6BD0">
        <w:t xml:space="preserve">’s submissions, </w:t>
      </w:r>
      <w:r w:rsidR="00B76FDC">
        <w:t>the kinds of controls that can be imposed are not necessarily going to be decisive in achieving any of the</w:t>
      </w:r>
      <w:r>
        <w:t>s</w:t>
      </w:r>
      <w:r w:rsidR="00B76FDC">
        <w:t>e purposes.</w:t>
      </w:r>
    </w:p>
    <w:p w14:paraId="04878085" w14:textId="78727DDF" w:rsidR="00812EFD" w:rsidRDefault="00431E55" w:rsidP="00625A91">
      <w:pPr>
        <w:pStyle w:val="ListNumber2"/>
        <w:tabs>
          <w:tab w:val="clear" w:pos="643"/>
          <w:tab w:val="num" w:pos="1080"/>
        </w:tabs>
        <w:ind w:left="1080" w:hanging="797"/>
      </w:pPr>
      <w:r>
        <w:t xml:space="preserve">If control orders </w:t>
      </w:r>
      <w:r w:rsidR="00A944EC">
        <w:t xml:space="preserve">have limited effectiveness in achieving their aims, and if the bar for obtaining a control order is so low (non-trivial assistance), in part because of the limited utility of control orders, the argument that </w:t>
      </w:r>
      <w:r w:rsidR="00870309">
        <w:t>the limitation that control orders impose on the liberty of their subjects is proportionate to their purpose loses a substantial amount of its force.</w:t>
      </w:r>
      <w:r w:rsidR="00A944EC">
        <w:t xml:space="preserve"> </w:t>
      </w:r>
    </w:p>
    <w:p w14:paraId="6BBD0F0F" w14:textId="3244064D" w:rsidR="00C4181E" w:rsidRPr="00DF620E" w:rsidRDefault="00DA2856" w:rsidP="00625A91">
      <w:pPr>
        <w:pStyle w:val="ListNumber2"/>
        <w:tabs>
          <w:tab w:val="clear" w:pos="643"/>
          <w:tab w:val="num" w:pos="1080"/>
        </w:tabs>
        <w:ind w:left="1080" w:hanging="797"/>
      </w:pPr>
      <w:r>
        <w:lastRenderedPageBreak/>
        <w:t xml:space="preserve">It is this understanding of the utility of control orders that must be borne in mind when </w:t>
      </w:r>
      <w:r w:rsidR="005234CE">
        <w:t xml:space="preserve">assessing the circumstances where </w:t>
      </w:r>
      <w:r w:rsidR="008C65A5">
        <w:t>control orders</w:t>
      </w:r>
      <w:r w:rsidR="005234CE">
        <w:t xml:space="preserve"> may be appropriate and </w:t>
      </w:r>
      <w:r w:rsidR="005269F3">
        <w:t>the circumstances where</w:t>
      </w:r>
      <w:r w:rsidR="005234CE">
        <w:t xml:space="preserve">, </w:t>
      </w:r>
      <w:r w:rsidR="00A22251">
        <w:t xml:space="preserve">in light of </w:t>
      </w:r>
      <w:r w:rsidR="003E4BF2">
        <w:t xml:space="preserve">the availability of </w:t>
      </w:r>
      <w:r w:rsidR="00A22251">
        <w:t xml:space="preserve">other </w:t>
      </w:r>
      <w:r w:rsidR="003E4BF2">
        <w:t xml:space="preserve">more robust tools for preventing terrorist acts, </w:t>
      </w:r>
      <w:r w:rsidR="00D44C07">
        <w:t>the infringement</w:t>
      </w:r>
      <w:r w:rsidR="00BF1C0D">
        <w:t>s</w:t>
      </w:r>
      <w:r w:rsidR="00D44C07">
        <w:t xml:space="preserve"> on human rights </w:t>
      </w:r>
      <w:r w:rsidR="00BF1C0D">
        <w:t xml:space="preserve">imposed by control orders </w:t>
      </w:r>
      <w:r w:rsidR="00E25408">
        <w:t xml:space="preserve">cannot be justified. </w:t>
      </w:r>
    </w:p>
    <w:p w14:paraId="3E8FF09C" w14:textId="4563063E" w:rsidR="00B828F0" w:rsidRDefault="00B828F0" w:rsidP="00B828F0">
      <w:pPr>
        <w:pStyle w:val="Heading2"/>
      </w:pPr>
      <w:bookmarkStart w:id="29" w:name="_Toc50633826"/>
      <w:r>
        <w:t>Use of control orders</w:t>
      </w:r>
      <w:bookmarkEnd w:id="29"/>
    </w:p>
    <w:p w14:paraId="4FBCDBFD" w14:textId="22B697C9" w:rsidR="00910119" w:rsidRDefault="008F001D" w:rsidP="00D13C83">
      <w:pPr>
        <w:pStyle w:val="ListNumber2"/>
        <w:tabs>
          <w:tab w:val="clear" w:pos="643"/>
          <w:tab w:val="num" w:pos="1080"/>
        </w:tabs>
        <w:ind w:left="1080" w:hanging="797"/>
      </w:pPr>
      <w:r>
        <w:t>From their introduction in 2005</w:t>
      </w:r>
      <w:r w:rsidR="00A54C5D">
        <w:t xml:space="preserve">, </w:t>
      </w:r>
      <w:r w:rsidR="005F0E5A">
        <w:t>1</w:t>
      </w:r>
      <w:r w:rsidR="00B65C0A">
        <w:t>6</w:t>
      </w:r>
      <w:r w:rsidR="00A54C5D">
        <w:t xml:space="preserve"> </w:t>
      </w:r>
      <w:r w:rsidR="009E394C">
        <w:t xml:space="preserve">interim </w:t>
      </w:r>
      <w:r w:rsidR="00A54C5D">
        <w:t xml:space="preserve">control orders </w:t>
      </w:r>
      <w:r w:rsidR="006D4CDD">
        <w:t xml:space="preserve">have been </w:t>
      </w:r>
      <w:r w:rsidR="00A54C5D">
        <w:t>issued under Division 104 of the Criminal Code.</w:t>
      </w:r>
      <w:r w:rsidR="009E394C" w:rsidRPr="000274D1">
        <w:rPr>
          <w:sz w:val="20"/>
          <w:szCs w:val="20"/>
          <w:vertAlign w:val="superscript"/>
        </w:rPr>
        <w:endnoteReference w:id="156"/>
      </w:r>
      <w:r w:rsidR="00A54C5D">
        <w:t xml:space="preserve">  </w:t>
      </w:r>
      <w:r w:rsidR="004A4595">
        <w:t xml:space="preserve">Ten </w:t>
      </w:r>
      <w:r w:rsidR="00C3504F">
        <w:t xml:space="preserve">of these have been issued </w:t>
      </w:r>
      <w:r w:rsidR="004A4595">
        <w:t>since January 2019</w:t>
      </w:r>
      <w:r w:rsidR="001C5271">
        <w:t>.</w:t>
      </w:r>
      <w:r w:rsidR="00F14398" w:rsidRPr="002A2D1A">
        <w:rPr>
          <w:sz w:val="20"/>
          <w:szCs w:val="20"/>
          <w:vertAlign w:val="superscript"/>
        </w:rPr>
        <w:endnoteReference w:id="157"/>
      </w:r>
      <w:r w:rsidR="001C5271">
        <w:t xml:space="preserve">  </w:t>
      </w:r>
      <w:r w:rsidR="00C85A5B">
        <w:t xml:space="preserve">Appendix </w:t>
      </w:r>
      <w:r w:rsidR="006F139D">
        <w:t xml:space="preserve">A </w:t>
      </w:r>
      <w:r w:rsidR="00C85A5B">
        <w:t xml:space="preserve">to this submission </w:t>
      </w:r>
      <w:r w:rsidR="00910119">
        <w:t xml:space="preserve">contains the following details of each control order made under </w:t>
      </w:r>
      <w:proofErr w:type="spellStart"/>
      <w:r w:rsidR="00910119">
        <w:t>Div</w:t>
      </w:r>
      <w:proofErr w:type="spellEnd"/>
      <w:r w:rsidR="00910119">
        <w:t xml:space="preserve"> 104, where this information is publicly available:</w:t>
      </w:r>
    </w:p>
    <w:p w14:paraId="5C116B87" w14:textId="5A0D9451" w:rsidR="00910119" w:rsidRDefault="00910119" w:rsidP="00484581">
      <w:pPr>
        <w:pStyle w:val="ListNumber2"/>
        <w:numPr>
          <w:ilvl w:val="0"/>
          <w:numId w:val="14"/>
        </w:numPr>
      </w:pPr>
      <w:r>
        <w:t>the name of the person in respect of whom the control order was made</w:t>
      </w:r>
    </w:p>
    <w:p w14:paraId="0BEC7AF0" w14:textId="77777777" w:rsidR="00910119" w:rsidRDefault="00910119" w:rsidP="00484581">
      <w:pPr>
        <w:pStyle w:val="ListNumber2"/>
        <w:numPr>
          <w:ilvl w:val="0"/>
          <w:numId w:val="14"/>
        </w:numPr>
      </w:pPr>
      <w:r>
        <w:t>the date the interim control order was made</w:t>
      </w:r>
    </w:p>
    <w:p w14:paraId="1DFF1FBC" w14:textId="06B0A5FC" w:rsidR="00C06C2F" w:rsidRDefault="00910119" w:rsidP="00484581">
      <w:pPr>
        <w:pStyle w:val="ListNumber2"/>
        <w:numPr>
          <w:ilvl w:val="0"/>
          <w:numId w:val="14"/>
        </w:numPr>
      </w:pPr>
      <w:r>
        <w:t xml:space="preserve">if there was a confirmation hearing, the date </w:t>
      </w:r>
      <w:r w:rsidR="00C06C2F">
        <w:t>the order was confirmed</w:t>
      </w:r>
    </w:p>
    <w:p w14:paraId="41DC5E0F" w14:textId="50BC7BB3" w:rsidR="00C06C2F" w:rsidRDefault="00C06C2F" w:rsidP="00484581">
      <w:pPr>
        <w:pStyle w:val="ListNumber2"/>
        <w:numPr>
          <w:ilvl w:val="0"/>
          <w:numId w:val="14"/>
        </w:numPr>
      </w:pPr>
      <w:r>
        <w:t>the stage of the investigation at which the control order was imposed.</w:t>
      </w:r>
    </w:p>
    <w:p w14:paraId="34B882A9" w14:textId="75578015" w:rsidR="007D1CDB" w:rsidRDefault="007D1CDB" w:rsidP="0041662F">
      <w:pPr>
        <w:pStyle w:val="ListNumber2"/>
        <w:tabs>
          <w:tab w:val="clear" w:pos="643"/>
          <w:tab w:val="num" w:pos="1080"/>
        </w:tabs>
        <w:ind w:left="1080" w:hanging="797"/>
      </w:pPr>
      <w:r>
        <w:t xml:space="preserve">Nine of the 10 control orders made since January 2019 relate to people already convicted of </w:t>
      </w:r>
      <w:r w:rsidR="00F72D6C">
        <w:t xml:space="preserve">a </w:t>
      </w:r>
      <w:r>
        <w:t>terrorist offence</w:t>
      </w:r>
      <w:r w:rsidR="00F72D6C">
        <w:t xml:space="preserve">, and were made </w:t>
      </w:r>
      <w:r>
        <w:t xml:space="preserve">at the time </w:t>
      </w:r>
      <w:r w:rsidR="007F0C1B">
        <w:t xml:space="preserve">that </w:t>
      </w:r>
      <w:r>
        <w:t>the</w:t>
      </w:r>
      <w:r w:rsidR="00F72D6C">
        <w:t xml:space="preserve"> person was being</w:t>
      </w:r>
      <w:r>
        <w:t xml:space="preserve"> released into the community. </w:t>
      </w:r>
    </w:p>
    <w:p w14:paraId="2B6C38E6" w14:textId="306D69C8" w:rsidR="00D75562" w:rsidRDefault="0041662F" w:rsidP="007F0C1B">
      <w:pPr>
        <w:pStyle w:val="ListNumber2"/>
        <w:tabs>
          <w:tab w:val="clear" w:pos="643"/>
          <w:tab w:val="num" w:pos="1080"/>
        </w:tabs>
        <w:ind w:left="1080" w:hanging="797"/>
      </w:pPr>
      <w:r>
        <w:t xml:space="preserve">The figures </w:t>
      </w:r>
      <w:r w:rsidR="007F0C1B">
        <w:t xml:space="preserve">in Appendix A </w:t>
      </w:r>
      <w:r>
        <w:t xml:space="preserve">are consistent with the data included in the joint agency submission to this inquiry, </w:t>
      </w:r>
      <w:r w:rsidR="004422A6">
        <w:t xml:space="preserve">and include </w:t>
      </w:r>
      <w:r w:rsidR="001A0B72">
        <w:t xml:space="preserve">the interim control order made </w:t>
      </w:r>
      <w:r w:rsidR="005F379C">
        <w:t xml:space="preserve">in relation to Mr </w:t>
      </w:r>
      <w:proofErr w:type="spellStart"/>
      <w:r w:rsidR="005F379C">
        <w:t>Belal</w:t>
      </w:r>
      <w:proofErr w:type="spellEnd"/>
      <w:r w:rsidR="005F379C">
        <w:t xml:space="preserve"> </w:t>
      </w:r>
      <w:proofErr w:type="spellStart"/>
      <w:r w:rsidR="005F379C">
        <w:t>Saadallay</w:t>
      </w:r>
      <w:proofErr w:type="spellEnd"/>
      <w:r w:rsidR="005F379C">
        <w:t xml:space="preserve"> </w:t>
      </w:r>
      <w:proofErr w:type="spellStart"/>
      <w:r w:rsidR="005F379C">
        <w:t>Khazaal</w:t>
      </w:r>
      <w:proofErr w:type="spellEnd"/>
      <w:r w:rsidR="005F379C">
        <w:t xml:space="preserve"> which it appears had been applied for but not made at the time of the preparation of the joint agency submission</w:t>
      </w:r>
      <w:r w:rsidR="004422A6">
        <w:t>.</w:t>
      </w:r>
      <w:r w:rsidR="004422A6">
        <w:rPr>
          <w:rStyle w:val="EndnoteReference"/>
        </w:rPr>
        <w:endnoteReference w:id="158"/>
      </w:r>
    </w:p>
    <w:p w14:paraId="52EFD477" w14:textId="065AC518" w:rsidR="00C06C2F" w:rsidRDefault="00C06C2F" w:rsidP="00C06C2F">
      <w:pPr>
        <w:pStyle w:val="Heading3"/>
      </w:pPr>
      <w:bookmarkStart w:id="30" w:name="_Toc50633827"/>
      <w:r>
        <w:t>Initial experience with control orders</w:t>
      </w:r>
      <w:bookmarkEnd w:id="30"/>
    </w:p>
    <w:p w14:paraId="28157240" w14:textId="5FA46783" w:rsidR="00C406CA" w:rsidRPr="001F2375" w:rsidRDefault="00C406CA" w:rsidP="002A2D1A">
      <w:pPr>
        <w:pStyle w:val="ListNumber2"/>
        <w:tabs>
          <w:tab w:val="clear" w:pos="643"/>
          <w:tab w:val="num" w:pos="1080"/>
        </w:tabs>
        <w:ind w:left="1080" w:hanging="797"/>
      </w:pPr>
      <w:r>
        <w:t xml:space="preserve">The first two control orders were made on </w:t>
      </w:r>
      <w:r>
        <w:rPr>
          <w:rFonts w:cs="Open Sans"/>
        </w:rPr>
        <w:t xml:space="preserve">27 August 2006 in relation to </w:t>
      </w:r>
      <w:r w:rsidR="00E72973">
        <w:rPr>
          <w:rFonts w:cs="Open Sans"/>
        </w:rPr>
        <w:t xml:space="preserve">Mr </w:t>
      </w:r>
      <w:r>
        <w:rPr>
          <w:rFonts w:cs="Open Sans"/>
        </w:rPr>
        <w:t>Jack Thomas</w:t>
      </w:r>
      <w:r w:rsidR="000A0331">
        <w:rPr>
          <w:rFonts w:cs="Open Sans"/>
        </w:rPr>
        <w:t>,</w:t>
      </w:r>
      <w:r w:rsidR="00AB22DB">
        <w:rPr>
          <w:rStyle w:val="EndnoteReference"/>
          <w:rFonts w:cs="Open Sans"/>
        </w:rPr>
        <w:endnoteReference w:id="159"/>
      </w:r>
      <w:r>
        <w:rPr>
          <w:rFonts w:cs="Open Sans"/>
        </w:rPr>
        <w:t xml:space="preserve"> and on </w:t>
      </w:r>
      <w:r w:rsidR="004C4FB8">
        <w:rPr>
          <w:rFonts w:cs="Open Sans"/>
        </w:rPr>
        <w:t xml:space="preserve">21 December 2007 in relation to </w:t>
      </w:r>
      <w:r w:rsidR="00E72973">
        <w:rPr>
          <w:rFonts w:cs="Open Sans"/>
        </w:rPr>
        <w:t xml:space="preserve">Mr </w:t>
      </w:r>
      <w:r w:rsidR="004C4FB8">
        <w:rPr>
          <w:rFonts w:cs="Open Sans"/>
        </w:rPr>
        <w:t>David Hicks.</w:t>
      </w:r>
      <w:r w:rsidR="00B20CBB">
        <w:rPr>
          <w:rStyle w:val="EndnoteReference"/>
          <w:rFonts w:cs="Open Sans"/>
        </w:rPr>
        <w:endnoteReference w:id="160"/>
      </w:r>
      <w:r w:rsidR="00BE3A1D">
        <w:rPr>
          <w:rFonts w:cs="Open Sans"/>
        </w:rPr>
        <w:t xml:space="preserve">  </w:t>
      </w:r>
    </w:p>
    <w:p w14:paraId="0F71F8D2" w14:textId="6A1CA1F7" w:rsidR="002A6FAA" w:rsidRDefault="001F2375" w:rsidP="002A2D1A">
      <w:pPr>
        <w:pStyle w:val="ListNumber2"/>
        <w:tabs>
          <w:tab w:val="clear" w:pos="643"/>
          <w:tab w:val="num" w:pos="1080"/>
        </w:tabs>
        <w:ind w:left="1080" w:hanging="797"/>
      </w:pPr>
      <w:r>
        <w:lastRenderedPageBreak/>
        <w:t>After th</w:t>
      </w:r>
      <w:r w:rsidR="00A23C3E">
        <w:t xml:space="preserve">ose two initial control orders were issued, no other control order was issued for the next seven years.  </w:t>
      </w:r>
      <w:r w:rsidR="006A2C61">
        <w:t>In 2010</w:t>
      </w:r>
      <w:r w:rsidR="00A23C3E">
        <w:t>, the office of the INSLM was established.</w:t>
      </w:r>
      <w:r w:rsidR="00BC0F38">
        <w:rPr>
          <w:rStyle w:val="EndnoteReference"/>
        </w:rPr>
        <w:endnoteReference w:id="161"/>
      </w:r>
      <w:r w:rsidR="00A23C3E">
        <w:t xml:space="preserve">  </w:t>
      </w:r>
      <w:r w:rsidR="00A3234B">
        <w:t>In 2012, t</w:t>
      </w:r>
      <w:r w:rsidR="00A23C3E">
        <w:t>he first INSLM</w:t>
      </w:r>
      <w:r w:rsidR="00FD6A20">
        <w:t>, Mr Bret Walker SC, considered the control order regime in detail, along with the cases of Thomas and Hicks.</w:t>
      </w:r>
      <w:r w:rsidR="00D12040">
        <w:rPr>
          <w:rStyle w:val="EndnoteReference"/>
        </w:rPr>
        <w:endnoteReference w:id="162"/>
      </w:r>
      <w:r w:rsidR="00FD6A20">
        <w:t xml:space="preserve">  He also reviewed </w:t>
      </w:r>
      <w:r w:rsidR="00A348C6">
        <w:t xml:space="preserve">the files of the AFP in relation to </w:t>
      </w:r>
      <w:r w:rsidR="00D15965">
        <w:t xml:space="preserve">all of the </w:t>
      </w:r>
      <w:r w:rsidR="00A348C6">
        <w:t xml:space="preserve">23 other cases where control orders </w:t>
      </w:r>
      <w:r w:rsidR="005B4266">
        <w:t>had been</w:t>
      </w:r>
      <w:r w:rsidR="00A348C6">
        <w:t xml:space="preserve"> </w:t>
      </w:r>
      <w:r w:rsidR="00BA2EE1">
        <w:t>considered but not sought</w:t>
      </w:r>
      <w:r w:rsidR="00F74602">
        <w:t xml:space="preserve"> as at that point in time</w:t>
      </w:r>
      <w:r w:rsidR="00BA2EE1">
        <w:t>.</w:t>
      </w:r>
      <w:r w:rsidR="00BA2EE1">
        <w:rPr>
          <w:rStyle w:val="EndnoteReference"/>
        </w:rPr>
        <w:endnoteReference w:id="163"/>
      </w:r>
    </w:p>
    <w:p w14:paraId="37CAA36F" w14:textId="47ADD8AC" w:rsidR="005B4266" w:rsidRDefault="001F3904" w:rsidP="002A2D1A">
      <w:pPr>
        <w:pStyle w:val="ListNumber2"/>
        <w:tabs>
          <w:tab w:val="clear" w:pos="643"/>
          <w:tab w:val="num" w:pos="1080"/>
        </w:tabs>
        <w:ind w:left="1080" w:hanging="797"/>
      </w:pPr>
      <w:r>
        <w:t xml:space="preserve">The INSLM found ‘no evidence that Australia was made appreciably safer’ by the existence of the two control orders </w:t>
      </w:r>
      <w:r w:rsidR="00E32A99">
        <w:t xml:space="preserve">that had been made, </w:t>
      </w:r>
      <w:r w:rsidR="00390469">
        <w:t>and that ‘neither [control order] was reasonably necessary for the protection of the public from a terrorist act’.</w:t>
      </w:r>
      <w:r w:rsidR="00390469">
        <w:rPr>
          <w:rStyle w:val="EndnoteReference"/>
        </w:rPr>
        <w:endnoteReference w:id="164"/>
      </w:r>
    </w:p>
    <w:p w14:paraId="735E0E94" w14:textId="03531A2B" w:rsidR="000557D5" w:rsidRDefault="000557D5" w:rsidP="000557D5">
      <w:pPr>
        <w:pStyle w:val="ListNumber2"/>
        <w:tabs>
          <w:tab w:val="clear" w:pos="643"/>
          <w:tab w:val="num" w:pos="1080"/>
        </w:tabs>
        <w:ind w:left="1080" w:hanging="797"/>
      </w:pPr>
      <w:r>
        <w:t xml:space="preserve">The COAG </w:t>
      </w:r>
      <w:r w:rsidR="00627819">
        <w:t xml:space="preserve">Review </w:t>
      </w:r>
      <w:r>
        <w:t>Committee agreed that the cases of Thomas and Hicks were ‘problematic’ and that ‘neither case demonstrates the necessity for, or the effectiveness of, the control order system, at least in a significantly persuasive manner’.</w:t>
      </w:r>
      <w:r>
        <w:rPr>
          <w:rStyle w:val="EndnoteReference"/>
        </w:rPr>
        <w:endnoteReference w:id="165"/>
      </w:r>
    </w:p>
    <w:p w14:paraId="3B0D7B87" w14:textId="6908E84B" w:rsidR="00934343" w:rsidRDefault="00963675" w:rsidP="002A2D1A">
      <w:pPr>
        <w:pStyle w:val="ListNumber2"/>
        <w:tabs>
          <w:tab w:val="clear" w:pos="643"/>
          <w:tab w:val="num" w:pos="1080"/>
        </w:tabs>
        <w:ind w:left="1080" w:hanging="797"/>
      </w:pPr>
      <w:r>
        <w:t xml:space="preserve">Mr </w:t>
      </w:r>
      <w:r w:rsidR="00934343">
        <w:t>Thomas had been charged with three terroris</w:t>
      </w:r>
      <w:r w:rsidR="00223119">
        <w:t>m</w:t>
      </w:r>
      <w:r w:rsidR="00934343">
        <w:t xml:space="preserve"> offences</w:t>
      </w:r>
      <w:r w:rsidR="00331F7B">
        <w:t xml:space="preserve"> (</w:t>
      </w:r>
      <w:r w:rsidR="00BD2B98">
        <w:t xml:space="preserve">one count of </w:t>
      </w:r>
      <w:r w:rsidR="00331F7B">
        <w:t xml:space="preserve">receiving funds from </w:t>
      </w:r>
      <w:r w:rsidR="00BD2B98">
        <w:t>a terroris</w:t>
      </w:r>
      <w:r w:rsidR="00223119">
        <w:t>t</w:t>
      </w:r>
      <w:r w:rsidR="00BD2B98">
        <w:t xml:space="preserve"> organisation </w:t>
      </w:r>
      <w:r w:rsidR="00331F7B">
        <w:t xml:space="preserve">and </w:t>
      </w:r>
      <w:r w:rsidR="00BD2B98">
        <w:t xml:space="preserve">two counts of </w:t>
      </w:r>
      <w:r w:rsidR="00331F7B">
        <w:t>providing support to a terrorist organisation) and one non-terroris</w:t>
      </w:r>
      <w:r w:rsidR="00223119">
        <w:t>m</w:t>
      </w:r>
      <w:r w:rsidR="00331F7B">
        <w:t xml:space="preserve"> offence (</w:t>
      </w:r>
      <w:r w:rsidR="00020109">
        <w:t xml:space="preserve">possessing a falsified passport).  </w:t>
      </w:r>
      <w:r w:rsidR="00BA1AFC">
        <w:t>He was ultimately convicted only of the passport offence</w:t>
      </w:r>
      <w:r w:rsidR="008D6183">
        <w:t xml:space="preserve"> and </w:t>
      </w:r>
      <w:r w:rsidR="003863DC">
        <w:t>sentenced to nine months imprisonment</w:t>
      </w:r>
      <w:r w:rsidR="00BA1AFC">
        <w:t>.</w:t>
      </w:r>
    </w:p>
    <w:p w14:paraId="0D2C1173" w14:textId="18D5C83C" w:rsidR="00BA1AFC" w:rsidRDefault="00084A50" w:rsidP="002A2D1A">
      <w:pPr>
        <w:pStyle w:val="ListNumber2"/>
        <w:tabs>
          <w:tab w:val="clear" w:pos="643"/>
          <w:tab w:val="num" w:pos="1080"/>
        </w:tabs>
        <w:ind w:left="1080" w:hanging="797"/>
      </w:pPr>
      <w:r>
        <w:t xml:space="preserve">The AFP </w:t>
      </w:r>
      <w:r w:rsidR="00C54F45">
        <w:t>applied for</w:t>
      </w:r>
      <w:r>
        <w:t xml:space="preserve"> an interim control order against </w:t>
      </w:r>
      <w:r w:rsidR="00963675">
        <w:t xml:space="preserve">Mr </w:t>
      </w:r>
      <w:r>
        <w:t>Thomas</w:t>
      </w:r>
      <w:r w:rsidR="000C49D6">
        <w:t>.</w:t>
      </w:r>
      <w:r w:rsidR="008242F3">
        <w:rPr>
          <w:rStyle w:val="EndnoteReference"/>
        </w:rPr>
        <w:endnoteReference w:id="166"/>
      </w:r>
      <w:r w:rsidR="000C49D6">
        <w:t xml:space="preserve">  In an </w:t>
      </w:r>
      <w:r w:rsidR="000C49D6" w:rsidRPr="000C49D6">
        <w:rPr>
          <w:i/>
          <w:iCs/>
        </w:rPr>
        <w:t xml:space="preserve">ex </w:t>
      </w:r>
      <w:proofErr w:type="spellStart"/>
      <w:r w:rsidR="000C49D6" w:rsidRPr="000C49D6">
        <w:rPr>
          <w:i/>
          <w:iCs/>
        </w:rPr>
        <w:t>parte</w:t>
      </w:r>
      <w:proofErr w:type="spellEnd"/>
      <w:r w:rsidR="000C49D6">
        <w:t xml:space="preserve"> hearing, with no contradictor, the AFP </w:t>
      </w:r>
      <w:r>
        <w:t>rel</w:t>
      </w:r>
      <w:r w:rsidR="000C49D6">
        <w:t>ied</w:t>
      </w:r>
      <w:r>
        <w:t xml:space="preserve"> on </w:t>
      </w:r>
      <w:r w:rsidR="00922A46">
        <w:t xml:space="preserve">alleged admissions made by </w:t>
      </w:r>
      <w:r w:rsidR="000C49D6">
        <w:t>Mr Thomas while he was</w:t>
      </w:r>
      <w:r w:rsidR="00922A46">
        <w:t xml:space="preserve"> in Pak</w:t>
      </w:r>
      <w:r w:rsidR="00776832">
        <w:t>is</w:t>
      </w:r>
      <w:r w:rsidR="00922A46">
        <w:t>tan.</w:t>
      </w:r>
      <w:r w:rsidR="00776832">
        <w:rPr>
          <w:rStyle w:val="EndnoteReference"/>
        </w:rPr>
        <w:endnoteReference w:id="167"/>
      </w:r>
      <w:r w:rsidR="00922A46">
        <w:t xml:space="preserve">  Those ad</w:t>
      </w:r>
      <w:r w:rsidR="00042588">
        <w:t>missions had been found by the Victorian Court of Appeal to have been involuntary and inadmissible in his criminal trial.</w:t>
      </w:r>
      <w:r w:rsidR="00C82D95">
        <w:rPr>
          <w:rStyle w:val="EndnoteReference"/>
        </w:rPr>
        <w:endnoteReference w:id="168"/>
      </w:r>
      <w:r w:rsidR="00042588">
        <w:t xml:space="preserve"> </w:t>
      </w:r>
      <w:r w:rsidR="0077534E">
        <w:t xml:space="preserve"> The </w:t>
      </w:r>
      <w:r w:rsidR="00F2076E">
        <w:t xml:space="preserve">Federal Magistrates </w:t>
      </w:r>
      <w:r w:rsidR="0077534E">
        <w:t xml:space="preserve">Court granted the interim control order.  </w:t>
      </w:r>
      <w:r w:rsidR="00527C1E">
        <w:t xml:space="preserve">There was ultimately never a confirmation hearing </w:t>
      </w:r>
      <w:r w:rsidR="003B726C">
        <w:t>where the factual basis for the control order could be tested</w:t>
      </w:r>
      <w:r w:rsidR="009C3AF0">
        <w:t xml:space="preserve"> because the parties agreed to an extension of the interim order for 12 months while Mr Thomas unsuccessfully sought to challenge </w:t>
      </w:r>
      <w:proofErr w:type="spellStart"/>
      <w:r w:rsidR="009C3AF0">
        <w:t>Div</w:t>
      </w:r>
      <w:proofErr w:type="spellEnd"/>
      <w:r w:rsidR="009C3AF0">
        <w:t xml:space="preserve"> 104 as being unconstitutional.</w:t>
      </w:r>
      <w:r w:rsidR="0060104C">
        <w:rPr>
          <w:rStyle w:val="EndnoteReference"/>
        </w:rPr>
        <w:endnoteReference w:id="169"/>
      </w:r>
    </w:p>
    <w:p w14:paraId="0D755B4F" w14:textId="12D57764" w:rsidR="00471624" w:rsidRDefault="00C863DD" w:rsidP="002A2D1A">
      <w:pPr>
        <w:pStyle w:val="ListNumber2"/>
        <w:tabs>
          <w:tab w:val="clear" w:pos="643"/>
          <w:tab w:val="num" w:pos="1080"/>
        </w:tabs>
        <w:ind w:left="1080" w:hanging="797"/>
      </w:pPr>
      <w:r>
        <w:t>Following the conclusion of all of these legal proceedings, n</w:t>
      </w:r>
      <w:r w:rsidR="00686E84">
        <w:t xml:space="preserve">o </w:t>
      </w:r>
      <w:r w:rsidR="007943BE">
        <w:t>further control order was ever sought against Mr Thomas.</w:t>
      </w:r>
      <w:r w:rsidR="007943BE">
        <w:rPr>
          <w:rStyle w:val="EndnoteReference"/>
        </w:rPr>
        <w:endnoteReference w:id="170"/>
      </w:r>
    </w:p>
    <w:p w14:paraId="2805BB9F" w14:textId="592C375C" w:rsidR="003B726C" w:rsidRDefault="00BB25C9" w:rsidP="00F90723">
      <w:pPr>
        <w:pStyle w:val="ListNumber2"/>
        <w:keepNext/>
        <w:tabs>
          <w:tab w:val="clear" w:pos="643"/>
          <w:tab w:val="num" w:pos="1080"/>
        </w:tabs>
        <w:ind w:left="1083" w:hanging="799"/>
      </w:pPr>
      <w:r>
        <w:lastRenderedPageBreak/>
        <w:t xml:space="preserve">The first INSLM described his concerns with the Thomas case </w:t>
      </w:r>
      <w:r w:rsidR="0048494B">
        <w:t>in the following way:</w:t>
      </w:r>
    </w:p>
    <w:p w14:paraId="1054A190" w14:textId="3D359C8D" w:rsidR="0048494B" w:rsidRPr="0048494B" w:rsidRDefault="0048494B" w:rsidP="0048494B">
      <w:pPr>
        <w:pStyle w:val="ListNumber2"/>
        <w:numPr>
          <w:ilvl w:val="0"/>
          <w:numId w:val="0"/>
        </w:numPr>
        <w:ind w:left="1440"/>
        <w:rPr>
          <w:sz w:val="22"/>
          <w:szCs w:val="22"/>
        </w:rPr>
      </w:pPr>
      <w:r w:rsidRPr="0048494B">
        <w:rPr>
          <w:sz w:val="22"/>
          <w:szCs w:val="22"/>
        </w:rPr>
        <w:t>The use of a CO</w:t>
      </w:r>
      <w:r w:rsidR="002A5DD2">
        <w:rPr>
          <w:sz w:val="22"/>
          <w:szCs w:val="22"/>
        </w:rPr>
        <w:t xml:space="preserve"> [control order]</w:t>
      </w:r>
      <w:r w:rsidRPr="0048494B">
        <w:rPr>
          <w:sz w:val="22"/>
          <w:szCs w:val="22"/>
        </w:rPr>
        <w:t xml:space="preserve"> immediately following Thomas’ successful appeal and the quashing of his initial conviction is a worrying real life example of how COs can provide an alternative means to restrict a person’s liberty where a prosecution fails but the authorities continue to believe the acquitted (or not convicted) defendant poses a threat to national security. </w:t>
      </w:r>
      <w:r w:rsidR="00487B05">
        <w:rPr>
          <w:sz w:val="22"/>
          <w:szCs w:val="22"/>
        </w:rPr>
        <w:t xml:space="preserve"> </w:t>
      </w:r>
      <w:r w:rsidRPr="0048494B">
        <w:rPr>
          <w:sz w:val="22"/>
          <w:szCs w:val="22"/>
        </w:rPr>
        <w:t>The case of Thomas illustrates the ability to use COs in addition to the normal trial process and as a “second attempt” at restraining a person’s liberty where there has been a criminal trial but no conviction</w:t>
      </w:r>
      <w:r w:rsidR="00782288">
        <w:rPr>
          <w:sz w:val="22"/>
          <w:szCs w:val="22"/>
        </w:rPr>
        <w:t>.</w:t>
      </w:r>
      <w:r w:rsidR="001E2D12">
        <w:rPr>
          <w:rStyle w:val="EndnoteReference"/>
          <w:szCs w:val="22"/>
        </w:rPr>
        <w:endnoteReference w:id="171"/>
      </w:r>
    </w:p>
    <w:p w14:paraId="319F5723" w14:textId="5B13FB9E" w:rsidR="00782288" w:rsidRDefault="00782288" w:rsidP="002A2D1A">
      <w:pPr>
        <w:pStyle w:val="ListNumber2"/>
        <w:tabs>
          <w:tab w:val="clear" w:pos="643"/>
          <w:tab w:val="num" w:pos="1080"/>
        </w:tabs>
        <w:ind w:left="1080" w:hanging="797"/>
      </w:pPr>
      <w:r>
        <w:t xml:space="preserve">The </w:t>
      </w:r>
      <w:r w:rsidR="00210023">
        <w:t>first</w:t>
      </w:r>
      <w:r>
        <w:t xml:space="preserve"> INSLM noted that of the 23 other AFP cases where control order</w:t>
      </w:r>
      <w:r w:rsidR="009F6F77">
        <w:t>s</w:t>
      </w:r>
      <w:r>
        <w:t xml:space="preserve"> had been considered b</w:t>
      </w:r>
      <w:r w:rsidR="00186588">
        <w:t>ut</w:t>
      </w:r>
      <w:r>
        <w:t xml:space="preserve"> not sought</w:t>
      </w:r>
      <w:r w:rsidR="00210023">
        <w:t xml:space="preserve"> as at 2012</w:t>
      </w:r>
      <w:r>
        <w:t xml:space="preserve">, </w:t>
      </w:r>
      <w:r w:rsidR="00842939">
        <w:t xml:space="preserve">six of the cases involved consideration of control orders </w:t>
      </w:r>
      <w:r w:rsidR="00842939" w:rsidRPr="00842939">
        <w:t xml:space="preserve">during a criminal trial against the contingency of </w:t>
      </w:r>
      <w:r w:rsidR="009F6F77">
        <w:t xml:space="preserve">an </w:t>
      </w:r>
      <w:r w:rsidR="00842939" w:rsidRPr="00842939">
        <w:t>acquittal</w:t>
      </w:r>
      <w:r w:rsidR="009F6F77">
        <w:t>.</w:t>
      </w:r>
      <w:r w:rsidR="009F6F77">
        <w:rPr>
          <w:rStyle w:val="EndnoteReference"/>
          <w:szCs w:val="22"/>
        </w:rPr>
        <w:endnoteReference w:id="172"/>
      </w:r>
    </w:p>
    <w:p w14:paraId="31AED85F" w14:textId="384AD488" w:rsidR="0059601E" w:rsidRDefault="0059601E" w:rsidP="002A2D1A">
      <w:pPr>
        <w:pStyle w:val="ListNumber2"/>
        <w:tabs>
          <w:tab w:val="clear" w:pos="643"/>
          <w:tab w:val="num" w:pos="1080"/>
        </w:tabs>
        <w:ind w:left="1080" w:hanging="797"/>
      </w:pPr>
      <w:r>
        <w:t xml:space="preserve">As noted in </w:t>
      </w:r>
      <w:r w:rsidR="00C276D5">
        <w:t>case study 5</w:t>
      </w:r>
      <w:r w:rsidR="004D466F">
        <w:t xml:space="preserve"> </w:t>
      </w:r>
      <w:r>
        <w:t xml:space="preserve">below, </w:t>
      </w:r>
      <w:r w:rsidR="00540D80">
        <w:t xml:space="preserve">there has been one other recent example of a </w:t>
      </w:r>
      <w:r>
        <w:t xml:space="preserve">control order </w:t>
      </w:r>
      <w:r w:rsidR="00540D80">
        <w:t xml:space="preserve">being sought </w:t>
      </w:r>
      <w:r>
        <w:t xml:space="preserve">in </w:t>
      </w:r>
      <w:r w:rsidR="004D466F">
        <w:t xml:space="preserve">a </w:t>
      </w:r>
      <w:r>
        <w:t xml:space="preserve">case </w:t>
      </w:r>
      <w:r w:rsidR="00F8471C">
        <w:t xml:space="preserve">where </w:t>
      </w:r>
      <w:r w:rsidR="004D466F">
        <w:t>a person ha</w:t>
      </w:r>
      <w:r w:rsidR="00EB0128">
        <w:t>d</w:t>
      </w:r>
      <w:r w:rsidR="004D466F">
        <w:t xml:space="preserve"> </w:t>
      </w:r>
      <w:r w:rsidR="00F8471C">
        <w:t>been acquitted of criminal charges.</w:t>
      </w:r>
    </w:p>
    <w:p w14:paraId="06BB7A6D" w14:textId="36F8A933" w:rsidR="0072554A" w:rsidRDefault="0072554A" w:rsidP="002A2D1A">
      <w:pPr>
        <w:pStyle w:val="ListNumber2"/>
        <w:tabs>
          <w:tab w:val="clear" w:pos="643"/>
          <w:tab w:val="num" w:pos="1080"/>
        </w:tabs>
        <w:ind w:left="1080" w:hanging="797"/>
      </w:pPr>
      <w:r>
        <w:t>In the case of Mr Hicks,</w:t>
      </w:r>
      <w:r w:rsidR="00CF4434">
        <w:t xml:space="preserve"> he had been </w:t>
      </w:r>
      <w:r w:rsidR="00117ECD">
        <w:t xml:space="preserve">controversially tried </w:t>
      </w:r>
      <w:r w:rsidR="00421923">
        <w:t>and convicted by a United States Military Commission.  T</w:t>
      </w:r>
      <w:r w:rsidR="00CF4434">
        <w:t>he United Nations Human Rights Committee subsequently found that</w:t>
      </w:r>
      <w:r w:rsidR="00421923">
        <w:t xml:space="preserve"> by the time Mr Hicks was </w:t>
      </w:r>
      <w:r w:rsidR="00F763DC">
        <w:t>transferred to Australia to serve the final nine months of his sentence</w:t>
      </w:r>
      <w:r w:rsidR="00CB328C">
        <w:t>, and before any control order was imposed on him</w:t>
      </w:r>
      <w:r w:rsidR="00CF4434">
        <w:t>:</w:t>
      </w:r>
    </w:p>
    <w:p w14:paraId="5A8397F7" w14:textId="57F8E638" w:rsidR="00CF4434" w:rsidRPr="00411F51" w:rsidRDefault="00CF4434" w:rsidP="00CF4434">
      <w:pPr>
        <w:pStyle w:val="ListNumber2"/>
        <w:numPr>
          <w:ilvl w:val="0"/>
          <w:numId w:val="0"/>
        </w:numPr>
        <w:ind w:left="1440"/>
        <w:rPr>
          <w:sz w:val="22"/>
          <w:szCs w:val="22"/>
        </w:rPr>
      </w:pPr>
      <w:r w:rsidRPr="00411F51">
        <w:rPr>
          <w:sz w:val="22"/>
          <w:szCs w:val="22"/>
        </w:rPr>
        <w:t xml:space="preserve">there was abundant information in the public domain that raised serious concerns about the fairness of the procedures before the United States Military Commission and that should have been enough to cast doubts among Australian authorities as to the legality and legitimacy of </w:t>
      </w:r>
      <w:r w:rsidR="00411F51" w:rsidRPr="00411F51">
        <w:rPr>
          <w:sz w:val="22"/>
          <w:szCs w:val="22"/>
        </w:rPr>
        <w:t xml:space="preserve">[Mr Hicks’] </w:t>
      </w:r>
      <w:r w:rsidRPr="00411F51">
        <w:rPr>
          <w:sz w:val="22"/>
          <w:szCs w:val="22"/>
        </w:rPr>
        <w:t>sentence</w:t>
      </w:r>
      <w:r w:rsidR="00411F51" w:rsidRPr="00411F51">
        <w:rPr>
          <w:sz w:val="22"/>
          <w:szCs w:val="22"/>
        </w:rPr>
        <w:t>.</w:t>
      </w:r>
      <w:r w:rsidR="00411F51">
        <w:rPr>
          <w:rStyle w:val="EndnoteReference"/>
          <w:szCs w:val="22"/>
        </w:rPr>
        <w:endnoteReference w:id="173"/>
      </w:r>
    </w:p>
    <w:p w14:paraId="4E4B80F6" w14:textId="52D990FF" w:rsidR="00CB328C" w:rsidRDefault="00CA2A73" w:rsidP="002A2D1A">
      <w:pPr>
        <w:pStyle w:val="ListNumber2"/>
        <w:tabs>
          <w:tab w:val="clear" w:pos="643"/>
          <w:tab w:val="num" w:pos="1080"/>
        </w:tabs>
        <w:ind w:left="1080" w:hanging="797"/>
      </w:pPr>
      <w:r>
        <w:t>In 2015</w:t>
      </w:r>
      <w:r w:rsidR="00CB328C">
        <w:t xml:space="preserve">, the </w:t>
      </w:r>
      <w:r w:rsidR="006C2553">
        <w:t xml:space="preserve">United States Court of Military Commission Review </w:t>
      </w:r>
      <w:r w:rsidR="009B24EC">
        <w:t xml:space="preserve">set aside the findings and sentence </w:t>
      </w:r>
      <w:r w:rsidR="009534CE">
        <w:t xml:space="preserve">of the United States Military Commission </w:t>
      </w:r>
      <w:r w:rsidR="009B24EC">
        <w:t>in relation to Mr Hicks.</w:t>
      </w:r>
      <w:r w:rsidR="00016836">
        <w:rPr>
          <w:rStyle w:val="EndnoteReference"/>
        </w:rPr>
        <w:endnoteReference w:id="174"/>
      </w:r>
    </w:p>
    <w:p w14:paraId="3B94852E" w14:textId="040DEA55" w:rsidR="00F8471C" w:rsidRDefault="00CC73F5" w:rsidP="002A2D1A">
      <w:pPr>
        <w:pStyle w:val="ListNumber2"/>
        <w:tabs>
          <w:tab w:val="clear" w:pos="643"/>
          <w:tab w:val="num" w:pos="1080"/>
        </w:tabs>
        <w:ind w:left="1080" w:hanging="797"/>
      </w:pPr>
      <w:r>
        <w:t xml:space="preserve">One of the main problems identified by the first INSLM with </w:t>
      </w:r>
      <w:r w:rsidR="00795CFC">
        <w:t xml:space="preserve">decision making in the interim </w:t>
      </w:r>
      <w:r w:rsidR="00B4612B">
        <w:t xml:space="preserve">control order </w:t>
      </w:r>
      <w:r w:rsidR="00795CFC">
        <w:t xml:space="preserve">proceeding involving </w:t>
      </w:r>
      <w:r w:rsidR="00B4612B">
        <w:t xml:space="preserve">Mr Hicks was the thin basis for any claim that </w:t>
      </w:r>
      <w:r w:rsidR="00795CFC">
        <w:t>making the order ‘would substantially assist in preventing a terrorist act’.</w:t>
      </w:r>
      <w:r w:rsidR="00B70551">
        <w:rPr>
          <w:rStyle w:val="EndnoteReference"/>
        </w:rPr>
        <w:endnoteReference w:id="175"/>
      </w:r>
      <w:r w:rsidR="00BE3BC6">
        <w:t xml:space="preserve">  Following the expiration of the control order, no further control order was sought in relation to him.</w:t>
      </w:r>
    </w:p>
    <w:p w14:paraId="24E367A4" w14:textId="52D4E991" w:rsidR="00B6428B" w:rsidRDefault="00B2463B" w:rsidP="00B2463B">
      <w:pPr>
        <w:pStyle w:val="Heading3"/>
      </w:pPr>
      <w:bookmarkStart w:id="31" w:name="_Toc50633828"/>
      <w:r>
        <w:lastRenderedPageBreak/>
        <w:t>Situations in which control orders may be imposed</w:t>
      </w:r>
      <w:bookmarkEnd w:id="31"/>
    </w:p>
    <w:p w14:paraId="3C832322" w14:textId="45A8AB08" w:rsidR="00BE3BC6" w:rsidRDefault="00BE3BC6" w:rsidP="002A2D1A">
      <w:pPr>
        <w:pStyle w:val="ListNumber2"/>
        <w:tabs>
          <w:tab w:val="clear" w:pos="643"/>
          <w:tab w:val="num" w:pos="1080"/>
        </w:tabs>
        <w:ind w:left="1080" w:hanging="797"/>
      </w:pPr>
      <w:bookmarkStart w:id="32" w:name="_Ref49178157"/>
      <w:r>
        <w:t xml:space="preserve">The first INSLM </w:t>
      </w:r>
      <w:r w:rsidR="001503F7">
        <w:t xml:space="preserve">noted that control orders can be sought in a broad range of situations.  </w:t>
      </w:r>
      <w:r w:rsidR="006C04AC">
        <w:t>T</w:t>
      </w:r>
      <w:r w:rsidR="001503F7">
        <w:t>hey can be sought:</w:t>
      </w:r>
      <w:bookmarkEnd w:id="32"/>
    </w:p>
    <w:p w14:paraId="5915D57C" w14:textId="0FE916ED" w:rsidR="00353E89" w:rsidRDefault="00FE7865" w:rsidP="00353E89">
      <w:pPr>
        <w:pStyle w:val="ListNumber2"/>
        <w:numPr>
          <w:ilvl w:val="0"/>
          <w:numId w:val="0"/>
        </w:numPr>
        <w:ind w:left="1710" w:hanging="630"/>
      </w:pPr>
      <w:r>
        <w:t>(a)</w:t>
      </w:r>
      <w:r>
        <w:tab/>
      </w:r>
      <w:r w:rsidR="00054016">
        <w:t>as an alternative to prosecution</w:t>
      </w:r>
      <w:r w:rsidR="001A0B30">
        <w:t>—</w:t>
      </w:r>
      <w:r w:rsidR="009976C0">
        <w:t>for example</w:t>
      </w:r>
      <w:r w:rsidR="001A0B30">
        <w:t>,</w:t>
      </w:r>
      <w:r w:rsidR="009976C0">
        <w:t xml:space="preserve"> where </w:t>
      </w:r>
      <w:r w:rsidR="00AE530B">
        <w:t xml:space="preserve">a person cannot be arrested because there is no reasonable basis to suspect that they have been involved in a terrorist act, or where they have been arrested but </w:t>
      </w:r>
      <w:r w:rsidR="009976C0">
        <w:t>the CDPP has advised that there is no reasonable prospect of conviction</w:t>
      </w:r>
    </w:p>
    <w:p w14:paraId="7C620D18" w14:textId="7C214767" w:rsidR="00BB574D" w:rsidRDefault="00353E89" w:rsidP="00353E89">
      <w:pPr>
        <w:pStyle w:val="ListNumber2"/>
        <w:numPr>
          <w:ilvl w:val="0"/>
          <w:numId w:val="0"/>
        </w:numPr>
        <w:ind w:left="1710" w:hanging="630"/>
      </w:pPr>
      <w:r>
        <w:t>(b)</w:t>
      </w:r>
      <w:r>
        <w:tab/>
      </w:r>
      <w:r w:rsidR="00D4335C">
        <w:t>as a ‘second attempt’ following an unsuccessful prosecution</w:t>
      </w:r>
      <w:r w:rsidR="001A0B30">
        <w:t>—</w:t>
      </w:r>
      <w:r w:rsidR="008973A7">
        <w:t>for example</w:t>
      </w:r>
      <w:r w:rsidR="001A0B30">
        <w:t>,</w:t>
      </w:r>
      <w:r w:rsidR="008973A7">
        <w:t xml:space="preserve"> where a person has been tried and a</w:t>
      </w:r>
      <w:r w:rsidR="002B3084">
        <w:t>c</w:t>
      </w:r>
      <w:r w:rsidR="008973A7">
        <w:t>quitted</w:t>
      </w:r>
      <w:r w:rsidR="00BB574D">
        <w:t xml:space="preserve"> </w:t>
      </w:r>
    </w:p>
    <w:p w14:paraId="04120947" w14:textId="2B23AE5B" w:rsidR="001503F7" w:rsidRDefault="00353E89" w:rsidP="00AA1D52">
      <w:pPr>
        <w:pStyle w:val="ListNumber2"/>
        <w:numPr>
          <w:ilvl w:val="0"/>
          <w:numId w:val="0"/>
        </w:numPr>
        <w:ind w:left="1710" w:hanging="630"/>
      </w:pPr>
      <w:r>
        <w:t>(c)</w:t>
      </w:r>
      <w:r>
        <w:tab/>
        <w:t>once a</w:t>
      </w:r>
      <w:r w:rsidR="005B4839">
        <w:t xml:space="preserve"> terrorist</w:t>
      </w:r>
      <w:r>
        <w:t xml:space="preserve"> offender has been released from prison, </w:t>
      </w:r>
      <w:r w:rsidR="005B4839">
        <w:t>in circumstances where they</w:t>
      </w:r>
      <w:r>
        <w:t xml:space="preserve"> still </w:t>
      </w:r>
      <w:r w:rsidR="00382C54">
        <w:t>pose an unacceptable</w:t>
      </w:r>
      <w:r>
        <w:t xml:space="preserve"> risk</w:t>
      </w:r>
      <w:r w:rsidR="00382C54">
        <w:t xml:space="preserve"> to the community</w:t>
      </w:r>
      <w:r>
        <w:t>.</w:t>
      </w:r>
    </w:p>
    <w:p w14:paraId="77EAA722" w14:textId="6FE6E833" w:rsidR="00AC6754" w:rsidRDefault="005B4839" w:rsidP="002A2D1A">
      <w:pPr>
        <w:pStyle w:val="ListNumber2"/>
        <w:tabs>
          <w:tab w:val="clear" w:pos="643"/>
          <w:tab w:val="num" w:pos="1080"/>
        </w:tabs>
        <w:ind w:left="1080" w:hanging="797"/>
      </w:pPr>
      <w:r>
        <w:t xml:space="preserve">The INSLM </w:t>
      </w:r>
      <w:r w:rsidR="0036597C">
        <w:t>ultimately recommended that control orders be limited to category</w:t>
      </w:r>
      <w:r>
        <w:t xml:space="preserve"> (c).</w:t>
      </w:r>
      <w:r w:rsidR="00263CF8">
        <w:rPr>
          <w:rStyle w:val="EndnoteReference"/>
        </w:rPr>
        <w:endnoteReference w:id="176"/>
      </w:r>
      <w:r w:rsidR="007840BF">
        <w:t xml:space="preserve">  </w:t>
      </w:r>
      <w:r w:rsidR="002C526D">
        <w:t xml:space="preserve">This was one of the bases </w:t>
      </w:r>
      <w:r w:rsidR="006E4D11">
        <w:t xml:space="preserve">upon which the COAG Review Committee recommended that control orders </w:t>
      </w:r>
      <w:r w:rsidR="00C06F90">
        <w:t>be available</w:t>
      </w:r>
      <w:r w:rsidR="006E4D11">
        <w:t xml:space="preserve"> (namely: ‘where a person has been convicted of a terrorist offence, has served his or her sentence, but where upon release his or her renunciation of extremist views has not been demonstrated’).</w:t>
      </w:r>
      <w:r w:rsidR="006E4D11">
        <w:rPr>
          <w:rStyle w:val="EndnoteReference"/>
        </w:rPr>
        <w:endnoteReference w:id="177"/>
      </w:r>
      <w:r w:rsidR="006E4D11">
        <w:t xml:space="preserve">  </w:t>
      </w:r>
      <w:r w:rsidR="006D456B">
        <w:t xml:space="preserve">The recent recommendation by the PJCIS for an </w:t>
      </w:r>
      <w:r w:rsidR="00510B81">
        <w:t>ESO</w:t>
      </w:r>
      <w:r w:rsidR="006D456B">
        <w:t xml:space="preserve"> </w:t>
      </w:r>
      <w:r w:rsidR="00510B81">
        <w:t>regime</w:t>
      </w:r>
      <w:r w:rsidR="006D456B">
        <w:t xml:space="preserve"> is the kind of </w:t>
      </w:r>
      <w:r w:rsidR="00510B81">
        <w:t>regime</w:t>
      </w:r>
      <w:r w:rsidR="006D456B">
        <w:t xml:space="preserve"> recommended by the first INSLM.</w:t>
      </w:r>
      <w:r w:rsidR="006D456B">
        <w:rPr>
          <w:rStyle w:val="EndnoteReference"/>
        </w:rPr>
        <w:endnoteReference w:id="178"/>
      </w:r>
      <w:r w:rsidR="0071125B">
        <w:t xml:space="preserve"> </w:t>
      </w:r>
      <w:r w:rsidR="00C749D7">
        <w:t xml:space="preserve"> </w:t>
      </w:r>
      <w:r w:rsidR="002353A2">
        <w:t>Pursuant to that recommendation, t</w:t>
      </w:r>
      <w:r w:rsidR="00C749D7">
        <w:t xml:space="preserve">he ESO would allow the same controls to be imposed as the current control order regime, </w:t>
      </w:r>
      <w:r w:rsidR="005B042F">
        <w:t xml:space="preserve">and could be made as an </w:t>
      </w:r>
      <w:r w:rsidR="00C749D7">
        <w:t>alternative to a CDO.</w:t>
      </w:r>
    </w:p>
    <w:p w14:paraId="1AE9CE52" w14:textId="13F78E38" w:rsidR="006E0759" w:rsidRDefault="00706059" w:rsidP="007A67DB">
      <w:pPr>
        <w:pStyle w:val="ListNumber2"/>
        <w:tabs>
          <w:tab w:val="clear" w:pos="643"/>
          <w:tab w:val="num" w:pos="1080"/>
        </w:tabs>
        <w:ind w:left="1080" w:hanging="797"/>
      </w:pPr>
      <w:r>
        <w:t xml:space="preserve">The Commission agrees that </w:t>
      </w:r>
      <w:r w:rsidR="00ED147F">
        <w:t xml:space="preserve">the option of </w:t>
      </w:r>
      <w:r w:rsidR="00A60D07">
        <w:t xml:space="preserve">an </w:t>
      </w:r>
      <w:r w:rsidR="003D483D">
        <w:t>ESO</w:t>
      </w:r>
      <w:r w:rsidR="00ED147F">
        <w:t xml:space="preserve"> </w:t>
      </w:r>
      <w:r>
        <w:t xml:space="preserve">may be appropriate </w:t>
      </w:r>
      <w:r w:rsidR="00437E87">
        <w:t xml:space="preserve">where a convicted terrorist offender is to be released back into the community.  </w:t>
      </w:r>
      <w:r w:rsidR="00576474">
        <w:t xml:space="preserve">As discussed in more detail in section </w:t>
      </w:r>
      <w:r w:rsidR="00576474">
        <w:fldChar w:fldCharType="begin"/>
      </w:r>
      <w:r w:rsidR="00576474">
        <w:instrText xml:space="preserve"> REF _Ref49620899 \n \h </w:instrText>
      </w:r>
      <w:r w:rsidR="00576474">
        <w:fldChar w:fldCharType="separate"/>
      </w:r>
      <w:r w:rsidR="00381A9B">
        <w:t>8</w:t>
      </w:r>
      <w:r w:rsidR="00576474">
        <w:fldChar w:fldCharType="end"/>
      </w:r>
      <w:r w:rsidR="00576474">
        <w:t xml:space="preserve"> below, i</w:t>
      </w:r>
      <w:r w:rsidR="00437E87">
        <w:t xml:space="preserve">t is particularly important for </w:t>
      </w:r>
      <w:r w:rsidR="00576474">
        <w:t xml:space="preserve">the proposed </w:t>
      </w:r>
      <w:r w:rsidR="002A35F6">
        <w:t>ESO regime</w:t>
      </w:r>
      <w:r w:rsidR="00576474">
        <w:t xml:space="preserve"> </w:t>
      </w:r>
      <w:r w:rsidR="00DA34B6">
        <w:t xml:space="preserve">to be implemented </w:t>
      </w:r>
      <w:r>
        <w:t xml:space="preserve">if the </w:t>
      </w:r>
      <w:r w:rsidR="002A35F6">
        <w:t xml:space="preserve">CDO </w:t>
      </w:r>
      <w:r>
        <w:t xml:space="preserve">regime in </w:t>
      </w:r>
      <w:proofErr w:type="spellStart"/>
      <w:r>
        <w:t>Div</w:t>
      </w:r>
      <w:proofErr w:type="spellEnd"/>
      <w:r>
        <w:t xml:space="preserve"> 105A of the Criminal Code is to continue.  </w:t>
      </w:r>
      <w:r w:rsidR="00030517">
        <w:t>Extended supervision orders</w:t>
      </w:r>
      <w:r>
        <w:t xml:space="preserve"> would provide a less restrictive alternative to a </w:t>
      </w:r>
      <w:r w:rsidR="00642CC9">
        <w:t>CDO</w:t>
      </w:r>
      <w:r>
        <w:t xml:space="preserve"> and permit </w:t>
      </w:r>
      <w:r w:rsidR="00B5107D">
        <w:t xml:space="preserve">the </w:t>
      </w:r>
      <w:r w:rsidR="00314AC2">
        <w:t xml:space="preserve">Supreme </w:t>
      </w:r>
      <w:r w:rsidR="00B5107D">
        <w:t xml:space="preserve">Court </w:t>
      </w:r>
      <w:r w:rsidR="00314AC2">
        <w:t xml:space="preserve">to make the order that is </w:t>
      </w:r>
      <w:r w:rsidR="007A67DB">
        <w:t xml:space="preserve">most </w:t>
      </w:r>
      <w:r w:rsidR="00314AC2">
        <w:t xml:space="preserve">appropriate in the </w:t>
      </w:r>
      <w:r w:rsidR="007A67DB">
        <w:t xml:space="preserve">circumstances. </w:t>
      </w:r>
    </w:p>
    <w:p w14:paraId="2D4D6701" w14:textId="7948825E" w:rsidR="00D60AB4" w:rsidRDefault="0031073C" w:rsidP="002A2D1A">
      <w:pPr>
        <w:pStyle w:val="ListNumber2"/>
        <w:tabs>
          <w:tab w:val="clear" w:pos="643"/>
          <w:tab w:val="num" w:pos="1080"/>
        </w:tabs>
        <w:ind w:left="1080" w:hanging="797"/>
      </w:pPr>
      <w:r>
        <w:t xml:space="preserve">In its submissions to the </w:t>
      </w:r>
      <w:r w:rsidR="00E04C5F">
        <w:t xml:space="preserve">previous PJCIS inquiry, the AFP and the </w:t>
      </w:r>
      <w:r w:rsidR="005646F9">
        <w:t>Attorney-General’s Department (</w:t>
      </w:r>
      <w:r w:rsidR="00EC5566">
        <w:t>AGD</w:t>
      </w:r>
      <w:r w:rsidR="005646F9">
        <w:t>)</w:t>
      </w:r>
      <w:r w:rsidR="00EC5566">
        <w:t xml:space="preserve"> </w:t>
      </w:r>
      <w:r w:rsidR="00E04C5F">
        <w:t>put particular emphasis on category (a)</w:t>
      </w:r>
      <w:r w:rsidR="006E0759">
        <w:t xml:space="preserve"> referred to in paragraph </w:t>
      </w:r>
      <w:r w:rsidR="006E0759">
        <w:fldChar w:fldCharType="begin"/>
      </w:r>
      <w:r w:rsidR="006E0759">
        <w:instrText xml:space="preserve"> REF _Ref49178157 \r \h </w:instrText>
      </w:r>
      <w:r w:rsidR="006E0759">
        <w:fldChar w:fldCharType="separate"/>
      </w:r>
      <w:r w:rsidR="00381A9B">
        <w:t>154</w:t>
      </w:r>
      <w:r w:rsidR="006E0759">
        <w:fldChar w:fldCharType="end"/>
      </w:r>
      <w:r w:rsidR="006E0759">
        <w:t xml:space="preserve"> above</w:t>
      </w:r>
      <w:r w:rsidR="00E04C5F">
        <w:t>.  That is, they s</w:t>
      </w:r>
      <w:r w:rsidR="00BB41B0">
        <w:t>ubmit</w:t>
      </w:r>
      <w:r w:rsidR="000C310E">
        <w:t>ted</w:t>
      </w:r>
      <w:r w:rsidR="00BB41B0">
        <w:t xml:space="preserve"> that control orders are appropriate as a ‘preventative </w:t>
      </w:r>
      <w:r w:rsidR="00BB41B0">
        <w:lastRenderedPageBreak/>
        <w:t xml:space="preserve">measure’ </w:t>
      </w:r>
      <w:r w:rsidR="00B538A8">
        <w:t>when there is not enough admissible evidence to charge and prosecute a person</w:t>
      </w:r>
      <w:r w:rsidR="00BB41B0">
        <w:t xml:space="preserve">. </w:t>
      </w:r>
      <w:r w:rsidR="00F73F40">
        <w:t xml:space="preserve"> This view was also supported by the COAG Review Committee (namely: </w:t>
      </w:r>
      <w:r w:rsidR="002C2C5B">
        <w:t>‘</w:t>
      </w:r>
      <w:r w:rsidR="00F73F40">
        <w:t>where a prosecution for a terrorist offence is not a feasible or possible alternative</w:t>
      </w:r>
      <w:r w:rsidR="002C2C5B">
        <w:t>’).</w:t>
      </w:r>
      <w:r w:rsidR="002C2C5B">
        <w:rPr>
          <w:rStyle w:val="EndnoteReference"/>
        </w:rPr>
        <w:endnoteReference w:id="179"/>
      </w:r>
    </w:p>
    <w:p w14:paraId="660713F3" w14:textId="1F5E2764" w:rsidR="00BB41B0" w:rsidRDefault="00D60AB4" w:rsidP="002A2D1A">
      <w:pPr>
        <w:pStyle w:val="ListNumber2"/>
        <w:tabs>
          <w:tab w:val="clear" w:pos="643"/>
          <w:tab w:val="num" w:pos="1080"/>
        </w:tabs>
        <w:ind w:left="1080" w:hanging="797"/>
      </w:pPr>
      <w:r>
        <w:t>T</w:t>
      </w:r>
      <w:r w:rsidR="00BB41B0">
        <w:t xml:space="preserve">he AFP </w:t>
      </w:r>
      <w:r w:rsidR="00096663">
        <w:t>said</w:t>
      </w:r>
      <w:r w:rsidR="00BB41B0">
        <w:t xml:space="preserve"> that </w:t>
      </w:r>
      <w:r w:rsidR="008B72D3">
        <w:t>where there is enough evidence to formally charge and prosecute a person, it will always take this approach over seeking the imposition of a control order.</w:t>
      </w:r>
      <w:r w:rsidR="00407595">
        <w:rPr>
          <w:rStyle w:val="EndnoteReference"/>
        </w:rPr>
        <w:endnoteReference w:id="180"/>
      </w:r>
      <w:r w:rsidR="008B72D3">
        <w:t xml:space="preserve">  </w:t>
      </w:r>
      <w:r w:rsidR="000F6D29">
        <w:t xml:space="preserve">This is </w:t>
      </w:r>
      <w:r w:rsidR="00133C92">
        <w:t>substantially</w:t>
      </w:r>
      <w:r w:rsidR="003B0540">
        <w:t xml:space="preserve"> </w:t>
      </w:r>
      <w:r w:rsidR="000F6D29">
        <w:t xml:space="preserve">borne out in </w:t>
      </w:r>
      <w:r w:rsidR="00C26E78">
        <w:t xml:space="preserve">practice.  </w:t>
      </w:r>
      <w:r w:rsidR="00F91741">
        <w:t>Since</w:t>
      </w:r>
      <w:r w:rsidR="009F7005">
        <w:t xml:space="preserve"> </w:t>
      </w:r>
      <w:r w:rsidR="00C26E78">
        <w:t xml:space="preserve">September 2014, </w:t>
      </w:r>
      <w:r w:rsidR="00F91741">
        <w:t>110</w:t>
      </w:r>
      <w:r w:rsidR="00C26E78">
        <w:t xml:space="preserve"> people </w:t>
      </w:r>
      <w:r w:rsidR="00F91741">
        <w:t xml:space="preserve">have been </w:t>
      </w:r>
      <w:r w:rsidR="00C26E78">
        <w:t xml:space="preserve">charged </w:t>
      </w:r>
      <w:r w:rsidR="00D427CF">
        <w:t xml:space="preserve">as a result of </w:t>
      </w:r>
      <w:r w:rsidR="00F91741">
        <w:t xml:space="preserve">51 </w:t>
      </w:r>
      <w:r w:rsidR="00D427CF">
        <w:t>counter</w:t>
      </w:r>
      <w:r w:rsidR="00232155">
        <w:t>-</w:t>
      </w:r>
      <w:r w:rsidR="00D427CF">
        <w:t>terrorism</w:t>
      </w:r>
      <w:r w:rsidR="00232155">
        <w:t xml:space="preserve"> </w:t>
      </w:r>
      <w:r w:rsidR="00D427CF">
        <w:t>related operations across the country.</w:t>
      </w:r>
      <w:r w:rsidR="00D427CF">
        <w:rPr>
          <w:rStyle w:val="EndnoteReference"/>
        </w:rPr>
        <w:endnoteReference w:id="181"/>
      </w:r>
      <w:r w:rsidR="00D427CF">
        <w:t xml:space="preserve">  </w:t>
      </w:r>
      <w:r w:rsidR="00F70E00">
        <w:t xml:space="preserve">The circumstances in which a control order may be used as a ‘preventative measure’ are therefore limited to circumstances where </w:t>
      </w:r>
      <w:r w:rsidR="003C21EC">
        <w:t xml:space="preserve">there is </w:t>
      </w:r>
      <w:r w:rsidR="00CC3380">
        <w:t>a lack of probative evidence of a crime</w:t>
      </w:r>
      <w:r w:rsidR="00F70E00">
        <w:t xml:space="preserve">.  </w:t>
      </w:r>
      <w:r w:rsidR="00F70E00" w:rsidRPr="00B538A8">
        <w:t xml:space="preserve">That may be </w:t>
      </w:r>
      <w:r w:rsidR="00FA0ABE">
        <w:t>because</w:t>
      </w:r>
      <w:r w:rsidR="00302971" w:rsidRPr="00B538A8">
        <w:t>:</w:t>
      </w:r>
      <w:r w:rsidR="00302971">
        <w:rPr>
          <w:highlight w:val="yellow"/>
        </w:rPr>
        <w:t xml:space="preserve"> </w:t>
      </w:r>
    </w:p>
    <w:p w14:paraId="6F3B1CB6" w14:textId="10B9A1E6" w:rsidR="00B538A8" w:rsidRDefault="00881796" w:rsidP="00484581">
      <w:pPr>
        <w:pStyle w:val="ListNumber2"/>
        <w:numPr>
          <w:ilvl w:val="0"/>
          <w:numId w:val="14"/>
        </w:numPr>
      </w:pPr>
      <w:r>
        <w:t>t</w:t>
      </w:r>
      <w:r w:rsidR="00B538A8">
        <w:t xml:space="preserve">he police may be investigating a possible offence but there is not enough evidence to </w:t>
      </w:r>
      <w:r>
        <w:t>prove that an offence has been committed</w:t>
      </w:r>
    </w:p>
    <w:p w14:paraId="3C84B046" w14:textId="42DC7EE7" w:rsidR="00881796" w:rsidRDefault="00881796" w:rsidP="00484581">
      <w:pPr>
        <w:pStyle w:val="ListNumber2"/>
        <w:numPr>
          <w:ilvl w:val="0"/>
          <w:numId w:val="14"/>
        </w:numPr>
      </w:pPr>
      <w:r>
        <w:t>the police may believe that there is enough evidence to prove that an offence has been committed but the CDPP may disagree</w:t>
      </w:r>
      <w:r w:rsidR="00803AFC">
        <w:t xml:space="preserve"> and decline to prosecute</w:t>
      </w:r>
      <w:r w:rsidR="00FA0ABE">
        <w:t>.</w:t>
      </w:r>
    </w:p>
    <w:p w14:paraId="43A5A8A6" w14:textId="040E3460" w:rsidR="002F13DE" w:rsidRDefault="002F13DE" w:rsidP="002A2D1A">
      <w:pPr>
        <w:pStyle w:val="ListNumber2"/>
        <w:tabs>
          <w:tab w:val="clear" w:pos="643"/>
          <w:tab w:val="num" w:pos="1080"/>
        </w:tabs>
        <w:ind w:left="1080" w:hanging="797"/>
      </w:pPr>
      <w:r>
        <w:t xml:space="preserve">The first INSLM considered this proposition in his </w:t>
      </w:r>
      <w:r w:rsidR="00FB43A9">
        <w:t>second annual report, noting:</w:t>
      </w:r>
    </w:p>
    <w:p w14:paraId="2FFBF448" w14:textId="139BDFB1" w:rsidR="00FB43A9" w:rsidRPr="00E97345" w:rsidRDefault="00FB43A9" w:rsidP="00FB43A9">
      <w:pPr>
        <w:pStyle w:val="ListNumber2"/>
        <w:numPr>
          <w:ilvl w:val="0"/>
          <w:numId w:val="0"/>
        </w:numPr>
        <w:ind w:left="1440"/>
        <w:rPr>
          <w:sz w:val="22"/>
          <w:szCs w:val="22"/>
        </w:rPr>
      </w:pPr>
      <w:r w:rsidRPr="00E97345">
        <w:rPr>
          <w:sz w:val="22"/>
          <w:szCs w:val="22"/>
        </w:rPr>
        <w:t>The INSLM has been told that the most serious category of people for whom a CO [control order] could be sought is for those individuals who cannot be prosecuted because there is insufficient evidence to support a prosecution. The belief that there is not enough evidence could be an intuitive belief by the police that there is a case although it is not supported by enough evidence. It could also be a belief by the police that there is sufficient evidence, being a view disagreed with by the CDPP, with the proper result that there will not be a prosecution.</w:t>
      </w:r>
      <w:r w:rsidR="00655A15">
        <w:rPr>
          <w:rStyle w:val="EndnoteReference"/>
          <w:szCs w:val="22"/>
        </w:rPr>
        <w:endnoteReference w:id="182"/>
      </w:r>
    </w:p>
    <w:p w14:paraId="0572F2EF" w14:textId="517AEE00" w:rsidR="0034756C" w:rsidRDefault="0034756C" w:rsidP="00A41B62">
      <w:pPr>
        <w:pStyle w:val="ListNumber2"/>
        <w:tabs>
          <w:tab w:val="clear" w:pos="643"/>
          <w:tab w:val="num" w:pos="1080"/>
        </w:tabs>
        <w:ind w:left="1080" w:hanging="797"/>
      </w:pPr>
      <w:bookmarkStart w:id="33" w:name="_Ref49176388"/>
      <w:r>
        <w:t>These comments by the INSLM also need to be considered in light of the subsequent introduction of s 3WA of the Crimes Act</w:t>
      </w:r>
      <w:r w:rsidR="00E36415">
        <w:t>,</w:t>
      </w:r>
      <w:r>
        <w:t xml:space="preserve"> which reduced the </w:t>
      </w:r>
      <w:r w:rsidR="006205AC">
        <w:t xml:space="preserve">threshold for police to arrest a person in relation to a terrorism offence.  Since 2014, the police can arrest a person </w:t>
      </w:r>
      <w:r w:rsidR="00850857">
        <w:t>in relation to a terrorism offence</w:t>
      </w:r>
      <w:r w:rsidR="00E36415">
        <w:t>—</w:t>
      </w:r>
      <w:r w:rsidR="00850857">
        <w:t xml:space="preserve">including a conspiracy, or </w:t>
      </w:r>
      <w:r w:rsidR="00F76A46">
        <w:t>doing an act in preparation for, or planning, a terrorist act</w:t>
      </w:r>
      <w:r w:rsidR="00E36415">
        <w:t>—</w:t>
      </w:r>
      <w:r w:rsidR="00F76A46">
        <w:t>if they ‘</w:t>
      </w:r>
      <w:r w:rsidR="006941AC">
        <w:t xml:space="preserve">suspect on </w:t>
      </w:r>
      <w:r w:rsidR="00F76A46">
        <w:t>reasonabl</w:t>
      </w:r>
      <w:r w:rsidR="006941AC">
        <w:t>e grounds’</w:t>
      </w:r>
      <w:r w:rsidR="00F76A46">
        <w:t xml:space="preserve"> that the person </w:t>
      </w:r>
      <w:r w:rsidR="00E34CCC">
        <w:t xml:space="preserve">has committed </w:t>
      </w:r>
      <w:r w:rsidR="00F84FFD">
        <w:t>the offence</w:t>
      </w:r>
      <w:r w:rsidR="00E34CCC">
        <w:t>.</w:t>
      </w:r>
    </w:p>
    <w:p w14:paraId="32524843" w14:textId="40D2E1B4" w:rsidR="00DF32B1" w:rsidRDefault="00D8356A" w:rsidP="00F33ACF">
      <w:pPr>
        <w:pStyle w:val="ListNumber2"/>
        <w:tabs>
          <w:tab w:val="clear" w:pos="643"/>
          <w:tab w:val="num" w:pos="1080"/>
        </w:tabs>
        <w:ind w:left="1080" w:hanging="797"/>
      </w:pPr>
      <w:r>
        <w:t xml:space="preserve">The </w:t>
      </w:r>
      <w:r w:rsidR="00D912DE">
        <w:t xml:space="preserve">fact that police </w:t>
      </w:r>
      <w:r w:rsidR="00925F5E">
        <w:t>suspect</w:t>
      </w:r>
      <w:r w:rsidR="00D912DE">
        <w:t>, but cannot prove, that a person ha</w:t>
      </w:r>
      <w:r w:rsidR="00925F5E">
        <w:t>s</w:t>
      </w:r>
      <w:r w:rsidR="00D912DE">
        <w:t xml:space="preserve"> committed a crime</w:t>
      </w:r>
      <w:r w:rsidR="00E36415">
        <w:t>,</w:t>
      </w:r>
      <w:r w:rsidR="00D912DE">
        <w:t xml:space="preserve"> is a </w:t>
      </w:r>
      <w:r w:rsidR="000B6F76">
        <w:t xml:space="preserve">very </w:t>
      </w:r>
      <w:r w:rsidR="00E36415">
        <w:t xml:space="preserve">weak </w:t>
      </w:r>
      <w:r w:rsidR="000B6F76">
        <w:t xml:space="preserve">basis upon which to impose </w:t>
      </w:r>
      <w:r w:rsidR="000B6F76">
        <w:lastRenderedPageBreak/>
        <w:t xml:space="preserve">restraints on their liberty.  </w:t>
      </w:r>
      <w:r w:rsidR="00983611">
        <w:t>T</w:t>
      </w:r>
      <w:r w:rsidR="003F1723">
        <w:t xml:space="preserve">he scenario that is being used to justify the </w:t>
      </w:r>
      <w:r w:rsidR="0066003F">
        <w:t xml:space="preserve">making </w:t>
      </w:r>
      <w:r w:rsidR="003F1723">
        <w:t xml:space="preserve">of a control order </w:t>
      </w:r>
      <w:r w:rsidR="00093791">
        <w:t xml:space="preserve">is where the police suspect the person has committed a crime, but the evidential basis for the police’s suspicion is insufficient to </w:t>
      </w:r>
      <w:r w:rsidR="00E13BE6">
        <w:t>amount to</w:t>
      </w:r>
      <w:r w:rsidR="00093791">
        <w:t xml:space="preserve"> </w:t>
      </w:r>
      <w:r w:rsidR="003F1723">
        <w:t xml:space="preserve">a </w:t>
      </w:r>
      <w:r w:rsidR="003F1723">
        <w:rPr>
          <w:i/>
        </w:rPr>
        <w:t xml:space="preserve">reasonable </w:t>
      </w:r>
      <w:r w:rsidR="003F1723" w:rsidRPr="003F1723">
        <w:rPr>
          <w:i/>
        </w:rPr>
        <w:t>suspicion</w:t>
      </w:r>
      <w:r w:rsidR="00093791">
        <w:t xml:space="preserve">.  </w:t>
      </w:r>
      <w:bookmarkEnd w:id="33"/>
      <w:r w:rsidR="00862CA0">
        <w:t xml:space="preserve">In the Commission’s view, the use of control orders on a person where there is not even a reasonable suspicion that </w:t>
      </w:r>
      <w:r w:rsidR="00EF089E">
        <w:t>the</w:t>
      </w:r>
      <w:r w:rsidR="00862CA0">
        <w:t xml:space="preserve"> person has been involved in a terrorist act</w:t>
      </w:r>
      <w:r w:rsidR="00E36415">
        <w:t>,</w:t>
      </w:r>
      <w:r w:rsidR="00862CA0">
        <w:t xml:space="preserve"> </w:t>
      </w:r>
      <w:r w:rsidR="00323533">
        <w:t>including a preparatory step</w:t>
      </w:r>
      <w:r w:rsidR="00E36415">
        <w:t>,</w:t>
      </w:r>
      <w:r w:rsidR="00323533">
        <w:t xml:space="preserve"> is highly problematic.</w:t>
      </w:r>
    </w:p>
    <w:p w14:paraId="2FA0007D" w14:textId="1C4F9FD4" w:rsidR="00C20D76" w:rsidRDefault="00A41B62" w:rsidP="00464584">
      <w:pPr>
        <w:pStyle w:val="ListNumber2"/>
        <w:tabs>
          <w:tab w:val="clear" w:pos="643"/>
          <w:tab w:val="num" w:pos="1080"/>
        </w:tabs>
        <w:ind w:left="1080" w:hanging="797"/>
      </w:pPr>
      <w:r>
        <w:t xml:space="preserve">The view of the </w:t>
      </w:r>
      <w:r w:rsidR="008B6EF7">
        <w:t xml:space="preserve">first </w:t>
      </w:r>
      <w:r>
        <w:t>INSLM was that Australia has an obligation to prosecute those involved in acts of terrorism</w:t>
      </w:r>
      <w:r w:rsidR="001C3F75">
        <w:t xml:space="preserve"> (including </w:t>
      </w:r>
      <w:r w:rsidR="006B6ED9">
        <w:t xml:space="preserve">relevant </w:t>
      </w:r>
      <w:r w:rsidR="001C3F75">
        <w:t>preparatory acts)</w:t>
      </w:r>
      <w:r>
        <w:t>, but ‘[t]here is no proper need for another route to official restraints on a person’s liberty where the case against a person may be arguably considered weak’.</w:t>
      </w:r>
      <w:r w:rsidRPr="00464584">
        <w:rPr>
          <w:sz w:val="20"/>
          <w:szCs w:val="20"/>
          <w:vertAlign w:val="superscript"/>
        </w:rPr>
        <w:endnoteReference w:id="183"/>
      </w:r>
    </w:p>
    <w:p w14:paraId="4989A8DC" w14:textId="23452B6F" w:rsidR="0069517D" w:rsidRDefault="0069517D" w:rsidP="002A2D1A">
      <w:pPr>
        <w:pStyle w:val="ListNumber2"/>
        <w:tabs>
          <w:tab w:val="clear" w:pos="643"/>
          <w:tab w:val="num" w:pos="1080"/>
        </w:tabs>
        <w:ind w:left="1080" w:hanging="797"/>
      </w:pPr>
      <w:r>
        <w:t>The case of Mr H</w:t>
      </w:r>
      <w:r w:rsidR="00664676" w:rsidRPr="00664676">
        <w:t xml:space="preserve">arun </w:t>
      </w:r>
      <w:proofErr w:type="spellStart"/>
      <w:r w:rsidR="00664676">
        <w:t>C</w:t>
      </w:r>
      <w:r w:rsidR="00664676" w:rsidRPr="00664676">
        <w:t>ausevic</w:t>
      </w:r>
      <w:proofErr w:type="spellEnd"/>
      <w:r w:rsidR="00664676">
        <w:t xml:space="preserve"> is an example of </w:t>
      </w:r>
      <w:r w:rsidR="00847220">
        <w:t>the use of control orders in category (a) above.</w:t>
      </w:r>
      <w:r w:rsidR="00BB098E">
        <w:t xml:space="preserve">  A control order was sought after the CDPP advised the AFP that there was no</w:t>
      </w:r>
      <w:r w:rsidR="00027C99">
        <w:t>t</w:t>
      </w:r>
      <w:r w:rsidR="00BB098E">
        <w:t xml:space="preserve"> enough evidence to convict Mr </w:t>
      </w:r>
      <w:proofErr w:type="spellStart"/>
      <w:r w:rsidR="00BB098E">
        <w:t>Causevic</w:t>
      </w:r>
      <w:proofErr w:type="spellEnd"/>
      <w:r w:rsidR="00BB098E">
        <w:t xml:space="preserve"> of a terrorism offence.</w:t>
      </w:r>
    </w:p>
    <w:p w14:paraId="583E70A1" w14:textId="7204CDB1" w:rsidR="00847220" w:rsidRPr="002065BE" w:rsidRDefault="00847220" w:rsidP="00D4551B">
      <w:pPr>
        <w:pStyle w:val="ListNumber2"/>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b/>
          <w:bCs/>
        </w:rPr>
      </w:pPr>
      <w:r w:rsidRPr="002065BE">
        <w:rPr>
          <w:b/>
          <w:bCs/>
        </w:rPr>
        <w:t>Case study</w:t>
      </w:r>
      <w:r w:rsidR="00767555">
        <w:rPr>
          <w:b/>
          <w:bCs/>
        </w:rPr>
        <w:t xml:space="preserve"> 4</w:t>
      </w:r>
      <w:r w:rsidRPr="002065BE">
        <w:rPr>
          <w:b/>
          <w:bCs/>
        </w:rPr>
        <w:t xml:space="preserve">: Mr Harun </w:t>
      </w:r>
      <w:proofErr w:type="spellStart"/>
      <w:r w:rsidRPr="002065BE">
        <w:rPr>
          <w:b/>
          <w:bCs/>
        </w:rPr>
        <w:t>Causevic</w:t>
      </w:r>
      <w:proofErr w:type="spellEnd"/>
    </w:p>
    <w:p w14:paraId="0D9F5141" w14:textId="7B86D991" w:rsidR="00B05733" w:rsidRDefault="00777485" w:rsidP="00D4551B">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In April 2015, Mr Harun </w:t>
      </w:r>
      <w:proofErr w:type="spellStart"/>
      <w:r>
        <w:t>Causevic</w:t>
      </w:r>
      <w:proofErr w:type="spellEnd"/>
      <w:r>
        <w:t xml:space="preserve"> was 18 years old</w:t>
      </w:r>
      <w:r w:rsidR="007D3196">
        <w:t xml:space="preserve"> and living with his parents </w:t>
      </w:r>
      <w:r w:rsidR="00336539">
        <w:t xml:space="preserve">and two siblings </w:t>
      </w:r>
      <w:r w:rsidR="007D3196">
        <w:t>in Hampton Park, Victoria</w:t>
      </w:r>
      <w:r>
        <w:t xml:space="preserve">.  </w:t>
      </w:r>
    </w:p>
    <w:p w14:paraId="12C7B318" w14:textId="6E9BC2A8" w:rsidR="005E0812" w:rsidRDefault="005211AE" w:rsidP="00E84E3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As with Mr Cruse (see case study 1 above)</w:t>
      </w:r>
      <w:r w:rsidR="00093791">
        <w:t>,</w:t>
      </w:r>
      <w:r>
        <w:t xml:space="preserve"> h</w:t>
      </w:r>
      <w:r w:rsidR="00ED0034">
        <w:t xml:space="preserve">e </w:t>
      </w:r>
      <w:r w:rsidR="00093791">
        <w:t>had been</w:t>
      </w:r>
      <w:r w:rsidR="00ED0034">
        <w:t xml:space="preserve"> a friend of </w:t>
      </w:r>
      <w:r w:rsidR="00AE60B6">
        <w:t xml:space="preserve">Mr Ahmad </w:t>
      </w:r>
      <w:proofErr w:type="spellStart"/>
      <w:r w:rsidR="00AE60B6">
        <w:t>Numan</w:t>
      </w:r>
      <w:proofErr w:type="spellEnd"/>
      <w:r w:rsidR="00AE60B6">
        <w:t xml:space="preserve"> Haider</w:t>
      </w:r>
      <w:r w:rsidR="005143C7">
        <w:t>,</w:t>
      </w:r>
      <w:r w:rsidR="00E04F54">
        <w:rPr>
          <w:rStyle w:val="EndnoteReference"/>
        </w:rPr>
        <w:endnoteReference w:id="184"/>
      </w:r>
      <w:r w:rsidR="00AE60B6">
        <w:t xml:space="preserve"> who had </w:t>
      </w:r>
      <w:r w:rsidR="005143C7">
        <w:t xml:space="preserve">had been shot and killed by a police officer </w:t>
      </w:r>
      <w:r w:rsidR="00E10F9E">
        <w:t xml:space="preserve">in September 2014 </w:t>
      </w:r>
      <w:r w:rsidR="005143C7">
        <w:t>after Mr Haider had stabbed him and another police officer with a knife.</w:t>
      </w:r>
      <w:r w:rsidR="005143C7">
        <w:rPr>
          <w:rStyle w:val="EndnoteReference"/>
        </w:rPr>
        <w:endnoteReference w:id="185"/>
      </w:r>
      <w:r w:rsidR="00E84E39">
        <w:t xml:space="preserve">  Mr </w:t>
      </w:r>
      <w:proofErr w:type="spellStart"/>
      <w:r w:rsidR="00E84E39">
        <w:t>Causevic</w:t>
      </w:r>
      <w:proofErr w:type="spellEnd"/>
      <w:r w:rsidR="00E84E39">
        <w:t xml:space="preserve"> </w:t>
      </w:r>
      <w:r w:rsidR="00733A05">
        <w:t xml:space="preserve">had been with Mr Haider earlier that day and </w:t>
      </w:r>
      <w:r w:rsidR="00FD71ED">
        <w:t xml:space="preserve">he </w:t>
      </w:r>
      <w:r w:rsidR="00E84E39">
        <w:t>came to the attention of the Joint Counter</w:t>
      </w:r>
      <w:r w:rsidR="005A4169">
        <w:t xml:space="preserve"> </w:t>
      </w:r>
      <w:r w:rsidR="00E84E39">
        <w:t>Terrorism Team following this incident.</w:t>
      </w:r>
      <w:r w:rsidR="00E84E39">
        <w:rPr>
          <w:rStyle w:val="EndnoteReference"/>
        </w:rPr>
        <w:endnoteReference w:id="186"/>
      </w:r>
      <w:r w:rsidR="00FD71ED">
        <w:t xml:space="preserve"> </w:t>
      </w:r>
    </w:p>
    <w:p w14:paraId="362D3604" w14:textId="688796AC" w:rsidR="00B74DE0" w:rsidRDefault="00272010" w:rsidP="00B74DE0">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JCTT conducted a raid on Mr </w:t>
      </w:r>
      <w:proofErr w:type="spellStart"/>
      <w:r>
        <w:t>Causevic’s</w:t>
      </w:r>
      <w:proofErr w:type="spellEnd"/>
      <w:r>
        <w:t xml:space="preserve"> parents</w:t>
      </w:r>
      <w:r w:rsidR="00093791">
        <w:t>’</w:t>
      </w:r>
      <w:r>
        <w:t xml:space="preserve"> home at approximately 3.30am on 18 April 201</w:t>
      </w:r>
      <w:r w:rsidR="00F71CB0">
        <w:t>5</w:t>
      </w:r>
      <w:r w:rsidR="00061367">
        <w:t>.  This was one of six simultaneous raids conducted</w:t>
      </w:r>
      <w:r w:rsidR="00F71CB0">
        <w:t xml:space="preserve"> as part of Operation Rising (see case study 1 above).</w:t>
      </w:r>
      <w:r w:rsidR="00B74DE0">
        <w:t xml:space="preserve">  Mr </w:t>
      </w:r>
      <w:proofErr w:type="spellStart"/>
      <w:r w:rsidR="00B74DE0">
        <w:t>Causevic</w:t>
      </w:r>
      <w:proofErr w:type="spellEnd"/>
      <w:r w:rsidR="00B74DE0">
        <w:t xml:space="preserve"> was taken into custody in accordance with an interim preventative detention order issued the previous day under s 13E of the </w:t>
      </w:r>
      <w:r w:rsidR="00B74DE0">
        <w:rPr>
          <w:i/>
        </w:rPr>
        <w:t>Terrorism (Community Protection) Act 2003</w:t>
      </w:r>
      <w:r w:rsidR="00B74DE0">
        <w:t xml:space="preserve"> (Vic).</w:t>
      </w:r>
    </w:p>
    <w:p w14:paraId="05FA9E6E" w14:textId="4B394C22" w:rsidR="007D0348" w:rsidRDefault="003C00B9" w:rsidP="00D17EE6">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Mr </w:t>
      </w:r>
      <w:proofErr w:type="spellStart"/>
      <w:r>
        <w:t>Causevic</w:t>
      </w:r>
      <w:proofErr w:type="spellEnd"/>
      <w:r>
        <w:t xml:space="preserve"> was </w:t>
      </w:r>
      <w:r w:rsidR="003B53D4">
        <w:t>removed from detention under the interim PDO o</w:t>
      </w:r>
      <w:r>
        <w:t xml:space="preserve">n 20 April 2015 and charged with </w:t>
      </w:r>
      <w:r w:rsidR="001E4170">
        <w:t>offence</w:t>
      </w:r>
      <w:r w:rsidR="00472795">
        <w:t>s</w:t>
      </w:r>
      <w:r w:rsidR="001E4170">
        <w:t xml:space="preserve"> against s 11.5 (conspiracy) </w:t>
      </w:r>
      <w:r w:rsidR="00D8602C">
        <w:t>and</w:t>
      </w:r>
      <w:r w:rsidR="001E4170">
        <w:t xml:space="preserve"> s 101.6 (</w:t>
      </w:r>
      <w:r w:rsidR="00D8602C">
        <w:t>doing an</w:t>
      </w:r>
      <w:r w:rsidR="00D8602C" w:rsidRPr="00D8602C">
        <w:t xml:space="preserve"> act in preparation for, or planning, a terrorist act</w:t>
      </w:r>
      <w:r w:rsidR="001E4170">
        <w:t>) of the Criminal Code</w:t>
      </w:r>
      <w:r w:rsidR="008D54C6">
        <w:t>.</w:t>
      </w:r>
      <w:r w:rsidR="001E4170">
        <w:t xml:space="preserve"> </w:t>
      </w:r>
      <w:r w:rsidR="008D54C6">
        <w:t xml:space="preserve"> </w:t>
      </w:r>
      <w:r>
        <w:t>The charge</w:t>
      </w:r>
      <w:r w:rsidR="008D54C6">
        <w:t>s</w:t>
      </w:r>
      <w:r>
        <w:t xml:space="preserve"> related to </w:t>
      </w:r>
      <w:r w:rsidR="000367C1">
        <w:t>an alleged</w:t>
      </w:r>
      <w:r>
        <w:t xml:space="preserve"> plan to carry out </w:t>
      </w:r>
      <w:r>
        <w:lastRenderedPageBreak/>
        <w:t xml:space="preserve">a terrorist attack in Melbourne on or around </w:t>
      </w:r>
      <w:r w:rsidR="008D54C6">
        <w:t xml:space="preserve">Anzac Day </w:t>
      </w:r>
      <w:r>
        <w:t>2015.</w:t>
      </w:r>
      <w:r w:rsidR="00A1029D">
        <w:t xml:space="preserve">  He was </w:t>
      </w:r>
      <w:r w:rsidR="004209D7">
        <w:t>held on remand</w:t>
      </w:r>
      <w:r w:rsidR="00D17EE6">
        <w:t>.</w:t>
      </w:r>
    </w:p>
    <w:p w14:paraId="23B5ED4F" w14:textId="302A3B28" w:rsidR="00847220" w:rsidRDefault="0036511F" w:rsidP="00BC30B5">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On 25 August 2015, t</w:t>
      </w:r>
      <w:r w:rsidR="004767F4">
        <w:t xml:space="preserve">he CDPP </w:t>
      </w:r>
      <w:r w:rsidR="00B05733">
        <w:t>issued a media statement</w:t>
      </w:r>
      <w:r w:rsidR="00CD1134">
        <w:t>,</w:t>
      </w:r>
      <w:r w:rsidR="00B05733">
        <w:t xml:space="preserve"> </w:t>
      </w:r>
      <w:r>
        <w:t>announc</w:t>
      </w:r>
      <w:r w:rsidR="00B05733">
        <w:t>ing</w:t>
      </w:r>
      <w:r>
        <w:t xml:space="preserve"> that it had </w:t>
      </w:r>
      <w:r w:rsidR="004767F4">
        <w:t xml:space="preserve">determined that there was not enough evidence to convict Mr </w:t>
      </w:r>
      <w:proofErr w:type="spellStart"/>
      <w:r w:rsidR="004767F4">
        <w:t>Causevic</w:t>
      </w:r>
      <w:proofErr w:type="spellEnd"/>
      <w:r w:rsidR="004767F4">
        <w:t xml:space="preserve"> of an offence against </w:t>
      </w:r>
      <w:r w:rsidR="00472795">
        <w:t>s</w:t>
      </w:r>
      <w:r w:rsidR="004767F4">
        <w:t>s 11.5 or 101.6</w:t>
      </w:r>
      <w:r w:rsidR="003D1BA2">
        <w:t xml:space="preserve"> of the Criminal Code.</w:t>
      </w:r>
      <w:r w:rsidR="003D1BA2">
        <w:rPr>
          <w:rStyle w:val="EndnoteReference"/>
        </w:rPr>
        <w:endnoteReference w:id="187"/>
      </w:r>
      <w:r w:rsidR="00094B65">
        <w:t xml:space="preserve">  Instead, Mr </w:t>
      </w:r>
      <w:proofErr w:type="spellStart"/>
      <w:r w:rsidR="00094B65">
        <w:t>Causevic</w:t>
      </w:r>
      <w:proofErr w:type="spellEnd"/>
      <w:r w:rsidR="00094B65">
        <w:t xml:space="preserve"> pleaded guilty to three summary offences under s </w:t>
      </w:r>
      <w:r w:rsidR="00094B65" w:rsidRPr="008B4643">
        <w:t xml:space="preserve">5AA of the </w:t>
      </w:r>
      <w:r w:rsidR="00094B65" w:rsidRPr="008B4643">
        <w:rPr>
          <w:i/>
          <w:iCs/>
        </w:rPr>
        <w:t xml:space="preserve">Controlled Weapons Act 1990 </w:t>
      </w:r>
      <w:r w:rsidR="00094B65" w:rsidRPr="008B4643">
        <w:t>(Vic)</w:t>
      </w:r>
      <w:r w:rsidR="00094B65">
        <w:t>, relating to the possession of three knives seized during the raid of his home.</w:t>
      </w:r>
      <w:r w:rsidR="00473800">
        <w:t xml:space="preserve">  He was released on conditional bail and ordered to appear for sentencing on 12 November 2015.</w:t>
      </w:r>
    </w:p>
    <w:p w14:paraId="1FBD8EB9" w14:textId="06A69B58" w:rsidR="008B4643" w:rsidRDefault="00B05733" w:rsidP="00D4551B">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On 10 September 2015, the Federal Circuit Court made an interim control order in relation to Mr </w:t>
      </w:r>
      <w:proofErr w:type="spellStart"/>
      <w:r>
        <w:t>Causevic</w:t>
      </w:r>
      <w:proofErr w:type="spellEnd"/>
      <w:r w:rsidR="00DA6C19">
        <w:t>, including a requirement that he wear a tracking device</w:t>
      </w:r>
      <w:r>
        <w:t xml:space="preserve">.  </w:t>
      </w:r>
      <w:r w:rsidR="00F03BC8">
        <w:t xml:space="preserve">The order was made </w:t>
      </w:r>
      <w:r w:rsidR="00F03BC8" w:rsidRPr="00F03BC8">
        <w:rPr>
          <w:i/>
          <w:iCs/>
        </w:rPr>
        <w:t xml:space="preserve">ex </w:t>
      </w:r>
      <w:proofErr w:type="spellStart"/>
      <w:r w:rsidR="00F03BC8" w:rsidRPr="00F03BC8">
        <w:rPr>
          <w:i/>
          <w:iCs/>
        </w:rPr>
        <w:t>parte</w:t>
      </w:r>
      <w:proofErr w:type="spellEnd"/>
      <w:r w:rsidR="00F03BC8">
        <w:t xml:space="preserve"> on the basis of evidence placed before the Court by the AFP</w:t>
      </w:r>
      <w:r w:rsidR="00FE2534">
        <w:t xml:space="preserve"> that Mr </w:t>
      </w:r>
      <w:proofErr w:type="spellStart"/>
      <w:r w:rsidR="00FE2534">
        <w:t>Causevic</w:t>
      </w:r>
      <w:proofErr w:type="spellEnd"/>
      <w:r w:rsidR="00FE2534">
        <w:t xml:space="preserve"> was not given an opportunity to challenge</w:t>
      </w:r>
      <w:r w:rsidR="00F03BC8">
        <w:t xml:space="preserve">.  </w:t>
      </w:r>
      <w:r>
        <w:t xml:space="preserve">The basis for making the order was </w:t>
      </w:r>
      <w:r w:rsidR="00DC2AB8">
        <w:t>an</w:t>
      </w:r>
      <w:r>
        <w:t xml:space="preserve"> allegation by the AFP that Mr </w:t>
      </w:r>
      <w:proofErr w:type="spellStart"/>
      <w:r>
        <w:t>Causevic</w:t>
      </w:r>
      <w:proofErr w:type="spellEnd"/>
      <w:r w:rsidR="00851A3C">
        <w:t xml:space="preserve"> had</w:t>
      </w:r>
      <w:r>
        <w:t xml:space="preserve"> </w:t>
      </w:r>
      <w:r w:rsidR="00A1327E">
        <w:t>‘planned to participate in a terrorist attack on Anzac Day 2015 at either the Shrine of Remembrance or the Dandenong RSL’.</w:t>
      </w:r>
      <w:r w:rsidR="009806D5">
        <w:rPr>
          <w:rStyle w:val="EndnoteReference"/>
        </w:rPr>
        <w:endnoteReference w:id="188"/>
      </w:r>
      <w:r w:rsidR="00A1327E">
        <w:t xml:space="preserve">  This was the offence that the CDPP had </w:t>
      </w:r>
      <w:r w:rsidR="009D4282">
        <w:t xml:space="preserve">already </w:t>
      </w:r>
      <w:r w:rsidR="0054710F">
        <w:t xml:space="preserve">assessed as having no reasonable prospects of conviction. </w:t>
      </w:r>
    </w:p>
    <w:p w14:paraId="1099B434" w14:textId="094757AB" w:rsidR="002A15A4" w:rsidRDefault="002A15A4" w:rsidP="002A15A4">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During the confirmation hearing</w:t>
      </w:r>
      <w:r w:rsidR="00DC2AB8">
        <w:t xml:space="preserve"> almost 10 months later</w:t>
      </w:r>
      <w:r>
        <w:t xml:space="preserve">, </w:t>
      </w:r>
      <w:r w:rsidR="005A57C3">
        <w:t xml:space="preserve">which was </w:t>
      </w:r>
      <w:r w:rsidR="000408BD">
        <w:t xml:space="preserve">the first opportunity to test the evidence relied on by the AFP, </w:t>
      </w:r>
      <w:r>
        <w:t xml:space="preserve">the Court </w:t>
      </w:r>
      <w:r w:rsidR="00DD7B1A">
        <w:t>found that</w:t>
      </w:r>
      <w:r>
        <w:t>:</w:t>
      </w:r>
    </w:p>
    <w:p w14:paraId="7F896180" w14:textId="235B3261" w:rsidR="00127F28" w:rsidRDefault="00AF7EE1"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despite extensive physical, telephonic and listening device surveillance Mr </w:t>
      </w:r>
      <w:proofErr w:type="spellStart"/>
      <w:r>
        <w:t>Causevic</w:t>
      </w:r>
      <w:proofErr w:type="spellEnd"/>
      <w:r>
        <w:t xml:space="preserve">, </w:t>
      </w:r>
      <w:r w:rsidR="002A15A4">
        <w:t xml:space="preserve">there was no direct evidence that </w:t>
      </w:r>
      <w:r>
        <w:t xml:space="preserve">he </w:t>
      </w:r>
      <w:r w:rsidR="00DD7B1A">
        <w:t>had any intention or plan to carry out a terrorist act</w:t>
      </w:r>
      <w:r w:rsidR="000C711B">
        <w:rPr>
          <w:rStyle w:val="EndnoteReference"/>
        </w:rPr>
        <w:endnoteReference w:id="189"/>
      </w:r>
    </w:p>
    <w:p w14:paraId="483C0BE8" w14:textId="7F63737A" w:rsidR="00DD7B1A" w:rsidRDefault="00DD7B1A"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there was no direct evidence that Mr </w:t>
      </w:r>
      <w:proofErr w:type="spellStart"/>
      <w:r>
        <w:t>Causevic</w:t>
      </w:r>
      <w:proofErr w:type="spellEnd"/>
      <w:r>
        <w:t xml:space="preserve"> </w:t>
      </w:r>
      <w:r w:rsidR="000C711B">
        <w:t>intended to assist in or knew of any plan to commit a terrorist act</w:t>
      </w:r>
      <w:r w:rsidR="00AF7EE1">
        <w:rPr>
          <w:rStyle w:val="EndnoteReference"/>
        </w:rPr>
        <w:endnoteReference w:id="190"/>
      </w:r>
    </w:p>
    <w:p w14:paraId="5CE81229" w14:textId="5CA14EA7" w:rsidR="00D01AC9" w:rsidRDefault="00EB0E5C"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the inference alleged by the AFP that Mr </w:t>
      </w:r>
      <w:proofErr w:type="spellStart"/>
      <w:r>
        <w:t>Causevic</w:t>
      </w:r>
      <w:proofErr w:type="spellEnd"/>
      <w:r>
        <w:t xml:space="preserve"> was conducting a ‘reconnaissance’ of the Shrine of Remembrance on 15 April 2015 could not be drawn</w:t>
      </w:r>
      <w:r w:rsidR="00E730AB">
        <w:rPr>
          <w:rStyle w:val="EndnoteReference"/>
        </w:rPr>
        <w:endnoteReference w:id="191"/>
      </w:r>
    </w:p>
    <w:p w14:paraId="09B87123" w14:textId="39043D57" w:rsidR="00EB0E5C" w:rsidRDefault="00BF5D47"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there was no basis for inferring that Mr </w:t>
      </w:r>
      <w:proofErr w:type="spellStart"/>
      <w:r>
        <w:t>Causevic</w:t>
      </w:r>
      <w:proofErr w:type="spellEnd"/>
      <w:r>
        <w:t xml:space="preserve"> conducted a ‘reconnaissance’ of the Dandenong RSL</w:t>
      </w:r>
      <w:r w:rsidR="009B6EAB">
        <w:t xml:space="preserve"> on 15 April 2015</w:t>
      </w:r>
      <w:r w:rsidR="00FE3606">
        <w:t>, as alleged by the AFP</w:t>
      </w:r>
      <w:r w:rsidR="001D3AAD">
        <w:t>.</w:t>
      </w:r>
      <w:r w:rsidR="0005700E">
        <w:rPr>
          <w:rStyle w:val="EndnoteReference"/>
        </w:rPr>
        <w:endnoteReference w:id="192"/>
      </w:r>
      <w:r>
        <w:t xml:space="preserve"> </w:t>
      </w:r>
    </w:p>
    <w:p w14:paraId="1EE861C5" w14:textId="0ED669D9" w:rsidR="001C50EC" w:rsidRDefault="006C4E81" w:rsidP="006C4E81">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lastRenderedPageBreak/>
        <w:t>The Court also rejected</w:t>
      </w:r>
      <w:r w:rsidR="00121C8C">
        <w:t>, on the balance of probabilities, other inferences suggested by the AFP</w:t>
      </w:r>
      <w:r w:rsidR="00E36415">
        <w:t>,</w:t>
      </w:r>
      <w:r w:rsidR="00121C8C">
        <w:t xml:space="preserve"> </w:t>
      </w:r>
      <w:r w:rsidR="00A701EC">
        <w:t>including that a reference to having an ‘arm wrestle’ was code for a</w:t>
      </w:r>
      <w:r w:rsidR="00AB66DE">
        <w:t xml:space="preserve"> plan to carry out an</w:t>
      </w:r>
      <w:r w:rsidR="00A701EC">
        <w:t xml:space="preserve"> act of violence</w:t>
      </w:r>
      <w:r w:rsidR="00AB66DE">
        <w:t>.</w:t>
      </w:r>
      <w:r w:rsidR="00727F8F">
        <w:rPr>
          <w:rStyle w:val="EndnoteReference"/>
        </w:rPr>
        <w:endnoteReference w:id="193"/>
      </w:r>
    </w:p>
    <w:p w14:paraId="3DF5B18B" w14:textId="268BFC1B" w:rsidR="007B2E1D" w:rsidRDefault="00A4574D" w:rsidP="006C4E81">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Court </w:t>
      </w:r>
      <w:r w:rsidR="00E86F27">
        <w:t>decided to confirm the control order</w:t>
      </w:r>
      <w:r w:rsidR="007B2E1D">
        <w:t xml:space="preserve"> but with some substantial modifications</w:t>
      </w:r>
      <w:r w:rsidR="00E86F27">
        <w:t xml:space="preserve">.  </w:t>
      </w:r>
    </w:p>
    <w:p w14:paraId="0BEA8482" w14:textId="46C0B316" w:rsidR="007B2E1D" w:rsidRDefault="00B521DC" w:rsidP="006C4E81">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Most significantly</w:t>
      </w:r>
      <w:r w:rsidR="007B2E1D">
        <w:t xml:space="preserve">, the confirmed control order no longer contained a requirement that Mr </w:t>
      </w:r>
      <w:proofErr w:type="spellStart"/>
      <w:r w:rsidR="007B2E1D">
        <w:t>Causevic</w:t>
      </w:r>
      <w:proofErr w:type="spellEnd"/>
      <w:r w:rsidR="007B2E1D">
        <w:t xml:space="preserve"> wear a tracking device.  This had been described by the AFP as ‘by far the single most important control in reducing the risk that the Respondent will carry out a terrorist act’.</w:t>
      </w:r>
      <w:r w:rsidR="007B2E1D">
        <w:rPr>
          <w:rStyle w:val="EndnoteReference"/>
        </w:rPr>
        <w:endnoteReference w:id="194"/>
      </w:r>
      <w:r w:rsidR="007B2E1D">
        <w:t xml:space="preserve">  Further, in light of the rejection of the allegation that Mr </w:t>
      </w:r>
      <w:proofErr w:type="spellStart"/>
      <w:r w:rsidR="007B2E1D">
        <w:t>Causevic</w:t>
      </w:r>
      <w:proofErr w:type="spellEnd"/>
      <w:r w:rsidR="007B2E1D">
        <w:t xml:space="preserve"> had been involved in a planned terrorist act, the confirmed control order no longer contained restrictions on him being near the Shrine of Remembrance or the Dandenong RSL.</w:t>
      </w:r>
    </w:p>
    <w:p w14:paraId="7CC7B458" w14:textId="04E1B538" w:rsidR="00CA6D71" w:rsidRDefault="00E86F27" w:rsidP="006C4E81">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basis for </w:t>
      </w:r>
      <w:r w:rsidR="00B521DC">
        <w:t xml:space="preserve">confirming that control order </w:t>
      </w:r>
      <w:r>
        <w:t>is not entirely clear</w:t>
      </w:r>
      <w:r w:rsidR="00B521DC">
        <w:t xml:space="preserve"> from the judgment</w:t>
      </w:r>
      <w:r>
        <w:t>.</w:t>
      </w:r>
      <w:r w:rsidR="00534B66">
        <w:t xml:space="preserve">  </w:t>
      </w:r>
      <w:r w:rsidR="004869C6">
        <w:t xml:space="preserve">The </w:t>
      </w:r>
      <w:r w:rsidR="00DC176A">
        <w:t xml:space="preserve">most significant issues from which adverse inferences were drawn in relation to Mr </w:t>
      </w:r>
      <w:proofErr w:type="spellStart"/>
      <w:r w:rsidR="00DC176A">
        <w:t>Causevic</w:t>
      </w:r>
      <w:proofErr w:type="spellEnd"/>
      <w:r w:rsidR="00DC176A">
        <w:t xml:space="preserve"> were that</w:t>
      </w:r>
      <w:r w:rsidR="00CA6D71">
        <w:t>:</w:t>
      </w:r>
    </w:p>
    <w:p w14:paraId="4330CC70" w14:textId="6AF95B9C" w:rsidR="00CA6D71" w:rsidRDefault="000D5AE4"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he had shown a ‘preoccu</w:t>
      </w:r>
      <w:r w:rsidR="00BE1977">
        <w:t>pation’ with Islamic State, which included downloading over 60 videos, the contents of which supported Islamic State</w:t>
      </w:r>
      <w:r w:rsidR="004E03D9">
        <w:t>, and watching some of them</w:t>
      </w:r>
      <w:r w:rsidR="006D5DD6">
        <w:t xml:space="preserve">; it was accepted that he </w:t>
      </w:r>
      <w:r w:rsidR="00454E39">
        <w:t xml:space="preserve">could not understand and </w:t>
      </w:r>
      <w:r w:rsidR="006D5DD6">
        <w:t xml:space="preserve">did not speak Arabic, but concern was raised about the images </w:t>
      </w:r>
      <w:r w:rsidR="00B557EF">
        <w:t xml:space="preserve">contained </w:t>
      </w:r>
      <w:r w:rsidR="006D5DD6">
        <w:t>in the videos</w:t>
      </w:r>
      <w:r w:rsidR="001C204A">
        <w:rPr>
          <w:rStyle w:val="EndnoteReference"/>
        </w:rPr>
        <w:endnoteReference w:id="195"/>
      </w:r>
    </w:p>
    <w:p w14:paraId="085215D0" w14:textId="441A7755" w:rsidR="00CA6D71" w:rsidRDefault="00CA6D71"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he </w:t>
      </w:r>
      <w:r w:rsidR="00246404">
        <w:t>had been ‘exposed to extreme interpretations of Islam’ through attending the Al-Furqan mos</w:t>
      </w:r>
      <w:r w:rsidR="00C46309">
        <w:t>que and</w:t>
      </w:r>
      <w:r w:rsidR="00DC63F5">
        <w:t xml:space="preserve"> spending time with ‘a group of friends known to have been radicalised’</w:t>
      </w:r>
      <w:r w:rsidR="00DC63F5">
        <w:rPr>
          <w:rStyle w:val="EndnoteReference"/>
        </w:rPr>
        <w:endnoteReference w:id="196"/>
      </w:r>
    </w:p>
    <w:p w14:paraId="6D98C1A5" w14:textId="185BA11E" w:rsidR="00534B66" w:rsidRDefault="00CA6D71"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he had </w:t>
      </w:r>
      <w:r w:rsidR="0027046B">
        <w:t>exhibited ‘hostile and concerning behaviours and attitude to the AFP, police and ASIO’</w:t>
      </w:r>
      <w:r w:rsidR="00E36415">
        <w:t>,</w:t>
      </w:r>
      <w:r w:rsidR="00177396">
        <w:t xml:space="preserve"> including staring at a police officer and spitting at a police van</w:t>
      </w:r>
      <w:r w:rsidR="0027046B">
        <w:t xml:space="preserve">; although it was accepted </w:t>
      </w:r>
      <w:r w:rsidR="0057692B">
        <w:t xml:space="preserve">that he had not </w:t>
      </w:r>
      <w:r w:rsidR="004A4D53">
        <w:t>made any threats</w:t>
      </w:r>
      <w:r w:rsidR="00DB4149">
        <w:t xml:space="preserve"> </w:t>
      </w:r>
      <w:r w:rsidR="00DC00D9">
        <w:t>of violence towards police</w:t>
      </w:r>
      <w:r w:rsidR="00FD6F47">
        <w:t>.</w:t>
      </w:r>
      <w:r w:rsidR="00E9761F">
        <w:rPr>
          <w:rStyle w:val="EndnoteReference"/>
        </w:rPr>
        <w:endnoteReference w:id="197"/>
      </w:r>
      <w:r w:rsidR="004A4D53">
        <w:t xml:space="preserve"> </w:t>
      </w:r>
    </w:p>
    <w:p w14:paraId="6DF3573F" w14:textId="36A2DBB3" w:rsidR="009B1503" w:rsidRDefault="00325185" w:rsidP="002D01F4">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There must be a real question whether an interim control order would have been granted if </w:t>
      </w:r>
      <w:r w:rsidR="00F22223">
        <w:t xml:space="preserve">this was the basis of the </w:t>
      </w:r>
      <w:r w:rsidR="00BF0E64">
        <w:t xml:space="preserve">initial </w:t>
      </w:r>
      <w:r w:rsidR="00F22223">
        <w:t>application.</w:t>
      </w:r>
    </w:p>
    <w:p w14:paraId="09D080D9" w14:textId="2570D229" w:rsidR="00FF024C" w:rsidRDefault="00FF024C" w:rsidP="002D01F4">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control order expired around two months after it was confirmed.  No further control order was sought in relation to Mr </w:t>
      </w:r>
      <w:proofErr w:type="spellStart"/>
      <w:r>
        <w:t>Causevic</w:t>
      </w:r>
      <w:proofErr w:type="spellEnd"/>
      <w:r>
        <w:t xml:space="preserve">. </w:t>
      </w:r>
    </w:p>
    <w:p w14:paraId="752E8551" w14:textId="3E81584E" w:rsidR="000A1D1A" w:rsidRDefault="000A1D1A" w:rsidP="000E2D9A">
      <w:pPr>
        <w:pStyle w:val="ListNumber2"/>
        <w:tabs>
          <w:tab w:val="clear" w:pos="643"/>
          <w:tab w:val="num" w:pos="1080"/>
        </w:tabs>
        <w:ind w:left="1080" w:hanging="797"/>
      </w:pPr>
      <w:r>
        <w:lastRenderedPageBreak/>
        <w:t xml:space="preserve">Dr David Neal </w:t>
      </w:r>
      <w:r w:rsidR="006B25ED">
        <w:t xml:space="preserve">SC, who acted for Mr </w:t>
      </w:r>
      <w:proofErr w:type="spellStart"/>
      <w:r w:rsidR="006B25ED">
        <w:t>Causevic</w:t>
      </w:r>
      <w:proofErr w:type="spellEnd"/>
      <w:r w:rsidR="00AB7079">
        <w:t>,</w:t>
      </w:r>
      <w:r w:rsidR="006B25ED">
        <w:t xml:space="preserve"> gave evidence to the PJCIS during the last review of the control order provisions.  He </w:t>
      </w:r>
      <w:r w:rsidR="004221E9">
        <w:t>described the extensive resources that had been used in relation to this case</w:t>
      </w:r>
      <w:r w:rsidR="00F9393A">
        <w:t xml:space="preserve">, </w:t>
      </w:r>
      <w:r w:rsidR="00536943">
        <w:t xml:space="preserve">including telecommunications </w:t>
      </w:r>
      <w:r w:rsidR="00A8684E">
        <w:t xml:space="preserve">interception </w:t>
      </w:r>
      <w:r w:rsidR="00536943">
        <w:t>warrants and physical surveillance</w:t>
      </w:r>
      <w:r w:rsidR="00F939E4">
        <w:t>—</w:t>
      </w:r>
      <w:r w:rsidR="00C36AAF">
        <w:t xml:space="preserve">teams of </w:t>
      </w:r>
      <w:r w:rsidR="00F3765E">
        <w:t xml:space="preserve">police </w:t>
      </w:r>
      <w:r w:rsidR="00C36AAF">
        <w:t xml:space="preserve">officers following Mr </w:t>
      </w:r>
      <w:proofErr w:type="spellStart"/>
      <w:r w:rsidR="00C36AAF">
        <w:t>Causevic</w:t>
      </w:r>
      <w:proofErr w:type="spellEnd"/>
      <w:r w:rsidR="00C36AAF">
        <w:t xml:space="preserve"> </w:t>
      </w:r>
      <w:r w:rsidR="0034787D">
        <w:t>while he was driving on 1</w:t>
      </w:r>
      <w:r w:rsidR="00A8684E">
        <w:t>5</w:t>
      </w:r>
      <w:r w:rsidR="0034787D">
        <w:t xml:space="preserve"> April 2015</w:t>
      </w:r>
      <w:r w:rsidR="00F939E4">
        <w:t>—</w:t>
      </w:r>
      <w:r w:rsidR="00F9393A">
        <w:t xml:space="preserve">and concluded that if a </w:t>
      </w:r>
      <w:r w:rsidR="00854552">
        <w:t xml:space="preserve">successful prosecution could not be mounted </w:t>
      </w:r>
      <w:r w:rsidR="00C115F2">
        <w:t xml:space="preserve">following </w:t>
      </w:r>
      <w:r w:rsidR="00A45CF6">
        <w:t xml:space="preserve">such a </w:t>
      </w:r>
      <w:r w:rsidR="003E482C">
        <w:t xml:space="preserve">significant </w:t>
      </w:r>
      <w:r w:rsidR="00A45CF6">
        <w:t xml:space="preserve">exercise, then </w:t>
      </w:r>
      <w:r w:rsidR="00D02B6C">
        <w:t xml:space="preserve">no further restrictions on the liberty of his client were reasonably justified: </w:t>
      </w:r>
    </w:p>
    <w:p w14:paraId="651377A9" w14:textId="7AF7D75E" w:rsidR="00D02B6C" w:rsidRPr="00815B52" w:rsidRDefault="00D02B6C" w:rsidP="00D02B6C">
      <w:pPr>
        <w:pStyle w:val="ListNumber2"/>
        <w:numPr>
          <w:ilvl w:val="0"/>
          <w:numId w:val="0"/>
        </w:numPr>
        <w:ind w:left="1440"/>
        <w:rPr>
          <w:sz w:val="22"/>
          <w:szCs w:val="22"/>
        </w:rPr>
      </w:pPr>
      <w:r w:rsidRPr="00815B52">
        <w:rPr>
          <w:sz w:val="22"/>
          <w:szCs w:val="22"/>
        </w:rPr>
        <w:t xml:space="preserve">There were some thousands of pages of intercepts, computer analysis, telephone and physical observations and so on.  If that </w:t>
      </w:r>
      <w:r w:rsidR="003E482C" w:rsidRPr="00815B52">
        <w:rPr>
          <w:sz w:val="22"/>
          <w:szCs w:val="22"/>
        </w:rPr>
        <w:t xml:space="preserve">doesn’t establish enough to show that you are preparing to do a terrorist act, we’d say that’s where the balance or the line </w:t>
      </w:r>
      <w:r w:rsidR="00815B52" w:rsidRPr="00815B52">
        <w:rPr>
          <w:sz w:val="22"/>
          <w:szCs w:val="22"/>
        </w:rPr>
        <w:t>should be drawn between the need for security and the protection of individuals.</w:t>
      </w:r>
      <w:r w:rsidR="00815B52">
        <w:rPr>
          <w:rStyle w:val="EndnoteReference"/>
          <w:szCs w:val="22"/>
        </w:rPr>
        <w:endnoteReference w:id="198"/>
      </w:r>
    </w:p>
    <w:p w14:paraId="10F2E119" w14:textId="38A4A3E0" w:rsidR="000E2D9A" w:rsidRDefault="005E1F7D" w:rsidP="000E2D9A">
      <w:pPr>
        <w:pStyle w:val="ListNumber2"/>
        <w:tabs>
          <w:tab w:val="clear" w:pos="643"/>
          <w:tab w:val="num" w:pos="1080"/>
        </w:tabs>
        <w:ind w:left="1080" w:hanging="797"/>
      </w:pPr>
      <w:r>
        <w:t>For completeness</w:t>
      </w:r>
      <w:r w:rsidR="00326FA5">
        <w:t>,</w:t>
      </w:r>
      <w:r>
        <w:t xml:space="preserve"> in relation to </w:t>
      </w:r>
      <w:r w:rsidR="001C5195">
        <w:t>category (a)</w:t>
      </w:r>
      <w:r w:rsidR="009037F7">
        <w:t xml:space="preserve"> referred to in paragraph </w:t>
      </w:r>
      <w:r w:rsidR="009037F7">
        <w:fldChar w:fldCharType="begin"/>
      </w:r>
      <w:r w:rsidR="009037F7">
        <w:instrText xml:space="preserve"> REF _Ref49178157 \r \h </w:instrText>
      </w:r>
      <w:r w:rsidR="009037F7">
        <w:fldChar w:fldCharType="separate"/>
      </w:r>
      <w:r w:rsidR="00381A9B">
        <w:t>154</w:t>
      </w:r>
      <w:r w:rsidR="009037F7">
        <w:fldChar w:fldCharType="end"/>
      </w:r>
      <w:r w:rsidR="009037F7">
        <w:t xml:space="preserve"> above</w:t>
      </w:r>
      <w:r w:rsidR="001C5195">
        <w:t>, t</w:t>
      </w:r>
      <w:r w:rsidR="000E2D9A">
        <w:t xml:space="preserve">he COAG </w:t>
      </w:r>
      <w:r w:rsidR="00693B4F">
        <w:t xml:space="preserve">Review </w:t>
      </w:r>
      <w:r w:rsidR="000E2D9A">
        <w:t xml:space="preserve">Committee </w:t>
      </w:r>
      <w:r w:rsidR="001C5195">
        <w:t xml:space="preserve">suggested that </w:t>
      </w:r>
      <w:r w:rsidR="00CE3467">
        <w:t xml:space="preserve">control orders may be necessary </w:t>
      </w:r>
      <w:r w:rsidR="000A02B3">
        <w:t xml:space="preserve">where a person is not arrested for a terrorism offence </w:t>
      </w:r>
      <w:r w:rsidR="005665A9">
        <w:t xml:space="preserve">because the prosecution is unwilling or unable to rely on </w:t>
      </w:r>
      <w:r w:rsidR="00DB66AF">
        <w:t xml:space="preserve">intelligence </w:t>
      </w:r>
      <w:r w:rsidR="003F37A4">
        <w:t>it has because</w:t>
      </w:r>
      <w:r w:rsidR="000E2D9A">
        <w:t xml:space="preserve"> ‘the information comes from a source that needs to be protected’ or the information has been ‘obtained through intelligence exchanged at the international level, thus embodying a need for confidentiality’.</w:t>
      </w:r>
      <w:r w:rsidR="002036F6">
        <w:rPr>
          <w:rStyle w:val="EndnoteReference"/>
        </w:rPr>
        <w:endnoteReference w:id="199"/>
      </w:r>
      <w:r w:rsidR="000E2D9A">
        <w:t xml:space="preserve">  </w:t>
      </w:r>
      <w:r w:rsidR="0096361D">
        <w:t xml:space="preserve">There are two answers to this proposition.  The first is that </w:t>
      </w:r>
      <w:r w:rsidR="001C46C1">
        <w:t xml:space="preserve">evidence that has national security implications can be protected in criminal proceedings through the </w:t>
      </w:r>
      <w:r w:rsidR="002A4422">
        <w:t>NSI Act</w:t>
      </w:r>
      <w:r w:rsidR="00D020C0">
        <w:t xml:space="preserve">.  </w:t>
      </w:r>
      <w:r w:rsidR="002C0312">
        <w:t xml:space="preserve">A controversial example of where </w:t>
      </w:r>
      <w:r w:rsidR="007C61BF">
        <w:t>this process has</w:t>
      </w:r>
      <w:r w:rsidR="002C0312">
        <w:t xml:space="preserve"> been used recently is in the prosecution of </w:t>
      </w:r>
      <w:r w:rsidR="000E60C1">
        <w:t xml:space="preserve">‘Witness K’ and </w:t>
      </w:r>
      <w:r w:rsidR="002C0312">
        <w:t xml:space="preserve">Mr Bernard </w:t>
      </w:r>
      <w:proofErr w:type="spellStart"/>
      <w:r w:rsidR="002C0312">
        <w:t>Coll</w:t>
      </w:r>
      <w:r w:rsidR="00BC1840">
        <w:t>ae</w:t>
      </w:r>
      <w:r w:rsidR="002C0312">
        <w:t>ry</w:t>
      </w:r>
      <w:proofErr w:type="spellEnd"/>
      <w:r w:rsidR="002C0312">
        <w:t>.</w:t>
      </w:r>
      <w:r w:rsidR="00DD05CB">
        <w:rPr>
          <w:rStyle w:val="EndnoteReference"/>
        </w:rPr>
        <w:endnoteReference w:id="200"/>
      </w:r>
      <w:r w:rsidR="002C0312">
        <w:t xml:space="preserve">  </w:t>
      </w:r>
      <w:r w:rsidR="00326FA5">
        <w:t>T</w:t>
      </w:r>
      <w:r w:rsidR="00423DD1">
        <w:t xml:space="preserve">he application of </w:t>
      </w:r>
      <w:r w:rsidR="000E60C1">
        <w:t>the NSI</w:t>
      </w:r>
      <w:r w:rsidR="00423DD1">
        <w:t xml:space="preserve"> Act</w:t>
      </w:r>
      <w:r w:rsidR="00326FA5">
        <w:t>—in that case and more generally—</w:t>
      </w:r>
      <w:r w:rsidR="00D020C0">
        <w:t xml:space="preserve">raises other human rights issues, </w:t>
      </w:r>
      <w:r w:rsidR="00326FA5">
        <w:t>but</w:t>
      </w:r>
      <w:r w:rsidR="001773C3">
        <w:t xml:space="preserve"> </w:t>
      </w:r>
      <w:r w:rsidR="00326FA5">
        <w:t xml:space="preserve">the Commission </w:t>
      </w:r>
      <w:r w:rsidR="001773C3">
        <w:t>does not here express a view on those</w:t>
      </w:r>
      <w:r w:rsidR="00DD46BF">
        <w:t xml:space="preserve"> issues</w:t>
      </w:r>
      <w:r w:rsidR="00326FA5">
        <w:t>. For present purposes</w:t>
      </w:r>
      <w:r w:rsidR="008C2BB0">
        <w:t>, it suffices to say that where evidence</w:t>
      </w:r>
      <w:r w:rsidR="0081360D">
        <w:t xml:space="preserve"> in a criminal trial </w:t>
      </w:r>
      <w:r w:rsidR="008C2BB0">
        <w:t xml:space="preserve">is sensitive for national security reasons, the NSI Act contains robust provisions to protect the confidentiality of that information without preventing the continuation of the prosecution. These provisions </w:t>
      </w:r>
      <w:r w:rsidR="00423DD1">
        <w:t xml:space="preserve">undermine the </w:t>
      </w:r>
      <w:r w:rsidR="008C2BB0">
        <w:t xml:space="preserve">claimed </w:t>
      </w:r>
      <w:r w:rsidR="00423DD1">
        <w:t>need for control orders in these situations</w:t>
      </w:r>
      <w:r w:rsidR="001D5EC4">
        <w:t xml:space="preserve">.  </w:t>
      </w:r>
      <w:r w:rsidR="00A418D5">
        <w:t>The second answer is that if</w:t>
      </w:r>
      <w:r w:rsidR="00393C0F">
        <w:t>, despite the NSI Act,</w:t>
      </w:r>
      <w:r w:rsidR="00A418D5">
        <w:t xml:space="preserve"> the </w:t>
      </w:r>
      <w:r w:rsidR="00E31F34">
        <w:t xml:space="preserve">authorities are </w:t>
      </w:r>
      <w:r w:rsidR="00A418D5">
        <w:t xml:space="preserve">unwilling to rely on this </w:t>
      </w:r>
      <w:r w:rsidR="005D277D">
        <w:t xml:space="preserve">kind of </w:t>
      </w:r>
      <w:r w:rsidR="00A418D5">
        <w:t xml:space="preserve">evidence in a </w:t>
      </w:r>
      <w:r w:rsidR="00E31F34">
        <w:t xml:space="preserve">prosecution of an alleged offender, </w:t>
      </w:r>
      <w:r w:rsidR="006A0107">
        <w:t xml:space="preserve">there does not seem to be any reason </w:t>
      </w:r>
      <w:r w:rsidR="00E31F34">
        <w:t xml:space="preserve">why </w:t>
      </w:r>
      <w:r w:rsidR="006A0107">
        <w:t xml:space="preserve">they </w:t>
      </w:r>
      <w:r w:rsidR="00E31F34">
        <w:t>would put this evidence forward in support of an application for a control order</w:t>
      </w:r>
      <w:r w:rsidR="006A0107">
        <w:t xml:space="preserve">. </w:t>
      </w:r>
    </w:p>
    <w:p w14:paraId="1E980595" w14:textId="7F9D3E99" w:rsidR="00FE1CC8" w:rsidRDefault="000A66E5" w:rsidP="002B0976">
      <w:pPr>
        <w:pStyle w:val="ListNumber2"/>
        <w:tabs>
          <w:tab w:val="clear" w:pos="643"/>
          <w:tab w:val="num" w:pos="1080"/>
        </w:tabs>
        <w:ind w:left="1080" w:hanging="797"/>
      </w:pPr>
      <w:r>
        <w:lastRenderedPageBreak/>
        <w:t xml:space="preserve">The remaining situation in which control orders have been proposed is category (b) described </w:t>
      </w:r>
      <w:r w:rsidR="00A23316">
        <w:t xml:space="preserve">in paragraph </w:t>
      </w:r>
      <w:r w:rsidR="00A23316">
        <w:fldChar w:fldCharType="begin"/>
      </w:r>
      <w:r w:rsidR="00A23316">
        <w:instrText xml:space="preserve"> REF _Ref49178157 \r \h </w:instrText>
      </w:r>
      <w:r w:rsidR="00A23316">
        <w:fldChar w:fldCharType="separate"/>
      </w:r>
      <w:r w:rsidR="00381A9B">
        <w:t>154</w:t>
      </w:r>
      <w:r w:rsidR="00A23316">
        <w:fldChar w:fldCharType="end"/>
      </w:r>
      <w:r w:rsidR="00A23316">
        <w:t xml:space="preserve"> </w:t>
      </w:r>
      <w:r>
        <w:t>above</w:t>
      </w:r>
      <w:r w:rsidR="00AC355C">
        <w:t xml:space="preserve">: a ‘second attempt’ following an unsuccessful prosecution.  This option was also supported by the COAG Review Committee, although on a narrower basis.  The Committee said that </w:t>
      </w:r>
      <w:r w:rsidR="00FE1CC8">
        <w:t>control orders should only be available in these circumstances ‘where a person has been acquitted of a terrorist offence on a purely technical ground, or where the intelligence/evidence pointing to terrorist activity has been rejected otherwise than on the merits</w:t>
      </w:r>
      <w:r w:rsidR="00723247">
        <w:t>’</w:t>
      </w:r>
      <w:r w:rsidR="00FE1CC8">
        <w:t>.</w:t>
      </w:r>
      <w:r w:rsidR="00FE1CC8">
        <w:rPr>
          <w:rStyle w:val="EndnoteReference"/>
        </w:rPr>
        <w:endnoteReference w:id="201"/>
      </w:r>
    </w:p>
    <w:p w14:paraId="481FB18C" w14:textId="3FF827CE" w:rsidR="00956E91" w:rsidRDefault="001E5326" w:rsidP="00F567D2">
      <w:pPr>
        <w:pStyle w:val="ListNumber2"/>
        <w:tabs>
          <w:tab w:val="clear" w:pos="643"/>
          <w:tab w:val="num" w:pos="1080"/>
        </w:tabs>
        <w:ind w:left="1080" w:hanging="797"/>
      </w:pPr>
      <w:r>
        <w:t xml:space="preserve">The </w:t>
      </w:r>
      <w:r w:rsidR="00D77B36">
        <w:t xml:space="preserve">COAG </w:t>
      </w:r>
      <w:r w:rsidR="00E2268A">
        <w:t>Review</w:t>
      </w:r>
      <w:r w:rsidR="00D77B36">
        <w:t xml:space="preserve"> Committee accepted that </w:t>
      </w:r>
      <w:r w:rsidR="00F567D2">
        <w:t xml:space="preserve">this </w:t>
      </w:r>
      <w:r w:rsidR="00D77B36">
        <w:t xml:space="preserve">category </w:t>
      </w:r>
      <w:r w:rsidR="00E52199">
        <w:t>would be</w:t>
      </w:r>
      <w:r w:rsidR="00D77B36">
        <w:t xml:space="preserve"> ‘highly contentious’.</w:t>
      </w:r>
      <w:r w:rsidR="00BC7B0C" w:rsidRPr="00F567D2">
        <w:rPr>
          <w:sz w:val="20"/>
          <w:szCs w:val="20"/>
          <w:vertAlign w:val="superscript"/>
        </w:rPr>
        <w:endnoteReference w:id="202"/>
      </w:r>
      <w:r w:rsidR="00D77B36">
        <w:t xml:space="preserve">  The Commission agrees</w:t>
      </w:r>
      <w:r w:rsidR="00B407D5">
        <w:t>.  It is not clear who should be able to decide whether the acquittal was on a ‘purely technical’ ground</w:t>
      </w:r>
      <w:r w:rsidR="00670812">
        <w:t xml:space="preserve"> or that </w:t>
      </w:r>
      <w:r w:rsidR="00521614">
        <w:t xml:space="preserve">the </w:t>
      </w:r>
      <w:r w:rsidR="0006038E">
        <w:t xml:space="preserve">case brought by prosecutors was rejected ‘otherwise than on the merits’.  </w:t>
      </w:r>
      <w:r w:rsidR="00282D68">
        <w:t>The suggestion seems to be</w:t>
      </w:r>
      <w:r w:rsidR="00D77B36">
        <w:t xml:space="preserve"> that control orders should be available </w:t>
      </w:r>
      <w:r w:rsidR="00AF0CD2">
        <w:t xml:space="preserve">on the basis that </w:t>
      </w:r>
      <w:r w:rsidR="00132810">
        <w:t xml:space="preserve">investigators or </w:t>
      </w:r>
      <w:r w:rsidR="00AF0CD2">
        <w:t xml:space="preserve">prosecutors were </w:t>
      </w:r>
      <w:r w:rsidR="00132810">
        <w:t>dissatisfied in some way</w:t>
      </w:r>
      <w:r w:rsidR="00AF0CD2">
        <w:t xml:space="preserve"> with the reasons why a person was acquitted of a criminal offence.</w:t>
      </w:r>
    </w:p>
    <w:p w14:paraId="6A18B539" w14:textId="6A5715BA" w:rsidR="00816BF2" w:rsidRDefault="00816BF2" w:rsidP="00F567D2">
      <w:pPr>
        <w:pStyle w:val="ListNumber2"/>
        <w:tabs>
          <w:tab w:val="clear" w:pos="643"/>
          <w:tab w:val="num" w:pos="1080"/>
        </w:tabs>
        <w:ind w:left="1080" w:hanging="797"/>
      </w:pPr>
      <w:r>
        <w:t xml:space="preserve">From a rule of law perspective, it </w:t>
      </w:r>
      <w:r w:rsidR="0017383D">
        <w:t xml:space="preserve">is highly problematic to </w:t>
      </w:r>
      <w:r w:rsidR="00CB62BF">
        <w:t xml:space="preserve">subject a person to restraints on their liberty based on </w:t>
      </w:r>
      <w:r w:rsidR="00E50565">
        <w:t xml:space="preserve">conduct said to be related to a terrorist act when </w:t>
      </w:r>
      <w:r w:rsidR="002D407C">
        <w:t>the evidence supporting those allegations has been considered and rejected in criminal proceedings.</w:t>
      </w:r>
    </w:p>
    <w:p w14:paraId="5FDBCCCB" w14:textId="15129C8A" w:rsidR="00EC7BEF" w:rsidRDefault="00EC7BEF" w:rsidP="00F567D2">
      <w:pPr>
        <w:pStyle w:val="ListNumber2"/>
        <w:tabs>
          <w:tab w:val="clear" w:pos="643"/>
          <w:tab w:val="num" w:pos="1080"/>
        </w:tabs>
        <w:ind w:left="1080" w:hanging="797"/>
      </w:pPr>
      <w:r>
        <w:t xml:space="preserve">One example of a case falling within category (b) is that of </w:t>
      </w:r>
      <w:r w:rsidR="001827A1">
        <w:t>Mr</w:t>
      </w:r>
      <w:r>
        <w:t xml:space="preserve"> Thomas discussed above, who was acquitted of </w:t>
      </w:r>
      <w:r w:rsidR="00FD562B">
        <w:t>any terrorism offence but then subjected to a control order.  The first INSLM</w:t>
      </w:r>
      <w:r w:rsidR="000B6AE0">
        <w:t>, having considered both classified and non-classified information,</w:t>
      </w:r>
      <w:r w:rsidR="00FD562B">
        <w:t xml:space="preserve"> found </w:t>
      </w:r>
      <w:r w:rsidR="00CA1B5E">
        <w:t xml:space="preserve">no evidence that Australia was made appreciably safer by the existence </w:t>
      </w:r>
      <w:r w:rsidR="000B6AE0">
        <w:t xml:space="preserve">of that control order. </w:t>
      </w:r>
    </w:p>
    <w:p w14:paraId="193E9F0D" w14:textId="03BBBE1E" w:rsidR="00A57879" w:rsidRDefault="00FD562B" w:rsidP="00F567D2">
      <w:pPr>
        <w:pStyle w:val="ListNumber2"/>
        <w:tabs>
          <w:tab w:val="clear" w:pos="643"/>
          <w:tab w:val="num" w:pos="1080"/>
        </w:tabs>
        <w:ind w:left="1080" w:hanging="797"/>
        <w:rPr>
          <w:lang w:val="en-US"/>
        </w:rPr>
      </w:pPr>
      <w:r>
        <w:t xml:space="preserve">Another case </w:t>
      </w:r>
      <w:r w:rsidR="00E81D0E">
        <w:t xml:space="preserve">potentially </w:t>
      </w:r>
      <w:r>
        <w:t xml:space="preserve">falling within category (b) is that of </w:t>
      </w:r>
      <w:proofErr w:type="spellStart"/>
      <w:r w:rsidRPr="00AE7F68">
        <w:rPr>
          <w:lang w:val="en-US"/>
        </w:rPr>
        <w:t>Ms</w:t>
      </w:r>
      <w:proofErr w:type="spellEnd"/>
      <w:r w:rsidRPr="00AE7F68">
        <w:rPr>
          <w:lang w:val="en-US"/>
        </w:rPr>
        <w:t xml:space="preserve"> </w:t>
      </w:r>
      <w:r w:rsidRPr="00AE7F68">
        <w:t>Zainab</w:t>
      </w:r>
      <w:r w:rsidRPr="00AE7F68">
        <w:rPr>
          <w:lang w:val="en-US"/>
        </w:rPr>
        <w:t xml:space="preserve"> Abdirahman-Khalif</w:t>
      </w:r>
      <w:r w:rsidR="00E81D0E">
        <w:rPr>
          <w:lang w:val="en-US"/>
        </w:rPr>
        <w:t>, noting that her acquittal it is currently the subject of a</w:t>
      </w:r>
      <w:r w:rsidR="004C5AC8">
        <w:rPr>
          <w:lang w:val="en-US"/>
        </w:rPr>
        <w:t xml:space="preserve">n </w:t>
      </w:r>
      <w:r w:rsidR="00E81D0E">
        <w:rPr>
          <w:lang w:val="en-US"/>
        </w:rPr>
        <w:t xml:space="preserve">appeal </w:t>
      </w:r>
      <w:r w:rsidR="004C5AC8">
        <w:rPr>
          <w:lang w:val="en-US"/>
        </w:rPr>
        <w:t xml:space="preserve">by the Crown </w:t>
      </w:r>
      <w:r w:rsidR="00E81D0E">
        <w:rPr>
          <w:lang w:val="en-US"/>
        </w:rPr>
        <w:t xml:space="preserve">to the High Court. </w:t>
      </w:r>
    </w:p>
    <w:p w14:paraId="7C6D2F47" w14:textId="76DDDA57" w:rsidR="00FD562B" w:rsidRPr="00A57879" w:rsidRDefault="00A57879" w:rsidP="00A57879">
      <w:pPr>
        <w:spacing w:before="0" w:after="0"/>
        <w:rPr>
          <w:lang w:val="en-US"/>
        </w:rPr>
      </w:pPr>
      <w:r>
        <w:rPr>
          <w:lang w:val="en-US"/>
        </w:rPr>
        <w:br w:type="page"/>
      </w:r>
    </w:p>
    <w:p w14:paraId="7997217F" w14:textId="56141C82" w:rsidR="00AF0CD2" w:rsidRDefault="00FD562B" w:rsidP="00E975C2">
      <w:pPr>
        <w:pStyle w:val="ListNumber2"/>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b/>
          <w:bCs/>
          <w:lang w:val="en-US"/>
        </w:rPr>
      </w:pPr>
      <w:r w:rsidRPr="00FD562B">
        <w:rPr>
          <w:b/>
          <w:bCs/>
          <w:lang w:val="en-US"/>
        </w:rPr>
        <w:lastRenderedPageBreak/>
        <w:t xml:space="preserve">Case study </w:t>
      </w:r>
      <w:r w:rsidR="00767555">
        <w:rPr>
          <w:b/>
          <w:bCs/>
          <w:lang w:val="en-US"/>
        </w:rPr>
        <w:t>5</w:t>
      </w:r>
      <w:r w:rsidRPr="00FD562B">
        <w:rPr>
          <w:b/>
          <w:bCs/>
          <w:lang w:val="en-US"/>
        </w:rPr>
        <w:t xml:space="preserve">: </w:t>
      </w:r>
      <w:proofErr w:type="spellStart"/>
      <w:r w:rsidRPr="00FD562B">
        <w:rPr>
          <w:b/>
          <w:bCs/>
          <w:lang w:val="en-US"/>
        </w:rPr>
        <w:t>Ms</w:t>
      </w:r>
      <w:proofErr w:type="spellEnd"/>
      <w:r w:rsidRPr="00FD562B">
        <w:rPr>
          <w:b/>
          <w:bCs/>
          <w:lang w:val="en-US"/>
        </w:rPr>
        <w:t xml:space="preserve"> </w:t>
      </w:r>
      <w:r w:rsidRPr="00FD562B">
        <w:rPr>
          <w:b/>
          <w:bCs/>
        </w:rPr>
        <w:t>Zainab</w:t>
      </w:r>
      <w:r w:rsidRPr="00FD562B">
        <w:rPr>
          <w:b/>
          <w:bCs/>
          <w:lang w:val="en-US"/>
        </w:rPr>
        <w:t xml:space="preserve"> Abdirahman-Khalif</w:t>
      </w:r>
    </w:p>
    <w:p w14:paraId="31471F17" w14:textId="09FE2891" w:rsidR="00D30C0D" w:rsidRDefault="00005B44"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proofErr w:type="spellStart"/>
      <w:r w:rsidRPr="00005B44">
        <w:rPr>
          <w:lang w:val="en-US"/>
        </w:rPr>
        <w:t>Ms</w:t>
      </w:r>
      <w:proofErr w:type="spellEnd"/>
      <w:r w:rsidRPr="00005B44">
        <w:rPr>
          <w:lang w:val="en-US"/>
        </w:rPr>
        <w:t xml:space="preserve"> Abdirahman-Khalif</w:t>
      </w:r>
      <w:r w:rsidRPr="00005B44">
        <w:t xml:space="preserve"> was </w:t>
      </w:r>
      <w:r w:rsidR="00D30C0D">
        <w:t xml:space="preserve">born in a refugee camp near Mombasa in Kenya to Somali parents.  She </w:t>
      </w:r>
      <w:r w:rsidR="003572A8">
        <w:t xml:space="preserve">immigrated to </w:t>
      </w:r>
      <w:r w:rsidR="00D30C0D">
        <w:t xml:space="preserve">Australia </w:t>
      </w:r>
      <w:r w:rsidR="00B73B73">
        <w:t xml:space="preserve">as a refugee with her mother </w:t>
      </w:r>
      <w:r w:rsidR="00FA4D84">
        <w:t xml:space="preserve">and two brothers </w:t>
      </w:r>
      <w:r w:rsidR="00B73B73">
        <w:t xml:space="preserve">when she was 14 years old. </w:t>
      </w:r>
      <w:r w:rsidR="00FA4D84">
        <w:t xml:space="preserve"> She obtained Australian citizenship in 2015.</w:t>
      </w:r>
    </w:p>
    <w:p w14:paraId="637BA63F" w14:textId="765DD573" w:rsidR="004C6508" w:rsidRDefault="00B73B73"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She was </w:t>
      </w:r>
      <w:r w:rsidR="00BA5CF9">
        <w:t xml:space="preserve">detained at Adelaide Airport on </w:t>
      </w:r>
      <w:r w:rsidR="00F2226E">
        <w:t xml:space="preserve">14 July 2016 </w:t>
      </w:r>
      <w:proofErr w:type="spellStart"/>
      <w:r w:rsidR="00244BC8">
        <w:t>en</w:t>
      </w:r>
      <w:proofErr w:type="spellEnd"/>
      <w:r w:rsidR="00244BC8">
        <w:t xml:space="preserve"> route to Turkey.  </w:t>
      </w:r>
      <w:r w:rsidR="005A19FA">
        <w:t xml:space="preserve">At the time, she was </w:t>
      </w:r>
      <w:r w:rsidR="00D62665">
        <w:t>21</w:t>
      </w:r>
      <w:r w:rsidR="005A19FA">
        <w:t xml:space="preserve"> years old.  </w:t>
      </w:r>
      <w:r w:rsidR="00244BC8">
        <w:t>Her mobile phone was seized</w:t>
      </w:r>
      <w:r w:rsidR="00B1738A">
        <w:t xml:space="preserve">.  The following </w:t>
      </w:r>
      <w:proofErr w:type="gramStart"/>
      <w:r w:rsidR="00B1738A">
        <w:t>morning</w:t>
      </w:r>
      <w:proofErr w:type="gramEnd"/>
      <w:r w:rsidR="00244BC8">
        <w:t xml:space="preserve"> </w:t>
      </w:r>
      <w:r w:rsidR="004C6508">
        <w:t xml:space="preserve">she was released without charge.  An analysis of her phone showed </w:t>
      </w:r>
      <w:r w:rsidR="00472DAE" w:rsidRPr="00472DAE">
        <w:t>that it contained hundreds of images of Islamic State propaganda and extremist material</w:t>
      </w:r>
      <w:r w:rsidR="00472DAE">
        <w:t>.</w:t>
      </w:r>
    </w:p>
    <w:p w14:paraId="37903F9D" w14:textId="312429E0" w:rsidR="00E1591D" w:rsidRDefault="00E1591D"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After she was released, she communicated with</w:t>
      </w:r>
      <w:r w:rsidR="008253C1">
        <w:t xml:space="preserve"> </w:t>
      </w:r>
      <w:r w:rsidR="005C3C22">
        <w:t xml:space="preserve">three </w:t>
      </w:r>
      <w:r w:rsidR="008253C1">
        <w:t>other</w:t>
      </w:r>
      <w:r>
        <w:t xml:space="preserve"> young women in Mombasa</w:t>
      </w:r>
      <w:r w:rsidR="004711D8">
        <w:t>.  Those women</w:t>
      </w:r>
      <w:r>
        <w:t xml:space="preserve"> </w:t>
      </w:r>
      <w:r w:rsidR="007A7447">
        <w:t xml:space="preserve">were </w:t>
      </w:r>
      <w:r>
        <w:t xml:space="preserve">subsequently </w:t>
      </w:r>
      <w:r w:rsidR="007A7447">
        <w:t xml:space="preserve">killed </w:t>
      </w:r>
      <w:r w:rsidR="00E61B14">
        <w:t xml:space="preserve">while </w:t>
      </w:r>
      <w:r w:rsidR="007A7447">
        <w:t xml:space="preserve">attacking </w:t>
      </w:r>
      <w:r>
        <w:t>the Mombasa police station on 11</w:t>
      </w:r>
      <w:r w:rsidR="00A716C3">
        <w:t xml:space="preserve"> </w:t>
      </w:r>
      <w:r>
        <w:t>September 2016</w:t>
      </w:r>
      <w:r w:rsidR="00E61B14">
        <w:t>.</w:t>
      </w:r>
    </w:p>
    <w:p w14:paraId="46C89ADE" w14:textId="4DF72D9D" w:rsidR="00882546" w:rsidRDefault="00A716C3"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proofErr w:type="spellStart"/>
      <w:r w:rsidRPr="00005B44">
        <w:rPr>
          <w:lang w:val="en-US"/>
        </w:rPr>
        <w:t>Ms</w:t>
      </w:r>
      <w:proofErr w:type="spellEnd"/>
      <w:r w:rsidRPr="00005B44">
        <w:rPr>
          <w:lang w:val="en-US"/>
        </w:rPr>
        <w:t xml:space="preserve"> Abdirahman-Khalif</w:t>
      </w:r>
      <w:r>
        <w:rPr>
          <w:lang w:val="en-US"/>
        </w:rPr>
        <w:t>’s</w:t>
      </w:r>
      <w:r w:rsidRPr="00005B44">
        <w:t xml:space="preserve"> </w:t>
      </w:r>
      <w:r w:rsidR="00882546">
        <w:t>phone and computer were seized aga</w:t>
      </w:r>
      <w:r w:rsidR="00A56189">
        <w:t>in and records were found of an online discussion with others about travel to Islamic State controlled regions for the purposes of working as a paramedic or marrying an Islamic State fighter.</w:t>
      </w:r>
    </w:p>
    <w:p w14:paraId="72FB9022" w14:textId="1C004D55" w:rsidR="00780A61" w:rsidRDefault="00780A61"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lang w:val="en-US"/>
        </w:rPr>
      </w:pPr>
      <w:r>
        <w:t>On 2 October 2016, a listening device placed in her bedroom captured her reciting a pledge of allegiance to the leader of Islamic State, Abu Bakr al</w:t>
      </w:r>
      <w:r>
        <w:noBreakHyphen/>
        <w:t>Baghdadi.</w:t>
      </w:r>
    </w:p>
    <w:p w14:paraId="248A39F9" w14:textId="154F0540" w:rsidR="00472DAE" w:rsidRPr="00391180" w:rsidRDefault="005A19FA"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iCs/>
        </w:rPr>
      </w:pPr>
      <w:proofErr w:type="spellStart"/>
      <w:r w:rsidRPr="00005B44">
        <w:rPr>
          <w:lang w:val="en-US"/>
        </w:rPr>
        <w:t>Ms</w:t>
      </w:r>
      <w:proofErr w:type="spellEnd"/>
      <w:r w:rsidRPr="00005B44">
        <w:rPr>
          <w:lang w:val="en-US"/>
        </w:rPr>
        <w:t xml:space="preserve"> Abdirahman-Khalif</w:t>
      </w:r>
      <w:r w:rsidRPr="00005B44">
        <w:t xml:space="preserve"> </w:t>
      </w:r>
      <w:r w:rsidRPr="005A19FA">
        <w:t xml:space="preserve">was </w:t>
      </w:r>
      <w:r w:rsidR="00124C56">
        <w:t xml:space="preserve">arrested and </w:t>
      </w:r>
      <w:r>
        <w:t xml:space="preserve">charged with </w:t>
      </w:r>
      <w:r w:rsidRPr="005A19FA">
        <w:t xml:space="preserve">intentionally </w:t>
      </w:r>
      <w:r w:rsidR="009A41AE">
        <w:t xml:space="preserve">having </w:t>
      </w:r>
      <w:r w:rsidR="006A6A07">
        <w:t xml:space="preserve">taken a step to becoming </w:t>
      </w:r>
      <w:r w:rsidRPr="005A19FA">
        <w:t xml:space="preserve">a member of a terrorist organisation, namely Islamic State, contrary to s 102.3(1) of the </w:t>
      </w:r>
      <w:r w:rsidRPr="00391180">
        <w:rPr>
          <w:iCs/>
        </w:rPr>
        <w:t>Criminal Code</w:t>
      </w:r>
      <w:r w:rsidR="00391180" w:rsidRPr="00391180">
        <w:rPr>
          <w:iCs/>
        </w:rPr>
        <w:t>.</w:t>
      </w:r>
      <w:r w:rsidR="00391180">
        <w:rPr>
          <w:iCs/>
        </w:rPr>
        <w:t xml:space="preserve">  The prosecution made clear at her trial that </w:t>
      </w:r>
      <w:r w:rsidR="00FB7F12">
        <w:t>i</w:t>
      </w:r>
      <w:r w:rsidR="00FB7F12" w:rsidRPr="00005B44">
        <w:t>t was not any part of the</w:t>
      </w:r>
      <w:r w:rsidR="00FB7F12">
        <w:t>ir</w:t>
      </w:r>
      <w:r w:rsidR="00FB7F12" w:rsidRPr="00005B44">
        <w:t xml:space="preserve"> case that she was involved </w:t>
      </w:r>
      <w:r w:rsidR="00521614">
        <w:t xml:space="preserve">in </w:t>
      </w:r>
      <w:r w:rsidR="00FB7F12" w:rsidRPr="00005B44">
        <w:t>any way in any act of violence, or that she was planning or intending to commit any act of violence</w:t>
      </w:r>
      <w:r w:rsidR="007B3160">
        <w:t>.</w:t>
      </w:r>
      <w:r w:rsidR="007B3160">
        <w:rPr>
          <w:rStyle w:val="EndnoteReference"/>
        </w:rPr>
        <w:endnoteReference w:id="203"/>
      </w:r>
      <w:r w:rsidR="00C10E67">
        <w:t xml:space="preserve"> </w:t>
      </w:r>
    </w:p>
    <w:p w14:paraId="1C5C32CD" w14:textId="77777777" w:rsidR="00F567DF" w:rsidRDefault="00C363FE"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evidence at trial was </w:t>
      </w:r>
      <w:r w:rsidR="00F567DF">
        <w:t>capable of supporting an inference that she:</w:t>
      </w:r>
    </w:p>
    <w:p w14:paraId="74F4E603" w14:textId="7EE0F1EE" w:rsidR="00B44609" w:rsidRDefault="00C363FE"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was a supporter of Islamic State, its extremist </w:t>
      </w:r>
      <w:proofErr w:type="gramStart"/>
      <w:r>
        <w:t>ideology</w:t>
      </w:r>
      <w:proofErr w:type="gramEnd"/>
      <w:r>
        <w:t xml:space="preserve"> and its terrorist activities</w:t>
      </w:r>
    </w:p>
    <w:p w14:paraId="01FD7C71" w14:textId="5242AA94" w:rsidR="004C6508" w:rsidRDefault="00C363FE" w:rsidP="00484581">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intended to travel to Turkey to make contact with members or supporters of Islamic State in Turkey, with the intention of travelling into the areas of Syria, Iraq and Turkey controlled by it for the </w:t>
      </w:r>
      <w:r>
        <w:lastRenderedPageBreak/>
        <w:t>purposes of either providing medical assistance to fighters and others or to marry an Islamic State fighter.</w:t>
      </w:r>
      <w:r w:rsidR="00A73CCA">
        <w:rPr>
          <w:rStyle w:val="EndnoteReference"/>
        </w:rPr>
        <w:endnoteReference w:id="204"/>
      </w:r>
    </w:p>
    <w:p w14:paraId="6C0123FE" w14:textId="04D552F0" w:rsidR="000C6A41" w:rsidRDefault="003A1473" w:rsidP="0023617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She was convicted o</w:t>
      </w:r>
      <w:r w:rsidR="00005B44" w:rsidRPr="00005B44">
        <w:t>n 17 September 2018</w:t>
      </w:r>
      <w:r w:rsidR="00A043C9">
        <w:t xml:space="preserve"> and sentenced to imprisonment for three years. </w:t>
      </w:r>
      <w:r w:rsidR="002D287E">
        <w:t xml:space="preserve"> </w:t>
      </w:r>
      <w:r w:rsidR="00A043C9">
        <w:t>O</w:t>
      </w:r>
      <w:r w:rsidRPr="00005B44">
        <w:t>n 31 October 2019 the Court of Criminal Appeal ordered that the guilty verdict be set aside and that a verdict of acquittal be entered</w:t>
      </w:r>
      <w:r>
        <w:t>.</w:t>
      </w:r>
      <w:r>
        <w:rPr>
          <w:rStyle w:val="EndnoteReference"/>
        </w:rPr>
        <w:endnoteReference w:id="205"/>
      </w:r>
      <w:r>
        <w:t xml:space="preserve">  </w:t>
      </w:r>
      <w:r w:rsidR="00212863">
        <w:t xml:space="preserve">By that stage, she had </w:t>
      </w:r>
      <w:r w:rsidR="00DD445E">
        <w:t xml:space="preserve">already </w:t>
      </w:r>
      <w:r w:rsidR="00212863">
        <w:t xml:space="preserve">been </w:t>
      </w:r>
      <w:r w:rsidR="00144600">
        <w:t>imprisoned</w:t>
      </w:r>
      <w:r w:rsidR="00212863">
        <w:t xml:space="preserve"> for two and a half years. </w:t>
      </w:r>
      <w:r w:rsidR="0080437B">
        <w:t xml:space="preserve"> </w:t>
      </w:r>
      <w:r w:rsidR="00537E3E">
        <w:t>During that time, s</w:t>
      </w:r>
      <w:r w:rsidR="0080437B">
        <w:t>he had been a well</w:t>
      </w:r>
      <w:r w:rsidR="00A845F9">
        <w:t>-</w:t>
      </w:r>
      <w:r w:rsidR="0080437B">
        <w:t xml:space="preserve">behaved </w:t>
      </w:r>
      <w:r w:rsidR="00EC094D">
        <w:t>prisoner.</w:t>
      </w:r>
      <w:r w:rsidR="00EC094D">
        <w:rPr>
          <w:rStyle w:val="EndnoteReference"/>
        </w:rPr>
        <w:endnoteReference w:id="206"/>
      </w:r>
    </w:p>
    <w:p w14:paraId="32E45CB9" w14:textId="02CEBDBD" w:rsidR="00005B44" w:rsidRDefault="00212863" w:rsidP="0023617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The appeal court found that w</w:t>
      </w:r>
      <w:r w:rsidR="001B1291">
        <w:t xml:space="preserve">hile there was </w:t>
      </w:r>
      <w:r w:rsidR="003A1473">
        <w:t>e</w:t>
      </w:r>
      <w:r w:rsidR="003A1473" w:rsidRPr="00005B44">
        <w:t xml:space="preserve">vidence that she </w:t>
      </w:r>
      <w:r w:rsidR="003041FA">
        <w:t>supported the cause</w:t>
      </w:r>
      <w:r w:rsidR="003A1473" w:rsidRPr="00005B44">
        <w:t xml:space="preserve"> of Islamic State, </w:t>
      </w:r>
      <w:r w:rsidR="0053187A">
        <w:t>no evidence had been adduced at trial about how people, particularly non-combatants, became ‘members’ of Islamic State</w:t>
      </w:r>
      <w:r w:rsidR="00CB3021">
        <w:t xml:space="preserve"> as opposed to supporters</w:t>
      </w:r>
      <w:r w:rsidR="00F6436F">
        <w:t xml:space="preserve"> </w:t>
      </w:r>
      <w:r w:rsidR="00C04F31">
        <w:t xml:space="preserve">of Islamic State </w:t>
      </w:r>
      <w:r w:rsidR="00F6436F">
        <w:t>or member</w:t>
      </w:r>
      <w:r w:rsidR="00A24C31">
        <w:t>s</w:t>
      </w:r>
      <w:r w:rsidR="00F6436F">
        <w:t xml:space="preserve"> of the population of territory controlled by Islamic State</w:t>
      </w:r>
      <w:r w:rsidR="0053187A">
        <w:t>.</w:t>
      </w:r>
      <w:r w:rsidR="005F3926">
        <w:rPr>
          <w:rStyle w:val="EndnoteReference"/>
        </w:rPr>
        <w:endnoteReference w:id="207"/>
      </w:r>
      <w:r w:rsidR="0053187A">
        <w:t xml:space="preserve">  As a result, the</w:t>
      </w:r>
      <w:r w:rsidR="00286889">
        <w:t xml:space="preserve"> </w:t>
      </w:r>
      <w:r w:rsidR="0023617F">
        <w:t xml:space="preserve">conviction could not be </w:t>
      </w:r>
      <w:r w:rsidR="00286889">
        <w:t xml:space="preserve">supported </w:t>
      </w:r>
      <w:r w:rsidR="0023617F">
        <w:t>on the</w:t>
      </w:r>
      <w:r w:rsidR="00286889">
        <w:t xml:space="preserve"> evidence</w:t>
      </w:r>
      <w:r w:rsidR="0023617F">
        <w:t>.</w:t>
      </w:r>
    </w:p>
    <w:p w14:paraId="1D2C49DF" w14:textId="574F39C6" w:rsidR="008C781D" w:rsidRPr="00005B44" w:rsidRDefault="008C781D" w:rsidP="0023617F">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Following her </w:t>
      </w:r>
      <w:r w:rsidR="00FB02CA">
        <w:t xml:space="preserve">acquittal, she was released into the community.  </w:t>
      </w:r>
      <w:r w:rsidR="00DD493B">
        <w:t>T</w:t>
      </w:r>
      <w:r w:rsidR="00FB02CA">
        <w:t xml:space="preserve">he AFP applied for an interim </w:t>
      </w:r>
      <w:r w:rsidR="00CC3363">
        <w:t>control order</w:t>
      </w:r>
      <w:r w:rsidR="007C0BB8">
        <w:t xml:space="preserve"> which was made </w:t>
      </w:r>
      <w:r w:rsidR="003E35E4">
        <w:t xml:space="preserve">by the Federal Court </w:t>
      </w:r>
      <w:r w:rsidR="008028FE">
        <w:t xml:space="preserve">on 22 November 2019, </w:t>
      </w:r>
      <w:r w:rsidR="00DD493B">
        <w:t>approximately three weeks after h</w:t>
      </w:r>
      <w:r w:rsidR="008028FE">
        <w:t>er release</w:t>
      </w:r>
      <w:r w:rsidR="00CC3363">
        <w:t>.</w:t>
      </w:r>
      <w:r w:rsidR="003E35E4">
        <w:rPr>
          <w:rStyle w:val="EndnoteReference"/>
        </w:rPr>
        <w:endnoteReference w:id="208"/>
      </w:r>
      <w:r w:rsidR="00CC3363">
        <w:t xml:space="preserve">  </w:t>
      </w:r>
      <w:r w:rsidR="007C0BB8">
        <w:t xml:space="preserve">The control order was confirmed </w:t>
      </w:r>
      <w:r w:rsidR="00053775">
        <w:t xml:space="preserve">almost eight months later </w:t>
      </w:r>
      <w:r w:rsidR="007C0BB8">
        <w:t xml:space="preserve">on </w:t>
      </w:r>
      <w:r w:rsidR="007364E0">
        <w:rPr>
          <w:rFonts w:cs="Open Sans"/>
        </w:rPr>
        <w:t>17 July 2020</w:t>
      </w:r>
      <w:r w:rsidR="003E35E4">
        <w:rPr>
          <w:rFonts w:cs="Open Sans"/>
        </w:rPr>
        <w:t>.</w:t>
      </w:r>
      <w:r w:rsidR="004C1282">
        <w:rPr>
          <w:rStyle w:val="EndnoteReference"/>
          <w:rFonts w:cs="Open Sans"/>
        </w:rPr>
        <w:endnoteReference w:id="209"/>
      </w:r>
    </w:p>
    <w:p w14:paraId="7D9BD8D4" w14:textId="1E9DB468" w:rsidR="00FD562B" w:rsidRDefault="0047085D"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w:t>
      </w:r>
      <w:r w:rsidR="00521614">
        <w:t xml:space="preserve">High Court granted the </w:t>
      </w:r>
      <w:r>
        <w:t>Crown s</w:t>
      </w:r>
      <w:r w:rsidR="001B1368">
        <w:t xml:space="preserve">pecial leave to appeal against </w:t>
      </w:r>
      <w:r w:rsidR="00D5763B">
        <w:t>the judgment of the Court of Criminal Appeal,</w:t>
      </w:r>
      <w:r w:rsidR="00095288">
        <w:rPr>
          <w:rStyle w:val="EndnoteReference"/>
        </w:rPr>
        <w:endnoteReference w:id="210"/>
      </w:r>
      <w:r w:rsidR="00D5763B">
        <w:t xml:space="preserve"> and the appeal </w:t>
      </w:r>
      <w:r w:rsidR="00F63A73" w:rsidRPr="0067580C">
        <w:t>was heard</w:t>
      </w:r>
      <w:r w:rsidR="00F63A73">
        <w:t xml:space="preserve"> </w:t>
      </w:r>
      <w:r w:rsidR="00244C6E">
        <w:t>on 3 September 2020.</w:t>
      </w:r>
      <w:r w:rsidR="00F63A73">
        <w:t xml:space="preserve"> </w:t>
      </w:r>
      <w:r w:rsidR="0067580C">
        <w:t xml:space="preserve"> </w:t>
      </w:r>
      <w:r w:rsidR="00F63A73" w:rsidRPr="0067580C">
        <w:t>Judgment is reserved</w:t>
      </w:r>
      <w:r w:rsidR="00F63A73">
        <w:t>.</w:t>
      </w:r>
    </w:p>
    <w:p w14:paraId="18E27C66" w14:textId="54CF5D6E" w:rsidR="00244C6E" w:rsidRDefault="00D567F9"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lang w:val="en-US"/>
        </w:rPr>
      </w:pPr>
      <w:r>
        <w:t xml:space="preserve">While the conviction of </w:t>
      </w:r>
      <w:proofErr w:type="spellStart"/>
      <w:r w:rsidRPr="00005B44">
        <w:rPr>
          <w:lang w:val="en-US"/>
        </w:rPr>
        <w:t>Ms</w:t>
      </w:r>
      <w:proofErr w:type="spellEnd"/>
      <w:r w:rsidRPr="00005B44">
        <w:rPr>
          <w:lang w:val="en-US"/>
        </w:rPr>
        <w:t xml:space="preserve"> Abdirahman-Khalif</w:t>
      </w:r>
      <w:r>
        <w:rPr>
          <w:lang w:val="en-US"/>
        </w:rPr>
        <w:t xml:space="preserve"> may ultimately be upheld, </w:t>
      </w:r>
      <w:r w:rsidR="0047072A">
        <w:rPr>
          <w:lang w:val="en-US"/>
        </w:rPr>
        <w:t xml:space="preserve">and she may be required to serve the remaining 6 months of her sentence, </w:t>
      </w:r>
      <w:r>
        <w:rPr>
          <w:lang w:val="en-US"/>
        </w:rPr>
        <w:t xml:space="preserve">there are real questions about the </w:t>
      </w:r>
      <w:r w:rsidR="00990BDB">
        <w:rPr>
          <w:lang w:val="en-US"/>
        </w:rPr>
        <w:t>basis for the grant of a control order pending that conviction.</w:t>
      </w:r>
      <w:r w:rsidR="006A5D1A">
        <w:rPr>
          <w:lang w:val="en-US"/>
        </w:rPr>
        <w:t xml:space="preserve">  The </w:t>
      </w:r>
      <w:r w:rsidR="00D37A28">
        <w:rPr>
          <w:lang w:val="en-US"/>
        </w:rPr>
        <w:t xml:space="preserve">Federal </w:t>
      </w:r>
      <w:r w:rsidR="006A5D1A">
        <w:rPr>
          <w:lang w:val="en-US"/>
        </w:rPr>
        <w:t xml:space="preserve">Court </w:t>
      </w:r>
      <w:r w:rsidR="00082120">
        <w:rPr>
          <w:lang w:val="en-US"/>
        </w:rPr>
        <w:t xml:space="preserve">was provided with two </w:t>
      </w:r>
      <w:r w:rsidR="005016D0">
        <w:rPr>
          <w:lang w:val="en-US"/>
        </w:rPr>
        <w:t xml:space="preserve">independent </w:t>
      </w:r>
      <w:r w:rsidR="0058214D">
        <w:rPr>
          <w:lang w:val="en-US"/>
        </w:rPr>
        <w:t>reports dealing with</w:t>
      </w:r>
      <w:r w:rsidR="0005089F">
        <w:rPr>
          <w:lang w:val="en-US"/>
        </w:rPr>
        <w:t xml:space="preserve"> the risk posed by </w:t>
      </w:r>
      <w:proofErr w:type="spellStart"/>
      <w:r w:rsidR="0005089F" w:rsidRPr="00005B44">
        <w:rPr>
          <w:lang w:val="en-US"/>
        </w:rPr>
        <w:t>Ms</w:t>
      </w:r>
      <w:proofErr w:type="spellEnd"/>
      <w:r w:rsidR="0005089F" w:rsidRPr="00005B44">
        <w:rPr>
          <w:lang w:val="en-US"/>
        </w:rPr>
        <w:t xml:space="preserve"> Abdirahman-Khalif</w:t>
      </w:r>
      <w:r w:rsidR="00DD1FFF">
        <w:rPr>
          <w:lang w:val="en-US"/>
        </w:rPr>
        <w:t xml:space="preserve">.  The first was a report of a psychologist </w:t>
      </w:r>
      <w:r w:rsidR="001D02D9">
        <w:rPr>
          <w:lang w:val="en-US"/>
        </w:rPr>
        <w:t xml:space="preserve">who assessed </w:t>
      </w:r>
      <w:proofErr w:type="spellStart"/>
      <w:r w:rsidR="00082120" w:rsidRPr="00005B44">
        <w:rPr>
          <w:lang w:val="en-US"/>
        </w:rPr>
        <w:t>Ms</w:t>
      </w:r>
      <w:proofErr w:type="spellEnd"/>
      <w:r w:rsidR="00082120" w:rsidRPr="00005B44">
        <w:rPr>
          <w:lang w:val="en-US"/>
        </w:rPr>
        <w:t xml:space="preserve"> Abdirahman-Khalif</w:t>
      </w:r>
      <w:r w:rsidR="00082120">
        <w:rPr>
          <w:lang w:val="en-US"/>
        </w:rPr>
        <w:t xml:space="preserve"> </w:t>
      </w:r>
      <w:r w:rsidR="001D02D9">
        <w:rPr>
          <w:lang w:val="en-US"/>
        </w:rPr>
        <w:t>in advance of sentencing and concluded that she had ‘</w:t>
      </w:r>
      <w:r w:rsidR="001D02D9" w:rsidRPr="00ED4A34">
        <w:t>a low risk of recidivism and a low risk of causing serious physical harm to herself or others</w:t>
      </w:r>
      <w:r w:rsidR="001D02D9">
        <w:t>’.</w:t>
      </w:r>
      <w:r w:rsidR="00082120">
        <w:rPr>
          <w:rStyle w:val="EndnoteReference"/>
        </w:rPr>
        <w:endnoteReference w:id="211"/>
      </w:r>
      <w:r w:rsidR="001D02D9">
        <w:t xml:space="preserve">  </w:t>
      </w:r>
      <w:r w:rsidR="00082120">
        <w:t xml:space="preserve">The second was </w:t>
      </w:r>
      <w:r w:rsidR="000729B7" w:rsidRPr="00ED4A34">
        <w:t>a Joint Terrorism Threat Assessment</w:t>
      </w:r>
      <w:r w:rsidR="00BE6933">
        <w:t xml:space="preserve"> that it was </w:t>
      </w:r>
      <w:r w:rsidR="00A0667A">
        <w:t>‘</w:t>
      </w:r>
      <w:r w:rsidR="00A0667A" w:rsidRPr="00ED4A34">
        <w:t>highly unlikely</w:t>
      </w:r>
      <w:r w:rsidR="00A0667A">
        <w:t xml:space="preserve">’ that </w:t>
      </w:r>
      <w:proofErr w:type="spellStart"/>
      <w:r w:rsidR="006F3F0C" w:rsidRPr="00005B44">
        <w:rPr>
          <w:lang w:val="en-US"/>
        </w:rPr>
        <w:t>Ms</w:t>
      </w:r>
      <w:proofErr w:type="spellEnd"/>
      <w:r w:rsidR="006F3F0C" w:rsidRPr="00005B44">
        <w:rPr>
          <w:lang w:val="en-US"/>
        </w:rPr>
        <w:t xml:space="preserve"> Abdirahman-Khalif</w:t>
      </w:r>
      <w:r w:rsidR="006F3F0C">
        <w:rPr>
          <w:lang w:val="en-US"/>
        </w:rPr>
        <w:t xml:space="preserve">’s </w:t>
      </w:r>
      <w:r w:rsidR="00A0667A">
        <w:rPr>
          <w:lang w:val="en-US"/>
        </w:rPr>
        <w:t xml:space="preserve">had the </w:t>
      </w:r>
      <w:r w:rsidR="006F3F0C" w:rsidRPr="00ED4A34">
        <w:t xml:space="preserve">knowledge </w:t>
      </w:r>
      <w:r w:rsidR="00A0667A">
        <w:t>or</w:t>
      </w:r>
      <w:r w:rsidR="006F3F0C" w:rsidRPr="00ED4A34">
        <w:t xml:space="preserve"> skills to carry out an act of politically-motivated violence</w:t>
      </w:r>
      <w:r w:rsidR="00F01D2C">
        <w:t>.</w:t>
      </w:r>
      <w:r w:rsidR="00F01D2C">
        <w:rPr>
          <w:rStyle w:val="EndnoteReference"/>
        </w:rPr>
        <w:endnoteReference w:id="212"/>
      </w:r>
    </w:p>
    <w:p w14:paraId="248B1FD0" w14:textId="0C981120" w:rsidR="00990BDB" w:rsidRDefault="00BD5023" w:rsidP="00E975C2">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In making the interim control order, t</w:t>
      </w:r>
      <w:r w:rsidR="00206B2C">
        <w:t xml:space="preserve">he </w:t>
      </w:r>
      <w:r w:rsidR="00445325">
        <w:t xml:space="preserve">Federal </w:t>
      </w:r>
      <w:r w:rsidR="00206B2C">
        <w:t>Court rejected both of the</w:t>
      </w:r>
      <w:r w:rsidR="00E42B17">
        <w:t>se</w:t>
      </w:r>
      <w:r w:rsidR="00206B2C">
        <w:t xml:space="preserve"> assessments </w:t>
      </w:r>
      <w:r w:rsidR="002E7963">
        <w:t>and</w:t>
      </w:r>
      <w:r w:rsidR="001E621A">
        <w:t xml:space="preserve"> </w:t>
      </w:r>
      <w:r w:rsidR="00206B2C">
        <w:t>instead found</w:t>
      </w:r>
      <w:r w:rsidR="00761BBF">
        <w:t xml:space="preserve">, on the basis of </w:t>
      </w:r>
      <w:r w:rsidR="00647527">
        <w:t xml:space="preserve">what was </w:t>
      </w:r>
      <w:r w:rsidR="00647527">
        <w:lastRenderedPageBreak/>
        <w:t xml:space="preserve">acknowledged to be </w:t>
      </w:r>
      <w:r w:rsidR="00DC3D10">
        <w:t xml:space="preserve">primarily </w:t>
      </w:r>
      <w:r w:rsidR="00647527">
        <w:t>hearsay evidence</w:t>
      </w:r>
      <w:r w:rsidR="00164F03">
        <w:t>,</w:t>
      </w:r>
      <w:r w:rsidR="00647527">
        <w:t xml:space="preserve"> </w:t>
      </w:r>
      <w:r w:rsidR="00206B2C">
        <w:t xml:space="preserve">that </w:t>
      </w:r>
      <w:proofErr w:type="spellStart"/>
      <w:r w:rsidR="00206B2C" w:rsidRPr="00005B44">
        <w:rPr>
          <w:lang w:val="en-US"/>
        </w:rPr>
        <w:t>Ms</w:t>
      </w:r>
      <w:proofErr w:type="spellEnd"/>
      <w:r w:rsidR="00206B2C" w:rsidRPr="00005B44">
        <w:rPr>
          <w:lang w:val="en-US"/>
        </w:rPr>
        <w:t xml:space="preserve"> Abdirahman-Khalif</w:t>
      </w:r>
      <w:r w:rsidR="00206B2C">
        <w:rPr>
          <w:lang w:val="en-US"/>
        </w:rPr>
        <w:t xml:space="preserve"> </w:t>
      </w:r>
      <w:r w:rsidR="00771784">
        <w:rPr>
          <w:lang w:val="en-US"/>
        </w:rPr>
        <w:t xml:space="preserve">had an </w:t>
      </w:r>
      <w:r w:rsidR="00206B2C">
        <w:rPr>
          <w:lang w:val="en-US"/>
        </w:rPr>
        <w:t>‘obsess</w:t>
      </w:r>
      <w:r w:rsidR="00771784">
        <w:rPr>
          <w:lang w:val="en-US"/>
        </w:rPr>
        <w:t>ion</w:t>
      </w:r>
      <w:r w:rsidR="00206B2C">
        <w:rPr>
          <w:lang w:val="en-US"/>
        </w:rPr>
        <w:t xml:space="preserve"> with violence’</w:t>
      </w:r>
      <w:r w:rsidR="00EF289A">
        <w:rPr>
          <w:lang w:val="en-US"/>
        </w:rPr>
        <w:t xml:space="preserve">, that there was </w:t>
      </w:r>
      <w:r w:rsidR="00EF289A" w:rsidRPr="00ED4A34">
        <w:t xml:space="preserve">a </w:t>
      </w:r>
      <w:r w:rsidR="00EF289A">
        <w:t>‘</w:t>
      </w:r>
      <w:r w:rsidR="00EF289A" w:rsidRPr="00ED4A34">
        <w:t>high likelihood</w:t>
      </w:r>
      <w:r w:rsidR="00EF289A">
        <w:t>’</w:t>
      </w:r>
      <w:r w:rsidR="00EF289A" w:rsidRPr="00ED4A34">
        <w:t xml:space="preserve"> that </w:t>
      </w:r>
      <w:r w:rsidR="00EF289A">
        <w:t xml:space="preserve">she </w:t>
      </w:r>
      <w:r w:rsidR="009E447E">
        <w:t>‘</w:t>
      </w:r>
      <w:r w:rsidR="00EF289A" w:rsidRPr="00ED4A34">
        <w:t>will act on her intention to marry an IS extremist in the very short term</w:t>
      </w:r>
      <w:r w:rsidR="009E447E">
        <w:t>’</w:t>
      </w:r>
      <w:r w:rsidR="00EF289A" w:rsidRPr="00ED4A34">
        <w:t xml:space="preserve"> </w:t>
      </w:r>
      <w:r w:rsidR="009E447E">
        <w:t>and that there was</w:t>
      </w:r>
      <w:r w:rsidR="00EF289A" w:rsidRPr="00ED4A34">
        <w:t xml:space="preserve"> </w:t>
      </w:r>
      <w:r w:rsidR="009E447E">
        <w:t>‘</w:t>
      </w:r>
      <w:r w:rsidR="00EF289A" w:rsidRPr="00ED4A34">
        <w:t xml:space="preserve">a real risk that </w:t>
      </w:r>
      <w:r w:rsidR="009E447E">
        <w:t>[she]</w:t>
      </w:r>
      <w:r w:rsidR="00EF289A" w:rsidRPr="00ED4A34">
        <w:t xml:space="preserve"> will do any act in support of the IS cause as may be requested or demanded of her by others, including acts of terrorism</w:t>
      </w:r>
      <w:r w:rsidR="009E447E">
        <w:t>’.</w:t>
      </w:r>
      <w:r w:rsidR="00DC3D10">
        <w:rPr>
          <w:rStyle w:val="EndnoteReference"/>
        </w:rPr>
        <w:endnoteReference w:id="213"/>
      </w:r>
    </w:p>
    <w:p w14:paraId="385225DE" w14:textId="5CC9B565" w:rsidR="007B42F8" w:rsidRDefault="00C656E4" w:rsidP="00E331FC">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The </w:t>
      </w:r>
      <w:r w:rsidR="008150EC">
        <w:t xml:space="preserve">Federal </w:t>
      </w:r>
      <w:r>
        <w:t xml:space="preserve">Court said that it was not necessary to identify </w:t>
      </w:r>
      <w:r w:rsidR="00421653">
        <w:t xml:space="preserve">with any specificity </w:t>
      </w:r>
      <w:r>
        <w:t xml:space="preserve">what Ms </w:t>
      </w:r>
      <w:r w:rsidR="007B42F8" w:rsidRPr="00005B44">
        <w:rPr>
          <w:lang w:val="en-US"/>
        </w:rPr>
        <w:t>Abdirahman-Khalif</w:t>
      </w:r>
      <w:r w:rsidR="007B42F8">
        <w:rPr>
          <w:lang w:val="en-US"/>
        </w:rPr>
        <w:t xml:space="preserve"> may do</w:t>
      </w:r>
      <w:r w:rsidR="007B42F8">
        <w:t xml:space="preserve">.  </w:t>
      </w:r>
      <w:r w:rsidR="00AC7C32">
        <w:t>Instead, the Court considered that it was enough to find that</w:t>
      </w:r>
      <w:r w:rsidR="00175345">
        <w:t xml:space="preserve"> there is a risk that</w:t>
      </w:r>
      <w:r w:rsidR="00AC7C32">
        <w:t xml:space="preserve"> </w:t>
      </w:r>
      <w:r w:rsidR="007B42F8">
        <w:t>‘</w:t>
      </w:r>
      <w:r w:rsidR="007B42F8" w:rsidRPr="00ED4A34">
        <w:t>she will do whatever it is that she is told to do</w:t>
      </w:r>
      <w:r w:rsidR="007B42F8">
        <w:t>’.</w:t>
      </w:r>
      <w:r w:rsidR="00AC7C32">
        <w:rPr>
          <w:rStyle w:val="EndnoteReference"/>
        </w:rPr>
        <w:endnoteReference w:id="214"/>
      </w:r>
    </w:p>
    <w:p w14:paraId="4140C89F" w14:textId="03E93B75" w:rsidR="00904230" w:rsidRDefault="00904230" w:rsidP="00E331FC">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lang w:val="en-US"/>
        </w:rPr>
      </w:pPr>
      <w:r>
        <w:t xml:space="preserve">The control order was confirmed </w:t>
      </w:r>
      <w:r w:rsidR="005C4FB9">
        <w:t xml:space="preserve">on </w:t>
      </w:r>
      <w:r w:rsidR="005C4FB9">
        <w:rPr>
          <w:rFonts w:cs="Open Sans"/>
        </w:rPr>
        <w:t>17 July 2020</w:t>
      </w:r>
      <w:r w:rsidR="00552316">
        <w:rPr>
          <w:rFonts w:cs="Open Sans"/>
        </w:rPr>
        <w:t xml:space="preserve"> with some </w:t>
      </w:r>
      <w:r w:rsidR="006737A9">
        <w:rPr>
          <w:rFonts w:cs="Open Sans"/>
        </w:rPr>
        <w:t>narrowing of the</w:t>
      </w:r>
      <w:r w:rsidR="00552316">
        <w:rPr>
          <w:rFonts w:cs="Open Sans"/>
        </w:rPr>
        <w:t xml:space="preserve"> controls</w:t>
      </w:r>
      <w:r w:rsidR="005C4FB9">
        <w:rPr>
          <w:rFonts w:cs="Open Sans"/>
        </w:rPr>
        <w:t>.</w:t>
      </w:r>
      <w:r w:rsidR="001D77B8">
        <w:rPr>
          <w:rFonts w:cs="Open Sans"/>
        </w:rPr>
        <w:t xml:space="preserve">  Unlike the reasons for the interim control order, the reasons given for confirming the control order did not </w:t>
      </w:r>
      <w:r w:rsidR="00C831B5">
        <w:rPr>
          <w:rFonts w:cs="Open Sans"/>
        </w:rPr>
        <w:t xml:space="preserve">find that she was obsessed with violence or </w:t>
      </w:r>
      <w:r w:rsidR="001D77B8">
        <w:rPr>
          <w:rFonts w:cs="Open Sans"/>
        </w:rPr>
        <w:t xml:space="preserve">predict that it was highly likely that </w:t>
      </w:r>
      <w:r w:rsidR="008E295A">
        <w:t>she</w:t>
      </w:r>
      <w:r w:rsidR="00681557">
        <w:rPr>
          <w:lang w:val="en-US"/>
        </w:rPr>
        <w:t xml:space="preserve"> would imminently marry an Islamic State extremist.</w:t>
      </w:r>
    </w:p>
    <w:p w14:paraId="3EBEC83B" w14:textId="662E32FE" w:rsidR="00C831B5" w:rsidRDefault="00891DEB" w:rsidP="00E331FC">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lang w:val="en-US"/>
        </w:rPr>
      </w:pPr>
      <w:r>
        <w:t xml:space="preserve">The Court found that </w:t>
      </w:r>
      <w:r w:rsidR="001740AE">
        <w:t xml:space="preserve">Ms </w:t>
      </w:r>
      <w:r w:rsidR="001740AE" w:rsidRPr="00005B44">
        <w:rPr>
          <w:lang w:val="en-US"/>
        </w:rPr>
        <w:t>Abdirahman-Khalif</w:t>
      </w:r>
      <w:r w:rsidR="001740AE">
        <w:rPr>
          <w:lang w:val="en-US"/>
        </w:rPr>
        <w:t xml:space="preserve"> maintained an adherence to Islamic State ideology.  </w:t>
      </w:r>
      <w:r w:rsidR="000A3296">
        <w:rPr>
          <w:lang w:val="en-US"/>
        </w:rPr>
        <w:t>Significantly</w:t>
      </w:r>
      <w:r w:rsidR="001740AE">
        <w:rPr>
          <w:lang w:val="en-US"/>
        </w:rPr>
        <w:t>, this was in the context of:</w:t>
      </w:r>
    </w:p>
    <w:p w14:paraId="4A7D9D53" w14:textId="50E3814C" w:rsidR="001740AE" w:rsidRDefault="008534A8" w:rsidP="000A3296">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a letter she had written in support of an application for parole in which she </w:t>
      </w:r>
      <w:r w:rsidR="00D57772">
        <w:t>rejected extremist ideology and expressed remorse for her actions</w:t>
      </w:r>
    </w:p>
    <w:p w14:paraId="42E4168D" w14:textId="289A7C6F" w:rsidR="00D57772" w:rsidRDefault="002A60EA" w:rsidP="000A3296">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her engagement with a psychologist </w:t>
      </w:r>
      <w:r w:rsidR="008F684A">
        <w:t>a</w:t>
      </w:r>
      <w:r w:rsidR="00A55E04">
        <w:t>nd</w:t>
      </w:r>
      <w:r w:rsidR="008F684A">
        <w:t xml:space="preserve"> counsellor while in prison about </w:t>
      </w:r>
      <w:r w:rsidR="00A55E04">
        <w:t xml:space="preserve">how to </w:t>
      </w:r>
      <w:r w:rsidR="008F684A" w:rsidRPr="00AA0614">
        <w:t>integrate into Australian society as a Muslim woman</w:t>
      </w:r>
    </w:p>
    <w:p w14:paraId="736C8873" w14:textId="48E7D54A" w:rsidR="00A55E04" w:rsidRDefault="006D6848" w:rsidP="000A3296">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her weekly attendance at a </w:t>
      </w:r>
      <w:r w:rsidRPr="00AA0614">
        <w:t xml:space="preserve">South Australian State Government Intervention program </w:t>
      </w:r>
      <w:r>
        <w:t xml:space="preserve">following her release </w:t>
      </w:r>
      <w:r w:rsidR="00961F70">
        <w:t>from detention</w:t>
      </w:r>
    </w:p>
    <w:p w14:paraId="6ABC13C4" w14:textId="3CCAB6D9" w:rsidR="00740404" w:rsidRPr="00942549" w:rsidRDefault="0009484C" w:rsidP="000A3296">
      <w:pPr>
        <w:pStyle w:val="ListNumber2"/>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pPr>
      <w:r>
        <w:t>an acknowledgement by the Court that she had a good reason not to give oral evidence at the control order hearing because of the prospect that her criminal matter may be remitted for retrial.</w:t>
      </w:r>
      <w:r w:rsidR="008D0D7E">
        <w:rPr>
          <w:rStyle w:val="EndnoteReference"/>
        </w:rPr>
        <w:endnoteReference w:id="215"/>
      </w:r>
    </w:p>
    <w:p w14:paraId="0F210303" w14:textId="7F3E25F2" w:rsidR="00C07787" w:rsidRDefault="00972C51" w:rsidP="00C07787">
      <w:pPr>
        <w:pStyle w:val="ListNumber2"/>
        <w:tabs>
          <w:tab w:val="clear" w:pos="643"/>
          <w:tab w:val="num" w:pos="1080"/>
        </w:tabs>
        <w:ind w:left="1080" w:hanging="797"/>
      </w:pPr>
      <w:r>
        <w:t xml:space="preserve">In assessing this case study, it is worth bearing in mind that there </w:t>
      </w:r>
      <w:r w:rsidR="00BA2580">
        <w:t xml:space="preserve">has </w:t>
      </w:r>
      <w:r w:rsidR="00242C3F">
        <w:t>not</w:t>
      </w:r>
      <w:r w:rsidR="00BA2580">
        <w:t xml:space="preserve"> been an</w:t>
      </w:r>
      <w:r w:rsidR="00717716">
        <w:t>y</w:t>
      </w:r>
      <w:r w:rsidR="00BA2580">
        <w:t xml:space="preserve"> allegation </w:t>
      </w:r>
      <w:r w:rsidR="00242C3F">
        <w:t xml:space="preserve">by police or prosecutors </w:t>
      </w:r>
      <w:r w:rsidR="00BA2580">
        <w:t xml:space="preserve">that Ms </w:t>
      </w:r>
      <w:r w:rsidR="00BA2580" w:rsidRPr="00005B44">
        <w:rPr>
          <w:lang w:val="en-US"/>
        </w:rPr>
        <w:t>Abdirahman-Khalif</w:t>
      </w:r>
      <w:r w:rsidR="00BA2580">
        <w:rPr>
          <w:lang w:val="en-US"/>
        </w:rPr>
        <w:t xml:space="preserve"> </w:t>
      </w:r>
      <w:r w:rsidR="00A0748E">
        <w:rPr>
          <w:lang w:val="en-US"/>
        </w:rPr>
        <w:t>ha</w:t>
      </w:r>
      <w:r w:rsidR="00717716">
        <w:rPr>
          <w:lang w:val="en-US"/>
        </w:rPr>
        <w:t>d</w:t>
      </w:r>
      <w:r w:rsidR="00A0748E">
        <w:rPr>
          <w:lang w:val="en-US"/>
        </w:rPr>
        <w:t xml:space="preserve"> </w:t>
      </w:r>
      <w:r w:rsidR="00BA2580">
        <w:rPr>
          <w:lang w:val="en-US"/>
        </w:rPr>
        <w:t xml:space="preserve">been </w:t>
      </w:r>
      <w:r w:rsidR="00717716">
        <w:rPr>
          <w:lang w:val="en-US"/>
        </w:rPr>
        <w:t>planning</w:t>
      </w:r>
      <w:r w:rsidR="00AF3DD6">
        <w:rPr>
          <w:lang w:val="en-US"/>
        </w:rPr>
        <w:t>, or taken any step towards, a terrorist act</w:t>
      </w:r>
      <w:r w:rsidR="00A0748E">
        <w:rPr>
          <w:lang w:val="en-US"/>
        </w:rPr>
        <w:t xml:space="preserve">.  If </w:t>
      </w:r>
      <w:r w:rsidR="00122954">
        <w:rPr>
          <w:lang w:val="en-US"/>
        </w:rPr>
        <w:t>there</w:t>
      </w:r>
      <w:r w:rsidR="00892EE9">
        <w:rPr>
          <w:lang w:val="en-US"/>
        </w:rPr>
        <w:t xml:space="preserve"> </w:t>
      </w:r>
      <w:r w:rsidR="00EA5FBE">
        <w:rPr>
          <w:lang w:val="en-US"/>
        </w:rPr>
        <w:t>were</w:t>
      </w:r>
      <w:r w:rsidR="00122954">
        <w:rPr>
          <w:lang w:val="en-US"/>
        </w:rPr>
        <w:t xml:space="preserve"> evidence to support such an allegation, it could </w:t>
      </w:r>
      <w:r w:rsidR="00892EE9">
        <w:rPr>
          <w:lang w:val="en-US"/>
        </w:rPr>
        <w:t xml:space="preserve">have </w:t>
      </w:r>
      <w:r w:rsidR="00122954">
        <w:rPr>
          <w:lang w:val="en-US"/>
        </w:rPr>
        <w:t>form</w:t>
      </w:r>
      <w:r w:rsidR="00892EE9">
        <w:rPr>
          <w:lang w:val="en-US"/>
        </w:rPr>
        <w:t xml:space="preserve">ed </w:t>
      </w:r>
      <w:r w:rsidR="00122954">
        <w:rPr>
          <w:lang w:val="en-US"/>
        </w:rPr>
        <w:t xml:space="preserve">the basis for a separate criminal charge. </w:t>
      </w:r>
      <w:r w:rsidR="00BF1691">
        <w:rPr>
          <w:lang w:val="en-US"/>
        </w:rPr>
        <w:t xml:space="preserve"> Instead, it was an agreed fact </w:t>
      </w:r>
      <w:r w:rsidR="00A3247B">
        <w:rPr>
          <w:lang w:val="en-US"/>
        </w:rPr>
        <w:t xml:space="preserve">that she </w:t>
      </w:r>
      <w:r w:rsidR="00A3247B">
        <w:t xml:space="preserve">had </w:t>
      </w:r>
      <w:r w:rsidR="00A3247B" w:rsidRPr="00AA0614">
        <w:t>never engaged in, or provided support for, or facilitated a terrorist act</w:t>
      </w:r>
      <w:r w:rsidR="00A3247B">
        <w:t xml:space="preserve"> in Australia.</w:t>
      </w:r>
      <w:r w:rsidR="00A3247B">
        <w:rPr>
          <w:rStyle w:val="EndnoteReference"/>
        </w:rPr>
        <w:endnoteReference w:id="216"/>
      </w:r>
      <w:r w:rsidR="0028775D">
        <w:t xml:space="preserve">  Further, the </w:t>
      </w:r>
      <w:r w:rsidR="00F816E8">
        <w:t xml:space="preserve">Federal </w:t>
      </w:r>
      <w:r w:rsidR="0028775D">
        <w:t xml:space="preserve">Court </w:t>
      </w:r>
      <w:r w:rsidR="0028775D">
        <w:lastRenderedPageBreak/>
        <w:t xml:space="preserve">acknowledged that there was </w:t>
      </w:r>
      <w:r w:rsidR="0028775D" w:rsidRPr="00AA0614">
        <w:t xml:space="preserve">no evidence that a specific terrorist act </w:t>
      </w:r>
      <w:r w:rsidR="00F816E8">
        <w:t>was</w:t>
      </w:r>
      <w:r w:rsidR="0028775D" w:rsidRPr="00AA0614">
        <w:t xml:space="preserve"> currently within </w:t>
      </w:r>
      <w:r w:rsidR="00DB1C5D">
        <w:t>her</w:t>
      </w:r>
      <w:r w:rsidR="0028775D">
        <w:rPr>
          <w:lang w:val="en-US"/>
        </w:rPr>
        <w:t xml:space="preserve"> </w:t>
      </w:r>
      <w:r w:rsidR="0028775D" w:rsidRPr="00AA0614">
        <w:t>contemplation</w:t>
      </w:r>
      <w:r w:rsidR="0028775D">
        <w:t>.</w:t>
      </w:r>
      <w:r w:rsidR="00F816E8">
        <w:rPr>
          <w:rStyle w:val="EndnoteReference"/>
        </w:rPr>
        <w:endnoteReference w:id="217"/>
      </w:r>
    </w:p>
    <w:p w14:paraId="20EBC855" w14:textId="6962359F" w:rsidR="006A4F4A" w:rsidRDefault="006A4F4A" w:rsidP="00C07787">
      <w:pPr>
        <w:pStyle w:val="ListNumber2"/>
        <w:tabs>
          <w:tab w:val="clear" w:pos="643"/>
          <w:tab w:val="num" w:pos="1080"/>
        </w:tabs>
        <w:ind w:left="1080" w:hanging="797"/>
      </w:pPr>
      <w:r>
        <w:rPr>
          <w:lang w:val="en-US"/>
        </w:rPr>
        <w:t xml:space="preserve">It is also surprising that the Court hearing an application for a control order </w:t>
      </w:r>
      <w:r w:rsidR="00151357">
        <w:rPr>
          <w:lang w:val="en-US"/>
        </w:rPr>
        <w:t xml:space="preserve">rejected a </w:t>
      </w:r>
      <w:r w:rsidR="00151357" w:rsidRPr="00ED4A34">
        <w:t>Joint Terrorism Threat Assessment</w:t>
      </w:r>
      <w:r w:rsidR="00151357">
        <w:t xml:space="preserve"> </w:t>
      </w:r>
      <w:r w:rsidR="00E259A8">
        <w:t>that</w:t>
      </w:r>
      <w:r w:rsidR="00151357">
        <w:t xml:space="preserve"> </w:t>
      </w:r>
      <w:r w:rsidR="009158D1">
        <w:t>it was ‘</w:t>
      </w:r>
      <w:r w:rsidR="009158D1" w:rsidRPr="00ED4A34">
        <w:t>highly unlikely</w:t>
      </w:r>
      <w:r w:rsidR="009158D1">
        <w:t xml:space="preserve">’ that </w:t>
      </w:r>
      <w:proofErr w:type="spellStart"/>
      <w:r w:rsidR="00151357" w:rsidRPr="00005B44">
        <w:rPr>
          <w:lang w:val="en-US"/>
        </w:rPr>
        <w:t>Ms</w:t>
      </w:r>
      <w:proofErr w:type="spellEnd"/>
      <w:r w:rsidR="00151357" w:rsidRPr="00005B44">
        <w:rPr>
          <w:lang w:val="en-US"/>
        </w:rPr>
        <w:t xml:space="preserve"> Abdirahman-Khalif</w:t>
      </w:r>
      <w:r w:rsidR="00151357">
        <w:rPr>
          <w:lang w:val="en-US"/>
        </w:rPr>
        <w:t xml:space="preserve"> </w:t>
      </w:r>
      <w:r w:rsidR="009158D1">
        <w:rPr>
          <w:lang w:val="en-US"/>
        </w:rPr>
        <w:t xml:space="preserve">had either the </w:t>
      </w:r>
      <w:r w:rsidR="00151357" w:rsidRPr="00ED4A34">
        <w:t xml:space="preserve">knowledge </w:t>
      </w:r>
      <w:r w:rsidR="009158D1">
        <w:t>or</w:t>
      </w:r>
      <w:r w:rsidR="00151357" w:rsidRPr="00ED4A34">
        <w:t xml:space="preserve"> skills to carry out an act of politically-motivated violence</w:t>
      </w:r>
      <w:r w:rsidR="00151357">
        <w:t>.</w:t>
      </w:r>
      <w:r w:rsidR="00B22346">
        <w:t xml:space="preserve"> </w:t>
      </w:r>
      <w:r w:rsidR="00424F72">
        <w:t xml:space="preserve"> It is perhaps </w:t>
      </w:r>
      <w:r w:rsidR="005B294C">
        <w:t xml:space="preserve">even </w:t>
      </w:r>
      <w:r w:rsidR="00424F72">
        <w:t xml:space="preserve">more surprising that </w:t>
      </w:r>
      <w:r w:rsidR="009E0782">
        <w:t>a control order was applied for in the face of such an assessment.</w:t>
      </w:r>
    </w:p>
    <w:p w14:paraId="57FD2B0B" w14:textId="50550E40" w:rsidR="00151357" w:rsidRPr="001F62E8" w:rsidRDefault="00831F33" w:rsidP="00C07787">
      <w:pPr>
        <w:pStyle w:val="ListNumber2"/>
        <w:tabs>
          <w:tab w:val="clear" w:pos="643"/>
          <w:tab w:val="num" w:pos="1080"/>
        </w:tabs>
        <w:ind w:left="1080" w:hanging="797"/>
      </w:pPr>
      <w:r>
        <w:t>Less restrictive alternatives to the use of a control order were available</w:t>
      </w:r>
      <w:r w:rsidR="005B294C">
        <w:t xml:space="preserve">, such as </w:t>
      </w:r>
      <w:r w:rsidR="00925D43">
        <w:t>surveillance</w:t>
      </w:r>
      <w:r w:rsidR="005B294C">
        <w:t xml:space="preserve"> by the police or security </w:t>
      </w:r>
      <w:r w:rsidR="00B963AA">
        <w:t>agencies</w:t>
      </w:r>
      <w:r w:rsidR="00925D43">
        <w:t xml:space="preserve">.  This was </w:t>
      </w:r>
      <w:r w:rsidR="00375F2A">
        <w:t xml:space="preserve">demonstrated by the fact that </w:t>
      </w:r>
      <w:r>
        <w:t xml:space="preserve">in September 2016 a listening device was lawfully placed in </w:t>
      </w:r>
      <w:proofErr w:type="spellStart"/>
      <w:r w:rsidR="005B372C" w:rsidRPr="00005B44">
        <w:rPr>
          <w:lang w:val="en-US"/>
        </w:rPr>
        <w:t>Ms</w:t>
      </w:r>
      <w:proofErr w:type="spellEnd"/>
      <w:r w:rsidR="005B372C" w:rsidRPr="00005B44">
        <w:rPr>
          <w:lang w:val="en-US"/>
        </w:rPr>
        <w:t xml:space="preserve"> Abdirahman-Khalif</w:t>
      </w:r>
      <w:r>
        <w:rPr>
          <w:lang w:val="en-US"/>
        </w:rPr>
        <w:t>’s bedroom</w:t>
      </w:r>
      <w:r w:rsidR="00507AD9">
        <w:rPr>
          <w:lang w:val="en-US"/>
        </w:rPr>
        <w:t xml:space="preserve">, allowing police to monitor things said by her </w:t>
      </w:r>
      <w:r w:rsidR="00EB3BAC">
        <w:rPr>
          <w:lang w:val="en-US"/>
        </w:rPr>
        <w:t>during telephone calls</w:t>
      </w:r>
      <w:r w:rsidR="001728F0">
        <w:rPr>
          <w:lang w:val="en-US"/>
        </w:rPr>
        <w:t>.</w:t>
      </w:r>
      <w:r w:rsidR="00A451DF">
        <w:rPr>
          <w:rStyle w:val="EndnoteReference"/>
          <w:lang w:val="en-US"/>
        </w:rPr>
        <w:endnoteReference w:id="218"/>
      </w:r>
      <w:r w:rsidR="00F45315">
        <w:rPr>
          <w:lang w:val="en-US"/>
        </w:rPr>
        <w:t xml:space="preserve">  </w:t>
      </w:r>
    </w:p>
    <w:p w14:paraId="0B55ABBE" w14:textId="0E700BF0" w:rsidR="001F62E8" w:rsidRDefault="001F62E8" w:rsidP="00C07787">
      <w:pPr>
        <w:pStyle w:val="ListNumber2"/>
        <w:tabs>
          <w:tab w:val="clear" w:pos="643"/>
          <w:tab w:val="num" w:pos="1080"/>
        </w:tabs>
        <w:ind w:left="1080" w:hanging="797"/>
      </w:pPr>
      <w:r>
        <w:rPr>
          <w:lang w:val="en-US"/>
        </w:rPr>
        <w:t>As the COAG Review Committee said of the control order</w:t>
      </w:r>
      <w:r w:rsidR="00C12B2A">
        <w:rPr>
          <w:lang w:val="en-US"/>
        </w:rPr>
        <w:t>s</w:t>
      </w:r>
      <w:r>
        <w:rPr>
          <w:lang w:val="en-US"/>
        </w:rPr>
        <w:t xml:space="preserve"> in relation to Mr Thomas</w:t>
      </w:r>
      <w:r w:rsidR="00C12B2A">
        <w:rPr>
          <w:lang w:val="en-US"/>
        </w:rPr>
        <w:t xml:space="preserve"> and Mr Hicks</w:t>
      </w:r>
      <w:r>
        <w:rPr>
          <w:lang w:val="en-US"/>
        </w:rPr>
        <w:t xml:space="preserve">, </w:t>
      </w:r>
      <w:r w:rsidR="005B372C">
        <w:rPr>
          <w:lang w:val="en-US"/>
        </w:rPr>
        <w:t xml:space="preserve">the case of </w:t>
      </w:r>
      <w:proofErr w:type="spellStart"/>
      <w:r w:rsidR="005B372C" w:rsidRPr="00005B44">
        <w:rPr>
          <w:lang w:val="en-US"/>
        </w:rPr>
        <w:t>Ms</w:t>
      </w:r>
      <w:proofErr w:type="spellEnd"/>
      <w:r w:rsidR="005B372C" w:rsidRPr="00005B44">
        <w:rPr>
          <w:lang w:val="en-US"/>
        </w:rPr>
        <w:t xml:space="preserve"> Abdirahman-Khalif</w:t>
      </w:r>
      <w:r w:rsidR="005B372C">
        <w:rPr>
          <w:lang w:val="en-US"/>
        </w:rPr>
        <w:t xml:space="preserve"> </w:t>
      </w:r>
      <w:r w:rsidR="005B372C">
        <w:t xml:space="preserve">does not </w:t>
      </w:r>
      <w:r>
        <w:t>demonstrate the necessity for, or the effectiveness of, the control order system, at least in a significantly persuasive manner</w:t>
      </w:r>
      <w:r w:rsidR="005B372C">
        <w:t>.</w:t>
      </w:r>
    </w:p>
    <w:p w14:paraId="1E923EFC" w14:textId="793D3AF1" w:rsidR="00B26C16" w:rsidRDefault="006C72A9" w:rsidP="00D46C26">
      <w:pPr>
        <w:pStyle w:val="Heading2"/>
      </w:pPr>
      <w:bookmarkStart w:id="35" w:name="_Toc50633829"/>
      <w:r>
        <w:t>Consideration</w:t>
      </w:r>
      <w:bookmarkEnd w:id="35"/>
    </w:p>
    <w:p w14:paraId="7DC3685D" w14:textId="5672E80F" w:rsidR="0024343E" w:rsidRDefault="00136380" w:rsidP="00136380">
      <w:pPr>
        <w:pStyle w:val="ListNumber2"/>
        <w:tabs>
          <w:tab w:val="clear" w:pos="643"/>
          <w:tab w:val="num" w:pos="1080"/>
        </w:tabs>
        <w:ind w:left="1080" w:hanging="797"/>
      </w:pPr>
      <w:r>
        <w:t xml:space="preserve">A key </w:t>
      </w:r>
      <w:r w:rsidR="0024343E">
        <w:t>issue</w:t>
      </w:r>
      <w:r>
        <w:t xml:space="preserve"> for the PJCIS </w:t>
      </w:r>
      <w:r w:rsidR="0024343E">
        <w:t xml:space="preserve">to determine </w:t>
      </w:r>
      <w:r>
        <w:t>is the appropriate scope for control orders</w:t>
      </w:r>
      <w:r w:rsidR="005D280F">
        <w:t xml:space="preserve"> (or their equivalent, in the case of ESOs)</w:t>
      </w:r>
      <w:r>
        <w:t xml:space="preserve">.  </w:t>
      </w:r>
    </w:p>
    <w:p w14:paraId="12CF15AA" w14:textId="7D6F03FC" w:rsidR="00136380" w:rsidRDefault="00136380" w:rsidP="00136380">
      <w:pPr>
        <w:pStyle w:val="ListNumber2"/>
        <w:tabs>
          <w:tab w:val="clear" w:pos="643"/>
          <w:tab w:val="num" w:pos="1080"/>
        </w:tabs>
        <w:ind w:left="1080" w:hanging="797"/>
      </w:pPr>
      <w:r>
        <w:t>In applying a human rights framework</w:t>
      </w:r>
      <w:r w:rsidR="0024343E">
        <w:t>, it is clear that c</w:t>
      </w:r>
      <w:r>
        <w:t xml:space="preserve">ontrol orders </w:t>
      </w:r>
      <w:r w:rsidR="0024343E">
        <w:t xml:space="preserve">are directed towards a legitimate purpose: </w:t>
      </w:r>
      <w:r w:rsidR="002A027B">
        <w:t>preventing acts of terrorism and protecting the public from such acts.</w:t>
      </w:r>
      <w:r w:rsidR="006B7452">
        <w:t xml:space="preserve">  The primary focus of analysis must be on whether control orders are effective in achieving this purpose, whether there are alternative methods available </w:t>
      </w:r>
      <w:r w:rsidR="00FF0551">
        <w:t xml:space="preserve">to achieve the same aims </w:t>
      </w:r>
      <w:r w:rsidR="006B7452">
        <w:t xml:space="preserve">that are less restrictive of </w:t>
      </w:r>
      <w:r w:rsidR="00784EDD">
        <w:t>human rights, and whether in all of the circumstances the restriction</w:t>
      </w:r>
      <w:r w:rsidR="0038398A">
        <w:t>s</w:t>
      </w:r>
      <w:r w:rsidR="00784EDD">
        <w:t xml:space="preserve"> on human rights </w:t>
      </w:r>
      <w:r w:rsidR="0038398A">
        <w:t>are</w:t>
      </w:r>
      <w:r w:rsidR="00784EDD">
        <w:t xml:space="preserve"> proportionate.</w:t>
      </w:r>
    </w:p>
    <w:p w14:paraId="75C920F7" w14:textId="161F2863" w:rsidR="0022350F" w:rsidRDefault="0022350F" w:rsidP="00DA75AC">
      <w:pPr>
        <w:pStyle w:val="ListNumber2"/>
        <w:tabs>
          <w:tab w:val="clear" w:pos="643"/>
          <w:tab w:val="num" w:pos="1080"/>
        </w:tabs>
        <w:ind w:left="1080" w:hanging="797"/>
      </w:pPr>
      <w:r>
        <w:t>The impact of control orders on human rights is significant</w:t>
      </w:r>
      <w:r w:rsidR="00A35231">
        <w:t>.  There are a number of dimensions to this impact:</w:t>
      </w:r>
    </w:p>
    <w:p w14:paraId="2C01A94C" w14:textId="158B8B9F" w:rsidR="00BF231A" w:rsidRDefault="00BF231A" w:rsidP="00A35231">
      <w:pPr>
        <w:pStyle w:val="ListNumber2"/>
        <w:numPr>
          <w:ilvl w:val="0"/>
          <w:numId w:val="14"/>
        </w:numPr>
      </w:pPr>
      <w:r>
        <w:t xml:space="preserve">Control orders invariably involve a suite of </w:t>
      </w:r>
      <w:r w:rsidR="003D40BE">
        <w:t>obligations, prohibit</w:t>
      </w:r>
      <w:r w:rsidR="00172D79">
        <w:t>i</w:t>
      </w:r>
      <w:r w:rsidR="003D40BE">
        <w:t>ons and restrictions</w:t>
      </w:r>
      <w:r>
        <w:t xml:space="preserve"> that </w:t>
      </w:r>
      <w:r w:rsidR="00DB5684">
        <w:t>limit</w:t>
      </w:r>
      <w:r w:rsidR="00842A3A">
        <w:t xml:space="preserve"> a range of human rights.</w:t>
      </w:r>
      <w:r w:rsidR="00F72CC6">
        <w:t xml:space="preserve">  The control order </w:t>
      </w:r>
      <w:r w:rsidR="004E511C">
        <w:t xml:space="preserve">recently made in </w:t>
      </w:r>
      <w:r w:rsidR="004E511C" w:rsidRPr="004E511C">
        <w:rPr>
          <w:i/>
          <w:iCs/>
        </w:rPr>
        <w:t>Booth v Thorne (No 2)</w:t>
      </w:r>
      <w:r w:rsidR="004E511C">
        <w:t xml:space="preserve"> [2020] FCA 1196 is typical and involved 20 different </w:t>
      </w:r>
      <w:r w:rsidR="0086558C">
        <w:t xml:space="preserve">detailed </w:t>
      </w:r>
      <w:r w:rsidR="004E511C">
        <w:t>controls</w:t>
      </w:r>
      <w:r w:rsidR="00DB7685">
        <w:t xml:space="preserve">, many of which </w:t>
      </w:r>
      <w:r w:rsidR="00DB7685">
        <w:lastRenderedPageBreak/>
        <w:t xml:space="preserve">are now ‘boilerplate’ conditions sought in relation to </w:t>
      </w:r>
      <w:r w:rsidR="00BA31D4">
        <w:t>most, if not all, control orders</w:t>
      </w:r>
      <w:r w:rsidR="004E511C">
        <w:t>.</w:t>
      </w:r>
    </w:p>
    <w:p w14:paraId="1D7CABA8" w14:textId="7F9D00E8" w:rsidR="00A35231" w:rsidRDefault="00E079E9" w:rsidP="00A35231">
      <w:pPr>
        <w:pStyle w:val="ListNumber2"/>
        <w:numPr>
          <w:ilvl w:val="0"/>
          <w:numId w:val="14"/>
        </w:numPr>
      </w:pPr>
      <w:r>
        <w:t xml:space="preserve">The restraints on liberty are extensive.  </w:t>
      </w:r>
      <w:r w:rsidR="00FC0104">
        <w:t xml:space="preserve">Curfews </w:t>
      </w:r>
      <w:r w:rsidR="00E173FF">
        <w:t xml:space="preserve">and </w:t>
      </w:r>
      <w:r w:rsidR="00842A3A">
        <w:t>restrictions</w:t>
      </w:r>
      <w:r w:rsidR="00E173FF">
        <w:t xml:space="preserve"> on </w:t>
      </w:r>
      <w:r w:rsidR="00EC4CF9">
        <w:t>travel</w:t>
      </w:r>
      <w:r w:rsidR="004659F2">
        <w:t xml:space="preserve"> or being in certain areas</w:t>
      </w:r>
      <w:r w:rsidR="00E173FF">
        <w:t xml:space="preserve"> </w:t>
      </w:r>
      <w:r w:rsidR="00FC0104">
        <w:t xml:space="preserve">are invariably </w:t>
      </w:r>
      <w:r w:rsidR="00172D79">
        <w:t>required</w:t>
      </w:r>
      <w:r w:rsidR="00E173FF">
        <w:t xml:space="preserve">, </w:t>
      </w:r>
      <w:r w:rsidR="00842A3A">
        <w:t xml:space="preserve">which significantly limit the liberty and freedom of movement of </w:t>
      </w:r>
      <w:r w:rsidR="00F200E5">
        <w:t>the person subject to the control order</w:t>
      </w:r>
      <w:r w:rsidR="00842A3A">
        <w:t xml:space="preserve">. </w:t>
      </w:r>
      <w:r w:rsidR="00E317A4">
        <w:t xml:space="preserve"> </w:t>
      </w:r>
      <w:r w:rsidR="00787A00">
        <w:t xml:space="preserve">Strong justification is required for </w:t>
      </w:r>
      <w:r w:rsidR="00141F28">
        <w:t xml:space="preserve">these kinds of limits to be imposed.  </w:t>
      </w:r>
      <w:r w:rsidR="00E317A4">
        <w:t xml:space="preserve">Other </w:t>
      </w:r>
      <w:r w:rsidR="0004138E">
        <w:t>common provisions of control orders</w:t>
      </w:r>
      <w:r w:rsidR="00E317A4">
        <w:t xml:space="preserve"> limit freedom of communication, freedom of association</w:t>
      </w:r>
      <w:r w:rsidR="009C6D2A">
        <w:t xml:space="preserve"> and the right to privacy. </w:t>
      </w:r>
    </w:p>
    <w:p w14:paraId="049CA479" w14:textId="599676C0" w:rsidR="00A51C38" w:rsidRDefault="00A113EA" w:rsidP="00A35231">
      <w:pPr>
        <w:pStyle w:val="ListNumber2"/>
        <w:numPr>
          <w:ilvl w:val="0"/>
          <w:numId w:val="14"/>
        </w:numPr>
      </w:pPr>
      <w:r>
        <w:t>There is regularly a long gap between an interim control order being made and the order being confirmed.  This means that restraints can be obtained for substantial periods of time without a proper testing of the evidence</w:t>
      </w:r>
      <w:r w:rsidR="002D0557">
        <w:t xml:space="preserve"> said to support them</w:t>
      </w:r>
      <w:r w:rsidR="003300E6">
        <w:t>.</w:t>
      </w:r>
    </w:p>
    <w:p w14:paraId="4E002B5A" w14:textId="5EF2260F" w:rsidR="00A51C38" w:rsidRDefault="007529AD" w:rsidP="002D0557">
      <w:pPr>
        <w:pStyle w:val="ListNumber2"/>
        <w:numPr>
          <w:ilvl w:val="0"/>
          <w:numId w:val="14"/>
        </w:numPr>
      </w:pPr>
      <w:r>
        <w:t xml:space="preserve">The controls are </w:t>
      </w:r>
      <w:r w:rsidR="00C15E03">
        <w:t>backed by criminal sanctions, which can result in imprisonment</w:t>
      </w:r>
      <w:r w:rsidR="00072C64">
        <w:t xml:space="preserve"> for several years</w:t>
      </w:r>
      <w:r w:rsidR="00A51C38">
        <w:t xml:space="preserve">, even for </w:t>
      </w:r>
      <w:r w:rsidR="0004138E">
        <w:t xml:space="preserve">minor or </w:t>
      </w:r>
      <w:r w:rsidR="00A51C38">
        <w:t>trivial breaches.</w:t>
      </w:r>
    </w:p>
    <w:p w14:paraId="3DC46A20" w14:textId="78335000" w:rsidR="004B68D4" w:rsidRDefault="004B68D4" w:rsidP="002D0557">
      <w:pPr>
        <w:pStyle w:val="ListNumber2"/>
        <w:numPr>
          <w:ilvl w:val="0"/>
          <w:numId w:val="14"/>
        </w:numPr>
      </w:pPr>
      <w:r>
        <w:t xml:space="preserve">There is a low threshold for obtaining </w:t>
      </w:r>
      <w:r w:rsidR="00FE7374">
        <w:t xml:space="preserve">these orders.  </w:t>
      </w:r>
      <w:r w:rsidR="003C63DA">
        <w:t xml:space="preserve">Where there is no </w:t>
      </w:r>
      <w:r w:rsidR="00D53B0E">
        <w:t xml:space="preserve">demonstrated previous conduct by the </w:t>
      </w:r>
      <w:r w:rsidR="00B360E4">
        <w:t>person</w:t>
      </w:r>
      <w:r w:rsidR="00D53B0E">
        <w:t xml:space="preserve"> that may support the making of a control order, it is enough if a court is satisfied </w:t>
      </w:r>
      <w:r w:rsidR="001560CE">
        <w:t xml:space="preserve">on the balance of probabilities </w:t>
      </w:r>
      <w:r w:rsidR="00D53B0E">
        <w:t xml:space="preserve">that the </w:t>
      </w:r>
      <w:r w:rsidR="001560CE">
        <w:t xml:space="preserve">restrictions on the liberty </w:t>
      </w:r>
      <w:r w:rsidR="00953AB5">
        <w:t xml:space="preserve">and other human rights </w:t>
      </w:r>
      <w:r w:rsidR="001560CE">
        <w:t xml:space="preserve">of the </w:t>
      </w:r>
      <w:r w:rsidR="00B360E4">
        <w:t>person</w:t>
      </w:r>
      <w:r w:rsidR="001560CE">
        <w:t xml:space="preserve"> would assist police in a way that is </w:t>
      </w:r>
      <w:r w:rsidR="00D53B0E" w:rsidRPr="00ED4A34">
        <w:t>more than merely insubstantial or insignificant</w:t>
      </w:r>
      <w:r w:rsidR="001560CE">
        <w:t>.</w:t>
      </w:r>
    </w:p>
    <w:p w14:paraId="1448D51A" w14:textId="1F1D0467" w:rsidR="0015098C" w:rsidRDefault="0015098C" w:rsidP="00DA75AC">
      <w:pPr>
        <w:pStyle w:val="ListNumber2"/>
        <w:tabs>
          <w:tab w:val="clear" w:pos="643"/>
          <w:tab w:val="num" w:pos="1080"/>
        </w:tabs>
        <w:ind w:left="1080" w:hanging="797"/>
      </w:pPr>
      <w:r>
        <w:t>This last point</w:t>
      </w:r>
      <w:r w:rsidR="00F54D30">
        <w:t xml:space="preserve">, in particular, </w:t>
      </w:r>
      <w:r w:rsidR="000E510A">
        <w:t>focuses attention on</w:t>
      </w:r>
      <w:r w:rsidR="00F54D30">
        <w:t xml:space="preserve"> whether control orders should be limited to people who have a demonstrated </w:t>
      </w:r>
      <w:r w:rsidR="00EE71E3">
        <w:t xml:space="preserve">level of risk, by virtue of previous proven involvement in terrorist acts. </w:t>
      </w:r>
    </w:p>
    <w:p w14:paraId="2ED3A005" w14:textId="5D7FB716" w:rsidR="000855BE" w:rsidRDefault="002D0557" w:rsidP="00DA75AC">
      <w:pPr>
        <w:pStyle w:val="ListNumber2"/>
        <w:tabs>
          <w:tab w:val="clear" w:pos="643"/>
          <w:tab w:val="num" w:pos="1080"/>
        </w:tabs>
        <w:ind w:left="1080" w:hanging="797"/>
      </w:pPr>
      <w:r>
        <w:t xml:space="preserve">There are real questions about the utility of </w:t>
      </w:r>
      <w:r w:rsidR="000855BE">
        <w:t>control order</w:t>
      </w:r>
      <w:r w:rsidR="000B3B24">
        <w:t>s</w:t>
      </w:r>
      <w:r w:rsidR="000855BE">
        <w:t xml:space="preserve"> to achieve their stated purpose.  </w:t>
      </w:r>
      <w:r w:rsidR="005241D0">
        <w:t>As noted above, t</w:t>
      </w:r>
      <w:r w:rsidR="000855BE">
        <w:t xml:space="preserve">he AFP has recently submitted that </w:t>
      </w:r>
      <w:r w:rsidR="00FE7374">
        <w:t>t</w:t>
      </w:r>
      <w:r w:rsidR="00FE7374" w:rsidRPr="00FE7374">
        <w:t>he sorts of obligations, prohibitions and restrictions that can be contained in a control order are, by their very nature, not necessarily going to be decisive in preventing a terrorist act.</w:t>
      </w:r>
      <w:r w:rsidR="00B44468">
        <w:t xml:space="preserve">  </w:t>
      </w:r>
    </w:p>
    <w:p w14:paraId="518BBC71" w14:textId="4D22D149" w:rsidR="000855BE" w:rsidRDefault="00FF4FBA" w:rsidP="00DA75AC">
      <w:pPr>
        <w:pStyle w:val="ListNumber2"/>
        <w:tabs>
          <w:tab w:val="clear" w:pos="643"/>
          <w:tab w:val="num" w:pos="1080"/>
        </w:tabs>
        <w:ind w:left="1080" w:hanging="797"/>
      </w:pPr>
      <w:r>
        <w:t xml:space="preserve">By contrast, there are a range of other tools available to police that are more useful and less restrictive of human rights.  </w:t>
      </w:r>
      <w:r w:rsidR="002445C3">
        <w:t xml:space="preserve">A key tool is surveillance, which is often employed </w:t>
      </w:r>
      <w:r w:rsidR="00C966A8">
        <w:t xml:space="preserve">in any event in order to gather evidence in support of a control order application.  While surveillance is resource intensive, so too is the </w:t>
      </w:r>
      <w:r w:rsidR="008D10AA">
        <w:t xml:space="preserve">task of monitoring a person who is the subject of a control order once it is made.  </w:t>
      </w:r>
      <w:r w:rsidR="00304EC5">
        <w:t xml:space="preserve">The cost of obtaining a </w:t>
      </w:r>
      <w:r w:rsidR="00304EC5">
        <w:lastRenderedPageBreak/>
        <w:t xml:space="preserve">control order also needs to be factored in.  The PJCIS has previously heard that </w:t>
      </w:r>
      <w:r w:rsidR="007F0E29">
        <w:t xml:space="preserve">the cost of </w:t>
      </w:r>
      <w:r w:rsidR="00C87B7F">
        <w:t xml:space="preserve">preparing and </w:t>
      </w:r>
      <w:r w:rsidR="004F10EB">
        <w:t xml:space="preserve">arguing </w:t>
      </w:r>
      <w:r w:rsidR="00C87B7F">
        <w:t xml:space="preserve">a substantial contested control order </w:t>
      </w:r>
      <w:r w:rsidR="007F0E29">
        <w:t>proceeding can be in the order of $300,000 to $400,000.</w:t>
      </w:r>
      <w:r w:rsidR="004F10EB">
        <w:rPr>
          <w:rStyle w:val="EndnoteReference"/>
        </w:rPr>
        <w:endnoteReference w:id="219"/>
      </w:r>
    </w:p>
    <w:p w14:paraId="086CE819" w14:textId="1692CF59" w:rsidR="00B75458" w:rsidRDefault="00B75458" w:rsidP="00DA75AC">
      <w:pPr>
        <w:pStyle w:val="ListNumber2"/>
        <w:tabs>
          <w:tab w:val="clear" w:pos="643"/>
          <w:tab w:val="num" w:pos="1080"/>
        </w:tabs>
        <w:ind w:left="1080" w:hanging="797"/>
      </w:pPr>
      <w:r>
        <w:t xml:space="preserve">Another available option, where there is a reasonable suspicion that a person </w:t>
      </w:r>
      <w:r w:rsidR="003013DF">
        <w:t xml:space="preserve">has taken a </w:t>
      </w:r>
      <w:proofErr w:type="gramStart"/>
      <w:r w:rsidR="003013DF">
        <w:t>step in</w:t>
      </w:r>
      <w:proofErr w:type="gramEnd"/>
      <w:r w:rsidR="003013DF">
        <w:t xml:space="preserve"> preparation for a terrorist act, it to arrest and charge the person for that conduct.  If the arrest threshold is not met, because there is no reasonable suspicion of this kind of conduct, </w:t>
      </w:r>
      <w:r w:rsidR="00695946">
        <w:t>there will also be less justification for significant limitations on human rights</w:t>
      </w:r>
      <w:r w:rsidR="003113D5">
        <w:t xml:space="preserve"> involved in the making of a control order</w:t>
      </w:r>
      <w:r w:rsidR="00695946">
        <w:t>.</w:t>
      </w:r>
    </w:p>
    <w:p w14:paraId="27A11613" w14:textId="258E52A9" w:rsidR="00643347" w:rsidRDefault="00535D51" w:rsidP="00991E02">
      <w:pPr>
        <w:pStyle w:val="ListNumber2"/>
        <w:tabs>
          <w:tab w:val="clear" w:pos="643"/>
          <w:tab w:val="num" w:pos="1080"/>
        </w:tabs>
        <w:ind w:left="1080" w:hanging="797"/>
      </w:pPr>
      <w:r>
        <w:t xml:space="preserve">The first INSLM evaluated the relative utility of control orders </w:t>
      </w:r>
      <w:r w:rsidR="0048175A">
        <w:t xml:space="preserve">as against </w:t>
      </w:r>
      <w:r>
        <w:t xml:space="preserve">surveillance </w:t>
      </w:r>
      <w:r w:rsidR="0048175A">
        <w:t xml:space="preserve">and investigation </w:t>
      </w:r>
      <w:r>
        <w:t xml:space="preserve">following a review of all AFP files up to 2012 in which control orders had been contemplated.  He found that </w:t>
      </w:r>
      <w:r w:rsidRPr="007C0907">
        <w:t xml:space="preserve">properly funded and resourced surveillance and investigation efforts </w:t>
      </w:r>
      <w:r>
        <w:t xml:space="preserve">had been effective in dealing with the risk posed by terrorism.  </w:t>
      </w:r>
      <w:r w:rsidR="00787F9A">
        <w:t>He rated t</w:t>
      </w:r>
      <w:r>
        <w:t>hese tools ‘much more highly than resort to [control orders]</w:t>
      </w:r>
      <w:r w:rsidR="000F08EE">
        <w:t>’</w:t>
      </w:r>
      <w:r>
        <w:t xml:space="preserve"> which </w:t>
      </w:r>
      <w:r w:rsidR="0088520C">
        <w:t>he</w:t>
      </w:r>
      <w:r w:rsidR="000F08EE">
        <w:t xml:space="preserve"> considered </w:t>
      </w:r>
      <w:r>
        <w:t>had been ‘ineffective’.</w:t>
      </w:r>
      <w:r w:rsidR="000F08EE">
        <w:rPr>
          <w:rStyle w:val="EndnoteReference"/>
        </w:rPr>
        <w:endnoteReference w:id="220"/>
      </w:r>
      <w:r w:rsidR="0088520C">
        <w:t xml:space="preserve"> </w:t>
      </w:r>
    </w:p>
    <w:p w14:paraId="3FB3E0B3" w14:textId="6613BEF9" w:rsidR="00C225B5" w:rsidRDefault="00C225B5" w:rsidP="0017551D">
      <w:pPr>
        <w:pStyle w:val="ListNumber2"/>
        <w:tabs>
          <w:tab w:val="clear" w:pos="643"/>
          <w:tab w:val="num" w:pos="1080"/>
        </w:tabs>
        <w:ind w:left="1080" w:hanging="797"/>
      </w:pPr>
      <w:r>
        <w:t>The largest category of control orders that have been sought to date</w:t>
      </w:r>
      <w:r w:rsidR="0054759D">
        <w:t xml:space="preserve">, and arguably the least controversial, </w:t>
      </w:r>
      <w:r>
        <w:t xml:space="preserve">relate to people who have already been convicted of a terrorism offence.  </w:t>
      </w:r>
    </w:p>
    <w:p w14:paraId="72C01BD9" w14:textId="305860D1" w:rsidR="00C225B5" w:rsidRDefault="00D16951" w:rsidP="00C225B5">
      <w:pPr>
        <w:pStyle w:val="ListNumber2"/>
        <w:tabs>
          <w:tab w:val="clear" w:pos="643"/>
          <w:tab w:val="num" w:pos="1080"/>
        </w:tabs>
        <w:ind w:left="1080" w:hanging="797"/>
      </w:pPr>
      <w:r>
        <w:t>Nine</w:t>
      </w:r>
      <w:r w:rsidR="00C225B5">
        <w:t xml:space="preserve"> of the </w:t>
      </w:r>
      <w:r>
        <w:t xml:space="preserve">10 </w:t>
      </w:r>
      <w:r w:rsidR="00C225B5">
        <w:t>control orders that have been made since these provisions were last considered by the PJCIS have been made in relation to a person who had been convicted of a terrorism offence, and were made at the time the person finished their sentence and was to be released into the community.</w:t>
      </w:r>
      <w:r w:rsidR="00C225B5">
        <w:rPr>
          <w:rStyle w:val="EndnoteReference"/>
        </w:rPr>
        <w:endnoteReference w:id="221"/>
      </w:r>
      <w:r w:rsidR="00C225B5">
        <w:t xml:space="preserve">  The </w:t>
      </w:r>
      <w:r w:rsidR="007B65D4">
        <w:t xml:space="preserve">tenth </w:t>
      </w:r>
      <w:r w:rsidR="00C225B5">
        <w:t xml:space="preserve">control order was made in relation to </w:t>
      </w:r>
      <w:r w:rsidR="00C225B5" w:rsidRPr="008A66A2">
        <w:t>Ms Abdirahman-Khalif</w:t>
      </w:r>
      <w:r w:rsidR="00184460">
        <w:t xml:space="preserve"> (see case study 5 above)</w:t>
      </w:r>
      <w:r w:rsidR="00C225B5">
        <w:t xml:space="preserve">.  </w:t>
      </w:r>
    </w:p>
    <w:p w14:paraId="4EF95874" w14:textId="09166718" w:rsidR="00C225B5" w:rsidRDefault="00C225B5" w:rsidP="00C225B5">
      <w:pPr>
        <w:pStyle w:val="ListNumber2"/>
        <w:tabs>
          <w:tab w:val="clear" w:pos="643"/>
          <w:tab w:val="num" w:pos="1080"/>
        </w:tabs>
        <w:ind w:left="1080" w:hanging="797"/>
      </w:pPr>
      <w:r>
        <w:t xml:space="preserve">The Commission considers that post-sentence restrictions on convicted terrorism offenders is the appropriate scope for control orders.  </w:t>
      </w:r>
      <w:r w:rsidR="00562A68">
        <w:t xml:space="preserve">As can be seen from Appendix </w:t>
      </w:r>
      <w:r w:rsidR="00B10B5D">
        <w:t xml:space="preserve">A </w:t>
      </w:r>
      <w:r w:rsidR="00562A68">
        <w:t>to this submission, t</w:t>
      </w:r>
      <w:r>
        <w:t>his category amounts to more than half of all control orders ever issued.</w:t>
      </w:r>
    </w:p>
    <w:p w14:paraId="631EEF3D" w14:textId="6BDA48B4" w:rsidR="006003B9" w:rsidRDefault="00485135" w:rsidP="002A2D1A">
      <w:pPr>
        <w:pStyle w:val="ListNumber2"/>
        <w:tabs>
          <w:tab w:val="clear" w:pos="643"/>
          <w:tab w:val="num" w:pos="1080"/>
        </w:tabs>
        <w:ind w:left="1080" w:hanging="797"/>
      </w:pPr>
      <w:r>
        <w:t>T</w:t>
      </w:r>
      <w:r w:rsidR="00137525">
        <w:t>his submission has identified</w:t>
      </w:r>
      <w:r>
        <w:t xml:space="preserve"> serious problems regarding</w:t>
      </w:r>
      <w:r w:rsidR="00137525">
        <w:t xml:space="preserve"> the use of control orders in other situations</w:t>
      </w:r>
      <w:r w:rsidR="00FB5E26">
        <w:t>.</w:t>
      </w:r>
    </w:p>
    <w:p w14:paraId="20536BC7" w14:textId="511201A8" w:rsidR="005D57AA" w:rsidRDefault="0042475B" w:rsidP="0042475B">
      <w:pPr>
        <w:pStyle w:val="ListNumber2"/>
        <w:tabs>
          <w:tab w:val="clear" w:pos="643"/>
          <w:tab w:val="num" w:pos="1080"/>
        </w:tabs>
        <w:ind w:left="1080" w:hanging="797"/>
      </w:pPr>
      <w:r>
        <w:t>First, t</w:t>
      </w:r>
      <w:r w:rsidR="00787CC5">
        <w:t>he</w:t>
      </w:r>
      <w:r w:rsidR="00C46358">
        <w:t xml:space="preserve"> Commission considers that there is no </w:t>
      </w:r>
      <w:r w:rsidR="00485135">
        <w:t>convincing justification for the</w:t>
      </w:r>
      <w:r w:rsidR="00787CC5">
        <w:t xml:space="preserve"> use of control orders</w:t>
      </w:r>
      <w:r w:rsidR="00485135">
        <w:t>, and specifically the attendant limitations on human rights,</w:t>
      </w:r>
      <w:r w:rsidR="00787CC5">
        <w:t xml:space="preserve"> in relation to </w:t>
      </w:r>
      <w:r w:rsidR="00485135">
        <w:t xml:space="preserve">people </w:t>
      </w:r>
      <w:r w:rsidR="00787CC5">
        <w:t xml:space="preserve">with no previous history of </w:t>
      </w:r>
      <w:r w:rsidR="00787CC5">
        <w:lastRenderedPageBreak/>
        <w:t xml:space="preserve">terrorist activity, </w:t>
      </w:r>
      <w:r w:rsidR="00C57FA8">
        <w:t xml:space="preserve">where there is a lack of probative evidence that </w:t>
      </w:r>
      <w:r w:rsidR="003F611E">
        <w:t xml:space="preserve">would even ground a ‘reasonable suspicion’ that </w:t>
      </w:r>
      <w:r w:rsidR="00C57FA8">
        <w:t xml:space="preserve">they are </w:t>
      </w:r>
      <w:r w:rsidR="003F611E">
        <w:t xml:space="preserve">currently involved in </w:t>
      </w:r>
      <w:r w:rsidR="00D15C2D">
        <w:t xml:space="preserve">planning any terrorist act, </w:t>
      </w:r>
      <w:r w:rsidR="0088313B">
        <w:t>or where prosecutors have confirmed that there is no reasonable prospect of a conviction</w:t>
      </w:r>
      <w:r w:rsidR="004A324A">
        <w:t xml:space="preserve">.  </w:t>
      </w:r>
      <w:r w:rsidR="00A27C0F">
        <w:t xml:space="preserve">Case study 4 dealing with </w:t>
      </w:r>
      <w:r w:rsidR="004A324A">
        <w:t xml:space="preserve">Mr Harun </w:t>
      </w:r>
      <w:proofErr w:type="spellStart"/>
      <w:r w:rsidR="004A324A">
        <w:t>Causevic</w:t>
      </w:r>
      <w:proofErr w:type="spellEnd"/>
      <w:r w:rsidR="004A324A">
        <w:t xml:space="preserve"> illustrates some of the problems with this kind of approach.</w:t>
      </w:r>
    </w:p>
    <w:p w14:paraId="0F0FA23E" w14:textId="1CB807B7" w:rsidR="00FB5E26" w:rsidRDefault="004A324A" w:rsidP="00492CF6">
      <w:pPr>
        <w:pStyle w:val="ListNumber2"/>
        <w:tabs>
          <w:tab w:val="clear" w:pos="643"/>
          <w:tab w:val="num" w:pos="1080"/>
        </w:tabs>
        <w:ind w:left="1080" w:hanging="797"/>
      </w:pPr>
      <w:r>
        <w:t xml:space="preserve">Secondly, the use of control orders </w:t>
      </w:r>
      <w:r w:rsidR="00BA6470">
        <w:t xml:space="preserve">after a person has been tried and acquitted of a criminal offence is concerning from a rule of law perspective.  </w:t>
      </w:r>
      <w:r w:rsidR="00DE1BAE">
        <w:t>It is understandable that investigators may disagree with the outcome of a judicial process</w:t>
      </w:r>
      <w:r w:rsidR="00B65710">
        <w:t xml:space="preserve"> where a prosecution is unsuccessful</w:t>
      </w:r>
      <w:r w:rsidR="0014161F">
        <w:t xml:space="preserve">.  However, </w:t>
      </w:r>
      <w:r w:rsidR="00C4688E">
        <w:t xml:space="preserve">once </w:t>
      </w:r>
      <w:r w:rsidR="00EB6EFD">
        <w:t xml:space="preserve">this process has taken its course and all of the evidence has been thoroughly examined as part of a criminal trial, </w:t>
      </w:r>
      <w:r w:rsidR="00186FA7">
        <w:t>the defendant</w:t>
      </w:r>
      <w:r w:rsidR="00C61165">
        <w:t xml:space="preserve"> should not be subjected to </w:t>
      </w:r>
      <w:r w:rsidR="00F236A7">
        <w:t>quasi-criminal sanctions on the basis of the same evidence adduced against a lower standard of proof.</w:t>
      </w:r>
    </w:p>
    <w:p w14:paraId="02B22AE7" w14:textId="3D9F55A9" w:rsidR="00A7205C" w:rsidRDefault="00CC1282" w:rsidP="002A2D1A">
      <w:pPr>
        <w:pStyle w:val="ListNumber2"/>
        <w:tabs>
          <w:tab w:val="clear" w:pos="643"/>
          <w:tab w:val="num" w:pos="1080"/>
        </w:tabs>
        <w:ind w:left="1080" w:hanging="797"/>
      </w:pPr>
      <w:r>
        <w:t xml:space="preserve">The Commission submits that </w:t>
      </w:r>
      <w:r w:rsidR="00575D5E">
        <w:t>c</w:t>
      </w:r>
      <w:r w:rsidR="007D034E">
        <w:t xml:space="preserve">ontrol </w:t>
      </w:r>
      <w:r w:rsidR="00575D5E">
        <w:t>o</w:t>
      </w:r>
      <w:r w:rsidR="007D034E">
        <w:t>rder</w:t>
      </w:r>
      <w:r w:rsidR="00FB62B3">
        <w:t>s</w:t>
      </w:r>
      <w:r w:rsidR="00A7205C">
        <w:t xml:space="preserve"> should be more tightly targeted to people </w:t>
      </w:r>
      <w:r w:rsidR="00682E76">
        <w:t>demonstrated</w:t>
      </w:r>
      <w:r w:rsidR="00C46358">
        <w:t>, through a rigorous process of scrutiny and review,</w:t>
      </w:r>
      <w:r w:rsidR="00682E76">
        <w:t xml:space="preserve"> to be a risk to the community.</w:t>
      </w:r>
      <w:r w:rsidR="00880CCF">
        <w:t xml:space="preserve">  </w:t>
      </w:r>
    </w:p>
    <w:p w14:paraId="234ABEB9" w14:textId="59E09DE6" w:rsidR="00042B31" w:rsidRDefault="009173A4" w:rsidP="00F84BBC">
      <w:pPr>
        <w:pStyle w:val="ListNumber2"/>
        <w:tabs>
          <w:tab w:val="clear" w:pos="643"/>
          <w:tab w:val="num" w:pos="1080"/>
        </w:tabs>
        <w:ind w:left="1080" w:hanging="797"/>
      </w:pPr>
      <w:r>
        <w:t xml:space="preserve">It </w:t>
      </w:r>
      <w:r w:rsidR="000C3E77">
        <w:t xml:space="preserve">appears that </w:t>
      </w:r>
      <w:r>
        <w:t xml:space="preserve">this </w:t>
      </w:r>
      <w:r w:rsidR="0011487D">
        <w:t xml:space="preserve">function could be performed by an </w:t>
      </w:r>
      <w:r w:rsidR="00BB1CA1">
        <w:t>ESO regime</w:t>
      </w:r>
      <w:r w:rsidR="000F5C83">
        <w:t>.</w:t>
      </w:r>
      <w:r w:rsidR="0011487D">
        <w:t xml:space="preserve"> </w:t>
      </w:r>
      <w:r w:rsidR="000F5C83">
        <w:t xml:space="preserve"> A</w:t>
      </w:r>
      <w:r w:rsidR="0011487D">
        <w:t xml:space="preserve">s discussed in more detail in section </w:t>
      </w:r>
      <w:r w:rsidR="00C22BB1">
        <w:fldChar w:fldCharType="begin"/>
      </w:r>
      <w:r w:rsidR="00C22BB1">
        <w:instrText xml:space="preserve"> REF _Ref49620899 \r \h </w:instrText>
      </w:r>
      <w:r w:rsidR="00C22BB1">
        <w:fldChar w:fldCharType="separate"/>
      </w:r>
      <w:r w:rsidR="00381A9B">
        <w:t>8</w:t>
      </w:r>
      <w:r w:rsidR="00C22BB1">
        <w:fldChar w:fldCharType="end"/>
      </w:r>
      <w:r w:rsidR="0011487D">
        <w:t xml:space="preserve"> below</w:t>
      </w:r>
      <w:r w:rsidR="000F5C83">
        <w:t xml:space="preserve">, </w:t>
      </w:r>
      <w:r w:rsidR="003C0F98">
        <w:t xml:space="preserve">the ESO </w:t>
      </w:r>
      <w:r w:rsidR="000F5C83">
        <w:t xml:space="preserve">regime proposed by the </w:t>
      </w:r>
      <w:r w:rsidR="003C2AE8">
        <w:t xml:space="preserve">third </w:t>
      </w:r>
      <w:r w:rsidR="000F5C83">
        <w:t>INSLM</w:t>
      </w:r>
      <w:r w:rsidR="003B01BF">
        <w:t>, and recommended by the PJCIS,</w:t>
      </w:r>
      <w:r w:rsidR="000F5C83">
        <w:t xml:space="preserve"> </w:t>
      </w:r>
      <w:r w:rsidR="00F84BBC">
        <w:t>would allow the same controls to be imposed</w:t>
      </w:r>
      <w:r w:rsidR="000F5C83">
        <w:t xml:space="preserve"> as the current control order regime, but would be limited to </w:t>
      </w:r>
      <w:r w:rsidR="00042B31">
        <w:t>people who have been convicted of a terrorist offence and who would still present unacceptable risks to the community at the end of their sentence if they were free of all restraint upon release from imprisonment.</w:t>
      </w:r>
    </w:p>
    <w:p w14:paraId="03F88F86" w14:textId="4108A97E" w:rsidR="0083610C" w:rsidRDefault="0083610C" w:rsidP="00F84BBC">
      <w:pPr>
        <w:pStyle w:val="ListNumber2"/>
        <w:tabs>
          <w:tab w:val="clear" w:pos="643"/>
          <w:tab w:val="num" w:pos="1080"/>
        </w:tabs>
        <w:ind w:left="1080" w:hanging="797"/>
      </w:pPr>
      <w:r>
        <w:t xml:space="preserve">An ESO requires an application to the Supreme Court, </w:t>
      </w:r>
      <w:r w:rsidR="001C764F">
        <w:t xml:space="preserve">and allows the potential subject of the order to challenge the necessity for the order at the time that it is made, rather than waiting for a confirmation hearing sometime in the future. </w:t>
      </w:r>
    </w:p>
    <w:p w14:paraId="0B74892C" w14:textId="4B0C42EF" w:rsidR="00F84BBC" w:rsidRDefault="0083610C" w:rsidP="00F84BBC">
      <w:pPr>
        <w:pStyle w:val="ListNumber2"/>
        <w:tabs>
          <w:tab w:val="clear" w:pos="643"/>
          <w:tab w:val="num" w:pos="1080"/>
        </w:tabs>
        <w:ind w:left="1080" w:hanging="797"/>
      </w:pPr>
      <w:r>
        <w:t>Such</w:t>
      </w:r>
      <w:r w:rsidR="00F84BBC">
        <w:t xml:space="preserve"> a regime </w:t>
      </w:r>
      <w:r w:rsidR="003365F4">
        <w:t>would be</w:t>
      </w:r>
      <w:r w:rsidR="00F84BBC">
        <w:t xml:space="preserve"> more consistent with human rights because:</w:t>
      </w:r>
    </w:p>
    <w:p w14:paraId="10BF108A" w14:textId="58C3460B" w:rsidR="00F84BBC" w:rsidRDefault="00F84BBC" w:rsidP="00F84BBC">
      <w:pPr>
        <w:pStyle w:val="ListNumber2"/>
        <w:numPr>
          <w:ilvl w:val="0"/>
          <w:numId w:val="14"/>
        </w:numPr>
      </w:pPr>
      <w:r>
        <w:t xml:space="preserve">the scope of the regime would be better targeted to situations where there was more likely to be risk to the community </w:t>
      </w:r>
    </w:p>
    <w:p w14:paraId="5662F3AE" w14:textId="6EC7E198" w:rsidR="00FE347A" w:rsidRDefault="00FE347A" w:rsidP="00F84BBC">
      <w:pPr>
        <w:pStyle w:val="ListNumber2"/>
        <w:numPr>
          <w:ilvl w:val="0"/>
          <w:numId w:val="14"/>
        </w:numPr>
      </w:pPr>
      <w:r>
        <w:t xml:space="preserve">as a result, the degree to which </w:t>
      </w:r>
      <w:r w:rsidR="00DF38E6">
        <w:t xml:space="preserve">the controls </w:t>
      </w:r>
      <w:r w:rsidR="008232F2">
        <w:t>limit</w:t>
      </w:r>
      <w:r w:rsidR="00DF38E6">
        <w:t xml:space="preserve"> the human rights of the </w:t>
      </w:r>
      <w:r w:rsidR="00D86DA1">
        <w:t xml:space="preserve">person subject to the control order </w:t>
      </w:r>
      <w:r w:rsidR="00C50B7F">
        <w:t>would be</w:t>
      </w:r>
      <w:r w:rsidR="00DF38E6">
        <w:t xml:space="preserve"> more likely to be proportionate to the purpose for their imposition </w:t>
      </w:r>
    </w:p>
    <w:p w14:paraId="0CEA306A" w14:textId="28CD31DA" w:rsidR="00F84BBC" w:rsidRDefault="00F84BBC" w:rsidP="00F84BBC">
      <w:pPr>
        <w:pStyle w:val="ListNumber2"/>
        <w:numPr>
          <w:ilvl w:val="0"/>
          <w:numId w:val="14"/>
        </w:numPr>
      </w:pPr>
      <w:r>
        <w:lastRenderedPageBreak/>
        <w:t xml:space="preserve">the evidence in support of an application could be properly tested in court proceedings when the order was first </w:t>
      </w:r>
      <w:r w:rsidR="00A82B77">
        <w:t>sought</w:t>
      </w:r>
      <w:r>
        <w:t xml:space="preserve">. </w:t>
      </w:r>
    </w:p>
    <w:p w14:paraId="0C0BC393" w14:textId="052687DF" w:rsidR="0058675F" w:rsidRPr="0058675F" w:rsidRDefault="0058675F" w:rsidP="0058675F">
      <w:pPr>
        <w:pStyle w:val="ListNumber2"/>
        <w:keepNext/>
        <w:numPr>
          <w:ilvl w:val="0"/>
          <w:numId w:val="0"/>
        </w:numPr>
        <w:ind w:left="1080"/>
        <w:rPr>
          <w:b/>
          <w:bCs/>
        </w:rPr>
      </w:pPr>
      <w:r w:rsidRPr="0058675F">
        <w:rPr>
          <w:b/>
          <w:bCs/>
        </w:rPr>
        <w:t xml:space="preserve">Recommendation </w:t>
      </w:r>
      <w:r w:rsidR="00A035EC">
        <w:rPr>
          <w:b/>
          <w:bCs/>
        </w:rPr>
        <w:t>5</w:t>
      </w:r>
    </w:p>
    <w:p w14:paraId="20EC5C40" w14:textId="44E14927" w:rsidR="0058675F" w:rsidRDefault="0058675F" w:rsidP="0058675F">
      <w:pPr>
        <w:pStyle w:val="ListNumber2"/>
        <w:numPr>
          <w:ilvl w:val="0"/>
          <w:numId w:val="0"/>
        </w:numPr>
        <w:ind w:left="1080"/>
      </w:pPr>
      <w:r>
        <w:t xml:space="preserve">The Commission recommends that control orders be </w:t>
      </w:r>
      <w:r w:rsidR="00F20263">
        <w:t>limited to people who have been convicted of a terrorist offence and who would still present unacceptable risks to the community at the end of their sentence if they were free of all restraint upon release from imprisonment.</w:t>
      </w:r>
      <w:r w:rsidR="00FB133A">
        <w:t xml:space="preserve">  This should </w:t>
      </w:r>
      <w:r w:rsidR="00311047">
        <w:t xml:space="preserve">be done by replacing the existing control order scheme with the </w:t>
      </w:r>
      <w:r w:rsidR="001F39E4">
        <w:t xml:space="preserve">extended supervision order scheme </w:t>
      </w:r>
      <w:r w:rsidR="00A035EC">
        <w:t xml:space="preserve">previously </w:t>
      </w:r>
      <w:r w:rsidR="001F39E4">
        <w:t>recommended by the third INSLM and the PJCIS.</w:t>
      </w:r>
    </w:p>
    <w:p w14:paraId="7C362A26" w14:textId="6D2C1483" w:rsidR="00355B03" w:rsidRDefault="00320A3D" w:rsidP="00333DA9">
      <w:pPr>
        <w:pStyle w:val="Heading2"/>
      </w:pPr>
      <w:bookmarkStart w:id="36" w:name="_Toc50633830"/>
      <w:r>
        <w:t xml:space="preserve">Scope of </w:t>
      </w:r>
      <w:r w:rsidR="00355B03">
        <w:t>control orders</w:t>
      </w:r>
      <w:bookmarkEnd w:id="36"/>
    </w:p>
    <w:p w14:paraId="3ED99A44" w14:textId="02F4C658" w:rsidR="008C61F9" w:rsidRDefault="007272CA" w:rsidP="002A2D1A">
      <w:pPr>
        <w:pStyle w:val="ListNumber2"/>
        <w:tabs>
          <w:tab w:val="clear" w:pos="643"/>
          <w:tab w:val="num" w:pos="1080"/>
        </w:tabs>
        <w:ind w:left="1080" w:hanging="797"/>
      </w:pPr>
      <w:r>
        <w:t>I</w:t>
      </w:r>
      <w:r w:rsidR="00355B03">
        <w:t xml:space="preserve">f </w:t>
      </w:r>
      <w:r w:rsidR="00E41502">
        <w:t xml:space="preserve">the </w:t>
      </w:r>
      <w:r w:rsidR="00355B03">
        <w:t>control order</w:t>
      </w:r>
      <w:r w:rsidR="00365A42">
        <w:t xml:space="preserve"> regime is</w:t>
      </w:r>
      <w:r w:rsidR="00355B03">
        <w:t xml:space="preserve"> retained</w:t>
      </w:r>
      <w:r w:rsidR="00365A42">
        <w:t>, or a new ESO regime is implemented based on the same range of controls</w:t>
      </w:r>
      <w:r w:rsidR="00E41502">
        <w:t xml:space="preserve"> under s 104.5(3) (as recommended by the </w:t>
      </w:r>
      <w:r w:rsidR="007A408B">
        <w:t xml:space="preserve">third </w:t>
      </w:r>
      <w:r w:rsidR="00E41502">
        <w:t>INSLM</w:t>
      </w:r>
      <w:r w:rsidR="0042752D">
        <w:t xml:space="preserve"> and the PJCIS</w:t>
      </w:r>
      <w:r w:rsidR="00E41502">
        <w:t>)</w:t>
      </w:r>
      <w:r w:rsidR="00365A42">
        <w:t>,</w:t>
      </w:r>
      <w:r w:rsidR="00355B03">
        <w:t xml:space="preserve"> </w:t>
      </w:r>
      <w:r w:rsidR="0047128D">
        <w:t xml:space="preserve">there are two amendments </w:t>
      </w:r>
      <w:r w:rsidR="00402B1E">
        <w:t xml:space="preserve">recommended by both the COAG </w:t>
      </w:r>
      <w:r w:rsidR="005536FB">
        <w:t xml:space="preserve">Review </w:t>
      </w:r>
      <w:r w:rsidR="00402B1E">
        <w:t>Committee and the second INSLM</w:t>
      </w:r>
      <w:r w:rsidR="00EB6272">
        <w:t xml:space="preserve">, </w:t>
      </w:r>
      <w:r w:rsidR="00EB6272">
        <w:t xml:space="preserve">the Hon Roger </w:t>
      </w:r>
      <w:proofErr w:type="spellStart"/>
      <w:r w:rsidR="00EB6272">
        <w:t>Gyles</w:t>
      </w:r>
      <w:proofErr w:type="spellEnd"/>
      <w:r w:rsidR="00EB6272">
        <w:t xml:space="preserve"> AO QC</w:t>
      </w:r>
      <w:r w:rsidR="00EB6272">
        <w:t>,</w:t>
      </w:r>
      <w:r w:rsidR="00402B1E">
        <w:t xml:space="preserve"> </w:t>
      </w:r>
      <w:r w:rsidR="0047128D">
        <w:t>which are appropriate to make to the scope of the obligations, prohibitions and restrictions that can be imposed</w:t>
      </w:r>
      <w:r w:rsidR="008C61F9">
        <w:t>.</w:t>
      </w:r>
      <w:r w:rsidR="00AD1895">
        <w:t xml:space="preserve">  In both cases, the Government has agreed with the substance of the concern expressed but not made any amendment on the basis that it considered that no amendment was necessary.</w:t>
      </w:r>
    </w:p>
    <w:p w14:paraId="71D38317" w14:textId="6050AF68" w:rsidR="00433B7E" w:rsidRDefault="0056595F" w:rsidP="002A2D1A">
      <w:pPr>
        <w:pStyle w:val="ListNumber2"/>
        <w:tabs>
          <w:tab w:val="clear" w:pos="643"/>
          <w:tab w:val="num" w:pos="1080"/>
        </w:tabs>
        <w:ind w:left="1080" w:hanging="797"/>
      </w:pPr>
      <w:r>
        <w:t xml:space="preserve">The first recommendation is that s 104.5(3)(a) be amended </w:t>
      </w:r>
      <w:r w:rsidR="00253E4C">
        <w:t xml:space="preserve">to ensure that a control imposed by a control order would not constitute a relocation order. </w:t>
      </w:r>
      <w:r w:rsidR="00433B7E">
        <w:t xml:space="preserve"> A relocation order is an order that a person move from their place of residence.  The concern is a legitimate one given the experience of relocation orders in the UK.</w:t>
      </w:r>
      <w:r w:rsidR="002166A5">
        <w:rPr>
          <w:rStyle w:val="EndnoteReference"/>
        </w:rPr>
        <w:endnoteReference w:id="222"/>
      </w:r>
      <w:r w:rsidR="00433B7E">
        <w:t xml:space="preserve">  </w:t>
      </w:r>
      <w:r w:rsidR="005B0D72">
        <w:t xml:space="preserve">It engages </w:t>
      </w:r>
      <w:r w:rsidR="00F14E2C">
        <w:t>the prohibition against arbitrary interference with a person’s home in article 17(1) of the ICCPR.</w:t>
      </w:r>
    </w:p>
    <w:p w14:paraId="18922437" w14:textId="731A0B5A" w:rsidR="00355B03" w:rsidRDefault="00433B7E" w:rsidP="00B326F5">
      <w:pPr>
        <w:pStyle w:val="ListNumber2"/>
        <w:tabs>
          <w:tab w:val="clear" w:pos="643"/>
          <w:tab w:val="num" w:pos="1080"/>
        </w:tabs>
        <w:ind w:left="1080" w:hanging="797"/>
      </w:pPr>
      <w:r>
        <w:t xml:space="preserve">Section </w:t>
      </w:r>
      <w:r w:rsidR="0065609B">
        <w:t>104.5(3)(a) provides that one kind of control that the court may impose is ‘a prohibition or restriction on the per</w:t>
      </w:r>
      <w:r w:rsidR="00386C4C">
        <w:t>son being at a specified place’.  T</w:t>
      </w:r>
      <w:r>
        <w:t xml:space="preserve">he concern </w:t>
      </w:r>
      <w:r w:rsidR="00386C4C">
        <w:t xml:space="preserve">expressed </w:t>
      </w:r>
      <w:r w:rsidR="00822C3B">
        <w:t xml:space="preserve">by the COAG Review Committee and the second INSLM </w:t>
      </w:r>
      <w:r>
        <w:t xml:space="preserve">was that a ‘specified place’ </w:t>
      </w:r>
      <w:r w:rsidR="00B326F5">
        <w:t xml:space="preserve">could be a person’s </w:t>
      </w:r>
      <w:r>
        <w:t>own home.</w:t>
      </w:r>
    </w:p>
    <w:p w14:paraId="389ADA2F" w14:textId="3AA8463C" w:rsidR="00035313" w:rsidRDefault="004C1E94" w:rsidP="002A2D1A">
      <w:pPr>
        <w:pStyle w:val="ListNumber2"/>
        <w:tabs>
          <w:tab w:val="clear" w:pos="643"/>
          <w:tab w:val="num" w:pos="1080"/>
        </w:tabs>
        <w:ind w:left="1080" w:hanging="797"/>
      </w:pPr>
      <w:r>
        <w:t xml:space="preserve">The </w:t>
      </w:r>
      <w:r w:rsidR="009637B7">
        <w:t xml:space="preserve">Government response appeared to accept that </w:t>
      </w:r>
      <w:r w:rsidR="009F465E">
        <w:t xml:space="preserve">a relocation order </w:t>
      </w:r>
      <w:r w:rsidR="009637B7">
        <w:t>would not be appropriat</w:t>
      </w:r>
      <w:r w:rsidR="009F465E">
        <w:t>e</w:t>
      </w:r>
      <w:r w:rsidR="009637B7">
        <w:t>, in saying that</w:t>
      </w:r>
      <w:r w:rsidR="00C24F9F">
        <w:t xml:space="preserve"> such an amendment was </w:t>
      </w:r>
      <w:r w:rsidR="00C24F9F">
        <w:lastRenderedPageBreak/>
        <w:t>‘unnecessary’ because</w:t>
      </w:r>
      <w:r w:rsidR="009637B7">
        <w:t xml:space="preserve"> </w:t>
      </w:r>
      <w:r w:rsidR="00C24F9F">
        <w:t>‘there is no express power that would allow for the relocation of a control order subject’.</w:t>
      </w:r>
      <w:r w:rsidR="00092313">
        <w:rPr>
          <w:rStyle w:val="EndnoteReference"/>
        </w:rPr>
        <w:endnoteReference w:id="223"/>
      </w:r>
    </w:p>
    <w:p w14:paraId="7B7AD67B" w14:textId="52FA1850" w:rsidR="00C24F9F" w:rsidRDefault="00FF7B93" w:rsidP="002A2D1A">
      <w:pPr>
        <w:pStyle w:val="ListNumber2"/>
        <w:tabs>
          <w:tab w:val="clear" w:pos="643"/>
          <w:tab w:val="num" w:pos="1080"/>
        </w:tabs>
        <w:ind w:left="1080" w:hanging="797"/>
      </w:pPr>
      <w:r>
        <w:t xml:space="preserve">Despite the absence of an </w:t>
      </w:r>
      <w:r w:rsidRPr="00FF7B93">
        <w:rPr>
          <w:i/>
          <w:iCs/>
        </w:rPr>
        <w:t>express</w:t>
      </w:r>
      <w:r>
        <w:t xml:space="preserve"> relocation power, as the second INSLM identified</w:t>
      </w:r>
      <w:r w:rsidR="0063563D">
        <w:t>:</w:t>
      </w:r>
    </w:p>
    <w:p w14:paraId="00E1B814" w14:textId="2637556B" w:rsidR="0063563D" w:rsidRPr="00DD3AC6" w:rsidRDefault="0063563D" w:rsidP="0063563D">
      <w:pPr>
        <w:pStyle w:val="ListNumber2"/>
        <w:numPr>
          <w:ilvl w:val="0"/>
          <w:numId w:val="0"/>
        </w:numPr>
        <w:ind w:left="1440"/>
        <w:rPr>
          <w:sz w:val="22"/>
          <w:szCs w:val="22"/>
        </w:rPr>
      </w:pPr>
      <w:r w:rsidRPr="00DD3AC6">
        <w:rPr>
          <w:sz w:val="22"/>
          <w:szCs w:val="22"/>
        </w:rPr>
        <w:t>The wording of the section would literally permit de facto relocation by excluding the place of residence of the controlee.</w:t>
      </w:r>
      <w:r w:rsidR="00DD3AC6" w:rsidRPr="00DD3AC6">
        <w:rPr>
          <w:sz w:val="22"/>
          <w:szCs w:val="22"/>
        </w:rPr>
        <w:t xml:space="preserve"> </w:t>
      </w:r>
      <w:r w:rsidRPr="00DD3AC6">
        <w:rPr>
          <w:sz w:val="22"/>
          <w:szCs w:val="22"/>
        </w:rPr>
        <w:t xml:space="preserve"> It is preferable to spell out the position as recommended in the COAG Review.</w:t>
      </w:r>
      <w:r w:rsidR="00813A14">
        <w:rPr>
          <w:rStyle w:val="EndnoteReference"/>
        </w:rPr>
        <w:endnoteReference w:id="224"/>
      </w:r>
    </w:p>
    <w:p w14:paraId="1FB80A64" w14:textId="640F71C7" w:rsidR="00A35BCD" w:rsidRDefault="00A35BCD" w:rsidP="00A35BCD">
      <w:pPr>
        <w:pStyle w:val="ListNumber2"/>
        <w:tabs>
          <w:tab w:val="clear" w:pos="643"/>
          <w:tab w:val="num" w:pos="1080"/>
        </w:tabs>
        <w:ind w:left="1080" w:hanging="797"/>
      </w:pPr>
      <w:r>
        <w:t>The Commission agrees.  Given that there is no dispute about the inappropriateness of relocation orders, the position should be made clear in the legislation.</w:t>
      </w:r>
    </w:p>
    <w:p w14:paraId="3F8CCA37" w14:textId="5E7314D2" w:rsidR="00A35BCD" w:rsidRPr="00E47787" w:rsidRDefault="00A35BCD" w:rsidP="00E47787">
      <w:pPr>
        <w:pStyle w:val="ListNumber2"/>
        <w:keepNext/>
        <w:numPr>
          <w:ilvl w:val="0"/>
          <w:numId w:val="0"/>
        </w:numPr>
        <w:ind w:left="1080"/>
        <w:rPr>
          <w:b/>
          <w:bCs/>
        </w:rPr>
      </w:pPr>
      <w:r w:rsidRPr="00E47787">
        <w:rPr>
          <w:b/>
          <w:bCs/>
        </w:rPr>
        <w:t xml:space="preserve">Recommendation </w:t>
      </w:r>
      <w:r w:rsidR="00C32C31">
        <w:rPr>
          <w:b/>
          <w:bCs/>
        </w:rPr>
        <w:t>6</w:t>
      </w:r>
    </w:p>
    <w:p w14:paraId="357778B9" w14:textId="5C862728" w:rsidR="00A35BCD" w:rsidRDefault="00DC4C5E" w:rsidP="00A35BCD">
      <w:pPr>
        <w:pStyle w:val="ListNumber2"/>
        <w:numPr>
          <w:ilvl w:val="0"/>
          <w:numId w:val="0"/>
        </w:numPr>
        <w:ind w:left="1080"/>
      </w:pPr>
      <w:r>
        <w:t>The Commission recommends that s </w:t>
      </w:r>
      <w:r w:rsidR="00E47787">
        <w:t xml:space="preserve">104.5(3) </w:t>
      </w:r>
      <w:r w:rsidR="00603569">
        <w:t xml:space="preserve">of the Criminal Code </w:t>
      </w:r>
      <w:r w:rsidR="00E47787">
        <w:t>be amended to expressly prohibit the making of a relocation order</w:t>
      </w:r>
      <w:r>
        <w:t xml:space="preserve"> as part of a control order</w:t>
      </w:r>
      <w:r w:rsidR="00B968DB">
        <w:t xml:space="preserve"> (or extended supervision order)</w:t>
      </w:r>
      <w:r w:rsidR="00E47787">
        <w:t>.</w:t>
      </w:r>
    </w:p>
    <w:p w14:paraId="1F49C0C1" w14:textId="539D771A" w:rsidR="00E47787" w:rsidRDefault="00805691" w:rsidP="00E47787">
      <w:pPr>
        <w:pStyle w:val="ListNumber2"/>
        <w:tabs>
          <w:tab w:val="clear" w:pos="643"/>
          <w:tab w:val="num" w:pos="1080"/>
        </w:tabs>
        <w:ind w:left="1080" w:hanging="797"/>
      </w:pPr>
      <w:r>
        <w:t xml:space="preserve">The second recommendation was that </w:t>
      </w:r>
      <w:r w:rsidR="0073775A">
        <w:t xml:space="preserve">consideration be given to including an </w:t>
      </w:r>
      <w:r w:rsidR="00463B42">
        <w:t>‘</w:t>
      </w:r>
      <w:r w:rsidR="0073775A">
        <w:t>overnight residence requirement</w:t>
      </w:r>
      <w:r w:rsidR="00463B42">
        <w:t>’</w:t>
      </w:r>
      <w:r w:rsidR="00CC1EC5">
        <w:t xml:space="preserve"> as an alternative to a curfew</w:t>
      </w:r>
      <w:r w:rsidR="00EE5BFD">
        <w:t xml:space="preserve">, </w:t>
      </w:r>
      <w:r w:rsidR="003915A1">
        <w:t xml:space="preserve">as was done in </w:t>
      </w:r>
      <w:r w:rsidR="009C0164">
        <w:t xml:space="preserve">the </w:t>
      </w:r>
      <w:r w:rsidR="009C0164" w:rsidRPr="009C0164">
        <w:rPr>
          <w:i/>
          <w:iCs/>
        </w:rPr>
        <w:t>Terrorism Prevention and Investigation Measures Act 2011</w:t>
      </w:r>
      <w:r w:rsidR="009C0164">
        <w:t xml:space="preserve"> (UK)</w:t>
      </w:r>
      <w:r w:rsidR="004A6EE0">
        <w:t>.</w:t>
      </w:r>
    </w:p>
    <w:p w14:paraId="08F12669" w14:textId="78165D1D" w:rsidR="00144388" w:rsidRDefault="00144388" w:rsidP="00E47787">
      <w:pPr>
        <w:pStyle w:val="ListNumber2"/>
        <w:tabs>
          <w:tab w:val="clear" w:pos="643"/>
          <w:tab w:val="num" w:pos="1080"/>
        </w:tabs>
        <w:ind w:left="1080" w:hanging="797"/>
      </w:pPr>
      <w:r>
        <w:t xml:space="preserve">At present, s 104.5(3)(c) provides that </w:t>
      </w:r>
      <w:r w:rsidR="00850E25">
        <w:t>a control order may include a curfew</w:t>
      </w:r>
      <w:r w:rsidR="005E710C">
        <w:t>,</w:t>
      </w:r>
      <w:r w:rsidR="00850E25">
        <w:t xml:space="preserve"> requi</w:t>
      </w:r>
      <w:r w:rsidR="005E710C">
        <w:t xml:space="preserve">ring the person to stay at specified premises for up to 12 hours each day. </w:t>
      </w:r>
      <w:r w:rsidR="00850E25">
        <w:t xml:space="preserve"> </w:t>
      </w:r>
      <w:r w:rsidR="00482BB5">
        <w:t xml:space="preserve">However, there are no </w:t>
      </w:r>
      <w:r w:rsidR="00602586">
        <w:t xml:space="preserve">restrictions on when a particular </w:t>
      </w:r>
      <w:proofErr w:type="gramStart"/>
      <w:r w:rsidR="00602586">
        <w:t>12 hour</w:t>
      </w:r>
      <w:proofErr w:type="gramEnd"/>
      <w:r w:rsidR="00602586">
        <w:t xml:space="preserve"> period could start or finish.  </w:t>
      </w:r>
      <w:r w:rsidR="005E710C">
        <w:t>The concern</w:t>
      </w:r>
      <w:r w:rsidR="001F47FE">
        <w:t>, as summarised by the second INSLM,</w:t>
      </w:r>
      <w:r w:rsidR="005E710C">
        <w:t xml:space="preserve"> is that </w:t>
      </w:r>
      <w:r w:rsidR="001F47FE">
        <w:t xml:space="preserve">‘a </w:t>
      </w:r>
      <w:proofErr w:type="gramStart"/>
      <w:r w:rsidR="001F47FE">
        <w:t>12 hour</w:t>
      </w:r>
      <w:proofErr w:type="gramEnd"/>
      <w:r w:rsidR="001F47FE">
        <w:t xml:space="preserve"> daytime curfew plus residence at home overnight would be close to home detention</w:t>
      </w:r>
      <w:r w:rsidR="000B638E">
        <w:t>’</w:t>
      </w:r>
      <w:r w:rsidR="00A537DD">
        <w:t>.</w:t>
      </w:r>
      <w:r w:rsidR="007B2F94">
        <w:rPr>
          <w:rStyle w:val="EndnoteReference"/>
        </w:rPr>
        <w:endnoteReference w:id="225"/>
      </w:r>
    </w:p>
    <w:p w14:paraId="726A1C0B" w14:textId="7C85A758" w:rsidR="00CF7EA4" w:rsidRDefault="00B45341" w:rsidP="00E47787">
      <w:pPr>
        <w:pStyle w:val="ListNumber2"/>
        <w:tabs>
          <w:tab w:val="clear" w:pos="643"/>
          <w:tab w:val="num" w:pos="1080"/>
        </w:tabs>
        <w:ind w:left="1080" w:hanging="797"/>
      </w:pPr>
      <w:r>
        <w:t xml:space="preserve">The Government response appears to accept that </w:t>
      </w:r>
      <w:r w:rsidR="00A10234">
        <w:t xml:space="preserve">creating </w:t>
      </w:r>
      <w:r w:rsidR="00A10234" w:rsidRPr="000B1BDF">
        <w:rPr>
          <w:i/>
          <w:iCs/>
        </w:rPr>
        <w:t>de facto</w:t>
      </w:r>
      <w:r w:rsidR="00A10234">
        <w:t xml:space="preserve"> home detention through the control order regime would be inappropriate.  However, it said that no amendment is required because </w:t>
      </w:r>
      <w:r w:rsidR="00E81EA2">
        <w:t xml:space="preserve">the </w:t>
      </w:r>
      <w:r w:rsidR="008373B3">
        <w:t>C</w:t>
      </w:r>
      <w:r w:rsidR="00E81EA2">
        <w:t xml:space="preserve">ourt would inevitably reject such a proposal </w:t>
      </w:r>
      <w:r w:rsidR="00927D73">
        <w:t>when applying the test under s 104.4(2).</w:t>
      </w:r>
      <w:r w:rsidR="00927D73">
        <w:rPr>
          <w:rStyle w:val="EndnoteReference"/>
        </w:rPr>
        <w:endnoteReference w:id="226"/>
      </w:r>
      <w:r w:rsidR="00927D73">
        <w:t xml:space="preserve">  That test </w:t>
      </w:r>
      <w:r w:rsidR="00CB4D42">
        <w:t xml:space="preserve">describes the </w:t>
      </w:r>
      <w:r w:rsidR="00EC28C6">
        <w:t>considerations</w:t>
      </w:r>
      <w:r w:rsidR="00CB4D42">
        <w:t xml:space="preserve"> that the </w:t>
      </w:r>
      <w:r w:rsidR="008373B3">
        <w:t>C</w:t>
      </w:r>
      <w:r w:rsidR="00CB4D42">
        <w:t xml:space="preserve">ourt must take into account </w:t>
      </w:r>
      <w:r w:rsidR="008148D5">
        <w:t xml:space="preserve">when assessing whether a proposed control condition is </w:t>
      </w:r>
      <w:r w:rsidR="00EC28C6">
        <w:t>‘</w:t>
      </w:r>
      <w:r w:rsidR="008148D5">
        <w:t xml:space="preserve">reasonably </w:t>
      </w:r>
      <w:r w:rsidR="002D24C2">
        <w:t>necessary</w:t>
      </w:r>
      <w:r w:rsidR="00EC28C6">
        <w:t>’</w:t>
      </w:r>
      <w:r w:rsidR="002D24C2">
        <w:t xml:space="preserve"> and </w:t>
      </w:r>
      <w:r w:rsidR="00EC28C6">
        <w:t>‘</w:t>
      </w:r>
      <w:r w:rsidR="002D24C2">
        <w:t>reasonably appropriate and adapted</w:t>
      </w:r>
      <w:r w:rsidR="00EC28C6">
        <w:t>’</w:t>
      </w:r>
      <w:r w:rsidR="002D24C2">
        <w:t xml:space="preserve">.  The Government response </w:t>
      </w:r>
      <w:r w:rsidR="00EC28C6">
        <w:t xml:space="preserve">identifies that </w:t>
      </w:r>
      <w:r w:rsidR="00827958">
        <w:t xml:space="preserve">an ‘additional consideration’ </w:t>
      </w:r>
      <w:r w:rsidR="00861F85">
        <w:t xml:space="preserve">in the test </w:t>
      </w:r>
      <w:r w:rsidR="005D7D1E">
        <w:t xml:space="preserve">is </w:t>
      </w:r>
      <w:r w:rsidR="004C2751">
        <w:t xml:space="preserve">the impact of the control on the person’s circumstances, including their personal </w:t>
      </w:r>
      <w:r w:rsidR="004C2751">
        <w:lastRenderedPageBreak/>
        <w:t xml:space="preserve">circumstances.  </w:t>
      </w:r>
      <w:r w:rsidR="00CC564B">
        <w:t xml:space="preserve">In the Commission’s view, </w:t>
      </w:r>
      <w:r w:rsidR="00145485">
        <w:t xml:space="preserve">this is not a </w:t>
      </w:r>
      <w:r w:rsidR="00CC564B">
        <w:t>sufficient safeguard</w:t>
      </w:r>
      <w:r w:rsidR="00CA50FB">
        <w:t xml:space="preserve">. </w:t>
      </w:r>
    </w:p>
    <w:p w14:paraId="7CDBAC73" w14:textId="230137FB" w:rsidR="00CA50FB" w:rsidRDefault="00CE5CBB" w:rsidP="00E47787">
      <w:pPr>
        <w:pStyle w:val="ListNumber2"/>
        <w:tabs>
          <w:tab w:val="clear" w:pos="643"/>
          <w:tab w:val="num" w:pos="1080"/>
        </w:tabs>
        <w:ind w:left="1080" w:hanging="797"/>
      </w:pPr>
      <w:r>
        <w:t xml:space="preserve">Given that there </w:t>
      </w:r>
      <w:r w:rsidR="00EF20DE">
        <w:t xml:space="preserve">appears to be common ground that </w:t>
      </w:r>
      <w:r w:rsidR="00EF20DE" w:rsidRPr="00EF695B">
        <w:rPr>
          <w:i/>
          <w:iCs/>
        </w:rPr>
        <w:t>de facto</w:t>
      </w:r>
      <w:r w:rsidR="00EF20DE">
        <w:t xml:space="preserve"> home detention would be inappropriate, it would be better to make that clear in the legislation.  </w:t>
      </w:r>
    </w:p>
    <w:p w14:paraId="5AFBADFB" w14:textId="366C2206" w:rsidR="00A537DD" w:rsidRDefault="00395807" w:rsidP="00F96515">
      <w:pPr>
        <w:pStyle w:val="ListNumber2"/>
        <w:tabs>
          <w:tab w:val="clear" w:pos="643"/>
          <w:tab w:val="num" w:pos="1080"/>
        </w:tabs>
        <w:ind w:left="1080" w:hanging="797"/>
      </w:pPr>
      <w:r>
        <w:t xml:space="preserve">There are a number of ways in which this could be </w:t>
      </w:r>
      <w:r w:rsidR="00EF20DE">
        <w:t>done</w:t>
      </w:r>
      <w:r>
        <w:t xml:space="preserve">.  The Law Council </w:t>
      </w:r>
      <w:r w:rsidR="00A84221">
        <w:t xml:space="preserve">of Australia </w:t>
      </w:r>
      <w:r>
        <w:t xml:space="preserve">suggested that </w:t>
      </w:r>
      <w:r w:rsidR="00A33BDA">
        <w:t>‘a</w:t>
      </w:r>
      <w:r w:rsidR="006E0F42">
        <w:t>n overnight residence requirement should be required where the curfew imposed is considerable</w:t>
      </w:r>
      <w:r w:rsidR="00A33BDA">
        <w:t>’.</w:t>
      </w:r>
      <w:r w:rsidR="00A84221">
        <w:rPr>
          <w:rStyle w:val="EndnoteReference"/>
        </w:rPr>
        <w:endnoteReference w:id="227"/>
      </w:r>
      <w:r w:rsidR="00CB2768">
        <w:t xml:space="preserve">  </w:t>
      </w:r>
      <w:r w:rsidR="00F96515">
        <w:t xml:space="preserve">This would still allow the flexibility to impose </w:t>
      </w:r>
      <w:r w:rsidR="00BC21C7">
        <w:t xml:space="preserve">a </w:t>
      </w:r>
      <w:r w:rsidR="00F96515">
        <w:t>short period of daytime curfew if that were considered appropriate, but longer curfew periods would be limited to overnight periods.</w:t>
      </w:r>
    </w:p>
    <w:p w14:paraId="6F7280BD" w14:textId="45F21AE2" w:rsidR="0034013E" w:rsidRDefault="0034013E" w:rsidP="00E47787">
      <w:pPr>
        <w:pStyle w:val="ListNumber2"/>
        <w:tabs>
          <w:tab w:val="clear" w:pos="643"/>
          <w:tab w:val="num" w:pos="1080"/>
        </w:tabs>
        <w:ind w:left="1080" w:hanging="797"/>
      </w:pPr>
      <w:r>
        <w:t xml:space="preserve">This would not detract from </w:t>
      </w:r>
      <w:r w:rsidR="00EF17D1">
        <w:t>the way in which curfew conditions have typically been imposed</w:t>
      </w:r>
      <w:r w:rsidR="00D81C6A">
        <w:t xml:space="preserve"> in Australian cases</w:t>
      </w:r>
      <w:r w:rsidR="00EF17D1">
        <w:t xml:space="preserve"> which have been </w:t>
      </w:r>
      <w:r w:rsidR="00D81C6A">
        <w:t>for overnight periods</w:t>
      </w:r>
      <w:r w:rsidR="0083246C">
        <w:t xml:space="preserve">, </w:t>
      </w:r>
      <w:r w:rsidR="00CD57E4">
        <w:t xml:space="preserve">for example </w:t>
      </w:r>
      <w:r w:rsidR="0083246C">
        <w:t>from midnight to 6.00am</w:t>
      </w:r>
      <w:r w:rsidR="00D81C6A">
        <w:t>.</w:t>
      </w:r>
    </w:p>
    <w:p w14:paraId="3FCC9782" w14:textId="7FF29287" w:rsidR="00A33BDA" w:rsidRPr="00BE4AB0" w:rsidRDefault="00BE4AB0" w:rsidP="000D099C">
      <w:pPr>
        <w:pStyle w:val="ListNumber2"/>
        <w:keepNext/>
        <w:numPr>
          <w:ilvl w:val="0"/>
          <w:numId w:val="0"/>
        </w:numPr>
        <w:ind w:left="1080"/>
        <w:rPr>
          <w:b/>
          <w:bCs/>
        </w:rPr>
      </w:pPr>
      <w:r w:rsidRPr="00BE4AB0">
        <w:rPr>
          <w:b/>
          <w:bCs/>
        </w:rPr>
        <w:t xml:space="preserve">Recommendation </w:t>
      </w:r>
      <w:r w:rsidR="00141C86">
        <w:rPr>
          <w:b/>
          <w:bCs/>
        </w:rPr>
        <w:t>7</w:t>
      </w:r>
    </w:p>
    <w:p w14:paraId="1D507BC2" w14:textId="4BE2A609" w:rsidR="00BE4AB0" w:rsidRDefault="00ED24E2" w:rsidP="00113E49">
      <w:pPr>
        <w:pStyle w:val="ListNumber2"/>
        <w:numPr>
          <w:ilvl w:val="0"/>
          <w:numId w:val="0"/>
        </w:numPr>
        <w:ind w:left="1080"/>
      </w:pPr>
      <w:r>
        <w:t>The Commission recommends that s </w:t>
      </w:r>
      <w:r w:rsidR="00113E49">
        <w:t xml:space="preserve">104.5(3) </w:t>
      </w:r>
      <w:r w:rsidR="00603569">
        <w:t xml:space="preserve">of the Criminal Code </w:t>
      </w:r>
      <w:r w:rsidR="00113E49">
        <w:t xml:space="preserve">be amended to expressly prohibit long </w:t>
      </w:r>
      <w:r w:rsidR="00D81C6A">
        <w:t xml:space="preserve">curfew </w:t>
      </w:r>
      <w:r w:rsidR="00113E49">
        <w:t>periods</w:t>
      </w:r>
      <w:r w:rsidR="00D81C6A">
        <w:t xml:space="preserve"> during daylight hours</w:t>
      </w:r>
      <w:r w:rsidR="00603569">
        <w:t xml:space="preserve"> as part of a control order</w:t>
      </w:r>
      <w:r w:rsidR="00A2147C">
        <w:t xml:space="preserve"> (or extended supervision order)</w:t>
      </w:r>
      <w:r w:rsidR="00113E49">
        <w:t>.</w:t>
      </w:r>
    </w:p>
    <w:p w14:paraId="46A85B6B" w14:textId="6E1F248A" w:rsidR="001E6DCB" w:rsidRDefault="00D21607" w:rsidP="00387AC7">
      <w:pPr>
        <w:pStyle w:val="Heading1"/>
      </w:pPr>
      <w:bookmarkStart w:id="37" w:name="_Ref49856686"/>
      <w:bookmarkStart w:id="38" w:name="_Toc50633831"/>
      <w:r>
        <w:t>Preventative detention orders</w:t>
      </w:r>
      <w:bookmarkEnd w:id="37"/>
      <w:bookmarkEnd w:id="38"/>
    </w:p>
    <w:p w14:paraId="4E87EE39" w14:textId="7B0395D2" w:rsidR="00B10A82" w:rsidRDefault="00993102" w:rsidP="00B10A82">
      <w:pPr>
        <w:pStyle w:val="Heading2"/>
      </w:pPr>
      <w:bookmarkStart w:id="39" w:name="_Toc50633832"/>
      <w:r>
        <w:t>Structure</w:t>
      </w:r>
      <w:r w:rsidR="00B10A82">
        <w:t xml:space="preserve"> of provisions</w:t>
      </w:r>
      <w:bookmarkEnd w:id="39"/>
    </w:p>
    <w:p w14:paraId="3FE6EACB" w14:textId="3B35556F" w:rsidR="001076CE" w:rsidRDefault="006709C2" w:rsidP="002A2D1A">
      <w:pPr>
        <w:pStyle w:val="ListNumber2"/>
        <w:tabs>
          <w:tab w:val="clear" w:pos="643"/>
          <w:tab w:val="num" w:pos="1080"/>
        </w:tabs>
        <w:ind w:left="1080" w:hanging="797"/>
      </w:pPr>
      <w:bookmarkStart w:id="40" w:name="_Ref49350939"/>
      <w:r>
        <w:t xml:space="preserve">When originally enacted in 2005, the </w:t>
      </w:r>
      <w:r w:rsidR="0066316A">
        <w:t xml:space="preserve">object of the </w:t>
      </w:r>
      <w:r w:rsidR="002804A4">
        <w:t>PDO</w:t>
      </w:r>
      <w:r>
        <w:t xml:space="preserve"> regime was </w:t>
      </w:r>
      <w:r w:rsidR="0066316A">
        <w:t xml:space="preserve">to allow a person to be taken into custody </w:t>
      </w:r>
      <w:r w:rsidR="001076CE">
        <w:t>and detained for a ‘short period of time’ in order to:</w:t>
      </w:r>
      <w:bookmarkEnd w:id="40"/>
    </w:p>
    <w:p w14:paraId="18B41CBB" w14:textId="19A71E51" w:rsidR="006400C3" w:rsidRDefault="006400C3" w:rsidP="00EF7A3C">
      <w:pPr>
        <w:pStyle w:val="ListNumber2"/>
        <w:numPr>
          <w:ilvl w:val="0"/>
          <w:numId w:val="0"/>
        </w:numPr>
        <w:ind w:left="1800" w:hanging="720"/>
      </w:pPr>
      <w:r>
        <w:t>(a)</w:t>
      </w:r>
      <w:r w:rsidR="00EF7A3C">
        <w:tab/>
      </w:r>
      <w:r>
        <w:t>p</w:t>
      </w:r>
      <w:r w:rsidR="001076CE">
        <w:t>revent an</w:t>
      </w:r>
      <w:r>
        <w:t xml:space="preserve"> imminent terrorist act occurring; or</w:t>
      </w:r>
    </w:p>
    <w:p w14:paraId="7D51457A" w14:textId="11F56E6F" w:rsidR="00B10A82" w:rsidRDefault="006400C3" w:rsidP="00EF7A3C">
      <w:pPr>
        <w:pStyle w:val="ListNumber2"/>
        <w:numPr>
          <w:ilvl w:val="0"/>
          <w:numId w:val="0"/>
        </w:numPr>
        <w:ind w:left="1800" w:hanging="720"/>
      </w:pPr>
      <w:r>
        <w:t>(b)</w:t>
      </w:r>
      <w:r>
        <w:tab/>
      </w:r>
      <w:r w:rsidR="00343E87">
        <w:t>preserve evidence of, or relating to, a terrorist act.</w:t>
      </w:r>
      <w:r w:rsidR="006709C2">
        <w:t xml:space="preserve"> </w:t>
      </w:r>
    </w:p>
    <w:p w14:paraId="1774B41E" w14:textId="248CA3B6" w:rsidR="00EF7A3C" w:rsidRDefault="00343E87" w:rsidP="002A2D1A">
      <w:pPr>
        <w:pStyle w:val="ListNumber2"/>
        <w:tabs>
          <w:tab w:val="clear" w:pos="643"/>
          <w:tab w:val="num" w:pos="1080"/>
        </w:tabs>
        <w:ind w:left="1080" w:hanging="797"/>
      </w:pPr>
      <w:bookmarkStart w:id="41" w:name="_Ref49350941"/>
      <w:r>
        <w:t>In 201</w:t>
      </w:r>
      <w:r w:rsidR="00E767CB">
        <w:t>6</w:t>
      </w:r>
      <w:r>
        <w:t xml:space="preserve">, the threshold </w:t>
      </w:r>
      <w:r w:rsidR="00A83B1E">
        <w:t xml:space="preserve">for </w:t>
      </w:r>
      <w:r w:rsidR="00B9338A">
        <w:t>ground</w:t>
      </w:r>
      <w:r w:rsidR="00A83B1E">
        <w:t xml:space="preserve"> (a) was lowered</w:t>
      </w:r>
      <w:r w:rsidR="00C3113D">
        <w:t xml:space="preserve">.  The new object in (a) is detention in order to ‘prevent a terrorist act that is capable of being carried out, and could occur, within the next 14 days </w:t>
      </w:r>
      <w:r w:rsidR="00EF7A3C">
        <w:t>from occurring’.</w:t>
      </w:r>
      <w:r w:rsidR="00CF112B">
        <w:rPr>
          <w:rStyle w:val="EndnoteReference"/>
        </w:rPr>
        <w:endnoteReference w:id="228"/>
      </w:r>
      <w:bookmarkEnd w:id="41"/>
    </w:p>
    <w:p w14:paraId="777897BB" w14:textId="646A909A" w:rsidR="00861BB8" w:rsidRDefault="00401355" w:rsidP="002A2D1A">
      <w:pPr>
        <w:pStyle w:val="ListNumber2"/>
        <w:tabs>
          <w:tab w:val="clear" w:pos="643"/>
          <w:tab w:val="num" w:pos="1080"/>
        </w:tabs>
        <w:ind w:left="1080" w:hanging="797"/>
      </w:pPr>
      <w:bookmarkStart w:id="42" w:name="_Ref49351113"/>
      <w:r>
        <w:lastRenderedPageBreak/>
        <w:t>An application for a PDO may be made by a</w:t>
      </w:r>
      <w:r w:rsidR="00DA2F4D">
        <w:t xml:space="preserve">n AFP </w:t>
      </w:r>
      <w:r w:rsidR="00861BB8">
        <w:t>member</w:t>
      </w:r>
      <w:r>
        <w:t xml:space="preserve">.  </w:t>
      </w:r>
      <w:r w:rsidR="003048AB">
        <w:t>When seeking a PDO based on ground (a), t</w:t>
      </w:r>
      <w:r w:rsidR="00861BB8">
        <w:t xml:space="preserve">he AFP member </w:t>
      </w:r>
      <w:r w:rsidR="00861BB8" w:rsidRPr="004B15CF">
        <w:rPr>
          <w:i/>
          <w:iCs/>
        </w:rPr>
        <w:t>must</w:t>
      </w:r>
      <w:r w:rsidR="00861BB8">
        <w:t xml:space="preserve"> </w:t>
      </w:r>
      <w:r w:rsidR="00FC69B3">
        <w:t>suspect on reasonable grounds that the subject of the PDO:</w:t>
      </w:r>
      <w:bookmarkEnd w:id="42"/>
    </w:p>
    <w:p w14:paraId="0373C1B6" w14:textId="43B75538" w:rsidR="00FC69B3" w:rsidRDefault="00FC69B3" w:rsidP="00484581">
      <w:pPr>
        <w:pStyle w:val="ListNumber2"/>
        <w:numPr>
          <w:ilvl w:val="0"/>
          <w:numId w:val="14"/>
        </w:numPr>
      </w:pPr>
      <w:r>
        <w:t>will engage in a terrorist act</w:t>
      </w:r>
      <w:r w:rsidR="00BC21C7">
        <w:t>, or</w:t>
      </w:r>
    </w:p>
    <w:p w14:paraId="0ADB2103" w14:textId="7FEEAA3B" w:rsidR="00FC69B3" w:rsidRDefault="00FC69B3" w:rsidP="00484581">
      <w:pPr>
        <w:pStyle w:val="ListNumber2"/>
        <w:numPr>
          <w:ilvl w:val="0"/>
          <w:numId w:val="14"/>
        </w:numPr>
      </w:pPr>
      <w:r>
        <w:t>possesses a thing that is connected with the preparation for, or the engagement of a person in, a terrorist act</w:t>
      </w:r>
      <w:r w:rsidR="00B3529B">
        <w:t>, or</w:t>
      </w:r>
    </w:p>
    <w:p w14:paraId="138E24EB" w14:textId="784A5382" w:rsidR="00FC69B3" w:rsidRDefault="00FC69B3" w:rsidP="00484581">
      <w:pPr>
        <w:pStyle w:val="ListNumber2"/>
        <w:numPr>
          <w:ilvl w:val="0"/>
          <w:numId w:val="14"/>
        </w:numPr>
      </w:pPr>
      <w:r>
        <w:t>has done an act in preparation for, or planning, a terrorist act</w:t>
      </w:r>
    </w:p>
    <w:p w14:paraId="0E460A9F" w14:textId="422B87D1" w:rsidR="00861BB8" w:rsidRDefault="00D92E88" w:rsidP="00D92E88">
      <w:pPr>
        <w:pStyle w:val="ListNumber2"/>
        <w:numPr>
          <w:ilvl w:val="0"/>
          <w:numId w:val="0"/>
        </w:numPr>
        <w:ind w:left="1080"/>
      </w:pPr>
      <w:r>
        <w:t>where ‘terrorist act’ is one that is capable of being carried out, and could occur, within the next 14 days.</w:t>
      </w:r>
      <w:r w:rsidR="00133265">
        <w:rPr>
          <w:rStyle w:val="EndnoteReference"/>
        </w:rPr>
        <w:endnoteReference w:id="229"/>
      </w:r>
      <w:r>
        <w:t xml:space="preserve"> </w:t>
      </w:r>
    </w:p>
    <w:p w14:paraId="1C97DBD1" w14:textId="3D7AB62B" w:rsidR="00004BF4" w:rsidRDefault="00004BF4" w:rsidP="002A2D1A">
      <w:pPr>
        <w:pStyle w:val="ListNumber2"/>
        <w:tabs>
          <w:tab w:val="clear" w:pos="643"/>
          <w:tab w:val="num" w:pos="1080"/>
        </w:tabs>
        <w:ind w:left="1080" w:hanging="797"/>
      </w:pPr>
      <w:bookmarkStart w:id="43" w:name="_Ref49351115"/>
      <w:r>
        <w:t xml:space="preserve">As discussed </w:t>
      </w:r>
      <w:r w:rsidR="00B40670">
        <w:t>further</w:t>
      </w:r>
      <w:r>
        <w:t xml:space="preserve"> below, if the AFP member has </w:t>
      </w:r>
      <w:r w:rsidR="00077758">
        <w:t>the suspicion described in the first or third dot points above, the member would also have the option of immediately arresting the person under s 3WA</w:t>
      </w:r>
      <w:r w:rsidR="00C73775">
        <w:t xml:space="preserve"> of the Crimes Act</w:t>
      </w:r>
      <w:r w:rsidR="00482FCD">
        <w:t xml:space="preserve"> </w:t>
      </w:r>
      <w:r w:rsidR="00077758">
        <w:t>without a warrant</w:t>
      </w:r>
      <w:r w:rsidR="00482FCD">
        <w:t xml:space="preserve">, rather than </w:t>
      </w:r>
      <w:r w:rsidR="00077758">
        <w:t>applying for a PDO.</w:t>
      </w:r>
      <w:r w:rsidR="00AE09FE">
        <w:rPr>
          <w:rStyle w:val="EndnoteReference"/>
        </w:rPr>
        <w:endnoteReference w:id="230"/>
      </w:r>
      <w:r w:rsidR="00CC02EE">
        <w:t xml:space="preserve">  </w:t>
      </w:r>
      <w:r w:rsidR="00751E87">
        <w:t>T</w:t>
      </w:r>
      <w:r w:rsidR="00CC02EE">
        <w:t xml:space="preserve">he </w:t>
      </w:r>
      <w:r w:rsidR="00F204A8">
        <w:t>AFP member</w:t>
      </w:r>
      <w:r w:rsidR="00CC02EE">
        <w:t xml:space="preserve"> </w:t>
      </w:r>
      <w:r w:rsidR="00751E87">
        <w:t xml:space="preserve">would also have the option of immediately arresting the person </w:t>
      </w:r>
      <w:r w:rsidR="008E3A43">
        <w:t>based on the suspicion described in the second dot point</w:t>
      </w:r>
      <w:r w:rsidR="007C6A7D">
        <w:t xml:space="preserve"> above</w:t>
      </w:r>
      <w:r w:rsidR="008E3A43">
        <w:t xml:space="preserve">, if </w:t>
      </w:r>
      <w:r w:rsidR="004A3739">
        <w:t xml:space="preserve">the </w:t>
      </w:r>
      <w:r w:rsidR="00F204A8">
        <w:t>member</w:t>
      </w:r>
      <w:r w:rsidR="004A3739">
        <w:t xml:space="preserve"> also reasonably suspects that the p</w:t>
      </w:r>
      <w:r w:rsidR="007B07D8">
        <w:t>erson knows</w:t>
      </w:r>
      <w:r w:rsidR="0081076F">
        <w:t xml:space="preserve"> of</w:t>
      </w:r>
      <w:r w:rsidR="004E5A5C">
        <w:t xml:space="preserve">, </w:t>
      </w:r>
      <w:r w:rsidR="007C6A7D">
        <w:t>or is reckless as</w:t>
      </w:r>
      <w:r w:rsidR="004E5A5C">
        <w:t xml:space="preserve"> to</w:t>
      </w:r>
      <w:r w:rsidR="0081076F">
        <w:t xml:space="preserve"> the existence of</w:t>
      </w:r>
      <w:r w:rsidR="004E5A5C">
        <w:t>,</w:t>
      </w:r>
      <w:r w:rsidR="007B07D8">
        <w:t xml:space="preserve"> the connection between the thing and the </w:t>
      </w:r>
      <w:r w:rsidR="004E5A5C">
        <w:t>potential terrorist act</w:t>
      </w:r>
      <w:r w:rsidR="00FA4B99">
        <w:t>.</w:t>
      </w:r>
      <w:r w:rsidR="00FA4B99">
        <w:rPr>
          <w:rStyle w:val="EndnoteReference"/>
        </w:rPr>
        <w:endnoteReference w:id="231"/>
      </w:r>
      <w:r w:rsidR="00FA4B99">
        <w:t xml:space="preserve"> </w:t>
      </w:r>
      <w:r w:rsidR="0017261E">
        <w:t xml:space="preserve"> Arresting </w:t>
      </w:r>
      <w:r w:rsidR="00256ADA">
        <w:t>the</w:t>
      </w:r>
      <w:r w:rsidR="0017261E">
        <w:t xml:space="preserve"> person </w:t>
      </w:r>
      <w:r w:rsidR="00256ADA">
        <w:t>is likely to be a quicker and more effective way of dealing with the situation than applying for a PDO.</w:t>
      </w:r>
      <w:bookmarkEnd w:id="43"/>
    </w:p>
    <w:p w14:paraId="6B6D04D1" w14:textId="62B4A051" w:rsidR="00610F62" w:rsidRDefault="00233F19" w:rsidP="002A2D1A">
      <w:pPr>
        <w:pStyle w:val="ListNumber2"/>
        <w:tabs>
          <w:tab w:val="clear" w:pos="643"/>
          <w:tab w:val="num" w:pos="1080"/>
        </w:tabs>
        <w:ind w:left="1080" w:hanging="797"/>
      </w:pPr>
      <w:r>
        <w:t xml:space="preserve">When seeking a PDO based on ground (b), the AFP member </w:t>
      </w:r>
      <w:r w:rsidRPr="00C24B8E">
        <w:t>must</w:t>
      </w:r>
      <w:r>
        <w:t xml:space="preserve"> suspect on reasonable grounds</w:t>
      </w:r>
      <w:r w:rsidR="00696721">
        <w:t xml:space="preserve"> that:</w:t>
      </w:r>
    </w:p>
    <w:p w14:paraId="4677365E" w14:textId="5FF79EE5" w:rsidR="00696721" w:rsidRDefault="00696721" w:rsidP="00484581">
      <w:pPr>
        <w:pStyle w:val="ListNumber2"/>
        <w:numPr>
          <w:ilvl w:val="0"/>
          <w:numId w:val="14"/>
        </w:numPr>
      </w:pPr>
      <w:r>
        <w:t>a terrorist act has occurred within the last 28 days</w:t>
      </w:r>
      <w:r w:rsidR="00DD7CA4">
        <w:t>, and</w:t>
      </w:r>
    </w:p>
    <w:p w14:paraId="05812B6B" w14:textId="5D82C59A" w:rsidR="00696721" w:rsidRDefault="00CE370E" w:rsidP="00484581">
      <w:pPr>
        <w:pStyle w:val="ListNumber2"/>
        <w:numPr>
          <w:ilvl w:val="0"/>
          <w:numId w:val="14"/>
        </w:numPr>
      </w:pPr>
      <w:r>
        <w:t>detaining the subject under a PDO is reasonably necessary for the purpose</w:t>
      </w:r>
      <w:r w:rsidR="009454EE">
        <w:t xml:space="preserve"> of preserving evidence of, or relating to, the terrorist act.</w:t>
      </w:r>
      <w:r w:rsidR="005B330E">
        <w:rPr>
          <w:rStyle w:val="EndnoteReference"/>
        </w:rPr>
        <w:endnoteReference w:id="232"/>
      </w:r>
    </w:p>
    <w:p w14:paraId="238E2C0D" w14:textId="335A9E11" w:rsidR="008662DC" w:rsidRDefault="005B330E" w:rsidP="002A2D1A">
      <w:pPr>
        <w:pStyle w:val="ListNumber2"/>
        <w:tabs>
          <w:tab w:val="clear" w:pos="643"/>
          <w:tab w:val="num" w:pos="1080"/>
        </w:tabs>
        <w:ind w:left="1080" w:hanging="797"/>
      </w:pPr>
      <w:r>
        <w:t xml:space="preserve">As discussed </w:t>
      </w:r>
      <w:r w:rsidR="00B40670">
        <w:t>further</w:t>
      </w:r>
      <w:r>
        <w:t xml:space="preserve"> below,</w:t>
      </w:r>
      <w:r w:rsidR="00DD3BE5">
        <w:t xml:space="preserve"> if </w:t>
      </w:r>
      <w:r w:rsidR="00DD3BE5" w:rsidRPr="006F0D72">
        <w:rPr>
          <w:i/>
          <w:iCs/>
        </w:rPr>
        <w:t>any</w:t>
      </w:r>
      <w:r w:rsidR="00DD3BE5">
        <w:t xml:space="preserve"> crime has been committed, the police can obtain a warrant </w:t>
      </w:r>
      <w:r w:rsidR="007E465C">
        <w:t xml:space="preserve">under s 3E of the Crimes Act </w:t>
      </w:r>
      <w:r w:rsidR="00DD3BE5">
        <w:t xml:space="preserve">to search </w:t>
      </w:r>
      <w:r w:rsidR="007E465C">
        <w:t xml:space="preserve">a person or premises </w:t>
      </w:r>
      <w:r w:rsidR="00742AD0">
        <w:t xml:space="preserve">if there are reasonable grounds for suspecting that the search will </w:t>
      </w:r>
      <w:r w:rsidR="0010541A">
        <w:t xml:space="preserve">locate evidential material. </w:t>
      </w:r>
      <w:r w:rsidR="0031556D">
        <w:t xml:space="preserve"> </w:t>
      </w:r>
      <w:r w:rsidR="00C16928">
        <w:t>A search warrant entitles an officer to seize</w:t>
      </w:r>
      <w:r w:rsidR="008662DC">
        <w:t>:</w:t>
      </w:r>
    </w:p>
    <w:p w14:paraId="51EDA746" w14:textId="5A1F69C9" w:rsidR="008662DC" w:rsidRDefault="00A924B5" w:rsidP="00484581">
      <w:pPr>
        <w:pStyle w:val="ListNumber2"/>
        <w:numPr>
          <w:ilvl w:val="0"/>
          <w:numId w:val="14"/>
        </w:numPr>
      </w:pPr>
      <w:r w:rsidRPr="00A924B5">
        <w:t>evidential material in relation to an offence to which the warrant relates</w:t>
      </w:r>
      <w:r w:rsidR="00F82FD5">
        <w:t>; or</w:t>
      </w:r>
    </w:p>
    <w:p w14:paraId="253C0C02" w14:textId="022A2A73" w:rsidR="00A924B5" w:rsidRDefault="00F82FD5" w:rsidP="00484581">
      <w:pPr>
        <w:pStyle w:val="ListNumber2"/>
        <w:numPr>
          <w:ilvl w:val="0"/>
          <w:numId w:val="14"/>
        </w:numPr>
      </w:pPr>
      <w:r w:rsidRPr="00F82FD5">
        <w:lastRenderedPageBreak/>
        <w:t>a thing relevant to another offence that is an indictable offence</w:t>
      </w:r>
    </w:p>
    <w:p w14:paraId="26AB3CDE" w14:textId="4B1061D0" w:rsidR="00F82FD5" w:rsidRDefault="00DE0830" w:rsidP="00F82FD5">
      <w:pPr>
        <w:pStyle w:val="ListNumber2"/>
        <w:numPr>
          <w:ilvl w:val="0"/>
          <w:numId w:val="0"/>
        </w:numPr>
        <w:ind w:left="1094"/>
      </w:pPr>
      <w:r w:rsidRPr="00DE0830">
        <w:t>if the officer believes on reasonable grounds that seizure of the things is necessary to prevent their concealment, loss or destruction or their use in committing an offence</w:t>
      </w:r>
      <w:r>
        <w:t>.</w:t>
      </w:r>
      <w:r w:rsidR="00107D54">
        <w:rPr>
          <w:rStyle w:val="EndnoteReference"/>
        </w:rPr>
        <w:endnoteReference w:id="233"/>
      </w:r>
    </w:p>
    <w:p w14:paraId="1A19207A" w14:textId="0D8798F9" w:rsidR="009454EE" w:rsidRDefault="0031556D" w:rsidP="002A2D1A">
      <w:pPr>
        <w:pStyle w:val="ListNumber2"/>
        <w:tabs>
          <w:tab w:val="clear" w:pos="643"/>
          <w:tab w:val="num" w:pos="1080"/>
        </w:tabs>
        <w:ind w:left="1080" w:hanging="797"/>
      </w:pPr>
      <w:r>
        <w:t>Like a PDO, a search warrant may be obtained by phone in urgent circumstances (Crimes Act s 3R).</w:t>
      </w:r>
      <w:r w:rsidR="00EA29C4">
        <w:t xml:space="preserve">  Further, as noted in section </w:t>
      </w:r>
      <w:r w:rsidR="00EA29C4">
        <w:fldChar w:fldCharType="begin"/>
      </w:r>
      <w:r w:rsidR="00EA29C4">
        <w:instrText xml:space="preserve"> REF _Ref49252846 \r \h </w:instrText>
      </w:r>
      <w:r w:rsidR="00EA29C4">
        <w:fldChar w:fldCharType="separate"/>
      </w:r>
      <w:r w:rsidR="00381A9B">
        <w:t>5</w:t>
      </w:r>
      <w:r w:rsidR="00EA29C4">
        <w:fldChar w:fldCharType="end"/>
      </w:r>
      <w:r w:rsidR="00EA29C4">
        <w:t xml:space="preserve"> of this submission, there is a power under s 3UEA of the Crimes Act that allows police to enter premises </w:t>
      </w:r>
      <w:r w:rsidR="00EA29C4" w:rsidRPr="0091704E">
        <w:rPr>
          <w:i/>
          <w:iCs/>
        </w:rPr>
        <w:t>without</w:t>
      </w:r>
      <w:r w:rsidR="00EA29C4">
        <w:t xml:space="preserve"> a warrant to search for and seize a thing to prevent it from being used in connection with a terrorism offence. </w:t>
      </w:r>
      <w:r w:rsidR="006F35E6">
        <w:t xml:space="preserve"> The use of </w:t>
      </w:r>
      <w:r w:rsidR="00364E1A">
        <w:t>either of these powers</w:t>
      </w:r>
      <w:r w:rsidR="006F35E6">
        <w:t xml:space="preserve"> is likely to be a more direct and effective way of </w:t>
      </w:r>
      <w:r w:rsidR="004940D9">
        <w:t>preserving evidence of, or relating to, a terrorist act than using a PDO.</w:t>
      </w:r>
    </w:p>
    <w:p w14:paraId="6414DBE3" w14:textId="0D448E70" w:rsidR="009E727A" w:rsidRDefault="009E727A" w:rsidP="002A2D1A">
      <w:pPr>
        <w:pStyle w:val="ListNumber2"/>
        <w:tabs>
          <w:tab w:val="clear" w:pos="643"/>
          <w:tab w:val="num" w:pos="1080"/>
        </w:tabs>
        <w:ind w:left="1080" w:hanging="797"/>
      </w:pPr>
      <w:r>
        <w:t xml:space="preserve">A PDO may be </w:t>
      </w:r>
      <w:r w:rsidR="000D307C">
        <w:t>sought in relation to a person who is at least 16 years old.</w:t>
      </w:r>
      <w:r w:rsidR="000D307C">
        <w:rPr>
          <w:rStyle w:val="EndnoteReference"/>
        </w:rPr>
        <w:endnoteReference w:id="234"/>
      </w:r>
    </w:p>
    <w:p w14:paraId="1828030D" w14:textId="3BA8FD37" w:rsidR="00343E87" w:rsidRDefault="003C2BD0" w:rsidP="002A2D1A">
      <w:pPr>
        <w:pStyle w:val="ListNumber2"/>
        <w:tabs>
          <w:tab w:val="clear" w:pos="643"/>
          <w:tab w:val="num" w:pos="1080"/>
        </w:tabs>
        <w:ind w:left="1080" w:hanging="797"/>
      </w:pPr>
      <w:r>
        <w:t xml:space="preserve">There are two kinds of PDOs that can be made.  </w:t>
      </w:r>
      <w:r w:rsidR="00401355">
        <w:t xml:space="preserve">An initial PDO may be </w:t>
      </w:r>
      <w:r w:rsidR="008C3A4E">
        <w:t>made by a senior AFP member</w:t>
      </w:r>
      <w:r w:rsidR="00087768">
        <w:t xml:space="preserve"> </w:t>
      </w:r>
      <w:r w:rsidR="002279C5">
        <w:t>for a period of up to 24 hours.</w:t>
      </w:r>
      <w:r w:rsidR="00183CE6">
        <w:rPr>
          <w:rStyle w:val="EndnoteReference"/>
        </w:rPr>
        <w:endnoteReference w:id="235"/>
      </w:r>
      <w:r w:rsidR="002279C5">
        <w:t xml:space="preserve">  A continuing PDO</w:t>
      </w:r>
      <w:r w:rsidR="001F1167">
        <w:t xml:space="preserve"> </w:t>
      </w:r>
      <w:r w:rsidR="002279C5">
        <w:t xml:space="preserve">may be made </w:t>
      </w:r>
      <w:r w:rsidR="006A1CB2">
        <w:t xml:space="preserve">(broadly speaking) </w:t>
      </w:r>
      <w:r w:rsidR="00087768">
        <w:t xml:space="preserve">by </w:t>
      </w:r>
      <w:r w:rsidR="00927F29">
        <w:t xml:space="preserve">a judge of a </w:t>
      </w:r>
      <w:r w:rsidR="003B3D87">
        <w:t xml:space="preserve">federal </w:t>
      </w:r>
      <w:r w:rsidR="00592A54">
        <w:t>court</w:t>
      </w:r>
      <w:r w:rsidR="005D6531">
        <w:t>,</w:t>
      </w:r>
      <w:r w:rsidR="00592A54">
        <w:t xml:space="preserve"> a</w:t>
      </w:r>
      <w:r w:rsidR="003B3D87">
        <w:t xml:space="preserve"> </w:t>
      </w:r>
      <w:r w:rsidR="005D6531">
        <w:t>former judge of a superior court</w:t>
      </w:r>
      <w:r w:rsidR="00592A54">
        <w:t>,</w:t>
      </w:r>
      <w:r w:rsidR="006300B6">
        <w:t xml:space="preserve"> or </w:t>
      </w:r>
      <w:r w:rsidR="003F68FF">
        <w:t xml:space="preserve">the </w:t>
      </w:r>
      <w:r w:rsidR="006300B6">
        <w:t>President or Deputy President of the Administrative Appeals Tribunal</w:t>
      </w:r>
      <w:r w:rsidR="001C02F8">
        <w:t xml:space="preserve"> </w:t>
      </w:r>
      <w:r w:rsidR="009952A0">
        <w:t xml:space="preserve">(AAT) </w:t>
      </w:r>
      <w:r w:rsidR="001C02F8">
        <w:t xml:space="preserve">in relation to a person </w:t>
      </w:r>
      <w:r w:rsidR="002C26F7">
        <w:t>in custody under an initial PDO</w:t>
      </w:r>
      <w:r w:rsidR="006300B6">
        <w:t>.</w:t>
      </w:r>
      <w:r w:rsidR="006C6017">
        <w:rPr>
          <w:rStyle w:val="EndnoteReference"/>
        </w:rPr>
        <w:endnoteReference w:id="236"/>
      </w:r>
      <w:r w:rsidR="006300B6">
        <w:t xml:space="preserve"> </w:t>
      </w:r>
      <w:r w:rsidR="00001BEB">
        <w:t xml:space="preserve"> </w:t>
      </w:r>
      <w:r w:rsidR="00DD346D">
        <w:t xml:space="preserve">In carrying out this function, the issuing officer is </w:t>
      </w:r>
      <w:r w:rsidR="00B35487">
        <w:t xml:space="preserve">acting in their personal capacity and </w:t>
      </w:r>
      <w:r w:rsidR="00DD346D">
        <w:t>not as a judicial officer.</w:t>
      </w:r>
      <w:r w:rsidR="0092742D">
        <w:rPr>
          <w:rStyle w:val="EndnoteReference"/>
        </w:rPr>
        <w:endnoteReference w:id="237"/>
      </w:r>
      <w:r w:rsidR="00DD346D">
        <w:t xml:space="preserve">  </w:t>
      </w:r>
      <w:r w:rsidR="002C70A0">
        <w:t xml:space="preserve">Unlike the restrictions imposed by control orders and </w:t>
      </w:r>
      <w:r w:rsidR="001944CD">
        <w:t>CDOs</w:t>
      </w:r>
      <w:r w:rsidR="002C70A0">
        <w:t>, t</w:t>
      </w:r>
      <w:r w:rsidR="002F634A">
        <w:t xml:space="preserve">he detention authorised by the PDO is executive detention and not </w:t>
      </w:r>
      <w:r w:rsidR="00BE3DD8">
        <w:t xml:space="preserve">the result of a judicial process.  </w:t>
      </w:r>
      <w:r w:rsidR="00376525">
        <w:t>The total length of time that a person may be detained under a PDO is 48 hours.</w:t>
      </w:r>
      <w:r w:rsidR="00FA60B0">
        <w:rPr>
          <w:rStyle w:val="EndnoteReference"/>
        </w:rPr>
        <w:endnoteReference w:id="238"/>
      </w:r>
    </w:p>
    <w:p w14:paraId="1B48E1F8" w14:textId="568B16BB" w:rsidR="005A54AB" w:rsidRDefault="00A210F5" w:rsidP="002A2D1A">
      <w:pPr>
        <w:pStyle w:val="ListNumber2"/>
        <w:tabs>
          <w:tab w:val="clear" w:pos="643"/>
          <w:tab w:val="num" w:pos="1080"/>
        </w:tabs>
        <w:ind w:left="1080" w:hanging="797"/>
      </w:pPr>
      <w:r>
        <w:t xml:space="preserve">There are a range of significant limits </w:t>
      </w:r>
      <w:r w:rsidR="001B478A">
        <w:t>placed on the ability of a person detained under a PDO to contact other people.  The detainee may contact:</w:t>
      </w:r>
    </w:p>
    <w:p w14:paraId="4F1D85E0" w14:textId="6F3579CF" w:rsidR="004D4C68" w:rsidRDefault="004D4C68" w:rsidP="00484581">
      <w:pPr>
        <w:pStyle w:val="ListNumber2"/>
        <w:numPr>
          <w:ilvl w:val="0"/>
          <w:numId w:val="14"/>
        </w:numPr>
      </w:pPr>
      <w:r>
        <w:t>a family member</w:t>
      </w:r>
      <w:r w:rsidR="009C3C16">
        <w:t xml:space="preserve">, a person who the detainee lives with, and a person who the detainee works with, but only </w:t>
      </w:r>
      <w:r w:rsidR="00815C6D">
        <w:t>for the purpose of ‘letting the person contacted know that the person being detained is safe but not able to be contacted for the time being’</w:t>
      </w:r>
      <w:r w:rsidR="001A429C">
        <w:rPr>
          <w:rStyle w:val="EndnoteReference"/>
        </w:rPr>
        <w:endnoteReference w:id="239"/>
      </w:r>
    </w:p>
    <w:p w14:paraId="3ADCA0C0" w14:textId="77777777" w:rsidR="00114714" w:rsidRDefault="004D4C68" w:rsidP="00484581">
      <w:pPr>
        <w:pStyle w:val="ListNumber2"/>
        <w:numPr>
          <w:ilvl w:val="0"/>
          <w:numId w:val="14"/>
        </w:numPr>
      </w:pPr>
      <w:r>
        <w:t xml:space="preserve">a </w:t>
      </w:r>
      <w:r w:rsidR="0086586D">
        <w:t>lawyer</w:t>
      </w:r>
      <w:r w:rsidR="005B5110">
        <w:t xml:space="preserve">, but only to obtain </w:t>
      </w:r>
      <w:r w:rsidR="00717B7E">
        <w:t>advice about the detainee’s rights in relation to the PDO or their treatment in detention</w:t>
      </w:r>
      <w:r w:rsidR="00670A97">
        <w:rPr>
          <w:rStyle w:val="EndnoteReference"/>
        </w:rPr>
        <w:endnoteReference w:id="240"/>
      </w:r>
    </w:p>
    <w:p w14:paraId="30F3EBEF" w14:textId="673F4B67" w:rsidR="001B478A" w:rsidRDefault="00114714" w:rsidP="00484581">
      <w:pPr>
        <w:pStyle w:val="ListNumber2"/>
        <w:numPr>
          <w:ilvl w:val="0"/>
          <w:numId w:val="14"/>
        </w:numPr>
      </w:pPr>
      <w:r>
        <w:lastRenderedPageBreak/>
        <w:t xml:space="preserve">the Ombudsman or </w:t>
      </w:r>
      <w:r w:rsidR="00F57EEA">
        <w:t xml:space="preserve">a </w:t>
      </w:r>
      <w:r w:rsidR="00554FEE">
        <w:t xml:space="preserve">relevant police complaints officer, for the purpose of </w:t>
      </w:r>
      <w:r w:rsidR="00B8651B">
        <w:t xml:space="preserve">exercising a statutory right to </w:t>
      </w:r>
      <w:r w:rsidR="00554FEE">
        <w:t>mak</w:t>
      </w:r>
      <w:r w:rsidR="00B8651B">
        <w:t>e</w:t>
      </w:r>
      <w:r w:rsidR="00554FEE">
        <w:t xml:space="preserve"> a complaint</w:t>
      </w:r>
      <w:r w:rsidR="00B8651B">
        <w:t xml:space="preserve"> about their treatment</w:t>
      </w:r>
      <w:r w:rsidR="00554FEE">
        <w:t>.</w:t>
      </w:r>
      <w:r w:rsidR="00B8651B">
        <w:rPr>
          <w:rStyle w:val="EndnoteReference"/>
        </w:rPr>
        <w:endnoteReference w:id="241"/>
      </w:r>
      <w:r w:rsidR="004D4C68">
        <w:t xml:space="preserve">  </w:t>
      </w:r>
    </w:p>
    <w:p w14:paraId="1A9B5523" w14:textId="5734DE6B" w:rsidR="00320E56" w:rsidRDefault="00320E56" w:rsidP="002A2D1A">
      <w:pPr>
        <w:pStyle w:val="ListNumber2"/>
        <w:tabs>
          <w:tab w:val="clear" w:pos="643"/>
          <w:tab w:val="num" w:pos="1080"/>
        </w:tabs>
        <w:ind w:left="1080" w:hanging="797"/>
      </w:pPr>
      <w:r>
        <w:t>However, even in relation to these communications</w:t>
      </w:r>
      <w:r w:rsidR="00BC1715">
        <w:t>,</w:t>
      </w:r>
      <w:r>
        <w:t xml:space="preserve"> there are a range of significant restrictions:</w:t>
      </w:r>
    </w:p>
    <w:p w14:paraId="6B79E6FD" w14:textId="58480C62" w:rsidR="003F68FF" w:rsidRDefault="00BE6C76" w:rsidP="00484581">
      <w:pPr>
        <w:pStyle w:val="ListNumber2"/>
        <w:numPr>
          <w:ilvl w:val="0"/>
          <w:numId w:val="14"/>
        </w:numPr>
      </w:pPr>
      <w:r>
        <w:t>A</w:t>
      </w:r>
      <w:r w:rsidR="00856726">
        <w:t>n AFP member may apply for a prohibited contact order</w:t>
      </w:r>
      <w:r w:rsidR="0021523F">
        <w:t xml:space="preserve">, which </w:t>
      </w:r>
      <w:r w:rsidR="007A29EC">
        <w:t>prohibits a person detained under a PDO from contacting a specified person</w:t>
      </w:r>
      <w:r w:rsidR="0069278F">
        <w:t>.</w:t>
      </w:r>
      <w:r w:rsidR="004C43DC">
        <w:rPr>
          <w:rStyle w:val="EndnoteReference"/>
        </w:rPr>
        <w:endnoteReference w:id="242"/>
      </w:r>
      <w:r w:rsidR="00AE790C">
        <w:t xml:space="preserve">  The specified person could be a family member, a person the detainee lives or works with, or a lawyer.</w:t>
      </w:r>
    </w:p>
    <w:p w14:paraId="5F0FE7B0" w14:textId="720F8F95" w:rsidR="00AE790C" w:rsidRDefault="00704226" w:rsidP="00484581">
      <w:pPr>
        <w:pStyle w:val="ListNumber2"/>
        <w:numPr>
          <w:ilvl w:val="0"/>
          <w:numId w:val="14"/>
        </w:numPr>
      </w:pPr>
      <w:r>
        <w:t xml:space="preserve">The detainee must not tell a family member, </w:t>
      </w:r>
      <w:r w:rsidR="0039422E">
        <w:t xml:space="preserve">or </w:t>
      </w:r>
      <w:r>
        <w:t>a person the detainee lives or works with</w:t>
      </w:r>
      <w:r w:rsidR="0039422E">
        <w:t xml:space="preserve"> that they are being detained, </w:t>
      </w:r>
      <w:r w:rsidR="00165BCF">
        <w:t xml:space="preserve">how long they are being detained, or </w:t>
      </w:r>
      <w:r w:rsidR="0039422E">
        <w:t>that a PDO has been made</w:t>
      </w:r>
      <w:r w:rsidR="00165BCF">
        <w:t>.</w:t>
      </w:r>
      <w:r w:rsidR="00165BCF">
        <w:rPr>
          <w:rStyle w:val="EndnoteReference"/>
        </w:rPr>
        <w:endnoteReference w:id="243"/>
      </w:r>
    </w:p>
    <w:p w14:paraId="5A042AB5" w14:textId="2CE8B926" w:rsidR="009846A2" w:rsidRDefault="006772E2" w:rsidP="00484581">
      <w:pPr>
        <w:pStyle w:val="ListNumber2"/>
        <w:numPr>
          <w:ilvl w:val="0"/>
          <w:numId w:val="14"/>
        </w:numPr>
      </w:pPr>
      <w:r>
        <w:t xml:space="preserve">The contact with </w:t>
      </w:r>
      <w:r w:rsidR="00D769AD">
        <w:t xml:space="preserve">a family member, a person the detainee lives or works with, or a lawyer </w:t>
      </w:r>
      <w:r w:rsidR="00F00342">
        <w:t>may only take place if it can be monitored by police.</w:t>
      </w:r>
      <w:r w:rsidR="00F51D56">
        <w:rPr>
          <w:rStyle w:val="EndnoteReference"/>
        </w:rPr>
        <w:endnoteReference w:id="244"/>
      </w:r>
    </w:p>
    <w:p w14:paraId="387F705A" w14:textId="2E0340AC" w:rsidR="004C43DC" w:rsidRDefault="003669F9" w:rsidP="002A2D1A">
      <w:pPr>
        <w:pStyle w:val="ListNumber2"/>
        <w:tabs>
          <w:tab w:val="clear" w:pos="643"/>
          <w:tab w:val="num" w:pos="1080"/>
        </w:tabs>
        <w:ind w:left="1080" w:hanging="797"/>
      </w:pPr>
      <w:r>
        <w:t>If the person detained is a child</w:t>
      </w:r>
      <w:r w:rsidR="00E50C33">
        <w:t xml:space="preserve"> or ‘incapable of managing his or her affairs’</w:t>
      </w:r>
      <w:r>
        <w:t xml:space="preserve">, they </w:t>
      </w:r>
      <w:r w:rsidR="00E50C33">
        <w:t xml:space="preserve">may also </w:t>
      </w:r>
      <w:r w:rsidR="007F7154">
        <w:t>tell any parent or guardian that a PDO has been made, that they are being detained</w:t>
      </w:r>
      <w:r w:rsidR="003B65AB">
        <w:t>,</w:t>
      </w:r>
      <w:r w:rsidR="007F7154">
        <w:t xml:space="preserve"> and how long they are being detained</w:t>
      </w:r>
      <w:r w:rsidR="007910B7">
        <w:t xml:space="preserve"> (unless a prohibited contact order has been made</w:t>
      </w:r>
      <w:r w:rsidR="00DB64E9">
        <w:t xml:space="preserve"> in relation to their parent or guardian</w:t>
      </w:r>
      <w:r w:rsidR="007910B7">
        <w:t>)</w:t>
      </w:r>
      <w:r w:rsidR="007F7154">
        <w:t>.</w:t>
      </w:r>
      <w:r w:rsidR="007910B7">
        <w:t xml:space="preserve">  They may also be visited </w:t>
      </w:r>
      <w:r w:rsidR="003B65AB">
        <w:t>by their parents or guardians while detained.</w:t>
      </w:r>
      <w:r w:rsidR="00D41800">
        <w:t xml:space="preserve">  Again, all of these communications must be able to be mon</w:t>
      </w:r>
      <w:r w:rsidR="00784B0E">
        <w:t>itored by police.</w:t>
      </w:r>
      <w:r w:rsidR="00784B0E">
        <w:rPr>
          <w:rStyle w:val="EndnoteReference"/>
        </w:rPr>
        <w:endnoteReference w:id="245"/>
      </w:r>
    </w:p>
    <w:p w14:paraId="7CFE13B0" w14:textId="5610248B" w:rsidR="00B51BA5" w:rsidRDefault="00590B4E" w:rsidP="002A2D1A">
      <w:pPr>
        <w:pStyle w:val="ListNumber2"/>
        <w:tabs>
          <w:tab w:val="clear" w:pos="643"/>
          <w:tab w:val="num" w:pos="1080"/>
        </w:tabs>
        <w:ind w:left="1080" w:hanging="797"/>
      </w:pPr>
      <w:r>
        <w:t xml:space="preserve">While a person is detained under a PDO, </w:t>
      </w:r>
      <w:r w:rsidR="00A56DD3">
        <w:t>they may not be questioned by police.</w:t>
      </w:r>
      <w:r w:rsidR="00A74A8E">
        <w:rPr>
          <w:rStyle w:val="EndnoteReference"/>
        </w:rPr>
        <w:endnoteReference w:id="246"/>
      </w:r>
      <w:r w:rsidR="00A74A8E">
        <w:t xml:space="preserve">  </w:t>
      </w:r>
      <w:r w:rsidR="00834056">
        <w:t>By contrast</w:t>
      </w:r>
      <w:r w:rsidR="00A74A8E">
        <w:t xml:space="preserve">, if the person had been arrested under </w:t>
      </w:r>
      <w:r w:rsidR="00350945">
        <w:t xml:space="preserve">s 3WA of the Crimes Act instead of being detained under the PDO, the police would </w:t>
      </w:r>
      <w:r w:rsidR="00D579A2">
        <w:t xml:space="preserve">be able to question the person under the pre-charge detention regime in </w:t>
      </w:r>
      <w:r w:rsidR="00C3294F">
        <w:rPr>
          <w:iCs/>
        </w:rPr>
        <w:t>Part IC of the Crimes Act</w:t>
      </w:r>
      <w:r w:rsidR="00B35900">
        <w:rPr>
          <w:iCs/>
        </w:rPr>
        <w:t xml:space="preserve"> for the purpose of </w:t>
      </w:r>
      <w:r w:rsidR="00C44153">
        <w:rPr>
          <w:iCs/>
        </w:rPr>
        <w:t>investigating whether they committed the offence</w:t>
      </w:r>
      <w:r w:rsidR="00D579A2">
        <w:rPr>
          <w:iCs/>
        </w:rPr>
        <w:t>.</w:t>
      </w:r>
      <w:r w:rsidR="00C3294F">
        <w:rPr>
          <w:iCs/>
        </w:rPr>
        <w:t xml:space="preserve"> </w:t>
      </w:r>
    </w:p>
    <w:p w14:paraId="6C145AC9" w14:textId="1C7CFA82" w:rsidR="002A24EA" w:rsidRDefault="00FF7CA3" w:rsidP="002A2D1A">
      <w:pPr>
        <w:pStyle w:val="ListNumber2"/>
        <w:tabs>
          <w:tab w:val="clear" w:pos="643"/>
          <w:tab w:val="num" w:pos="1080"/>
        </w:tabs>
        <w:ind w:left="1080" w:hanging="797"/>
      </w:pPr>
      <w:r>
        <w:t>A decision to ma</w:t>
      </w:r>
      <w:r w:rsidR="00927782">
        <w:t xml:space="preserve">ke a PDO, or any other decision under </w:t>
      </w:r>
      <w:proofErr w:type="spellStart"/>
      <w:r w:rsidR="00927782">
        <w:t>Div</w:t>
      </w:r>
      <w:proofErr w:type="spellEnd"/>
      <w:r w:rsidR="00927782">
        <w:t xml:space="preserve"> 105, cannot be challenged under the </w:t>
      </w:r>
      <w:r w:rsidR="00927782" w:rsidRPr="00927782">
        <w:rPr>
          <w:i/>
          <w:iCs/>
        </w:rPr>
        <w:t>Administrative Decisions (Judicial Review) Act 1977</w:t>
      </w:r>
      <w:r w:rsidR="00927782">
        <w:t xml:space="preserve"> (</w:t>
      </w:r>
      <w:proofErr w:type="spellStart"/>
      <w:r w:rsidR="00927782">
        <w:t>Cth</w:t>
      </w:r>
      <w:proofErr w:type="spellEnd"/>
      <w:r w:rsidR="00927782">
        <w:t>).</w:t>
      </w:r>
      <w:r w:rsidR="00A45982">
        <w:rPr>
          <w:rStyle w:val="EndnoteReference"/>
        </w:rPr>
        <w:endnoteReference w:id="247"/>
      </w:r>
      <w:r w:rsidR="00927782">
        <w:t xml:space="preserve">  A decision to make a PDO may be </w:t>
      </w:r>
      <w:r w:rsidR="006C7DB7">
        <w:t xml:space="preserve">reviewed by the </w:t>
      </w:r>
      <w:r w:rsidR="00061C36">
        <w:t xml:space="preserve">Security Division of the </w:t>
      </w:r>
      <w:r w:rsidR="009952A0">
        <w:t>AAT</w:t>
      </w:r>
      <w:r w:rsidR="006C7DB7">
        <w:t>, but only after the order has ceased to be in force.</w:t>
      </w:r>
      <w:r w:rsidR="00091968">
        <w:rPr>
          <w:rStyle w:val="EndnoteReference"/>
        </w:rPr>
        <w:endnoteReference w:id="248"/>
      </w:r>
      <w:r w:rsidR="00C26F83">
        <w:t xml:space="preserve">  </w:t>
      </w:r>
      <w:r w:rsidR="002A24EA">
        <w:t xml:space="preserve">As a result, if a person was successful </w:t>
      </w:r>
      <w:r w:rsidR="00021060">
        <w:t xml:space="preserve">in </w:t>
      </w:r>
      <w:r w:rsidR="007E3A1A">
        <w:t xml:space="preserve">such </w:t>
      </w:r>
      <w:r w:rsidR="00E14439">
        <w:t xml:space="preserve">a </w:t>
      </w:r>
      <w:r w:rsidR="00021060">
        <w:t xml:space="preserve">review by the AAT, this would not release them from detention.  At most, they may be entitled to compensation. </w:t>
      </w:r>
    </w:p>
    <w:p w14:paraId="7D67922C" w14:textId="71370F34" w:rsidR="00FF7CA3" w:rsidRDefault="000424FB" w:rsidP="002A2D1A">
      <w:pPr>
        <w:pStyle w:val="ListNumber2"/>
        <w:tabs>
          <w:tab w:val="clear" w:pos="643"/>
          <w:tab w:val="num" w:pos="1080"/>
        </w:tabs>
        <w:ind w:left="1080" w:hanging="797"/>
      </w:pPr>
      <w:r>
        <w:lastRenderedPageBreak/>
        <w:t xml:space="preserve">The only option available for a </w:t>
      </w:r>
      <w:r w:rsidR="009D45DA">
        <w:t xml:space="preserve">person to review a decision to make a PDO while the order is in force would be to challenge the decision in a federal court </w:t>
      </w:r>
      <w:r w:rsidR="000D18B2">
        <w:t>on the ground that the</w:t>
      </w:r>
      <w:r w:rsidR="006B7C68">
        <w:t>re was a jurisdictional error in making the</w:t>
      </w:r>
      <w:r w:rsidR="000D18B2">
        <w:t xml:space="preserve"> decision</w:t>
      </w:r>
      <w:r w:rsidR="006B7C68">
        <w:t xml:space="preserve">.  This </w:t>
      </w:r>
      <w:r w:rsidR="009952A0">
        <w:t xml:space="preserve">is </w:t>
      </w:r>
      <w:r w:rsidR="00E65F62">
        <w:t xml:space="preserve">a very narrow </w:t>
      </w:r>
      <w:r w:rsidR="00527481">
        <w:t xml:space="preserve">type of review and is </w:t>
      </w:r>
      <w:r w:rsidR="009952A0">
        <w:t xml:space="preserve">the minimum level of judicial review that </w:t>
      </w:r>
      <w:r w:rsidR="006B7C68">
        <w:t>cannot be excluded by statute.</w:t>
      </w:r>
      <w:r w:rsidR="00D405BA">
        <w:t xml:space="preserve">  On such a review, the court is not entitled to consider </w:t>
      </w:r>
      <w:r w:rsidR="00527481">
        <w:t>the</w:t>
      </w:r>
      <w:r w:rsidR="004E16B8">
        <w:t xml:space="preserve"> merits of the decision to detain the person, and so the court could not consider, for example, whether the</w:t>
      </w:r>
      <w:r w:rsidR="00527481">
        <w:t xml:space="preserve"> </w:t>
      </w:r>
      <w:r w:rsidR="001F5858">
        <w:t xml:space="preserve">person’s detention was </w:t>
      </w:r>
      <w:r w:rsidR="00527481">
        <w:t>reasonable or proportionate</w:t>
      </w:r>
      <w:r w:rsidR="00304DA5">
        <w:t>.</w:t>
      </w:r>
    </w:p>
    <w:p w14:paraId="65A9F995" w14:textId="77777777" w:rsidR="001D122B" w:rsidRDefault="001D122B" w:rsidP="00E817B3">
      <w:pPr>
        <w:pStyle w:val="Heading2"/>
      </w:pPr>
      <w:bookmarkStart w:id="44" w:name="_Toc50633833"/>
      <w:r>
        <w:t>Human rights issues</w:t>
      </w:r>
      <w:bookmarkEnd w:id="44"/>
    </w:p>
    <w:p w14:paraId="4957CE94" w14:textId="5602721B" w:rsidR="001D122B" w:rsidRDefault="001D122B" w:rsidP="001D122B">
      <w:pPr>
        <w:pStyle w:val="ListNumber2"/>
        <w:tabs>
          <w:tab w:val="clear" w:pos="643"/>
          <w:tab w:val="num" w:pos="1080"/>
        </w:tabs>
        <w:ind w:left="1080" w:hanging="797"/>
      </w:pPr>
      <w:r>
        <w:t>The Commission has previously raised a range of human rights issues in relation to the PDO regime.</w:t>
      </w:r>
      <w:r w:rsidR="005D2AE7">
        <w:t xml:space="preserve">  In particular:</w:t>
      </w:r>
    </w:p>
    <w:p w14:paraId="32668540" w14:textId="2E35342D" w:rsidR="00B6620B" w:rsidRDefault="00B8696A" w:rsidP="00484581">
      <w:pPr>
        <w:pStyle w:val="ListNumber2"/>
        <w:numPr>
          <w:ilvl w:val="0"/>
          <w:numId w:val="14"/>
        </w:numPr>
      </w:pPr>
      <w:r>
        <w:t xml:space="preserve">Unlike a person who has been </w:t>
      </w:r>
      <w:r w:rsidR="002B0317">
        <w:t xml:space="preserve">charged with a criminal offence, there is no obligation </w:t>
      </w:r>
      <w:r w:rsidR="00D9611B">
        <w:t xml:space="preserve">on the police </w:t>
      </w:r>
      <w:r w:rsidR="002B0317">
        <w:t>to bring a person detained under a PDO promptly before a court</w:t>
      </w:r>
      <w:r w:rsidR="00834EFA">
        <w:t>.</w:t>
      </w:r>
      <w:r w:rsidR="004C66B9">
        <w:t xml:space="preserve">  </w:t>
      </w:r>
    </w:p>
    <w:p w14:paraId="190E9C1A" w14:textId="5AB1D54D" w:rsidR="00FA2A97" w:rsidRDefault="00B6620B" w:rsidP="00484581">
      <w:pPr>
        <w:pStyle w:val="ListNumber2"/>
        <w:numPr>
          <w:ilvl w:val="0"/>
          <w:numId w:val="14"/>
        </w:numPr>
      </w:pPr>
      <w:r>
        <w:t xml:space="preserve">Further, </w:t>
      </w:r>
      <w:r w:rsidR="00B97885">
        <w:t xml:space="preserve">the ability of the person detained to bring their own proceedings to secure their release is very limited.  The PDO regime does not allow for meaningful review of the merits of the decision to make a PDO while the person is detained.  </w:t>
      </w:r>
      <w:r w:rsidR="00774497">
        <w:t>This significant</w:t>
      </w:r>
      <w:r w:rsidR="00D9611B">
        <w:t>ly</w:t>
      </w:r>
      <w:r w:rsidR="00774497">
        <w:t xml:space="preserve"> impinges on a</w:t>
      </w:r>
      <w:r w:rsidR="004C66B9">
        <w:t>rticle 9(4) of the ICCPR</w:t>
      </w:r>
      <w:r w:rsidR="004E16B8">
        <w:t>,</w:t>
      </w:r>
      <w:r w:rsidR="004C66B9">
        <w:t xml:space="preserve"> </w:t>
      </w:r>
      <w:r w:rsidR="00774497">
        <w:t xml:space="preserve">which </w:t>
      </w:r>
      <w:r w:rsidR="004C66B9">
        <w:t>provides that anyone who is deprived of their liberty by arrest or detention is entitled to take proceedings before a court, so that the court can decide without delay whether the detention is lawful, and order the person’s release if the detention is not lawful.</w:t>
      </w:r>
      <w:r w:rsidR="001A22F2">
        <w:t xml:space="preserve">  </w:t>
      </w:r>
    </w:p>
    <w:p w14:paraId="74A82BF5" w14:textId="4150D11D" w:rsidR="00B8696A" w:rsidRDefault="00FA2A97" w:rsidP="00484581">
      <w:pPr>
        <w:pStyle w:val="ListNumber2"/>
        <w:numPr>
          <w:ilvl w:val="0"/>
          <w:numId w:val="14"/>
        </w:numPr>
      </w:pPr>
      <w:r>
        <w:t xml:space="preserve">The lack of </w:t>
      </w:r>
      <w:r w:rsidR="00681343">
        <w:t xml:space="preserve">review rights </w:t>
      </w:r>
      <w:r w:rsidR="001A22F2">
        <w:t xml:space="preserve">also impinges on the right </w:t>
      </w:r>
      <w:r w:rsidR="00B85A41">
        <w:t xml:space="preserve">of people under article 2(3) of the ICCPR to an effective remedy. </w:t>
      </w:r>
      <w:r w:rsidR="00681343">
        <w:t xml:space="preserve"> In the context of a regime of preventative detention, a remedy that is ‘effective’ must be one that en</w:t>
      </w:r>
      <w:r w:rsidR="006520D2">
        <w:t xml:space="preserve">ables a person who is wrongfully detained </w:t>
      </w:r>
      <w:r w:rsidR="00B26AEB">
        <w:t xml:space="preserve">or being ill-treated </w:t>
      </w:r>
      <w:r w:rsidR="006520D2">
        <w:t xml:space="preserve">to </w:t>
      </w:r>
      <w:r w:rsidR="00B26AEB">
        <w:t>obtain redress before the wrongful detention or ill-treatment comes to an end.</w:t>
      </w:r>
    </w:p>
    <w:p w14:paraId="7BBA01CB" w14:textId="72ABF838" w:rsidR="003B2F9D" w:rsidRDefault="00E619D7" w:rsidP="00484581">
      <w:pPr>
        <w:pStyle w:val="ListNumber2"/>
        <w:numPr>
          <w:ilvl w:val="0"/>
          <w:numId w:val="14"/>
        </w:numPr>
      </w:pPr>
      <w:r>
        <w:t xml:space="preserve">The strict limitations on communication with others also </w:t>
      </w:r>
      <w:r w:rsidR="00736454">
        <w:t xml:space="preserve">engages a range of rights including the right to freedom of expression (article 19 of the ICCPR) and </w:t>
      </w:r>
      <w:r w:rsidR="007B63AB">
        <w:t>the guar</w:t>
      </w:r>
      <w:r w:rsidR="00A71B1B">
        <w:t xml:space="preserve">antee against arbitrary interference with the family (article 17 of the ICCPR). </w:t>
      </w:r>
    </w:p>
    <w:p w14:paraId="5C225635" w14:textId="2C57D479" w:rsidR="00E817B3" w:rsidRDefault="00E817B3" w:rsidP="00E817B3">
      <w:pPr>
        <w:pStyle w:val="Heading2"/>
      </w:pPr>
      <w:bookmarkStart w:id="45" w:name="_Toc50633834"/>
      <w:r>
        <w:lastRenderedPageBreak/>
        <w:t xml:space="preserve">Use of </w:t>
      </w:r>
      <w:r w:rsidR="00F85BEA">
        <w:t>preventative detention orders</w:t>
      </w:r>
      <w:bookmarkEnd w:id="45"/>
    </w:p>
    <w:p w14:paraId="722FD3EE" w14:textId="356ED9F1" w:rsidR="00F41D06" w:rsidRDefault="00F41D06" w:rsidP="00F41D06">
      <w:pPr>
        <w:pStyle w:val="Heading3"/>
      </w:pPr>
      <w:bookmarkStart w:id="46" w:name="_Toc50633835"/>
      <w:r>
        <w:t>Actual use</w:t>
      </w:r>
      <w:bookmarkEnd w:id="46"/>
    </w:p>
    <w:p w14:paraId="19821575" w14:textId="2A22BD9B" w:rsidR="007A01AA" w:rsidRPr="00B901D6" w:rsidRDefault="007A01AA" w:rsidP="007A01AA">
      <w:pPr>
        <w:pStyle w:val="ListNumber2"/>
        <w:tabs>
          <w:tab w:val="clear" w:pos="643"/>
          <w:tab w:val="num" w:pos="1080"/>
        </w:tabs>
        <w:ind w:left="1080" w:hanging="797"/>
      </w:pPr>
      <w:r w:rsidRPr="007A01AA">
        <w:t>Based on the annual reports published in relation to the use of the PDO powers and the</w:t>
      </w:r>
      <w:r w:rsidR="004E16B8">
        <w:t xml:space="preserve"> respective</w:t>
      </w:r>
      <w:r w:rsidRPr="007A01AA">
        <w:t xml:space="preserve"> submission</w:t>
      </w:r>
      <w:r w:rsidR="00B82D7D">
        <w:t>s</w:t>
      </w:r>
      <w:r w:rsidRPr="007A01AA">
        <w:t xml:space="preserve"> of the Ombudsman </w:t>
      </w:r>
      <w:r w:rsidR="00B82D7D">
        <w:t xml:space="preserve">and the AFP </w:t>
      </w:r>
      <w:r w:rsidRPr="007A01AA">
        <w:t xml:space="preserve">to the current PJCIS inquiry, it does not appear that the </w:t>
      </w:r>
      <w:r w:rsidR="00B66AD4">
        <w:t xml:space="preserve">Commonwealth </w:t>
      </w:r>
      <w:r w:rsidRPr="007A01AA">
        <w:t xml:space="preserve">PDO powers have been used since they were </w:t>
      </w:r>
      <w:r w:rsidR="00F619E5">
        <w:t>introduced</w:t>
      </w:r>
      <w:r w:rsidRPr="007A01AA">
        <w:t xml:space="preserve"> in 2005.</w:t>
      </w:r>
      <w:r w:rsidR="000E45A4">
        <w:rPr>
          <w:rStyle w:val="EndnoteReference"/>
        </w:rPr>
        <w:endnoteReference w:id="249"/>
      </w:r>
    </w:p>
    <w:p w14:paraId="47012372" w14:textId="4A25C341" w:rsidR="00FD7393" w:rsidRDefault="0031011F" w:rsidP="00E817B3">
      <w:pPr>
        <w:pStyle w:val="ListNumber2"/>
        <w:tabs>
          <w:tab w:val="clear" w:pos="643"/>
          <w:tab w:val="num" w:pos="1080"/>
        </w:tabs>
        <w:ind w:left="1080" w:hanging="797"/>
      </w:pPr>
      <w:r>
        <w:t xml:space="preserve">At the time of the last review of these provisions in 2017, the AFP confirmed that </w:t>
      </w:r>
      <w:r w:rsidR="00FD7393">
        <w:t>it had not used a Commonwealth PDO since the</w:t>
      </w:r>
      <w:r w:rsidR="004E16B8">
        <w:t xml:space="preserve"> relevant legislation was</w:t>
      </w:r>
      <w:r w:rsidR="00FD7393">
        <w:t xml:space="preserve"> introduced.</w:t>
      </w:r>
      <w:r w:rsidR="00F549B2">
        <w:rPr>
          <w:rStyle w:val="EndnoteReference"/>
        </w:rPr>
        <w:endnoteReference w:id="250"/>
      </w:r>
      <w:r w:rsidR="00FD7393">
        <w:t xml:space="preserve">  There were a number of reasons for this, </w:t>
      </w:r>
      <w:r w:rsidR="00BD68D1">
        <w:t xml:space="preserve">but a particularly significant reason was </w:t>
      </w:r>
      <w:r w:rsidR="00E96AB9">
        <w:t>the view of the AFP that they were unlikely to use the Commonwealth provisions in circumstances w</w:t>
      </w:r>
      <w:r w:rsidR="00FB73E9">
        <w:t>h</w:t>
      </w:r>
      <w:r w:rsidR="00E96AB9">
        <w:t xml:space="preserve">ere they had access to more extensive </w:t>
      </w:r>
      <w:r w:rsidR="00904981">
        <w:t xml:space="preserve">State and Territory regimes through cooperation with </w:t>
      </w:r>
      <w:r w:rsidR="00A54D53">
        <w:t xml:space="preserve">polices forces in those jurisdictions.  </w:t>
      </w:r>
      <w:r w:rsidR="003003AD">
        <w:t xml:space="preserve">Those State and Territory regimes </w:t>
      </w:r>
      <w:r w:rsidR="00801C7F">
        <w:t>provide for detention of up to 14 days.</w:t>
      </w:r>
      <w:r w:rsidR="00801C7F">
        <w:rPr>
          <w:rStyle w:val="EndnoteReference"/>
        </w:rPr>
        <w:endnoteReference w:id="251"/>
      </w:r>
      <w:r w:rsidR="00801C7F">
        <w:t xml:space="preserve">  </w:t>
      </w:r>
      <w:r w:rsidR="00A54D53">
        <w:t>The Deputy Commissioner of the AFP told the third INSLM during a public hearing in May 2017:</w:t>
      </w:r>
    </w:p>
    <w:p w14:paraId="469FF07C" w14:textId="634B83D8" w:rsidR="00A54D53" w:rsidRPr="00EB072C" w:rsidRDefault="00A54D53" w:rsidP="00A54D53">
      <w:pPr>
        <w:pStyle w:val="ListNumber2"/>
        <w:numPr>
          <w:ilvl w:val="0"/>
          <w:numId w:val="0"/>
        </w:numPr>
        <w:ind w:left="1440"/>
        <w:rPr>
          <w:sz w:val="22"/>
          <w:szCs w:val="22"/>
        </w:rPr>
      </w:pPr>
      <w:r w:rsidRPr="00EB072C">
        <w:rPr>
          <w:sz w:val="22"/>
          <w:szCs w:val="22"/>
        </w:rPr>
        <w:t>But the reality of the situation is that at the moment I’m unlikely to use one that’s going to give me two days if I can use a state police one that’s going to give me 14 days.</w:t>
      </w:r>
      <w:r w:rsidR="00EB072C">
        <w:rPr>
          <w:rStyle w:val="EndnoteReference"/>
          <w:szCs w:val="22"/>
        </w:rPr>
        <w:endnoteReference w:id="252"/>
      </w:r>
    </w:p>
    <w:p w14:paraId="4698AA55" w14:textId="1C0B5A8B" w:rsidR="00387AC7" w:rsidRDefault="003B101A" w:rsidP="00E817B3">
      <w:pPr>
        <w:pStyle w:val="ListNumber2"/>
        <w:tabs>
          <w:tab w:val="clear" w:pos="643"/>
          <w:tab w:val="num" w:pos="1080"/>
        </w:tabs>
        <w:ind w:left="1080" w:hanging="797"/>
      </w:pPr>
      <w:r>
        <w:t>By 2017, the State and Territory PDO regimes had been used on two occasions.  The first was in relation to three individuals in New South Wales in 2014</w:t>
      </w:r>
      <w:r w:rsidR="00965749">
        <w:t xml:space="preserve"> as part of Operation Appleby</w:t>
      </w:r>
      <w:r>
        <w:t>.  The second was in relation to one individual in Victoria in 2015</w:t>
      </w:r>
      <w:r w:rsidR="00965749">
        <w:t xml:space="preserve"> as part of Operation Rising</w:t>
      </w:r>
      <w:r>
        <w:t>.</w:t>
      </w:r>
      <w:r w:rsidR="008B2D7A">
        <w:rPr>
          <w:rStyle w:val="EndnoteReference"/>
        </w:rPr>
        <w:endnoteReference w:id="253"/>
      </w:r>
      <w:r w:rsidR="0031011F">
        <w:t xml:space="preserve"> </w:t>
      </w:r>
    </w:p>
    <w:p w14:paraId="45003694" w14:textId="2D55E41B" w:rsidR="00B65031" w:rsidRDefault="00B66E6D" w:rsidP="00824A9B">
      <w:pPr>
        <w:pStyle w:val="ListNumber2"/>
        <w:tabs>
          <w:tab w:val="clear" w:pos="643"/>
          <w:tab w:val="num" w:pos="1080"/>
        </w:tabs>
        <w:ind w:left="1080" w:hanging="797"/>
      </w:pPr>
      <w:r>
        <w:t xml:space="preserve">In the case of the </w:t>
      </w:r>
      <w:r w:rsidR="00364E02">
        <w:t xml:space="preserve">three </w:t>
      </w:r>
      <w:r>
        <w:t xml:space="preserve">PDOs </w:t>
      </w:r>
      <w:r w:rsidR="00E30347">
        <w:t xml:space="preserve">issued in relation to Operation Appleby, </w:t>
      </w:r>
      <w:r w:rsidR="0099220E">
        <w:t xml:space="preserve">there is a limited amount of public information because </w:t>
      </w:r>
      <w:r w:rsidR="00082EA6">
        <w:t>the Court that issued the interim PDOs made non-publication orders that prevented disclosure of any information about the grounds for the making of those orders.</w:t>
      </w:r>
      <w:r w:rsidR="005D78FA">
        <w:t xml:space="preserve">  </w:t>
      </w:r>
      <w:r w:rsidR="00824A9B">
        <w:t>At the time, t</w:t>
      </w:r>
      <w:r w:rsidR="005D78FA">
        <w:t>he N</w:t>
      </w:r>
      <w:r w:rsidR="008755A9">
        <w:t xml:space="preserve">ew </w:t>
      </w:r>
      <w:r w:rsidR="005D78FA">
        <w:t>S</w:t>
      </w:r>
      <w:r w:rsidR="008755A9">
        <w:t xml:space="preserve">outh </w:t>
      </w:r>
      <w:r w:rsidR="005D78FA">
        <w:t>W</w:t>
      </w:r>
      <w:r w:rsidR="008755A9">
        <w:t>ales</w:t>
      </w:r>
      <w:r w:rsidR="005D78FA">
        <w:t xml:space="preserve"> Ombudsman had a statutory responsibility for reviewing the operation of PDOs in New South Wales and </w:t>
      </w:r>
      <w:r w:rsidR="00DC0B44">
        <w:t xml:space="preserve">later </w:t>
      </w:r>
      <w:r w:rsidR="005D78FA">
        <w:t>reported on the use of these powers</w:t>
      </w:r>
      <w:r w:rsidR="00824A9B">
        <w:t>.</w:t>
      </w:r>
      <w:r w:rsidR="00843958">
        <w:rPr>
          <w:rStyle w:val="EndnoteReference"/>
        </w:rPr>
        <w:endnoteReference w:id="254"/>
      </w:r>
      <w:r w:rsidR="00824A9B">
        <w:t xml:space="preserve">  </w:t>
      </w:r>
      <w:r w:rsidR="00B570B3">
        <w:t>T</w:t>
      </w:r>
      <w:r w:rsidR="005D4816">
        <w:t xml:space="preserve">hree people were </w:t>
      </w:r>
      <w:r w:rsidR="00FE08CA">
        <w:t xml:space="preserve">detained and held for two days on 18 and 19 September 2014 before being released without </w:t>
      </w:r>
      <w:r w:rsidR="00AB015E">
        <w:t>charge when the interim PDOs expired</w:t>
      </w:r>
      <w:r w:rsidR="00DA2ECF">
        <w:t>.</w:t>
      </w:r>
      <w:r w:rsidR="00843958" w:rsidDel="00A57EE2">
        <w:t xml:space="preserve"> </w:t>
      </w:r>
      <w:r w:rsidR="003010BD">
        <w:t xml:space="preserve"> </w:t>
      </w:r>
      <w:r w:rsidR="00592D2B">
        <w:t xml:space="preserve">Officers of the Ombudsman’s office visited </w:t>
      </w:r>
      <w:r w:rsidR="00016375">
        <w:t xml:space="preserve">the detainees </w:t>
      </w:r>
      <w:r w:rsidR="00016375">
        <w:lastRenderedPageBreak/>
        <w:t>while they were held</w:t>
      </w:r>
      <w:r w:rsidR="007531C1">
        <w:t xml:space="preserve"> and consulted with police.  One of the detainees had a facial injury</w:t>
      </w:r>
      <w:r w:rsidR="003B55C7">
        <w:t xml:space="preserve"> but did not want to make a complaint to the Ombudsman</w:t>
      </w:r>
      <w:r w:rsidR="001429A8">
        <w:t xml:space="preserve"> about this</w:t>
      </w:r>
      <w:r w:rsidR="007531C1">
        <w:t>.</w:t>
      </w:r>
      <w:r w:rsidR="003B55C7">
        <w:rPr>
          <w:rStyle w:val="EndnoteReference"/>
        </w:rPr>
        <w:endnoteReference w:id="255"/>
      </w:r>
      <w:r w:rsidR="007531C1">
        <w:t xml:space="preserve">  </w:t>
      </w:r>
      <w:r w:rsidR="00E31157">
        <w:t xml:space="preserve">The police had not photographed </w:t>
      </w:r>
      <w:r w:rsidR="00A454CB">
        <w:t>the detainee’s</w:t>
      </w:r>
      <w:r w:rsidR="00E31157">
        <w:t xml:space="preserve"> injur</w:t>
      </w:r>
      <w:r w:rsidR="00A454CB">
        <w:t>ies</w:t>
      </w:r>
      <w:r w:rsidR="00E31157">
        <w:t xml:space="preserve">, apparently because of concerns that this may contravene a statutory requirement not to </w:t>
      </w:r>
      <w:r w:rsidR="004444CD">
        <w:t>collect</w:t>
      </w:r>
      <w:r w:rsidR="00E31157">
        <w:t xml:space="preserve"> evidence from a person who was subject to a PDO.  </w:t>
      </w:r>
      <w:r w:rsidR="000335CB">
        <w:t xml:space="preserve">The New South Wales Police Force </w:t>
      </w:r>
      <w:r w:rsidR="00540E42">
        <w:t xml:space="preserve">later </w:t>
      </w:r>
      <w:r w:rsidR="000335CB">
        <w:t xml:space="preserve">conducted an </w:t>
      </w:r>
      <w:r w:rsidR="00B76E02">
        <w:t xml:space="preserve">internal </w:t>
      </w:r>
      <w:r w:rsidR="000335CB">
        <w:t>investigation to determine whether the detainee had been assaulted by police while being arrested and found the allegation to be ‘not sustained’.</w:t>
      </w:r>
      <w:r w:rsidR="0019122E">
        <w:rPr>
          <w:rStyle w:val="EndnoteReference"/>
        </w:rPr>
        <w:endnoteReference w:id="256"/>
      </w:r>
      <w:r w:rsidR="000335CB">
        <w:t xml:space="preserve"> </w:t>
      </w:r>
    </w:p>
    <w:p w14:paraId="117ABF66" w14:textId="7C84FA8E" w:rsidR="00774F5D" w:rsidRDefault="00F86844" w:rsidP="00E817B3">
      <w:pPr>
        <w:pStyle w:val="ListNumber2"/>
        <w:tabs>
          <w:tab w:val="clear" w:pos="643"/>
          <w:tab w:val="num" w:pos="1080"/>
        </w:tabs>
        <w:ind w:left="1080" w:hanging="797"/>
      </w:pPr>
      <w:r>
        <w:t xml:space="preserve">The New South Wales Ombudsman recommended that the </w:t>
      </w:r>
      <w:r w:rsidR="00AF2B25">
        <w:t>New South Wales PDO regime be allowed to sunset in December 2018.</w:t>
      </w:r>
      <w:r w:rsidR="002F0EE5">
        <w:rPr>
          <w:rStyle w:val="EndnoteReference"/>
        </w:rPr>
        <w:endnoteReference w:id="257"/>
      </w:r>
      <w:r w:rsidR="00AF2B25">
        <w:t xml:space="preserve">  </w:t>
      </w:r>
      <w:r w:rsidR="008C027B">
        <w:t xml:space="preserve">The primary </w:t>
      </w:r>
      <w:r w:rsidR="00AF2B25">
        <w:t xml:space="preserve">reason for this was the introduction of </w:t>
      </w:r>
      <w:r w:rsidR="00D57DE4">
        <w:t xml:space="preserve">new </w:t>
      </w:r>
      <w:r w:rsidR="00BA3088">
        <w:t xml:space="preserve">investigative detention powers </w:t>
      </w:r>
      <w:r w:rsidR="002F0EE5">
        <w:t xml:space="preserve">in Part 2AA of the </w:t>
      </w:r>
      <w:r w:rsidR="002F0EE5" w:rsidRPr="002F0EE5">
        <w:rPr>
          <w:i/>
          <w:iCs/>
        </w:rPr>
        <w:t>Terrorism (Police Powers) Act 2002</w:t>
      </w:r>
      <w:r w:rsidR="002F0EE5">
        <w:t xml:space="preserve"> (NSW)</w:t>
      </w:r>
      <w:r w:rsidR="00ED718B">
        <w:t xml:space="preserve"> which the Ombudsman considered removed </w:t>
      </w:r>
      <w:r w:rsidR="00B94AFE">
        <w:t>‘any occasion for future use’ of the PDO regime</w:t>
      </w:r>
      <w:r w:rsidR="002F0EE5">
        <w:t>.</w:t>
      </w:r>
      <w:r w:rsidR="004A6A44">
        <w:t xml:space="preserve">  </w:t>
      </w:r>
      <w:r w:rsidR="00015774">
        <w:t xml:space="preserve">A statutory review of </w:t>
      </w:r>
      <w:r w:rsidR="002912EF">
        <w:t>these powers in 2018</w:t>
      </w:r>
      <w:r w:rsidR="00A53A21">
        <w:t xml:space="preserve"> by the NSW Department of Justice considered that it was ‘premature’ </w:t>
      </w:r>
      <w:r w:rsidR="002E2B87">
        <w:t>to allow the PDO regime to sunset</w:t>
      </w:r>
      <w:r w:rsidR="00C707D8">
        <w:t xml:space="preserve"> at that stage</w:t>
      </w:r>
      <w:r w:rsidR="002E2B87">
        <w:t xml:space="preserve"> because the investigative detention powers </w:t>
      </w:r>
      <w:r w:rsidR="00C707D8">
        <w:t>were ‘yet to be operationally tested’.</w:t>
      </w:r>
      <w:r w:rsidR="00876B69">
        <w:rPr>
          <w:rStyle w:val="EndnoteReference"/>
        </w:rPr>
        <w:endnoteReference w:id="258"/>
      </w:r>
      <w:r w:rsidR="00C707D8">
        <w:t xml:space="preserve"> </w:t>
      </w:r>
      <w:r w:rsidR="00D43172">
        <w:t xml:space="preserve"> The New South Wales regime is currently due to sunset on 16 December 2021.</w:t>
      </w:r>
      <w:r w:rsidR="00FF3CFA">
        <w:rPr>
          <w:rStyle w:val="EndnoteReference"/>
        </w:rPr>
        <w:endnoteReference w:id="259"/>
      </w:r>
    </w:p>
    <w:p w14:paraId="4F786D6C" w14:textId="71E731A0" w:rsidR="003B6516" w:rsidRDefault="00E77FBD" w:rsidP="00E817B3">
      <w:pPr>
        <w:pStyle w:val="ListNumber2"/>
        <w:tabs>
          <w:tab w:val="clear" w:pos="643"/>
          <w:tab w:val="num" w:pos="1080"/>
        </w:tabs>
        <w:ind w:left="1080" w:hanging="797"/>
      </w:pPr>
      <w:r>
        <w:t>In relation to the PDO issued as part of Operation Rising</w:t>
      </w:r>
      <w:r w:rsidR="00AE0B97">
        <w:t>, more is known.  It is instructive to compare the exercise of powers</w:t>
      </w:r>
      <w:r w:rsidR="00FE43B4">
        <w:t xml:space="preserve"> during that operation</w:t>
      </w:r>
      <w:r w:rsidR="00AE0B97">
        <w:t xml:space="preserve"> in relation to Mr </w:t>
      </w:r>
      <w:proofErr w:type="spellStart"/>
      <w:r w:rsidR="009511B2">
        <w:t>Sevdit</w:t>
      </w:r>
      <w:proofErr w:type="spellEnd"/>
      <w:r w:rsidR="009511B2">
        <w:t xml:space="preserve"> </w:t>
      </w:r>
      <w:proofErr w:type="spellStart"/>
      <w:r w:rsidR="00A52CD1">
        <w:t>Besim</w:t>
      </w:r>
      <w:proofErr w:type="spellEnd"/>
      <w:r w:rsidR="00A52CD1">
        <w:t xml:space="preserve"> and </w:t>
      </w:r>
      <w:r w:rsidR="003B6516">
        <w:t xml:space="preserve">Mr Harun </w:t>
      </w:r>
      <w:proofErr w:type="spellStart"/>
      <w:r w:rsidR="00A52CD1">
        <w:t>Causevic</w:t>
      </w:r>
      <w:proofErr w:type="spellEnd"/>
      <w:r w:rsidR="00A52CD1">
        <w:t>.</w:t>
      </w:r>
      <w:r w:rsidR="003B6516">
        <w:t xml:space="preserve">  </w:t>
      </w:r>
    </w:p>
    <w:p w14:paraId="47E39243" w14:textId="2424D4E1" w:rsidR="004111D4" w:rsidRPr="00CD41E9" w:rsidRDefault="004111D4" w:rsidP="00CD41E9">
      <w:pPr>
        <w:pStyle w:val="ListNumber2"/>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rPr>
          <w:b/>
          <w:bCs/>
        </w:rPr>
      </w:pPr>
      <w:r w:rsidRPr="00CD41E9">
        <w:rPr>
          <w:b/>
          <w:bCs/>
        </w:rPr>
        <w:t>Case study 6: use of a PDO in Operation Rising</w:t>
      </w:r>
    </w:p>
    <w:p w14:paraId="7A9D50D2" w14:textId="004E615C" w:rsidR="00A52CD1" w:rsidRDefault="00575D24" w:rsidP="00CD41E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Mr </w:t>
      </w:r>
      <w:proofErr w:type="spellStart"/>
      <w:r>
        <w:t>Sevdit</w:t>
      </w:r>
      <w:proofErr w:type="spellEnd"/>
      <w:r>
        <w:t xml:space="preserve"> </w:t>
      </w:r>
      <w:proofErr w:type="spellStart"/>
      <w:r>
        <w:t>Besim</w:t>
      </w:r>
      <w:proofErr w:type="spellEnd"/>
      <w:r>
        <w:t xml:space="preserve"> and Mr Harun </w:t>
      </w:r>
      <w:proofErr w:type="spellStart"/>
      <w:r>
        <w:t>Causevic</w:t>
      </w:r>
      <w:proofErr w:type="spellEnd"/>
      <w:r>
        <w:t xml:space="preserve"> were both </w:t>
      </w:r>
      <w:r w:rsidR="003B6516">
        <w:t>the subject of raids by the AFP on the morning of 18 April 2</w:t>
      </w:r>
      <w:r w:rsidR="00F81C11">
        <w:t>015 pursuant to warrants that had been issued under s 3E of the Crimes Act.</w:t>
      </w:r>
      <w:r w:rsidR="00943898">
        <w:rPr>
          <w:rStyle w:val="EndnoteReference"/>
        </w:rPr>
        <w:endnoteReference w:id="260"/>
      </w:r>
      <w:r w:rsidR="00F81C11">
        <w:t xml:space="preserve">  Both were arrested under s 3WA of the Crimes Act.</w:t>
      </w:r>
      <w:r w:rsidR="00715EB0">
        <w:rPr>
          <w:rStyle w:val="EndnoteReference"/>
        </w:rPr>
        <w:endnoteReference w:id="261"/>
      </w:r>
      <w:r w:rsidR="00F9627E">
        <w:t xml:space="preserve">  Mr </w:t>
      </w:r>
      <w:proofErr w:type="spellStart"/>
      <w:r w:rsidR="00F9627E">
        <w:t>Besim</w:t>
      </w:r>
      <w:proofErr w:type="spellEnd"/>
      <w:r w:rsidR="00F9627E">
        <w:t xml:space="preserve"> was the primary suspect, while Mr </w:t>
      </w:r>
      <w:proofErr w:type="spellStart"/>
      <w:r w:rsidR="00F9627E">
        <w:t>Causevic</w:t>
      </w:r>
      <w:proofErr w:type="spellEnd"/>
      <w:r w:rsidR="00F9627E">
        <w:t xml:space="preserve"> had </w:t>
      </w:r>
      <w:r w:rsidR="0046339E">
        <w:t xml:space="preserve">also </w:t>
      </w:r>
      <w:r w:rsidR="00F9627E">
        <w:t>been identified by police as a person of interest.</w:t>
      </w:r>
      <w:r w:rsidR="00F9627E">
        <w:rPr>
          <w:rStyle w:val="EndnoteReference"/>
        </w:rPr>
        <w:endnoteReference w:id="262"/>
      </w:r>
    </w:p>
    <w:p w14:paraId="3DC837F5" w14:textId="4971B726" w:rsidR="00D95B11" w:rsidRDefault="00D95B11" w:rsidP="00CD41E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In the case of Mr </w:t>
      </w:r>
      <w:proofErr w:type="spellStart"/>
      <w:r>
        <w:t>Besim</w:t>
      </w:r>
      <w:proofErr w:type="spellEnd"/>
      <w:r>
        <w:t xml:space="preserve">, </w:t>
      </w:r>
      <w:r w:rsidR="00F342CB">
        <w:t>he was taken to AFP headquarters, interviewed</w:t>
      </w:r>
      <w:r w:rsidR="00580C09">
        <w:t xml:space="preserve"> and charged with </w:t>
      </w:r>
      <w:r w:rsidR="001240B0">
        <w:t>doing an act in preparation for, or planning, a terrorist act</w:t>
      </w:r>
      <w:r w:rsidR="00AA5156">
        <w:t>.</w:t>
      </w:r>
      <w:r w:rsidR="00AA5156">
        <w:rPr>
          <w:rStyle w:val="EndnoteReference"/>
        </w:rPr>
        <w:endnoteReference w:id="263"/>
      </w:r>
      <w:r w:rsidR="001F3507">
        <w:t xml:space="preserve">  </w:t>
      </w:r>
      <w:r w:rsidR="009B6C0A">
        <w:t xml:space="preserve">The conduct alleged against him was communicating </w:t>
      </w:r>
      <w:r w:rsidR="00156817">
        <w:t xml:space="preserve">electronically </w:t>
      </w:r>
      <w:r w:rsidR="009B6C0A">
        <w:t xml:space="preserve">with another person and searching the internet in preparation for, or planning, the act of killing and beheading a law enforcement officer on ANZAC Day, in a public street, with the </w:t>
      </w:r>
      <w:r w:rsidR="009B6C0A">
        <w:lastRenderedPageBreak/>
        <w:t>intention of advancing violent jihad and intimidating the Commonwealth Government and the people of Australia</w:t>
      </w:r>
      <w:r w:rsidR="00156817">
        <w:t>.</w:t>
      </w:r>
      <w:r w:rsidR="00D7601A">
        <w:rPr>
          <w:rStyle w:val="EndnoteReference"/>
        </w:rPr>
        <w:endnoteReference w:id="264"/>
      </w:r>
      <w:r w:rsidR="00156817">
        <w:t xml:space="preserve">  </w:t>
      </w:r>
      <w:r w:rsidR="001F3507">
        <w:t>He was remanded in custody until the hearing of that charge in August 2016.</w:t>
      </w:r>
      <w:r w:rsidR="00F07994">
        <w:rPr>
          <w:rStyle w:val="EndnoteReference"/>
        </w:rPr>
        <w:endnoteReference w:id="265"/>
      </w:r>
      <w:r w:rsidR="001F3507">
        <w:t xml:space="preserve">  He was convicted and sentenced to 10 years imprisonment, which was increased to 14 years imprisonment on appeal.</w:t>
      </w:r>
      <w:r w:rsidR="005B00F2">
        <w:rPr>
          <w:rStyle w:val="EndnoteReference"/>
        </w:rPr>
        <w:endnoteReference w:id="266"/>
      </w:r>
      <w:r w:rsidR="00F07994">
        <w:t xml:space="preserve">  </w:t>
      </w:r>
      <w:r w:rsidR="00301485">
        <w:t xml:space="preserve">This was an orthodox application of traditional </w:t>
      </w:r>
      <w:r w:rsidR="002B5054">
        <w:t xml:space="preserve">investigatory powers to </w:t>
      </w:r>
      <w:r w:rsidR="003C24DC">
        <w:t xml:space="preserve">prevent a serious terrorist act before it took place.  </w:t>
      </w:r>
      <w:r w:rsidR="00F07994">
        <w:t xml:space="preserve">At no stage was Mr </w:t>
      </w:r>
      <w:proofErr w:type="spellStart"/>
      <w:r w:rsidR="00F07994">
        <w:t>Besim</w:t>
      </w:r>
      <w:proofErr w:type="spellEnd"/>
      <w:r w:rsidR="00F07994">
        <w:t xml:space="preserve"> detained pursuant to a PDO.</w:t>
      </w:r>
    </w:p>
    <w:p w14:paraId="390A485F" w14:textId="7B21C417" w:rsidR="003B6516" w:rsidRDefault="00631B52" w:rsidP="00CD41E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In the case of Mr </w:t>
      </w:r>
      <w:proofErr w:type="spellStart"/>
      <w:r>
        <w:t>Causevic</w:t>
      </w:r>
      <w:proofErr w:type="spellEnd"/>
      <w:r>
        <w:t xml:space="preserve">, </w:t>
      </w:r>
      <w:r w:rsidR="00C510F9">
        <w:t>following his arrest he was also interviewed by police</w:t>
      </w:r>
      <w:r w:rsidR="009E48D6">
        <w:t>.</w:t>
      </w:r>
      <w:r w:rsidR="009E48D6">
        <w:rPr>
          <w:rStyle w:val="EndnoteReference"/>
        </w:rPr>
        <w:endnoteReference w:id="267"/>
      </w:r>
      <w:r w:rsidR="009E48D6">
        <w:t xml:space="preserve">  He </w:t>
      </w:r>
      <w:r w:rsidR="00915E8C">
        <w:t>denied any involvement with a plan to commit a terrorist act on Anzac Day</w:t>
      </w:r>
      <w:r w:rsidR="00C510F9">
        <w:t>.</w:t>
      </w:r>
      <w:r w:rsidR="00BB2BAA">
        <w:t xml:space="preserve">  </w:t>
      </w:r>
      <w:r w:rsidR="00D907DC">
        <w:t xml:space="preserve">After </w:t>
      </w:r>
      <w:r w:rsidR="00D3672B">
        <w:t xml:space="preserve">his home was searched and after </w:t>
      </w:r>
      <w:r w:rsidR="00D907DC">
        <w:t xml:space="preserve">being interviewed, and while he was already in police custody, he was then detained in accordance with an interim </w:t>
      </w:r>
      <w:r w:rsidR="00D3672B">
        <w:t>PDO</w:t>
      </w:r>
      <w:r w:rsidR="00D907DC">
        <w:t xml:space="preserve"> that had been issued the previous day (17 April 2015) by Riordan </w:t>
      </w:r>
      <w:r w:rsidR="005267F6">
        <w:t xml:space="preserve">J </w:t>
      </w:r>
      <w:r w:rsidR="00D907DC">
        <w:t>of the Supreme Court of Victoria under s</w:t>
      </w:r>
      <w:r w:rsidR="004A016E">
        <w:t> </w:t>
      </w:r>
      <w:r w:rsidR="00D907DC">
        <w:t xml:space="preserve">13E of the </w:t>
      </w:r>
      <w:r w:rsidR="00D907DC">
        <w:rPr>
          <w:i/>
        </w:rPr>
        <w:t>Terrorism (Community Protection) Act 2003</w:t>
      </w:r>
      <w:r w:rsidR="00D907DC">
        <w:t xml:space="preserve"> (Vic).</w:t>
      </w:r>
      <w:r w:rsidR="009E48D6">
        <w:rPr>
          <w:rStyle w:val="EndnoteReference"/>
        </w:rPr>
        <w:endnoteReference w:id="268"/>
      </w:r>
      <w:r w:rsidR="00E764EE">
        <w:t xml:space="preserve">  Given </w:t>
      </w:r>
      <w:r w:rsidR="001671AD">
        <w:t xml:space="preserve">that Mr </w:t>
      </w:r>
      <w:proofErr w:type="spellStart"/>
      <w:r w:rsidR="001671AD">
        <w:t>Causevic</w:t>
      </w:r>
      <w:proofErr w:type="spellEnd"/>
      <w:r w:rsidR="00E764EE">
        <w:t xml:space="preserve"> was already in police custody and</w:t>
      </w:r>
      <w:r w:rsidR="001642BC">
        <w:t xml:space="preserve"> the search warrant on his premises had been executed, it is difficult to see how the use of the PDO at that stage was necessary </w:t>
      </w:r>
      <w:r w:rsidR="006127F6">
        <w:t xml:space="preserve">either </w:t>
      </w:r>
      <w:r w:rsidR="001642BC">
        <w:t xml:space="preserve">to prevent the </w:t>
      </w:r>
      <w:r w:rsidR="006127F6">
        <w:t>alleged act of terrorism or to preserve evidence.</w:t>
      </w:r>
    </w:p>
    <w:p w14:paraId="2C28AB15" w14:textId="706CF108" w:rsidR="007D58B3" w:rsidRPr="007D58B3" w:rsidRDefault="00F8256D" w:rsidP="00CD41E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t xml:space="preserve">Two days later, Mr </w:t>
      </w:r>
      <w:proofErr w:type="spellStart"/>
      <w:r>
        <w:t>Causevic</w:t>
      </w:r>
      <w:proofErr w:type="spellEnd"/>
      <w:r>
        <w:t xml:space="preserve"> was released from detention under the PDO and char</w:t>
      </w:r>
      <w:r w:rsidR="00AE5E25">
        <w:t xml:space="preserve">ged with </w:t>
      </w:r>
      <w:r w:rsidR="00103C18">
        <w:t>conspiracy to do an act in preparation for, or planning, a terrorist act, contrary to ss</w:t>
      </w:r>
      <w:r w:rsidR="005A6B13">
        <w:t> </w:t>
      </w:r>
      <w:r w:rsidR="00103C18">
        <w:t xml:space="preserve">11.5(1) and 101.6(1) of the </w:t>
      </w:r>
      <w:r w:rsidR="00103C18" w:rsidRPr="00904394">
        <w:rPr>
          <w:iCs/>
        </w:rPr>
        <w:t>Criminal Code</w:t>
      </w:r>
      <w:r w:rsidR="005A6B13">
        <w:rPr>
          <w:iCs/>
        </w:rPr>
        <w:t>.</w:t>
      </w:r>
      <w:r w:rsidR="005A6B13">
        <w:rPr>
          <w:rStyle w:val="EndnoteReference"/>
        </w:rPr>
        <w:endnoteReference w:id="269"/>
      </w:r>
      <w:r w:rsidR="00550982">
        <w:rPr>
          <w:iCs/>
        </w:rPr>
        <w:t xml:space="preserve">  </w:t>
      </w:r>
      <w:r w:rsidR="00070A24">
        <w:rPr>
          <w:iCs/>
        </w:rPr>
        <w:t xml:space="preserve">It is unclear why the police </w:t>
      </w:r>
      <w:r w:rsidR="00D2503B">
        <w:rPr>
          <w:iCs/>
        </w:rPr>
        <w:t xml:space="preserve">did not charge Mr </w:t>
      </w:r>
      <w:proofErr w:type="spellStart"/>
      <w:r w:rsidR="00D2503B">
        <w:rPr>
          <w:iCs/>
        </w:rPr>
        <w:t>Causevic</w:t>
      </w:r>
      <w:proofErr w:type="spellEnd"/>
      <w:r w:rsidR="00D2503B">
        <w:rPr>
          <w:iCs/>
        </w:rPr>
        <w:t xml:space="preserve"> on 18 April 2015 when they felt able to charge him on 20 April 2015 after detaining him for two days.  </w:t>
      </w:r>
      <w:r w:rsidR="0088246E">
        <w:rPr>
          <w:iCs/>
        </w:rPr>
        <w:t xml:space="preserve">If the answer is that they </w:t>
      </w:r>
      <w:r w:rsidR="003A1FDD">
        <w:rPr>
          <w:iCs/>
        </w:rPr>
        <w:t>did not</w:t>
      </w:r>
      <w:r w:rsidR="0088246E">
        <w:rPr>
          <w:iCs/>
        </w:rPr>
        <w:t xml:space="preserve"> have enough evidence to charge him on 18 April 2015, he could have been detained under </w:t>
      </w:r>
      <w:r w:rsidR="005529BF">
        <w:rPr>
          <w:iCs/>
        </w:rPr>
        <w:t>Part IC of the Crimes Act</w:t>
      </w:r>
      <w:r w:rsidR="004F25A8">
        <w:rPr>
          <w:iCs/>
        </w:rPr>
        <w:t xml:space="preserve"> which provides for post-arrest detention for the purpose of investigating Commonwealth offences</w:t>
      </w:r>
      <w:r w:rsidR="005529BF">
        <w:rPr>
          <w:iCs/>
        </w:rPr>
        <w:t xml:space="preserve">.  </w:t>
      </w:r>
      <w:r w:rsidR="00FB126F">
        <w:rPr>
          <w:iCs/>
        </w:rPr>
        <w:t xml:space="preserve">In the case of a person arrested </w:t>
      </w:r>
      <w:r w:rsidR="0038267C">
        <w:rPr>
          <w:iCs/>
        </w:rPr>
        <w:t xml:space="preserve">in relation to a </w:t>
      </w:r>
      <w:r w:rsidR="00FB126F">
        <w:rPr>
          <w:iCs/>
        </w:rPr>
        <w:t>terrorism offence</w:t>
      </w:r>
      <w:r w:rsidR="0038267C">
        <w:rPr>
          <w:iCs/>
        </w:rPr>
        <w:t xml:space="preserve">, </w:t>
      </w:r>
      <w:r w:rsidR="00CA5666">
        <w:rPr>
          <w:iCs/>
        </w:rPr>
        <w:t xml:space="preserve">they may be held for </w:t>
      </w:r>
      <w:r w:rsidR="00C10B72">
        <w:rPr>
          <w:iCs/>
        </w:rPr>
        <w:t>the purpose of investigation (including questioning) for up to 24 hours</w:t>
      </w:r>
      <w:r w:rsidR="00B45ED2">
        <w:rPr>
          <w:iCs/>
        </w:rPr>
        <w:t xml:space="preserve"> </w:t>
      </w:r>
      <w:r w:rsidR="00C30962">
        <w:rPr>
          <w:iCs/>
        </w:rPr>
        <w:t xml:space="preserve">after arrest </w:t>
      </w:r>
      <w:r w:rsidR="00B45ED2">
        <w:rPr>
          <w:iCs/>
        </w:rPr>
        <w:t xml:space="preserve">(with the approval of a Magistrate).  </w:t>
      </w:r>
      <w:r w:rsidR="00CA5666">
        <w:rPr>
          <w:iCs/>
        </w:rPr>
        <w:t xml:space="preserve">However, </w:t>
      </w:r>
      <w:r w:rsidR="000B1C38">
        <w:rPr>
          <w:iCs/>
        </w:rPr>
        <w:t>this investigation period may be paused for a variety of reasons.  The total period that a person may be held, incl</w:t>
      </w:r>
      <w:r w:rsidR="00AE5DD2">
        <w:rPr>
          <w:iCs/>
        </w:rPr>
        <w:t>uding any pauses in the investigation</w:t>
      </w:r>
      <w:r w:rsidR="00F17B20">
        <w:rPr>
          <w:iCs/>
        </w:rPr>
        <w:t>,</w:t>
      </w:r>
      <w:r w:rsidR="00AE5DD2">
        <w:rPr>
          <w:iCs/>
        </w:rPr>
        <w:t xml:space="preserve"> is </w:t>
      </w:r>
      <w:r w:rsidR="00B45ED2">
        <w:rPr>
          <w:iCs/>
        </w:rPr>
        <w:t>eight</w:t>
      </w:r>
      <w:r w:rsidR="00AE5DD2">
        <w:rPr>
          <w:iCs/>
        </w:rPr>
        <w:t xml:space="preserve"> days</w:t>
      </w:r>
      <w:r w:rsidR="00C30962">
        <w:rPr>
          <w:iCs/>
        </w:rPr>
        <w:t xml:space="preserve"> (again, with the approval of a Magistrate)</w:t>
      </w:r>
      <w:r w:rsidR="00AE5DD2">
        <w:rPr>
          <w:iCs/>
        </w:rPr>
        <w:t xml:space="preserve">. </w:t>
      </w:r>
    </w:p>
    <w:p w14:paraId="6E39BAF9" w14:textId="67D331C1" w:rsidR="00F8256D" w:rsidRPr="00D9143B" w:rsidRDefault="00550982" w:rsidP="00CD41E9">
      <w:pPr>
        <w:pStyle w:val="ListNumber2"/>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80"/>
      </w:pPr>
      <w:r>
        <w:rPr>
          <w:iCs/>
        </w:rPr>
        <w:t xml:space="preserve">As noted in case study </w:t>
      </w:r>
      <w:r w:rsidR="006F4948">
        <w:rPr>
          <w:iCs/>
        </w:rPr>
        <w:t xml:space="preserve">4 above, </w:t>
      </w:r>
      <w:r w:rsidR="007C70E8">
        <w:rPr>
          <w:iCs/>
        </w:rPr>
        <w:t xml:space="preserve">after being charged </w:t>
      </w:r>
      <w:r w:rsidR="00083EFB">
        <w:rPr>
          <w:iCs/>
        </w:rPr>
        <w:t xml:space="preserve">Mr </w:t>
      </w:r>
      <w:proofErr w:type="spellStart"/>
      <w:r w:rsidR="00083EFB">
        <w:rPr>
          <w:iCs/>
        </w:rPr>
        <w:t>Causevic</w:t>
      </w:r>
      <w:proofErr w:type="spellEnd"/>
      <w:r w:rsidR="00083EFB">
        <w:rPr>
          <w:iCs/>
        </w:rPr>
        <w:t xml:space="preserve"> </w:t>
      </w:r>
      <w:r w:rsidR="00887CF0">
        <w:rPr>
          <w:iCs/>
        </w:rPr>
        <w:t xml:space="preserve">was </w:t>
      </w:r>
      <w:r w:rsidR="00575BC1">
        <w:rPr>
          <w:iCs/>
        </w:rPr>
        <w:t>detained</w:t>
      </w:r>
      <w:r w:rsidR="00887CF0">
        <w:rPr>
          <w:iCs/>
        </w:rPr>
        <w:t xml:space="preserve"> on remand until 25 August 2015 when </w:t>
      </w:r>
      <w:r w:rsidR="006F4948">
        <w:rPr>
          <w:iCs/>
        </w:rPr>
        <w:t xml:space="preserve">the CDPP </w:t>
      </w:r>
      <w:r w:rsidR="00D8128D">
        <w:rPr>
          <w:iCs/>
        </w:rPr>
        <w:t xml:space="preserve">decided not </w:t>
      </w:r>
      <w:r w:rsidR="00D8128D">
        <w:rPr>
          <w:iCs/>
        </w:rPr>
        <w:lastRenderedPageBreak/>
        <w:t xml:space="preserve">to prosecute </w:t>
      </w:r>
      <w:r w:rsidR="00083EFB">
        <w:rPr>
          <w:iCs/>
        </w:rPr>
        <w:t>him</w:t>
      </w:r>
      <w:r w:rsidR="00D8128D">
        <w:rPr>
          <w:iCs/>
        </w:rPr>
        <w:t xml:space="preserve"> on the</w:t>
      </w:r>
      <w:r w:rsidR="00887CF0">
        <w:rPr>
          <w:iCs/>
        </w:rPr>
        <w:t xml:space="preserve"> terrorism</w:t>
      </w:r>
      <w:r w:rsidR="00D8128D">
        <w:rPr>
          <w:iCs/>
        </w:rPr>
        <w:t xml:space="preserve"> charges because </w:t>
      </w:r>
      <w:r w:rsidR="006F4948">
        <w:rPr>
          <w:iCs/>
        </w:rPr>
        <w:t>there was no reasonable prospect of a conviction</w:t>
      </w:r>
      <w:r w:rsidR="00D8128D">
        <w:rPr>
          <w:iCs/>
        </w:rPr>
        <w:t>.</w:t>
      </w:r>
    </w:p>
    <w:p w14:paraId="58B162AE" w14:textId="10AD715C" w:rsidR="00D9143B" w:rsidRPr="00B901D6" w:rsidRDefault="00CF471A" w:rsidP="00E817B3">
      <w:pPr>
        <w:pStyle w:val="ListNumber2"/>
        <w:tabs>
          <w:tab w:val="clear" w:pos="643"/>
          <w:tab w:val="num" w:pos="1080"/>
        </w:tabs>
        <w:ind w:left="1080" w:hanging="797"/>
      </w:pPr>
      <w:r>
        <w:rPr>
          <w:iCs/>
        </w:rPr>
        <w:t xml:space="preserve">As the only example of a PDO where </w:t>
      </w:r>
      <w:r w:rsidR="00F31F34">
        <w:rPr>
          <w:iCs/>
        </w:rPr>
        <w:t xml:space="preserve">substantial </w:t>
      </w:r>
      <w:r>
        <w:rPr>
          <w:iCs/>
        </w:rPr>
        <w:t>public information is available</w:t>
      </w:r>
      <w:r w:rsidR="002078A1">
        <w:rPr>
          <w:iCs/>
        </w:rPr>
        <w:t xml:space="preserve">, this does not provide any convincing evidence of the necessity of these powers, particularly </w:t>
      </w:r>
      <w:r w:rsidR="00575BC1">
        <w:rPr>
          <w:iCs/>
        </w:rPr>
        <w:t xml:space="preserve">in light of the less restrictive alternative powers available, and </w:t>
      </w:r>
      <w:r w:rsidR="002078A1">
        <w:rPr>
          <w:iCs/>
        </w:rPr>
        <w:t xml:space="preserve">when compared with </w:t>
      </w:r>
      <w:r w:rsidR="00F41D06">
        <w:rPr>
          <w:iCs/>
        </w:rPr>
        <w:t xml:space="preserve">the orthodox use of traditional powers in the case of Mr </w:t>
      </w:r>
      <w:proofErr w:type="spellStart"/>
      <w:r w:rsidR="00F41D06">
        <w:rPr>
          <w:iCs/>
        </w:rPr>
        <w:t>Besim</w:t>
      </w:r>
      <w:proofErr w:type="spellEnd"/>
      <w:r w:rsidR="00F41D06">
        <w:rPr>
          <w:iCs/>
        </w:rPr>
        <w:t>.</w:t>
      </w:r>
    </w:p>
    <w:p w14:paraId="2977DE97" w14:textId="32F86B22" w:rsidR="00B901D6" w:rsidRDefault="00B901D6" w:rsidP="00B901D6">
      <w:pPr>
        <w:pStyle w:val="Heading3"/>
      </w:pPr>
      <w:bookmarkStart w:id="49" w:name="_Toc50633836"/>
      <w:r>
        <w:t>Hypothetical examples</w:t>
      </w:r>
      <w:bookmarkEnd w:id="49"/>
    </w:p>
    <w:p w14:paraId="72C8B20F" w14:textId="1AD95EB7" w:rsidR="00CF1770" w:rsidRDefault="00D27AF4" w:rsidP="001E0327">
      <w:pPr>
        <w:pStyle w:val="ListNumber2"/>
        <w:tabs>
          <w:tab w:val="clear" w:pos="643"/>
          <w:tab w:val="num" w:pos="1080"/>
        </w:tabs>
        <w:ind w:left="1080" w:hanging="797"/>
      </w:pPr>
      <w:r>
        <w:t xml:space="preserve">During the last </w:t>
      </w:r>
      <w:r w:rsidR="00EB162C">
        <w:t xml:space="preserve">inquiry into these provisions, the PJCIS asked the AFP and the </w:t>
      </w:r>
      <w:r w:rsidR="00994953">
        <w:t xml:space="preserve">AGD (which </w:t>
      </w:r>
      <w:r w:rsidR="00FB44A0">
        <w:t xml:space="preserve">at the time </w:t>
      </w:r>
      <w:r w:rsidR="00994953">
        <w:t xml:space="preserve">was the Department </w:t>
      </w:r>
      <w:r w:rsidR="00FB44A0">
        <w:t>responsible for these provisions)</w:t>
      </w:r>
      <w:r w:rsidR="00EB162C">
        <w:t xml:space="preserve"> for hypothetical scenarios that </w:t>
      </w:r>
      <w:r w:rsidR="00FD3F9E">
        <w:t>would demonstrate why PDOs were necessary and what gap in legislative powers they filled.</w:t>
      </w:r>
      <w:r w:rsidR="00A54C31">
        <w:rPr>
          <w:rStyle w:val="EndnoteReference"/>
        </w:rPr>
        <w:endnoteReference w:id="270"/>
      </w:r>
      <w:r w:rsidR="00FD3F9E">
        <w:t xml:space="preserve">  </w:t>
      </w:r>
      <w:r w:rsidR="00286664">
        <w:t>In the Commission’s view, t</w:t>
      </w:r>
      <w:r w:rsidR="00FD3F9E">
        <w:t xml:space="preserve">he hypothetical examples given </w:t>
      </w:r>
      <w:r w:rsidR="00286664">
        <w:t xml:space="preserve">did not identify any </w:t>
      </w:r>
      <w:r w:rsidR="00CA07F0">
        <w:t>practical legislative gap</w:t>
      </w:r>
      <w:r w:rsidR="00274615">
        <w:t xml:space="preserve"> that required </w:t>
      </w:r>
      <w:r w:rsidR="00E311C9">
        <w:t>the retention of PDOs</w:t>
      </w:r>
      <w:r w:rsidR="00CA07F0">
        <w:t xml:space="preserve">. </w:t>
      </w:r>
    </w:p>
    <w:p w14:paraId="13E53322" w14:textId="5B4B8CAB" w:rsidR="001E44F4" w:rsidRDefault="006E631A" w:rsidP="001E0327">
      <w:pPr>
        <w:pStyle w:val="ListNumber2"/>
        <w:tabs>
          <w:tab w:val="clear" w:pos="643"/>
          <w:tab w:val="num" w:pos="1080"/>
        </w:tabs>
        <w:ind w:left="1080" w:hanging="797"/>
      </w:pPr>
      <w:r>
        <w:t>In assessing the</w:t>
      </w:r>
      <w:r w:rsidR="00324738">
        <w:t xml:space="preserve">se submissions, it is necessary to refer back to </w:t>
      </w:r>
      <w:r w:rsidR="005E2E66">
        <w:t xml:space="preserve">the grounds pursuant to which a PDO </w:t>
      </w:r>
      <w:r w:rsidR="00324738">
        <w:t>can</w:t>
      </w:r>
      <w:r w:rsidR="005E2E66">
        <w:t xml:space="preserve"> be issued</w:t>
      </w:r>
      <w:r w:rsidR="00632472">
        <w:t xml:space="preserve"> (see paragraph</w:t>
      </w:r>
      <w:r w:rsidR="00E53CEE">
        <w:t>s</w:t>
      </w:r>
      <w:r w:rsidR="00632472">
        <w:t xml:space="preserve"> </w:t>
      </w:r>
      <w:r w:rsidR="00E53CEE">
        <w:fldChar w:fldCharType="begin"/>
      </w:r>
      <w:r w:rsidR="00E53CEE">
        <w:instrText xml:space="preserve"> REF _Ref49350939 \r \h </w:instrText>
      </w:r>
      <w:r w:rsidR="00E53CEE">
        <w:fldChar w:fldCharType="separate"/>
      </w:r>
      <w:r w:rsidR="00381A9B">
        <w:t>205</w:t>
      </w:r>
      <w:r w:rsidR="00E53CEE">
        <w:fldChar w:fldCharType="end"/>
      </w:r>
      <w:r w:rsidR="00E53CEE">
        <w:t xml:space="preserve"> to </w:t>
      </w:r>
      <w:r w:rsidR="00E53CEE">
        <w:fldChar w:fldCharType="begin"/>
      </w:r>
      <w:r w:rsidR="00E53CEE">
        <w:instrText xml:space="preserve"> REF _Ref49350941 \r \h </w:instrText>
      </w:r>
      <w:r w:rsidR="00E53CEE">
        <w:fldChar w:fldCharType="separate"/>
      </w:r>
      <w:r w:rsidR="00381A9B">
        <w:t>206</w:t>
      </w:r>
      <w:r w:rsidR="00E53CEE">
        <w:fldChar w:fldCharType="end"/>
      </w:r>
      <w:r w:rsidR="00632472">
        <w:t xml:space="preserve"> above)</w:t>
      </w:r>
      <w:r w:rsidR="005E2E66">
        <w:t xml:space="preserve">. </w:t>
      </w:r>
    </w:p>
    <w:p w14:paraId="68C9AF5B" w14:textId="092BAABC" w:rsidR="005975B0" w:rsidRDefault="006E26BB" w:rsidP="00E818B0">
      <w:pPr>
        <w:pStyle w:val="ListNumber2"/>
        <w:tabs>
          <w:tab w:val="clear" w:pos="643"/>
          <w:tab w:val="num" w:pos="1080"/>
        </w:tabs>
        <w:ind w:left="1080" w:hanging="797"/>
      </w:pPr>
      <w:r>
        <w:t>An initial</w:t>
      </w:r>
      <w:r w:rsidR="009F6713">
        <w:t xml:space="preserve"> submission of the </w:t>
      </w:r>
      <w:r w:rsidR="00E55516">
        <w:t xml:space="preserve">AFP and </w:t>
      </w:r>
      <w:r w:rsidR="009F6713">
        <w:t>AGD</w:t>
      </w:r>
      <w:r w:rsidR="0065529B">
        <w:t xml:space="preserve"> related to ground (a): the purpose of </w:t>
      </w:r>
      <w:r w:rsidR="00632472">
        <w:t>preven</w:t>
      </w:r>
      <w:r w:rsidR="00E55516">
        <w:t>ting</w:t>
      </w:r>
      <w:r w:rsidR="00632472">
        <w:t xml:space="preserve"> a terrorist </w:t>
      </w:r>
      <w:r w:rsidR="00E55516">
        <w:t xml:space="preserve">act.  The agencies submitted that a PDO </w:t>
      </w:r>
      <w:r w:rsidR="009F6713">
        <w:t>would be available in circumstances where</w:t>
      </w:r>
      <w:r w:rsidR="008024D4">
        <w:t>: ‘there is little to no lead time to disrupt a terrorist a</w:t>
      </w:r>
      <w:r w:rsidR="008D2015">
        <w:t>ct’ and</w:t>
      </w:r>
      <w:r w:rsidR="009F6713">
        <w:t xml:space="preserve"> </w:t>
      </w:r>
      <w:r w:rsidR="00382976">
        <w:t>‘</w:t>
      </w:r>
      <w:r w:rsidR="00202A88">
        <w:t xml:space="preserve">there may not be sufficient information available </w:t>
      </w:r>
      <w:r w:rsidR="005A5DD0">
        <w:t>on the individual(s)</w:t>
      </w:r>
      <w:r w:rsidR="00382976">
        <w:t xml:space="preserve"> </w:t>
      </w:r>
      <w:r w:rsidR="00202A88">
        <w:t>to meet the arrest threshold under s 3WA of the Crimes Act</w:t>
      </w:r>
      <w:r w:rsidR="00382976">
        <w:t>’</w:t>
      </w:r>
      <w:r w:rsidR="00202A88">
        <w:t>.</w:t>
      </w:r>
      <w:r w:rsidR="00202A88">
        <w:rPr>
          <w:rStyle w:val="EndnoteReference"/>
        </w:rPr>
        <w:endnoteReference w:id="271"/>
      </w:r>
      <w:r w:rsidR="00202A88">
        <w:t xml:space="preserve">  </w:t>
      </w:r>
      <w:r w:rsidR="008D2015">
        <w:t>However, as noted in paragraph</w:t>
      </w:r>
      <w:r w:rsidR="00402A61">
        <w:t xml:space="preserve">s </w:t>
      </w:r>
      <w:r w:rsidR="00402A61">
        <w:fldChar w:fldCharType="begin"/>
      </w:r>
      <w:r w:rsidR="00402A61">
        <w:instrText xml:space="preserve"> REF _Ref49351113 \r \h </w:instrText>
      </w:r>
      <w:r w:rsidR="00402A61">
        <w:fldChar w:fldCharType="separate"/>
      </w:r>
      <w:r w:rsidR="00381A9B">
        <w:t>207</w:t>
      </w:r>
      <w:r w:rsidR="00402A61">
        <w:fldChar w:fldCharType="end"/>
      </w:r>
      <w:r w:rsidR="00402A61">
        <w:t xml:space="preserve"> to </w:t>
      </w:r>
      <w:r w:rsidR="00402A61">
        <w:fldChar w:fldCharType="begin"/>
      </w:r>
      <w:r w:rsidR="00402A61">
        <w:instrText xml:space="preserve"> REF _Ref49351115 \r \h </w:instrText>
      </w:r>
      <w:r w:rsidR="00402A61">
        <w:fldChar w:fldCharType="separate"/>
      </w:r>
      <w:r w:rsidR="00381A9B">
        <w:t>208</w:t>
      </w:r>
      <w:r w:rsidR="00402A61">
        <w:fldChar w:fldCharType="end"/>
      </w:r>
      <w:r w:rsidR="00402A61">
        <w:t xml:space="preserve"> above, the threshold </w:t>
      </w:r>
      <w:r w:rsidR="00483F35">
        <w:t xml:space="preserve">for making a PDO </w:t>
      </w:r>
      <w:r w:rsidR="00884826">
        <w:t xml:space="preserve">when seeking to prevent a terrorist act </w:t>
      </w:r>
      <w:r w:rsidR="00483F35">
        <w:t xml:space="preserve">is </w:t>
      </w:r>
      <w:r w:rsidR="001B5DEE">
        <w:t>equivalent to</w:t>
      </w:r>
      <w:r w:rsidR="00483F35">
        <w:t xml:space="preserve"> the threshold for arrest under s 3WA</w:t>
      </w:r>
      <w:r w:rsidR="00942666">
        <w:t xml:space="preserve">.  This has been the case since the introduction of s 3WA in 2014 which </w:t>
      </w:r>
      <w:r w:rsidR="00556310">
        <w:t>permits an officer to arrest a person without a warrant if the officer ‘suspects on reasonable grounds’ that a person has committed or is committing a terrorism offence.</w:t>
      </w:r>
      <w:r w:rsidR="00593806">
        <w:t xml:space="preserve">  </w:t>
      </w:r>
      <w:r w:rsidR="008220AB">
        <w:t>The rationale for reducing the arrest threshold was to ‘</w:t>
      </w:r>
      <w:r w:rsidR="00A30BA9" w:rsidRPr="00A30BA9">
        <w:t>allow police to intervene and disrupt terrorist activities and the advocating of terrorism at an earlier point</w:t>
      </w:r>
      <w:r w:rsidR="008220AB">
        <w:t>’ in time.</w:t>
      </w:r>
      <w:r w:rsidR="008220AB">
        <w:rPr>
          <w:rStyle w:val="EndnoteReference"/>
        </w:rPr>
        <w:endnoteReference w:id="272"/>
      </w:r>
      <w:r w:rsidR="008220AB">
        <w:t xml:space="preserve">  The </w:t>
      </w:r>
      <w:r w:rsidR="001400B3">
        <w:t xml:space="preserve">new </w:t>
      </w:r>
      <w:r w:rsidR="008220AB">
        <w:t>lower threshold applies to arrest</w:t>
      </w:r>
      <w:r w:rsidR="00B07649">
        <w:t>s</w:t>
      </w:r>
      <w:r w:rsidR="008220AB">
        <w:t xml:space="preserve"> for </w:t>
      </w:r>
      <w:r w:rsidR="00593806">
        <w:t>an attempt to commit a terrorism offence</w:t>
      </w:r>
      <w:r w:rsidR="00A07B92">
        <w:t>;</w:t>
      </w:r>
      <w:r w:rsidR="00593806">
        <w:t xml:space="preserve"> a conspiracy to commit a terrorism offence</w:t>
      </w:r>
      <w:r w:rsidR="00A07B92">
        <w:t>;</w:t>
      </w:r>
      <w:r w:rsidR="00593806">
        <w:t xml:space="preserve"> or </w:t>
      </w:r>
      <w:r w:rsidR="00A07B92">
        <w:t xml:space="preserve">the </w:t>
      </w:r>
      <w:r w:rsidR="00593806">
        <w:t xml:space="preserve">doing any act </w:t>
      </w:r>
      <w:r w:rsidR="00BA11F6">
        <w:t>in preparation for, or planning, a terrorist act.</w:t>
      </w:r>
      <w:r w:rsidR="008478C6">
        <w:t xml:space="preserve">  </w:t>
      </w:r>
    </w:p>
    <w:p w14:paraId="5359925D" w14:textId="65DD3BF1" w:rsidR="001E291F" w:rsidRDefault="00193E9B" w:rsidP="001E291F">
      <w:pPr>
        <w:pStyle w:val="ListNumber2"/>
        <w:tabs>
          <w:tab w:val="clear" w:pos="643"/>
          <w:tab w:val="num" w:pos="1080"/>
        </w:tabs>
        <w:ind w:left="1080" w:hanging="797"/>
      </w:pPr>
      <w:r>
        <w:lastRenderedPageBreak/>
        <w:t xml:space="preserve">The </w:t>
      </w:r>
      <w:r w:rsidR="00A34EA2">
        <w:t>AFP and AG</w:t>
      </w:r>
      <w:r w:rsidR="00FF4C8C">
        <w:t>D</w:t>
      </w:r>
      <w:r w:rsidR="00A34EA2">
        <w:t xml:space="preserve"> also gave two hypothetical examples</w:t>
      </w:r>
      <w:r w:rsidR="004B1DD8">
        <w:t xml:space="preserve"> related to ground (b):</w:t>
      </w:r>
      <w:r w:rsidR="00A34EA2">
        <w:t xml:space="preserve"> the use of PDOs on ‘non-suspects’</w:t>
      </w:r>
      <w:r w:rsidR="00EF332E">
        <w:t xml:space="preserve"> for the purpose</w:t>
      </w:r>
      <w:r w:rsidR="004B1DD8">
        <w:t xml:space="preserve"> of </w:t>
      </w:r>
      <w:r w:rsidR="001E291F">
        <w:t>preserving evidence of a terrorist act</w:t>
      </w:r>
      <w:r w:rsidR="00A34EA2">
        <w:t xml:space="preserve">.  </w:t>
      </w:r>
      <w:r w:rsidR="001E291F">
        <w:t>The first example was ‘a situation where a terrorist suspect has given a bag containing an explosive device to a second person who is believed to have no knowledge of its contents and refuses to cooperate with police’.</w:t>
      </w:r>
      <w:r w:rsidR="001E291F">
        <w:rPr>
          <w:rStyle w:val="EndnoteReference"/>
        </w:rPr>
        <w:endnoteReference w:id="273"/>
      </w:r>
    </w:p>
    <w:p w14:paraId="754060F4" w14:textId="423C3E08" w:rsidR="00F402F7" w:rsidRDefault="001E291F" w:rsidP="001E291F">
      <w:pPr>
        <w:pStyle w:val="ListNumber2"/>
        <w:tabs>
          <w:tab w:val="clear" w:pos="643"/>
          <w:tab w:val="num" w:pos="1080"/>
        </w:tabs>
        <w:ind w:left="1080" w:hanging="797"/>
      </w:pPr>
      <w:r>
        <w:t xml:space="preserve">Presumably the inclusion of the fact that the person has ‘no knowledge’ of the contents of the bag is intended to highlight a situation where the person could not be arrested because the police do not have a ‘reasonable suspicion’ that the mental element of any offence is present.  </w:t>
      </w:r>
      <w:r w:rsidR="00972E7B">
        <w:t>If</w:t>
      </w:r>
      <w:r w:rsidR="00E107F4">
        <w:t>, on the other hand,</w:t>
      </w:r>
      <w:r w:rsidR="00972E7B">
        <w:t xml:space="preserve"> police suspected </w:t>
      </w:r>
      <w:r w:rsidR="003967F1">
        <w:t xml:space="preserve">on reasonable grounds </w:t>
      </w:r>
      <w:r w:rsidR="00972E7B">
        <w:t xml:space="preserve">that the person knew, or was reckless as to </w:t>
      </w:r>
      <w:r w:rsidR="00503D89">
        <w:t>whether</w:t>
      </w:r>
      <w:r w:rsidR="00972E7B">
        <w:t xml:space="preserve">, the bag contained a thing that was connected to a terrorist act, the police could arrest </w:t>
      </w:r>
      <w:r w:rsidR="005D71EA">
        <w:t xml:space="preserve">and charge </w:t>
      </w:r>
      <w:r w:rsidR="00972E7B">
        <w:t>the person.</w:t>
      </w:r>
      <w:r w:rsidR="007C532E">
        <w:rPr>
          <w:rStyle w:val="EndnoteReference"/>
        </w:rPr>
        <w:endnoteReference w:id="274"/>
      </w:r>
    </w:p>
    <w:p w14:paraId="021428D0" w14:textId="0D43A9DF" w:rsidR="00B92224" w:rsidRDefault="001E291F" w:rsidP="001E291F">
      <w:pPr>
        <w:pStyle w:val="ListNumber2"/>
        <w:tabs>
          <w:tab w:val="clear" w:pos="643"/>
          <w:tab w:val="num" w:pos="1080"/>
        </w:tabs>
        <w:ind w:left="1080" w:hanging="797"/>
      </w:pPr>
      <w:r>
        <w:t xml:space="preserve">In this </w:t>
      </w:r>
      <w:r w:rsidR="0020620F">
        <w:t xml:space="preserve">hypothetical </w:t>
      </w:r>
      <w:r>
        <w:t>example, instead of applying for a PDO, it would be equally open for police to apply for a warrant under s 3E(2) of the Crimes Act to conduct an ordinary search or a frisk search of the person with the bag because there are reasonable grounds for suspecting that the person has ‘evidential material’ in their possession.  In urgent cases, such a warrant can be obtained over the phone.</w:t>
      </w:r>
      <w:r w:rsidR="001E632B">
        <w:rPr>
          <w:rStyle w:val="EndnoteReference"/>
        </w:rPr>
        <w:endnoteReference w:id="275"/>
      </w:r>
      <w:r>
        <w:t xml:space="preserve">  </w:t>
      </w:r>
      <w:r w:rsidR="00B92224">
        <w:t xml:space="preserve">This would be a much more direct way of dealing with the threat than applying for and </w:t>
      </w:r>
      <w:r w:rsidR="00786F27">
        <w:t xml:space="preserve">then </w:t>
      </w:r>
      <w:r w:rsidR="00B92224">
        <w:t>detaining the person under a PDO</w:t>
      </w:r>
      <w:r w:rsidR="00754EF2">
        <w:t xml:space="preserve">.  </w:t>
      </w:r>
      <w:r w:rsidR="001C1CFB">
        <w:t>Although a PDO may be obtained from a senior AFP member rather than from a Magistrate</w:t>
      </w:r>
      <w:r w:rsidR="00B875C2">
        <w:t>, g</w:t>
      </w:r>
      <w:r w:rsidR="00754EF2">
        <w:t>iven the information necessary for a PDO application,</w:t>
      </w:r>
      <w:r w:rsidR="00E93FED">
        <w:rPr>
          <w:rStyle w:val="EndnoteReference"/>
        </w:rPr>
        <w:endnoteReference w:id="276"/>
      </w:r>
      <w:r w:rsidR="00754EF2">
        <w:t xml:space="preserve"> it seems unlikely that </w:t>
      </w:r>
      <w:r w:rsidR="00B875C2">
        <w:t>the PDO application could be obtained significantly more quickly than a search warrant.</w:t>
      </w:r>
      <w:r w:rsidR="00754EF2">
        <w:t xml:space="preserve"> </w:t>
      </w:r>
    </w:p>
    <w:p w14:paraId="2E50CDEE" w14:textId="5215A183" w:rsidR="001E291F" w:rsidRDefault="001E291F" w:rsidP="001E291F">
      <w:pPr>
        <w:pStyle w:val="ListNumber2"/>
        <w:tabs>
          <w:tab w:val="clear" w:pos="643"/>
          <w:tab w:val="num" w:pos="1080"/>
        </w:tabs>
        <w:ind w:left="1080" w:hanging="797"/>
      </w:pPr>
      <w:r>
        <w:t xml:space="preserve">Further, as noted in section </w:t>
      </w:r>
      <w:r>
        <w:fldChar w:fldCharType="begin"/>
      </w:r>
      <w:r>
        <w:instrText xml:space="preserve"> REF _Ref49252846 \r \h </w:instrText>
      </w:r>
      <w:r>
        <w:fldChar w:fldCharType="separate"/>
      </w:r>
      <w:r w:rsidR="00381A9B">
        <w:t>5</w:t>
      </w:r>
      <w:r>
        <w:fldChar w:fldCharType="end"/>
      </w:r>
      <w:r>
        <w:t xml:space="preserve"> of this submission, there is a power under s 3UEA of the Crimes Act that allows police to enter premises without a warrant to search for and seize a thing to prevent it from being used in connection with a terrorism offence.  </w:t>
      </w:r>
      <w:r w:rsidR="009232CD">
        <w:t xml:space="preserve">If </w:t>
      </w:r>
      <w:r w:rsidR="008911AC">
        <w:t xml:space="preserve">this power is retained, this would be quicker alternative to </w:t>
      </w:r>
      <w:r w:rsidR="009B009C">
        <w:t xml:space="preserve">making an application for </w:t>
      </w:r>
      <w:r w:rsidR="008911AC">
        <w:t>a PDO.</w:t>
      </w:r>
    </w:p>
    <w:p w14:paraId="526D5B8F" w14:textId="6AAD0484" w:rsidR="009D45D3" w:rsidRDefault="00175A66" w:rsidP="0034510D">
      <w:pPr>
        <w:pStyle w:val="ListNumber2"/>
        <w:tabs>
          <w:tab w:val="clear" w:pos="643"/>
          <w:tab w:val="num" w:pos="1080"/>
        </w:tabs>
        <w:ind w:left="1080" w:hanging="797"/>
      </w:pPr>
      <w:r>
        <w:t>After reviewing the first hypothetical example, t</w:t>
      </w:r>
      <w:r w:rsidR="006C2BCD">
        <w:t xml:space="preserve">he </w:t>
      </w:r>
      <w:r w:rsidR="002B5A78">
        <w:t xml:space="preserve">PJCIS asked </w:t>
      </w:r>
      <w:r w:rsidR="006C2BCD">
        <w:t>the AFP and the AG</w:t>
      </w:r>
      <w:r w:rsidR="00AE5E4F">
        <w:t>D</w:t>
      </w:r>
      <w:r w:rsidR="006C2BCD">
        <w:t xml:space="preserve"> </w:t>
      </w:r>
      <w:r w:rsidR="002B5A78">
        <w:t xml:space="preserve">to </w:t>
      </w:r>
      <w:r w:rsidR="003E0469">
        <w:t>provide ‘any more detailed scenario</w:t>
      </w:r>
      <w:r>
        <w:t xml:space="preserve">s in which </w:t>
      </w:r>
      <w:r w:rsidR="006A78A6">
        <w:t xml:space="preserve">the PDO would be the only viable option to intervene’.  In particular, the PJCIS asked </w:t>
      </w:r>
      <w:r w:rsidR="0099136F">
        <w:t xml:space="preserve">for ‘an explanation of the other powers that could be considered for such a scenario, and why they would not be appropriate in the </w:t>
      </w:r>
      <w:r w:rsidR="0099136F">
        <w:lastRenderedPageBreak/>
        <w:t>circumstances’.</w:t>
      </w:r>
      <w:r w:rsidR="006F178C">
        <w:rPr>
          <w:rStyle w:val="EndnoteReference"/>
        </w:rPr>
        <w:endnoteReference w:id="277"/>
      </w:r>
      <w:r w:rsidR="007D6FEA">
        <w:t xml:space="preserve">  In response, the agencies provided </w:t>
      </w:r>
      <w:r w:rsidR="00C82C3D">
        <w:t>a second</w:t>
      </w:r>
      <w:r w:rsidR="00482B8A">
        <w:t xml:space="preserve"> hypothetical</w:t>
      </w:r>
      <w:r w:rsidR="007D6FEA">
        <w:t xml:space="preserve"> example </w:t>
      </w:r>
      <w:r w:rsidR="00482B8A">
        <w:t>of a</w:t>
      </w:r>
      <w:r w:rsidR="003139F2">
        <w:t xml:space="preserve">n explosion </w:t>
      </w:r>
      <w:r w:rsidR="006812AA">
        <w:t>in the CBD with significant casualties.</w:t>
      </w:r>
      <w:r w:rsidR="00264F98">
        <w:rPr>
          <w:rStyle w:val="EndnoteReference"/>
        </w:rPr>
        <w:endnoteReference w:id="278"/>
      </w:r>
      <w:r w:rsidR="006812AA">
        <w:t xml:space="preserve">  </w:t>
      </w:r>
      <w:r w:rsidR="00264F98">
        <w:t xml:space="preserve">The police arrest one suspect </w:t>
      </w:r>
      <w:r w:rsidR="00DA3126">
        <w:t xml:space="preserve">and establish that the person had called </w:t>
      </w:r>
      <w:r w:rsidR="005E52F5">
        <w:t>an unknown associate around the time of the attacks.  The associate is previously unknown to police</w:t>
      </w:r>
      <w:r w:rsidR="009D45D3">
        <w:t>,</w:t>
      </w:r>
      <w:r w:rsidR="00CD1337">
        <w:t xml:space="preserve"> </w:t>
      </w:r>
      <w:r w:rsidR="0053603B">
        <w:t xml:space="preserve">there is insufficient </w:t>
      </w:r>
      <w:r w:rsidR="00CD1337">
        <w:t>information to reach the threshold for arrest</w:t>
      </w:r>
      <w:r w:rsidR="0053603B">
        <w:t xml:space="preserve">, </w:t>
      </w:r>
      <w:r w:rsidR="009D45D3">
        <w:t>and further investigation is required.  According to the example, a PDO is issued in relation to the associate.</w:t>
      </w:r>
    </w:p>
    <w:p w14:paraId="24B81BCA" w14:textId="38A090AE" w:rsidR="0002448F" w:rsidRDefault="00E03845" w:rsidP="0034510D">
      <w:pPr>
        <w:pStyle w:val="ListNumber2"/>
        <w:tabs>
          <w:tab w:val="clear" w:pos="643"/>
          <w:tab w:val="num" w:pos="1080"/>
        </w:tabs>
        <w:ind w:left="1080" w:hanging="797"/>
      </w:pPr>
      <w:r>
        <w:t>Although not explicitly stated, b</w:t>
      </w:r>
      <w:r w:rsidR="0002448F">
        <w:t>ased on this example it appears that the PDO must have been issued in order to preserve evidence</w:t>
      </w:r>
      <w:r>
        <w:t xml:space="preserve"> (ground (b))</w:t>
      </w:r>
      <w:r w:rsidR="0002448F">
        <w:t>.  The associate has no criminal record and</w:t>
      </w:r>
      <w:r w:rsidR="00207751">
        <w:t xml:space="preserve">, according to the facts, there </w:t>
      </w:r>
      <w:r w:rsidR="00786455">
        <w:t xml:space="preserve">are no reasonable grounds to suspect that the person has been involved in any terrorist </w:t>
      </w:r>
      <w:r w:rsidR="006C3A11">
        <w:t>offence</w:t>
      </w:r>
      <w:r>
        <w:t>, so the PDO could not have been issued in relation to ground (a).</w:t>
      </w:r>
      <w:r w:rsidR="00FF6422">
        <w:t xml:space="preserve">  The example does not identify </w:t>
      </w:r>
      <w:r w:rsidR="008F6DA3">
        <w:t xml:space="preserve">the evidence sought to be preserved or why a PDO was the only option available for preserving that evidence.  </w:t>
      </w:r>
      <w:r w:rsidR="00705174">
        <w:t xml:space="preserve">If the evidence </w:t>
      </w:r>
      <w:r w:rsidR="006A62D6">
        <w:t xml:space="preserve">is the contents of the phone conversation with the associate, available </w:t>
      </w:r>
      <w:r w:rsidR="0044347B">
        <w:t xml:space="preserve">options </w:t>
      </w:r>
      <w:r w:rsidR="00CF1FDC">
        <w:t>may</w:t>
      </w:r>
      <w:r w:rsidR="00611F13">
        <w:t xml:space="preserve"> include:</w:t>
      </w:r>
    </w:p>
    <w:p w14:paraId="018BBED6" w14:textId="0934E438" w:rsidR="00611F13" w:rsidRDefault="00611F13" w:rsidP="00484581">
      <w:pPr>
        <w:pStyle w:val="ListNumber2"/>
        <w:numPr>
          <w:ilvl w:val="0"/>
          <w:numId w:val="14"/>
        </w:numPr>
      </w:pPr>
      <w:r>
        <w:t>asking the associate to participate in an interview with police</w:t>
      </w:r>
    </w:p>
    <w:p w14:paraId="090D3BD7" w14:textId="030C028E" w:rsidR="00611F13" w:rsidRDefault="00611F13" w:rsidP="00484581">
      <w:pPr>
        <w:pStyle w:val="ListNumber2"/>
        <w:numPr>
          <w:ilvl w:val="0"/>
          <w:numId w:val="14"/>
        </w:numPr>
      </w:pPr>
      <w:r>
        <w:t xml:space="preserve">if </w:t>
      </w:r>
      <w:r w:rsidR="007406BC">
        <w:t xml:space="preserve">the associate does not cooperate and if </w:t>
      </w:r>
      <w:r>
        <w:t xml:space="preserve">police consider that the </w:t>
      </w:r>
      <w:r w:rsidR="00714FEF">
        <w:t>person arrested may have left a message on the phone: obtaining a warrant to ei</w:t>
      </w:r>
      <w:r w:rsidR="003C4E96">
        <w:t>ther seize the phone, or obtain information from the associate’s telecommunications provider</w:t>
      </w:r>
      <w:r w:rsidR="00133BE4">
        <w:t>.</w:t>
      </w:r>
    </w:p>
    <w:p w14:paraId="7F86FAA1" w14:textId="2DE54845" w:rsidR="009535C9" w:rsidRDefault="00133BE4" w:rsidP="00043582">
      <w:pPr>
        <w:pStyle w:val="ListNumber2"/>
        <w:tabs>
          <w:tab w:val="clear" w:pos="643"/>
          <w:tab w:val="num" w:pos="1080"/>
        </w:tabs>
        <w:ind w:left="1080" w:hanging="797"/>
      </w:pPr>
      <w:r>
        <w:t xml:space="preserve">In this example, </w:t>
      </w:r>
      <w:r w:rsidR="00805212">
        <w:t xml:space="preserve">making </w:t>
      </w:r>
      <w:r>
        <w:t xml:space="preserve">a PDO </w:t>
      </w:r>
      <w:r w:rsidR="00805212">
        <w:t xml:space="preserve">does not </w:t>
      </w:r>
      <w:r>
        <w:t>seem to b</w:t>
      </w:r>
      <w:r w:rsidR="00805212">
        <w:t xml:space="preserve">e a useful way of either preserving evidence or of finding out what evidence may be available, because </w:t>
      </w:r>
      <w:r w:rsidR="00D000B5">
        <w:t>a</w:t>
      </w:r>
      <w:r w:rsidR="00805212">
        <w:t xml:space="preserve"> person detained</w:t>
      </w:r>
      <w:r w:rsidR="00D000B5">
        <w:t xml:space="preserve"> under a PDO</w:t>
      </w:r>
      <w:r w:rsidR="00805212">
        <w:t xml:space="preserve"> will not be able to be questioned by police.</w:t>
      </w:r>
      <w:r w:rsidR="00F65C36">
        <w:t xml:space="preserve">  Further, detention of a person with no criminal record</w:t>
      </w:r>
      <w:r w:rsidR="00CF275F">
        <w:t>,</w:t>
      </w:r>
      <w:r w:rsidR="00F65C36">
        <w:t xml:space="preserve"> </w:t>
      </w:r>
      <w:r w:rsidR="00CF275F">
        <w:t xml:space="preserve">and </w:t>
      </w:r>
      <w:r w:rsidR="00F65C36">
        <w:t xml:space="preserve">who is not </w:t>
      </w:r>
      <w:r w:rsidR="00965B8F">
        <w:t xml:space="preserve">reasonably </w:t>
      </w:r>
      <w:r w:rsidR="00F65C36">
        <w:t xml:space="preserve">suspected of being </w:t>
      </w:r>
      <w:r w:rsidR="00965B8F">
        <w:t>involved in a terrorist act</w:t>
      </w:r>
      <w:r w:rsidR="00CF275F">
        <w:t xml:space="preserve">, on the basis of having received a phone call, </w:t>
      </w:r>
      <w:r w:rsidR="001F3FB2">
        <w:t xml:space="preserve">is </w:t>
      </w:r>
      <w:r w:rsidR="00EF1AE9">
        <w:t>difficult to justify</w:t>
      </w:r>
      <w:r w:rsidR="00CF275F">
        <w:t>.</w:t>
      </w:r>
    </w:p>
    <w:p w14:paraId="12608183" w14:textId="1C4D0180" w:rsidR="00895B9B" w:rsidRDefault="007D3325" w:rsidP="00E817B3">
      <w:pPr>
        <w:pStyle w:val="Heading2"/>
      </w:pPr>
      <w:bookmarkStart w:id="50" w:name="_Toc50633837"/>
      <w:r>
        <w:t>Assessment</w:t>
      </w:r>
      <w:bookmarkEnd w:id="50"/>
    </w:p>
    <w:p w14:paraId="0366D8A6" w14:textId="3C3D7447" w:rsidR="00076EF3" w:rsidRDefault="00E82527" w:rsidP="002A2D1A">
      <w:pPr>
        <w:pStyle w:val="ListNumber2"/>
        <w:tabs>
          <w:tab w:val="clear" w:pos="643"/>
          <w:tab w:val="num" w:pos="1080"/>
        </w:tabs>
        <w:ind w:left="1080" w:hanging="797"/>
      </w:pPr>
      <w:r>
        <w:t xml:space="preserve">The first step in </w:t>
      </w:r>
      <w:r w:rsidR="001D44F7">
        <w:t xml:space="preserve">any human rights analysis is assessing whether a provision that </w:t>
      </w:r>
      <w:r w:rsidR="001F3FB2">
        <w:t>limits</w:t>
      </w:r>
      <w:r w:rsidR="001D44F7">
        <w:t xml:space="preserve"> human rights is necessary</w:t>
      </w:r>
      <w:r w:rsidR="00053B21">
        <w:t xml:space="preserve">, in the sense that it is directed towards a legitimate </w:t>
      </w:r>
      <w:r w:rsidR="00A91D8B">
        <w:t>purpose</w:t>
      </w:r>
      <w:r w:rsidR="001D44F7">
        <w:t xml:space="preserve">.  The PDO regime </w:t>
      </w:r>
      <w:r w:rsidR="00C22DD2">
        <w:t>is directed towards</w:t>
      </w:r>
      <w:r w:rsidR="006D55F0">
        <w:t xml:space="preserve"> a</w:t>
      </w:r>
      <w:r w:rsidR="00704873">
        <w:t>n important and</w:t>
      </w:r>
      <w:r w:rsidR="006D55F0">
        <w:t xml:space="preserve"> legitimate </w:t>
      </w:r>
      <w:r w:rsidR="00A91D8B">
        <w:t>purpose</w:t>
      </w:r>
      <w:r w:rsidR="006D55F0">
        <w:t xml:space="preserve">: the protection of the </w:t>
      </w:r>
      <w:r w:rsidR="006D55F0">
        <w:lastRenderedPageBreak/>
        <w:t xml:space="preserve">public from a terrorist act.  </w:t>
      </w:r>
      <w:r w:rsidR="007D3325">
        <w:t xml:space="preserve">However, </w:t>
      </w:r>
      <w:r w:rsidR="001870A2">
        <w:t xml:space="preserve">the aim of </w:t>
      </w:r>
      <w:r w:rsidR="007D3325">
        <w:t>prevent</w:t>
      </w:r>
      <w:r w:rsidR="001870A2">
        <w:t>ing</w:t>
      </w:r>
      <w:r w:rsidR="0082160C">
        <w:t xml:space="preserve"> terrorism</w:t>
      </w:r>
      <w:r w:rsidR="007D3325">
        <w:t xml:space="preserve"> is not unique to the PDO regime. </w:t>
      </w:r>
    </w:p>
    <w:p w14:paraId="4EBF08D9" w14:textId="19B25312" w:rsidR="00704873" w:rsidRDefault="00C93025" w:rsidP="002A2D1A">
      <w:pPr>
        <w:pStyle w:val="ListNumber2"/>
        <w:tabs>
          <w:tab w:val="clear" w:pos="643"/>
          <w:tab w:val="num" w:pos="1080"/>
        </w:tabs>
        <w:ind w:left="1080" w:hanging="797"/>
      </w:pPr>
      <w:r>
        <w:t xml:space="preserve">The second step is examining whether the regime is reasonable.  It is here that the </w:t>
      </w:r>
      <w:r w:rsidR="0082160C">
        <w:t xml:space="preserve">PDO </w:t>
      </w:r>
      <w:r>
        <w:t xml:space="preserve">regime falls down.  Crucially, there are alterative measures available that are just as effective </w:t>
      </w:r>
      <w:r w:rsidR="00704873">
        <w:t>as the PDO regime</w:t>
      </w:r>
      <w:r w:rsidR="005C7303">
        <w:t xml:space="preserve"> in protecting </w:t>
      </w:r>
      <w:r w:rsidR="00084822">
        <w:t>the public</w:t>
      </w:r>
      <w:r w:rsidR="005C7303">
        <w:t xml:space="preserve"> from </w:t>
      </w:r>
      <w:r w:rsidR="00084822">
        <w:t>the threat of terrorism and preserving evidence of terrorist acts</w:t>
      </w:r>
      <w:r w:rsidR="00704873">
        <w:t xml:space="preserve">, but are less restrictive of human rights.  </w:t>
      </w:r>
      <w:r w:rsidR="00D656F0">
        <w:t>In particular, those reasonably suspected of engaging in terrorist acts can be arrested under s 3WA of the Crimes Act</w:t>
      </w:r>
      <w:r w:rsidR="00A861D0">
        <w:t xml:space="preserve">, and there are a range of </w:t>
      </w:r>
      <w:r w:rsidR="00BA497A">
        <w:t xml:space="preserve">existing </w:t>
      </w:r>
      <w:r w:rsidR="00A861D0">
        <w:t>powers available to seize and preserve evidence</w:t>
      </w:r>
      <w:r w:rsidR="00BA497A">
        <w:t>.</w:t>
      </w:r>
    </w:p>
    <w:p w14:paraId="5C29B174" w14:textId="4B60F442" w:rsidR="00EA4152" w:rsidRDefault="0009504A" w:rsidP="002A2D1A">
      <w:pPr>
        <w:pStyle w:val="ListNumber2"/>
        <w:tabs>
          <w:tab w:val="clear" w:pos="643"/>
          <w:tab w:val="num" w:pos="1080"/>
        </w:tabs>
        <w:ind w:left="1080" w:hanging="797"/>
      </w:pPr>
      <w:r>
        <w:t>In their previous submissions to the PJCIS, t</w:t>
      </w:r>
      <w:r w:rsidR="00D94909">
        <w:t>he AFP and the AG</w:t>
      </w:r>
      <w:r w:rsidR="00AE5E4F">
        <w:t>D</w:t>
      </w:r>
      <w:r w:rsidR="00D94909">
        <w:t xml:space="preserve"> </w:t>
      </w:r>
      <w:r>
        <w:t xml:space="preserve">sought to frame </w:t>
      </w:r>
      <w:r w:rsidR="00D94909">
        <w:t xml:space="preserve">the PDO regime </w:t>
      </w:r>
      <w:r>
        <w:t>a</w:t>
      </w:r>
      <w:r w:rsidR="00D94909">
        <w:t xml:space="preserve">s unique because it has a ‘preventative purpose’ </w:t>
      </w:r>
      <w:r w:rsidR="006816A0">
        <w:t>in contrast to other criminal justice mechanisms</w:t>
      </w:r>
      <w:r w:rsidR="00CA7AC0">
        <w:t xml:space="preserve"> which are focused on investigation and prosecution</w:t>
      </w:r>
      <w:r w:rsidR="006816A0">
        <w:t xml:space="preserve">.  However, </w:t>
      </w:r>
      <w:r w:rsidR="00604FA9">
        <w:t>traditional</w:t>
      </w:r>
      <w:r w:rsidR="006816A0">
        <w:t xml:space="preserve"> mechanisms including arresting </w:t>
      </w:r>
      <w:r w:rsidR="00B75260">
        <w:t xml:space="preserve">suspected </w:t>
      </w:r>
      <w:r w:rsidR="006816A0">
        <w:t>offenders</w:t>
      </w:r>
      <w:r w:rsidR="00754C73">
        <w:t xml:space="preserve"> for </w:t>
      </w:r>
      <w:r w:rsidR="0075723E">
        <w:t>attempt, conspiracy or doing an</w:t>
      </w:r>
      <w:r w:rsidR="0075723E" w:rsidRPr="00D8602C">
        <w:t xml:space="preserve"> act in preparation for, or planning, a terrorist act</w:t>
      </w:r>
      <w:r w:rsidR="0075723E">
        <w:t xml:space="preserve"> </w:t>
      </w:r>
      <w:r w:rsidR="006816A0">
        <w:t>are equally directed to prevent</w:t>
      </w:r>
      <w:r w:rsidR="00B56269">
        <w:t xml:space="preserve">ing terrorist acts occurring and have </w:t>
      </w:r>
      <w:r w:rsidR="00604FA9">
        <w:t xml:space="preserve">an equivalent </w:t>
      </w:r>
      <w:r w:rsidR="00B56269">
        <w:t xml:space="preserve">threshold for </w:t>
      </w:r>
      <w:r w:rsidR="005A43E2">
        <w:t>their use</w:t>
      </w:r>
      <w:r w:rsidR="006816A0">
        <w:t>.</w:t>
      </w:r>
    </w:p>
    <w:p w14:paraId="07C6ECF2" w14:textId="36F031E8" w:rsidR="005E70A6" w:rsidRDefault="008F02B2" w:rsidP="002A2D1A">
      <w:pPr>
        <w:pStyle w:val="ListNumber2"/>
        <w:tabs>
          <w:tab w:val="clear" w:pos="643"/>
          <w:tab w:val="num" w:pos="1080"/>
        </w:tabs>
        <w:ind w:left="1080" w:hanging="797"/>
      </w:pPr>
      <w:r>
        <w:t xml:space="preserve">Based on the </w:t>
      </w:r>
      <w:r w:rsidR="00BF1893">
        <w:t xml:space="preserve">current legislative framework and the </w:t>
      </w:r>
      <w:r w:rsidR="00B42A68">
        <w:t xml:space="preserve">public </w:t>
      </w:r>
      <w:r w:rsidR="00BF1893">
        <w:t xml:space="preserve">submissions made to the PJCIS as to the necessity of the PDO regime, the Commission </w:t>
      </w:r>
      <w:r w:rsidR="00B42A68">
        <w:t xml:space="preserve">has not been able to identify </w:t>
      </w:r>
      <w:r w:rsidR="006519B6">
        <w:t xml:space="preserve">any practical situation where traditional investigative powers have been shown to be </w:t>
      </w:r>
      <w:r w:rsidR="00BB3DA8">
        <w:t>less effective than the PDO regime</w:t>
      </w:r>
      <w:r w:rsidR="006519B6">
        <w:t xml:space="preserve"> to meet </w:t>
      </w:r>
      <w:r w:rsidR="00C329D7">
        <w:t xml:space="preserve">a potential terrorist threat. </w:t>
      </w:r>
      <w:r w:rsidR="003830A0">
        <w:t xml:space="preserve"> The Commission therefore recommend</w:t>
      </w:r>
      <w:r w:rsidR="00A304DD">
        <w:t>s</w:t>
      </w:r>
      <w:r w:rsidR="003830A0">
        <w:t xml:space="preserve"> that this regime be repealed. </w:t>
      </w:r>
    </w:p>
    <w:p w14:paraId="589DC5F0" w14:textId="629ACB31" w:rsidR="00EE1A48" w:rsidRPr="00EE1A48" w:rsidRDefault="00EE1A48" w:rsidP="00243185">
      <w:pPr>
        <w:pStyle w:val="ListNumber2"/>
        <w:keepNext/>
        <w:numPr>
          <w:ilvl w:val="0"/>
          <w:numId w:val="0"/>
        </w:numPr>
        <w:ind w:left="1080"/>
        <w:rPr>
          <w:b/>
          <w:bCs/>
        </w:rPr>
      </w:pPr>
      <w:r w:rsidRPr="00EE1A48">
        <w:rPr>
          <w:b/>
          <w:bCs/>
        </w:rPr>
        <w:t xml:space="preserve">Recommendation </w:t>
      </w:r>
      <w:r w:rsidR="00252F40">
        <w:rPr>
          <w:b/>
          <w:bCs/>
        </w:rPr>
        <w:t>8</w:t>
      </w:r>
    </w:p>
    <w:p w14:paraId="4A86B2D6" w14:textId="5F5AC1CE" w:rsidR="00C02ED5" w:rsidRDefault="005E70A6" w:rsidP="00EE1A48">
      <w:pPr>
        <w:pStyle w:val="ListNumber2"/>
        <w:numPr>
          <w:ilvl w:val="0"/>
          <w:numId w:val="0"/>
        </w:numPr>
        <w:ind w:left="1080"/>
      </w:pPr>
      <w:r>
        <w:t xml:space="preserve">In the absence of some further compelling justification for the retention of the </w:t>
      </w:r>
      <w:r w:rsidR="00ED24E2">
        <w:t>preventative detention order</w:t>
      </w:r>
      <w:r>
        <w:t xml:space="preserve"> regime, the Commission recommends that the regime be repealed</w:t>
      </w:r>
      <w:r w:rsidR="00173B49">
        <w:t>.</w:t>
      </w:r>
    </w:p>
    <w:p w14:paraId="0CDB3362" w14:textId="422F7A05" w:rsidR="00D21607" w:rsidRPr="00EF116A" w:rsidRDefault="00C144AB" w:rsidP="00C144AB">
      <w:pPr>
        <w:pStyle w:val="Heading1"/>
      </w:pPr>
      <w:bookmarkStart w:id="51" w:name="_Ref49620899"/>
      <w:bookmarkStart w:id="52" w:name="_Toc50633838"/>
      <w:r>
        <w:t>Continu</w:t>
      </w:r>
      <w:r w:rsidR="0072394F">
        <w:t>ing</w:t>
      </w:r>
      <w:r>
        <w:t xml:space="preserve"> detention orders</w:t>
      </w:r>
      <w:bookmarkEnd w:id="51"/>
      <w:bookmarkEnd w:id="52"/>
    </w:p>
    <w:p w14:paraId="3B68C200" w14:textId="1331AEB3" w:rsidR="008D7A4E" w:rsidRPr="008D7A4E" w:rsidRDefault="00E91C73" w:rsidP="008D7A4E">
      <w:pPr>
        <w:pStyle w:val="ListNumber2"/>
        <w:tabs>
          <w:tab w:val="clear" w:pos="643"/>
          <w:tab w:val="num" w:pos="1080"/>
        </w:tabs>
        <w:ind w:left="1080" w:hanging="797"/>
        <w:rPr>
          <w:lang w:val="en-US"/>
        </w:rPr>
      </w:pPr>
      <w:r>
        <w:t xml:space="preserve">The Commission made detailed submissions </w:t>
      </w:r>
      <w:r w:rsidR="00801EDC">
        <w:t xml:space="preserve">to the PJCIS </w:t>
      </w:r>
      <w:r>
        <w:t xml:space="preserve">about </w:t>
      </w:r>
      <w:r w:rsidR="00801EDC">
        <w:t xml:space="preserve">the </w:t>
      </w:r>
      <w:r w:rsidR="0030650A">
        <w:t>CDO</w:t>
      </w:r>
      <w:r w:rsidR="00801EDC">
        <w:t xml:space="preserve"> </w:t>
      </w:r>
      <w:r w:rsidR="003D483D">
        <w:t>regime</w:t>
      </w:r>
      <w:r w:rsidR="00801EDC">
        <w:t xml:space="preserve"> in </w:t>
      </w:r>
      <w:proofErr w:type="spellStart"/>
      <w:r w:rsidR="00801EDC">
        <w:t>Div</w:t>
      </w:r>
      <w:proofErr w:type="spellEnd"/>
      <w:r w:rsidR="00801EDC">
        <w:t xml:space="preserve"> 105A of the Criminal Code when it </w:t>
      </w:r>
      <w:r w:rsidR="009B7549">
        <w:t xml:space="preserve">was first proposed as part of the </w:t>
      </w:r>
      <w:r w:rsidR="008D7A4E" w:rsidRPr="008D7A4E">
        <w:rPr>
          <w:lang w:val="en-US"/>
        </w:rPr>
        <w:t>Criminal Code Amendment (High Risk Terrorist Offenders) Bill 2016</w:t>
      </w:r>
      <w:r w:rsidR="00431988">
        <w:rPr>
          <w:lang w:val="en-US"/>
        </w:rPr>
        <w:t xml:space="preserve"> (</w:t>
      </w:r>
      <w:proofErr w:type="spellStart"/>
      <w:r w:rsidR="00431988">
        <w:rPr>
          <w:lang w:val="en-US"/>
        </w:rPr>
        <w:t>Cth</w:t>
      </w:r>
      <w:proofErr w:type="spellEnd"/>
      <w:r w:rsidR="00431988">
        <w:rPr>
          <w:lang w:val="en-US"/>
        </w:rPr>
        <w:t>).</w:t>
      </w:r>
      <w:r w:rsidR="00431988">
        <w:rPr>
          <w:rStyle w:val="EndnoteReference"/>
          <w:lang w:val="en-US"/>
        </w:rPr>
        <w:endnoteReference w:id="279"/>
      </w:r>
    </w:p>
    <w:p w14:paraId="520ACEEC" w14:textId="600E6B2E" w:rsidR="009B7549" w:rsidRDefault="00550B38" w:rsidP="00C144AB">
      <w:pPr>
        <w:pStyle w:val="ListNumber2"/>
        <w:tabs>
          <w:tab w:val="clear" w:pos="643"/>
          <w:tab w:val="num" w:pos="1080"/>
        </w:tabs>
        <w:ind w:left="1080" w:hanging="797"/>
      </w:pPr>
      <w:r>
        <w:lastRenderedPageBreak/>
        <w:t xml:space="preserve">At that time, the </w:t>
      </w:r>
      <w:r w:rsidR="001A198E">
        <w:t xml:space="preserve">Commission recognised that </w:t>
      </w:r>
      <w:r>
        <w:t xml:space="preserve">a post-sentence preventative detention regime can be a reasonable and necessary response to the potential for risk to be posed by people convicted of terrorism related offences after the expiration of the period of their imprisonment. </w:t>
      </w:r>
      <w:r w:rsidR="008E188A">
        <w:t xml:space="preserve"> </w:t>
      </w:r>
      <w:r>
        <w:t xml:space="preserve">However, the scope of any such regime should be narrowly confined so that it applies only in the most serious of cases and only to the extent necessary to address an unacceptable risk to the community. </w:t>
      </w:r>
      <w:r w:rsidR="00E13B05">
        <w:t xml:space="preserve"> </w:t>
      </w:r>
      <w:r>
        <w:t>The majority of the Commission’s submission</w:t>
      </w:r>
      <w:r w:rsidR="00E13B05">
        <w:t>s</w:t>
      </w:r>
      <w:r>
        <w:t xml:space="preserve"> </w:t>
      </w:r>
      <w:r w:rsidR="00E13B05">
        <w:t>we</w:t>
      </w:r>
      <w:r>
        <w:t>re directed to whether the degree to which the right to liberty is infringed by the proposed regime is proportionate to achieving the objective of community safety.</w:t>
      </w:r>
    </w:p>
    <w:p w14:paraId="692FAF2C" w14:textId="10B8286A" w:rsidR="00442D15" w:rsidRDefault="00442D15" w:rsidP="00C144AB">
      <w:pPr>
        <w:pStyle w:val="ListNumber2"/>
        <w:tabs>
          <w:tab w:val="clear" w:pos="643"/>
          <w:tab w:val="num" w:pos="1080"/>
        </w:tabs>
        <w:ind w:left="1080" w:hanging="797"/>
      </w:pPr>
      <w:r>
        <w:t xml:space="preserve">Some of the Commission’s proposed changes to the Bill were endorsed by the PJCIS and </w:t>
      </w:r>
      <w:r w:rsidR="00D26DC2">
        <w:t>resulted in amendments to the Bill.</w:t>
      </w:r>
    </w:p>
    <w:p w14:paraId="2E3CE680" w14:textId="474ECD45" w:rsidR="00A7615D" w:rsidRDefault="00E13B05" w:rsidP="00C144AB">
      <w:pPr>
        <w:pStyle w:val="ListNumber2"/>
        <w:tabs>
          <w:tab w:val="clear" w:pos="643"/>
          <w:tab w:val="num" w:pos="1080"/>
        </w:tabs>
        <w:ind w:left="1080" w:hanging="797"/>
      </w:pPr>
      <w:r>
        <w:t xml:space="preserve">This submission does not repeat the matters covered in the Commission’s previous submission.  Instead, it focuses on a number of </w:t>
      </w:r>
      <w:r w:rsidR="00442D15">
        <w:t xml:space="preserve">recommended safeguards that were not adopted at the time that the </w:t>
      </w:r>
      <w:r w:rsidR="00B2429E">
        <w:t>regime</w:t>
      </w:r>
      <w:r w:rsidR="00442D15">
        <w:t xml:space="preserve"> was legislated.</w:t>
      </w:r>
    </w:p>
    <w:p w14:paraId="48E26041" w14:textId="3142E774" w:rsidR="001B4B57" w:rsidRDefault="001B4B57" w:rsidP="00E91C73">
      <w:pPr>
        <w:pStyle w:val="Heading2"/>
      </w:pPr>
      <w:bookmarkStart w:id="53" w:name="_Toc50633839"/>
      <w:r>
        <w:t>Structure of provisions</w:t>
      </w:r>
      <w:bookmarkEnd w:id="53"/>
    </w:p>
    <w:p w14:paraId="4FCBF58B" w14:textId="7EFEE197" w:rsidR="00BD0926" w:rsidRDefault="00BD0926" w:rsidP="00F1522E">
      <w:pPr>
        <w:pStyle w:val="ListNumber2"/>
        <w:tabs>
          <w:tab w:val="clear" w:pos="643"/>
          <w:tab w:val="num" w:pos="1080"/>
        </w:tabs>
        <w:ind w:left="1080" w:hanging="797"/>
      </w:pPr>
      <w:r>
        <w:t xml:space="preserve">A </w:t>
      </w:r>
      <w:r w:rsidR="00B64B5E">
        <w:t>CDO</w:t>
      </w:r>
      <w:r>
        <w:t xml:space="preserve"> </w:t>
      </w:r>
      <w:r w:rsidR="0097199A">
        <w:t xml:space="preserve">may be made in relation to </w:t>
      </w:r>
      <w:r w:rsidR="001510A2">
        <w:t xml:space="preserve">a person who has been </w:t>
      </w:r>
      <w:r w:rsidR="00261D31">
        <w:t>convicted of</w:t>
      </w:r>
      <w:r w:rsidR="00E14BC1">
        <w:t xml:space="preserve"> </w:t>
      </w:r>
      <w:r w:rsidR="00264D49">
        <w:t xml:space="preserve">a particular kind of offence relating to </w:t>
      </w:r>
      <w:r w:rsidR="007F54E0">
        <w:t xml:space="preserve">terrorism </w:t>
      </w:r>
      <w:r w:rsidR="000C79EA">
        <w:t xml:space="preserve">and who would pose an unacceptable risk of committing a serious </w:t>
      </w:r>
      <w:r w:rsidR="00714785">
        <w:t>terrorism</w:t>
      </w:r>
      <w:r w:rsidR="000C79EA">
        <w:t xml:space="preserve"> offence if </w:t>
      </w:r>
      <w:r w:rsidR="005F317D">
        <w:t>released into the community.</w:t>
      </w:r>
      <w:r w:rsidR="00BC36D9">
        <w:t xml:space="preserve">  </w:t>
      </w:r>
      <w:r w:rsidR="009225E2">
        <w:t xml:space="preserve">In those circumstances, the Supreme Court of a State or Territory may order that the offender </w:t>
      </w:r>
      <w:r w:rsidR="00656A7B">
        <w:t xml:space="preserve">continue to be detained at the expiration of their sentence for a period of up to </w:t>
      </w:r>
      <w:r w:rsidR="00BC1715">
        <w:t xml:space="preserve">three </w:t>
      </w:r>
      <w:r w:rsidR="00656A7B">
        <w:t>years</w:t>
      </w:r>
      <w:r w:rsidR="004A094E">
        <w:t xml:space="preserve"> at a time</w:t>
      </w:r>
      <w:r w:rsidR="00656A7B">
        <w:t xml:space="preserve">. </w:t>
      </w:r>
    </w:p>
    <w:p w14:paraId="0115A4BC" w14:textId="3C8CBD6D" w:rsidR="00F1522E" w:rsidRDefault="003B5354" w:rsidP="00F1522E">
      <w:pPr>
        <w:pStyle w:val="ListNumber2"/>
        <w:tabs>
          <w:tab w:val="clear" w:pos="643"/>
          <w:tab w:val="num" w:pos="1080"/>
        </w:tabs>
        <w:ind w:left="1080" w:hanging="797"/>
      </w:pPr>
      <w:r>
        <w:t>A</w:t>
      </w:r>
      <w:r w:rsidR="00F1522E">
        <w:t xml:space="preserve">n application for a </w:t>
      </w:r>
      <w:r w:rsidR="00C77F44">
        <w:t>CDO</w:t>
      </w:r>
      <w:r w:rsidR="00F1522E">
        <w:t xml:space="preserve"> may only be made </w:t>
      </w:r>
      <w:r w:rsidR="00BE4DDC">
        <w:t xml:space="preserve">by the </w:t>
      </w:r>
      <w:r w:rsidR="00C52C71">
        <w:t>Minister for Home Affairs</w:t>
      </w:r>
      <w:r w:rsidR="00BE4DDC">
        <w:t xml:space="preserve"> and must be made </w:t>
      </w:r>
      <w:r w:rsidR="001C720F">
        <w:t xml:space="preserve">within 12 months of </w:t>
      </w:r>
      <w:r w:rsidR="00640D39">
        <w:t>the end of the offender’s sentence of imprisonment.</w:t>
      </w:r>
      <w:r w:rsidR="00F1522E" w:rsidRPr="00640D39">
        <w:rPr>
          <w:sz w:val="20"/>
          <w:szCs w:val="20"/>
          <w:vertAlign w:val="superscript"/>
        </w:rPr>
        <w:endnoteReference w:id="280"/>
      </w:r>
    </w:p>
    <w:p w14:paraId="1592BA3F" w14:textId="5DFE0736" w:rsidR="00F40E93" w:rsidRDefault="00B85C7D" w:rsidP="00F1522E">
      <w:pPr>
        <w:pStyle w:val="ListNumber2"/>
        <w:tabs>
          <w:tab w:val="clear" w:pos="643"/>
          <w:tab w:val="num" w:pos="1080"/>
        </w:tabs>
        <w:ind w:left="1080" w:hanging="797"/>
      </w:pPr>
      <w:r>
        <w:t xml:space="preserve">In assessing whether a </w:t>
      </w:r>
      <w:r w:rsidR="002D306E">
        <w:t>CDO</w:t>
      </w:r>
      <w:r>
        <w:t xml:space="preserve"> should be made, </w:t>
      </w:r>
      <w:r w:rsidR="00F1522E">
        <w:t>the Court must be</w:t>
      </w:r>
      <w:r w:rsidR="00F40E93">
        <w:t>:</w:t>
      </w:r>
    </w:p>
    <w:p w14:paraId="5326E9D7" w14:textId="42477D9D" w:rsidR="00F40E93" w:rsidRDefault="00F1522E" w:rsidP="00484581">
      <w:pPr>
        <w:pStyle w:val="ListNumber2"/>
        <w:numPr>
          <w:ilvl w:val="0"/>
          <w:numId w:val="14"/>
        </w:numPr>
      </w:pPr>
      <w:r>
        <w:t>satisfied to a high degree of probability, on the basis of admissible evidence, that the offender poses an unacceptable risk of committing a serious Part 5.3 (terrorism) offence with a maximum period of imprisonment of seven years or more</w:t>
      </w:r>
      <w:r w:rsidR="007E05E6">
        <w:t xml:space="preserve"> if they were released into the community</w:t>
      </w:r>
      <w:r w:rsidR="00F40E93">
        <w:t>;</w:t>
      </w:r>
      <w:r w:rsidRPr="00ED1D10">
        <w:rPr>
          <w:sz w:val="20"/>
          <w:szCs w:val="20"/>
          <w:vertAlign w:val="superscript"/>
        </w:rPr>
        <w:endnoteReference w:id="281"/>
      </w:r>
      <w:r w:rsidR="00F40E93">
        <w:t xml:space="preserve"> and</w:t>
      </w:r>
    </w:p>
    <w:p w14:paraId="42B516E3" w14:textId="383BEB4A" w:rsidR="00F358AF" w:rsidRDefault="00F358AF" w:rsidP="00484581">
      <w:pPr>
        <w:pStyle w:val="ListNumber2"/>
        <w:numPr>
          <w:ilvl w:val="0"/>
          <w:numId w:val="14"/>
        </w:numPr>
      </w:pPr>
      <w:r>
        <w:lastRenderedPageBreak/>
        <w:t>satisfied that there is no other less restrictive measure that would be effective in preventing the unacceptable risk.</w:t>
      </w:r>
      <w:r w:rsidRPr="007E05E6">
        <w:rPr>
          <w:sz w:val="20"/>
          <w:szCs w:val="20"/>
          <w:vertAlign w:val="superscript"/>
        </w:rPr>
        <w:endnoteReference w:id="282"/>
      </w:r>
    </w:p>
    <w:p w14:paraId="37860341" w14:textId="175F35F5" w:rsidR="00F1522E" w:rsidRDefault="00486042" w:rsidP="00F358AF">
      <w:pPr>
        <w:pStyle w:val="ListNumber2"/>
        <w:numPr>
          <w:ilvl w:val="0"/>
          <w:numId w:val="0"/>
        </w:numPr>
        <w:ind w:left="1094"/>
      </w:pPr>
      <w:r>
        <w:t xml:space="preserve">The </w:t>
      </w:r>
      <w:r w:rsidR="00D854C8">
        <w:t xml:space="preserve">Minister for Home Affairs </w:t>
      </w:r>
      <w:r>
        <w:t xml:space="preserve">bears the onus of satisfying the Court </w:t>
      </w:r>
      <w:r w:rsidR="00F358AF">
        <w:t>of each of these matters.</w:t>
      </w:r>
      <w:r w:rsidRPr="00486042">
        <w:rPr>
          <w:sz w:val="20"/>
          <w:szCs w:val="20"/>
          <w:vertAlign w:val="superscript"/>
        </w:rPr>
        <w:endnoteReference w:id="283"/>
      </w:r>
    </w:p>
    <w:p w14:paraId="37448FB9" w14:textId="494E14B0" w:rsidR="002D772A" w:rsidRDefault="00A6218A" w:rsidP="00F1522E">
      <w:pPr>
        <w:pStyle w:val="ListNumber2"/>
        <w:tabs>
          <w:tab w:val="clear" w:pos="643"/>
          <w:tab w:val="num" w:pos="1080"/>
        </w:tabs>
        <w:ind w:left="1080" w:hanging="797"/>
      </w:pPr>
      <w:r>
        <w:t xml:space="preserve">The Court may appoint </w:t>
      </w:r>
      <w:r w:rsidR="009B1BD8">
        <w:t>an expert to conduct a risk assessment of the offender.</w:t>
      </w:r>
      <w:r w:rsidR="009B1BD8">
        <w:rPr>
          <w:rStyle w:val="EndnoteReference"/>
        </w:rPr>
        <w:endnoteReference w:id="284"/>
      </w:r>
      <w:r w:rsidR="005A627C">
        <w:t xml:space="preserve">  </w:t>
      </w:r>
      <w:r w:rsidR="007478AF">
        <w:t>There is a broad, inclusive definition of ‘relevant expert’.</w:t>
      </w:r>
      <w:r w:rsidR="007478AF">
        <w:rPr>
          <w:rStyle w:val="EndnoteReference"/>
        </w:rPr>
        <w:endnoteReference w:id="285"/>
      </w:r>
      <w:r w:rsidR="007478AF">
        <w:t xml:space="preserve">  </w:t>
      </w:r>
      <w:r w:rsidR="005A627C">
        <w:t>The</w:t>
      </w:r>
      <w:r w:rsidR="00C23818">
        <w:t xml:space="preserve"> Commission is not aware of any </w:t>
      </w:r>
      <w:r w:rsidR="005A627C">
        <w:t xml:space="preserve">processes </w:t>
      </w:r>
      <w:r w:rsidR="00C23818">
        <w:t xml:space="preserve">that are currently </w:t>
      </w:r>
      <w:r w:rsidR="005A627C">
        <w:t xml:space="preserve">in place </w:t>
      </w:r>
      <w:r w:rsidR="00A015AC">
        <w:t>relating to the identification, training and qualification of relevant experts.</w:t>
      </w:r>
    </w:p>
    <w:p w14:paraId="4D22642A" w14:textId="1321579E" w:rsidR="00F1522E" w:rsidRDefault="00176CAB" w:rsidP="00F1522E">
      <w:pPr>
        <w:pStyle w:val="ListNumber2"/>
        <w:tabs>
          <w:tab w:val="clear" w:pos="643"/>
          <w:tab w:val="num" w:pos="1080"/>
        </w:tabs>
        <w:ind w:left="1080" w:hanging="797"/>
      </w:pPr>
      <w:r>
        <w:t>T</w:t>
      </w:r>
      <w:r w:rsidR="00F1522E">
        <w:t xml:space="preserve">he period for a </w:t>
      </w:r>
      <w:r w:rsidR="006F399F">
        <w:t>CDO</w:t>
      </w:r>
      <w:r w:rsidR="00F1522E">
        <w:t xml:space="preserve"> must be limited to a period that the Court is satisfied is reasonably necessary to prevent the unacceptable risk, and any single </w:t>
      </w:r>
      <w:r w:rsidR="006F399F">
        <w:t>CDO</w:t>
      </w:r>
      <w:r w:rsidR="00F1522E">
        <w:t xml:space="preserve"> must be no longer than </w:t>
      </w:r>
      <w:r w:rsidR="00BC1715">
        <w:t xml:space="preserve">three </w:t>
      </w:r>
      <w:r w:rsidR="00F1522E">
        <w:t xml:space="preserve">years (noting that a further </w:t>
      </w:r>
      <w:r w:rsidR="006F399F">
        <w:t>CDO</w:t>
      </w:r>
      <w:r w:rsidR="00F1522E">
        <w:t xml:space="preserve"> can be applied for within </w:t>
      </w:r>
      <w:r w:rsidR="00E02FEF">
        <w:t>12</w:t>
      </w:r>
      <w:r w:rsidR="00F1522E">
        <w:t xml:space="preserve"> months of the expiry of a previous </w:t>
      </w:r>
      <w:r w:rsidR="006F399F">
        <w:t>CDO</w:t>
      </w:r>
      <w:r w:rsidR="00F1522E">
        <w:t>)</w:t>
      </w:r>
      <w:r>
        <w:t>.</w:t>
      </w:r>
      <w:r w:rsidR="00F1522E" w:rsidRPr="00176CAB">
        <w:rPr>
          <w:sz w:val="20"/>
          <w:szCs w:val="20"/>
          <w:vertAlign w:val="superscript"/>
        </w:rPr>
        <w:endnoteReference w:id="286"/>
      </w:r>
    </w:p>
    <w:p w14:paraId="2F8E9011" w14:textId="121CDB26" w:rsidR="002A12D9" w:rsidRDefault="002F0815" w:rsidP="00F1522E">
      <w:pPr>
        <w:pStyle w:val="ListNumber2"/>
        <w:tabs>
          <w:tab w:val="clear" w:pos="643"/>
          <w:tab w:val="num" w:pos="1080"/>
        </w:tabs>
        <w:ind w:left="1080" w:hanging="797"/>
      </w:pPr>
      <w:r>
        <w:t>Because a CDO is a civil order, a</w:t>
      </w:r>
      <w:r w:rsidR="00026045">
        <w:t xml:space="preserve"> </w:t>
      </w:r>
      <w:r>
        <w:t xml:space="preserve">person detained under a CDO must be treated in a way that is appropriate to his or her status as a person who </w:t>
      </w:r>
      <w:r w:rsidR="009E5206">
        <w:t>is not serving a sentence of imprisonment, subject to any reasonable requirements necessary to maintain</w:t>
      </w:r>
      <w:r w:rsidR="002A12D9">
        <w:t>:</w:t>
      </w:r>
    </w:p>
    <w:p w14:paraId="5FD089D1" w14:textId="77777777" w:rsidR="002A12D9" w:rsidRDefault="009E5206" w:rsidP="002A12D9">
      <w:pPr>
        <w:pStyle w:val="ListNumber2"/>
        <w:numPr>
          <w:ilvl w:val="0"/>
          <w:numId w:val="14"/>
        </w:numPr>
      </w:pPr>
      <w:r>
        <w:t xml:space="preserve">the management, security </w:t>
      </w:r>
      <w:r w:rsidR="002A12D9">
        <w:t xml:space="preserve">or good order of the prison, </w:t>
      </w:r>
    </w:p>
    <w:p w14:paraId="0582EF0C" w14:textId="34635250" w:rsidR="00337D4A" w:rsidRDefault="002A12D9" w:rsidP="002A12D9">
      <w:pPr>
        <w:pStyle w:val="ListNumber2"/>
        <w:numPr>
          <w:ilvl w:val="0"/>
          <w:numId w:val="14"/>
        </w:numPr>
      </w:pPr>
      <w:r>
        <w:t>the safe custody or welfare of the offender or any prisoners</w:t>
      </w:r>
    </w:p>
    <w:p w14:paraId="146CC9D3" w14:textId="44A0665A" w:rsidR="00A54689" w:rsidRDefault="00A54689" w:rsidP="00A54689">
      <w:pPr>
        <w:pStyle w:val="ListNumber2"/>
        <w:numPr>
          <w:ilvl w:val="0"/>
          <w:numId w:val="14"/>
        </w:numPr>
      </w:pPr>
      <w:r>
        <w:t>the safety and protection of the community.</w:t>
      </w:r>
      <w:r>
        <w:rPr>
          <w:rStyle w:val="EndnoteReference"/>
        </w:rPr>
        <w:endnoteReference w:id="287"/>
      </w:r>
    </w:p>
    <w:p w14:paraId="27DC9442" w14:textId="012B0252" w:rsidR="00A54689" w:rsidRDefault="00A54689" w:rsidP="00F1522E">
      <w:pPr>
        <w:pStyle w:val="ListNumber2"/>
        <w:tabs>
          <w:tab w:val="clear" w:pos="643"/>
          <w:tab w:val="num" w:pos="1080"/>
        </w:tabs>
        <w:ind w:left="1080" w:hanging="797"/>
      </w:pPr>
      <w:r>
        <w:t xml:space="preserve">The Commission is not aware of processes </w:t>
      </w:r>
      <w:r w:rsidR="000137DD">
        <w:t xml:space="preserve">that </w:t>
      </w:r>
      <w:r>
        <w:t>have been put in place to ensure compliance with this requirement.</w:t>
      </w:r>
    </w:p>
    <w:p w14:paraId="3B698982" w14:textId="46C7EC5C" w:rsidR="00F1522E" w:rsidRDefault="00323C2D" w:rsidP="00F1522E">
      <w:pPr>
        <w:pStyle w:val="ListNumber2"/>
        <w:tabs>
          <w:tab w:val="clear" w:pos="643"/>
          <w:tab w:val="num" w:pos="1080"/>
        </w:tabs>
        <w:ind w:left="1080" w:hanging="797"/>
      </w:pPr>
      <w:r>
        <w:t>T</w:t>
      </w:r>
      <w:r w:rsidR="00F1522E">
        <w:t xml:space="preserve">he Supreme Court must conduct a review of each </w:t>
      </w:r>
      <w:r w:rsidR="006F399F">
        <w:t>CDO</w:t>
      </w:r>
      <w:r w:rsidR="00F1522E">
        <w:t xml:space="preserve"> </w:t>
      </w:r>
      <w:r w:rsidR="00912E9C">
        <w:t>at least annually (or on application</w:t>
      </w:r>
      <w:r w:rsidR="002D72FC">
        <w:t xml:space="preserve"> if there are changed circumstances) for the purpose of determining whether it should continue in force.  The Court </w:t>
      </w:r>
      <w:r w:rsidR="00F1522E">
        <w:t xml:space="preserve">may </w:t>
      </w:r>
      <w:r w:rsidR="00F1522E" w:rsidRPr="00F1522E">
        <w:t>affirm</w:t>
      </w:r>
      <w:r w:rsidR="00F1522E">
        <w:t xml:space="preserve"> the order </w:t>
      </w:r>
      <w:r w:rsidR="000137DD">
        <w:t xml:space="preserve">only </w:t>
      </w:r>
      <w:r w:rsidR="00F1522E">
        <w:t>if</w:t>
      </w:r>
      <w:r w:rsidR="000137DD">
        <w:t>,</w:t>
      </w:r>
      <w:r w:rsidR="00F1522E">
        <w:t xml:space="preserve"> at the time of the review</w:t>
      </w:r>
      <w:r w:rsidR="000137DD">
        <w:t>,</w:t>
      </w:r>
      <w:r w:rsidR="00F1522E">
        <w:t xml:space="preserve"> the Court is satisfied</w:t>
      </w:r>
      <w:r w:rsidR="008B0BC2">
        <w:t xml:space="preserve"> that the grounds for making the order </w:t>
      </w:r>
      <w:r w:rsidR="00537417">
        <w:t>remain and there are no less restrictive alternatives that would be effective in preventing the unacceptable risk.</w:t>
      </w:r>
      <w:r w:rsidR="00537417" w:rsidRPr="00537417">
        <w:rPr>
          <w:sz w:val="20"/>
          <w:szCs w:val="20"/>
          <w:vertAlign w:val="superscript"/>
        </w:rPr>
        <w:endnoteReference w:id="288"/>
      </w:r>
    </w:p>
    <w:p w14:paraId="4C418D83" w14:textId="0A401841" w:rsidR="00F1522E" w:rsidRDefault="00D75ECB" w:rsidP="00F1522E">
      <w:pPr>
        <w:pStyle w:val="ListNumber2"/>
        <w:tabs>
          <w:tab w:val="clear" w:pos="643"/>
          <w:tab w:val="num" w:pos="1080"/>
        </w:tabs>
        <w:ind w:left="1080" w:hanging="797"/>
      </w:pPr>
      <w:r>
        <w:t>T</w:t>
      </w:r>
      <w:r w:rsidR="00F1522E">
        <w:t xml:space="preserve">he Court must give reasons for any decision making, affirming, varying or revoking a </w:t>
      </w:r>
      <w:r w:rsidR="0085030B">
        <w:t>CDO</w:t>
      </w:r>
      <w:r w:rsidR="00F1522E">
        <w:t xml:space="preserve"> and provide a copy to the parties,</w:t>
      </w:r>
      <w:r w:rsidR="00F1522E" w:rsidRPr="00D75ECB">
        <w:rPr>
          <w:sz w:val="20"/>
          <w:szCs w:val="20"/>
          <w:vertAlign w:val="superscript"/>
        </w:rPr>
        <w:endnoteReference w:id="289"/>
      </w:r>
      <w:r w:rsidR="00F1522E">
        <w:t xml:space="preserve"> and these decisions can be the subject of an appeal.</w:t>
      </w:r>
      <w:r w:rsidR="00F1522E" w:rsidRPr="00D75ECB">
        <w:rPr>
          <w:sz w:val="20"/>
          <w:szCs w:val="20"/>
          <w:vertAlign w:val="superscript"/>
        </w:rPr>
        <w:endnoteReference w:id="290"/>
      </w:r>
    </w:p>
    <w:p w14:paraId="27884218" w14:textId="5F73DE51" w:rsidR="00216A7F" w:rsidRDefault="00216A7F" w:rsidP="00216A7F">
      <w:pPr>
        <w:pStyle w:val="Heading2"/>
      </w:pPr>
      <w:bookmarkStart w:id="54" w:name="_Toc50633840"/>
      <w:r>
        <w:lastRenderedPageBreak/>
        <w:t>Use of provisions</w:t>
      </w:r>
      <w:bookmarkEnd w:id="54"/>
    </w:p>
    <w:p w14:paraId="7B24B0C0" w14:textId="622A9D93" w:rsidR="00216A7F" w:rsidRDefault="00216A7F" w:rsidP="00C144AB">
      <w:pPr>
        <w:pStyle w:val="ListNumber2"/>
        <w:tabs>
          <w:tab w:val="clear" w:pos="643"/>
          <w:tab w:val="num" w:pos="1080"/>
        </w:tabs>
        <w:ind w:left="1080" w:hanging="797"/>
      </w:pPr>
      <w:r>
        <w:t xml:space="preserve">Division 105A </w:t>
      </w:r>
      <w:r w:rsidR="00BF3141">
        <w:t>was added to the Criminal Code on 7 December 2016 and commenced six months later on 7 June 2017.</w:t>
      </w:r>
    </w:p>
    <w:p w14:paraId="5A22C898" w14:textId="062D60FC" w:rsidR="00C97462" w:rsidRDefault="00BF3141" w:rsidP="00C144AB">
      <w:pPr>
        <w:pStyle w:val="ListNumber2"/>
        <w:tabs>
          <w:tab w:val="clear" w:pos="643"/>
          <w:tab w:val="num" w:pos="1080"/>
        </w:tabs>
        <w:ind w:left="1080" w:hanging="797"/>
      </w:pPr>
      <w:r>
        <w:t xml:space="preserve">The Commission is not aware of any application that </w:t>
      </w:r>
      <w:r w:rsidR="004255F8">
        <w:t xml:space="preserve">has been made for a </w:t>
      </w:r>
      <w:r w:rsidR="003D483D">
        <w:t>CDO</w:t>
      </w:r>
      <w:r w:rsidR="004255F8">
        <w:t xml:space="preserve">.  According to media reports, </w:t>
      </w:r>
      <w:r w:rsidR="001E493E">
        <w:t xml:space="preserve">the Commonwealth has written to </w:t>
      </w:r>
      <w:r w:rsidR="005A4F07">
        <w:t xml:space="preserve">Mr </w:t>
      </w:r>
      <w:r w:rsidR="005A4F07" w:rsidRPr="005A4F07">
        <w:t xml:space="preserve">Abdul </w:t>
      </w:r>
      <w:proofErr w:type="spellStart"/>
      <w:r w:rsidR="005A4F07" w:rsidRPr="005A4F07">
        <w:t>Nacer</w:t>
      </w:r>
      <w:proofErr w:type="spellEnd"/>
      <w:r w:rsidR="005A4F07" w:rsidRPr="005A4F07">
        <w:t xml:space="preserve"> </w:t>
      </w:r>
      <w:proofErr w:type="spellStart"/>
      <w:r w:rsidR="005A4F07" w:rsidRPr="005A4F07">
        <w:t>Benbrika</w:t>
      </w:r>
      <w:proofErr w:type="spellEnd"/>
      <w:r w:rsidR="005A4F07">
        <w:t xml:space="preserve"> </w:t>
      </w:r>
      <w:r w:rsidR="001E493E">
        <w:t xml:space="preserve">to inform him that the Home Affairs Minister </w:t>
      </w:r>
      <w:r w:rsidR="00FE3555">
        <w:t>is</w:t>
      </w:r>
      <w:r w:rsidR="001E493E" w:rsidRPr="001E493E">
        <w:t xml:space="preserve"> considering whether to apply to the Victorian Supreme Court for a CDO</w:t>
      </w:r>
      <w:r w:rsidR="00FE3555">
        <w:t xml:space="preserve"> in relation to him</w:t>
      </w:r>
      <w:r w:rsidR="001E493E" w:rsidRPr="001E493E">
        <w:t>.</w:t>
      </w:r>
      <w:r w:rsidR="00F84350">
        <w:rPr>
          <w:rStyle w:val="EndnoteReference"/>
        </w:rPr>
        <w:endnoteReference w:id="291"/>
      </w:r>
      <w:r w:rsidR="001E493E">
        <w:t xml:space="preserve">  Mr </w:t>
      </w:r>
      <w:proofErr w:type="spellStart"/>
      <w:r w:rsidR="001E493E">
        <w:t>Benbrika</w:t>
      </w:r>
      <w:proofErr w:type="spellEnd"/>
      <w:r w:rsidR="001E493E">
        <w:t xml:space="preserve"> </w:t>
      </w:r>
      <w:r w:rsidR="00136915">
        <w:t xml:space="preserve">was convicted of directing </w:t>
      </w:r>
      <w:r w:rsidR="00C80A7D">
        <w:t xml:space="preserve">activities, </w:t>
      </w:r>
      <w:r w:rsidR="00136915">
        <w:t>and being a member</w:t>
      </w:r>
      <w:r w:rsidR="00C80A7D">
        <w:t>,</w:t>
      </w:r>
      <w:r w:rsidR="00136915">
        <w:t xml:space="preserve"> of a terrorist organisation contrary to ss </w:t>
      </w:r>
      <w:r w:rsidR="00C80A7D">
        <w:t xml:space="preserve">102.2(1) and 103.2(1) </w:t>
      </w:r>
      <w:r w:rsidR="00C97462">
        <w:t>of the Criminal Code.  He</w:t>
      </w:r>
      <w:r w:rsidR="005A4F07">
        <w:t xml:space="preserve"> was </w:t>
      </w:r>
      <w:r w:rsidR="0051301D">
        <w:t xml:space="preserve">sentenced to </w:t>
      </w:r>
      <w:r w:rsidR="00EB2216">
        <w:t>15 years imprisonment</w:t>
      </w:r>
      <w:r w:rsidR="00630253">
        <w:t>,</w:t>
      </w:r>
      <w:r w:rsidR="00EB2216">
        <w:t xml:space="preserve"> with a </w:t>
      </w:r>
      <w:r w:rsidR="0051301D">
        <w:t>12</w:t>
      </w:r>
      <w:r w:rsidR="00A93116">
        <w:t>-</w:t>
      </w:r>
      <w:r w:rsidR="0051301D">
        <w:t>year</w:t>
      </w:r>
      <w:r w:rsidR="00EB2216">
        <w:t xml:space="preserve"> non-parole period</w:t>
      </w:r>
      <w:r w:rsidR="00630253">
        <w:t xml:space="preserve">, which </w:t>
      </w:r>
      <w:r w:rsidR="00C43C08">
        <w:t>the Commission</w:t>
      </w:r>
      <w:r w:rsidR="001338E5">
        <w:t xml:space="preserve"> understand</w:t>
      </w:r>
      <w:r w:rsidR="00C43C08">
        <w:t>s</w:t>
      </w:r>
      <w:r w:rsidR="001338E5">
        <w:t xml:space="preserve"> is due to expire in November 2020</w:t>
      </w:r>
      <w:r w:rsidR="009171ED">
        <w:t>.</w:t>
      </w:r>
      <w:r w:rsidR="009171ED">
        <w:rPr>
          <w:rStyle w:val="EndnoteReference"/>
        </w:rPr>
        <w:endnoteReference w:id="292"/>
      </w:r>
      <w:r w:rsidR="0051301D">
        <w:t xml:space="preserve"> </w:t>
      </w:r>
      <w:r w:rsidR="00432DE1">
        <w:t xml:space="preserve"> According to media reports, he </w:t>
      </w:r>
      <w:r w:rsidR="00432DE1" w:rsidRPr="008D62AB">
        <w:t>has been asked to undergo interviews with a forensic psychologist</w:t>
      </w:r>
      <w:r w:rsidR="00432DE1">
        <w:t>.</w:t>
      </w:r>
    </w:p>
    <w:p w14:paraId="3D91C07F" w14:textId="6690DDC9" w:rsidR="00865991" w:rsidRDefault="00865991" w:rsidP="00C144AB">
      <w:pPr>
        <w:pStyle w:val="ListNumber2"/>
        <w:tabs>
          <w:tab w:val="clear" w:pos="643"/>
          <w:tab w:val="num" w:pos="1080"/>
        </w:tabs>
        <w:ind w:left="1080" w:hanging="797"/>
      </w:pPr>
      <w:r>
        <w:t xml:space="preserve">The Commission is aware of </w:t>
      </w:r>
      <w:r w:rsidR="001B1AAC">
        <w:t xml:space="preserve">approximately ten </w:t>
      </w:r>
      <w:r w:rsidR="008E7F33">
        <w:t xml:space="preserve">cases since these provisions were introduced where a person has been convicted of an offence to which </w:t>
      </w:r>
      <w:proofErr w:type="spellStart"/>
      <w:r w:rsidR="008E7F33">
        <w:t>Div</w:t>
      </w:r>
      <w:proofErr w:type="spellEnd"/>
      <w:r w:rsidR="008E7F33">
        <w:t xml:space="preserve"> 105A could apply, and where the offender was given a warning by the Court to that effect under s 105A.23.</w:t>
      </w:r>
    </w:p>
    <w:p w14:paraId="5E995C88" w14:textId="52DEDBCE" w:rsidR="00FA09A0" w:rsidRDefault="00FA09A0" w:rsidP="00C144AB">
      <w:pPr>
        <w:pStyle w:val="ListNumber2"/>
        <w:tabs>
          <w:tab w:val="clear" w:pos="643"/>
          <w:tab w:val="num" w:pos="1080"/>
        </w:tabs>
        <w:ind w:left="1080" w:hanging="797"/>
      </w:pPr>
      <w:r>
        <w:t>The Commission is also aware of a number of cases since these provisions were introduced where a person convicted of a relevant terrorism offence has been released at the end of their sentence without any CDO being applied for.</w:t>
      </w:r>
      <w:r w:rsidR="002D47B5">
        <w:t xml:space="preserve">  In </w:t>
      </w:r>
      <w:r w:rsidR="0078075E">
        <w:t xml:space="preserve">eight </w:t>
      </w:r>
      <w:r w:rsidR="002D47B5">
        <w:t xml:space="preserve">cases, the </w:t>
      </w:r>
      <w:r w:rsidR="00D267D8">
        <w:t xml:space="preserve">AFP has sought and obtained control orders in relation to those </w:t>
      </w:r>
      <w:r w:rsidR="002D47B5">
        <w:t>offenders</w:t>
      </w:r>
      <w:r w:rsidR="00A30D18">
        <w:t xml:space="preserve"> at the time that they were released</w:t>
      </w:r>
      <w:r w:rsidR="00D267D8">
        <w:t>.</w:t>
      </w:r>
      <w:r w:rsidR="00794E17">
        <w:rPr>
          <w:rStyle w:val="EndnoteReference"/>
        </w:rPr>
        <w:endnoteReference w:id="293"/>
      </w:r>
      <w:r w:rsidR="00A30D18">
        <w:t xml:space="preserve">  As discussed </w:t>
      </w:r>
      <w:r w:rsidR="00065B06">
        <w:t xml:space="preserve">in section </w:t>
      </w:r>
      <w:r w:rsidR="00065B06">
        <w:fldChar w:fldCharType="begin"/>
      </w:r>
      <w:r w:rsidR="00065B06">
        <w:instrText xml:space="preserve"> REF _Ref49525242 \r \h </w:instrText>
      </w:r>
      <w:r w:rsidR="00065B06">
        <w:fldChar w:fldCharType="separate"/>
      </w:r>
      <w:r w:rsidR="00381A9B">
        <w:t>6</w:t>
      </w:r>
      <w:r w:rsidR="00065B06">
        <w:fldChar w:fldCharType="end"/>
      </w:r>
      <w:r w:rsidR="00065B06">
        <w:t xml:space="preserve"> of this submission, the Commission submits that the use of control orders in these circumstances is the proper scope for control orders</w:t>
      </w:r>
      <w:r w:rsidR="004E3B43">
        <w:t xml:space="preserve"> (or </w:t>
      </w:r>
      <w:r w:rsidR="003D483D">
        <w:t>ESOs</w:t>
      </w:r>
      <w:r w:rsidR="004E3B43">
        <w:t>)</w:t>
      </w:r>
      <w:r w:rsidR="00D25E8A">
        <w:t xml:space="preserve"> where the person being released continues to pose an unacceptable risk to the community</w:t>
      </w:r>
      <w:r w:rsidR="00065B06">
        <w:t>.</w:t>
      </w:r>
    </w:p>
    <w:p w14:paraId="1A3D5809" w14:textId="4A56B994" w:rsidR="007E4498" w:rsidRDefault="007E4498" w:rsidP="007E4498">
      <w:pPr>
        <w:pStyle w:val="Heading2"/>
      </w:pPr>
      <w:bookmarkStart w:id="55" w:name="_Toc50633841"/>
      <w:r>
        <w:t>Consideration</w:t>
      </w:r>
      <w:bookmarkEnd w:id="55"/>
    </w:p>
    <w:p w14:paraId="73914562" w14:textId="36D87015" w:rsidR="00A5789A" w:rsidRDefault="00B761F2" w:rsidP="00B761F2">
      <w:pPr>
        <w:pStyle w:val="Heading3"/>
      </w:pPr>
      <w:bookmarkStart w:id="56" w:name="_Toc50633842"/>
      <w:r>
        <w:t>Scope of offences</w:t>
      </w:r>
      <w:bookmarkEnd w:id="56"/>
    </w:p>
    <w:p w14:paraId="28509385" w14:textId="44AA273D" w:rsidR="00B761F2" w:rsidRDefault="008A6DA0" w:rsidP="00C144AB">
      <w:pPr>
        <w:pStyle w:val="ListNumber2"/>
        <w:tabs>
          <w:tab w:val="clear" w:pos="643"/>
          <w:tab w:val="num" w:pos="1080"/>
        </w:tabs>
        <w:ind w:left="1080" w:hanging="797"/>
      </w:pPr>
      <w:r>
        <w:t xml:space="preserve">A key issue </w:t>
      </w:r>
      <w:r w:rsidR="000663D2">
        <w:t xml:space="preserve">is who the CDO regime </w:t>
      </w:r>
      <w:r w:rsidR="00760AB1">
        <w:t xml:space="preserve">should </w:t>
      </w:r>
      <w:r w:rsidR="000663D2">
        <w:t>appl</w:t>
      </w:r>
      <w:r w:rsidR="00760AB1">
        <w:t>y</w:t>
      </w:r>
      <w:r w:rsidR="000663D2">
        <w:t xml:space="preserve"> to</w:t>
      </w:r>
      <w:r>
        <w:t xml:space="preserve">.  </w:t>
      </w:r>
      <w:r w:rsidR="004544D2">
        <w:t>The regime applies to people who have committed certain kinds of terrorism related offences.</w:t>
      </w:r>
      <w:r w:rsidR="00AE0836">
        <w:rPr>
          <w:rStyle w:val="EndnoteReference"/>
        </w:rPr>
        <w:endnoteReference w:id="294"/>
      </w:r>
      <w:r w:rsidR="004544D2">
        <w:t xml:space="preserve">  </w:t>
      </w:r>
      <w:r>
        <w:t xml:space="preserve">The Commission submits that </w:t>
      </w:r>
      <w:r w:rsidR="00B85CD0">
        <w:t xml:space="preserve">the list of relevant offences should be limited to </w:t>
      </w:r>
      <w:r w:rsidR="00E87BCA">
        <w:t xml:space="preserve">only those </w:t>
      </w:r>
      <w:r>
        <w:t xml:space="preserve">offences where </w:t>
      </w:r>
      <w:r w:rsidR="00E87BCA">
        <w:t xml:space="preserve">the nature of the </w:t>
      </w:r>
      <w:r w:rsidR="00E87BCA">
        <w:lastRenderedPageBreak/>
        <w:t xml:space="preserve">offence gives rise to an inference that </w:t>
      </w:r>
      <w:r>
        <w:t xml:space="preserve">there </w:t>
      </w:r>
      <w:r w:rsidR="00E87BCA">
        <w:t xml:space="preserve">would be </w:t>
      </w:r>
      <w:r>
        <w:t>a high risk to community safety once a person is released after serving their term of imprisonment.</w:t>
      </w:r>
    </w:p>
    <w:p w14:paraId="32C4E879" w14:textId="4FD0F91E" w:rsidR="00B85CD0" w:rsidRDefault="00B85CD0" w:rsidP="00C144AB">
      <w:pPr>
        <w:pStyle w:val="ListNumber2"/>
        <w:tabs>
          <w:tab w:val="clear" w:pos="643"/>
          <w:tab w:val="num" w:pos="1080"/>
        </w:tabs>
        <w:ind w:left="1080" w:hanging="797"/>
      </w:pPr>
      <w:r>
        <w:t xml:space="preserve">At the </w:t>
      </w:r>
      <w:r w:rsidR="00926CB4">
        <w:t xml:space="preserve">2016 </w:t>
      </w:r>
      <w:r>
        <w:t>hearing</w:t>
      </w:r>
      <w:r w:rsidR="00926CB4">
        <w:t xml:space="preserve"> in relation to the Bill</w:t>
      </w:r>
      <w:r>
        <w:t xml:space="preserve">, the PJCIS accepted a submission from the Commission that </w:t>
      </w:r>
      <w:r w:rsidR="009F2436">
        <w:t xml:space="preserve">the regime should not apply to people convicted of </w:t>
      </w:r>
      <w:r>
        <w:t xml:space="preserve">offences </w:t>
      </w:r>
      <w:r w:rsidR="00CC3FB2">
        <w:t xml:space="preserve">in s 119.7(2) and (3) of the Criminal Code </w:t>
      </w:r>
      <w:r>
        <w:t xml:space="preserve">relating to </w:t>
      </w:r>
      <w:r w:rsidR="00CC3FB2">
        <w:t xml:space="preserve">publishing </w:t>
      </w:r>
      <w:r w:rsidR="006B13B1">
        <w:t xml:space="preserve">certain </w:t>
      </w:r>
      <w:r w:rsidR="00CC3FB2">
        <w:t>adver</w:t>
      </w:r>
      <w:r w:rsidR="009F2436">
        <w:t>tisements.</w:t>
      </w:r>
    </w:p>
    <w:p w14:paraId="16C6DD75" w14:textId="5DC3587F" w:rsidR="0017002A" w:rsidRDefault="009F2436" w:rsidP="00C144AB">
      <w:pPr>
        <w:pStyle w:val="ListNumber2"/>
        <w:tabs>
          <w:tab w:val="clear" w:pos="643"/>
          <w:tab w:val="num" w:pos="1080"/>
        </w:tabs>
        <w:ind w:left="1080" w:hanging="797"/>
      </w:pPr>
      <w:r>
        <w:t xml:space="preserve">The Commission also submitted that the regime should not apply to </w:t>
      </w:r>
      <w:r w:rsidR="00CC6084">
        <w:t xml:space="preserve">people convicted of </w:t>
      </w:r>
      <w:r>
        <w:t xml:space="preserve">the </w:t>
      </w:r>
      <w:r w:rsidR="00CC6084">
        <w:t xml:space="preserve">offence in s 119.2 of the Criminal Code, dealing with entering, or remaining in, declared areas.  </w:t>
      </w:r>
      <w:r w:rsidR="00830858">
        <w:t xml:space="preserve">This is one of a </w:t>
      </w:r>
      <w:r w:rsidR="005E0106">
        <w:t xml:space="preserve">range of ‘declared area </w:t>
      </w:r>
      <w:proofErr w:type="gramStart"/>
      <w:r w:rsidR="005E0106">
        <w:t>provisions’</w:t>
      </w:r>
      <w:proofErr w:type="gramEnd"/>
      <w:r w:rsidR="005E0106">
        <w:t xml:space="preserve">.  The </w:t>
      </w:r>
      <w:r w:rsidR="007C3975">
        <w:t>particular</w:t>
      </w:r>
      <w:r w:rsidR="005E0106">
        <w:t xml:space="preserve"> </w:t>
      </w:r>
      <w:r w:rsidR="004B71B8">
        <w:t xml:space="preserve">offence </w:t>
      </w:r>
      <w:r w:rsidR="007C3975">
        <w:t xml:space="preserve">in s 119.2 </w:t>
      </w:r>
      <w:r w:rsidR="004B71B8">
        <w:t>does not require any i</w:t>
      </w:r>
      <w:r w:rsidR="004B71B8" w:rsidRPr="00360B6E">
        <w:t>ntent to engage in terrorist activity, or any other insurgent or violent activity</w:t>
      </w:r>
      <w:r w:rsidR="004B71B8">
        <w:t>.  T</w:t>
      </w:r>
      <w:r w:rsidR="004B71B8" w:rsidRPr="00617BBE">
        <w:t>he</w:t>
      </w:r>
      <w:r w:rsidR="004B71B8">
        <w:t xml:space="preserve">re is a </w:t>
      </w:r>
      <w:r w:rsidR="004B71B8" w:rsidRPr="00617BBE">
        <w:t>list of legitimate purposes for which a person may enter or remain in a declared area</w:t>
      </w:r>
      <w:r w:rsidR="004B71B8">
        <w:t xml:space="preserve"> in s 119.2(3), but this list is limited.  </w:t>
      </w:r>
      <w:r w:rsidR="004B71B8" w:rsidRPr="00617BBE">
        <w:t xml:space="preserve">For instance, </w:t>
      </w:r>
      <w:r w:rsidR="004B71B8">
        <w:t>the list of legitimate purposes</w:t>
      </w:r>
      <w:r w:rsidR="004B71B8" w:rsidRPr="00617BBE">
        <w:t xml:space="preserve"> does not include visiting friends, transacting business, retrieving personal property or attending to </w:t>
      </w:r>
      <w:r w:rsidR="004B71B8">
        <w:t xml:space="preserve">personal or financial affairs. </w:t>
      </w:r>
      <w:r w:rsidR="0003659C">
        <w:t xml:space="preserve"> </w:t>
      </w:r>
      <w:r w:rsidR="004B71B8" w:rsidRPr="00617BBE">
        <w:t>It includes making a news report, but only if the person is ‘working in a professio</w:t>
      </w:r>
      <w:r w:rsidR="004B71B8">
        <w:t xml:space="preserve">nal capacity as a journalist’. </w:t>
      </w:r>
      <w:r w:rsidR="0003659C">
        <w:t xml:space="preserve"> </w:t>
      </w:r>
      <w:r w:rsidR="004B71B8" w:rsidRPr="00617BBE">
        <w:t>It does not include undertaking religious pilgrimage.</w:t>
      </w:r>
    </w:p>
    <w:p w14:paraId="2CC41EA1" w14:textId="34F27F64" w:rsidR="00097EB5" w:rsidRDefault="00097EB5" w:rsidP="00097EB5">
      <w:pPr>
        <w:pStyle w:val="ListNumber2"/>
        <w:tabs>
          <w:tab w:val="clear" w:pos="643"/>
          <w:tab w:val="num" w:pos="1080"/>
        </w:tabs>
        <w:ind w:left="1080" w:hanging="797"/>
      </w:pPr>
      <w:r>
        <w:t>As a result, t</w:t>
      </w:r>
      <w:r w:rsidRPr="00617BBE">
        <w:t>here are</w:t>
      </w:r>
      <w:r>
        <w:t xml:space="preserve"> </w:t>
      </w:r>
      <w:r w:rsidRPr="00617BBE">
        <w:t xml:space="preserve">likely to be many innocent reasons a person might enter or remain in a declared zone that would not bring a person within the scope of the exception in </w:t>
      </w:r>
      <w:r>
        <w:t xml:space="preserve">s 119.2(3). </w:t>
      </w:r>
      <w:r w:rsidR="0003659C">
        <w:t xml:space="preserve"> </w:t>
      </w:r>
      <w:r>
        <w:t xml:space="preserve">Further, in order to come within the exception, </w:t>
      </w:r>
      <w:r w:rsidRPr="00617BBE">
        <w:t xml:space="preserve">a person </w:t>
      </w:r>
      <w:r>
        <w:t xml:space="preserve">is </w:t>
      </w:r>
      <w:r w:rsidRPr="00617BBE">
        <w:t xml:space="preserve">required to show they were in the zone </w:t>
      </w:r>
      <w:r w:rsidRPr="00097EB5">
        <w:t>solely</w:t>
      </w:r>
      <w:r w:rsidRPr="00617BBE">
        <w:t xml:space="preserve"> for </w:t>
      </w:r>
      <w:r>
        <w:t xml:space="preserve">one or more of the limited </w:t>
      </w:r>
      <w:r w:rsidRPr="00617BBE">
        <w:t xml:space="preserve">specified </w:t>
      </w:r>
      <w:r>
        <w:t xml:space="preserve">purposes. </w:t>
      </w:r>
      <w:r w:rsidR="0003659C">
        <w:t xml:space="preserve"> </w:t>
      </w:r>
      <w:r w:rsidRPr="00617BBE">
        <w:t>So, for instance, if a person travelled to a declared zone to visit their parents</w:t>
      </w:r>
      <w:r>
        <w:t xml:space="preserve"> (a ‘legitimate purpose’)</w:t>
      </w:r>
      <w:r w:rsidRPr="00617BBE">
        <w:t>, and also to attend a friend’s wedding</w:t>
      </w:r>
      <w:r>
        <w:t xml:space="preserve"> (not a ‘legitimate purpose’)</w:t>
      </w:r>
      <w:r w:rsidRPr="00617BBE">
        <w:t>, they would not be protected by the exception.</w:t>
      </w:r>
    </w:p>
    <w:p w14:paraId="7AD7D6E2" w14:textId="01077CDF" w:rsidR="00097EB5" w:rsidRDefault="00097EB5" w:rsidP="00097EB5">
      <w:pPr>
        <w:pStyle w:val="ListNumber2"/>
        <w:tabs>
          <w:tab w:val="clear" w:pos="643"/>
          <w:tab w:val="num" w:pos="1080"/>
        </w:tabs>
        <w:ind w:left="1080" w:hanging="797"/>
      </w:pPr>
      <w:r>
        <w:t xml:space="preserve">Given the scope and nature of this offence, the Commission considers that there is not a sufficient basis for it to be included in a post-sentence preventative detention regime. </w:t>
      </w:r>
      <w:r w:rsidR="0003659C">
        <w:t xml:space="preserve"> </w:t>
      </w:r>
      <w:r>
        <w:t xml:space="preserve">Satisfaction of the elements of this offence does not give rise to an inference that a person poses a risk to community safety. </w:t>
      </w:r>
      <w:r w:rsidR="005333A8">
        <w:t xml:space="preserve"> </w:t>
      </w:r>
      <w:r>
        <w:t>In any event, the breadth of this offence provision means that there are many situations in which a convicted person would not pose a relevant risk to community safety.</w:t>
      </w:r>
    </w:p>
    <w:p w14:paraId="5A07C9BA" w14:textId="28ED7221" w:rsidR="001D1854" w:rsidRDefault="001D1854" w:rsidP="00097EB5">
      <w:pPr>
        <w:pStyle w:val="ListNumber2"/>
        <w:tabs>
          <w:tab w:val="clear" w:pos="643"/>
          <w:tab w:val="num" w:pos="1080"/>
        </w:tabs>
        <w:ind w:left="1080" w:hanging="797"/>
      </w:pPr>
      <w:r>
        <w:lastRenderedPageBreak/>
        <w:t>Based on the joint agency submission to the present inquiry, there is only one person due for release in the next five years who has been convicted of an offence against s 119</w:t>
      </w:r>
      <w:r w:rsidR="00464569">
        <w:t>.</w:t>
      </w:r>
      <w:r>
        <w:t xml:space="preserve">2, but this person has also been convicted of </w:t>
      </w:r>
      <w:r w:rsidR="004E5BB0">
        <w:t>a</w:t>
      </w:r>
      <w:r>
        <w:t xml:space="preserve"> </w:t>
      </w:r>
      <w:r w:rsidR="00446BAD">
        <w:t>more serious offence under s 119</w:t>
      </w:r>
      <w:r w:rsidR="00D96A7B">
        <w:t>.1(2) (incursions into foreign countries with the intention of engaging in hostile activities)</w:t>
      </w:r>
      <w:r w:rsidR="00D211CE">
        <w:t>.</w:t>
      </w:r>
      <w:r w:rsidR="00390A56">
        <w:rPr>
          <w:rStyle w:val="EndnoteReference"/>
        </w:rPr>
        <w:endnoteReference w:id="295"/>
      </w:r>
      <w:r w:rsidR="00D211CE">
        <w:t xml:space="preserve">  </w:t>
      </w:r>
      <w:r w:rsidR="00C81373">
        <w:t xml:space="preserve">As a result, the Commission’s proposed amendment would not </w:t>
      </w:r>
      <w:r w:rsidR="00156A27">
        <w:t>prevent</w:t>
      </w:r>
      <w:r w:rsidR="00C81373">
        <w:t xml:space="preserve"> a CDO</w:t>
      </w:r>
      <w:r w:rsidR="00156A27">
        <w:t xml:space="preserve"> from being sought in respect of him</w:t>
      </w:r>
      <w:r w:rsidR="00C81373">
        <w:t xml:space="preserve">.  </w:t>
      </w:r>
      <w:r w:rsidR="0089435C">
        <w:t>T</w:t>
      </w:r>
      <w:r w:rsidR="00FE1617">
        <w:t xml:space="preserve">he offence under s 119.1(2) </w:t>
      </w:r>
      <w:r w:rsidR="00CD576B">
        <w:t xml:space="preserve">was the </w:t>
      </w:r>
      <w:r w:rsidR="0078219B">
        <w:t>principal</w:t>
      </w:r>
      <w:r w:rsidR="00CD576B">
        <w:t xml:space="preserve"> offence </w:t>
      </w:r>
      <w:r w:rsidR="0078219B">
        <w:t xml:space="preserve">for which </w:t>
      </w:r>
      <w:r w:rsidR="0089435C">
        <w:t xml:space="preserve">this offender </w:t>
      </w:r>
      <w:r w:rsidR="0078219B">
        <w:t xml:space="preserve">was convicted </w:t>
      </w:r>
      <w:r w:rsidR="00CD576B">
        <w:t xml:space="preserve">and he was sentenced to 3 years and 8 months imprisonment.  In relation to the separate offence under s 119.2, the sentencing judge </w:t>
      </w:r>
      <w:r w:rsidR="009D7A3B">
        <w:t xml:space="preserve">rejected the submission of the Crown that </w:t>
      </w:r>
      <w:r w:rsidR="00E54CC2">
        <w:t xml:space="preserve">merely being in the declared area </w:t>
      </w:r>
      <w:r w:rsidR="00A67E73">
        <w:t>represented ‘additional criminality that should be reflected in the sentence imposed for the principal offence’.</w:t>
      </w:r>
      <w:r w:rsidR="002753EE">
        <w:rPr>
          <w:rStyle w:val="EndnoteReference"/>
        </w:rPr>
        <w:endnoteReference w:id="296"/>
      </w:r>
      <w:r w:rsidR="00815ABC">
        <w:t xml:space="preserve">  If anything, this judgment </w:t>
      </w:r>
      <w:r w:rsidR="007C1050">
        <w:t xml:space="preserve">is consistent with </w:t>
      </w:r>
      <w:r w:rsidR="00815ABC">
        <w:t xml:space="preserve">the </w:t>
      </w:r>
      <w:r w:rsidR="007C1050">
        <w:t xml:space="preserve">submission of the Commission that the offence of merely being in a declared area </w:t>
      </w:r>
      <w:r w:rsidR="00262355">
        <w:t>is not sufficiently independently serious to trigger a person’s eligibility for the CDO regime.</w:t>
      </w:r>
    </w:p>
    <w:p w14:paraId="174E31FC" w14:textId="68D54D6A" w:rsidR="000B4313" w:rsidRDefault="000B4313" w:rsidP="00097EB5">
      <w:pPr>
        <w:pStyle w:val="ListNumber2"/>
        <w:tabs>
          <w:tab w:val="clear" w:pos="643"/>
          <w:tab w:val="num" w:pos="1080"/>
        </w:tabs>
        <w:ind w:left="1080" w:hanging="797"/>
      </w:pPr>
      <w:r>
        <w:t>The offence in s 119.2 has the same maximum penalty as the offences in s 119.7(2) and (3) which were previously removed from the relevant list</w:t>
      </w:r>
      <w:r w:rsidR="001368DF">
        <w:t xml:space="preserve"> of offences to which the CDO regime could apply</w:t>
      </w:r>
      <w:r>
        <w:t xml:space="preserve">.  </w:t>
      </w:r>
    </w:p>
    <w:p w14:paraId="3B799E58" w14:textId="7842203B" w:rsidR="0085327A" w:rsidRDefault="00F4498E" w:rsidP="00446BAD">
      <w:pPr>
        <w:pStyle w:val="ListNumber2"/>
        <w:tabs>
          <w:tab w:val="clear" w:pos="643"/>
          <w:tab w:val="num" w:pos="1080"/>
        </w:tabs>
        <w:ind w:left="1080" w:hanging="797"/>
      </w:pPr>
      <w:r>
        <w:t>The Commission has recently made a submission to the PJCIS in relation to its separate inquiry into the declared areas provisions</w:t>
      </w:r>
      <w:r w:rsidR="000F1CA8">
        <w:t xml:space="preserve"> which deals with these provisions in more detail</w:t>
      </w:r>
      <w:r>
        <w:t>.</w:t>
      </w:r>
      <w:r>
        <w:rPr>
          <w:rStyle w:val="EndnoteReference"/>
        </w:rPr>
        <w:endnoteReference w:id="297"/>
      </w:r>
      <w:r>
        <w:t xml:space="preserve">  </w:t>
      </w:r>
    </w:p>
    <w:p w14:paraId="1D15E497" w14:textId="1BDB716B" w:rsidR="008825D5" w:rsidRPr="00980DC6" w:rsidRDefault="00980DC6" w:rsidP="00980DC6">
      <w:pPr>
        <w:pStyle w:val="ListNumber2"/>
        <w:keepNext/>
        <w:numPr>
          <w:ilvl w:val="0"/>
          <w:numId w:val="0"/>
        </w:numPr>
        <w:ind w:left="1077"/>
        <w:rPr>
          <w:b/>
          <w:bCs/>
        </w:rPr>
      </w:pPr>
      <w:r w:rsidRPr="00980DC6">
        <w:rPr>
          <w:b/>
          <w:bCs/>
        </w:rPr>
        <w:t xml:space="preserve">Recommendation </w:t>
      </w:r>
      <w:r w:rsidR="003F488F">
        <w:rPr>
          <w:b/>
          <w:bCs/>
        </w:rPr>
        <w:t>9</w:t>
      </w:r>
    </w:p>
    <w:p w14:paraId="70B6F050" w14:textId="768B509C" w:rsidR="00980DC6" w:rsidRDefault="008D7A69" w:rsidP="00980DC6">
      <w:pPr>
        <w:pStyle w:val="ListNumber2"/>
        <w:numPr>
          <w:ilvl w:val="0"/>
          <w:numId w:val="0"/>
        </w:numPr>
        <w:ind w:left="1080"/>
      </w:pPr>
      <w:r>
        <w:t xml:space="preserve">The Commission recommends that the offence in s 119.2 of the </w:t>
      </w:r>
      <w:r w:rsidRPr="00891C40">
        <w:rPr>
          <w:iCs/>
        </w:rPr>
        <w:t>Criminal Code</w:t>
      </w:r>
      <w:r>
        <w:t xml:space="preserve"> (</w:t>
      </w:r>
      <w:r w:rsidR="00B20EDA">
        <w:t>e</w:t>
      </w:r>
      <w:r>
        <w:t>ntering, or remaining in, declared areas) be excluded from the definition of ‘terrorist offender’ in s 105A.3(1)(a)</w:t>
      </w:r>
      <w:r w:rsidR="00B2578C">
        <w:t xml:space="preserve"> of the Criminal Code</w:t>
      </w:r>
      <w:r w:rsidR="005F4D87">
        <w:t xml:space="preserve">, with the effect that a </w:t>
      </w:r>
      <w:r w:rsidR="00A30845">
        <w:t xml:space="preserve">person convicted of such an offence is not liable for a </w:t>
      </w:r>
      <w:r w:rsidR="005F4D87">
        <w:t>continuing detention order</w:t>
      </w:r>
      <w:r>
        <w:t>.</w:t>
      </w:r>
    </w:p>
    <w:p w14:paraId="736B94CA" w14:textId="01D5D5C9" w:rsidR="005333A8" w:rsidRDefault="00E21326" w:rsidP="00E21326">
      <w:pPr>
        <w:pStyle w:val="Heading3"/>
      </w:pPr>
      <w:bookmarkStart w:id="57" w:name="_Toc50633843"/>
      <w:r>
        <w:t>Assessment of risk</w:t>
      </w:r>
      <w:bookmarkEnd w:id="57"/>
    </w:p>
    <w:p w14:paraId="3B0307E6" w14:textId="43658CFA" w:rsidR="007E4498" w:rsidRDefault="0022471C" w:rsidP="00C144AB">
      <w:pPr>
        <w:pStyle w:val="ListNumber2"/>
        <w:tabs>
          <w:tab w:val="clear" w:pos="643"/>
          <w:tab w:val="num" w:pos="1080"/>
        </w:tabs>
        <w:ind w:left="1080" w:hanging="797"/>
      </w:pPr>
      <w:r>
        <w:t xml:space="preserve">The Commission’s primary concern with </w:t>
      </w:r>
      <w:r w:rsidR="00D74BA7">
        <w:t xml:space="preserve">any CDO regime is its ability to accurately assess risk.  </w:t>
      </w:r>
      <w:r w:rsidR="00EF0A70">
        <w:t>For any system of preventative detention to be justifiable, it must be possible to make robust predictions about the likelihood of future risk.</w:t>
      </w:r>
      <w:r w:rsidR="003774C4">
        <w:t xml:space="preserve">  Experience in similar areas has shown that this is a very difficult thing to do.</w:t>
      </w:r>
      <w:r w:rsidR="00077E63">
        <w:rPr>
          <w:rStyle w:val="EndnoteReference"/>
        </w:rPr>
        <w:endnoteReference w:id="298"/>
      </w:r>
    </w:p>
    <w:p w14:paraId="42CA506F" w14:textId="77777777" w:rsidR="009871E2" w:rsidRDefault="009871E2" w:rsidP="00C76F28">
      <w:pPr>
        <w:pStyle w:val="ListNumber2"/>
        <w:keepNext/>
        <w:tabs>
          <w:tab w:val="clear" w:pos="643"/>
          <w:tab w:val="num" w:pos="1080"/>
        </w:tabs>
        <w:ind w:left="1083" w:hanging="799"/>
      </w:pPr>
      <w:r>
        <w:lastRenderedPageBreak/>
        <w:t xml:space="preserve">In </w:t>
      </w:r>
      <w:proofErr w:type="spellStart"/>
      <w:r w:rsidRPr="009871E2">
        <w:rPr>
          <w:i/>
          <w:iCs/>
        </w:rPr>
        <w:t>Fardon</w:t>
      </w:r>
      <w:proofErr w:type="spellEnd"/>
      <w:r>
        <w:t>, Kirby J (in dissent) noted:</w:t>
      </w:r>
    </w:p>
    <w:p w14:paraId="667C9C1F" w14:textId="77777777" w:rsidR="009871E2" w:rsidRPr="000E3699" w:rsidRDefault="009871E2" w:rsidP="009871E2">
      <w:pPr>
        <w:pStyle w:val="SubmissionNormal"/>
        <w:numPr>
          <w:ilvl w:val="0"/>
          <w:numId w:val="0"/>
        </w:numPr>
        <w:ind w:left="1440"/>
        <w:rPr>
          <w:sz w:val="22"/>
        </w:rPr>
      </w:pPr>
      <w:r w:rsidRPr="000E3699">
        <w:rPr>
          <w:sz w:val="22"/>
        </w:rPr>
        <w:t>Experts in law, psychology and criminology have long recognised the unreliability of prediction of criminal dangerousness. In a recent comment, Professor Kate Warner remarked:</w:t>
      </w:r>
    </w:p>
    <w:p w14:paraId="557E3D62" w14:textId="77777777" w:rsidR="009871E2" w:rsidRDefault="009871E2" w:rsidP="009871E2">
      <w:pPr>
        <w:pStyle w:val="SubmissionNormal"/>
        <w:numPr>
          <w:ilvl w:val="0"/>
          <w:numId w:val="0"/>
        </w:numPr>
        <w:ind w:left="2160"/>
        <w:rPr>
          <w:sz w:val="22"/>
        </w:rPr>
      </w:pPr>
      <w:r w:rsidRPr="000E3699">
        <w:rPr>
          <w:sz w:val="22"/>
        </w:rPr>
        <w:t xml:space="preserve">‘[A]n obstacle to preventative detention is the difficulty of prediction. Psychiatrists notoriously overpredict. Predictions of dangerousness have been shown to have only a one-third to 50% success rate [Ashworth, </w:t>
      </w:r>
      <w:r w:rsidRPr="00F75BA0">
        <w:rPr>
          <w:i/>
          <w:sz w:val="22"/>
        </w:rPr>
        <w:t>Sentencing and Criminal Justice</w:t>
      </w:r>
      <w:r w:rsidRPr="000E3699">
        <w:rPr>
          <w:sz w:val="22"/>
        </w:rPr>
        <w:t>, 3</w:t>
      </w:r>
      <w:r w:rsidRPr="000E3699">
        <w:rPr>
          <w:sz w:val="22"/>
          <w:vertAlign w:val="superscript"/>
        </w:rPr>
        <w:t>rd</w:t>
      </w:r>
      <w:r w:rsidRPr="000E3699">
        <w:rPr>
          <w:sz w:val="22"/>
        </w:rPr>
        <w:t xml:space="preserve"> ed (2000), p 180]. While actuarial predictions have been shown to be better than clinical predictions – an interesting point as psychiatric or clinical predictions are central to continuing detention orders – neither are accurate.’</w:t>
      </w:r>
    </w:p>
    <w:p w14:paraId="6705B68F" w14:textId="77777777" w:rsidR="009871E2" w:rsidRPr="000E3699" w:rsidRDefault="009871E2" w:rsidP="009871E2">
      <w:pPr>
        <w:pStyle w:val="SubmissionNormal"/>
        <w:numPr>
          <w:ilvl w:val="0"/>
          <w:numId w:val="0"/>
        </w:numPr>
        <w:ind w:left="1440"/>
        <w:rPr>
          <w:sz w:val="22"/>
        </w:rPr>
      </w:pPr>
      <w:r>
        <w:rPr>
          <w:sz w:val="22"/>
        </w:rPr>
        <w:t>Judges of this Court have referred to such unreliability. Even with the procedures and criteria adopted, the Act ultimately deprives people such as the appellant of personal liberty, a most fundamental human right, on a prediction of dangerousness, based largely on the opinions of psychiatrists which can only be, at best, an educated or informed ‘guess’.</w:t>
      </w:r>
      <w:r>
        <w:rPr>
          <w:rStyle w:val="EndnoteReference"/>
        </w:rPr>
        <w:endnoteReference w:id="299"/>
      </w:r>
    </w:p>
    <w:p w14:paraId="562F4B53" w14:textId="0EFF6A55" w:rsidR="00EB023A" w:rsidRDefault="009871E2" w:rsidP="004A5CE3">
      <w:pPr>
        <w:pStyle w:val="ListNumber2"/>
        <w:tabs>
          <w:tab w:val="clear" w:pos="643"/>
          <w:tab w:val="num" w:pos="1080"/>
        </w:tabs>
        <w:ind w:left="1080" w:hanging="797"/>
      </w:pPr>
      <w:r>
        <w:t xml:space="preserve">According to the Victorian Sentencing Advisory Council, research suggests that the predictive accuracy of unguided clinical assessments is typically only slightly above chance. </w:t>
      </w:r>
      <w:r w:rsidR="00523632">
        <w:t xml:space="preserve"> </w:t>
      </w:r>
      <w:r>
        <w:t>Actuarial risk assessment tools may be able to increase predictive accuracy into the moderate range, but with very broad margins of error.</w:t>
      </w:r>
      <w:r w:rsidRPr="004A5CE3">
        <w:rPr>
          <w:sz w:val="20"/>
          <w:szCs w:val="20"/>
          <w:vertAlign w:val="superscript"/>
        </w:rPr>
        <w:endnoteReference w:id="300"/>
      </w:r>
      <w:r>
        <w:t xml:space="preserve"> </w:t>
      </w:r>
      <w:r w:rsidR="00523632">
        <w:t xml:space="preserve"> </w:t>
      </w:r>
      <w:r>
        <w:t xml:space="preserve">However, actuarial tools typically predict the prevalence of particular conduct within a group of people sharing the same static characteristics. </w:t>
      </w:r>
      <w:r w:rsidR="00523632">
        <w:t xml:space="preserve"> </w:t>
      </w:r>
      <w:r>
        <w:t xml:space="preserve">It is therefore problematic in assessing the propensity of an individual within that group </w:t>
      </w:r>
      <w:r w:rsidR="00156A27">
        <w:t xml:space="preserve">to </w:t>
      </w:r>
      <w:r>
        <w:t>offend, or the potential of an individual to respond to management.</w:t>
      </w:r>
      <w:r w:rsidRPr="004A5CE3">
        <w:rPr>
          <w:sz w:val="20"/>
          <w:szCs w:val="20"/>
          <w:vertAlign w:val="superscript"/>
        </w:rPr>
        <w:endnoteReference w:id="301"/>
      </w:r>
      <w:r>
        <w:t xml:space="preserve"> </w:t>
      </w:r>
      <w:r w:rsidR="00523632">
        <w:t xml:space="preserve"> </w:t>
      </w:r>
      <w:r w:rsidR="00320B9C">
        <w:t xml:space="preserve">That is, </w:t>
      </w:r>
      <w:r w:rsidR="005324E0">
        <w:t xml:space="preserve">an estimate of the likelihood (probability) of </w:t>
      </w:r>
      <w:r w:rsidR="00406070">
        <w:t xml:space="preserve">an outcome occurring in a population may not be the same as the propensity of a particular individual in that population to </w:t>
      </w:r>
      <w:r w:rsidR="00EB023A">
        <w:t xml:space="preserve">engage in that conduct.  </w:t>
      </w:r>
    </w:p>
    <w:p w14:paraId="6139839C" w14:textId="381A7757" w:rsidR="009871E2" w:rsidRDefault="009871E2" w:rsidP="004A5CE3">
      <w:pPr>
        <w:pStyle w:val="ListNumber2"/>
        <w:tabs>
          <w:tab w:val="clear" w:pos="643"/>
          <w:tab w:val="num" w:pos="1080"/>
        </w:tabs>
        <w:ind w:left="1080" w:hanging="797"/>
      </w:pPr>
      <w:r>
        <w:t xml:space="preserve">It appears that </w:t>
      </w:r>
      <w:r w:rsidR="00156A27">
        <w:t xml:space="preserve">the most accurate available means of making such predictions </w:t>
      </w:r>
      <w:r>
        <w:t>currently involves a combination of structured tools and individualised expert clinical assessment but that there are still significant limitations in this approach.</w:t>
      </w:r>
      <w:r w:rsidRPr="004A5CE3">
        <w:rPr>
          <w:sz w:val="20"/>
          <w:szCs w:val="20"/>
          <w:vertAlign w:val="superscript"/>
        </w:rPr>
        <w:endnoteReference w:id="302"/>
      </w:r>
    </w:p>
    <w:p w14:paraId="669815E4" w14:textId="1D65142C" w:rsidR="00931A05" w:rsidRDefault="000266F7" w:rsidP="004A5CE3">
      <w:pPr>
        <w:pStyle w:val="ListNumber2"/>
        <w:tabs>
          <w:tab w:val="clear" w:pos="643"/>
          <w:tab w:val="num" w:pos="1080"/>
        </w:tabs>
        <w:ind w:left="1080" w:hanging="797"/>
      </w:pPr>
      <w:r>
        <w:lastRenderedPageBreak/>
        <w:t>Regardless of the methodology, t</w:t>
      </w:r>
      <w:r w:rsidR="00C423F6">
        <w:t xml:space="preserve">here is a risk that </w:t>
      </w:r>
      <w:r w:rsidR="002365FF">
        <w:t xml:space="preserve">the results from a formal risk assessment tool may be treated as being more reliable than they actually are, </w:t>
      </w:r>
      <w:r w:rsidR="00D6102C">
        <w:t xml:space="preserve">particularly if they purport to quantify </w:t>
      </w:r>
      <w:r w:rsidR="00464EA3">
        <w:t>a level of risk.</w:t>
      </w:r>
    </w:p>
    <w:p w14:paraId="518E4C74" w14:textId="2E08D78E" w:rsidR="009825DA" w:rsidRDefault="009825DA" w:rsidP="009825DA">
      <w:pPr>
        <w:pStyle w:val="ListNumber2"/>
        <w:tabs>
          <w:tab w:val="clear" w:pos="643"/>
          <w:tab w:val="num" w:pos="1080"/>
        </w:tabs>
        <w:ind w:left="1080" w:hanging="797"/>
      </w:pPr>
      <w:r>
        <w:t xml:space="preserve">In recent years, Australian courts have heard a growing number of applications for orders, under relevant State and Territory legislation, to detain </w:t>
      </w:r>
      <w:r>
        <w:t xml:space="preserve">or </w:t>
      </w:r>
      <w:r>
        <w:t xml:space="preserve">otherwise restrict </w:t>
      </w:r>
      <w:r>
        <w:t xml:space="preserve">the liberty of </w:t>
      </w:r>
      <w:r>
        <w:t>individuals because those individuals present an unacceptable risk of future criminal behaviour.  Some of that State and Territory legislation is directed towards the risk of terrorism offences; other legislation is directed towards the risk of sex</w:t>
      </w:r>
      <w:r>
        <w:t>ual</w:t>
      </w:r>
      <w:r>
        <w:t xml:space="preserve"> </w:t>
      </w:r>
      <w:r>
        <w:t>offences</w:t>
      </w:r>
      <w:r>
        <w:t xml:space="preserve">; and a third category of legislation is directed towards </w:t>
      </w:r>
      <w:r>
        <w:t>the risk of violent offences</w:t>
      </w:r>
      <w:r>
        <w:t>.  The Commission urges that the PJCIS review some of these cases, because they demonstrate the difficulty in accurately assessing the risk of future serious criminal behaviour.</w:t>
      </w:r>
    </w:p>
    <w:p w14:paraId="5B17E4DE" w14:textId="618FF868" w:rsidR="009825DA" w:rsidRPr="00F80F1C" w:rsidRDefault="00AA7A18" w:rsidP="009825DA">
      <w:pPr>
        <w:pStyle w:val="ListNumber2"/>
        <w:tabs>
          <w:tab w:val="clear" w:pos="643"/>
          <w:tab w:val="num" w:pos="1080"/>
        </w:tabs>
        <w:ind w:left="1080" w:hanging="797"/>
      </w:pPr>
      <w:r>
        <w:t>O</w:t>
      </w:r>
      <w:r w:rsidR="009825DA">
        <w:t>ne such case involved an interim supervision order sought by the State of N</w:t>
      </w:r>
      <w:r w:rsidR="009825DA">
        <w:t xml:space="preserve">ew </w:t>
      </w:r>
      <w:r w:rsidR="009825DA">
        <w:t>S</w:t>
      </w:r>
      <w:r w:rsidR="009825DA">
        <w:t xml:space="preserve">outh </w:t>
      </w:r>
      <w:r w:rsidR="009825DA">
        <w:t>W</w:t>
      </w:r>
      <w:r w:rsidR="009825DA">
        <w:t>ales</w:t>
      </w:r>
      <w:r w:rsidR="009825DA">
        <w:t xml:space="preserve"> against Mr Trent </w:t>
      </w:r>
      <w:proofErr w:type="spellStart"/>
      <w:r w:rsidR="009825DA">
        <w:t>Sc</w:t>
      </w:r>
      <w:r w:rsidR="009825DA">
        <w:t>ruse</w:t>
      </w:r>
      <w:proofErr w:type="spellEnd"/>
      <w:r w:rsidR="009825DA">
        <w:t xml:space="preserve"> </w:t>
      </w:r>
      <w:r w:rsidR="009825DA">
        <w:t xml:space="preserve">(formerly known as Trent Wainwright) </w:t>
      </w:r>
      <w:r w:rsidR="009825DA">
        <w:t xml:space="preserve">under the </w:t>
      </w:r>
      <w:r w:rsidR="009825DA" w:rsidRPr="00F80F1C">
        <w:rPr>
          <w:i/>
          <w:iCs/>
        </w:rPr>
        <w:t>Crimes (High Risk Offenders) Act 2006</w:t>
      </w:r>
      <w:r w:rsidR="00A102B9">
        <w:t xml:space="preserve"> </w:t>
      </w:r>
      <w:r w:rsidR="009825DA" w:rsidRPr="00F80F1C">
        <w:t>(NSW)</w:t>
      </w:r>
      <w:r w:rsidR="009825DA">
        <w:t>.</w:t>
      </w:r>
      <w:r w:rsidR="009825DA">
        <w:rPr>
          <w:rStyle w:val="EndnoteReference"/>
        </w:rPr>
        <w:endnoteReference w:id="303"/>
      </w:r>
      <w:r w:rsidR="009825DA">
        <w:t xml:space="preserve">  Mr </w:t>
      </w:r>
      <w:proofErr w:type="spellStart"/>
      <w:r w:rsidR="009825DA">
        <w:t>Sc</w:t>
      </w:r>
      <w:r w:rsidR="009825DA">
        <w:t>ruse</w:t>
      </w:r>
      <w:proofErr w:type="spellEnd"/>
      <w:r w:rsidR="009825DA">
        <w:t xml:space="preserve"> </w:t>
      </w:r>
      <w:r w:rsidR="009825DA" w:rsidRPr="00F80F1C">
        <w:t>had previously been convicted of a serious violent offence</w:t>
      </w:r>
      <w:r w:rsidR="009825DA">
        <w:t xml:space="preserve">, and the State alleged </w:t>
      </w:r>
      <w:r w:rsidR="009825DA" w:rsidRPr="00F80F1C">
        <w:t xml:space="preserve">that </w:t>
      </w:r>
      <w:r w:rsidR="009825DA">
        <w:t xml:space="preserve">he </w:t>
      </w:r>
      <w:r w:rsidR="009825DA" w:rsidRPr="00F80F1C">
        <w:t>pose</w:t>
      </w:r>
      <w:r w:rsidR="009825DA">
        <w:t>d</w:t>
      </w:r>
      <w:r w:rsidR="009825DA" w:rsidRPr="00F80F1C">
        <w:t xml:space="preserve"> an unacceptable risk of committing another serious offence if not kept under supervision</w:t>
      </w:r>
      <w:r w:rsidR="009825DA">
        <w:t xml:space="preserve"> in the community</w:t>
      </w:r>
      <w:r w:rsidR="009825DA">
        <w:t>, pursuant to s 5B of the NSW Act</w:t>
      </w:r>
      <w:r w:rsidR="009825DA" w:rsidRPr="00F80F1C">
        <w:t>.</w:t>
      </w:r>
    </w:p>
    <w:p w14:paraId="3EB3F39D" w14:textId="5F3D51C2" w:rsidR="009825DA" w:rsidRDefault="009825DA" w:rsidP="009825DA">
      <w:pPr>
        <w:pStyle w:val="ListNumber2"/>
        <w:tabs>
          <w:tab w:val="clear" w:pos="643"/>
          <w:tab w:val="num" w:pos="1080"/>
        </w:tabs>
        <w:ind w:left="1080" w:hanging="797"/>
      </w:pPr>
      <w:r>
        <w:t xml:space="preserve">In determining whether or not to make an extended supervision order under </w:t>
      </w:r>
      <w:r>
        <w:t xml:space="preserve">the NSW Act, </w:t>
      </w:r>
      <w:r w:rsidRPr="005317AB">
        <w:t>the Supreme Court must have regard to: ‘the results of any statistical or other assessment as to the likelihood of persons with histories and characteristics similar to those of the offender committing a further serious offence’.</w:t>
      </w:r>
      <w:r>
        <w:rPr>
          <w:rStyle w:val="EndnoteReference"/>
        </w:rPr>
        <w:endnoteReference w:id="304"/>
      </w:r>
      <w:r>
        <w:t xml:space="preserve">  The Crown </w:t>
      </w:r>
      <w:r w:rsidR="008235DE">
        <w:t>tendered</w:t>
      </w:r>
      <w:r>
        <w:t xml:space="preserve"> a </w:t>
      </w:r>
      <w:r>
        <w:t xml:space="preserve">risk assessment </w:t>
      </w:r>
      <w:r>
        <w:t xml:space="preserve">report </w:t>
      </w:r>
      <w:r>
        <w:t>from a forensic psychologist employed by Corrective Services NSW</w:t>
      </w:r>
      <w:r>
        <w:t xml:space="preserve">, which </w:t>
      </w:r>
      <w:r>
        <w:t xml:space="preserve">set out risk ratings for Mr </w:t>
      </w:r>
      <w:proofErr w:type="spellStart"/>
      <w:r>
        <w:t>Scruse</w:t>
      </w:r>
      <w:proofErr w:type="spellEnd"/>
      <w:r>
        <w:t xml:space="preserve"> derived from four different risk assessment tools.</w:t>
      </w:r>
      <w:r w:rsidR="008235DE">
        <w:t xml:space="preserve">  However, the Crown</w:t>
      </w:r>
      <w:r w:rsidR="007C5E63">
        <w:t xml:space="preserve"> conceded that the Court should give ‘little weight’ to this evidence.</w:t>
      </w:r>
      <w:r w:rsidR="007C5E63">
        <w:rPr>
          <w:rStyle w:val="EndnoteReference"/>
        </w:rPr>
        <w:endnoteReference w:id="305"/>
      </w:r>
    </w:p>
    <w:p w14:paraId="18959525" w14:textId="39C8B0E9" w:rsidR="009825DA" w:rsidRDefault="009825DA" w:rsidP="009825DA">
      <w:pPr>
        <w:pStyle w:val="ListNumber2"/>
        <w:tabs>
          <w:tab w:val="clear" w:pos="643"/>
          <w:tab w:val="num" w:pos="1080"/>
        </w:tabs>
        <w:ind w:left="1080" w:hanging="797"/>
      </w:pPr>
      <w:r>
        <w:t xml:space="preserve">The Court </w:t>
      </w:r>
      <w:r>
        <w:t xml:space="preserve">was highly critical of </w:t>
      </w:r>
      <w:r>
        <w:t xml:space="preserve">this evidence </w:t>
      </w:r>
      <w:r>
        <w:t xml:space="preserve">and gave it </w:t>
      </w:r>
      <w:r>
        <w:t xml:space="preserve">little weight, </w:t>
      </w:r>
      <w:r w:rsidR="00D30291">
        <w:t xml:space="preserve">with Payne J </w:t>
      </w:r>
      <w:r>
        <w:t>noting that the tools were ‘certainly not the product of “actuarial” expertise as I understand that field of discourse’.</w:t>
      </w:r>
      <w:r>
        <w:rPr>
          <w:rStyle w:val="EndnoteReference"/>
        </w:rPr>
        <w:endnoteReference w:id="306"/>
      </w:r>
      <w:r w:rsidRPr="00A501AA">
        <w:t xml:space="preserve"> </w:t>
      </w:r>
      <w:r>
        <w:t xml:space="preserve"> </w:t>
      </w:r>
      <w:r>
        <w:t xml:space="preserve">Among the problems identified with these tools, </w:t>
      </w:r>
      <w:r w:rsidR="00D83905">
        <w:t>h</w:t>
      </w:r>
      <w:r w:rsidR="000F1D23">
        <w:t>is</w:t>
      </w:r>
      <w:r>
        <w:t xml:space="preserve"> Honour </w:t>
      </w:r>
      <w:r>
        <w:t>noted that:</w:t>
      </w:r>
    </w:p>
    <w:p w14:paraId="3D876E61" w14:textId="77777777" w:rsidR="009825DA" w:rsidRDefault="009825DA" w:rsidP="009825DA">
      <w:pPr>
        <w:pStyle w:val="ListNumber2"/>
        <w:numPr>
          <w:ilvl w:val="0"/>
          <w:numId w:val="14"/>
        </w:numPr>
      </w:pPr>
      <w:r>
        <w:t xml:space="preserve">while one tool, the </w:t>
      </w:r>
      <w:r w:rsidRPr="00BA7D0A">
        <w:t xml:space="preserve">Level of Service Inventory </w:t>
      </w:r>
      <w:r>
        <w:t>–</w:t>
      </w:r>
      <w:r w:rsidRPr="00BA7D0A">
        <w:t xml:space="preserve"> R</w:t>
      </w:r>
      <w:r>
        <w:t>e</w:t>
      </w:r>
      <w:r w:rsidRPr="00BA7D0A">
        <w:t xml:space="preserve">vised </w:t>
      </w:r>
      <w:r>
        <w:t xml:space="preserve">(LSI-R), was regularly used in applications under the NSW Act, a Corrective </w:t>
      </w:r>
      <w:r>
        <w:lastRenderedPageBreak/>
        <w:t>Services NSW Research bulletin described a ‘paucity of rigorous evaluations’ establishing its validity in Australia</w:t>
      </w:r>
    </w:p>
    <w:p w14:paraId="0FA25316" w14:textId="77777777" w:rsidR="009825DA" w:rsidRDefault="009825DA" w:rsidP="009825DA">
      <w:pPr>
        <w:pStyle w:val="ListNumber2"/>
        <w:numPr>
          <w:ilvl w:val="0"/>
          <w:numId w:val="14"/>
        </w:numPr>
      </w:pPr>
      <w:r>
        <w:t xml:space="preserve">the three other tools, the Violence Risk Scale (VRS) the </w:t>
      </w:r>
      <w:r w:rsidRPr="00B569AC">
        <w:t xml:space="preserve">Violence Risk Appraisal Guide </w:t>
      </w:r>
      <w:r>
        <w:t>–</w:t>
      </w:r>
      <w:r w:rsidRPr="00B569AC">
        <w:t xml:space="preserve"> Revised </w:t>
      </w:r>
      <w:r>
        <w:t xml:space="preserve">(VRAG-R) and the </w:t>
      </w:r>
      <w:r w:rsidRPr="00EE07C5">
        <w:t>Domestic Violence Risk Appraisal Guide</w:t>
      </w:r>
      <w:r>
        <w:t xml:space="preserve"> (DVRAG), were all based on specific cohorts of offenders in Canada and had not been subject to ‘repeated empirical evaluation with client groups that differ in demographic characteristics’ </w:t>
      </w:r>
    </w:p>
    <w:p w14:paraId="615A3048" w14:textId="43593EE3" w:rsidR="009825DA" w:rsidRDefault="009825DA" w:rsidP="009825DA">
      <w:pPr>
        <w:pStyle w:val="ListNumber2"/>
        <w:numPr>
          <w:ilvl w:val="0"/>
          <w:numId w:val="14"/>
        </w:numPr>
      </w:pPr>
      <w:r>
        <w:t>both the VRS and the VRAG-R had been the subject of a warning in a meta-analysis of risk assessment tools that they ‘should not be used as the sole or primary means for clinical or criminal justice decision making that is contingent on a high level of predictive accuracy, such as preventative detention’.</w:t>
      </w:r>
      <w:r w:rsidR="00E82C31">
        <w:rPr>
          <w:rStyle w:val="EndnoteReference"/>
        </w:rPr>
        <w:endnoteReference w:id="307"/>
      </w:r>
    </w:p>
    <w:p w14:paraId="11F47426" w14:textId="7370638E" w:rsidR="00E52CF3" w:rsidRDefault="00F56E5C" w:rsidP="00D571D9">
      <w:pPr>
        <w:pStyle w:val="ListNumber2"/>
        <w:tabs>
          <w:tab w:val="clear" w:pos="643"/>
          <w:tab w:val="num" w:pos="1080"/>
        </w:tabs>
        <w:ind w:left="1080" w:hanging="797"/>
      </w:pPr>
      <w:r>
        <w:t>The</w:t>
      </w:r>
      <w:r w:rsidR="00310FE2">
        <w:t xml:space="preserve"> ratings derived from these</w:t>
      </w:r>
      <w:r>
        <w:t xml:space="preserve"> </w:t>
      </w:r>
      <w:r w:rsidR="00310FE2">
        <w:t xml:space="preserve">tools were only one of a large number of relevant factors in Mr </w:t>
      </w:r>
      <w:proofErr w:type="spellStart"/>
      <w:r w:rsidR="00310FE2">
        <w:t>Scruse’s</w:t>
      </w:r>
      <w:proofErr w:type="spellEnd"/>
      <w:r w:rsidR="00310FE2">
        <w:t xml:space="preserve"> case, but u</w:t>
      </w:r>
      <w:r w:rsidR="00E52CF3">
        <w:t xml:space="preserve">ltimately the interim </w:t>
      </w:r>
      <w:r w:rsidR="00302F71">
        <w:t xml:space="preserve">supervision order made in relation to </w:t>
      </w:r>
      <w:r w:rsidR="00310FE2">
        <w:t xml:space="preserve">him </w:t>
      </w:r>
      <w:r w:rsidR="00302F71">
        <w:t>was revoked.</w:t>
      </w:r>
      <w:r w:rsidR="00302F71">
        <w:rPr>
          <w:rStyle w:val="EndnoteReference"/>
        </w:rPr>
        <w:endnoteReference w:id="308"/>
      </w:r>
    </w:p>
    <w:p w14:paraId="6F1007F6" w14:textId="77777777" w:rsidR="00EB5B65" w:rsidRDefault="009825DA" w:rsidP="00C144AB">
      <w:pPr>
        <w:pStyle w:val="ListNumber2"/>
        <w:tabs>
          <w:tab w:val="clear" w:pos="643"/>
          <w:tab w:val="num" w:pos="1080"/>
        </w:tabs>
        <w:ind w:left="1080" w:hanging="797"/>
      </w:pPr>
      <w:r>
        <w:t xml:space="preserve">In this case, the Court was in the fortunate position to have material before it that critically engaged with the reliability of the risk assessment tools relied on by the State.  That may not always be the case.  </w:t>
      </w:r>
      <w:r w:rsidR="007E75C6">
        <w:t>T</w:t>
      </w:r>
      <w:r w:rsidR="001A7B28">
        <w:t xml:space="preserve">he Commission’s 2016 submission </w:t>
      </w:r>
      <w:r w:rsidR="007E75C6">
        <w:t xml:space="preserve">to the PJCIS about the CDO regime highlighted the fact that </w:t>
      </w:r>
      <w:r w:rsidR="00882410">
        <w:t xml:space="preserve">an expert report provided to the Court </w:t>
      </w:r>
      <w:r w:rsidR="00D7632F">
        <w:t xml:space="preserve">under </w:t>
      </w:r>
      <w:proofErr w:type="spellStart"/>
      <w:r w:rsidR="00D7632F">
        <w:t>Div</w:t>
      </w:r>
      <w:proofErr w:type="spellEnd"/>
      <w:r w:rsidR="00D7632F">
        <w:t xml:space="preserve"> 105A of the Criminal Code </w:t>
      </w:r>
      <w:r w:rsidR="00882410">
        <w:t xml:space="preserve">is not required to include any </w:t>
      </w:r>
      <w:r w:rsidR="00157733">
        <w:t xml:space="preserve">discussion of the </w:t>
      </w:r>
      <w:r w:rsidR="00882410">
        <w:t xml:space="preserve">limitations on the expert’s assessment of the risk of </w:t>
      </w:r>
      <w:r w:rsidR="00D7632F">
        <w:t>the offender committing a serious Part 5.3 offence if released into the community.</w:t>
      </w:r>
      <w:r w:rsidR="0096232A">
        <w:t xml:space="preserve">  The Commission reiterates its recommendation that such a </w:t>
      </w:r>
      <w:r w:rsidR="009439E7">
        <w:t xml:space="preserve">mandatory </w:t>
      </w:r>
      <w:r w:rsidR="0096232A">
        <w:t>requirement be included in s 105A.6.</w:t>
      </w:r>
      <w:r w:rsidR="0063055D">
        <w:t xml:space="preserve"> </w:t>
      </w:r>
    </w:p>
    <w:p w14:paraId="68E7196C" w14:textId="5ABF1185" w:rsidR="00C70451" w:rsidRDefault="0096232A" w:rsidP="00C144AB">
      <w:pPr>
        <w:pStyle w:val="ListNumber2"/>
        <w:tabs>
          <w:tab w:val="clear" w:pos="643"/>
          <w:tab w:val="num" w:pos="1080"/>
        </w:tabs>
        <w:ind w:left="1080" w:hanging="797"/>
      </w:pPr>
      <w:r>
        <w:t xml:space="preserve">There </w:t>
      </w:r>
      <w:proofErr w:type="gramStart"/>
      <w:r>
        <w:t>are</w:t>
      </w:r>
      <w:proofErr w:type="gramEnd"/>
      <w:r>
        <w:t xml:space="preserve"> good rule of law reasons for requiring an expert’s report on risk to identify </w:t>
      </w:r>
      <w:r w:rsidR="000C5FAF">
        <w:t xml:space="preserve">any limitations in that assessment.  First, the respondent in proceedings </w:t>
      </w:r>
      <w:r w:rsidR="003448FA">
        <w:t xml:space="preserve">under </w:t>
      </w:r>
      <w:proofErr w:type="spellStart"/>
      <w:r w:rsidR="003448FA">
        <w:t>Div</w:t>
      </w:r>
      <w:proofErr w:type="spellEnd"/>
      <w:r w:rsidR="003448FA">
        <w:t xml:space="preserve"> 105A </w:t>
      </w:r>
      <w:r w:rsidR="000C5FAF">
        <w:t xml:space="preserve">may not be represented and </w:t>
      </w:r>
      <w:r w:rsidR="00D15E5D">
        <w:t xml:space="preserve">may not be in a position to question the validity of risk assessment tools.  Secondly, the </w:t>
      </w:r>
      <w:r w:rsidR="00F0340C">
        <w:t xml:space="preserve">potential outcomes in such proceedings are severe and </w:t>
      </w:r>
      <w:r w:rsidR="0071587B">
        <w:t>quasi-criminal</w:t>
      </w:r>
      <w:r w:rsidR="00F53C27">
        <w:t>, particularly</w:t>
      </w:r>
      <w:r w:rsidR="0071587B">
        <w:t xml:space="preserve"> if a continuing detention order </w:t>
      </w:r>
      <w:r w:rsidR="00F53C27">
        <w:t>is made</w:t>
      </w:r>
      <w:r w:rsidR="0071587B">
        <w:t xml:space="preserve">.  </w:t>
      </w:r>
    </w:p>
    <w:p w14:paraId="5154F549" w14:textId="266B3E0D" w:rsidR="00CE5261" w:rsidRPr="006426A1" w:rsidRDefault="00C70451" w:rsidP="00C144AB">
      <w:pPr>
        <w:pStyle w:val="ListNumber2"/>
        <w:tabs>
          <w:tab w:val="clear" w:pos="643"/>
          <w:tab w:val="num" w:pos="1080"/>
        </w:tabs>
        <w:ind w:left="1080" w:hanging="797"/>
      </w:pPr>
      <w:r>
        <w:t>I</w:t>
      </w:r>
      <w:r w:rsidR="00C82653">
        <w:t xml:space="preserve">n a criminal proceeding, the prosecutor has </w:t>
      </w:r>
      <w:r w:rsidR="00DD5BFA">
        <w:t xml:space="preserve">both </w:t>
      </w:r>
      <w:r w:rsidR="00C82653">
        <w:t>a statutory</w:t>
      </w:r>
      <w:r w:rsidR="002F1E3E">
        <w:rPr>
          <w:rStyle w:val="EndnoteReference"/>
        </w:rPr>
        <w:endnoteReference w:id="309"/>
      </w:r>
      <w:r w:rsidR="00C82653">
        <w:t xml:space="preserve"> and common law duty</w:t>
      </w:r>
      <w:r w:rsidR="00D129E4">
        <w:rPr>
          <w:rStyle w:val="EndnoteReference"/>
        </w:rPr>
        <w:endnoteReference w:id="310"/>
      </w:r>
      <w:r w:rsidR="00C82653">
        <w:t xml:space="preserve"> to disclose to a defendant all of the evidence it intends to rely upon at trial, along with any exculpatory material in its possession. </w:t>
      </w:r>
      <w:r w:rsidR="00E463DF">
        <w:t xml:space="preserve"> A similar obligation is reflected in the control order regime </w:t>
      </w:r>
      <w:r w:rsidR="00E463DF">
        <w:lastRenderedPageBreak/>
        <w:t>which, like the CDO regime, is civil</w:t>
      </w:r>
      <w:r w:rsidR="00F15DFE">
        <w:t xml:space="preserve"> but imposes significant </w:t>
      </w:r>
      <w:r w:rsidR="000269E8">
        <w:t>restrictions on a subject’s human rights</w:t>
      </w:r>
      <w:r w:rsidR="00E463DF">
        <w:t xml:space="preserve">.  </w:t>
      </w:r>
      <w:r w:rsidR="003469D4">
        <w:t xml:space="preserve">In control order proceedings, </w:t>
      </w:r>
      <w:r w:rsidR="00C77FCD">
        <w:t xml:space="preserve">the AFP member applying for a control order </w:t>
      </w:r>
      <w:r w:rsidR="002D6B97">
        <w:t xml:space="preserve">must provide both the AFP Minister and the Court with </w:t>
      </w:r>
      <w:r w:rsidR="00936B93">
        <w:rPr>
          <w:rFonts w:cs="Open Sans"/>
        </w:rPr>
        <w:t xml:space="preserve">a statement of facts relating to why any of the restrictions sought in the order should </w:t>
      </w:r>
      <w:r w:rsidR="00936B93" w:rsidRPr="004E6201">
        <w:rPr>
          <w:rFonts w:cs="Open Sans"/>
          <w:i/>
          <w:iCs/>
        </w:rPr>
        <w:t>not</w:t>
      </w:r>
      <w:r w:rsidR="00936B93">
        <w:rPr>
          <w:rFonts w:cs="Open Sans"/>
        </w:rPr>
        <w:t xml:space="preserve"> be imposed.</w:t>
      </w:r>
      <w:r w:rsidR="00936B93">
        <w:rPr>
          <w:rStyle w:val="EndnoteReference"/>
          <w:rFonts w:cs="Open Sans"/>
        </w:rPr>
        <w:endnoteReference w:id="311"/>
      </w:r>
      <w:r w:rsidR="004E6201">
        <w:rPr>
          <w:rFonts w:cs="Open Sans"/>
        </w:rPr>
        <w:t xml:space="preserve">  </w:t>
      </w:r>
      <w:r w:rsidR="00992974">
        <w:rPr>
          <w:rFonts w:cs="Open Sans"/>
        </w:rPr>
        <w:t>Each of those</w:t>
      </w:r>
      <w:r w:rsidR="004E6201">
        <w:rPr>
          <w:rFonts w:cs="Open Sans"/>
        </w:rPr>
        <w:t xml:space="preserve"> statement</w:t>
      </w:r>
      <w:r w:rsidR="00992974">
        <w:rPr>
          <w:rFonts w:cs="Open Sans"/>
        </w:rPr>
        <w:t>s</w:t>
      </w:r>
      <w:r w:rsidR="004E6201">
        <w:rPr>
          <w:rFonts w:cs="Open Sans"/>
        </w:rPr>
        <w:t xml:space="preserve"> must </w:t>
      </w:r>
      <w:r w:rsidR="00F66415">
        <w:rPr>
          <w:rFonts w:cs="Open Sans"/>
        </w:rPr>
        <w:t xml:space="preserve">then </w:t>
      </w:r>
      <w:r w:rsidR="004E6201">
        <w:rPr>
          <w:rFonts w:cs="Open Sans"/>
        </w:rPr>
        <w:t xml:space="preserve">be </w:t>
      </w:r>
      <w:r w:rsidR="00EE249C">
        <w:rPr>
          <w:rFonts w:cs="Open Sans"/>
        </w:rPr>
        <w:t xml:space="preserve">served on </w:t>
      </w:r>
      <w:r w:rsidR="00F66415">
        <w:rPr>
          <w:rFonts w:cs="Open Sans"/>
        </w:rPr>
        <w:t>a</w:t>
      </w:r>
      <w:r w:rsidR="00EE249C">
        <w:rPr>
          <w:rFonts w:cs="Open Sans"/>
        </w:rPr>
        <w:t xml:space="preserve"> person subject to an interim control order prior to the confirmation hearing.</w:t>
      </w:r>
      <w:r w:rsidR="00264854">
        <w:rPr>
          <w:rStyle w:val="EndnoteReference"/>
          <w:rFonts w:cs="Open Sans"/>
        </w:rPr>
        <w:endnoteReference w:id="312"/>
      </w:r>
    </w:p>
    <w:p w14:paraId="2638D976" w14:textId="1C4057FD" w:rsidR="006426A1" w:rsidRDefault="006426A1" w:rsidP="00C144AB">
      <w:pPr>
        <w:pStyle w:val="ListNumber2"/>
        <w:tabs>
          <w:tab w:val="clear" w:pos="643"/>
          <w:tab w:val="num" w:pos="1080"/>
        </w:tabs>
        <w:ind w:left="1080" w:hanging="797"/>
      </w:pPr>
      <w:r>
        <w:t xml:space="preserve">In a CDO proceeding, the expert’s risk assessment </w:t>
      </w:r>
      <w:r w:rsidR="00B209C7">
        <w:t>is likely to</w:t>
      </w:r>
      <w:r>
        <w:t xml:space="preserve"> be </w:t>
      </w:r>
      <w:r w:rsidR="005F51CD">
        <w:t>a crucial piece of evidence</w:t>
      </w:r>
      <w:r w:rsidR="001101C6">
        <w:t xml:space="preserve"> in the Court’s </w:t>
      </w:r>
      <w:r w:rsidR="00227BC1">
        <w:t xml:space="preserve">determination </w:t>
      </w:r>
      <w:r w:rsidR="001101C6">
        <w:t>of whether there is a high degree of probability of a</w:t>
      </w:r>
      <w:r w:rsidR="00BF5316">
        <w:t>n</w:t>
      </w:r>
      <w:r w:rsidR="001101C6">
        <w:t xml:space="preserve"> </w:t>
      </w:r>
      <w:r w:rsidR="00227BC1">
        <w:t>unacceptable risk of future offending</w:t>
      </w:r>
      <w:r w:rsidR="005F51CD">
        <w:t xml:space="preserve">.  It is important that the </w:t>
      </w:r>
      <w:r w:rsidR="00BF5316">
        <w:t>respondent</w:t>
      </w:r>
      <w:r w:rsidR="005F51CD">
        <w:t xml:space="preserve"> is provided with details of any limitations in that </w:t>
      </w:r>
      <w:r w:rsidR="00227BC1">
        <w:t xml:space="preserve">expert </w:t>
      </w:r>
      <w:r w:rsidR="005F51CD">
        <w:t>assessment.</w:t>
      </w:r>
    </w:p>
    <w:p w14:paraId="4E3CA660" w14:textId="52916987" w:rsidR="005F51CD" w:rsidRPr="0020327D" w:rsidRDefault="005F51CD" w:rsidP="0020327D">
      <w:pPr>
        <w:pStyle w:val="ListNumber2"/>
        <w:keepNext/>
        <w:numPr>
          <w:ilvl w:val="0"/>
          <w:numId w:val="0"/>
        </w:numPr>
        <w:ind w:left="1077"/>
        <w:rPr>
          <w:b/>
          <w:bCs/>
        </w:rPr>
      </w:pPr>
      <w:r w:rsidRPr="0020327D">
        <w:rPr>
          <w:b/>
          <w:bCs/>
        </w:rPr>
        <w:t xml:space="preserve">Recommendation </w:t>
      </w:r>
      <w:r w:rsidR="0020327D" w:rsidRPr="0020327D">
        <w:rPr>
          <w:b/>
          <w:bCs/>
        </w:rPr>
        <w:t>10</w:t>
      </w:r>
    </w:p>
    <w:p w14:paraId="2F8A505D" w14:textId="651F1A0F" w:rsidR="0020327D" w:rsidRDefault="00B016BD" w:rsidP="0020327D">
      <w:pPr>
        <w:pStyle w:val="ListNumber2"/>
        <w:numPr>
          <w:ilvl w:val="0"/>
          <w:numId w:val="0"/>
        </w:numPr>
        <w:ind w:left="1080"/>
      </w:pPr>
      <w:r>
        <w:t xml:space="preserve">The Commission recommends that a report </w:t>
      </w:r>
      <w:r w:rsidR="00DB6B9F">
        <w:t xml:space="preserve">prepared </w:t>
      </w:r>
      <w:r w:rsidR="00C72FB4">
        <w:t xml:space="preserve">by an expert appointed under s 105A.6 </w:t>
      </w:r>
      <w:r w:rsidR="001E69F8">
        <w:t xml:space="preserve">of the Criminal Code </w:t>
      </w:r>
      <w:r w:rsidR="00C72FB4">
        <w:t xml:space="preserve">be required to contain </w:t>
      </w:r>
      <w:r w:rsidR="00C906BD">
        <w:t xml:space="preserve">details of any limitations on the expert’s assessment of the risk of the offender committing </w:t>
      </w:r>
      <w:r w:rsidR="00A23F34">
        <w:t xml:space="preserve">a serious Part 5.3 offence if the offender </w:t>
      </w:r>
      <w:r w:rsidR="00EF2B72">
        <w:t xml:space="preserve">were </w:t>
      </w:r>
      <w:r w:rsidR="00A23F34">
        <w:t>released into the community</w:t>
      </w:r>
      <w:r w:rsidR="00EF2B72">
        <w:t>,</w:t>
      </w:r>
      <w:r w:rsidR="00A644A0">
        <w:t xml:space="preserve"> and </w:t>
      </w:r>
      <w:r w:rsidR="00A23F34">
        <w:t>the expert’s degree of confidence in that assessment.</w:t>
      </w:r>
    </w:p>
    <w:p w14:paraId="503E2B98" w14:textId="798FFA8E" w:rsidR="00AE33A4" w:rsidRDefault="00D2006A" w:rsidP="00C144AB">
      <w:pPr>
        <w:pStyle w:val="ListNumber2"/>
        <w:tabs>
          <w:tab w:val="clear" w:pos="643"/>
          <w:tab w:val="num" w:pos="1080"/>
        </w:tabs>
        <w:ind w:left="1080" w:hanging="797"/>
      </w:pPr>
      <w:r>
        <w:t xml:space="preserve">The CDO regime was </w:t>
      </w:r>
      <w:r w:rsidR="00576D04">
        <w:t xml:space="preserve">legislated without any </w:t>
      </w:r>
      <w:r w:rsidR="00FE098C">
        <w:t xml:space="preserve">validated risk assessment tool being </w:t>
      </w:r>
      <w:r w:rsidR="00576D04">
        <w:t xml:space="preserve">in place.  </w:t>
      </w:r>
      <w:r w:rsidR="00AD7974">
        <w:t>At the time, t</w:t>
      </w:r>
      <w:r w:rsidR="00FE098C">
        <w:t xml:space="preserve">he AGD </w:t>
      </w:r>
      <w:r w:rsidR="00AD7974">
        <w:t xml:space="preserve">said that it had formed an Implementation Working Group to </w:t>
      </w:r>
      <w:r w:rsidR="006E05CE">
        <w:t xml:space="preserve">progress a number of issues including the development of risk assessment tools.  </w:t>
      </w:r>
      <w:r w:rsidR="00FA7ABE">
        <w:t xml:space="preserve">The PJCIS recommended that the Attorney-General provide it with a </w:t>
      </w:r>
      <w:r w:rsidR="001D57E0">
        <w:t xml:space="preserve">‘clear development and implementation plan’ </w:t>
      </w:r>
      <w:r w:rsidR="005D4263">
        <w:t xml:space="preserve">by the time of the second reading debate in the Senate, </w:t>
      </w:r>
      <w:r w:rsidR="001D57E0">
        <w:t xml:space="preserve">and a </w:t>
      </w:r>
      <w:r w:rsidR="00FA7ABE">
        <w:t xml:space="preserve">timetable for the implementation of </w:t>
      </w:r>
      <w:r w:rsidR="005D4263">
        <w:t>any outstanding matters b</w:t>
      </w:r>
      <w:r w:rsidR="00C87CB4">
        <w:t>eing considered by the Implementation Working Group by 30 June 2017.</w:t>
      </w:r>
      <w:r w:rsidR="003B38ED">
        <w:rPr>
          <w:rStyle w:val="EndnoteReference"/>
        </w:rPr>
        <w:endnoteReference w:id="313"/>
      </w:r>
      <w:r w:rsidR="00C87CB4">
        <w:t xml:space="preserve">  </w:t>
      </w:r>
      <w:r w:rsidR="009212A3">
        <w:t xml:space="preserve">Responsibility for </w:t>
      </w:r>
      <w:r w:rsidR="00FE74F8">
        <w:t xml:space="preserve">these issues now lies with the </w:t>
      </w:r>
      <w:r w:rsidR="003B38ED">
        <w:t>Minister for</w:t>
      </w:r>
      <w:r w:rsidR="00FE74F8">
        <w:t xml:space="preserve"> Home Affairs.  </w:t>
      </w:r>
    </w:p>
    <w:p w14:paraId="68713DA6" w14:textId="54D39A00" w:rsidR="00284BD1" w:rsidRDefault="00FE74F8" w:rsidP="00C144AB">
      <w:pPr>
        <w:pStyle w:val="ListNumber2"/>
        <w:tabs>
          <w:tab w:val="clear" w:pos="643"/>
          <w:tab w:val="num" w:pos="1080"/>
        </w:tabs>
        <w:ind w:left="1080" w:hanging="797"/>
      </w:pPr>
      <w:r>
        <w:t xml:space="preserve">Officers from the </w:t>
      </w:r>
      <w:r w:rsidR="00397820">
        <w:t xml:space="preserve">AGD and, later, the </w:t>
      </w:r>
      <w:r>
        <w:t xml:space="preserve">Department of Home Affairs </w:t>
      </w:r>
      <w:r w:rsidR="0039735A">
        <w:t xml:space="preserve">with responsibility for </w:t>
      </w:r>
      <w:r w:rsidR="00A051DE">
        <w:t xml:space="preserve">Counter Terrorism Policy and the Countering Violent Extremism Centre </w:t>
      </w:r>
      <w:r>
        <w:t xml:space="preserve">met with the Commission </w:t>
      </w:r>
      <w:r w:rsidR="002A5F17">
        <w:t xml:space="preserve">in December 2017 and </w:t>
      </w:r>
      <w:r w:rsidR="00A06DEF">
        <w:t xml:space="preserve">May 2018 </w:t>
      </w:r>
      <w:r w:rsidR="00630B7B">
        <w:t xml:space="preserve">respectively </w:t>
      </w:r>
      <w:r w:rsidR="00712861">
        <w:t xml:space="preserve">to </w:t>
      </w:r>
      <w:r w:rsidR="00B2432B">
        <w:t xml:space="preserve">discuss </w:t>
      </w:r>
      <w:r w:rsidR="00712861">
        <w:t>their</w:t>
      </w:r>
      <w:r w:rsidR="00B2432B">
        <w:t xml:space="preserve"> progress on implementation</w:t>
      </w:r>
      <w:r w:rsidR="00712861">
        <w:t xml:space="preserve">.  </w:t>
      </w:r>
      <w:r w:rsidR="00284BD1">
        <w:t xml:space="preserve">Among other things, the Commission </w:t>
      </w:r>
      <w:r w:rsidR="003C7E30">
        <w:t>asked about:</w:t>
      </w:r>
    </w:p>
    <w:p w14:paraId="47BF5219" w14:textId="15EE571A" w:rsidR="003C7E30" w:rsidRDefault="00744408" w:rsidP="00484581">
      <w:pPr>
        <w:pStyle w:val="ListNumber2"/>
        <w:numPr>
          <w:ilvl w:val="0"/>
          <w:numId w:val="14"/>
        </w:numPr>
      </w:pPr>
      <w:r>
        <w:t>t</w:t>
      </w:r>
      <w:r w:rsidR="003C7E30">
        <w:t>he development of a risk assessment too</w:t>
      </w:r>
      <w:r w:rsidR="005317AB">
        <w:t>l</w:t>
      </w:r>
      <w:r w:rsidR="003C7E30">
        <w:t>, and steps taken to validate any tool for Australian circumstances</w:t>
      </w:r>
    </w:p>
    <w:p w14:paraId="3D94C387" w14:textId="61DEE8E4" w:rsidR="003C7E30" w:rsidRDefault="00744408" w:rsidP="00484581">
      <w:pPr>
        <w:pStyle w:val="ListNumber2"/>
        <w:numPr>
          <w:ilvl w:val="0"/>
          <w:numId w:val="14"/>
        </w:numPr>
      </w:pPr>
      <w:r>
        <w:lastRenderedPageBreak/>
        <w:t>the identification, training and qualification of relevant experts</w:t>
      </w:r>
    </w:p>
    <w:p w14:paraId="01455920" w14:textId="68A94918" w:rsidR="00744408" w:rsidRDefault="00AE33A4" w:rsidP="00484581">
      <w:pPr>
        <w:pStyle w:val="ListNumber2"/>
        <w:numPr>
          <w:ilvl w:val="0"/>
          <w:numId w:val="14"/>
        </w:numPr>
      </w:pPr>
      <w:r>
        <w:t>the minimum standards for hou</w:t>
      </w:r>
      <w:r w:rsidR="00E5074F">
        <w:t xml:space="preserve">sing people detained under the CDO </w:t>
      </w:r>
      <w:r w:rsidR="003D483D">
        <w:t>regime</w:t>
      </w:r>
      <w:r w:rsidR="00E5074F">
        <w:t>, noting that this will be civil rather than criminal detention</w:t>
      </w:r>
    </w:p>
    <w:p w14:paraId="1262B1CF" w14:textId="00B170CC" w:rsidR="00E5074F" w:rsidRDefault="00B3626B" w:rsidP="00484581">
      <w:pPr>
        <w:pStyle w:val="ListNumber2"/>
        <w:numPr>
          <w:ilvl w:val="0"/>
          <w:numId w:val="14"/>
        </w:numPr>
      </w:pPr>
      <w:r>
        <w:t>the mechanisms for oversight and inspection of conditions of detention</w:t>
      </w:r>
      <w:r w:rsidR="0001102D">
        <w:t xml:space="preserve"> for people detained under the CDO </w:t>
      </w:r>
      <w:r w:rsidR="003D483D">
        <w:t>regime</w:t>
      </w:r>
      <w:r w:rsidR="0001102D">
        <w:t xml:space="preserve">, and </w:t>
      </w:r>
      <w:r w:rsidR="00380E49">
        <w:t>the</w:t>
      </w:r>
      <w:r w:rsidR="0001102D">
        <w:t xml:space="preserve"> interaction with OPCAT</w:t>
      </w:r>
    </w:p>
    <w:p w14:paraId="3A1108EC" w14:textId="7B4AE1A9" w:rsidR="00B3626B" w:rsidRDefault="005D0482" w:rsidP="00484581">
      <w:pPr>
        <w:pStyle w:val="ListNumber2"/>
        <w:numPr>
          <w:ilvl w:val="0"/>
          <w:numId w:val="14"/>
        </w:numPr>
      </w:pPr>
      <w:r>
        <w:t xml:space="preserve">the </w:t>
      </w:r>
      <w:r w:rsidR="004D76F5">
        <w:t xml:space="preserve">steps taken to </w:t>
      </w:r>
      <w:r>
        <w:t>develo</w:t>
      </w:r>
      <w:r w:rsidR="004D76F5">
        <w:t>p</w:t>
      </w:r>
      <w:r>
        <w:t xml:space="preserve"> </w:t>
      </w:r>
      <w:r w:rsidR="004D76F5">
        <w:t>rehabilitation programs to reduce the risk of reoffending</w:t>
      </w:r>
    </w:p>
    <w:p w14:paraId="02BFF7E0" w14:textId="3534AD4A" w:rsidR="004D76F5" w:rsidRDefault="00DE2E93" w:rsidP="00484581">
      <w:pPr>
        <w:pStyle w:val="ListNumber2"/>
        <w:numPr>
          <w:ilvl w:val="0"/>
          <w:numId w:val="14"/>
        </w:numPr>
      </w:pPr>
      <w:r>
        <w:t xml:space="preserve">the steps taken to </w:t>
      </w:r>
      <w:r w:rsidR="00E421A4">
        <w:t xml:space="preserve">ensure that control orders, or </w:t>
      </w:r>
      <w:r w:rsidR="003D483D">
        <w:t>ESOs</w:t>
      </w:r>
      <w:r w:rsidR="00E421A4">
        <w:t xml:space="preserve">, were available as an alternative to the CDO </w:t>
      </w:r>
      <w:r w:rsidR="003D483D">
        <w:t>regime</w:t>
      </w:r>
      <w:r w:rsidR="00380E49">
        <w:t>.</w:t>
      </w:r>
    </w:p>
    <w:p w14:paraId="0E793EB8" w14:textId="0E8FDABD" w:rsidR="00D2006A" w:rsidRDefault="006E05CE" w:rsidP="00C144AB">
      <w:pPr>
        <w:pStyle w:val="ListNumber2"/>
        <w:tabs>
          <w:tab w:val="clear" w:pos="643"/>
          <w:tab w:val="num" w:pos="1080"/>
        </w:tabs>
        <w:ind w:left="1080" w:hanging="797"/>
      </w:pPr>
      <w:r>
        <w:t xml:space="preserve">It will be important for the PJCIS to understand </w:t>
      </w:r>
      <w:r w:rsidR="00832B86">
        <w:t>how that work has progressed</w:t>
      </w:r>
      <w:r w:rsidR="00FA42A3">
        <w:t xml:space="preserve"> as part of this review of </w:t>
      </w:r>
      <w:r w:rsidR="00FA42A3" w:rsidRPr="00FA42A3">
        <w:t xml:space="preserve">the operation, effectiveness and implications of </w:t>
      </w:r>
      <w:proofErr w:type="spellStart"/>
      <w:r w:rsidR="00FA42A3">
        <w:t>Div</w:t>
      </w:r>
      <w:proofErr w:type="spellEnd"/>
      <w:r w:rsidR="00FA42A3" w:rsidRPr="00FA42A3">
        <w:t> 105A</w:t>
      </w:r>
      <w:r w:rsidR="00832B86">
        <w:t>.</w:t>
      </w:r>
      <w:r w:rsidR="0021776E">
        <w:rPr>
          <w:rStyle w:val="EndnoteReference"/>
        </w:rPr>
        <w:endnoteReference w:id="314"/>
      </w:r>
    </w:p>
    <w:p w14:paraId="3FC749E3" w14:textId="02BEB44B" w:rsidR="00B407CE" w:rsidRDefault="00237D3C" w:rsidP="00C144AB">
      <w:pPr>
        <w:pStyle w:val="ListNumber2"/>
        <w:tabs>
          <w:tab w:val="clear" w:pos="643"/>
          <w:tab w:val="num" w:pos="1080"/>
        </w:tabs>
        <w:ind w:left="1080" w:hanging="797"/>
      </w:pPr>
      <w:r>
        <w:t xml:space="preserve">The joint-agency supplementary submission to the PJCIS in </w:t>
      </w:r>
      <w:r w:rsidR="00A877BD">
        <w:t xml:space="preserve">relation to the present inquiry </w:t>
      </w:r>
      <w:r w:rsidR="002A47C2">
        <w:t>notes that the Australian Government has ‘identified the VERA-2R as the most appropriate tool currently available</w:t>
      </w:r>
      <w:r w:rsidR="009B2120">
        <w:t>’</w:t>
      </w:r>
      <w:r w:rsidR="002A47C2">
        <w:t xml:space="preserve"> to assess </w:t>
      </w:r>
      <w:r w:rsidR="009B2120">
        <w:t xml:space="preserve">risk of </w:t>
      </w:r>
      <w:r w:rsidR="008A201A">
        <w:t xml:space="preserve">people engaging in </w:t>
      </w:r>
      <w:r w:rsidR="009B2120">
        <w:t>terrorism related conduct.</w:t>
      </w:r>
      <w:r w:rsidR="009B2120">
        <w:rPr>
          <w:rStyle w:val="EndnoteReference"/>
        </w:rPr>
        <w:endnoteReference w:id="315"/>
      </w:r>
      <w:r w:rsidR="009B2120">
        <w:t xml:space="preserve"> </w:t>
      </w:r>
      <w:r w:rsidR="003E0839">
        <w:t xml:space="preserve"> The agencies note that other kinds of risk assessment tools ‘have been validated statistically against large populations of offenders’ and revised </w:t>
      </w:r>
      <w:r w:rsidR="00761E50">
        <w:t xml:space="preserve">over a number of decades.  A key question is </w:t>
      </w:r>
      <w:r w:rsidR="00B26AB0">
        <w:t xml:space="preserve">whether an independent </w:t>
      </w:r>
      <w:r w:rsidR="00F2184C">
        <w:t xml:space="preserve">statistical validation has been done </w:t>
      </w:r>
      <w:r w:rsidR="00D25EBE">
        <w:t xml:space="preserve">of VERA-2R </w:t>
      </w:r>
      <w:r w:rsidR="00F2184C">
        <w:t xml:space="preserve">for Australian circumstances. </w:t>
      </w:r>
    </w:p>
    <w:p w14:paraId="4ED648EE" w14:textId="77777777" w:rsidR="0087660C" w:rsidRDefault="005F27B7" w:rsidP="00C144AB">
      <w:pPr>
        <w:pStyle w:val="ListNumber2"/>
        <w:tabs>
          <w:tab w:val="clear" w:pos="643"/>
          <w:tab w:val="num" w:pos="1080"/>
        </w:tabs>
        <w:ind w:left="1080" w:hanging="797"/>
      </w:pPr>
      <w:r>
        <w:t xml:space="preserve">The Commission recognises that there can be difficulties in </w:t>
      </w:r>
      <w:r w:rsidR="00A31CBC">
        <w:t xml:space="preserve">the </w:t>
      </w:r>
      <w:r w:rsidR="00E61B9E">
        <w:t>validation of a terrorism</w:t>
      </w:r>
      <w:r w:rsidR="00A31CBC">
        <w:t>-</w:t>
      </w:r>
      <w:r w:rsidR="00E61B9E">
        <w:t xml:space="preserve">specific tool </w:t>
      </w:r>
      <w:r>
        <w:t xml:space="preserve">because, fortunately, </w:t>
      </w:r>
      <w:r w:rsidR="0048416D">
        <w:t xml:space="preserve">there are comparatively few people who have committed acts of terrorism </w:t>
      </w:r>
      <w:r w:rsidR="00E61B9E">
        <w:t xml:space="preserve">who could </w:t>
      </w:r>
      <w:r w:rsidR="00B52DE4">
        <w:t xml:space="preserve">be the subject of </w:t>
      </w:r>
      <w:r w:rsidR="007F16D7">
        <w:t xml:space="preserve">an actuarial </w:t>
      </w:r>
      <w:r w:rsidR="00E61B9E">
        <w:t>analysis.</w:t>
      </w:r>
      <w:r w:rsidR="00B52DE4">
        <w:t xml:space="preserve">  At the same time, the scarcity of the data </w:t>
      </w:r>
      <w:r w:rsidR="007F16D7">
        <w:t xml:space="preserve">means that </w:t>
      </w:r>
      <w:r w:rsidR="00B30122">
        <w:t xml:space="preserve">the predictive power of these kinds of tools is likely to be limited.  </w:t>
      </w:r>
      <w:r w:rsidR="00753ACF">
        <w:t xml:space="preserve">In any event, while validation of a tool such as VERA-2R would be challenging, it is imperative. </w:t>
      </w:r>
      <w:r w:rsidR="0087660C">
        <w:t xml:space="preserve"> </w:t>
      </w:r>
      <w:r w:rsidR="00753ACF">
        <w:t>Without that information, it would be difficult, if not impossible, for a Court to conclude that evidence derived from an assessment made using VERA-2R is sufficiently reliable to be used in determining whether to issue a CDO.</w:t>
      </w:r>
    </w:p>
    <w:p w14:paraId="4A8B2006" w14:textId="3A79B1C0" w:rsidR="00B26AB0" w:rsidRDefault="00B30122" w:rsidP="00C144AB">
      <w:pPr>
        <w:pStyle w:val="ListNumber2"/>
        <w:tabs>
          <w:tab w:val="clear" w:pos="643"/>
          <w:tab w:val="num" w:pos="1080"/>
        </w:tabs>
        <w:ind w:left="1080" w:hanging="797"/>
      </w:pPr>
      <w:r>
        <w:lastRenderedPageBreak/>
        <w:t>The VERA-2R website</w:t>
      </w:r>
      <w:r w:rsidR="0087660C">
        <w:t xml:space="preserve"> itself </w:t>
      </w:r>
      <w:r>
        <w:t>contains the following warning about the limitations of the tool:</w:t>
      </w:r>
    </w:p>
    <w:p w14:paraId="3EBBB3F3" w14:textId="5C925E37" w:rsidR="00632A25" w:rsidRPr="00082B17" w:rsidRDefault="00632A25" w:rsidP="00082B17">
      <w:pPr>
        <w:pStyle w:val="ListNumber2"/>
        <w:numPr>
          <w:ilvl w:val="0"/>
          <w:numId w:val="0"/>
        </w:numPr>
        <w:ind w:left="1440"/>
        <w:rPr>
          <w:rFonts w:eastAsiaTheme="minorHAnsi"/>
          <w:sz w:val="22"/>
          <w:szCs w:val="22"/>
        </w:rPr>
      </w:pPr>
      <w:r w:rsidRPr="00082B17">
        <w:rPr>
          <w:sz w:val="22"/>
          <w:szCs w:val="22"/>
        </w:rPr>
        <w:t>Predictive validity is problematic due to the low base rate of terrorists and violent extremists. Moreover, extremists and terrorists may change their strategies, make unexpected decisions and use unpredictable triggers. Unpredictable and dynamic factors such as events at a personal, local or global level can also trigger unexpected violent acts. Due to such triggers and other dynamic factors, risks are time and context sensitive and are not able to be predicted with certainty. For each evaluation, limitations in the assessment must be clearly identified.</w:t>
      </w:r>
      <w:r w:rsidR="00082B17">
        <w:rPr>
          <w:rStyle w:val="EndnoteReference"/>
          <w:szCs w:val="22"/>
        </w:rPr>
        <w:endnoteReference w:id="316"/>
      </w:r>
    </w:p>
    <w:p w14:paraId="541A9156" w14:textId="2F287569" w:rsidR="00B30122" w:rsidRDefault="00FB5205" w:rsidP="00FB5205">
      <w:pPr>
        <w:pStyle w:val="ListNumber2"/>
        <w:tabs>
          <w:tab w:val="clear" w:pos="643"/>
          <w:tab w:val="num" w:pos="1080"/>
        </w:tabs>
        <w:ind w:left="1080" w:hanging="797"/>
      </w:pPr>
      <w:r>
        <w:t>This warning re</w:t>
      </w:r>
      <w:r w:rsidR="000810D8">
        <w:t>inforces the importance of Recommendation 10 above.</w:t>
      </w:r>
    </w:p>
    <w:p w14:paraId="28CB6106" w14:textId="1D48CC1A" w:rsidR="00C2400B" w:rsidRDefault="00C634A7" w:rsidP="00FB5205">
      <w:pPr>
        <w:pStyle w:val="ListNumber2"/>
        <w:tabs>
          <w:tab w:val="clear" w:pos="643"/>
          <w:tab w:val="num" w:pos="1080"/>
        </w:tabs>
        <w:ind w:left="1080" w:hanging="797"/>
      </w:pPr>
      <w:r>
        <w:t>The VERA-2R is a structured professional judgment tool.</w:t>
      </w:r>
      <w:r w:rsidR="009733C5">
        <w:t xml:space="preserve">  </w:t>
      </w:r>
      <w:r w:rsidR="0001095E">
        <w:t xml:space="preserve">As the </w:t>
      </w:r>
      <w:r w:rsidR="00935A95">
        <w:t xml:space="preserve">Government agencies acknowledge in their </w:t>
      </w:r>
      <w:r w:rsidR="008655BB">
        <w:t xml:space="preserve">joint </w:t>
      </w:r>
      <w:r w:rsidR="00935A95">
        <w:t xml:space="preserve">submission, </w:t>
      </w:r>
      <w:r w:rsidR="00A207AE">
        <w:t>it relies</w:t>
      </w:r>
      <w:r w:rsidR="0087660C">
        <w:t xml:space="preserve"> in part</w:t>
      </w:r>
      <w:r w:rsidR="00A207AE">
        <w:t xml:space="preserve"> on the expertise of the </w:t>
      </w:r>
      <w:r w:rsidR="009D07F3">
        <w:t xml:space="preserve">risk assessor and the quality of information available.  </w:t>
      </w:r>
      <w:r w:rsidR="0013205F">
        <w:t xml:space="preserve">In 2017, the </w:t>
      </w:r>
      <w:r w:rsidR="00847837">
        <w:t xml:space="preserve">Victorian Expert Panel on Terrorism and Violent Extremism Prevention and Response Powers noted that </w:t>
      </w:r>
      <w:r w:rsidR="0050701C">
        <w:t xml:space="preserve">VERA-2R ‘has only been developed relatively recently and lacks a strong and validated body of evidence as to its efficacy’ in the context of </w:t>
      </w:r>
      <w:r w:rsidR="00C345FA">
        <w:t xml:space="preserve">assessing risk and </w:t>
      </w:r>
      <w:r w:rsidR="0050701C">
        <w:t xml:space="preserve">managing </w:t>
      </w:r>
      <w:r w:rsidR="00C345FA">
        <w:t>post-sentence high risk terrorist offenders.</w:t>
      </w:r>
      <w:r w:rsidR="00C345FA">
        <w:rPr>
          <w:rStyle w:val="EndnoteReference"/>
        </w:rPr>
        <w:endnoteReference w:id="317"/>
      </w:r>
    </w:p>
    <w:p w14:paraId="6B2BD7A5" w14:textId="335C9252" w:rsidR="005D3615" w:rsidRDefault="009D07F3" w:rsidP="00FB5205">
      <w:pPr>
        <w:pStyle w:val="ListNumber2"/>
        <w:tabs>
          <w:tab w:val="clear" w:pos="643"/>
          <w:tab w:val="num" w:pos="1080"/>
        </w:tabs>
        <w:ind w:left="1080" w:hanging="797"/>
      </w:pPr>
      <w:r>
        <w:t xml:space="preserve">The developers of this tool, and the previous </w:t>
      </w:r>
      <w:r w:rsidR="0087660C">
        <w:t xml:space="preserve">iteration known as </w:t>
      </w:r>
      <w:r>
        <w:t>VERA-2</w:t>
      </w:r>
      <w:r w:rsidR="00CB1E68">
        <w:t>,</w:t>
      </w:r>
      <w:r w:rsidR="00E63625">
        <w:t xml:space="preserve"> have warned that it is </w:t>
      </w:r>
      <w:r w:rsidR="0043657E">
        <w:t>‘</w:t>
      </w:r>
      <w:r w:rsidR="00E63625">
        <w:t>not a silver bullet of prediction’</w:t>
      </w:r>
      <w:r w:rsidR="001716E4">
        <w:t xml:space="preserve"> and is ‘not intended to serve as a definitive predictive instrument for those who have offended</w:t>
      </w:r>
      <w:r w:rsidR="00285354">
        <w:t xml:space="preserve"> but rather provides some indicators as to a measure of the likeliness of danger’</w:t>
      </w:r>
      <w:r w:rsidR="00E63625">
        <w:t>.</w:t>
      </w:r>
      <w:r w:rsidR="00285354">
        <w:rPr>
          <w:rStyle w:val="EndnoteReference"/>
        </w:rPr>
        <w:endnoteReference w:id="318"/>
      </w:r>
      <w:r w:rsidR="00DB10F7">
        <w:t xml:space="preserve">  </w:t>
      </w:r>
    </w:p>
    <w:p w14:paraId="64587554" w14:textId="320E9E34" w:rsidR="00B73BEB" w:rsidRDefault="00B73BEB" w:rsidP="00FB5205">
      <w:pPr>
        <w:pStyle w:val="ListNumber2"/>
        <w:tabs>
          <w:tab w:val="clear" w:pos="643"/>
          <w:tab w:val="num" w:pos="1080"/>
        </w:tabs>
        <w:ind w:left="1080" w:hanging="797"/>
      </w:pPr>
      <w:r>
        <w:t xml:space="preserve">Ultimately, great caution needs to be applied in relying on any such tool in the context of applying for, or making, a CDO. </w:t>
      </w:r>
      <w:r w:rsidR="003F44FF">
        <w:t xml:space="preserve"> </w:t>
      </w:r>
      <w:r>
        <w:t xml:space="preserve">It </w:t>
      </w:r>
      <w:r w:rsidR="00517F70">
        <w:t xml:space="preserve">is </w:t>
      </w:r>
      <w:r>
        <w:t xml:space="preserve">not enough </w:t>
      </w:r>
      <w:r w:rsidR="00517F70">
        <w:t xml:space="preserve">that </w:t>
      </w:r>
      <w:r w:rsidR="00611997">
        <w:t xml:space="preserve">a </w:t>
      </w:r>
      <w:proofErr w:type="gramStart"/>
      <w:r w:rsidR="00611997">
        <w:t>particular tool</w:t>
      </w:r>
      <w:proofErr w:type="gramEnd"/>
      <w:r w:rsidR="00611997">
        <w:t xml:space="preserve"> </w:t>
      </w:r>
      <w:r>
        <w:t>is</w:t>
      </w:r>
      <w:r w:rsidR="009E1E1D">
        <w:t>, relatively speaking,</w:t>
      </w:r>
      <w:r>
        <w:t xml:space="preserve"> better than other comparable tools. </w:t>
      </w:r>
      <w:r w:rsidR="003F44FF">
        <w:t xml:space="preserve"> </w:t>
      </w:r>
      <w:r>
        <w:t xml:space="preserve">Rather, before a tool is used in this context, it should be shown to produce </w:t>
      </w:r>
      <w:r w:rsidRPr="00A36B3C">
        <w:rPr>
          <w:i/>
        </w:rPr>
        <w:t>objectively</w:t>
      </w:r>
      <w:r>
        <w:t xml:space="preserve"> reliable evidence, to a standard that is commensurate with the gravity of the decision making. </w:t>
      </w:r>
      <w:r w:rsidR="003F44FF">
        <w:t xml:space="preserve"> </w:t>
      </w:r>
      <w:r>
        <w:t>That standard ought to be high: where a CDO is wrongly made, it would severely infringe an individual’s human rights, almost always amounting to arbitrary detention.</w:t>
      </w:r>
    </w:p>
    <w:p w14:paraId="3E2CFDA9" w14:textId="6337878F" w:rsidR="000810D8" w:rsidRDefault="00DB10F7" w:rsidP="00FB5205">
      <w:pPr>
        <w:pStyle w:val="ListNumber2"/>
        <w:tabs>
          <w:tab w:val="clear" w:pos="643"/>
          <w:tab w:val="num" w:pos="1080"/>
        </w:tabs>
        <w:ind w:left="1080" w:hanging="797"/>
      </w:pPr>
      <w:r>
        <w:t>Clearly further work in this area is required.</w:t>
      </w:r>
    </w:p>
    <w:p w14:paraId="0EEACF35" w14:textId="0166102F" w:rsidR="00792873" w:rsidRPr="00792873" w:rsidRDefault="00792873" w:rsidP="00792873">
      <w:pPr>
        <w:pStyle w:val="ListNumber2"/>
        <w:keepNext/>
        <w:numPr>
          <w:ilvl w:val="0"/>
          <w:numId w:val="0"/>
        </w:numPr>
        <w:ind w:left="1008" w:firstLine="72"/>
        <w:rPr>
          <w:b/>
          <w:bCs/>
        </w:rPr>
      </w:pPr>
      <w:r w:rsidRPr="00792873">
        <w:rPr>
          <w:b/>
          <w:bCs/>
        </w:rPr>
        <w:lastRenderedPageBreak/>
        <w:t xml:space="preserve">Recommendation </w:t>
      </w:r>
      <w:r w:rsidR="003F488F">
        <w:rPr>
          <w:b/>
          <w:bCs/>
        </w:rPr>
        <w:t>1</w:t>
      </w:r>
      <w:r w:rsidR="004D6320">
        <w:rPr>
          <w:b/>
          <w:bCs/>
        </w:rPr>
        <w:t>1</w:t>
      </w:r>
    </w:p>
    <w:p w14:paraId="611BF001" w14:textId="50DD0A87" w:rsidR="00792873" w:rsidRDefault="00792873" w:rsidP="00792873">
      <w:pPr>
        <w:pStyle w:val="ListNumber2"/>
        <w:numPr>
          <w:ilvl w:val="0"/>
          <w:numId w:val="0"/>
        </w:numPr>
        <w:ind w:left="1080"/>
      </w:pPr>
      <w:r>
        <w:t>The Commission recommends that the PJCIS seek an update from the Department of Home Affairs about the following matter</w:t>
      </w:r>
      <w:r w:rsidR="003103CA">
        <w:t>s</w:t>
      </w:r>
      <w:r>
        <w:t xml:space="preserve"> in relation to the continuing detention order </w:t>
      </w:r>
      <w:r w:rsidR="003103CA">
        <w:t>regime</w:t>
      </w:r>
      <w:r>
        <w:t xml:space="preserve"> in </w:t>
      </w:r>
      <w:proofErr w:type="spellStart"/>
      <w:r>
        <w:t>Div</w:t>
      </w:r>
      <w:proofErr w:type="spellEnd"/>
      <w:r>
        <w:t xml:space="preserve"> 105A of the Criminal Code:</w:t>
      </w:r>
    </w:p>
    <w:p w14:paraId="07D348B5" w14:textId="009E2655" w:rsidR="00792873" w:rsidRPr="001073D9" w:rsidRDefault="00792873" w:rsidP="00C373B4">
      <w:pPr>
        <w:pStyle w:val="SubmissionNormal"/>
        <w:numPr>
          <w:ilvl w:val="0"/>
          <w:numId w:val="0"/>
        </w:numPr>
        <w:ind w:left="1800" w:hanging="720"/>
      </w:pPr>
      <w:r>
        <w:t>(a)</w:t>
      </w:r>
      <w:r w:rsidR="002E2ECF">
        <w:tab/>
      </w:r>
      <w:r w:rsidRPr="001073D9">
        <w:t>the development of a risk assessment too</w:t>
      </w:r>
      <w:r>
        <w:t>l</w:t>
      </w:r>
      <w:r w:rsidRPr="001073D9">
        <w:t>, steps taken to validate any tool for Australian circumstances</w:t>
      </w:r>
      <w:r w:rsidR="006759E4">
        <w:t>, and any independent evaluation of the reliability of this tool in Australia and/or other comparable jurisdictions</w:t>
      </w:r>
    </w:p>
    <w:p w14:paraId="4F990246" w14:textId="2F068ACE" w:rsidR="00792873" w:rsidRPr="001073D9" w:rsidRDefault="00792873" w:rsidP="00C373B4">
      <w:pPr>
        <w:pStyle w:val="SubmissionNormal"/>
        <w:numPr>
          <w:ilvl w:val="0"/>
          <w:numId w:val="0"/>
        </w:numPr>
        <w:ind w:left="1800" w:hanging="720"/>
      </w:pPr>
      <w:r>
        <w:t>(b)</w:t>
      </w:r>
      <w:r>
        <w:tab/>
      </w:r>
      <w:r w:rsidRPr="001073D9">
        <w:t>the identification, training and qualification of relevant experts</w:t>
      </w:r>
    </w:p>
    <w:p w14:paraId="3BF90BF3" w14:textId="5CD6416E" w:rsidR="00792873" w:rsidRPr="001073D9" w:rsidRDefault="00792873" w:rsidP="00C373B4">
      <w:pPr>
        <w:pStyle w:val="SubmissionNormal"/>
        <w:numPr>
          <w:ilvl w:val="0"/>
          <w:numId w:val="0"/>
        </w:numPr>
        <w:ind w:left="1800" w:hanging="720"/>
      </w:pPr>
      <w:r>
        <w:t>(c)</w:t>
      </w:r>
      <w:r>
        <w:tab/>
      </w:r>
      <w:r w:rsidRPr="001073D9">
        <w:t xml:space="preserve">the minimum standards for housing people detained under the </w:t>
      </w:r>
      <w:r>
        <w:t xml:space="preserve">continuing detention order </w:t>
      </w:r>
      <w:r w:rsidR="003D483D">
        <w:t>regime</w:t>
      </w:r>
    </w:p>
    <w:p w14:paraId="5C4C3EEB" w14:textId="622732EA" w:rsidR="00792873" w:rsidRPr="001073D9" w:rsidRDefault="00792873" w:rsidP="00C373B4">
      <w:pPr>
        <w:pStyle w:val="SubmissionNormal"/>
        <w:numPr>
          <w:ilvl w:val="0"/>
          <w:numId w:val="0"/>
        </w:numPr>
        <w:ind w:left="1800" w:hanging="720"/>
      </w:pPr>
      <w:r>
        <w:t>(d)</w:t>
      </w:r>
      <w:r w:rsidR="00EE3634">
        <w:tab/>
      </w:r>
      <w:r w:rsidRPr="001073D9">
        <w:t xml:space="preserve">the mechanisms for oversight and inspection of conditions of detention for people detained under the </w:t>
      </w:r>
      <w:r>
        <w:t xml:space="preserve">continuing detention order </w:t>
      </w:r>
      <w:r w:rsidR="003D483D">
        <w:t>regime</w:t>
      </w:r>
    </w:p>
    <w:p w14:paraId="7416AECF" w14:textId="549E7D4D" w:rsidR="00792873" w:rsidRDefault="00792873" w:rsidP="00C373B4">
      <w:pPr>
        <w:pStyle w:val="SubmissionNormal"/>
        <w:numPr>
          <w:ilvl w:val="0"/>
          <w:numId w:val="0"/>
        </w:numPr>
        <w:ind w:left="1800" w:hanging="720"/>
      </w:pPr>
      <w:r>
        <w:t>(e)</w:t>
      </w:r>
      <w:r w:rsidR="00EE3634">
        <w:tab/>
      </w:r>
      <w:r w:rsidRPr="001073D9">
        <w:t>the steps taken to develop rehabilitation programs to reduce the risk of reoffending</w:t>
      </w:r>
    </w:p>
    <w:p w14:paraId="253D3B8E" w14:textId="77777777" w:rsidR="00792873" w:rsidRDefault="00792873" w:rsidP="00EE3634">
      <w:pPr>
        <w:pStyle w:val="ListNumber2"/>
        <w:numPr>
          <w:ilvl w:val="0"/>
          <w:numId w:val="0"/>
        </w:numPr>
        <w:ind w:left="1080"/>
      </w:pPr>
      <w:r>
        <w:t>and publish the responses to the full extent possible that is consistent with the requirements of national security.</w:t>
      </w:r>
    </w:p>
    <w:p w14:paraId="1CECEA3E" w14:textId="140473C1" w:rsidR="00CD25E4" w:rsidRDefault="003562D1" w:rsidP="00C144AB">
      <w:pPr>
        <w:pStyle w:val="ListNumber2"/>
        <w:tabs>
          <w:tab w:val="clear" w:pos="643"/>
          <w:tab w:val="num" w:pos="1080"/>
        </w:tabs>
        <w:ind w:left="1080" w:hanging="797"/>
      </w:pPr>
      <w:r>
        <w:t xml:space="preserve">At present, the </w:t>
      </w:r>
      <w:r w:rsidR="006B0187">
        <w:t>definition</w:t>
      </w:r>
      <w:r>
        <w:t xml:space="preserve"> of ‘relevant expert’ is broad, vague and does not </w:t>
      </w:r>
      <w:r w:rsidR="006B0187">
        <w:t xml:space="preserve">guarantee sufficient training or independence.  </w:t>
      </w:r>
      <w:r w:rsidR="00A36B43">
        <w:t>There are no minimum requirements for training or accreditation.</w:t>
      </w:r>
    </w:p>
    <w:p w14:paraId="148C49F0" w14:textId="1B1EE958" w:rsidR="003E67A6" w:rsidRDefault="003E67A6" w:rsidP="00950495">
      <w:pPr>
        <w:pStyle w:val="ListNumber2"/>
        <w:tabs>
          <w:tab w:val="clear" w:pos="643"/>
          <w:tab w:val="num" w:pos="1080"/>
        </w:tabs>
        <w:ind w:left="1080" w:hanging="797"/>
      </w:pPr>
      <w:r>
        <w:t xml:space="preserve">When this issue was considered by the New South Wales Sentencing Council, it recommended that: </w:t>
      </w:r>
    </w:p>
    <w:p w14:paraId="64FD34D5" w14:textId="77777777" w:rsidR="003E67A6" w:rsidRDefault="003E67A6" w:rsidP="00484581">
      <w:pPr>
        <w:pStyle w:val="ListNumber2"/>
        <w:numPr>
          <w:ilvl w:val="0"/>
          <w:numId w:val="19"/>
        </w:numPr>
        <w:ind w:left="1440"/>
      </w:pPr>
      <w:r>
        <w:t>risk assessment should be undertaken independently of the corrections system in order to avoid any apprehension of bias as a result of the involvement of the executive in the process; and</w:t>
      </w:r>
    </w:p>
    <w:p w14:paraId="60E0B581" w14:textId="619F6A78" w:rsidR="003E67A6" w:rsidRDefault="003E67A6" w:rsidP="00484581">
      <w:pPr>
        <w:pStyle w:val="ListNumber2"/>
        <w:numPr>
          <w:ilvl w:val="0"/>
          <w:numId w:val="19"/>
        </w:numPr>
        <w:ind w:left="1440"/>
      </w:pPr>
      <w:r>
        <w:t>in order to be eligible to be appointed as a relevant expert, the expert should be accredited by an independent authority.</w:t>
      </w:r>
      <w:r w:rsidR="00CA5C5C" w:rsidRPr="00950495">
        <w:rPr>
          <w:sz w:val="20"/>
          <w:szCs w:val="20"/>
          <w:vertAlign w:val="superscript"/>
        </w:rPr>
        <w:endnoteReference w:id="319"/>
      </w:r>
    </w:p>
    <w:p w14:paraId="27A005CF" w14:textId="49572764" w:rsidR="003E67A6" w:rsidRDefault="003E67A6" w:rsidP="00950495">
      <w:pPr>
        <w:pStyle w:val="ListNumber2"/>
        <w:tabs>
          <w:tab w:val="clear" w:pos="643"/>
          <w:tab w:val="num" w:pos="1080"/>
        </w:tabs>
        <w:ind w:left="1080" w:hanging="797"/>
      </w:pPr>
      <w:r>
        <w:t>The Council said that establishing an independent risk management body would facilitate best practice in relation to risk-prediction by:</w:t>
      </w:r>
    </w:p>
    <w:p w14:paraId="410B97E9" w14:textId="77777777" w:rsidR="003E67A6" w:rsidRDefault="003E67A6" w:rsidP="00484581">
      <w:pPr>
        <w:pStyle w:val="ListNumber2"/>
        <w:numPr>
          <w:ilvl w:val="0"/>
          <w:numId w:val="20"/>
        </w:numPr>
        <w:ind w:left="1440"/>
      </w:pPr>
      <w:r>
        <w:lastRenderedPageBreak/>
        <w:t>setting out best-practice risk-assessment and risk-management processes and developing guidelines and standards with respect to such processes</w:t>
      </w:r>
    </w:p>
    <w:p w14:paraId="74CFAAF2" w14:textId="77777777" w:rsidR="003E67A6" w:rsidRDefault="003E67A6" w:rsidP="00484581">
      <w:pPr>
        <w:pStyle w:val="ListNumber2"/>
        <w:numPr>
          <w:ilvl w:val="0"/>
          <w:numId w:val="20"/>
        </w:numPr>
        <w:ind w:left="1440"/>
      </w:pPr>
      <w:r>
        <w:t>validating new risk assessment tools and processes</w:t>
      </w:r>
    </w:p>
    <w:p w14:paraId="5DDDF5EE" w14:textId="77777777" w:rsidR="003E67A6" w:rsidRDefault="003E67A6" w:rsidP="00484581">
      <w:pPr>
        <w:pStyle w:val="ListNumber2"/>
        <w:numPr>
          <w:ilvl w:val="0"/>
          <w:numId w:val="20"/>
        </w:numPr>
        <w:ind w:left="1440"/>
      </w:pPr>
      <w:r>
        <w:t>providing for rigorous procedures by which practitioners become accredited for assessing risk</w:t>
      </w:r>
    </w:p>
    <w:p w14:paraId="27309A95" w14:textId="77777777" w:rsidR="003E67A6" w:rsidRDefault="003E67A6" w:rsidP="00484581">
      <w:pPr>
        <w:pStyle w:val="ListNumber2"/>
        <w:numPr>
          <w:ilvl w:val="0"/>
          <w:numId w:val="20"/>
        </w:numPr>
        <w:ind w:left="1440"/>
      </w:pPr>
      <w:r>
        <w:t>providing education and training for practitioners</w:t>
      </w:r>
    </w:p>
    <w:p w14:paraId="0EA707EB" w14:textId="77777777" w:rsidR="003E67A6" w:rsidRDefault="003E67A6" w:rsidP="00484581">
      <w:pPr>
        <w:pStyle w:val="ListNumber2"/>
        <w:numPr>
          <w:ilvl w:val="0"/>
          <w:numId w:val="20"/>
        </w:numPr>
        <w:ind w:left="1440"/>
      </w:pPr>
      <w:r>
        <w:t>increasing the pool of experts available to give evidence in matters which require risk-prediction</w:t>
      </w:r>
    </w:p>
    <w:p w14:paraId="38E78848" w14:textId="77777777" w:rsidR="003E67A6" w:rsidRDefault="003E67A6" w:rsidP="00484581">
      <w:pPr>
        <w:pStyle w:val="ListNumber2"/>
        <w:numPr>
          <w:ilvl w:val="0"/>
          <w:numId w:val="20"/>
        </w:numPr>
        <w:ind w:left="1440"/>
      </w:pPr>
      <w:r>
        <w:t>facilitating risk assessment by an independent panel of experts</w:t>
      </w:r>
    </w:p>
    <w:p w14:paraId="2563F7B1" w14:textId="66AA0FC3" w:rsidR="003E67A6" w:rsidRDefault="003E67A6" w:rsidP="00484581">
      <w:pPr>
        <w:pStyle w:val="ListNumber2"/>
        <w:numPr>
          <w:ilvl w:val="0"/>
          <w:numId w:val="20"/>
        </w:numPr>
        <w:ind w:left="1440"/>
      </w:pPr>
      <w:r>
        <w:t>developing an individual risk-management plan when an offender likely to become subject to post-sentence restraints enters custody.</w:t>
      </w:r>
      <w:r w:rsidR="00CA5C5C" w:rsidRPr="00950495">
        <w:rPr>
          <w:sz w:val="20"/>
          <w:szCs w:val="20"/>
          <w:vertAlign w:val="superscript"/>
        </w:rPr>
        <w:endnoteReference w:id="320"/>
      </w:r>
    </w:p>
    <w:p w14:paraId="07220A5C" w14:textId="08D39B90" w:rsidR="003E67A6" w:rsidRDefault="003E67A6" w:rsidP="00456239">
      <w:pPr>
        <w:pStyle w:val="ListNumber2"/>
        <w:tabs>
          <w:tab w:val="clear" w:pos="643"/>
          <w:tab w:val="num" w:pos="1080"/>
        </w:tabs>
        <w:ind w:left="1080" w:hanging="797"/>
      </w:pPr>
      <w:r>
        <w:t xml:space="preserve">The Commission considers that the recommendations made by the New South Wales Sentencing Council should also be adopted in relation to </w:t>
      </w:r>
      <w:proofErr w:type="spellStart"/>
      <w:r w:rsidR="00F521C0">
        <w:t>Div</w:t>
      </w:r>
      <w:proofErr w:type="spellEnd"/>
      <w:r w:rsidR="00F521C0">
        <w:t xml:space="preserve"> 105A </w:t>
      </w:r>
      <w:r>
        <w:t>in order to improve the process for assessing risk.</w:t>
      </w:r>
    </w:p>
    <w:p w14:paraId="3FF422B8" w14:textId="4E314938" w:rsidR="003E67A6" w:rsidRPr="008A2266" w:rsidRDefault="003E67A6" w:rsidP="00456239">
      <w:pPr>
        <w:pStyle w:val="SubmissionNormal"/>
        <w:keepNext/>
        <w:numPr>
          <w:ilvl w:val="0"/>
          <w:numId w:val="0"/>
        </w:numPr>
        <w:ind w:left="1080"/>
        <w:rPr>
          <w:b/>
        </w:rPr>
      </w:pPr>
      <w:r>
        <w:rPr>
          <w:b/>
        </w:rPr>
        <w:t xml:space="preserve">Recommendation </w:t>
      </w:r>
      <w:r w:rsidR="00AB5831">
        <w:rPr>
          <w:b/>
        </w:rPr>
        <w:t>1</w:t>
      </w:r>
      <w:r w:rsidR="004D6320">
        <w:rPr>
          <w:b/>
        </w:rPr>
        <w:t>2</w:t>
      </w:r>
    </w:p>
    <w:p w14:paraId="13E4C8A2" w14:textId="77777777" w:rsidR="003E67A6" w:rsidRDefault="003E67A6" w:rsidP="00456239">
      <w:pPr>
        <w:pStyle w:val="SubmissionNormal"/>
        <w:numPr>
          <w:ilvl w:val="0"/>
          <w:numId w:val="0"/>
        </w:numPr>
        <w:ind w:left="1080"/>
      </w:pPr>
      <w:r>
        <w:t>The Commission recommends that an independent risk management body be established to:</w:t>
      </w:r>
    </w:p>
    <w:p w14:paraId="4AF1B5E2" w14:textId="52F81ABD" w:rsidR="003E67A6" w:rsidRDefault="003E67A6" w:rsidP="00456239">
      <w:pPr>
        <w:pStyle w:val="SubmissionNormal"/>
        <w:numPr>
          <w:ilvl w:val="0"/>
          <w:numId w:val="0"/>
        </w:numPr>
        <w:ind w:left="1800" w:hanging="720"/>
      </w:pPr>
      <w:r>
        <w:t>(a)</w:t>
      </w:r>
      <w:r>
        <w:tab/>
        <w:t>accredit people in the assessment of risk for the purpose of becoming ‘relevant experts’</w:t>
      </w:r>
      <w:r w:rsidR="00C6648E">
        <w:t xml:space="preserve"> as defined in s 105A.2</w:t>
      </w:r>
      <w:r w:rsidR="007F7432">
        <w:t xml:space="preserve"> of the Criminal Code</w:t>
      </w:r>
    </w:p>
    <w:p w14:paraId="35DB806F" w14:textId="77777777" w:rsidR="003E67A6" w:rsidRDefault="003E67A6" w:rsidP="00456239">
      <w:pPr>
        <w:pStyle w:val="SubmissionNormal"/>
        <w:numPr>
          <w:ilvl w:val="0"/>
          <w:numId w:val="0"/>
        </w:numPr>
        <w:ind w:left="1800" w:hanging="720"/>
      </w:pPr>
      <w:r>
        <w:t>(b)</w:t>
      </w:r>
      <w:r>
        <w:tab/>
        <w:t>develop best-practice risk-assessment and risk-management processes, guidelines and standards</w:t>
      </w:r>
    </w:p>
    <w:p w14:paraId="40DAFA4A" w14:textId="27CECE4F" w:rsidR="003E67A6" w:rsidRDefault="003E67A6" w:rsidP="00456239">
      <w:pPr>
        <w:pStyle w:val="SubmissionNormal"/>
        <w:numPr>
          <w:ilvl w:val="0"/>
          <w:numId w:val="0"/>
        </w:numPr>
        <w:ind w:left="1800" w:hanging="720"/>
      </w:pPr>
      <w:r>
        <w:t>(c)</w:t>
      </w:r>
      <w:r>
        <w:tab/>
        <w:t>validate new risk assessment tools and processes</w:t>
      </w:r>
    </w:p>
    <w:p w14:paraId="43CD70E2" w14:textId="08ED02C4" w:rsidR="009A31A4" w:rsidRDefault="009A31A4" w:rsidP="00456239">
      <w:pPr>
        <w:pStyle w:val="SubmissionNormal"/>
        <w:numPr>
          <w:ilvl w:val="0"/>
          <w:numId w:val="0"/>
        </w:numPr>
        <w:ind w:left="1800" w:hanging="720"/>
      </w:pPr>
      <w:r>
        <w:t>(d)</w:t>
      </w:r>
      <w:r>
        <w:tab/>
      </w:r>
      <w:r w:rsidR="00480FFF">
        <w:t>evaluate the operation of risk assessment tools</w:t>
      </w:r>
    </w:p>
    <w:p w14:paraId="2BC0CC2A" w14:textId="53D2C7FA" w:rsidR="003E67A6" w:rsidRDefault="003E67A6" w:rsidP="00456239">
      <w:pPr>
        <w:pStyle w:val="SubmissionNormal"/>
        <w:numPr>
          <w:ilvl w:val="0"/>
          <w:numId w:val="0"/>
        </w:numPr>
        <w:ind w:left="1800" w:hanging="720"/>
      </w:pPr>
      <w:r>
        <w:t>(</w:t>
      </w:r>
      <w:r w:rsidR="009A31A4">
        <w:t>e</w:t>
      </w:r>
      <w:r>
        <w:t>)</w:t>
      </w:r>
      <w:r>
        <w:tab/>
        <w:t>undertake and commission research on risk assessment methods; and</w:t>
      </w:r>
    </w:p>
    <w:p w14:paraId="1E653496" w14:textId="584EB6EF" w:rsidR="003E67A6" w:rsidRDefault="003E67A6" w:rsidP="00456239">
      <w:pPr>
        <w:pStyle w:val="SubmissionNormal"/>
        <w:numPr>
          <w:ilvl w:val="0"/>
          <w:numId w:val="0"/>
        </w:numPr>
        <w:ind w:left="1800" w:hanging="720"/>
      </w:pPr>
      <w:r>
        <w:t>(</w:t>
      </w:r>
      <w:r w:rsidR="009A31A4">
        <w:t>f</w:t>
      </w:r>
      <w:r>
        <w:t>)</w:t>
      </w:r>
      <w:r>
        <w:tab/>
        <w:t>provide education and training for risk assessors.</w:t>
      </w:r>
    </w:p>
    <w:p w14:paraId="2B9F235A" w14:textId="5ECCC4FD" w:rsidR="003E67A6" w:rsidRPr="004343CF" w:rsidRDefault="003E67A6" w:rsidP="00456239">
      <w:pPr>
        <w:pStyle w:val="SubmissionNormal"/>
        <w:keepNext/>
        <w:numPr>
          <w:ilvl w:val="0"/>
          <w:numId w:val="0"/>
        </w:numPr>
        <w:ind w:left="1800" w:hanging="720"/>
        <w:rPr>
          <w:b/>
        </w:rPr>
      </w:pPr>
      <w:r>
        <w:rPr>
          <w:b/>
        </w:rPr>
        <w:lastRenderedPageBreak/>
        <w:t xml:space="preserve">Recommendation </w:t>
      </w:r>
      <w:r w:rsidR="00AB5831">
        <w:rPr>
          <w:b/>
        </w:rPr>
        <w:t>1</w:t>
      </w:r>
      <w:r w:rsidR="004D6320">
        <w:rPr>
          <w:b/>
        </w:rPr>
        <w:t>3</w:t>
      </w:r>
    </w:p>
    <w:p w14:paraId="131C0AC4" w14:textId="4BFE0B8E" w:rsidR="003E67A6" w:rsidRDefault="003E67A6" w:rsidP="00456239">
      <w:pPr>
        <w:pStyle w:val="SubmissionNormal"/>
        <w:numPr>
          <w:ilvl w:val="0"/>
          <w:numId w:val="0"/>
        </w:numPr>
        <w:ind w:left="1080"/>
      </w:pPr>
      <w:r>
        <w:t>The Commission recommends that ‘relevant experts’ be required to be accredited by the independent risk management body in order to be appointed under s 105A.6</w:t>
      </w:r>
      <w:r w:rsidR="007F7432">
        <w:t xml:space="preserve"> of the Criminal Code</w:t>
      </w:r>
      <w:r>
        <w:t>.</w:t>
      </w:r>
    </w:p>
    <w:p w14:paraId="61A914F9" w14:textId="07216683" w:rsidR="006B0187" w:rsidRDefault="005C7B98" w:rsidP="005C7B98">
      <w:pPr>
        <w:pStyle w:val="Heading3"/>
      </w:pPr>
      <w:bookmarkStart w:id="58" w:name="_Toc50633844"/>
      <w:r>
        <w:t>Availability of less restrictive alternatives</w:t>
      </w:r>
      <w:bookmarkEnd w:id="58"/>
    </w:p>
    <w:p w14:paraId="604DB2B1" w14:textId="43D612B1" w:rsidR="00204FD5" w:rsidRDefault="000C4135" w:rsidP="00C144AB">
      <w:pPr>
        <w:pStyle w:val="ListNumber2"/>
        <w:tabs>
          <w:tab w:val="clear" w:pos="643"/>
          <w:tab w:val="num" w:pos="1080"/>
        </w:tabs>
        <w:ind w:left="1080" w:hanging="797"/>
      </w:pPr>
      <w:r>
        <w:t xml:space="preserve">One </w:t>
      </w:r>
      <w:r w:rsidR="007D080C">
        <w:t xml:space="preserve">concern raised by </w:t>
      </w:r>
      <w:r>
        <w:t>the Commission</w:t>
      </w:r>
      <w:r w:rsidR="007D080C">
        <w:t xml:space="preserve"> in its</w:t>
      </w:r>
      <w:r>
        <w:t xml:space="preserve"> submissions to the PJCIS </w:t>
      </w:r>
      <w:r w:rsidR="007D080C">
        <w:t xml:space="preserve">in 2016 </w:t>
      </w:r>
      <w:r w:rsidR="00204FD5">
        <w:t xml:space="preserve">was the </w:t>
      </w:r>
      <w:r w:rsidR="003C0002">
        <w:t xml:space="preserve">disjuncture </w:t>
      </w:r>
      <w:r w:rsidR="00204FD5">
        <w:t>between:</w:t>
      </w:r>
    </w:p>
    <w:p w14:paraId="61B6C2F7" w14:textId="537D71CC" w:rsidR="000C4135" w:rsidRDefault="007A24F0" w:rsidP="00484581">
      <w:pPr>
        <w:pStyle w:val="ListNumber2"/>
        <w:numPr>
          <w:ilvl w:val="0"/>
          <w:numId w:val="20"/>
        </w:numPr>
        <w:ind w:left="1440"/>
      </w:pPr>
      <w:r>
        <w:t>t</w:t>
      </w:r>
      <w:r w:rsidR="00204FD5">
        <w:t xml:space="preserve">he </w:t>
      </w:r>
      <w:r>
        <w:t xml:space="preserve">exclusive jurisdiction </w:t>
      </w:r>
      <w:r w:rsidR="00D96CFC">
        <w:t xml:space="preserve">of the Supreme Court to make a CDO, </w:t>
      </w:r>
      <w:r w:rsidR="00C526BA">
        <w:t xml:space="preserve">if satisfied that there was no other less restrictive measure </w:t>
      </w:r>
      <w:r w:rsidR="00FB4437">
        <w:t>that would be effective in preventing the unacceptable risk</w:t>
      </w:r>
      <w:r w:rsidR="00D96CFC">
        <w:t xml:space="preserve"> </w:t>
      </w:r>
    </w:p>
    <w:p w14:paraId="0E8376B4" w14:textId="063E03AD" w:rsidR="00FB4437" w:rsidRDefault="00FB4437" w:rsidP="00484581">
      <w:pPr>
        <w:pStyle w:val="ListNumber2"/>
        <w:numPr>
          <w:ilvl w:val="0"/>
          <w:numId w:val="20"/>
        </w:numPr>
        <w:ind w:left="1440"/>
      </w:pPr>
      <w:r>
        <w:t>the identification of a control order as an example of a less restrictive measure, and</w:t>
      </w:r>
    </w:p>
    <w:p w14:paraId="6E236AF3" w14:textId="5BD37AFF" w:rsidR="00FB4437" w:rsidRDefault="00FB4437" w:rsidP="00484581">
      <w:pPr>
        <w:pStyle w:val="ListNumber2"/>
        <w:numPr>
          <w:ilvl w:val="0"/>
          <w:numId w:val="20"/>
        </w:numPr>
        <w:ind w:left="1440"/>
      </w:pPr>
      <w:r>
        <w:t xml:space="preserve">the exclusive jurisdiction of </w:t>
      </w:r>
      <w:r w:rsidR="001C02D9">
        <w:t>the Federal Court or Federal Circuit Court to make a control order.</w:t>
      </w:r>
      <w:r w:rsidR="00FD7CAD">
        <w:rPr>
          <w:rStyle w:val="EndnoteReference"/>
        </w:rPr>
        <w:endnoteReference w:id="321"/>
      </w:r>
    </w:p>
    <w:p w14:paraId="4A376D27" w14:textId="07D1EEF7" w:rsidR="00A22F79" w:rsidRDefault="001F1793" w:rsidP="00C144AB">
      <w:pPr>
        <w:pStyle w:val="ListNumber2"/>
        <w:tabs>
          <w:tab w:val="clear" w:pos="643"/>
          <w:tab w:val="num" w:pos="1080"/>
        </w:tabs>
        <w:ind w:left="1080" w:hanging="797"/>
      </w:pPr>
      <w:r>
        <w:t>The Commission submitted that if the Court hearing an application for a CDO</w:t>
      </w:r>
      <w:r w:rsidR="004A3630">
        <w:t xml:space="preserve"> forms the view that a control order </w:t>
      </w:r>
      <w:r w:rsidR="00AB466A">
        <w:t xml:space="preserve">(or an </w:t>
      </w:r>
      <w:r w:rsidR="004C0532">
        <w:t>ESO</w:t>
      </w:r>
      <w:r w:rsidR="00AB466A">
        <w:t xml:space="preserve">) </w:t>
      </w:r>
      <w:r w:rsidR="004A3630">
        <w:t>would be more appropriate, the safety of the community would be better served by the Court having the power to make that order, rather than making no order at all and relying on a subsequent application for a control order to be made by the AFP.</w:t>
      </w:r>
    </w:p>
    <w:p w14:paraId="6D13B3DE" w14:textId="06B62DBD" w:rsidR="00A909EE" w:rsidRDefault="00EE4883" w:rsidP="00C144AB">
      <w:pPr>
        <w:pStyle w:val="ListNumber2"/>
        <w:tabs>
          <w:tab w:val="clear" w:pos="643"/>
          <w:tab w:val="num" w:pos="1080"/>
        </w:tabs>
        <w:ind w:left="1080" w:hanging="797"/>
      </w:pPr>
      <w:r>
        <w:t xml:space="preserve">The PJCIS recommended that the Government </w:t>
      </w:r>
      <w:r w:rsidR="00C16AAC">
        <w:t xml:space="preserve">consider whether the existing control order regime could be improved to operate alongside </w:t>
      </w:r>
      <w:r w:rsidR="00A909EE">
        <w:t>the CDO regime.  It recommended that any potential changes be developed in time to be considered as part of the INSLM’s 2017 Statutory Deadline Review</w:t>
      </w:r>
      <w:r w:rsidR="009F223E">
        <w:t>s</w:t>
      </w:r>
      <w:r w:rsidR="00A909EE">
        <w:t>.</w:t>
      </w:r>
      <w:r w:rsidR="00833A1E">
        <w:rPr>
          <w:rStyle w:val="EndnoteReference"/>
        </w:rPr>
        <w:endnoteReference w:id="322"/>
      </w:r>
      <w:r w:rsidR="007161AB">
        <w:t xml:space="preserve">  It does not appear that any </w:t>
      </w:r>
      <w:r w:rsidR="00525203">
        <w:t xml:space="preserve">legislative proposal has yet been </w:t>
      </w:r>
      <w:r w:rsidR="00A628C0">
        <w:t>introduced</w:t>
      </w:r>
      <w:r w:rsidR="00525203">
        <w:t>.</w:t>
      </w:r>
    </w:p>
    <w:p w14:paraId="197A7445" w14:textId="369E1057" w:rsidR="0072266F" w:rsidRDefault="001E328F" w:rsidP="00C144AB">
      <w:pPr>
        <w:pStyle w:val="ListNumber2"/>
        <w:tabs>
          <w:tab w:val="clear" w:pos="643"/>
          <w:tab w:val="num" w:pos="1080"/>
        </w:tabs>
        <w:ind w:left="1080" w:hanging="797"/>
      </w:pPr>
      <w:r>
        <w:t>In 2017, the INSLM recommended that</w:t>
      </w:r>
      <w:r w:rsidR="009D027C">
        <w:t xml:space="preserve"> there be a separate </w:t>
      </w:r>
      <w:r w:rsidR="00BE2225">
        <w:t>ESO</w:t>
      </w:r>
      <w:r w:rsidR="004F1724">
        <w:t xml:space="preserve"> regime to operate alongside the CDO regime, rather than seeking to amend the control order regime.  </w:t>
      </w:r>
      <w:r w:rsidR="0072266F">
        <w:t xml:space="preserve">Part of the reason for this recommendation was the different thresholds that would apply when making a control order and an </w:t>
      </w:r>
      <w:r w:rsidR="00BE2225">
        <w:t>ESO</w:t>
      </w:r>
      <w:r w:rsidR="0072266F">
        <w:t>, respectively.</w:t>
      </w:r>
    </w:p>
    <w:p w14:paraId="5BCABEFC" w14:textId="5C1B2C2C" w:rsidR="005C7B98" w:rsidRDefault="009067CC" w:rsidP="00CC224F">
      <w:pPr>
        <w:pStyle w:val="ListNumber2"/>
        <w:keepNext/>
        <w:tabs>
          <w:tab w:val="clear" w:pos="643"/>
          <w:tab w:val="num" w:pos="1080"/>
        </w:tabs>
        <w:ind w:left="1083" w:hanging="799"/>
      </w:pPr>
      <w:r>
        <w:lastRenderedPageBreak/>
        <w:t>The INSLM recommended that:</w:t>
      </w:r>
    </w:p>
    <w:p w14:paraId="002DB6C0" w14:textId="621F57B5" w:rsidR="009067CC" w:rsidRDefault="009067CC" w:rsidP="00484581">
      <w:pPr>
        <w:pStyle w:val="ListNumber2"/>
        <w:numPr>
          <w:ilvl w:val="0"/>
          <w:numId w:val="20"/>
        </w:numPr>
        <w:ind w:left="1440"/>
      </w:pPr>
      <w:r>
        <w:t xml:space="preserve">State and Territory </w:t>
      </w:r>
      <w:r w:rsidR="00DB09EE">
        <w:t>S</w:t>
      </w:r>
      <w:r>
        <w:t>u</w:t>
      </w:r>
      <w:r w:rsidR="0072266F">
        <w:t xml:space="preserve">preme </w:t>
      </w:r>
      <w:r w:rsidR="00DB09EE">
        <w:t>C</w:t>
      </w:r>
      <w:r w:rsidR="0072266F">
        <w:t xml:space="preserve">ourts be authorised to make an </w:t>
      </w:r>
      <w:r w:rsidR="008638C7">
        <w:t>ESO</w:t>
      </w:r>
      <w:r w:rsidR="004A027F">
        <w:t xml:space="preserve"> as an alter</w:t>
      </w:r>
      <w:r w:rsidR="00D36C5E">
        <w:t>n</w:t>
      </w:r>
      <w:r w:rsidR="004A027F">
        <w:t>ative to a CDO</w:t>
      </w:r>
      <w:r w:rsidR="00FD42B8">
        <w:t xml:space="preserve"> on application by the </w:t>
      </w:r>
      <w:r w:rsidR="00A84F87">
        <w:t>relevant Minister</w:t>
      </w:r>
    </w:p>
    <w:p w14:paraId="2BA6A08B" w14:textId="20C219E5" w:rsidR="0023161F" w:rsidRDefault="0023161F" w:rsidP="00484581">
      <w:pPr>
        <w:pStyle w:val="ListNumber2"/>
        <w:numPr>
          <w:ilvl w:val="0"/>
          <w:numId w:val="20"/>
        </w:numPr>
        <w:ind w:left="1440"/>
      </w:pPr>
      <w:r>
        <w:t xml:space="preserve">the </w:t>
      </w:r>
      <w:r w:rsidRPr="004A027F">
        <w:rPr>
          <w:u w:val="single"/>
        </w:rPr>
        <w:t>conditions</w:t>
      </w:r>
      <w:r>
        <w:t xml:space="preserve"> that may be imposed on a person </w:t>
      </w:r>
      <w:r w:rsidR="00BD43C1">
        <w:t>pursuant to</w:t>
      </w:r>
      <w:r>
        <w:t xml:space="preserve"> an </w:t>
      </w:r>
      <w:r w:rsidR="008638C7">
        <w:t>ESO</w:t>
      </w:r>
      <w:r>
        <w:t xml:space="preserve"> should be the same as the conditions that can currently be imposed on a person pursuant to a control order under s 104.5(3)</w:t>
      </w:r>
    </w:p>
    <w:p w14:paraId="2AFA2BE1" w14:textId="00D2FC7F" w:rsidR="00BD43C1" w:rsidRDefault="00BD43C1" w:rsidP="00484581">
      <w:pPr>
        <w:pStyle w:val="ListNumber2"/>
        <w:numPr>
          <w:ilvl w:val="0"/>
          <w:numId w:val="20"/>
        </w:numPr>
        <w:ind w:left="1440"/>
      </w:pPr>
      <w:r>
        <w:t xml:space="preserve">the </w:t>
      </w:r>
      <w:r w:rsidRPr="004A027F">
        <w:rPr>
          <w:u w:val="single"/>
        </w:rPr>
        <w:t>threshold</w:t>
      </w:r>
      <w:r>
        <w:t xml:space="preserve"> for making an </w:t>
      </w:r>
      <w:r w:rsidR="008638C7">
        <w:t>ESO</w:t>
      </w:r>
      <w:r>
        <w:t xml:space="preserve"> should be the same as the threshold for making a CDO, namely that </w:t>
      </w:r>
      <w:r w:rsidR="004A027F">
        <w:t xml:space="preserve">the Court is satisfied to a </w:t>
      </w:r>
      <w:r w:rsidR="000B2053">
        <w:t>high degree of probability, on the basis of admissible evidence</w:t>
      </w:r>
      <w:r w:rsidR="00B72589">
        <w:t>, that the offender poses an unacceptable risk of committing a serious Part 5.3 offence if the offender is released into the community</w:t>
      </w:r>
    </w:p>
    <w:p w14:paraId="7A634743" w14:textId="05DCF245" w:rsidR="0008761D" w:rsidRDefault="0008761D" w:rsidP="00484581">
      <w:pPr>
        <w:pStyle w:val="ListNumber2"/>
        <w:numPr>
          <w:ilvl w:val="0"/>
          <w:numId w:val="20"/>
        </w:numPr>
        <w:ind w:left="1440"/>
      </w:pPr>
      <w:r>
        <w:t xml:space="preserve">the Court should </w:t>
      </w:r>
      <w:r w:rsidR="00D2165E">
        <w:t xml:space="preserve">only make a CDO if satisfied that an </w:t>
      </w:r>
      <w:r w:rsidR="008638C7">
        <w:t>ESO</w:t>
      </w:r>
      <w:r w:rsidR="00D2165E">
        <w:t xml:space="preserve"> would not be effective in preventing the identified risk</w:t>
      </w:r>
    </w:p>
    <w:p w14:paraId="27D35DB3" w14:textId="4C3D5E68" w:rsidR="002A1B76" w:rsidRDefault="003C1CE0" w:rsidP="00484581">
      <w:pPr>
        <w:pStyle w:val="ListNumber2"/>
        <w:numPr>
          <w:ilvl w:val="0"/>
          <w:numId w:val="20"/>
        </w:numPr>
        <w:ind w:left="1440"/>
      </w:pPr>
      <w:r>
        <w:t xml:space="preserve">the </w:t>
      </w:r>
      <w:r w:rsidRPr="003C1CE0">
        <w:rPr>
          <w:u w:val="single"/>
        </w:rPr>
        <w:t>period</w:t>
      </w:r>
      <w:r>
        <w:t xml:space="preserve"> of any </w:t>
      </w:r>
      <w:r w:rsidR="008638C7">
        <w:t>ESO</w:t>
      </w:r>
      <w:r>
        <w:t xml:space="preserve"> be up to three years at a time</w:t>
      </w:r>
    </w:p>
    <w:p w14:paraId="1BE3396E" w14:textId="4AED7FBA" w:rsidR="00795E5B" w:rsidRDefault="00BD7C3E" w:rsidP="00484581">
      <w:pPr>
        <w:pStyle w:val="ListNumber2"/>
        <w:numPr>
          <w:ilvl w:val="0"/>
          <w:numId w:val="20"/>
        </w:numPr>
        <w:ind w:left="1440"/>
      </w:pPr>
      <w:r>
        <w:t xml:space="preserve">the same controls and </w:t>
      </w:r>
      <w:r w:rsidRPr="006B57BA">
        <w:rPr>
          <w:u w:val="single"/>
        </w:rPr>
        <w:t>monitoring</w:t>
      </w:r>
      <w:r>
        <w:t xml:space="preserve"> regime be available for </w:t>
      </w:r>
      <w:r w:rsidR="006B57BA">
        <w:t xml:space="preserve">an </w:t>
      </w:r>
      <w:r w:rsidR="008638C7">
        <w:t xml:space="preserve">ESO </w:t>
      </w:r>
      <w:r w:rsidR="006B57BA">
        <w:t>as for control orders</w:t>
      </w:r>
    </w:p>
    <w:p w14:paraId="0CA745CE" w14:textId="4AA28591" w:rsidR="006B57BA" w:rsidRDefault="006B57BA" w:rsidP="00484581">
      <w:pPr>
        <w:pStyle w:val="ListNumber2"/>
        <w:numPr>
          <w:ilvl w:val="0"/>
          <w:numId w:val="20"/>
        </w:numPr>
        <w:ind w:left="1440"/>
      </w:pPr>
      <w:r>
        <w:t xml:space="preserve">the Government should consider making the special advocate regime </w:t>
      </w:r>
      <w:r w:rsidR="00AA0C7B">
        <w:t xml:space="preserve">currently available for use in relation to control orders also </w:t>
      </w:r>
      <w:r>
        <w:t xml:space="preserve">available for applications under </w:t>
      </w:r>
      <w:proofErr w:type="spellStart"/>
      <w:r>
        <w:t>Div</w:t>
      </w:r>
      <w:proofErr w:type="spellEnd"/>
      <w:r>
        <w:t xml:space="preserve"> 105A</w:t>
      </w:r>
      <w:r w:rsidR="00CA4C5F">
        <w:t>.</w:t>
      </w:r>
      <w:r w:rsidR="00957A26">
        <w:rPr>
          <w:rStyle w:val="EndnoteReference"/>
        </w:rPr>
        <w:endnoteReference w:id="323"/>
      </w:r>
    </w:p>
    <w:p w14:paraId="5BBEBC17" w14:textId="10CC3D05" w:rsidR="00D6277A" w:rsidRDefault="00D6277A" w:rsidP="00C144AB">
      <w:pPr>
        <w:pStyle w:val="ListNumber2"/>
        <w:tabs>
          <w:tab w:val="clear" w:pos="643"/>
          <w:tab w:val="num" w:pos="1080"/>
        </w:tabs>
        <w:ind w:left="1080" w:hanging="797"/>
      </w:pPr>
      <w:r>
        <w:t xml:space="preserve">The Commission supports the recommendations made by the INSLM in relation to the establishment of the </w:t>
      </w:r>
      <w:r w:rsidR="00CE09D8">
        <w:t>ESO</w:t>
      </w:r>
      <w:r>
        <w:t xml:space="preserve"> regime.</w:t>
      </w:r>
      <w:r w:rsidR="00CC4654">
        <w:t xml:space="preserve">  </w:t>
      </w:r>
      <w:r w:rsidR="00906D53">
        <w:t>The INSLM’s recommendations were also supported by the PJCIS in its last review of these pr</w:t>
      </w:r>
      <w:r w:rsidR="00B03679">
        <w:t>ovisions,</w:t>
      </w:r>
      <w:r w:rsidR="00BD42FA">
        <w:rPr>
          <w:rStyle w:val="EndnoteReference"/>
        </w:rPr>
        <w:endnoteReference w:id="324"/>
      </w:r>
      <w:r w:rsidR="00B03679">
        <w:t xml:space="preserve"> and by the Government in response to the report of the PJCIS.</w:t>
      </w:r>
      <w:r w:rsidR="008C4B67">
        <w:rPr>
          <w:rStyle w:val="EndnoteReference"/>
        </w:rPr>
        <w:endnoteReference w:id="325"/>
      </w:r>
      <w:r w:rsidR="00B03679">
        <w:t xml:space="preserve">  </w:t>
      </w:r>
    </w:p>
    <w:p w14:paraId="5FD6F05C" w14:textId="67749CFC" w:rsidR="00D6277A" w:rsidRPr="008D7BD5" w:rsidRDefault="00D6277A" w:rsidP="008D7BD5">
      <w:pPr>
        <w:pStyle w:val="ListNumber2"/>
        <w:keepNext/>
        <w:numPr>
          <w:ilvl w:val="0"/>
          <w:numId w:val="0"/>
        </w:numPr>
        <w:ind w:left="1080"/>
        <w:rPr>
          <w:b/>
          <w:bCs/>
        </w:rPr>
      </w:pPr>
      <w:r w:rsidRPr="008D7BD5">
        <w:rPr>
          <w:b/>
          <w:bCs/>
        </w:rPr>
        <w:t xml:space="preserve">Recommendation </w:t>
      </w:r>
      <w:r w:rsidR="00ED24E2">
        <w:rPr>
          <w:b/>
          <w:bCs/>
        </w:rPr>
        <w:t>1</w:t>
      </w:r>
      <w:r w:rsidR="004D6320">
        <w:rPr>
          <w:b/>
          <w:bCs/>
        </w:rPr>
        <w:t>4</w:t>
      </w:r>
    </w:p>
    <w:p w14:paraId="7E5CA6A5" w14:textId="7E173F3D" w:rsidR="008D7BD5" w:rsidRDefault="008D7BD5" w:rsidP="008D7BD5">
      <w:pPr>
        <w:pStyle w:val="ListNumber2"/>
        <w:numPr>
          <w:ilvl w:val="0"/>
          <w:numId w:val="0"/>
        </w:numPr>
        <w:ind w:left="1080"/>
      </w:pPr>
      <w:r>
        <w:t xml:space="preserve">The Commission recommends that the </w:t>
      </w:r>
      <w:r w:rsidR="003C0002">
        <w:t xml:space="preserve">State and Territory </w:t>
      </w:r>
      <w:r>
        <w:t xml:space="preserve">Supreme Courts be authorised to make an extended supervision order as an alternative to a continuing detention order under </w:t>
      </w:r>
      <w:proofErr w:type="spellStart"/>
      <w:r>
        <w:t>Div</w:t>
      </w:r>
      <w:proofErr w:type="spellEnd"/>
      <w:r>
        <w:t xml:space="preserve"> 105A of the Criminal Code, </w:t>
      </w:r>
      <w:r w:rsidR="00D26009">
        <w:t>based on</w:t>
      </w:r>
      <w:r w:rsidR="002349CC">
        <w:t xml:space="preserve"> the criteria recommended by the INSLM in the 2017 Statutory Deadline Review</w:t>
      </w:r>
      <w:r w:rsidR="009F223E">
        <w:t>s</w:t>
      </w:r>
      <w:r w:rsidR="00D26009">
        <w:t>.</w:t>
      </w:r>
    </w:p>
    <w:p w14:paraId="7F8B66FB" w14:textId="7FB74E67" w:rsidR="00D73DF2" w:rsidRPr="00D73DF2" w:rsidRDefault="00D73DF2" w:rsidP="00D73DF2">
      <w:pPr>
        <w:pStyle w:val="ListNumber2"/>
        <w:keepNext/>
        <w:numPr>
          <w:ilvl w:val="0"/>
          <w:numId w:val="0"/>
        </w:numPr>
        <w:ind w:left="1080"/>
        <w:rPr>
          <w:b/>
          <w:bCs/>
        </w:rPr>
      </w:pPr>
      <w:r w:rsidRPr="00D73DF2">
        <w:rPr>
          <w:b/>
          <w:bCs/>
        </w:rPr>
        <w:lastRenderedPageBreak/>
        <w:t xml:space="preserve">Recommendation </w:t>
      </w:r>
      <w:r w:rsidR="00ED24E2">
        <w:rPr>
          <w:b/>
          <w:bCs/>
        </w:rPr>
        <w:t>1</w:t>
      </w:r>
      <w:r w:rsidR="004D6320">
        <w:rPr>
          <w:b/>
          <w:bCs/>
        </w:rPr>
        <w:t>5</w:t>
      </w:r>
    </w:p>
    <w:p w14:paraId="1BCDCD55" w14:textId="1E4A872A" w:rsidR="00D73DF2" w:rsidRDefault="00D73DF2" w:rsidP="008D7BD5">
      <w:pPr>
        <w:pStyle w:val="ListNumber2"/>
        <w:numPr>
          <w:ilvl w:val="0"/>
          <w:numId w:val="0"/>
        </w:numPr>
        <w:ind w:left="1080"/>
      </w:pPr>
      <w:r>
        <w:t xml:space="preserve">The Commission recommends that the special advocate regime currently available for use in control order </w:t>
      </w:r>
      <w:r w:rsidR="00055688">
        <w:t xml:space="preserve">proceedings </w:t>
      </w:r>
      <w:r>
        <w:t xml:space="preserve">also </w:t>
      </w:r>
      <w:r w:rsidR="00055688">
        <w:t xml:space="preserve">be </w:t>
      </w:r>
      <w:r>
        <w:t xml:space="preserve">available for </w:t>
      </w:r>
      <w:r w:rsidR="00055688">
        <w:t>proceedings in relation to applications</w:t>
      </w:r>
      <w:r>
        <w:t xml:space="preserve"> </w:t>
      </w:r>
      <w:r w:rsidR="004E7C5E">
        <w:t xml:space="preserve">for continuing detention orders or extended supervision orders </w:t>
      </w:r>
      <w:r>
        <w:t xml:space="preserve">under </w:t>
      </w:r>
      <w:proofErr w:type="spellStart"/>
      <w:r>
        <w:t>Div</w:t>
      </w:r>
      <w:proofErr w:type="spellEnd"/>
      <w:r>
        <w:t xml:space="preserve"> 105A</w:t>
      </w:r>
      <w:r w:rsidR="00FA4EA0">
        <w:t xml:space="preserve"> of the Criminal Code</w:t>
      </w:r>
      <w:r w:rsidR="004E7C5E">
        <w:t>.</w:t>
      </w:r>
    </w:p>
    <w:p w14:paraId="500BB0CE" w14:textId="3B5E0ACA" w:rsidR="000A6EE3" w:rsidRDefault="000A6EE3" w:rsidP="000A6EE3">
      <w:pPr>
        <w:pStyle w:val="ListNumber2"/>
        <w:tabs>
          <w:tab w:val="clear" w:pos="643"/>
          <w:tab w:val="num" w:pos="1080"/>
        </w:tabs>
        <w:ind w:left="1080" w:hanging="797"/>
      </w:pPr>
      <w:r>
        <w:t>On 3 September 2020, the Australian Government introduced the Counter-Terrorism Legislation Amendment (High Risk Terrorist Offenders) Bill 2020 into Parliament.  This Bill responds to the recommendations made by the INSLM and the PJCIS and implements some, but not all</w:t>
      </w:r>
      <w:r w:rsidR="000B43CC">
        <w:t>,</w:t>
      </w:r>
      <w:r>
        <w:t xml:space="preserve"> of those recommendations.  The Government has said that it will refer the Bill to the PJCIS for further inquiry.</w:t>
      </w:r>
    </w:p>
    <w:p w14:paraId="6B8AA8BF" w14:textId="77777777" w:rsidR="000A6EE3" w:rsidRDefault="000A6EE3" w:rsidP="000A6EE3">
      <w:pPr>
        <w:pStyle w:val="ListNumber2"/>
        <w:tabs>
          <w:tab w:val="clear" w:pos="643"/>
          <w:tab w:val="num" w:pos="1080"/>
        </w:tabs>
        <w:ind w:left="1080" w:hanging="797"/>
      </w:pPr>
      <w:r>
        <w:t xml:space="preserve">As the Bill will be subject to more detailed consideration in a future inquiry, the Commission makes only the following brief observations here.  </w:t>
      </w:r>
    </w:p>
    <w:p w14:paraId="4178A664" w14:textId="77777777" w:rsidR="000A6EE3" w:rsidRDefault="000A6EE3" w:rsidP="000A6EE3">
      <w:pPr>
        <w:pStyle w:val="ListNumber2"/>
        <w:tabs>
          <w:tab w:val="clear" w:pos="643"/>
          <w:tab w:val="num" w:pos="1080"/>
        </w:tabs>
        <w:ind w:left="1080" w:hanging="797"/>
      </w:pPr>
      <w:r>
        <w:t>Based on a preliminary review of the Bill, it appears to implement the INSLM and PJCIS recommendations for:</w:t>
      </w:r>
    </w:p>
    <w:p w14:paraId="4C941FAC" w14:textId="241A5951" w:rsidR="000A6EE3" w:rsidRDefault="000A6EE3" w:rsidP="000A6EE3">
      <w:pPr>
        <w:pStyle w:val="ListNumber2"/>
        <w:numPr>
          <w:ilvl w:val="0"/>
          <w:numId w:val="20"/>
        </w:numPr>
        <w:ind w:left="1440"/>
      </w:pPr>
      <w:r>
        <w:t>the establishment of an ESO regime, which w</w:t>
      </w:r>
      <w:r w:rsidR="000B43CC">
        <w:t>ould</w:t>
      </w:r>
      <w:r>
        <w:t xml:space="preserve"> allow the Supreme Court to make an ESO as an alternative to a CDO</w:t>
      </w:r>
    </w:p>
    <w:p w14:paraId="698FDF0D" w14:textId="77777777" w:rsidR="000A6EE3" w:rsidRDefault="000A6EE3" w:rsidP="000A6EE3">
      <w:pPr>
        <w:pStyle w:val="ListNumber2"/>
        <w:numPr>
          <w:ilvl w:val="0"/>
          <w:numId w:val="20"/>
        </w:numPr>
        <w:ind w:left="1440"/>
      </w:pPr>
      <w:r>
        <w:t xml:space="preserve">the </w:t>
      </w:r>
      <w:r w:rsidRPr="00C9207C">
        <w:rPr>
          <w:u w:val="single"/>
        </w:rPr>
        <w:t>period</w:t>
      </w:r>
      <w:r>
        <w:t xml:space="preserve"> of an ESO to be up to three years at a time</w:t>
      </w:r>
    </w:p>
    <w:p w14:paraId="4F6CE032" w14:textId="5C4FA111" w:rsidR="000A6EE3" w:rsidRDefault="000A6EE3" w:rsidP="000A6EE3">
      <w:pPr>
        <w:pStyle w:val="ListNumber2"/>
        <w:numPr>
          <w:ilvl w:val="0"/>
          <w:numId w:val="20"/>
        </w:numPr>
        <w:ind w:left="1440"/>
      </w:pPr>
      <w:r>
        <w:t xml:space="preserve">substantially the same </w:t>
      </w:r>
      <w:r w:rsidRPr="006B57BA">
        <w:rPr>
          <w:u w:val="single"/>
        </w:rPr>
        <w:t>monitoring</w:t>
      </w:r>
      <w:r>
        <w:t xml:space="preserve"> regime to be available for an ESO as </w:t>
      </w:r>
      <w:r w:rsidR="008E23DE">
        <w:t xml:space="preserve">currently exists </w:t>
      </w:r>
      <w:r>
        <w:t>for control orders</w:t>
      </w:r>
    </w:p>
    <w:p w14:paraId="1EE1BC47" w14:textId="71D88AAF" w:rsidR="000A6EE3" w:rsidRDefault="00A731D3" w:rsidP="000A6EE3">
      <w:pPr>
        <w:pStyle w:val="ListNumber2"/>
        <w:numPr>
          <w:ilvl w:val="0"/>
          <w:numId w:val="20"/>
        </w:numPr>
        <w:ind w:left="1440"/>
      </w:pPr>
      <w:r>
        <w:t xml:space="preserve">substantially </w:t>
      </w:r>
      <w:r w:rsidR="000A6EE3">
        <w:t xml:space="preserve">the same </w:t>
      </w:r>
      <w:r w:rsidR="000A6EE3" w:rsidRPr="00BC5BB4">
        <w:rPr>
          <w:u w:val="single"/>
        </w:rPr>
        <w:t>special advocate</w:t>
      </w:r>
      <w:r w:rsidR="000A6EE3">
        <w:t xml:space="preserve"> regime to be available for applications under </w:t>
      </w:r>
      <w:proofErr w:type="spellStart"/>
      <w:r w:rsidR="000A6EE3">
        <w:t>Div</w:t>
      </w:r>
      <w:proofErr w:type="spellEnd"/>
      <w:r w:rsidR="000A6EE3">
        <w:t xml:space="preserve"> 105A as </w:t>
      </w:r>
      <w:r>
        <w:t xml:space="preserve">currently exists </w:t>
      </w:r>
      <w:r w:rsidR="000A6EE3">
        <w:t>for control orders.</w:t>
      </w:r>
    </w:p>
    <w:p w14:paraId="5500A8AA" w14:textId="1F1F93C2" w:rsidR="000A6EE3" w:rsidRDefault="000A6EE3" w:rsidP="000A6EE3">
      <w:pPr>
        <w:pStyle w:val="ListNumber2"/>
        <w:tabs>
          <w:tab w:val="clear" w:pos="643"/>
          <w:tab w:val="num" w:pos="1080"/>
        </w:tabs>
        <w:ind w:left="1080" w:hanging="797"/>
      </w:pPr>
      <w:r>
        <w:t xml:space="preserve">However, there are some aspects of the Bill that differ from the model recommended by the INSLM and the PJCIS.  </w:t>
      </w:r>
      <w:r w:rsidR="00661C9E">
        <w:t>Six</w:t>
      </w:r>
      <w:r>
        <w:t xml:space="preserve"> of these are </w:t>
      </w:r>
      <w:r w:rsidR="00D80BC7">
        <w:t>referred to briefly</w:t>
      </w:r>
      <w:r>
        <w:t xml:space="preserve"> below.</w:t>
      </w:r>
    </w:p>
    <w:p w14:paraId="1553566E" w14:textId="71AAA789" w:rsidR="000A6EE3" w:rsidRDefault="000A6EE3" w:rsidP="000A6EE3">
      <w:pPr>
        <w:pStyle w:val="ListNumber2"/>
        <w:tabs>
          <w:tab w:val="clear" w:pos="643"/>
          <w:tab w:val="num" w:pos="1080"/>
        </w:tabs>
        <w:ind w:left="1080" w:hanging="797"/>
      </w:pPr>
      <w:r w:rsidRPr="00F547CA">
        <w:rPr>
          <w:b/>
          <w:bCs/>
        </w:rPr>
        <w:t>First</w:t>
      </w:r>
      <w:r>
        <w:t xml:space="preserve">, the kinds of conditions that may be imposed under the proposed ESO regime are not limited to the conditions that may be imposed under the control order </w:t>
      </w:r>
      <w:r w:rsidR="00D80BC7">
        <w:t>regime</w:t>
      </w:r>
      <w:r>
        <w:t xml:space="preserve">.  Instead, any kind of condition may be imposed under the ESO regime, provided the court making the order is satisfied, on the balance of probabilities, that the condition is reasonably necessary, and reasonably appropriate and adapted, for </w:t>
      </w:r>
      <w:r>
        <w:lastRenderedPageBreak/>
        <w:t>the purpose of protecting the community from the unacceptable risk of the offender committing a serious Part 5.3 offence.  Two non-exhaustive lists of possible conditions, significantly more extensive than the conditions that may be imposed in relation to a control order, are included in the Bill.</w:t>
      </w:r>
      <w:r>
        <w:rPr>
          <w:rStyle w:val="EndnoteReference"/>
        </w:rPr>
        <w:endnoteReference w:id="326"/>
      </w:r>
    </w:p>
    <w:p w14:paraId="3927772E" w14:textId="77777777" w:rsidR="000A6EE3" w:rsidRDefault="000A6EE3" w:rsidP="000A6EE3">
      <w:pPr>
        <w:pStyle w:val="ListNumber2"/>
        <w:tabs>
          <w:tab w:val="clear" w:pos="643"/>
          <w:tab w:val="num" w:pos="1080"/>
        </w:tabs>
        <w:ind w:left="1080" w:hanging="797"/>
      </w:pPr>
      <w:r>
        <w:t xml:space="preserve">The fact that conditions are ‘at large’ provides a risk that over time they may become more onerous.  Without some legislative limit on these kinds of orders, it will be left to courts to determine the appropriate upper threshold of what are, in essence, civil obligations. </w:t>
      </w:r>
    </w:p>
    <w:p w14:paraId="3A13E28C" w14:textId="77777777" w:rsidR="000A6EE3" w:rsidRDefault="000A6EE3" w:rsidP="000A6EE3">
      <w:pPr>
        <w:pStyle w:val="ListNumber2"/>
        <w:tabs>
          <w:tab w:val="clear" w:pos="643"/>
          <w:tab w:val="num" w:pos="1080"/>
        </w:tabs>
        <w:ind w:left="1080" w:hanging="797"/>
      </w:pPr>
      <w:r>
        <w:t>The Commission’s recommendations 5 and 6 in this submission are directed to amending the nature of the conditions that may be imposed under either control orders or ESOs to ensure that there are proper limits on their scope.</w:t>
      </w:r>
    </w:p>
    <w:p w14:paraId="68C86A94" w14:textId="109B484F" w:rsidR="008B2F59" w:rsidRDefault="000A6EE3" w:rsidP="000A6EE3">
      <w:pPr>
        <w:pStyle w:val="ListNumber2"/>
        <w:tabs>
          <w:tab w:val="clear" w:pos="643"/>
          <w:tab w:val="num" w:pos="1080"/>
        </w:tabs>
        <w:ind w:left="1080" w:hanging="797"/>
      </w:pPr>
      <w:r w:rsidRPr="00F547CA">
        <w:rPr>
          <w:b/>
          <w:bCs/>
        </w:rPr>
        <w:t>Secondly</w:t>
      </w:r>
      <w:r>
        <w:t xml:space="preserve">, </w:t>
      </w:r>
      <w:r w:rsidR="008B2F59">
        <w:t xml:space="preserve">the Bill </w:t>
      </w:r>
      <w:r w:rsidR="00C63690">
        <w:t xml:space="preserve">would </w:t>
      </w:r>
      <w:r w:rsidR="008B2F59">
        <w:t xml:space="preserve">include new </w:t>
      </w:r>
      <w:r w:rsidR="003E5289">
        <w:t>obligations that can be imposed under a control order</w:t>
      </w:r>
      <w:r w:rsidR="00C63690">
        <w:t xml:space="preserve"> (see the </w:t>
      </w:r>
      <w:r w:rsidR="000B43CC">
        <w:t xml:space="preserve">proposed </w:t>
      </w:r>
      <w:r w:rsidR="00C63690">
        <w:t>new s</w:t>
      </w:r>
      <w:r w:rsidR="00E9381A">
        <w:t>s</w:t>
      </w:r>
      <w:r w:rsidR="00C63690">
        <w:t> 104.5(3)(d)</w:t>
      </w:r>
      <w:r w:rsidR="00CE0C27">
        <w:t>–</w:t>
      </w:r>
      <w:r w:rsidR="00C63690">
        <w:t>(da)</w:t>
      </w:r>
      <w:r w:rsidR="00E9381A">
        <w:t xml:space="preserve">, </w:t>
      </w:r>
      <w:r w:rsidR="00CE0C27">
        <w:t>104.5A(1)</w:t>
      </w:r>
      <w:r w:rsidR="00C63690">
        <w:t>)</w:t>
      </w:r>
      <w:r w:rsidR="003E5289">
        <w:t>.</w:t>
      </w:r>
    </w:p>
    <w:p w14:paraId="27E6EF99" w14:textId="3DBC9688" w:rsidR="000A6EE3" w:rsidRDefault="008B2F59" w:rsidP="000A6EE3">
      <w:pPr>
        <w:pStyle w:val="ListNumber2"/>
        <w:tabs>
          <w:tab w:val="clear" w:pos="643"/>
          <w:tab w:val="num" w:pos="1080"/>
        </w:tabs>
        <w:ind w:left="1080" w:hanging="797"/>
      </w:pPr>
      <w:r w:rsidRPr="008B2F59">
        <w:rPr>
          <w:b/>
          <w:bCs/>
        </w:rPr>
        <w:t>Thirdly</w:t>
      </w:r>
      <w:r>
        <w:t xml:space="preserve">, </w:t>
      </w:r>
      <w:r w:rsidR="000A6EE3">
        <w:t>the ESO regime in the Bill contains a lower threshold than recommended by the INSLM and the PJCIS.  An ESO may be granted if the Court is satisfied ‘on the balance of probabilities’ that the offender poses an unacceptable risk of committing a serious Part 5.3 offence.  The threshold for imposing a CDO, and the threshold recommended by the INSLM and the PJCIS for an ESO, was satisfaction ‘to a high degree of probability’.</w:t>
      </w:r>
    </w:p>
    <w:p w14:paraId="1E3B7E69" w14:textId="2EA7E86D" w:rsidR="0061631F" w:rsidRDefault="0061631F" w:rsidP="000A6EE3">
      <w:pPr>
        <w:pStyle w:val="ListNumber2"/>
        <w:tabs>
          <w:tab w:val="clear" w:pos="643"/>
          <w:tab w:val="num" w:pos="1080"/>
        </w:tabs>
        <w:ind w:left="1080" w:hanging="797"/>
      </w:pPr>
      <w:r>
        <w:rPr>
          <w:b/>
          <w:bCs/>
        </w:rPr>
        <w:t>Fourthly</w:t>
      </w:r>
      <w:r w:rsidR="00942516">
        <w:t>, unlike the case for control orders, a Court hearing an application for an ESO is not required to consider</w:t>
      </w:r>
      <w:r w:rsidR="006875D4">
        <w:t xml:space="preserve"> the impact of the </w:t>
      </w:r>
      <w:r w:rsidR="00FB100E">
        <w:t xml:space="preserve">proposed </w:t>
      </w:r>
      <w:r w:rsidR="006875D4">
        <w:t>conditions on the person’s circumstances</w:t>
      </w:r>
      <w:r w:rsidR="00FB100E">
        <w:t>, including their financial and personal circumstances</w:t>
      </w:r>
      <w:r w:rsidR="00942516">
        <w:t xml:space="preserve"> </w:t>
      </w:r>
      <w:r w:rsidR="00BE377B">
        <w:t>(compare s 104.4(2)(c)</w:t>
      </w:r>
      <w:r w:rsidR="004E3C6B">
        <w:t xml:space="preserve"> with proposed s</w:t>
      </w:r>
      <w:r w:rsidR="00452E2C">
        <w:t>s</w:t>
      </w:r>
      <w:r w:rsidR="004E3C6B">
        <w:t> 105A.7A</w:t>
      </w:r>
      <w:r w:rsidR="00E87838">
        <w:t>(2)</w:t>
      </w:r>
      <w:r w:rsidR="00452E2C">
        <w:t>, 105A.9A(5)</w:t>
      </w:r>
      <w:r w:rsidR="007B7041">
        <w:t>,</w:t>
      </w:r>
      <w:r w:rsidR="00452E2C">
        <w:t xml:space="preserve"> 105A.</w:t>
      </w:r>
      <w:r w:rsidR="00AB393A">
        <w:t>9C(2)</w:t>
      </w:r>
      <w:r w:rsidR="001C27E0">
        <w:t xml:space="preserve"> and 105A.12A(5))</w:t>
      </w:r>
      <w:r w:rsidR="00AB393A">
        <w:t>.</w:t>
      </w:r>
    </w:p>
    <w:p w14:paraId="7455D3C9" w14:textId="5B664E3A" w:rsidR="00AB393A" w:rsidRDefault="00AB393A" w:rsidP="000A6EE3">
      <w:pPr>
        <w:pStyle w:val="ListNumber2"/>
        <w:tabs>
          <w:tab w:val="clear" w:pos="643"/>
          <w:tab w:val="num" w:pos="1080"/>
        </w:tabs>
        <w:ind w:left="1080" w:hanging="797"/>
      </w:pPr>
      <w:r>
        <w:rPr>
          <w:b/>
          <w:bCs/>
        </w:rPr>
        <w:t>Fifthly</w:t>
      </w:r>
      <w:r>
        <w:t xml:space="preserve">, unlike the case for control orders, </w:t>
      </w:r>
      <w:r w:rsidR="004126BF">
        <w:t>an ESO may be varied without the consent of the person who is subject to the order (compare s 104.11A(2)(a) with proposed s 105A</w:t>
      </w:r>
      <w:r w:rsidR="008A4FEE">
        <w:t>.9C).</w:t>
      </w:r>
    </w:p>
    <w:p w14:paraId="7ED40133" w14:textId="54A0C6FA" w:rsidR="008A4FEE" w:rsidRDefault="008A4FEE" w:rsidP="000A6EE3">
      <w:pPr>
        <w:pStyle w:val="ListNumber2"/>
        <w:tabs>
          <w:tab w:val="clear" w:pos="643"/>
          <w:tab w:val="num" w:pos="1080"/>
        </w:tabs>
        <w:ind w:left="1080" w:hanging="797"/>
      </w:pPr>
      <w:r>
        <w:rPr>
          <w:b/>
          <w:bCs/>
        </w:rPr>
        <w:t>Sixthly</w:t>
      </w:r>
      <w:r>
        <w:t xml:space="preserve">, unlike the case for control orders, an ESO may be varied to </w:t>
      </w:r>
      <w:r w:rsidRPr="00092D3C">
        <w:rPr>
          <w:i/>
          <w:iCs/>
        </w:rPr>
        <w:t>add</w:t>
      </w:r>
      <w:r>
        <w:t xml:space="preserve"> conditions</w:t>
      </w:r>
      <w:r w:rsidR="004645D3">
        <w:t xml:space="preserve">, including without the consent of the person who is subject to the order </w:t>
      </w:r>
      <w:r>
        <w:t>(compare s 104.11A(2)(b) with proposed s</w:t>
      </w:r>
      <w:r w:rsidR="002C6D2C">
        <w:t>s</w:t>
      </w:r>
      <w:r>
        <w:t> 105A.</w:t>
      </w:r>
      <w:r w:rsidR="002C6D2C">
        <w:t>9B(1) and 105A.9C(1)</w:t>
      </w:r>
      <w:r w:rsidR="00092D3C">
        <w:t>).</w:t>
      </w:r>
    </w:p>
    <w:p w14:paraId="122A7431" w14:textId="5A862D2C" w:rsidR="0087082E" w:rsidRDefault="00BA5066" w:rsidP="00D6277A">
      <w:pPr>
        <w:pStyle w:val="ListNumber2"/>
        <w:tabs>
          <w:tab w:val="clear" w:pos="643"/>
          <w:tab w:val="num" w:pos="1080"/>
        </w:tabs>
        <w:ind w:left="1080" w:hanging="797"/>
      </w:pPr>
      <w:r>
        <w:lastRenderedPageBreak/>
        <w:t xml:space="preserve">As the INSLM noted, there is a potential for an overlap between the </w:t>
      </w:r>
      <w:r w:rsidR="0008633A">
        <w:t>ESO</w:t>
      </w:r>
      <w:r>
        <w:t xml:space="preserve"> regime and the control order regime.  </w:t>
      </w:r>
      <w:r w:rsidR="00C463AF">
        <w:t xml:space="preserve">The Commission’s primary submission is that the ESO regime </w:t>
      </w:r>
      <w:r w:rsidR="006134AF">
        <w:t xml:space="preserve">in the form recommended by the INSLM and the PJCIS </w:t>
      </w:r>
      <w:r w:rsidR="00C463AF">
        <w:t xml:space="preserve">should </w:t>
      </w:r>
      <w:r w:rsidR="007A67EC">
        <w:t xml:space="preserve">replace the existing control order regime.  </w:t>
      </w:r>
    </w:p>
    <w:p w14:paraId="794EC9EE" w14:textId="0413680B" w:rsidR="00B146CE" w:rsidRDefault="00613388" w:rsidP="00D6277A">
      <w:pPr>
        <w:pStyle w:val="ListNumber2"/>
        <w:tabs>
          <w:tab w:val="clear" w:pos="643"/>
          <w:tab w:val="num" w:pos="1080"/>
        </w:tabs>
        <w:ind w:left="1080" w:hanging="797"/>
      </w:pPr>
      <w:r>
        <w:t>If the control</w:t>
      </w:r>
      <w:r w:rsidR="00B146CE">
        <w:t xml:space="preserve"> order </w:t>
      </w:r>
      <w:r>
        <w:t>regime is retained, it will be necessary to consider</w:t>
      </w:r>
      <w:r w:rsidR="00B146CE">
        <w:t xml:space="preserve"> the </w:t>
      </w:r>
      <w:r w:rsidR="005B5EF6">
        <w:t>degree to which it overlaps with the ESO regime.  T</w:t>
      </w:r>
      <w:r w:rsidR="00B146CE">
        <w:t xml:space="preserve">he INLSM </w:t>
      </w:r>
      <w:r w:rsidR="00EA5619">
        <w:t xml:space="preserve">made a number of </w:t>
      </w:r>
      <w:r w:rsidR="00B146CE">
        <w:t>recommend</w:t>
      </w:r>
      <w:r w:rsidR="00EA5619">
        <w:t xml:space="preserve">ations </w:t>
      </w:r>
      <w:r w:rsidR="005B5EF6">
        <w:t>to reduce this overlap</w:t>
      </w:r>
      <w:r w:rsidR="00EA5619">
        <w:t>.</w:t>
      </w:r>
      <w:r w:rsidR="00D9362E">
        <w:rPr>
          <w:rStyle w:val="EndnoteReference"/>
        </w:rPr>
        <w:endnoteReference w:id="327"/>
      </w:r>
      <w:r w:rsidR="00911D9E">
        <w:t xml:space="preserve">  Again, these recommendations were endorsed both by the PJCIS</w:t>
      </w:r>
      <w:r w:rsidR="00A52CE6">
        <w:t xml:space="preserve"> in its last review of these provisions,</w:t>
      </w:r>
      <w:r w:rsidR="00A52CE6">
        <w:rPr>
          <w:rStyle w:val="EndnoteReference"/>
        </w:rPr>
        <w:endnoteReference w:id="328"/>
      </w:r>
      <w:r w:rsidR="00A52CE6">
        <w:t xml:space="preserve"> </w:t>
      </w:r>
      <w:r w:rsidR="00911D9E">
        <w:t xml:space="preserve"> and the Government</w:t>
      </w:r>
      <w:r w:rsidR="00A52CE6">
        <w:t xml:space="preserve"> in response to the report of the PJCIS.</w:t>
      </w:r>
      <w:r w:rsidR="00A52CE6">
        <w:rPr>
          <w:rStyle w:val="EndnoteReference"/>
        </w:rPr>
        <w:endnoteReference w:id="329"/>
      </w:r>
      <w:r w:rsidR="00911D9E">
        <w:t xml:space="preserve">  The Commission </w:t>
      </w:r>
      <w:r w:rsidR="00A52CE6">
        <w:t xml:space="preserve">also </w:t>
      </w:r>
      <w:r w:rsidR="00911D9E">
        <w:t xml:space="preserve">supports </w:t>
      </w:r>
      <w:r w:rsidR="00A52CE6">
        <w:t xml:space="preserve">these recommendations. </w:t>
      </w:r>
    </w:p>
    <w:p w14:paraId="1389B418" w14:textId="687FD65C" w:rsidR="00EA5619" w:rsidRDefault="00EA5619" w:rsidP="00EA5619">
      <w:pPr>
        <w:pStyle w:val="ListNumber2"/>
        <w:keepNext/>
        <w:numPr>
          <w:ilvl w:val="0"/>
          <w:numId w:val="0"/>
        </w:numPr>
        <w:ind w:left="1080"/>
        <w:rPr>
          <w:b/>
          <w:bCs/>
        </w:rPr>
      </w:pPr>
      <w:r w:rsidRPr="00EA5619">
        <w:rPr>
          <w:b/>
          <w:bCs/>
        </w:rPr>
        <w:t xml:space="preserve">Recommendation </w:t>
      </w:r>
      <w:r w:rsidR="00ED24E2">
        <w:rPr>
          <w:b/>
          <w:bCs/>
        </w:rPr>
        <w:t>1</w:t>
      </w:r>
      <w:r w:rsidR="004D6320">
        <w:rPr>
          <w:b/>
          <w:bCs/>
        </w:rPr>
        <w:t>6</w:t>
      </w:r>
    </w:p>
    <w:p w14:paraId="7509BE99" w14:textId="3B18C0D6" w:rsidR="00EA5619" w:rsidRDefault="00FF4328" w:rsidP="00EA5619">
      <w:pPr>
        <w:pStyle w:val="ListNumber2"/>
        <w:numPr>
          <w:ilvl w:val="0"/>
          <w:numId w:val="0"/>
        </w:numPr>
        <w:ind w:left="1080"/>
      </w:pPr>
      <w:r>
        <w:t>The Commission recommends that</w:t>
      </w:r>
      <w:r w:rsidR="00FA19BB">
        <w:t>, if the control order regime is retained and a parallel extended supervision order regime is created</w:t>
      </w:r>
      <w:r>
        <w:t>:</w:t>
      </w:r>
    </w:p>
    <w:p w14:paraId="020A9733" w14:textId="5E5A4B53" w:rsidR="00FF4328" w:rsidRDefault="00E31F99" w:rsidP="00253FEA">
      <w:pPr>
        <w:pStyle w:val="SubmissionNormal"/>
        <w:numPr>
          <w:ilvl w:val="0"/>
          <w:numId w:val="0"/>
        </w:numPr>
        <w:ind w:left="1800" w:hanging="720"/>
      </w:pPr>
      <w:r>
        <w:t>(a)</w:t>
      </w:r>
      <w:r>
        <w:tab/>
      </w:r>
      <w:r w:rsidR="00FF4328">
        <w:t>the AFP Minister be unable to give consent under s 104.2 of the Criminal Code to</w:t>
      </w:r>
      <w:r w:rsidR="00B7798C">
        <w:t xml:space="preserve"> the AFP requesting a control order</w:t>
      </w:r>
      <w:r w:rsidR="00E66EBC">
        <w:t xml:space="preserve">, if proceedings for a continuing detention order or an extended supervision order under </w:t>
      </w:r>
      <w:proofErr w:type="spellStart"/>
      <w:r w:rsidR="00E66EBC">
        <w:t>Div</w:t>
      </w:r>
      <w:proofErr w:type="spellEnd"/>
      <w:r w:rsidR="00E66EBC">
        <w:t xml:space="preserve"> </w:t>
      </w:r>
      <w:r w:rsidR="00A80B52">
        <w:t>105A are pending</w:t>
      </w:r>
    </w:p>
    <w:p w14:paraId="4440D3F7" w14:textId="6F890015" w:rsidR="00A80B52" w:rsidRDefault="00253FEA" w:rsidP="00253FEA">
      <w:pPr>
        <w:pStyle w:val="SubmissionNormal"/>
        <w:numPr>
          <w:ilvl w:val="0"/>
          <w:numId w:val="0"/>
        </w:numPr>
        <w:ind w:left="1800" w:hanging="720"/>
      </w:pPr>
      <w:r>
        <w:t>(b)</w:t>
      </w:r>
      <w:r>
        <w:tab/>
      </w:r>
      <w:r w:rsidR="00A80B52">
        <w:t xml:space="preserve">in requesting an interim control order in relation to a person, the senior AFP member be required to give the issuing court a copy of any application under </w:t>
      </w:r>
      <w:proofErr w:type="spellStart"/>
      <w:r w:rsidR="00A80B52">
        <w:t>Div</w:t>
      </w:r>
      <w:proofErr w:type="spellEnd"/>
      <w:r w:rsidR="00A80B52">
        <w:t xml:space="preserve"> 105A in relation to that person, and any order (including reasons) of the relevant court in respect of that application</w:t>
      </w:r>
    </w:p>
    <w:p w14:paraId="4FA6A87E" w14:textId="7D1631AA" w:rsidR="00B146CE" w:rsidRDefault="00253FEA" w:rsidP="00B27CB8">
      <w:pPr>
        <w:pStyle w:val="SubmissionNormal"/>
        <w:numPr>
          <w:ilvl w:val="0"/>
          <w:numId w:val="0"/>
        </w:numPr>
        <w:ind w:left="1800" w:hanging="720"/>
      </w:pPr>
      <w:r>
        <w:t>(c)</w:t>
      </w:r>
      <w:r>
        <w:tab/>
      </w:r>
      <w:r w:rsidR="00110E20">
        <w:t>no control order may be in force in relation to a person while a continuing detention order or an extended supervision order is in force in relation to that person.</w:t>
      </w:r>
    </w:p>
    <w:p w14:paraId="39C3B64A" w14:textId="77777777" w:rsidR="00042D32" w:rsidRDefault="00862D69" w:rsidP="003D42A4">
      <w:pPr>
        <w:pStyle w:val="ListNumber2"/>
        <w:tabs>
          <w:tab w:val="clear" w:pos="643"/>
          <w:tab w:val="num" w:pos="1080"/>
        </w:tabs>
        <w:ind w:left="1080" w:hanging="797"/>
      </w:pPr>
      <w:r>
        <w:t>Based on a preliminary review of the Counter-Terrorism Legislation Amendment (High Risk Terrorist Offenders) Bill 2020, it</w:t>
      </w:r>
      <w:r w:rsidR="00042D32">
        <w:t xml:space="preserve"> appears that:</w:t>
      </w:r>
    </w:p>
    <w:p w14:paraId="0BF92181" w14:textId="0B4F7E69" w:rsidR="00F5567E" w:rsidRDefault="00FF67B6" w:rsidP="00C4163F">
      <w:pPr>
        <w:pStyle w:val="ListNumber2"/>
        <w:numPr>
          <w:ilvl w:val="0"/>
          <w:numId w:val="20"/>
        </w:numPr>
        <w:ind w:left="1440"/>
      </w:pPr>
      <w:r>
        <w:t>t</w:t>
      </w:r>
      <w:r w:rsidR="003A14A8">
        <w:t>here is no proposed amendment that would give effect to the issue raised in Recommendation 1</w:t>
      </w:r>
      <w:r w:rsidR="002717C6">
        <w:t>6</w:t>
      </w:r>
      <w:r w:rsidR="003A14A8">
        <w:t>(a) above</w:t>
      </w:r>
    </w:p>
    <w:p w14:paraId="6BB002D8" w14:textId="03B146B5" w:rsidR="00CB3870" w:rsidRDefault="00C4163F" w:rsidP="00C4163F">
      <w:pPr>
        <w:pStyle w:val="ListNumber2"/>
        <w:numPr>
          <w:ilvl w:val="0"/>
          <w:numId w:val="20"/>
        </w:numPr>
        <w:ind w:left="1440"/>
      </w:pPr>
      <w:r>
        <w:t xml:space="preserve">there </w:t>
      </w:r>
      <w:r w:rsidR="00B049D8">
        <w:t xml:space="preserve">are </w:t>
      </w:r>
      <w:proofErr w:type="gramStart"/>
      <w:r w:rsidR="00B049D8">
        <w:t>a number of</w:t>
      </w:r>
      <w:proofErr w:type="gramEnd"/>
      <w:r>
        <w:t xml:space="preserve"> proposed amendment</w:t>
      </w:r>
      <w:r w:rsidR="00B049D8">
        <w:t>s</w:t>
      </w:r>
      <w:r>
        <w:t xml:space="preserve"> to </w:t>
      </w:r>
      <w:r w:rsidR="006F2150">
        <w:t>s</w:t>
      </w:r>
      <w:r>
        <w:t>s 104.3</w:t>
      </w:r>
      <w:r w:rsidR="00B049D8">
        <w:t>(e)</w:t>
      </w:r>
      <w:r w:rsidR="001776E1">
        <w:t xml:space="preserve"> </w:t>
      </w:r>
      <w:r w:rsidR="00B049D8">
        <w:t xml:space="preserve">of the Criminal Code that are directed to the issue raised </w:t>
      </w:r>
      <w:r w:rsidR="00CB3870">
        <w:t>in Recommendation 1</w:t>
      </w:r>
      <w:r w:rsidR="002717C6">
        <w:t>6</w:t>
      </w:r>
      <w:r w:rsidR="00CB3870">
        <w:t>(b) above</w:t>
      </w:r>
    </w:p>
    <w:p w14:paraId="2546BD34" w14:textId="42F248F3" w:rsidR="00BD78E6" w:rsidRDefault="00FF67B6" w:rsidP="00C4163F">
      <w:pPr>
        <w:pStyle w:val="ListNumber2"/>
        <w:numPr>
          <w:ilvl w:val="0"/>
          <w:numId w:val="20"/>
        </w:numPr>
        <w:ind w:left="1440"/>
      </w:pPr>
      <w:r>
        <w:lastRenderedPageBreak/>
        <w:t>there</w:t>
      </w:r>
      <w:r w:rsidR="00565FA7">
        <w:t xml:space="preserve"> are proposed amendments to insert new ss </w:t>
      </w:r>
      <w:r>
        <w:t>104</w:t>
      </w:r>
      <w:r w:rsidR="006C67E7">
        <w:t>.5</w:t>
      </w:r>
      <w:r w:rsidR="00621963">
        <w:t>(1D)–(1F)</w:t>
      </w:r>
      <w:r w:rsidR="004A3AE3">
        <w:t xml:space="preserve">, </w:t>
      </w:r>
      <w:r w:rsidR="00565FA7">
        <w:t>104.15</w:t>
      </w:r>
      <w:r w:rsidR="009B68FF">
        <w:t>(4)</w:t>
      </w:r>
      <w:proofErr w:type="gramStart"/>
      <w:r w:rsidR="009B68FF">
        <w:t>–(</w:t>
      </w:r>
      <w:proofErr w:type="gramEnd"/>
      <w:r w:rsidR="009B68FF">
        <w:t>6)</w:t>
      </w:r>
      <w:r w:rsidR="00565FA7">
        <w:t xml:space="preserve"> </w:t>
      </w:r>
      <w:r w:rsidR="004A3AE3">
        <w:t xml:space="preserve">and 104.17A </w:t>
      </w:r>
      <w:r w:rsidR="00565FA7">
        <w:t>of the Crimina</w:t>
      </w:r>
      <w:r w:rsidR="00FD1921">
        <w:t xml:space="preserve">l Code </w:t>
      </w:r>
      <w:r w:rsidR="006C67E7">
        <w:t>that are directed to the issue raised in Recommendation 1</w:t>
      </w:r>
      <w:r w:rsidR="00EC20D6">
        <w:t>6</w:t>
      </w:r>
      <w:r w:rsidR="006C67E7">
        <w:t xml:space="preserve">(c) above. </w:t>
      </w:r>
    </w:p>
    <w:p w14:paraId="1F4139AC" w14:textId="244E45D1" w:rsidR="00551899" w:rsidRDefault="00551899" w:rsidP="000705F2">
      <w:pPr>
        <w:pStyle w:val="ListNumber"/>
        <w:numPr>
          <w:ilvl w:val="0"/>
          <w:numId w:val="0"/>
        </w:numPr>
      </w:pPr>
    </w:p>
    <w:p w14:paraId="01710864" w14:textId="77777777" w:rsidR="008956F2" w:rsidRDefault="008956F2">
      <w:pPr>
        <w:spacing w:before="0" w:after="0"/>
        <w:sectPr w:rsidR="008956F2"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pPr>
    </w:p>
    <w:p w14:paraId="47A38F0F" w14:textId="6D3A444A" w:rsidR="003C7479" w:rsidRDefault="003C7479" w:rsidP="003064F7">
      <w:pPr>
        <w:pStyle w:val="Heading1"/>
        <w:numPr>
          <w:ilvl w:val="0"/>
          <w:numId w:val="0"/>
        </w:numPr>
        <w:ind w:left="851" w:hanging="851"/>
        <w:jc w:val="center"/>
      </w:pPr>
      <w:bookmarkStart w:id="59" w:name="_Toc50633845"/>
      <w:r>
        <w:lastRenderedPageBreak/>
        <w:t>Appendix</w:t>
      </w:r>
      <w:r w:rsidR="0049756A">
        <w:t xml:space="preserve"> A</w:t>
      </w:r>
      <w:r>
        <w:t>: Control orders made</w:t>
      </w:r>
      <w:bookmarkEnd w:id="59"/>
    </w:p>
    <w:tbl>
      <w:tblPr>
        <w:tblStyle w:val="TableGrid"/>
        <w:tblW w:w="13315" w:type="dxa"/>
        <w:tblCellMar>
          <w:left w:w="115" w:type="dxa"/>
          <w:right w:w="115" w:type="dxa"/>
        </w:tblCellMar>
        <w:tblLook w:val="04A0" w:firstRow="1" w:lastRow="0" w:firstColumn="1" w:lastColumn="0" w:noHBand="0" w:noVBand="1"/>
      </w:tblPr>
      <w:tblGrid>
        <w:gridCol w:w="574"/>
        <w:gridCol w:w="2158"/>
        <w:gridCol w:w="1877"/>
        <w:gridCol w:w="2136"/>
        <w:gridCol w:w="6570"/>
      </w:tblGrid>
      <w:tr w:rsidR="00A16709" w:rsidRPr="00A16709" w14:paraId="4A6ABAEE" w14:textId="77777777" w:rsidTr="005A1F30">
        <w:trPr>
          <w:cantSplit/>
          <w:tblHeader/>
        </w:trPr>
        <w:tc>
          <w:tcPr>
            <w:tcW w:w="0" w:type="auto"/>
            <w:shd w:val="clear" w:color="auto" w:fill="DEEAF6" w:themeFill="accent1" w:themeFillTint="33"/>
          </w:tcPr>
          <w:p w14:paraId="2A1F48BE" w14:textId="688A7858" w:rsidR="00506F4F" w:rsidRPr="00A16709" w:rsidRDefault="00506F4F">
            <w:pPr>
              <w:spacing w:before="0" w:after="0"/>
              <w:rPr>
                <w:b/>
                <w:bCs/>
              </w:rPr>
            </w:pPr>
            <w:r w:rsidRPr="00A16709">
              <w:rPr>
                <w:b/>
                <w:bCs/>
              </w:rPr>
              <w:t>No</w:t>
            </w:r>
          </w:p>
        </w:tc>
        <w:tc>
          <w:tcPr>
            <w:tcW w:w="0" w:type="auto"/>
            <w:shd w:val="clear" w:color="auto" w:fill="DEEAF6" w:themeFill="accent1" w:themeFillTint="33"/>
          </w:tcPr>
          <w:p w14:paraId="0D3664FD" w14:textId="2A995527" w:rsidR="00506F4F" w:rsidRPr="00A16709" w:rsidRDefault="00506F4F">
            <w:pPr>
              <w:spacing w:before="0" w:after="0"/>
              <w:rPr>
                <w:b/>
                <w:bCs/>
              </w:rPr>
            </w:pPr>
            <w:r w:rsidRPr="00A16709">
              <w:rPr>
                <w:b/>
                <w:bCs/>
              </w:rPr>
              <w:t>Name</w:t>
            </w:r>
          </w:p>
        </w:tc>
        <w:tc>
          <w:tcPr>
            <w:tcW w:w="0" w:type="auto"/>
            <w:shd w:val="clear" w:color="auto" w:fill="DEEAF6" w:themeFill="accent1" w:themeFillTint="33"/>
          </w:tcPr>
          <w:p w14:paraId="7ACCE7B8" w14:textId="0D7A1711" w:rsidR="00506F4F" w:rsidRPr="00A16709" w:rsidRDefault="00506F4F">
            <w:pPr>
              <w:spacing w:before="0" w:after="0"/>
              <w:rPr>
                <w:b/>
                <w:bCs/>
              </w:rPr>
            </w:pPr>
            <w:r w:rsidRPr="00A16709">
              <w:rPr>
                <w:b/>
                <w:bCs/>
              </w:rPr>
              <w:t xml:space="preserve">Interim </w:t>
            </w:r>
            <w:r w:rsidR="00982968">
              <w:rPr>
                <w:b/>
                <w:bCs/>
              </w:rPr>
              <w:t>control order</w:t>
            </w:r>
            <w:r w:rsidRPr="00A16709">
              <w:rPr>
                <w:b/>
                <w:bCs/>
              </w:rPr>
              <w:t xml:space="preserve"> date</w:t>
            </w:r>
          </w:p>
        </w:tc>
        <w:tc>
          <w:tcPr>
            <w:tcW w:w="2136" w:type="dxa"/>
            <w:shd w:val="clear" w:color="auto" w:fill="DEEAF6" w:themeFill="accent1" w:themeFillTint="33"/>
          </w:tcPr>
          <w:p w14:paraId="21E26552" w14:textId="4BC599DA" w:rsidR="00506F4F" w:rsidRPr="00A16709" w:rsidRDefault="00506F4F">
            <w:pPr>
              <w:spacing w:before="0" w:after="0"/>
              <w:rPr>
                <w:b/>
                <w:bCs/>
              </w:rPr>
            </w:pPr>
            <w:r w:rsidRPr="00A16709">
              <w:rPr>
                <w:b/>
                <w:bCs/>
              </w:rPr>
              <w:t>Confirmation date</w:t>
            </w:r>
          </w:p>
        </w:tc>
        <w:tc>
          <w:tcPr>
            <w:tcW w:w="6570" w:type="dxa"/>
            <w:shd w:val="clear" w:color="auto" w:fill="DEEAF6" w:themeFill="accent1" w:themeFillTint="33"/>
          </w:tcPr>
          <w:p w14:paraId="0555CECA" w14:textId="30960E13" w:rsidR="00506F4F" w:rsidRPr="00A16709" w:rsidRDefault="00506F4F">
            <w:pPr>
              <w:spacing w:before="0" w:after="0"/>
              <w:rPr>
                <w:b/>
                <w:bCs/>
              </w:rPr>
            </w:pPr>
            <w:r w:rsidRPr="00A16709">
              <w:rPr>
                <w:b/>
                <w:bCs/>
              </w:rPr>
              <w:t xml:space="preserve">Investigation stage when </w:t>
            </w:r>
            <w:r w:rsidR="00B66FDB">
              <w:rPr>
                <w:b/>
                <w:bCs/>
              </w:rPr>
              <w:t xml:space="preserve">control order </w:t>
            </w:r>
            <w:r w:rsidRPr="00A16709">
              <w:rPr>
                <w:b/>
                <w:bCs/>
              </w:rPr>
              <w:t>made</w:t>
            </w:r>
          </w:p>
        </w:tc>
      </w:tr>
      <w:tr w:rsidR="00A16709" w14:paraId="7A89670E" w14:textId="77777777" w:rsidTr="005A1F30">
        <w:tc>
          <w:tcPr>
            <w:tcW w:w="0" w:type="auto"/>
          </w:tcPr>
          <w:p w14:paraId="7B920E5B" w14:textId="77777777" w:rsidR="00506F4F" w:rsidRDefault="00506F4F" w:rsidP="00484581">
            <w:pPr>
              <w:pStyle w:val="ListParagraph"/>
              <w:numPr>
                <w:ilvl w:val="0"/>
                <w:numId w:val="21"/>
              </w:numPr>
              <w:spacing w:before="0" w:after="0"/>
              <w:ind w:left="144" w:firstLine="0"/>
            </w:pPr>
          </w:p>
        </w:tc>
        <w:tc>
          <w:tcPr>
            <w:tcW w:w="0" w:type="auto"/>
          </w:tcPr>
          <w:p w14:paraId="2D3DA75B" w14:textId="45C7F09A" w:rsidR="00506F4F" w:rsidRPr="00323C55" w:rsidRDefault="00323C55">
            <w:pPr>
              <w:spacing w:before="0" w:after="0"/>
            </w:pPr>
            <w:r w:rsidRPr="00323C55">
              <w:t>Jack Thomas</w:t>
            </w:r>
          </w:p>
        </w:tc>
        <w:tc>
          <w:tcPr>
            <w:tcW w:w="0" w:type="auto"/>
          </w:tcPr>
          <w:p w14:paraId="314A0FEC" w14:textId="7C38B60D" w:rsidR="00506F4F" w:rsidRDefault="00A312DD">
            <w:pPr>
              <w:spacing w:before="0" w:after="0"/>
            </w:pPr>
            <w:r>
              <w:rPr>
                <w:rFonts w:cs="Open Sans"/>
              </w:rPr>
              <w:t>27 August 2006</w:t>
            </w:r>
          </w:p>
        </w:tc>
        <w:tc>
          <w:tcPr>
            <w:tcW w:w="2136" w:type="dxa"/>
          </w:tcPr>
          <w:p w14:paraId="01519D9D" w14:textId="571B0B0C" w:rsidR="00506F4F" w:rsidRDefault="009463B4">
            <w:pPr>
              <w:spacing w:before="0" w:after="0"/>
            </w:pPr>
            <w:r>
              <w:t>Not confirmed</w:t>
            </w:r>
          </w:p>
        </w:tc>
        <w:tc>
          <w:tcPr>
            <w:tcW w:w="6570" w:type="dxa"/>
          </w:tcPr>
          <w:p w14:paraId="33185173" w14:textId="5BD77F19" w:rsidR="00506F4F" w:rsidRDefault="00040FDF">
            <w:pPr>
              <w:spacing w:before="0" w:after="0"/>
            </w:pPr>
            <w:r>
              <w:t>After</w:t>
            </w:r>
            <w:r w:rsidR="009463B4">
              <w:t xml:space="preserve"> </w:t>
            </w:r>
            <w:r>
              <w:t xml:space="preserve">acquittal </w:t>
            </w:r>
            <w:r w:rsidR="009463B4">
              <w:t>for terrorism offence</w:t>
            </w:r>
            <w:r w:rsidR="00055D70">
              <w:t>s</w:t>
            </w:r>
          </w:p>
        </w:tc>
      </w:tr>
      <w:tr w:rsidR="00A16709" w14:paraId="11B35188" w14:textId="77777777" w:rsidTr="005A1F30">
        <w:tc>
          <w:tcPr>
            <w:tcW w:w="0" w:type="auto"/>
          </w:tcPr>
          <w:p w14:paraId="04438A70" w14:textId="77777777" w:rsidR="00506F4F" w:rsidRDefault="00506F4F" w:rsidP="00484581">
            <w:pPr>
              <w:pStyle w:val="ListParagraph"/>
              <w:numPr>
                <w:ilvl w:val="0"/>
                <w:numId w:val="21"/>
              </w:numPr>
              <w:spacing w:before="0" w:after="0"/>
              <w:ind w:left="144" w:firstLine="0"/>
            </w:pPr>
          </w:p>
        </w:tc>
        <w:tc>
          <w:tcPr>
            <w:tcW w:w="0" w:type="auto"/>
          </w:tcPr>
          <w:p w14:paraId="2E229207" w14:textId="01906BC8" w:rsidR="00506F4F" w:rsidRPr="00040FDF" w:rsidRDefault="00040FDF">
            <w:pPr>
              <w:spacing w:before="0" w:after="0"/>
            </w:pPr>
            <w:r w:rsidRPr="00040FDF">
              <w:rPr>
                <w:rFonts w:cs="Open Sans"/>
              </w:rPr>
              <w:t>David Hicks</w:t>
            </w:r>
          </w:p>
        </w:tc>
        <w:tc>
          <w:tcPr>
            <w:tcW w:w="0" w:type="auto"/>
          </w:tcPr>
          <w:p w14:paraId="7F48D7E0" w14:textId="786AC81F" w:rsidR="00506F4F" w:rsidRDefault="006933B0">
            <w:pPr>
              <w:spacing w:before="0" w:after="0"/>
            </w:pPr>
            <w:r>
              <w:rPr>
                <w:rFonts w:cs="Open Sans"/>
              </w:rPr>
              <w:t>21 December 2007</w:t>
            </w:r>
          </w:p>
        </w:tc>
        <w:tc>
          <w:tcPr>
            <w:tcW w:w="2136" w:type="dxa"/>
          </w:tcPr>
          <w:p w14:paraId="288EBB91" w14:textId="475E1EBC" w:rsidR="00506F4F" w:rsidRDefault="00FD7639">
            <w:pPr>
              <w:spacing w:before="0" w:after="0"/>
            </w:pPr>
            <w:r>
              <w:rPr>
                <w:rFonts w:cs="Open Sans"/>
              </w:rPr>
              <w:t>18 February 2008</w:t>
            </w:r>
          </w:p>
        </w:tc>
        <w:tc>
          <w:tcPr>
            <w:tcW w:w="6570" w:type="dxa"/>
          </w:tcPr>
          <w:p w14:paraId="06BE61A7" w14:textId="7BD32E50" w:rsidR="00506F4F" w:rsidRDefault="00613C1C">
            <w:pPr>
              <w:spacing w:before="0" w:after="0"/>
            </w:pPr>
            <w:r>
              <w:t xml:space="preserve">After </w:t>
            </w:r>
            <w:r w:rsidR="00307E40">
              <w:t xml:space="preserve">controversial </w:t>
            </w:r>
            <w:r>
              <w:t xml:space="preserve">conviction </w:t>
            </w:r>
            <w:r w:rsidR="00B66090">
              <w:t xml:space="preserve">in the US </w:t>
            </w:r>
            <w:r>
              <w:t xml:space="preserve">for </w:t>
            </w:r>
            <w:r w:rsidR="003D2B5B">
              <w:t xml:space="preserve">a </w:t>
            </w:r>
            <w:r>
              <w:t>terrorism offence</w:t>
            </w:r>
            <w:r w:rsidR="00B66090">
              <w:t xml:space="preserve"> </w:t>
            </w:r>
            <w:r w:rsidR="00A07916">
              <w:t>(</w:t>
            </w:r>
            <w:r w:rsidR="0049311B">
              <w:t>whi</w:t>
            </w:r>
            <w:r w:rsidR="00873D60">
              <w:t xml:space="preserve">ch was ultimately set aside on 18 February 2015 by the United States Court of Military </w:t>
            </w:r>
            <w:r w:rsidR="00B52259">
              <w:t>Commission Review</w:t>
            </w:r>
            <w:r w:rsidR="003C19AA">
              <w:t>)</w:t>
            </w:r>
          </w:p>
        </w:tc>
      </w:tr>
      <w:tr w:rsidR="00A16709" w14:paraId="4721CE19" w14:textId="77777777" w:rsidTr="005A1F30">
        <w:tc>
          <w:tcPr>
            <w:tcW w:w="0" w:type="auto"/>
          </w:tcPr>
          <w:p w14:paraId="274B86AE" w14:textId="77777777" w:rsidR="00506F4F" w:rsidRDefault="00506F4F" w:rsidP="00484581">
            <w:pPr>
              <w:pStyle w:val="ListParagraph"/>
              <w:numPr>
                <w:ilvl w:val="0"/>
                <w:numId w:val="21"/>
              </w:numPr>
              <w:spacing w:before="0" w:after="0"/>
              <w:ind w:left="144" w:firstLine="0"/>
            </w:pPr>
          </w:p>
        </w:tc>
        <w:tc>
          <w:tcPr>
            <w:tcW w:w="0" w:type="auto"/>
          </w:tcPr>
          <w:p w14:paraId="177A8480" w14:textId="450B7D02" w:rsidR="00506F4F" w:rsidRDefault="001E3E16">
            <w:pPr>
              <w:spacing w:before="0" w:after="0"/>
            </w:pPr>
            <w:r>
              <w:t>Mr MO</w:t>
            </w:r>
          </w:p>
        </w:tc>
        <w:tc>
          <w:tcPr>
            <w:tcW w:w="0" w:type="auto"/>
          </w:tcPr>
          <w:p w14:paraId="5239DA52" w14:textId="64C78C44" w:rsidR="00506F4F" w:rsidRDefault="001E3E16">
            <w:pPr>
              <w:spacing w:before="0" w:after="0"/>
            </w:pPr>
            <w:r>
              <w:rPr>
                <w:rFonts w:cs="Open Sans"/>
              </w:rPr>
              <w:t>17 December 2014</w:t>
            </w:r>
          </w:p>
        </w:tc>
        <w:tc>
          <w:tcPr>
            <w:tcW w:w="2136" w:type="dxa"/>
          </w:tcPr>
          <w:p w14:paraId="107961FF" w14:textId="38516859" w:rsidR="00506F4F" w:rsidRDefault="00CB062A">
            <w:pPr>
              <w:spacing w:before="0" w:after="0"/>
            </w:pPr>
            <w:r>
              <w:t>Not confirmed</w:t>
            </w:r>
          </w:p>
        </w:tc>
        <w:tc>
          <w:tcPr>
            <w:tcW w:w="6570" w:type="dxa"/>
          </w:tcPr>
          <w:p w14:paraId="1BB11DD3" w14:textId="54DBCE8D" w:rsidR="00506F4F" w:rsidRDefault="00673895">
            <w:pPr>
              <w:spacing w:before="0" w:after="0"/>
            </w:pPr>
            <w:r>
              <w:t xml:space="preserve">After conviction for </w:t>
            </w:r>
            <w:r w:rsidR="003D2B5B">
              <w:t xml:space="preserve">an </w:t>
            </w:r>
            <w:r>
              <w:t>undisclosed offence</w:t>
            </w:r>
          </w:p>
        </w:tc>
      </w:tr>
      <w:tr w:rsidR="000D1861" w14:paraId="5DFBBEB8" w14:textId="77777777" w:rsidTr="005A1F30">
        <w:tc>
          <w:tcPr>
            <w:tcW w:w="0" w:type="auto"/>
          </w:tcPr>
          <w:p w14:paraId="65A05EB6" w14:textId="77777777" w:rsidR="000D1861" w:rsidRDefault="000D1861" w:rsidP="00484581">
            <w:pPr>
              <w:pStyle w:val="ListParagraph"/>
              <w:numPr>
                <w:ilvl w:val="0"/>
                <w:numId w:val="21"/>
              </w:numPr>
              <w:spacing w:before="0" w:after="0"/>
              <w:ind w:left="144" w:firstLine="0"/>
            </w:pPr>
          </w:p>
        </w:tc>
        <w:tc>
          <w:tcPr>
            <w:tcW w:w="0" w:type="auto"/>
          </w:tcPr>
          <w:p w14:paraId="545E5803" w14:textId="41D0A02D" w:rsidR="000D1861" w:rsidRDefault="000D1861">
            <w:pPr>
              <w:spacing w:before="0" w:after="0"/>
            </w:pPr>
            <w:r>
              <w:t>CO4</w:t>
            </w:r>
          </w:p>
        </w:tc>
        <w:tc>
          <w:tcPr>
            <w:tcW w:w="0" w:type="auto"/>
          </w:tcPr>
          <w:p w14:paraId="42635A82" w14:textId="7B9DA826" w:rsidR="000D1861" w:rsidRDefault="000D1861">
            <w:pPr>
              <w:spacing w:before="0" w:after="0"/>
              <w:rPr>
                <w:rFonts w:cs="Open Sans"/>
              </w:rPr>
            </w:pPr>
            <w:r w:rsidRPr="00E726F3">
              <w:rPr>
                <w:rFonts w:cs="Open Sans"/>
              </w:rPr>
              <w:t>17 December 2014</w:t>
            </w:r>
          </w:p>
        </w:tc>
        <w:tc>
          <w:tcPr>
            <w:tcW w:w="2136" w:type="dxa"/>
          </w:tcPr>
          <w:p w14:paraId="78940AE2" w14:textId="51866892" w:rsidR="000D1861" w:rsidRDefault="000D1861">
            <w:pPr>
              <w:spacing w:before="0" w:after="0"/>
            </w:pPr>
            <w:r>
              <w:t>Not confirmed</w:t>
            </w:r>
          </w:p>
        </w:tc>
        <w:tc>
          <w:tcPr>
            <w:tcW w:w="6570" w:type="dxa"/>
          </w:tcPr>
          <w:p w14:paraId="62728240" w14:textId="30AA517A" w:rsidR="000D1861" w:rsidRDefault="00F6110F">
            <w:pPr>
              <w:spacing w:before="0" w:after="0"/>
            </w:pPr>
            <w:r>
              <w:t>Unknown</w:t>
            </w:r>
          </w:p>
        </w:tc>
      </w:tr>
      <w:tr w:rsidR="000D1861" w14:paraId="33C94335" w14:textId="77777777" w:rsidTr="005A1F30">
        <w:tc>
          <w:tcPr>
            <w:tcW w:w="0" w:type="auto"/>
          </w:tcPr>
          <w:p w14:paraId="1EF790C4" w14:textId="77777777" w:rsidR="000D1861" w:rsidRDefault="000D1861" w:rsidP="00484581">
            <w:pPr>
              <w:pStyle w:val="ListParagraph"/>
              <w:numPr>
                <w:ilvl w:val="0"/>
                <w:numId w:val="21"/>
              </w:numPr>
              <w:spacing w:before="0" w:after="0"/>
              <w:ind w:left="144" w:firstLine="0"/>
            </w:pPr>
          </w:p>
        </w:tc>
        <w:tc>
          <w:tcPr>
            <w:tcW w:w="0" w:type="auto"/>
          </w:tcPr>
          <w:p w14:paraId="1A797471" w14:textId="45BC75F2" w:rsidR="000D1861" w:rsidRDefault="00AF0D34">
            <w:pPr>
              <w:spacing w:before="0" w:after="0"/>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(#1)</w:t>
            </w:r>
          </w:p>
        </w:tc>
        <w:tc>
          <w:tcPr>
            <w:tcW w:w="0" w:type="auto"/>
          </w:tcPr>
          <w:p w14:paraId="4074C03C" w14:textId="1B553C9C" w:rsidR="000D1861" w:rsidRPr="00E726F3" w:rsidRDefault="00446CD8">
            <w:pPr>
              <w:spacing w:before="0" w:after="0"/>
              <w:rPr>
                <w:rFonts w:cs="Open Sans"/>
              </w:rPr>
            </w:pPr>
            <w:r>
              <w:rPr>
                <w:rFonts w:cs="Open Sans"/>
              </w:rPr>
              <w:t>5 March 2015</w:t>
            </w:r>
          </w:p>
        </w:tc>
        <w:tc>
          <w:tcPr>
            <w:tcW w:w="2136" w:type="dxa"/>
          </w:tcPr>
          <w:p w14:paraId="59FF8594" w14:textId="594DE012" w:rsidR="000D1861" w:rsidRDefault="000C11FD">
            <w:pPr>
              <w:spacing w:before="0" w:after="0"/>
            </w:pPr>
            <w:r>
              <w:rPr>
                <w:rFonts w:cs="Open Sans"/>
              </w:rPr>
              <w:t>30 November 2015</w:t>
            </w:r>
          </w:p>
        </w:tc>
        <w:tc>
          <w:tcPr>
            <w:tcW w:w="6570" w:type="dxa"/>
          </w:tcPr>
          <w:p w14:paraId="3AB4590E" w14:textId="2D2563DF" w:rsidR="000D1861" w:rsidRDefault="001A2EE9">
            <w:pPr>
              <w:spacing w:before="0" w:after="0"/>
            </w:pPr>
            <w:r>
              <w:t xml:space="preserve">After conviction for </w:t>
            </w:r>
            <w:r w:rsidR="003D2B5B">
              <w:t xml:space="preserve">a </w:t>
            </w:r>
            <w:r>
              <w:t xml:space="preserve">passport offence </w:t>
            </w:r>
            <w:r w:rsidR="00247EF1">
              <w:t xml:space="preserve">and </w:t>
            </w:r>
            <w:r>
              <w:t xml:space="preserve">while released on </w:t>
            </w:r>
            <w:r w:rsidR="00247EF1">
              <w:t xml:space="preserve">recognisance to be of </w:t>
            </w:r>
            <w:r>
              <w:t xml:space="preserve">good behaviour </w:t>
            </w:r>
          </w:p>
        </w:tc>
      </w:tr>
      <w:tr w:rsidR="00AD64B3" w14:paraId="7C936E3C" w14:textId="77777777" w:rsidTr="005A1F30">
        <w:tc>
          <w:tcPr>
            <w:tcW w:w="0" w:type="auto"/>
          </w:tcPr>
          <w:p w14:paraId="6FD50B2F" w14:textId="77777777" w:rsidR="00AD64B3" w:rsidRDefault="00AD64B3" w:rsidP="00484581">
            <w:pPr>
              <w:pStyle w:val="ListParagraph"/>
              <w:numPr>
                <w:ilvl w:val="0"/>
                <w:numId w:val="21"/>
              </w:numPr>
              <w:spacing w:before="0" w:after="0"/>
              <w:ind w:left="144" w:firstLine="0"/>
            </w:pPr>
          </w:p>
        </w:tc>
        <w:tc>
          <w:tcPr>
            <w:tcW w:w="0" w:type="auto"/>
          </w:tcPr>
          <w:p w14:paraId="5B1AF60B" w14:textId="445B7D08" w:rsidR="00AD64B3" w:rsidRDefault="00AD64B3">
            <w:pPr>
              <w:spacing w:before="0" w:after="0"/>
            </w:pPr>
            <w:r>
              <w:t xml:space="preserve">Mr </w:t>
            </w:r>
            <w:r w:rsidRPr="00AD64B3">
              <w:rPr>
                <w:rFonts w:cs="Open Sans"/>
              </w:rPr>
              <w:t xml:space="preserve">Harun </w:t>
            </w:r>
            <w:proofErr w:type="spellStart"/>
            <w:r w:rsidRPr="00AD64B3">
              <w:rPr>
                <w:rFonts w:cs="Open Sans"/>
              </w:rPr>
              <w:t>Causevic</w:t>
            </w:r>
            <w:proofErr w:type="spellEnd"/>
          </w:p>
        </w:tc>
        <w:tc>
          <w:tcPr>
            <w:tcW w:w="0" w:type="auto"/>
          </w:tcPr>
          <w:p w14:paraId="345DFA75" w14:textId="160D1428" w:rsidR="00AD64B3" w:rsidRDefault="006A45F5">
            <w:pPr>
              <w:spacing w:before="0" w:after="0"/>
              <w:rPr>
                <w:rFonts w:cs="Open Sans"/>
              </w:rPr>
            </w:pPr>
            <w:r>
              <w:rPr>
                <w:rFonts w:cs="Open Sans"/>
              </w:rPr>
              <w:t xml:space="preserve">10 September </w:t>
            </w:r>
            <w:r w:rsidRPr="008822B5">
              <w:rPr>
                <w:rFonts w:cs="Open Sans"/>
              </w:rPr>
              <w:t>2015</w:t>
            </w:r>
          </w:p>
        </w:tc>
        <w:tc>
          <w:tcPr>
            <w:tcW w:w="2136" w:type="dxa"/>
          </w:tcPr>
          <w:p w14:paraId="145E3B04" w14:textId="705A5CF5" w:rsidR="00AD64B3" w:rsidRDefault="00F01451">
            <w:pPr>
              <w:spacing w:before="0" w:after="0"/>
              <w:rPr>
                <w:rFonts w:cs="Open Sans"/>
              </w:rPr>
            </w:pPr>
            <w:r>
              <w:rPr>
                <w:rFonts w:cs="Open Sans"/>
              </w:rPr>
              <w:t>8 July 2016</w:t>
            </w:r>
          </w:p>
        </w:tc>
        <w:tc>
          <w:tcPr>
            <w:tcW w:w="6570" w:type="dxa"/>
          </w:tcPr>
          <w:p w14:paraId="7E0ABA21" w14:textId="1DCCCFEF" w:rsidR="00AD64B3" w:rsidRDefault="00296CAE">
            <w:pPr>
              <w:spacing w:before="0" w:after="0"/>
            </w:pPr>
            <w:r>
              <w:t xml:space="preserve">Investigation stage: after CDPP </w:t>
            </w:r>
            <w:r w:rsidR="003D2B5B">
              <w:t xml:space="preserve">had </w:t>
            </w:r>
            <w:r>
              <w:t xml:space="preserve">decided </w:t>
            </w:r>
            <w:r w:rsidR="003D2B5B">
              <w:t xml:space="preserve">there was </w:t>
            </w:r>
            <w:r>
              <w:t>no reasonable prospect of conviction</w:t>
            </w:r>
          </w:p>
        </w:tc>
      </w:tr>
      <w:tr w:rsidR="00C71573" w14:paraId="7D235C47" w14:textId="77777777" w:rsidTr="005A1F30">
        <w:tc>
          <w:tcPr>
            <w:tcW w:w="0" w:type="auto"/>
          </w:tcPr>
          <w:p w14:paraId="20A3D631" w14:textId="77777777" w:rsidR="00C71573" w:rsidRDefault="00C71573" w:rsidP="00484581">
            <w:pPr>
              <w:pStyle w:val="ListParagraph"/>
              <w:numPr>
                <w:ilvl w:val="0"/>
                <w:numId w:val="21"/>
              </w:numPr>
              <w:spacing w:before="0" w:after="0"/>
              <w:ind w:left="144" w:firstLine="0"/>
            </w:pPr>
          </w:p>
        </w:tc>
        <w:tc>
          <w:tcPr>
            <w:tcW w:w="0" w:type="auto"/>
          </w:tcPr>
          <w:p w14:paraId="485CDC15" w14:textId="49080515" w:rsidR="00C71573" w:rsidRDefault="003A3901">
            <w:pPr>
              <w:spacing w:before="0" w:after="0"/>
            </w:pPr>
            <w:r>
              <w:t>Mr EB</w:t>
            </w:r>
          </w:p>
        </w:tc>
        <w:tc>
          <w:tcPr>
            <w:tcW w:w="0" w:type="auto"/>
          </w:tcPr>
          <w:p w14:paraId="2D73FA01" w14:textId="53B7E380" w:rsidR="00C71573" w:rsidRDefault="003A3901">
            <w:pPr>
              <w:spacing w:before="0" w:after="0"/>
              <w:rPr>
                <w:rFonts w:cs="Open Sans"/>
              </w:rPr>
            </w:pPr>
            <w:r>
              <w:rPr>
                <w:rFonts w:cs="Open Sans"/>
              </w:rPr>
              <w:t>30 January 2019</w:t>
            </w:r>
          </w:p>
        </w:tc>
        <w:tc>
          <w:tcPr>
            <w:tcW w:w="2136" w:type="dxa"/>
          </w:tcPr>
          <w:p w14:paraId="554AD32D" w14:textId="0B3EACAD" w:rsidR="00C71573" w:rsidRDefault="00287EF2">
            <w:pPr>
              <w:spacing w:before="0" w:after="0"/>
              <w:rPr>
                <w:rFonts w:cs="Open Sans"/>
              </w:rPr>
            </w:pPr>
            <w:r>
              <w:rPr>
                <w:rFonts w:cs="Open Sans"/>
              </w:rPr>
              <w:t>22 February 2019</w:t>
            </w:r>
          </w:p>
        </w:tc>
        <w:tc>
          <w:tcPr>
            <w:tcW w:w="6570" w:type="dxa"/>
          </w:tcPr>
          <w:p w14:paraId="329444E2" w14:textId="037C3DAF" w:rsidR="00C71573" w:rsidRDefault="00580D36">
            <w:pPr>
              <w:spacing w:before="0" w:after="0"/>
            </w:pPr>
            <w:r>
              <w:t xml:space="preserve">After conviction for </w:t>
            </w:r>
            <w:r w:rsidR="002A5B0F">
              <w:t xml:space="preserve">a </w:t>
            </w:r>
            <w:r>
              <w:t xml:space="preserve">terrorism offence: </w:t>
            </w:r>
            <w:r w:rsidR="001E0E70">
              <w:rPr>
                <w:rFonts w:cs="Open Sans"/>
              </w:rPr>
              <w:t>p</w:t>
            </w:r>
            <w:r w:rsidR="001E0E70" w:rsidRPr="001E0E70">
              <w:rPr>
                <w:rFonts w:cs="Open Sans"/>
              </w:rPr>
              <w:t>reparation for incursion into foreign countr</w:t>
            </w:r>
            <w:r w:rsidR="001E0E70">
              <w:rPr>
                <w:rFonts w:cs="Open Sans"/>
              </w:rPr>
              <w:t>y</w:t>
            </w:r>
            <w:r w:rsidR="001E0E70" w:rsidRPr="001E0E70">
              <w:rPr>
                <w:rFonts w:cs="Open Sans"/>
              </w:rPr>
              <w:t xml:space="preserve"> for purpose of engaging in hostile activities</w:t>
            </w:r>
            <w:r w:rsidR="001E0E70">
              <w:rPr>
                <w:rFonts w:cs="Open Sans"/>
              </w:rPr>
              <w:t xml:space="preserve"> (s 119</w:t>
            </w:r>
            <w:r w:rsidR="001E0E70">
              <w:rPr>
                <w:rFonts w:ascii="Verdana" w:hAnsi="Verdana"/>
                <w:color w:val="373739"/>
                <w:sz w:val="18"/>
                <w:szCs w:val="18"/>
                <w:shd w:val="clear" w:color="auto" w:fill="FFFFFF"/>
              </w:rPr>
              <w:t>.</w:t>
            </w:r>
            <w:r w:rsidR="001E0E70" w:rsidRPr="00B86A2D">
              <w:rPr>
                <w:rFonts w:cs="Open Sans"/>
              </w:rPr>
              <w:t>4(1) of</w:t>
            </w:r>
            <w:r w:rsidR="001E0E70">
              <w:rPr>
                <w:rFonts w:cs="Open Sans"/>
              </w:rPr>
              <w:t xml:space="preserve"> Criminal Code)</w:t>
            </w:r>
          </w:p>
        </w:tc>
      </w:tr>
      <w:tr w:rsidR="007A4A4E" w14:paraId="44CA0075" w14:textId="77777777" w:rsidTr="005A1F30">
        <w:tc>
          <w:tcPr>
            <w:tcW w:w="0" w:type="auto"/>
          </w:tcPr>
          <w:p w14:paraId="0C29D7F4" w14:textId="77777777" w:rsidR="007A4A4E" w:rsidRDefault="007A4A4E" w:rsidP="00484581">
            <w:pPr>
              <w:pStyle w:val="ListParagraph"/>
              <w:numPr>
                <w:ilvl w:val="0"/>
                <w:numId w:val="21"/>
              </w:numPr>
              <w:spacing w:before="0" w:after="0"/>
              <w:ind w:left="144" w:firstLine="0"/>
            </w:pPr>
          </w:p>
        </w:tc>
        <w:tc>
          <w:tcPr>
            <w:tcW w:w="0" w:type="auto"/>
          </w:tcPr>
          <w:p w14:paraId="3C4E66AF" w14:textId="2DCCCDE9" w:rsidR="007A4A4E" w:rsidRPr="00963C4B" w:rsidRDefault="00963C4B">
            <w:pPr>
              <w:spacing w:before="0" w:after="0"/>
            </w:pPr>
            <w:proofErr w:type="spellStart"/>
            <w:r w:rsidRPr="00963C4B">
              <w:rPr>
                <w:lang w:val="en-US"/>
              </w:rPr>
              <w:t>Ms</w:t>
            </w:r>
            <w:proofErr w:type="spellEnd"/>
            <w:r w:rsidRPr="00963C4B">
              <w:rPr>
                <w:lang w:val="en-US"/>
              </w:rPr>
              <w:t xml:space="preserve"> </w:t>
            </w:r>
            <w:r w:rsidRPr="00963C4B">
              <w:t>Zainab</w:t>
            </w:r>
            <w:r w:rsidRPr="00963C4B">
              <w:rPr>
                <w:lang w:val="en-US"/>
              </w:rPr>
              <w:t xml:space="preserve"> Abdirahman-Khalif</w:t>
            </w:r>
          </w:p>
        </w:tc>
        <w:tc>
          <w:tcPr>
            <w:tcW w:w="0" w:type="auto"/>
          </w:tcPr>
          <w:p w14:paraId="26C62683" w14:textId="213D8426" w:rsidR="007A4A4E" w:rsidRDefault="00F20EF7">
            <w:pPr>
              <w:spacing w:before="0" w:after="0"/>
              <w:rPr>
                <w:rFonts w:cs="Open Sans"/>
              </w:rPr>
            </w:pPr>
            <w:r w:rsidRPr="000817F8">
              <w:rPr>
                <w:rFonts w:cs="Open Sans"/>
              </w:rPr>
              <w:t>22 November 2019</w:t>
            </w:r>
          </w:p>
        </w:tc>
        <w:tc>
          <w:tcPr>
            <w:tcW w:w="2136" w:type="dxa"/>
          </w:tcPr>
          <w:p w14:paraId="1AC02863" w14:textId="4E9E3937" w:rsidR="007A4A4E" w:rsidRDefault="00FA7E33">
            <w:pPr>
              <w:spacing w:before="0" w:after="0"/>
              <w:rPr>
                <w:rFonts w:cs="Open Sans"/>
              </w:rPr>
            </w:pPr>
            <w:r>
              <w:rPr>
                <w:rFonts w:cs="Open Sans"/>
              </w:rPr>
              <w:t>17 July 2020</w:t>
            </w:r>
          </w:p>
        </w:tc>
        <w:tc>
          <w:tcPr>
            <w:tcW w:w="6570" w:type="dxa"/>
          </w:tcPr>
          <w:p w14:paraId="58DA2BAA" w14:textId="3F58F331" w:rsidR="007A4A4E" w:rsidRDefault="00963C4B">
            <w:pPr>
              <w:spacing w:before="0" w:after="0"/>
            </w:pPr>
            <w:r>
              <w:t>After acquittal for terrorism offence</w:t>
            </w:r>
            <w:r w:rsidR="00C055AC">
              <w:t xml:space="preserve"> </w:t>
            </w:r>
            <w:r w:rsidR="002C7F1E">
              <w:t xml:space="preserve">and while appeal to High Court pending </w:t>
            </w:r>
          </w:p>
        </w:tc>
      </w:tr>
      <w:tr w:rsidR="002C7F1E" w14:paraId="2EA2D1D7" w14:textId="77777777" w:rsidTr="005A1F30">
        <w:tc>
          <w:tcPr>
            <w:tcW w:w="0" w:type="auto"/>
          </w:tcPr>
          <w:p w14:paraId="6463B107" w14:textId="77777777" w:rsidR="002C7F1E" w:rsidRDefault="002C7F1E" w:rsidP="00484581">
            <w:pPr>
              <w:pStyle w:val="ListParagraph"/>
              <w:numPr>
                <w:ilvl w:val="0"/>
                <w:numId w:val="21"/>
              </w:numPr>
              <w:spacing w:before="0" w:after="0"/>
              <w:ind w:left="144" w:firstLine="0"/>
            </w:pPr>
          </w:p>
        </w:tc>
        <w:tc>
          <w:tcPr>
            <w:tcW w:w="0" w:type="auto"/>
          </w:tcPr>
          <w:p w14:paraId="5F8B527A" w14:textId="4DC605DE" w:rsidR="002C7F1E" w:rsidRPr="00FB0CA8" w:rsidRDefault="00FB0CA8">
            <w:pPr>
              <w:spacing w:before="0" w:after="0"/>
              <w:rPr>
                <w:lang w:val="en-US"/>
              </w:rPr>
            </w:pPr>
            <w:proofErr w:type="spellStart"/>
            <w:r>
              <w:rPr>
                <w:rFonts w:cs="Open Sans"/>
                <w:lang w:val="en-US"/>
              </w:rPr>
              <w:t>Ms</w:t>
            </w:r>
            <w:proofErr w:type="spellEnd"/>
            <w:r>
              <w:rPr>
                <w:rFonts w:cs="Open Sans"/>
                <w:lang w:val="en-US"/>
              </w:rPr>
              <w:t xml:space="preserve"> </w:t>
            </w:r>
            <w:proofErr w:type="spellStart"/>
            <w:r w:rsidRPr="00FB0CA8">
              <w:rPr>
                <w:rFonts w:cs="Open Sans"/>
                <w:lang w:val="en-US"/>
              </w:rPr>
              <w:t>Alo</w:t>
            </w:r>
            <w:proofErr w:type="spellEnd"/>
            <w:r w:rsidRPr="00FB0CA8">
              <w:rPr>
                <w:rFonts w:cs="Open Sans"/>
                <w:lang w:val="en-US"/>
              </w:rPr>
              <w:t xml:space="preserve">-Bridget </w:t>
            </w:r>
            <w:proofErr w:type="spellStart"/>
            <w:r w:rsidRPr="00FB0CA8">
              <w:rPr>
                <w:rFonts w:cs="Open Sans"/>
                <w:lang w:val="en-US"/>
              </w:rPr>
              <w:t>Namoa</w:t>
            </w:r>
            <w:proofErr w:type="spellEnd"/>
          </w:p>
        </w:tc>
        <w:tc>
          <w:tcPr>
            <w:tcW w:w="0" w:type="auto"/>
          </w:tcPr>
          <w:p w14:paraId="7EE7F29A" w14:textId="34E921ED" w:rsidR="002C7F1E" w:rsidRDefault="002B5730">
            <w:pPr>
              <w:spacing w:before="0" w:after="0"/>
              <w:rPr>
                <w:rFonts w:cs="Open Sans"/>
              </w:rPr>
            </w:pPr>
            <w:r>
              <w:rPr>
                <w:rFonts w:cs="Open Sans"/>
                <w:lang w:val="en-US"/>
              </w:rPr>
              <w:t>19 December 2019</w:t>
            </w:r>
          </w:p>
        </w:tc>
        <w:tc>
          <w:tcPr>
            <w:tcW w:w="2136" w:type="dxa"/>
          </w:tcPr>
          <w:p w14:paraId="2352E772" w14:textId="1B6C2144" w:rsidR="002C7F1E" w:rsidRDefault="00791BE0">
            <w:pPr>
              <w:spacing w:before="0" w:after="0"/>
              <w:rPr>
                <w:rFonts w:cs="Open Sans"/>
              </w:rPr>
            </w:pPr>
            <w:r>
              <w:rPr>
                <w:rFonts w:cs="Open Sans"/>
                <w:lang w:val="en-US"/>
              </w:rPr>
              <w:t>3 February 2020</w:t>
            </w:r>
          </w:p>
        </w:tc>
        <w:tc>
          <w:tcPr>
            <w:tcW w:w="6570" w:type="dxa"/>
          </w:tcPr>
          <w:p w14:paraId="3E85D0AA" w14:textId="49DB1EA2" w:rsidR="002C7F1E" w:rsidRDefault="00791BE0">
            <w:pPr>
              <w:spacing w:before="0" w:after="0"/>
            </w:pPr>
            <w:r>
              <w:t xml:space="preserve">After conviction for </w:t>
            </w:r>
            <w:r w:rsidR="002359D1">
              <w:t xml:space="preserve">a </w:t>
            </w:r>
            <w:r>
              <w:t>terrorism offence</w:t>
            </w:r>
            <w:r w:rsidR="002359D1">
              <w:t xml:space="preserve">: </w:t>
            </w:r>
            <w:r w:rsidR="002359D1" w:rsidRPr="002359D1">
              <w:t xml:space="preserve">conspiring to do acts in preparation for a terrorist act </w:t>
            </w:r>
            <w:r w:rsidR="00E409E8">
              <w:t>(</w:t>
            </w:r>
            <w:r w:rsidR="002359D1" w:rsidRPr="002359D1">
              <w:t>ss 11.5(1) and 101.6(1)</w:t>
            </w:r>
            <w:r w:rsidR="00E409E8">
              <w:t xml:space="preserve"> of Criminal Code)</w:t>
            </w:r>
          </w:p>
        </w:tc>
      </w:tr>
      <w:tr w:rsidR="00DE0630" w14:paraId="27C857E8" w14:textId="77777777" w:rsidTr="005A1F30">
        <w:tc>
          <w:tcPr>
            <w:tcW w:w="0" w:type="auto"/>
          </w:tcPr>
          <w:p w14:paraId="5A160737" w14:textId="77777777" w:rsidR="00DE0630" w:rsidRDefault="00DE0630" w:rsidP="00484581">
            <w:pPr>
              <w:pStyle w:val="ListParagraph"/>
              <w:numPr>
                <w:ilvl w:val="0"/>
                <w:numId w:val="21"/>
              </w:numPr>
              <w:spacing w:before="0" w:after="0"/>
              <w:ind w:left="144" w:firstLine="0"/>
            </w:pPr>
          </w:p>
        </w:tc>
        <w:tc>
          <w:tcPr>
            <w:tcW w:w="0" w:type="auto"/>
          </w:tcPr>
          <w:p w14:paraId="1A1FA2F9" w14:textId="7D6C5716" w:rsidR="00DE0630" w:rsidRPr="001009C6" w:rsidRDefault="00DE0630" w:rsidP="00DE0630">
            <w:pPr>
              <w:spacing w:before="0" w:after="0"/>
              <w:rPr>
                <w:lang w:val="en-US"/>
              </w:rPr>
            </w:pPr>
            <w:r>
              <w:rPr>
                <w:rFonts w:cs="Open Sans"/>
              </w:rPr>
              <w:t xml:space="preserve">Mr </w:t>
            </w:r>
            <w:r w:rsidRPr="001009C6">
              <w:rPr>
                <w:rFonts w:cs="Open Sans"/>
              </w:rPr>
              <w:t>Murat Kaya</w:t>
            </w:r>
          </w:p>
        </w:tc>
        <w:tc>
          <w:tcPr>
            <w:tcW w:w="0" w:type="auto"/>
          </w:tcPr>
          <w:p w14:paraId="4ABBEF2A" w14:textId="0847BD9E" w:rsidR="00DE0630" w:rsidRDefault="00DE0630" w:rsidP="00DE0630">
            <w:pPr>
              <w:spacing w:before="0" w:after="0"/>
              <w:rPr>
                <w:rFonts w:cs="Open Sans"/>
              </w:rPr>
            </w:pPr>
            <w:r>
              <w:rPr>
                <w:rFonts w:cs="Open Sans"/>
              </w:rPr>
              <w:t>22 January 2020</w:t>
            </w:r>
          </w:p>
        </w:tc>
        <w:tc>
          <w:tcPr>
            <w:tcW w:w="2136" w:type="dxa"/>
          </w:tcPr>
          <w:p w14:paraId="26D30DC1" w14:textId="4E412C6C" w:rsidR="00DE0630" w:rsidRDefault="00786429" w:rsidP="00DE0630">
            <w:pPr>
              <w:spacing w:before="0" w:after="0"/>
              <w:rPr>
                <w:rFonts w:cs="Open Sans"/>
              </w:rPr>
            </w:pPr>
            <w:r>
              <w:rPr>
                <w:rFonts w:cs="Open Sans"/>
              </w:rPr>
              <w:t>29 July 2020</w:t>
            </w:r>
          </w:p>
        </w:tc>
        <w:tc>
          <w:tcPr>
            <w:tcW w:w="6570" w:type="dxa"/>
          </w:tcPr>
          <w:p w14:paraId="09C36362" w14:textId="699FDD90" w:rsidR="00DE0630" w:rsidRDefault="00DE0630" w:rsidP="00DE0630">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DE0630" w14:paraId="53D8A28D" w14:textId="77777777" w:rsidTr="005A1F30">
        <w:tc>
          <w:tcPr>
            <w:tcW w:w="0" w:type="auto"/>
          </w:tcPr>
          <w:p w14:paraId="07D7ED5C" w14:textId="77777777" w:rsidR="00DE0630" w:rsidRDefault="00DE0630" w:rsidP="00484581">
            <w:pPr>
              <w:pStyle w:val="ListParagraph"/>
              <w:numPr>
                <w:ilvl w:val="0"/>
                <w:numId w:val="21"/>
              </w:numPr>
              <w:spacing w:before="0" w:after="0"/>
              <w:ind w:left="144" w:firstLine="0"/>
            </w:pPr>
          </w:p>
        </w:tc>
        <w:tc>
          <w:tcPr>
            <w:tcW w:w="0" w:type="auto"/>
          </w:tcPr>
          <w:p w14:paraId="01B9A9C2" w14:textId="755B7CE0" w:rsidR="00DE0630" w:rsidRDefault="00DE0630" w:rsidP="00DE0630">
            <w:pPr>
              <w:spacing w:before="0" w:after="0"/>
              <w:rPr>
                <w:lang w:val="en-US"/>
              </w:rPr>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(#2)</w:t>
            </w:r>
          </w:p>
        </w:tc>
        <w:tc>
          <w:tcPr>
            <w:tcW w:w="0" w:type="auto"/>
          </w:tcPr>
          <w:p w14:paraId="4AB227F4" w14:textId="38E0E193" w:rsidR="00DE0630" w:rsidRDefault="00DE0630" w:rsidP="00DE0630">
            <w:pPr>
              <w:spacing w:before="0" w:after="0"/>
              <w:rPr>
                <w:rFonts w:cs="Open Sans"/>
              </w:rPr>
            </w:pPr>
            <w:r>
              <w:rPr>
                <w:rFonts w:cs="Open Sans"/>
                <w:lang w:val="en-US"/>
              </w:rPr>
              <w:t>27 February 2020</w:t>
            </w:r>
          </w:p>
        </w:tc>
        <w:tc>
          <w:tcPr>
            <w:tcW w:w="2136" w:type="dxa"/>
          </w:tcPr>
          <w:p w14:paraId="2FB3A97D" w14:textId="3551FD48" w:rsidR="00DE0630" w:rsidRDefault="00C44C0D" w:rsidP="00DE0630">
            <w:pPr>
              <w:spacing w:before="0" w:after="0"/>
              <w:rPr>
                <w:rFonts w:cs="Open Sans"/>
              </w:rPr>
            </w:pPr>
            <w:r>
              <w:rPr>
                <w:rFonts w:cs="Open Sans"/>
              </w:rPr>
              <w:t xml:space="preserve">25 June </w:t>
            </w:r>
            <w:r w:rsidR="00E43D75">
              <w:rPr>
                <w:rFonts w:cs="Open Sans"/>
              </w:rPr>
              <w:t>2020</w:t>
            </w:r>
            <w:r w:rsidR="009D2387">
              <w:rPr>
                <w:rFonts w:cs="Open Sans"/>
              </w:rPr>
              <w:t>*</w:t>
            </w:r>
          </w:p>
        </w:tc>
        <w:tc>
          <w:tcPr>
            <w:tcW w:w="6570" w:type="dxa"/>
          </w:tcPr>
          <w:p w14:paraId="1A79F5D5" w14:textId="2075AB2E" w:rsidR="00DE0630" w:rsidRDefault="00DE0630" w:rsidP="00DE0630">
            <w:pPr>
              <w:spacing w:before="0" w:after="0"/>
            </w:pPr>
            <w:r>
              <w:t xml:space="preserve">After conviction for terrorism offence: breach of </w:t>
            </w:r>
            <w:r w:rsidR="005E4F8B">
              <w:t xml:space="preserve">first </w:t>
            </w:r>
            <w:r>
              <w:t>control order</w:t>
            </w:r>
            <w:r w:rsidR="003A12D2">
              <w:t xml:space="preserve"> (s 104.27 of Criminal Code)</w:t>
            </w:r>
          </w:p>
        </w:tc>
      </w:tr>
      <w:tr w:rsidR="00DE0630" w14:paraId="05D4F471" w14:textId="77777777" w:rsidTr="005A1F30">
        <w:tc>
          <w:tcPr>
            <w:tcW w:w="0" w:type="auto"/>
          </w:tcPr>
          <w:p w14:paraId="7C6C2982" w14:textId="77777777" w:rsidR="00DE0630" w:rsidRDefault="00DE0630" w:rsidP="00484581">
            <w:pPr>
              <w:pStyle w:val="ListParagraph"/>
              <w:numPr>
                <w:ilvl w:val="0"/>
                <w:numId w:val="21"/>
              </w:numPr>
              <w:spacing w:before="0" w:after="0"/>
              <w:ind w:left="144" w:firstLine="0"/>
            </w:pPr>
          </w:p>
        </w:tc>
        <w:tc>
          <w:tcPr>
            <w:tcW w:w="0" w:type="auto"/>
          </w:tcPr>
          <w:p w14:paraId="5C8166DF" w14:textId="552A2D01" w:rsidR="00DE0630" w:rsidRPr="00963C4B" w:rsidRDefault="00DE0630" w:rsidP="00DE0630">
            <w:pPr>
              <w:spacing w:before="0" w:after="0"/>
              <w:rPr>
                <w:lang w:val="en-US"/>
              </w:rPr>
            </w:pPr>
            <w:r>
              <w:rPr>
                <w:lang w:val="en-US"/>
              </w:rPr>
              <w:t xml:space="preserve">Mr </w:t>
            </w:r>
            <w:proofErr w:type="spellStart"/>
            <w:r w:rsidRPr="009014EF">
              <w:rPr>
                <w:rFonts w:cs="Open Sans"/>
              </w:rPr>
              <w:t>Shayden</w:t>
            </w:r>
            <w:proofErr w:type="spellEnd"/>
            <w:r w:rsidRPr="009014EF">
              <w:rPr>
                <w:rFonts w:cs="Open Sans"/>
              </w:rPr>
              <w:t xml:space="preserve"> </w:t>
            </w:r>
            <w:r w:rsidR="00324729">
              <w:rPr>
                <w:rFonts w:cs="Open Sans"/>
              </w:rPr>
              <w:t xml:space="preserve">Jamil </w:t>
            </w:r>
            <w:r w:rsidRPr="009014EF">
              <w:rPr>
                <w:rFonts w:cs="Open Sans"/>
              </w:rPr>
              <w:t>Thorne</w:t>
            </w:r>
          </w:p>
        </w:tc>
        <w:tc>
          <w:tcPr>
            <w:tcW w:w="0" w:type="auto"/>
          </w:tcPr>
          <w:p w14:paraId="6B546295" w14:textId="4D8BFC72" w:rsidR="00DE0630" w:rsidRDefault="00611B9E" w:rsidP="00DE0630">
            <w:pPr>
              <w:spacing w:before="0" w:after="0"/>
              <w:rPr>
                <w:rFonts w:cs="Open Sans"/>
              </w:rPr>
            </w:pPr>
            <w:r>
              <w:rPr>
                <w:rFonts w:cs="Open Sans"/>
              </w:rPr>
              <w:t xml:space="preserve">6 March </w:t>
            </w:r>
            <w:r w:rsidR="00DE0630">
              <w:rPr>
                <w:rFonts w:cs="Open Sans"/>
              </w:rPr>
              <w:t>2020</w:t>
            </w:r>
          </w:p>
        </w:tc>
        <w:tc>
          <w:tcPr>
            <w:tcW w:w="2136" w:type="dxa"/>
          </w:tcPr>
          <w:p w14:paraId="1F56EBB6" w14:textId="43F5AC0F" w:rsidR="00DE0630" w:rsidRDefault="00245119" w:rsidP="00DE0630">
            <w:pPr>
              <w:spacing w:before="0" w:after="0"/>
              <w:rPr>
                <w:rFonts w:cs="Open Sans"/>
              </w:rPr>
            </w:pPr>
            <w:r>
              <w:rPr>
                <w:rFonts w:cs="Open Sans"/>
              </w:rPr>
              <w:t>17 August 2020</w:t>
            </w:r>
          </w:p>
        </w:tc>
        <w:tc>
          <w:tcPr>
            <w:tcW w:w="6570" w:type="dxa"/>
          </w:tcPr>
          <w:p w14:paraId="649D6913" w14:textId="12D827F0" w:rsidR="00DE0630" w:rsidRDefault="00DE0630" w:rsidP="00DE0630">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DE0630" w14:paraId="116337ED" w14:textId="77777777" w:rsidTr="005A1F30">
        <w:tc>
          <w:tcPr>
            <w:tcW w:w="0" w:type="auto"/>
          </w:tcPr>
          <w:p w14:paraId="6F5E5744" w14:textId="77777777" w:rsidR="00DE0630" w:rsidRDefault="00DE0630" w:rsidP="00484581">
            <w:pPr>
              <w:pStyle w:val="ListParagraph"/>
              <w:numPr>
                <w:ilvl w:val="0"/>
                <w:numId w:val="21"/>
              </w:numPr>
              <w:spacing w:before="0" w:after="0"/>
              <w:ind w:left="144" w:firstLine="0"/>
            </w:pPr>
          </w:p>
        </w:tc>
        <w:tc>
          <w:tcPr>
            <w:tcW w:w="0" w:type="auto"/>
          </w:tcPr>
          <w:p w14:paraId="1146AF5C" w14:textId="612E7ECB" w:rsidR="00DE0630" w:rsidRDefault="00DE0630" w:rsidP="00DE0630">
            <w:pPr>
              <w:spacing w:before="0" w:after="0"/>
              <w:rPr>
                <w:lang w:val="en-US"/>
              </w:rPr>
            </w:pPr>
            <w:r>
              <w:rPr>
                <w:lang w:val="en-US"/>
              </w:rPr>
              <w:t xml:space="preserve">Mr </w:t>
            </w:r>
            <w:r w:rsidRPr="0087712F">
              <w:rPr>
                <w:rFonts w:cs="Open Sans"/>
              </w:rPr>
              <w:t xml:space="preserve">Paul James </w:t>
            </w:r>
            <w:proofErr w:type="spellStart"/>
            <w:r w:rsidRPr="0087712F">
              <w:rPr>
                <w:rFonts w:cs="Open Sans"/>
              </w:rPr>
              <w:t>Dacre</w:t>
            </w:r>
            <w:proofErr w:type="spellEnd"/>
          </w:p>
        </w:tc>
        <w:tc>
          <w:tcPr>
            <w:tcW w:w="0" w:type="auto"/>
          </w:tcPr>
          <w:p w14:paraId="5FC22660" w14:textId="03372A4E" w:rsidR="00DE0630" w:rsidRDefault="00DE0630" w:rsidP="00DE0630">
            <w:pPr>
              <w:spacing w:before="0" w:after="0"/>
              <w:rPr>
                <w:rFonts w:cs="Open Sans"/>
              </w:rPr>
            </w:pPr>
            <w:r>
              <w:rPr>
                <w:rFonts w:cs="Open Sans"/>
              </w:rPr>
              <w:t>14 May 2020</w:t>
            </w:r>
          </w:p>
        </w:tc>
        <w:tc>
          <w:tcPr>
            <w:tcW w:w="2136" w:type="dxa"/>
          </w:tcPr>
          <w:p w14:paraId="3647156E" w14:textId="256E8907" w:rsidR="00DE0630" w:rsidRDefault="003529F0" w:rsidP="00DE0630">
            <w:pPr>
              <w:spacing w:before="0" w:after="0"/>
              <w:rPr>
                <w:rFonts w:cs="Open Sans"/>
              </w:rPr>
            </w:pPr>
            <w:r>
              <w:rPr>
                <w:rFonts w:cs="Open Sans"/>
              </w:rPr>
              <w:t>3 June 2020</w:t>
            </w:r>
          </w:p>
        </w:tc>
        <w:tc>
          <w:tcPr>
            <w:tcW w:w="6570" w:type="dxa"/>
          </w:tcPr>
          <w:p w14:paraId="600DEDA8" w14:textId="0FD56923" w:rsidR="00DE0630" w:rsidRDefault="00DE0630" w:rsidP="00DE0630">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DE0630" w14:paraId="06B5BDC7" w14:textId="77777777" w:rsidTr="005A1F30">
        <w:tc>
          <w:tcPr>
            <w:tcW w:w="0" w:type="auto"/>
          </w:tcPr>
          <w:p w14:paraId="205AD05B" w14:textId="77777777" w:rsidR="00DE0630" w:rsidRDefault="00DE0630" w:rsidP="00484581">
            <w:pPr>
              <w:pStyle w:val="ListParagraph"/>
              <w:numPr>
                <w:ilvl w:val="0"/>
                <w:numId w:val="21"/>
              </w:numPr>
              <w:spacing w:before="0" w:after="0"/>
              <w:ind w:left="144" w:firstLine="0"/>
            </w:pPr>
          </w:p>
        </w:tc>
        <w:tc>
          <w:tcPr>
            <w:tcW w:w="0" w:type="auto"/>
          </w:tcPr>
          <w:p w14:paraId="56F8087A" w14:textId="22382855" w:rsidR="00DE0630" w:rsidRPr="00C5371F" w:rsidRDefault="00DE0630" w:rsidP="00DE0630">
            <w:pPr>
              <w:spacing w:before="0" w:after="0"/>
              <w:rPr>
                <w:lang w:val="en-US"/>
              </w:rPr>
            </w:pPr>
            <w:r>
              <w:t xml:space="preserve">Mr </w:t>
            </w:r>
            <w:r w:rsidRPr="00C5371F">
              <w:t>Kadir Kaya</w:t>
            </w:r>
          </w:p>
        </w:tc>
        <w:tc>
          <w:tcPr>
            <w:tcW w:w="0" w:type="auto"/>
          </w:tcPr>
          <w:p w14:paraId="046A0CDC" w14:textId="687ACBBA" w:rsidR="00DE0630" w:rsidRDefault="00DE0630" w:rsidP="00DE0630">
            <w:pPr>
              <w:spacing w:before="0" w:after="0"/>
              <w:rPr>
                <w:rFonts w:cs="Open Sans"/>
              </w:rPr>
            </w:pPr>
            <w:r>
              <w:rPr>
                <w:rFonts w:cs="Open Sans"/>
              </w:rPr>
              <w:t>28 May 2020</w:t>
            </w:r>
          </w:p>
        </w:tc>
        <w:tc>
          <w:tcPr>
            <w:tcW w:w="2136" w:type="dxa"/>
          </w:tcPr>
          <w:p w14:paraId="737C13E8" w14:textId="1C8B8B2A" w:rsidR="00DE0630" w:rsidRDefault="00915A80" w:rsidP="00DE0630">
            <w:pPr>
              <w:spacing w:before="0" w:after="0"/>
              <w:rPr>
                <w:rFonts w:cs="Open Sans"/>
              </w:rPr>
            </w:pPr>
            <w:r>
              <w:rPr>
                <w:rFonts w:cs="Open Sans"/>
              </w:rPr>
              <w:t>31 August 2020</w:t>
            </w:r>
          </w:p>
        </w:tc>
        <w:tc>
          <w:tcPr>
            <w:tcW w:w="6570" w:type="dxa"/>
          </w:tcPr>
          <w:p w14:paraId="7A14B020" w14:textId="06440A33" w:rsidR="00DE0630" w:rsidRDefault="00DE0630" w:rsidP="00DE0630">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DE0630" w14:paraId="6E86E997" w14:textId="77777777" w:rsidTr="005A1F30">
        <w:tc>
          <w:tcPr>
            <w:tcW w:w="0" w:type="auto"/>
          </w:tcPr>
          <w:p w14:paraId="5EA3D877" w14:textId="77777777" w:rsidR="00DE0630" w:rsidRDefault="00DE0630" w:rsidP="00484581">
            <w:pPr>
              <w:pStyle w:val="ListParagraph"/>
              <w:numPr>
                <w:ilvl w:val="0"/>
                <w:numId w:val="21"/>
              </w:numPr>
              <w:spacing w:before="0" w:after="0"/>
              <w:ind w:left="144" w:firstLine="0"/>
            </w:pPr>
          </w:p>
        </w:tc>
        <w:tc>
          <w:tcPr>
            <w:tcW w:w="0" w:type="auto"/>
          </w:tcPr>
          <w:p w14:paraId="4EB43288" w14:textId="466CAA9C" w:rsidR="00DE0630" w:rsidRDefault="00DE0630" w:rsidP="00DE0630">
            <w:pPr>
              <w:spacing w:before="0" w:after="0"/>
            </w:pPr>
            <w:r>
              <w:t xml:space="preserve">Mr </w:t>
            </w:r>
            <w:r w:rsidRPr="00571751">
              <w:rPr>
                <w:rFonts w:cs="Open Sans"/>
              </w:rPr>
              <w:t xml:space="preserve">Antonino </w:t>
            </w:r>
            <w:proofErr w:type="spellStart"/>
            <w:r w:rsidRPr="00571751">
              <w:rPr>
                <w:rFonts w:cs="Open Sans"/>
              </w:rPr>
              <w:t>Granata</w:t>
            </w:r>
            <w:proofErr w:type="spellEnd"/>
          </w:p>
        </w:tc>
        <w:tc>
          <w:tcPr>
            <w:tcW w:w="0" w:type="auto"/>
          </w:tcPr>
          <w:p w14:paraId="72037B6C" w14:textId="2B7B62DD" w:rsidR="00DE0630" w:rsidRDefault="00DE0630" w:rsidP="00DE0630">
            <w:pPr>
              <w:spacing w:before="0" w:after="0"/>
              <w:rPr>
                <w:rFonts w:cs="Open Sans"/>
              </w:rPr>
            </w:pPr>
            <w:r>
              <w:rPr>
                <w:rFonts w:cs="Open Sans"/>
              </w:rPr>
              <w:t>29 May 2020</w:t>
            </w:r>
          </w:p>
        </w:tc>
        <w:tc>
          <w:tcPr>
            <w:tcW w:w="2136" w:type="dxa"/>
          </w:tcPr>
          <w:p w14:paraId="0AA2CD48" w14:textId="4EE596DC" w:rsidR="00DE0630" w:rsidRDefault="00DE0630" w:rsidP="00DE0630">
            <w:pPr>
              <w:spacing w:before="0" w:after="0"/>
              <w:rPr>
                <w:rFonts w:cs="Open Sans"/>
              </w:rPr>
            </w:pPr>
            <w:r>
              <w:rPr>
                <w:rFonts w:cs="Open Sans"/>
              </w:rPr>
              <w:t>Not yet confirmed</w:t>
            </w:r>
          </w:p>
        </w:tc>
        <w:tc>
          <w:tcPr>
            <w:tcW w:w="6570" w:type="dxa"/>
          </w:tcPr>
          <w:p w14:paraId="22A9FE20" w14:textId="7F15BCAB" w:rsidR="00DE0630" w:rsidRDefault="00DE0630" w:rsidP="00DE0630">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37299B" w14:paraId="744130F4" w14:textId="77777777" w:rsidTr="005A1F30">
        <w:tc>
          <w:tcPr>
            <w:tcW w:w="0" w:type="auto"/>
          </w:tcPr>
          <w:p w14:paraId="1095E196" w14:textId="77777777" w:rsidR="0037299B" w:rsidRDefault="0037299B" w:rsidP="00484581">
            <w:pPr>
              <w:pStyle w:val="ListParagraph"/>
              <w:numPr>
                <w:ilvl w:val="0"/>
                <w:numId w:val="21"/>
              </w:numPr>
              <w:spacing w:before="0" w:after="0"/>
              <w:ind w:left="144" w:firstLine="0"/>
            </w:pPr>
          </w:p>
        </w:tc>
        <w:tc>
          <w:tcPr>
            <w:tcW w:w="0" w:type="auto"/>
          </w:tcPr>
          <w:p w14:paraId="60FBF887" w14:textId="2157C12F" w:rsidR="0037299B" w:rsidRDefault="001067B6" w:rsidP="00DE0630">
            <w:pPr>
              <w:spacing w:before="0" w:after="0"/>
            </w:pPr>
            <w:r>
              <w:t xml:space="preserve">Mr </w:t>
            </w:r>
            <w:proofErr w:type="spellStart"/>
            <w:r>
              <w:t>Belal</w:t>
            </w:r>
            <w:proofErr w:type="spellEnd"/>
            <w:r>
              <w:t xml:space="preserve"> </w:t>
            </w:r>
            <w:proofErr w:type="spellStart"/>
            <w:r>
              <w:t>Saadallay</w:t>
            </w:r>
            <w:proofErr w:type="spellEnd"/>
            <w:r>
              <w:t xml:space="preserve"> </w:t>
            </w:r>
            <w:proofErr w:type="spellStart"/>
            <w:r>
              <w:t>Khazaal</w:t>
            </w:r>
            <w:proofErr w:type="spellEnd"/>
          </w:p>
        </w:tc>
        <w:tc>
          <w:tcPr>
            <w:tcW w:w="0" w:type="auto"/>
          </w:tcPr>
          <w:p w14:paraId="3D7A465C" w14:textId="5D3EDF63" w:rsidR="0037299B" w:rsidRDefault="000A249F" w:rsidP="00DE0630">
            <w:pPr>
              <w:spacing w:before="0" w:after="0"/>
              <w:rPr>
                <w:rFonts w:cs="Open Sans"/>
              </w:rPr>
            </w:pPr>
            <w:r>
              <w:rPr>
                <w:rFonts w:cs="Open Sans"/>
              </w:rPr>
              <w:t>26 August 2020</w:t>
            </w:r>
          </w:p>
        </w:tc>
        <w:tc>
          <w:tcPr>
            <w:tcW w:w="2136" w:type="dxa"/>
          </w:tcPr>
          <w:p w14:paraId="16E9FFCE" w14:textId="7D37BC1E" w:rsidR="0037299B" w:rsidRDefault="000A249F" w:rsidP="00DE0630">
            <w:pPr>
              <w:spacing w:before="0" w:after="0"/>
              <w:rPr>
                <w:rFonts w:cs="Open Sans"/>
              </w:rPr>
            </w:pPr>
            <w:r>
              <w:rPr>
                <w:rFonts w:cs="Open Sans"/>
              </w:rPr>
              <w:t>Not yet confirmed</w:t>
            </w:r>
          </w:p>
        </w:tc>
        <w:tc>
          <w:tcPr>
            <w:tcW w:w="6570" w:type="dxa"/>
          </w:tcPr>
          <w:p w14:paraId="2A074725" w14:textId="0C5A92E1" w:rsidR="0037299B" w:rsidRDefault="000A249F" w:rsidP="00DE0630">
            <w:pPr>
              <w:spacing w:before="0" w:after="0"/>
            </w:pPr>
            <w:r>
              <w:t xml:space="preserve">After conviction for a terrorism offence: </w:t>
            </w:r>
            <w:r w:rsidR="00846CB8">
              <w:t xml:space="preserve">making </w:t>
            </w:r>
            <w:r w:rsidR="002E3BA9">
              <w:t xml:space="preserve">a </w:t>
            </w:r>
            <w:r w:rsidR="00846CB8">
              <w:t xml:space="preserve">document </w:t>
            </w:r>
            <w:r w:rsidR="002E3BA9">
              <w:t xml:space="preserve">connected with assistance in a </w:t>
            </w:r>
            <w:r w:rsidR="00846CB8">
              <w:t>terrorist act (s 101.5(1) of Criminal Code)</w:t>
            </w:r>
          </w:p>
        </w:tc>
      </w:tr>
    </w:tbl>
    <w:p w14:paraId="5AEDBB60" w14:textId="77777777" w:rsidR="000F5C98" w:rsidRDefault="000F5C98">
      <w:pPr>
        <w:spacing w:before="0" w:after="0"/>
      </w:pPr>
    </w:p>
    <w:p w14:paraId="78E6E173" w14:textId="6FEC650E" w:rsidR="003C7479" w:rsidRDefault="009D2387">
      <w:pPr>
        <w:spacing w:before="0" w:after="0"/>
      </w:pPr>
      <w:r>
        <w:t xml:space="preserve">*  Court records </w:t>
      </w:r>
      <w:r w:rsidR="008950D1">
        <w:t>suggest</w:t>
      </w:r>
      <w:r>
        <w:t xml:space="preserve"> that this matter was resolved by consent</w:t>
      </w:r>
      <w:r w:rsidR="009A7F79">
        <w:t xml:space="preserve"> on 25 June 2020</w:t>
      </w:r>
      <w:r>
        <w:t xml:space="preserve">.  It does not appear that </w:t>
      </w:r>
      <w:r w:rsidR="00322294">
        <w:t>either a</w:t>
      </w:r>
      <w:r>
        <w:t xml:space="preserve"> judgment </w:t>
      </w:r>
      <w:r w:rsidR="00322294">
        <w:t>or the terms of a confirmed control order have been</w:t>
      </w:r>
      <w:r>
        <w:t xml:space="preserve"> published.</w:t>
      </w:r>
    </w:p>
    <w:p w14:paraId="555CB6FB" w14:textId="43D90D7A" w:rsidR="003C7479" w:rsidRDefault="003C7479">
      <w:pPr>
        <w:spacing w:before="0" w:after="0"/>
        <w:sectPr w:rsidR="003C7479" w:rsidSect="004F2CA3">
          <w:headerReference w:type="default" r:id="rId24"/>
          <w:headerReference w:type="first" r:id="rId25"/>
          <w:endnotePr>
            <w:numFmt w:val="decimal"/>
          </w:endnotePr>
          <w:pgSz w:w="16838" w:h="11906" w:orient="landscape" w:code="9"/>
          <w:pgMar w:top="1418" w:right="2438" w:bottom="1418" w:left="1134" w:header="907" w:footer="284" w:gutter="0"/>
          <w:cols w:space="708"/>
          <w:titlePg/>
          <w:docGrid w:linePitch="360"/>
        </w:sectPr>
      </w:pPr>
    </w:p>
    <w:p w14:paraId="1762FB9E" w14:textId="43EFD4D0" w:rsidR="00551899" w:rsidRPr="005A1BFD" w:rsidRDefault="005A1BFD" w:rsidP="000705F2">
      <w:pPr>
        <w:pStyle w:val="ListNumber"/>
        <w:numPr>
          <w:ilvl w:val="0"/>
          <w:numId w:val="0"/>
        </w:numPr>
        <w:rPr>
          <w:b/>
          <w:bCs/>
          <w:sz w:val="28"/>
          <w:szCs w:val="28"/>
        </w:rPr>
      </w:pPr>
      <w:r w:rsidRPr="005A1BFD">
        <w:rPr>
          <w:b/>
          <w:bCs/>
          <w:sz w:val="28"/>
          <w:szCs w:val="28"/>
        </w:rPr>
        <w:lastRenderedPageBreak/>
        <w:t>Endnotes</w:t>
      </w:r>
    </w:p>
    <w:sectPr w:rsidR="00551899" w:rsidRPr="005A1BFD" w:rsidSect="004F2CA3">
      <w:headerReference w:type="first" r:id="rId26"/>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B7EEB" w14:textId="77777777" w:rsidR="00A40482" w:rsidRDefault="00A40482" w:rsidP="00F14C6D">
      <w:r>
        <w:separator/>
      </w:r>
    </w:p>
  </w:endnote>
  <w:endnote w:type="continuationSeparator" w:id="0">
    <w:p w14:paraId="6B44245C" w14:textId="77777777" w:rsidR="00A40482" w:rsidRDefault="00A40482" w:rsidP="00F14C6D">
      <w:r>
        <w:continuationSeparator/>
      </w:r>
    </w:p>
  </w:endnote>
  <w:endnote w:type="continuationNotice" w:id="1">
    <w:p w14:paraId="4EA7ED71" w14:textId="77777777" w:rsidR="00A40482" w:rsidRDefault="00A40482">
      <w:pPr>
        <w:spacing w:before="0" w:after="0"/>
      </w:pPr>
    </w:p>
  </w:endnote>
  <w:endnote w:id="2">
    <w:p w14:paraId="010C62BD" w14:textId="77777777" w:rsidR="001A1790" w:rsidRPr="00C2173E" w:rsidRDefault="001A1790" w:rsidP="0025233B">
      <w:pPr>
        <w:pStyle w:val="EndnoteText"/>
        <w:ind w:left="270" w:hanging="288"/>
        <w:rPr>
          <w:lang w:val="en-US"/>
        </w:rPr>
      </w:pPr>
      <w:r>
        <w:rPr>
          <w:rStyle w:val="EndnoteReference"/>
        </w:rPr>
        <w:endnoteRef/>
      </w:r>
      <w:r>
        <w:t xml:space="preserve"> </w:t>
      </w:r>
      <w:r>
        <w:rPr>
          <w:lang w:val="en-US"/>
        </w:rPr>
        <w:tab/>
        <w:t xml:space="preserve">Human Rights and Equal Opportunity Commission, </w:t>
      </w:r>
      <w:r w:rsidRPr="00720CF6">
        <w:rPr>
          <w:i/>
          <w:iCs/>
          <w:lang w:val="en-US"/>
        </w:rPr>
        <w:t xml:space="preserve">submission to the </w:t>
      </w:r>
      <w:r w:rsidRPr="00720CF6">
        <w:rPr>
          <w:i/>
          <w:iCs/>
        </w:rPr>
        <w:t>Senate Legal and Constitutional Legislation Committee inquiry into the Anti-Terrorism Bill (No 2) 2005</w:t>
      </w:r>
      <w:r>
        <w:t xml:space="preserve">, 11 November 2005, at </w:t>
      </w:r>
      <w:hyperlink r:id="rId1" w:history="1">
        <w:r w:rsidRPr="004F2057">
          <w:rPr>
            <w:rStyle w:val="Hyperlink"/>
          </w:rPr>
          <w:t>https://www.aph.gov.au/~/media/wopapub/senate/committee/legcon_ctte/completed_inquiries/2004_07/terrorism/submissions/sub158_pdf.ashx</w:t>
        </w:r>
      </w:hyperlink>
      <w:r>
        <w:t xml:space="preserve">. </w:t>
      </w:r>
    </w:p>
  </w:endnote>
  <w:endnote w:id="3">
    <w:p w14:paraId="5334A0BC" w14:textId="77777777" w:rsidR="001A1790" w:rsidRPr="003F7967"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62385E">
        <w:rPr>
          <w:i/>
          <w:iCs/>
          <w:lang w:val="en-US"/>
        </w:rPr>
        <w:t>COAG Review of Counter</w:t>
      </w:r>
      <w:r>
        <w:rPr>
          <w:i/>
          <w:iCs/>
          <w:lang w:val="en-US"/>
        </w:rPr>
        <w:t>-</w:t>
      </w:r>
      <w:r w:rsidRPr="0062385E">
        <w:rPr>
          <w:i/>
          <w:iCs/>
          <w:lang w:val="en-US"/>
        </w:rPr>
        <w:t>Terrorism Legislation</w:t>
      </w:r>
      <w:r>
        <w:rPr>
          <w:lang w:val="en-US"/>
        </w:rPr>
        <w:t xml:space="preserve">, 28 September 2012, at </w:t>
      </w:r>
      <w:hyperlink r:id="rId2" w:history="1">
        <w:r>
          <w:rPr>
            <w:rStyle w:val="Hyperlink"/>
          </w:rPr>
          <w:t>https://www.ag.gov.au/sites/default/files/2020-05/Australian%20Human%20Rights%20Commission_0.pdf</w:t>
        </w:r>
      </w:hyperlink>
      <w:r>
        <w:t>.</w:t>
      </w:r>
    </w:p>
  </w:endnote>
  <w:endnote w:id="4">
    <w:p w14:paraId="166D2D26" w14:textId="4870D698" w:rsidR="001A1790" w:rsidRPr="0076278F"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974954">
        <w:rPr>
          <w:i/>
          <w:iCs/>
          <w:lang w:val="en-US"/>
        </w:rPr>
        <w:t>Criminal Code Amendment (High Risk Terrorist Offenders) Bill 2016 (Cth)</w:t>
      </w:r>
      <w:r>
        <w:rPr>
          <w:lang w:val="en-US"/>
        </w:rPr>
        <w:t xml:space="preserve">, submission to the PJCIS, </w:t>
      </w:r>
      <w:r w:rsidRPr="0006741A">
        <w:t>12 October 2016</w:t>
      </w:r>
      <w:r>
        <w:t xml:space="preserve">, at </w:t>
      </w:r>
      <w:hyperlink r:id="rId3" w:history="1">
        <w:r w:rsidRPr="003E5E7A">
          <w:rPr>
            <w:rStyle w:val="Hyperlink"/>
          </w:rPr>
          <w:t>https://www.aph.gov.au/DocumentStore.ashx?id=32397a66-a179-4a07-a5fb-ab60b776676f&amp;subId=414693</w:t>
        </w:r>
      </w:hyperlink>
      <w:r>
        <w:t>.</w:t>
      </w:r>
    </w:p>
  </w:endnote>
  <w:endnote w:id="5">
    <w:p w14:paraId="25072F5B" w14:textId="77777777" w:rsidR="001A1790" w:rsidRPr="00C62A15" w:rsidRDefault="001A1790" w:rsidP="0025233B">
      <w:pPr>
        <w:pStyle w:val="EndnoteText"/>
        <w:ind w:left="270" w:hanging="288"/>
        <w:rPr>
          <w:lang w:val="en-US"/>
        </w:rPr>
      </w:pPr>
      <w:r>
        <w:rPr>
          <w:rStyle w:val="EndnoteReference"/>
        </w:rPr>
        <w:endnoteRef/>
      </w:r>
      <w:r>
        <w:t xml:space="preserve"> </w:t>
      </w:r>
      <w:r>
        <w:tab/>
      </w:r>
      <w:r>
        <w:rPr>
          <w:lang w:val="en-US"/>
        </w:rPr>
        <w:t xml:space="preserve">Australian Human Rights Commission, </w:t>
      </w:r>
      <w:r w:rsidRPr="00AC5A9F">
        <w:rPr>
          <w:i/>
          <w:iCs/>
          <w:lang w:val="en-US"/>
        </w:rPr>
        <w:t>Independent National Security Legislation Monitor (INSLM) Statutory Deadline Review</w:t>
      </w:r>
      <w:r>
        <w:rPr>
          <w:lang w:val="en-US"/>
        </w:rPr>
        <w:t xml:space="preserve">, submission to the Acting Independent National Security Legislation Monitor, 15 May 2017, at </w:t>
      </w:r>
      <w:hyperlink r:id="rId4" w:history="1">
        <w:r w:rsidRPr="00CE762E">
          <w:rPr>
            <w:rStyle w:val="Hyperlink"/>
            <w:lang w:val="en-US"/>
          </w:rPr>
          <w:t>https://www.inslm.gov.au/sites/default/files/11-australian-human-rights-commission.pdf</w:t>
        </w:r>
      </w:hyperlink>
      <w:r>
        <w:rPr>
          <w:lang w:val="en-US"/>
        </w:rPr>
        <w:t>.</w:t>
      </w:r>
    </w:p>
  </w:endnote>
  <w:endnote w:id="6">
    <w:p w14:paraId="1FB079F2" w14:textId="77777777" w:rsidR="001A1790" w:rsidRPr="001F7B25"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DC0252">
        <w:rPr>
          <w:i/>
          <w:iCs/>
        </w:rPr>
        <w:t xml:space="preserve">Review of </w:t>
      </w:r>
      <w:r>
        <w:rPr>
          <w:i/>
          <w:iCs/>
        </w:rPr>
        <w:t xml:space="preserve">certain police powers, </w:t>
      </w:r>
      <w:r w:rsidRPr="00DC0252">
        <w:rPr>
          <w:i/>
          <w:iCs/>
        </w:rPr>
        <w:t>control order</w:t>
      </w:r>
      <w:r>
        <w:rPr>
          <w:i/>
          <w:iCs/>
        </w:rPr>
        <w:t xml:space="preserve">s and </w:t>
      </w:r>
      <w:r w:rsidRPr="00DC0252">
        <w:rPr>
          <w:i/>
          <w:iCs/>
        </w:rPr>
        <w:t xml:space="preserve"> preventative detention order</w:t>
      </w:r>
      <w:r>
        <w:rPr>
          <w:i/>
          <w:iCs/>
        </w:rPr>
        <w:t>s</w:t>
      </w:r>
      <w:r>
        <w:t xml:space="preserve">, supplementary submission to the PJCIS, 3 November 2017, at </w:t>
      </w:r>
      <w:hyperlink r:id="rId5" w:history="1">
        <w:r w:rsidRPr="004F2057">
          <w:rPr>
            <w:rStyle w:val="Hyperlink"/>
          </w:rPr>
          <w:t>https://www.aph.gov.au/DocumentStore.ashx?id=766df2d3-b918-4b17-aadf-28ccca57bca5&amp;subId=516302</w:t>
        </w:r>
      </w:hyperlink>
      <w:r>
        <w:t xml:space="preserve">. </w:t>
      </w:r>
    </w:p>
  </w:endnote>
  <w:endnote w:id="7">
    <w:p w14:paraId="7A4222E8" w14:textId="77777777" w:rsidR="001A1790" w:rsidRDefault="001A1790" w:rsidP="00105194">
      <w:pPr>
        <w:pStyle w:val="EndnoteText"/>
        <w:ind w:left="284" w:hanging="288"/>
      </w:pPr>
      <w:r>
        <w:rPr>
          <w:rStyle w:val="EndnoteReference"/>
        </w:rPr>
        <w:endnoteRef/>
      </w:r>
      <w:r>
        <w:t xml:space="preserve"> </w:t>
      </w:r>
      <w:r>
        <w:tab/>
        <w:t>For example, the right to life (article 6 of the ICCPR) and the rights to bodily integrity (an aspect of article 7 of the ICCPR) and security of person (article 9(1) of the ICCPR).</w:t>
      </w:r>
    </w:p>
  </w:endnote>
  <w:endnote w:id="8">
    <w:p w14:paraId="56421DBC" w14:textId="77777777" w:rsidR="001A1790" w:rsidRDefault="001A1790" w:rsidP="00105194">
      <w:pPr>
        <w:pStyle w:val="EndnoteText"/>
        <w:ind w:left="284" w:hanging="288"/>
      </w:pPr>
      <w:r>
        <w:rPr>
          <w:rStyle w:val="EndnoteReference"/>
        </w:rPr>
        <w:endnoteRef/>
      </w:r>
      <w:r>
        <w:t xml:space="preserve"> </w:t>
      </w:r>
      <w:r>
        <w:tab/>
        <w:t xml:space="preserve">United Nations Security Council, </w:t>
      </w:r>
      <w:r w:rsidRPr="009E5304">
        <w:rPr>
          <w:i/>
        </w:rPr>
        <w:t>Resolution 1373</w:t>
      </w:r>
      <w:r>
        <w:t xml:space="preserve"> (2001), UN Doc S/RES/1373 (2001), paras 2(b) and (e).</w:t>
      </w:r>
    </w:p>
  </w:endnote>
  <w:endnote w:id="9">
    <w:p w14:paraId="417B8E16" w14:textId="18B21A10" w:rsidR="001A1790" w:rsidRDefault="001A1790" w:rsidP="00105194">
      <w:pPr>
        <w:pStyle w:val="EndnoteText"/>
        <w:ind w:left="284" w:hanging="288"/>
      </w:pPr>
      <w:r>
        <w:rPr>
          <w:rStyle w:val="EndnoteReference"/>
        </w:rPr>
        <w:endnoteRef/>
      </w:r>
      <w:r>
        <w:t xml:space="preserve"> </w:t>
      </w:r>
      <w:r>
        <w:tab/>
        <w:t xml:space="preserve">Australian Human Rights Commission, </w:t>
      </w:r>
      <w:r w:rsidRPr="00C71456">
        <w:rPr>
          <w:i/>
        </w:rPr>
        <w:t>A Human Rights Guide to Australia’s Counter-Terrorism Laws</w:t>
      </w:r>
      <w:r>
        <w:t xml:space="preserve"> (2008). At </w:t>
      </w:r>
      <w:hyperlink r:id="rId6" w:anchor="fnB8" w:history="1">
        <w:r w:rsidRPr="00763007">
          <w:rPr>
            <w:rStyle w:val="Hyperlink"/>
          </w:rPr>
          <w:t>http://www.humanrights.gov.au/human-rights-guide-australias-counter-terrorism-laws#fnB8</w:t>
        </w:r>
      </w:hyperlink>
      <w:r>
        <w:t>.</w:t>
      </w:r>
    </w:p>
  </w:endnote>
  <w:endnote w:id="10">
    <w:p w14:paraId="3C06C533" w14:textId="77777777" w:rsidR="001A1790" w:rsidRDefault="001A1790" w:rsidP="00105194">
      <w:pPr>
        <w:pStyle w:val="EndnoteText"/>
        <w:ind w:left="284" w:hanging="288"/>
      </w:pPr>
      <w:r>
        <w:rPr>
          <w:rStyle w:val="EndnoteReference"/>
        </w:rPr>
        <w:endnoteRef/>
      </w:r>
      <w:r>
        <w:t xml:space="preserve"> </w:t>
      </w:r>
      <w:r>
        <w:tab/>
        <w:t xml:space="preserve">United Nations General Assembly, </w:t>
      </w:r>
      <w:r w:rsidRPr="00C403D6">
        <w:rPr>
          <w:i/>
        </w:rPr>
        <w:t>Resolution 60/288 The United Nations Global Counter-Terrorism Strategy</w:t>
      </w:r>
      <w:r>
        <w:t xml:space="preserve">, UN Doc </w:t>
      </w:r>
      <w:r w:rsidRPr="00C403D6">
        <w:t>A/RES/60/288</w:t>
      </w:r>
      <w:r>
        <w:t xml:space="preserve"> (2006), p 9.</w:t>
      </w:r>
    </w:p>
  </w:endnote>
  <w:endnote w:id="11">
    <w:p w14:paraId="2E0FF63D" w14:textId="77777777" w:rsidR="001A1790" w:rsidRPr="004411E2"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[5.5].  </w:t>
      </w:r>
    </w:p>
  </w:endnote>
  <w:endnote w:id="12">
    <w:p w14:paraId="205C99D0" w14:textId="03DABF10" w:rsidR="001A1790" w:rsidRPr="00DB184C" w:rsidRDefault="001A1790" w:rsidP="0025233B">
      <w:pPr>
        <w:pStyle w:val="EndnoteText"/>
        <w:ind w:left="270" w:hanging="288"/>
        <w:rPr>
          <w:lang w:val="en-US"/>
        </w:rPr>
      </w:pPr>
      <w:r>
        <w:rPr>
          <w:rStyle w:val="EndnoteReference"/>
        </w:rPr>
        <w:endnoteRef/>
      </w:r>
      <w:r>
        <w:t xml:space="preserve"> </w:t>
      </w:r>
      <w:r>
        <w:rPr>
          <w:lang w:val="en-US"/>
        </w:rPr>
        <w:tab/>
      </w:r>
      <w:r w:rsidRPr="008631DD">
        <w:rPr>
          <w:i/>
          <w:iCs/>
        </w:rPr>
        <w:t>International Covenant on Civil and Political Rights</w:t>
      </w:r>
      <w:r>
        <w:t xml:space="preserve">, opened for signature 16 December 1966, 999 UNTS 171 (entry into force generally 23 March </w:t>
      </w:r>
      <w:r w:rsidRPr="00DB184C">
        <w:t xml:space="preserve">1976, </w:t>
      </w:r>
      <w:r w:rsidRPr="00DB184C">
        <w:rPr>
          <w:lang w:val="en-US"/>
        </w:rPr>
        <w:t>entry into force for Australia (except Article 41) 13 November 1980, a</w:t>
      </w:r>
      <w:r w:rsidRPr="00413CC9">
        <w:rPr>
          <w:lang w:val="en-US"/>
        </w:rPr>
        <w:t>rticle 41 came into force for Australia on 28 January 1993</w:t>
      </w:r>
      <w:r w:rsidRPr="00DB184C">
        <w:t>).</w:t>
      </w:r>
    </w:p>
  </w:endnote>
  <w:endnote w:id="13">
    <w:p w14:paraId="0868760E" w14:textId="1FC56989" w:rsidR="001A1790" w:rsidRPr="00BF2061" w:rsidRDefault="001A1790" w:rsidP="0025233B">
      <w:pPr>
        <w:pStyle w:val="EndnoteText"/>
        <w:ind w:left="270" w:hanging="288"/>
        <w:rPr>
          <w:lang w:val="en-US"/>
        </w:rPr>
      </w:pPr>
      <w:r>
        <w:rPr>
          <w:rStyle w:val="EndnoteReference"/>
        </w:rPr>
        <w:endnoteRef/>
      </w:r>
      <w:r>
        <w:t xml:space="preserve"> </w:t>
      </w:r>
      <w:r>
        <w:tab/>
        <w:t>The Hon</w:t>
      </w:r>
      <w:r>
        <w:rPr>
          <w:lang w:val="en-US"/>
        </w:rPr>
        <w:t xml:space="preserve"> John von Doussa QC, </w:t>
      </w:r>
      <w:r w:rsidRPr="00F41A10">
        <w:rPr>
          <w:i/>
          <w:iCs/>
          <w:lang w:val="en-US"/>
        </w:rPr>
        <w:t>Security and Human Rights in Australia: Australia’s counter-terrorism response</w:t>
      </w:r>
      <w:r w:rsidRPr="00F41A10">
        <w:rPr>
          <w:lang w:val="en-US"/>
        </w:rPr>
        <w:t>, Beijing</w:t>
      </w:r>
      <w:r>
        <w:rPr>
          <w:lang w:val="en-US"/>
        </w:rPr>
        <w:t xml:space="preserve"> </w:t>
      </w:r>
      <w:r w:rsidRPr="00F41A10">
        <w:rPr>
          <w:lang w:val="en-US"/>
        </w:rPr>
        <w:t>Forum on Human, 21</w:t>
      </w:r>
      <w:r>
        <w:rPr>
          <w:lang w:val="en-US"/>
        </w:rPr>
        <w:t>–</w:t>
      </w:r>
      <w:r w:rsidRPr="00F41A10">
        <w:rPr>
          <w:lang w:val="en-US"/>
        </w:rPr>
        <w:t>23 April 2008</w:t>
      </w:r>
      <w:r>
        <w:rPr>
          <w:lang w:val="en-US"/>
        </w:rPr>
        <w:t xml:space="preserve">, quoting </w:t>
      </w:r>
      <w:r w:rsidRPr="00C67406">
        <w:t>Professor David Feldman,</w:t>
      </w:r>
      <w:r>
        <w:t xml:space="preserve"> </w:t>
      </w:r>
      <w:r w:rsidRPr="00C67406">
        <w:rPr>
          <w:i/>
          <w:iCs/>
        </w:rPr>
        <w:t>The roles of Parliament in Protecting Human Rights: A view from the UK</w:t>
      </w:r>
      <w:r w:rsidRPr="00C67406">
        <w:t>, address at the Human Rights and Legislatures Conference, Melbourne University (20</w:t>
      </w:r>
      <w:r>
        <w:rPr>
          <w:lang w:val="en-US"/>
        </w:rPr>
        <w:t>–</w:t>
      </w:r>
      <w:r w:rsidRPr="00C67406">
        <w:t>22 July 2006)</w:t>
      </w:r>
      <w:r>
        <w:t>.</w:t>
      </w:r>
    </w:p>
  </w:endnote>
  <w:endnote w:id="14">
    <w:p w14:paraId="3FAA2A6B" w14:textId="77777777" w:rsidR="001A1790" w:rsidRPr="000D27FF" w:rsidRDefault="001A1790" w:rsidP="0025233B">
      <w:pPr>
        <w:pStyle w:val="EndnoteText"/>
        <w:ind w:left="270" w:hanging="288"/>
        <w:rPr>
          <w:lang w:val="en-US"/>
        </w:rPr>
      </w:pPr>
      <w:r>
        <w:rPr>
          <w:rStyle w:val="EndnoteReference"/>
        </w:rPr>
        <w:endnoteRef/>
      </w:r>
      <w:r>
        <w:t xml:space="preserve"> </w:t>
      </w:r>
      <w:r>
        <w:rPr>
          <w:lang w:val="en-US"/>
        </w:rPr>
        <w:tab/>
      </w:r>
      <w:r w:rsidRPr="00DB13C1">
        <w:rPr>
          <w:i/>
          <w:iCs/>
          <w:lang w:val="en-US"/>
        </w:rPr>
        <w:t>Thomas v Mowbray</w:t>
      </w:r>
      <w:r>
        <w:rPr>
          <w:lang w:val="en-US"/>
        </w:rPr>
        <w:t xml:space="preserve"> (2007) </w:t>
      </w:r>
      <w:r w:rsidRPr="00DB13C1">
        <w:t xml:space="preserve">233 CLR 307 </w:t>
      </w:r>
      <w:r>
        <w:t>(</w:t>
      </w:r>
      <w:r w:rsidRPr="00DB13C1">
        <w:t>Gummow and Crennan JJ</w:t>
      </w:r>
      <w:r>
        <w:t>)</w:t>
      </w:r>
      <w:r w:rsidRPr="00DB13C1">
        <w:t xml:space="preserve"> at [61]</w:t>
      </w:r>
      <w:r>
        <w:t>.</w:t>
      </w:r>
    </w:p>
  </w:endnote>
  <w:endnote w:id="15">
    <w:p w14:paraId="3501EFA0" w14:textId="08927F9B" w:rsidR="001A1790" w:rsidRPr="007831DE" w:rsidRDefault="001A1790" w:rsidP="00604DD7">
      <w:pPr>
        <w:pStyle w:val="EndnoteText"/>
        <w:ind w:left="270" w:hanging="288"/>
        <w:rPr>
          <w:lang w:val="en-US"/>
        </w:rPr>
      </w:pPr>
      <w:r>
        <w:rPr>
          <w:rStyle w:val="EndnoteReference"/>
        </w:rPr>
        <w:endnoteRef/>
      </w:r>
      <w:r>
        <w:t xml:space="preserve"> </w:t>
      </w:r>
      <w:r>
        <w:rPr>
          <w:lang w:val="en-US"/>
        </w:rP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xml:space="preserve">, submission to the PJCIS, 4 September 2020, p 3, at </w:t>
      </w:r>
      <w:hyperlink r:id="rId7" w:history="1">
        <w:r w:rsidRPr="000647E3">
          <w:rPr>
            <w:rStyle w:val="Hyperlink"/>
            <w:lang w:val="en-US"/>
          </w:rPr>
          <w:t>https://www.aph.gov.au/DocumentStore.ashx?id=a7b77fd7-2a24-4d94-8177-59d38a55d085&amp;subId=691389</w:t>
        </w:r>
      </w:hyperlink>
      <w:r>
        <w:rPr>
          <w:lang w:val="en-US"/>
        </w:rPr>
        <w:t xml:space="preserve">.  See also </w:t>
      </w:r>
      <w:r>
        <w:rPr>
          <w:lang w:val="en-US"/>
        </w:rPr>
        <w:t xml:space="preserve">Independent National Security Legislation Monitor, </w:t>
      </w:r>
      <w:r w:rsidRPr="00384D68">
        <w:rPr>
          <w:i/>
          <w:iCs/>
          <w:lang w:val="en-US"/>
        </w:rPr>
        <w:t>Annual Report 2018</w:t>
      </w:r>
      <w:r>
        <w:rPr>
          <w:lang w:val="en-US"/>
        </w:rPr>
        <w:t>–</w:t>
      </w:r>
      <w:r w:rsidRPr="00384D68">
        <w:rPr>
          <w:i/>
          <w:iCs/>
          <w:lang w:val="en-US"/>
        </w:rPr>
        <w:t>19</w:t>
      </w:r>
      <w:r>
        <w:rPr>
          <w:lang w:val="en-US"/>
        </w:rPr>
        <w:t>, pp 5–7.</w:t>
      </w:r>
    </w:p>
  </w:endnote>
  <w:endnote w:id="16">
    <w:p w14:paraId="2BCFF0CB" w14:textId="45A2EDDD" w:rsidR="001A1790" w:rsidRPr="00AD19DA"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 20</w:t>
      </w:r>
      <w:r>
        <w:rPr>
          <w:i/>
          <w:iCs/>
          <w:lang w:val="en-US"/>
        </w:rPr>
        <w:t>14</w:t>
      </w:r>
      <w:r>
        <w:rPr>
          <w:lang w:val="en-US"/>
        </w:rPr>
        <w:t>–</w:t>
      </w:r>
      <w:r>
        <w:rPr>
          <w:i/>
          <w:iCs/>
          <w:lang w:val="en-US"/>
        </w:rPr>
        <w:t>15</w:t>
      </w:r>
      <w:r>
        <w:rPr>
          <w:lang w:val="en-US"/>
        </w:rPr>
        <w:t>, pp 2–4.</w:t>
      </w:r>
    </w:p>
  </w:endnote>
  <w:endnote w:id="17">
    <w:p w14:paraId="54B9AF1C" w14:textId="04971C8C" w:rsidR="001A1790" w:rsidRPr="005F2797" w:rsidRDefault="001A1790" w:rsidP="0025233B">
      <w:pPr>
        <w:pStyle w:val="EndnoteText"/>
        <w:ind w:left="270" w:hanging="288"/>
        <w:rPr>
          <w:b/>
          <w:bCs/>
          <w:lang w:val="en-US"/>
        </w:rPr>
      </w:pPr>
      <w:r>
        <w:rPr>
          <w:rStyle w:val="EndnoteReference"/>
        </w:rPr>
        <w:endnoteRef/>
      </w:r>
      <w:r>
        <w:t xml:space="preserve"> </w:t>
      </w:r>
      <w:r>
        <w:rPr>
          <w:lang w:val="en-US"/>
        </w:rPr>
        <w:tab/>
        <w:t xml:space="preserve">Dylan Welch, </w:t>
      </w:r>
      <w:r w:rsidRPr="005F2797">
        <w:rPr>
          <w:lang w:val="en-US"/>
        </w:rPr>
        <w:t xml:space="preserve">‘Islamic State: Militant group calls on supporters to kill Australians 'in any possible way’ </w:t>
      </w:r>
      <w:r w:rsidRPr="005F2797">
        <w:rPr>
          <w:i/>
          <w:iCs/>
          <w:lang w:val="en-US"/>
        </w:rPr>
        <w:t>ABC News</w:t>
      </w:r>
      <w:r w:rsidRPr="005F2797">
        <w:rPr>
          <w:lang w:val="en-US"/>
        </w:rPr>
        <w:t xml:space="preserve">, </w:t>
      </w:r>
      <w:r>
        <w:rPr>
          <w:lang w:val="en-US"/>
        </w:rPr>
        <w:t xml:space="preserve">22 September 2014, at </w:t>
      </w:r>
      <w:hyperlink r:id="rId8" w:history="1">
        <w:r w:rsidRPr="00DE71C2">
          <w:rPr>
            <w:rStyle w:val="Hyperlink"/>
            <w:lang w:val="en-US"/>
          </w:rPr>
          <w:t>https://www.abc.net.au/news/2014-09-22/islamic-state-calls-on-supporters-to-kill-australians/5761502</w:t>
        </w:r>
      </w:hyperlink>
      <w:r>
        <w:rPr>
          <w:lang w:val="en-US"/>
        </w:rPr>
        <w:t xml:space="preserve">. </w:t>
      </w:r>
    </w:p>
  </w:endnote>
  <w:endnote w:id="18">
    <w:p w14:paraId="6E87C5EC" w14:textId="04E2B88F" w:rsidR="001A1790" w:rsidRPr="00D427CF" w:rsidRDefault="001A1790" w:rsidP="0025233B">
      <w:pPr>
        <w:pStyle w:val="EndnoteText"/>
        <w:ind w:left="270" w:hanging="288"/>
        <w:rPr>
          <w:lang w:val="en-US"/>
        </w:rPr>
      </w:pPr>
      <w:r>
        <w:rPr>
          <w:rStyle w:val="EndnoteReference"/>
        </w:rPr>
        <w:endnoteRef/>
      </w:r>
      <w:r>
        <w:t xml:space="preserve"> </w:t>
      </w:r>
      <w:r>
        <w:rPr>
          <w:lang w:val="en-US"/>
        </w:rPr>
        <w:tab/>
      </w:r>
      <w:r>
        <w:rPr>
          <w:lang w:val="en-US"/>
        </w:rPr>
        <w:t xml:space="preserve">Australian Federal Police, </w:t>
      </w:r>
      <w:r w:rsidRPr="0060192E">
        <w:rPr>
          <w:i/>
          <w:iCs/>
        </w:rPr>
        <w:t>Inquiry into AFP Powers (Division 3A Part IAA of the Crimes Act 1914 and Divisions 104 and 105 of the Criminal Code)</w:t>
      </w:r>
      <w:r>
        <w:t xml:space="preserve">, submission to the PJCIS, August 2020, at [6].  </w:t>
      </w:r>
      <w:r>
        <w:rPr>
          <w:lang w:val="en-US"/>
        </w:rPr>
        <w:t xml:space="preserve">See also </w:t>
      </w:r>
      <w:r>
        <w:rPr>
          <w:lang w:val="en-US"/>
        </w:rPr>
        <w:t xml:space="preserve">Independent National Security Legislation Monitor, </w:t>
      </w:r>
      <w:r w:rsidRPr="00384D68">
        <w:rPr>
          <w:i/>
          <w:iCs/>
          <w:lang w:val="en-US"/>
        </w:rPr>
        <w:t>Annual Report 2018</w:t>
      </w:r>
      <w:r>
        <w:rPr>
          <w:lang w:val="en-US"/>
        </w:rPr>
        <w:t>–</w:t>
      </w:r>
      <w:r w:rsidRPr="00384D68">
        <w:rPr>
          <w:i/>
          <w:iCs/>
          <w:lang w:val="en-US"/>
        </w:rPr>
        <w:t>19</w:t>
      </w:r>
      <w:r>
        <w:rPr>
          <w:lang w:val="en-US"/>
        </w:rPr>
        <w:t>, p 6.</w:t>
      </w:r>
    </w:p>
  </w:endnote>
  <w:endnote w:id="19">
    <w:p w14:paraId="2CB3A245" w14:textId="329016EC" w:rsidR="001A1790" w:rsidRPr="001B04E0" w:rsidRDefault="001A1790" w:rsidP="0025233B">
      <w:pPr>
        <w:pStyle w:val="EndnoteText"/>
        <w:ind w:left="270" w:hanging="288"/>
        <w:rPr>
          <w:lang w:val="en-US"/>
        </w:rPr>
      </w:pPr>
      <w:r>
        <w:rPr>
          <w:rStyle w:val="EndnoteReference"/>
        </w:rPr>
        <w:endnoteRef/>
      </w:r>
      <w:r>
        <w:t xml:space="preserve"> </w:t>
      </w:r>
      <w:r>
        <w:rPr>
          <w:lang w:val="en-US"/>
        </w:rPr>
        <w:tab/>
        <w:t xml:space="preserve">See the list of prosecutions for terrorism offences in Independent National Security Legislation Monitor, </w:t>
      </w:r>
      <w:r w:rsidRPr="00384D68">
        <w:rPr>
          <w:i/>
          <w:iCs/>
          <w:lang w:val="en-US"/>
        </w:rPr>
        <w:t>Annual Report 2018</w:t>
      </w:r>
      <w:r>
        <w:rPr>
          <w:lang w:val="en-US"/>
        </w:rPr>
        <w:t>–</w:t>
      </w:r>
      <w:r w:rsidRPr="00384D68">
        <w:rPr>
          <w:i/>
          <w:iCs/>
          <w:lang w:val="en-US"/>
        </w:rPr>
        <w:t>19</w:t>
      </w:r>
      <w:r>
        <w:rPr>
          <w:lang w:val="en-US"/>
        </w:rPr>
        <w:t>, Appendix I.</w:t>
      </w:r>
    </w:p>
  </w:endnote>
  <w:endnote w:id="20">
    <w:p w14:paraId="620E3435" w14:textId="66BD646A" w:rsidR="001A1790" w:rsidRPr="008801DC" w:rsidRDefault="001A1790" w:rsidP="0025233B">
      <w:pPr>
        <w:pStyle w:val="EndnoteText"/>
        <w:ind w:left="270" w:hanging="288"/>
        <w:rPr>
          <w:lang w:val="en-US"/>
        </w:rPr>
      </w:pPr>
      <w:r>
        <w:rPr>
          <w:rStyle w:val="EndnoteReference"/>
        </w:rPr>
        <w:endnoteRef/>
      </w:r>
      <w:r>
        <w:t xml:space="preserve"> </w:t>
      </w:r>
      <w:r>
        <w:rPr>
          <w:lang w:val="en-US"/>
        </w:rPr>
        <w:tab/>
      </w:r>
      <w:r w:rsidRPr="008801DC">
        <w:rPr>
          <w:i/>
          <w:iCs/>
          <w:lang w:val="en-US"/>
        </w:rPr>
        <w:t>The Queen v Abdirahman-Khalif</w:t>
      </w:r>
      <w:r>
        <w:rPr>
          <w:lang w:val="en-US"/>
        </w:rPr>
        <w:t>, High Court proceeding A5/2020.</w:t>
      </w:r>
      <w:r>
        <w:rPr>
          <w:lang w:val="en-US"/>
        </w:rPr>
        <w:t xml:space="preserve">  As at the time of writing this submission, judgment was reserved in this matter.</w:t>
      </w:r>
    </w:p>
  </w:endnote>
  <w:endnote w:id="21">
    <w:p w14:paraId="379334D3" w14:textId="2BF3429C" w:rsidR="001A1790" w:rsidRPr="0017643F" w:rsidRDefault="001A1790" w:rsidP="0025233B">
      <w:pPr>
        <w:pStyle w:val="EndnoteText"/>
        <w:ind w:left="270" w:hanging="288"/>
        <w:rPr>
          <w:lang w:val="en-US"/>
        </w:rPr>
      </w:pPr>
      <w:r>
        <w:rPr>
          <w:rStyle w:val="EndnoteReference"/>
        </w:rPr>
        <w:endnoteRef/>
      </w:r>
      <w:r>
        <w:t xml:space="preserve"> </w:t>
      </w:r>
      <w:r>
        <w:rPr>
          <w:lang w:val="en-US"/>
        </w:rPr>
        <w:tab/>
      </w:r>
      <w:r w:rsidRPr="0017643F">
        <w:rPr>
          <w:i/>
          <w:iCs/>
          <w:lang w:val="en-US"/>
        </w:rPr>
        <w:t>Crimes Act 1914</w:t>
      </w:r>
      <w:r>
        <w:rPr>
          <w:lang w:val="en-US"/>
        </w:rPr>
        <w:t xml:space="preserve"> (Cth), s 3WA.</w:t>
      </w:r>
    </w:p>
  </w:endnote>
  <w:endnote w:id="22">
    <w:p w14:paraId="26D1274F" w14:textId="313EA916" w:rsidR="001A1790" w:rsidRPr="0017643F" w:rsidRDefault="001A1790" w:rsidP="0025233B">
      <w:pPr>
        <w:pStyle w:val="EndnoteText"/>
        <w:ind w:left="270" w:hanging="288"/>
        <w:rPr>
          <w:lang w:val="en-US"/>
        </w:rPr>
      </w:pPr>
      <w:r>
        <w:rPr>
          <w:rStyle w:val="EndnoteReference"/>
        </w:rPr>
        <w:endnoteRef/>
      </w:r>
      <w:r>
        <w:t xml:space="preserve"> </w:t>
      </w:r>
      <w:r>
        <w:rPr>
          <w:lang w:val="en-US"/>
        </w:rPr>
        <w:tab/>
      </w:r>
      <w:r w:rsidRPr="0017643F">
        <w:rPr>
          <w:i/>
          <w:iCs/>
          <w:lang w:val="en-US"/>
        </w:rPr>
        <w:t>Crimes Act 1914</w:t>
      </w:r>
      <w:r>
        <w:rPr>
          <w:lang w:val="en-US"/>
        </w:rPr>
        <w:t xml:space="preserve"> (Cth), s 3W.</w:t>
      </w:r>
    </w:p>
  </w:endnote>
  <w:endnote w:id="23">
    <w:p w14:paraId="62C1C17E" w14:textId="1FE022CF" w:rsidR="001A1790" w:rsidRDefault="001A1790" w:rsidP="0014651B">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submission to the PJCIS, 4 September 2020, pp 3, 5 and 8.</w:t>
      </w:r>
    </w:p>
  </w:endnote>
  <w:endnote w:id="24">
    <w:p w14:paraId="00694D2F" w14:textId="4375F8B1" w:rsidR="001A1790" w:rsidRPr="00A16A82" w:rsidRDefault="001A1790" w:rsidP="0025233B">
      <w:pPr>
        <w:pStyle w:val="EndnoteText"/>
        <w:ind w:left="270" w:hanging="288"/>
        <w:rPr>
          <w:lang w:val="en-US"/>
        </w:rPr>
      </w:pPr>
      <w:r>
        <w:rPr>
          <w:rStyle w:val="EndnoteReference"/>
        </w:rPr>
        <w:endnoteRef/>
      </w:r>
      <w:r>
        <w:t xml:space="preserve"> </w:t>
      </w:r>
      <w:r>
        <w:rPr>
          <w:lang w:val="en-US"/>
        </w:rPr>
        <w:tab/>
        <w:t xml:space="preserve">Senate Legal and Constitutional Affairs Legislation Committee, </w:t>
      </w:r>
      <w:r w:rsidRPr="00EF2897">
        <w:rPr>
          <w:i/>
          <w:iCs/>
          <w:lang w:val="en-US"/>
        </w:rPr>
        <w:t>Anti-Terrorism Bill (No 2) 2005</w:t>
      </w:r>
      <w:r>
        <w:rPr>
          <w:lang w:val="en-US"/>
        </w:rPr>
        <w:t xml:space="preserve"> (November 2005) at [2.7].  At </w:t>
      </w:r>
      <w:hyperlink r:id="rId9" w:history="1">
        <w:r w:rsidRPr="00CE762E">
          <w:rPr>
            <w:rStyle w:val="Hyperlink"/>
            <w:lang w:val="en-US"/>
          </w:rPr>
          <w:t>https://www.aph.gov.au/~/media/wopapub/senate/committee/legcon_ctte/completed_inquiries/2004_07/terrorism/report/report_pdf.ashx</w:t>
        </w:r>
      </w:hyperlink>
      <w:r>
        <w:rPr>
          <w:lang w:val="en-US"/>
        </w:rPr>
        <w:t>.</w:t>
      </w:r>
    </w:p>
  </w:endnote>
  <w:endnote w:id="25">
    <w:p w14:paraId="0E1AF979" w14:textId="77777777" w:rsidR="001A1790" w:rsidRPr="00875FA0" w:rsidRDefault="001A1790" w:rsidP="00AD7DD1">
      <w:pPr>
        <w:pStyle w:val="EndnoteText"/>
        <w:ind w:left="270" w:hanging="288"/>
        <w:rPr>
          <w:lang w:val="en-US"/>
        </w:rPr>
      </w:pPr>
      <w:r>
        <w:rPr>
          <w:rStyle w:val="EndnoteReference"/>
        </w:rPr>
        <w:endnoteRef/>
      </w:r>
      <w:r>
        <w:t xml:space="preserve"> </w:t>
      </w:r>
      <w:r>
        <w:rPr>
          <w:lang w:val="en-US"/>
        </w:rPr>
        <w:tab/>
        <w:t xml:space="preserve">Senate Legal and Constitutional Affairs Legislation Committee, </w:t>
      </w:r>
      <w:r w:rsidRPr="00EF2897">
        <w:rPr>
          <w:i/>
          <w:iCs/>
          <w:lang w:val="en-US"/>
        </w:rPr>
        <w:t>Anti-Terrorism Bill (No 2) 2005</w:t>
      </w:r>
      <w:r>
        <w:rPr>
          <w:lang w:val="en-US"/>
        </w:rPr>
        <w:t xml:space="preserve"> (November 2005) at [2.27].  </w:t>
      </w:r>
    </w:p>
  </w:endnote>
  <w:endnote w:id="26">
    <w:p w14:paraId="210370A9" w14:textId="34E685D9" w:rsidR="001A1790" w:rsidRPr="00A71D94" w:rsidRDefault="001A1790" w:rsidP="0025233B">
      <w:pPr>
        <w:pStyle w:val="EndnoteText"/>
        <w:ind w:left="270" w:hanging="288"/>
        <w:rPr>
          <w:lang w:val="en-US"/>
        </w:rPr>
      </w:pPr>
      <w:r>
        <w:rPr>
          <w:rStyle w:val="EndnoteReference"/>
        </w:rPr>
        <w:endnoteRef/>
      </w:r>
      <w:r>
        <w:t xml:space="preserve"> </w:t>
      </w:r>
      <w:r>
        <w:rPr>
          <w:lang w:val="en-US"/>
        </w:rPr>
        <w:tab/>
      </w:r>
      <w:r w:rsidRPr="004B1C50">
        <w:rPr>
          <w:i/>
          <w:iCs/>
        </w:rPr>
        <w:t>Counter-Terrorism Legislation Amendment (Foreign Fighters) Act 2014</w:t>
      </w:r>
      <w:r>
        <w:t xml:space="preserve"> (Cth), Sch 1, items 43–45, 86, 87, 107 and 108.</w:t>
      </w:r>
    </w:p>
  </w:endnote>
  <w:endnote w:id="27">
    <w:p w14:paraId="6B2EA436" w14:textId="7F67FC78" w:rsidR="001A1790" w:rsidRPr="00A71D94" w:rsidRDefault="001A1790" w:rsidP="0025233B">
      <w:pPr>
        <w:pStyle w:val="EndnoteText"/>
        <w:ind w:left="270" w:hanging="288"/>
        <w:rPr>
          <w:lang w:val="en-US"/>
        </w:rPr>
      </w:pPr>
      <w:r>
        <w:rPr>
          <w:rStyle w:val="EndnoteReference"/>
        </w:rPr>
        <w:endnoteRef/>
      </w:r>
      <w:r>
        <w:t xml:space="preserve"> </w:t>
      </w:r>
      <w:r>
        <w:rPr>
          <w:lang w:val="en-US"/>
        </w:rPr>
        <w:tab/>
      </w:r>
      <w:r w:rsidRPr="004B1C50">
        <w:rPr>
          <w:i/>
          <w:iCs/>
        </w:rPr>
        <w:t>Counter-Terrorism Legislation Amendment (Foreign Fighters) Act 2014</w:t>
      </w:r>
      <w:r>
        <w:t xml:space="preserve"> (Cth), Sch 1, item 131A.</w:t>
      </w:r>
    </w:p>
  </w:endnote>
  <w:endnote w:id="28">
    <w:p w14:paraId="38D1840C" w14:textId="1317BC41" w:rsidR="001A1790" w:rsidRPr="00504ED3"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AC5A9F">
        <w:rPr>
          <w:i/>
          <w:iCs/>
          <w:lang w:val="en-US"/>
        </w:rPr>
        <w:t>Independent National Security Legislation Monitor (INSLM) Statutory Deadline Review</w:t>
      </w:r>
      <w:r>
        <w:rPr>
          <w:lang w:val="en-US"/>
        </w:rPr>
        <w:t xml:space="preserve">, submission to the Acting Independent National Security Legislation Monitor, 15 May 2017, at </w:t>
      </w:r>
      <w:hyperlink r:id="rId10" w:history="1">
        <w:r w:rsidRPr="00CE762E">
          <w:rPr>
            <w:rStyle w:val="Hyperlink"/>
            <w:lang w:val="en-US"/>
          </w:rPr>
          <w:t>https://www.inslm.gov.au/sites/default/files/11-australian-human-rights-commission.pdf</w:t>
        </w:r>
      </w:hyperlink>
      <w:r>
        <w:rPr>
          <w:lang w:val="en-US"/>
        </w:rPr>
        <w:t xml:space="preserve">. </w:t>
      </w:r>
    </w:p>
  </w:endnote>
  <w:endnote w:id="29">
    <w:p w14:paraId="49C24387" w14:textId="4551F021" w:rsidR="001A1790" w:rsidRPr="0056458E"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w:t>
      </w:r>
      <w:hyperlink r:id="rId11" w:history="1">
        <w:r w:rsidRPr="00CE762E">
          <w:rPr>
            <w:rStyle w:val="Hyperlink"/>
            <w:lang w:val="en-US"/>
          </w:rPr>
          <w:t>https://www.inslm.gov.au/sites/default/files/rpt-stop-search-seize-powers.pdf</w:t>
        </w:r>
      </w:hyperlink>
      <w:r>
        <w:rPr>
          <w:lang w:val="en-US"/>
        </w:rPr>
        <w:t xml:space="preserve">; 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xml:space="preserve">, 7 September 2017, at </w:t>
      </w:r>
      <w:hyperlink r:id="rId12" w:history="1">
        <w:r w:rsidRPr="00CE762E">
          <w:rPr>
            <w:rStyle w:val="Hyperlink"/>
            <w:lang w:val="en-US"/>
          </w:rPr>
          <w:t>https://www.inslm.gov.au/sites/default/files/control-preventative-detention-orders.pdf</w:t>
        </w:r>
      </w:hyperlink>
      <w:r>
        <w:rPr>
          <w:lang w:val="en-US"/>
        </w:rPr>
        <w:t xml:space="preserve">. </w:t>
      </w:r>
    </w:p>
  </w:endnote>
  <w:endnote w:id="30">
    <w:p w14:paraId="7D93EEC4" w14:textId="131E7E4D" w:rsidR="001A1790" w:rsidRDefault="001A1790" w:rsidP="0025233B">
      <w:pPr>
        <w:pStyle w:val="EndnoteText"/>
        <w:ind w:left="270" w:hanging="288"/>
      </w:pPr>
      <w:r>
        <w:rPr>
          <w:rStyle w:val="EndnoteReference"/>
        </w:rPr>
        <w:endnoteRef/>
      </w:r>
      <w:r>
        <w:t xml:space="preserve"> </w:t>
      </w:r>
      <w:r>
        <w:tab/>
      </w:r>
      <w:r>
        <w:rPr>
          <w:lang w:val="en-US"/>
        </w:rPr>
        <w:t xml:space="preserve">Australian Human Rights Commission, </w:t>
      </w:r>
      <w:r w:rsidRPr="00DC0252">
        <w:rPr>
          <w:i/>
          <w:iCs/>
        </w:rPr>
        <w:t xml:space="preserve">Review of </w:t>
      </w:r>
      <w:r>
        <w:rPr>
          <w:i/>
          <w:iCs/>
        </w:rPr>
        <w:t xml:space="preserve">certain police powers, </w:t>
      </w:r>
      <w:r w:rsidRPr="00DC0252">
        <w:rPr>
          <w:i/>
          <w:iCs/>
        </w:rPr>
        <w:t>control order</w:t>
      </w:r>
      <w:r>
        <w:rPr>
          <w:i/>
          <w:iCs/>
        </w:rPr>
        <w:t xml:space="preserve">s and </w:t>
      </w:r>
      <w:r w:rsidRPr="00DC0252">
        <w:rPr>
          <w:i/>
          <w:iCs/>
        </w:rPr>
        <w:t xml:space="preserve"> preventative detention order</w:t>
      </w:r>
      <w:r>
        <w:rPr>
          <w:i/>
          <w:iCs/>
        </w:rPr>
        <w:t>s</w:t>
      </w:r>
      <w:r>
        <w:t xml:space="preserve">, supplementary submission to the PJCIS, 3 November 2017, at </w:t>
      </w:r>
      <w:hyperlink r:id="rId13" w:history="1">
        <w:r w:rsidRPr="004F2057">
          <w:rPr>
            <w:rStyle w:val="Hyperlink"/>
          </w:rPr>
          <w:t>https://www.aph.gov.au/DocumentStore.ashx?id=766df2d3-b918-4b17-aadf-28ccca57bca5&amp;subId=516302</w:t>
        </w:r>
      </w:hyperlink>
      <w:r>
        <w:t>.</w:t>
      </w:r>
    </w:p>
  </w:endnote>
  <w:endnote w:id="31">
    <w:p w14:paraId="1C916835" w14:textId="000AB05F" w:rsidR="001A1790" w:rsidRPr="006970E4"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w:t>
      </w:r>
      <w:hyperlink r:id="rId14" w:history="1">
        <w:r>
          <w:rPr>
            <w:rStyle w:val="Hyperlink"/>
          </w:rPr>
          <w:t>https://www.aph.gov.au/Parliamentary_Business/Committees/Joint/Intelligence_and_Security/AFPpowersreview/Report</w:t>
        </w:r>
      </w:hyperlink>
      <w:r>
        <w:rPr>
          <w:lang w:val="en-US"/>
        </w:rPr>
        <w:t xml:space="preserve">. </w:t>
      </w:r>
    </w:p>
  </w:endnote>
  <w:endnote w:id="32">
    <w:p w14:paraId="44D65AEE" w14:textId="776C4A63" w:rsidR="001A1790" w:rsidRPr="00A4265F" w:rsidRDefault="001A1790" w:rsidP="0025233B">
      <w:pPr>
        <w:pStyle w:val="EndnoteText"/>
        <w:ind w:left="270" w:hanging="288"/>
        <w:rPr>
          <w:lang w:val="en-US"/>
        </w:rPr>
      </w:pPr>
      <w:r>
        <w:rPr>
          <w:rStyle w:val="EndnoteReference"/>
        </w:rPr>
        <w:endnoteRef/>
      </w:r>
      <w:r>
        <w:t xml:space="preserve"> </w:t>
      </w:r>
      <w:r>
        <w:rPr>
          <w:lang w:val="en-US"/>
        </w:rPr>
        <w:tab/>
      </w:r>
      <w:r w:rsidRPr="005C095B">
        <w:rPr>
          <w:i/>
          <w:iCs/>
        </w:rPr>
        <w:t>Counter</w:t>
      </w:r>
      <w:r w:rsidRPr="005C095B">
        <w:rPr>
          <w:i/>
          <w:iCs/>
        </w:rPr>
        <w:noBreakHyphen/>
        <w:t>Terrorism Legislation Amendment Act (No. 1) 2018</w:t>
      </w:r>
      <w:r>
        <w:t xml:space="preserve"> (Cth), Sch 1, items 7, 11 and 17.</w:t>
      </w:r>
    </w:p>
  </w:endnote>
  <w:endnote w:id="33">
    <w:p w14:paraId="31081562" w14:textId="53F9C417" w:rsidR="001A1790" w:rsidRPr="00737FF5" w:rsidRDefault="001A1790" w:rsidP="0025233B">
      <w:pPr>
        <w:pStyle w:val="EndnoteText"/>
        <w:ind w:left="270" w:hanging="288"/>
        <w:rPr>
          <w:lang w:val="en-US"/>
        </w:rPr>
      </w:pPr>
      <w:r>
        <w:rPr>
          <w:rStyle w:val="EndnoteReference"/>
        </w:rPr>
        <w:endnoteRef/>
      </w:r>
      <w:r>
        <w:t xml:space="preserve"> </w:t>
      </w:r>
      <w:r>
        <w:rPr>
          <w:lang w:val="en-US"/>
        </w:rPr>
        <w:tab/>
        <w:t xml:space="preserve">Australian Government, </w:t>
      </w:r>
      <w:r w:rsidRPr="0082747C">
        <w:rPr>
          <w:i/>
          <w:iCs/>
          <w:lang w:val="en-US"/>
        </w:rPr>
        <w:t>Australian National Security,</w:t>
      </w:r>
      <w:r>
        <w:rPr>
          <w:lang w:val="en-US"/>
        </w:rPr>
        <w:t xml:space="preserve"> </w:t>
      </w:r>
      <w:r w:rsidRPr="0082747C">
        <w:rPr>
          <w:i/>
          <w:iCs/>
          <w:lang w:val="en-US"/>
        </w:rPr>
        <w:t>National Terrorism Threat Advisory System</w:t>
      </w:r>
      <w:r>
        <w:rPr>
          <w:lang w:val="en-US"/>
        </w:rPr>
        <w:t xml:space="preserve">, at </w:t>
      </w:r>
      <w:hyperlink r:id="rId15" w:history="1">
        <w:r>
          <w:rPr>
            <w:rStyle w:val="Hyperlink"/>
          </w:rPr>
          <w:t>https://www.nationalsecurity.gov.au/Securityandyourcommunity/Pages/National-Terrorism-Threat-Advisory-System.aspx</w:t>
        </w:r>
      </w:hyperlink>
      <w:r>
        <w:t>.</w:t>
      </w:r>
    </w:p>
  </w:endnote>
  <w:endnote w:id="34">
    <w:p w14:paraId="26A531A4" w14:textId="201C267E" w:rsidR="001A1790" w:rsidRPr="000C189C"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 2018</w:t>
      </w:r>
      <w:r>
        <w:rPr>
          <w:lang w:val="en-US"/>
        </w:rPr>
        <w:t>–</w:t>
      </w:r>
      <w:r w:rsidRPr="00384D68">
        <w:rPr>
          <w:i/>
          <w:iCs/>
          <w:lang w:val="en-US"/>
        </w:rPr>
        <w:t>19</w:t>
      </w:r>
      <w:r>
        <w:rPr>
          <w:lang w:val="en-US"/>
        </w:rPr>
        <w:t xml:space="preserve">, p 5.  </w:t>
      </w:r>
    </w:p>
  </w:endnote>
  <w:endnote w:id="35">
    <w:p w14:paraId="3CE4E6AA" w14:textId="184B0CA9" w:rsidR="001A1790" w:rsidRPr="00455520" w:rsidRDefault="001A1790" w:rsidP="0025233B">
      <w:pPr>
        <w:pStyle w:val="EndnoteText"/>
        <w:ind w:left="270" w:hanging="288"/>
        <w:rPr>
          <w:lang w:val="en-US"/>
        </w:rPr>
      </w:pPr>
      <w:r>
        <w:rPr>
          <w:rStyle w:val="EndnoteReference"/>
        </w:rPr>
        <w:endnoteRef/>
      </w:r>
      <w:r>
        <w:t xml:space="preserve"> </w:t>
      </w:r>
      <w:r>
        <w:rPr>
          <w:lang w:val="en-US"/>
        </w:rPr>
        <w:tab/>
      </w:r>
      <w:r w:rsidRPr="00455520">
        <w:rPr>
          <w:i/>
          <w:iCs/>
          <w:lang w:val="en-US"/>
        </w:rPr>
        <w:t>Crimes Act 1914</w:t>
      </w:r>
      <w:r>
        <w:rPr>
          <w:lang w:val="en-US"/>
        </w:rPr>
        <w:t xml:space="preserve"> (Cth), s 3UA, definition of ‘police officer’.</w:t>
      </w:r>
    </w:p>
  </w:endnote>
  <w:endnote w:id="36">
    <w:p w14:paraId="0A64BEC8" w14:textId="6951954F" w:rsidR="001A1790" w:rsidRPr="005309AB" w:rsidRDefault="001A1790" w:rsidP="0025233B">
      <w:pPr>
        <w:pStyle w:val="EndnoteText"/>
        <w:ind w:left="270" w:hanging="288"/>
        <w:rPr>
          <w:lang w:val="en-US"/>
        </w:rPr>
      </w:pPr>
      <w:r>
        <w:rPr>
          <w:rStyle w:val="EndnoteReference"/>
        </w:rPr>
        <w:endnoteRef/>
      </w:r>
      <w:r>
        <w:t xml:space="preserve"> </w:t>
      </w:r>
      <w:r>
        <w:rPr>
          <w:lang w:val="en-US"/>
        </w:rPr>
        <w:tab/>
        <w:t xml:space="preserve">The exception is the power in </w:t>
      </w:r>
      <w:r>
        <w:t>s 3UEA of emergency entry to premises without a warrant.</w:t>
      </w:r>
    </w:p>
  </w:endnote>
  <w:endnote w:id="37">
    <w:p w14:paraId="72C84B99" w14:textId="7A0524DC" w:rsidR="001A1790" w:rsidRPr="00BC3BF4" w:rsidRDefault="001A1790" w:rsidP="0025233B">
      <w:pPr>
        <w:pStyle w:val="EndnoteText"/>
        <w:ind w:left="270" w:hanging="288"/>
        <w:rPr>
          <w:lang w:val="en-US"/>
        </w:rPr>
      </w:pPr>
      <w:r>
        <w:rPr>
          <w:rStyle w:val="EndnoteReference"/>
        </w:rPr>
        <w:endnoteRef/>
      </w:r>
      <w:r>
        <w:t xml:space="preserve"> </w:t>
      </w:r>
      <w:r>
        <w:rPr>
          <w:lang w:val="en-US"/>
        </w:rPr>
        <w:tab/>
      </w:r>
      <w:r w:rsidRPr="00EE03E1">
        <w:rPr>
          <w:i/>
        </w:rPr>
        <w:t>Crimes Act 1914</w:t>
      </w:r>
      <w:r w:rsidRPr="00EE03E1">
        <w:t xml:space="preserve"> (Cth),</w:t>
      </w:r>
      <w:r>
        <w:t xml:space="preserve"> s 3UB(1)(a).</w:t>
      </w:r>
    </w:p>
  </w:endnote>
  <w:endnote w:id="38">
    <w:p w14:paraId="1EEC382D" w14:textId="1E432B76" w:rsidR="001A1790" w:rsidRPr="00887C81"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[3.4].  Pursuant to s 3 of the </w:t>
      </w:r>
      <w:r w:rsidRPr="00A75663">
        <w:rPr>
          <w:i/>
          <w:iCs/>
          <w:lang w:val="en-US"/>
        </w:rPr>
        <w:t>Commonwealth Places (Application of Laws) Act 1970</w:t>
      </w:r>
      <w:r>
        <w:rPr>
          <w:lang w:val="en-US"/>
        </w:rPr>
        <w:t xml:space="preserve"> (Cth), a ‘Commonwealth place’ </w:t>
      </w:r>
      <w:r>
        <w:t>is</w:t>
      </w:r>
      <w:r w:rsidRPr="00C00A53">
        <w:t xml:space="preserve"> </w:t>
      </w:r>
      <w:r>
        <w:t>‘</w:t>
      </w:r>
      <w:r w:rsidRPr="00C00A53">
        <w:t>a place (not being the seat of government) with respect to which the Parliament, by virtue of section</w:t>
      </w:r>
      <w:r>
        <w:t xml:space="preserve"> </w:t>
      </w:r>
      <w:r w:rsidRPr="00C00A53">
        <w:t>52 of the Constitution, has, subject to the Constitution, exclusive power to make laws for the peace, order, and good government of the Commonwealt</w:t>
      </w:r>
      <w:r>
        <w:t>h’.</w:t>
      </w:r>
      <w:r w:rsidRPr="00887C81">
        <w:rPr>
          <w:lang w:val="en-US"/>
        </w:rPr>
        <w:t xml:space="preserve"> </w:t>
      </w:r>
    </w:p>
  </w:endnote>
  <w:endnote w:id="39">
    <w:p w14:paraId="7C89E5AC" w14:textId="284400C2" w:rsidR="001A1790" w:rsidRPr="00BC3BF4" w:rsidRDefault="001A1790" w:rsidP="0025233B">
      <w:pPr>
        <w:pStyle w:val="EndnoteText"/>
        <w:ind w:left="270" w:hanging="288"/>
        <w:rPr>
          <w:lang w:val="en-US"/>
        </w:rPr>
      </w:pPr>
      <w:r>
        <w:rPr>
          <w:rStyle w:val="EndnoteReference"/>
        </w:rPr>
        <w:endnoteRef/>
      </w:r>
      <w:r>
        <w:t xml:space="preserve"> </w:t>
      </w:r>
      <w:r>
        <w:rPr>
          <w:lang w:val="en-US"/>
        </w:rPr>
        <w:tab/>
      </w:r>
      <w:r w:rsidRPr="00EE03E1">
        <w:rPr>
          <w:i/>
        </w:rPr>
        <w:t>Crimes Act 1914</w:t>
      </w:r>
      <w:r w:rsidRPr="00EE03E1">
        <w:t xml:space="preserve"> (Cth),</w:t>
      </w:r>
      <w:r>
        <w:t xml:space="preserve"> s 3UB(1)(b).</w:t>
      </w:r>
    </w:p>
  </w:endnote>
  <w:endnote w:id="40">
    <w:p w14:paraId="1A7A8449" w14:textId="0CD8A91C" w:rsidR="001A1790" w:rsidRPr="00EE03E1" w:rsidRDefault="001A1790" w:rsidP="0025233B">
      <w:pPr>
        <w:pStyle w:val="EndnoteText"/>
        <w:ind w:left="270" w:hanging="288"/>
      </w:pPr>
      <w:r w:rsidRPr="00EE03E1">
        <w:rPr>
          <w:rStyle w:val="EndnoteReference"/>
        </w:rPr>
        <w:endnoteRef/>
      </w:r>
      <w:r w:rsidRPr="00EE03E1">
        <w:t xml:space="preserve"> </w:t>
      </w:r>
      <w:r>
        <w:tab/>
      </w:r>
      <w:r w:rsidRPr="00EE03E1">
        <w:rPr>
          <w:i/>
        </w:rPr>
        <w:t>Crimes Act 1914</w:t>
      </w:r>
      <w:r w:rsidRPr="00EE03E1">
        <w:t xml:space="preserve"> (Cth), s 3UJ.</w:t>
      </w:r>
    </w:p>
  </w:endnote>
  <w:endnote w:id="41">
    <w:p w14:paraId="6B6CFF24" w14:textId="766180FD" w:rsidR="001A1790" w:rsidRPr="00AB5B57" w:rsidRDefault="001A1790" w:rsidP="0025233B">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3UC.</w:t>
      </w:r>
    </w:p>
  </w:endnote>
  <w:endnote w:id="42">
    <w:p w14:paraId="4DB0CFFB" w14:textId="74845068" w:rsidR="001A1790" w:rsidRPr="00AB5B57" w:rsidRDefault="001A1790" w:rsidP="0025233B">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3UD.</w:t>
      </w:r>
    </w:p>
  </w:endnote>
  <w:endnote w:id="43">
    <w:p w14:paraId="0E7D1CAC" w14:textId="5B548420" w:rsidR="001A1790" w:rsidRPr="00AB5B57" w:rsidRDefault="001A1790" w:rsidP="0025233B">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3UE.</w:t>
      </w:r>
    </w:p>
  </w:endnote>
  <w:endnote w:id="44">
    <w:p w14:paraId="17739ABA" w14:textId="1A97D88B" w:rsidR="001A1790" w:rsidRPr="004437C1" w:rsidRDefault="001A1790" w:rsidP="0025233B">
      <w:pPr>
        <w:pStyle w:val="EndnoteText"/>
        <w:ind w:left="270" w:hanging="288"/>
        <w:rPr>
          <w:lang w:val="en-US"/>
        </w:rPr>
      </w:pPr>
      <w:r>
        <w:rPr>
          <w:rStyle w:val="EndnoteReference"/>
        </w:rPr>
        <w:endnoteRef/>
      </w:r>
      <w:r>
        <w:t xml:space="preserve"> </w:t>
      </w:r>
      <w:r>
        <w:rPr>
          <w:lang w:val="en-US"/>
        </w:rPr>
        <w:tab/>
      </w:r>
      <w:r w:rsidRPr="004437C1">
        <w:rPr>
          <w:i/>
          <w:iCs/>
          <w:lang w:val="en-US"/>
        </w:rPr>
        <w:t>National Security Legislation Amendment Act 2010</w:t>
      </w:r>
      <w:r>
        <w:rPr>
          <w:lang w:val="en-US"/>
        </w:rPr>
        <w:t xml:space="preserve"> (Cth).</w:t>
      </w:r>
    </w:p>
  </w:endnote>
  <w:endnote w:id="45">
    <w:p w14:paraId="43A802C3" w14:textId="77777777" w:rsidR="001A1790" w:rsidRPr="00A44E49" w:rsidRDefault="001A1790" w:rsidP="0025233B">
      <w:pPr>
        <w:pStyle w:val="EndnoteText"/>
        <w:ind w:left="270" w:hanging="288"/>
        <w:rPr>
          <w:lang w:val="en-US"/>
        </w:rPr>
      </w:pPr>
      <w:r>
        <w:rPr>
          <w:rStyle w:val="EndnoteReference"/>
        </w:rPr>
        <w:endnoteRef/>
      </w:r>
      <w:r>
        <w:t xml:space="preserve"> </w:t>
      </w:r>
      <w:r>
        <w:rPr>
          <w:lang w:val="en-US"/>
        </w:rPr>
        <w:tab/>
      </w:r>
      <w:r w:rsidRPr="005C095B">
        <w:rPr>
          <w:i/>
          <w:iCs/>
        </w:rPr>
        <w:t>Counter</w:t>
      </w:r>
      <w:r w:rsidRPr="005C095B">
        <w:rPr>
          <w:i/>
          <w:iCs/>
        </w:rPr>
        <w:noBreakHyphen/>
        <w:t>Terrorism Legislation Amendment Act (No. 1) 2018</w:t>
      </w:r>
      <w:r>
        <w:t xml:space="preserve"> (Cth), which added ss 3UJA and 3UJB.</w:t>
      </w:r>
    </w:p>
  </w:endnote>
  <w:endnote w:id="46">
    <w:p w14:paraId="1F7EDD64" w14:textId="77777777" w:rsidR="001A1790" w:rsidRPr="0031209B"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[9.2].  </w:t>
      </w:r>
    </w:p>
  </w:endnote>
  <w:endnote w:id="47">
    <w:p w14:paraId="6100040B" w14:textId="77777777" w:rsidR="001A1790" w:rsidRPr="00164DEA"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[2.91].  At </w:t>
      </w:r>
      <w:hyperlink r:id="rId16" w:history="1">
        <w:r>
          <w:rPr>
            <w:rStyle w:val="Hyperlink"/>
          </w:rPr>
          <w:t>https://www.aph.gov.au/Parliamentary_Business/Committees/Joint/Intelligence_and_Security/AFPpowersreview/Report</w:t>
        </w:r>
      </w:hyperlink>
      <w:r>
        <w:rPr>
          <w:lang w:val="en-US"/>
        </w:rPr>
        <w:t>.</w:t>
      </w:r>
    </w:p>
  </w:endnote>
  <w:endnote w:id="48">
    <w:p w14:paraId="2D06F17B" w14:textId="5C0E7BA4" w:rsidR="001A1790" w:rsidRPr="00FC3CCD" w:rsidRDefault="001A1790" w:rsidP="0025233B">
      <w:pPr>
        <w:pStyle w:val="EndnoteText"/>
        <w:ind w:left="270" w:hanging="288"/>
        <w:rPr>
          <w:lang w:val="en-US"/>
        </w:rPr>
      </w:pPr>
      <w:r>
        <w:rPr>
          <w:rStyle w:val="EndnoteReference"/>
        </w:rPr>
        <w:endnoteRef/>
      </w:r>
      <w:r>
        <w:t xml:space="preserve"> </w:t>
      </w:r>
      <w:r>
        <w:rPr>
          <w:lang w:val="en-US"/>
        </w:rPr>
        <w:tab/>
      </w:r>
      <w:r w:rsidRPr="00FC3CCD">
        <w:rPr>
          <w:i/>
          <w:iCs/>
          <w:lang w:val="en-US"/>
        </w:rPr>
        <w:t xml:space="preserve">Intelligence Services Act 2001 </w:t>
      </w:r>
      <w:r>
        <w:rPr>
          <w:lang w:val="en-US"/>
        </w:rPr>
        <w:t>(Cth), s 29(1)(bba).</w:t>
      </w:r>
    </w:p>
  </w:endnote>
  <w:endnote w:id="49">
    <w:p w14:paraId="4C34EAF9" w14:textId="42B02D5D" w:rsidR="001A1790" w:rsidRDefault="001A1790" w:rsidP="00F95BA9">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xml:space="preserve">, submission to the PJCIS, 4 September 2020, p 6.  See also Australian Federal Police, </w:t>
      </w:r>
      <w:r w:rsidRPr="009424EF">
        <w:rPr>
          <w:i/>
          <w:iCs/>
          <w:lang w:val="en-US"/>
        </w:rPr>
        <w:t>2017 Counter-terrorism powers review</w:t>
      </w:r>
      <w:r>
        <w:rPr>
          <w:lang w:val="en-US"/>
        </w:rPr>
        <w:t xml:space="preserve">, submission to the PJCIS (October 2017), at [14], at </w:t>
      </w:r>
      <w:hyperlink r:id="rId17" w:history="1">
        <w:r w:rsidRPr="004F2057">
          <w:rPr>
            <w:rStyle w:val="Hyperlink"/>
            <w:lang w:val="en-US"/>
          </w:rPr>
          <w:t>https://www.aph.gov.au/DocumentStore.ashx?id=5bec13ed-117f-4148-9e7e-4ceb6a92383c&amp;subId=561438</w:t>
        </w:r>
      </w:hyperlink>
      <w:r>
        <w:rPr>
          <w:lang w:val="en-US"/>
        </w:rPr>
        <w:t xml:space="preserve">; Australian Government, Department of Home Affairs, </w:t>
      </w:r>
      <w:r w:rsidRPr="004D74D1">
        <w:rPr>
          <w:i/>
          <w:iCs/>
        </w:rPr>
        <w:t>Control Orders, Preventative Detention Orders, Continuing Detention Orders, and Powers in Relation to Terrorist Acts and Terrorism Offences, Annual Report</w:t>
      </w:r>
      <w:r>
        <w:rPr>
          <w:i/>
          <w:iCs/>
        </w:rPr>
        <w:t>s</w:t>
      </w:r>
      <w:r w:rsidRPr="004D74D1">
        <w:rPr>
          <w:i/>
          <w:iCs/>
        </w:rPr>
        <w:t xml:space="preserve"> 201</w:t>
      </w:r>
      <w:r>
        <w:rPr>
          <w:i/>
          <w:iCs/>
        </w:rPr>
        <w:t>7</w:t>
      </w:r>
      <w:r>
        <w:rPr>
          <w:lang w:val="en-US"/>
        </w:rPr>
        <w:t>–</w:t>
      </w:r>
      <w:r w:rsidRPr="004D74D1">
        <w:rPr>
          <w:i/>
          <w:iCs/>
        </w:rPr>
        <w:t>201</w:t>
      </w:r>
      <w:r>
        <w:rPr>
          <w:i/>
          <w:iCs/>
        </w:rPr>
        <w:t xml:space="preserve">8 and 2018-19 </w:t>
      </w:r>
      <w:r>
        <w:rPr>
          <w:lang w:val="en-US"/>
        </w:rPr>
        <w:t xml:space="preserve">available at </w:t>
      </w:r>
      <w:hyperlink r:id="rId18" w:history="1">
        <w:r>
          <w:rPr>
            <w:rStyle w:val="Hyperlink"/>
          </w:rPr>
          <w:t>https://www.nationalsecurity.gov.au/Media-and-publications/Annual-Reports/Pages/default.aspx</w:t>
        </w:r>
      </w:hyperlink>
      <w:r>
        <w:t>.</w:t>
      </w:r>
    </w:p>
  </w:endnote>
  <w:endnote w:id="50">
    <w:p w14:paraId="58F19EE1" w14:textId="63E558C8" w:rsidR="001A1790" w:rsidRPr="002600B7" w:rsidRDefault="001A1790" w:rsidP="00105194">
      <w:pPr>
        <w:pStyle w:val="EndnoteText"/>
        <w:ind w:left="284" w:hanging="288"/>
        <w:rPr>
          <w:rFonts w:cs="Open Sans"/>
        </w:rPr>
      </w:pPr>
      <w:r w:rsidRPr="002600B7">
        <w:rPr>
          <w:rStyle w:val="EndnoteReference"/>
          <w:rFonts w:cs="Open Sans"/>
        </w:rPr>
        <w:endnoteRef/>
      </w:r>
      <w:r w:rsidRPr="002600B7">
        <w:rPr>
          <w:rFonts w:cs="Open Sans"/>
        </w:rPr>
        <w:t xml:space="preserve"> </w:t>
      </w:r>
      <w:r w:rsidRPr="002600B7">
        <w:rPr>
          <w:rFonts w:cs="Open Sans"/>
        </w:rPr>
        <w:tab/>
      </w:r>
      <w:r>
        <w:rPr>
          <w:rFonts w:cs="Open Sans"/>
        </w:rPr>
        <w:t>United Nation Human Rights Committee</w:t>
      </w:r>
      <w:r w:rsidRPr="002600B7">
        <w:rPr>
          <w:rFonts w:cs="Open Sans"/>
        </w:rPr>
        <w:t>, General Comment 31</w:t>
      </w:r>
      <w:r>
        <w:rPr>
          <w:rFonts w:cs="Open Sans"/>
        </w:rPr>
        <w:t xml:space="preserve">, </w:t>
      </w:r>
      <w:r w:rsidRPr="00400C14">
        <w:rPr>
          <w:rFonts w:cs="Open Sans"/>
          <w:i/>
          <w:iCs/>
        </w:rPr>
        <w:t>The Nature of the General Legal Obligation Imposed on States Parties to the Covenant</w:t>
      </w:r>
      <w:r>
        <w:rPr>
          <w:rFonts w:cs="Open Sans"/>
        </w:rPr>
        <w:t>,</w:t>
      </w:r>
      <w:r w:rsidRPr="002600B7">
        <w:rPr>
          <w:rFonts w:cs="Open Sans"/>
        </w:rPr>
        <w:t xml:space="preserve"> </w:t>
      </w:r>
      <w:r>
        <w:rPr>
          <w:rFonts w:cs="Open Sans"/>
        </w:rPr>
        <w:t xml:space="preserve">UN Doc </w:t>
      </w:r>
      <w:r w:rsidRPr="000507FA">
        <w:rPr>
          <w:rFonts w:cs="Open Sans"/>
        </w:rPr>
        <w:t xml:space="preserve">CCPR/C/21/Rev.1/Add. 1326 </w:t>
      </w:r>
      <w:r w:rsidRPr="002600B7">
        <w:rPr>
          <w:rFonts w:cs="Open Sans"/>
        </w:rPr>
        <w:t>(2004) at [6]</w:t>
      </w:r>
      <w:r>
        <w:rPr>
          <w:rFonts w:cs="Open Sans"/>
        </w:rPr>
        <w:t>;</w:t>
      </w:r>
      <w:r w:rsidRPr="002600B7">
        <w:rPr>
          <w:rFonts w:cs="Open Sans"/>
        </w:rPr>
        <w:t xml:space="preserve"> </w:t>
      </w:r>
      <w:r w:rsidRPr="00B91191">
        <w:rPr>
          <w:rFonts w:cs="Open Sans"/>
        </w:rPr>
        <w:t>United Nations</w:t>
      </w:r>
      <w:r w:rsidRPr="00B91191">
        <w:rPr>
          <w:rFonts w:cs="Open Sans"/>
          <w:u w:val="single"/>
        </w:rPr>
        <w:t xml:space="preserve"> </w:t>
      </w:r>
      <w:r w:rsidRPr="00B91191">
        <w:rPr>
          <w:rFonts w:cs="Open Sans"/>
        </w:rPr>
        <w:t xml:space="preserve">Economic and Social Council, </w:t>
      </w:r>
      <w:r w:rsidRPr="00B91191">
        <w:rPr>
          <w:rFonts w:cs="Open Sans"/>
          <w:i/>
          <w:iCs/>
        </w:rPr>
        <w:t>Siracusa Principles on the Limitation and Derogation Provisions in the International Covenant on Civil and Political Rights</w:t>
      </w:r>
      <w:r w:rsidRPr="00B91191">
        <w:rPr>
          <w:rFonts w:cs="Open Sans"/>
        </w:rPr>
        <w:t>, UN Doc E/CN.4/1985/4, Annex (1985).</w:t>
      </w:r>
    </w:p>
  </w:endnote>
  <w:endnote w:id="51">
    <w:p w14:paraId="7ACF018D" w14:textId="086BCF0F" w:rsidR="001A1790" w:rsidRDefault="001A1790" w:rsidP="0025233B">
      <w:pPr>
        <w:pStyle w:val="EndnoteText"/>
        <w:ind w:left="270" w:hanging="288"/>
      </w:pPr>
      <w:r>
        <w:rPr>
          <w:rStyle w:val="EndnoteReference"/>
        </w:rPr>
        <w:endnoteRef/>
      </w:r>
      <w:r>
        <w:t xml:space="preserve"> </w:t>
      </w:r>
      <w:r>
        <w:tab/>
      </w:r>
      <w:r w:rsidRPr="002600B7">
        <w:rPr>
          <w:rFonts w:cs="Open Sans"/>
          <w:i/>
        </w:rPr>
        <w:t xml:space="preserve">Manga v Attorney-General </w:t>
      </w:r>
      <w:r w:rsidRPr="002600B7">
        <w:rPr>
          <w:rFonts w:cs="Open Sans"/>
        </w:rPr>
        <w:t>[2000] 2 NZLR 65 at [40]</w:t>
      </w:r>
      <w:r>
        <w:rPr>
          <w:lang w:val="en-US"/>
        </w:rPr>
        <w:t>–</w:t>
      </w:r>
      <w:r w:rsidRPr="002600B7">
        <w:rPr>
          <w:rFonts w:cs="Open Sans"/>
        </w:rPr>
        <w:t xml:space="preserve">[42], (Hammond J). See also the views of the UNHRC in </w:t>
      </w:r>
      <w:r w:rsidRPr="002600B7">
        <w:rPr>
          <w:rFonts w:cs="Open Sans"/>
          <w:i/>
        </w:rPr>
        <w:t>Van Alphen v The Netherlands</w:t>
      </w:r>
      <w:r w:rsidRPr="002600B7">
        <w:rPr>
          <w:rFonts w:cs="Open Sans"/>
        </w:rPr>
        <w:t xml:space="preserve">, Communication No. 305/1988, UN Doc CCPR/C/39/D/305/1988 (1990); </w:t>
      </w:r>
      <w:r w:rsidRPr="002600B7">
        <w:rPr>
          <w:rFonts w:cs="Open Sans"/>
          <w:i/>
        </w:rPr>
        <w:t>A v Australia</w:t>
      </w:r>
      <w:r w:rsidRPr="002600B7">
        <w:rPr>
          <w:rFonts w:cs="Open Sans"/>
        </w:rPr>
        <w:t>, Communication No. 560/1993, UN Doc CCPR/C/59/D/560/1993 (1997);</w:t>
      </w:r>
      <w:r w:rsidRPr="002600B7">
        <w:rPr>
          <w:rFonts w:cs="Open Sans"/>
          <w:i/>
        </w:rPr>
        <w:t xml:space="preserve"> Spakmo v Norway</w:t>
      </w:r>
      <w:r w:rsidRPr="002600B7">
        <w:rPr>
          <w:rFonts w:cs="Open Sans"/>
        </w:rPr>
        <w:t>, Communication No. 631/1995, UN Doc CCPR/C/67/D/631/1995 (1999).</w:t>
      </w:r>
    </w:p>
  </w:endnote>
  <w:endnote w:id="52">
    <w:p w14:paraId="66E686D4" w14:textId="5FE448BB" w:rsidR="001A1790" w:rsidRDefault="001A1790" w:rsidP="0025233B">
      <w:pPr>
        <w:pStyle w:val="EndnoteText"/>
        <w:ind w:left="270" w:hanging="288"/>
      </w:pPr>
      <w:r>
        <w:rPr>
          <w:rStyle w:val="EndnoteReference"/>
        </w:rPr>
        <w:endnoteRef/>
      </w:r>
      <w:r>
        <w:t xml:space="preserve"> </w:t>
      </w:r>
      <w:r>
        <w:tab/>
      </w:r>
      <w:r w:rsidRPr="002600B7">
        <w:rPr>
          <w:rFonts w:cs="Open Sans"/>
          <w:i/>
        </w:rPr>
        <w:t>A v Australia</w:t>
      </w:r>
      <w:r w:rsidRPr="002600B7">
        <w:rPr>
          <w:rFonts w:cs="Open Sans"/>
        </w:rPr>
        <w:t>, Communication No. 900/1993,</w:t>
      </w:r>
      <w:r w:rsidRPr="002600B7">
        <w:rPr>
          <w:rFonts w:cs="Open Sans"/>
          <w:i/>
        </w:rPr>
        <w:t xml:space="preserve"> </w:t>
      </w:r>
      <w:r w:rsidRPr="002600B7">
        <w:rPr>
          <w:rFonts w:cs="Open Sans"/>
        </w:rPr>
        <w:t>UN Doc CCPR/C/76/D/900/1993</w:t>
      </w:r>
      <w:r w:rsidRPr="002600B7">
        <w:rPr>
          <w:rFonts w:cs="Open Sans"/>
          <w:i/>
        </w:rPr>
        <w:t xml:space="preserve"> </w:t>
      </w:r>
      <w:r w:rsidRPr="002600B7">
        <w:rPr>
          <w:rFonts w:cs="Open Sans"/>
        </w:rPr>
        <w:t>(1997);</w:t>
      </w:r>
      <w:r w:rsidRPr="002600B7">
        <w:rPr>
          <w:rFonts w:cs="Open Sans"/>
          <w:i/>
        </w:rPr>
        <w:t xml:space="preserve"> C v Australia</w:t>
      </w:r>
      <w:r w:rsidRPr="002600B7">
        <w:rPr>
          <w:rFonts w:cs="Open Sans"/>
        </w:rPr>
        <w:t>, Communication No. 900/1999, UN Doc CCPR/C/76/D/900/1999 (2002).</w:t>
      </w:r>
    </w:p>
  </w:endnote>
  <w:endnote w:id="53">
    <w:p w14:paraId="1089E632" w14:textId="5A7FF25A" w:rsidR="001A1790" w:rsidRPr="006A29E3" w:rsidRDefault="001A1790" w:rsidP="0025233B">
      <w:pPr>
        <w:pStyle w:val="EndnoteText"/>
        <w:ind w:left="270" w:hanging="288"/>
        <w:rPr>
          <w:lang w:val="en-US"/>
        </w:rPr>
      </w:pPr>
      <w:r>
        <w:rPr>
          <w:rStyle w:val="EndnoteReference"/>
        </w:rPr>
        <w:endnoteRef/>
      </w:r>
      <w:r>
        <w:t xml:space="preserve"> </w:t>
      </w:r>
      <w:r>
        <w:rPr>
          <w:lang w:val="en-US"/>
        </w:rPr>
        <w:tab/>
        <w:t xml:space="preserve">Australian Federal Police, </w:t>
      </w:r>
      <w:r w:rsidRPr="009424EF">
        <w:rPr>
          <w:i/>
          <w:iCs/>
          <w:lang w:val="en-US"/>
        </w:rPr>
        <w:t>2017 Counter-terrorism powers review</w:t>
      </w:r>
      <w:r>
        <w:rPr>
          <w:lang w:val="en-US"/>
        </w:rPr>
        <w:t>, submission to the PJCIS (October 2017), at [14].</w:t>
      </w:r>
    </w:p>
  </w:endnote>
  <w:endnote w:id="54">
    <w:p w14:paraId="778175E2" w14:textId="214A3523" w:rsidR="001A1790" w:rsidRPr="000A3C62"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[2.16]–[2.19].</w:t>
      </w:r>
    </w:p>
  </w:endnote>
  <w:endnote w:id="55">
    <w:p w14:paraId="072BC275" w14:textId="77777777" w:rsidR="001A1790" w:rsidRPr="00C17774"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[5.32] and the legislation described in footnote 58.  </w:t>
      </w:r>
    </w:p>
  </w:endnote>
  <w:endnote w:id="56">
    <w:p w14:paraId="4CBB5825" w14:textId="050E5B4E" w:rsidR="001A1790" w:rsidRPr="002523A9" w:rsidRDefault="001A1790" w:rsidP="0025233B">
      <w:pPr>
        <w:pStyle w:val="EndnoteText"/>
        <w:ind w:left="270" w:hanging="288"/>
        <w:rPr>
          <w:lang w:val="en-US"/>
        </w:rPr>
      </w:pPr>
      <w:r>
        <w:rPr>
          <w:rStyle w:val="EndnoteReference"/>
        </w:rPr>
        <w:endnoteRef/>
      </w:r>
      <w:r>
        <w:t xml:space="preserve"> </w:t>
      </w:r>
      <w:r>
        <w:rPr>
          <w:lang w:val="en-US"/>
        </w:rPr>
        <w:tab/>
      </w:r>
      <w:r w:rsidRPr="00AC752E">
        <w:rPr>
          <w:i/>
          <w:iCs/>
          <w:lang w:val="en-US"/>
        </w:rPr>
        <w:t>Crimes Act 1914</w:t>
      </w:r>
      <w:r>
        <w:rPr>
          <w:lang w:val="en-US"/>
        </w:rPr>
        <w:t xml:space="preserve"> (Cth), s 3UD(2).</w:t>
      </w:r>
    </w:p>
  </w:endnote>
  <w:endnote w:id="57">
    <w:p w14:paraId="2CD7145A" w14:textId="5A5DB187" w:rsidR="001A1790" w:rsidRPr="002523A9" w:rsidRDefault="001A1790" w:rsidP="0025233B">
      <w:pPr>
        <w:pStyle w:val="EndnoteText"/>
        <w:ind w:left="270" w:hanging="288"/>
        <w:rPr>
          <w:lang w:val="en-US"/>
        </w:rPr>
      </w:pPr>
      <w:r>
        <w:rPr>
          <w:rStyle w:val="EndnoteReference"/>
        </w:rPr>
        <w:endnoteRef/>
      </w:r>
      <w:r>
        <w:t xml:space="preserve"> </w:t>
      </w:r>
      <w:r>
        <w:rPr>
          <w:lang w:val="en-US"/>
        </w:rPr>
        <w:tab/>
      </w:r>
      <w:r w:rsidRPr="00AC752E">
        <w:rPr>
          <w:i/>
          <w:iCs/>
          <w:lang w:val="en-US"/>
        </w:rPr>
        <w:t>Crimes Act 1914</w:t>
      </w:r>
      <w:r>
        <w:rPr>
          <w:lang w:val="en-US"/>
        </w:rPr>
        <w:t xml:space="preserve"> (Cth), s 3UD(3).</w:t>
      </w:r>
    </w:p>
  </w:endnote>
  <w:endnote w:id="58">
    <w:p w14:paraId="70BB40CF" w14:textId="2F67E9A4" w:rsidR="001A1790" w:rsidRPr="002523A9" w:rsidRDefault="001A1790" w:rsidP="0025233B">
      <w:pPr>
        <w:pStyle w:val="EndnoteText"/>
        <w:ind w:left="270" w:hanging="288"/>
        <w:rPr>
          <w:lang w:val="en-US"/>
        </w:rPr>
      </w:pPr>
      <w:r>
        <w:rPr>
          <w:rStyle w:val="EndnoteReference"/>
        </w:rPr>
        <w:endnoteRef/>
      </w:r>
      <w:r>
        <w:t xml:space="preserve"> </w:t>
      </w:r>
      <w:r>
        <w:rPr>
          <w:lang w:val="en-US"/>
        </w:rPr>
        <w:tab/>
      </w:r>
      <w:r w:rsidRPr="00AC752E">
        <w:rPr>
          <w:i/>
          <w:iCs/>
          <w:lang w:val="en-US"/>
        </w:rPr>
        <w:t>Crimes Act 1914</w:t>
      </w:r>
      <w:r>
        <w:rPr>
          <w:lang w:val="en-US"/>
        </w:rPr>
        <w:t xml:space="preserve"> (Cth), s 3UD(4).</w:t>
      </w:r>
    </w:p>
  </w:endnote>
  <w:endnote w:id="59">
    <w:p w14:paraId="0C8BF167" w14:textId="50406ED5" w:rsidR="001A1790" w:rsidRPr="00517BD9" w:rsidRDefault="001A1790" w:rsidP="0025233B">
      <w:pPr>
        <w:pStyle w:val="EndnoteText"/>
        <w:ind w:left="270" w:hanging="288"/>
        <w:rPr>
          <w:lang w:val="en-US"/>
        </w:rPr>
      </w:pPr>
      <w:r>
        <w:rPr>
          <w:rStyle w:val="EndnoteReference"/>
        </w:rPr>
        <w:endnoteRef/>
      </w:r>
      <w:r>
        <w:t xml:space="preserve"> </w:t>
      </w:r>
      <w:r>
        <w:rPr>
          <w:lang w:val="en-US"/>
        </w:rPr>
        <w:tab/>
        <w:t xml:space="preserve">Martin Scheinin, Special Rapporteur, </w:t>
      </w:r>
      <w:r w:rsidRPr="00D44F5E">
        <w:rPr>
          <w:i/>
          <w:iCs/>
          <w:lang w:val="en-US"/>
        </w:rPr>
        <w:t>Australia: Study on Human Rights Compliance While Countering Terrorism</w:t>
      </w:r>
      <w:r>
        <w:rPr>
          <w:lang w:val="en-US"/>
        </w:rPr>
        <w:t>, UN Doc A/HRC/4/26/Add.3 (14 December 2006) at [30] and [68].</w:t>
      </w:r>
    </w:p>
  </w:endnote>
  <w:endnote w:id="60">
    <w:p w14:paraId="31B9E7CA" w14:textId="088133F0" w:rsidR="001A1790" w:rsidRPr="00D44F5E" w:rsidRDefault="001A1790" w:rsidP="0025233B">
      <w:pPr>
        <w:pStyle w:val="EndnoteText"/>
        <w:ind w:left="270" w:hanging="288"/>
        <w:rPr>
          <w:lang w:val="en-US"/>
        </w:rPr>
      </w:pPr>
      <w:r>
        <w:rPr>
          <w:rStyle w:val="EndnoteReference"/>
        </w:rPr>
        <w:endnoteRef/>
      </w:r>
      <w:r>
        <w:t xml:space="preserve"> </w:t>
      </w:r>
      <w:r>
        <w:rPr>
          <w:lang w:val="en-US"/>
        </w:rPr>
        <w:tab/>
      </w:r>
      <w:r>
        <w:t xml:space="preserve">Council of Australian Governments Review of Counter-Terrorism Legislation (2014), at [317].  At </w:t>
      </w:r>
      <w:hyperlink r:id="rId19" w:history="1">
        <w:r>
          <w:rPr>
            <w:rStyle w:val="Hyperlink"/>
          </w:rPr>
          <w:t>https://www.ag.gov.au/sites/default/files/2020-03/Final%20Report.PDF</w:t>
        </w:r>
      </w:hyperlink>
      <w:r>
        <w:t>.</w:t>
      </w:r>
    </w:p>
  </w:endnote>
  <w:endnote w:id="61">
    <w:p w14:paraId="26BF1A37" w14:textId="4E6840B7" w:rsidR="001A1790" w:rsidRPr="00F94F7E"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7 September 2017, at [8.55]–[8.56].</w:t>
      </w:r>
    </w:p>
  </w:endnote>
  <w:endnote w:id="62">
    <w:p w14:paraId="74C9C35D" w14:textId="2E7D71C1" w:rsidR="001A1790" w:rsidRDefault="001A1790" w:rsidP="006F4DA2">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submission to the PJCIS, 4 September 2020, p 6.</w:t>
      </w:r>
    </w:p>
  </w:endnote>
  <w:endnote w:id="63">
    <w:p w14:paraId="4BA85A3E" w14:textId="5C39FDB0" w:rsidR="001A1790" w:rsidRDefault="001A1790" w:rsidP="00CF4F67">
      <w:pPr>
        <w:pStyle w:val="EndnoteText"/>
        <w:ind w:left="284" w:hanging="284"/>
      </w:pPr>
      <w:r>
        <w:rPr>
          <w:rStyle w:val="EndnoteReference"/>
        </w:rPr>
        <w:endnoteRef/>
      </w:r>
      <w:r>
        <w:t xml:space="preserve"> </w:t>
      </w:r>
      <w:r>
        <w:tab/>
        <w:t xml:space="preserve">European Court of Human Rights, </w:t>
      </w:r>
      <w:r w:rsidRPr="00221B48">
        <w:rPr>
          <w:i/>
          <w:iCs/>
        </w:rPr>
        <w:t>Gillan and Quinton v United Kingdom</w:t>
      </w:r>
      <w:r>
        <w:t xml:space="preserve"> (Application no. 4158/05), 12 January 2010.</w:t>
      </w:r>
    </w:p>
  </w:endnote>
  <w:endnote w:id="64">
    <w:p w14:paraId="6513A13E" w14:textId="78CE3822" w:rsidR="001A1790" w:rsidRDefault="001A1790" w:rsidP="0044380F">
      <w:pPr>
        <w:pStyle w:val="EndnoteText"/>
        <w:ind w:left="284" w:hanging="284"/>
      </w:pPr>
      <w:r>
        <w:rPr>
          <w:rStyle w:val="EndnoteReference"/>
        </w:rPr>
        <w:endnoteRef/>
      </w:r>
      <w:r>
        <w:t xml:space="preserve"> </w:t>
      </w:r>
      <w:r>
        <w:tab/>
        <w:t xml:space="preserve">European Court of Human Rights, </w:t>
      </w:r>
      <w:r w:rsidRPr="00221B48">
        <w:rPr>
          <w:i/>
          <w:iCs/>
        </w:rPr>
        <w:t>Gillan and Quinton v United Kingdom</w:t>
      </w:r>
      <w:r>
        <w:t xml:space="preserve"> (Application no. 4158/05), 12 January 2010 at [81] and [87].</w:t>
      </w:r>
    </w:p>
  </w:endnote>
  <w:endnote w:id="65">
    <w:p w14:paraId="767BF666" w14:textId="274E3267" w:rsidR="001A1790" w:rsidRDefault="001A1790" w:rsidP="00665BB0">
      <w:pPr>
        <w:pStyle w:val="EndnoteText"/>
        <w:ind w:left="284" w:hanging="284"/>
      </w:pPr>
      <w:r>
        <w:rPr>
          <w:rStyle w:val="EndnoteReference"/>
        </w:rPr>
        <w:endnoteRef/>
      </w:r>
      <w:r>
        <w:t xml:space="preserve"> </w:t>
      </w:r>
      <w:r>
        <w:tab/>
      </w:r>
      <w:r w:rsidRPr="00A937F2">
        <w:rPr>
          <w:i/>
          <w:iCs/>
        </w:rPr>
        <w:t>Terrorism Act 2000</w:t>
      </w:r>
      <w:r>
        <w:t xml:space="preserve"> (UK), Sch 6B, paragraph 6.</w:t>
      </w:r>
    </w:p>
  </w:endnote>
  <w:endnote w:id="66">
    <w:p w14:paraId="1EF8E240" w14:textId="7DF08912" w:rsidR="001A1790" w:rsidRDefault="001A1790" w:rsidP="00AB2454">
      <w:pPr>
        <w:pStyle w:val="EndnoteText"/>
        <w:ind w:left="284" w:hanging="284"/>
      </w:pPr>
      <w:r>
        <w:rPr>
          <w:rStyle w:val="EndnoteReference"/>
        </w:rPr>
        <w:endnoteRef/>
      </w:r>
      <w:r>
        <w:t xml:space="preserve"> </w:t>
      </w:r>
      <w:r>
        <w:tab/>
        <w:t xml:space="preserve">Jonathan Hall QC, Independent Reviewer of Terrorism Legislation, </w:t>
      </w:r>
      <w:r w:rsidRPr="007B52A1">
        <w:rPr>
          <w:i/>
          <w:iCs/>
        </w:rPr>
        <w:t>Report on the Operation of the Terrorism Acts 2000 and 2006</w:t>
      </w:r>
      <w:r>
        <w:t xml:space="preserve">, March 2020, pp 61–63.  At </w:t>
      </w:r>
      <w:hyperlink r:id="rId20" w:history="1">
        <w:r>
          <w:rPr>
            <w:rStyle w:val="Hyperlink"/>
          </w:rPr>
          <w:t>https://terrorismlegislationreviewer.independent.gov.uk/wp-content/uploads/2020/03/Terrorism-Acts-in-2018-Report-1.pdf</w:t>
        </w:r>
      </w:hyperlink>
      <w:r>
        <w:t xml:space="preserve">. </w:t>
      </w:r>
    </w:p>
  </w:endnote>
  <w:endnote w:id="67">
    <w:p w14:paraId="5D367CFD" w14:textId="10F0DA5E" w:rsidR="001A1790" w:rsidRDefault="001A1790" w:rsidP="006F5BA8">
      <w:pPr>
        <w:pStyle w:val="EndnoteText"/>
        <w:ind w:left="284" w:hanging="284"/>
      </w:pPr>
      <w:r>
        <w:rPr>
          <w:rStyle w:val="EndnoteReference"/>
        </w:rPr>
        <w:endnoteRef/>
      </w:r>
      <w:r>
        <w:t xml:space="preserve"> </w:t>
      </w:r>
      <w:r>
        <w:tab/>
        <w:t xml:space="preserve">Jonathan Hall QC, Independent Reviewer of Terrorism Legislation, </w:t>
      </w:r>
      <w:r w:rsidRPr="007B52A1">
        <w:rPr>
          <w:i/>
          <w:iCs/>
        </w:rPr>
        <w:t>Report on the Operation of the Terrorism Acts 2000 and 2006</w:t>
      </w:r>
      <w:r>
        <w:t xml:space="preserve">, March 2020, p 62. </w:t>
      </w:r>
    </w:p>
  </w:endnote>
  <w:endnote w:id="68">
    <w:p w14:paraId="6C3B2145" w14:textId="1447C0CD" w:rsidR="001A1790" w:rsidRDefault="001A1790" w:rsidP="0025233B">
      <w:pPr>
        <w:pStyle w:val="EndnoteText"/>
        <w:ind w:left="270" w:hanging="288"/>
      </w:pPr>
      <w:r>
        <w:rPr>
          <w:rStyle w:val="EndnoteReference"/>
        </w:rPr>
        <w:endnoteRef/>
      </w:r>
      <w:r>
        <w:t xml:space="preserve"> </w:t>
      </w:r>
      <w:r>
        <w:tab/>
        <w:t xml:space="preserve">Attorney-General’s Department and Australian Federal Police, submission in response to questions from the PJCIS, 2018 review, p 7.  At </w:t>
      </w:r>
      <w:hyperlink r:id="rId21" w:history="1">
        <w:r w:rsidRPr="00990265">
          <w:rPr>
            <w:rStyle w:val="Hyperlink"/>
          </w:rPr>
          <w:t>https://www.aph.gov.au/DocumentStore.ashx?id=5447abfd-97eb-4433-8253-7e955db74537&amp;subId=561854</w:t>
        </w:r>
      </w:hyperlink>
      <w:r>
        <w:t>.</w:t>
      </w:r>
    </w:p>
  </w:endnote>
  <w:endnote w:id="69">
    <w:p w14:paraId="401B45B5" w14:textId="77777777" w:rsidR="001A1790" w:rsidRPr="008B01FC" w:rsidRDefault="001A1790" w:rsidP="0025233B">
      <w:pPr>
        <w:pStyle w:val="EndnoteText"/>
        <w:ind w:left="270" w:hanging="288"/>
        <w:rPr>
          <w:lang w:val="en-US"/>
        </w:rPr>
      </w:pPr>
      <w:r>
        <w:rPr>
          <w:rStyle w:val="EndnoteReference"/>
        </w:rPr>
        <w:endnoteRef/>
      </w:r>
      <w:r>
        <w:t xml:space="preserve"> </w:t>
      </w:r>
      <w:r>
        <w:rPr>
          <w:lang w:val="en-US"/>
        </w:rPr>
        <w:tab/>
      </w:r>
      <w:r w:rsidRPr="009A1BC1">
        <w:rPr>
          <w:i/>
          <w:iCs/>
          <w:lang w:val="en-US"/>
        </w:rPr>
        <w:t>Crimes Act 1914</w:t>
      </w:r>
      <w:r>
        <w:rPr>
          <w:lang w:val="en-US"/>
        </w:rPr>
        <w:t xml:space="preserve"> (Cth), s 3UJ(1).</w:t>
      </w:r>
    </w:p>
  </w:endnote>
  <w:endnote w:id="70">
    <w:p w14:paraId="148138A6" w14:textId="42E4F6E7" w:rsidR="001A1790" w:rsidRDefault="001A1790" w:rsidP="0025233B">
      <w:pPr>
        <w:pStyle w:val="EndnoteText"/>
        <w:ind w:left="270" w:hanging="288"/>
      </w:pPr>
      <w:r>
        <w:rPr>
          <w:rStyle w:val="EndnoteReference"/>
        </w:rPr>
        <w:endnoteRef/>
      </w:r>
      <w:r>
        <w:t xml:space="preserve"> </w:t>
      </w:r>
      <w:r>
        <w:tab/>
      </w:r>
      <w:r w:rsidRPr="00FA4D30">
        <w:rPr>
          <w:i/>
          <w:iCs/>
        </w:rPr>
        <w:t>City of Enfield v Development Assessment Commission</w:t>
      </w:r>
      <w:r w:rsidRPr="00FA4D30">
        <w:t xml:space="preserve"> (2000) 199 CLR 135</w:t>
      </w:r>
      <w:r>
        <w:t>.</w:t>
      </w:r>
    </w:p>
  </w:endnote>
  <w:endnote w:id="71">
    <w:p w14:paraId="0B12DE95" w14:textId="25B12C51" w:rsidR="001A1790" w:rsidRDefault="001A1790" w:rsidP="0025233B">
      <w:pPr>
        <w:pStyle w:val="EndnoteText"/>
        <w:ind w:left="270" w:hanging="288"/>
      </w:pPr>
      <w:r>
        <w:rPr>
          <w:rStyle w:val="EndnoteReference"/>
        </w:rPr>
        <w:endnoteRef/>
      </w:r>
      <w:r>
        <w:t xml:space="preserve"> </w:t>
      </w:r>
      <w:r>
        <w:tab/>
      </w:r>
      <w:r w:rsidRPr="002830EB">
        <w:rPr>
          <w:i/>
          <w:iCs/>
        </w:rPr>
        <w:t>Crimes Act 1914</w:t>
      </w:r>
      <w:r>
        <w:t xml:space="preserve"> (Cth), s 3UJ(5).</w:t>
      </w:r>
    </w:p>
  </w:endnote>
  <w:endnote w:id="72">
    <w:p w14:paraId="1A44221C" w14:textId="31261CB1" w:rsidR="001A1790" w:rsidRPr="003F3285" w:rsidRDefault="001A1790" w:rsidP="0025233B">
      <w:pPr>
        <w:pStyle w:val="EndnoteText"/>
        <w:ind w:left="270" w:hanging="288"/>
        <w:rPr>
          <w:lang w:val="en-US"/>
        </w:rPr>
      </w:pPr>
      <w:r>
        <w:rPr>
          <w:rStyle w:val="EndnoteReference"/>
        </w:rPr>
        <w:endnoteRef/>
      </w:r>
      <w:r>
        <w:t xml:space="preserve"> </w:t>
      </w:r>
      <w:r>
        <w:rPr>
          <w:lang w:val="en-US"/>
        </w:rPr>
        <w:tab/>
        <w:t xml:space="preserve">Decisions under s 3UJ of the </w:t>
      </w:r>
      <w:r w:rsidRPr="003F3285">
        <w:rPr>
          <w:i/>
          <w:iCs/>
          <w:lang w:val="en-US"/>
        </w:rPr>
        <w:t>Crimes Act 1914</w:t>
      </w:r>
      <w:r>
        <w:rPr>
          <w:lang w:val="en-US"/>
        </w:rPr>
        <w:t xml:space="preserve"> (Cth) are not excluded from review by reason of Sch 1 of the </w:t>
      </w:r>
      <w:r w:rsidRPr="003F3285">
        <w:rPr>
          <w:i/>
          <w:iCs/>
          <w:lang w:val="en-US"/>
        </w:rPr>
        <w:t>Administrative Decisions (Judicial Review) Act 1977</w:t>
      </w:r>
      <w:r>
        <w:rPr>
          <w:lang w:val="en-US"/>
        </w:rPr>
        <w:t xml:space="preserve"> (Cth).</w:t>
      </w:r>
    </w:p>
  </w:endnote>
  <w:endnote w:id="73">
    <w:p w14:paraId="64FD091F" w14:textId="6EF7889F" w:rsidR="001A1790" w:rsidRPr="008B01FC" w:rsidRDefault="001A1790" w:rsidP="0025233B">
      <w:pPr>
        <w:pStyle w:val="EndnoteText"/>
        <w:ind w:left="270" w:hanging="288"/>
        <w:rPr>
          <w:lang w:val="en-US"/>
        </w:rPr>
      </w:pPr>
      <w:r>
        <w:rPr>
          <w:rStyle w:val="EndnoteReference"/>
        </w:rPr>
        <w:endnoteRef/>
      </w:r>
      <w:r>
        <w:t xml:space="preserve"> </w:t>
      </w:r>
      <w:r>
        <w:rPr>
          <w:lang w:val="en-US"/>
        </w:rPr>
        <w:tab/>
      </w:r>
      <w:r w:rsidRPr="009A1BC1">
        <w:rPr>
          <w:i/>
          <w:iCs/>
          <w:lang w:val="en-US"/>
        </w:rPr>
        <w:t>Crimes Act 1914</w:t>
      </w:r>
      <w:r>
        <w:rPr>
          <w:lang w:val="en-US"/>
        </w:rPr>
        <w:t xml:space="preserve"> (Cth), s 3UJ(4).</w:t>
      </w:r>
    </w:p>
  </w:endnote>
  <w:endnote w:id="74">
    <w:p w14:paraId="2A9743D9" w14:textId="167D6126" w:rsidR="001A1790" w:rsidRDefault="001A1790" w:rsidP="0025233B">
      <w:pPr>
        <w:pStyle w:val="EndnoteText"/>
        <w:ind w:left="270" w:hanging="288"/>
      </w:pPr>
      <w:r>
        <w:rPr>
          <w:rStyle w:val="EndnoteReference"/>
        </w:rPr>
        <w:endnoteRef/>
      </w:r>
      <w:r>
        <w:t xml:space="preserve"> </w:t>
      </w:r>
      <w:r>
        <w:tab/>
        <w:t xml:space="preserve">Independent National Security Legislation Monitor, </w:t>
      </w:r>
      <w:r w:rsidRPr="00314DBA">
        <w:rPr>
          <w:i/>
          <w:iCs/>
        </w:rPr>
        <w:t>Annual Report</w:t>
      </w:r>
      <w:r>
        <w:t xml:space="preserve">, 16 December 2011, p 43.  At </w:t>
      </w:r>
      <w:hyperlink r:id="rId22" w:history="1">
        <w:r>
          <w:rPr>
            <w:rStyle w:val="Hyperlink"/>
          </w:rPr>
          <w:t>https://www.inslm.gov.au/sites/default/files/inslm-annual-report-2011.pdf</w:t>
        </w:r>
      </w:hyperlink>
      <w:r>
        <w:t>.</w:t>
      </w:r>
    </w:p>
  </w:endnote>
  <w:endnote w:id="75">
    <w:p w14:paraId="3D9E7D25" w14:textId="678C2AB1" w:rsidR="001A1790" w:rsidRDefault="001A1790" w:rsidP="0025233B">
      <w:pPr>
        <w:pStyle w:val="EndnoteText"/>
        <w:ind w:left="270" w:hanging="288"/>
      </w:pPr>
      <w:r>
        <w:rPr>
          <w:rStyle w:val="EndnoteReference"/>
        </w:rPr>
        <w:endnoteRef/>
      </w:r>
      <w:r>
        <w:t xml:space="preserve"> </w:t>
      </w:r>
      <w:r>
        <w:tab/>
        <w:t xml:space="preserve">Attorney-General’s Department and Australian Federal Police, submission in response to questions from the PJCIS, 2018 review, p 5.  </w:t>
      </w:r>
    </w:p>
  </w:endnote>
  <w:endnote w:id="76">
    <w:p w14:paraId="3F567142" w14:textId="3C9CE6A4" w:rsidR="001A1790" w:rsidRDefault="001A1790" w:rsidP="008E309E">
      <w:pPr>
        <w:pStyle w:val="EndnoteText"/>
        <w:ind w:left="284" w:hanging="284"/>
      </w:pPr>
      <w:r>
        <w:rPr>
          <w:rStyle w:val="EndnoteReference"/>
        </w:rPr>
        <w:endnoteRef/>
      </w:r>
      <w:r>
        <w:t xml:space="preserve"> </w:t>
      </w:r>
      <w:r>
        <w:tab/>
      </w:r>
      <w:r w:rsidRPr="00385D82">
        <w:rPr>
          <w:i/>
          <w:iCs/>
        </w:rPr>
        <w:t>R (on the application of Gillan (FC) v Commissioner of Police for the Metropolis</w:t>
      </w:r>
      <w:r>
        <w:t xml:space="preserve"> [2006] UKHL 12 at [43]–[47] (Lord Hope of Craighead); see also European Court of Human Rights, </w:t>
      </w:r>
      <w:r w:rsidRPr="00221B48">
        <w:rPr>
          <w:i/>
          <w:iCs/>
        </w:rPr>
        <w:t>Gillan and Quinton v United Kingdom</w:t>
      </w:r>
      <w:r>
        <w:t xml:space="preserve"> (Application no. 4158/05), 12 January 2010 at [85]–[86].</w:t>
      </w:r>
    </w:p>
  </w:endnote>
  <w:endnote w:id="77">
    <w:p w14:paraId="700D5B0E" w14:textId="6DBA1512" w:rsidR="001A1790" w:rsidRDefault="001A1790" w:rsidP="0025233B">
      <w:pPr>
        <w:pStyle w:val="EndnoteText"/>
        <w:ind w:left="270" w:hanging="288"/>
      </w:pPr>
      <w:r>
        <w:rPr>
          <w:rStyle w:val="EndnoteReference"/>
        </w:rPr>
        <w:endnoteRef/>
      </w:r>
      <w:r>
        <w:t xml:space="preserve"> </w:t>
      </w:r>
      <w:r>
        <w:tab/>
      </w:r>
      <w:r w:rsidRPr="007428B3">
        <w:rPr>
          <w:i/>
          <w:iCs/>
        </w:rPr>
        <w:t>Crimes Act 1914</w:t>
      </w:r>
      <w:r>
        <w:t xml:space="preserve"> (Cth), s 3UB(2).</w:t>
      </w:r>
    </w:p>
  </w:endnote>
  <w:endnote w:id="78">
    <w:p w14:paraId="330853B1" w14:textId="05752FDE" w:rsidR="001A1790" w:rsidRDefault="001A1790" w:rsidP="0025233B">
      <w:pPr>
        <w:pStyle w:val="EndnoteText"/>
        <w:ind w:left="270" w:hanging="288"/>
      </w:pPr>
      <w:r>
        <w:rPr>
          <w:rStyle w:val="EndnoteReference"/>
        </w:rPr>
        <w:endnoteRef/>
      </w:r>
      <w:r>
        <w:t xml:space="preserve"> </w:t>
      </w:r>
      <w:r>
        <w:tab/>
      </w:r>
      <w:r w:rsidRPr="00DF5351">
        <w:rPr>
          <w:i/>
          <w:iCs/>
        </w:rPr>
        <w:t>Halliday v Nevill</w:t>
      </w:r>
      <w:r>
        <w:t xml:space="preserve"> (1984) 155 CLR 1 at 10 (Brennan J).</w:t>
      </w:r>
    </w:p>
  </w:endnote>
  <w:endnote w:id="79">
    <w:p w14:paraId="71271E3B" w14:textId="4D8D912B" w:rsidR="001A1790" w:rsidRDefault="001A1790" w:rsidP="0025233B">
      <w:pPr>
        <w:pStyle w:val="EndnoteText"/>
        <w:ind w:left="270" w:hanging="288"/>
      </w:pPr>
      <w:r>
        <w:rPr>
          <w:rStyle w:val="EndnoteReference"/>
        </w:rPr>
        <w:endnoteRef/>
      </w:r>
      <w:r>
        <w:t xml:space="preserve"> </w:t>
      </w:r>
      <w:r>
        <w:tab/>
      </w:r>
      <w:r w:rsidRPr="00945934">
        <w:rPr>
          <w:i/>
          <w:iCs/>
        </w:rPr>
        <w:t>George v Rockett</w:t>
      </w:r>
      <w:r>
        <w:t xml:space="preserve"> (1990) 170 CLR 104 at 109</w:t>
      </w:r>
      <w:r>
        <w:rPr>
          <w:lang w:val="en-US"/>
        </w:rPr>
        <w:t>–</w:t>
      </w:r>
      <w:r>
        <w:t>110.</w:t>
      </w:r>
    </w:p>
  </w:endnote>
  <w:endnote w:id="80">
    <w:p w14:paraId="3CA10362" w14:textId="77777777" w:rsidR="001A1790" w:rsidRDefault="001A1790" w:rsidP="0025233B">
      <w:pPr>
        <w:pStyle w:val="EndnoteText"/>
        <w:ind w:left="270" w:hanging="288"/>
      </w:pPr>
      <w:r>
        <w:rPr>
          <w:rStyle w:val="EndnoteReference"/>
        </w:rPr>
        <w:endnoteRef/>
      </w:r>
      <w:r>
        <w:t xml:space="preserve"> </w:t>
      </w:r>
      <w:r>
        <w:tab/>
      </w:r>
      <w:r w:rsidRPr="00DF5351">
        <w:rPr>
          <w:i/>
          <w:iCs/>
        </w:rPr>
        <w:t>Halliday v Nevill</w:t>
      </w:r>
      <w:r>
        <w:t xml:space="preserve"> (1984) 155 CLR 1 at 10 (Brennan J).</w:t>
      </w:r>
    </w:p>
  </w:endnote>
  <w:endnote w:id="81">
    <w:p w14:paraId="12D7D8DC" w14:textId="54AA8775" w:rsidR="001A1790" w:rsidRDefault="001A1790" w:rsidP="0025233B">
      <w:pPr>
        <w:pStyle w:val="EndnoteText"/>
        <w:ind w:left="270" w:hanging="288"/>
      </w:pPr>
      <w:r>
        <w:rPr>
          <w:rStyle w:val="EndnoteReference"/>
        </w:rPr>
        <w:endnoteRef/>
      </w:r>
      <w:r>
        <w:t xml:space="preserve"> </w:t>
      </w:r>
      <w:r>
        <w:tab/>
      </w:r>
      <w:r w:rsidRPr="00FE5CC1">
        <w:rPr>
          <w:i/>
          <w:iCs/>
        </w:rPr>
        <w:t>Crimes Act 1914</w:t>
      </w:r>
      <w:r>
        <w:t xml:space="preserve"> (Cth), s 3R.</w:t>
      </w:r>
    </w:p>
  </w:endnote>
  <w:endnote w:id="82">
    <w:p w14:paraId="7D06B19B" w14:textId="4273604A" w:rsidR="001A1790" w:rsidRDefault="001A1790" w:rsidP="0025233B">
      <w:pPr>
        <w:pStyle w:val="EndnoteText"/>
        <w:ind w:left="270" w:hanging="288"/>
      </w:pPr>
      <w:r>
        <w:rPr>
          <w:rStyle w:val="EndnoteReference"/>
        </w:rPr>
        <w:endnoteRef/>
      </w:r>
      <w:r>
        <w:t xml:space="preserve"> </w:t>
      </w:r>
      <w:r>
        <w:tab/>
        <w:t xml:space="preserve">For example, Law Council of Australia, </w:t>
      </w:r>
      <w:r w:rsidRPr="007358F0">
        <w:rPr>
          <w:i/>
          <w:iCs/>
        </w:rPr>
        <w:t>Review of police stop, search and seizure powers, the control order regime and the preventative detention order regime</w:t>
      </w:r>
      <w:r>
        <w:t xml:space="preserve">, submission to the PJCIS (3 November 2017), p 8.  At </w:t>
      </w:r>
      <w:hyperlink r:id="rId23" w:history="1">
        <w:r w:rsidRPr="00990265">
          <w:rPr>
            <w:rStyle w:val="Hyperlink"/>
          </w:rPr>
          <w:t>https://www.aph.gov.au/DocumentStore.ashx?id=19741c6e-98fc-4d3a-b52f-c4f9c5ee9595&amp;subId=561442</w:t>
        </w:r>
      </w:hyperlink>
      <w:r>
        <w:t xml:space="preserve">. </w:t>
      </w:r>
    </w:p>
  </w:endnote>
  <w:endnote w:id="83">
    <w:p w14:paraId="08A2F9BF" w14:textId="1B73A982" w:rsidR="001A1790" w:rsidRDefault="001A1790" w:rsidP="002C72CD">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submission to the PJCIS, 4 September 2020, pp 6 and 13.</w:t>
      </w:r>
    </w:p>
  </w:endnote>
  <w:endnote w:id="84">
    <w:p w14:paraId="347AEE29" w14:textId="3361A3F8" w:rsidR="001A1790" w:rsidRDefault="001A1790" w:rsidP="0025233B">
      <w:pPr>
        <w:pStyle w:val="EndnoteText"/>
        <w:ind w:left="270" w:hanging="288"/>
      </w:pPr>
      <w:r>
        <w:rPr>
          <w:rStyle w:val="EndnoteReference"/>
        </w:rPr>
        <w:endnoteRef/>
      </w:r>
      <w:r>
        <w:t xml:space="preserve"> </w:t>
      </w:r>
      <w:r>
        <w:tab/>
      </w:r>
      <w:r>
        <w:rPr>
          <w:lang w:val="en-US"/>
        </w:rPr>
        <w:t xml:space="preserve">Australian Federal Police, </w:t>
      </w:r>
      <w:r w:rsidRPr="009424EF">
        <w:rPr>
          <w:i/>
          <w:iCs/>
          <w:lang w:val="en-US"/>
        </w:rPr>
        <w:t>2017 Counter-terrorism powers review</w:t>
      </w:r>
      <w:r>
        <w:rPr>
          <w:lang w:val="en-US"/>
        </w:rPr>
        <w:t>, submission to the PJCIS (October 2017), at [18].</w:t>
      </w:r>
    </w:p>
  </w:endnote>
  <w:endnote w:id="85">
    <w:p w14:paraId="20E7D34A" w14:textId="0B34FEAE" w:rsidR="001A1790" w:rsidRPr="00B201F1" w:rsidRDefault="001A1790" w:rsidP="0025233B">
      <w:pPr>
        <w:pStyle w:val="EndnoteText"/>
        <w:ind w:left="270" w:hanging="288"/>
        <w:rPr>
          <w:lang w:val="en-US"/>
        </w:rPr>
      </w:pPr>
      <w:r>
        <w:rPr>
          <w:rStyle w:val="EndnoteReference"/>
        </w:rPr>
        <w:endnoteRef/>
      </w:r>
      <w:r>
        <w:t xml:space="preserve"> </w:t>
      </w:r>
      <w:r>
        <w:rPr>
          <w:lang w:val="en-US"/>
        </w:rPr>
        <w:tab/>
      </w:r>
      <w:r>
        <w:rPr>
          <w:i/>
        </w:rPr>
        <w:t>R v Besim</w:t>
      </w:r>
      <w:r>
        <w:t xml:space="preserve"> [2016] VSC 537 (Croucher J); </w:t>
      </w:r>
      <w:r w:rsidRPr="00883662">
        <w:rPr>
          <w:i/>
          <w:iCs/>
        </w:rPr>
        <w:t>R v Besim</w:t>
      </w:r>
      <w:r>
        <w:t xml:space="preserve"> </w:t>
      </w:r>
      <w:r w:rsidRPr="00883662">
        <w:t>[2017] VSCA 158</w:t>
      </w:r>
      <w:r>
        <w:t xml:space="preserve"> (Warren CJ, Weinberg and Kaye </w:t>
      </w:r>
      <w:r>
        <w:rPr>
          <w:sz w:val="22"/>
          <w:szCs w:val="22"/>
        </w:rPr>
        <w:t>JJA)</w:t>
      </w:r>
      <w:r>
        <w:t>.</w:t>
      </w:r>
    </w:p>
  </w:endnote>
  <w:endnote w:id="86">
    <w:p w14:paraId="59974B10" w14:textId="0EA2700A" w:rsidR="001A1790" w:rsidRPr="00CF1BCD"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[111].</w:t>
      </w:r>
    </w:p>
  </w:endnote>
  <w:endnote w:id="87">
    <w:p w14:paraId="2AE59E07" w14:textId="0862F7E0" w:rsidR="001A1790" w:rsidRPr="00881154" w:rsidRDefault="001A1790" w:rsidP="0025233B">
      <w:pPr>
        <w:pStyle w:val="EndnoteText"/>
        <w:ind w:left="270" w:hanging="288"/>
        <w:rPr>
          <w:lang w:val="en-US"/>
        </w:rPr>
      </w:pPr>
      <w:r>
        <w:rPr>
          <w:rStyle w:val="EndnoteReference"/>
        </w:rPr>
        <w:endnoteRef/>
      </w:r>
      <w:r>
        <w:t xml:space="preserve"> </w:t>
      </w:r>
      <w:r>
        <w:rPr>
          <w:lang w:val="en-US"/>
        </w:rPr>
        <w:tab/>
      </w:r>
      <w:r>
        <w:rPr>
          <w:i/>
        </w:rPr>
        <w:t>Finding into Death with Inquest: Ahmad Numan Haider</w:t>
      </w:r>
      <w:r>
        <w:t xml:space="preserve"> (Coroners Court of Victoria, 31 July 2017).</w:t>
      </w:r>
    </w:p>
  </w:endnote>
  <w:endnote w:id="88">
    <w:p w14:paraId="03E8DB72" w14:textId="32C498B3" w:rsidR="001A1790" w:rsidRPr="008615DB"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[136].</w:t>
      </w:r>
    </w:p>
  </w:endnote>
  <w:endnote w:id="89">
    <w:p w14:paraId="090E488A" w14:textId="468066BA" w:rsidR="001A1790" w:rsidRPr="00626548"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w:t>
      </w:r>
    </w:p>
  </w:endnote>
  <w:endnote w:id="90">
    <w:p w14:paraId="5D4E5C9D" w14:textId="77777777" w:rsidR="001A1790" w:rsidRPr="00A466EC"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[6], [84] and [211].</w:t>
      </w:r>
    </w:p>
  </w:endnote>
  <w:endnote w:id="91">
    <w:p w14:paraId="73AF7F1E" w14:textId="3D1D7CC6" w:rsidR="001A1790" w:rsidRPr="00A466EC"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[85].</w:t>
      </w:r>
    </w:p>
  </w:endnote>
  <w:endnote w:id="92">
    <w:p w14:paraId="2385946E" w14:textId="2F488029" w:rsidR="001A1790" w:rsidRPr="00A466EC"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[212] and [219].</w:t>
      </w:r>
    </w:p>
  </w:endnote>
  <w:endnote w:id="93">
    <w:p w14:paraId="5BCE8AFE" w14:textId="0B6982A2" w:rsidR="001A1790" w:rsidRPr="008615DB"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[132].</w:t>
      </w:r>
    </w:p>
  </w:endnote>
  <w:endnote w:id="94">
    <w:p w14:paraId="643759B1" w14:textId="69C53D3E" w:rsidR="001A1790" w:rsidRPr="008615DB"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[3].</w:t>
      </w:r>
    </w:p>
  </w:endnote>
  <w:endnote w:id="95">
    <w:p w14:paraId="41FE28D2" w14:textId="3F7250A2" w:rsidR="001A1790" w:rsidRPr="00DC70D0"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[221]</w:t>
      </w:r>
      <w:r>
        <w:rPr>
          <w:lang w:val="en-US"/>
        </w:rPr>
        <w:t>–</w:t>
      </w:r>
      <w:r>
        <w:t>[223].</w:t>
      </w:r>
    </w:p>
  </w:endnote>
  <w:endnote w:id="96">
    <w:p w14:paraId="4D7569A3" w14:textId="25389393" w:rsidR="001A1790" w:rsidRPr="002A0C21" w:rsidRDefault="001A1790" w:rsidP="0025233B">
      <w:pPr>
        <w:pStyle w:val="EndnoteText"/>
        <w:ind w:left="270" w:hanging="288"/>
        <w:rPr>
          <w:b/>
          <w:bCs/>
          <w:lang w:val="en-US"/>
        </w:rPr>
      </w:pPr>
      <w:r>
        <w:rPr>
          <w:rStyle w:val="EndnoteReference"/>
        </w:rPr>
        <w:endnoteRef/>
      </w:r>
      <w:r>
        <w:t xml:space="preserve"> </w:t>
      </w:r>
      <w:r>
        <w:rPr>
          <w:lang w:val="en-US"/>
        </w:rPr>
        <w:tab/>
        <w:t xml:space="preserve">SBS News, </w:t>
      </w:r>
      <w:r w:rsidRPr="002A0C21">
        <w:rPr>
          <w:i/>
          <w:iCs/>
          <w:lang w:val="en-US"/>
        </w:rPr>
        <w:t>Indigenous police brutality victim awarded $400,000</w:t>
      </w:r>
      <w:r>
        <w:rPr>
          <w:lang w:val="en-US"/>
        </w:rPr>
        <w:t xml:space="preserve">, 27 August 2019, at </w:t>
      </w:r>
      <w:hyperlink r:id="rId24" w:history="1">
        <w:r>
          <w:rPr>
            <w:rStyle w:val="Hyperlink"/>
          </w:rPr>
          <w:t>https://www.sbs.com.au/news/indigenous-police-brutality-victim-awarded-400-000</w:t>
        </w:r>
      </w:hyperlink>
      <w:r>
        <w:t xml:space="preserve">; </w:t>
      </w:r>
      <w:r w:rsidRPr="00A47BE2">
        <w:rPr>
          <w:i/>
          <w:iCs/>
          <w:lang w:val="en-US"/>
        </w:rPr>
        <w:t>Cruse v State of Victoria</w:t>
      </w:r>
      <w:r>
        <w:rPr>
          <w:lang w:val="en-US"/>
        </w:rPr>
        <w:t xml:space="preserve"> (2019) </w:t>
      </w:r>
      <w:r w:rsidRPr="009F1ED6">
        <w:t>59 VR 241</w:t>
      </w:r>
      <w:r>
        <w:t xml:space="preserve"> (Richards J) at [65]</w:t>
      </w:r>
      <w:r>
        <w:rPr>
          <w:lang w:val="en-US"/>
        </w:rPr>
        <w:t>–</w:t>
      </w:r>
      <w:r>
        <w:t>[66] and [94]</w:t>
      </w:r>
      <w:r>
        <w:rPr>
          <w:lang w:val="en-US"/>
        </w:rPr>
        <w:t>–</w:t>
      </w:r>
      <w:r>
        <w:t>[96].</w:t>
      </w:r>
    </w:p>
  </w:endnote>
  <w:endnote w:id="97">
    <w:p w14:paraId="47A78CAD" w14:textId="3AC8F5C6" w:rsidR="001A1790" w:rsidRPr="00DC70D0"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[221]</w:t>
      </w:r>
      <w:r>
        <w:rPr>
          <w:lang w:val="en-US"/>
        </w:rPr>
        <w:t>–</w:t>
      </w:r>
      <w:r>
        <w:t>[222].</w:t>
      </w:r>
    </w:p>
  </w:endnote>
  <w:endnote w:id="98">
    <w:p w14:paraId="4DEC13C5" w14:textId="4E0D41FB" w:rsidR="001A1790" w:rsidRPr="00B66A1D" w:rsidRDefault="001A1790" w:rsidP="0025233B">
      <w:pPr>
        <w:pStyle w:val="EndnoteText"/>
        <w:ind w:left="270" w:hanging="288"/>
        <w:rPr>
          <w:lang w:val="en-US"/>
        </w:rPr>
      </w:pPr>
      <w:r>
        <w:rPr>
          <w:rStyle w:val="EndnoteReference"/>
        </w:rPr>
        <w:endnoteRef/>
      </w:r>
      <w:r>
        <w:t xml:space="preserve"> </w:t>
      </w:r>
      <w:r>
        <w:rPr>
          <w:lang w:val="en-US"/>
        </w:rPr>
        <w:tab/>
        <w:t xml:space="preserve">Australian Federal Police, </w:t>
      </w:r>
      <w:r w:rsidRPr="009424EF">
        <w:rPr>
          <w:i/>
          <w:iCs/>
          <w:lang w:val="en-US"/>
        </w:rPr>
        <w:t>2017 Counter-terrorism powers review</w:t>
      </w:r>
      <w:r>
        <w:rPr>
          <w:lang w:val="en-US"/>
        </w:rPr>
        <w:t xml:space="preserve">, submission to the PJCIS (October 2017), at [17].  </w:t>
      </w:r>
    </w:p>
  </w:endnote>
  <w:endnote w:id="99">
    <w:p w14:paraId="35D0A306" w14:textId="4ADC6D7C" w:rsidR="001A1790" w:rsidRPr="00CC7709" w:rsidRDefault="001A1790" w:rsidP="0025233B">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104.1.</w:t>
      </w:r>
    </w:p>
  </w:endnote>
  <w:endnote w:id="100">
    <w:p w14:paraId="499CCA0B" w14:textId="0ED52871" w:rsidR="001A1790" w:rsidRPr="00CC7709" w:rsidRDefault="001A1790" w:rsidP="0025233B">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104.5(3).</w:t>
      </w:r>
    </w:p>
  </w:endnote>
  <w:endnote w:id="101">
    <w:p w14:paraId="4D3B41D5" w14:textId="426A15E4" w:rsidR="001A1790" w:rsidRPr="00FA18F2" w:rsidRDefault="001A1790" w:rsidP="0025233B">
      <w:pPr>
        <w:pStyle w:val="EndnoteText"/>
        <w:ind w:left="270" w:hanging="288"/>
        <w:rPr>
          <w:lang w:val="en-US"/>
        </w:rPr>
      </w:pPr>
      <w:r>
        <w:rPr>
          <w:rStyle w:val="EndnoteReference"/>
        </w:rPr>
        <w:endnoteRef/>
      </w:r>
      <w:r>
        <w:t xml:space="preserve"> </w:t>
      </w:r>
      <w:r>
        <w:rPr>
          <w:lang w:val="en-US"/>
        </w:rPr>
        <w:tab/>
      </w:r>
      <w:r w:rsidRPr="00546D6C">
        <w:rPr>
          <w:i/>
          <w:iCs/>
          <w:lang w:val="en-US"/>
        </w:rPr>
        <w:t>Criminal Code</w:t>
      </w:r>
      <w:r>
        <w:rPr>
          <w:lang w:val="en-US"/>
        </w:rPr>
        <w:t xml:space="preserve"> (Cth), s 104.5(6).</w:t>
      </w:r>
    </w:p>
  </w:endnote>
  <w:endnote w:id="102">
    <w:p w14:paraId="6C5CAABC" w14:textId="3A5B72A4" w:rsidR="001A1790" w:rsidRPr="00472C57" w:rsidRDefault="001A1790" w:rsidP="0025233B">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104.5(1)(f).</w:t>
      </w:r>
    </w:p>
  </w:endnote>
  <w:endnote w:id="103">
    <w:p w14:paraId="395B8E8B" w14:textId="6E71727D" w:rsidR="001A1790" w:rsidRPr="00A14569" w:rsidRDefault="001A1790" w:rsidP="0025233B">
      <w:pPr>
        <w:pStyle w:val="EndnoteText"/>
        <w:ind w:left="270" w:hanging="288"/>
        <w:rPr>
          <w:lang w:val="en-US"/>
        </w:rPr>
      </w:pPr>
      <w:r>
        <w:rPr>
          <w:rStyle w:val="EndnoteReference"/>
        </w:rPr>
        <w:endnoteRef/>
      </w:r>
      <w:r>
        <w:t xml:space="preserve"> </w:t>
      </w:r>
      <w:r>
        <w:rPr>
          <w:lang w:val="en-US"/>
        </w:rPr>
        <w:tab/>
      </w:r>
      <w:r w:rsidRPr="00E60E96">
        <w:rPr>
          <w:i/>
          <w:iCs/>
          <w:lang w:val="en-US"/>
        </w:rPr>
        <w:t>Criminal Code</w:t>
      </w:r>
      <w:r>
        <w:rPr>
          <w:lang w:val="en-US"/>
        </w:rPr>
        <w:t xml:space="preserve"> (Cth), s 104.28(2).</w:t>
      </w:r>
    </w:p>
  </w:endnote>
  <w:endnote w:id="104">
    <w:p w14:paraId="5847D9F4" w14:textId="5F2EA45D" w:rsidR="001A1790" w:rsidRPr="00856CE6" w:rsidRDefault="001A1790" w:rsidP="0025233B">
      <w:pPr>
        <w:pStyle w:val="EndnoteText"/>
        <w:ind w:left="270" w:hanging="288"/>
        <w:rPr>
          <w:lang w:val="en-US"/>
        </w:rPr>
      </w:pPr>
      <w:r>
        <w:rPr>
          <w:rStyle w:val="EndnoteReference"/>
        </w:rPr>
        <w:endnoteRef/>
      </w:r>
      <w:r>
        <w:t xml:space="preserve"> </w:t>
      </w:r>
      <w:r>
        <w:rPr>
          <w:lang w:val="en-US"/>
        </w:rPr>
        <w:tab/>
      </w:r>
      <w:r w:rsidRPr="00A75F9C">
        <w:rPr>
          <w:i/>
          <w:iCs/>
          <w:lang w:val="en-US"/>
        </w:rPr>
        <w:t>Criminal Code</w:t>
      </w:r>
      <w:r>
        <w:rPr>
          <w:lang w:val="en-US"/>
        </w:rPr>
        <w:t xml:space="preserve"> (Cth), ss 104.5(2), 104.28(3).</w:t>
      </w:r>
    </w:p>
  </w:endnote>
  <w:endnote w:id="105">
    <w:p w14:paraId="3B54DA7A" w14:textId="6E10B387" w:rsidR="001A1790" w:rsidRPr="00EE7801" w:rsidRDefault="001A1790" w:rsidP="0025233B">
      <w:pPr>
        <w:pStyle w:val="EndnoteText"/>
        <w:ind w:left="270" w:hanging="288"/>
        <w:rPr>
          <w:lang w:val="en-US"/>
        </w:rPr>
      </w:pPr>
      <w:r>
        <w:rPr>
          <w:rStyle w:val="EndnoteReference"/>
        </w:rPr>
        <w:endnoteRef/>
      </w:r>
      <w:r>
        <w:t xml:space="preserve"> </w:t>
      </w:r>
      <w:r>
        <w:rPr>
          <w:lang w:val="en-US"/>
        </w:rPr>
        <w:tab/>
      </w:r>
      <w:r w:rsidRPr="00EE7801">
        <w:rPr>
          <w:i/>
          <w:iCs/>
        </w:rPr>
        <w:t>R v Naizmand</w:t>
      </w:r>
      <w:r w:rsidRPr="00EE7801">
        <w:t xml:space="preserve"> [2017] NSWDC 4 (Scotting DCJ)</w:t>
      </w:r>
      <w:r>
        <w:t>.</w:t>
      </w:r>
    </w:p>
  </w:endnote>
  <w:endnote w:id="106">
    <w:p w14:paraId="2FCD91F2" w14:textId="37EB022C" w:rsidR="001A1790" w:rsidRPr="00350D42" w:rsidRDefault="001A1790" w:rsidP="0025233B">
      <w:pPr>
        <w:pStyle w:val="EndnoteText"/>
        <w:ind w:left="270" w:hanging="288"/>
        <w:rPr>
          <w:lang w:val="en-US"/>
        </w:rPr>
      </w:pPr>
      <w:r>
        <w:rPr>
          <w:rStyle w:val="EndnoteReference"/>
        </w:rPr>
        <w:endnoteRef/>
      </w:r>
      <w:r>
        <w:t xml:space="preserve"> </w:t>
      </w:r>
      <w:r>
        <w:rPr>
          <w:lang w:val="en-US"/>
        </w:rPr>
        <w:tab/>
      </w:r>
      <w:r w:rsidRPr="00542710">
        <w:rPr>
          <w:i/>
          <w:iCs/>
        </w:rPr>
        <w:t>Booth v Naizmand</w:t>
      </w:r>
      <w:r w:rsidRPr="00542710">
        <w:t xml:space="preserve"> [2020] FCA 244 (Bromwich J).</w:t>
      </w:r>
    </w:p>
  </w:endnote>
  <w:endnote w:id="107">
    <w:p w14:paraId="6224B341" w14:textId="287ABB4E" w:rsidR="001A1790" w:rsidRPr="00A75F9C" w:rsidRDefault="001A1790" w:rsidP="0025233B">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104.27.</w:t>
      </w:r>
    </w:p>
  </w:endnote>
  <w:endnote w:id="108">
    <w:p w14:paraId="358C3FA0" w14:textId="77777777" w:rsidR="001A1790" w:rsidRPr="00C01B67" w:rsidRDefault="001A1790" w:rsidP="0025233B">
      <w:pPr>
        <w:pStyle w:val="EndnoteText"/>
        <w:ind w:left="270" w:hanging="288"/>
        <w:rPr>
          <w:lang w:val="en-US"/>
        </w:rPr>
      </w:pPr>
      <w:r>
        <w:rPr>
          <w:rStyle w:val="EndnoteReference"/>
        </w:rPr>
        <w:endnoteRef/>
      </w:r>
      <w:r>
        <w:t xml:space="preserve"> </w:t>
      </w:r>
      <w:r>
        <w:rPr>
          <w:lang w:val="en-US"/>
        </w:rPr>
        <w:tab/>
        <w:t xml:space="preserve">Tim Matthews, ‘Under Control but Out of Proportion: </w:t>
      </w:r>
      <w:r>
        <w:t xml:space="preserve">Proportionality in Sentencing for Control Order Violations’ (2017) 40(4) </w:t>
      </w:r>
      <w:r w:rsidRPr="0020376E">
        <w:rPr>
          <w:i/>
          <w:iCs/>
        </w:rPr>
        <w:t>UNSWLJ</w:t>
      </w:r>
      <w:r>
        <w:t xml:space="preserve"> 1422.</w:t>
      </w:r>
    </w:p>
  </w:endnote>
  <w:endnote w:id="109">
    <w:p w14:paraId="0BF34556" w14:textId="4FA2703F" w:rsidR="001A1790" w:rsidRPr="000723E0"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Control Order Safeguards – Part 2</w:t>
      </w:r>
      <w:r>
        <w:rPr>
          <w:lang w:val="en-US"/>
        </w:rPr>
        <w:t xml:space="preserve"> (April 2016), Appendix A4, p xv.  At </w:t>
      </w:r>
      <w:hyperlink r:id="rId25" w:history="1">
        <w:r w:rsidRPr="00D45BE3">
          <w:rPr>
            <w:rStyle w:val="Hyperlink"/>
            <w:lang w:val="en-US"/>
          </w:rPr>
          <w:t>https://www.inslm.gov.au/sites/default/files/control-order-safeguards-part2.pdf</w:t>
        </w:r>
      </w:hyperlink>
      <w:r>
        <w:rPr>
          <w:lang w:val="en-US"/>
        </w:rPr>
        <w:t xml:space="preserve">. </w:t>
      </w:r>
    </w:p>
  </w:endnote>
  <w:endnote w:id="110">
    <w:p w14:paraId="44A52689" w14:textId="2D924916" w:rsidR="001A1790" w:rsidRPr="004618FA" w:rsidRDefault="001A1790" w:rsidP="0025233B">
      <w:pPr>
        <w:pStyle w:val="EndnoteText"/>
        <w:ind w:left="270" w:hanging="288"/>
        <w:rPr>
          <w:lang w:val="en-US"/>
        </w:rPr>
      </w:pPr>
      <w:r>
        <w:rPr>
          <w:rStyle w:val="EndnoteReference"/>
        </w:rPr>
        <w:endnoteRef/>
      </w:r>
      <w:r>
        <w:t xml:space="preserve"> </w:t>
      </w:r>
      <w:r>
        <w:rPr>
          <w:lang w:val="en-US"/>
        </w:rPr>
        <w:tab/>
      </w:r>
      <w:r w:rsidRPr="005643D3">
        <w:rPr>
          <w:i/>
          <w:iCs/>
        </w:rPr>
        <w:t>R v MO [No 1]</w:t>
      </w:r>
      <w:r w:rsidRPr="005643D3">
        <w:t xml:space="preserve"> [2016] NSWDC 144 (Berman DCJ)</w:t>
      </w:r>
      <w:r>
        <w:t xml:space="preserve"> at [4].</w:t>
      </w:r>
    </w:p>
  </w:endnote>
  <w:endnote w:id="111">
    <w:p w14:paraId="2DD1E5C2" w14:textId="74972B1B" w:rsidR="001A1790" w:rsidRPr="00225299" w:rsidRDefault="001A1790" w:rsidP="0025233B">
      <w:pPr>
        <w:pStyle w:val="EndnoteText"/>
        <w:ind w:left="270" w:hanging="288"/>
        <w:rPr>
          <w:lang w:val="en-US"/>
        </w:rPr>
      </w:pPr>
      <w:r>
        <w:rPr>
          <w:rStyle w:val="EndnoteReference"/>
        </w:rPr>
        <w:endnoteRef/>
      </w:r>
      <w:r>
        <w:t xml:space="preserve"> </w:t>
      </w:r>
      <w:r>
        <w:rPr>
          <w:lang w:val="en-US"/>
        </w:rPr>
        <w:tab/>
      </w:r>
      <w:r w:rsidRPr="00225299">
        <w:rPr>
          <w:i/>
          <w:iCs/>
        </w:rPr>
        <w:t xml:space="preserve">R v MO (No 2) </w:t>
      </w:r>
      <w:r w:rsidRPr="00225299">
        <w:t>[2016] NSWDC 145</w:t>
      </w:r>
      <w:r>
        <w:t xml:space="preserve"> </w:t>
      </w:r>
      <w:r w:rsidRPr="005643D3">
        <w:t>(Berman DCJ)</w:t>
      </w:r>
      <w:r>
        <w:t xml:space="preserve">.  Mr MO was initially sentenced to two and a half years imprisonment with </w:t>
      </w:r>
      <w:r w:rsidRPr="003778C2">
        <w:t>an order that he be released pursuant to a recognisance release order after serving 18 months</w:t>
      </w:r>
      <w:r>
        <w:t xml:space="preserve">, but the head sentence was reduced to two years the following day because the prosecution and the Court had failed to take into account the effect of </w:t>
      </w:r>
      <w:r w:rsidRPr="004E020D">
        <w:t>s 19AG</w:t>
      </w:r>
      <w:r>
        <w:t xml:space="preserve"> </w:t>
      </w:r>
      <w:r w:rsidRPr="004E020D">
        <w:t>of the</w:t>
      </w:r>
      <w:r>
        <w:t xml:space="preserve"> </w:t>
      </w:r>
      <w:r w:rsidRPr="004E020D">
        <w:t>Crimes Act</w:t>
      </w:r>
      <w:r>
        <w:t xml:space="preserve"> </w:t>
      </w:r>
      <w:r w:rsidRPr="004E020D">
        <w:t>which provides that where a person is convicted of a terrorism offence a non-parole period of at least three</w:t>
      </w:r>
      <w:r w:rsidRPr="004E020D">
        <w:noBreakHyphen/>
        <w:t>quarters of the sentence must be set by the Court</w:t>
      </w:r>
      <w:r>
        <w:t>.</w:t>
      </w:r>
    </w:p>
  </w:endnote>
  <w:endnote w:id="112">
    <w:p w14:paraId="4E7A9AFD" w14:textId="5A1B9108" w:rsidR="001A1790" w:rsidRPr="0040507B" w:rsidRDefault="001A1790" w:rsidP="0025233B">
      <w:pPr>
        <w:pStyle w:val="EndnoteText"/>
        <w:ind w:left="270" w:hanging="288"/>
        <w:rPr>
          <w:lang w:val="en-US"/>
        </w:rPr>
      </w:pPr>
      <w:r>
        <w:rPr>
          <w:rStyle w:val="EndnoteReference"/>
        </w:rPr>
        <w:endnoteRef/>
      </w:r>
      <w:r>
        <w:t xml:space="preserve"> </w:t>
      </w:r>
      <w:r>
        <w:rPr>
          <w:lang w:val="en-US"/>
        </w:rPr>
        <w:tab/>
      </w:r>
      <w:r w:rsidRPr="001100F3">
        <w:rPr>
          <w:i/>
          <w:iCs/>
        </w:rPr>
        <w:t>R v Naizmand</w:t>
      </w:r>
      <w:r w:rsidRPr="001100F3">
        <w:t xml:space="preserve"> [2017] NSWDC 4 (Scotting DCJ)</w:t>
      </w:r>
      <w:r>
        <w:t xml:space="preserve"> at [9]</w:t>
      </w:r>
      <w:r w:rsidRPr="001100F3">
        <w:t>.</w:t>
      </w:r>
    </w:p>
  </w:endnote>
  <w:endnote w:id="113">
    <w:p w14:paraId="4D26FCE9" w14:textId="3CE9EF4B" w:rsidR="001A1790" w:rsidRPr="003B5DE3" w:rsidRDefault="001A1790" w:rsidP="0025233B">
      <w:pPr>
        <w:pStyle w:val="EndnoteText"/>
        <w:ind w:left="270" w:hanging="288"/>
        <w:rPr>
          <w:lang w:val="en-US"/>
        </w:rPr>
      </w:pPr>
      <w:r>
        <w:rPr>
          <w:rStyle w:val="EndnoteReference"/>
        </w:rPr>
        <w:endnoteRef/>
      </w:r>
      <w:r>
        <w:t xml:space="preserve"> </w:t>
      </w:r>
      <w:r>
        <w:rPr>
          <w:lang w:val="en-US"/>
        </w:rPr>
        <w:tab/>
      </w:r>
      <w:r w:rsidRPr="001100F3">
        <w:rPr>
          <w:i/>
          <w:iCs/>
        </w:rPr>
        <w:t>R v Naizmand</w:t>
      </w:r>
      <w:r w:rsidRPr="001100F3">
        <w:t xml:space="preserve"> [2017] NSWDC 4 (Scotting DCJ)</w:t>
      </w:r>
      <w:r>
        <w:t xml:space="preserve"> at [8]</w:t>
      </w:r>
      <w:r w:rsidRPr="001100F3">
        <w:t>.</w:t>
      </w:r>
    </w:p>
  </w:endnote>
  <w:endnote w:id="114">
    <w:p w14:paraId="2039ECEF" w14:textId="758DF47F" w:rsidR="001A1790" w:rsidRPr="004C61FE" w:rsidRDefault="001A1790" w:rsidP="0025233B">
      <w:pPr>
        <w:pStyle w:val="EndnoteText"/>
        <w:ind w:left="270" w:hanging="288"/>
        <w:rPr>
          <w:lang w:val="en-US"/>
        </w:rPr>
      </w:pPr>
      <w:r>
        <w:rPr>
          <w:rStyle w:val="EndnoteReference"/>
        </w:rPr>
        <w:endnoteRef/>
      </w:r>
      <w:r>
        <w:t xml:space="preserve"> </w:t>
      </w:r>
      <w:r>
        <w:rPr>
          <w:lang w:val="en-US"/>
        </w:rPr>
        <w:tab/>
      </w:r>
      <w:r w:rsidRPr="001100F3">
        <w:rPr>
          <w:i/>
          <w:iCs/>
        </w:rPr>
        <w:t>R v Naizmand</w:t>
      </w:r>
      <w:r w:rsidRPr="001100F3">
        <w:t xml:space="preserve"> [2017] NSWDC 4 (Scotting DCJ)</w:t>
      </w:r>
      <w:r>
        <w:t xml:space="preserve"> at [39]</w:t>
      </w:r>
      <w:r w:rsidRPr="001100F3">
        <w:t>.</w:t>
      </w:r>
    </w:p>
  </w:endnote>
  <w:endnote w:id="115">
    <w:p w14:paraId="08E3A37A" w14:textId="61E9ADB0" w:rsidR="001A1790" w:rsidRPr="004C61FE" w:rsidRDefault="001A1790" w:rsidP="0025233B">
      <w:pPr>
        <w:pStyle w:val="EndnoteText"/>
        <w:ind w:left="270" w:hanging="288"/>
        <w:rPr>
          <w:lang w:val="en-US"/>
        </w:rPr>
      </w:pPr>
      <w:r>
        <w:rPr>
          <w:rStyle w:val="EndnoteReference"/>
        </w:rPr>
        <w:endnoteRef/>
      </w:r>
      <w:r>
        <w:t xml:space="preserve"> </w:t>
      </w:r>
      <w:r>
        <w:rPr>
          <w:lang w:val="en-US"/>
        </w:rPr>
        <w:tab/>
      </w:r>
      <w:r w:rsidRPr="001100F3">
        <w:rPr>
          <w:i/>
          <w:iCs/>
        </w:rPr>
        <w:t>R v Naizmand</w:t>
      </w:r>
      <w:r w:rsidRPr="001100F3">
        <w:t xml:space="preserve"> [2017] NSWDC 4 (Scotting DCJ)</w:t>
      </w:r>
      <w:r>
        <w:t xml:space="preserve"> at [71]</w:t>
      </w:r>
      <w:r w:rsidRPr="001100F3">
        <w:t>.</w:t>
      </w:r>
    </w:p>
  </w:endnote>
  <w:endnote w:id="116">
    <w:p w14:paraId="6A9E5EB6" w14:textId="571B8EE4" w:rsidR="001A1790" w:rsidRPr="00AC5256" w:rsidRDefault="001A1790" w:rsidP="0025233B">
      <w:pPr>
        <w:pStyle w:val="EndnoteText"/>
        <w:ind w:left="270" w:hanging="288"/>
        <w:rPr>
          <w:lang w:val="en-US"/>
        </w:rPr>
      </w:pPr>
      <w:r>
        <w:rPr>
          <w:rStyle w:val="EndnoteReference"/>
        </w:rPr>
        <w:endnoteRef/>
      </w:r>
      <w:r>
        <w:t xml:space="preserve"> </w:t>
      </w:r>
      <w:r>
        <w:rPr>
          <w:lang w:val="en-US"/>
        </w:rPr>
        <w:tab/>
      </w:r>
      <w:r w:rsidRPr="001100F3">
        <w:rPr>
          <w:i/>
          <w:iCs/>
        </w:rPr>
        <w:t>R v Naizmand</w:t>
      </w:r>
      <w:r w:rsidRPr="001100F3">
        <w:t xml:space="preserve"> [2017] NSWDC 4 (Scotting DCJ)</w:t>
      </w:r>
      <w:r>
        <w:t xml:space="preserve"> at [78]</w:t>
      </w:r>
      <w:r>
        <w:rPr>
          <w:lang w:val="en-US"/>
        </w:rPr>
        <w:t>–</w:t>
      </w:r>
      <w:r>
        <w:t>[83]</w:t>
      </w:r>
      <w:r w:rsidRPr="001100F3">
        <w:t>.</w:t>
      </w:r>
      <w:r>
        <w:t xml:space="preserve">  An appeal against the severity of this sentence was dismissed: </w:t>
      </w:r>
      <w:r w:rsidRPr="00651CF6">
        <w:rPr>
          <w:i/>
          <w:iCs/>
          <w:lang w:val="en-US"/>
        </w:rPr>
        <w:t>Naizmand v R</w:t>
      </w:r>
      <w:r w:rsidRPr="00651CF6">
        <w:rPr>
          <w:lang w:val="en-US"/>
        </w:rPr>
        <w:t xml:space="preserve"> [2018] NSWCCA 25</w:t>
      </w:r>
      <w:r>
        <w:rPr>
          <w:lang w:val="en-US"/>
        </w:rPr>
        <w:t>.</w:t>
      </w:r>
    </w:p>
  </w:endnote>
  <w:endnote w:id="117">
    <w:p w14:paraId="65F4814C" w14:textId="77777777" w:rsidR="001A1790" w:rsidRPr="00350D42" w:rsidRDefault="001A1790" w:rsidP="0025233B">
      <w:pPr>
        <w:pStyle w:val="EndnoteText"/>
        <w:ind w:left="270" w:hanging="288"/>
        <w:rPr>
          <w:lang w:val="en-US"/>
        </w:rPr>
      </w:pPr>
      <w:r>
        <w:rPr>
          <w:rStyle w:val="EndnoteReference"/>
        </w:rPr>
        <w:endnoteRef/>
      </w:r>
      <w:r>
        <w:t xml:space="preserve"> </w:t>
      </w:r>
      <w:r>
        <w:rPr>
          <w:lang w:val="en-US"/>
        </w:rPr>
        <w:tab/>
      </w:r>
      <w:r w:rsidRPr="00542710">
        <w:rPr>
          <w:i/>
          <w:iCs/>
        </w:rPr>
        <w:t>Booth v Naizmand</w:t>
      </w:r>
      <w:r w:rsidRPr="00542710">
        <w:t xml:space="preserve"> [2020] FCA 244 (Bromwich J).</w:t>
      </w:r>
    </w:p>
  </w:endnote>
  <w:endnote w:id="118">
    <w:p w14:paraId="3CB9C63A" w14:textId="4A29F12A" w:rsidR="001A1790" w:rsidRPr="00AD501D" w:rsidRDefault="001A1790" w:rsidP="0025233B">
      <w:pPr>
        <w:pStyle w:val="EndnoteText"/>
        <w:ind w:left="270" w:hanging="288"/>
        <w:rPr>
          <w:lang w:val="en-US"/>
        </w:rPr>
      </w:pPr>
      <w:r>
        <w:rPr>
          <w:rStyle w:val="EndnoteReference"/>
        </w:rPr>
        <w:endnoteRef/>
      </w:r>
      <w:r>
        <w:t xml:space="preserve"> </w:t>
      </w:r>
      <w:r>
        <w:rPr>
          <w:lang w:val="en-US"/>
        </w:rPr>
        <w:tab/>
      </w:r>
      <w:r w:rsidRPr="00AD501D">
        <w:rPr>
          <w:i/>
          <w:iCs/>
          <w:lang w:val="en-US"/>
        </w:rPr>
        <w:t>Crimes Act 1914</w:t>
      </w:r>
      <w:r>
        <w:rPr>
          <w:lang w:val="en-US"/>
        </w:rPr>
        <w:t xml:space="preserve"> (Cth), s 3(1), definition of ‘terrorism offence’.</w:t>
      </w:r>
    </w:p>
  </w:endnote>
  <w:endnote w:id="119">
    <w:p w14:paraId="52402BE0" w14:textId="51749950" w:rsidR="001A1790" w:rsidRPr="00D15B35" w:rsidRDefault="001A1790" w:rsidP="0025233B">
      <w:pPr>
        <w:pStyle w:val="EndnoteText"/>
        <w:ind w:left="270" w:hanging="288"/>
        <w:rPr>
          <w:lang w:val="en-US"/>
        </w:rPr>
      </w:pPr>
      <w:r>
        <w:rPr>
          <w:rStyle w:val="EndnoteReference"/>
        </w:rPr>
        <w:endnoteRef/>
      </w:r>
      <w:r>
        <w:t xml:space="preserve"> </w:t>
      </w:r>
      <w:r>
        <w:rPr>
          <w:lang w:val="en-US"/>
        </w:rPr>
        <w:tab/>
      </w:r>
      <w:r w:rsidRPr="00D15B35">
        <w:rPr>
          <w:i/>
          <w:iCs/>
          <w:lang w:val="en-US"/>
        </w:rPr>
        <w:t>Crimes Act 1914</w:t>
      </w:r>
      <w:r>
        <w:rPr>
          <w:lang w:val="en-US"/>
        </w:rPr>
        <w:t xml:space="preserve"> (Cth), s 19ALB.</w:t>
      </w:r>
    </w:p>
  </w:endnote>
  <w:endnote w:id="120">
    <w:p w14:paraId="408E83D2" w14:textId="4BA492CB" w:rsidR="001A1790" w:rsidRPr="001E481C" w:rsidRDefault="001A1790" w:rsidP="0025233B">
      <w:pPr>
        <w:pStyle w:val="EndnoteText"/>
        <w:ind w:left="270" w:hanging="288"/>
        <w:rPr>
          <w:lang w:val="en-US"/>
        </w:rPr>
      </w:pPr>
      <w:r>
        <w:rPr>
          <w:rStyle w:val="EndnoteReference"/>
        </w:rPr>
        <w:endnoteRef/>
      </w:r>
      <w:r>
        <w:t xml:space="preserve"> </w:t>
      </w:r>
      <w:r>
        <w:rPr>
          <w:lang w:val="en-US"/>
        </w:rPr>
        <w:tab/>
      </w:r>
      <w:r w:rsidRPr="00BE29E3">
        <w:rPr>
          <w:i/>
          <w:iCs/>
          <w:lang w:val="en-US"/>
        </w:rPr>
        <w:t>Criminal Code</w:t>
      </w:r>
      <w:r>
        <w:rPr>
          <w:lang w:val="en-US"/>
        </w:rPr>
        <w:t xml:space="preserve"> (Cth), s 104.2(1).  For the process in urgent circumstances, see </w:t>
      </w:r>
      <w:r w:rsidRPr="00E84D26">
        <w:rPr>
          <w:i/>
          <w:iCs/>
          <w:lang w:val="en-US"/>
        </w:rPr>
        <w:t>Criminal Code</w:t>
      </w:r>
      <w:r>
        <w:rPr>
          <w:lang w:val="en-US"/>
        </w:rPr>
        <w:t xml:space="preserve"> (Cth), ss 104.6–104.11.</w:t>
      </w:r>
    </w:p>
  </w:endnote>
  <w:endnote w:id="121">
    <w:p w14:paraId="129B089D" w14:textId="7A174AA0" w:rsidR="001A1790" w:rsidRPr="000115B1" w:rsidRDefault="001A1790" w:rsidP="0025233B">
      <w:pPr>
        <w:pStyle w:val="EndnoteText"/>
        <w:ind w:left="270" w:hanging="288"/>
        <w:rPr>
          <w:lang w:val="en-US"/>
        </w:rPr>
      </w:pPr>
      <w:r>
        <w:rPr>
          <w:rStyle w:val="EndnoteReference"/>
        </w:rPr>
        <w:endnoteRef/>
      </w:r>
      <w:r>
        <w:t xml:space="preserve"> </w:t>
      </w:r>
      <w:r>
        <w:rPr>
          <w:lang w:val="en-US"/>
        </w:rPr>
        <w:tab/>
      </w:r>
      <w:r w:rsidRPr="00BE29E3">
        <w:rPr>
          <w:i/>
          <w:iCs/>
          <w:lang w:val="en-US"/>
        </w:rPr>
        <w:t>Criminal Code</w:t>
      </w:r>
      <w:r>
        <w:rPr>
          <w:lang w:val="en-US"/>
        </w:rPr>
        <w:t xml:space="preserve"> (Cth), s 104.</w:t>
      </w:r>
    </w:p>
  </w:endnote>
  <w:endnote w:id="122">
    <w:p w14:paraId="3CC1A6AA" w14:textId="20DE1B0F" w:rsidR="001A1790" w:rsidRPr="00984C85" w:rsidRDefault="001A1790" w:rsidP="0025233B">
      <w:pPr>
        <w:pStyle w:val="EndnoteText"/>
        <w:ind w:left="270" w:hanging="288"/>
        <w:rPr>
          <w:lang w:val="en-US"/>
        </w:rPr>
      </w:pPr>
      <w:r>
        <w:rPr>
          <w:rStyle w:val="EndnoteReference"/>
        </w:rPr>
        <w:endnoteRef/>
      </w:r>
      <w:r>
        <w:t xml:space="preserve"> </w:t>
      </w:r>
      <w:r>
        <w:rPr>
          <w:lang w:val="en-US"/>
        </w:rPr>
        <w:tab/>
        <w:t xml:space="preserve">It was a recommendation of the COAG Review Committee that only the Federal Court have jurisdiction to issue control orders.  Both the Federal Court and the Federal Circuit Court agreed with this submission, with the Federal Circuit Court noting in 2015 that its premises were not all suitable for security cases.  In April 2016, the second INSLM recommended that only the Federal Court have jurisdiction to make control orders, but that it have the power to remit a request for a control order to the Federal Circuit Court: Independent National Security Legislation Monitor, </w:t>
      </w:r>
      <w:r w:rsidRPr="009E2011">
        <w:rPr>
          <w:i/>
          <w:iCs/>
          <w:lang w:val="en-US"/>
        </w:rPr>
        <w:t>Control Order Safeguards – Part 2</w:t>
      </w:r>
      <w:r>
        <w:rPr>
          <w:lang w:val="en-US"/>
        </w:rPr>
        <w:t xml:space="preserve"> (April 2016) at [6.7].  This submission was not accepted by the Government: Attorney-General’s Department and Australian Federal Police, </w:t>
      </w:r>
      <w:r w:rsidRPr="006E32E9">
        <w:rPr>
          <w:i/>
          <w:iCs/>
        </w:rPr>
        <w:t>Joint supplementary submission and responses to questions on notice</w:t>
      </w:r>
      <w:r>
        <w:t xml:space="preserve">, 2018 PJCIS review, at </w:t>
      </w:r>
      <w:hyperlink r:id="rId26" w:history="1">
        <w:r w:rsidRPr="00FE4C7D">
          <w:rPr>
            <w:rStyle w:val="Hyperlink"/>
          </w:rPr>
          <w:t>https://www.aph.gov.au/DocumentStore.ashx?id=21ad9998-5d4e-422e-8f72-cdc0623e1d4b&amp;subId=561854</w:t>
        </w:r>
      </w:hyperlink>
      <w:r>
        <w:t>.  Since then, all applications have been brought in the Federal Court.</w:t>
      </w:r>
    </w:p>
  </w:endnote>
  <w:endnote w:id="123">
    <w:p w14:paraId="6E9CD8D5" w14:textId="3063A5CA" w:rsidR="001A1790" w:rsidRPr="00BA1003" w:rsidRDefault="001A1790" w:rsidP="0025233B">
      <w:pPr>
        <w:pStyle w:val="EndnoteText"/>
        <w:ind w:left="270" w:hanging="288"/>
        <w:rPr>
          <w:lang w:val="en-US"/>
        </w:rPr>
      </w:pPr>
      <w:r>
        <w:rPr>
          <w:rStyle w:val="EndnoteReference"/>
        </w:rPr>
        <w:endnoteRef/>
      </w:r>
      <w:r>
        <w:t xml:space="preserve"> </w:t>
      </w:r>
      <w:r>
        <w:rPr>
          <w:lang w:val="en-US"/>
        </w:rPr>
        <w:tab/>
      </w:r>
      <w:r w:rsidRPr="00BE29E3">
        <w:rPr>
          <w:i/>
          <w:iCs/>
          <w:lang w:val="en-US"/>
        </w:rPr>
        <w:t>Criminal Code</w:t>
      </w:r>
      <w:r>
        <w:rPr>
          <w:lang w:val="en-US"/>
        </w:rPr>
        <w:t xml:space="preserve"> (Cth), s 104.28A(1).</w:t>
      </w:r>
    </w:p>
  </w:endnote>
  <w:endnote w:id="124">
    <w:p w14:paraId="5CF0F343" w14:textId="7AB2E325" w:rsidR="001A1790" w:rsidRPr="008F7F09" w:rsidRDefault="001A1790" w:rsidP="0025233B">
      <w:pPr>
        <w:pStyle w:val="EndnoteText"/>
        <w:ind w:left="270" w:hanging="288"/>
        <w:rPr>
          <w:lang w:val="en-US"/>
        </w:rPr>
      </w:pPr>
      <w:r>
        <w:rPr>
          <w:rStyle w:val="EndnoteReference"/>
        </w:rPr>
        <w:endnoteRef/>
      </w:r>
      <w:r>
        <w:t xml:space="preserve"> </w:t>
      </w:r>
      <w:r>
        <w:rPr>
          <w:lang w:val="en-US"/>
        </w:rPr>
        <w:tab/>
      </w:r>
      <w:r w:rsidRPr="004105B4">
        <w:rPr>
          <w:i/>
          <w:iCs/>
          <w:lang w:val="en-US"/>
        </w:rPr>
        <w:t>Evidence Act 1995</w:t>
      </w:r>
      <w:r>
        <w:rPr>
          <w:lang w:val="en-US"/>
        </w:rPr>
        <w:t xml:space="preserve"> (Cth), s 75.</w:t>
      </w:r>
    </w:p>
  </w:endnote>
  <w:endnote w:id="125">
    <w:p w14:paraId="48380708" w14:textId="2185967D" w:rsidR="001A1790" w:rsidRPr="00F25E14" w:rsidRDefault="001A1790" w:rsidP="0025233B">
      <w:pPr>
        <w:pStyle w:val="EndnoteText"/>
        <w:ind w:left="270" w:hanging="288"/>
        <w:rPr>
          <w:lang w:val="en-US"/>
        </w:rPr>
      </w:pPr>
      <w:r>
        <w:rPr>
          <w:rStyle w:val="EndnoteReference"/>
        </w:rPr>
        <w:endnoteRef/>
      </w:r>
      <w:r>
        <w:t xml:space="preserve"> </w:t>
      </w:r>
      <w:r>
        <w:rPr>
          <w:lang w:val="en-US"/>
        </w:rPr>
        <w:tab/>
      </w:r>
      <w:r w:rsidRPr="00684C50">
        <w:rPr>
          <w:i/>
          <w:iCs/>
          <w:lang w:val="en-US"/>
        </w:rPr>
        <w:t>Criminal Code</w:t>
      </w:r>
      <w:r>
        <w:rPr>
          <w:lang w:val="en-US"/>
        </w:rPr>
        <w:t xml:space="preserve"> (Cth), s 104.12(1)(a).</w:t>
      </w:r>
    </w:p>
  </w:endnote>
  <w:endnote w:id="126">
    <w:p w14:paraId="3975AC00" w14:textId="6C9DBAD2" w:rsidR="001A1790" w:rsidRPr="00B2292E" w:rsidRDefault="001A1790" w:rsidP="0025233B">
      <w:pPr>
        <w:pStyle w:val="EndnoteText"/>
        <w:ind w:left="270" w:hanging="288"/>
        <w:rPr>
          <w:lang w:val="en-US"/>
        </w:rPr>
      </w:pPr>
      <w:r>
        <w:rPr>
          <w:rStyle w:val="EndnoteReference"/>
        </w:rPr>
        <w:endnoteRef/>
      </w:r>
      <w:r>
        <w:t xml:space="preserve"> </w:t>
      </w:r>
      <w:r>
        <w:rPr>
          <w:lang w:val="en-US"/>
        </w:rPr>
        <w:tab/>
      </w:r>
      <w:r w:rsidRPr="00CA6DF0">
        <w:rPr>
          <w:i/>
          <w:iCs/>
          <w:lang w:val="en-US"/>
        </w:rPr>
        <w:t>Criminal Code</w:t>
      </w:r>
      <w:r>
        <w:rPr>
          <w:lang w:val="en-US"/>
        </w:rPr>
        <w:t xml:space="preserve"> (Cth), s 104.5(1)(d).</w:t>
      </w:r>
    </w:p>
  </w:endnote>
  <w:endnote w:id="127">
    <w:p w14:paraId="3EC6E24B" w14:textId="4ABD2EAA" w:rsidR="001A1790" w:rsidRPr="00DF505E" w:rsidRDefault="001A1790" w:rsidP="0025233B">
      <w:pPr>
        <w:pStyle w:val="EndnoteText"/>
        <w:ind w:left="270" w:hanging="288"/>
        <w:rPr>
          <w:lang w:val="en-US"/>
        </w:rPr>
      </w:pPr>
      <w:r>
        <w:rPr>
          <w:rStyle w:val="EndnoteReference"/>
        </w:rPr>
        <w:endnoteRef/>
      </w:r>
      <w:r>
        <w:t xml:space="preserve"> </w:t>
      </w:r>
      <w:r>
        <w:rPr>
          <w:lang w:val="en-US"/>
        </w:rPr>
        <w:tab/>
      </w:r>
      <w:r w:rsidRPr="00231A5F">
        <w:rPr>
          <w:i/>
          <w:iCs/>
          <w:lang w:val="en-US"/>
        </w:rPr>
        <w:t>Criminal Code</w:t>
      </w:r>
      <w:r>
        <w:rPr>
          <w:lang w:val="en-US"/>
        </w:rPr>
        <w:t xml:space="preserve"> (Cth), s 104.5(1)(e).</w:t>
      </w:r>
    </w:p>
  </w:endnote>
  <w:endnote w:id="128">
    <w:p w14:paraId="054DD83E" w14:textId="163218C1" w:rsidR="001A1790" w:rsidRPr="008C6EEB" w:rsidRDefault="001A1790" w:rsidP="0025233B">
      <w:pPr>
        <w:pStyle w:val="EndnoteText"/>
        <w:ind w:left="270" w:hanging="288"/>
        <w:rPr>
          <w:lang w:val="en-US"/>
        </w:rPr>
      </w:pPr>
      <w:r>
        <w:rPr>
          <w:rStyle w:val="EndnoteReference"/>
        </w:rPr>
        <w:endnoteRef/>
      </w:r>
      <w:r>
        <w:t xml:space="preserve"> </w:t>
      </w:r>
      <w:r>
        <w:rPr>
          <w:lang w:val="en-US"/>
        </w:rPr>
        <w:tab/>
      </w:r>
      <w:r w:rsidRPr="00EC1440">
        <w:rPr>
          <w:i/>
          <w:iCs/>
          <w:lang w:val="en-US"/>
        </w:rPr>
        <w:t>Criminal Code</w:t>
      </w:r>
      <w:r>
        <w:rPr>
          <w:lang w:val="en-US"/>
        </w:rPr>
        <w:t xml:space="preserve"> (Cth), s 104.28A(2)(a).</w:t>
      </w:r>
    </w:p>
  </w:endnote>
  <w:endnote w:id="129">
    <w:p w14:paraId="0FF18853" w14:textId="796FD0F9" w:rsidR="001A1790" w:rsidRPr="00A17445" w:rsidRDefault="001A1790" w:rsidP="0025233B">
      <w:pPr>
        <w:pStyle w:val="EndnoteText"/>
        <w:ind w:left="270" w:hanging="288"/>
        <w:rPr>
          <w:lang w:val="en-US"/>
        </w:rPr>
      </w:pPr>
      <w:r>
        <w:rPr>
          <w:rStyle w:val="EndnoteReference"/>
        </w:rPr>
        <w:endnoteRef/>
      </w:r>
      <w:r>
        <w:t xml:space="preserve"> </w:t>
      </w:r>
      <w:r>
        <w:rPr>
          <w:lang w:val="en-US"/>
        </w:rPr>
        <w:tab/>
      </w:r>
      <w:r w:rsidRPr="00231A5F">
        <w:rPr>
          <w:i/>
          <w:iCs/>
          <w:lang w:val="en-US"/>
        </w:rPr>
        <w:t>Criminal Code</w:t>
      </w:r>
      <w:r>
        <w:rPr>
          <w:lang w:val="en-US"/>
        </w:rPr>
        <w:t xml:space="preserve"> (Cth), s 104.12A.</w:t>
      </w:r>
    </w:p>
  </w:endnote>
  <w:endnote w:id="130">
    <w:p w14:paraId="5710ECEC" w14:textId="58A19CAF" w:rsidR="001A1790" w:rsidRPr="00511B68" w:rsidRDefault="001A1790" w:rsidP="0025233B">
      <w:pPr>
        <w:pStyle w:val="EndnoteText"/>
        <w:ind w:left="270" w:hanging="288"/>
        <w:rPr>
          <w:lang w:val="en-US"/>
        </w:rPr>
      </w:pPr>
      <w:r>
        <w:rPr>
          <w:rStyle w:val="EndnoteReference"/>
        </w:rPr>
        <w:endnoteRef/>
      </w:r>
      <w:r>
        <w:t xml:space="preserve"> </w:t>
      </w:r>
      <w:r>
        <w:rPr>
          <w:lang w:val="en-US"/>
        </w:rPr>
        <w:tab/>
      </w:r>
      <w:r w:rsidRPr="00231A5F">
        <w:rPr>
          <w:i/>
          <w:iCs/>
          <w:lang w:val="en-US"/>
        </w:rPr>
        <w:t>Criminal Code</w:t>
      </w:r>
      <w:r>
        <w:rPr>
          <w:lang w:val="en-US"/>
        </w:rPr>
        <w:t xml:space="preserve"> (Cth), s 104.12A(2).</w:t>
      </w:r>
    </w:p>
  </w:endnote>
  <w:endnote w:id="131">
    <w:p w14:paraId="7D258E42" w14:textId="3EA4CF45" w:rsidR="001A1790" w:rsidRPr="00A17445" w:rsidRDefault="001A1790" w:rsidP="0025233B">
      <w:pPr>
        <w:pStyle w:val="EndnoteText"/>
        <w:ind w:left="270" w:hanging="288"/>
        <w:rPr>
          <w:lang w:val="en-US"/>
        </w:rPr>
      </w:pPr>
      <w:r>
        <w:rPr>
          <w:rStyle w:val="EndnoteReference"/>
        </w:rPr>
        <w:endnoteRef/>
      </w:r>
      <w:r>
        <w:t xml:space="preserve"> </w:t>
      </w:r>
      <w:r>
        <w:rPr>
          <w:lang w:val="en-US"/>
        </w:rPr>
        <w:tab/>
      </w:r>
      <w:r w:rsidRPr="00231A5F">
        <w:rPr>
          <w:i/>
          <w:iCs/>
          <w:lang w:val="en-US"/>
        </w:rPr>
        <w:t>Criminal Code</w:t>
      </w:r>
      <w:r>
        <w:rPr>
          <w:lang w:val="en-US"/>
        </w:rPr>
        <w:t xml:space="preserve"> (Cth), s 104.12A(4).</w:t>
      </w:r>
    </w:p>
  </w:endnote>
  <w:endnote w:id="132">
    <w:p w14:paraId="08AA8EB2" w14:textId="21A16906" w:rsidR="001A1790" w:rsidRPr="0032328E" w:rsidRDefault="001A1790" w:rsidP="0025233B">
      <w:pPr>
        <w:pStyle w:val="EndnoteText"/>
        <w:ind w:left="270" w:hanging="288"/>
        <w:rPr>
          <w:lang w:val="en-US"/>
        </w:rPr>
      </w:pPr>
      <w:r>
        <w:rPr>
          <w:rStyle w:val="EndnoteReference"/>
        </w:rPr>
        <w:endnoteRef/>
      </w:r>
      <w:r>
        <w:t xml:space="preserve"> </w:t>
      </w:r>
      <w:r>
        <w:rPr>
          <w:lang w:val="en-US"/>
        </w:rPr>
        <w:tab/>
      </w:r>
      <w:r w:rsidRPr="00A96B70">
        <w:rPr>
          <w:i/>
          <w:iCs/>
          <w:lang w:val="en-US"/>
        </w:rPr>
        <w:t>Criminal Code</w:t>
      </w:r>
      <w:r>
        <w:rPr>
          <w:lang w:val="en-US"/>
        </w:rPr>
        <w:t xml:space="preserve"> (Cth), s 104.5(1A).</w:t>
      </w:r>
    </w:p>
  </w:endnote>
  <w:endnote w:id="133">
    <w:p w14:paraId="1DF80402" w14:textId="4FAFF0C6" w:rsidR="001A1790" w:rsidRPr="00CE26D1" w:rsidRDefault="001A1790" w:rsidP="0025233B">
      <w:pPr>
        <w:pStyle w:val="EndnoteText"/>
        <w:ind w:left="270" w:hanging="288"/>
        <w:rPr>
          <w:lang w:val="en-US"/>
        </w:rPr>
      </w:pPr>
      <w:r>
        <w:rPr>
          <w:rStyle w:val="EndnoteReference"/>
        </w:rPr>
        <w:endnoteRef/>
      </w:r>
      <w:r>
        <w:t xml:space="preserve"> </w:t>
      </w:r>
      <w:r>
        <w:rPr>
          <w:lang w:val="en-US"/>
        </w:rPr>
        <w:tab/>
        <w:t xml:space="preserve">This occurred in relation to the interim control orders issued to Mr Jack Thomas on </w:t>
      </w:r>
      <w:r w:rsidRPr="00230656">
        <w:t>27 August 2006</w:t>
      </w:r>
      <w:r>
        <w:t xml:space="preserve">, to Mr MO on 17 December 2014, and to an unidentified person also on 17 December 2014.  Mr Thomas’ matter was unusual because he had brought High Court proceedings challenging the constitutional validity of Div 104: </w:t>
      </w:r>
      <w:r w:rsidRPr="00EB2F94">
        <w:rPr>
          <w:i/>
          <w:iCs/>
        </w:rPr>
        <w:t>Thomas v Mowbray</w:t>
      </w:r>
      <w:r>
        <w:t xml:space="preserve"> </w:t>
      </w:r>
      <w:r w:rsidRPr="00EB2F94">
        <w:t>(2007) 233 CLR 307</w:t>
      </w:r>
      <w:r>
        <w:t>.</w:t>
      </w:r>
    </w:p>
  </w:endnote>
  <w:endnote w:id="134">
    <w:p w14:paraId="00C29AB0" w14:textId="32CF5B61" w:rsidR="001A1790" w:rsidRPr="00C33FE1" w:rsidRDefault="001A1790" w:rsidP="0025233B">
      <w:pPr>
        <w:pStyle w:val="EndnoteText"/>
        <w:ind w:left="270" w:hanging="288"/>
        <w:rPr>
          <w:lang w:val="en-US"/>
        </w:rPr>
      </w:pPr>
      <w:r>
        <w:rPr>
          <w:rStyle w:val="EndnoteReference"/>
        </w:rPr>
        <w:endnoteRef/>
      </w:r>
      <w:r>
        <w:t xml:space="preserve"> </w:t>
      </w:r>
      <w:r>
        <w:rPr>
          <w:lang w:val="en-US"/>
        </w:rPr>
        <w:tab/>
        <w:t xml:space="preserve">In Mr </w:t>
      </w:r>
      <w:r w:rsidRPr="00317F51">
        <w:t xml:space="preserve">Ahmad Saiyer </w:t>
      </w:r>
      <w:r>
        <w:rPr>
          <w:lang w:val="en-US"/>
        </w:rPr>
        <w:t>Naizmand’s case there were 8 months and 25 days between the initial hearing and the confirmation hearing (INSLM report on Control Order Safeguards – Part 2, Appendix A4, p xvii, there referred to as ‘CO5’); in Mr Harun Causevic’s case there were 9 months and 28 days between the initial hearing and the confirmation hearing (</w:t>
      </w:r>
      <w:r w:rsidRPr="00086DDE">
        <w:rPr>
          <w:i/>
          <w:iCs/>
        </w:rPr>
        <w:t>Gaughan v Causevic (No. 2)</w:t>
      </w:r>
      <w:r w:rsidRPr="00086DDE">
        <w:t xml:space="preserve"> [2016] FCCA 1693</w:t>
      </w:r>
      <w:r>
        <w:t xml:space="preserve">); in </w:t>
      </w:r>
      <w:r w:rsidRPr="00BD4F0C">
        <w:rPr>
          <w:lang w:val="en-US"/>
        </w:rPr>
        <w:t xml:space="preserve">Ms </w:t>
      </w:r>
      <w:r w:rsidRPr="00BD4F0C">
        <w:t>Zainab</w:t>
      </w:r>
      <w:r w:rsidRPr="00BD4F0C">
        <w:rPr>
          <w:lang w:val="en-US"/>
        </w:rPr>
        <w:t xml:space="preserve"> Abdirahman-Khalif</w:t>
      </w:r>
      <w:r>
        <w:rPr>
          <w:lang w:val="en-US"/>
        </w:rPr>
        <w:t>’s case there were 7 months and 25 days between the initial hearing and the confirmation hearing (</w:t>
      </w:r>
      <w:r w:rsidRPr="001C5717">
        <w:rPr>
          <w:i/>
          <w:iCs/>
        </w:rPr>
        <w:t>McCartney v Abdirahman-Khalif (No 2)</w:t>
      </w:r>
      <w:r w:rsidRPr="001C5717">
        <w:t xml:space="preserve"> [2020] FCA 1002</w:t>
      </w:r>
      <w:r>
        <w:t>).</w:t>
      </w:r>
      <w:r>
        <w:rPr>
          <w:lang w:val="en-US"/>
        </w:rPr>
        <w:t xml:space="preserve"> </w:t>
      </w:r>
    </w:p>
  </w:endnote>
  <w:endnote w:id="135">
    <w:p w14:paraId="77C1C3CD" w14:textId="704C156F" w:rsidR="001A1790" w:rsidRPr="003D3207"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[3.105].</w:t>
      </w:r>
    </w:p>
  </w:endnote>
  <w:endnote w:id="136">
    <w:p w14:paraId="274EC521" w14:textId="59CC6612" w:rsidR="001A1790" w:rsidRPr="009E45E5" w:rsidRDefault="001A1790" w:rsidP="0025233B">
      <w:pPr>
        <w:pStyle w:val="EndnoteText"/>
        <w:ind w:left="270" w:hanging="288"/>
        <w:rPr>
          <w:lang w:val="en-US"/>
        </w:rPr>
      </w:pPr>
      <w:r>
        <w:rPr>
          <w:rStyle w:val="EndnoteReference"/>
        </w:rPr>
        <w:endnoteRef/>
      </w:r>
      <w:r>
        <w:t xml:space="preserve"> </w:t>
      </w:r>
      <w:r>
        <w:rPr>
          <w:lang w:val="en-US"/>
        </w:rPr>
        <w:tab/>
      </w:r>
      <w:bookmarkStart w:id="26" w:name="FooterName"/>
      <w:r w:rsidRPr="00C47073">
        <w:rPr>
          <w:i/>
          <w:iCs/>
        </w:rPr>
        <w:t>Gaughan v Causevic</w:t>
      </w:r>
      <w:bookmarkEnd w:id="26"/>
      <w:r w:rsidRPr="00C47073">
        <w:rPr>
          <w:i/>
          <w:iCs/>
        </w:rPr>
        <w:t xml:space="preserve"> (No.2)</w:t>
      </w:r>
      <w:r>
        <w:t xml:space="preserve"> </w:t>
      </w:r>
      <w:bookmarkStart w:id="27" w:name="FooterCitation"/>
      <w:r>
        <w:t>[2016] FCCA 1693</w:t>
      </w:r>
      <w:bookmarkEnd w:id="27"/>
      <w:r>
        <w:t xml:space="preserve"> at [2].</w:t>
      </w:r>
    </w:p>
  </w:endnote>
  <w:endnote w:id="137">
    <w:p w14:paraId="57567BCF" w14:textId="5CAC5B6E" w:rsidR="001A1790" w:rsidRPr="00313856"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[3.101].</w:t>
      </w:r>
    </w:p>
  </w:endnote>
  <w:endnote w:id="138">
    <w:p w14:paraId="2BA9262E" w14:textId="74FE3CB7" w:rsidR="001A1790" w:rsidRPr="00366DF4" w:rsidRDefault="001A1790" w:rsidP="0025233B">
      <w:pPr>
        <w:pStyle w:val="EndnoteText"/>
        <w:ind w:left="270" w:hanging="288"/>
        <w:rPr>
          <w:lang w:val="en-US"/>
        </w:rPr>
      </w:pPr>
      <w:r>
        <w:rPr>
          <w:rStyle w:val="EndnoteReference"/>
        </w:rPr>
        <w:endnoteRef/>
      </w:r>
      <w:r>
        <w:t xml:space="preserve"> </w:t>
      </w:r>
      <w:r>
        <w:rPr>
          <w:lang w:val="en-US"/>
        </w:rPr>
        <w:tab/>
      </w:r>
      <w:r w:rsidRPr="008F29D7">
        <w:rPr>
          <w:i/>
          <w:iCs/>
        </w:rPr>
        <w:t>Counter Terrorism Legislation Amendment Act (No. 1) 2016</w:t>
      </w:r>
      <w:r>
        <w:t xml:space="preserve"> (Cth).</w:t>
      </w:r>
    </w:p>
  </w:endnote>
  <w:endnote w:id="139">
    <w:p w14:paraId="3FF2D93D" w14:textId="431D010F" w:rsidR="001A1790" w:rsidRPr="00D26452" w:rsidRDefault="001A1790" w:rsidP="0025233B">
      <w:pPr>
        <w:pStyle w:val="EndnoteText"/>
        <w:ind w:left="270" w:hanging="288"/>
        <w:rPr>
          <w:lang w:val="en-US"/>
        </w:rPr>
      </w:pPr>
      <w:r>
        <w:rPr>
          <w:rStyle w:val="EndnoteReference"/>
        </w:rPr>
        <w:endnoteRef/>
      </w:r>
      <w:r>
        <w:t xml:space="preserve"> </w:t>
      </w:r>
      <w:r>
        <w:rPr>
          <w:lang w:val="en-US"/>
        </w:rPr>
        <w:tab/>
      </w:r>
      <w:r w:rsidRPr="00537EAA">
        <w:t>National Security Information (Criminal and Civil Proceedings) Amendment Regulations 2017</w:t>
      </w:r>
      <w:r>
        <w:t xml:space="preserve"> (Cth).</w:t>
      </w:r>
    </w:p>
  </w:endnote>
  <w:endnote w:id="140">
    <w:p w14:paraId="3917B6B2" w14:textId="6E74B98B" w:rsidR="001A1790" w:rsidRPr="006D122F"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DB6E91">
        <w:rPr>
          <w:i/>
          <w:iCs/>
        </w:rPr>
        <w:t>Inquiry into the Counter Terrorism Legislation Amendment Bill (No. 1) 2015</w:t>
      </w:r>
      <w:r>
        <w:t>, submission to the PJCIS (9 December 2015), at [66]</w:t>
      </w:r>
      <w:r>
        <w:rPr>
          <w:lang w:val="en-US"/>
        </w:rPr>
        <w:t>–</w:t>
      </w:r>
      <w:r>
        <w:t xml:space="preserve">[75].  At </w:t>
      </w:r>
      <w:hyperlink r:id="rId27" w:history="1">
        <w:r w:rsidRPr="00DE71C2">
          <w:rPr>
            <w:rStyle w:val="Hyperlink"/>
          </w:rPr>
          <w:t>https://www.aph.gov.au/DocumentStore.ashx?id=080c06ef-59cb-4d40-9132-f1664588c82c&amp;subId=407290</w:t>
        </w:r>
      </w:hyperlink>
      <w:r>
        <w:t xml:space="preserve">. </w:t>
      </w:r>
    </w:p>
  </w:endnote>
  <w:endnote w:id="141">
    <w:p w14:paraId="4D30FC34" w14:textId="2DDCD4F0" w:rsidR="001A1790" w:rsidRPr="00B805D9" w:rsidRDefault="001A1790" w:rsidP="0025233B">
      <w:pPr>
        <w:pStyle w:val="EndnoteText"/>
        <w:ind w:left="270" w:hanging="288"/>
        <w:rPr>
          <w:lang w:val="en-US"/>
        </w:rPr>
      </w:pPr>
      <w:r>
        <w:rPr>
          <w:rStyle w:val="EndnoteReference"/>
        </w:rPr>
        <w:endnoteRef/>
      </w:r>
      <w:r>
        <w:t xml:space="preserve"> </w:t>
      </w:r>
      <w:r>
        <w:rPr>
          <w:lang w:val="en-US"/>
        </w:rPr>
        <w:tab/>
      </w:r>
      <w:r w:rsidRPr="00231A5F">
        <w:rPr>
          <w:i/>
          <w:iCs/>
          <w:lang w:val="en-US"/>
        </w:rPr>
        <w:t>Criminal Code</w:t>
      </w:r>
      <w:r>
        <w:rPr>
          <w:lang w:val="en-US"/>
        </w:rPr>
        <w:t xml:space="preserve"> (Cth), ss 104.5(1)(f) and 104.16(1)(d).</w:t>
      </w:r>
    </w:p>
  </w:endnote>
  <w:endnote w:id="142">
    <w:p w14:paraId="250ECFE1" w14:textId="4735B1D1" w:rsidR="001A1790" w:rsidRPr="00F84569" w:rsidRDefault="001A1790" w:rsidP="0025233B">
      <w:pPr>
        <w:pStyle w:val="EndnoteText"/>
        <w:ind w:left="270" w:hanging="288"/>
        <w:rPr>
          <w:lang w:val="en-US"/>
        </w:rPr>
      </w:pPr>
      <w:r>
        <w:rPr>
          <w:rStyle w:val="EndnoteReference"/>
        </w:rPr>
        <w:endnoteRef/>
      </w:r>
      <w:r>
        <w:t xml:space="preserve"> </w:t>
      </w:r>
      <w:r>
        <w:rPr>
          <w:lang w:val="en-US"/>
        </w:rPr>
        <w:tab/>
      </w:r>
      <w:r w:rsidRPr="00F84569">
        <w:rPr>
          <w:i/>
          <w:iCs/>
          <w:lang w:val="en-US"/>
        </w:rPr>
        <w:t>Criminal Code</w:t>
      </w:r>
      <w:r>
        <w:rPr>
          <w:lang w:val="en-US"/>
        </w:rPr>
        <w:t xml:space="preserve"> (Cth), s 104.28(2).</w:t>
      </w:r>
    </w:p>
  </w:endnote>
  <w:endnote w:id="143">
    <w:p w14:paraId="591DD72D" w14:textId="1D7A4000" w:rsidR="001A1790" w:rsidRPr="00831390" w:rsidRDefault="001A1790" w:rsidP="0025233B">
      <w:pPr>
        <w:pStyle w:val="EndnoteText"/>
        <w:ind w:left="270" w:hanging="288"/>
        <w:rPr>
          <w:lang w:val="en-US"/>
        </w:rPr>
      </w:pPr>
      <w:r>
        <w:rPr>
          <w:rStyle w:val="EndnoteReference"/>
        </w:rPr>
        <w:endnoteRef/>
      </w:r>
      <w:r>
        <w:t xml:space="preserve"> </w:t>
      </w:r>
      <w:r>
        <w:rPr>
          <w:lang w:val="en-US"/>
        </w:rPr>
        <w:tab/>
      </w:r>
      <w:r w:rsidRPr="00831390">
        <w:rPr>
          <w:i/>
          <w:iCs/>
          <w:lang w:val="en-US"/>
        </w:rPr>
        <w:t>Crimes Act 1914</w:t>
      </w:r>
      <w:r>
        <w:rPr>
          <w:lang w:val="en-US"/>
        </w:rPr>
        <w:t xml:space="preserve"> (Cth), ss 3ZZKA–3ZZKG.</w:t>
      </w:r>
    </w:p>
  </w:endnote>
  <w:endnote w:id="144">
    <w:p w14:paraId="765339B4" w14:textId="7517EC56" w:rsidR="001A1790" w:rsidRPr="00831390" w:rsidRDefault="001A1790" w:rsidP="0025233B">
      <w:pPr>
        <w:pStyle w:val="EndnoteText"/>
        <w:ind w:left="270" w:hanging="288"/>
        <w:rPr>
          <w:lang w:val="en-US"/>
        </w:rPr>
      </w:pPr>
      <w:r>
        <w:rPr>
          <w:rStyle w:val="EndnoteReference"/>
        </w:rPr>
        <w:endnoteRef/>
      </w:r>
      <w:r>
        <w:t xml:space="preserve"> </w:t>
      </w:r>
      <w:r>
        <w:rPr>
          <w:lang w:val="en-US"/>
        </w:rPr>
        <w:tab/>
      </w:r>
      <w:r w:rsidRPr="00831390">
        <w:rPr>
          <w:i/>
          <w:iCs/>
          <w:lang w:val="en-US"/>
        </w:rPr>
        <w:t>Crimes Act 1914</w:t>
      </w:r>
      <w:r>
        <w:rPr>
          <w:lang w:val="en-US"/>
        </w:rPr>
        <w:t xml:space="preserve"> (Cth), s 3ZZLA–3ZZLD.</w:t>
      </w:r>
    </w:p>
  </w:endnote>
  <w:endnote w:id="145">
    <w:p w14:paraId="4829507B" w14:textId="45443778" w:rsidR="001A1790" w:rsidRPr="00311DA0" w:rsidRDefault="001A1790" w:rsidP="0025233B">
      <w:pPr>
        <w:pStyle w:val="EndnoteText"/>
        <w:ind w:left="270" w:hanging="288"/>
        <w:rPr>
          <w:lang w:val="en-US"/>
        </w:rPr>
      </w:pPr>
      <w:r>
        <w:rPr>
          <w:rStyle w:val="EndnoteReference"/>
        </w:rPr>
        <w:endnoteRef/>
      </w:r>
      <w:r>
        <w:t xml:space="preserve"> </w:t>
      </w:r>
      <w:r>
        <w:rPr>
          <w:lang w:val="en-US"/>
        </w:rPr>
        <w:tab/>
      </w:r>
      <w:r w:rsidRPr="004D1A80">
        <w:rPr>
          <w:i/>
          <w:iCs/>
          <w:lang w:val="en-US"/>
        </w:rPr>
        <w:t>Telecommunications (Interception and Access) Act 1979</w:t>
      </w:r>
      <w:r>
        <w:rPr>
          <w:lang w:val="en-US"/>
        </w:rPr>
        <w:t xml:space="preserve"> (Cth), ss </w:t>
      </w:r>
      <w:r w:rsidRPr="00D947C1">
        <w:t xml:space="preserve">46(4) </w:t>
      </w:r>
      <w:r>
        <w:t>and</w:t>
      </w:r>
      <w:r w:rsidRPr="00D947C1">
        <w:t xml:space="preserve"> 46A(2A)</w:t>
      </w:r>
      <w:r>
        <w:t>.</w:t>
      </w:r>
    </w:p>
  </w:endnote>
  <w:endnote w:id="146">
    <w:p w14:paraId="3C5B096C" w14:textId="7C089CC1" w:rsidR="001A1790" w:rsidRPr="00311DA0" w:rsidRDefault="001A1790" w:rsidP="0025233B">
      <w:pPr>
        <w:pStyle w:val="EndnoteText"/>
        <w:ind w:left="270" w:hanging="288"/>
        <w:rPr>
          <w:lang w:val="en-US"/>
        </w:rPr>
      </w:pPr>
      <w:r>
        <w:rPr>
          <w:rStyle w:val="EndnoteReference"/>
        </w:rPr>
        <w:endnoteRef/>
      </w:r>
      <w:r>
        <w:t xml:space="preserve"> </w:t>
      </w:r>
      <w:r>
        <w:rPr>
          <w:lang w:val="en-US"/>
        </w:rPr>
        <w:tab/>
      </w:r>
      <w:r>
        <w:rPr>
          <w:i/>
          <w:iCs/>
          <w:lang w:val="en-US"/>
        </w:rPr>
        <w:t>Surveillance Devices</w:t>
      </w:r>
      <w:r w:rsidRPr="004D1A80">
        <w:rPr>
          <w:i/>
          <w:iCs/>
          <w:lang w:val="en-US"/>
        </w:rPr>
        <w:t xml:space="preserve"> Act </w:t>
      </w:r>
      <w:r>
        <w:rPr>
          <w:i/>
          <w:iCs/>
          <w:lang w:val="en-US"/>
        </w:rPr>
        <w:t>2004</w:t>
      </w:r>
      <w:r>
        <w:rPr>
          <w:lang w:val="en-US"/>
        </w:rPr>
        <w:t xml:space="preserve"> (Cth), s 16(1)(bc)</w:t>
      </w:r>
      <w:r>
        <w:t>.</w:t>
      </w:r>
    </w:p>
  </w:endnote>
  <w:endnote w:id="147">
    <w:p w14:paraId="19282DCF" w14:textId="2034F4E6" w:rsidR="001A1790" w:rsidRPr="00C61F02" w:rsidRDefault="001A1790" w:rsidP="0025233B">
      <w:pPr>
        <w:pStyle w:val="EndnoteText"/>
        <w:ind w:left="270" w:hanging="288"/>
        <w:rPr>
          <w:lang w:val="en-US"/>
        </w:rPr>
      </w:pPr>
      <w:r>
        <w:rPr>
          <w:rStyle w:val="EndnoteReference"/>
        </w:rPr>
        <w:endnoteRef/>
      </w:r>
      <w:r>
        <w:t xml:space="preserve"> </w:t>
      </w:r>
      <w:r>
        <w:rPr>
          <w:lang w:val="en-US"/>
        </w:rPr>
        <w:tab/>
      </w:r>
      <w:r>
        <w:rPr>
          <w:i/>
          <w:iCs/>
          <w:lang w:val="en-US"/>
        </w:rPr>
        <w:t>Surveillance Devices</w:t>
      </w:r>
      <w:r w:rsidRPr="004D1A80">
        <w:rPr>
          <w:i/>
          <w:iCs/>
          <w:lang w:val="en-US"/>
        </w:rPr>
        <w:t xml:space="preserve"> Act </w:t>
      </w:r>
      <w:r>
        <w:rPr>
          <w:i/>
          <w:iCs/>
          <w:lang w:val="en-US"/>
        </w:rPr>
        <w:t>2004</w:t>
      </w:r>
      <w:r>
        <w:rPr>
          <w:lang w:val="en-US"/>
        </w:rPr>
        <w:t xml:space="preserve"> (Cth), s 39(3B).</w:t>
      </w:r>
    </w:p>
  </w:endnote>
  <w:endnote w:id="148">
    <w:p w14:paraId="53F73A33" w14:textId="69B612A9" w:rsidR="001A1790" w:rsidRPr="00303F59"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 xml:space="preserve">Control Order Safeguards – </w:t>
      </w:r>
      <w:r>
        <w:rPr>
          <w:i/>
          <w:iCs/>
          <w:lang w:val="en-US"/>
        </w:rPr>
        <w:t xml:space="preserve">(INSLM Report) Special Advocates and the Counter-Terrorism Legislation Amendment Bill (No 1) 2015 </w:t>
      </w:r>
      <w:r>
        <w:rPr>
          <w:lang w:val="en-US"/>
        </w:rPr>
        <w:t>(January 2016), at [2.4].</w:t>
      </w:r>
    </w:p>
  </w:endnote>
  <w:endnote w:id="149">
    <w:p w14:paraId="155623FF" w14:textId="77777777" w:rsidR="001A1790" w:rsidRPr="00901DB7" w:rsidRDefault="001A1790" w:rsidP="00FD0917">
      <w:pPr>
        <w:pStyle w:val="EndnoteText"/>
        <w:ind w:left="270" w:hanging="288"/>
        <w:rPr>
          <w:lang w:val="en-US"/>
        </w:rPr>
      </w:pPr>
      <w:r>
        <w:rPr>
          <w:rStyle w:val="EndnoteReference"/>
        </w:rPr>
        <w:endnoteRef/>
      </w:r>
      <w:r>
        <w:t xml:space="preserve"> </w:t>
      </w:r>
      <w:r>
        <w:rPr>
          <w:lang w:val="en-US"/>
        </w:rPr>
        <w:tab/>
      </w:r>
      <w:r w:rsidRPr="003F4485">
        <w:rPr>
          <w:i/>
          <w:iCs/>
          <w:lang w:val="en-US"/>
        </w:rPr>
        <w:t>Criminal Code</w:t>
      </w:r>
      <w:r>
        <w:rPr>
          <w:lang w:val="en-US"/>
        </w:rPr>
        <w:t xml:space="preserve"> (Cth), ss 104.4(1)(c) and 104.14(7).</w:t>
      </w:r>
    </w:p>
  </w:endnote>
  <w:endnote w:id="150">
    <w:p w14:paraId="253B391D" w14:textId="026026A0" w:rsidR="001A1790" w:rsidRPr="00FF48E3" w:rsidRDefault="001A1790" w:rsidP="0025233B">
      <w:pPr>
        <w:pStyle w:val="EndnoteText"/>
        <w:ind w:left="270" w:hanging="288"/>
        <w:rPr>
          <w:lang w:val="en-US"/>
        </w:rPr>
      </w:pPr>
      <w:r>
        <w:rPr>
          <w:rStyle w:val="EndnoteReference"/>
        </w:rPr>
        <w:endnoteRef/>
      </w:r>
      <w:r>
        <w:t xml:space="preserve"> </w:t>
      </w:r>
      <w:r>
        <w:rPr>
          <w:lang w:val="en-US"/>
        </w:rPr>
        <w:tab/>
      </w:r>
      <w:r w:rsidRPr="003F4485">
        <w:rPr>
          <w:i/>
          <w:iCs/>
          <w:lang w:val="en-US"/>
        </w:rPr>
        <w:t>Criminal Code</w:t>
      </w:r>
      <w:r>
        <w:rPr>
          <w:lang w:val="en-US"/>
        </w:rPr>
        <w:t xml:space="preserve"> (Cth), ss 104.4(1)(d) and 104.14(7).</w:t>
      </w:r>
    </w:p>
  </w:endnote>
  <w:endnote w:id="151">
    <w:p w14:paraId="3D120D75" w14:textId="261029C2" w:rsidR="001A1790" w:rsidRDefault="001A1790" w:rsidP="00FE729E">
      <w:pPr>
        <w:pStyle w:val="EndnoteText"/>
        <w:ind w:left="284" w:hanging="284"/>
      </w:pPr>
      <w:r>
        <w:rPr>
          <w:rStyle w:val="EndnoteReference"/>
        </w:rPr>
        <w:endnoteRef/>
      </w:r>
      <w:r>
        <w:t xml:space="preserve"> </w:t>
      </w:r>
      <w:r>
        <w:tab/>
        <w:t>Conduct described in (ii) is prohibited by s 101.2 of the Criminal Code, provided that the training is connected with preparation for, the engagement of a person in, or assistance in a terrorist act and the person knows or is reckless as to the existence of the connection; conduct described in (iii) is prohibited by s 119.1(2) of the Criminal code; conduct described in (vii) is prohibited by ss 11.2, 119.1(2) and 119.4 of the Criminal Code.</w:t>
      </w:r>
    </w:p>
  </w:endnote>
  <w:endnote w:id="152">
    <w:p w14:paraId="1660D029" w14:textId="6577B21E" w:rsidR="001A1790" w:rsidRPr="00A21D88" w:rsidRDefault="001A1790" w:rsidP="0025233B">
      <w:pPr>
        <w:pStyle w:val="EndnoteText"/>
        <w:ind w:left="270" w:hanging="288"/>
        <w:rPr>
          <w:lang w:val="en-US"/>
        </w:rPr>
      </w:pPr>
      <w:r>
        <w:rPr>
          <w:rStyle w:val="EndnoteReference"/>
        </w:rPr>
        <w:endnoteRef/>
      </w:r>
      <w:r>
        <w:t xml:space="preserve"> </w:t>
      </w:r>
      <w:r>
        <w:rPr>
          <w:lang w:val="en-US"/>
        </w:rPr>
        <w:tab/>
      </w:r>
      <w:r w:rsidRPr="002473AE">
        <w:rPr>
          <w:i/>
          <w:iCs/>
          <w:lang w:val="en-US"/>
        </w:rPr>
        <w:t>McCartney v Abdirahman-Khalif</w:t>
      </w:r>
      <w:r w:rsidRPr="002473AE">
        <w:rPr>
          <w:lang w:val="en-US"/>
        </w:rPr>
        <w:t xml:space="preserve"> [2019] FCA 2218</w:t>
      </w:r>
      <w:r>
        <w:rPr>
          <w:lang w:val="en-US"/>
        </w:rPr>
        <w:t xml:space="preserve"> at [9](38).</w:t>
      </w:r>
    </w:p>
  </w:endnote>
  <w:endnote w:id="153">
    <w:p w14:paraId="1E7B22A8" w14:textId="6872A06C" w:rsidR="001A1790" w:rsidRPr="00A21D88" w:rsidRDefault="001A1790" w:rsidP="0025233B">
      <w:pPr>
        <w:pStyle w:val="EndnoteText"/>
        <w:ind w:left="270" w:hanging="288"/>
        <w:rPr>
          <w:lang w:val="en-US"/>
        </w:rPr>
      </w:pPr>
      <w:r>
        <w:rPr>
          <w:rStyle w:val="EndnoteReference"/>
        </w:rPr>
        <w:endnoteRef/>
      </w:r>
      <w:r>
        <w:t xml:space="preserve"> </w:t>
      </w:r>
      <w:r>
        <w:rPr>
          <w:lang w:val="en-US"/>
        </w:rPr>
        <w:tab/>
      </w:r>
      <w:r w:rsidRPr="002473AE">
        <w:rPr>
          <w:i/>
          <w:iCs/>
          <w:lang w:val="en-US"/>
        </w:rPr>
        <w:t>McCartney v Abdirahman-Khalif</w:t>
      </w:r>
      <w:r w:rsidRPr="002473AE">
        <w:rPr>
          <w:lang w:val="en-US"/>
        </w:rPr>
        <w:t xml:space="preserve"> [2019] FCA 2218</w:t>
      </w:r>
      <w:r>
        <w:rPr>
          <w:lang w:val="en-US"/>
        </w:rPr>
        <w:t xml:space="preserve"> at [9](37).</w:t>
      </w:r>
    </w:p>
  </w:endnote>
  <w:endnote w:id="154">
    <w:p w14:paraId="1C300292" w14:textId="2E8227B9" w:rsidR="001A1790" w:rsidRPr="00A21D88" w:rsidRDefault="001A1790" w:rsidP="0025233B">
      <w:pPr>
        <w:pStyle w:val="EndnoteText"/>
        <w:ind w:left="270" w:hanging="288"/>
        <w:rPr>
          <w:lang w:val="en-US"/>
        </w:rPr>
      </w:pPr>
      <w:r>
        <w:rPr>
          <w:rStyle w:val="EndnoteReference"/>
        </w:rPr>
        <w:endnoteRef/>
      </w:r>
      <w:r>
        <w:t xml:space="preserve"> </w:t>
      </w:r>
      <w:r>
        <w:rPr>
          <w:lang w:val="en-US"/>
        </w:rPr>
        <w:tab/>
      </w:r>
      <w:r w:rsidRPr="002473AE">
        <w:rPr>
          <w:i/>
          <w:iCs/>
          <w:lang w:val="en-US"/>
        </w:rPr>
        <w:t>McCartney v Abdirahman-Khalif</w:t>
      </w:r>
      <w:r w:rsidRPr="002473AE">
        <w:rPr>
          <w:lang w:val="en-US"/>
        </w:rPr>
        <w:t xml:space="preserve"> [2019] FCA 2218</w:t>
      </w:r>
      <w:r>
        <w:rPr>
          <w:lang w:val="en-US"/>
        </w:rPr>
        <w:t xml:space="preserve"> at [9](38.3).</w:t>
      </w:r>
    </w:p>
  </w:endnote>
  <w:endnote w:id="155">
    <w:p w14:paraId="7F29AFFC" w14:textId="139619C2" w:rsidR="001A1790" w:rsidRPr="00A21D88" w:rsidRDefault="001A1790" w:rsidP="0025233B">
      <w:pPr>
        <w:pStyle w:val="EndnoteText"/>
        <w:ind w:left="270" w:hanging="288"/>
        <w:rPr>
          <w:lang w:val="en-US"/>
        </w:rPr>
      </w:pPr>
      <w:r>
        <w:rPr>
          <w:rStyle w:val="EndnoteReference"/>
        </w:rPr>
        <w:endnoteRef/>
      </w:r>
      <w:r>
        <w:t xml:space="preserve"> </w:t>
      </w:r>
      <w:r>
        <w:rPr>
          <w:lang w:val="en-US"/>
        </w:rPr>
        <w:tab/>
      </w:r>
      <w:r w:rsidRPr="002473AE">
        <w:rPr>
          <w:i/>
          <w:iCs/>
          <w:lang w:val="en-US"/>
        </w:rPr>
        <w:t>McCartney v Abdirahman-Khalif</w:t>
      </w:r>
      <w:r w:rsidRPr="002473AE">
        <w:rPr>
          <w:lang w:val="en-US"/>
        </w:rPr>
        <w:t xml:space="preserve"> [2019] FCA 2218</w:t>
      </w:r>
      <w:r>
        <w:rPr>
          <w:lang w:val="en-US"/>
        </w:rPr>
        <w:t xml:space="preserve"> at [18].</w:t>
      </w:r>
    </w:p>
  </w:endnote>
  <w:endnote w:id="156">
    <w:p w14:paraId="08D6352E" w14:textId="77777777" w:rsidR="001A1790" w:rsidRDefault="001A1790" w:rsidP="0025233B">
      <w:pPr>
        <w:pStyle w:val="EndnoteText"/>
        <w:ind w:left="270" w:hanging="288"/>
      </w:pPr>
      <w:r>
        <w:rPr>
          <w:rStyle w:val="EndnoteReference"/>
        </w:rPr>
        <w:endnoteRef/>
      </w:r>
      <w:r>
        <w:t xml:space="preserve"> </w:t>
      </w:r>
      <w:r>
        <w:tab/>
      </w:r>
      <w:r>
        <w:rPr>
          <w:lang w:val="en-US"/>
        </w:rPr>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[1.17]; and annual reports for 2017–18 and 2018–19 available at </w:t>
      </w:r>
      <w:hyperlink r:id="rId28" w:history="1">
        <w:r>
          <w:rPr>
            <w:rStyle w:val="Hyperlink"/>
          </w:rPr>
          <w:t>https://www.nationalsecurity.gov.au/Media-and-publications/Annual-Reports/Pages/default.aspx</w:t>
        </w:r>
      </w:hyperlink>
      <w:r>
        <w:t>.</w:t>
      </w:r>
    </w:p>
  </w:endnote>
  <w:endnote w:id="157">
    <w:p w14:paraId="1CC2E301" w14:textId="6825A4B6" w:rsidR="001A1790" w:rsidRPr="00F14398" w:rsidRDefault="001A1790" w:rsidP="0025233B">
      <w:pPr>
        <w:pStyle w:val="EndnoteText"/>
        <w:ind w:left="270" w:hanging="288"/>
        <w:rPr>
          <w:lang w:val="en-US"/>
        </w:rPr>
      </w:pPr>
      <w:r>
        <w:rPr>
          <w:rStyle w:val="EndnoteReference"/>
        </w:rPr>
        <w:endnoteRef/>
      </w:r>
      <w:r>
        <w:t xml:space="preserve"> </w:t>
      </w:r>
      <w:r>
        <w:rPr>
          <w:lang w:val="en-US"/>
        </w:rPr>
        <w:tab/>
        <w:t xml:space="preserve">These figures are based on a review by the Commission of court records as the annual report for 2019–20 has </w:t>
      </w:r>
      <w:r w:rsidRPr="000E7169">
        <w:rPr>
          <w:lang w:val="en-US"/>
        </w:rPr>
        <w:t>yet to be tabled</w:t>
      </w:r>
      <w:r>
        <w:rPr>
          <w:lang w:val="en-US"/>
        </w:rPr>
        <w:t>.</w:t>
      </w:r>
    </w:p>
  </w:endnote>
  <w:endnote w:id="158">
    <w:p w14:paraId="25096C64" w14:textId="695F79BC" w:rsidR="001A1790" w:rsidRDefault="001A1790" w:rsidP="00A32823">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submission to the PJCIS, 4 September 2020, p 8.</w:t>
      </w:r>
    </w:p>
  </w:endnote>
  <w:endnote w:id="159">
    <w:p w14:paraId="64F4781D" w14:textId="0C60A8F0" w:rsidR="001A1790" w:rsidRPr="00AB22DB" w:rsidRDefault="001A1790" w:rsidP="0025233B">
      <w:pPr>
        <w:pStyle w:val="EndnoteText"/>
        <w:ind w:left="270" w:hanging="288"/>
        <w:rPr>
          <w:lang w:val="en-US"/>
        </w:rPr>
      </w:pPr>
      <w:r>
        <w:rPr>
          <w:rStyle w:val="EndnoteReference"/>
        </w:rPr>
        <w:endnoteRef/>
      </w:r>
      <w:r>
        <w:t xml:space="preserve"> </w:t>
      </w:r>
      <w:r>
        <w:rPr>
          <w:lang w:val="en-US"/>
        </w:rPr>
        <w:tab/>
      </w:r>
      <w:r w:rsidRPr="00B20CBB">
        <w:rPr>
          <w:i/>
          <w:iCs/>
        </w:rPr>
        <w:t>Jabbour v Thomas</w:t>
      </w:r>
      <w:r w:rsidRPr="00B20CBB">
        <w:t xml:space="preserve"> [2006] FMCA 1286</w:t>
      </w:r>
      <w:r>
        <w:t>.</w:t>
      </w:r>
    </w:p>
  </w:endnote>
  <w:endnote w:id="160">
    <w:p w14:paraId="24462F8A" w14:textId="4D4B23E9" w:rsidR="001A1790" w:rsidRPr="00B20CBB" w:rsidRDefault="001A1790" w:rsidP="0025233B">
      <w:pPr>
        <w:pStyle w:val="EndnoteText"/>
        <w:ind w:left="270" w:hanging="288"/>
        <w:rPr>
          <w:lang w:val="en-US"/>
        </w:rPr>
      </w:pPr>
      <w:r>
        <w:rPr>
          <w:rStyle w:val="EndnoteReference"/>
        </w:rPr>
        <w:endnoteRef/>
      </w:r>
      <w:r>
        <w:t xml:space="preserve"> </w:t>
      </w:r>
      <w:r>
        <w:rPr>
          <w:lang w:val="en-US"/>
        </w:rPr>
        <w:tab/>
      </w:r>
      <w:r w:rsidRPr="000A0331">
        <w:rPr>
          <w:i/>
          <w:iCs/>
        </w:rPr>
        <w:t>Jabbour v Hicks</w:t>
      </w:r>
      <w:r w:rsidRPr="000A0331">
        <w:t xml:space="preserve"> [2007] FMCA 2139</w:t>
      </w:r>
      <w:r>
        <w:t>.</w:t>
      </w:r>
    </w:p>
  </w:endnote>
  <w:endnote w:id="161">
    <w:p w14:paraId="79A1738F" w14:textId="7F385B67" w:rsidR="001A1790" w:rsidRPr="00BC0F38" w:rsidRDefault="001A1790" w:rsidP="0025233B">
      <w:pPr>
        <w:pStyle w:val="EndnoteText"/>
        <w:ind w:left="270" w:hanging="288"/>
        <w:rPr>
          <w:lang w:val="en-US"/>
        </w:rPr>
      </w:pPr>
      <w:r>
        <w:rPr>
          <w:rStyle w:val="EndnoteReference"/>
        </w:rPr>
        <w:endnoteRef/>
      </w:r>
      <w:r>
        <w:t xml:space="preserve"> </w:t>
      </w:r>
      <w:r>
        <w:rPr>
          <w:lang w:val="en-US"/>
        </w:rPr>
        <w:tab/>
      </w:r>
      <w:r w:rsidRPr="00BC0F38">
        <w:rPr>
          <w:i/>
          <w:iCs/>
          <w:lang w:val="en-US"/>
        </w:rPr>
        <w:t>Independent National Security Legislation Monitor Act 2010</w:t>
      </w:r>
      <w:r>
        <w:rPr>
          <w:lang w:val="en-US"/>
        </w:rPr>
        <w:t xml:space="preserve"> (Cth).</w:t>
      </w:r>
    </w:p>
  </w:endnote>
  <w:endnote w:id="162">
    <w:p w14:paraId="152AEBA5" w14:textId="70A6D0C8" w:rsidR="001A1790" w:rsidRPr="00D12040"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Declassified Annual Report, 20 December 2012.  At </w:t>
      </w:r>
      <w:hyperlink r:id="rId29" w:history="1">
        <w:r>
          <w:rPr>
            <w:rStyle w:val="Hyperlink"/>
          </w:rPr>
          <w:t>https://www.inslm.gov.au/sites/default/files/inslm-annual-report-2012.pdf</w:t>
        </w:r>
      </w:hyperlink>
      <w:r>
        <w:t>.</w:t>
      </w:r>
      <w:r>
        <w:rPr>
          <w:lang w:val="en-US"/>
        </w:rPr>
        <w:t xml:space="preserve"> </w:t>
      </w:r>
    </w:p>
  </w:endnote>
  <w:endnote w:id="163">
    <w:p w14:paraId="29B30549" w14:textId="4942ABF5" w:rsidR="001A1790" w:rsidRPr="00BA2EE1"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Declassified Annual Report, 20 December 2012, p 13.  </w:t>
      </w:r>
    </w:p>
  </w:endnote>
  <w:endnote w:id="164">
    <w:p w14:paraId="14A20B7D" w14:textId="04F92A83" w:rsidR="001A1790" w:rsidRPr="00BA2EE1"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Declassified Annual Report, 20 December 2012, p 14.  </w:t>
      </w:r>
    </w:p>
  </w:endnote>
  <w:endnote w:id="165">
    <w:p w14:paraId="2049970D" w14:textId="77777777" w:rsidR="001A1790" w:rsidRPr="00836837"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[224].  At </w:t>
      </w:r>
      <w:hyperlink r:id="rId30" w:history="1">
        <w:r>
          <w:rPr>
            <w:rStyle w:val="Hyperlink"/>
          </w:rPr>
          <w:t>https://www.ag.gov.au/sites/default/files/2020-03/Final%20Report.PDF</w:t>
        </w:r>
      </w:hyperlink>
      <w:r>
        <w:t>.</w:t>
      </w:r>
    </w:p>
  </w:endnote>
  <w:endnote w:id="166">
    <w:p w14:paraId="34D0CCCB" w14:textId="297862FA" w:rsidR="001A1790" w:rsidRPr="008242F3" w:rsidRDefault="001A1790" w:rsidP="0025233B">
      <w:pPr>
        <w:pStyle w:val="EndnoteText"/>
        <w:ind w:left="270" w:hanging="288"/>
        <w:rPr>
          <w:lang w:val="en-US"/>
        </w:rPr>
      </w:pPr>
      <w:r>
        <w:rPr>
          <w:rStyle w:val="EndnoteReference"/>
        </w:rPr>
        <w:endnoteRef/>
      </w:r>
      <w:r>
        <w:t xml:space="preserve"> </w:t>
      </w:r>
      <w:r>
        <w:rPr>
          <w:lang w:val="en-US"/>
        </w:rPr>
        <w:tab/>
        <w:t>The control order was sought after Mr Thomas’ successful appeal, but before his retrial when he was convicted of the passport offence.</w:t>
      </w:r>
    </w:p>
  </w:endnote>
  <w:endnote w:id="167">
    <w:p w14:paraId="2ED567D5" w14:textId="6BCA91FF" w:rsidR="001A1790" w:rsidRPr="00776832" w:rsidRDefault="001A1790" w:rsidP="0025233B">
      <w:pPr>
        <w:pStyle w:val="EndnoteText"/>
        <w:ind w:left="270" w:hanging="288"/>
        <w:rPr>
          <w:lang w:val="en-US"/>
        </w:rPr>
      </w:pPr>
      <w:r>
        <w:rPr>
          <w:rStyle w:val="EndnoteReference"/>
        </w:rPr>
        <w:endnoteRef/>
      </w:r>
      <w:r>
        <w:t xml:space="preserve"> </w:t>
      </w:r>
      <w:r>
        <w:rPr>
          <w:lang w:val="en-US"/>
        </w:rPr>
        <w:tab/>
      </w:r>
      <w:r w:rsidRPr="00776832">
        <w:rPr>
          <w:i/>
          <w:iCs/>
        </w:rPr>
        <w:t>Jabbour v Thomas</w:t>
      </w:r>
      <w:r w:rsidRPr="00776832">
        <w:t xml:space="preserve"> [2006] FMCA 1286</w:t>
      </w:r>
      <w:r>
        <w:t xml:space="preserve"> at [11].</w:t>
      </w:r>
    </w:p>
  </w:endnote>
  <w:endnote w:id="168">
    <w:p w14:paraId="4E343547" w14:textId="31364A84" w:rsidR="001A1790" w:rsidRPr="00C82D95" w:rsidRDefault="001A1790" w:rsidP="0025233B">
      <w:pPr>
        <w:pStyle w:val="EndnoteText"/>
        <w:ind w:left="270" w:hanging="288"/>
        <w:rPr>
          <w:lang w:val="en-US"/>
        </w:rPr>
      </w:pPr>
      <w:r>
        <w:rPr>
          <w:rStyle w:val="EndnoteReference"/>
        </w:rPr>
        <w:endnoteRef/>
      </w:r>
      <w:r>
        <w:t xml:space="preserve"> </w:t>
      </w:r>
      <w:r>
        <w:rPr>
          <w:lang w:val="en-US"/>
        </w:rPr>
        <w:tab/>
      </w:r>
      <w:r w:rsidRPr="00C82D95">
        <w:rPr>
          <w:i/>
          <w:iCs/>
        </w:rPr>
        <w:t>R v Thomas</w:t>
      </w:r>
      <w:r w:rsidRPr="00C82D95">
        <w:t xml:space="preserve"> [2006] VSCA 165 (Maxwell P, Buchanan and Vincent JJA)</w:t>
      </w:r>
      <w:r>
        <w:t>.</w:t>
      </w:r>
    </w:p>
  </w:endnote>
  <w:endnote w:id="169">
    <w:p w14:paraId="61883098" w14:textId="370C2C71" w:rsidR="001A1790" w:rsidRPr="0060104C" w:rsidRDefault="001A1790" w:rsidP="0025233B">
      <w:pPr>
        <w:pStyle w:val="EndnoteText"/>
        <w:ind w:left="270" w:hanging="288"/>
        <w:rPr>
          <w:lang w:val="en-US"/>
        </w:rPr>
      </w:pPr>
      <w:r>
        <w:rPr>
          <w:rStyle w:val="EndnoteReference"/>
        </w:rPr>
        <w:endnoteRef/>
      </w:r>
      <w:r>
        <w:t xml:space="preserve"> </w:t>
      </w:r>
      <w:r>
        <w:rPr>
          <w:lang w:val="en-US"/>
        </w:rPr>
        <w:tab/>
      </w:r>
      <w:r w:rsidRPr="00EB2F94">
        <w:rPr>
          <w:i/>
          <w:iCs/>
        </w:rPr>
        <w:t>Thomas v Mowbray</w:t>
      </w:r>
      <w:r>
        <w:t xml:space="preserve"> </w:t>
      </w:r>
      <w:r w:rsidRPr="00EB2F94">
        <w:t>(2007) 233 CLR 307</w:t>
      </w:r>
      <w:r>
        <w:t>.</w:t>
      </w:r>
    </w:p>
  </w:endnote>
  <w:endnote w:id="170">
    <w:p w14:paraId="77A4CC5D" w14:textId="4BD97E38" w:rsidR="001A1790" w:rsidRPr="007943BE"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20.</w:t>
      </w:r>
    </w:p>
  </w:endnote>
  <w:endnote w:id="171">
    <w:p w14:paraId="061A3EED" w14:textId="5DB8470E" w:rsidR="001A1790" w:rsidRPr="001E2D12"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17.</w:t>
      </w:r>
    </w:p>
  </w:endnote>
  <w:endnote w:id="172">
    <w:p w14:paraId="51DBFF29" w14:textId="54ACA704" w:rsidR="001A1790" w:rsidRPr="001E2D12"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13.</w:t>
      </w:r>
    </w:p>
  </w:endnote>
  <w:endnote w:id="173">
    <w:p w14:paraId="02A4C49F" w14:textId="70CA67D6" w:rsidR="001A1790" w:rsidRPr="00411F51" w:rsidRDefault="001A1790" w:rsidP="0025233B">
      <w:pPr>
        <w:pStyle w:val="EndnoteText"/>
        <w:ind w:left="270" w:hanging="288"/>
        <w:rPr>
          <w:lang w:val="en-US"/>
        </w:rPr>
      </w:pPr>
      <w:r>
        <w:rPr>
          <w:rStyle w:val="EndnoteReference"/>
        </w:rPr>
        <w:endnoteRef/>
      </w:r>
      <w:r>
        <w:t xml:space="preserve"> </w:t>
      </w:r>
      <w:r>
        <w:rPr>
          <w:lang w:val="en-US"/>
        </w:rPr>
        <w:tab/>
        <w:t xml:space="preserve">United Nations Human Rights Committee, </w:t>
      </w:r>
      <w:r w:rsidRPr="009C03E8">
        <w:rPr>
          <w:i/>
          <w:iCs/>
          <w:lang w:val="en-US"/>
        </w:rPr>
        <w:t>Hicks v Australia</w:t>
      </w:r>
      <w:r>
        <w:rPr>
          <w:lang w:val="en-US"/>
        </w:rPr>
        <w:t xml:space="preserve">, </w:t>
      </w:r>
      <w:r>
        <w:t xml:space="preserve">Communication No. 2005/2010, UN Doc </w:t>
      </w:r>
      <w:r w:rsidRPr="00D85EC4">
        <w:t>CCPR/C/115/D/2005/2010</w:t>
      </w:r>
      <w:r>
        <w:t xml:space="preserve"> (19 February 2016)</w:t>
      </w:r>
      <w:r>
        <w:rPr>
          <w:lang w:val="en-US"/>
        </w:rPr>
        <w:t xml:space="preserve"> at [4.8].</w:t>
      </w:r>
    </w:p>
  </w:endnote>
  <w:endnote w:id="174">
    <w:p w14:paraId="20AC7520" w14:textId="1ADFA998" w:rsidR="001A1790" w:rsidRPr="00016836" w:rsidRDefault="001A1790" w:rsidP="0025233B">
      <w:pPr>
        <w:pStyle w:val="EndnoteText"/>
        <w:ind w:left="270" w:hanging="288"/>
        <w:rPr>
          <w:lang w:val="en-US"/>
        </w:rPr>
      </w:pPr>
      <w:r>
        <w:rPr>
          <w:rStyle w:val="EndnoteReference"/>
        </w:rPr>
        <w:endnoteRef/>
      </w:r>
      <w:r>
        <w:t xml:space="preserve"> </w:t>
      </w:r>
      <w:r>
        <w:rPr>
          <w:lang w:val="en-US"/>
        </w:rPr>
        <w:tab/>
      </w:r>
      <w:r w:rsidRPr="00F276BB">
        <w:rPr>
          <w:i/>
          <w:iCs/>
          <w:lang w:val="en-US"/>
        </w:rPr>
        <w:t>Hicks v United States</w:t>
      </w:r>
      <w:r>
        <w:rPr>
          <w:lang w:val="en-US"/>
        </w:rPr>
        <w:t xml:space="preserve"> </w:t>
      </w:r>
      <w:r>
        <w:t>CMCR 13-004 (18 February 2015).</w:t>
      </w:r>
    </w:p>
  </w:endnote>
  <w:endnote w:id="175">
    <w:p w14:paraId="26785963" w14:textId="57346996" w:rsidR="001A1790" w:rsidRPr="00B70551"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Declassified Annual Report, 20 December 2012, pp 21–22; </w:t>
      </w:r>
      <w:r w:rsidRPr="00262414">
        <w:rPr>
          <w:i/>
          <w:iCs/>
        </w:rPr>
        <w:t>Jabbour v Hicks</w:t>
      </w:r>
      <w:r>
        <w:t xml:space="preserve"> [2007] FMCA 2139 at [26].</w:t>
      </w:r>
    </w:p>
  </w:endnote>
  <w:endnote w:id="176">
    <w:p w14:paraId="095449F8" w14:textId="71CAD3FE" w:rsidR="001A1790" w:rsidRPr="00263CF8"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44, Recommendation II/4.</w:t>
      </w:r>
    </w:p>
  </w:endnote>
  <w:endnote w:id="177">
    <w:p w14:paraId="333346DB" w14:textId="77777777" w:rsidR="001A1790" w:rsidRPr="00836837"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[216]. </w:t>
      </w:r>
    </w:p>
  </w:endnote>
  <w:endnote w:id="178">
    <w:p w14:paraId="737F19AB" w14:textId="53976502" w:rsidR="001A1790" w:rsidRPr="006D456B"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[3.140].</w:t>
      </w:r>
    </w:p>
  </w:endnote>
  <w:endnote w:id="179">
    <w:p w14:paraId="1305CB64" w14:textId="77777777" w:rsidR="001A1790" w:rsidRPr="00836837"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[216]. </w:t>
      </w:r>
    </w:p>
  </w:endnote>
  <w:endnote w:id="180">
    <w:p w14:paraId="1D8F928B" w14:textId="03C75221" w:rsidR="001A1790" w:rsidRPr="00EC2BAC" w:rsidRDefault="001A1790" w:rsidP="0025233B">
      <w:pPr>
        <w:pStyle w:val="EndnoteText"/>
        <w:ind w:left="270" w:hanging="288"/>
        <w:rPr>
          <w:lang w:val="en-US"/>
        </w:rPr>
      </w:pPr>
      <w:r>
        <w:rPr>
          <w:rStyle w:val="EndnoteReference"/>
        </w:rPr>
        <w:endnoteRef/>
      </w:r>
      <w:r>
        <w:t xml:space="preserve"> </w:t>
      </w:r>
      <w:r>
        <w:rPr>
          <w:lang w:val="en-US"/>
        </w:rPr>
        <w:tab/>
      </w:r>
      <w:r>
        <w:t xml:space="preserve">Attorney-General’s Department and Australian Federal Police, submission in response to questions from the PJCIS, 2018 review, p 11.  At </w:t>
      </w:r>
      <w:hyperlink r:id="rId31" w:history="1">
        <w:r w:rsidRPr="00990265">
          <w:rPr>
            <w:rStyle w:val="Hyperlink"/>
          </w:rPr>
          <w:t>https://www.aph.gov.au/DocumentStore.ashx?id=5447abfd-97eb-4433-8253-7e955db74537&amp;subId=561854</w:t>
        </w:r>
      </w:hyperlink>
      <w:r>
        <w:t>.</w:t>
      </w:r>
    </w:p>
  </w:endnote>
  <w:endnote w:id="181">
    <w:p w14:paraId="73BB2567" w14:textId="708BEDEF" w:rsidR="001A1790" w:rsidRPr="00D427CF" w:rsidRDefault="001A1790" w:rsidP="0025233B">
      <w:pPr>
        <w:pStyle w:val="EndnoteText"/>
        <w:ind w:left="270" w:hanging="288"/>
        <w:rPr>
          <w:lang w:val="en-US"/>
        </w:rPr>
      </w:pPr>
      <w:r>
        <w:rPr>
          <w:rStyle w:val="EndnoteReference"/>
        </w:rPr>
        <w:endnoteRef/>
      </w:r>
      <w:r>
        <w:t xml:space="preserve"> </w:t>
      </w:r>
      <w:r>
        <w:rPr>
          <w:lang w:val="en-US"/>
        </w:rPr>
        <w:t xml:space="preserve">Australian Federal Police, </w:t>
      </w:r>
      <w:r w:rsidRPr="0060192E">
        <w:rPr>
          <w:i/>
          <w:iCs/>
        </w:rPr>
        <w:t>Inquiry into AFP Powers (Division 3A Part IAA of the Crimes Act 1914 and Divisions 104 and 105 of the Criminal Code)</w:t>
      </w:r>
      <w:r>
        <w:t xml:space="preserve">, submission to the PJCIS, August 2020, at [6].  </w:t>
      </w:r>
      <w:r>
        <w:rPr>
          <w:lang w:val="en-US"/>
        </w:rPr>
        <w:t xml:space="preserve">See also </w:t>
      </w:r>
      <w:r>
        <w:rPr>
          <w:lang w:val="en-US"/>
        </w:rPr>
        <w:t xml:space="preserve">Independent National Security Legislation Monitor, </w:t>
      </w:r>
      <w:r w:rsidRPr="00384D68">
        <w:rPr>
          <w:i/>
          <w:iCs/>
          <w:lang w:val="en-US"/>
        </w:rPr>
        <w:t>Annual Report 2018</w:t>
      </w:r>
      <w:r>
        <w:rPr>
          <w:lang w:val="en-US"/>
        </w:rPr>
        <w:t>–</w:t>
      </w:r>
      <w:r w:rsidRPr="00384D68">
        <w:rPr>
          <w:i/>
          <w:iCs/>
          <w:lang w:val="en-US"/>
        </w:rPr>
        <w:t>19</w:t>
      </w:r>
      <w:r>
        <w:rPr>
          <w:lang w:val="en-US"/>
        </w:rPr>
        <w:t>, p 6.</w:t>
      </w:r>
    </w:p>
  </w:endnote>
  <w:endnote w:id="182">
    <w:p w14:paraId="5DE150B5" w14:textId="5EA2DA77" w:rsidR="001A1790" w:rsidRPr="00655A15"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31.</w:t>
      </w:r>
    </w:p>
  </w:endnote>
  <w:endnote w:id="183">
    <w:p w14:paraId="086DEEDF" w14:textId="77777777" w:rsidR="001A1790" w:rsidRPr="00655A15"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31.</w:t>
      </w:r>
    </w:p>
  </w:endnote>
  <w:endnote w:id="184">
    <w:p w14:paraId="064E3BF5" w14:textId="69E28C5B" w:rsidR="001A1790" w:rsidRPr="00E04F54"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[42].</w:t>
      </w:r>
    </w:p>
  </w:endnote>
  <w:endnote w:id="185">
    <w:p w14:paraId="5A674D9E" w14:textId="77777777" w:rsidR="001A1790" w:rsidRPr="00881154" w:rsidRDefault="001A1790" w:rsidP="0025233B">
      <w:pPr>
        <w:pStyle w:val="EndnoteText"/>
        <w:ind w:left="270" w:hanging="288"/>
        <w:rPr>
          <w:lang w:val="en-US"/>
        </w:rPr>
      </w:pPr>
      <w:r>
        <w:rPr>
          <w:rStyle w:val="EndnoteReference"/>
        </w:rPr>
        <w:endnoteRef/>
      </w:r>
      <w:r>
        <w:t xml:space="preserve"> </w:t>
      </w:r>
      <w:r>
        <w:rPr>
          <w:lang w:val="en-US"/>
        </w:rPr>
        <w:tab/>
      </w:r>
      <w:r>
        <w:rPr>
          <w:i/>
        </w:rPr>
        <w:t>Finding into Death with Inquest: Ahmad Numan Haider</w:t>
      </w:r>
      <w:r>
        <w:t xml:space="preserve"> (Coroners Court of Victoria, 31 July 2017).</w:t>
      </w:r>
    </w:p>
  </w:endnote>
  <w:endnote w:id="186">
    <w:p w14:paraId="3511373C" w14:textId="3CBF86B7" w:rsidR="001A1790" w:rsidRPr="00E04F54"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[48].</w:t>
      </w:r>
    </w:p>
  </w:endnote>
  <w:endnote w:id="187">
    <w:p w14:paraId="5BF3EDFC" w14:textId="0A4B50DD" w:rsidR="001A1790" w:rsidRPr="007550DF" w:rsidRDefault="001A1790" w:rsidP="0025233B">
      <w:pPr>
        <w:pStyle w:val="EndnoteText"/>
        <w:ind w:left="270" w:hanging="288"/>
        <w:rPr>
          <w:lang w:val="en-US"/>
        </w:rPr>
      </w:pPr>
      <w:r>
        <w:rPr>
          <w:rStyle w:val="EndnoteReference"/>
        </w:rPr>
        <w:endnoteRef/>
      </w:r>
      <w:r>
        <w:t xml:space="preserve"> </w:t>
      </w:r>
      <w:r>
        <w:rPr>
          <w:lang w:val="en-US"/>
        </w:rPr>
        <w:tab/>
        <w:t xml:space="preserve">Commonwealth Director of Public Prosecutions, </w:t>
      </w:r>
      <w:r w:rsidRPr="007550DF">
        <w:rPr>
          <w:i/>
          <w:iCs/>
          <w:lang w:val="en-US"/>
        </w:rPr>
        <w:t>Discontinuance of conspiracy charge against Mr Harun Causevic</w:t>
      </w:r>
      <w:r>
        <w:rPr>
          <w:lang w:val="en-US"/>
        </w:rPr>
        <w:t xml:space="preserve">, Media Statement, 25 August 2015, at </w:t>
      </w:r>
      <w:hyperlink r:id="rId32" w:history="1">
        <w:r>
          <w:rPr>
            <w:rStyle w:val="Hyperlink"/>
          </w:rPr>
          <w:t>https://www.cdpp.gov.au/news/media-statement-discontinuance-conspiracy-charge-against-mr-harun-causevic</w:t>
        </w:r>
      </w:hyperlink>
      <w:r>
        <w:t>.</w:t>
      </w:r>
    </w:p>
  </w:endnote>
  <w:endnote w:id="188">
    <w:p w14:paraId="4139D5FC" w14:textId="6A0D84E6" w:rsidR="001A1790" w:rsidRPr="009806D5"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[1] and [169] and see Schedule 2 to the Interim Control Order annexed to the judgment.</w:t>
      </w:r>
    </w:p>
  </w:endnote>
  <w:endnote w:id="189">
    <w:p w14:paraId="02A3AFC8" w14:textId="635A28DB" w:rsidR="001A1790" w:rsidRPr="000C711B"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[63].</w:t>
      </w:r>
    </w:p>
  </w:endnote>
  <w:endnote w:id="190">
    <w:p w14:paraId="2552039C" w14:textId="6DF6E678" w:rsidR="001A1790" w:rsidRPr="000C711B"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[64].</w:t>
      </w:r>
    </w:p>
  </w:endnote>
  <w:endnote w:id="191">
    <w:p w14:paraId="33534186" w14:textId="2CB8FC78" w:rsidR="001A1790" w:rsidRPr="00E730AB"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[87].</w:t>
      </w:r>
    </w:p>
  </w:endnote>
  <w:endnote w:id="192">
    <w:p w14:paraId="2B374A1B" w14:textId="79DA271D" w:rsidR="001A1790" w:rsidRPr="0005700E"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[98].</w:t>
      </w:r>
    </w:p>
  </w:endnote>
  <w:endnote w:id="193">
    <w:p w14:paraId="52F67698" w14:textId="19F26B90" w:rsidR="001A1790" w:rsidRPr="00727F8F"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[105].</w:t>
      </w:r>
    </w:p>
  </w:endnote>
  <w:endnote w:id="194">
    <w:p w14:paraId="3DFDD848" w14:textId="77777777" w:rsidR="001A1790" w:rsidRPr="00EA4347"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[168].</w:t>
      </w:r>
    </w:p>
  </w:endnote>
  <w:endnote w:id="195">
    <w:p w14:paraId="39923EBE" w14:textId="7FECE6C8" w:rsidR="001A1790" w:rsidRPr="001C204A"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[111] and [133].</w:t>
      </w:r>
    </w:p>
  </w:endnote>
  <w:endnote w:id="196">
    <w:p w14:paraId="4660E07B" w14:textId="77777777" w:rsidR="001A1790" w:rsidRPr="001C204A"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[111] and [133].</w:t>
      </w:r>
    </w:p>
  </w:endnote>
  <w:endnote w:id="197">
    <w:p w14:paraId="6279010C" w14:textId="31BD5C90" w:rsidR="001A1790" w:rsidRPr="00E9761F"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[63], [131] and [133].</w:t>
      </w:r>
    </w:p>
  </w:endnote>
  <w:endnote w:id="198">
    <w:p w14:paraId="110E2644" w14:textId="6C078D67" w:rsidR="001A1790" w:rsidRPr="00815B52"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[3.37].</w:t>
      </w:r>
    </w:p>
  </w:endnote>
  <w:endnote w:id="199">
    <w:p w14:paraId="66567163" w14:textId="4E479A3D" w:rsidR="001A1790" w:rsidRPr="002036F6"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[220].</w:t>
      </w:r>
    </w:p>
  </w:endnote>
  <w:endnote w:id="200">
    <w:p w14:paraId="22C2E5D1" w14:textId="1B1B1F3F" w:rsidR="001A1790" w:rsidRPr="009C63BA" w:rsidRDefault="001A1790" w:rsidP="0025233B">
      <w:pPr>
        <w:pStyle w:val="EndnoteText"/>
        <w:ind w:left="270" w:hanging="288"/>
        <w:rPr>
          <w:lang w:val="en-US"/>
        </w:rPr>
      </w:pPr>
      <w:r>
        <w:rPr>
          <w:rStyle w:val="EndnoteReference"/>
        </w:rPr>
        <w:endnoteRef/>
      </w:r>
      <w:r>
        <w:t xml:space="preserve"> </w:t>
      </w:r>
      <w:r>
        <w:rPr>
          <w:lang w:val="en-US"/>
        </w:rPr>
        <w:tab/>
        <w:t>Elizabeth Byrne and Matthew Doran</w:t>
      </w:r>
      <w:r w:rsidRPr="009C63BA">
        <w:rPr>
          <w:lang w:val="en-US"/>
        </w:rPr>
        <w:t>, ‘Part of Witness K lawyer Bernard Collaery's trial will be heard in secret, judge rules’ ABC News</w:t>
      </w:r>
      <w:r>
        <w:rPr>
          <w:lang w:val="en-US"/>
        </w:rPr>
        <w:t xml:space="preserve">, 26 June 2020, at </w:t>
      </w:r>
      <w:hyperlink r:id="rId33" w:history="1">
        <w:r>
          <w:rPr>
            <w:rStyle w:val="Hyperlink"/>
          </w:rPr>
          <w:t>https://www.abc.net.au/news/2020-06-26/part-of-witness-k-lawyer-bernard-collaery-trial-heard-in-secret/12397584</w:t>
        </w:r>
      </w:hyperlink>
      <w:r>
        <w:t>.</w:t>
      </w:r>
    </w:p>
  </w:endnote>
  <w:endnote w:id="201">
    <w:p w14:paraId="1666D667" w14:textId="77777777" w:rsidR="001A1790" w:rsidRPr="00836837"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[216]. </w:t>
      </w:r>
    </w:p>
  </w:endnote>
  <w:endnote w:id="202">
    <w:p w14:paraId="240630D5" w14:textId="766678F4" w:rsidR="001A1790" w:rsidRPr="00BC7B0C" w:rsidRDefault="001A1790" w:rsidP="0025233B">
      <w:pPr>
        <w:pStyle w:val="EndnoteText"/>
        <w:ind w:left="270" w:hanging="288"/>
        <w:rPr>
          <w:lang w:val="en-US"/>
        </w:rPr>
      </w:pPr>
      <w:r>
        <w:rPr>
          <w:rStyle w:val="EndnoteReference"/>
        </w:rPr>
        <w:endnoteRef/>
      </w:r>
      <w:r>
        <w:t xml:space="preserve"> </w:t>
      </w:r>
      <w:r>
        <w:rPr>
          <w:lang w:val="en-US"/>
        </w:rPr>
        <w:tab/>
      </w:r>
      <w:r>
        <w:t>Council of Australian Governments Review of Counter-Terrorism Legislation (2014), at</w:t>
      </w:r>
      <w:r>
        <w:rPr>
          <w:lang w:val="en-US"/>
        </w:rPr>
        <w:t xml:space="preserve"> [218].</w:t>
      </w:r>
    </w:p>
  </w:endnote>
  <w:endnote w:id="203">
    <w:p w14:paraId="324A4899" w14:textId="0C14FF7C" w:rsidR="001A1790" w:rsidRPr="007B3160" w:rsidRDefault="001A1790" w:rsidP="0025233B">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[23].</w:t>
      </w:r>
    </w:p>
  </w:endnote>
  <w:endnote w:id="204">
    <w:p w14:paraId="6296C675" w14:textId="6A7980A9" w:rsidR="001A1790" w:rsidRPr="00A73CCA" w:rsidRDefault="001A1790" w:rsidP="0025233B">
      <w:pPr>
        <w:pStyle w:val="EndnoteText"/>
        <w:ind w:left="270" w:hanging="288"/>
        <w:rPr>
          <w:lang w:val="en-US"/>
        </w:rPr>
      </w:pPr>
      <w:r>
        <w:rPr>
          <w:rStyle w:val="EndnoteReference"/>
        </w:rPr>
        <w:endnoteRef/>
      </w:r>
      <w:r>
        <w:t xml:space="preserve"> </w:t>
      </w:r>
      <w:r>
        <w:rPr>
          <w:lang w:val="en-US"/>
        </w:rPr>
        <w:tab/>
      </w:r>
      <w:r w:rsidRPr="00005B44">
        <w:rPr>
          <w:i/>
          <w:iCs/>
        </w:rPr>
        <w:t xml:space="preserve">Abdirahman-Khalif v </w:t>
      </w:r>
      <w:r>
        <w:rPr>
          <w:i/>
          <w:iCs/>
        </w:rPr>
        <w:t>The Queen</w:t>
      </w:r>
      <w:r w:rsidRPr="00005B44">
        <w:t xml:space="preserve"> [2019] SASCFC 133</w:t>
      </w:r>
      <w:r>
        <w:t xml:space="preserve"> </w:t>
      </w:r>
      <w:r w:rsidRPr="00005B44">
        <w:t>(Kourakis CJ</w:t>
      </w:r>
      <w:r>
        <w:t>) at [8]; (Parker J) at [240].</w:t>
      </w:r>
    </w:p>
  </w:endnote>
  <w:endnote w:id="205">
    <w:p w14:paraId="61E48D86" w14:textId="32164E79" w:rsidR="001A1790" w:rsidRPr="006A3EFF" w:rsidRDefault="001A1790" w:rsidP="0025233B">
      <w:pPr>
        <w:pStyle w:val="EndnoteText"/>
        <w:ind w:left="270" w:hanging="288"/>
        <w:rPr>
          <w:lang w:val="en-US"/>
        </w:rPr>
      </w:pPr>
      <w:r>
        <w:rPr>
          <w:rStyle w:val="EndnoteReference"/>
        </w:rPr>
        <w:endnoteRef/>
      </w:r>
      <w:r>
        <w:t xml:space="preserve"> </w:t>
      </w:r>
      <w:r>
        <w:rPr>
          <w:lang w:val="en-US"/>
        </w:rPr>
        <w:tab/>
      </w:r>
      <w:r w:rsidRPr="00005B44">
        <w:rPr>
          <w:i/>
          <w:iCs/>
        </w:rPr>
        <w:t xml:space="preserve">Abdirahman-Khalif v </w:t>
      </w:r>
      <w:r>
        <w:rPr>
          <w:i/>
          <w:iCs/>
        </w:rPr>
        <w:t>The Queen</w:t>
      </w:r>
      <w:r w:rsidRPr="00005B44">
        <w:t xml:space="preserve"> [2019] SASCFC 133 (Kourakis CJ</w:t>
      </w:r>
      <w:r>
        <w:t xml:space="preserve"> and Parker J; </w:t>
      </w:r>
      <w:r w:rsidRPr="00005B44">
        <w:t xml:space="preserve">Kelly </w:t>
      </w:r>
      <w:r>
        <w:t>J dissenting</w:t>
      </w:r>
      <w:r w:rsidRPr="00005B44">
        <w:t>)</w:t>
      </w:r>
      <w:r>
        <w:t>.</w:t>
      </w:r>
    </w:p>
  </w:endnote>
  <w:endnote w:id="206">
    <w:p w14:paraId="5F1BD02D" w14:textId="5F006246" w:rsidR="001A1790" w:rsidRPr="00EC094D"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 at [103].</w:t>
      </w:r>
    </w:p>
  </w:endnote>
  <w:endnote w:id="207">
    <w:p w14:paraId="1466FEE6" w14:textId="1850F966" w:rsidR="001A1790" w:rsidRPr="00A73CCA" w:rsidRDefault="001A1790" w:rsidP="0025233B">
      <w:pPr>
        <w:pStyle w:val="EndnoteText"/>
        <w:ind w:left="270" w:hanging="288"/>
        <w:rPr>
          <w:lang w:val="en-US"/>
        </w:rPr>
      </w:pPr>
      <w:r>
        <w:rPr>
          <w:rStyle w:val="EndnoteReference"/>
        </w:rPr>
        <w:endnoteRef/>
      </w:r>
      <w:r>
        <w:t xml:space="preserve"> </w:t>
      </w:r>
      <w:r>
        <w:rPr>
          <w:lang w:val="en-US"/>
        </w:rPr>
        <w:tab/>
      </w:r>
      <w:r w:rsidRPr="00005B44">
        <w:rPr>
          <w:i/>
          <w:iCs/>
        </w:rPr>
        <w:t xml:space="preserve">Abdirahman-Khalif v </w:t>
      </w:r>
      <w:r>
        <w:rPr>
          <w:i/>
          <w:iCs/>
        </w:rPr>
        <w:t>The Queen</w:t>
      </w:r>
      <w:r w:rsidRPr="00005B44">
        <w:t xml:space="preserve"> [2019] SASCFC 133</w:t>
      </w:r>
      <w:r>
        <w:t xml:space="preserve"> </w:t>
      </w:r>
      <w:r w:rsidRPr="00005B44">
        <w:t>(Kourakis CJ</w:t>
      </w:r>
      <w:r>
        <w:t>) at [9]</w:t>
      </w:r>
      <w:r>
        <w:rPr>
          <w:lang w:val="en-US"/>
        </w:rPr>
        <w:t>–</w:t>
      </w:r>
      <w:r>
        <w:t>[14], [68] and [90] (Parker J) at [271].</w:t>
      </w:r>
    </w:p>
  </w:endnote>
  <w:endnote w:id="208">
    <w:p w14:paraId="5FED6CBB" w14:textId="7FED8D8B" w:rsidR="001A1790" w:rsidRPr="003E35E4" w:rsidRDefault="001A1790" w:rsidP="0025233B">
      <w:pPr>
        <w:pStyle w:val="EndnoteText"/>
        <w:ind w:left="270" w:hanging="288"/>
        <w:rPr>
          <w:lang w:val="en-US"/>
        </w:rPr>
      </w:pPr>
      <w:r>
        <w:rPr>
          <w:rStyle w:val="EndnoteReference"/>
        </w:rPr>
        <w:endnoteRef/>
      </w:r>
      <w:r>
        <w:t xml:space="preserve"> </w:t>
      </w:r>
      <w:r>
        <w:rPr>
          <w:lang w:val="en-US"/>
        </w:rPr>
        <w:tab/>
      </w:r>
      <w:bookmarkStart w:id="34" w:name="MNC"/>
      <w:r w:rsidRPr="004C1282">
        <w:rPr>
          <w:i/>
          <w:iCs/>
        </w:rPr>
        <w:t>McCartney v Abdirahman-Khalif</w:t>
      </w:r>
      <w:r w:rsidRPr="00ED4A34">
        <w:t xml:space="preserve"> [2019] FCA 2218</w:t>
      </w:r>
      <w:bookmarkEnd w:id="34"/>
      <w:r>
        <w:t xml:space="preserve"> (Charlesworth J).</w:t>
      </w:r>
    </w:p>
  </w:endnote>
  <w:endnote w:id="209">
    <w:p w14:paraId="7E8120A2" w14:textId="6BF6F62E" w:rsidR="001A1790" w:rsidRPr="0088315B"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w:t>
      </w:r>
    </w:p>
  </w:endnote>
  <w:endnote w:id="210">
    <w:p w14:paraId="345510B2" w14:textId="7A5A9C77" w:rsidR="001A1790" w:rsidRPr="00095288" w:rsidRDefault="001A1790" w:rsidP="0025233B">
      <w:pPr>
        <w:pStyle w:val="EndnoteText"/>
        <w:ind w:left="270" w:hanging="288"/>
        <w:rPr>
          <w:lang w:val="en-US"/>
        </w:rPr>
      </w:pPr>
      <w:r>
        <w:rPr>
          <w:rStyle w:val="EndnoteReference"/>
        </w:rPr>
        <w:endnoteRef/>
      </w:r>
      <w:r>
        <w:t xml:space="preserve"> </w:t>
      </w:r>
      <w:r>
        <w:rPr>
          <w:lang w:val="en-US"/>
        </w:rPr>
        <w:tab/>
      </w:r>
      <w:r w:rsidRPr="00095288">
        <w:rPr>
          <w:i/>
          <w:iCs/>
          <w:lang w:val="en-US"/>
        </w:rPr>
        <w:t>The Queen v</w:t>
      </w:r>
      <w:r>
        <w:rPr>
          <w:lang w:val="en-US"/>
        </w:rPr>
        <w:t xml:space="preserve"> </w:t>
      </w:r>
      <w:r w:rsidRPr="00005B44">
        <w:rPr>
          <w:i/>
          <w:iCs/>
        </w:rPr>
        <w:t>Abdirahman-Khalif</w:t>
      </w:r>
      <w:r w:rsidRPr="00005B44">
        <w:t xml:space="preserve"> </w:t>
      </w:r>
      <w:r w:rsidRPr="00095288">
        <w:t>[2020] HCATrans 038</w:t>
      </w:r>
      <w:r>
        <w:t>.</w:t>
      </w:r>
    </w:p>
  </w:endnote>
  <w:endnote w:id="211">
    <w:p w14:paraId="2AC4E6CB" w14:textId="7365D92F" w:rsidR="001A1790" w:rsidRPr="00082120" w:rsidRDefault="001A1790" w:rsidP="0025233B">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[62].</w:t>
      </w:r>
    </w:p>
  </w:endnote>
  <w:endnote w:id="212">
    <w:p w14:paraId="20A2FF41" w14:textId="4C677053" w:rsidR="001A1790" w:rsidRPr="00082120" w:rsidRDefault="001A1790" w:rsidP="0025233B">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[70].</w:t>
      </w:r>
    </w:p>
  </w:endnote>
  <w:endnote w:id="213">
    <w:p w14:paraId="19C7126A" w14:textId="49133B91" w:rsidR="001A1790" w:rsidRPr="00082120" w:rsidRDefault="001A1790" w:rsidP="0025233B">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[33], [48](11) and [77].</w:t>
      </w:r>
    </w:p>
  </w:endnote>
  <w:endnote w:id="214">
    <w:p w14:paraId="62596D13" w14:textId="54DB1943" w:rsidR="001A1790" w:rsidRPr="00082120" w:rsidRDefault="001A1790" w:rsidP="0025233B">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[78].</w:t>
      </w:r>
    </w:p>
  </w:endnote>
  <w:endnote w:id="215">
    <w:p w14:paraId="47D56E36" w14:textId="20A865D7" w:rsidR="001A1790" w:rsidRPr="008D0D7E"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 at [104]</w:t>
      </w:r>
      <w:r>
        <w:rPr>
          <w:lang w:val="en-US"/>
        </w:rPr>
        <w:t>–</w:t>
      </w:r>
      <w:r>
        <w:t>[106], [129] and [175].</w:t>
      </w:r>
    </w:p>
  </w:endnote>
  <w:endnote w:id="216">
    <w:p w14:paraId="633DF911" w14:textId="77777777" w:rsidR="001A1790" w:rsidRPr="00814470"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 at [145].</w:t>
      </w:r>
    </w:p>
  </w:endnote>
  <w:endnote w:id="217">
    <w:p w14:paraId="05D66857" w14:textId="65AFF1C8" w:rsidR="001A1790" w:rsidRPr="00F816E8"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 at [167].</w:t>
      </w:r>
    </w:p>
  </w:endnote>
  <w:endnote w:id="218">
    <w:p w14:paraId="4F329ECF" w14:textId="54C8E8A0" w:rsidR="001A1790" w:rsidRPr="00A451DF" w:rsidRDefault="001A1790" w:rsidP="0025233B">
      <w:pPr>
        <w:pStyle w:val="EndnoteText"/>
        <w:ind w:left="270" w:hanging="288"/>
        <w:rPr>
          <w:lang w:val="en-US"/>
        </w:rPr>
      </w:pPr>
      <w:r>
        <w:rPr>
          <w:rStyle w:val="EndnoteReference"/>
        </w:rPr>
        <w:endnoteRef/>
      </w:r>
      <w:r>
        <w:t xml:space="preserve"> </w:t>
      </w:r>
      <w:r>
        <w:rPr>
          <w:lang w:val="en-US"/>
        </w:rPr>
        <w:tab/>
      </w:r>
      <w:r w:rsidRPr="0088315B">
        <w:rPr>
          <w:i/>
          <w:iCs/>
        </w:rPr>
        <w:t>McCartney v Abdirahman-Khalif (No 2)</w:t>
      </w:r>
      <w:r w:rsidRPr="0088315B">
        <w:t xml:space="preserve"> [2020] FCA 1002</w:t>
      </w:r>
      <w:r>
        <w:t xml:space="preserve"> (Charlesworth J) at [83]</w:t>
      </w:r>
      <w:r>
        <w:rPr>
          <w:lang w:val="en-US"/>
        </w:rPr>
        <w:t>–</w:t>
      </w:r>
      <w:r>
        <w:t>[97].</w:t>
      </w:r>
    </w:p>
  </w:endnote>
  <w:endnote w:id="219">
    <w:p w14:paraId="4BC3C465" w14:textId="51B553C6" w:rsidR="001A1790" w:rsidRDefault="001A1790" w:rsidP="00462D9C">
      <w:pPr>
        <w:pStyle w:val="EndnoteText"/>
        <w:ind w:left="284" w:hanging="284"/>
      </w:pPr>
      <w:r>
        <w:rPr>
          <w:rStyle w:val="EndnoteReference"/>
        </w:rPr>
        <w:endnoteRef/>
      </w:r>
      <w:r>
        <w:t xml:space="preserve"> </w:t>
      </w:r>
      <w:r>
        <w:tab/>
      </w:r>
      <w:r>
        <w:rPr>
          <w:lang w:val="en-US"/>
        </w:rPr>
        <w:t xml:space="preserve">Parliamentary Joint Committee on Intelligence and Security, </w:t>
      </w:r>
      <w:r w:rsidRPr="00660C1F">
        <w:rPr>
          <w:i/>
          <w:iCs/>
          <w:lang w:val="en-US"/>
        </w:rPr>
        <w:t>Advisory Report on the Criminal Code Amendment (High Risk Terrorist Offenders) Bill 2016</w:t>
      </w:r>
      <w:r>
        <w:rPr>
          <w:lang w:val="en-US"/>
        </w:rPr>
        <w:t xml:space="preserve"> (November 2016) at [3.121].</w:t>
      </w:r>
    </w:p>
  </w:endnote>
  <w:endnote w:id="220">
    <w:p w14:paraId="2E0AEFAA" w14:textId="5C818118" w:rsidR="001A1790" w:rsidRPr="000F08EE" w:rsidRDefault="001A1790" w:rsidP="0025233B">
      <w:pPr>
        <w:pStyle w:val="EndnoteText"/>
        <w:ind w:left="270" w:hanging="288"/>
        <w:rPr>
          <w:lang w:val="en-US"/>
        </w:rPr>
      </w:pPr>
      <w:r>
        <w:rPr>
          <w:rStyle w:val="EndnoteReference"/>
        </w:rPr>
        <w:endnoteRef/>
      </w:r>
      <w:r>
        <w:t xml:space="preserve"> </w:t>
      </w:r>
      <w:r>
        <w:rPr>
          <w:lang w:val="en-US"/>
        </w:rPr>
        <w:tab/>
        <w:t>Independent National Security Legislation Monitor, Declassified Annual Report, 20 December 2012, p 13.</w:t>
      </w:r>
    </w:p>
  </w:endnote>
  <w:endnote w:id="221">
    <w:p w14:paraId="4EC34776" w14:textId="317B00F0" w:rsidR="001A1790" w:rsidRDefault="001A1790" w:rsidP="0025233B">
      <w:pPr>
        <w:pStyle w:val="EndnoteText"/>
        <w:ind w:left="270" w:hanging="288"/>
      </w:pPr>
      <w:r>
        <w:rPr>
          <w:rStyle w:val="EndnoteReference"/>
        </w:rPr>
        <w:endnoteRef/>
      </w:r>
      <w:r>
        <w:t xml:space="preserve"> </w:t>
      </w:r>
      <w:r>
        <w:tab/>
      </w:r>
      <w:r w:rsidRPr="00C123FE">
        <w:rPr>
          <w:i/>
          <w:iCs/>
        </w:rPr>
        <w:t>McCartney v EB (No 2)</w:t>
      </w:r>
      <w:r w:rsidRPr="00C123FE">
        <w:t xml:space="preserve"> [2019] FCA 184 (Wigney J)</w:t>
      </w:r>
      <w:r>
        <w:t xml:space="preserve">; </w:t>
      </w:r>
      <w:r w:rsidRPr="009E751E">
        <w:rPr>
          <w:i/>
          <w:iCs/>
        </w:rPr>
        <w:t xml:space="preserve">Booth v </w:t>
      </w:r>
      <w:r>
        <w:rPr>
          <w:i/>
          <w:iCs/>
        </w:rPr>
        <w:t xml:space="preserve">Murat </w:t>
      </w:r>
      <w:r w:rsidRPr="009E751E">
        <w:rPr>
          <w:i/>
          <w:iCs/>
        </w:rPr>
        <w:t>Kaya</w:t>
      </w:r>
      <w:r w:rsidRPr="009E751E">
        <w:t xml:space="preserve"> [2020] FCA 25 (Anastassiou</w:t>
      </w:r>
      <w:r>
        <w:t> </w:t>
      </w:r>
      <w:r w:rsidRPr="009E751E">
        <w:t>J)</w:t>
      </w:r>
      <w:r>
        <w:t xml:space="preserve">; </w:t>
      </w:r>
      <w:r w:rsidRPr="000A3E01">
        <w:rPr>
          <w:i/>
          <w:iCs/>
        </w:rPr>
        <w:t>Booth v Namoa (No 2)</w:t>
      </w:r>
      <w:r w:rsidRPr="000A3E01">
        <w:t xml:space="preserve"> [2020] FCA 73 (Rares J)</w:t>
      </w:r>
      <w:r>
        <w:t xml:space="preserve">; </w:t>
      </w:r>
      <w:r w:rsidRPr="00C20949">
        <w:rPr>
          <w:i/>
          <w:iCs/>
        </w:rPr>
        <w:t>Booth v Naizmand</w:t>
      </w:r>
      <w:r w:rsidRPr="00C20949">
        <w:t xml:space="preserve"> [2020] FCA 244 (Bromwich J)</w:t>
      </w:r>
      <w:r>
        <w:t xml:space="preserve">; </w:t>
      </w:r>
      <w:r w:rsidRPr="004B30D2">
        <w:rPr>
          <w:i/>
          <w:iCs/>
        </w:rPr>
        <w:t>Booth v Thorne</w:t>
      </w:r>
      <w:r w:rsidRPr="004B30D2">
        <w:t xml:space="preserve"> [2020] FCA 445</w:t>
      </w:r>
      <w:r>
        <w:t xml:space="preserve">; </w:t>
      </w:r>
      <w:r w:rsidRPr="00AA638A">
        <w:rPr>
          <w:i/>
          <w:iCs/>
        </w:rPr>
        <w:t>Booth v Dacre</w:t>
      </w:r>
      <w:r w:rsidRPr="00AA638A">
        <w:t xml:space="preserve"> [2020] FCA 751 (White J)</w:t>
      </w:r>
      <w:r>
        <w:t xml:space="preserve">; </w:t>
      </w:r>
      <w:r w:rsidRPr="004A25F8">
        <w:rPr>
          <w:i/>
          <w:iCs/>
        </w:rPr>
        <w:t>Booth v Granata</w:t>
      </w:r>
      <w:r w:rsidRPr="004A25F8">
        <w:t xml:space="preserve"> [2020] FCA 768 (White J)</w:t>
      </w:r>
      <w:r>
        <w:t xml:space="preserve">; </w:t>
      </w:r>
      <w:r w:rsidRPr="00BE3EB9">
        <w:rPr>
          <w:i/>
          <w:iCs/>
        </w:rPr>
        <w:t xml:space="preserve">Booth v </w:t>
      </w:r>
      <w:r>
        <w:rPr>
          <w:i/>
          <w:iCs/>
        </w:rPr>
        <w:t xml:space="preserve">Kadir </w:t>
      </w:r>
      <w:r w:rsidRPr="00BE3EB9">
        <w:rPr>
          <w:i/>
          <w:iCs/>
        </w:rPr>
        <w:t>Kaya (No 2)</w:t>
      </w:r>
      <w:r w:rsidRPr="00BE3EB9">
        <w:t xml:space="preserve"> [2020] FCA 1119 (Anastassiou J)</w:t>
      </w:r>
      <w:r>
        <w:t xml:space="preserve">; </w:t>
      </w:r>
      <w:r w:rsidRPr="00C41B92">
        <w:rPr>
          <w:i/>
          <w:iCs/>
        </w:rPr>
        <w:t>Booth v Khazaal</w:t>
      </w:r>
      <w:r>
        <w:t xml:space="preserve"> [2020] FCA 1241 (Wigney J)</w:t>
      </w:r>
      <w:r>
        <w:t>.</w:t>
      </w:r>
    </w:p>
  </w:endnote>
  <w:endnote w:id="222">
    <w:p w14:paraId="19224F44" w14:textId="31CF3F4D" w:rsidR="001A1790" w:rsidRPr="000745BB"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Control Order Safeguards – Part 2</w:t>
      </w:r>
      <w:r>
        <w:rPr>
          <w:lang w:val="en-US"/>
        </w:rPr>
        <w:t xml:space="preserve"> (April 2016), at [10.3]–[10.4].</w:t>
      </w:r>
    </w:p>
  </w:endnote>
  <w:endnote w:id="223">
    <w:p w14:paraId="18B1C8AD" w14:textId="09AAE950" w:rsidR="001A1790" w:rsidRPr="00092313" w:rsidRDefault="001A1790" w:rsidP="0025233B">
      <w:pPr>
        <w:pStyle w:val="EndnoteText"/>
        <w:ind w:left="270" w:hanging="288"/>
        <w:rPr>
          <w:lang w:val="en-US"/>
        </w:rPr>
      </w:pPr>
      <w:r>
        <w:rPr>
          <w:rStyle w:val="EndnoteReference"/>
        </w:rPr>
        <w:endnoteRef/>
      </w:r>
      <w:r>
        <w:t xml:space="preserve"> </w:t>
      </w:r>
      <w:r>
        <w:rPr>
          <w:lang w:val="en-US"/>
        </w:rPr>
        <w:tab/>
        <w:t xml:space="preserve">Attorney-General’s Department and Australian Federal Police, </w:t>
      </w:r>
      <w:r w:rsidRPr="006E32E9">
        <w:rPr>
          <w:i/>
          <w:iCs/>
        </w:rPr>
        <w:t>Joint supplementary submission and responses to questions on notice</w:t>
      </w:r>
      <w:r>
        <w:t xml:space="preserve">, 2018 PJCIS review, p 15, at </w:t>
      </w:r>
      <w:hyperlink r:id="rId34" w:history="1">
        <w:r w:rsidRPr="00FE4C7D">
          <w:rPr>
            <w:rStyle w:val="Hyperlink"/>
          </w:rPr>
          <w:t>https://www.aph.gov.au/DocumentStore.ashx?id=21ad9998-5d4e-422e-8f72-cdc0623e1d4b&amp;subId=561854</w:t>
        </w:r>
      </w:hyperlink>
      <w:r>
        <w:t xml:space="preserve">.  </w:t>
      </w:r>
    </w:p>
  </w:endnote>
  <w:endnote w:id="224">
    <w:p w14:paraId="7A59B84C" w14:textId="77777777" w:rsidR="001A1790" w:rsidRPr="000745BB" w:rsidRDefault="001A1790" w:rsidP="00813A14">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Control Order Safeguards – Part 2</w:t>
      </w:r>
      <w:r>
        <w:rPr>
          <w:lang w:val="en-US"/>
        </w:rPr>
        <w:t xml:space="preserve"> (April 2016), at [10.5].</w:t>
      </w:r>
    </w:p>
  </w:endnote>
  <w:endnote w:id="225">
    <w:p w14:paraId="5DEEB953" w14:textId="2BED3CBB" w:rsidR="001A1790" w:rsidRPr="007B2F94"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Control Order Safeguards – Part 2</w:t>
      </w:r>
      <w:r>
        <w:rPr>
          <w:lang w:val="en-US"/>
        </w:rPr>
        <w:t xml:space="preserve"> (April 2016), at [11.3].</w:t>
      </w:r>
    </w:p>
  </w:endnote>
  <w:endnote w:id="226">
    <w:p w14:paraId="12AD7C98" w14:textId="4FB32954" w:rsidR="001A1790" w:rsidRPr="00927D73" w:rsidRDefault="001A1790" w:rsidP="0025233B">
      <w:pPr>
        <w:pStyle w:val="EndnoteText"/>
        <w:ind w:left="270" w:hanging="288"/>
        <w:rPr>
          <w:lang w:val="en-US"/>
        </w:rPr>
      </w:pPr>
      <w:r>
        <w:rPr>
          <w:rStyle w:val="EndnoteReference"/>
        </w:rPr>
        <w:endnoteRef/>
      </w:r>
      <w:r>
        <w:t xml:space="preserve"> </w:t>
      </w:r>
      <w:r>
        <w:rPr>
          <w:lang w:val="en-US"/>
        </w:rPr>
        <w:tab/>
        <w:t xml:space="preserve">Attorney-General’s Department and Australian Federal Police, </w:t>
      </w:r>
      <w:r w:rsidRPr="006E32E9">
        <w:rPr>
          <w:i/>
          <w:iCs/>
        </w:rPr>
        <w:t>Joint supplementary submission and responses to questions on notice</w:t>
      </w:r>
      <w:r>
        <w:t xml:space="preserve">, 2018 PJCIS review, pp 15–16, at </w:t>
      </w:r>
      <w:hyperlink r:id="rId35" w:history="1">
        <w:r w:rsidRPr="00FE4C7D">
          <w:rPr>
            <w:rStyle w:val="Hyperlink"/>
          </w:rPr>
          <w:t>https://www.aph.gov.au/DocumentStore.ashx?id=21ad9998-5d4e-422e-8f72-cdc0623e1d4b&amp;subId=561854</w:t>
        </w:r>
      </w:hyperlink>
      <w:r>
        <w:t>.</w:t>
      </w:r>
    </w:p>
  </w:endnote>
  <w:endnote w:id="227">
    <w:p w14:paraId="5131B54E" w14:textId="2F9FA2F2" w:rsidR="001A1790" w:rsidRPr="00A84221" w:rsidRDefault="001A1790" w:rsidP="0025233B">
      <w:pPr>
        <w:pStyle w:val="EndnoteText"/>
        <w:ind w:left="270" w:hanging="288"/>
        <w:rPr>
          <w:lang w:val="en-US"/>
        </w:rPr>
      </w:pPr>
      <w:r>
        <w:rPr>
          <w:rStyle w:val="EndnoteReference"/>
        </w:rPr>
        <w:endnoteRef/>
      </w:r>
      <w:r>
        <w:t xml:space="preserve"> </w:t>
      </w:r>
      <w:r>
        <w:rPr>
          <w:lang w:val="en-US"/>
        </w:rPr>
        <w:tab/>
        <w:t xml:space="preserve">Law Council of Australia, </w:t>
      </w:r>
      <w:r w:rsidRPr="005B6C62">
        <w:rPr>
          <w:i/>
          <w:iCs/>
        </w:rPr>
        <w:t>Adequacy of safeguards relating to the control order regime</w:t>
      </w:r>
      <w:r>
        <w:t xml:space="preserve">, </w:t>
      </w:r>
      <w:r>
        <w:rPr>
          <w:lang w:val="en-US"/>
        </w:rPr>
        <w:t>submission to the Independent National Security Legislation Monitor, 30 September 2015, pp 24</w:t>
      </w:r>
      <w:r>
        <w:t xml:space="preserve">–25.  At </w:t>
      </w:r>
      <w:hyperlink r:id="rId36" w:history="1">
        <w:r>
          <w:rPr>
            <w:rStyle w:val="Hyperlink"/>
          </w:rPr>
          <w:t>https://www.inslm.gov.au/sites/default/files/08_LCA_submission.pdf</w:t>
        </w:r>
      </w:hyperlink>
      <w:r>
        <w:t>.</w:t>
      </w:r>
    </w:p>
  </w:endnote>
  <w:endnote w:id="228">
    <w:p w14:paraId="218CB99B" w14:textId="09DE2C03" w:rsidR="001A1790" w:rsidRPr="00CF112B" w:rsidRDefault="001A1790" w:rsidP="0025233B">
      <w:pPr>
        <w:pStyle w:val="EndnoteText"/>
        <w:ind w:left="270" w:hanging="288"/>
        <w:rPr>
          <w:lang w:val="en-US"/>
        </w:rPr>
      </w:pPr>
      <w:r>
        <w:rPr>
          <w:rStyle w:val="EndnoteReference"/>
        </w:rPr>
        <w:endnoteRef/>
      </w:r>
      <w:r>
        <w:t xml:space="preserve"> </w:t>
      </w:r>
      <w:r>
        <w:rPr>
          <w:lang w:val="en-US"/>
        </w:rPr>
        <w:tab/>
      </w:r>
      <w:r w:rsidRPr="00E767CB">
        <w:rPr>
          <w:i/>
          <w:iCs/>
          <w:lang w:val="en-US"/>
        </w:rPr>
        <w:t>Counter-Terrorism Legislation Amendment Act (No 1) 2016</w:t>
      </w:r>
      <w:r>
        <w:rPr>
          <w:lang w:val="en-US"/>
        </w:rPr>
        <w:t xml:space="preserve"> (Cth).</w:t>
      </w:r>
    </w:p>
  </w:endnote>
  <w:endnote w:id="229">
    <w:p w14:paraId="5E6C0F24" w14:textId="154475A9" w:rsidR="001A1790" w:rsidRPr="000D307C" w:rsidRDefault="001A1790" w:rsidP="0025233B">
      <w:pPr>
        <w:pStyle w:val="EndnoteText"/>
        <w:ind w:left="270" w:hanging="288"/>
        <w:rPr>
          <w:lang w:val="en-US"/>
        </w:rPr>
      </w:pPr>
      <w:r>
        <w:rPr>
          <w:rStyle w:val="EndnoteReference"/>
        </w:rPr>
        <w:endnoteRef/>
      </w:r>
      <w:r>
        <w:t xml:space="preserve"> </w:t>
      </w:r>
      <w:r>
        <w:rPr>
          <w:lang w:val="en-US"/>
        </w:rPr>
        <w:tab/>
      </w:r>
      <w:r w:rsidRPr="00183CE6">
        <w:rPr>
          <w:i/>
          <w:iCs/>
          <w:lang w:val="en-US"/>
        </w:rPr>
        <w:t>Criminal Code</w:t>
      </w:r>
      <w:r>
        <w:rPr>
          <w:lang w:val="en-US"/>
        </w:rPr>
        <w:t xml:space="preserve"> (Cth), s 105.4(4).</w:t>
      </w:r>
    </w:p>
  </w:endnote>
  <w:endnote w:id="230">
    <w:p w14:paraId="00AEC329" w14:textId="1E990818" w:rsidR="001A1790" w:rsidRPr="00AE09FE" w:rsidRDefault="001A1790" w:rsidP="0025233B">
      <w:pPr>
        <w:pStyle w:val="EndnoteText"/>
        <w:ind w:left="270" w:hanging="288"/>
        <w:rPr>
          <w:lang w:val="en-US"/>
        </w:rPr>
      </w:pPr>
      <w:r>
        <w:rPr>
          <w:rStyle w:val="EndnoteReference"/>
        </w:rPr>
        <w:endnoteRef/>
      </w:r>
      <w:r>
        <w:t xml:space="preserve"> </w:t>
      </w:r>
      <w:r>
        <w:rPr>
          <w:lang w:val="en-US"/>
        </w:rPr>
        <w:tab/>
      </w:r>
      <w:r w:rsidRPr="00B72AFF">
        <w:rPr>
          <w:i/>
          <w:iCs/>
          <w:lang w:val="en-US"/>
        </w:rPr>
        <w:t>Criminal Code</w:t>
      </w:r>
      <w:r>
        <w:rPr>
          <w:lang w:val="en-US"/>
        </w:rPr>
        <w:t xml:space="preserve"> (Cth), ss 11.5, 101.1 and 101.6.</w:t>
      </w:r>
    </w:p>
  </w:endnote>
  <w:endnote w:id="231">
    <w:p w14:paraId="0F794D30" w14:textId="2D1C59FC" w:rsidR="001A1790" w:rsidRPr="00FA4B99" w:rsidRDefault="001A1790" w:rsidP="0025233B">
      <w:pPr>
        <w:pStyle w:val="EndnoteText"/>
        <w:ind w:left="270" w:hanging="288"/>
        <w:rPr>
          <w:lang w:val="en-US"/>
        </w:rPr>
      </w:pPr>
      <w:r>
        <w:rPr>
          <w:rStyle w:val="EndnoteReference"/>
        </w:rPr>
        <w:endnoteRef/>
      </w:r>
      <w:r>
        <w:t xml:space="preserve"> </w:t>
      </w:r>
      <w:r>
        <w:rPr>
          <w:lang w:val="en-US"/>
        </w:rPr>
        <w:tab/>
      </w:r>
      <w:r w:rsidRPr="00FA4B99">
        <w:rPr>
          <w:i/>
          <w:iCs/>
          <w:lang w:val="en-US"/>
        </w:rPr>
        <w:t>Criminal Code</w:t>
      </w:r>
      <w:r>
        <w:rPr>
          <w:lang w:val="en-US"/>
        </w:rPr>
        <w:t xml:space="preserve"> (Cth), s 101.4.</w:t>
      </w:r>
    </w:p>
  </w:endnote>
  <w:endnote w:id="232">
    <w:p w14:paraId="7CE39F73" w14:textId="40B85AE6" w:rsidR="001A1790" w:rsidRPr="005B330E" w:rsidRDefault="001A1790" w:rsidP="0025233B">
      <w:pPr>
        <w:pStyle w:val="EndnoteText"/>
        <w:ind w:left="270" w:hanging="288"/>
        <w:rPr>
          <w:lang w:val="en-US"/>
        </w:rPr>
      </w:pPr>
      <w:r>
        <w:rPr>
          <w:rStyle w:val="EndnoteReference"/>
        </w:rPr>
        <w:endnoteRef/>
      </w:r>
      <w:r>
        <w:t xml:space="preserve"> </w:t>
      </w:r>
      <w:r>
        <w:rPr>
          <w:lang w:val="en-US"/>
        </w:rPr>
        <w:tab/>
      </w:r>
      <w:r w:rsidRPr="005B330E">
        <w:rPr>
          <w:i/>
          <w:iCs/>
          <w:lang w:val="en-US"/>
        </w:rPr>
        <w:t>Criminal Code</w:t>
      </w:r>
      <w:r>
        <w:rPr>
          <w:lang w:val="en-US"/>
        </w:rPr>
        <w:t xml:space="preserve"> (Cth), s 105.4(6).</w:t>
      </w:r>
    </w:p>
  </w:endnote>
  <w:endnote w:id="233">
    <w:p w14:paraId="4E8538CF" w14:textId="296487F5" w:rsidR="001A1790" w:rsidRPr="00107D54" w:rsidRDefault="001A1790" w:rsidP="0025233B">
      <w:pPr>
        <w:pStyle w:val="EndnoteText"/>
        <w:ind w:left="270" w:hanging="288"/>
        <w:rPr>
          <w:lang w:val="en-US"/>
        </w:rPr>
      </w:pPr>
      <w:r>
        <w:rPr>
          <w:rStyle w:val="EndnoteReference"/>
        </w:rPr>
        <w:endnoteRef/>
      </w:r>
      <w:r>
        <w:t xml:space="preserve"> </w:t>
      </w:r>
      <w:r>
        <w:rPr>
          <w:lang w:val="en-US"/>
        </w:rPr>
        <w:tab/>
      </w:r>
      <w:r w:rsidRPr="00107D54">
        <w:rPr>
          <w:i/>
          <w:iCs/>
          <w:lang w:val="en-US"/>
        </w:rPr>
        <w:t>Crimes Act 1914</w:t>
      </w:r>
      <w:r>
        <w:rPr>
          <w:lang w:val="en-US"/>
        </w:rPr>
        <w:t xml:space="preserve"> (Cth), s 3F.</w:t>
      </w:r>
    </w:p>
  </w:endnote>
  <w:endnote w:id="234">
    <w:p w14:paraId="2FAA7F39" w14:textId="0028F524" w:rsidR="001A1790" w:rsidRPr="000D307C" w:rsidRDefault="001A1790" w:rsidP="0025233B">
      <w:pPr>
        <w:pStyle w:val="EndnoteText"/>
        <w:ind w:left="270" w:hanging="288"/>
        <w:rPr>
          <w:lang w:val="en-US"/>
        </w:rPr>
      </w:pPr>
      <w:r>
        <w:rPr>
          <w:rStyle w:val="EndnoteReference"/>
        </w:rPr>
        <w:endnoteRef/>
      </w:r>
      <w:r>
        <w:t xml:space="preserve"> </w:t>
      </w:r>
      <w:r>
        <w:rPr>
          <w:lang w:val="en-US"/>
        </w:rPr>
        <w:tab/>
      </w:r>
      <w:r w:rsidRPr="00183CE6">
        <w:rPr>
          <w:i/>
          <w:iCs/>
          <w:lang w:val="en-US"/>
        </w:rPr>
        <w:t>Criminal Code</w:t>
      </w:r>
      <w:r>
        <w:rPr>
          <w:lang w:val="en-US"/>
        </w:rPr>
        <w:t xml:space="preserve"> (Cth), s 105.5.</w:t>
      </w:r>
    </w:p>
  </w:endnote>
  <w:endnote w:id="235">
    <w:p w14:paraId="367D4159" w14:textId="129C96B4" w:rsidR="001A1790" w:rsidRPr="00183CE6" w:rsidRDefault="001A1790" w:rsidP="0025233B">
      <w:pPr>
        <w:pStyle w:val="EndnoteText"/>
        <w:ind w:left="270" w:hanging="288"/>
        <w:rPr>
          <w:lang w:val="en-US"/>
        </w:rPr>
      </w:pPr>
      <w:r>
        <w:rPr>
          <w:rStyle w:val="EndnoteReference"/>
        </w:rPr>
        <w:endnoteRef/>
      </w:r>
      <w:r>
        <w:t xml:space="preserve"> </w:t>
      </w:r>
      <w:r>
        <w:rPr>
          <w:lang w:val="en-US"/>
        </w:rPr>
        <w:tab/>
      </w:r>
      <w:r w:rsidRPr="00183CE6">
        <w:rPr>
          <w:i/>
          <w:iCs/>
          <w:lang w:val="en-US"/>
        </w:rPr>
        <w:t>Criminal Code</w:t>
      </w:r>
      <w:r>
        <w:rPr>
          <w:lang w:val="en-US"/>
        </w:rPr>
        <w:t xml:space="preserve"> (Cth), ss 100.1 (definition of ‘issuing authority’), 105.4, 105.7, 105.8.</w:t>
      </w:r>
    </w:p>
  </w:endnote>
  <w:endnote w:id="236">
    <w:p w14:paraId="756F9C37" w14:textId="24B86557" w:rsidR="001A1790" w:rsidRPr="006C6017" w:rsidRDefault="001A1790" w:rsidP="0025233B">
      <w:pPr>
        <w:pStyle w:val="EndnoteText"/>
        <w:ind w:left="270" w:hanging="288"/>
        <w:rPr>
          <w:lang w:val="en-US"/>
        </w:rPr>
      </w:pPr>
      <w:r>
        <w:rPr>
          <w:rStyle w:val="EndnoteReference"/>
        </w:rPr>
        <w:endnoteRef/>
      </w:r>
      <w:r>
        <w:t xml:space="preserve"> </w:t>
      </w:r>
      <w:r>
        <w:rPr>
          <w:lang w:val="en-US"/>
        </w:rPr>
        <w:tab/>
      </w:r>
      <w:r w:rsidRPr="00EC4712">
        <w:rPr>
          <w:i/>
          <w:iCs/>
          <w:lang w:val="en-US"/>
        </w:rPr>
        <w:t>Criminal Code</w:t>
      </w:r>
      <w:r>
        <w:rPr>
          <w:lang w:val="en-US"/>
        </w:rPr>
        <w:t xml:space="preserve"> (Cth), ss 105.2, 105.12.</w:t>
      </w:r>
    </w:p>
  </w:endnote>
  <w:endnote w:id="237">
    <w:p w14:paraId="35F31C60" w14:textId="599A8DBA" w:rsidR="001A1790" w:rsidRPr="0092742D"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105.18(2).</w:t>
      </w:r>
    </w:p>
  </w:endnote>
  <w:endnote w:id="238">
    <w:p w14:paraId="1D1A3B52" w14:textId="55240503" w:rsidR="001A1790" w:rsidRPr="00FA60B0"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105.12(5).</w:t>
      </w:r>
    </w:p>
  </w:endnote>
  <w:endnote w:id="239">
    <w:p w14:paraId="718EED70" w14:textId="7493975A" w:rsidR="001A1790" w:rsidRPr="001A429C"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105.35.</w:t>
      </w:r>
    </w:p>
  </w:endnote>
  <w:endnote w:id="240">
    <w:p w14:paraId="4C70B787" w14:textId="2BEBE3B9" w:rsidR="001A1790" w:rsidRPr="00670A97"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105.37.</w:t>
      </w:r>
    </w:p>
  </w:endnote>
  <w:endnote w:id="241">
    <w:p w14:paraId="1169527B" w14:textId="448711E5" w:rsidR="001A1790" w:rsidRPr="00670A97"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105.36.</w:t>
      </w:r>
    </w:p>
  </w:endnote>
  <w:endnote w:id="242">
    <w:p w14:paraId="5FE793E9" w14:textId="20DB17FB" w:rsidR="001A1790" w:rsidRPr="004C43DC"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ss 105.14A–105.16.</w:t>
      </w:r>
    </w:p>
  </w:endnote>
  <w:endnote w:id="243">
    <w:p w14:paraId="11C3FC82" w14:textId="695384E1" w:rsidR="001A1790" w:rsidRPr="001A429C"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105.35(2).</w:t>
      </w:r>
    </w:p>
  </w:endnote>
  <w:endnote w:id="244">
    <w:p w14:paraId="7713A178" w14:textId="5DF5310F" w:rsidR="001A1790" w:rsidRPr="00F51D56"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105.38.</w:t>
      </w:r>
    </w:p>
  </w:endnote>
  <w:endnote w:id="245">
    <w:p w14:paraId="02F2AFAE" w14:textId="6BE12AA9" w:rsidR="001A1790" w:rsidRPr="00784B0E" w:rsidRDefault="001A1790" w:rsidP="0025233B">
      <w:pPr>
        <w:pStyle w:val="EndnoteText"/>
        <w:ind w:left="270" w:hanging="288"/>
        <w:rPr>
          <w:lang w:val="en-US"/>
        </w:rPr>
      </w:pPr>
      <w:r>
        <w:rPr>
          <w:rStyle w:val="EndnoteReference"/>
        </w:rPr>
        <w:endnoteRef/>
      </w:r>
      <w:r>
        <w:t xml:space="preserve"> </w:t>
      </w:r>
      <w:r>
        <w:rPr>
          <w:lang w:val="en-US"/>
        </w:rPr>
        <w:tab/>
      </w:r>
      <w:r w:rsidRPr="002F634A">
        <w:rPr>
          <w:i/>
          <w:iCs/>
          <w:lang w:val="en-US"/>
        </w:rPr>
        <w:t>Criminal Code</w:t>
      </w:r>
      <w:r>
        <w:rPr>
          <w:lang w:val="en-US"/>
        </w:rPr>
        <w:t xml:space="preserve"> (Cth), s 105.39.</w:t>
      </w:r>
    </w:p>
  </w:endnote>
  <w:endnote w:id="246">
    <w:p w14:paraId="4523A7D6" w14:textId="28D2F7FE" w:rsidR="001A1790" w:rsidRPr="00A74A8E" w:rsidRDefault="001A1790" w:rsidP="0025233B">
      <w:pPr>
        <w:pStyle w:val="EndnoteText"/>
        <w:ind w:left="270" w:hanging="288"/>
        <w:rPr>
          <w:lang w:val="en-US"/>
        </w:rPr>
      </w:pPr>
      <w:r>
        <w:rPr>
          <w:rStyle w:val="EndnoteReference"/>
        </w:rPr>
        <w:endnoteRef/>
      </w:r>
      <w:r>
        <w:t xml:space="preserve"> </w:t>
      </w:r>
      <w:r>
        <w:rPr>
          <w:lang w:val="en-US"/>
        </w:rPr>
        <w:tab/>
      </w:r>
      <w:r w:rsidRPr="00A74A8E">
        <w:rPr>
          <w:i/>
          <w:iCs/>
          <w:lang w:val="en-US"/>
        </w:rPr>
        <w:t>Criminal Code</w:t>
      </w:r>
      <w:r>
        <w:rPr>
          <w:lang w:val="en-US"/>
        </w:rPr>
        <w:t xml:space="preserve"> (Cth), s 105.42.</w:t>
      </w:r>
    </w:p>
  </w:endnote>
  <w:endnote w:id="247">
    <w:p w14:paraId="3E733E0A" w14:textId="3A9A6F87" w:rsidR="001A1790" w:rsidRPr="00A45982" w:rsidRDefault="001A1790" w:rsidP="0025233B">
      <w:pPr>
        <w:pStyle w:val="EndnoteText"/>
        <w:ind w:left="270" w:hanging="288"/>
        <w:rPr>
          <w:lang w:val="en-US"/>
        </w:rPr>
      </w:pPr>
      <w:r>
        <w:rPr>
          <w:rStyle w:val="EndnoteReference"/>
        </w:rPr>
        <w:endnoteRef/>
      </w:r>
      <w:r>
        <w:t xml:space="preserve"> </w:t>
      </w:r>
      <w:r>
        <w:rPr>
          <w:lang w:val="en-US"/>
        </w:rPr>
        <w:tab/>
      </w:r>
      <w:r w:rsidRPr="00091968">
        <w:rPr>
          <w:i/>
          <w:iCs/>
          <w:lang w:val="en-US"/>
        </w:rPr>
        <w:t>Criminal Code</w:t>
      </w:r>
      <w:r>
        <w:rPr>
          <w:lang w:val="en-US"/>
        </w:rPr>
        <w:t xml:space="preserve"> (Cth), s 105.51(4); </w:t>
      </w:r>
      <w:r w:rsidRPr="00F3027B">
        <w:rPr>
          <w:i/>
          <w:iCs/>
          <w:lang w:val="en-US"/>
        </w:rPr>
        <w:t>Administrative Decisions (Judicial Review) Act 1977</w:t>
      </w:r>
      <w:r>
        <w:rPr>
          <w:lang w:val="en-US"/>
        </w:rPr>
        <w:t xml:space="preserve"> (Cth), Sch 1, paragraph (dac).</w:t>
      </w:r>
    </w:p>
  </w:endnote>
  <w:endnote w:id="248">
    <w:p w14:paraId="3FC358AB" w14:textId="2523AD94" w:rsidR="001A1790" w:rsidRPr="00091968" w:rsidRDefault="001A1790" w:rsidP="0025233B">
      <w:pPr>
        <w:pStyle w:val="EndnoteText"/>
        <w:ind w:left="270" w:hanging="288"/>
        <w:rPr>
          <w:lang w:val="en-US"/>
        </w:rPr>
      </w:pPr>
      <w:r>
        <w:rPr>
          <w:rStyle w:val="EndnoteReference"/>
        </w:rPr>
        <w:endnoteRef/>
      </w:r>
      <w:r>
        <w:t xml:space="preserve"> </w:t>
      </w:r>
      <w:r>
        <w:rPr>
          <w:lang w:val="en-US"/>
        </w:rPr>
        <w:tab/>
      </w:r>
      <w:r w:rsidRPr="00091968">
        <w:rPr>
          <w:i/>
          <w:iCs/>
          <w:lang w:val="en-US"/>
        </w:rPr>
        <w:t>Criminal Code</w:t>
      </w:r>
      <w:r>
        <w:rPr>
          <w:lang w:val="en-US"/>
        </w:rPr>
        <w:t xml:space="preserve"> (Cth), ss 105.51(5)–(9).</w:t>
      </w:r>
    </w:p>
  </w:endnote>
  <w:endnote w:id="249">
    <w:p w14:paraId="2DAFE2E5" w14:textId="07A4448E" w:rsidR="001A1790" w:rsidRDefault="001A1790" w:rsidP="0025233B">
      <w:pPr>
        <w:pStyle w:val="EndnoteText"/>
        <w:ind w:left="270" w:hanging="288"/>
      </w:pPr>
      <w:r>
        <w:rPr>
          <w:rStyle w:val="EndnoteReference"/>
        </w:rPr>
        <w:endnoteRef/>
      </w:r>
      <w:r>
        <w:t xml:space="preserve"> </w:t>
      </w:r>
      <w:r>
        <w:tab/>
        <w:t xml:space="preserve">Department of Home Affairs, </w:t>
      </w:r>
      <w:r w:rsidRPr="00B6309F">
        <w:rPr>
          <w:i/>
          <w:iCs/>
        </w:rPr>
        <w:t>Control orders, preventative detention orders, continuing detention orders, and powers in relation to terrorist acts and terrorism offences</w:t>
      </w:r>
      <w:r>
        <w:t xml:space="preserve">, </w:t>
      </w:r>
      <w:r>
        <w:rPr>
          <w:lang w:val="en-US"/>
        </w:rPr>
        <w:t xml:space="preserve">annual reports for 2017–18 and 2018–19 available at </w:t>
      </w:r>
      <w:hyperlink r:id="rId37" w:history="1">
        <w:r>
          <w:rPr>
            <w:rStyle w:val="Hyperlink"/>
          </w:rPr>
          <w:t>https://www.nationalsecurity.gov.au/Media-and-publications/Annual-Reports/Pages/default.aspx</w:t>
        </w:r>
      </w:hyperlink>
      <w:r>
        <w:rPr>
          <w:rStyle w:val="Hyperlink"/>
        </w:rPr>
        <w:t>.</w:t>
      </w:r>
    </w:p>
  </w:endnote>
  <w:endnote w:id="250">
    <w:p w14:paraId="56D7A6FD" w14:textId="6C9E40CE" w:rsidR="001A1790" w:rsidRPr="00F549B2" w:rsidRDefault="001A1790" w:rsidP="0025233B">
      <w:pPr>
        <w:pStyle w:val="EndnoteText"/>
        <w:ind w:left="270" w:hanging="288"/>
        <w:rPr>
          <w:lang w:val="en-US"/>
        </w:rPr>
      </w:pPr>
      <w:r>
        <w:rPr>
          <w:rStyle w:val="EndnoteReference"/>
        </w:rPr>
        <w:endnoteRef/>
      </w:r>
      <w:r>
        <w:t xml:space="preserve"> </w:t>
      </w:r>
      <w:r>
        <w:rPr>
          <w:lang w:val="en-US"/>
        </w:rPr>
        <w:tab/>
        <w:t xml:space="preserve">Australian Federal Police, </w:t>
      </w:r>
      <w:r w:rsidRPr="009424EF">
        <w:rPr>
          <w:i/>
          <w:iCs/>
          <w:lang w:val="en-US"/>
        </w:rPr>
        <w:t>2017 Counter-terrorism powers review</w:t>
      </w:r>
      <w:r>
        <w:rPr>
          <w:lang w:val="en-US"/>
        </w:rPr>
        <w:t>, submission to the PJCIS (October 2017), at [5].</w:t>
      </w:r>
    </w:p>
  </w:endnote>
  <w:endnote w:id="251">
    <w:p w14:paraId="165BEE93" w14:textId="73066852" w:rsidR="001A1790" w:rsidRPr="00801C7F"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680E2E">
        <w:rPr>
          <w:i/>
          <w:iCs/>
          <w:lang w:val="en-US"/>
        </w:rPr>
        <w:t>Review of Divisions</w:t>
      </w:r>
      <w:r>
        <w:rPr>
          <w:lang w:val="en-US"/>
        </w:rPr>
        <w:t xml:space="preserve"> </w:t>
      </w:r>
      <w:r>
        <w:rPr>
          <w:i/>
          <w:iCs/>
          <w:lang w:val="en-US"/>
        </w:rPr>
        <w:t>104 and 105 of the Criminal Code (including the interoperability of Divisions 104 and 105A): Control Orders and Preventative Detention Orders</w:t>
      </w:r>
      <w:r>
        <w:rPr>
          <w:lang w:val="en-US"/>
        </w:rPr>
        <w:t>, 7 September 2017, at [3.40] and the legislation described in footnote 31.</w:t>
      </w:r>
    </w:p>
  </w:endnote>
  <w:endnote w:id="252">
    <w:p w14:paraId="630DCE42" w14:textId="3ABDE19E" w:rsidR="001A1790" w:rsidRPr="00EB072C" w:rsidRDefault="001A1790" w:rsidP="0025233B">
      <w:pPr>
        <w:pStyle w:val="EndnoteText"/>
        <w:ind w:left="270" w:hanging="288"/>
        <w:rPr>
          <w:lang w:val="en-US"/>
        </w:rPr>
      </w:pPr>
      <w:r>
        <w:rPr>
          <w:rStyle w:val="EndnoteReference"/>
        </w:rPr>
        <w:endnoteRef/>
      </w:r>
      <w:r>
        <w:t xml:space="preserve"> </w:t>
      </w:r>
      <w:r>
        <w:rPr>
          <w:lang w:val="en-US"/>
        </w:rPr>
        <w:tab/>
        <w:t>Transcript of Proceedings, Public Hearing, INSLM Statutory Deadline Reviews 2017, Canberra, 19 May 2017, p 20 (</w:t>
      </w:r>
      <w:r>
        <w:t>Mr Michael Phelan, Deputy Commissioner for National Security, Australian Federal Police</w:t>
      </w:r>
      <w:r>
        <w:rPr>
          <w:lang w:val="en-US"/>
        </w:rPr>
        <w:t xml:space="preserve">).  At </w:t>
      </w:r>
      <w:hyperlink r:id="rId38" w:history="1">
        <w:r>
          <w:rPr>
            <w:rStyle w:val="Hyperlink"/>
          </w:rPr>
          <w:t>https://www.inslm.gov.au/sites/default/files/INSLM-transcript-public-hearing-19-may-2017.pdf</w:t>
        </w:r>
      </w:hyperlink>
      <w:r>
        <w:t>.</w:t>
      </w:r>
    </w:p>
  </w:endnote>
  <w:endnote w:id="253">
    <w:p w14:paraId="5C9708FF" w14:textId="76C7A47F" w:rsidR="001A1790" w:rsidRPr="008B2D7A" w:rsidRDefault="001A1790" w:rsidP="0025233B">
      <w:pPr>
        <w:pStyle w:val="EndnoteText"/>
        <w:ind w:left="270" w:hanging="288"/>
        <w:rPr>
          <w:lang w:val="en-US"/>
        </w:rPr>
      </w:pPr>
      <w:r>
        <w:rPr>
          <w:rStyle w:val="EndnoteReference"/>
        </w:rPr>
        <w:endnoteRef/>
      </w:r>
      <w:r>
        <w:t xml:space="preserve"> </w:t>
      </w:r>
      <w:r>
        <w:rPr>
          <w:lang w:val="en-US"/>
        </w:rPr>
        <w:tab/>
      </w:r>
      <w:r w:rsidRPr="00454A96">
        <w:t>Dr Jessie Blackbourn, Professor Andrew Lynch, Dr Nicola McGarrity, Dr Tamara Tulich and Professor George Williams AO</w:t>
      </w:r>
      <w:r>
        <w:t xml:space="preserve">, </w:t>
      </w:r>
      <w:r w:rsidRPr="00241FCA">
        <w:rPr>
          <w:i/>
          <w:iCs/>
        </w:rPr>
        <w:t>Review of police stop, search and seizure powers, the control order regime and the preventative detention order regime</w:t>
      </w:r>
      <w:r>
        <w:t>, submission to the PJCIS (22 September 2017), p 5.</w:t>
      </w:r>
    </w:p>
  </w:endnote>
  <w:endnote w:id="254">
    <w:p w14:paraId="14A8FF84" w14:textId="77777777" w:rsidR="001A1790" w:rsidRDefault="001A1790" w:rsidP="00843958">
      <w:pPr>
        <w:pStyle w:val="EndnoteText"/>
        <w:ind w:left="284" w:hanging="284"/>
      </w:pPr>
      <w:r>
        <w:rPr>
          <w:rStyle w:val="EndnoteReference"/>
        </w:rPr>
        <w:endnoteRef/>
      </w:r>
      <w:r>
        <w:t xml:space="preserve"> </w:t>
      </w:r>
      <w:r>
        <w:tab/>
        <w:t xml:space="preserve">Ombudsman New South Wales, </w:t>
      </w:r>
      <w:r w:rsidRPr="00AD1943">
        <w:rPr>
          <w:i/>
          <w:iCs/>
        </w:rPr>
        <w:t>Preventative detention and covert search warrants: Review of Parts 2A and 3 of the Terrorism (Police Powers) Act 2002 Review period 2014-16</w:t>
      </w:r>
      <w:r>
        <w:t xml:space="preserve"> (March 2017), p 10.  At </w:t>
      </w:r>
      <w:hyperlink r:id="rId39" w:history="1">
        <w:r>
          <w:rPr>
            <w:rStyle w:val="Hyperlink"/>
          </w:rPr>
          <w:t>https://www.ombo.nsw.gov.au/__data/assets/pdf_file/0005/45455/Preventative-detention-and-covert-search-warrants_Review-of-Parts-2A-and-3-of-the-Terrorism-Police-Powers-Act-2002..pdf</w:t>
        </w:r>
      </w:hyperlink>
      <w:r>
        <w:t xml:space="preserve">. </w:t>
      </w:r>
    </w:p>
  </w:endnote>
  <w:endnote w:id="255">
    <w:p w14:paraId="6CE9C672" w14:textId="2E605EA6" w:rsidR="001A1790" w:rsidRDefault="001A1790" w:rsidP="003B55C7">
      <w:pPr>
        <w:pStyle w:val="EndnoteText"/>
        <w:ind w:left="284" w:hanging="284"/>
      </w:pPr>
      <w:r>
        <w:rPr>
          <w:rStyle w:val="EndnoteReference"/>
        </w:rPr>
        <w:endnoteRef/>
      </w:r>
      <w:r>
        <w:t xml:space="preserve"> </w:t>
      </w:r>
      <w:r>
        <w:tab/>
        <w:t xml:space="preserve">Ombudsman New South Wales, </w:t>
      </w:r>
      <w:r w:rsidRPr="00AD1943">
        <w:rPr>
          <w:i/>
          <w:iCs/>
        </w:rPr>
        <w:t>Preventative detention and covert search warrants: Review of Parts 2A and 3 of the Terrorism (Police Powers) Act 2002 Review period 2014-16</w:t>
      </w:r>
      <w:r>
        <w:t xml:space="preserve"> (March 2017), p 11.  </w:t>
      </w:r>
    </w:p>
  </w:endnote>
  <w:endnote w:id="256">
    <w:p w14:paraId="70D4A052" w14:textId="538242FD" w:rsidR="001A1790" w:rsidRDefault="001A1790" w:rsidP="0019122E">
      <w:pPr>
        <w:pStyle w:val="EndnoteText"/>
        <w:ind w:left="284" w:hanging="284"/>
      </w:pPr>
      <w:r>
        <w:rPr>
          <w:rStyle w:val="EndnoteReference"/>
        </w:rPr>
        <w:endnoteRef/>
      </w:r>
      <w:r>
        <w:t xml:space="preserve"> </w:t>
      </w:r>
      <w:r>
        <w:tab/>
        <w:t xml:space="preserve">Ombudsman New South Wales, </w:t>
      </w:r>
      <w:r w:rsidRPr="00AD1943">
        <w:rPr>
          <w:i/>
          <w:iCs/>
        </w:rPr>
        <w:t>Preventative detention and covert search warrants: Review of Parts 2A and 3 of the Terrorism (Police Powers) Act 2002 Review period 2014-16</w:t>
      </w:r>
      <w:r>
        <w:t xml:space="preserve"> (March 2017), p 12.  </w:t>
      </w:r>
    </w:p>
  </w:endnote>
  <w:endnote w:id="257">
    <w:p w14:paraId="311F8D42" w14:textId="5B79BB97" w:rsidR="001A1790" w:rsidRDefault="001A1790" w:rsidP="002F0EE5">
      <w:pPr>
        <w:pStyle w:val="EndnoteText"/>
        <w:ind w:left="284" w:hanging="284"/>
      </w:pPr>
      <w:r>
        <w:rPr>
          <w:rStyle w:val="EndnoteReference"/>
        </w:rPr>
        <w:endnoteRef/>
      </w:r>
      <w:r>
        <w:t xml:space="preserve"> </w:t>
      </w:r>
      <w:r>
        <w:tab/>
        <w:t xml:space="preserve">Ombudsman New South Wales, </w:t>
      </w:r>
      <w:r w:rsidRPr="00AD1943">
        <w:rPr>
          <w:i/>
          <w:iCs/>
        </w:rPr>
        <w:t>Preventative detention and covert search warrants: Review of Parts 2A and 3 of the Terrorism (Police Powers) Act 2002 Review period 2014-16</w:t>
      </w:r>
      <w:r>
        <w:t xml:space="preserve"> (March 2017), p 17.</w:t>
      </w:r>
    </w:p>
  </w:endnote>
  <w:endnote w:id="258">
    <w:p w14:paraId="09938E11" w14:textId="0071E8B8" w:rsidR="001A1790" w:rsidRDefault="001A1790" w:rsidP="00850DFE">
      <w:pPr>
        <w:pStyle w:val="EndnoteText"/>
        <w:ind w:left="284" w:hanging="284"/>
      </w:pPr>
      <w:r>
        <w:rPr>
          <w:rStyle w:val="EndnoteReference"/>
        </w:rPr>
        <w:endnoteRef/>
      </w:r>
      <w:r>
        <w:t xml:space="preserve"> </w:t>
      </w:r>
      <w:r>
        <w:tab/>
        <w:t xml:space="preserve">New South Wales Department of Justice, </w:t>
      </w:r>
      <w:r w:rsidRPr="002D5040">
        <w:rPr>
          <w:i/>
          <w:iCs/>
        </w:rPr>
        <w:t>Statutory Review of the Terrorism (Police Powers) Act 2002</w:t>
      </w:r>
      <w:r>
        <w:t xml:space="preserve"> (June 2018), p 46.  At </w:t>
      </w:r>
      <w:hyperlink r:id="rId40" w:history="1">
        <w:r>
          <w:rPr>
            <w:rStyle w:val="Hyperlink"/>
          </w:rPr>
          <w:t>https://www.justice.nsw.gov.au/justicepolicy/Documents/statutory-review-of-the-tppa.pdf</w:t>
        </w:r>
      </w:hyperlink>
      <w:r>
        <w:t xml:space="preserve">. </w:t>
      </w:r>
    </w:p>
  </w:endnote>
  <w:endnote w:id="259">
    <w:p w14:paraId="148D1D8A" w14:textId="69C28F9C" w:rsidR="001A1790" w:rsidRDefault="001A1790" w:rsidP="00FF3CFA">
      <w:pPr>
        <w:pStyle w:val="EndnoteText"/>
        <w:ind w:left="284" w:hanging="284"/>
      </w:pPr>
      <w:r>
        <w:rPr>
          <w:rStyle w:val="EndnoteReference"/>
        </w:rPr>
        <w:endnoteRef/>
      </w:r>
      <w:r>
        <w:t xml:space="preserve"> </w:t>
      </w:r>
      <w:r>
        <w:tab/>
      </w:r>
      <w:r w:rsidRPr="00FF3CFA">
        <w:rPr>
          <w:i/>
          <w:iCs/>
        </w:rPr>
        <w:t>Terrorism (Police Powers) Act 2002</w:t>
      </w:r>
      <w:r>
        <w:t xml:space="preserve"> (NSW),  26ZS.</w:t>
      </w:r>
    </w:p>
  </w:endnote>
  <w:endnote w:id="260">
    <w:p w14:paraId="03DFDA9D" w14:textId="2FDD942B" w:rsidR="001A1790" w:rsidRPr="00943898"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[117].</w:t>
      </w:r>
    </w:p>
  </w:endnote>
  <w:endnote w:id="261">
    <w:p w14:paraId="754F5FDA" w14:textId="552043F3" w:rsidR="001A1790" w:rsidRPr="00943898"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[120]; </w:t>
      </w:r>
      <w:r w:rsidRPr="00C47073">
        <w:rPr>
          <w:i/>
          <w:iCs/>
        </w:rPr>
        <w:t>Gaughan v Causevic (No</w:t>
      </w:r>
      <w:r>
        <w:rPr>
          <w:i/>
          <w:iCs/>
        </w:rPr>
        <w:t xml:space="preserve"> </w:t>
      </w:r>
      <w:r w:rsidRPr="00C47073">
        <w:rPr>
          <w:i/>
          <w:iCs/>
        </w:rPr>
        <w:t>2)</w:t>
      </w:r>
      <w:r>
        <w:t xml:space="preserve"> [2016] FCCA 1693 at [50].</w:t>
      </w:r>
    </w:p>
  </w:endnote>
  <w:endnote w:id="262">
    <w:p w14:paraId="33F54F65" w14:textId="63BCA7D7" w:rsidR="001A1790" w:rsidRPr="00943898" w:rsidRDefault="001A1790" w:rsidP="0025233B">
      <w:pPr>
        <w:pStyle w:val="EndnoteText"/>
        <w:ind w:left="270" w:hanging="288"/>
        <w:rPr>
          <w:lang w:val="en-US"/>
        </w:rPr>
      </w:pPr>
      <w:r>
        <w:rPr>
          <w:rStyle w:val="EndnoteReference"/>
        </w:rPr>
        <w:endnoteRef/>
      </w:r>
      <w:r>
        <w:t xml:space="preserve"> </w:t>
      </w:r>
      <w:r>
        <w:rPr>
          <w:lang w:val="en-US"/>
        </w:rPr>
        <w:tab/>
      </w:r>
      <w:r w:rsidRPr="00A47BE2">
        <w:rPr>
          <w:i/>
          <w:iCs/>
          <w:lang w:val="en-US"/>
        </w:rPr>
        <w:t>Cruse v State of Victoria</w:t>
      </w:r>
      <w:r>
        <w:rPr>
          <w:lang w:val="en-US"/>
        </w:rPr>
        <w:t xml:space="preserve"> (2019) </w:t>
      </w:r>
      <w:r w:rsidRPr="009F1ED6">
        <w:t>59 VR 241</w:t>
      </w:r>
      <w:r>
        <w:t xml:space="preserve"> (Richards J) at [112].</w:t>
      </w:r>
    </w:p>
  </w:endnote>
  <w:endnote w:id="263">
    <w:p w14:paraId="1AF56AC5" w14:textId="1AFACC63" w:rsidR="001A1790" w:rsidRPr="00AA5156" w:rsidRDefault="001A1790" w:rsidP="0025233B">
      <w:pPr>
        <w:pStyle w:val="EndnoteText"/>
        <w:ind w:left="270" w:hanging="288"/>
        <w:rPr>
          <w:lang w:val="en-US"/>
        </w:rPr>
      </w:pPr>
      <w:r>
        <w:rPr>
          <w:rStyle w:val="EndnoteReference"/>
        </w:rPr>
        <w:endnoteRef/>
      </w:r>
      <w:r>
        <w:t xml:space="preserve"> </w:t>
      </w:r>
      <w:r>
        <w:rPr>
          <w:lang w:val="en-US"/>
        </w:rPr>
        <w:tab/>
      </w:r>
      <w:r w:rsidRPr="006C685A">
        <w:rPr>
          <w:i/>
          <w:iCs/>
          <w:lang w:val="en-US"/>
        </w:rPr>
        <w:t>R v Besim</w:t>
      </w:r>
      <w:r>
        <w:rPr>
          <w:lang w:val="en-US"/>
        </w:rPr>
        <w:t xml:space="preserve"> </w:t>
      </w:r>
      <w:r>
        <w:t>[2016] VSC 537 (Croucher J) at [116]</w:t>
      </w:r>
      <w:r>
        <w:rPr>
          <w:lang w:val="en-US"/>
        </w:rPr>
        <w:t>–</w:t>
      </w:r>
      <w:r>
        <w:t>[119].</w:t>
      </w:r>
    </w:p>
  </w:endnote>
  <w:endnote w:id="264">
    <w:p w14:paraId="520C6E09" w14:textId="13024993" w:rsidR="001A1790" w:rsidRPr="00AA5156" w:rsidRDefault="001A1790" w:rsidP="0025233B">
      <w:pPr>
        <w:pStyle w:val="EndnoteText"/>
        <w:ind w:left="270" w:hanging="288"/>
        <w:rPr>
          <w:lang w:val="en-US"/>
        </w:rPr>
      </w:pPr>
      <w:r>
        <w:rPr>
          <w:rStyle w:val="EndnoteReference"/>
        </w:rPr>
        <w:endnoteRef/>
      </w:r>
      <w:r>
        <w:t xml:space="preserve"> </w:t>
      </w:r>
      <w:r>
        <w:rPr>
          <w:lang w:val="en-US"/>
        </w:rPr>
        <w:tab/>
      </w:r>
      <w:r w:rsidRPr="006C685A">
        <w:rPr>
          <w:i/>
          <w:iCs/>
          <w:lang w:val="en-US"/>
        </w:rPr>
        <w:t>R v Besim</w:t>
      </w:r>
      <w:r>
        <w:rPr>
          <w:lang w:val="en-US"/>
        </w:rPr>
        <w:t xml:space="preserve"> </w:t>
      </w:r>
      <w:r>
        <w:t>[2016] VSC 537 (Croucher J) at [123].</w:t>
      </w:r>
    </w:p>
  </w:endnote>
  <w:endnote w:id="265">
    <w:p w14:paraId="6EF88AAC" w14:textId="59CD4725" w:rsidR="001A1790" w:rsidRPr="00AA5156" w:rsidRDefault="001A1790" w:rsidP="0025233B">
      <w:pPr>
        <w:pStyle w:val="EndnoteText"/>
        <w:ind w:left="270" w:hanging="288"/>
        <w:rPr>
          <w:lang w:val="en-US"/>
        </w:rPr>
      </w:pPr>
      <w:r>
        <w:rPr>
          <w:rStyle w:val="EndnoteReference"/>
        </w:rPr>
        <w:endnoteRef/>
      </w:r>
      <w:r>
        <w:t xml:space="preserve"> </w:t>
      </w:r>
      <w:r>
        <w:rPr>
          <w:lang w:val="en-US"/>
        </w:rPr>
        <w:tab/>
      </w:r>
      <w:r w:rsidRPr="006C685A">
        <w:rPr>
          <w:i/>
          <w:iCs/>
          <w:lang w:val="en-US"/>
        </w:rPr>
        <w:t>R v Besim</w:t>
      </w:r>
      <w:r>
        <w:rPr>
          <w:lang w:val="en-US"/>
        </w:rPr>
        <w:t xml:space="preserve"> </w:t>
      </w:r>
      <w:r>
        <w:t>[2016] VSC 537 (Croucher J) at [117].</w:t>
      </w:r>
    </w:p>
  </w:endnote>
  <w:endnote w:id="266">
    <w:p w14:paraId="745DA563" w14:textId="62204D1C" w:rsidR="001A1790" w:rsidRPr="005B00F2" w:rsidRDefault="001A1790" w:rsidP="0025233B">
      <w:pPr>
        <w:pStyle w:val="EndnoteText"/>
        <w:ind w:left="270" w:hanging="288"/>
        <w:rPr>
          <w:lang w:val="en-US"/>
        </w:rPr>
      </w:pPr>
      <w:r>
        <w:rPr>
          <w:rStyle w:val="EndnoteReference"/>
        </w:rPr>
        <w:endnoteRef/>
      </w:r>
      <w:r>
        <w:t xml:space="preserve"> </w:t>
      </w:r>
      <w:r>
        <w:rPr>
          <w:lang w:val="en-US"/>
        </w:rPr>
        <w:tab/>
      </w:r>
      <w:r w:rsidRPr="006C685A">
        <w:rPr>
          <w:i/>
          <w:iCs/>
          <w:lang w:val="en-US"/>
        </w:rPr>
        <w:t>R v Besim</w:t>
      </w:r>
      <w:r>
        <w:rPr>
          <w:lang w:val="en-US"/>
        </w:rPr>
        <w:t xml:space="preserve"> </w:t>
      </w:r>
      <w:r w:rsidRPr="00F80DEE">
        <w:t>[</w:t>
      </w:r>
      <w:bookmarkStart w:id="47" w:name="mncYear"/>
      <w:bookmarkEnd w:id="47"/>
      <w:r w:rsidRPr="00F80DEE">
        <w:t xml:space="preserve">2017] VSCA </w:t>
      </w:r>
      <w:bookmarkStart w:id="48" w:name="COVcit"/>
      <w:bookmarkEnd w:id="48"/>
      <w:r w:rsidRPr="00F80DEE">
        <w:t>158</w:t>
      </w:r>
      <w:r>
        <w:t xml:space="preserve"> (Warren CJ, Weinberg and Kaye </w:t>
      </w:r>
      <w:r>
        <w:rPr>
          <w:sz w:val="22"/>
          <w:szCs w:val="22"/>
        </w:rPr>
        <w:t>JJA)</w:t>
      </w:r>
      <w:r>
        <w:t>.</w:t>
      </w:r>
    </w:p>
  </w:endnote>
  <w:endnote w:id="267">
    <w:p w14:paraId="230FB38E" w14:textId="77777777" w:rsidR="001A1790" w:rsidRPr="00915E8C"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[50].</w:t>
      </w:r>
    </w:p>
  </w:endnote>
  <w:endnote w:id="268">
    <w:p w14:paraId="6A7229BB" w14:textId="386FB87D" w:rsidR="001A1790" w:rsidRPr="00915E8C"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[53].</w:t>
      </w:r>
    </w:p>
  </w:endnote>
  <w:endnote w:id="269">
    <w:p w14:paraId="4CF65BF8" w14:textId="157F440C" w:rsidR="001A1790" w:rsidRPr="00915E8C" w:rsidRDefault="001A1790" w:rsidP="0025233B">
      <w:pPr>
        <w:pStyle w:val="EndnoteText"/>
        <w:ind w:left="270" w:hanging="288"/>
        <w:rPr>
          <w:lang w:val="en-US"/>
        </w:rPr>
      </w:pPr>
      <w:r>
        <w:rPr>
          <w:rStyle w:val="EndnoteReference"/>
        </w:rPr>
        <w:endnoteRef/>
      </w:r>
      <w:r>
        <w:t xml:space="preserve"> </w:t>
      </w:r>
      <w:r>
        <w:rPr>
          <w:lang w:val="en-US"/>
        </w:rPr>
        <w:tab/>
      </w:r>
      <w:r w:rsidRPr="00C47073">
        <w:rPr>
          <w:i/>
          <w:iCs/>
        </w:rPr>
        <w:t>Gaughan v Causevic (No</w:t>
      </w:r>
      <w:r>
        <w:rPr>
          <w:i/>
          <w:iCs/>
        </w:rPr>
        <w:t xml:space="preserve"> </w:t>
      </w:r>
      <w:r w:rsidRPr="00C47073">
        <w:rPr>
          <w:i/>
          <w:iCs/>
        </w:rPr>
        <w:t>2)</w:t>
      </w:r>
      <w:r>
        <w:t xml:space="preserve"> [2016] FCCA 1693 at [55].</w:t>
      </w:r>
    </w:p>
  </w:endnote>
  <w:endnote w:id="270">
    <w:p w14:paraId="342739A2" w14:textId="48C7319B" w:rsidR="001A1790" w:rsidRPr="00202A88"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[4.48].</w:t>
      </w:r>
    </w:p>
  </w:endnote>
  <w:endnote w:id="271">
    <w:p w14:paraId="5E939F91" w14:textId="57CE13A6" w:rsidR="001A1790" w:rsidRPr="00202A88"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[4.43].</w:t>
      </w:r>
    </w:p>
  </w:endnote>
  <w:endnote w:id="272">
    <w:p w14:paraId="5FE178DF" w14:textId="03B3BA7C" w:rsidR="001A1790" w:rsidRPr="00C14E00" w:rsidRDefault="001A1790" w:rsidP="0025233B">
      <w:pPr>
        <w:pStyle w:val="EndnoteText"/>
        <w:ind w:left="270" w:hanging="288"/>
        <w:rPr>
          <w:lang w:val="en-US"/>
        </w:rPr>
      </w:pPr>
      <w:r>
        <w:rPr>
          <w:rStyle w:val="EndnoteReference"/>
        </w:rPr>
        <w:endnoteRef/>
      </w:r>
      <w:r>
        <w:t xml:space="preserve"> </w:t>
      </w:r>
      <w:r>
        <w:rPr>
          <w:lang w:val="en-US"/>
        </w:rPr>
        <w:tab/>
        <w:t xml:space="preserve">Explanatory Memorandum, </w:t>
      </w:r>
      <w:r w:rsidRPr="00E818B0">
        <w:t>Counter</w:t>
      </w:r>
      <w:r w:rsidRPr="00E818B0">
        <w:noBreakHyphen/>
        <w:t>Terrorism Legislation Amendment (Foreign Fighters) Bill 2014</w:t>
      </w:r>
      <w:r>
        <w:t xml:space="preserve"> (Cth) at [98].</w:t>
      </w:r>
    </w:p>
  </w:endnote>
  <w:endnote w:id="273">
    <w:p w14:paraId="270065CF" w14:textId="77777777" w:rsidR="001A1790" w:rsidRPr="007A44AA"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[4.57].</w:t>
      </w:r>
    </w:p>
  </w:endnote>
  <w:endnote w:id="274">
    <w:p w14:paraId="38F8D348" w14:textId="40A46D0F" w:rsidR="001A1790" w:rsidRPr="007C532E" w:rsidRDefault="001A1790" w:rsidP="0025233B">
      <w:pPr>
        <w:pStyle w:val="EndnoteText"/>
        <w:ind w:left="270" w:hanging="288"/>
        <w:rPr>
          <w:lang w:val="en-US"/>
        </w:rPr>
      </w:pPr>
      <w:r>
        <w:rPr>
          <w:rStyle w:val="EndnoteReference"/>
        </w:rPr>
        <w:endnoteRef/>
      </w:r>
      <w:r>
        <w:t xml:space="preserve"> </w:t>
      </w:r>
      <w:r>
        <w:rPr>
          <w:lang w:val="en-US"/>
        </w:rPr>
        <w:tab/>
      </w:r>
      <w:r w:rsidRPr="007C532E">
        <w:rPr>
          <w:i/>
          <w:iCs/>
          <w:lang w:val="en-US"/>
        </w:rPr>
        <w:t>Criminal Code</w:t>
      </w:r>
      <w:r>
        <w:rPr>
          <w:lang w:val="en-US"/>
        </w:rPr>
        <w:t xml:space="preserve"> (Cth), s 101.4.</w:t>
      </w:r>
    </w:p>
  </w:endnote>
  <w:endnote w:id="275">
    <w:p w14:paraId="46143255" w14:textId="42769B64" w:rsidR="001A1790" w:rsidRPr="001E632B" w:rsidRDefault="001A1790" w:rsidP="0025233B">
      <w:pPr>
        <w:pStyle w:val="EndnoteText"/>
        <w:ind w:left="270" w:hanging="288"/>
        <w:rPr>
          <w:lang w:val="en-US"/>
        </w:rPr>
      </w:pPr>
      <w:r>
        <w:rPr>
          <w:rStyle w:val="EndnoteReference"/>
        </w:rPr>
        <w:endnoteRef/>
      </w:r>
      <w:r>
        <w:t xml:space="preserve"> </w:t>
      </w:r>
      <w:r>
        <w:rPr>
          <w:lang w:val="en-US"/>
        </w:rPr>
        <w:tab/>
      </w:r>
      <w:r w:rsidRPr="001912CD">
        <w:rPr>
          <w:i/>
          <w:iCs/>
          <w:lang w:val="en-US"/>
        </w:rPr>
        <w:t>Crimes Act 1914</w:t>
      </w:r>
      <w:r>
        <w:rPr>
          <w:lang w:val="en-US"/>
        </w:rPr>
        <w:t xml:space="preserve"> (Cth), s 3R.</w:t>
      </w:r>
    </w:p>
  </w:endnote>
  <w:endnote w:id="276">
    <w:p w14:paraId="5E56D51C" w14:textId="198717B7" w:rsidR="001A1790" w:rsidRPr="00E93FED" w:rsidRDefault="001A1790" w:rsidP="0025233B">
      <w:pPr>
        <w:pStyle w:val="EndnoteText"/>
        <w:ind w:left="270" w:hanging="288"/>
        <w:rPr>
          <w:lang w:val="en-US"/>
        </w:rPr>
      </w:pPr>
      <w:r>
        <w:rPr>
          <w:rStyle w:val="EndnoteReference"/>
        </w:rPr>
        <w:endnoteRef/>
      </w:r>
      <w:r>
        <w:t xml:space="preserve"> </w:t>
      </w:r>
      <w:r>
        <w:rPr>
          <w:lang w:val="en-US"/>
        </w:rPr>
        <w:tab/>
      </w:r>
      <w:r w:rsidRPr="00E93FED">
        <w:rPr>
          <w:i/>
          <w:iCs/>
          <w:lang w:val="en-US"/>
        </w:rPr>
        <w:t>Criminal Code</w:t>
      </w:r>
      <w:r>
        <w:rPr>
          <w:lang w:val="en-US"/>
        </w:rPr>
        <w:t xml:space="preserve"> (Cth), s105.7(2).</w:t>
      </w:r>
    </w:p>
  </w:endnote>
  <w:endnote w:id="277">
    <w:p w14:paraId="5139FAD0" w14:textId="4DDCD88D" w:rsidR="001A1790" w:rsidRPr="006F178C" w:rsidRDefault="001A1790" w:rsidP="0025233B">
      <w:pPr>
        <w:pStyle w:val="EndnoteText"/>
        <w:ind w:left="270" w:hanging="288"/>
        <w:rPr>
          <w:lang w:val="en-US"/>
        </w:rPr>
      </w:pPr>
      <w:r>
        <w:rPr>
          <w:rStyle w:val="EndnoteReference"/>
        </w:rPr>
        <w:endnoteRef/>
      </w:r>
      <w:r>
        <w:t xml:space="preserve"> </w:t>
      </w:r>
      <w:r>
        <w:rPr>
          <w:lang w:val="en-US"/>
        </w:rPr>
        <w:tab/>
        <w:t xml:space="preserve">Attorney-General’s Department and Australian Federal Police, </w:t>
      </w:r>
      <w:r w:rsidRPr="006E32E9">
        <w:rPr>
          <w:i/>
          <w:iCs/>
        </w:rPr>
        <w:t>Joint supplementary submission and responses to questions on notice</w:t>
      </w:r>
      <w:r>
        <w:t>, 2018 PJCIS review, p 3.</w:t>
      </w:r>
    </w:p>
  </w:endnote>
  <w:endnote w:id="278">
    <w:p w14:paraId="3FCEF1C8" w14:textId="77777777" w:rsidR="001A1790" w:rsidRPr="005A3790"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[4.48], Box 4.1.</w:t>
      </w:r>
    </w:p>
  </w:endnote>
  <w:endnote w:id="279">
    <w:p w14:paraId="350DE22F" w14:textId="657FE49F" w:rsidR="001A1790" w:rsidRPr="00431988"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974954">
        <w:rPr>
          <w:i/>
          <w:iCs/>
          <w:lang w:val="en-US"/>
        </w:rPr>
        <w:t>Criminal Code Amendment (High Risk Terrorist Offenders) Bill 2016 (Cth)</w:t>
      </w:r>
      <w:r>
        <w:rPr>
          <w:lang w:val="en-US"/>
        </w:rPr>
        <w:t>, submission to the PJCIS (</w:t>
      </w:r>
      <w:r w:rsidRPr="0006741A">
        <w:t>12 October 2016</w:t>
      </w:r>
      <w:r>
        <w:t xml:space="preserve">).  At </w:t>
      </w:r>
      <w:hyperlink r:id="rId41" w:history="1">
        <w:r w:rsidRPr="003E5E7A">
          <w:rPr>
            <w:rStyle w:val="Hyperlink"/>
          </w:rPr>
          <w:t>https://www.aph.gov.au/DocumentStore.ashx?id=32397a66-a179-4a07-a5fb-ab60b776676f&amp;subId=414693</w:t>
        </w:r>
      </w:hyperlink>
      <w:r>
        <w:t xml:space="preserve">. </w:t>
      </w:r>
    </w:p>
  </w:endnote>
  <w:endnote w:id="280">
    <w:p w14:paraId="09DEC19F" w14:textId="7553BCE6"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ss 105A.5(1)–(2).</w:t>
      </w:r>
    </w:p>
  </w:endnote>
  <w:endnote w:id="281">
    <w:p w14:paraId="15603A00" w14:textId="1F216FC0"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 105A.7(1)(b).</w:t>
      </w:r>
    </w:p>
  </w:endnote>
  <w:endnote w:id="282">
    <w:p w14:paraId="6DBE5424" w14:textId="2E75A97A"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 105A.7(1)(c).</w:t>
      </w:r>
    </w:p>
  </w:endnote>
  <w:endnote w:id="283">
    <w:p w14:paraId="7D82FB76" w14:textId="02BA8B66"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 105A.7(3).</w:t>
      </w:r>
    </w:p>
  </w:endnote>
  <w:endnote w:id="284">
    <w:p w14:paraId="0EE17989" w14:textId="1C40BCE8" w:rsidR="001A1790" w:rsidRDefault="001A1790" w:rsidP="00675912">
      <w:pPr>
        <w:pStyle w:val="EndnoteText"/>
        <w:ind w:left="284" w:hanging="284"/>
      </w:pPr>
      <w:r>
        <w:rPr>
          <w:rStyle w:val="EndnoteReference"/>
        </w:rPr>
        <w:endnoteRef/>
      </w:r>
      <w:r>
        <w:t xml:space="preserve"> </w:t>
      </w:r>
      <w:r>
        <w:tab/>
      </w:r>
      <w:r w:rsidRPr="00B37D09">
        <w:rPr>
          <w:i/>
          <w:iCs/>
        </w:rPr>
        <w:t>Criminal Code</w:t>
      </w:r>
      <w:r>
        <w:t xml:space="preserve"> (Cth) s 105A.6.</w:t>
      </w:r>
    </w:p>
  </w:endnote>
  <w:endnote w:id="285">
    <w:p w14:paraId="3E19FDA7" w14:textId="3171EEDE" w:rsidR="001A1790" w:rsidRDefault="001A1790" w:rsidP="007478AF">
      <w:pPr>
        <w:pStyle w:val="EndnoteText"/>
        <w:ind w:left="284" w:hanging="284"/>
      </w:pPr>
      <w:r>
        <w:rPr>
          <w:rStyle w:val="EndnoteReference"/>
        </w:rPr>
        <w:endnoteRef/>
      </w:r>
      <w:r>
        <w:t xml:space="preserve"> </w:t>
      </w:r>
      <w:r>
        <w:tab/>
      </w:r>
      <w:r w:rsidRPr="00B37D09">
        <w:rPr>
          <w:i/>
          <w:iCs/>
        </w:rPr>
        <w:t>Criminal Code</w:t>
      </w:r>
      <w:r>
        <w:t xml:space="preserve"> (Cth) s 105A.2.</w:t>
      </w:r>
    </w:p>
  </w:endnote>
  <w:endnote w:id="286">
    <w:p w14:paraId="641BC65F" w14:textId="5ED4FBD0"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ss 105A.7(5) and (6), and 105A.5(2)(b).</w:t>
      </w:r>
    </w:p>
  </w:endnote>
  <w:endnote w:id="287">
    <w:p w14:paraId="1AF2539A" w14:textId="77777777" w:rsidR="001A1790" w:rsidRDefault="001A1790" w:rsidP="00A54689">
      <w:pPr>
        <w:pStyle w:val="EndnoteText"/>
        <w:ind w:left="284" w:hanging="284"/>
      </w:pPr>
      <w:r>
        <w:rPr>
          <w:rStyle w:val="EndnoteReference"/>
        </w:rPr>
        <w:endnoteRef/>
      </w:r>
      <w:r>
        <w:t xml:space="preserve"> </w:t>
      </w:r>
      <w:r>
        <w:tab/>
      </w:r>
      <w:r w:rsidRPr="00B37D09">
        <w:rPr>
          <w:i/>
          <w:iCs/>
        </w:rPr>
        <w:t>Criminal Code</w:t>
      </w:r>
      <w:r>
        <w:t xml:space="preserve"> (Cth) s 105A.4.</w:t>
      </w:r>
    </w:p>
  </w:endnote>
  <w:endnote w:id="288">
    <w:p w14:paraId="00AE8DC6" w14:textId="308929CE"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ss 105A.10–105A.12.</w:t>
      </w:r>
    </w:p>
  </w:endnote>
  <w:endnote w:id="289">
    <w:p w14:paraId="121E95C7" w14:textId="052265DE"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 105A.16.</w:t>
      </w:r>
    </w:p>
  </w:endnote>
  <w:endnote w:id="290">
    <w:p w14:paraId="3A649EFA" w14:textId="13949468" w:rsidR="001A1790" w:rsidRDefault="001A1790" w:rsidP="00105194">
      <w:pPr>
        <w:pStyle w:val="EndnoteText"/>
        <w:ind w:left="284" w:hanging="288"/>
      </w:pPr>
      <w:r>
        <w:rPr>
          <w:rStyle w:val="EndnoteReference"/>
        </w:rPr>
        <w:endnoteRef/>
      </w:r>
      <w:r>
        <w:t xml:space="preserve"> </w:t>
      </w:r>
      <w:r>
        <w:tab/>
      </w:r>
      <w:r w:rsidRPr="00B37D09">
        <w:rPr>
          <w:i/>
          <w:iCs/>
        </w:rPr>
        <w:t>Criminal Code</w:t>
      </w:r>
      <w:r>
        <w:t xml:space="preserve"> (Cth) s 105A.17.</w:t>
      </w:r>
    </w:p>
  </w:endnote>
  <w:endnote w:id="291">
    <w:p w14:paraId="626A0999" w14:textId="20569973" w:rsidR="001A1790" w:rsidRPr="00F84350" w:rsidRDefault="001A1790" w:rsidP="0025233B">
      <w:pPr>
        <w:pStyle w:val="EndnoteText"/>
        <w:ind w:left="270" w:hanging="288"/>
        <w:rPr>
          <w:lang w:val="en-US"/>
        </w:rPr>
      </w:pPr>
      <w:r>
        <w:rPr>
          <w:rStyle w:val="EndnoteReference"/>
        </w:rPr>
        <w:endnoteRef/>
      </w:r>
      <w:r>
        <w:t xml:space="preserve"> </w:t>
      </w:r>
      <w:r>
        <w:rPr>
          <w:lang w:val="en-US"/>
        </w:rPr>
        <w:tab/>
        <w:t xml:space="preserve">Dan Oakes, </w:t>
      </w:r>
      <w:r w:rsidRPr="00A52AFF">
        <w:rPr>
          <w:i/>
          <w:iCs/>
          <w:lang w:val="en-US"/>
        </w:rPr>
        <w:t>Terrorist prisoner Abdul Nacer Benbrika could be kept in detention after sentence expires</w:t>
      </w:r>
      <w:r>
        <w:rPr>
          <w:lang w:val="en-US"/>
        </w:rPr>
        <w:t xml:space="preserve">, ABC Investigations, 28 July 2020, at </w:t>
      </w:r>
      <w:hyperlink r:id="rId42" w:history="1">
        <w:r>
          <w:rPr>
            <w:rStyle w:val="Hyperlink"/>
          </w:rPr>
          <w:t>https://www.abc.net.au/news/2020-07-28/terrorist-prisoner-benbrika-could-be-kept-in-detention/12474720</w:t>
        </w:r>
      </w:hyperlink>
      <w:r>
        <w:t>.</w:t>
      </w:r>
    </w:p>
  </w:endnote>
  <w:endnote w:id="292">
    <w:p w14:paraId="798603D7" w14:textId="6866A440" w:rsidR="001A1790" w:rsidRPr="009171ED" w:rsidRDefault="001A1790" w:rsidP="0025233B">
      <w:pPr>
        <w:pStyle w:val="EndnoteText"/>
        <w:ind w:left="270" w:hanging="288"/>
        <w:rPr>
          <w:lang w:val="en-US"/>
        </w:rPr>
      </w:pPr>
      <w:r>
        <w:rPr>
          <w:rStyle w:val="EndnoteReference"/>
        </w:rPr>
        <w:endnoteRef/>
      </w:r>
      <w:r>
        <w:t xml:space="preserve"> </w:t>
      </w:r>
      <w:r>
        <w:rPr>
          <w:lang w:val="en-US"/>
        </w:rPr>
        <w:tab/>
      </w:r>
      <w:r w:rsidRPr="004C038C">
        <w:rPr>
          <w:i/>
          <w:iCs/>
          <w:lang w:val="en-US"/>
        </w:rPr>
        <w:t>R v Benbrika</w:t>
      </w:r>
      <w:r>
        <w:rPr>
          <w:lang w:val="en-US"/>
        </w:rPr>
        <w:t xml:space="preserve"> </w:t>
      </w:r>
      <w:r w:rsidRPr="0035272D">
        <w:t xml:space="preserve">[2009] VSC 21 </w:t>
      </w:r>
      <w:r>
        <w:t xml:space="preserve">at [247] </w:t>
      </w:r>
      <w:r w:rsidRPr="0035272D">
        <w:t>(Bongiorno J)</w:t>
      </w:r>
      <w:r>
        <w:t>;</w:t>
      </w:r>
      <w:r>
        <w:rPr>
          <w:lang w:val="en-US"/>
        </w:rPr>
        <w:t xml:space="preserve"> </w:t>
      </w:r>
      <w:r w:rsidRPr="009171ED">
        <w:rPr>
          <w:i/>
          <w:iCs/>
          <w:lang w:val="en-US"/>
        </w:rPr>
        <w:t xml:space="preserve">Benbrika v </w:t>
      </w:r>
      <w:r>
        <w:rPr>
          <w:i/>
          <w:iCs/>
          <w:lang w:val="en-US"/>
        </w:rPr>
        <w:t>R</w:t>
      </w:r>
      <w:r>
        <w:rPr>
          <w:lang w:val="en-US"/>
        </w:rPr>
        <w:t xml:space="preserve"> (2011) </w:t>
      </w:r>
      <w:r w:rsidRPr="009171ED">
        <w:t>29 VR 593</w:t>
      </w:r>
      <w:r>
        <w:t xml:space="preserve"> at [566]</w:t>
      </w:r>
      <w:r>
        <w:rPr>
          <w:lang w:val="en-US"/>
        </w:rPr>
        <w:t>–</w:t>
      </w:r>
      <w:r>
        <w:t>[567] (Maxwell P, Nettle and Weinberg JJA).</w:t>
      </w:r>
    </w:p>
  </w:endnote>
  <w:endnote w:id="293">
    <w:p w14:paraId="5FBDAF2A" w14:textId="04824971" w:rsidR="001A1790" w:rsidRDefault="001A1790" w:rsidP="0025233B">
      <w:pPr>
        <w:pStyle w:val="EndnoteText"/>
        <w:ind w:left="270" w:hanging="288"/>
      </w:pPr>
      <w:r>
        <w:rPr>
          <w:rStyle w:val="EndnoteReference"/>
        </w:rPr>
        <w:endnoteRef/>
      </w:r>
      <w:r>
        <w:t xml:space="preserve"> </w:t>
      </w:r>
      <w:r>
        <w:tab/>
        <w:t xml:space="preserve">For example: </w:t>
      </w:r>
      <w:r w:rsidRPr="00C123FE">
        <w:rPr>
          <w:i/>
          <w:iCs/>
        </w:rPr>
        <w:t>McCartney v EB (No 2)</w:t>
      </w:r>
      <w:r w:rsidRPr="00C123FE">
        <w:t xml:space="preserve"> [2019] FCA 184 (Wigney J)</w:t>
      </w:r>
      <w:r>
        <w:t xml:space="preserve">; </w:t>
      </w:r>
      <w:r w:rsidRPr="009E751E">
        <w:rPr>
          <w:i/>
          <w:iCs/>
        </w:rPr>
        <w:t xml:space="preserve">Booth v </w:t>
      </w:r>
      <w:r>
        <w:rPr>
          <w:i/>
          <w:iCs/>
        </w:rPr>
        <w:t xml:space="preserve">Murat </w:t>
      </w:r>
      <w:r w:rsidRPr="009E751E">
        <w:rPr>
          <w:i/>
          <w:iCs/>
        </w:rPr>
        <w:t>Kaya</w:t>
      </w:r>
      <w:r w:rsidRPr="009E751E">
        <w:t xml:space="preserve"> [2020] FCA 25 (Anastassiou</w:t>
      </w:r>
      <w:r>
        <w:t> </w:t>
      </w:r>
      <w:r w:rsidRPr="009E751E">
        <w:t>J)</w:t>
      </w:r>
      <w:r>
        <w:t xml:space="preserve">; </w:t>
      </w:r>
      <w:r w:rsidRPr="000A3E01">
        <w:rPr>
          <w:i/>
          <w:iCs/>
        </w:rPr>
        <w:t>Booth v Namoa (No 2)</w:t>
      </w:r>
      <w:r w:rsidRPr="000A3E01">
        <w:t xml:space="preserve"> [2020] FCA 73 (Rares J)</w:t>
      </w:r>
      <w:r>
        <w:t xml:space="preserve">; </w:t>
      </w:r>
      <w:r w:rsidRPr="004B30D2">
        <w:rPr>
          <w:i/>
          <w:iCs/>
        </w:rPr>
        <w:t>Booth v Thorne</w:t>
      </w:r>
      <w:r w:rsidRPr="004B30D2">
        <w:t xml:space="preserve"> [2020] FCA 445</w:t>
      </w:r>
      <w:r>
        <w:t xml:space="preserve">; </w:t>
      </w:r>
      <w:r w:rsidRPr="00AA638A">
        <w:rPr>
          <w:i/>
          <w:iCs/>
        </w:rPr>
        <w:t>Booth v Dacre</w:t>
      </w:r>
      <w:r w:rsidRPr="00AA638A">
        <w:t xml:space="preserve"> [2020] FCA 751 (White J)</w:t>
      </w:r>
      <w:r>
        <w:t xml:space="preserve">; </w:t>
      </w:r>
      <w:r w:rsidRPr="004A25F8">
        <w:rPr>
          <w:i/>
          <w:iCs/>
        </w:rPr>
        <w:t>Booth v Granata</w:t>
      </w:r>
      <w:r w:rsidRPr="004A25F8">
        <w:t xml:space="preserve"> [2020] FCA 768 (White J)</w:t>
      </w:r>
      <w:r>
        <w:t xml:space="preserve">; </w:t>
      </w:r>
      <w:r w:rsidRPr="00BE3EB9">
        <w:rPr>
          <w:i/>
          <w:iCs/>
        </w:rPr>
        <w:t xml:space="preserve">Booth v </w:t>
      </w:r>
      <w:r>
        <w:rPr>
          <w:i/>
          <w:iCs/>
        </w:rPr>
        <w:t xml:space="preserve">Kadir </w:t>
      </w:r>
      <w:r w:rsidRPr="00BE3EB9">
        <w:rPr>
          <w:i/>
          <w:iCs/>
        </w:rPr>
        <w:t>Kaya (No 2)</w:t>
      </w:r>
      <w:r w:rsidRPr="00BE3EB9">
        <w:t xml:space="preserve"> [2020] FCA 1119 (Anastassiou J)</w:t>
      </w:r>
      <w:r>
        <w:t xml:space="preserve">; </w:t>
      </w:r>
      <w:r w:rsidRPr="00C41B92">
        <w:rPr>
          <w:i/>
          <w:iCs/>
        </w:rPr>
        <w:t>Booth v Khazaal</w:t>
      </w:r>
      <w:r>
        <w:t xml:space="preserve"> [2020] FCA 1241 (Wigney J)</w:t>
      </w:r>
      <w:r>
        <w:t>.</w:t>
      </w:r>
    </w:p>
  </w:endnote>
  <w:endnote w:id="294">
    <w:p w14:paraId="7F630F22" w14:textId="1687DCB3" w:rsidR="001A1790" w:rsidRDefault="001A1790" w:rsidP="0025233B">
      <w:pPr>
        <w:pStyle w:val="EndnoteText"/>
        <w:ind w:left="270" w:hanging="288"/>
      </w:pPr>
      <w:r>
        <w:rPr>
          <w:rStyle w:val="EndnoteReference"/>
        </w:rPr>
        <w:endnoteRef/>
      </w:r>
      <w:r>
        <w:t xml:space="preserve"> </w:t>
      </w:r>
      <w:r>
        <w:tab/>
      </w:r>
      <w:r w:rsidRPr="00B37D09">
        <w:rPr>
          <w:i/>
          <w:iCs/>
        </w:rPr>
        <w:t>Criminal Code</w:t>
      </w:r>
      <w:r>
        <w:t xml:space="preserve"> (Cth) s 105A.3.</w:t>
      </w:r>
    </w:p>
  </w:endnote>
  <w:endnote w:id="295">
    <w:p w14:paraId="514B8947" w14:textId="0C5712DC" w:rsidR="001A1790" w:rsidRDefault="001A1790" w:rsidP="00390A56">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w:t>
      </w:r>
      <w:r>
        <w:rPr>
          <w:i/>
          <w:iCs/>
          <w:lang w:val="en-US"/>
        </w:rPr>
        <w:t xml:space="preserve">supplementary </w:t>
      </w:r>
      <w:r w:rsidRPr="00292515">
        <w:rPr>
          <w:i/>
          <w:iCs/>
          <w:lang w:val="en-US"/>
        </w:rPr>
        <w:t xml:space="preserve">submission </w:t>
      </w:r>
      <w:r>
        <w:rPr>
          <w:i/>
          <w:iCs/>
          <w:lang w:val="en-US"/>
        </w:rPr>
        <w:t>–</w:t>
      </w:r>
      <w:r w:rsidRPr="00292515">
        <w:rPr>
          <w:i/>
          <w:iCs/>
          <w:lang w:val="en-US"/>
        </w:rPr>
        <w:t xml:space="preserve"> Review of AFP Powers</w:t>
      </w:r>
      <w:r>
        <w:rPr>
          <w:i/>
          <w:iCs/>
          <w:lang w:val="en-US"/>
        </w:rPr>
        <w:t xml:space="preserve"> – Division 105A</w:t>
      </w:r>
      <w:r>
        <w:rPr>
          <w:lang w:val="en-US"/>
        </w:rPr>
        <w:t>, submission to the PJCIS, 4 September 2020, Attachment B.</w:t>
      </w:r>
    </w:p>
  </w:endnote>
  <w:endnote w:id="296">
    <w:p w14:paraId="02A33BE6" w14:textId="4C2BB488" w:rsidR="001A1790" w:rsidRDefault="001A1790" w:rsidP="008B1740">
      <w:pPr>
        <w:pStyle w:val="EndnoteText"/>
        <w:ind w:left="284" w:hanging="284"/>
      </w:pPr>
      <w:r>
        <w:rPr>
          <w:rStyle w:val="EndnoteReference"/>
        </w:rPr>
        <w:endnoteRef/>
      </w:r>
      <w:r>
        <w:t xml:space="preserve"> </w:t>
      </w:r>
      <w:r>
        <w:tab/>
      </w:r>
      <w:r w:rsidRPr="002753EE">
        <w:rPr>
          <w:i/>
          <w:iCs/>
        </w:rPr>
        <w:t>R v Betka</w:t>
      </w:r>
      <w:r>
        <w:t xml:space="preserve"> [2020] NSWSC 77 at [38]–[41] (Harrison J).</w:t>
      </w:r>
    </w:p>
  </w:endnote>
  <w:endnote w:id="297">
    <w:p w14:paraId="777CE4E1" w14:textId="77777777" w:rsidR="001A1790" w:rsidRDefault="001A1790" w:rsidP="0025233B">
      <w:pPr>
        <w:pStyle w:val="EndnoteText"/>
        <w:ind w:left="270" w:hanging="288"/>
      </w:pPr>
      <w:r>
        <w:rPr>
          <w:rStyle w:val="EndnoteReference"/>
        </w:rPr>
        <w:endnoteRef/>
      </w:r>
      <w:r>
        <w:t xml:space="preserve"> </w:t>
      </w:r>
      <w:r>
        <w:tab/>
        <w:t xml:space="preserve">Australian Human Rights Commission, </w:t>
      </w:r>
      <w:r w:rsidRPr="00FE366E">
        <w:rPr>
          <w:i/>
          <w:iCs/>
        </w:rPr>
        <w:t>Review of the ‘declared areas’ provisions</w:t>
      </w:r>
      <w:r>
        <w:t xml:space="preserve">, submission to the PJCIS, 28 August 2020 at [7].  At </w:t>
      </w:r>
      <w:hyperlink r:id="rId43" w:history="1">
        <w:r w:rsidRPr="00FA34DA">
          <w:rPr>
            <w:rStyle w:val="Hyperlink"/>
          </w:rPr>
          <w:t>https://www.aph.gov.au/DocumentStore.ashx?id=17e06008-e0f9-491e-98f0-1913b835392a&amp;subId=691220</w:t>
        </w:r>
      </w:hyperlink>
      <w:r>
        <w:t xml:space="preserve">. </w:t>
      </w:r>
    </w:p>
  </w:endnote>
  <w:endnote w:id="298">
    <w:p w14:paraId="3CE414B5" w14:textId="26ED17B6" w:rsidR="001A1790" w:rsidRDefault="001A1790" w:rsidP="00105194">
      <w:pPr>
        <w:pStyle w:val="EndnoteText"/>
        <w:ind w:left="284" w:hanging="288"/>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11</w:t>
      </w:r>
      <w:r>
        <w:rPr>
          <w:lang w:val="en-US"/>
        </w:rPr>
        <w:t>–</w:t>
      </w:r>
      <w:r>
        <w:t xml:space="preserve">16, at </w:t>
      </w:r>
      <w:hyperlink r:id="rId44" w:history="1">
        <w:r w:rsidRPr="001E0C46">
          <w:rPr>
            <w:rStyle w:val="Hyperlink"/>
          </w:rPr>
          <w:t>https://www.sentencingcounc</w:t>
        </w:r>
        <w:r w:rsidRPr="001E0C46">
          <w:rPr>
            <w:rStyle w:val="Hyperlink"/>
          </w:rPr>
          <w:t>i</w:t>
        </w:r>
        <w:r w:rsidRPr="001E0C46">
          <w:rPr>
            <w:rStyle w:val="Hyperlink"/>
          </w:rPr>
          <w:t>l.vic.gov.au/publications/high-risk-offenders-final-report</w:t>
        </w:r>
      </w:hyperlink>
      <w:r>
        <w:t xml:space="preserve">; NSW Sentencing Council, </w:t>
      </w:r>
      <w:r w:rsidRPr="00B44F29">
        <w:rPr>
          <w:i/>
        </w:rPr>
        <w:t>High-Risk Violent Offenders: Sentencing and Post-Custody Management Options</w:t>
      </w:r>
      <w:r>
        <w:t xml:space="preserve"> (2012), pp 20</w:t>
      </w:r>
      <w:r>
        <w:rPr>
          <w:lang w:val="en-US"/>
        </w:rPr>
        <w:t>–</w:t>
      </w:r>
      <w:r>
        <w:t xml:space="preserve">29, at </w:t>
      </w:r>
      <w:hyperlink r:id="rId45" w:history="1">
        <w:r w:rsidR="00DC48DE">
          <w:rPr>
            <w:rStyle w:val="Hyperlink"/>
          </w:rPr>
          <w:t>http://www.sentencingcouncil.justice.nsw.gov.au/Documents/Sentencing_Serious_Violent_Offenders/online%20final%20report%20hrvo.pdf</w:t>
        </w:r>
      </w:hyperlink>
      <w:r>
        <w:t>.</w:t>
      </w:r>
    </w:p>
  </w:endnote>
  <w:endnote w:id="299">
    <w:p w14:paraId="767AD494" w14:textId="77777777" w:rsidR="001A1790" w:rsidRDefault="001A1790" w:rsidP="009871E2">
      <w:pPr>
        <w:pStyle w:val="EndnoteText"/>
        <w:ind w:left="284" w:hanging="284"/>
      </w:pPr>
      <w:r>
        <w:rPr>
          <w:rStyle w:val="EndnoteReference"/>
        </w:rPr>
        <w:endnoteRef/>
      </w:r>
      <w:r>
        <w:t xml:space="preserve"> </w:t>
      </w:r>
      <w:r>
        <w:tab/>
      </w:r>
      <w:r w:rsidRPr="000E3699">
        <w:rPr>
          <w:i/>
        </w:rPr>
        <w:t>Fardon v Attorney-General (Qld)</w:t>
      </w:r>
      <w:r>
        <w:t xml:space="preserve"> (2004) 223 CLR 575 at 623 [124]-[125] (most footnotes omitted).</w:t>
      </w:r>
    </w:p>
  </w:endnote>
  <w:endnote w:id="300">
    <w:p w14:paraId="613A3AF5" w14:textId="77777777" w:rsidR="001A1790" w:rsidRDefault="001A1790" w:rsidP="009871E2">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12-13, at </w:t>
      </w:r>
      <w:hyperlink r:id="rId46" w:history="1">
        <w:r w:rsidRPr="001E0C46">
          <w:rPr>
            <w:rStyle w:val="Hyperlink"/>
          </w:rPr>
          <w:t>https://www.sentencingcouncil.vic.gov.au/publications/high-risk-offenders-final-report</w:t>
        </w:r>
      </w:hyperlink>
      <w:r>
        <w:t xml:space="preserve"> (viewed 12 October 2016).</w:t>
      </w:r>
    </w:p>
  </w:endnote>
  <w:endnote w:id="301">
    <w:p w14:paraId="11F4B953" w14:textId="77777777" w:rsidR="001A1790" w:rsidRDefault="001A1790" w:rsidP="009871E2">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21-22, at </w:t>
      </w:r>
      <w:hyperlink r:id="rId47" w:history="1">
        <w:r w:rsidRPr="001E0C46">
          <w:rPr>
            <w:rStyle w:val="Hyperlink"/>
          </w:rPr>
          <w:t>http://www.sentencingcouncil.justice.nsw.gov.au/Pages/sent_council_index/publications/completed_projects/svo/svo.aspx</w:t>
        </w:r>
      </w:hyperlink>
      <w:r>
        <w:t xml:space="preserve"> (viewed 12 October 2016).</w:t>
      </w:r>
    </w:p>
  </w:endnote>
  <w:endnote w:id="302">
    <w:p w14:paraId="74766357" w14:textId="77777777" w:rsidR="001A1790" w:rsidRDefault="001A1790" w:rsidP="009871E2">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22-26, at </w:t>
      </w:r>
      <w:hyperlink r:id="rId48" w:history="1">
        <w:r w:rsidRPr="001E0C46">
          <w:rPr>
            <w:rStyle w:val="Hyperlink"/>
          </w:rPr>
          <w:t>http://www.sentencingcouncil.justice.nsw.gov.au/Pages/sent_council_index/publications/completed_projects/svo/svo.aspx</w:t>
        </w:r>
      </w:hyperlink>
      <w:r>
        <w:t xml:space="preserve"> (viewed 12 October 2016).</w:t>
      </w:r>
    </w:p>
  </w:endnote>
  <w:endnote w:id="303">
    <w:p w14:paraId="4D9388C5" w14:textId="77777777" w:rsidR="001A1790" w:rsidRDefault="001A1790" w:rsidP="009825DA">
      <w:pPr>
        <w:pStyle w:val="EndnoteText"/>
        <w:ind w:left="284" w:hanging="284"/>
      </w:pPr>
      <w:r>
        <w:rPr>
          <w:rStyle w:val="EndnoteReference"/>
        </w:rPr>
        <w:endnoteRef/>
      </w:r>
      <w:r>
        <w:t xml:space="preserve"> </w:t>
      </w:r>
      <w:r w:rsidRPr="00A50785">
        <w:rPr>
          <w:bCs/>
          <w:i/>
          <w:iCs/>
        </w:rPr>
        <w:t xml:space="preserve">New South Wales v Wainwright (Preliminary) </w:t>
      </w:r>
      <w:r w:rsidRPr="00A50785">
        <w:rPr>
          <w:bCs/>
        </w:rPr>
        <w:t>[2019] NSWSC 1603</w:t>
      </w:r>
      <w:r>
        <w:rPr>
          <w:bCs/>
        </w:rPr>
        <w:t>.</w:t>
      </w:r>
    </w:p>
  </w:endnote>
  <w:endnote w:id="304">
    <w:p w14:paraId="2FF2C682" w14:textId="77777777" w:rsidR="001A1790" w:rsidRDefault="001A1790" w:rsidP="009825DA">
      <w:pPr>
        <w:pStyle w:val="EndnoteText"/>
        <w:ind w:left="284" w:hanging="284"/>
      </w:pPr>
      <w:r>
        <w:rPr>
          <w:rStyle w:val="EndnoteReference"/>
        </w:rPr>
        <w:endnoteRef/>
      </w:r>
      <w:r>
        <w:t xml:space="preserve"> </w:t>
      </w:r>
      <w:r>
        <w:tab/>
      </w:r>
      <w:r w:rsidRPr="001D5A5F">
        <w:rPr>
          <w:i/>
          <w:iCs/>
        </w:rPr>
        <w:t>Crimes (High Risk Offenders) Act 2006</w:t>
      </w:r>
      <w:r>
        <w:t xml:space="preserve"> (NSW), s 9(3)(d).</w:t>
      </w:r>
    </w:p>
  </w:endnote>
  <w:endnote w:id="305">
    <w:p w14:paraId="563F76DB" w14:textId="77777777" w:rsidR="007C5E63" w:rsidRDefault="007C5E63" w:rsidP="007C5E63">
      <w:pPr>
        <w:pStyle w:val="EndnoteText"/>
        <w:ind w:left="284" w:hanging="284"/>
      </w:pPr>
      <w:r>
        <w:rPr>
          <w:rStyle w:val="EndnoteReference"/>
        </w:rPr>
        <w:endnoteRef/>
      </w:r>
      <w:r>
        <w:t xml:space="preserve"> </w:t>
      </w:r>
      <w:r w:rsidRPr="00C648B8">
        <w:rPr>
          <w:bCs/>
          <w:i/>
          <w:iCs/>
        </w:rPr>
        <w:t xml:space="preserve">New South Wales v Wainwright (Preliminary) </w:t>
      </w:r>
      <w:r w:rsidRPr="00C648B8">
        <w:rPr>
          <w:bCs/>
        </w:rPr>
        <w:t>[2019] NSWSC 1603</w:t>
      </w:r>
      <w:r>
        <w:rPr>
          <w:bCs/>
        </w:rPr>
        <w:t xml:space="preserve"> at [40].</w:t>
      </w:r>
    </w:p>
  </w:endnote>
  <w:endnote w:id="306">
    <w:p w14:paraId="5BF5EED7" w14:textId="77777777" w:rsidR="001A1790" w:rsidRDefault="001A1790" w:rsidP="009825DA">
      <w:pPr>
        <w:pStyle w:val="EndnoteText"/>
        <w:ind w:left="284" w:hanging="284"/>
      </w:pPr>
      <w:r>
        <w:rPr>
          <w:rStyle w:val="EndnoteReference"/>
        </w:rPr>
        <w:endnoteRef/>
      </w:r>
      <w:r>
        <w:t xml:space="preserve"> </w:t>
      </w:r>
      <w:r w:rsidRPr="00C648B8">
        <w:rPr>
          <w:bCs/>
          <w:i/>
          <w:iCs/>
        </w:rPr>
        <w:t xml:space="preserve">New South Wales v Wainwright (Preliminary) </w:t>
      </w:r>
      <w:r w:rsidRPr="00C648B8">
        <w:rPr>
          <w:bCs/>
        </w:rPr>
        <w:t>[2019] NSWSC 1603</w:t>
      </w:r>
      <w:r>
        <w:rPr>
          <w:bCs/>
        </w:rPr>
        <w:t xml:space="preserve"> at [51].</w:t>
      </w:r>
    </w:p>
  </w:endnote>
  <w:endnote w:id="307">
    <w:p w14:paraId="4CA00597" w14:textId="77777777" w:rsidR="00E82C31" w:rsidRDefault="00E82C31" w:rsidP="00E82C31">
      <w:pPr>
        <w:pStyle w:val="EndnoteText"/>
        <w:ind w:left="284" w:hanging="284"/>
      </w:pPr>
      <w:r>
        <w:rPr>
          <w:rStyle w:val="EndnoteReference"/>
        </w:rPr>
        <w:endnoteRef/>
      </w:r>
      <w:r>
        <w:t xml:space="preserve"> </w:t>
      </w:r>
      <w:r w:rsidRPr="00C648B8">
        <w:rPr>
          <w:bCs/>
          <w:i/>
          <w:iCs/>
        </w:rPr>
        <w:t xml:space="preserve">New South Wales v Wainwright (Preliminary) </w:t>
      </w:r>
      <w:r w:rsidRPr="00C648B8">
        <w:rPr>
          <w:bCs/>
        </w:rPr>
        <w:t>[2019] NSWSC 1603</w:t>
      </w:r>
      <w:r>
        <w:rPr>
          <w:bCs/>
        </w:rPr>
        <w:t xml:space="preserve"> at [51].</w:t>
      </w:r>
    </w:p>
  </w:endnote>
  <w:endnote w:id="308">
    <w:p w14:paraId="3143A6DF" w14:textId="24F3D1E8" w:rsidR="001A1790" w:rsidRDefault="001A1790" w:rsidP="00F96BDE">
      <w:pPr>
        <w:pStyle w:val="EndnoteText"/>
        <w:ind w:left="284" w:hanging="284"/>
      </w:pPr>
      <w:r>
        <w:rPr>
          <w:rStyle w:val="EndnoteReference"/>
        </w:rPr>
        <w:endnoteRef/>
      </w:r>
      <w:r>
        <w:t xml:space="preserve"> </w:t>
      </w:r>
      <w:r>
        <w:tab/>
      </w:r>
      <w:r w:rsidRPr="00F96BDE">
        <w:rPr>
          <w:i/>
          <w:iCs/>
        </w:rPr>
        <w:t>State of New South Wales v Wainwright (Final)</w:t>
      </w:r>
      <w:r w:rsidRPr="00F96BDE">
        <w:t xml:space="preserve"> [2020] NSWSC 104.</w:t>
      </w:r>
    </w:p>
  </w:endnote>
  <w:endnote w:id="309">
    <w:p w14:paraId="1DE8ABD8" w14:textId="056A0DCC" w:rsidR="001A1790" w:rsidRDefault="001A1790" w:rsidP="00737821">
      <w:pPr>
        <w:pStyle w:val="EndnoteText"/>
        <w:ind w:left="284" w:hanging="284"/>
      </w:pPr>
      <w:r>
        <w:rPr>
          <w:rStyle w:val="EndnoteReference"/>
        </w:rPr>
        <w:endnoteRef/>
      </w:r>
      <w:r>
        <w:t xml:space="preserve"> </w:t>
      </w:r>
      <w:r>
        <w:tab/>
        <w:t xml:space="preserve">For example, </w:t>
      </w:r>
      <w:r w:rsidRPr="00DA0965">
        <w:rPr>
          <w:i/>
          <w:iCs/>
        </w:rPr>
        <w:t>Criminal Procedure Act 1989</w:t>
      </w:r>
      <w:r>
        <w:t xml:space="preserve"> (NSW), s 62</w:t>
      </w:r>
      <w:r w:rsidRPr="000403DA">
        <w:t>(1)(b)–(c)</w:t>
      </w:r>
      <w:r>
        <w:t xml:space="preserve">, which is picked up for the prosecution of federal offences in New South Wales as a result of the </w:t>
      </w:r>
      <w:r w:rsidRPr="00DA0965">
        <w:rPr>
          <w:i/>
          <w:iCs/>
        </w:rPr>
        <w:t>Judiciary Act 1903</w:t>
      </w:r>
      <w:r>
        <w:t xml:space="preserve"> (Cth), s 68.</w:t>
      </w:r>
    </w:p>
  </w:endnote>
  <w:endnote w:id="310">
    <w:p w14:paraId="1A16DB00" w14:textId="124A69A2" w:rsidR="001A1790" w:rsidRDefault="001A1790" w:rsidP="00DD5BFA">
      <w:pPr>
        <w:pStyle w:val="EndnoteText"/>
        <w:ind w:left="284" w:hanging="284"/>
      </w:pPr>
      <w:r>
        <w:rPr>
          <w:rStyle w:val="EndnoteReference"/>
        </w:rPr>
        <w:endnoteRef/>
      </w:r>
      <w:r>
        <w:t xml:space="preserve"> </w:t>
      </w:r>
      <w:r>
        <w:tab/>
        <w:t>F</w:t>
      </w:r>
      <w:r w:rsidRPr="00DD5BFA">
        <w:t xml:space="preserve">or example, </w:t>
      </w:r>
      <w:r w:rsidRPr="00DD5BFA">
        <w:rPr>
          <w:i/>
          <w:iCs/>
        </w:rPr>
        <w:t>AJ v The Queen</w:t>
      </w:r>
      <w:r w:rsidRPr="00DD5BFA">
        <w:t xml:space="preserve"> (2010) 32 VR 614 at [22]-[28] (Weinberg and Bongiorno JJA, Buchanan JA agreeing); </w:t>
      </w:r>
      <w:r w:rsidRPr="00DD5BFA">
        <w:rPr>
          <w:i/>
          <w:iCs/>
        </w:rPr>
        <w:t>Mallard v The Queen</w:t>
      </w:r>
      <w:r w:rsidRPr="00DD5BFA">
        <w:t xml:space="preserve"> (2005) 224 CLR 125; </w:t>
      </w:r>
      <w:r w:rsidRPr="00DD5BFA">
        <w:rPr>
          <w:i/>
          <w:iCs/>
        </w:rPr>
        <w:t>Grey v The Queen</w:t>
      </w:r>
      <w:r w:rsidRPr="00DD5BFA">
        <w:t xml:space="preserve"> [2001] HCA 65.</w:t>
      </w:r>
    </w:p>
  </w:endnote>
  <w:endnote w:id="311">
    <w:p w14:paraId="6195E029" w14:textId="21FBFDF1" w:rsidR="001A1790" w:rsidRDefault="001A1790" w:rsidP="00E91CF1">
      <w:pPr>
        <w:pStyle w:val="EndnoteText"/>
        <w:ind w:left="284" w:hanging="284"/>
      </w:pPr>
      <w:r>
        <w:rPr>
          <w:rStyle w:val="EndnoteReference"/>
        </w:rPr>
        <w:endnoteRef/>
      </w:r>
      <w:r>
        <w:t xml:space="preserve"> </w:t>
      </w:r>
      <w:r>
        <w:tab/>
      </w:r>
      <w:r w:rsidRPr="00E91CF1">
        <w:rPr>
          <w:i/>
          <w:iCs/>
        </w:rPr>
        <w:t>Criminal Code</w:t>
      </w:r>
      <w:r>
        <w:t xml:space="preserve"> (Cth), ss 104</w:t>
      </w:r>
      <w:r w:rsidRPr="00E91CF1">
        <w:t>.2(3)(aa)(ii), 104.3(d)(ii)</w:t>
      </w:r>
      <w:r>
        <w:t>.</w:t>
      </w:r>
    </w:p>
  </w:endnote>
  <w:endnote w:id="312">
    <w:p w14:paraId="0C6B6837" w14:textId="1061F9C3" w:rsidR="001A1790" w:rsidRDefault="001A1790" w:rsidP="009C6F7D">
      <w:pPr>
        <w:pStyle w:val="EndnoteText"/>
        <w:ind w:left="284" w:hanging="284"/>
      </w:pPr>
      <w:r>
        <w:rPr>
          <w:rStyle w:val="EndnoteReference"/>
        </w:rPr>
        <w:endnoteRef/>
      </w:r>
      <w:r>
        <w:t xml:space="preserve"> </w:t>
      </w:r>
      <w:r>
        <w:tab/>
      </w:r>
      <w:r w:rsidRPr="00E91CF1">
        <w:rPr>
          <w:i/>
          <w:iCs/>
        </w:rPr>
        <w:t>Criminal Code</w:t>
      </w:r>
      <w:r>
        <w:t xml:space="preserve"> (Cth), s </w:t>
      </w:r>
      <w:r w:rsidRPr="009C6F7D">
        <w:t>104.12A(2)(a)(ii)</w:t>
      </w:r>
      <w:r>
        <w:t>.</w:t>
      </w:r>
    </w:p>
  </w:endnote>
  <w:endnote w:id="313">
    <w:p w14:paraId="238C1153" w14:textId="439C367A" w:rsidR="001A1790" w:rsidRPr="003B38ED"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660C1F">
        <w:rPr>
          <w:i/>
          <w:iCs/>
          <w:lang w:val="en-US"/>
        </w:rPr>
        <w:t>Advisory Report on the Criminal Code Amendment (High Risk Terrorist Offenders) Bill 2016</w:t>
      </w:r>
      <w:r>
        <w:rPr>
          <w:lang w:val="en-US"/>
        </w:rPr>
        <w:t xml:space="preserve"> (November 2016) at [4.87] and [4.90].  At </w:t>
      </w:r>
      <w:hyperlink r:id="rId49" w:history="1">
        <w:r>
          <w:rPr>
            <w:rStyle w:val="Hyperlink"/>
          </w:rPr>
          <w:t>https://www.aph.gov.au/Parliamentary_Business/Committees/Joint/Intelligence_and_Security/HRTOBill/Report-PDF</w:t>
        </w:r>
      </w:hyperlink>
      <w:r>
        <w:t>.</w:t>
      </w:r>
    </w:p>
  </w:endnote>
  <w:endnote w:id="314">
    <w:p w14:paraId="375233F6" w14:textId="7820522B" w:rsidR="001A1790" w:rsidRPr="0021776E" w:rsidRDefault="001A1790" w:rsidP="0025233B">
      <w:pPr>
        <w:pStyle w:val="EndnoteText"/>
        <w:ind w:left="270" w:hanging="288"/>
        <w:rPr>
          <w:lang w:val="en-US"/>
        </w:rPr>
      </w:pPr>
      <w:r>
        <w:rPr>
          <w:rStyle w:val="EndnoteReference"/>
        </w:rPr>
        <w:endnoteRef/>
      </w:r>
      <w:r>
        <w:t xml:space="preserve"> </w:t>
      </w:r>
      <w:r>
        <w:rPr>
          <w:lang w:val="en-US"/>
        </w:rPr>
        <w:tab/>
      </w:r>
      <w:r w:rsidRPr="0021776E">
        <w:rPr>
          <w:i/>
          <w:iCs/>
          <w:lang w:val="en-US"/>
        </w:rPr>
        <w:t>Intelligence Services Act 2001</w:t>
      </w:r>
      <w:r>
        <w:rPr>
          <w:lang w:val="en-US"/>
        </w:rPr>
        <w:t xml:space="preserve"> (Cth), s 29(1)(cb).</w:t>
      </w:r>
    </w:p>
  </w:endnote>
  <w:endnote w:id="315">
    <w:p w14:paraId="5C9FB316" w14:textId="3516E993" w:rsidR="001A1790" w:rsidRDefault="001A1790" w:rsidP="00386FF0">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w:t>
      </w:r>
      <w:r>
        <w:rPr>
          <w:i/>
          <w:iCs/>
          <w:lang w:val="en-US"/>
        </w:rPr>
        <w:t xml:space="preserve">supplementary </w:t>
      </w:r>
      <w:r w:rsidRPr="00292515">
        <w:rPr>
          <w:i/>
          <w:iCs/>
          <w:lang w:val="en-US"/>
        </w:rPr>
        <w:t xml:space="preserve">submission </w:t>
      </w:r>
      <w:r>
        <w:rPr>
          <w:i/>
          <w:iCs/>
          <w:lang w:val="en-US"/>
        </w:rPr>
        <w:t>–</w:t>
      </w:r>
      <w:r w:rsidRPr="00292515">
        <w:rPr>
          <w:i/>
          <w:iCs/>
          <w:lang w:val="en-US"/>
        </w:rPr>
        <w:t xml:space="preserve"> Review of AFP Powers</w:t>
      </w:r>
      <w:r>
        <w:rPr>
          <w:i/>
          <w:iCs/>
          <w:lang w:val="en-US"/>
        </w:rPr>
        <w:t xml:space="preserve"> – Division 105A</w:t>
      </w:r>
      <w:r>
        <w:rPr>
          <w:lang w:val="en-US"/>
        </w:rPr>
        <w:t>, submission to the PJCIS, 4 September 2020, pp 6 and 13–14.</w:t>
      </w:r>
    </w:p>
  </w:endnote>
  <w:endnote w:id="316">
    <w:p w14:paraId="76355498" w14:textId="65A65C06" w:rsidR="001A1790" w:rsidRDefault="001A1790" w:rsidP="00E756D1">
      <w:pPr>
        <w:pStyle w:val="EndnoteText"/>
        <w:ind w:left="284" w:hanging="284"/>
      </w:pPr>
      <w:r>
        <w:rPr>
          <w:rStyle w:val="EndnoteReference"/>
        </w:rPr>
        <w:endnoteRef/>
      </w:r>
      <w:r>
        <w:t xml:space="preserve"> </w:t>
      </w:r>
      <w:r w:rsidRPr="00181EC8">
        <w:rPr>
          <w:i/>
          <w:iCs/>
        </w:rPr>
        <w:t>VERA-2R Instrument, Strengths and limitations</w:t>
      </w:r>
      <w:r>
        <w:t xml:space="preserve">, at </w:t>
      </w:r>
      <w:hyperlink r:id="rId50" w:history="1">
        <w:r>
          <w:rPr>
            <w:rStyle w:val="Hyperlink"/>
          </w:rPr>
          <w:t>https://www.vera-2r.nl/vera-2r-instrument/strengths-and-limitations/index.aspx</w:t>
        </w:r>
      </w:hyperlink>
      <w:r>
        <w:t xml:space="preserve">. </w:t>
      </w:r>
    </w:p>
  </w:endnote>
  <w:endnote w:id="317">
    <w:p w14:paraId="76034B5D" w14:textId="531996D5" w:rsidR="001A1790" w:rsidRDefault="001A1790" w:rsidP="00807FBE">
      <w:pPr>
        <w:pStyle w:val="EndnoteText"/>
        <w:ind w:left="284" w:hanging="284"/>
      </w:pPr>
      <w:r>
        <w:rPr>
          <w:rStyle w:val="EndnoteReference"/>
        </w:rPr>
        <w:endnoteRef/>
      </w:r>
      <w:r>
        <w:t xml:space="preserve"> </w:t>
      </w:r>
      <w:r>
        <w:tab/>
        <w:t xml:space="preserve">Expert Panel on Terrorism and Violent Extremism Prevention and Response Powers, </w:t>
      </w:r>
      <w:r w:rsidRPr="00181271">
        <w:rPr>
          <w:i/>
          <w:iCs/>
        </w:rPr>
        <w:t>Report 2</w:t>
      </w:r>
      <w:r>
        <w:t xml:space="preserve"> (2017), p 119.</w:t>
      </w:r>
    </w:p>
  </w:endnote>
  <w:endnote w:id="318">
    <w:p w14:paraId="049CE6DB" w14:textId="49FC2478" w:rsidR="001A1790" w:rsidRDefault="001A1790" w:rsidP="007C4347">
      <w:pPr>
        <w:pStyle w:val="EndnoteText"/>
        <w:ind w:left="284" w:hanging="284"/>
      </w:pPr>
      <w:r>
        <w:rPr>
          <w:rStyle w:val="EndnoteReference"/>
        </w:rPr>
        <w:endnoteRef/>
      </w:r>
      <w:r>
        <w:t xml:space="preserve"> </w:t>
      </w:r>
      <w:r>
        <w:tab/>
        <w:t xml:space="preserve">D Elaine Pressman and John Flockton, ‘Calibrating risk for violent political extremists and terrorists: the VERA 2 structured assessment’ (2012) 14(4) </w:t>
      </w:r>
      <w:r w:rsidRPr="000F271C">
        <w:rPr>
          <w:i/>
          <w:iCs/>
        </w:rPr>
        <w:t xml:space="preserve">The British Journal of Forensic Practice </w:t>
      </w:r>
      <w:r>
        <w:t>237 at 245-246.</w:t>
      </w:r>
    </w:p>
  </w:endnote>
  <w:endnote w:id="319">
    <w:p w14:paraId="3EE05654" w14:textId="77777777" w:rsidR="001A1790" w:rsidRDefault="001A1790" w:rsidP="00CA5C5C">
      <w:pPr>
        <w:pStyle w:val="EndnoteText"/>
        <w:ind w:left="284" w:hanging="288"/>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 28, at </w:t>
      </w:r>
      <w:hyperlink r:id="rId51" w:history="1">
        <w:r w:rsidRPr="001E0C46">
          <w:rPr>
            <w:rStyle w:val="Hyperlink"/>
          </w:rPr>
          <w:t>http://www.sentencingcouncil.justice.nsw.gov.au/Pages/sent_council_index/publications/completed_projects/svo/svo.aspx</w:t>
        </w:r>
      </w:hyperlink>
      <w:r>
        <w:t>.</w:t>
      </w:r>
    </w:p>
  </w:endnote>
  <w:endnote w:id="320">
    <w:p w14:paraId="1E4BE7DA" w14:textId="77777777" w:rsidR="001A1790" w:rsidRDefault="001A1790" w:rsidP="00CA5C5C">
      <w:pPr>
        <w:pStyle w:val="EndnoteText"/>
        <w:ind w:left="284" w:hanging="288"/>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130</w:t>
      </w:r>
      <w:r>
        <w:rPr>
          <w:lang w:val="en-US"/>
        </w:rPr>
        <w:t>–</w:t>
      </w:r>
      <w:r>
        <w:t>131.</w:t>
      </w:r>
    </w:p>
  </w:endnote>
  <w:endnote w:id="321">
    <w:p w14:paraId="5B22682B" w14:textId="51EF77DB" w:rsidR="001A1790" w:rsidRPr="00FD7CAD" w:rsidRDefault="001A1790" w:rsidP="0025233B">
      <w:pPr>
        <w:pStyle w:val="EndnoteText"/>
        <w:ind w:left="270" w:hanging="288"/>
        <w:rPr>
          <w:lang w:val="en-US"/>
        </w:rPr>
      </w:pPr>
      <w:r>
        <w:rPr>
          <w:rStyle w:val="EndnoteReference"/>
        </w:rPr>
        <w:endnoteRef/>
      </w:r>
      <w:r>
        <w:t xml:space="preserve"> </w:t>
      </w:r>
      <w:r>
        <w:rPr>
          <w:lang w:val="en-US"/>
        </w:rPr>
        <w:tab/>
        <w:t xml:space="preserve">Australian Human Rights Commission, </w:t>
      </w:r>
      <w:r w:rsidRPr="00974954">
        <w:rPr>
          <w:i/>
          <w:iCs/>
          <w:lang w:val="en-US"/>
        </w:rPr>
        <w:t>Criminal Code Amendment (High Risk Terrorist Offenders) Bill 2016 (Cth)</w:t>
      </w:r>
      <w:r>
        <w:rPr>
          <w:lang w:val="en-US"/>
        </w:rPr>
        <w:t>, submission to the PJCIS (</w:t>
      </w:r>
      <w:r w:rsidRPr="0006741A">
        <w:t>12 October 2016</w:t>
      </w:r>
      <w:r>
        <w:t>) at [81]</w:t>
      </w:r>
      <w:r>
        <w:rPr>
          <w:lang w:val="en-US"/>
        </w:rPr>
        <w:t>–</w:t>
      </w:r>
      <w:r>
        <w:t>[86].</w:t>
      </w:r>
    </w:p>
  </w:endnote>
  <w:endnote w:id="322">
    <w:p w14:paraId="627464C0" w14:textId="3BCE4282" w:rsidR="001A1790" w:rsidRPr="00095DE5" w:rsidRDefault="001A1790" w:rsidP="0025233B">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660C1F">
        <w:rPr>
          <w:i/>
          <w:iCs/>
          <w:lang w:val="en-US"/>
        </w:rPr>
        <w:t>Advisory Report on the Criminal Code Amendment (High Risk Terrorist Offenders) Bill 2016</w:t>
      </w:r>
      <w:r>
        <w:rPr>
          <w:lang w:val="en-US"/>
        </w:rPr>
        <w:t xml:space="preserve"> (November 2016) at [3.187]. </w:t>
      </w:r>
    </w:p>
  </w:endnote>
  <w:endnote w:id="323">
    <w:p w14:paraId="57EAFBB1" w14:textId="105AF7A6" w:rsidR="001A1790" w:rsidRPr="00957A26"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[9.40]–[9.42].</w:t>
      </w:r>
    </w:p>
  </w:endnote>
  <w:endnote w:id="324">
    <w:p w14:paraId="5AD66944" w14:textId="382CD74A" w:rsidR="001A1790" w:rsidRPr="005A1F30" w:rsidRDefault="001A1790" w:rsidP="005A1F30">
      <w:pPr>
        <w:pStyle w:val="EndnoteText"/>
        <w:ind w:left="288"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[3.140].</w:t>
      </w:r>
    </w:p>
  </w:endnote>
  <w:endnote w:id="325">
    <w:p w14:paraId="064D92B5" w14:textId="6066E4A4" w:rsidR="001A1790" w:rsidRPr="00CE2CA1" w:rsidRDefault="001A1790" w:rsidP="00925799">
      <w:pPr>
        <w:pStyle w:val="EndnoteText"/>
        <w:ind w:left="288" w:hanging="288"/>
        <w:rPr>
          <w:lang w:val="en-US"/>
        </w:rPr>
      </w:pPr>
      <w:r>
        <w:rPr>
          <w:rStyle w:val="EndnoteReference"/>
        </w:rPr>
        <w:endnoteRef/>
      </w:r>
      <w:r>
        <w:t xml:space="preserve"> </w:t>
      </w:r>
      <w:r>
        <w:tab/>
      </w:r>
      <w:r w:rsidRPr="00CE2CA1">
        <w:t xml:space="preserve">Australian </w:t>
      </w:r>
      <w:r w:rsidRPr="00CE2CA1">
        <w:rPr>
          <w:rFonts w:cs="Open Sans"/>
          <w:color w:val="222222"/>
          <w:shd w:val="clear" w:color="auto" w:fill="FFFFFF"/>
        </w:rPr>
        <w:t xml:space="preserve">Government, </w:t>
      </w:r>
      <w:r w:rsidRPr="00CE2CA1">
        <w:rPr>
          <w:rFonts w:cs="Open Sans"/>
          <w:i/>
          <w:iCs/>
          <w:color w:val="222222"/>
          <w:shd w:val="clear" w:color="auto" w:fill="FFFFFF"/>
        </w:rPr>
        <w:t>Response to the Committee’s review of police stop, search and seizure powers, the control order regime and the preventative detention order regime, and to the INSLM Statutory Deadline Reviews</w:t>
      </w:r>
      <w:r w:rsidRPr="00CE2CA1">
        <w:rPr>
          <w:rFonts w:cs="Open Sans"/>
          <w:color w:val="222222"/>
          <w:shd w:val="clear" w:color="auto" w:fill="FFFFFF"/>
        </w:rPr>
        <w:t>, 24 May 2018, pp 3 and 8</w:t>
      </w:r>
      <w:r w:rsidRPr="00CE2CA1">
        <w:rPr>
          <w:lang w:val="en-US"/>
        </w:rPr>
        <w:t>–</w:t>
      </w:r>
      <w:r w:rsidRPr="00CE2CA1">
        <w:rPr>
          <w:rFonts w:cs="Open Sans"/>
          <w:color w:val="222222"/>
          <w:shd w:val="clear" w:color="auto" w:fill="FFFFFF"/>
        </w:rPr>
        <w:t xml:space="preserve">9, at </w:t>
      </w:r>
      <w:hyperlink r:id="rId52" w:history="1">
        <w:r w:rsidRPr="00CE2CA1">
          <w:rPr>
            <w:rStyle w:val="Hyperlink"/>
            <w:rFonts w:cs="Open Sans"/>
            <w:shd w:val="clear" w:color="auto" w:fill="FFFFFF"/>
          </w:rPr>
          <w:t>https://www.aph.gov.au/DocumentStore.ashx?id=ed7b9dc5-07b4-4672-a2e6-1b015c1248dd</w:t>
        </w:r>
      </w:hyperlink>
      <w:r w:rsidRPr="00CE2CA1">
        <w:rPr>
          <w:rFonts w:cs="Open Sans"/>
          <w:color w:val="222222"/>
          <w:shd w:val="clear" w:color="auto" w:fill="FFFFFF"/>
        </w:rPr>
        <w:t xml:space="preserve">. </w:t>
      </w:r>
    </w:p>
  </w:endnote>
  <w:endnote w:id="326">
    <w:p w14:paraId="61829925" w14:textId="77777777" w:rsidR="001A1790" w:rsidRDefault="001A1790" w:rsidP="000A6EE3">
      <w:pPr>
        <w:pStyle w:val="EndnoteText"/>
        <w:ind w:left="284" w:hanging="284"/>
      </w:pPr>
      <w:r>
        <w:rPr>
          <w:rStyle w:val="EndnoteReference"/>
        </w:rPr>
        <w:endnoteRef/>
      </w:r>
      <w:r>
        <w:t xml:space="preserve"> </w:t>
      </w:r>
      <w:r>
        <w:tab/>
        <w:t>Proposed ss 105A.7B(3) and (5).</w:t>
      </w:r>
    </w:p>
  </w:endnote>
  <w:endnote w:id="327">
    <w:p w14:paraId="5471418C" w14:textId="2312DBE2" w:rsidR="001A1790" w:rsidRPr="00957A26" w:rsidRDefault="001A1790" w:rsidP="0025233B">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[9.44]–[9.47].</w:t>
      </w:r>
    </w:p>
  </w:endnote>
  <w:endnote w:id="328">
    <w:p w14:paraId="279D234B" w14:textId="77777777" w:rsidR="001A1790" w:rsidRPr="005A1F30" w:rsidRDefault="001A1790" w:rsidP="00A52CE6">
      <w:pPr>
        <w:pStyle w:val="EndnoteText"/>
        <w:ind w:left="288"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[3.140].</w:t>
      </w:r>
    </w:p>
  </w:endnote>
  <w:endnote w:id="329">
    <w:p w14:paraId="70E12F92" w14:textId="77777777" w:rsidR="001A1790" w:rsidRPr="00011F9C" w:rsidRDefault="001A1790" w:rsidP="00A52CE6">
      <w:pPr>
        <w:pStyle w:val="EndnoteText"/>
        <w:ind w:left="288" w:hanging="288"/>
        <w:rPr>
          <w:lang w:val="en-US"/>
        </w:rPr>
      </w:pPr>
      <w:r>
        <w:rPr>
          <w:rStyle w:val="EndnoteReference"/>
        </w:rPr>
        <w:endnoteRef/>
      </w:r>
      <w:r>
        <w:t xml:space="preserve"> </w:t>
      </w:r>
      <w:r>
        <w:tab/>
      </w:r>
      <w:r w:rsidRPr="00011F9C">
        <w:t xml:space="preserve">Australian </w:t>
      </w:r>
      <w:r w:rsidRPr="00011F9C">
        <w:rPr>
          <w:rFonts w:cs="Open Sans"/>
          <w:color w:val="222222"/>
          <w:shd w:val="clear" w:color="auto" w:fill="FFFFFF"/>
        </w:rPr>
        <w:t xml:space="preserve">Government, </w:t>
      </w:r>
      <w:r w:rsidRPr="00011F9C">
        <w:rPr>
          <w:rFonts w:cs="Open Sans"/>
          <w:i/>
          <w:iCs/>
          <w:color w:val="222222"/>
          <w:shd w:val="clear" w:color="auto" w:fill="FFFFFF"/>
        </w:rPr>
        <w:t>Response to the Committee’s review of police stop, search and seizure powers, the control order regime and the preventative detention order regime, and to the INSLM Statutory Deadline Reviews</w:t>
      </w:r>
      <w:r w:rsidRPr="00011F9C">
        <w:rPr>
          <w:rFonts w:cs="Open Sans"/>
          <w:color w:val="222222"/>
          <w:shd w:val="clear" w:color="auto" w:fill="FFFFFF"/>
        </w:rPr>
        <w:t>, 24 May 2018, pp 3 and 8</w:t>
      </w:r>
      <w:r w:rsidRPr="00011F9C">
        <w:rPr>
          <w:lang w:val="en-US"/>
        </w:rPr>
        <w:t>–</w:t>
      </w:r>
      <w:r w:rsidRPr="00011F9C">
        <w:rPr>
          <w:rFonts w:cs="Open Sans"/>
          <w:color w:val="222222"/>
          <w:shd w:val="clear" w:color="auto" w:fill="FFFFFF"/>
        </w:rPr>
        <w:t xml:space="preserve">9, at </w:t>
      </w:r>
      <w:hyperlink r:id="rId53" w:history="1">
        <w:r w:rsidRPr="00011F9C">
          <w:rPr>
            <w:rStyle w:val="Hyperlink"/>
            <w:rFonts w:cs="Open Sans"/>
            <w:shd w:val="clear" w:color="auto" w:fill="FFFFFF"/>
          </w:rPr>
          <w:t>https://www.aph.gov.au/DocumentStore.ashx?id=ed7b9dc5-07b4-4672-a2e6-1b015c1248dd</w:t>
        </w:r>
      </w:hyperlink>
      <w:r w:rsidRPr="00011F9C">
        <w:rPr>
          <w:rFonts w:cs="Open Sans"/>
          <w:color w:val="222222"/>
          <w:shd w:val="clear" w:color="auto" w:fill="FFFFF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Malgun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A6A8" w14:textId="77777777" w:rsidR="001A1790" w:rsidRPr="000465F1" w:rsidRDefault="001A1790" w:rsidP="000465F1">
    <w:pPr>
      <w:pStyle w:val="Footer"/>
    </w:pPr>
    <w:r w:rsidRPr="000465F1">
      <w:t>ABN 47 996 232 602</w:t>
    </w:r>
  </w:p>
  <w:p w14:paraId="33E55D30" w14:textId="77777777" w:rsidR="001A1790" w:rsidRPr="000465F1" w:rsidRDefault="001A1790" w:rsidP="000465F1">
    <w:pPr>
      <w:pStyle w:val="Footer"/>
    </w:pPr>
    <w:r w:rsidRPr="000465F1">
      <w:t>Level 3, 175 Pitt Street, Sydney NSW 2000</w:t>
    </w:r>
  </w:p>
  <w:p w14:paraId="0134D255" w14:textId="77777777" w:rsidR="001A1790" w:rsidRPr="000465F1" w:rsidRDefault="001A1790" w:rsidP="000465F1">
    <w:pPr>
      <w:pStyle w:val="Footer"/>
    </w:pPr>
    <w:r w:rsidRPr="000465F1">
      <w:t>GPO Box 5218, Sydney NSW 2001</w:t>
    </w:r>
  </w:p>
  <w:p w14:paraId="6275BCD3" w14:textId="77777777" w:rsidR="001A1790" w:rsidRPr="000465F1" w:rsidRDefault="001A1790" w:rsidP="000465F1">
    <w:pPr>
      <w:pStyle w:val="Footer"/>
    </w:pPr>
    <w:r w:rsidRPr="000465F1">
      <w:t>General enquiries 1300 369 711</w:t>
    </w:r>
  </w:p>
  <w:p w14:paraId="59D9E276" w14:textId="77777777" w:rsidR="001A1790" w:rsidRPr="000465F1" w:rsidRDefault="001A1790" w:rsidP="000465F1">
    <w:pPr>
      <w:pStyle w:val="Footer"/>
    </w:pPr>
    <w:r>
      <w:t xml:space="preserve">National Information Service </w:t>
    </w:r>
    <w:r w:rsidRPr="000465F1">
      <w:t>1300 656 419</w:t>
    </w:r>
  </w:p>
  <w:p w14:paraId="16D1BF2F" w14:textId="77777777" w:rsidR="001A1790" w:rsidRPr="000465F1" w:rsidRDefault="001A1790"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CB4D" w14:textId="77777777" w:rsidR="001A1790" w:rsidRDefault="001A1790">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449C" w14:textId="77777777" w:rsidR="001A1790" w:rsidRDefault="001A1790"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84CC" w14:textId="77777777" w:rsidR="001A1790" w:rsidRDefault="001A1790"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64D6F" w14:textId="77777777" w:rsidR="00A40482" w:rsidRDefault="00A40482" w:rsidP="00F14C6D">
      <w:r>
        <w:separator/>
      </w:r>
    </w:p>
  </w:footnote>
  <w:footnote w:type="continuationSeparator" w:id="0">
    <w:p w14:paraId="33667CC4" w14:textId="77777777" w:rsidR="00A40482" w:rsidRDefault="00A40482" w:rsidP="00F14C6D">
      <w:r>
        <w:continuationSeparator/>
      </w:r>
    </w:p>
  </w:footnote>
  <w:footnote w:type="continuationNotice" w:id="1">
    <w:p w14:paraId="46FE273F" w14:textId="77777777" w:rsidR="00A40482" w:rsidRDefault="00A404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4BBA" w14:textId="77777777" w:rsidR="001A1790" w:rsidRPr="000465F1" w:rsidRDefault="00A40482" w:rsidP="000465F1">
    <w:pPr>
      <w:pStyle w:val="Header"/>
    </w:pPr>
    <w:r>
      <w:pict w14:anchorId="014C8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A1790" w:rsidRPr="000465F1">
      <w:t>Australian Human Rights Commission</w:t>
    </w:r>
  </w:p>
  <w:p w14:paraId="13BDF09F" w14:textId="77777777" w:rsidR="001A1790" w:rsidRPr="00622508" w:rsidRDefault="001A1790"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E17B0" w14:textId="77777777" w:rsidR="001A1790" w:rsidRPr="000465F1" w:rsidRDefault="00A40482" w:rsidP="000465F1">
    <w:r>
      <w:pict w14:anchorId="449D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A1790" w:rsidRPr="000465F1">
      <w:t>Australian Human Rights Commission</w:t>
    </w:r>
  </w:p>
  <w:p w14:paraId="767F88A3" w14:textId="77777777" w:rsidR="001A1790" w:rsidRPr="000465F1" w:rsidRDefault="001A1790"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45D6" w14:textId="77777777" w:rsidR="001A1790" w:rsidRDefault="00A40482" w:rsidP="002012F7">
    <w:pPr>
      <w:pStyle w:val="Header"/>
    </w:pPr>
    <w:r>
      <w:pict w14:anchorId="769A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29CE6DDF">
        <v:shape id="WordPictureWatermark1034832" o:spid="_x0000_s2049"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30A0DAA4" w14:textId="77777777" w:rsidR="001A1790" w:rsidRDefault="001A1790" w:rsidP="002012F7">
    <w:pPr>
      <w:pStyle w:val="Header"/>
    </w:pPr>
  </w:p>
  <w:p w14:paraId="25F08C63" w14:textId="77777777" w:rsidR="001A1790" w:rsidRDefault="001A1790"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1C71" w14:textId="77777777" w:rsidR="001A1790" w:rsidRPr="000465F1" w:rsidRDefault="001A1790" w:rsidP="0015239E">
    <w:pPr>
      <w:pStyle w:val="Header"/>
    </w:pPr>
    <w:r w:rsidRPr="000465F1">
      <w:t>Australian Human Rights Commission</w:t>
    </w:r>
  </w:p>
  <w:p w14:paraId="0BD8DE31" w14:textId="77777777" w:rsidR="001A1790" w:rsidRPr="000465F1" w:rsidRDefault="001A1790"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D304" w14:textId="77777777" w:rsidR="001A1790" w:rsidRPr="000465F1" w:rsidRDefault="001A1790" w:rsidP="00CA5D90">
    <w:pPr>
      <w:pStyle w:val="Header"/>
    </w:pPr>
    <w:r w:rsidRPr="000465F1">
      <w:t>Australian Human Rights Commission</w:t>
    </w:r>
  </w:p>
  <w:p w14:paraId="3155369E" w14:textId="312A0D5C" w:rsidR="001A1790" w:rsidRPr="000465F1" w:rsidRDefault="001A1790" w:rsidP="002F5E96">
    <w:pPr>
      <w:pStyle w:val="HeaderDocumentDate"/>
    </w:pPr>
    <w:r>
      <w:rPr>
        <w:rStyle w:val="HeaderDocumentTitle"/>
      </w:rPr>
      <w:t>Review of AFP Powers</w:t>
    </w:r>
    <w:r w:rsidRPr="001F62CC">
      <w:rPr>
        <w:rStyle w:val="HeaderDocumentTitle"/>
      </w:rPr>
      <w:t>,</w:t>
    </w:r>
    <w:r>
      <w:t xml:space="preserve"> 10 September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86DD" w14:textId="77777777" w:rsidR="001A1790" w:rsidRPr="000465F1" w:rsidRDefault="001A1790" w:rsidP="0063009F">
    <w:pPr>
      <w:pStyle w:val="Header"/>
    </w:pPr>
    <w:r w:rsidRPr="000465F1">
      <w:t>Australian Human Rights Commission</w:t>
    </w:r>
  </w:p>
  <w:p w14:paraId="21C28FA6" w14:textId="7ED56DC5" w:rsidR="001A1790" w:rsidRPr="000465F1" w:rsidRDefault="001A1790" w:rsidP="0063009F">
    <w:pPr>
      <w:pStyle w:val="HeaderDocumentDate"/>
    </w:pPr>
    <w:r>
      <w:rPr>
        <w:rStyle w:val="HeaderDocumentTitle"/>
      </w:rPr>
      <w:t>Review of AFP Powers</w:t>
    </w:r>
    <w:r w:rsidRPr="001F62CC">
      <w:rPr>
        <w:rStyle w:val="HeaderDocumentTitle"/>
      </w:rPr>
      <w:t>,</w:t>
    </w:r>
    <w:r>
      <w:t xml:space="preserve"> 10 September 2020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DFC2" w14:textId="77777777" w:rsidR="001A1790" w:rsidRPr="000465F1" w:rsidRDefault="001A1790" w:rsidP="00CA5D90">
    <w:pPr>
      <w:pStyle w:val="Header"/>
    </w:pPr>
    <w:r w:rsidRPr="000465F1">
      <w:t>Australian Human Rights Commission</w:t>
    </w:r>
  </w:p>
  <w:p w14:paraId="0D56E7C0" w14:textId="6F716BA9" w:rsidR="001A1790" w:rsidRDefault="001A1790" w:rsidP="002F5E96">
    <w:pPr>
      <w:pStyle w:val="HeaderDocumentDate"/>
    </w:pPr>
    <w:r>
      <w:rPr>
        <w:rStyle w:val="HeaderDocumentTitle"/>
      </w:rPr>
      <w:t>Review of AFP Powers</w:t>
    </w:r>
    <w:r w:rsidRPr="001F62CC">
      <w:rPr>
        <w:rStyle w:val="HeaderDocumentTitle"/>
      </w:rPr>
      <w:t>,</w:t>
    </w:r>
    <w:r>
      <w:t xml:space="preserve"> 10 September 2020</w:t>
    </w:r>
  </w:p>
  <w:p w14:paraId="6D3C15F9" w14:textId="77777777" w:rsidR="001A1790" w:rsidRDefault="001A1790" w:rsidP="002F5E96">
    <w:pPr>
      <w:pStyle w:val="HeaderDocumentDa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2C58" w14:textId="77777777" w:rsidR="001A1790" w:rsidRPr="000465F1" w:rsidRDefault="001A1790" w:rsidP="0063009F">
    <w:pPr>
      <w:pStyle w:val="Header"/>
    </w:pPr>
    <w:r w:rsidRPr="000465F1">
      <w:t>Australian Human Rights Commission</w:t>
    </w:r>
  </w:p>
  <w:p w14:paraId="541F097A" w14:textId="47D9A656" w:rsidR="001A1790" w:rsidRDefault="001A1790" w:rsidP="0063009F">
    <w:pPr>
      <w:pStyle w:val="HeaderDocumentDate"/>
    </w:pPr>
    <w:r>
      <w:rPr>
        <w:rStyle w:val="HeaderDocumentTitle"/>
      </w:rPr>
      <w:t>Review of AFP Powers</w:t>
    </w:r>
    <w:r w:rsidRPr="001F62CC">
      <w:rPr>
        <w:rStyle w:val="HeaderDocumentTitle"/>
      </w:rPr>
      <w:t>,</w:t>
    </w:r>
    <w:r>
      <w:t xml:space="preserve"> 10 September 2020</w:t>
    </w:r>
  </w:p>
  <w:p w14:paraId="03CF0E32" w14:textId="77777777" w:rsidR="001A1790" w:rsidRDefault="001A1790" w:rsidP="0063009F">
    <w:pPr>
      <w:pStyle w:val="HeaderDocumentDa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94D1" w14:textId="77777777" w:rsidR="001A1790" w:rsidRPr="000465F1" w:rsidRDefault="001A1790" w:rsidP="0063009F">
    <w:pPr>
      <w:pStyle w:val="Header"/>
    </w:pPr>
    <w:r w:rsidRPr="000465F1">
      <w:t>Australian Human Rights Commission</w:t>
    </w:r>
  </w:p>
  <w:p w14:paraId="1125F4DD" w14:textId="77777777" w:rsidR="001A1790" w:rsidRDefault="001A1790" w:rsidP="0063009F">
    <w:pPr>
      <w:pStyle w:val="HeaderDocumentDate"/>
    </w:pPr>
    <w:r>
      <w:rPr>
        <w:rStyle w:val="HeaderDocumentTitle"/>
      </w:rPr>
      <w:t>Review of AFP Powers</w:t>
    </w:r>
    <w:r w:rsidRPr="001F62CC">
      <w:rPr>
        <w:rStyle w:val="HeaderDocumentTitle"/>
      </w:rPr>
      <w:t>,</w:t>
    </w:r>
    <w:r>
      <w:t xml:space="preserve"> 10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5E01892"/>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7" w15:restartNumberingAfterBreak="0">
    <w:nsid w:val="018333D2"/>
    <w:multiLevelType w:val="hybridMultilevel"/>
    <w:tmpl w:val="9E9A1856"/>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8" w15:restartNumberingAfterBreak="0">
    <w:nsid w:val="12865B45"/>
    <w:multiLevelType w:val="hybridMultilevel"/>
    <w:tmpl w:val="42BA4A74"/>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9" w15:restartNumberingAfterBreak="0">
    <w:nsid w:val="14263BBC"/>
    <w:multiLevelType w:val="hybridMultilevel"/>
    <w:tmpl w:val="C498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64513"/>
    <w:multiLevelType w:val="hybridMultilevel"/>
    <w:tmpl w:val="5ED4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DD0756F"/>
    <w:multiLevelType w:val="hybridMultilevel"/>
    <w:tmpl w:val="FCBA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71560"/>
    <w:multiLevelType w:val="singleLevel"/>
    <w:tmpl w:val="4E301292"/>
    <w:styleLink w:val="ArticleSection"/>
    <w:lvl w:ilvl="0">
      <w:start w:val="1"/>
      <w:numFmt w:val="decimal"/>
      <w:pStyle w:val="ListNumber5"/>
      <w:lvlText w:val="%1."/>
      <w:lvlJc w:val="left"/>
      <w:pPr>
        <w:tabs>
          <w:tab w:val="num" w:pos="1492"/>
        </w:tabs>
        <w:ind w:left="1492" w:hanging="360"/>
      </w:pPr>
    </w:lvl>
  </w:abstractNum>
  <w:abstractNum w:abstractNumId="14" w15:restartNumberingAfterBreak="0">
    <w:nsid w:val="37C77DA3"/>
    <w:multiLevelType w:val="hybridMultilevel"/>
    <w:tmpl w:val="850CC4FE"/>
    <w:lvl w:ilvl="0" w:tplc="67BCFEC6">
      <w:numFmt w:val="bullet"/>
      <w:lvlText w:val="-"/>
      <w:lvlJc w:val="left"/>
      <w:pPr>
        <w:ind w:left="1440" w:hanging="360"/>
      </w:pPr>
      <w:rPr>
        <w:rFonts w:ascii="Open Sans" w:eastAsia="MS Mincho" w:hAnsi="Open Sans" w:cs="Open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42FE8"/>
    <w:multiLevelType w:val="singleLevel"/>
    <w:tmpl w:val="6F36045A"/>
    <w:styleLink w:val="1ai"/>
    <w:lvl w:ilvl="0">
      <w:start w:val="1"/>
      <w:numFmt w:val="decimal"/>
      <w:pStyle w:val="ListNumber4"/>
      <w:lvlText w:val="%1."/>
      <w:lvlJc w:val="left"/>
      <w:pPr>
        <w:tabs>
          <w:tab w:val="num" w:pos="1209"/>
        </w:tabs>
        <w:ind w:left="1209" w:hanging="360"/>
      </w:pPr>
    </w:lvl>
  </w:abstractNum>
  <w:abstractNum w:abstractNumId="16" w15:restartNumberingAfterBreak="0">
    <w:nsid w:val="44A95103"/>
    <w:multiLevelType w:val="hybridMultilevel"/>
    <w:tmpl w:val="309E89FE"/>
    <w:lvl w:ilvl="0" w:tplc="0409001B">
      <w:start w:val="1"/>
      <w:numFmt w:val="lowerRoman"/>
      <w:lvlText w:val="%1."/>
      <w:lvlJc w:val="right"/>
      <w:pPr>
        <w:ind w:left="1454" w:hanging="360"/>
      </w:pPr>
      <w:rPr>
        <w:rFonts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7" w15:restartNumberingAfterBreak="0">
    <w:nsid w:val="45BF7DB4"/>
    <w:multiLevelType w:val="hybridMultilevel"/>
    <w:tmpl w:val="7B5CE302"/>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8"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singleLevel"/>
    <w:tmpl w:val="1986A9A6"/>
    <w:styleLink w:val="111111"/>
    <w:lvl w:ilvl="0">
      <w:start w:val="1"/>
      <w:numFmt w:val="decimal"/>
      <w:pStyle w:val="ListNumber"/>
      <w:lvlText w:val="%1."/>
      <w:lvlJc w:val="left"/>
      <w:pPr>
        <w:tabs>
          <w:tab w:val="num" w:pos="360"/>
        </w:tabs>
        <w:ind w:left="360" w:hanging="360"/>
      </w:pPr>
    </w:lvl>
  </w:abstractNum>
  <w:abstractNum w:abstractNumId="20" w15:restartNumberingAfterBreak="0">
    <w:nsid w:val="588F3679"/>
    <w:multiLevelType w:val="hybridMultilevel"/>
    <w:tmpl w:val="10306276"/>
    <w:lvl w:ilvl="0" w:tplc="A2342D9C">
      <w:start w:val="1"/>
      <w:numFmt w:val="bullet"/>
      <w:lvlText w:val="•"/>
      <w:lvlJc w:val="left"/>
      <w:pPr>
        <w:tabs>
          <w:tab w:val="num" w:pos="720"/>
        </w:tabs>
        <w:ind w:left="720" w:hanging="360"/>
      </w:pPr>
      <w:rPr>
        <w:rFonts w:ascii="Arial" w:hAnsi="Arial" w:hint="default"/>
      </w:rPr>
    </w:lvl>
    <w:lvl w:ilvl="1" w:tplc="1750D6E0" w:tentative="1">
      <w:start w:val="1"/>
      <w:numFmt w:val="bullet"/>
      <w:lvlText w:val="•"/>
      <w:lvlJc w:val="left"/>
      <w:pPr>
        <w:tabs>
          <w:tab w:val="num" w:pos="1440"/>
        </w:tabs>
        <w:ind w:left="1440" w:hanging="360"/>
      </w:pPr>
      <w:rPr>
        <w:rFonts w:ascii="Arial" w:hAnsi="Arial" w:hint="default"/>
      </w:rPr>
    </w:lvl>
    <w:lvl w:ilvl="2" w:tplc="F5D811FA" w:tentative="1">
      <w:start w:val="1"/>
      <w:numFmt w:val="bullet"/>
      <w:lvlText w:val="•"/>
      <w:lvlJc w:val="left"/>
      <w:pPr>
        <w:tabs>
          <w:tab w:val="num" w:pos="2160"/>
        </w:tabs>
        <w:ind w:left="2160" w:hanging="360"/>
      </w:pPr>
      <w:rPr>
        <w:rFonts w:ascii="Arial" w:hAnsi="Arial" w:hint="default"/>
      </w:rPr>
    </w:lvl>
    <w:lvl w:ilvl="3" w:tplc="F2C4E366" w:tentative="1">
      <w:start w:val="1"/>
      <w:numFmt w:val="bullet"/>
      <w:lvlText w:val="•"/>
      <w:lvlJc w:val="left"/>
      <w:pPr>
        <w:tabs>
          <w:tab w:val="num" w:pos="2880"/>
        </w:tabs>
        <w:ind w:left="2880" w:hanging="360"/>
      </w:pPr>
      <w:rPr>
        <w:rFonts w:ascii="Arial" w:hAnsi="Arial" w:hint="default"/>
      </w:rPr>
    </w:lvl>
    <w:lvl w:ilvl="4" w:tplc="51E8C528" w:tentative="1">
      <w:start w:val="1"/>
      <w:numFmt w:val="bullet"/>
      <w:lvlText w:val="•"/>
      <w:lvlJc w:val="left"/>
      <w:pPr>
        <w:tabs>
          <w:tab w:val="num" w:pos="3600"/>
        </w:tabs>
        <w:ind w:left="3600" w:hanging="360"/>
      </w:pPr>
      <w:rPr>
        <w:rFonts w:ascii="Arial" w:hAnsi="Arial" w:hint="default"/>
      </w:rPr>
    </w:lvl>
    <w:lvl w:ilvl="5" w:tplc="322888CE" w:tentative="1">
      <w:start w:val="1"/>
      <w:numFmt w:val="bullet"/>
      <w:lvlText w:val="•"/>
      <w:lvlJc w:val="left"/>
      <w:pPr>
        <w:tabs>
          <w:tab w:val="num" w:pos="4320"/>
        </w:tabs>
        <w:ind w:left="4320" w:hanging="360"/>
      </w:pPr>
      <w:rPr>
        <w:rFonts w:ascii="Arial" w:hAnsi="Arial" w:hint="default"/>
      </w:rPr>
    </w:lvl>
    <w:lvl w:ilvl="6" w:tplc="C8BEB5DA" w:tentative="1">
      <w:start w:val="1"/>
      <w:numFmt w:val="bullet"/>
      <w:lvlText w:val="•"/>
      <w:lvlJc w:val="left"/>
      <w:pPr>
        <w:tabs>
          <w:tab w:val="num" w:pos="5040"/>
        </w:tabs>
        <w:ind w:left="5040" w:hanging="360"/>
      </w:pPr>
      <w:rPr>
        <w:rFonts w:ascii="Arial" w:hAnsi="Arial" w:hint="default"/>
      </w:rPr>
    </w:lvl>
    <w:lvl w:ilvl="7" w:tplc="F0E04FD8" w:tentative="1">
      <w:start w:val="1"/>
      <w:numFmt w:val="bullet"/>
      <w:lvlText w:val="•"/>
      <w:lvlJc w:val="left"/>
      <w:pPr>
        <w:tabs>
          <w:tab w:val="num" w:pos="5760"/>
        </w:tabs>
        <w:ind w:left="5760" w:hanging="360"/>
      </w:pPr>
      <w:rPr>
        <w:rFonts w:ascii="Arial" w:hAnsi="Arial" w:hint="default"/>
      </w:rPr>
    </w:lvl>
    <w:lvl w:ilvl="8" w:tplc="A2C881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505EC5"/>
    <w:multiLevelType w:val="hybridMultilevel"/>
    <w:tmpl w:val="E83E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500FD"/>
    <w:multiLevelType w:val="hybridMultilevel"/>
    <w:tmpl w:val="38C64D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79F3317F"/>
    <w:multiLevelType w:val="hybridMultilevel"/>
    <w:tmpl w:val="1B8630DA"/>
    <w:lvl w:ilvl="0" w:tplc="6ADE26D2">
      <w:start w:val="1"/>
      <w:numFmt w:val="bullet"/>
      <w:lvlText w:val="•"/>
      <w:lvlJc w:val="left"/>
      <w:pPr>
        <w:tabs>
          <w:tab w:val="num" w:pos="720"/>
        </w:tabs>
        <w:ind w:left="720" w:hanging="360"/>
      </w:pPr>
      <w:rPr>
        <w:rFonts w:ascii="Arial" w:hAnsi="Arial" w:hint="default"/>
      </w:rPr>
    </w:lvl>
    <w:lvl w:ilvl="1" w:tplc="C7DAA3A0" w:tentative="1">
      <w:start w:val="1"/>
      <w:numFmt w:val="bullet"/>
      <w:lvlText w:val="•"/>
      <w:lvlJc w:val="left"/>
      <w:pPr>
        <w:tabs>
          <w:tab w:val="num" w:pos="1440"/>
        </w:tabs>
        <w:ind w:left="1440" w:hanging="360"/>
      </w:pPr>
      <w:rPr>
        <w:rFonts w:ascii="Arial" w:hAnsi="Arial" w:hint="default"/>
      </w:rPr>
    </w:lvl>
    <w:lvl w:ilvl="2" w:tplc="A3CEAD90" w:tentative="1">
      <w:start w:val="1"/>
      <w:numFmt w:val="bullet"/>
      <w:lvlText w:val="•"/>
      <w:lvlJc w:val="left"/>
      <w:pPr>
        <w:tabs>
          <w:tab w:val="num" w:pos="2160"/>
        </w:tabs>
        <w:ind w:left="2160" w:hanging="360"/>
      </w:pPr>
      <w:rPr>
        <w:rFonts w:ascii="Arial" w:hAnsi="Arial" w:hint="default"/>
      </w:rPr>
    </w:lvl>
    <w:lvl w:ilvl="3" w:tplc="F3E2C5D8" w:tentative="1">
      <w:start w:val="1"/>
      <w:numFmt w:val="bullet"/>
      <w:lvlText w:val="•"/>
      <w:lvlJc w:val="left"/>
      <w:pPr>
        <w:tabs>
          <w:tab w:val="num" w:pos="2880"/>
        </w:tabs>
        <w:ind w:left="2880" w:hanging="360"/>
      </w:pPr>
      <w:rPr>
        <w:rFonts w:ascii="Arial" w:hAnsi="Arial" w:hint="default"/>
      </w:rPr>
    </w:lvl>
    <w:lvl w:ilvl="4" w:tplc="828E0902" w:tentative="1">
      <w:start w:val="1"/>
      <w:numFmt w:val="bullet"/>
      <w:lvlText w:val="•"/>
      <w:lvlJc w:val="left"/>
      <w:pPr>
        <w:tabs>
          <w:tab w:val="num" w:pos="3600"/>
        </w:tabs>
        <w:ind w:left="3600" w:hanging="360"/>
      </w:pPr>
      <w:rPr>
        <w:rFonts w:ascii="Arial" w:hAnsi="Arial" w:hint="default"/>
      </w:rPr>
    </w:lvl>
    <w:lvl w:ilvl="5" w:tplc="ED34679C" w:tentative="1">
      <w:start w:val="1"/>
      <w:numFmt w:val="bullet"/>
      <w:lvlText w:val="•"/>
      <w:lvlJc w:val="left"/>
      <w:pPr>
        <w:tabs>
          <w:tab w:val="num" w:pos="4320"/>
        </w:tabs>
        <w:ind w:left="4320" w:hanging="360"/>
      </w:pPr>
      <w:rPr>
        <w:rFonts w:ascii="Arial" w:hAnsi="Arial" w:hint="default"/>
      </w:rPr>
    </w:lvl>
    <w:lvl w:ilvl="6" w:tplc="4B0C9402" w:tentative="1">
      <w:start w:val="1"/>
      <w:numFmt w:val="bullet"/>
      <w:lvlText w:val="•"/>
      <w:lvlJc w:val="left"/>
      <w:pPr>
        <w:tabs>
          <w:tab w:val="num" w:pos="5040"/>
        </w:tabs>
        <w:ind w:left="5040" w:hanging="360"/>
      </w:pPr>
      <w:rPr>
        <w:rFonts w:ascii="Arial" w:hAnsi="Arial" w:hint="default"/>
      </w:rPr>
    </w:lvl>
    <w:lvl w:ilvl="7" w:tplc="785E44AC" w:tentative="1">
      <w:start w:val="1"/>
      <w:numFmt w:val="bullet"/>
      <w:lvlText w:val="•"/>
      <w:lvlJc w:val="left"/>
      <w:pPr>
        <w:tabs>
          <w:tab w:val="num" w:pos="5760"/>
        </w:tabs>
        <w:ind w:left="5760" w:hanging="360"/>
      </w:pPr>
      <w:rPr>
        <w:rFonts w:ascii="Arial" w:hAnsi="Arial" w:hint="default"/>
      </w:rPr>
    </w:lvl>
    <w:lvl w:ilvl="8" w:tplc="E304C2C4"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9"/>
  </w:num>
  <w:num w:numId="10">
    <w:abstractNumId w:val="15"/>
  </w:num>
  <w:num w:numId="11">
    <w:abstractNumId w:val="13"/>
  </w:num>
  <w:num w:numId="12">
    <w:abstractNumId w:val="11"/>
  </w:num>
  <w:num w:numId="13">
    <w:abstractNumId w:val="12"/>
  </w:num>
  <w:num w:numId="14">
    <w:abstractNumId w:val="17"/>
  </w:num>
  <w:num w:numId="15">
    <w:abstractNumId w:val="21"/>
  </w:num>
  <w:num w:numId="16">
    <w:abstractNumId w:val="22"/>
  </w:num>
  <w:num w:numId="17">
    <w:abstractNumId w:val="16"/>
  </w:num>
  <w:num w:numId="18">
    <w:abstractNumId w:val="14"/>
  </w:num>
  <w:num w:numId="19">
    <w:abstractNumId w:val="8"/>
  </w:num>
  <w:num w:numId="20">
    <w:abstractNumId w:val="7"/>
  </w:num>
  <w:num w:numId="21">
    <w:abstractNumId w:val="9"/>
  </w:num>
  <w:num w:numId="22">
    <w:abstractNumId w:val="1"/>
    <w:lvlOverride w:ilvl="0">
      <w:startOverride w:val="1"/>
    </w:lvlOverride>
  </w:num>
  <w:num w:numId="23">
    <w:abstractNumId w:val="1"/>
  </w:num>
  <w:num w:numId="24">
    <w:abstractNumId w:val="1"/>
  </w:num>
  <w:num w:numId="25">
    <w:abstractNumId w:val="11"/>
  </w:num>
  <w:num w:numId="26">
    <w:abstractNumId w:val="11"/>
  </w:num>
  <w:num w:numId="27">
    <w:abstractNumId w:val="11"/>
  </w:num>
  <w:num w:numId="28">
    <w:abstractNumId w:val="10"/>
  </w:num>
  <w:num w:numId="29">
    <w:abstractNumId w:val="1"/>
  </w:num>
  <w:num w:numId="30">
    <w:abstractNumId w:val="1"/>
  </w:num>
  <w:num w:numId="31">
    <w:abstractNumId w:val="1"/>
  </w:num>
  <w:num w:numId="32">
    <w:abstractNumId w:val="20"/>
  </w:num>
  <w:num w:numId="33">
    <w:abstractNumId w:val="23"/>
  </w:num>
  <w:num w:numId="34">
    <w:abstractNumId w:val="1"/>
  </w:num>
  <w:num w:numId="35">
    <w:abstractNumId w:val="1"/>
  </w:num>
  <w:num w:numId="36">
    <w:abstractNumId w:val="1"/>
  </w:num>
  <w:num w:numId="37">
    <w:abstractNumId w:val="1"/>
  </w:num>
  <w:num w:numId="38">
    <w:abstractNumId w:val="1"/>
  </w:num>
  <w:num w:numId="3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8F"/>
    <w:rsid w:val="0000003C"/>
    <w:rsid w:val="000006A2"/>
    <w:rsid w:val="000015EC"/>
    <w:rsid w:val="00001BEB"/>
    <w:rsid w:val="00002866"/>
    <w:rsid w:val="000031AF"/>
    <w:rsid w:val="00003C09"/>
    <w:rsid w:val="00003EA5"/>
    <w:rsid w:val="00004A41"/>
    <w:rsid w:val="00004BF4"/>
    <w:rsid w:val="00004E9A"/>
    <w:rsid w:val="0000500C"/>
    <w:rsid w:val="000050E6"/>
    <w:rsid w:val="00005194"/>
    <w:rsid w:val="00005817"/>
    <w:rsid w:val="00005B44"/>
    <w:rsid w:val="00006C05"/>
    <w:rsid w:val="00007CDC"/>
    <w:rsid w:val="0001095E"/>
    <w:rsid w:val="0001102D"/>
    <w:rsid w:val="000115B1"/>
    <w:rsid w:val="00011F9C"/>
    <w:rsid w:val="00012B3F"/>
    <w:rsid w:val="000137DD"/>
    <w:rsid w:val="00014DEE"/>
    <w:rsid w:val="00015083"/>
    <w:rsid w:val="00015334"/>
    <w:rsid w:val="00015774"/>
    <w:rsid w:val="00015B6F"/>
    <w:rsid w:val="00015ECC"/>
    <w:rsid w:val="000161C2"/>
    <w:rsid w:val="00016375"/>
    <w:rsid w:val="00016836"/>
    <w:rsid w:val="000168FF"/>
    <w:rsid w:val="00020109"/>
    <w:rsid w:val="00020399"/>
    <w:rsid w:val="0002063F"/>
    <w:rsid w:val="00021060"/>
    <w:rsid w:val="00021C45"/>
    <w:rsid w:val="00022968"/>
    <w:rsid w:val="000230B5"/>
    <w:rsid w:val="0002369E"/>
    <w:rsid w:val="00023A9A"/>
    <w:rsid w:val="00024323"/>
    <w:rsid w:val="0002448F"/>
    <w:rsid w:val="0002476A"/>
    <w:rsid w:val="00024A94"/>
    <w:rsid w:val="00025F2C"/>
    <w:rsid w:val="00025FDB"/>
    <w:rsid w:val="00026045"/>
    <w:rsid w:val="000266F7"/>
    <w:rsid w:val="000269E8"/>
    <w:rsid w:val="00026A7F"/>
    <w:rsid w:val="00026D3C"/>
    <w:rsid w:val="00027260"/>
    <w:rsid w:val="000274D1"/>
    <w:rsid w:val="00027C99"/>
    <w:rsid w:val="000302AE"/>
    <w:rsid w:val="000304CF"/>
    <w:rsid w:val="00030517"/>
    <w:rsid w:val="00030D58"/>
    <w:rsid w:val="00030E75"/>
    <w:rsid w:val="0003142B"/>
    <w:rsid w:val="000316D4"/>
    <w:rsid w:val="00032C1E"/>
    <w:rsid w:val="00032E1C"/>
    <w:rsid w:val="000335CB"/>
    <w:rsid w:val="0003372C"/>
    <w:rsid w:val="00033DF5"/>
    <w:rsid w:val="000340B4"/>
    <w:rsid w:val="000343DE"/>
    <w:rsid w:val="00034C81"/>
    <w:rsid w:val="00035313"/>
    <w:rsid w:val="00035BE8"/>
    <w:rsid w:val="0003659C"/>
    <w:rsid w:val="000367C1"/>
    <w:rsid w:val="00036BE4"/>
    <w:rsid w:val="00036FCE"/>
    <w:rsid w:val="000403DA"/>
    <w:rsid w:val="000405E6"/>
    <w:rsid w:val="000408BD"/>
    <w:rsid w:val="00040F58"/>
    <w:rsid w:val="00040FDF"/>
    <w:rsid w:val="00041383"/>
    <w:rsid w:val="0004138E"/>
    <w:rsid w:val="00041B52"/>
    <w:rsid w:val="00041FCF"/>
    <w:rsid w:val="0004211B"/>
    <w:rsid w:val="000424FB"/>
    <w:rsid w:val="00042588"/>
    <w:rsid w:val="00042B31"/>
    <w:rsid w:val="00042D32"/>
    <w:rsid w:val="000430B8"/>
    <w:rsid w:val="00043582"/>
    <w:rsid w:val="00045017"/>
    <w:rsid w:val="00045712"/>
    <w:rsid w:val="00045748"/>
    <w:rsid w:val="00045C4B"/>
    <w:rsid w:val="000465F1"/>
    <w:rsid w:val="000467CC"/>
    <w:rsid w:val="0004719A"/>
    <w:rsid w:val="00047EF7"/>
    <w:rsid w:val="0005026F"/>
    <w:rsid w:val="00050558"/>
    <w:rsid w:val="000507FA"/>
    <w:rsid w:val="0005089F"/>
    <w:rsid w:val="00050DA5"/>
    <w:rsid w:val="00051B25"/>
    <w:rsid w:val="00052274"/>
    <w:rsid w:val="0005248F"/>
    <w:rsid w:val="00052D4B"/>
    <w:rsid w:val="000533AF"/>
    <w:rsid w:val="00053775"/>
    <w:rsid w:val="00053B05"/>
    <w:rsid w:val="00053B21"/>
    <w:rsid w:val="00053ED6"/>
    <w:rsid w:val="00054016"/>
    <w:rsid w:val="000543E9"/>
    <w:rsid w:val="00055688"/>
    <w:rsid w:val="000557D5"/>
    <w:rsid w:val="00055D70"/>
    <w:rsid w:val="00055E93"/>
    <w:rsid w:val="0005700E"/>
    <w:rsid w:val="0005748A"/>
    <w:rsid w:val="000579B1"/>
    <w:rsid w:val="0006038E"/>
    <w:rsid w:val="000608FB"/>
    <w:rsid w:val="00061367"/>
    <w:rsid w:val="00061BBB"/>
    <w:rsid w:val="00061C36"/>
    <w:rsid w:val="00061C6C"/>
    <w:rsid w:val="0006399D"/>
    <w:rsid w:val="00063D8E"/>
    <w:rsid w:val="00063DB5"/>
    <w:rsid w:val="00065B06"/>
    <w:rsid w:val="00065E46"/>
    <w:rsid w:val="000663D2"/>
    <w:rsid w:val="00066421"/>
    <w:rsid w:val="0006741A"/>
    <w:rsid w:val="000676EA"/>
    <w:rsid w:val="000705F2"/>
    <w:rsid w:val="00070A24"/>
    <w:rsid w:val="000723E0"/>
    <w:rsid w:val="000729B7"/>
    <w:rsid w:val="00072C64"/>
    <w:rsid w:val="00072EDA"/>
    <w:rsid w:val="000745BB"/>
    <w:rsid w:val="000755C9"/>
    <w:rsid w:val="00075B8B"/>
    <w:rsid w:val="000760EC"/>
    <w:rsid w:val="0007682B"/>
    <w:rsid w:val="00076966"/>
    <w:rsid w:val="00076BF1"/>
    <w:rsid w:val="00076D07"/>
    <w:rsid w:val="00076D1E"/>
    <w:rsid w:val="00076EF3"/>
    <w:rsid w:val="00077565"/>
    <w:rsid w:val="000776A0"/>
    <w:rsid w:val="00077758"/>
    <w:rsid w:val="00077AC8"/>
    <w:rsid w:val="00077E63"/>
    <w:rsid w:val="000810A4"/>
    <w:rsid w:val="000810D8"/>
    <w:rsid w:val="000813FD"/>
    <w:rsid w:val="000816FA"/>
    <w:rsid w:val="00082108"/>
    <w:rsid w:val="00082120"/>
    <w:rsid w:val="00082B17"/>
    <w:rsid w:val="00082B75"/>
    <w:rsid w:val="00082EA6"/>
    <w:rsid w:val="00082FA0"/>
    <w:rsid w:val="00083EFB"/>
    <w:rsid w:val="00084822"/>
    <w:rsid w:val="00084A50"/>
    <w:rsid w:val="000855BE"/>
    <w:rsid w:val="0008633A"/>
    <w:rsid w:val="00086DDE"/>
    <w:rsid w:val="0008761D"/>
    <w:rsid w:val="00087768"/>
    <w:rsid w:val="00090A07"/>
    <w:rsid w:val="000910A8"/>
    <w:rsid w:val="0009165E"/>
    <w:rsid w:val="00091968"/>
    <w:rsid w:val="00091CAA"/>
    <w:rsid w:val="000921EC"/>
    <w:rsid w:val="00092313"/>
    <w:rsid w:val="00092D3C"/>
    <w:rsid w:val="00093791"/>
    <w:rsid w:val="0009407F"/>
    <w:rsid w:val="0009481A"/>
    <w:rsid w:val="0009484C"/>
    <w:rsid w:val="0009491E"/>
    <w:rsid w:val="00094B65"/>
    <w:rsid w:val="00094CE8"/>
    <w:rsid w:val="0009504A"/>
    <w:rsid w:val="00095107"/>
    <w:rsid w:val="00095288"/>
    <w:rsid w:val="00095DE5"/>
    <w:rsid w:val="00096663"/>
    <w:rsid w:val="00096DD9"/>
    <w:rsid w:val="00097BF3"/>
    <w:rsid w:val="00097EB5"/>
    <w:rsid w:val="000A02B3"/>
    <w:rsid w:val="000A0331"/>
    <w:rsid w:val="000A081A"/>
    <w:rsid w:val="000A1D1A"/>
    <w:rsid w:val="000A1DB8"/>
    <w:rsid w:val="000A1F9E"/>
    <w:rsid w:val="000A249F"/>
    <w:rsid w:val="000A3296"/>
    <w:rsid w:val="000A32C8"/>
    <w:rsid w:val="000A3C62"/>
    <w:rsid w:val="000A3E01"/>
    <w:rsid w:val="000A449D"/>
    <w:rsid w:val="000A476A"/>
    <w:rsid w:val="000A48AC"/>
    <w:rsid w:val="000A4E2A"/>
    <w:rsid w:val="000A520E"/>
    <w:rsid w:val="000A623C"/>
    <w:rsid w:val="000A66E5"/>
    <w:rsid w:val="000A67E4"/>
    <w:rsid w:val="000A69BA"/>
    <w:rsid w:val="000A6EE3"/>
    <w:rsid w:val="000B0309"/>
    <w:rsid w:val="000B0603"/>
    <w:rsid w:val="000B0A5D"/>
    <w:rsid w:val="000B0CD5"/>
    <w:rsid w:val="000B10F7"/>
    <w:rsid w:val="000B12B4"/>
    <w:rsid w:val="000B1A5D"/>
    <w:rsid w:val="000B1BDF"/>
    <w:rsid w:val="000B1C38"/>
    <w:rsid w:val="000B2053"/>
    <w:rsid w:val="000B2406"/>
    <w:rsid w:val="000B3B24"/>
    <w:rsid w:val="000B4313"/>
    <w:rsid w:val="000B43CC"/>
    <w:rsid w:val="000B4C78"/>
    <w:rsid w:val="000B506E"/>
    <w:rsid w:val="000B51BD"/>
    <w:rsid w:val="000B561C"/>
    <w:rsid w:val="000B571C"/>
    <w:rsid w:val="000B5811"/>
    <w:rsid w:val="000B5B68"/>
    <w:rsid w:val="000B60DC"/>
    <w:rsid w:val="000B638E"/>
    <w:rsid w:val="000B6644"/>
    <w:rsid w:val="000B67AA"/>
    <w:rsid w:val="000B6AE0"/>
    <w:rsid w:val="000B6E69"/>
    <w:rsid w:val="000B6F76"/>
    <w:rsid w:val="000B77A6"/>
    <w:rsid w:val="000B7D86"/>
    <w:rsid w:val="000C11FD"/>
    <w:rsid w:val="000C189C"/>
    <w:rsid w:val="000C191E"/>
    <w:rsid w:val="000C1B87"/>
    <w:rsid w:val="000C1F10"/>
    <w:rsid w:val="000C26BC"/>
    <w:rsid w:val="000C30A0"/>
    <w:rsid w:val="000C30B8"/>
    <w:rsid w:val="000C310E"/>
    <w:rsid w:val="000C3E77"/>
    <w:rsid w:val="000C4135"/>
    <w:rsid w:val="000C49D6"/>
    <w:rsid w:val="000C54AC"/>
    <w:rsid w:val="000C5608"/>
    <w:rsid w:val="000C5DA6"/>
    <w:rsid w:val="000C5FAF"/>
    <w:rsid w:val="000C6062"/>
    <w:rsid w:val="000C6423"/>
    <w:rsid w:val="000C6797"/>
    <w:rsid w:val="000C68ED"/>
    <w:rsid w:val="000C69F4"/>
    <w:rsid w:val="000C6A41"/>
    <w:rsid w:val="000C6A8D"/>
    <w:rsid w:val="000C711B"/>
    <w:rsid w:val="000C79EA"/>
    <w:rsid w:val="000C7A4E"/>
    <w:rsid w:val="000D0110"/>
    <w:rsid w:val="000D0371"/>
    <w:rsid w:val="000D05FA"/>
    <w:rsid w:val="000D099C"/>
    <w:rsid w:val="000D0EC9"/>
    <w:rsid w:val="000D1606"/>
    <w:rsid w:val="000D1861"/>
    <w:rsid w:val="000D18B2"/>
    <w:rsid w:val="000D21E1"/>
    <w:rsid w:val="000D27FF"/>
    <w:rsid w:val="000D2855"/>
    <w:rsid w:val="000D307C"/>
    <w:rsid w:val="000D324A"/>
    <w:rsid w:val="000D45D1"/>
    <w:rsid w:val="000D4625"/>
    <w:rsid w:val="000D4705"/>
    <w:rsid w:val="000D4FA1"/>
    <w:rsid w:val="000D5AE4"/>
    <w:rsid w:val="000D635B"/>
    <w:rsid w:val="000D6754"/>
    <w:rsid w:val="000D74B6"/>
    <w:rsid w:val="000D74B8"/>
    <w:rsid w:val="000E0614"/>
    <w:rsid w:val="000E10F6"/>
    <w:rsid w:val="000E130A"/>
    <w:rsid w:val="000E1D77"/>
    <w:rsid w:val="000E2D9A"/>
    <w:rsid w:val="000E3F1A"/>
    <w:rsid w:val="000E45A4"/>
    <w:rsid w:val="000E4837"/>
    <w:rsid w:val="000E5061"/>
    <w:rsid w:val="000E5100"/>
    <w:rsid w:val="000E510A"/>
    <w:rsid w:val="000E5ABB"/>
    <w:rsid w:val="000E60C1"/>
    <w:rsid w:val="000E62E5"/>
    <w:rsid w:val="000E6C1C"/>
    <w:rsid w:val="000E7169"/>
    <w:rsid w:val="000E7AAA"/>
    <w:rsid w:val="000F03E6"/>
    <w:rsid w:val="000F08EE"/>
    <w:rsid w:val="000F18EA"/>
    <w:rsid w:val="000F1AAD"/>
    <w:rsid w:val="000F1CA8"/>
    <w:rsid w:val="000F1D23"/>
    <w:rsid w:val="000F1D72"/>
    <w:rsid w:val="000F2179"/>
    <w:rsid w:val="000F271C"/>
    <w:rsid w:val="000F2F7E"/>
    <w:rsid w:val="000F331C"/>
    <w:rsid w:val="000F35D4"/>
    <w:rsid w:val="000F3E56"/>
    <w:rsid w:val="000F4A31"/>
    <w:rsid w:val="000F5B55"/>
    <w:rsid w:val="000F5C83"/>
    <w:rsid w:val="000F5C98"/>
    <w:rsid w:val="000F6D29"/>
    <w:rsid w:val="000F7A9D"/>
    <w:rsid w:val="001009C6"/>
    <w:rsid w:val="001014E7"/>
    <w:rsid w:val="001016AE"/>
    <w:rsid w:val="00103351"/>
    <w:rsid w:val="00103820"/>
    <w:rsid w:val="00103C18"/>
    <w:rsid w:val="00104E3A"/>
    <w:rsid w:val="00105194"/>
    <w:rsid w:val="0010541A"/>
    <w:rsid w:val="0010611C"/>
    <w:rsid w:val="00106370"/>
    <w:rsid w:val="001067B6"/>
    <w:rsid w:val="001072EA"/>
    <w:rsid w:val="001073D9"/>
    <w:rsid w:val="001076CE"/>
    <w:rsid w:val="00107D54"/>
    <w:rsid w:val="001100F3"/>
    <w:rsid w:val="001101C6"/>
    <w:rsid w:val="00110D4B"/>
    <w:rsid w:val="00110E20"/>
    <w:rsid w:val="0011122D"/>
    <w:rsid w:val="00113A40"/>
    <w:rsid w:val="00113E49"/>
    <w:rsid w:val="00114714"/>
    <w:rsid w:val="001147CE"/>
    <w:rsid w:val="0011487D"/>
    <w:rsid w:val="00114E7C"/>
    <w:rsid w:val="00115C90"/>
    <w:rsid w:val="00116342"/>
    <w:rsid w:val="001167C3"/>
    <w:rsid w:val="0011684F"/>
    <w:rsid w:val="00117A28"/>
    <w:rsid w:val="00117ECD"/>
    <w:rsid w:val="00120454"/>
    <w:rsid w:val="00120FC9"/>
    <w:rsid w:val="00121C5D"/>
    <w:rsid w:val="00121C8C"/>
    <w:rsid w:val="00121D33"/>
    <w:rsid w:val="00122954"/>
    <w:rsid w:val="00122BC0"/>
    <w:rsid w:val="0012375D"/>
    <w:rsid w:val="00123BDE"/>
    <w:rsid w:val="00123F18"/>
    <w:rsid w:val="001240B0"/>
    <w:rsid w:val="0012412A"/>
    <w:rsid w:val="001243E8"/>
    <w:rsid w:val="00124485"/>
    <w:rsid w:val="00124C56"/>
    <w:rsid w:val="00124D36"/>
    <w:rsid w:val="00124DBC"/>
    <w:rsid w:val="00125E97"/>
    <w:rsid w:val="0012671F"/>
    <w:rsid w:val="00126E22"/>
    <w:rsid w:val="00127F28"/>
    <w:rsid w:val="00127F79"/>
    <w:rsid w:val="00130412"/>
    <w:rsid w:val="0013205F"/>
    <w:rsid w:val="001327FB"/>
    <w:rsid w:val="00132810"/>
    <w:rsid w:val="00132ACF"/>
    <w:rsid w:val="00133265"/>
    <w:rsid w:val="001338E5"/>
    <w:rsid w:val="00133BE4"/>
    <w:rsid w:val="00133C92"/>
    <w:rsid w:val="00134097"/>
    <w:rsid w:val="00134196"/>
    <w:rsid w:val="00134774"/>
    <w:rsid w:val="0013498F"/>
    <w:rsid w:val="00136106"/>
    <w:rsid w:val="00136380"/>
    <w:rsid w:val="00136401"/>
    <w:rsid w:val="0013683C"/>
    <w:rsid w:val="001368DF"/>
    <w:rsid w:val="00136915"/>
    <w:rsid w:val="00136C16"/>
    <w:rsid w:val="00137525"/>
    <w:rsid w:val="00137B37"/>
    <w:rsid w:val="001400B3"/>
    <w:rsid w:val="00140172"/>
    <w:rsid w:val="00140274"/>
    <w:rsid w:val="0014057A"/>
    <w:rsid w:val="00141033"/>
    <w:rsid w:val="00141371"/>
    <w:rsid w:val="001413D8"/>
    <w:rsid w:val="0014161F"/>
    <w:rsid w:val="00141A08"/>
    <w:rsid w:val="00141C86"/>
    <w:rsid w:val="00141D52"/>
    <w:rsid w:val="00141F28"/>
    <w:rsid w:val="001429A8"/>
    <w:rsid w:val="00142B5B"/>
    <w:rsid w:val="00143E90"/>
    <w:rsid w:val="00144388"/>
    <w:rsid w:val="00144491"/>
    <w:rsid w:val="00144600"/>
    <w:rsid w:val="00144AE1"/>
    <w:rsid w:val="00144B53"/>
    <w:rsid w:val="00144F76"/>
    <w:rsid w:val="001452CF"/>
    <w:rsid w:val="00145485"/>
    <w:rsid w:val="00145961"/>
    <w:rsid w:val="00145FEC"/>
    <w:rsid w:val="00146280"/>
    <w:rsid w:val="00146512"/>
    <w:rsid w:val="0014651B"/>
    <w:rsid w:val="00146877"/>
    <w:rsid w:val="00146E4D"/>
    <w:rsid w:val="00147F19"/>
    <w:rsid w:val="001503F7"/>
    <w:rsid w:val="0015094F"/>
    <w:rsid w:val="0015098C"/>
    <w:rsid w:val="00151061"/>
    <w:rsid w:val="001510A2"/>
    <w:rsid w:val="00151263"/>
    <w:rsid w:val="00151357"/>
    <w:rsid w:val="00152268"/>
    <w:rsid w:val="0015239E"/>
    <w:rsid w:val="00152A8F"/>
    <w:rsid w:val="00152D7E"/>
    <w:rsid w:val="00153599"/>
    <w:rsid w:val="00154B11"/>
    <w:rsid w:val="00155B37"/>
    <w:rsid w:val="001560CE"/>
    <w:rsid w:val="00156817"/>
    <w:rsid w:val="00156A27"/>
    <w:rsid w:val="00157733"/>
    <w:rsid w:val="001578E5"/>
    <w:rsid w:val="0016012E"/>
    <w:rsid w:val="00160253"/>
    <w:rsid w:val="001608EA"/>
    <w:rsid w:val="00161659"/>
    <w:rsid w:val="00161903"/>
    <w:rsid w:val="00161F15"/>
    <w:rsid w:val="001622C5"/>
    <w:rsid w:val="0016266F"/>
    <w:rsid w:val="00162A8D"/>
    <w:rsid w:val="00162DF6"/>
    <w:rsid w:val="00163347"/>
    <w:rsid w:val="00163F66"/>
    <w:rsid w:val="001642BC"/>
    <w:rsid w:val="00164DEA"/>
    <w:rsid w:val="00164F03"/>
    <w:rsid w:val="00165BCF"/>
    <w:rsid w:val="00165E3C"/>
    <w:rsid w:val="0016622F"/>
    <w:rsid w:val="001664B0"/>
    <w:rsid w:val="0016670E"/>
    <w:rsid w:val="00166799"/>
    <w:rsid w:val="001668AC"/>
    <w:rsid w:val="001671AD"/>
    <w:rsid w:val="0017002A"/>
    <w:rsid w:val="001702E4"/>
    <w:rsid w:val="001716E4"/>
    <w:rsid w:val="001719F5"/>
    <w:rsid w:val="0017261E"/>
    <w:rsid w:val="001728F0"/>
    <w:rsid w:val="00172D79"/>
    <w:rsid w:val="00172EF1"/>
    <w:rsid w:val="00173268"/>
    <w:rsid w:val="0017383D"/>
    <w:rsid w:val="00173868"/>
    <w:rsid w:val="00173B49"/>
    <w:rsid w:val="00173FB5"/>
    <w:rsid w:val="001740AE"/>
    <w:rsid w:val="00174A54"/>
    <w:rsid w:val="00174B95"/>
    <w:rsid w:val="00174D9A"/>
    <w:rsid w:val="00175345"/>
    <w:rsid w:val="0017551D"/>
    <w:rsid w:val="0017575F"/>
    <w:rsid w:val="00175896"/>
    <w:rsid w:val="00175A66"/>
    <w:rsid w:val="0017623E"/>
    <w:rsid w:val="0017643F"/>
    <w:rsid w:val="00176A07"/>
    <w:rsid w:val="00176CAB"/>
    <w:rsid w:val="00177396"/>
    <w:rsid w:val="001773C3"/>
    <w:rsid w:val="001776E1"/>
    <w:rsid w:val="00180120"/>
    <w:rsid w:val="00180333"/>
    <w:rsid w:val="001804DA"/>
    <w:rsid w:val="00180549"/>
    <w:rsid w:val="00180F28"/>
    <w:rsid w:val="00180FEC"/>
    <w:rsid w:val="00181271"/>
    <w:rsid w:val="00181EC8"/>
    <w:rsid w:val="0018220B"/>
    <w:rsid w:val="001827A1"/>
    <w:rsid w:val="00182EC2"/>
    <w:rsid w:val="0018353B"/>
    <w:rsid w:val="00183CE6"/>
    <w:rsid w:val="00183E2F"/>
    <w:rsid w:val="00184460"/>
    <w:rsid w:val="00185155"/>
    <w:rsid w:val="00185454"/>
    <w:rsid w:val="00186588"/>
    <w:rsid w:val="001865DE"/>
    <w:rsid w:val="00186FA7"/>
    <w:rsid w:val="001870A2"/>
    <w:rsid w:val="001901B5"/>
    <w:rsid w:val="00190C7C"/>
    <w:rsid w:val="0019122E"/>
    <w:rsid w:val="001912CD"/>
    <w:rsid w:val="00191A6D"/>
    <w:rsid w:val="00191B99"/>
    <w:rsid w:val="00193CC0"/>
    <w:rsid w:val="00193E9B"/>
    <w:rsid w:val="00194336"/>
    <w:rsid w:val="001944CD"/>
    <w:rsid w:val="00194935"/>
    <w:rsid w:val="001952FE"/>
    <w:rsid w:val="00195EDE"/>
    <w:rsid w:val="00196CF7"/>
    <w:rsid w:val="00196EED"/>
    <w:rsid w:val="00197495"/>
    <w:rsid w:val="001A0B30"/>
    <w:rsid w:val="001A0B72"/>
    <w:rsid w:val="001A115A"/>
    <w:rsid w:val="001A12A6"/>
    <w:rsid w:val="001A144A"/>
    <w:rsid w:val="001A1790"/>
    <w:rsid w:val="001A17E6"/>
    <w:rsid w:val="001A198E"/>
    <w:rsid w:val="001A22F2"/>
    <w:rsid w:val="001A2EE9"/>
    <w:rsid w:val="001A3E47"/>
    <w:rsid w:val="001A429C"/>
    <w:rsid w:val="001A5568"/>
    <w:rsid w:val="001A563E"/>
    <w:rsid w:val="001A56BF"/>
    <w:rsid w:val="001A5CBA"/>
    <w:rsid w:val="001A7633"/>
    <w:rsid w:val="001A7B28"/>
    <w:rsid w:val="001B024B"/>
    <w:rsid w:val="001B0353"/>
    <w:rsid w:val="001B04E0"/>
    <w:rsid w:val="001B1291"/>
    <w:rsid w:val="001B1368"/>
    <w:rsid w:val="001B1AAC"/>
    <w:rsid w:val="001B26CE"/>
    <w:rsid w:val="001B2B39"/>
    <w:rsid w:val="001B2DAD"/>
    <w:rsid w:val="001B309F"/>
    <w:rsid w:val="001B3BD6"/>
    <w:rsid w:val="001B478A"/>
    <w:rsid w:val="001B47B1"/>
    <w:rsid w:val="001B4B57"/>
    <w:rsid w:val="001B511C"/>
    <w:rsid w:val="001B577E"/>
    <w:rsid w:val="001B5DEE"/>
    <w:rsid w:val="001B5FC9"/>
    <w:rsid w:val="001B6044"/>
    <w:rsid w:val="001B70ED"/>
    <w:rsid w:val="001B732C"/>
    <w:rsid w:val="001B75F6"/>
    <w:rsid w:val="001C02D9"/>
    <w:rsid w:val="001C02F8"/>
    <w:rsid w:val="001C04F6"/>
    <w:rsid w:val="001C1CFB"/>
    <w:rsid w:val="001C1E47"/>
    <w:rsid w:val="001C1F8B"/>
    <w:rsid w:val="001C204A"/>
    <w:rsid w:val="001C27E0"/>
    <w:rsid w:val="001C2801"/>
    <w:rsid w:val="001C331C"/>
    <w:rsid w:val="001C3F75"/>
    <w:rsid w:val="001C46C1"/>
    <w:rsid w:val="001C4854"/>
    <w:rsid w:val="001C493F"/>
    <w:rsid w:val="001C50EC"/>
    <w:rsid w:val="001C5195"/>
    <w:rsid w:val="001C5271"/>
    <w:rsid w:val="001C5717"/>
    <w:rsid w:val="001C6931"/>
    <w:rsid w:val="001C720F"/>
    <w:rsid w:val="001C764F"/>
    <w:rsid w:val="001C784D"/>
    <w:rsid w:val="001D02D9"/>
    <w:rsid w:val="001D05CC"/>
    <w:rsid w:val="001D0629"/>
    <w:rsid w:val="001D0858"/>
    <w:rsid w:val="001D122B"/>
    <w:rsid w:val="001D184F"/>
    <w:rsid w:val="001D1854"/>
    <w:rsid w:val="001D1B36"/>
    <w:rsid w:val="001D1C6E"/>
    <w:rsid w:val="001D2331"/>
    <w:rsid w:val="001D2964"/>
    <w:rsid w:val="001D2CC0"/>
    <w:rsid w:val="001D2CE8"/>
    <w:rsid w:val="001D3384"/>
    <w:rsid w:val="001D34B8"/>
    <w:rsid w:val="001D3AAD"/>
    <w:rsid w:val="001D3EA1"/>
    <w:rsid w:val="001D44F7"/>
    <w:rsid w:val="001D50A9"/>
    <w:rsid w:val="001D57E0"/>
    <w:rsid w:val="001D5A5F"/>
    <w:rsid w:val="001D5EC4"/>
    <w:rsid w:val="001D6673"/>
    <w:rsid w:val="001D673B"/>
    <w:rsid w:val="001D6984"/>
    <w:rsid w:val="001D71FD"/>
    <w:rsid w:val="001D77B8"/>
    <w:rsid w:val="001D7C9B"/>
    <w:rsid w:val="001D7EFD"/>
    <w:rsid w:val="001E0327"/>
    <w:rsid w:val="001E0E70"/>
    <w:rsid w:val="001E134A"/>
    <w:rsid w:val="001E1489"/>
    <w:rsid w:val="001E291F"/>
    <w:rsid w:val="001E2D12"/>
    <w:rsid w:val="001E328F"/>
    <w:rsid w:val="001E3E16"/>
    <w:rsid w:val="001E4170"/>
    <w:rsid w:val="001E44F4"/>
    <w:rsid w:val="001E481C"/>
    <w:rsid w:val="001E493E"/>
    <w:rsid w:val="001E5021"/>
    <w:rsid w:val="001E5326"/>
    <w:rsid w:val="001E5676"/>
    <w:rsid w:val="001E58CD"/>
    <w:rsid w:val="001E5B61"/>
    <w:rsid w:val="001E5C7F"/>
    <w:rsid w:val="001E6206"/>
    <w:rsid w:val="001E621A"/>
    <w:rsid w:val="001E632B"/>
    <w:rsid w:val="001E66F4"/>
    <w:rsid w:val="001E69F8"/>
    <w:rsid w:val="001E6ACB"/>
    <w:rsid w:val="001E6DCB"/>
    <w:rsid w:val="001E6F14"/>
    <w:rsid w:val="001E7B90"/>
    <w:rsid w:val="001F048B"/>
    <w:rsid w:val="001F05CA"/>
    <w:rsid w:val="001F1167"/>
    <w:rsid w:val="001F15D4"/>
    <w:rsid w:val="001F1793"/>
    <w:rsid w:val="001F1E82"/>
    <w:rsid w:val="001F2375"/>
    <w:rsid w:val="001F264D"/>
    <w:rsid w:val="001F2923"/>
    <w:rsid w:val="001F2BBB"/>
    <w:rsid w:val="001F3507"/>
    <w:rsid w:val="001F35FA"/>
    <w:rsid w:val="001F3904"/>
    <w:rsid w:val="001F39E4"/>
    <w:rsid w:val="001F3CD5"/>
    <w:rsid w:val="001F3FB2"/>
    <w:rsid w:val="001F47FE"/>
    <w:rsid w:val="001F52FD"/>
    <w:rsid w:val="001F57DA"/>
    <w:rsid w:val="001F5858"/>
    <w:rsid w:val="001F62CC"/>
    <w:rsid w:val="001F62E8"/>
    <w:rsid w:val="001F6803"/>
    <w:rsid w:val="001F6BD5"/>
    <w:rsid w:val="001F6C13"/>
    <w:rsid w:val="001F77FD"/>
    <w:rsid w:val="001F7988"/>
    <w:rsid w:val="001F7B25"/>
    <w:rsid w:val="00200677"/>
    <w:rsid w:val="00200B97"/>
    <w:rsid w:val="002012F7"/>
    <w:rsid w:val="0020220E"/>
    <w:rsid w:val="002027F6"/>
    <w:rsid w:val="00202A88"/>
    <w:rsid w:val="0020327D"/>
    <w:rsid w:val="00203299"/>
    <w:rsid w:val="00203584"/>
    <w:rsid w:val="002036F6"/>
    <w:rsid w:val="0020376E"/>
    <w:rsid w:val="00203986"/>
    <w:rsid w:val="00204128"/>
    <w:rsid w:val="0020423D"/>
    <w:rsid w:val="00204786"/>
    <w:rsid w:val="00204BD9"/>
    <w:rsid w:val="00204E95"/>
    <w:rsid w:val="00204FD5"/>
    <w:rsid w:val="00205834"/>
    <w:rsid w:val="00206151"/>
    <w:rsid w:val="0020620F"/>
    <w:rsid w:val="002065BE"/>
    <w:rsid w:val="002068EB"/>
    <w:rsid w:val="00206B2C"/>
    <w:rsid w:val="002073B3"/>
    <w:rsid w:val="00207751"/>
    <w:rsid w:val="002077DC"/>
    <w:rsid w:val="002078A1"/>
    <w:rsid w:val="00210023"/>
    <w:rsid w:val="0021061F"/>
    <w:rsid w:val="00210FA6"/>
    <w:rsid w:val="00211DF2"/>
    <w:rsid w:val="00212863"/>
    <w:rsid w:val="00212E69"/>
    <w:rsid w:val="00212F4E"/>
    <w:rsid w:val="00213BE6"/>
    <w:rsid w:val="0021523F"/>
    <w:rsid w:val="0021579B"/>
    <w:rsid w:val="00215983"/>
    <w:rsid w:val="002166A5"/>
    <w:rsid w:val="00216A7F"/>
    <w:rsid w:val="0021776E"/>
    <w:rsid w:val="00220139"/>
    <w:rsid w:val="002201B8"/>
    <w:rsid w:val="002204AC"/>
    <w:rsid w:val="002205F8"/>
    <w:rsid w:val="002212E8"/>
    <w:rsid w:val="00221B48"/>
    <w:rsid w:val="00222453"/>
    <w:rsid w:val="0022299B"/>
    <w:rsid w:val="00223119"/>
    <w:rsid w:val="0022350F"/>
    <w:rsid w:val="002241C4"/>
    <w:rsid w:val="0022471C"/>
    <w:rsid w:val="00225299"/>
    <w:rsid w:val="00225EF5"/>
    <w:rsid w:val="00226019"/>
    <w:rsid w:val="00226BFA"/>
    <w:rsid w:val="00226CE4"/>
    <w:rsid w:val="002279C5"/>
    <w:rsid w:val="00227BC1"/>
    <w:rsid w:val="00230656"/>
    <w:rsid w:val="002308A6"/>
    <w:rsid w:val="0023161F"/>
    <w:rsid w:val="00231673"/>
    <w:rsid w:val="0023184B"/>
    <w:rsid w:val="00231A5F"/>
    <w:rsid w:val="00231ED1"/>
    <w:rsid w:val="00232155"/>
    <w:rsid w:val="0023262F"/>
    <w:rsid w:val="00232631"/>
    <w:rsid w:val="002335FA"/>
    <w:rsid w:val="00233604"/>
    <w:rsid w:val="00233F19"/>
    <w:rsid w:val="00234134"/>
    <w:rsid w:val="0023453D"/>
    <w:rsid w:val="002349CC"/>
    <w:rsid w:val="00234DDF"/>
    <w:rsid w:val="00234EE0"/>
    <w:rsid w:val="002353A2"/>
    <w:rsid w:val="00235995"/>
    <w:rsid w:val="002359D1"/>
    <w:rsid w:val="0023617F"/>
    <w:rsid w:val="002365FF"/>
    <w:rsid w:val="002367AE"/>
    <w:rsid w:val="002371EB"/>
    <w:rsid w:val="0023769B"/>
    <w:rsid w:val="00237D3C"/>
    <w:rsid w:val="00240966"/>
    <w:rsid w:val="002409D9"/>
    <w:rsid w:val="0024110B"/>
    <w:rsid w:val="00241523"/>
    <w:rsid w:val="00241FCA"/>
    <w:rsid w:val="00242624"/>
    <w:rsid w:val="00242C3F"/>
    <w:rsid w:val="00243185"/>
    <w:rsid w:val="0024343E"/>
    <w:rsid w:val="00243769"/>
    <w:rsid w:val="00243BBE"/>
    <w:rsid w:val="00243E57"/>
    <w:rsid w:val="002445C3"/>
    <w:rsid w:val="00244737"/>
    <w:rsid w:val="00244BC8"/>
    <w:rsid w:val="00244C6E"/>
    <w:rsid w:val="00245119"/>
    <w:rsid w:val="0024536A"/>
    <w:rsid w:val="0024557E"/>
    <w:rsid w:val="00246404"/>
    <w:rsid w:val="00246538"/>
    <w:rsid w:val="002469CF"/>
    <w:rsid w:val="002471AB"/>
    <w:rsid w:val="002471FD"/>
    <w:rsid w:val="0024734B"/>
    <w:rsid w:val="002473AE"/>
    <w:rsid w:val="0024768E"/>
    <w:rsid w:val="00247EF1"/>
    <w:rsid w:val="00250596"/>
    <w:rsid w:val="00250A37"/>
    <w:rsid w:val="00251F28"/>
    <w:rsid w:val="00251F2F"/>
    <w:rsid w:val="0025233B"/>
    <w:rsid w:val="002523A9"/>
    <w:rsid w:val="0025262D"/>
    <w:rsid w:val="00252D73"/>
    <w:rsid w:val="00252F40"/>
    <w:rsid w:val="002534F8"/>
    <w:rsid w:val="00253612"/>
    <w:rsid w:val="0025365B"/>
    <w:rsid w:val="00253AA4"/>
    <w:rsid w:val="00253E4C"/>
    <w:rsid w:val="00253FEA"/>
    <w:rsid w:val="00254E6A"/>
    <w:rsid w:val="002551A5"/>
    <w:rsid w:val="002559C7"/>
    <w:rsid w:val="00255A1C"/>
    <w:rsid w:val="0025616A"/>
    <w:rsid w:val="00256ADA"/>
    <w:rsid w:val="00256CBB"/>
    <w:rsid w:val="002614AC"/>
    <w:rsid w:val="00261D31"/>
    <w:rsid w:val="00262355"/>
    <w:rsid w:val="00262414"/>
    <w:rsid w:val="00262DF3"/>
    <w:rsid w:val="002632EA"/>
    <w:rsid w:val="00263339"/>
    <w:rsid w:val="00263CF8"/>
    <w:rsid w:val="00263D69"/>
    <w:rsid w:val="00264854"/>
    <w:rsid w:val="00264D49"/>
    <w:rsid w:val="00264F98"/>
    <w:rsid w:val="00265484"/>
    <w:rsid w:val="002670EF"/>
    <w:rsid w:val="00267A4C"/>
    <w:rsid w:val="0027046B"/>
    <w:rsid w:val="002716BC"/>
    <w:rsid w:val="002717C6"/>
    <w:rsid w:val="0027191B"/>
    <w:rsid w:val="00272010"/>
    <w:rsid w:val="00272026"/>
    <w:rsid w:val="00272198"/>
    <w:rsid w:val="00272E5A"/>
    <w:rsid w:val="00273DCB"/>
    <w:rsid w:val="00274615"/>
    <w:rsid w:val="00274859"/>
    <w:rsid w:val="002753EE"/>
    <w:rsid w:val="00275608"/>
    <w:rsid w:val="00276250"/>
    <w:rsid w:val="00277C15"/>
    <w:rsid w:val="002800FB"/>
    <w:rsid w:val="002804A4"/>
    <w:rsid w:val="00280915"/>
    <w:rsid w:val="00280995"/>
    <w:rsid w:val="002818A5"/>
    <w:rsid w:val="00281C49"/>
    <w:rsid w:val="00282D68"/>
    <w:rsid w:val="002830EB"/>
    <w:rsid w:val="00283ABB"/>
    <w:rsid w:val="00283ACE"/>
    <w:rsid w:val="00284843"/>
    <w:rsid w:val="00284ABA"/>
    <w:rsid w:val="00284BD1"/>
    <w:rsid w:val="0028506A"/>
    <w:rsid w:val="00285091"/>
    <w:rsid w:val="002850B0"/>
    <w:rsid w:val="00285354"/>
    <w:rsid w:val="00285E23"/>
    <w:rsid w:val="00285EA1"/>
    <w:rsid w:val="00286094"/>
    <w:rsid w:val="002863D7"/>
    <w:rsid w:val="00286664"/>
    <w:rsid w:val="00286889"/>
    <w:rsid w:val="00286ADE"/>
    <w:rsid w:val="00287264"/>
    <w:rsid w:val="002873B4"/>
    <w:rsid w:val="0028775D"/>
    <w:rsid w:val="00287EF2"/>
    <w:rsid w:val="00287EFB"/>
    <w:rsid w:val="00287F28"/>
    <w:rsid w:val="002912EF"/>
    <w:rsid w:val="0029175E"/>
    <w:rsid w:val="0029180A"/>
    <w:rsid w:val="00291895"/>
    <w:rsid w:val="00291E1C"/>
    <w:rsid w:val="00292515"/>
    <w:rsid w:val="00292AB5"/>
    <w:rsid w:val="00293590"/>
    <w:rsid w:val="002950A7"/>
    <w:rsid w:val="002950D8"/>
    <w:rsid w:val="00295242"/>
    <w:rsid w:val="00295BB1"/>
    <w:rsid w:val="002964A2"/>
    <w:rsid w:val="00296CAE"/>
    <w:rsid w:val="002A027B"/>
    <w:rsid w:val="002A062F"/>
    <w:rsid w:val="002A0C21"/>
    <w:rsid w:val="002A0F0F"/>
    <w:rsid w:val="002A1292"/>
    <w:rsid w:val="002A12D9"/>
    <w:rsid w:val="002A15A4"/>
    <w:rsid w:val="002A1B76"/>
    <w:rsid w:val="002A24EA"/>
    <w:rsid w:val="002A25FA"/>
    <w:rsid w:val="002A2729"/>
    <w:rsid w:val="002A2B79"/>
    <w:rsid w:val="002A2D1A"/>
    <w:rsid w:val="002A2F50"/>
    <w:rsid w:val="002A35F6"/>
    <w:rsid w:val="002A38F4"/>
    <w:rsid w:val="002A3AC9"/>
    <w:rsid w:val="002A43C2"/>
    <w:rsid w:val="002A4422"/>
    <w:rsid w:val="002A44F4"/>
    <w:rsid w:val="002A47C2"/>
    <w:rsid w:val="002A5631"/>
    <w:rsid w:val="002A5AA7"/>
    <w:rsid w:val="002A5B0F"/>
    <w:rsid w:val="002A5DD2"/>
    <w:rsid w:val="002A5E72"/>
    <w:rsid w:val="002A5F17"/>
    <w:rsid w:val="002A5FA3"/>
    <w:rsid w:val="002A60EA"/>
    <w:rsid w:val="002A64F5"/>
    <w:rsid w:val="002A6FAA"/>
    <w:rsid w:val="002A7CD8"/>
    <w:rsid w:val="002A7FC7"/>
    <w:rsid w:val="002B0317"/>
    <w:rsid w:val="002B0976"/>
    <w:rsid w:val="002B1B65"/>
    <w:rsid w:val="002B21AA"/>
    <w:rsid w:val="002B27B5"/>
    <w:rsid w:val="002B2898"/>
    <w:rsid w:val="002B2B0D"/>
    <w:rsid w:val="002B3084"/>
    <w:rsid w:val="002B338E"/>
    <w:rsid w:val="002B3F3A"/>
    <w:rsid w:val="002B4620"/>
    <w:rsid w:val="002B49C0"/>
    <w:rsid w:val="002B4EB9"/>
    <w:rsid w:val="002B5054"/>
    <w:rsid w:val="002B5730"/>
    <w:rsid w:val="002B5A78"/>
    <w:rsid w:val="002B64E7"/>
    <w:rsid w:val="002C008F"/>
    <w:rsid w:val="002C02DB"/>
    <w:rsid w:val="002C0312"/>
    <w:rsid w:val="002C0466"/>
    <w:rsid w:val="002C0B99"/>
    <w:rsid w:val="002C14F3"/>
    <w:rsid w:val="002C1866"/>
    <w:rsid w:val="002C2453"/>
    <w:rsid w:val="002C26F7"/>
    <w:rsid w:val="002C2C5B"/>
    <w:rsid w:val="002C44DE"/>
    <w:rsid w:val="002C4595"/>
    <w:rsid w:val="002C4664"/>
    <w:rsid w:val="002C526D"/>
    <w:rsid w:val="002C526E"/>
    <w:rsid w:val="002C67DB"/>
    <w:rsid w:val="002C6D2C"/>
    <w:rsid w:val="002C70A0"/>
    <w:rsid w:val="002C7200"/>
    <w:rsid w:val="002C72CD"/>
    <w:rsid w:val="002C7668"/>
    <w:rsid w:val="002C7F1E"/>
    <w:rsid w:val="002D01F4"/>
    <w:rsid w:val="002D0557"/>
    <w:rsid w:val="002D0AD5"/>
    <w:rsid w:val="002D0F3D"/>
    <w:rsid w:val="002D19EA"/>
    <w:rsid w:val="002D24C2"/>
    <w:rsid w:val="002D287E"/>
    <w:rsid w:val="002D2D23"/>
    <w:rsid w:val="002D2D61"/>
    <w:rsid w:val="002D306E"/>
    <w:rsid w:val="002D3D34"/>
    <w:rsid w:val="002D407C"/>
    <w:rsid w:val="002D47B5"/>
    <w:rsid w:val="002D49CE"/>
    <w:rsid w:val="002D5040"/>
    <w:rsid w:val="002D5170"/>
    <w:rsid w:val="002D6B97"/>
    <w:rsid w:val="002D6FB2"/>
    <w:rsid w:val="002D72FC"/>
    <w:rsid w:val="002D772A"/>
    <w:rsid w:val="002D77BF"/>
    <w:rsid w:val="002D7F3F"/>
    <w:rsid w:val="002E282A"/>
    <w:rsid w:val="002E2B87"/>
    <w:rsid w:val="002E2ECF"/>
    <w:rsid w:val="002E3BA9"/>
    <w:rsid w:val="002E3CDC"/>
    <w:rsid w:val="002E40FA"/>
    <w:rsid w:val="002E4AE6"/>
    <w:rsid w:val="002E509C"/>
    <w:rsid w:val="002E5A1B"/>
    <w:rsid w:val="002E6231"/>
    <w:rsid w:val="002E6A3A"/>
    <w:rsid w:val="002E7963"/>
    <w:rsid w:val="002F0815"/>
    <w:rsid w:val="002F0EE5"/>
    <w:rsid w:val="002F13DE"/>
    <w:rsid w:val="002F14CD"/>
    <w:rsid w:val="002F1E3E"/>
    <w:rsid w:val="002F2B4E"/>
    <w:rsid w:val="002F3379"/>
    <w:rsid w:val="002F3CF7"/>
    <w:rsid w:val="002F4645"/>
    <w:rsid w:val="002F4CE1"/>
    <w:rsid w:val="002F50C4"/>
    <w:rsid w:val="002F5E2B"/>
    <w:rsid w:val="002F5E96"/>
    <w:rsid w:val="002F634A"/>
    <w:rsid w:val="002F6BE1"/>
    <w:rsid w:val="002F7764"/>
    <w:rsid w:val="003003AD"/>
    <w:rsid w:val="003004D8"/>
    <w:rsid w:val="0030053D"/>
    <w:rsid w:val="00300893"/>
    <w:rsid w:val="00300D3D"/>
    <w:rsid w:val="00300F22"/>
    <w:rsid w:val="003010BD"/>
    <w:rsid w:val="003013DF"/>
    <w:rsid w:val="00301485"/>
    <w:rsid w:val="0030285E"/>
    <w:rsid w:val="003028B0"/>
    <w:rsid w:val="00302971"/>
    <w:rsid w:val="00302A6E"/>
    <w:rsid w:val="00302AC9"/>
    <w:rsid w:val="00302F71"/>
    <w:rsid w:val="003035E6"/>
    <w:rsid w:val="00303689"/>
    <w:rsid w:val="00303793"/>
    <w:rsid w:val="00303E0D"/>
    <w:rsid w:val="00303F3F"/>
    <w:rsid w:val="00303F59"/>
    <w:rsid w:val="003040C8"/>
    <w:rsid w:val="0030412D"/>
    <w:rsid w:val="003041FA"/>
    <w:rsid w:val="003048AB"/>
    <w:rsid w:val="00304A37"/>
    <w:rsid w:val="00304C84"/>
    <w:rsid w:val="00304DA5"/>
    <w:rsid w:val="00304EC5"/>
    <w:rsid w:val="003050F3"/>
    <w:rsid w:val="003060A7"/>
    <w:rsid w:val="003064F7"/>
    <w:rsid w:val="0030650A"/>
    <w:rsid w:val="003073FF"/>
    <w:rsid w:val="0030767D"/>
    <w:rsid w:val="00307E40"/>
    <w:rsid w:val="0031011F"/>
    <w:rsid w:val="003103CA"/>
    <w:rsid w:val="0031040E"/>
    <w:rsid w:val="0031073C"/>
    <w:rsid w:val="00310922"/>
    <w:rsid w:val="00310E22"/>
    <w:rsid w:val="00310ED4"/>
    <w:rsid w:val="00310FE2"/>
    <w:rsid w:val="00311047"/>
    <w:rsid w:val="003113D5"/>
    <w:rsid w:val="00311DA0"/>
    <w:rsid w:val="0031209B"/>
    <w:rsid w:val="00312301"/>
    <w:rsid w:val="0031305C"/>
    <w:rsid w:val="00313856"/>
    <w:rsid w:val="003139F2"/>
    <w:rsid w:val="00313DD2"/>
    <w:rsid w:val="003140EF"/>
    <w:rsid w:val="003147AA"/>
    <w:rsid w:val="0031492A"/>
    <w:rsid w:val="00314AC2"/>
    <w:rsid w:val="00314DBA"/>
    <w:rsid w:val="00315344"/>
    <w:rsid w:val="0031556D"/>
    <w:rsid w:val="003159B0"/>
    <w:rsid w:val="00316550"/>
    <w:rsid w:val="0031669F"/>
    <w:rsid w:val="00316969"/>
    <w:rsid w:val="00316B63"/>
    <w:rsid w:val="00316C1A"/>
    <w:rsid w:val="0031712B"/>
    <w:rsid w:val="0031785B"/>
    <w:rsid w:val="00317E03"/>
    <w:rsid w:val="00317F51"/>
    <w:rsid w:val="00320009"/>
    <w:rsid w:val="0032000A"/>
    <w:rsid w:val="00320A3D"/>
    <w:rsid w:val="00320B9C"/>
    <w:rsid w:val="00320E56"/>
    <w:rsid w:val="003212EC"/>
    <w:rsid w:val="003217D9"/>
    <w:rsid w:val="00321E22"/>
    <w:rsid w:val="00322262"/>
    <w:rsid w:val="00322294"/>
    <w:rsid w:val="00322889"/>
    <w:rsid w:val="00322D4F"/>
    <w:rsid w:val="00322D7A"/>
    <w:rsid w:val="0032328E"/>
    <w:rsid w:val="00323533"/>
    <w:rsid w:val="00323B24"/>
    <w:rsid w:val="00323C2D"/>
    <w:rsid w:val="00323C55"/>
    <w:rsid w:val="00323C60"/>
    <w:rsid w:val="00323C73"/>
    <w:rsid w:val="00324729"/>
    <w:rsid w:val="00324738"/>
    <w:rsid w:val="00324ADC"/>
    <w:rsid w:val="00325185"/>
    <w:rsid w:val="00325529"/>
    <w:rsid w:val="00325634"/>
    <w:rsid w:val="00326C18"/>
    <w:rsid w:val="00326FA5"/>
    <w:rsid w:val="0032793D"/>
    <w:rsid w:val="003300E6"/>
    <w:rsid w:val="0033067C"/>
    <w:rsid w:val="0033075E"/>
    <w:rsid w:val="00330E7F"/>
    <w:rsid w:val="00331141"/>
    <w:rsid w:val="0033162E"/>
    <w:rsid w:val="00331F7B"/>
    <w:rsid w:val="0033288E"/>
    <w:rsid w:val="00332A13"/>
    <w:rsid w:val="003330BF"/>
    <w:rsid w:val="00333590"/>
    <w:rsid w:val="00333DA9"/>
    <w:rsid w:val="00334907"/>
    <w:rsid w:val="00334C05"/>
    <w:rsid w:val="00334C1A"/>
    <w:rsid w:val="00334DCE"/>
    <w:rsid w:val="00335238"/>
    <w:rsid w:val="00335599"/>
    <w:rsid w:val="00336539"/>
    <w:rsid w:val="003365F4"/>
    <w:rsid w:val="003369F8"/>
    <w:rsid w:val="00336F00"/>
    <w:rsid w:val="00337D4A"/>
    <w:rsid w:val="00337DE4"/>
    <w:rsid w:val="0034013E"/>
    <w:rsid w:val="00340260"/>
    <w:rsid w:val="003407C3"/>
    <w:rsid w:val="0034099A"/>
    <w:rsid w:val="0034110C"/>
    <w:rsid w:val="003417DE"/>
    <w:rsid w:val="00341AF2"/>
    <w:rsid w:val="003423F4"/>
    <w:rsid w:val="00342E90"/>
    <w:rsid w:val="003430D8"/>
    <w:rsid w:val="003437FD"/>
    <w:rsid w:val="00343E87"/>
    <w:rsid w:val="00344758"/>
    <w:rsid w:val="003448FA"/>
    <w:rsid w:val="0034510D"/>
    <w:rsid w:val="003451F9"/>
    <w:rsid w:val="003466AA"/>
    <w:rsid w:val="003469D4"/>
    <w:rsid w:val="00347142"/>
    <w:rsid w:val="0034756C"/>
    <w:rsid w:val="0034787D"/>
    <w:rsid w:val="00350003"/>
    <w:rsid w:val="003506E2"/>
    <w:rsid w:val="00350945"/>
    <w:rsid w:val="00350D1B"/>
    <w:rsid w:val="00350D42"/>
    <w:rsid w:val="00350E70"/>
    <w:rsid w:val="00350FAA"/>
    <w:rsid w:val="00351FE5"/>
    <w:rsid w:val="0035272D"/>
    <w:rsid w:val="003529F0"/>
    <w:rsid w:val="00352CAF"/>
    <w:rsid w:val="00352DA9"/>
    <w:rsid w:val="00352E78"/>
    <w:rsid w:val="003533F7"/>
    <w:rsid w:val="0035379A"/>
    <w:rsid w:val="00353E89"/>
    <w:rsid w:val="0035410A"/>
    <w:rsid w:val="00354FC0"/>
    <w:rsid w:val="00355B03"/>
    <w:rsid w:val="00355C62"/>
    <w:rsid w:val="003562D1"/>
    <w:rsid w:val="003565A8"/>
    <w:rsid w:val="003566EA"/>
    <w:rsid w:val="003567ED"/>
    <w:rsid w:val="00356B97"/>
    <w:rsid w:val="00356EA0"/>
    <w:rsid w:val="0035702E"/>
    <w:rsid w:val="003572A8"/>
    <w:rsid w:val="00357C7C"/>
    <w:rsid w:val="003614F4"/>
    <w:rsid w:val="00362F82"/>
    <w:rsid w:val="00363331"/>
    <w:rsid w:val="003637C7"/>
    <w:rsid w:val="003639A0"/>
    <w:rsid w:val="00364E02"/>
    <w:rsid w:val="00364E1A"/>
    <w:rsid w:val="0036511F"/>
    <w:rsid w:val="0036597C"/>
    <w:rsid w:val="00365A42"/>
    <w:rsid w:val="00365F65"/>
    <w:rsid w:val="003669F9"/>
    <w:rsid w:val="00366DF4"/>
    <w:rsid w:val="00370431"/>
    <w:rsid w:val="00370E9F"/>
    <w:rsid w:val="0037109C"/>
    <w:rsid w:val="0037186B"/>
    <w:rsid w:val="00372424"/>
    <w:rsid w:val="0037299B"/>
    <w:rsid w:val="003729A5"/>
    <w:rsid w:val="00372C79"/>
    <w:rsid w:val="003739BE"/>
    <w:rsid w:val="003739CD"/>
    <w:rsid w:val="00373B2A"/>
    <w:rsid w:val="003742C3"/>
    <w:rsid w:val="0037458E"/>
    <w:rsid w:val="00375F2A"/>
    <w:rsid w:val="0037646D"/>
    <w:rsid w:val="003764BA"/>
    <w:rsid w:val="003764EB"/>
    <w:rsid w:val="00376525"/>
    <w:rsid w:val="003774C4"/>
    <w:rsid w:val="00377540"/>
    <w:rsid w:val="003778C2"/>
    <w:rsid w:val="00380399"/>
    <w:rsid w:val="003805DA"/>
    <w:rsid w:val="00380E49"/>
    <w:rsid w:val="003812F2"/>
    <w:rsid w:val="0038135D"/>
    <w:rsid w:val="003813DD"/>
    <w:rsid w:val="003815A9"/>
    <w:rsid w:val="00381A50"/>
    <w:rsid w:val="00381A9B"/>
    <w:rsid w:val="0038267C"/>
    <w:rsid w:val="00382976"/>
    <w:rsid w:val="00382C54"/>
    <w:rsid w:val="00382F0F"/>
    <w:rsid w:val="003830A0"/>
    <w:rsid w:val="0038311E"/>
    <w:rsid w:val="0038398A"/>
    <w:rsid w:val="003840C7"/>
    <w:rsid w:val="00384508"/>
    <w:rsid w:val="00384D68"/>
    <w:rsid w:val="003855A0"/>
    <w:rsid w:val="00385D82"/>
    <w:rsid w:val="003863DC"/>
    <w:rsid w:val="00386C4C"/>
    <w:rsid w:val="00386EE7"/>
    <w:rsid w:val="00386FF0"/>
    <w:rsid w:val="00387AC7"/>
    <w:rsid w:val="00390469"/>
    <w:rsid w:val="003904AD"/>
    <w:rsid w:val="00390A56"/>
    <w:rsid w:val="00391180"/>
    <w:rsid w:val="003915A1"/>
    <w:rsid w:val="0039247E"/>
    <w:rsid w:val="00392728"/>
    <w:rsid w:val="0039291A"/>
    <w:rsid w:val="00393C0F"/>
    <w:rsid w:val="00393D53"/>
    <w:rsid w:val="0039422E"/>
    <w:rsid w:val="00394254"/>
    <w:rsid w:val="00395807"/>
    <w:rsid w:val="00395E98"/>
    <w:rsid w:val="00396206"/>
    <w:rsid w:val="003967F1"/>
    <w:rsid w:val="0039735A"/>
    <w:rsid w:val="00397820"/>
    <w:rsid w:val="00397ABF"/>
    <w:rsid w:val="003A029E"/>
    <w:rsid w:val="003A108A"/>
    <w:rsid w:val="003A12D2"/>
    <w:rsid w:val="003A1459"/>
    <w:rsid w:val="003A1473"/>
    <w:rsid w:val="003A14A8"/>
    <w:rsid w:val="003A168E"/>
    <w:rsid w:val="003A1CED"/>
    <w:rsid w:val="003A1FDD"/>
    <w:rsid w:val="003A200B"/>
    <w:rsid w:val="003A3901"/>
    <w:rsid w:val="003A3C21"/>
    <w:rsid w:val="003A48B7"/>
    <w:rsid w:val="003A6035"/>
    <w:rsid w:val="003A6099"/>
    <w:rsid w:val="003B0001"/>
    <w:rsid w:val="003B01BF"/>
    <w:rsid w:val="003B0540"/>
    <w:rsid w:val="003B101A"/>
    <w:rsid w:val="003B15FF"/>
    <w:rsid w:val="003B17E4"/>
    <w:rsid w:val="003B21EE"/>
    <w:rsid w:val="003B2672"/>
    <w:rsid w:val="003B2F9D"/>
    <w:rsid w:val="003B3440"/>
    <w:rsid w:val="003B38ED"/>
    <w:rsid w:val="003B3B51"/>
    <w:rsid w:val="003B3D87"/>
    <w:rsid w:val="003B3E94"/>
    <w:rsid w:val="003B4E90"/>
    <w:rsid w:val="003B5354"/>
    <w:rsid w:val="003B53D4"/>
    <w:rsid w:val="003B55C7"/>
    <w:rsid w:val="003B5CB0"/>
    <w:rsid w:val="003B5DE3"/>
    <w:rsid w:val="003B5F5D"/>
    <w:rsid w:val="003B646B"/>
    <w:rsid w:val="003B6516"/>
    <w:rsid w:val="003B65AB"/>
    <w:rsid w:val="003B67A4"/>
    <w:rsid w:val="003B6869"/>
    <w:rsid w:val="003B6CF3"/>
    <w:rsid w:val="003B6D1C"/>
    <w:rsid w:val="003B6D6B"/>
    <w:rsid w:val="003B726C"/>
    <w:rsid w:val="003C0002"/>
    <w:rsid w:val="003C00B9"/>
    <w:rsid w:val="003C0543"/>
    <w:rsid w:val="003C05AA"/>
    <w:rsid w:val="003C0F98"/>
    <w:rsid w:val="003C1658"/>
    <w:rsid w:val="003C1784"/>
    <w:rsid w:val="003C19AA"/>
    <w:rsid w:val="003C1CE0"/>
    <w:rsid w:val="003C21EC"/>
    <w:rsid w:val="003C24DC"/>
    <w:rsid w:val="003C2886"/>
    <w:rsid w:val="003C2AE8"/>
    <w:rsid w:val="003C2BD0"/>
    <w:rsid w:val="003C336B"/>
    <w:rsid w:val="003C3B40"/>
    <w:rsid w:val="003C4E96"/>
    <w:rsid w:val="003C5072"/>
    <w:rsid w:val="003C5E42"/>
    <w:rsid w:val="003C63DA"/>
    <w:rsid w:val="003C66CC"/>
    <w:rsid w:val="003C6CF5"/>
    <w:rsid w:val="003C7479"/>
    <w:rsid w:val="003C7776"/>
    <w:rsid w:val="003C7E30"/>
    <w:rsid w:val="003D18E8"/>
    <w:rsid w:val="003D1BA2"/>
    <w:rsid w:val="003D280D"/>
    <w:rsid w:val="003D296C"/>
    <w:rsid w:val="003D2B5B"/>
    <w:rsid w:val="003D3207"/>
    <w:rsid w:val="003D3381"/>
    <w:rsid w:val="003D392D"/>
    <w:rsid w:val="003D40BE"/>
    <w:rsid w:val="003D42A4"/>
    <w:rsid w:val="003D483D"/>
    <w:rsid w:val="003D4D11"/>
    <w:rsid w:val="003D54F4"/>
    <w:rsid w:val="003D741A"/>
    <w:rsid w:val="003D7A0C"/>
    <w:rsid w:val="003E0469"/>
    <w:rsid w:val="003E0839"/>
    <w:rsid w:val="003E0954"/>
    <w:rsid w:val="003E13AA"/>
    <w:rsid w:val="003E14BE"/>
    <w:rsid w:val="003E1670"/>
    <w:rsid w:val="003E18B3"/>
    <w:rsid w:val="003E2E72"/>
    <w:rsid w:val="003E32F7"/>
    <w:rsid w:val="003E35E4"/>
    <w:rsid w:val="003E3918"/>
    <w:rsid w:val="003E3F4D"/>
    <w:rsid w:val="003E482C"/>
    <w:rsid w:val="003E484B"/>
    <w:rsid w:val="003E4BF2"/>
    <w:rsid w:val="003E5146"/>
    <w:rsid w:val="003E5289"/>
    <w:rsid w:val="003E5DEF"/>
    <w:rsid w:val="003E66A0"/>
    <w:rsid w:val="003E67A6"/>
    <w:rsid w:val="003E6AFB"/>
    <w:rsid w:val="003E6C4A"/>
    <w:rsid w:val="003E6C73"/>
    <w:rsid w:val="003E74AE"/>
    <w:rsid w:val="003E75BD"/>
    <w:rsid w:val="003E7C32"/>
    <w:rsid w:val="003F04B9"/>
    <w:rsid w:val="003F111A"/>
    <w:rsid w:val="003F1163"/>
    <w:rsid w:val="003F12BB"/>
    <w:rsid w:val="003F1723"/>
    <w:rsid w:val="003F2950"/>
    <w:rsid w:val="003F2D94"/>
    <w:rsid w:val="003F3285"/>
    <w:rsid w:val="003F37A4"/>
    <w:rsid w:val="003F4116"/>
    <w:rsid w:val="003F4485"/>
    <w:rsid w:val="003F449E"/>
    <w:rsid w:val="003F44FF"/>
    <w:rsid w:val="003F488F"/>
    <w:rsid w:val="003F4F4B"/>
    <w:rsid w:val="003F5FDB"/>
    <w:rsid w:val="003F611E"/>
    <w:rsid w:val="003F68FF"/>
    <w:rsid w:val="003F7743"/>
    <w:rsid w:val="003F7967"/>
    <w:rsid w:val="003F7A97"/>
    <w:rsid w:val="00400C14"/>
    <w:rsid w:val="00400CE5"/>
    <w:rsid w:val="00401236"/>
    <w:rsid w:val="00401355"/>
    <w:rsid w:val="00401847"/>
    <w:rsid w:val="00401C04"/>
    <w:rsid w:val="00401F64"/>
    <w:rsid w:val="00402A61"/>
    <w:rsid w:val="00402B1E"/>
    <w:rsid w:val="00402D00"/>
    <w:rsid w:val="00402D03"/>
    <w:rsid w:val="0040497E"/>
    <w:rsid w:val="00404C26"/>
    <w:rsid w:val="0040507B"/>
    <w:rsid w:val="00406070"/>
    <w:rsid w:val="00406394"/>
    <w:rsid w:val="00406F90"/>
    <w:rsid w:val="00407217"/>
    <w:rsid w:val="004073DA"/>
    <w:rsid w:val="00407595"/>
    <w:rsid w:val="00407AA2"/>
    <w:rsid w:val="004105B4"/>
    <w:rsid w:val="00410784"/>
    <w:rsid w:val="0041096F"/>
    <w:rsid w:val="004111D4"/>
    <w:rsid w:val="00411868"/>
    <w:rsid w:val="00411F51"/>
    <w:rsid w:val="004126BF"/>
    <w:rsid w:val="004129D6"/>
    <w:rsid w:val="0041318D"/>
    <w:rsid w:val="00413672"/>
    <w:rsid w:val="00413CC9"/>
    <w:rsid w:val="0041438B"/>
    <w:rsid w:val="00415623"/>
    <w:rsid w:val="0041662F"/>
    <w:rsid w:val="00416C91"/>
    <w:rsid w:val="00417A4B"/>
    <w:rsid w:val="00420027"/>
    <w:rsid w:val="0042042C"/>
    <w:rsid w:val="004209D7"/>
    <w:rsid w:val="004211AD"/>
    <w:rsid w:val="004212B0"/>
    <w:rsid w:val="00421653"/>
    <w:rsid w:val="004218BB"/>
    <w:rsid w:val="00421923"/>
    <w:rsid w:val="004221E9"/>
    <w:rsid w:val="00422417"/>
    <w:rsid w:val="004224B5"/>
    <w:rsid w:val="00422D48"/>
    <w:rsid w:val="00423DD1"/>
    <w:rsid w:val="00424233"/>
    <w:rsid w:val="0042475B"/>
    <w:rsid w:val="00424F72"/>
    <w:rsid w:val="004255F8"/>
    <w:rsid w:val="0042752D"/>
    <w:rsid w:val="0042760E"/>
    <w:rsid w:val="00427E3C"/>
    <w:rsid w:val="00427F66"/>
    <w:rsid w:val="00431988"/>
    <w:rsid w:val="00431BE2"/>
    <w:rsid w:val="00431E55"/>
    <w:rsid w:val="00432DE1"/>
    <w:rsid w:val="00433B7E"/>
    <w:rsid w:val="004345C3"/>
    <w:rsid w:val="00435B77"/>
    <w:rsid w:val="00435BC7"/>
    <w:rsid w:val="00435FC0"/>
    <w:rsid w:val="0043657E"/>
    <w:rsid w:val="004366BE"/>
    <w:rsid w:val="0043691A"/>
    <w:rsid w:val="00436E3E"/>
    <w:rsid w:val="00437855"/>
    <w:rsid w:val="00437894"/>
    <w:rsid w:val="004379BD"/>
    <w:rsid w:val="00437BA9"/>
    <w:rsid w:val="00437E87"/>
    <w:rsid w:val="00440B77"/>
    <w:rsid w:val="004410E1"/>
    <w:rsid w:val="004411E2"/>
    <w:rsid w:val="004422A6"/>
    <w:rsid w:val="004426FD"/>
    <w:rsid w:val="00442D15"/>
    <w:rsid w:val="004433A5"/>
    <w:rsid w:val="0044347B"/>
    <w:rsid w:val="004437C1"/>
    <w:rsid w:val="0044380F"/>
    <w:rsid w:val="00443D34"/>
    <w:rsid w:val="004444CD"/>
    <w:rsid w:val="004452CC"/>
    <w:rsid w:val="00445325"/>
    <w:rsid w:val="00445CB5"/>
    <w:rsid w:val="00445DE9"/>
    <w:rsid w:val="00446B58"/>
    <w:rsid w:val="00446BAD"/>
    <w:rsid w:val="00446CD8"/>
    <w:rsid w:val="00450E26"/>
    <w:rsid w:val="00452E2C"/>
    <w:rsid w:val="00454427"/>
    <w:rsid w:val="004544D2"/>
    <w:rsid w:val="004546DA"/>
    <w:rsid w:val="004546F2"/>
    <w:rsid w:val="00454A96"/>
    <w:rsid w:val="00454E39"/>
    <w:rsid w:val="00455520"/>
    <w:rsid w:val="00455A5D"/>
    <w:rsid w:val="00456239"/>
    <w:rsid w:val="00456705"/>
    <w:rsid w:val="00457E50"/>
    <w:rsid w:val="00460B81"/>
    <w:rsid w:val="00460CBA"/>
    <w:rsid w:val="00460EE0"/>
    <w:rsid w:val="004618FA"/>
    <w:rsid w:val="004619E3"/>
    <w:rsid w:val="0046240E"/>
    <w:rsid w:val="00462601"/>
    <w:rsid w:val="004627E9"/>
    <w:rsid w:val="00462D9C"/>
    <w:rsid w:val="0046339E"/>
    <w:rsid w:val="00463605"/>
    <w:rsid w:val="00463B42"/>
    <w:rsid w:val="00464569"/>
    <w:rsid w:val="00464584"/>
    <w:rsid w:val="004645D3"/>
    <w:rsid w:val="00464762"/>
    <w:rsid w:val="00464856"/>
    <w:rsid w:val="00464EA3"/>
    <w:rsid w:val="0046523F"/>
    <w:rsid w:val="004659F2"/>
    <w:rsid w:val="00465BE6"/>
    <w:rsid w:val="00466123"/>
    <w:rsid w:val="004661B3"/>
    <w:rsid w:val="004664CF"/>
    <w:rsid w:val="0047072A"/>
    <w:rsid w:val="0047085D"/>
    <w:rsid w:val="0047086C"/>
    <w:rsid w:val="00470ECF"/>
    <w:rsid w:val="004711AB"/>
    <w:rsid w:val="004711D8"/>
    <w:rsid w:val="0047128D"/>
    <w:rsid w:val="004712FB"/>
    <w:rsid w:val="0047138B"/>
    <w:rsid w:val="00471624"/>
    <w:rsid w:val="00471BB7"/>
    <w:rsid w:val="00471C34"/>
    <w:rsid w:val="004724CC"/>
    <w:rsid w:val="00472762"/>
    <w:rsid w:val="00472795"/>
    <w:rsid w:val="00472C57"/>
    <w:rsid w:val="00472DAE"/>
    <w:rsid w:val="00472EFF"/>
    <w:rsid w:val="00472F77"/>
    <w:rsid w:val="004734FA"/>
    <w:rsid w:val="00473800"/>
    <w:rsid w:val="00473C2E"/>
    <w:rsid w:val="00474063"/>
    <w:rsid w:val="0047423F"/>
    <w:rsid w:val="00475DF2"/>
    <w:rsid w:val="00476793"/>
    <w:rsid w:val="004767F4"/>
    <w:rsid w:val="00477292"/>
    <w:rsid w:val="00477634"/>
    <w:rsid w:val="004804B7"/>
    <w:rsid w:val="00480B60"/>
    <w:rsid w:val="00480FFF"/>
    <w:rsid w:val="0048175A"/>
    <w:rsid w:val="00481B2A"/>
    <w:rsid w:val="00482091"/>
    <w:rsid w:val="00482B8A"/>
    <w:rsid w:val="00482BB5"/>
    <w:rsid w:val="00482FCD"/>
    <w:rsid w:val="00483A58"/>
    <w:rsid w:val="00483F35"/>
    <w:rsid w:val="0048416D"/>
    <w:rsid w:val="00484581"/>
    <w:rsid w:val="0048494B"/>
    <w:rsid w:val="00485135"/>
    <w:rsid w:val="004854FE"/>
    <w:rsid w:val="0048551E"/>
    <w:rsid w:val="00486042"/>
    <w:rsid w:val="0048611E"/>
    <w:rsid w:val="004869C6"/>
    <w:rsid w:val="00487802"/>
    <w:rsid w:val="00487B05"/>
    <w:rsid w:val="00492A9F"/>
    <w:rsid w:val="00492B93"/>
    <w:rsid w:val="00492CF6"/>
    <w:rsid w:val="0049311B"/>
    <w:rsid w:val="004937A2"/>
    <w:rsid w:val="00493A30"/>
    <w:rsid w:val="004940D9"/>
    <w:rsid w:val="004947C1"/>
    <w:rsid w:val="0049484B"/>
    <w:rsid w:val="004950E0"/>
    <w:rsid w:val="00495350"/>
    <w:rsid w:val="00495D56"/>
    <w:rsid w:val="004973CD"/>
    <w:rsid w:val="0049756A"/>
    <w:rsid w:val="004A016E"/>
    <w:rsid w:val="004A027F"/>
    <w:rsid w:val="004A07DF"/>
    <w:rsid w:val="004A094E"/>
    <w:rsid w:val="004A0A2F"/>
    <w:rsid w:val="004A0C63"/>
    <w:rsid w:val="004A187B"/>
    <w:rsid w:val="004A1F4D"/>
    <w:rsid w:val="004A2094"/>
    <w:rsid w:val="004A25F8"/>
    <w:rsid w:val="004A261C"/>
    <w:rsid w:val="004A29A7"/>
    <w:rsid w:val="004A2D33"/>
    <w:rsid w:val="004A2D3C"/>
    <w:rsid w:val="004A324A"/>
    <w:rsid w:val="004A33E0"/>
    <w:rsid w:val="004A351F"/>
    <w:rsid w:val="004A3630"/>
    <w:rsid w:val="004A3739"/>
    <w:rsid w:val="004A3AE3"/>
    <w:rsid w:val="004A4091"/>
    <w:rsid w:val="004A4595"/>
    <w:rsid w:val="004A4D53"/>
    <w:rsid w:val="004A5CE3"/>
    <w:rsid w:val="004A6837"/>
    <w:rsid w:val="004A6A44"/>
    <w:rsid w:val="004A6EE0"/>
    <w:rsid w:val="004A77D5"/>
    <w:rsid w:val="004A7AA9"/>
    <w:rsid w:val="004B0728"/>
    <w:rsid w:val="004B13B6"/>
    <w:rsid w:val="004B14A5"/>
    <w:rsid w:val="004B15CF"/>
    <w:rsid w:val="004B168E"/>
    <w:rsid w:val="004B1C50"/>
    <w:rsid w:val="004B1DD8"/>
    <w:rsid w:val="004B2BBE"/>
    <w:rsid w:val="004B2D23"/>
    <w:rsid w:val="004B2EAC"/>
    <w:rsid w:val="004B30D2"/>
    <w:rsid w:val="004B34D9"/>
    <w:rsid w:val="004B39BE"/>
    <w:rsid w:val="004B6550"/>
    <w:rsid w:val="004B6807"/>
    <w:rsid w:val="004B68A5"/>
    <w:rsid w:val="004B68D4"/>
    <w:rsid w:val="004B6F97"/>
    <w:rsid w:val="004B6FAC"/>
    <w:rsid w:val="004B71B8"/>
    <w:rsid w:val="004C038C"/>
    <w:rsid w:val="004C0532"/>
    <w:rsid w:val="004C1282"/>
    <w:rsid w:val="004C1582"/>
    <w:rsid w:val="004C1670"/>
    <w:rsid w:val="004C1E94"/>
    <w:rsid w:val="004C215A"/>
    <w:rsid w:val="004C22E2"/>
    <w:rsid w:val="004C2751"/>
    <w:rsid w:val="004C3642"/>
    <w:rsid w:val="004C43DC"/>
    <w:rsid w:val="004C4C87"/>
    <w:rsid w:val="004C4FB8"/>
    <w:rsid w:val="004C5AC8"/>
    <w:rsid w:val="004C5EBC"/>
    <w:rsid w:val="004C614A"/>
    <w:rsid w:val="004C6155"/>
    <w:rsid w:val="004C61FE"/>
    <w:rsid w:val="004C6242"/>
    <w:rsid w:val="004C627D"/>
    <w:rsid w:val="004C6508"/>
    <w:rsid w:val="004C66B9"/>
    <w:rsid w:val="004C6EAA"/>
    <w:rsid w:val="004C7391"/>
    <w:rsid w:val="004C7412"/>
    <w:rsid w:val="004D04BF"/>
    <w:rsid w:val="004D09FC"/>
    <w:rsid w:val="004D1298"/>
    <w:rsid w:val="004D1A80"/>
    <w:rsid w:val="004D2521"/>
    <w:rsid w:val="004D3646"/>
    <w:rsid w:val="004D3AC6"/>
    <w:rsid w:val="004D466F"/>
    <w:rsid w:val="004D47FA"/>
    <w:rsid w:val="004D4A88"/>
    <w:rsid w:val="004D4C68"/>
    <w:rsid w:val="004D5489"/>
    <w:rsid w:val="004D5941"/>
    <w:rsid w:val="004D5CBE"/>
    <w:rsid w:val="004D5FA3"/>
    <w:rsid w:val="004D6320"/>
    <w:rsid w:val="004D74D1"/>
    <w:rsid w:val="004D74E3"/>
    <w:rsid w:val="004D76F5"/>
    <w:rsid w:val="004D79D3"/>
    <w:rsid w:val="004E020D"/>
    <w:rsid w:val="004E03D9"/>
    <w:rsid w:val="004E06B7"/>
    <w:rsid w:val="004E06EE"/>
    <w:rsid w:val="004E0C1D"/>
    <w:rsid w:val="004E0DFF"/>
    <w:rsid w:val="004E1093"/>
    <w:rsid w:val="004E16B8"/>
    <w:rsid w:val="004E2271"/>
    <w:rsid w:val="004E25F8"/>
    <w:rsid w:val="004E3539"/>
    <w:rsid w:val="004E36A3"/>
    <w:rsid w:val="004E3B43"/>
    <w:rsid w:val="004E3C6B"/>
    <w:rsid w:val="004E407E"/>
    <w:rsid w:val="004E4A26"/>
    <w:rsid w:val="004E511C"/>
    <w:rsid w:val="004E5148"/>
    <w:rsid w:val="004E587F"/>
    <w:rsid w:val="004E5A5C"/>
    <w:rsid w:val="004E5BB0"/>
    <w:rsid w:val="004E6120"/>
    <w:rsid w:val="004E6201"/>
    <w:rsid w:val="004E74F9"/>
    <w:rsid w:val="004E7C5E"/>
    <w:rsid w:val="004E7E14"/>
    <w:rsid w:val="004E7E22"/>
    <w:rsid w:val="004F0D4E"/>
    <w:rsid w:val="004F10EB"/>
    <w:rsid w:val="004F1724"/>
    <w:rsid w:val="004F1C7C"/>
    <w:rsid w:val="004F1C7F"/>
    <w:rsid w:val="004F25A8"/>
    <w:rsid w:val="004F27C7"/>
    <w:rsid w:val="004F2CA3"/>
    <w:rsid w:val="004F2EB8"/>
    <w:rsid w:val="004F30F6"/>
    <w:rsid w:val="004F3FED"/>
    <w:rsid w:val="004F44E0"/>
    <w:rsid w:val="004F63BE"/>
    <w:rsid w:val="004F6B93"/>
    <w:rsid w:val="004F7101"/>
    <w:rsid w:val="00500FC0"/>
    <w:rsid w:val="005016D0"/>
    <w:rsid w:val="00503D89"/>
    <w:rsid w:val="005043E1"/>
    <w:rsid w:val="00504789"/>
    <w:rsid w:val="00504ED3"/>
    <w:rsid w:val="0050528E"/>
    <w:rsid w:val="00505D9D"/>
    <w:rsid w:val="005066F2"/>
    <w:rsid w:val="0050671F"/>
    <w:rsid w:val="005068E7"/>
    <w:rsid w:val="00506F4F"/>
    <w:rsid w:val="0050701C"/>
    <w:rsid w:val="0050709C"/>
    <w:rsid w:val="00507AD9"/>
    <w:rsid w:val="00507DA2"/>
    <w:rsid w:val="00510390"/>
    <w:rsid w:val="00510B81"/>
    <w:rsid w:val="005112FC"/>
    <w:rsid w:val="005114D8"/>
    <w:rsid w:val="005115C1"/>
    <w:rsid w:val="00511B68"/>
    <w:rsid w:val="005123F0"/>
    <w:rsid w:val="0051301D"/>
    <w:rsid w:val="00513540"/>
    <w:rsid w:val="005138C4"/>
    <w:rsid w:val="00513941"/>
    <w:rsid w:val="005143C7"/>
    <w:rsid w:val="0051469B"/>
    <w:rsid w:val="005146E8"/>
    <w:rsid w:val="00514B0C"/>
    <w:rsid w:val="00515706"/>
    <w:rsid w:val="0051582B"/>
    <w:rsid w:val="00515DE5"/>
    <w:rsid w:val="00516D65"/>
    <w:rsid w:val="00517BD9"/>
    <w:rsid w:val="00517F70"/>
    <w:rsid w:val="005200A7"/>
    <w:rsid w:val="005204FB"/>
    <w:rsid w:val="0052077A"/>
    <w:rsid w:val="00520C54"/>
    <w:rsid w:val="005211AE"/>
    <w:rsid w:val="00521504"/>
    <w:rsid w:val="00521614"/>
    <w:rsid w:val="00521ADF"/>
    <w:rsid w:val="00523159"/>
    <w:rsid w:val="00523263"/>
    <w:rsid w:val="005234CE"/>
    <w:rsid w:val="00523632"/>
    <w:rsid w:val="00523D81"/>
    <w:rsid w:val="00523FB6"/>
    <w:rsid w:val="00523FD3"/>
    <w:rsid w:val="005241D0"/>
    <w:rsid w:val="0052435E"/>
    <w:rsid w:val="005243AB"/>
    <w:rsid w:val="00525203"/>
    <w:rsid w:val="00525DAD"/>
    <w:rsid w:val="005267F6"/>
    <w:rsid w:val="005269F3"/>
    <w:rsid w:val="00527481"/>
    <w:rsid w:val="005276CD"/>
    <w:rsid w:val="00527892"/>
    <w:rsid w:val="00527C1E"/>
    <w:rsid w:val="005301BA"/>
    <w:rsid w:val="0053026D"/>
    <w:rsid w:val="0053051D"/>
    <w:rsid w:val="005308D0"/>
    <w:rsid w:val="005309AB"/>
    <w:rsid w:val="005314D6"/>
    <w:rsid w:val="005317AB"/>
    <w:rsid w:val="0053187A"/>
    <w:rsid w:val="005320A2"/>
    <w:rsid w:val="00532449"/>
    <w:rsid w:val="005324B4"/>
    <w:rsid w:val="005324E0"/>
    <w:rsid w:val="0053282C"/>
    <w:rsid w:val="00532A31"/>
    <w:rsid w:val="005333A8"/>
    <w:rsid w:val="005341A7"/>
    <w:rsid w:val="00534B66"/>
    <w:rsid w:val="00535295"/>
    <w:rsid w:val="00535D51"/>
    <w:rsid w:val="0053603B"/>
    <w:rsid w:val="00536943"/>
    <w:rsid w:val="00536D9C"/>
    <w:rsid w:val="00536E6A"/>
    <w:rsid w:val="00536F99"/>
    <w:rsid w:val="00536FB3"/>
    <w:rsid w:val="00537417"/>
    <w:rsid w:val="0053794C"/>
    <w:rsid w:val="00537E3E"/>
    <w:rsid w:val="00537EAA"/>
    <w:rsid w:val="00540773"/>
    <w:rsid w:val="00540970"/>
    <w:rsid w:val="00540D80"/>
    <w:rsid w:val="00540E42"/>
    <w:rsid w:val="00540FD6"/>
    <w:rsid w:val="00541C44"/>
    <w:rsid w:val="005426FF"/>
    <w:rsid w:val="00542710"/>
    <w:rsid w:val="00542D99"/>
    <w:rsid w:val="00542EB9"/>
    <w:rsid w:val="00543BBC"/>
    <w:rsid w:val="0054484E"/>
    <w:rsid w:val="00544B07"/>
    <w:rsid w:val="005450A2"/>
    <w:rsid w:val="005452F3"/>
    <w:rsid w:val="00545D19"/>
    <w:rsid w:val="00545E19"/>
    <w:rsid w:val="005469D5"/>
    <w:rsid w:val="00546B47"/>
    <w:rsid w:val="00546D6C"/>
    <w:rsid w:val="0054710F"/>
    <w:rsid w:val="005472B0"/>
    <w:rsid w:val="0054759D"/>
    <w:rsid w:val="005500AE"/>
    <w:rsid w:val="00550982"/>
    <w:rsid w:val="00550B38"/>
    <w:rsid w:val="00551598"/>
    <w:rsid w:val="00551602"/>
    <w:rsid w:val="00551899"/>
    <w:rsid w:val="00552316"/>
    <w:rsid w:val="005529BF"/>
    <w:rsid w:val="005534AE"/>
    <w:rsid w:val="0055355C"/>
    <w:rsid w:val="005536FB"/>
    <w:rsid w:val="005546AF"/>
    <w:rsid w:val="00554FEE"/>
    <w:rsid w:val="005560C3"/>
    <w:rsid w:val="005561EB"/>
    <w:rsid w:val="00556310"/>
    <w:rsid w:val="00557549"/>
    <w:rsid w:val="00557B62"/>
    <w:rsid w:val="00560894"/>
    <w:rsid w:val="00561183"/>
    <w:rsid w:val="00562668"/>
    <w:rsid w:val="00562A68"/>
    <w:rsid w:val="005635D3"/>
    <w:rsid w:val="00563B03"/>
    <w:rsid w:val="00564208"/>
    <w:rsid w:val="005643D3"/>
    <w:rsid w:val="00564424"/>
    <w:rsid w:val="0056458E"/>
    <w:rsid w:val="005646F9"/>
    <w:rsid w:val="0056595F"/>
    <w:rsid w:val="00565AC2"/>
    <w:rsid w:val="00565C05"/>
    <w:rsid w:val="00565FA7"/>
    <w:rsid w:val="00565FDD"/>
    <w:rsid w:val="005665A9"/>
    <w:rsid w:val="00566710"/>
    <w:rsid w:val="005671A1"/>
    <w:rsid w:val="00570468"/>
    <w:rsid w:val="00570A42"/>
    <w:rsid w:val="00570E72"/>
    <w:rsid w:val="00571751"/>
    <w:rsid w:val="00571B6F"/>
    <w:rsid w:val="00571CA1"/>
    <w:rsid w:val="00571CEB"/>
    <w:rsid w:val="00572AE3"/>
    <w:rsid w:val="00572B03"/>
    <w:rsid w:val="00573BF2"/>
    <w:rsid w:val="00573C04"/>
    <w:rsid w:val="00574BE2"/>
    <w:rsid w:val="00575864"/>
    <w:rsid w:val="00575BC1"/>
    <w:rsid w:val="00575D24"/>
    <w:rsid w:val="00575D5E"/>
    <w:rsid w:val="00576014"/>
    <w:rsid w:val="00576474"/>
    <w:rsid w:val="0057692B"/>
    <w:rsid w:val="00576C4B"/>
    <w:rsid w:val="00576D04"/>
    <w:rsid w:val="00576FBB"/>
    <w:rsid w:val="00576FEE"/>
    <w:rsid w:val="00577E12"/>
    <w:rsid w:val="00580C09"/>
    <w:rsid w:val="00580C28"/>
    <w:rsid w:val="00580CE9"/>
    <w:rsid w:val="00580D36"/>
    <w:rsid w:val="00580E9B"/>
    <w:rsid w:val="0058214D"/>
    <w:rsid w:val="00582451"/>
    <w:rsid w:val="0058265C"/>
    <w:rsid w:val="00582EF0"/>
    <w:rsid w:val="00584233"/>
    <w:rsid w:val="00586610"/>
    <w:rsid w:val="0058675F"/>
    <w:rsid w:val="00587EC5"/>
    <w:rsid w:val="0059082F"/>
    <w:rsid w:val="00590B4E"/>
    <w:rsid w:val="00591951"/>
    <w:rsid w:val="00592A54"/>
    <w:rsid w:val="00592D2B"/>
    <w:rsid w:val="00593806"/>
    <w:rsid w:val="0059391F"/>
    <w:rsid w:val="00593D77"/>
    <w:rsid w:val="00594557"/>
    <w:rsid w:val="0059601E"/>
    <w:rsid w:val="005967EA"/>
    <w:rsid w:val="005975B0"/>
    <w:rsid w:val="005A041F"/>
    <w:rsid w:val="005A0964"/>
    <w:rsid w:val="005A1242"/>
    <w:rsid w:val="005A1532"/>
    <w:rsid w:val="005A19FA"/>
    <w:rsid w:val="005A1BFD"/>
    <w:rsid w:val="005A1F30"/>
    <w:rsid w:val="005A1FA8"/>
    <w:rsid w:val="005A2089"/>
    <w:rsid w:val="005A2822"/>
    <w:rsid w:val="005A2887"/>
    <w:rsid w:val="005A3790"/>
    <w:rsid w:val="005A4169"/>
    <w:rsid w:val="005A43E2"/>
    <w:rsid w:val="005A49DA"/>
    <w:rsid w:val="005A4C08"/>
    <w:rsid w:val="005A4F07"/>
    <w:rsid w:val="005A5144"/>
    <w:rsid w:val="005A54AB"/>
    <w:rsid w:val="005A57C3"/>
    <w:rsid w:val="005A5C7E"/>
    <w:rsid w:val="005A5DD0"/>
    <w:rsid w:val="005A627C"/>
    <w:rsid w:val="005A642B"/>
    <w:rsid w:val="005A6499"/>
    <w:rsid w:val="005A6B13"/>
    <w:rsid w:val="005A6F3F"/>
    <w:rsid w:val="005A7425"/>
    <w:rsid w:val="005A7C49"/>
    <w:rsid w:val="005B00F2"/>
    <w:rsid w:val="005B042F"/>
    <w:rsid w:val="005B0D72"/>
    <w:rsid w:val="005B1DFE"/>
    <w:rsid w:val="005B210D"/>
    <w:rsid w:val="005B294C"/>
    <w:rsid w:val="005B330E"/>
    <w:rsid w:val="005B340A"/>
    <w:rsid w:val="005B3687"/>
    <w:rsid w:val="005B369A"/>
    <w:rsid w:val="005B36F6"/>
    <w:rsid w:val="005B372C"/>
    <w:rsid w:val="005B4266"/>
    <w:rsid w:val="005B4487"/>
    <w:rsid w:val="005B4839"/>
    <w:rsid w:val="005B4D83"/>
    <w:rsid w:val="005B5110"/>
    <w:rsid w:val="005B5660"/>
    <w:rsid w:val="005B5DFF"/>
    <w:rsid w:val="005B5EF6"/>
    <w:rsid w:val="005B630D"/>
    <w:rsid w:val="005B653A"/>
    <w:rsid w:val="005B6C62"/>
    <w:rsid w:val="005B7439"/>
    <w:rsid w:val="005B7563"/>
    <w:rsid w:val="005B7DAD"/>
    <w:rsid w:val="005C05D5"/>
    <w:rsid w:val="005C095B"/>
    <w:rsid w:val="005C0B0B"/>
    <w:rsid w:val="005C0C21"/>
    <w:rsid w:val="005C0DC2"/>
    <w:rsid w:val="005C2ECF"/>
    <w:rsid w:val="005C3B59"/>
    <w:rsid w:val="005C3C22"/>
    <w:rsid w:val="005C4858"/>
    <w:rsid w:val="005C4E87"/>
    <w:rsid w:val="005C4FB9"/>
    <w:rsid w:val="005C5D41"/>
    <w:rsid w:val="005C7303"/>
    <w:rsid w:val="005C7B98"/>
    <w:rsid w:val="005C7CD6"/>
    <w:rsid w:val="005D0482"/>
    <w:rsid w:val="005D10EE"/>
    <w:rsid w:val="005D14DA"/>
    <w:rsid w:val="005D19B2"/>
    <w:rsid w:val="005D1D88"/>
    <w:rsid w:val="005D1F34"/>
    <w:rsid w:val="005D1F8C"/>
    <w:rsid w:val="005D1FAE"/>
    <w:rsid w:val="005D2517"/>
    <w:rsid w:val="005D26A1"/>
    <w:rsid w:val="005D277D"/>
    <w:rsid w:val="005D280F"/>
    <w:rsid w:val="005D2AE7"/>
    <w:rsid w:val="005D3615"/>
    <w:rsid w:val="005D3815"/>
    <w:rsid w:val="005D383D"/>
    <w:rsid w:val="005D3F97"/>
    <w:rsid w:val="005D4022"/>
    <w:rsid w:val="005D4263"/>
    <w:rsid w:val="005D4816"/>
    <w:rsid w:val="005D4938"/>
    <w:rsid w:val="005D5426"/>
    <w:rsid w:val="005D57AA"/>
    <w:rsid w:val="005D5F05"/>
    <w:rsid w:val="005D6531"/>
    <w:rsid w:val="005D678C"/>
    <w:rsid w:val="005D71EA"/>
    <w:rsid w:val="005D78FA"/>
    <w:rsid w:val="005D7D1E"/>
    <w:rsid w:val="005E0106"/>
    <w:rsid w:val="005E0661"/>
    <w:rsid w:val="005E0812"/>
    <w:rsid w:val="005E127E"/>
    <w:rsid w:val="005E1ACF"/>
    <w:rsid w:val="005E1F7D"/>
    <w:rsid w:val="005E21DF"/>
    <w:rsid w:val="005E2E66"/>
    <w:rsid w:val="005E2FD9"/>
    <w:rsid w:val="005E31E2"/>
    <w:rsid w:val="005E3B77"/>
    <w:rsid w:val="005E3E9A"/>
    <w:rsid w:val="005E44C6"/>
    <w:rsid w:val="005E4F8B"/>
    <w:rsid w:val="005E4F91"/>
    <w:rsid w:val="005E52F5"/>
    <w:rsid w:val="005E57CA"/>
    <w:rsid w:val="005E5C16"/>
    <w:rsid w:val="005E5CA7"/>
    <w:rsid w:val="005E6C64"/>
    <w:rsid w:val="005E70A6"/>
    <w:rsid w:val="005E710C"/>
    <w:rsid w:val="005E736F"/>
    <w:rsid w:val="005E79C1"/>
    <w:rsid w:val="005E7DDB"/>
    <w:rsid w:val="005F030C"/>
    <w:rsid w:val="005F0328"/>
    <w:rsid w:val="005F0779"/>
    <w:rsid w:val="005F0D01"/>
    <w:rsid w:val="005F0E5A"/>
    <w:rsid w:val="005F116E"/>
    <w:rsid w:val="005F119B"/>
    <w:rsid w:val="005F1CF6"/>
    <w:rsid w:val="005F2797"/>
    <w:rsid w:val="005F27B7"/>
    <w:rsid w:val="005F281F"/>
    <w:rsid w:val="005F317D"/>
    <w:rsid w:val="005F379C"/>
    <w:rsid w:val="005F3926"/>
    <w:rsid w:val="005F4C72"/>
    <w:rsid w:val="005F4D87"/>
    <w:rsid w:val="005F4E56"/>
    <w:rsid w:val="005F51CD"/>
    <w:rsid w:val="005F59CF"/>
    <w:rsid w:val="005F7989"/>
    <w:rsid w:val="006003B9"/>
    <w:rsid w:val="0060056E"/>
    <w:rsid w:val="00600E72"/>
    <w:rsid w:val="0060104C"/>
    <w:rsid w:val="0060192E"/>
    <w:rsid w:val="00602586"/>
    <w:rsid w:val="00602731"/>
    <w:rsid w:val="00603569"/>
    <w:rsid w:val="00604382"/>
    <w:rsid w:val="00604DD7"/>
    <w:rsid w:val="00604FA9"/>
    <w:rsid w:val="006056DC"/>
    <w:rsid w:val="0060584D"/>
    <w:rsid w:val="00605927"/>
    <w:rsid w:val="00606A2E"/>
    <w:rsid w:val="00606B73"/>
    <w:rsid w:val="00606D93"/>
    <w:rsid w:val="006071DF"/>
    <w:rsid w:val="00607AE9"/>
    <w:rsid w:val="00610F62"/>
    <w:rsid w:val="00611997"/>
    <w:rsid w:val="00611B9E"/>
    <w:rsid w:val="00611C38"/>
    <w:rsid w:val="00611F13"/>
    <w:rsid w:val="006120C2"/>
    <w:rsid w:val="006127F6"/>
    <w:rsid w:val="00613388"/>
    <w:rsid w:val="006134AF"/>
    <w:rsid w:val="00613C1C"/>
    <w:rsid w:val="00615120"/>
    <w:rsid w:val="0061631F"/>
    <w:rsid w:val="0061667D"/>
    <w:rsid w:val="00616F88"/>
    <w:rsid w:val="006175CE"/>
    <w:rsid w:val="006205AC"/>
    <w:rsid w:val="00621507"/>
    <w:rsid w:val="00621963"/>
    <w:rsid w:val="006219C8"/>
    <w:rsid w:val="00622508"/>
    <w:rsid w:val="00622BC5"/>
    <w:rsid w:val="0062385E"/>
    <w:rsid w:val="00624ECE"/>
    <w:rsid w:val="006259B6"/>
    <w:rsid w:val="00625A91"/>
    <w:rsid w:val="00625BC2"/>
    <w:rsid w:val="00625D0E"/>
    <w:rsid w:val="00625D31"/>
    <w:rsid w:val="00626548"/>
    <w:rsid w:val="00627819"/>
    <w:rsid w:val="00627E3D"/>
    <w:rsid w:val="0063009F"/>
    <w:rsid w:val="006300B6"/>
    <w:rsid w:val="00630253"/>
    <w:rsid w:val="006302C2"/>
    <w:rsid w:val="0063055D"/>
    <w:rsid w:val="00630B7B"/>
    <w:rsid w:val="0063159F"/>
    <w:rsid w:val="00631B52"/>
    <w:rsid w:val="00632472"/>
    <w:rsid w:val="00632A25"/>
    <w:rsid w:val="00633900"/>
    <w:rsid w:val="00633B34"/>
    <w:rsid w:val="00633C08"/>
    <w:rsid w:val="00633E68"/>
    <w:rsid w:val="00634C3B"/>
    <w:rsid w:val="0063563D"/>
    <w:rsid w:val="006356C5"/>
    <w:rsid w:val="0063614D"/>
    <w:rsid w:val="0063716B"/>
    <w:rsid w:val="00637240"/>
    <w:rsid w:val="006400C3"/>
    <w:rsid w:val="00640B74"/>
    <w:rsid w:val="00640D39"/>
    <w:rsid w:val="006420C1"/>
    <w:rsid w:val="006421BD"/>
    <w:rsid w:val="006426A1"/>
    <w:rsid w:val="00642CC9"/>
    <w:rsid w:val="00643347"/>
    <w:rsid w:val="00643589"/>
    <w:rsid w:val="00644D38"/>
    <w:rsid w:val="00644DEE"/>
    <w:rsid w:val="0064592B"/>
    <w:rsid w:val="00645CB4"/>
    <w:rsid w:val="00647385"/>
    <w:rsid w:val="00647527"/>
    <w:rsid w:val="00647542"/>
    <w:rsid w:val="006475E8"/>
    <w:rsid w:val="00650E26"/>
    <w:rsid w:val="006519B6"/>
    <w:rsid w:val="00651CF6"/>
    <w:rsid w:val="006520D2"/>
    <w:rsid w:val="006525F4"/>
    <w:rsid w:val="006535E8"/>
    <w:rsid w:val="0065456E"/>
    <w:rsid w:val="00654793"/>
    <w:rsid w:val="0065529B"/>
    <w:rsid w:val="00655A15"/>
    <w:rsid w:val="00656020"/>
    <w:rsid w:val="0065609B"/>
    <w:rsid w:val="00656178"/>
    <w:rsid w:val="00656A7B"/>
    <w:rsid w:val="0066003F"/>
    <w:rsid w:val="00660322"/>
    <w:rsid w:val="00660984"/>
    <w:rsid w:val="00660C1F"/>
    <w:rsid w:val="00660DAE"/>
    <w:rsid w:val="006613F9"/>
    <w:rsid w:val="00661C9E"/>
    <w:rsid w:val="006630E0"/>
    <w:rsid w:val="0066316A"/>
    <w:rsid w:val="0066339F"/>
    <w:rsid w:val="00663421"/>
    <w:rsid w:val="006638A5"/>
    <w:rsid w:val="00664676"/>
    <w:rsid w:val="00664898"/>
    <w:rsid w:val="00664946"/>
    <w:rsid w:val="00664E6D"/>
    <w:rsid w:val="00665531"/>
    <w:rsid w:val="00665BB0"/>
    <w:rsid w:val="00666A6E"/>
    <w:rsid w:val="00666C51"/>
    <w:rsid w:val="0066708B"/>
    <w:rsid w:val="0066756C"/>
    <w:rsid w:val="00667669"/>
    <w:rsid w:val="00670264"/>
    <w:rsid w:val="00670812"/>
    <w:rsid w:val="006709C2"/>
    <w:rsid w:val="00670A82"/>
    <w:rsid w:val="00670A97"/>
    <w:rsid w:val="00670B23"/>
    <w:rsid w:val="00672A66"/>
    <w:rsid w:val="00673316"/>
    <w:rsid w:val="006736EE"/>
    <w:rsid w:val="006737A9"/>
    <w:rsid w:val="00673895"/>
    <w:rsid w:val="00673901"/>
    <w:rsid w:val="0067409B"/>
    <w:rsid w:val="00674ADB"/>
    <w:rsid w:val="006757DF"/>
    <w:rsid w:val="0067580C"/>
    <w:rsid w:val="00675912"/>
    <w:rsid w:val="006759E4"/>
    <w:rsid w:val="0067635B"/>
    <w:rsid w:val="00676705"/>
    <w:rsid w:val="006772E2"/>
    <w:rsid w:val="0067771A"/>
    <w:rsid w:val="00680057"/>
    <w:rsid w:val="00680E2E"/>
    <w:rsid w:val="006812AA"/>
    <w:rsid w:val="00681343"/>
    <w:rsid w:val="00681557"/>
    <w:rsid w:val="006816A0"/>
    <w:rsid w:val="00682E76"/>
    <w:rsid w:val="006833DA"/>
    <w:rsid w:val="00683A98"/>
    <w:rsid w:val="00683B4A"/>
    <w:rsid w:val="00684C50"/>
    <w:rsid w:val="006864F2"/>
    <w:rsid w:val="00686E84"/>
    <w:rsid w:val="006875D4"/>
    <w:rsid w:val="00690D09"/>
    <w:rsid w:val="006917FA"/>
    <w:rsid w:val="006918D8"/>
    <w:rsid w:val="00692404"/>
    <w:rsid w:val="0069252A"/>
    <w:rsid w:val="0069278F"/>
    <w:rsid w:val="00692D77"/>
    <w:rsid w:val="006933B0"/>
    <w:rsid w:val="00693A17"/>
    <w:rsid w:val="00693B4F"/>
    <w:rsid w:val="00693EA8"/>
    <w:rsid w:val="006941AC"/>
    <w:rsid w:val="0069517D"/>
    <w:rsid w:val="00695823"/>
    <w:rsid w:val="00695946"/>
    <w:rsid w:val="00695A0D"/>
    <w:rsid w:val="00696721"/>
    <w:rsid w:val="00697039"/>
    <w:rsid w:val="006970E4"/>
    <w:rsid w:val="006970E6"/>
    <w:rsid w:val="006A006D"/>
    <w:rsid w:val="006A0107"/>
    <w:rsid w:val="006A0D86"/>
    <w:rsid w:val="006A1CB2"/>
    <w:rsid w:val="006A22A1"/>
    <w:rsid w:val="006A29E3"/>
    <w:rsid w:val="006A2C61"/>
    <w:rsid w:val="006A33EA"/>
    <w:rsid w:val="006A3EFF"/>
    <w:rsid w:val="006A45F5"/>
    <w:rsid w:val="006A4A1F"/>
    <w:rsid w:val="006A4F4A"/>
    <w:rsid w:val="006A5D1A"/>
    <w:rsid w:val="006A6108"/>
    <w:rsid w:val="006A62D6"/>
    <w:rsid w:val="006A68DE"/>
    <w:rsid w:val="006A6A07"/>
    <w:rsid w:val="006A6BB3"/>
    <w:rsid w:val="006A6CB7"/>
    <w:rsid w:val="006A71FB"/>
    <w:rsid w:val="006A720C"/>
    <w:rsid w:val="006A78A6"/>
    <w:rsid w:val="006A791A"/>
    <w:rsid w:val="006A7FFA"/>
    <w:rsid w:val="006B0187"/>
    <w:rsid w:val="006B0F75"/>
    <w:rsid w:val="006B13B1"/>
    <w:rsid w:val="006B1B1C"/>
    <w:rsid w:val="006B25ED"/>
    <w:rsid w:val="006B389E"/>
    <w:rsid w:val="006B3DE1"/>
    <w:rsid w:val="006B4402"/>
    <w:rsid w:val="006B5749"/>
    <w:rsid w:val="006B57BA"/>
    <w:rsid w:val="006B63ED"/>
    <w:rsid w:val="006B6ED9"/>
    <w:rsid w:val="006B7452"/>
    <w:rsid w:val="006B7939"/>
    <w:rsid w:val="006B7C68"/>
    <w:rsid w:val="006C01D2"/>
    <w:rsid w:val="006C02AD"/>
    <w:rsid w:val="006C04AC"/>
    <w:rsid w:val="006C0642"/>
    <w:rsid w:val="006C0E5B"/>
    <w:rsid w:val="006C0F3A"/>
    <w:rsid w:val="006C1571"/>
    <w:rsid w:val="006C1BEB"/>
    <w:rsid w:val="006C1FD6"/>
    <w:rsid w:val="006C21FB"/>
    <w:rsid w:val="006C2553"/>
    <w:rsid w:val="006C2A51"/>
    <w:rsid w:val="006C2BCD"/>
    <w:rsid w:val="006C3A11"/>
    <w:rsid w:val="006C4414"/>
    <w:rsid w:val="006C4DC2"/>
    <w:rsid w:val="006C4E81"/>
    <w:rsid w:val="006C56CC"/>
    <w:rsid w:val="006C5E44"/>
    <w:rsid w:val="006C6017"/>
    <w:rsid w:val="006C67E7"/>
    <w:rsid w:val="006C685A"/>
    <w:rsid w:val="006C6CA3"/>
    <w:rsid w:val="006C6DCA"/>
    <w:rsid w:val="006C72A9"/>
    <w:rsid w:val="006C7678"/>
    <w:rsid w:val="006C7DB7"/>
    <w:rsid w:val="006C7DDB"/>
    <w:rsid w:val="006D007B"/>
    <w:rsid w:val="006D0407"/>
    <w:rsid w:val="006D0CC4"/>
    <w:rsid w:val="006D122F"/>
    <w:rsid w:val="006D1C48"/>
    <w:rsid w:val="006D2395"/>
    <w:rsid w:val="006D2EB1"/>
    <w:rsid w:val="006D3206"/>
    <w:rsid w:val="006D3730"/>
    <w:rsid w:val="006D456B"/>
    <w:rsid w:val="006D4CDD"/>
    <w:rsid w:val="006D4F65"/>
    <w:rsid w:val="006D55F0"/>
    <w:rsid w:val="006D5DD6"/>
    <w:rsid w:val="006D5EE5"/>
    <w:rsid w:val="006D5F4C"/>
    <w:rsid w:val="006D6848"/>
    <w:rsid w:val="006D7A87"/>
    <w:rsid w:val="006E05CE"/>
    <w:rsid w:val="006E0759"/>
    <w:rsid w:val="006E0F42"/>
    <w:rsid w:val="006E11BB"/>
    <w:rsid w:val="006E1838"/>
    <w:rsid w:val="006E225A"/>
    <w:rsid w:val="006E26BB"/>
    <w:rsid w:val="006E2830"/>
    <w:rsid w:val="006E32E9"/>
    <w:rsid w:val="006E3DBA"/>
    <w:rsid w:val="006E4193"/>
    <w:rsid w:val="006E47A9"/>
    <w:rsid w:val="006E49B7"/>
    <w:rsid w:val="006E4CFA"/>
    <w:rsid w:val="006E4D11"/>
    <w:rsid w:val="006E5DAD"/>
    <w:rsid w:val="006E6218"/>
    <w:rsid w:val="006E631A"/>
    <w:rsid w:val="006E6C73"/>
    <w:rsid w:val="006E6D3B"/>
    <w:rsid w:val="006E6E0C"/>
    <w:rsid w:val="006E7307"/>
    <w:rsid w:val="006F0478"/>
    <w:rsid w:val="006F0D72"/>
    <w:rsid w:val="006F0F0F"/>
    <w:rsid w:val="006F11E1"/>
    <w:rsid w:val="006F139D"/>
    <w:rsid w:val="006F178C"/>
    <w:rsid w:val="006F17F5"/>
    <w:rsid w:val="006F2150"/>
    <w:rsid w:val="006F2F4F"/>
    <w:rsid w:val="006F35E6"/>
    <w:rsid w:val="006F365B"/>
    <w:rsid w:val="006F381F"/>
    <w:rsid w:val="006F399F"/>
    <w:rsid w:val="006F3F0C"/>
    <w:rsid w:val="006F3F73"/>
    <w:rsid w:val="006F4571"/>
    <w:rsid w:val="006F4687"/>
    <w:rsid w:val="006F48F3"/>
    <w:rsid w:val="006F4948"/>
    <w:rsid w:val="006F4DA2"/>
    <w:rsid w:val="006F5BA8"/>
    <w:rsid w:val="006F5D36"/>
    <w:rsid w:val="006F6B05"/>
    <w:rsid w:val="006F7FC7"/>
    <w:rsid w:val="00700C7E"/>
    <w:rsid w:val="007010A0"/>
    <w:rsid w:val="00701257"/>
    <w:rsid w:val="007014A6"/>
    <w:rsid w:val="007015FA"/>
    <w:rsid w:val="00701EC4"/>
    <w:rsid w:val="007027F4"/>
    <w:rsid w:val="00702901"/>
    <w:rsid w:val="007035CA"/>
    <w:rsid w:val="0070398E"/>
    <w:rsid w:val="00703AB9"/>
    <w:rsid w:val="00703C1B"/>
    <w:rsid w:val="00704226"/>
    <w:rsid w:val="00704873"/>
    <w:rsid w:val="00705174"/>
    <w:rsid w:val="00705733"/>
    <w:rsid w:val="00705A59"/>
    <w:rsid w:val="00706059"/>
    <w:rsid w:val="00706906"/>
    <w:rsid w:val="00706C61"/>
    <w:rsid w:val="00710783"/>
    <w:rsid w:val="007109E8"/>
    <w:rsid w:val="0071125B"/>
    <w:rsid w:val="00711B22"/>
    <w:rsid w:val="00711DFF"/>
    <w:rsid w:val="00712861"/>
    <w:rsid w:val="007143FA"/>
    <w:rsid w:val="00714785"/>
    <w:rsid w:val="00714788"/>
    <w:rsid w:val="007147C9"/>
    <w:rsid w:val="00714FEF"/>
    <w:rsid w:val="00714FF5"/>
    <w:rsid w:val="0071503E"/>
    <w:rsid w:val="00715078"/>
    <w:rsid w:val="00715219"/>
    <w:rsid w:val="0071587B"/>
    <w:rsid w:val="00715D04"/>
    <w:rsid w:val="00715EB0"/>
    <w:rsid w:val="007161AB"/>
    <w:rsid w:val="007166DB"/>
    <w:rsid w:val="00716BAC"/>
    <w:rsid w:val="00716FCD"/>
    <w:rsid w:val="00717716"/>
    <w:rsid w:val="00717B7E"/>
    <w:rsid w:val="00720763"/>
    <w:rsid w:val="00720CF6"/>
    <w:rsid w:val="007210DD"/>
    <w:rsid w:val="007222F4"/>
    <w:rsid w:val="0072266F"/>
    <w:rsid w:val="00723247"/>
    <w:rsid w:val="007236AA"/>
    <w:rsid w:val="0072394F"/>
    <w:rsid w:val="007239EF"/>
    <w:rsid w:val="00723CA4"/>
    <w:rsid w:val="007240AB"/>
    <w:rsid w:val="007242FC"/>
    <w:rsid w:val="00724427"/>
    <w:rsid w:val="00724F9F"/>
    <w:rsid w:val="0072554A"/>
    <w:rsid w:val="00725AE8"/>
    <w:rsid w:val="00726235"/>
    <w:rsid w:val="007263C5"/>
    <w:rsid w:val="007267A8"/>
    <w:rsid w:val="00727153"/>
    <w:rsid w:val="007272CA"/>
    <w:rsid w:val="00727882"/>
    <w:rsid w:val="00727B30"/>
    <w:rsid w:val="00727F8F"/>
    <w:rsid w:val="00730AAA"/>
    <w:rsid w:val="00730BD2"/>
    <w:rsid w:val="0073107B"/>
    <w:rsid w:val="007317FF"/>
    <w:rsid w:val="00731899"/>
    <w:rsid w:val="00731A6C"/>
    <w:rsid w:val="0073223B"/>
    <w:rsid w:val="00732F3E"/>
    <w:rsid w:val="00733A05"/>
    <w:rsid w:val="00734056"/>
    <w:rsid w:val="00735406"/>
    <w:rsid w:val="007358F0"/>
    <w:rsid w:val="00736454"/>
    <w:rsid w:val="007364E0"/>
    <w:rsid w:val="0073775A"/>
    <w:rsid w:val="00737821"/>
    <w:rsid w:val="00737FF5"/>
    <w:rsid w:val="00740404"/>
    <w:rsid w:val="007406BC"/>
    <w:rsid w:val="0074173F"/>
    <w:rsid w:val="007417BE"/>
    <w:rsid w:val="00741C00"/>
    <w:rsid w:val="00741C22"/>
    <w:rsid w:val="00741EB9"/>
    <w:rsid w:val="00741FB5"/>
    <w:rsid w:val="007428B3"/>
    <w:rsid w:val="00742AD0"/>
    <w:rsid w:val="00743227"/>
    <w:rsid w:val="0074328F"/>
    <w:rsid w:val="0074366C"/>
    <w:rsid w:val="00743FD1"/>
    <w:rsid w:val="00744408"/>
    <w:rsid w:val="00746478"/>
    <w:rsid w:val="00747045"/>
    <w:rsid w:val="00747329"/>
    <w:rsid w:val="007478AF"/>
    <w:rsid w:val="00751E87"/>
    <w:rsid w:val="007521FD"/>
    <w:rsid w:val="007525E7"/>
    <w:rsid w:val="007529A4"/>
    <w:rsid w:val="007529AD"/>
    <w:rsid w:val="00752F06"/>
    <w:rsid w:val="007531C1"/>
    <w:rsid w:val="00753231"/>
    <w:rsid w:val="00753ACF"/>
    <w:rsid w:val="00753CD0"/>
    <w:rsid w:val="007540BF"/>
    <w:rsid w:val="00754274"/>
    <w:rsid w:val="007542C7"/>
    <w:rsid w:val="00754632"/>
    <w:rsid w:val="00754782"/>
    <w:rsid w:val="00754B62"/>
    <w:rsid w:val="00754C73"/>
    <w:rsid w:val="00754EF2"/>
    <w:rsid w:val="007550DF"/>
    <w:rsid w:val="007559CE"/>
    <w:rsid w:val="00755D84"/>
    <w:rsid w:val="007560C6"/>
    <w:rsid w:val="007565B8"/>
    <w:rsid w:val="0075723E"/>
    <w:rsid w:val="0075797D"/>
    <w:rsid w:val="00757F26"/>
    <w:rsid w:val="00760943"/>
    <w:rsid w:val="007609A2"/>
    <w:rsid w:val="00760AB1"/>
    <w:rsid w:val="0076145A"/>
    <w:rsid w:val="00761512"/>
    <w:rsid w:val="0076152F"/>
    <w:rsid w:val="00761BBF"/>
    <w:rsid w:val="00761D66"/>
    <w:rsid w:val="00761E50"/>
    <w:rsid w:val="0076278F"/>
    <w:rsid w:val="00762845"/>
    <w:rsid w:val="0076340C"/>
    <w:rsid w:val="0076353E"/>
    <w:rsid w:val="007637A8"/>
    <w:rsid w:val="0076398A"/>
    <w:rsid w:val="00764657"/>
    <w:rsid w:val="00764A5A"/>
    <w:rsid w:val="00764BD2"/>
    <w:rsid w:val="00765B58"/>
    <w:rsid w:val="00765B96"/>
    <w:rsid w:val="00765F09"/>
    <w:rsid w:val="007660F9"/>
    <w:rsid w:val="00766B34"/>
    <w:rsid w:val="00767555"/>
    <w:rsid w:val="00767A0B"/>
    <w:rsid w:val="00770B14"/>
    <w:rsid w:val="00770B50"/>
    <w:rsid w:val="00770DCB"/>
    <w:rsid w:val="00770EAD"/>
    <w:rsid w:val="00771784"/>
    <w:rsid w:val="00773212"/>
    <w:rsid w:val="007733A5"/>
    <w:rsid w:val="00773EC6"/>
    <w:rsid w:val="00774497"/>
    <w:rsid w:val="00774543"/>
    <w:rsid w:val="00774593"/>
    <w:rsid w:val="00774F5D"/>
    <w:rsid w:val="0077534E"/>
    <w:rsid w:val="00775485"/>
    <w:rsid w:val="00775D86"/>
    <w:rsid w:val="00776177"/>
    <w:rsid w:val="00776832"/>
    <w:rsid w:val="007773C5"/>
    <w:rsid w:val="00777485"/>
    <w:rsid w:val="0077754E"/>
    <w:rsid w:val="00777794"/>
    <w:rsid w:val="007800A2"/>
    <w:rsid w:val="00780138"/>
    <w:rsid w:val="007806C4"/>
    <w:rsid w:val="0078075E"/>
    <w:rsid w:val="00780763"/>
    <w:rsid w:val="00780A61"/>
    <w:rsid w:val="00780C66"/>
    <w:rsid w:val="00780D1F"/>
    <w:rsid w:val="00781B5A"/>
    <w:rsid w:val="00781B9A"/>
    <w:rsid w:val="0078219B"/>
    <w:rsid w:val="00782288"/>
    <w:rsid w:val="007831DE"/>
    <w:rsid w:val="0078351B"/>
    <w:rsid w:val="00783532"/>
    <w:rsid w:val="007840BF"/>
    <w:rsid w:val="007846B5"/>
    <w:rsid w:val="00784B0E"/>
    <w:rsid w:val="00784EDD"/>
    <w:rsid w:val="007858F4"/>
    <w:rsid w:val="00786069"/>
    <w:rsid w:val="00786429"/>
    <w:rsid w:val="00786455"/>
    <w:rsid w:val="007868A4"/>
    <w:rsid w:val="00786A13"/>
    <w:rsid w:val="00786A4E"/>
    <w:rsid w:val="00786BDD"/>
    <w:rsid w:val="00786F27"/>
    <w:rsid w:val="00786FC6"/>
    <w:rsid w:val="00787A00"/>
    <w:rsid w:val="00787CC5"/>
    <w:rsid w:val="00787F9A"/>
    <w:rsid w:val="007900E9"/>
    <w:rsid w:val="007910B7"/>
    <w:rsid w:val="0079110F"/>
    <w:rsid w:val="00791658"/>
    <w:rsid w:val="00791BE0"/>
    <w:rsid w:val="007920FB"/>
    <w:rsid w:val="00792873"/>
    <w:rsid w:val="00792AB1"/>
    <w:rsid w:val="00793702"/>
    <w:rsid w:val="00793781"/>
    <w:rsid w:val="00793FF9"/>
    <w:rsid w:val="007943BE"/>
    <w:rsid w:val="00794E17"/>
    <w:rsid w:val="00795CFC"/>
    <w:rsid w:val="00795E5B"/>
    <w:rsid w:val="007967BC"/>
    <w:rsid w:val="00796F51"/>
    <w:rsid w:val="00797125"/>
    <w:rsid w:val="00797FF5"/>
    <w:rsid w:val="007A01AA"/>
    <w:rsid w:val="007A0563"/>
    <w:rsid w:val="007A1106"/>
    <w:rsid w:val="007A1A2E"/>
    <w:rsid w:val="007A2296"/>
    <w:rsid w:val="007A24F0"/>
    <w:rsid w:val="007A29EC"/>
    <w:rsid w:val="007A31D2"/>
    <w:rsid w:val="007A408B"/>
    <w:rsid w:val="007A44AA"/>
    <w:rsid w:val="007A470C"/>
    <w:rsid w:val="007A48C1"/>
    <w:rsid w:val="007A4A4E"/>
    <w:rsid w:val="007A6777"/>
    <w:rsid w:val="007A67DB"/>
    <w:rsid w:val="007A67EC"/>
    <w:rsid w:val="007A6AE5"/>
    <w:rsid w:val="007A7447"/>
    <w:rsid w:val="007B017E"/>
    <w:rsid w:val="007B0337"/>
    <w:rsid w:val="007B06EA"/>
    <w:rsid w:val="007B07D8"/>
    <w:rsid w:val="007B0F95"/>
    <w:rsid w:val="007B1969"/>
    <w:rsid w:val="007B2912"/>
    <w:rsid w:val="007B2BF7"/>
    <w:rsid w:val="007B2E1D"/>
    <w:rsid w:val="007B2F94"/>
    <w:rsid w:val="007B3160"/>
    <w:rsid w:val="007B3CE4"/>
    <w:rsid w:val="007B4081"/>
    <w:rsid w:val="007B42F8"/>
    <w:rsid w:val="007B52A1"/>
    <w:rsid w:val="007B564A"/>
    <w:rsid w:val="007B5AD6"/>
    <w:rsid w:val="007B63AB"/>
    <w:rsid w:val="007B65D4"/>
    <w:rsid w:val="007B6808"/>
    <w:rsid w:val="007B6AC9"/>
    <w:rsid w:val="007B6BD0"/>
    <w:rsid w:val="007B7041"/>
    <w:rsid w:val="007C0448"/>
    <w:rsid w:val="007C0907"/>
    <w:rsid w:val="007C0BB8"/>
    <w:rsid w:val="007C1050"/>
    <w:rsid w:val="007C106E"/>
    <w:rsid w:val="007C1B2B"/>
    <w:rsid w:val="007C1CBD"/>
    <w:rsid w:val="007C2311"/>
    <w:rsid w:val="007C2AFA"/>
    <w:rsid w:val="007C2FE7"/>
    <w:rsid w:val="007C30EA"/>
    <w:rsid w:val="007C3975"/>
    <w:rsid w:val="007C3C3E"/>
    <w:rsid w:val="007C4347"/>
    <w:rsid w:val="007C532E"/>
    <w:rsid w:val="007C58FA"/>
    <w:rsid w:val="007C5E63"/>
    <w:rsid w:val="007C6156"/>
    <w:rsid w:val="007C61BF"/>
    <w:rsid w:val="007C6A7D"/>
    <w:rsid w:val="007C70E8"/>
    <w:rsid w:val="007C783B"/>
    <w:rsid w:val="007C7A55"/>
    <w:rsid w:val="007C7A9C"/>
    <w:rsid w:val="007D0253"/>
    <w:rsid w:val="007D0348"/>
    <w:rsid w:val="007D034E"/>
    <w:rsid w:val="007D080C"/>
    <w:rsid w:val="007D1039"/>
    <w:rsid w:val="007D1CDB"/>
    <w:rsid w:val="007D290B"/>
    <w:rsid w:val="007D2B6B"/>
    <w:rsid w:val="007D2F00"/>
    <w:rsid w:val="007D3196"/>
    <w:rsid w:val="007D3325"/>
    <w:rsid w:val="007D37D9"/>
    <w:rsid w:val="007D3FB7"/>
    <w:rsid w:val="007D437E"/>
    <w:rsid w:val="007D4D3F"/>
    <w:rsid w:val="007D4E38"/>
    <w:rsid w:val="007D52C8"/>
    <w:rsid w:val="007D5706"/>
    <w:rsid w:val="007D58B3"/>
    <w:rsid w:val="007D599D"/>
    <w:rsid w:val="007D5B5A"/>
    <w:rsid w:val="007D646D"/>
    <w:rsid w:val="007D6FEA"/>
    <w:rsid w:val="007D745B"/>
    <w:rsid w:val="007D7AFB"/>
    <w:rsid w:val="007D7B97"/>
    <w:rsid w:val="007E0392"/>
    <w:rsid w:val="007E05E6"/>
    <w:rsid w:val="007E0C7B"/>
    <w:rsid w:val="007E0DC0"/>
    <w:rsid w:val="007E1271"/>
    <w:rsid w:val="007E1C48"/>
    <w:rsid w:val="007E2353"/>
    <w:rsid w:val="007E2B94"/>
    <w:rsid w:val="007E37F6"/>
    <w:rsid w:val="007E3A1A"/>
    <w:rsid w:val="007E4498"/>
    <w:rsid w:val="007E465C"/>
    <w:rsid w:val="007E5B88"/>
    <w:rsid w:val="007E683E"/>
    <w:rsid w:val="007E703A"/>
    <w:rsid w:val="007E75C6"/>
    <w:rsid w:val="007F0C1B"/>
    <w:rsid w:val="007F0D0B"/>
    <w:rsid w:val="007F0E29"/>
    <w:rsid w:val="007F125B"/>
    <w:rsid w:val="007F16D7"/>
    <w:rsid w:val="007F204F"/>
    <w:rsid w:val="007F2395"/>
    <w:rsid w:val="007F3545"/>
    <w:rsid w:val="007F44C8"/>
    <w:rsid w:val="007F4577"/>
    <w:rsid w:val="007F46B1"/>
    <w:rsid w:val="007F54E0"/>
    <w:rsid w:val="007F5639"/>
    <w:rsid w:val="007F7154"/>
    <w:rsid w:val="007F7432"/>
    <w:rsid w:val="00800426"/>
    <w:rsid w:val="008007A8"/>
    <w:rsid w:val="008010F8"/>
    <w:rsid w:val="0080157C"/>
    <w:rsid w:val="00801C7F"/>
    <w:rsid w:val="00801EDC"/>
    <w:rsid w:val="008020DB"/>
    <w:rsid w:val="008024D4"/>
    <w:rsid w:val="008028FE"/>
    <w:rsid w:val="00802BE6"/>
    <w:rsid w:val="00802FB3"/>
    <w:rsid w:val="008030B4"/>
    <w:rsid w:val="008036CA"/>
    <w:rsid w:val="00803AFC"/>
    <w:rsid w:val="00803F05"/>
    <w:rsid w:val="008042D9"/>
    <w:rsid w:val="0080437B"/>
    <w:rsid w:val="00805212"/>
    <w:rsid w:val="00805691"/>
    <w:rsid w:val="00805ED8"/>
    <w:rsid w:val="008066F1"/>
    <w:rsid w:val="00806C5B"/>
    <w:rsid w:val="00807911"/>
    <w:rsid w:val="00807B2C"/>
    <w:rsid w:val="00807B5B"/>
    <w:rsid w:val="00807FBE"/>
    <w:rsid w:val="0081055B"/>
    <w:rsid w:val="0081076F"/>
    <w:rsid w:val="0081201F"/>
    <w:rsid w:val="00812329"/>
    <w:rsid w:val="008127C2"/>
    <w:rsid w:val="0081290F"/>
    <w:rsid w:val="00812EFD"/>
    <w:rsid w:val="00813158"/>
    <w:rsid w:val="0081360D"/>
    <w:rsid w:val="00813A14"/>
    <w:rsid w:val="00813A2A"/>
    <w:rsid w:val="00813DED"/>
    <w:rsid w:val="008143EA"/>
    <w:rsid w:val="00814470"/>
    <w:rsid w:val="008147D3"/>
    <w:rsid w:val="008148D5"/>
    <w:rsid w:val="00814FC0"/>
    <w:rsid w:val="0081503C"/>
    <w:rsid w:val="008150EC"/>
    <w:rsid w:val="008151F6"/>
    <w:rsid w:val="008154DF"/>
    <w:rsid w:val="00815ABC"/>
    <w:rsid w:val="00815B52"/>
    <w:rsid w:val="00815C6D"/>
    <w:rsid w:val="00815FDE"/>
    <w:rsid w:val="008161C5"/>
    <w:rsid w:val="00816BF2"/>
    <w:rsid w:val="00817240"/>
    <w:rsid w:val="0081786D"/>
    <w:rsid w:val="00817C73"/>
    <w:rsid w:val="00817DCC"/>
    <w:rsid w:val="0082134E"/>
    <w:rsid w:val="0082135F"/>
    <w:rsid w:val="0082160C"/>
    <w:rsid w:val="00821BFC"/>
    <w:rsid w:val="00821E9A"/>
    <w:rsid w:val="008220AB"/>
    <w:rsid w:val="008224BD"/>
    <w:rsid w:val="00822551"/>
    <w:rsid w:val="00822C3B"/>
    <w:rsid w:val="00822C3D"/>
    <w:rsid w:val="00823005"/>
    <w:rsid w:val="008232F2"/>
    <w:rsid w:val="008233BA"/>
    <w:rsid w:val="008235DE"/>
    <w:rsid w:val="008242F3"/>
    <w:rsid w:val="00824A9B"/>
    <w:rsid w:val="008253C1"/>
    <w:rsid w:val="00825E01"/>
    <w:rsid w:val="00825F2F"/>
    <w:rsid w:val="008260C4"/>
    <w:rsid w:val="00826DF6"/>
    <w:rsid w:val="0082747C"/>
    <w:rsid w:val="0082774B"/>
    <w:rsid w:val="00827755"/>
    <w:rsid w:val="00827958"/>
    <w:rsid w:val="00830858"/>
    <w:rsid w:val="00830929"/>
    <w:rsid w:val="00831390"/>
    <w:rsid w:val="00831F33"/>
    <w:rsid w:val="0083246C"/>
    <w:rsid w:val="00832B86"/>
    <w:rsid w:val="00833A1E"/>
    <w:rsid w:val="00834056"/>
    <w:rsid w:val="008346EA"/>
    <w:rsid w:val="00834A69"/>
    <w:rsid w:val="00834EFA"/>
    <w:rsid w:val="008358F1"/>
    <w:rsid w:val="0083610C"/>
    <w:rsid w:val="00836837"/>
    <w:rsid w:val="00836CF6"/>
    <w:rsid w:val="008373B3"/>
    <w:rsid w:val="0084037D"/>
    <w:rsid w:val="00840B24"/>
    <w:rsid w:val="00841FA0"/>
    <w:rsid w:val="008424E3"/>
    <w:rsid w:val="00842939"/>
    <w:rsid w:val="00842A3A"/>
    <w:rsid w:val="008437C7"/>
    <w:rsid w:val="00843958"/>
    <w:rsid w:val="0084457A"/>
    <w:rsid w:val="008449B9"/>
    <w:rsid w:val="00844BFE"/>
    <w:rsid w:val="00845885"/>
    <w:rsid w:val="008458E0"/>
    <w:rsid w:val="0084616D"/>
    <w:rsid w:val="00846198"/>
    <w:rsid w:val="00846648"/>
    <w:rsid w:val="00846770"/>
    <w:rsid w:val="00846954"/>
    <w:rsid w:val="00846CB8"/>
    <w:rsid w:val="00847191"/>
    <w:rsid w:val="00847220"/>
    <w:rsid w:val="008475D4"/>
    <w:rsid w:val="008475E4"/>
    <w:rsid w:val="00847837"/>
    <w:rsid w:val="008478C6"/>
    <w:rsid w:val="00847A6C"/>
    <w:rsid w:val="00847C28"/>
    <w:rsid w:val="00847E3B"/>
    <w:rsid w:val="0085030B"/>
    <w:rsid w:val="008504B6"/>
    <w:rsid w:val="00850857"/>
    <w:rsid w:val="00850BB6"/>
    <w:rsid w:val="00850DFE"/>
    <w:rsid w:val="00850E25"/>
    <w:rsid w:val="00851A3C"/>
    <w:rsid w:val="00852C22"/>
    <w:rsid w:val="0085327A"/>
    <w:rsid w:val="008532BA"/>
    <w:rsid w:val="008534A8"/>
    <w:rsid w:val="008535D1"/>
    <w:rsid w:val="00854552"/>
    <w:rsid w:val="00854F07"/>
    <w:rsid w:val="0085569A"/>
    <w:rsid w:val="008557C1"/>
    <w:rsid w:val="00856726"/>
    <w:rsid w:val="0085690C"/>
    <w:rsid w:val="00856CE6"/>
    <w:rsid w:val="00856EA4"/>
    <w:rsid w:val="008574DB"/>
    <w:rsid w:val="008604D9"/>
    <w:rsid w:val="00860852"/>
    <w:rsid w:val="00860CBC"/>
    <w:rsid w:val="008615DB"/>
    <w:rsid w:val="008615F9"/>
    <w:rsid w:val="0086180B"/>
    <w:rsid w:val="00861B8D"/>
    <w:rsid w:val="00861BB8"/>
    <w:rsid w:val="00861F85"/>
    <w:rsid w:val="0086254F"/>
    <w:rsid w:val="00862CA0"/>
    <w:rsid w:val="00862D69"/>
    <w:rsid w:val="00862D80"/>
    <w:rsid w:val="008631DD"/>
    <w:rsid w:val="00863415"/>
    <w:rsid w:val="008638C7"/>
    <w:rsid w:val="008643D4"/>
    <w:rsid w:val="00864571"/>
    <w:rsid w:val="008645B6"/>
    <w:rsid w:val="00864C4B"/>
    <w:rsid w:val="0086558C"/>
    <w:rsid w:val="008655BB"/>
    <w:rsid w:val="0086586D"/>
    <w:rsid w:val="00865991"/>
    <w:rsid w:val="00865AAF"/>
    <w:rsid w:val="00865D29"/>
    <w:rsid w:val="008662DC"/>
    <w:rsid w:val="008665BC"/>
    <w:rsid w:val="008668BD"/>
    <w:rsid w:val="00867348"/>
    <w:rsid w:val="00867435"/>
    <w:rsid w:val="00867583"/>
    <w:rsid w:val="00870309"/>
    <w:rsid w:val="0087082E"/>
    <w:rsid w:val="00871739"/>
    <w:rsid w:val="00872037"/>
    <w:rsid w:val="008721CF"/>
    <w:rsid w:val="008724DE"/>
    <w:rsid w:val="00873D60"/>
    <w:rsid w:val="00873ECC"/>
    <w:rsid w:val="008744F9"/>
    <w:rsid w:val="008755A9"/>
    <w:rsid w:val="008758D9"/>
    <w:rsid w:val="00875FA0"/>
    <w:rsid w:val="0087660C"/>
    <w:rsid w:val="00876B69"/>
    <w:rsid w:val="0087712F"/>
    <w:rsid w:val="00877376"/>
    <w:rsid w:val="0087766E"/>
    <w:rsid w:val="00877AF0"/>
    <w:rsid w:val="00877B46"/>
    <w:rsid w:val="00877B6F"/>
    <w:rsid w:val="008801DC"/>
    <w:rsid w:val="00880815"/>
    <w:rsid w:val="00880CCF"/>
    <w:rsid w:val="00881154"/>
    <w:rsid w:val="00881796"/>
    <w:rsid w:val="00882410"/>
    <w:rsid w:val="0088246E"/>
    <w:rsid w:val="00882546"/>
    <w:rsid w:val="008825D5"/>
    <w:rsid w:val="00882B0A"/>
    <w:rsid w:val="00882FA8"/>
    <w:rsid w:val="00883093"/>
    <w:rsid w:val="0088313B"/>
    <w:rsid w:val="0088315B"/>
    <w:rsid w:val="00883662"/>
    <w:rsid w:val="0088380B"/>
    <w:rsid w:val="00884826"/>
    <w:rsid w:val="00884FD7"/>
    <w:rsid w:val="00885004"/>
    <w:rsid w:val="0088520C"/>
    <w:rsid w:val="00885CC6"/>
    <w:rsid w:val="008871E3"/>
    <w:rsid w:val="008875E2"/>
    <w:rsid w:val="00887701"/>
    <w:rsid w:val="00887AF8"/>
    <w:rsid w:val="00887C81"/>
    <w:rsid w:val="00887CF0"/>
    <w:rsid w:val="0089075A"/>
    <w:rsid w:val="008911AC"/>
    <w:rsid w:val="00891255"/>
    <w:rsid w:val="0089136D"/>
    <w:rsid w:val="00891865"/>
    <w:rsid w:val="00891C40"/>
    <w:rsid w:val="00891DEB"/>
    <w:rsid w:val="00891E34"/>
    <w:rsid w:val="00892CB5"/>
    <w:rsid w:val="00892EE9"/>
    <w:rsid w:val="00892F98"/>
    <w:rsid w:val="00893A58"/>
    <w:rsid w:val="0089435C"/>
    <w:rsid w:val="00894726"/>
    <w:rsid w:val="008950D1"/>
    <w:rsid w:val="00895170"/>
    <w:rsid w:val="00895256"/>
    <w:rsid w:val="008956F2"/>
    <w:rsid w:val="008957E8"/>
    <w:rsid w:val="00895B9B"/>
    <w:rsid w:val="00895BF2"/>
    <w:rsid w:val="00896620"/>
    <w:rsid w:val="0089674E"/>
    <w:rsid w:val="008973A7"/>
    <w:rsid w:val="008975FD"/>
    <w:rsid w:val="008A0CF2"/>
    <w:rsid w:val="008A0E32"/>
    <w:rsid w:val="008A1491"/>
    <w:rsid w:val="008A1597"/>
    <w:rsid w:val="008A168C"/>
    <w:rsid w:val="008A1747"/>
    <w:rsid w:val="008A1787"/>
    <w:rsid w:val="008A1C3E"/>
    <w:rsid w:val="008A201A"/>
    <w:rsid w:val="008A2238"/>
    <w:rsid w:val="008A2CF5"/>
    <w:rsid w:val="008A3B72"/>
    <w:rsid w:val="008A3D57"/>
    <w:rsid w:val="008A3FAE"/>
    <w:rsid w:val="008A4158"/>
    <w:rsid w:val="008A4D42"/>
    <w:rsid w:val="008A4FEE"/>
    <w:rsid w:val="008A55C1"/>
    <w:rsid w:val="008A571B"/>
    <w:rsid w:val="008A5B9E"/>
    <w:rsid w:val="008A66A2"/>
    <w:rsid w:val="008A6BFD"/>
    <w:rsid w:val="008A6DA0"/>
    <w:rsid w:val="008A6EB3"/>
    <w:rsid w:val="008A7610"/>
    <w:rsid w:val="008B01FC"/>
    <w:rsid w:val="008B0BC2"/>
    <w:rsid w:val="008B14F3"/>
    <w:rsid w:val="008B1740"/>
    <w:rsid w:val="008B1A73"/>
    <w:rsid w:val="008B1B6E"/>
    <w:rsid w:val="008B2097"/>
    <w:rsid w:val="008B23BC"/>
    <w:rsid w:val="008B2619"/>
    <w:rsid w:val="008B26AC"/>
    <w:rsid w:val="008B2D7A"/>
    <w:rsid w:val="008B2F59"/>
    <w:rsid w:val="008B3484"/>
    <w:rsid w:val="008B3899"/>
    <w:rsid w:val="008B3D82"/>
    <w:rsid w:val="008B3D87"/>
    <w:rsid w:val="008B4643"/>
    <w:rsid w:val="008B480C"/>
    <w:rsid w:val="008B5652"/>
    <w:rsid w:val="008B6AC2"/>
    <w:rsid w:val="008B6EF7"/>
    <w:rsid w:val="008B72D3"/>
    <w:rsid w:val="008B755C"/>
    <w:rsid w:val="008B7D58"/>
    <w:rsid w:val="008C027B"/>
    <w:rsid w:val="008C1A99"/>
    <w:rsid w:val="008C2B3D"/>
    <w:rsid w:val="008C2BB0"/>
    <w:rsid w:val="008C3A4E"/>
    <w:rsid w:val="008C3BA7"/>
    <w:rsid w:val="008C41DE"/>
    <w:rsid w:val="008C480A"/>
    <w:rsid w:val="008C4883"/>
    <w:rsid w:val="008C4B67"/>
    <w:rsid w:val="008C606B"/>
    <w:rsid w:val="008C6184"/>
    <w:rsid w:val="008C61F9"/>
    <w:rsid w:val="008C65A5"/>
    <w:rsid w:val="008C694E"/>
    <w:rsid w:val="008C6BED"/>
    <w:rsid w:val="008C6EEB"/>
    <w:rsid w:val="008C781D"/>
    <w:rsid w:val="008C7D79"/>
    <w:rsid w:val="008D0C86"/>
    <w:rsid w:val="008D0D7E"/>
    <w:rsid w:val="008D10AA"/>
    <w:rsid w:val="008D1DFE"/>
    <w:rsid w:val="008D2015"/>
    <w:rsid w:val="008D2926"/>
    <w:rsid w:val="008D2E07"/>
    <w:rsid w:val="008D33B3"/>
    <w:rsid w:val="008D35DD"/>
    <w:rsid w:val="008D43E0"/>
    <w:rsid w:val="008D50F0"/>
    <w:rsid w:val="008D5403"/>
    <w:rsid w:val="008D54C6"/>
    <w:rsid w:val="008D5D48"/>
    <w:rsid w:val="008D5E5A"/>
    <w:rsid w:val="008D6183"/>
    <w:rsid w:val="008D62AB"/>
    <w:rsid w:val="008D6714"/>
    <w:rsid w:val="008D7312"/>
    <w:rsid w:val="008D77D7"/>
    <w:rsid w:val="008D7A4E"/>
    <w:rsid w:val="008D7A69"/>
    <w:rsid w:val="008D7BD5"/>
    <w:rsid w:val="008D7CA0"/>
    <w:rsid w:val="008E05C5"/>
    <w:rsid w:val="008E0F06"/>
    <w:rsid w:val="008E188A"/>
    <w:rsid w:val="008E226B"/>
    <w:rsid w:val="008E23DE"/>
    <w:rsid w:val="008E2474"/>
    <w:rsid w:val="008E295A"/>
    <w:rsid w:val="008E298A"/>
    <w:rsid w:val="008E2AA9"/>
    <w:rsid w:val="008E300C"/>
    <w:rsid w:val="008E309E"/>
    <w:rsid w:val="008E328C"/>
    <w:rsid w:val="008E3A43"/>
    <w:rsid w:val="008E3BEA"/>
    <w:rsid w:val="008E3C25"/>
    <w:rsid w:val="008E3D60"/>
    <w:rsid w:val="008E3F4C"/>
    <w:rsid w:val="008E40AF"/>
    <w:rsid w:val="008E5686"/>
    <w:rsid w:val="008E5B14"/>
    <w:rsid w:val="008E69A4"/>
    <w:rsid w:val="008E79BB"/>
    <w:rsid w:val="008E7F33"/>
    <w:rsid w:val="008F001D"/>
    <w:rsid w:val="008F02B2"/>
    <w:rsid w:val="008F062E"/>
    <w:rsid w:val="008F2085"/>
    <w:rsid w:val="008F29D7"/>
    <w:rsid w:val="008F3774"/>
    <w:rsid w:val="008F37F8"/>
    <w:rsid w:val="008F5541"/>
    <w:rsid w:val="008F5B32"/>
    <w:rsid w:val="008F626B"/>
    <w:rsid w:val="008F679B"/>
    <w:rsid w:val="008F684A"/>
    <w:rsid w:val="008F6B3A"/>
    <w:rsid w:val="008F6DA3"/>
    <w:rsid w:val="008F6E0F"/>
    <w:rsid w:val="008F7417"/>
    <w:rsid w:val="008F7F09"/>
    <w:rsid w:val="00900E8C"/>
    <w:rsid w:val="009013FE"/>
    <w:rsid w:val="009014EF"/>
    <w:rsid w:val="0090165F"/>
    <w:rsid w:val="0090186D"/>
    <w:rsid w:val="00901B82"/>
    <w:rsid w:val="00901DB7"/>
    <w:rsid w:val="009021B9"/>
    <w:rsid w:val="0090264A"/>
    <w:rsid w:val="0090346C"/>
    <w:rsid w:val="0090360A"/>
    <w:rsid w:val="009037F7"/>
    <w:rsid w:val="00904230"/>
    <w:rsid w:val="00904394"/>
    <w:rsid w:val="00904981"/>
    <w:rsid w:val="00904F4C"/>
    <w:rsid w:val="009053B0"/>
    <w:rsid w:val="00905667"/>
    <w:rsid w:val="00905668"/>
    <w:rsid w:val="009067CC"/>
    <w:rsid w:val="00906D53"/>
    <w:rsid w:val="0090762F"/>
    <w:rsid w:val="009077DB"/>
    <w:rsid w:val="00910119"/>
    <w:rsid w:val="009112C7"/>
    <w:rsid w:val="009114BE"/>
    <w:rsid w:val="00911D9E"/>
    <w:rsid w:val="00911E43"/>
    <w:rsid w:val="00912124"/>
    <w:rsid w:val="00912B09"/>
    <w:rsid w:val="00912E2F"/>
    <w:rsid w:val="00912E9C"/>
    <w:rsid w:val="009133DB"/>
    <w:rsid w:val="00914486"/>
    <w:rsid w:val="00915111"/>
    <w:rsid w:val="00915181"/>
    <w:rsid w:val="009158D1"/>
    <w:rsid w:val="00915A80"/>
    <w:rsid w:val="00915E8C"/>
    <w:rsid w:val="009166D9"/>
    <w:rsid w:val="0091704E"/>
    <w:rsid w:val="009171ED"/>
    <w:rsid w:val="009173A4"/>
    <w:rsid w:val="0091747A"/>
    <w:rsid w:val="0091754E"/>
    <w:rsid w:val="00917965"/>
    <w:rsid w:val="00917D91"/>
    <w:rsid w:val="00920C24"/>
    <w:rsid w:val="009212A3"/>
    <w:rsid w:val="00921CD9"/>
    <w:rsid w:val="00921F64"/>
    <w:rsid w:val="009225E2"/>
    <w:rsid w:val="00922990"/>
    <w:rsid w:val="00922A46"/>
    <w:rsid w:val="00922C9D"/>
    <w:rsid w:val="009232CD"/>
    <w:rsid w:val="00923D7C"/>
    <w:rsid w:val="00924565"/>
    <w:rsid w:val="00924B66"/>
    <w:rsid w:val="00924C7A"/>
    <w:rsid w:val="00925799"/>
    <w:rsid w:val="00925D43"/>
    <w:rsid w:val="00925F5E"/>
    <w:rsid w:val="00926785"/>
    <w:rsid w:val="00926CA3"/>
    <w:rsid w:val="00926CB4"/>
    <w:rsid w:val="009270B3"/>
    <w:rsid w:val="009273E0"/>
    <w:rsid w:val="0092742D"/>
    <w:rsid w:val="00927782"/>
    <w:rsid w:val="009277FB"/>
    <w:rsid w:val="00927BA5"/>
    <w:rsid w:val="00927D73"/>
    <w:rsid w:val="00927F29"/>
    <w:rsid w:val="00930EB0"/>
    <w:rsid w:val="00931321"/>
    <w:rsid w:val="00931A05"/>
    <w:rsid w:val="00931A29"/>
    <w:rsid w:val="00931B8F"/>
    <w:rsid w:val="00932242"/>
    <w:rsid w:val="009329E9"/>
    <w:rsid w:val="0093363E"/>
    <w:rsid w:val="0093395B"/>
    <w:rsid w:val="00933D1F"/>
    <w:rsid w:val="00934343"/>
    <w:rsid w:val="00935667"/>
    <w:rsid w:val="00935888"/>
    <w:rsid w:val="00935A95"/>
    <w:rsid w:val="00936B93"/>
    <w:rsid w:val="00937212"/>
    <w:rsid w:val="009374EA"/>
    <w:rsid w:val="00937906"/>
    <w:rsid w:val="00937DD0"/>
    <w:rsid w:val="00940838"/>
    <w:rsid w:val="00940D4F"/>
    <w:rsid w:val="009424EF"/>
    <w:rsid w:val="00942516"/>
    <w:rsid w:val="00942549"/>
    <w:rsid w:val="00942666"/>
    <w:rsid w:val="00942D24"/>
    <w:rsid w:val="009432CF"/>
    <w:rsid w:val="009435D9"/>
    <w:rsid w:val="00943898"/>
    <w:rsid w:val="009439E7"/>
    <w:rsid w:val="009454EE"/>
    <w:rsid w:val="00945934"/>
    <w:rsid w:val="0094639A"/>
    <w:rsid w:val="009463B4"/>
    <w:rsid w:val="009466C5"/>
    <w:rsid w:val="009469BA"/>
    <w:rsid w:val="00950347"/>
    <w:rsid w:val="00950495"/>
    <w:rsid w:val="00950F38"/>
    <w:rsid w:val="00950FF9"/>
    <w:rsid w:val="009511B2"/>
    <w:rsid w:val="00951AB1"/>
    <w:rsid w:val="00951C6E"/>
    <w:rsid w:val="00951C94"/>
    <w:rsid w:val="00951ED3"/>
    <w:rsid w:val="00951FD3"/>
    <w:rsid w:val="009534CE"/>
    <w:rsid w:val="009535C9"/>
    <w:rsid w:val="00953AB5"/>
    <w:rsid w:val="00953C4B"/>
    <w:rsid w:val="00954CA7"/>
    <w:rsid w:val="00954ED0"/>
    <w:rsid w:val="00955895"/>
    <w:rsid w:val="0095591B"/>
    <w:rsid w:val="00956221"/>
    <w:rsid w:val="00956E91"/>
    <w:rsid w:val="00957A26"/>
    <w:rsid w:val="00957F67"/>
    <w:rsid w:val="00960CFE"/>
    <w:rsid w:val="00961AB8"/>
    <w:rsid w:val="00961F70"/>
    <w:rsid w:val="0096232A"/>
    <w:rsid w:val="0096269D"/>
    <w:rsid w:val="0096361D"/>
    <w:rsid w:val="00963675"/>
    <w:rsid w:val="009637B7"/>
    <w:rsid w:val="00963C4B"/>
    <w:rsid w:val="00964810"/>
    <w:rsid w:val="00965749"/>
    <w:rsid w:val="00965B8F"/>
    <w:rsid w:val="009668ED"/>
    <w:rsid w:val="00966C2F"/>
    <w:rsid w:val="00966EA0"/>
    <w:rsid w:val="0096716F"/>
    <w:rsid w:val="00967347"/>
    <w:rsid w:val="0096742A"/>
    <w:rsid w:val="00967D73"/>
    <w:rsid w:val="009700D1"/>
    <w:rsid w:val="0097026D"/>
    <w:rsid w:val="00970C19"/>
    <w:rsid w:val="0097130A"/>
    <w:rsid w:val="00971625"/>
    <w:rsid w:val="0097199A"/>
    <w:rsid w:val="00971C82"/>
    <w:rsid w:val="00971C8A"/>
    <w:rsid w:val="009724CF"/>
    <w:rsid w:val="00972C51"/>
    <w:rsid w:val="00972E7B"/>
    <w:rsid w:val="00973000"/>
    <w:rsid w:val="00973071"/>
    <w:rsid w:val="009732BA"/>
    <w:rsid w:val="009733C5"/>
    <w:rsid w:val="009736A6"/>
    <w:rsid w:val="00973958"/>
    <w:rsid w:val="00973BAC"/>
    <w:rsid w:val="009741BA"/>
    <w:rsid w:val="00974954"/>
    <w:rsid w:val="0097512B"/>
    <w:rsid w:val="00975930"/>
    <w:rsid w:val="0097648A"/>
    <w:rsid w:val="0097664C"/>
    <w:rsid w:val="00977A58"/>
    <w:rsid w:val="00977FB9"/>
    <w:rsid w:val="0098050F"/>
    <w:rsid w:val="00980692"/>
    <w:rsid w:val="009806D5"/>
    <w:rsid w:val="00980DC6"/>
    <w:rsid w:val="00981188"/>
    <w:rsid w:val="009812C0"/>
    <w:rsid w:val="00981B9E"/>
    <w:rsid w:val="009820ED"/>
    <w:rsid w:val="00982404"/>
    <w:rsid w:val="009825DA"/>
    <w:rsid w:val="00982968"/>
    <w:rsid w:val="0098330C"/>
    <w:rsid w:val="00983611"/>
    <w:rsid w:val="00983E75"/>
    <w:rsid w:val="009846A2"/>
    <w:rsid w:val="009848F4"/>
    <w:rsid w:val="00984C85"/>
    <w:rsid w:val="009851F4"/>
    <w:rsid w:val="00985D1B"/>
    <w:rsid w:val="00986428"/>
    <w:rsid w:val="009868C8"/>
    <w:rsid w:val="009871E2"/>
    <w:rsid w:val="00987781"/>
    <w:rsid w:val="009878AD"/>
    <w:rsid w:val="00990BDB"/>
    <w:rsid w:val="00990C3A"/>
    <w:rsid w:val="00990CF8"/>
    <w:rsid w:val="0099136F"/>
    <w:rsid w:val="00991674"/>
    <w:rsid w:val="00991E02"/>
    <w:rsid w:val="0099220E"/>
    <w:rsid w:val="00992974"/>
    <w:rsid w:val="00993102"/>
    <w:rsid w:val="00993478"/>
    <w:rsid w:val="00994953"/>
    <w:rsid w:val="009952A0"/>
    <w:rsid w:val="0099585B"/>
    <w:rsid w:val="0099671A"/>
    <w:rsid w:val="00996F82"/>
    <w:rsid w:val="00997313"/>
    <w:rsid w:val="009976C0"/>
    <w:rsid w:val="009A0A81"/>
    <w:rsid w:val="009A1259"/>
    <w:rsid w:val="009A166B"/>
    <w:rsid w:val="009A1BC1"/>
    <w:rsid w:val="009A290F"/>
    <w:rsid w:val="009A2BDF"/>
    <w:rsid w:val="009A2E42"/>
    <w:rsid w:val="009A31A4"/>
    <w:rsid w:val="009A3270"/>
    <w:rsid w:val="009A41AE"/>
    <w:rsid w:val="009A59CE"/>
    <w:rsid w:val="009A688F"/>
    <w:rsid w:val="009A70C0"/>
    <w:rsid w:val="009A71A4"/>
    <w:rsid w:val="009A7F79"/>
    <w:rsid w:val="009B009C"/>
    <w:rsid w:val="009B06A9"/>
    <w:rsid w:val="009B083A"/>
    <w:rsid w:val="009B0BC1"/>
    <w:rsid w:val="009B1503"/>
    <w:rsid w:val="009B1608"/>
    <w:rsid w:val="009B1BD8"/>
    <w:rsid w:val="009B2120"/>
    <w:rsid w:val="009B24EC"/>
    <w:rsid w:val="009B2654"/>
    <w:rsid w:val="009B2D68"/>
    <w:rsid w:val="009B39B8"/>
    <w:rsid w:val="009B436E"/>
    <w:rsid w:val="009B4F21"/>
    <w:rsid w:val="009B5777"/>
    <w:rsid w:val="009B68FF"/>
    <w:rsid w:val="009B6C0A"/>
    <w:rsid w:val="009B6EAB"/>
    <w:rsid w:val="009B7549"/>
    <w:rsid w:val="009C0164"/>
    <w:rsid w:val="009C03E0"/>
    <w:rsid w:val="009C03E8"/>
    <w:rsid w:val="009C0BF0"/>
    <w:rsid w:val="009C0CF0"/>
    <w:rsid w:val="009C1366"/>
    <w:rsid w:val="009C1432"/>
    <w:rsid w:val="009C1794"/>
    <w:rsid w:val="009C35BB"/>
    <w:rsid w:val="009C37D3"/>
    <w:rsid w:val="009C3AF0"/>
    <w:rsid w:val="009C3BDC"/>
    <w:rsid w:val="009C3C16"/>
    <w:rsid w:val="009C3EE7"/>
    <w:rsid w:val="009C4F6E"/>
    <w:rsid w:val="009C63BA"/>
    <w:rsid w:val="009C6549"/>
    <w:rsid w:val="009C6D2A"/>
    <w:rsid w:val="009C6F7D"/>
    <w:rsid w:val="009C7709"/>
    <w:rsid w:val="009D027C"/>
    <w:rsid w:val="009D07F3"/>
    <w:rsid w:val="009D2387"/>
    <w:rsid w:val="009D2C4B"/>
    <w:rsid w:val="009D3E84"/>
    <w:rsid w:val="009D4282"/>
    <w:rsid w:val="009D45D3"/>
    <w:rsid w:val="009D45DA"/>
    <w:rsid w:val="009D5E4B"/>
    <w:rsid w:val="009D60AE"/>
    <w:rsid w:val="009D67F6"/>
    <w:rsid w:val="009D7580"/>
    <w:rsid w:val="009D76D3"/>
    <w:rsid w:val="009D7A3B"/>
    <w:rsid w:val="009D7D85"/>
    <w:rsid w:val="009D7E1C"/>
    <w:rsid w:val="009E0782"/>
    <w:rsid w:val="009E08D1"/>
    <w:rsid w:val="009E0FE1"/>
    <w:rsid w:val="009E1E1D"/>
    <w:rsid w:val="009E2011"/>
    <w:rsid w:val="009E2429"/>
    <w:rsid w:val="009E272E"/>
    <w:rsid w:val="009E3451"/>
    <w:rsid w:val="009E394C"/>
    <w:rsid w:val="009E3CE0"/>
    <w:rsid w:val="009E3E63"/>
    <w:rsid w:val="009E447E"/>
    <w:rsid w:val="009E45E5"/>
    <w:rsid w:val="009E48D6"/>
    <w:rsid w:val="009E4BD0"/>
    <w:rsid w:val="009E5206"/>
    <w:rsid w:val="009E5E16"/>
    <w:rsid w:val="009E6FF9"/>
    <w:rsid w:val="009E727A"/>
    <w:rsid w:val="009E7309"/>
    <w:rsid w:val="009E751E"/>
    <w:rsid w:val="009F08B5"/>
    <w:rsid w:val="009F0B31"/>
    <w:rsid w:val="009F0F43"/>
    <w:rsid w:val="009F16E3"/>
    <w:rsid w:val="009F1DE7"/>
    <w:rsid w:val="009F1ED6"/>
    <w:rsid w:val="009F223E"/>
    <w:rsid w:val="009F2436"/>
    <w:rsid w:val="009F2764"/>
    <w:rsid w:val="009F3899"/>
    <w:rsid w:val="009F3A04"/>
    <w:rsid w:val="009F465E"/>
    <w:rsid w:val="009F4837"/>
    <w:rsid w:val="009F543A"/>
    <w:rsid w:val="009F5560"/>
    <w:rsid w:val="009F567B"/>
    <w:rsid w:val="009F56A7"/>
    <w:rsid w:val="009F5FA6"/>
    <w:rsid w:val="009F6713"/>
    <w:rsid w:val="009F6CC4"/>
    <w:rsid w:val="009F6F77"/>
    <w:rsid w:val="009F7005"/>
    <w:rsid w:val="009F7462"/>
    <w:rsid w:val="009F7846"/>
    <w:rsid w:val="00A0039E"/>
    <w:rsid w:val="00A01335"/>
    <w:rsid w:val="00A015AC"/>
    <w:rsid w:val="00A023B8"/>
    <w:rsid w:val="00A0254A"/>
    <w:rsid w:val="00A035EC"/>
    <w:rsid w:val="00A03DBE"/>
    <w:rsid w:val="00A0406E"/>
    <w:rsid w:val="00A043C9"/>
    <w:rsid w:val="00A0497F"/>
    <w:rsid w:val="00A051DE"/>
    <w:rsid w:val="00A0626F"/>
    <w:rsid w:val="00A0667A"/>
    <w:rsid w:val="00A06DEF"/>
    <w:rsid w:val="00A0748E"/>
    <w:rsid w:val="00A07916"/>
    <w:rsid w:val="00A07B92"/>
    <w:rsid w:val="00A07C7A"/>
    <w:rsid w:val="00A10234"/>
    <w:rsid w:val="00A1029D"/>
    <w:rsid w:val="00A102B9"/>
    <w:rsid w:val="00A11307"/>
    <w:rsid w:val="00A11337"/>
    <w:rsid w:val="00A113EA"/>
    <w:rsid w:val="00A11A0F"/>
    <w:rsid w:val="00A1327E"/>
    <w:rsid w:val="00A1383A"/>
    <w:rsid w:val="00A139AB"/>
    <w:rsid w:val="00A13AF3"/>
    <w:rsid w:val="00A13B17"/>
    <w:rsid w:val="00A14569"/>
    <w:rsid w:val="00A15775"/>
    <w:rsid w:val="00A15BFE"/>
    <w:rsid w:val="00A15EF5"/>
    <w:rsid w:val="00A16709"/>
    <w:rsid w:val="00A16A82"/>
    <w:rsid w:val="00A17445"/>
    <w:rsid w:val="00A1789C"/>
    <w:rsid w:val="00A17921"/>
    <w:rsid w:val="00A207AE"/>
    <w:rsid w:val="00A210F5"/>
    <w:rsid w:val="00A21388"/>
    <w:rsid w:val="00A2147C"/>
    <w:rsid w:val="00A219CD"/>
    <w:rsid w:val="00A219D2"/>
    <w:rsid w:val="00A21D88"/>
    <w:rsid w:val="00A21DB8"/>
    <w:rsid w:val="00A220DD"/>
    <w:rsid w:val="00A22251"/>
    <w:rsid w:val="00A22439"/>
    <w:rsid w:val="00A22F79"/>
    <w:rsid w:val="00A23316"/>
    <w:rsid w:val="00A23395"/>
    <w:rsid w:val="00A23C3E"/>
    <w:rsid w:val="00A23D9D"/>
    <w:rsid w:val="00A23F34"/>
    <w:rsid w:val="00A24C31"/>
    <w:rsid w:val="00A24DDE"/>
    <w:rsid w:val="00A253F0"/>
    <w:rsid w:val="00A256A0"/>
    <w:rsid w:val="00A25B74"/>
    <w:rsid w:val="00A262CD"/>
    <w:rsid w:val="00A26426"/>
    <w:rsid w:val="00A266AE"/>
    <w:rsid w:val="00A26F27"/>
    <w:rsid w:val="00A273FC"/>
    <w:rsid w:val="00A27791"/>
    <w:rsid w:val="00A27ABE"/>
    <w:rsid w:val="00A27C0F"/>
    <w:rsid w:val="00A30079"/>
    <w:rsid w:val="00A304DD"/>
    <w:rsid w:val="00A30845"/>
    <w:rsid w:val="00A30BA9"/>
    <w:rsid w:val="00A30BD8"/>
    <w:rsid w:val="00A30CC0"/>
    <w:rsid w:val="00A30D18"/>
    <w:rsid w:val="00A312DD"/>
    <w:rsid w:val="00A31726"/>
    <w:rsid w:val="00A31CBC"/>
    <w:rsid w:val="00A3234B"/>
    <w:rsid w:val="00A3247B"/>
    <w:rsid w:val="00A32488"/>
    <w:rsid w:val="00A32823"/>
    <w:rsid w:val="00A3333A"/>
    <w:rsid w:val="00A33BDA"/>
    <w:rsid w:val="00A3484F"/>
    <w:rsid w:val="00A348C6"/>
    <w:rsid w:val="00A34EA2"/>
    <w:rsid w:val="00A35231"/>
    <w:rsid w:val="00A355F9"/>
    <w:rsid w:val="00A35BCD"/>
    <w:rsid w:val="00A360C0"/>
    <w:rsid w:val="00A366B5"/>
    <w:rsid w:val="00A36A37"/>
    <w:rsid w:val="00A36B3C"/>
    <w:rsid w:val="00A36B43"/>
    <w:rsid w:val="00A379CA"/>
    <w:rsid w:val="00A401FE"/>
    <w:rsid w:val="00A40482"/>
    <w:rsid w:val="00A41355"/>
    <w:rsid w:val="00A41649"/>
    <w:rsid w:val="00A41791"/>
    <w:rsid w:val="00A418D5"/>
    <w:rsid w:val="00A41A55"/>
    <w:rsid w:val="00A41B62"/>
    <w:rsid w:val="00A42380"/>
    <w:rsid w:val="00A4265F"/>
    <w:rsid w:val="00A42B72"/>
    <w:rsid w:val="00A437B6"/>
    <w:rsid w:val="00A43B65"/>
    <w:rsid w:val="00A43B92"/>
    <w:rsid w:val="00A446E9"/>
    <w:rsid w:val="00A44AAC"/>
    <w:rsid w:val="00A44E49"/>
    <w:rsid w:val="00A451DF"/>
    <w:rsid w:val="00A454CB"/>
    <w:rsid w:val="00A4574D"/>
    <w:rsid w:val="00A4591F"/>
    <w:rsid w:val="00A45982"/>
    <w:rsid w:val="00A45B81"/>
    <w:rsid w:val="00A45CF6"/>
    <w:rsid w:val="00A462F8"/>
    <w:rsid w:val="00A466EC"/>
    <w:rsid w:val="00A46F62"/>
    <w:rsid w:val="00A47BE2"/>
    <w:rsid w:val="00A47CB5"/>
    <w:rsid w:val="00A501AA"/>
    <w:rsid w:val="00A503A5"/>
    <w:rsid w:val="00A50785"/>
    <w:rsid w:val="00A51C38"/>
    <w:rsid w:val="00A523F5"/>
    <w:rsid w:val="00A52408"/>
    <w:rsid w:val="00A52AFF"/>
    <w:rsid w:val="00A52CD1"/>
    <w:rsid w:val="00A52CE6"/>
    <w:rsid w:val="00A53265"/>
    <w:rsid w:val="00A535FC"/>
    <w:rsid w:val="00A537DD"/>
    <w:rsid w:val="00A53A21"/>
    <w:rsid w:val="00A54251"/>
    <w:rsid w:val="00A54689"/>
    <w:rsid w:val="00A54874"/>
    <w:rsid w:val="00A5488C"/>
    <w:rsid w:val="00A54C31"/>
    <w:rsid w:val="00A54C5D"/>
    <w:rsid w:val="00A54D53"/>
    <w:rsid w:val="00A553E8"/>
    <w:rsid w:val="00A55E04"/>
    <w:rsid w:val="00A55FA2"/>
    <w:rsid w:val="00A56189"/>
    <w:rsid w:val="00A56DD3"/>
    <w:rsid w:val="00A574C5"/>
    <w:rsid w:val="00A575B4"/>
    <w:rsid w:val="00A57879"/>
    <w:rsid w:val="00A5789A"/>
    <w:rsid w:val="00A57EE2"/>
    <w:rsid w:val="00A57F88"/>
    <w:rsid w:val="00A60C2D"/>
    <w:rsid w:val="00A60D07"/>
    <w:rsid w:val="00A615CA"/>
    <w:rsid w:val="00A6162E"/>
    <w:rsid w:val="00A6179E"/>
    <w:rsid w:val="00A6218A"/>
    <w:rsid w:val="00A62224"/>
    <w:rsid w:val="00A628C0"/>
    <w:rsid w:val="00A639A5"/>
    <w:rsid w:val="00A64316"/>
    <w:rsid w:val="00A644A0"/>
    <w:rsid w:val="00A64B1D"/>
    <w:rsid w:val="00A6554D"/>
    <w:rsid w:val="00A66E06"/>
    <w:rsid w:val="00A67819"/>
    <w:rsid w:val="00A67922"/>
    <w:rsid w:val="00A67D4B"/>
    <w:rsid w:val="00A67E73"/>
    <w:rsid w:val="00A701EC"/>
    <w:rsid w:val="00A7020C"/>
    <w:rsid w:val="00A703FE"/>
    <w:rsid w:val="00A71362"/>
    <w:rsid w:val="00A71575"/>
    <w:rsid w:val="00A716C3"/>
    <w:rsid w:val="00A71A75"/>
    <w:rsid w:val="00A71B1B"/>
    <w:rsid w:val="00A71C18"/>
    <w:rsid w:val="00A71D94"/>
    <w:rsid w:val="00A7205C"/>
    <w:rsid w:val="00A727D6"/>
    <w:rsid w:val="00A72BEC"/>
    <w:rsid w:val="00A731D3"/>
    <w:rsid w:val="00A73A64"/>
    <w:rsid w:val="00A73C9F"/>
    <w:rsid w:val="00A73CCA"/>
    <w:rsid w:val="00A73FF6"/>
    <w:rsid w:val="00A740FE"/>
    <w:rsid w:val="00A74626"/>
    <w:rsid w:val="00A74A8E"/>
    <w:rsid w:val="00A74CF7"/>
    <w:rsid w:val="00A751CB"/>
    <w:rsid w:val="00A75663"/>
    <w:rsid w:val="00A75F9C"/>
    <w:rsid w:val="00A7615D"/>
    <w:rsid w:val="00A768D5"/>
    <w:rsid w:val="00A7787A"/>
    <w:rsid w:val="00A77F5E"/>
    <w:rsid w:val="00A804D9"/>
    <w:rsid w:val="00A80B52"/>
    <w:rsid w:val="00A80DD6"/>
    <w:rsid w:val="00A81DF0"/>
    <w:rsid w:val="00A82B77"/>
    <w:rsid w:val="00A83B1E"/>
    <w:rsid w:val="00A84221"/>
    <w:rsid w:val="00A84245"/>
    <w:rsid w:val="00A845F9"/>
    <w:rsid w:val="00A84950"/>
    <w:rsid w:val="00A84B0D"/>
    <w:rsid w:val="00A84CA1"/>
    <w:rsid w:val="00A84F87"/>
    <w:rsid w:val="00A854E2"/>
    <w:rsid w:val="00A8573B"/>
    <w:rsid w:val="00A858C8"/>
    <w:rsid w:val="00A85F26"/>
    <w:rsid w:val="00A861D0"/>
    <w:rsid w:val="00A86317"/>
    <w:rsid w:val="00A8684E"/>
    <w:rsid w:val="00A877BD"/>
    <w:rsid w:val="00A87BA9"/>
    <w:rsid w:val="00A87EAB"/>
    <w:rsid w:val="00A87FCC"/>
    <w:rsid w:val="00A909EE"/>
    <w:rsid w:val="00A91D8B"/>
    <w:rsid w:val="00A91DE0"/>
    <w:rsid w:val="00A924B5"/>
    <w:rsid w:val="00A9258B"/>
    <w:rsid w:val="00A92915"/>
    <w:rsid w:val="00A92F92"/>
    <w:rsid w:val="00A93116"/>
    <w:rsid w:val="00A9315D"/>
    <w:rsid w:val="00A937F2"/>
    <w:rsid w:val="00A944EC"/>
    <w:rsid w:val="00A948A5"/>
    <w:rsid w:val="00A955D4"/>
    <w:rsid w:val="00A96053"/>
    <w:rsid w:val="00A96892"/>
    <w:rsid w:val="00A96A06"/>
    <w:rsid w:val="00A96B70"/>
    <w:rsid w:val="00A973CC"/>
    <w:rsid w:val="00A975AB"/>
    <w:rsid w:val="00AA0B69"/>
    <w:rsid w:val="00AA0C7B"/>
    <w:rsid w:val="00AA1D52"/>
    <w:rsid w:val="00AA2051"/>
    <w:rsid w:val="00AA2AB7"/>
    <w:rsid w:val="00AA2B8F"/>
    <w:rsid w:val="00AA2BEB"/>
    <w:rsid w:val="00AA42E5"/>
    <w:rsid w:val="00AA5156"/>
    <w:rsid w:val="00AA59A4"/>
    <w:rsid w:val="00AA61C5"/>
    <w:rsid w:val="00AA638A"/>
    <w:rsid w:val="00AA646F"/>
    <w:rsid w:val="00AA6C7A"/>
    <w:rsid w:val="00AA6CCF"/>
    <w:rsid w:val="00AA70C4"/>
    <w:rsid w:val="00AA72C8"/>
    <w:rsid w:val="00AA7911"/>
    <w:rsid w:val="00AA7A18"/>
    <w:rsid w:val="00AB0117"/>
    <w:rsid w:val="00AB015E"/>
    <w:rsid w:val="00AB05E8"/>
    <w:rsid w:val="00AB0903"/>
    <w:rsid w:val="00AB096A"/>
    <w:rsid w:val="00AB09FC"/>
    <w:rsid w:val="00AB1F37"/>
    <w:rsid w:val="00AB22DB"/>
    <w:rsid w:val="00AB237A"/>
    <w:rsid w:val="00AB2454"/>
    <w:rsid w:val="00AB272C"/>
    <w:rsid w:val="00AB294C"/>
    <w:rsid w:val="00AB2F24"/>
    <w:rsid w:val="00AB3757"/>
    <w:rsid w:val="00AB393A"/>
    <w:rsid w:val="00AB466A"/>
    <w:rsid w:val="00AB4DF6"/>
    <w:rsid w:val="00AB4F96"/>
    <w:rsid w:val="00AB5831"/>
    <w:rsid w:val="00AB5B57"/>
    <w:rsid w:val="00AB66DE"/>
    <w:rsid w:val="00AB7079"/>
    <w:rsid w:val="00AB7B6E"/>
    <w:rsid w:val="00AB7C8F"/>
    <w:rsid w:val="00AB7E37"/>
    <w:rsid w:val="00AC0125"/>
    <w:rsid w:val="00AC0A98"/>
    <w:rsid w:val="00AC1928"/>
    <w:rsid w:val="00AC19E2"/>
    <w:rsid w:val="00AC2192"/>
    <w:rsid w:val="00AC2867"/>
    <w:rsid w:val="00AC355C"/>
    <w:rsid w:val="00AC39EB"/>
    <w:rsid w:val="00AC4282"/>
    <w:rsid w:val="00AC463F"/>
    <w:rsid w:val="00AC4C41"/>
    <w:rsid w:val="00AC5256"/>
    <w:rsid w:val="00AC57EB"/>
    <w:rsid w:val="00AC5A9F"/>
    <w:rsid w:val="00AC615B"/>
    <w:rsid w:val="00AC636D"/>
    <w:rsid w:val="00AC6754"/>
    <w:rsid w:val="00AC752E"/>
    <w:rsid w:val="00AC7C32"/>
    <w:rsid w:val="00AD02BE"/>
    <w:rsid w:val="00AD0EEA"/>
    <w:rsid w:val="00AD13A3"/>
    <w:rsid w:val="00AD13AC"/>
    <w:rsid w:val="00AD1895"/>
    <w:rsid w:val="00AD1943"/>
    <w:rsid w:val="00AD19DA"/>
    <w:rsid w:val="00AD22E1"/>
    <w:rsid w:val="00AD3A56"/>
    <w:rsid w:val="00AD4A87"/>
    <w:rsid w:val="00AD501D"/>
    <w:rsid w:val="00AD5225"/>
    <w:rsid w:val="00AD62F1"/>
    <w:rsid w:val="00AD64B3"/>
    <w:rsid w:val="00AD666E"/>
    <w:rsid w:val="00AD750A"/>
    <w:rsid w:val="00AD7974"/>
    <w:rsid w:val="00AD7A0B"/>
    <w:rsid w:val="00AD7DD1"/>
    <w:rsid w:val="00AE0836"/>
    <w:rsid w:val="00AE09FE"/>
    <w:rsid w:val="00AE0B97"/>
    <w:rsid w:val="00AE2DD9"/>
    <w:rsid w:val="00AE3391"/>
    <w:rsid w:val="00AE33A4"/>
    <w:rsid w:val="00AE390C"/>
    <w:rsid w:val="00AE5085"/>
    <w:rsid w:val="00AE5163"/>
    <w:rsid w:val="00AE530B"/>
    <w:rsid w:val="00AE5DD2"/>
    <w:rsid w:val="00AE5E25"/>
    <w:rsid w:val="00AE5E4F"/>
    <w:rsid w:val="00AE6015"/>
    <w:rsid w:val="00AE60B6"/>
    <w:rsid w:val="00AE60CC"/>
    <w:rsid w:val="00AE6FB5"/>
    <w:rsid w:val="00AE790C"/>
    <w:rsid w:val="00AE7F68"/>
    <w:rsid w:val="00AF0AAE"/>
    <w:rsid w:val="00AF0C0B"/>
    <w:rsid w:val="00AF0CD2"/>
    <w:rsid w:val="00AF0D34"/>
    <w:rsid w:val="00AF1117"/>
    <w:rsid w:val="00AF1B87"/>
    <w:rsid w:val="00AF1B98"/>
    <w:rsid w:val="00AF1C8E"/>
    <w:rsid w:val="00AF2115"/>
    <w:rsid w:val="00AF271F"/>
    <w:rsid w:val="00AF2B25"/>
    <w:rsid w:val="00AF2EFC"/>
    <w:rsid w:val="00AF33E2"/>
    <w:rsid w:val="00AF395E"/>
    <w:rsid w:val="00AF3DD6"/>
    <w:rsid w:val="00AF4D43"/>
    <w:rsid w:val="00AF506C"/>
    <w:rsid w:val="00AF6356"/>
    <w:rsid w:val="00AF6E01"/>
    <w:rsid w:val="00AF7965"/>
    <w:rsid w:val="00AF7C75"/>
    <w:rsid w:val="00AF7EE1"/>
    <w:rsid w:val="00B00042"/>
    <w:rsid w:val="00B00923"/>
    <w:rsid w:val="00B00F61"/>
    <w:rsid w:val="00B016BD"/>
    <w:rsid w:val="00B033CB"/>
    <w:rsid w:val="00B03524"/>
    <w:rsid w:val="00B03614"/>
    <w:rsid w:val="00B03679"/>
    <w:rsid w:val="00B044EB"/>
    <w:rsid w:val="00B049D8"/>
    <w:rsid w:val="00B05733"/>
    <w:rsid w:val="00B05891"/>
    <w:rsid w:val="00B05EC0"/>
    <w:rsid w:val="00B074B5"/>
    <w:rsid w:val="00B07649"/>
    <w:rsid w:val="00B07835"/>
    <w:rsid w:val="00B10A82"/>
    <w:rsid w:val="00B10AF6"/>
    <w:rsid w:val="00B10B5D"/>
    <w:rsid w:val="00B10BA3"/>
    <w:rsid w:val="00B110F3"/>
    <w:rsid w:val="00B11751"/>
    <w:rsid w:val="00B126B0"/>
    <w:rsid w:val="00B12A9D"/>
    <w:rsid w:val="00B13036"/>
    <w:rsid w:val="00B13855"/>
    <w:rsid w:val="00B146CE"/>
    <w:rsid w:val="00B150B1"/>
    <w:rsid w:val="00B16F33"/>
    <w:rsid w:val="00B17379"/>
    <w:rsid w:val="00B1738A"/>
    <w:rsid w:val="00B17436"/>
    <w:rsid w:val="00B17D9A"/>
    <w:rsid w:val="00B17EBA"/>
    <w:rsid w:val="00B201F1"/>
    <w:rsid w:val="00B209C7"/>
    <w:rsid w:val="00B20CBB"/>
    <w:rsid w:val="00B20EDA"/>
    <w:rsid w:val="00B20F73"/>
    <w:rsid w:val="00B217B8"/>
    <w:rsid w:val="00B21AC7"/>
    <w:rsid w:val="00B22346"/>
    <w:rsid w:val="00B2292E"/>
    <w:rsid w:val="00B22D02"/>
    <w:rsid w:val="00B23141"/>
    <w:rsid w:val="00B2318F"/>
    <w:rsid w:val="00B237FB"/>
    <w:rsid w:val="00B2429E"/>
    <w:rsid w:val="00B2432B"/>
    <w:rsid w:val="00B2463B"/>
    <w:rsid w:val="00B24A82"/>
    <w:rsid w:val="00B24B1D"/>
    <w:rsid w:val="00B25417"/>
    <w:rsid w:val="00B2578C"/>
    <w:rsid w:val="00B25A31"/>
    <w:rsid w:val="00B2651D"/>
    <w:rsid w:val="00B26951"/>
    <w:rsid w:val="00B269C4"/>
    <w:rsid w:val="00B26AB0"/>
    <w:rsid w:val="00B26AEB"/>
    <w:rsid w:val="00B26BC0"/>
    <w:rsid w:val="00B26C16"/>
    <w:rsid w:val="00B26C33"/>
    <w:rsid w:val="00B274A7"/>
    <w:rsid w:val="00B2759D"/>
    <w:rsid w:val="00B277E0"/>
    <w:rsid w:val="00B279CF"/>
    <w:rsid w:val="00B27CB8"/>
    <w:rsid w:val="00B30122"/>
    <w:rsid w:val="00B314D7"/>
    <w:rsid w:val="00B31757"/>
    <w:rsid w:val="00B326F5"/>
    <w:rsid w:val="00B340D0"/>
    <w:rsid w:val="00B3445E"/>
    <w:rsid w:val="00B34946"/>
    <w:rsid w:val="00B34A8C"/>
    <w:rsid w:val="00B3529B"/>
    <w:rsid w:val="00B35487"/>
    <w:rsid w:val="00B35900"/>
    <w:rsid w:val="00B360E4"/>
    <w:rsid w:val="00B3626B"/>
    <w:rsid w:val="00B36B0D"/>
    <w:rsid w:val="00B3757B"/>
    <w:rsid w:val="00B37D09"/>
    <w:rsid w:val="00B40670"/>
    <w:rsid w:val="00B407CE"/>
    <w:rsid w:val="00B407D5"/>
    <w:rsid w:val="00B40BFE"/>
    <w:rsid w:val="00B41B12"/>
    <w:rsid w:val="00B42045"/>
    <w:rsid w:val="00B427E3"/>
    <w:rsid w:val="00B42A68"/>
    <w:rsid w:val="00B42CB0"/>
    <w:rsid w:val="00B42E5C"/>
    <w:rsid w:val="00B43081"/>
    <w:rsid w:val="00B433B2"/>
    <w:rsid w:val="00B44468"/>
    <w:rsid w:val="00B44609"/>
    <w:rsid w:val="00B45203"/>
    <w:rsid w:val="00B45341"/>
    <w:rsid w:val="00B45E2B"/>
    <w:rsid w:val="00B45ED2"/>
    <w:rsid w:val="00B4612B"/>
    <w:rsid w:val="00B4685B"/>
    <w:rsid w:val="00B47116"/>
    <w:rsid w:val="00B47298"/>
    <w:rsid w:val="00B47823"/>
    <w:rsid w:val="00B47883"/>
    <w:rsid w:val="00B47FE7"/>
    <w:rsid w:val="00B5025F"/>
    <w:rsid w:val="00B50B22"/>
    <w:rsid w:val="00B5107D"/>
    <w:rsid w:val="00B51967"/>
    <w:rsid w:val="00B519FD"/>
    <w:rsid w:val="00B51AB6"/>
    <w:rsid w:val="00B51BA5"/>
    <w:rsid w:val="00B520BC"/>
    <w:rsid w:val="00B521DC"/>
    <w:rsid w:val="00B52259"/>
    <w:rsid w:val="00B52DE4"/>
    <w:rsid w:val="00B5363E"/>
    <w:rsid w:val="00B538A8"/>
    <w:rsid w:val="00B539CC"/>
    <w:rsid w:val="00B54CA2"/>
    <w:rsid w:val="00B54F51"/>
    <w:rsid w:val="00B55058"/>
    <w:rsid w:val="00B557EF"/>
    <w:rsid w:val="00B56269"/>
    <w:rsid w:val="00B56B40"/>
    <w:rsid w:val="00B570B3"/>
    <w:rsid w:val="00B57188"/>
    <w:rsid w:val="00B57664"/>
    <w:rsid w:val="00B57AE6"/>
    <w:rsid w:val="00B60D00"/>
    <w:rsid w:val="00B60E5B"/>
    <w:rsid w:val="00B622D6"/>
    <w:rsid w:val="00B62396"/>
    <w:rsid w:val="00B62A4C"/>
    <w:rsid w:val="00B62D81"/>
    <w:rsid w:val="00B63013"/>
    <w:rsid w:val="00B63047"/>
    <w:rsid w:val="00B6309F"/>
    <w:rsid w:val="00B63D24"/>
    <w:rsid w:val="00B63F81"/>
    <w:rsid w:val="00B6428B"/>
    <w:rsid w:val="00B6448D"/>
    <w:rsid w:val="00B64B5E"/>
    <w:rsid w:val="00B65031"/>
    <w:rsid w:val="00B65710"/>
    <w:rsid w:val="00B658A4"/>
    <w:rsid w:val="00B65C0A"/>
    <w:rsid w:val="00B66090"/>
    <w:rsid w:val="00B6620B"/>
    <w:rsid w:val="00B66966"/>
    <w:rsid w:val="00B66A1D"/>
    <w:rsid w:val="00B66AD4"/>
    <w:rsid w:val="00B66E6D"/>
    <w:rsid w:val="00B66FDB"/>
    <w:rsid w:val="00B6731E"/>
    <w:rsid w:val="00B70183"/>
    <w:rsid w:val="00B702B6"/>
    <w:rsid w:val="00B70551"/>
    <w:rsid w:val="00B72589"/>
    <w:rsid w:val="00B72631"/>
    <w:rsid w:val="00B72AFF"/>
    <w:rsid w:val="00B72EAC"/>
    <w:rsid w:val="00B73178"/>
    <w:rsid w:val="00B73B73"/>
    <w:rsid w:val="00B73BEB"/>
    <w:rsid w:val="00B73F9F"/>
    <w:rsid w:val="00B74659"/>
    <w:rsid w:val="00B74DE0"/>
    <w:rsid w:val="00B75260"/>
    <w:rsid w:val="00B753E2"/>
    <w:rsid w:val="00B75458"/>
    <w:rsid w:val="00B75611"/>
    <w:rsid w:val="00B75DAB"/>
    <w:rsid w:val="00B7600D"/>
    <w:rsid w:val="00B76036"/>
    <w:rsid w:val="00B761F2"/>
    <w:rsid w:val="00B7628F"/>
    <w:rsid w:val="00B76A61"/>
    <w:rsid w:val="00B76E02"/>
    <w:rsid w:val="00B76F77"/>
    <w:rsid w:val="00B76FDC"/>
    <w:rsid w:val="00B77019"/>
    <w:rsid w:val="00B7798C"/>
    <w:rsid w:val="00B77B9F"/>
    <w:rsid w:val="00B805D9"/>
    <w:rsid w:val="00B80EA3"/>
    <w:rsid w:val="00B8156F"/>
    <w:rsid w:val="00B828F0"/>
    <w:rsid w:val="00B82D7D"/>
    <w:rsid w:val="00B83E7D"/>
    <w:rsid w:val="00B8455B"/>
    <w:rsid w:val="00B850BF"/>
    <w:rsid w:val="00B85134"/>
    <w:rsid w:val="00B85A41"/>
    <w:rsid w:val="00B85C7D"/>
    <w:rsid w:val="00B85CD0"/>
    <w:rsid w:val="00B860B3"/>
    <w:rsid w:val="00B8651B"/>
    <w:rsid w:val="00B8696A"/>
    <w:rsid w:val="00B875C2"/>
    <w:rsid w:val="00B900CD"/>
    <w:rsid w:val="00B901D6"/>
    <w:rsid w:val="00B9095A"/>
    <w:rsid w:val="00B90DD8"/>
    <w:rsid w:val="00B9180B"/>
    <w:rsid w:val="00B918B1"/>
    <w:rsid w:val="00B92224"/>
    <w:rsid w:val="00B924E6"/>
    <w:rsid w:val="00B92817"/>
    <w:rsid w:val="00B9338A"/>
    <w:rsid w:val="00B940CD"/>
    <w:rsid w:val="00B94579"/>
    <w:rsid w:val="00B94AFE"/>
    <w:rsid w:val="00B954A5"/>
    <w:rsid w:val="00B956A1"/>
    <w:rsid w:val="00B95DE2"/>
    <w:rsid w:val="00B96226"/>
    <w:rsid w:val="00B963AA"/>
    <w:rsid w:val="00B968DB"/>
    <w:rsid w:val="00B96904"/>
    <w:rsid w:val="00B974FF"/>
    <w:rsid w:val="00B97885"/>
    <w:rsid w:val="00BA0DF4"/>
    <w:rsid w:val="00BA1003"/>
    <w:rsid w:val="00BA11F6"/>
    <w:rsid w:val="00BA1AFC"/>
    <w:rsid w:val="00BA1E27"/>
    <w:rsid w:val="00BA237B"/>
    <w:rsid w:val="00BA2580"/>
    <w:rsid w:val="00BA262D"/>
    <w:rsid w:val="00BA2EE1"/>
    <w:rsid w:val="00BA3088"/>
    <w:rsid w:val="00BA31D4"/>
    <w:rsid w:val="00BA473C"/>
    <w:rsid w:val="00BA497A"/>
    <w:rsid w:val="00BA5066"/>
    <w:rsid w:val="00BA5698"/>
    <w:rsid w:val="00BA59CF"/>
    <w:rsid w:val="00BA5C86"/>
    <w:rsid w:val="00BA5CF9"/>
    <w:rsid w:val="00BA5EF6"/>
    <w:rsid w:val="00BA6470"/>
    <w:rsid w:val="00BA7556"/>
    <w:rsid w:val="00BA7D0A"/>
    <w:rsid w:val="00BA7E1D"/>
    <w:rsid w:val="00BB098E"/>
    <w:rsid w:val="00BB1CA1"/>
    <w:rsid w:val="00BB25C9"/>
    <w:rsid w:val="00BB2BAA"/>
    <w:rsid w:val="00BB3A8E"/>
    <w:rsid w:val="00BB3DA8"/>
    <w:rsid w:val="00BB41B0"/>
    <w:rsid w:val="00BB4907"/>
    <w:rsid w:val="00BB574D"/>
    <w:rsid w:val="00BB59FA"/>
    <w:rsid w:val="00BB60AF"/>
    <w:rsid w:val="00BB693A"/>
    <w:rsid w:val="00BB6C53"/>
    <w:rsid w:val="00BC0F38"/>
    <w:rsid w:val="00BC0FF9"/>
    <w:rsid w:val="00BC1715"/>
    <w:rsid w:val="00BC1840"/>
    <w:rsid w:val="00BC184C"/>
    <w:rsid w:val="00BC21C7"/>
    <w:rsid w:val="00BC30B5"/>
    <w:rsid w:val="00BC3348"/>
    <w:rsid w:val="00BC36D9"/>
    <w:rsid w:val="00BC3BF4"/>
    <w:rsid w:val="00BC4D56"/>
    <w:rsid w:val="00BC5BB4"/>
    <w:rsid w:val="00BC5C38"/>
    <w:rsid w:val="00BC74D3"/>
    <w:rsid w:val="00BC79EB"/>
    <w:rsid w:val="00BC7B0C"/>
    <w:rsid w:val="00BD0926"/>
    <w:rsid w:val="00BD2356"/>
    <w:rsid w:val="00BD243D"/>
    <w:rsid w:val="00BD2652"/>
    <w:rsid w:val="00BD2B98"/>
    <w:rsid w:val="00BD2C19"/>
    <w:rsid w:val="00BD2CA0"/>
    <w:rsid w:val="00BD2F4E"/>
    <w:rsid w:val="00BD2FAB"/>
    <w:rsid w:val="00BD382F"/>
    <w:rsid w:val="00BD42FA"/>
    <w:rsid w:val="00BD43C1"/>
    <w:rsid w:val="00BD4F0C"/>
    <w:rsid w:val="00BD5023"/>
    <w:rsid w:val="00BD577B"/>
    <w:rsid w:val="00BD606E"/>
    <w:rsid w:val="00BD68D1"/>
    <w:rsid w:val="00BD6C06"/>
    <w:rsid w:val="00BD6CA2"/>
    <w:rsid w:val="00BD78E6"/>
    <w:rsid w:val="00BD7AB2"/>
    <w:rsid w:val="00BD7C3E"/>
    <w:rsid w:val="00BD7FCF"/>
    <w:rsid w:val="00BE0267"/>
    <w:rsid w:val="00BE0623"/>
    <w:rsid w:val="00BE1073"/>
    <w:rsid w:val="00BE184E"/>
    <w:rsid w:val="00BE1977"/>
    <w:rsid w:val="00BE2225"/>
    <w:rsid w:val="00BE2360"/>
    <w:rsid w:val="00BE26BE"/>
    <w:rsid w:val="00BE29E3"/>
    <w:rsid w:val="00BE3267"/>
    <w:rsid w:val="00BE377B"/>
    <w:rsid w:val="00BE3A1D"/>
    <w:rsid w:val="00BE3BC6"/>
    <w:rsid w:val="00BE3DD8"/>
    <w:rsid w:val="00BE3EB9"/>
    <w:rsid w:val="00BE492B"/>
    <w:rsid w:val="00BE4A13"/>
    <w:rsid w:val="00BE4AB0"/>
    <w:rsid w:val="00BE4DDC"/>
    <w:rsid w:val="00BE504D"/>
    <w:rsid w:val="00BE6933"/>
    <w:rsid w:val="00BE69A1"/>
    <w:rsid w:val="00BE6C76"/>
    <w:rsid w:val="00BE6D54"/>
    <w:rsid w:val="00BE777C"/>
    <w:rsid w:val="00BE792E"/>
    <w:rsid w:val="00BE7F43"/>
    <w:rsid w:val="00BF0114"/>
    <w:rsid w:val="00BF0E64"/>
    <w:rsid w:val="00BF102F"/>
    <w:rsid w:val="00BF1691"/>
    <w:rsid w:val="00BF1893"/>
    <w:rsid w:val="00BF19FF"/>
    <w:rsid w:val="00BF1A38"/>
    <w:rsid w:val="00BF1C0D"/>
    <w:rsid w:val="00BF2061"/>
    <w:rsid w:val="00BF231A"/>
    <w:rsid w:val="00BF2EB5"/>
    <w:rsid w:val="00BF3141"/>
    <w:rsid w:val="00BF3A60"/>
    <w:rsid w:val="00BF4261"/>
    <w:rsid w:val="00BF456F"/>
    <w:rsid w:val="00BF4A26"/>
    <w:rsid w:val="00BF4E6D"/>
    <w:rsid w:val="00BF5316"/>
    <w:rsid w:val="00BF57E2"/>
    <w:rsid w:val="00BF5D47"/>
    <w:rsid w:val="00BF6406"/>
    <w:rsid w:val="00BF6766"/>
    <w:rsid w:val="00BF6C91"/>
    <w:rsid w:val="00BF7BFC"/>
    <w:rsid w:val="00C00130"/>
    <w:rsid w:val="00C00625"/>
    <w:rsid w:val="00C00A53"/>
    <w:rsid w:val="00C0198F"/>
    <w:rsid w:val="00C01B67"/>
    <w:rsid w:val="00C025F0"/>
    <w:rsid w:val="00C029FB"/>
    <w:rsid w:val="00C02A33"/>
    <w:rsid w:val="00C02ED5"/>
    <w:rsid w:val="00C0361F"/>
    <w:rsid w:val="00C0373C"/>
    <w:rsid w:val="00C03E2E"/>
    <w:rsid w:val="00C04C45"/>
    <w:rsid w:val="00C04F31"/>
    <w:rsid w:val="00C05259"/>
    <w:rsid w:val="00C055AC"/>
    <w:rsid w:val="00C05D14"/>
    <w:rsid w:val="00C05E1F"/>
    <w:rsid w:val="00C064DC"/>
    <w:rsid w:val="00C06C2F"/>
    <w:rsid w:val="00C06F90"/>
    <w:rsid w:val="00C07370"/>
    <w:rsid w:val="00C0743F"/>
    <w:rsid w:val="00C076C3"/>
    <w:rsid w:val="00C07787"/>
    <w:rsid w:val="00C07A4A"/>
    <w:rsid w:val="00C10190"/>
    <w:rsid w:val="00C10B72"/>
    <w:rsid w:val="00C10E5B"/>
    <w:rsid w:val="00C10E67"/>
    <w:rsid w:val="00C1102C"/>
    <w:rsid w:val="00C110A0"/>
    <w:rsid w:val="00C112E4"/>
    <w:rsid w:val="00C115F2"/>
    <w:rsid w:val="00C11A36"/>
    <w:rsid w:val="00C11ABF"/>
    <w:rsid w:val="00C11E05"/>
    <w:rsid w:val="00C123FE"/>
    <w:rsid w:val="00C124BA"/>
    <w:rsid w:val="00C12A0A"/>
    <w:rsid w:val="00C12B2A"/>
    <w:rsid w:val="00C144AB"/>
    <w:rsid w:val="00C149BD"/>
    <w:rsid w:val="00C14E00"/>
    <w:rsid w:val="00C15CF3"/>
    <w:rsid w:val="00C15E03"/>
    <w:rsid w:val="00C15E57"/>
    <w:rsid w:val="00C163BE"/>
    <w:rsid w:val="00C16928"/>
    <w:rsid w:val="00C16AAC"/>
    <w:rsid w:val="00C17774"/>
    <w:rsid w:val="00C17A91"/>
    <w:rsid w:val="00C20949"/>
    <w:rsid w:val="00C20B00"/>
    <w:rsid w:val="00C20CED"/>
    <w:rsid w:val="00C20D76"/>
    <w:rsid w:val="00C2173E"/>
    <w:rsid w:val="00C21EFF"/>
    <w:rsid w:val="00C21F33"/>
    <w:rsid w:val="00C225B5"/>
    <w:rsid w:val="00C226E6"/>
    <w:rsid w:val="00C22974"/>
    <w:rsid w:val="00C22BB1"/>
    <w:rsid w:val="00C22DD2"/>
    <w:rsid w:val="00C23818"/>
    <w:rsid w:val="00C23984"/>
    <w:rsid w:val="00C23C12"/>
    <w:rsid w:val="00C2400B"/>
    <w:rsid w:val="00C2409E"/>
    <w:rsid w:val="00C24B8E"/>
    <w:rsid w:val="00C24F9F"/>
    <w:rsid w:val="00C25349"/>
    <w:rsid w:val="00C25BDA"/>
    <w:rsid w:val="00C25CF8"/>
    <w:rsid w:val="00C26213"/>
    <w:rsid w:val="00C26E78"/>
    <w:rsid w:val="00C26F21"/>
    <w:rsid w:val="00C26F83"/>
    <w:rsid w:val="00C276D5"/>
    <w:rsid w:val="00C300D7"/>
    <w:rsid w:val="00C30962"/>
    <w:rsid w:val="00C30BA4"/>
    <w:rsid w:val="00C30F0B"/>
    <w:rsid w:val="00C3113D"/>
    <w:rsid w:val="00C3294F"/>
    <w:rsid w:val="00C329D7"/>
    <w:rsid w:val="00C32C31"/>
    <w:rsid w:val="00C32F29"/>
    <w:rsid w:val="00C32F2E"/>
    <w:rsid w:val="00C33104"/>
    <w:rsid w:val="00C332D4"/>
    <w:rsid w:val="00C33FE1"/>
    <w:rsid w:val="00C345FA"/>
    <w:rsid w:val="00C34637"/>
    <w:rsid w:val="00C3504F"/>
    <w:rsid w:val="00C354C6"/>
    <w:rsid w:val="00C35B12"/>
    <w:rsid w:val="00C35D79"/>
    <w:rsid w:val="00C363FE"/>
    <w:rsid w:val="00C3661B"/>
    <w:rsid w:val="00C36AAF"/>
    <w:rsid w:val="00C36D99"/>
    <w:rsid w:val="00C36FC5"/>
    <w:rsid w:val="00C373B4"/>
    <w:rsid w:val="00C3776B"/>
    <w:rsid w:val="00C37B63"/>
    <w:rsid w:val="00C37DFB"/>
    <w:rsid w:val="00C37EE6"/>
    <w:rsid w:val="00C406CA"/>
    <w:rsid w:val="00C40741"/>
    <w:rsid w:val="00C4163F"/>
    <w:rsid w:val="00C4181E"/>
    <w:rsid w:val="00C41B92"/>
    <w:rsid w:val="00C423F6"/>
    <w:rsid w:val="00C4335B"/>
    <w:rsid w:val="00C43C08"/>
    <w:rsid w:val="00C43E52"/>
    <w:rsid w:val="00C44153"/>
    <w:rsid w:val="00C4450B"/>
    <w:rsid w:val="00C44C0D"/>
    <w:rsid w:val="00C4626A"/>
    <w:rsid w:val="00C46309"/>
    <w:rsid w:val="00C46358"/>
    <w:rsid w:val="00C463AF"/>
    <w:rsid w:val="00C46653"/>
    <w:rsid w:val="00C4688E"/>
    <w:rsid w:val="00C47073"/>
    <w:rsid w:val="00C47181"/>
    <w:rsid w:val="00C477BE"/>
    <w:rsid w:val="00C47DB5"/>
    <w:rsid w:val="00C50B7F"/>
    <w:rsid w:val="00C50D2C"/>
    <w:rsid w:val="00C50D4C"/>
    <w:rsid w:val="00C50DB0"/>
    <w:rsid w:val="00C50F0F"/>
    <w:rsid w:val="00C51011"/>
    <w:rsid w:val="00C510F9"/>
    <w:rsid w:val="00C5199C"/>
    <w:rsid w:val="00C52155"/>
    <w:rsid w:val="00C526BA"/>
    <w:rsid w:val="00C52C71"/>
    <w:rsid w:val="00C52DAF"/>
    <w:rsid w:val="00C52DB7"/>
    <w:rsid w:val="00C53610"/>
    <w:rsid w:val="00C5371F"/>
    <w:rsid w:val="00C5454E"/>
    <w:rsid w:val="00C54F45"/>
    <w:rsid w:val="00C5543E"/>
    <w:rsid w:val="00C55C4A"/>
    <w:rsid w:val="00C56067"/>
    <w:rsid w:val="00C560AC"/>
    <w:rsid w:val="00C56FC4"/>
    <w:rsid w:val="00C5781C"/>
    <w:rsid w:val="00C5791E"/>
    <w:rsid w:val="00C57A07"/>
    <w:rsid w:val="00C57B7C"/>
    <w:rsid w:val="00C57FA8"/>
    <w:rsid w:val="00C60343"/>
    <w:rsid w:val="00C60DD5"/>
    <w:rsid w:val="00C60FCA"/>
    <w:rsid w:val="00C61165"/>
    <w:rsid w:val="00C61F02"/>
    <w:rsid w:val="00C61FD5"/>
    <w:rsid w:val="00C62347"/>
    <w:rsid w:val="00C6284D"/>
    <w:rsid w:val="00C62A15"/>
    <w:rsid w:val="00C634A7"/>
    <w:rsid w:val="00C63690"/>
    <w:rsid w:val="00C63AF0"/>
    <w:rsid w:val="00C63BED"/>
    <w:rsid w:val="00C64438"/>
    <w:rsid w:val="00C646B4"/>
    <w:rsid w:val="00C64759"/>
    <w:rsid w:val="00C6499A"/>
    <w:rsid w:val="00C64AE1"/>
    <w:rsid w:val="00C64D14"/>
    <w:rsid w:val="00C6539E"/>
    <w:rsid w:val="00C656E4"/>
    <w:rsid w:val="00C65DF2"/>
    <w:rsid w:val="00C6648E"/>
    <w:rsid w:val="00C66611"/>
    <w:rsid w:val="00C667CB"/>
    <w:rsid w:val="00C66817"/>
    <w:rsid w:val="00C67406"/>
    <w:rsid w:val="00C70451"/>
    <w:rsid w:val="00C707D8"/>
    <w:rsid w:val="00C71573"/>
    <w:rsid w:val="00C7292E"/>
    <w:rsid w:val="00C72938"/>
    <w:rsid w:val="00C72BF4"/>
    <w:rsid w:val="00C72FB4"/>
    <w:rsid w:val="00C733A8"/>
    <w:rsid w:val="00C73775"/>
    <w:rsid w:val="00C749D7"/>
    <w:rsid w:val="00C75732"/>
    <w:rsid w:val="00C76F28"/>
    <w:rsid w:val="00C77045"/>
    <w:rsid w:val="00C77431"/>
    <w:rsid w:val="00C7762E"/>
    <w:rsid w:val="00C77F44"/>
    <w:rsid w:val="00C77FCD"/>
    <w:rsid w:val="00C80A7D"/>
    <w:rsid w:val="00C81373"/>
    <w:rsid w:val="00C82653"/>
    <w:rsid w:val="00C82C3D"/>
    <w:rsid w:val="00C82D95"/>
    <w:rsid w:val="00C83097"/>
    <w:rsid w:val="00C831B5"/>
    <w:rsid w:val="00C83B78"/>
    <w:rsid w:val="00C8409E"/>
    <w:rsid w:val="00C84269"/>
    <w:rsid w:val="00C848F2"/>
    <w:rsid w:val="00C84CFF"/>
    <w:rsid w:val="00C854D4"/>
    <w:rsid w:val="00C85A5B"/>
    <w:rsid w:val="00C86324"/>
    <w:rsid w:val="00C863DD"/>
    <w:rsid w:val="00C865C4"/>
    <w:rsid w:val="00C8660D"/>
    <w:rsid w:val="00C86663"/>
    <w:rsid w:val="00C87B54"/>
    <w:rsid w:val="00C87B7F"/>
    <w:rsid w:val="00C87CB4"/>
    <w:rsid w:val="00C90556"/>
    <w:rsid w:val="00C906BD"/>
    <w:rsid w:val="00C91233"/>
    <w:rsid w:val="00C9207C"/>
    <w:rsid w:val="00C93025"/>
    <w:rsid w:val="00C93374"/>
    <w:rsid w:val="00C943AF"/>
    <w:rsid w:val="00C95A96"/>
    <w:rsid w:val="00C95D00"/>
    <w:rsid w:val="00C96532"/>
    <w:rsid w:val="00C9660E"/>
    <w:rsid w:val="00C966A8"/>
    <w:rsid w:val="00C96B64"/>
    <w:rsid w:val="00C971C8"/>
    <w:rsid w:val="00C97462"/>
    <w:rsid w:val="00C975E2"/>
    <w:rsid w:val="00CA07F0"/>
    <w:rsid w:val="00CA0D78"/>
    <w:rsid w:val="00CA1B5E"/>
    <w:rsid w:val="00CA2A73"/>
    <w:rsid w:val="00CA3275"/>
    <w:rsid w:val="00CA388A"/>
    <w:rsid w:val="00CA4855"/>
    <w:rsid w:val="00CA4C5F"/>
    <w:rsid w:val="00CA50FB"/>
    <w:rsid w:val="00CA5666"/>
    <w:rsid w:val="00CA5C5C"/>
    <w:rsid w:val="00CA5D90"/>
    <w:rsid w:val="00CA62DF"/>
    <w:rsid w:val="00CA6D71"/>
    <w:rsid w:val="00CA6DF0"/>
    <w:rsid w:val="00CA73B3"/>
    <w:rsid w:val="00CA752E"/>
    <w:rsid w:val="00CA7AC0"/>
    <w:rsid w:val="00CB0602"/>
    <w:rsid w:val="00CB062A"/>
    <w:rsid w:val="00CB1E68"/>
    <w:rsid w:val="00CB1EA4"/>
    <w:rsid w:val="00CB24FE"/>
    <w:rsid w:val="00CB261F"/>
    <w:rsid w:val="00CB2768"/>
    <w:rsid w:val="00CB3021"/>
    <w:rsid w:val="00CB328C"/>
    <w:rsid w:val="00CB334C"/>
    <w:rsid w:val="00CB3703"/>
    <w:rsid w:val="00CB3850"/>
    <w:rsid w:val="00CB3870"/>
    <w:rsid w:val="00CB3ECC"/>
    <w:rsid w:val="00CB4D42"/>
    <w:rsid w:val="00CB4F18"/>
    <w:rsid w:val="00CB5B61"/>
    <w:rsid w:val="00CB6065"/>
    <w:rsid w:val="00CB62BF"/>
    <w:rsid w:val="00CB713F"/>
    <w:rsid w:val="00CC02EE"/>
    <w:rsid w:val="00CC03FA"/>
    <w:rsid w:val="00CC0DFB"/>
    <w:rsid w:val="00CC1282"/>
    <w:rsid w:val="00CC1EC5"/>
    <w:rsid w:val="00CC224F"/>
    <w:rsid w:val="00CC2AA0"/>
    <w:rsid w:val="00CC3363"/>
    <w:rsid w:val="00CC3380"/>
    <w:rsid w:val="00CC3FB2"/>
    <w:rsid w:val="00CC4654"/>
    <w:rsid w:val="00CC4CBB"/>
    <w:rsid w:val="00CC4D0F"/>
    <w:rsid w:val="00CC53D1"/>
    <w:rsid w:val="00CC564B"/>
    <w:rsid w:val="00CC6084"/>
    <w:rsid w:val="00CC643D"/>
    <w:rsid w:val="00CC6CE2"/>
    <w:rsid w:val="00CC6EDB"/>
    <w:rsid w:val="00CC73F5"/>
    <w:rsid w:val="00CC7709"/>
    <w:rsid w:val="00CC774B"/>
    <w:rsid w:val="00CD0336"/>
    <w:rsid w:val="00CD092C"/>
    <w:rsid w:val="00CD1134"/>
    <w:rsid w:val="00CD1315"/>
    <w:rsid w:val="00CD1337"/>
    <w:rsid w:val="00CD16EC"/>
    <w:rsid w:val="00CD1F84"/>
    <w:rsid w:val="00CD2512"/>
    <w:rsid w:val="00CD25E4"/>
    <w:rsid w:val="00CD26F7"/>
    <w:rsid w:val="00CD2C9C"/>
    <w:rsid w:val="00CD395B"/>
    <w:rsid w:val="00CD41E9"/>
    <w:rsid w:val="00CD4609"/>
    <w:rsid w:val="00CD4735"/>
    <w:rsid w:val="00CD4A59"/>
    <w:rsid w:val="00CD4E04"/>
    <w:rsid w:val="00CD5125"/>
    <w:rsid w:val="00CD5219"/>
    <w:rsid w:val="00CD55B9"/>
    <w:rsid w:val="00CD576B"/>
    <w:rsid w:val="00CD57E4"/>
    <w:rsid w:val="00CD58FD"/>
    <w:rsid w:val="00CD596C"/>
    <w:rsid w:val="00CD5FDC"/>
    <w:rsid w:val="00CD6C5C"/>
    <w:rsid w:val="00CD6E57"/>
    <w:rsid w:val="00CD75E7"/>
    <w:rsid w:val="00CE02CC"/>
    <w:rsid w:val="00CE0308"/>
    <w:rsid w:val="00CE09D8"/>
    <w:rsid w:val="00CE0C27"/>
    <w:rsid w:val="00CE26D1"/>
    <w:rsid w:val="00CE2706"/>
    <w:rsid w:val="00CE2C86"/>
    <w:rsid w:val="00CE2CA1"/>
    <w:rsid w:val="00CE3467"/>
    <w:rsid w:val="00CE370E"/>
    <w:rsid w:val="00CE49A9"/>
    <w:rsid w:val="00CE4A4B"/>
    <w:rsid w:val="00CE4B3E"/>
    <w:rsid w:val="00CE4D66"/>
    <w:rsid w:val="00CE5261"/>
    <w:rsid w:val="00CE54FC"/>
    <w:rsid w:val="00CE5CBB"/>
    <w:rsid w:val="00CE7FF1"/>
    <w:rsid w:val="00CF0378"/>
    <w:rsid w:val="00CF040F"/>
    <w:rsid w:val="00CF1108"/>
    <w:rsid w:val="00CF112B"/>
    <w:rsid w:val="00CF14E6"/>
    <w:rsid w:val="00CF1770"/>
    <w:rsid w:val="00CF1BCD"/>
    <w:rsid w:val="00CF1FDC"/>
    <w:rsid w:val="00CF226B"/>
    <w:rsid w:val="00CF275F"/>
    <w:rsid w:val="00CF3291"/>
    <w:rsid w:val="00CF3DA3"/>
    <w:rsid w:val="00CF3FBE"/>
    <w:rsid w:val="00CF4434"/>
    <w:rsid w:val="00CF471A"/>
    <w:rsid w:val="00CF4A33"/>
    <w:rsid w:val="00CF4F67"/>
    <w:rsid w:val="00CF607B"/>
    <w:rsid w:val="00CF63C6"/>
    <w:rsid w:val="00CF69FA"/>
    <w:rsid w:val="00CF7EA4"/>
    <w:rsid w:val="00D000B5"/>
    <w:rsid w:val="00D011CB"/>
    <w:rsid w:val="00D0176B"/>
    <w:rsid w:val="00D01AC9"/>
    <w:rsid w:val="00D02074"/>
    <w:rsid w:val="00D020C0"/>
    <w:rsid w:val="00D02215"/>
    <w:rsid w:val="00D02B6C"/>
    <w:rsid w:val="00D03307"/>
    <w:rsid w:val="00D04535"/>
    <w:rsid w:val="00D049BD"/>
    <w:rsid w:val="00D05087"/>
    <w:rsid w:val="00D05D37"/>
    <w:rsid w:val="00D061C8"/>
    <w:rsid w:val="00D06D4A"/>
    <w:rsid w:val="00D06DC6"/>
    <w:rsid w:val="00D07011"/>
    <w:rsid w:val="00D07035"/>
    <w:rsid w:val="00D07542"/>
    <w:rsid w:val="00D104CB"/>
    <w:rsid w:val="00D109FD"/>
    <w:rsid w:val="00D1100B"/>
    <w:rsid w:val="00D11BCC"/>
    <w:rsid w:val="00D12040"/>
    <w:rsid w:val="00D129E4"/>
    <w:rsid w:val="00D13452"/>
    <w:rsid w:val="00D13B8B"/>
    <w:rsid w:val="00D13C83"/>
    <w:rsid w:val="00D13DC3"/>
    <w:rsid w:val="00D13E2B"/>
    <w:rsid w:val="00D1431A"/>
    <w:rsid w:val="00D149B4"/>
    <w:rsid w:val="00D15965"/>
    <w:rsid w:val="00D15AB1"/>
    <w:rsid w:val="00D15B35"/>
    <w:rsid w:val="00D15C2D"/>
    <w:rsid w:val="00D15DF5"/>
    <w:rsid w:val="00D15E5D"/>
    <w:rsid w:val="00D16951"/>
    <w:rsid w:val="00D16B2B"/>
    <w:rsid w:val="00D16E1B"/>
    <w:rsid w:val="00D177BD"/>
    <w:rsid w:val="00D1792F"/>
    <w:rsid w:val="00D17EE6"/>
    <w:rsid w:val="00D2006A"/>
    <w:rsid w:val="00D204DE"/>
    <w:rsid w:val="00D211CE"/>
    <w:rsid w:val="00D21607"/>
    <w:rsid w:val="00D2165E"/>
    <w:rsid w:val="00D22CEC"/>
    <w:rsid w:val="00D2347E"/>
    <w:rsid w:val="00D23489"/>
    <w:rsid w:val="00D2503B"/>
    <w:rsid w:val="00D2567B"/>
    <w:rsid w:val="00D25E32"/>
    <w:rsid w:val="00D25E8A"/>
    <w:rsid w:val="00D25EBE"/>
    <w:rsid w:val="00D26009"/>
    <w:rsid w:val="00D260FF"/>
    <w:rsid w:val="00D2644E"/>
    <w:rsid w:val="00D26452"/>
    <w:rsid w:val="00D267D8"/>
    <w:rsid w:val="00D26DC2"/>
    <w:rsid w:val="00D27011"/>
    <w:rsid w:val="00D275FA"/>
    <w:rsid w:val="00D27969"/>
    <w:rsid w:val="00D27AF4"/>
    <w:rsid w:val="00D30291"/>
    <w:rsid w:val="00D30C0D"/>
    <w:rsid w:val="00D31933"/>
    <w:rsid w:val="00D32247"/>
    <w:rsid w:val="00D32F7D"/>
    <w:rsid w:val="00D33D8B"/>
    <w:rsid w:val="00D343FA"/>
    <w:rsid w:val="00D34A68"/>
    <w:rsid w:val="00D34FA6"/>
    <w:rsid w:val="00D3563B"/>
    <w:rsid w:val="00D35854"/>
    <w:rsid w:val="00D35935"/>
    <w:rsid w:val="00D3672B"/>
    <w:rsid w:val="00D36C5E"/>
    <w:rsid w:val="00D37529"/>
    <w:rsid w:val="00D37A28"/>
    <w:rsid w:val="00D40141"/>
    <w:rsid w:val="00D4044E"/>
    <w:rsid w:val="00D405BA"/>
    <w:rsid w:val="00D40BD8"/>
    <w:rsid w:val="00D41339"/>
    <w:rsid w:val="00D414E5"/>
    <w:rsid w:val="00D41800"/>
    <w:rsid w:val="00D418FF"/>
    <w:rsid w:val="00D4209C"/>
    <w:rsid w:val="00D426D6"/>
    <w:rsid w:val="00D427CF"/>
    <w:rsid w:val="00D43172"/>
    <w:rsid w:val="00D4335C"/>
    <w:rsid w:val="00D44C07"/>
    <w:rsid w:val="00D44F5E"/>
    <w:rsid w:val="00D453A8"/>
    <w:rsid w:val="00D4551B"/>
    <w:rsid w:val="00D46373"/>
    <w:rsid w:val="00D46C26"/>
    <w:rsid w:val="00D46D6F"/>
    <w:rsid w:val="00D477EB"/>
    <w:rsid w:val="00D47AC7"/>
    <w:rsid w:val="00D47D62"/>
    <w:rsid w:val="00D50B9F"/>
    <w:rsid w:val="00D50C92"/>
    <w:rsid w:val="00D51254"/>
    <w:rsid w:val="00D516F3"/>
    <w:rsid w:val="00D525C2"/>
    <w:rsid w:val="00D53B0E"/>
    <w:rsid w:val="00D53B4C"/>
    <w:rsid w:val="00D543EB"/>
    <w:rsid w:val="00D5460D"/>
    <w:rsid w:val="00D564B5"/>
    <w:rsid w:val="00D5660B"/>
    <w:rsid w:val="00D567F9"/>
    <w:rsid w:val="00D57195"/>
    <w:rsid w:val="00D571D9"/>
    <w:rsid w:val="00D574D2"/>
    <w:rsid w:val="00D5763B"/>
    <w:rsid w:val="00D57772"/>
    <w:rsid w:val="00D579A2"/>
    <w:rsid w:val="00D57DE4"/>
    <w:rsid w:val="00D57DED"/>
    <w:rsid w:val="00D57F95"/>
    <w:rsid w:val="00D60AB4"/>
    <w:rsid w:val="00D60FC3"/>
    <w:rsid w:val="00D6102C"/>
    <w:rsid w:val="00D616B5"/>
    <w:rsid w:val="00D62665"/>
    <w:rsid w:val="00D6277A"/>
    <w:rsid w:val="00D64046"/>
    <w:rsid w:val="00D645DC"/>
    <w:rsid w:val="00D64FED"/>
    <w:rsid w:val="00D656F0"/>
    <w:rsid w:val="00D65C76"/>
    <w:rsid w:val="00D675D5"/>
    <w:rsid w:val="00D7014D"/>
    <w:rsid w:val="00D7128B"/>
    <w:rsid w:val="00D72A68"/>
    <w:rsid w:val="00D72ED1"/>
    <w:rsid w:val="00D734C7"/>
    <w:rsid w:val="00D73B2A"/>
    <w:rsid w:val="00D73DF2"/>
    <w:rsid w:val="00D7413E"/>
    <w:rsid w:val="00D74BA7"/>
    <w:rsid w:val="00D750FC"/>
    <w:rsid w:val="00D7542B"/>
    <w:rsid w:val="00D75562"/>
    <w:rsid w:val="00D75ECB"/>
    <w:rsid w:val="00D7601A"/>
    <w:rsid w:val="00D7632F"/>
    <w:rsid w:val="00D769AD"/>
    <w:rsid w:val="00D77363"/>
    <w:rsid w:val="00D7745A"/>
    <w:rsid w:val="00D774C8"/>
    <w:rsid w:val="00D77A5D"/>
    <w:rsid w:val="00D77B36"/>
    <w:rsid w:val="00D77FF7"/>
    <w:rsid w:val="00D80BC7"/>
    <w:rsid w:val="00D80D24"/>
    <w:rsid w:val="00D8128D"/>
    <w:rsid w:val="00D812EE"/>
    <w:rsid w:val="00D81C6A"/>
    <w:rsid w:val="00D82188"/>
    <w:rsid w:val="00D82470"/>
    <w:rsid w:val="00D82931"/>
    <w:rsid w:val="00D82A40"/>
    <w:rsid w:val="00D8351F"/>
    <w:rsid w:val="00D8356A"/>
    <w:rsid w:val="00D83905"/>
    <w:rsid w:val="00D84686"/>
    <w:rsid w:val="00D854C8"/>
    <w:rsid w:val="00D85EC4"/>
    <w:rsid w:val="00D8602C"/>
    <w:rsid w:val="00D8669A"/>
    <w:rsid w:val="00D869AB"/>
    <w:rsid w:val="00D86AED"/>
    <w:rsid w:val="00D86C57"/>
    <w:rsid w:val="00D86DA1"/>
    <w:rsid w:val="00D87370"/>
    <w:rsid w:val="00D907DC"/>
    <w:rsid w:val="00D912DE"/>
    <w:rsid w:val="00D9143B"/>
    <w:rsid w:val="00D91F8F"/>
    <w:rsid w:val="00D92839"/>
    <w:rsid w:val="00D92D57"/>
    <w:rsid w:val="00D92E88"/>
    <w:rsid w:val="00D9362E"/>
    <w:rsid w:val="00D93AC1"/>
    <w:rsid w:val="00D947C1"/>
    <w:rsid w:val="00D94909"/>
    <w:rsid w:val="00D95071"/>
    <w:rsid w:val="00D95ACC"/>
    <w:rsid w:val="00D95B11"/>
    <w:rsid w:val="00D9611B"/>
    <w:rsid w:val="00D96A7B"/>
    <w:rsid w:val="00D96CFC"/>
    <w:rsid w:val="00DA0965"/>
    <w:rsid w:val="00DA1705"/>
    <w:rsid w:val="00DA19BF"/>
    <w:rsid w:val="00DA1D32"/>
    <w:rsid w:val="00DA1F52"/>
    <w:rsid w:val="00DA2856"/>
    <w:rsid w:val="00DA2ECF"/>
    <w:rsid w:val="00DA2F4D"/>
    <w:rsid w:val="00DA2F73"/>
    <w:rsid w:val="00DA3108"/>
    <w:rsid w:val="00DA3126"/>
    <w:rsid w:val="00DA34B6"/>
    <w:rsid w:val="00DA416A"/>
    <w:rsid w:val="00DA4838"/>
    <w:rsid w:val="00DA483F"/>
    <w:rsid w:val="00DA569F"/>
    <w:rsid w:val="00DA58E2"/>
    <w:rsid w:val="00DA66BB"/>
    <w:rsid w:val="00DA6A43"/>
    <w:rsid w:val="00DA6C19"/>
    <w:rsid w:val="00DA75AC"/>
    <w:rsid w:val="00DA7668"/>
    <w:rsid w:val="00DA7778"/>
    <w:rsid w:val="00DA7A55"/>
    <w:rsid w:val="00DB01AA"/>
    <w:rsid w:val="00DB03C1"/>
    <w:rsid w:val="00DB0632"/>
    <w:rsid w:val="00DB098E"/>
    <w:rsid w:val="00DB09EE"/>
    <w:rsid w:val="00DB0D09"/>
    <w:rsid w:val="00DB10F7"/>
    <w:rsid w:val="00DB13C1"/>
    <w:rsid w:val="00DB184C"/>
    <w:rsid w:val="00DB1C5D"/>
    <w:rsid w:val="00DB21C6"/>
    <w:rsid w:val="00DB4149"/>
    <w:rsid w:val="00DB46F7"/>
    <w:rsid w:val="00DB54BA"/>
    <w:rsid w:val="00DB5684"/>
    <w:rsid w:val="00DB608B"/>
    <w:rsid w:val="00DB64E9"/>
    <w:rsid w:val="00DB66AF"/>
    <w:rsid w:val="00DB6B77"/>
    <w:rsid w:val="00DB6B9F"/>
    <w:rsid w:val="00DB6E91"/>
    <w:rsid w:val="00DB7280"/>
    <w:rsid w:val="00DB7416"/>
    <w:rsid w:val="00DB7685"/>
    <w:rsid w:val="00DB7894"/>
    <w:rsid w:val="00DC00D9"/>
    <w:rsid w:val="00DC0252"/>
    <w:rsid w:val="00DC0563"/>
    <w:rsid w:val="00DC05ED"/>
    <w:rsid w:val="00DC07F3"/>
    <w:rsid w:val="00DC0B44"/>
    <w:rsid w:val="00DC0C3C"/>
    <w:rsid w:val="00DC0F75"/>
    <w:rsid w:val="00DC12C2"/>
    <w:rsid w:val="00DC176A"/>
    <w:rsid w:val="00DC2AB8"/>
    <w:rsid w:val="00DC307B"/>
    <w:rsid w:val="00DC343B"/>
    <w:rsid w:val="00DC37CB"/>
    <w:rsid w:val="00DC3C40"/>
    <w:rsid w:val="00DC3D10"/>
    <w:rsid w:val="00DC3F2A"/>
    <w:rsid w:val="00DC462F"/>
    <w:rsid w:val="00DC48DE"/>
    <w:rsid w:val="00DC499A"/>
    <w:rsid w:val="00DC4C5E"/>
    <w:rsid w:val="00DC52C7"/>
    <w:rsid w:val="00DC5923"/>
    <w:rsid w:val="00DC5AEA"/>
    <w:rsid w:val="00DC5B3E"/>
    <w:rsid w:val="00DC62C5"/>
    <w:rsid w:val="00DC63F5"/>
    <w:rsid w:val="00DC66FC"/>
    <w:rsid w:val="00DC6E04"/>
    <w:rsid w:val="00DC70D0"/>
    <w:rsid w:val="00DC7A0A"/>
    <w:rsid w:val="00DC7A63"/>
    <w:rsid w:val="00DC7D9E"/>
    <w:rsid w:val="00DD05CB"/>
    <w:rsid w:val="00DD0C92"/>
    <w:rsid w:val="00DD1FFF"/>
    <w:rsid w:val="00DD2B12"/>
    <w:rsid w:val="00DD346D"/>
    <w:rsid w:val="00DD347E"/>
    <w:rsid w:val="00DD3AC6"/>
    <w:rsid w:val="00DD3BE5"/>
    <w:rsid w:val="00DD445E"/>
    <w:rsid w:val="00DD46BF"/>
    <w:rsid w:val="00DD493B"/>
    <w:rsid w:val="00DD5529"/>
    <w:rsid w:val="00DD5BFA"/>
    <w:rsid w:val="00DD6017"/>
    <w:rsid w:val="00DD6A21"/>
    <w:rsid w:val="00DD7B1A"/>
    <w:rsid w:val="00DD7BC8"/>
    <w:rsid w:val="00DD7CA4"/>
    <w:rsid w:val="00DE0630"/>
    <w:rsid w:val="00DE0830"/>
    <w:rsid w:val="00DE18A7"/>
    <w:rsid w:val="00DE1BAE"/>
    <w:rsid w:val="00DE2056"/>
    <w:rsid w:val="00DE20A7"/>
    <w:rsid w:val="00DE26E6"/>
    <w:rsid w:val="00DE2731"/>
    <w:rsid w:val="00DE2B45"/>
    <w:rsid w:val="00DE2D89"/>
    <w:rsid w:val="00DE2E93"/>
    <w:rsid w:val="00DE2EFB"/>
    <w:rsid w:val="00DE3013"/>
    <w:rsid w:val="00DE389D"/>
    <w:rsid w:val="00DE3ACC"/>
    <w:rsid w:val="00DE4140"/>
    <w:rsid w:val="00DE4411"/>
    <w:rsid w:val="00DE4A0E"/>
    <w:rsid w:val="00DE60CA"/>
    <w:rsid w:val="00DE645D"/>
    <w:rsid w:val="00DE66CB"/>
    <w:rsid w:val="00DE6ED7"/>
    <w:rsid w:val="00DE7B83"/>
    <w:rsid w:val="00DF050D"/>
    <w:rsid w:val="00DF092A"/>
    <w:rsid w:val="00DF0E91"/>
    <w:rsid w:val="00DF1364"/>
    <w:rsid w:val="00DF1FE1"/>
    <w:rsid w:val="00DF2045"/>
    <w:rsid w:val="00DF20C0"/>
    <w:rsid w:val="00DF2E89"/>
    <w:rsid w:val="00DF306C"/>
    <w:rsid w:val="00DF32B1"/>
    <w:rsid w:val="00DF38E6"/>
    <w:rsid w:val="00DF394E"/>
    <w:rsid w:val="00DF505E"/>
    <w:rsid w:val="00DF5110"/>
    <w:rsid w:val="00DF520A"/>
    <w:rsid w:val="00DF5351"/>
    <w:rsid w:val="00DF56AB"/>
    <w:rsid w:val="00DF59BA"/>
    <w:rsid w:val="00DF5F84"/>
    <w:rsid w:val="00DF620E"/>
    <w:rsid w:val="00DF67F7"/>
    <w:rsid w:val="00DF694A"/>
    <w:rsid w:val="00DF6B6C"/>
    <w:rsid w:val="00DF7021"/>
    <w:rsid w:val="00DF77DE"/>
    <w:rsid w:val="00DF785D"/>
    <w:rsid w:val="00DF797A"/>
    <w:rsid w:val="00E00448"/>
    <w:rsid w:val="00E00507"/>
    <w:rsid w:val="00E00E83"/>
    <w:rsid w:val="00E012A0"/>
    <w:rsid w:val="00E01E56"/>
    <w:rsid w:val="00E01EBE"/>
    <w:rsid w:val="00E020DC"/>
    <w:rsid w:val="00E02517"/>
    <w:rsid w:val="00E02A2D"/>
    <w:rsid w:val="00E02A31"/>
    <w:rsid w:val="00E02FEF"/>
    <w:rsid w:val="00E03845"/>
    <w:rsid w:val="00E0442B"/>
    <w:rsid w:val="00E04C5F"/>
    <w:rsid w:val="00E04F54"/>
    <w:rsid w:val="00E052B3"/>
    <w:rsid w:val="00E056AC"/>
    <w:rsid w:val="00E06B75"/>
    <w:rsid w:val="00E0716B"/>
    <w:rsid w:val="00E079E9"/>
    <w:rsid w:val="00E10242"/>
    <w:rsid w:val="00E107F4"/>
    <w:rsid w:val="00E10B9A"/>
    <w:rsid w:val="00E10D7D"/>
    <w:rsid w:val="00E10F9E"/>
    <w:rsid w:val="00E1180B"/>
    <w:rsid w:val="00E11E53"/>
    <w:rsid w:val="00E1246A"/>
    <w:rsid w:val="00E13B05"/>
    <w:rsid w:val="00E13BE6"/>
    <w:rsid w:val="00E13FE8"/>
    <w:rsid w:val="00E14439"/>
    <w:rsid w:val="00E14833"/>
    <w:rsid w:val="00E14870"/>
    <w:rsid w:val="00E14BC1"/>
    <w:rsid w:val="00E153E7"/>
    <w:rsid w:val="00E1544F"/>
    <w:rsid w:val="00E15690"/>
    <w:rsid w:val="00E1591D"/>
    <w:rsid w:val="00E15EBC"/>
    <w:rsid w:val="00E1675F"/>
    <w:rsid w:val="00E1714E"/>
    <w:rsid w:val="00E173FF"/>
    <w:rsid w:val="00E178E5"/>
    <w:rsid w:val="00E17C00"/>
    <w:rsid w:val="00E2069E"/>
    <w:rsid w:val="00E20DB1"/>
    <w:rsid w:val="00E21326"/>
    <w:rsid w:val="00E21F36"/>
    <w:rsid w:val="00E2268A"/>
    <w:rsid w:val="00E2274C"/>
    <w:rsid w:val="00E23043"/>
    <w:rsid w:val="00E232D6"/>
    <w:rsid w:val="00E23E31"/>
    <w:rsid w:val="00E24FA3"/>
    <w:rsid w:val="00E25408"/>
    <w:rsid w:val="00E25655"/>
    <w:rsid w:val="00E259A8"/>
    <w:rsid w:val="00E25DCF"/>
    <w:rsid w:val="00E26717"/>
    <w:rsid w:val="00E2681E"/>
    <w:rsid w:val="00E26B28"/>
    <w:rsid w:val="00E26BFB"/>
    <w:rsid w:val="00E27B83"/>
    <w:rsid w:val="00E30347"/>
    <w:rsid w:val="00E30A13"/>
    <w:rsid w:val="00E31157"/>
    <w:rsid w:val="00E311C9"/>
    <w:rsid w:val="00E31465"/>
    <w:rsid w:val="00E317A4"/>
    <w:rsid w:val="00E319C3"/>
    <w:rsid w:val="00E31DD8"/>
    <w:rsid w:val="00E31F34"/>
    <w:rsid w:val="00E31F99"/>
    <w:rsid w:val="00E323E3"/>
    <w:rsid w:val="00E328CD"/>
    <w:rsid w:val="00E32A99"/>
    <w:rsid w:val="00E32EC7"/>
    <w:rsid w:val="00E3318D"/>
    <w:rsid w:val="00E331FC"/>
    <w:rsid w:val="00E3473C"/>
    <w:rsid w:val="00E3489E"/>
    <w:rsid w:val="00E34CCC"/>
    <w:rsid w:val="00E35F6B"/>
    <w:rsid w:val="00E362F0"/>
    <w:rsid w:val="00E36304"/>
    <w:rsid w:val="00E36415"/>
    <w:rsid w:val="00E368E1"/>
    <w:rsid w:val="00E36B95"/>
    <w:rsid w:val="00E36F47"/>
    <w:rsid w:val="00E37686"/>
    <w:rsid w:val="00E4003F"/>
    <w:rsid w:val="00E40916"/>
    <w:rsid w:val="00E409E8"/>
    <w:rsid w:val="00E41038"/>
    <w:rsid w:val="00E41502"/>
    <w:rsid w:val="00E41B65"/>
    <w:rsid w:val="00E421A4"/>
    <w:rsid w:val="00E42B17"/>
    <w:rsid w:val="00E43CD4"/>
    <w:rsid w:val="00E43D75"/>
    <w:rsid w:val="00E44F50"/>
    <w:rsid w:val="00E458F6"/>
    <w:rsid w:val="00E45954"/>
    <w:rsid w:val="00E461F3"/>
    <w:rsid w:val="00E463DF"/>
    <w:rsid w:val="00E464DD"/>
    <w:rsid w:val="00E46704"/>
    <w:rsid w:val="00E46949"/>
    <w:rsid w:val="00E46AAE"/>
    <w:rsid w:val="00E47427"/>
    <w:rsid w:val="00E47787"/>
    <w:rsid w:val="00E47A60"/>
    <w:rsid w:val="00E5011A"/>
    <w:rsid w:val="00E50565"/>
    <w:rsid w:val="00E5074F"/>
    <w:rsid w:val="00E50C33"/>
    <w:rsid w:val="00E515F8"/>
    <w:rsid w:val="00E51C59"/>
    <w:rsid w:val="00E52199"/>
    <w:rsid w:val="00E52CF3"/>
    <w:rsid w:val="00E53546"/>
    <w:rsid w:val="00E537CC"/>
    <w:rsid w:val="00E53961"/>
    <w:rsid w:val="00E53A07"/>
    <w:rsid w:val="00E53CEE"/>
    <w:rsid w:val="00E544CF"/>
    <w:rsid w:val="00E548EB"/>
    <w:rsid w:val="00E54CC2"/>
    <w:rsid w:val="00E55516"/>
    <w:rsid w:val="00E55F24"/>
    <w:rsid w:val="00E56EFE"/>
    <w:rsid w:val="00E571B1"/>
    <w:rsid w:val="00E573AC"/>
    <w:rsid w:val="00E57B5D"/>
    <w:rsid w:val="00E57F25"/>
    <w:rsid w:val="00E607E8"/>
    <w:rsid w:val="00E6087C"/>
    <w:rsid w:val="00E60CB7"/>
    <w:rsid w:val="00E60E96"/>
    <w:rsid w:val="00E614EE"/>
    <w:rsid w:val="00E619D7"/>
    <w:rsid w:val="00E61B14"/>
    <w:rsid w:val="00E61B9E"/>
    <w:rsid w:val="00E63625"/>
    <w:rsid w:val="00E63A5D"/>
    <w:rsid w:val="00E656B6"/>
    <w:rsid w:val="00E65F62"/>
    <w:rsid w:val="00E662B0"/>
    <w:rsid w:val="00E666CB"/>
    <w:rsid w:val="00E66B1D"/>
    <w:rsid w:val="00E66EBC"/>
    <w:rsid w:val="00E670C4"/>
    <w:rsid w:val="00E67C60"/>
    <w:rsid w:val="00E7003C"/>
    <w:rsid w:val="00E70521"/>
    <w:rsid w:val="00E708E1"/>
    <w:rsid w:val="00E725A5"/>
    <w:rsid w:val="00E72973"/>
    <w:rsid w:val="00E730AB"/>
    <w:rsid w:val="00E74CC1"/>
    <w:rsid w:val="00E75676"/>
    <w:rsid w:val="00E756D1"/>
    <w:rsid w:val="00E75B46"/>
    <w:rsid w:val="00E75B59"/>
    <w:rsid w:val="00E761F5"/>
    <w:rsid w:val="00E7621E"/>
    <w:rsid w:val="00E764EE"/>
    <w:rsid w:val="00E767CB"/>
    <w:rsid w:val="00E77873"/>
    <w:rsid w:val="00E77D9D"/>
    <w:rsid w:val="00E77FB7"/>
    <w:rsid w:val="00E77FBD"/>
    <w:rsid w:val="00E80231"/>
    <w:rsid w:val="00E80EF9"/>
    <w:rsid w:val="00E8119C"/>
    <w:rsid w:val="00E8147F"/>
    <w:rsid w:val="00E817B3"/>
    <w:rsid w:val="00E81801"/>
    <w:rsid w:val="00E818B0"/>
    <w:rsid w:val="00E81D0E"/>
    <w:rsid w:val="00E81EA2"/>
    <w:rsid w:val="00E823FC"/>
    <w:rsid w:val="00E82527"/>
    <w:rsid w:val="00E82C31"/>
    <w:rsid w:val="00E83FFC"/>
    <w:rsid w:val="00E841B1"/>
    <w:rsid w:val="00E84836"/>
    <w:rsid w:val="00E84D26"/>
    <w:rsid w:val="00E84E39"/>
    <w:rsid w:val="00E8610B"/>
    <w:rsid w:val="00E86725"/>
    <w:rsid w:val="00E869C6"/>
    <w:rsid w:val="00E86CE8"/>
    <w:rsid w:val="00E86F27"/>
    <w:rsid w:val="00E87838"/>
    <w:rsid w:val="00E87BCA"/>
    <w:rsid w:val="00E902D0"/>
    <w:rsid w:val="00E903FE"/>
    <w:rsid w:val="00E90517"/>
    <w:rsid w:val="00E90B64"/>
    <w:rsid w:val="00E91886"/>
    <w:rsid w:val="00E91C73"/>
    <w:rsid w:val="00E91CDE"/>
    <w:rsid w:val="00E91CF1"/>
    <w:rsid w:val="00E92361"/>
    <w:rsid w:val="00E9359E"/>
    <w:rsid w:val="00E9381A"/>
    <w:rsid w:val="00E93FED"/>
    <w:rsid w:val="00E94B20"/>
    <w:rsid w:val="00E96709"/>
    <w:rsid w:val="00E96AB9"/>
    <w:rsid w:val="00E96C63"/>
    <w:rsid w:val="00E96F40"/>
    <w:rsid w:val="00E971CF"/>
    <w:rsid w:val="00E97345"/>
    <w:rsid w:val="00E97391"/>
    <w:rsid w:val="00E975C2"/>
    <w:rsid w:val="00E9761F"/>
    <w:rsid w:val="00E97F49"/>
    <w:rsid w:val="00EA02CE"/>
    <w:rsid w:val="00EA1483"/>
    <w:rsid w:val="00EA2240"/>
    <w:rsid w:val="00EA2779"/>
    <w:rsid w:val="00EA29C4"/>
    <w:rsid w:val="00EA3900"/>
    <w:rsid w:val="00EA3EC1"/>
    <w:rsid w:val="00EA4152"/>
    <w:rsid w:val="00EA4187"/>
    <w:rsid w:val="00EA4347"/>
    <w:rsid w:val="00EA44D9"/>
    <w:rsid w:val="00EA4B9C"/>
    <w:rsid w:val="00EA5619"/>
    <w:rsid w:val="00EA5FBE"/>
    <w:rsid w:val="00EA6321"/>
    <w:rsid w:val="00EA6B01"/>
    <w:rsid w:val="00EA78B4"/>
    <w:rsid w:val="00EB0128"/>
    <w:rsid w:val="00EB01CB"/>
    <w:rsid w:val="00EB023A"/>
    <w:rsid w:val="00EB03BD"/>
    <w:rsid w:val="00EB0603"/>
    <w:rsid w:val="00EB072C"/>
    <w:rsid w:val="00EB0AE8"/>
    <w:rsid w:val="00EB0C94"/>
    <w:rsid w:val="00EB0E5C"/>
    <w:rsid w:val="00EB0FC8"/>
    <w:rsid w:val="00EB162C"/>
    <w:rsid w:val="00EB2216"/>
    <w:rsid w:val="00EB2F94"/>
    <w:rsid w:val="00EB3BAC"/>
    <w:rsid w:val="00EB3BD8"/>
    <w:rsid w:val="00EB3E04"/>
    <w:rsid w:val="00EB3EBF"/>
    <w:rsid w:val="00EB47D5"/>
    <w:rsid w:val="00EB53AD"/>
    <w:rsid w:val="00EB5B65"/>
    <w:rsid w:val="00EB6156"/>
    <w:rsid w:val="00EB6272"/>
    <w:rsid w:val="00EB6A76"/>
    <w:rsid w:val="00EB6EFD"/>
    <w:rsid w:val="00EB7149"/>
    <w:rsid w:val="00EB7244"/>
    <w:rsid w:val="00EB764B"/>
    <w:rsid w:val="00EC0508"/>
    <w:rsid w:val="00EC094D"/>
    <w:rsid w:val="00EC0EAB"/>
    <w:rsid w:val="00EC106F"/>
    <w:rsid w:val="00EC10DD"/>
    <w:rsid w:val="00EC1440"/>
    <w:rsid w:val="00EC1C0A"/>
    <w:rsid w:val="00EC20D6"/>
    <w:rsid w:val="00EC28C6"/>
    <w:rsid w:val="00EC2BAC"/>
    <w:rsid w:val="00EC41B3"/>
    <w:rsid w:val="00EC4712"/>
    <w:rsid w:val="00EC4CF9"/>
    <w:rsid w:val="00EC52EA"/>
    <w:rsid w:val="00EC5566"/>
    <w:rsid w:val="00EC5619"/>
    <w:rsid w:val="00EC5A05"/>
    <w:rsid w:val="00EC61AC"/>
    <w:rsid w:val="00EC6959"/>
    <w:rsid w:val="00EC6A63"/>
    <w:rsid w:val="00EC7BEF"/>
    <w:rsid w:val="00EC7DBB"/>
    <w:rsid w:val="00ED0034"/>
    <w:rsid w:val="00ED0C92"/>
    <w:rsid w:val="00ED0D23"/>
    <w:rsid w:val="00ED0FE5"/>
    <w:rsid w:val="00ED147F"/>
    <w:rsid w:val="00ED1D10"/>
    <w:rsid w:val="00ED2365"/>
    <w:rsid w:val="00ED24E2"/>
    <w:rsid w:val="00ED2BCA"/>
    <w:rsid w:val="00ED3D17"/>
    <w:rsid w:val="00ED4266"/>
    <w:rsid w:val="00ED4905"/>
    <w:rsid w:val="00ED501E"/>
    <w:rsid w:val="00ED5BC5"/>
    <w:rsid w:val="00ED5D5B"/>
    <w:rsid w:val="00ED718B"/>
    <w:rsid w:val="00ED7293"/>
    <w:rsid w:val="00ED73F6"/>
    <w:rsid w:val="00ED74BB"/>
    <w:rsid w:val="00ED7B53"/>
    <w:rsid w:val="00ED7E72"/>
    <w:rsid w:val="00EE02C1"/>
    <w:rsid w:val="00EE07C5"/>
    <w:rsid w:val="00EE0937"/>
    <w:rsid w:val="00EE0F19"/>
    <w:rsid w:val="00EE141D"/>
    <w:rsid w:val="00EE1A48"/>
    <w:rsid w:val="00EE249C"/>
    <w:rsid w:val="00EE3389"/>
    <w:rsid w:val="00EE3634"/>
    <w:rsid w:val="00EE4077"/>
    <w:rsid w:val="00EE41A2"/>
    <w:rsid w:val="00EE41A5"/>
    <w:rsid w:val="00EE4883"/>
    <w:rsid w:val="00EE4DAE"/>
    <w:rsid w:val="00EE569C"/>
    <w:rsid w:val="00EE56F4"/>
    <w:rsid w:val="00EE5BFD"/>
    <w:rsid w:val="00EE5E85"/>
    <w:rsid w:val="00EE6CCF"/>
    <w:rsid w:val="00EE6DF4"/>
    <w:rsid w:val="00EE71E3"/>
    <w:rsid w:val="00EE7801"/>
    <w:rsid w:val="00EF001E"/>
    <w:rsid w:val="00EF0593"/>
    <w:rsid w:val="00EF089E"/>
    <w:rsid w:val="00EF0A70"/>
    <w:rsid w:val="00EF0C07"/>
    <w:rsid w:val="00EF116A"/>
    <w:rsid w:val="00EF17D1"/>
    <w:rsid w:val="00EF1AE9"/>
    <w:rsid w:val="00EF20DE"/>
    <w:rsid w:val="00EF2897"/>
    <w:rsid w:val="00EF289A"/>
    <w:rsid w:val="00EF2B72"/>
    <w:rsid w:val="00EF331B"/>
    <w:rsid w:val="00EF332E"/>
    <w:rsid w:val="00EF3599"/>
    <w:rsid w:val="00EF3C67"/>
    <w:rsid w:val="00EF440F"/>
    <w:rsid w:val="00EF61D9"/>
    <w:rsid w:val="00EF6413"/>
    <w:rsid w:val="00EF695B"/>
    <w:rsid w:val="00EF78C7"/>
    <w:rsid w:val="00EF7A3C"/>
    <w:rsid w:val="00EF7AB6"/>
    <w:rsid w:val="00EF7F55"/>
    <w:rsid w:val="00F00342"/>
    <w:rsid w:val="00F003D3"/>
    <w:rsid w:val="00F005AC"/>
    <w:rsid w:val="00F007AA"/>
    <w:rsid w:val="00F01144"/>
    <w:rsid w:val="00F01451"/>
    <w:rsid w:val="00F01D2C"/>
    <w:rsid w:val="00F02527"/>
    <w:rsid w:val="00F025F6"/>
    <w:rsid w:val="00F0340C"/>
    <w:rsid w:val="00F03BC8"/>
    <w:rsid w:val="00F03C7E"/>
    <w:rsid w:val="00F044B9"/>
    <w:rsid w:val="00F048AA"/>
    <w:rsid w:val="00F05AC3"/>
    <w:rsid w:val="00F05B05"/>
    <w:rsid w:val="00F05D4A"/>
    <w:rsid w:val="00F05FFC"/>
    <w:rsid w:val="00F065EE"/>
    <w:rsid w:val="00F067F5"/>
    <w:rsid w:val="00F071F8"/>
    <w:rsid w:val="00F07308"/>
    <w:rsid w:val="00F07868"/>
    <w:rsid w:val="00F07994"/>
    <w:rsid w:val="00F0799D"/>
    <w:rsid w:val="00F07FAF"/>
    <w:rsid w:val="00F10690"/>
    <w:rsid w:val="00F1071B"/>
    <w:rsid w:val="00F107A0"/>
    <w:rsid w:val="00F10C6E"/>
    <w:rsid w:val="00F12014"/>
    <w:rsid w:val="00F127A8"/>
    <w:rsid w:val="00F12E3E"/>
    <w:rsid w:val="00F13225"/>
    <w:rsid w:val="00F1322B"/>
    <w:rsid w:val="00F14398"/>
    <w:rsid w:val="00F14C6D"/>
    <w:rsid w:val="00F14E2C"/>
    <w:rsid w:val="00F14F54"/>
    <w:rsid w:val="00F1522E"/>
    <w:rsid w:val="00F15DFE"/>
    <w:rsid w:val="00F15E30"/>
    <w:rsid w:val="00F1632D"/>
    <w:rsid w:val="00F16E53"/>
    <w:rsid w:val="00F1729C"/>
    <w:rsid w:val="00F174C5"/>
    <w:rsid w:val="00F17B20"/>
    <w:rsid w:val="00F17B90"/>
    <w:rsid w:val="00F200D6"/>
    <w:rsid w:val="00F200E5"/>
    <w:rsid w:val="00F20263"/>
    <w:rsid w:val="00F202E5"/>
    <w:rsid w:val="00F204A8"/>
    <w:rsid w:val="00F204E9"/>
    <w:rsid w:val="00F2076E"/>
    <w:rsid w:val="00F20EF7"/>
    <w:rsid w:val="00F2171E"/>
    <w:rsid w:val="00F2184C"/>
    <w:rsid w:val="00F220A5"/>
    <w:rsid w:val="00F22223"/>
    <w:rsid w:val="00F2226E"/>
    <w:rsid w:val="00F236A7"/>
    <w:rsid w:val="00F2380F"/>
    <w:rsid w:val="00F2388E"/>
    <w:rsid w:val="00F23B39"/>
    <w:rsid w:val="00F23ECE"/>
    <w:rsid w:val="00F23F2A"/>
    <w:rsid w:val="00F24B46"/>
    <w:rsid w:val="00F25798"/>
    <w:rsid w:val="00F25E14"/>
    <w:rsid w:val="00F25F07"/>
    <w:rsid w:val="00F26219"/>
    <w:rsid w:val="00F26D73"/>
    <w:rsid w:val="00F26EF5"/>
    <w:rsid w:val="00F276BB"/>
    <w:rsid w:val="00F27821"/>
    <w:rsid w:val="00F27996"/>
    <w:rsid w:val="00F30004"/>
    <w:rsid w:val="00F3023F"/>
    <w:rsid w:val="00F3027B"/>
    <w:rsid w:val="00F30C80"/>
    <w:rsid w:val="00F31F34"/>
    <w:rsid w:val="00F31F42"/>
    <w:rsid w:val="00F324D1"/>
    <w:rsid w:val="00F332F8"/>
    <w:rsid w:val="00F33ACF"/>
    <w:rsid w:val="00F342CB"/>
    <w:rsid w:val="00F34362"/>
    <w:rsid w:val="00F34BC9"/>
    <w:rsid w:val="00F358AF"/>
    <w:rsid w:val="00F366E9"/>
    <w:rsid w:val="00F3765E"/>
    <w:rsid w:val="00F37BED"/>
    <w:rsid w:val="00F402F7"/>
    <w:rsid w:val="00F40449"/>
    <w:rsid w:val="00F40D31"/>
    <w:rsid w:val="00F40E93"/>
    <w:rsid w:val="00F41A10"/>
    <w:rsid w:val="00F41D06"/>
    <w:rsid w:val="00F43805"/>
    <w:rsid w:val="00F438E4"/>
    <w:rsid w:val="00F44779"/>
    <w:rsid w:val="00F4498E"/>
    <w:rsid w:val="00F45315"/>
    <w:rsid w:val="00F46900"/>
    <w:rsid w:val="00F47585"/>
    <w:rsid w:val="00F50278"/>
    <w:rsid w:val="00F50726"/>
    <w:rsid w:val="00F50D07"/>
    <w:rsid w:val="00F50E2B"/>
    <w:rsid w:val="00F513AE"/>
    <w:rsid w:val="00F51BEF"/>
    <w:rsid w:val="00F51D09"/>
    <w:rsid w:val="00F51D56"/>
    <w:rsid w:val="00F521C0"/>
    <w:rsid w:val="00F52B46"/>
    <w:rsid w:val="00F53819"/>
    <w:rsid w:val="00F53B07"/>
    <w:rsid w:val="00F53C27"/>
    <w:rsid w:val="00F547CA"/>
    <w:rsid w:val="00F549B2"/>
    <w:rsid w:val="00F54D30"/>
    <w:rsid w:val="00F55147"/>
    <w:rsid w:val="00F5567E"/>
    <w:rsid w:val="00F561E6"/>
    <w:rsid w:val="00F5643F"/>
    <w:rsid w:val="00F567D2"/>
    <w:rsid w:val="00F567DF"/>
    <w:rsid w:val="00F56E5C"/>
    <w:rsid w:val="00F57847"/>
    <w:rsid w:val="00F57EEA"/>
    <w:rsid w:val="00F603C8"/>
    <w:rsid w:val="00F607C8"/>
    <w:rsid w:val="00F6110F"/>
    <w:rsid w:val="00F615CA"/>
    <w:rsid w:val="00F619E5"/>
    <w:rsid w:val="00F6230E"/>
    <w:rsid w:val="00F637CD"/>
    <w:rsid w:val="00F63899"/>
    <w:rsid w:val="00F63A73"/>
    <w:rsid w:val="00F63C3B"/>
    <w:rsid w:val="00F6436F"/>
    <w:rsid w:val="00F64521"/>
    <w:rsid w:val="00F64E39"/>
    <w:rsid w:val="00F65645"/>
    <w:rsid w:val="00F6569A"/>
    <w:rsid w:val="00F65B19"/>
    <w:rsid w:val="00F65C36"/>
    <w:rsid w:val="00F66398"/>
    <w:rsid w:val="00F66415"/>
    <w:rsid w:val="00F66C14"/>
    <w:rsid w:val="00F67CD7"/>
    <w:rsid w:val="00F67EDF"/>
    <w:rsid w:val="00F70415"/>
    <w:rsid w:val="00F70E00"/>
    <w:rsid w:val="00F7112C"/>
    <w:rsid w:val="00F71304"/>
    <w:rsid w:val="00F716F4"/>
    <w:rsid w:val="00F7185E"/>
    <w:rsid w:val="00F71AFB"/>
    <w:rsid w:val="00F71CB0"/>
    <w:rsid w:val="00F71D3F"/>
    <w:rsid w:val="00F7242F"/>
    <w:rsid w:val="00F72AEF"/>
    <w:rsid w:val="00F72CC6"/>
    <w:rsid w:val="00F72D6C"/>
    <w:rsid w:val="00F72E16"/>
    <w:rsid w:val="00F72E69"/>
    <w:rsid w:val="00F72F14"/>
    <w:rsid w:val="00F73494"/>
    <w:rsid w:val="00F73C1B"/>
    <w:rsid w:val="00F73F40"/>
    <w:rsid w:val="00F74602"/>
    <w:rsid w:val="00F753C4"/>
    <w:rsid w:val="00F753D4"/>
    <w:rsid w:val="00F75C0F"/>
    <w:rsid w:val="00F763DC"/>
    <w:rsid w:val="00F76A46"/>
    <w:rsid w:val="00F76FD4"/>
    <w:rsid w:val="00F773C9"/>
    <w:rsid w:val="00F80B31"/>
    <w:rsid w:val="00F80DEE"/>
    <w:rsid w:val="00F80F1C"/>
    <w:rsid w:val="00F816E8"/>
    <w:rsid w:val="00F81C11"/>
    <w:rsid w:val="00F81CDC"/>
    <w:rsid w:val="00F81F00"/>
    <w:rsid w:val="00F8256D"/>
    <w:rsid w:val="00F82663"/>
    <w:rsid w:val="00F82FD5"/>
    <w:rsid w:val="00F8302E"/>
    <w:rsid w:val="00F83F7A"/>
    <w:rsid w:val="00F84350"/>
    <w:rsid w:val="00F84569"/>
    <w:rsid w:val="00F8471C"/>
    <w:rsid w:val="00F84B63"/>
    <w:rsid w:val="00F84BBC"/>
    <w:rsid w:val="00F84FFD"/>
    <w:rsid w:val="00F85024"/>
    <w:rsid w:val="00F85BEA"/>
    <w:rsid w:val="00F866F1"/>
    <w:rsid w:val="00F86844"/>
    <w:rsid w:val="00F869FB"/>
    <w:rsid w:val="00F86A70"/>
    <w:rsid w:val="00F86DAB"/>
    <w:rsid w:val="00F901FE"/>
    <w:rsid w:val="00F904F3"/>
    <w:rsid w:val="00F90723"/>
    <w:rsid w:val="00F9086D"/>
    <w:rsid w:val="00F90E56"/>
    <w:rsid w:val="00F91741"/>
    <w:rsid w:val="00F91EF9"/>
    <w:rsid w:val="00F936CB"/>
    <w:rsid w:val="00F9393A"/>
    <w:rsid w:val="00F939E4"/>
    <w:rsid w:val="00F945F0"/>
    <w:rsid w:val="00F949BE"/>
    <w:rsid w:val="00F94E6C"/>
    <w:rsid w:val="00F94F7E"/>
    <w:rsid w:val="00F955BD"/>
    <w:rsid w:val="00F95692"/>
    <w:rsid w:val="00F95BA9"/>
    <w:rsid w:val="00F9627E"/>
    <w:rsid w:val="00F96515"/>
    <w:rsid w:val="00F9659A"/>
    <w:rsid w:val="00F96BDE"/>
    <w:rsid w:val="00F96E48"/>
    <w:rsid w:val="00FA019E"/>
    <w:rsid w:val="00FA03B7"/>
    <w:rsid w:val="00FA0471"/>
    <w:rsid w:val="00FA09A0"/>
    <w:rsid w:val="00FA0ABE"/>
    <w:rsid w:val="00FA0F33"/>
    <w:rsid w:val="00FA0F90"/>
    <w:rsid w:val="00FA1293"/>
    <w:rsid w:val="00FA13D9"/>
    <w:rsid w:val="00FA1848"/>
    <w:rsid w:val="00FA18F2"/>
    <w:rsid w:val="00FA19BB"/>
    <w:rsid w:val="00FA2023"/>
    <w:rsid w:val="00FA2079"/>
    <w:rsid w:val="00FA2A97"/>
    <w:rsid w:val="00FA3503"/>
    <w:rsid w:val="00FA3978"/>
    <w:rsid w:val="00FA3F2A"/>
    <w:rsid w:val="00FA421C"/>
    <w:rsid w:val="00FA42A3"/>
    <w:rsid w:val="00FA432F"/>
    <w:rsid w:val="00FA4916"/>
    <w:rsid w:val="00FA4B99"/>
    <w:rsid w:val="00FA4D30"/>
    <w:rsid w:val="00FA4D84"/>
    <w:rsid w:val="00FA4EA0"/>
    <w:rsid w:val="00FA4EC9"/>
    <w:rsid w:val="00FA512D"/>
    <w:rsid w:val="00FA52E0"/>
    <w:rsid w:val="00FA60B0"/>
    <w:rsid w:val="00FA670D"/>
    <w:rsid w:val="00FA690D"/>
    <w:rsid w:val="00FA6DF3"/>
    <w:rsid w:val="00FA7ABE"/>
    <w:rsid w:val="00FA7E33"/>
    <w:rsid w:val="00FA7E5C"/>
    <w:rsid w:val="00FA7FF4"/>
    <w:rsid w:val="00FB02CA"/>
    <w:rsid w:val="00FB064A"/>
    <w:rsid w:val="00FB0A78"/>
    <w:rsid w:val="00FB0CA8"/>
    <w:rsid w:val="00FB100E"/>
    <w:rsid w:val="00FB126F"/>
    <w:rsid w:val="00FB133A"/>
    <w:rsid w:val="00FB193D"/>
    <w:rsid w:val="00FB1C8D"/>
    <w:rsid w:val="00FB2B51"/>
    <w:rsid w:val="00FB3422"/>
    <w:rsid w:val="00FB3AA4"/>
    <w:rsid w:val="00FB3F6E"/>
    <w:rsid w:val="00FB43A9"/>
    <w:rsid w:val="00FB4437"/>
    <w:rsid w:val="00FB44A0"/>
    <w:rsid w:val="00FB45AA"/>
    <w:rsid w:val="00FB5205"/>
    <w:rsid w:val="00FB583D"/>
    <w:rsid w:val="00FB5E26"/>
    <w:rsid w:val="00FB62B3"/>
    <w:rsid w:val="00FB656F"/>
    <w:rsid w:val="00FB73E9"/>
    <w:rsid w:val="00FB7874"/>
    <w:rsid w:val="00FB7F12"/>
    <w:rsid w:val="00FC0104"/>
    <w:rsid w:val="00FC08EA"/>
    <w:rsid w:val="00FC167D"/>
    <w:rsid w:val="00FC2304"/>
    <w:rsid w:val="00FC2BF8"/>
    <w:rsid w:val="00FC3CCD"/>
    <w:rsid w:val="00FC56F2"/>
    <w:rsid w:val="00FC5783"/>
    <w:rsid w:val="00FC683E"/>
    <w:rsid w:val="00FC69B3"/>
    <w:rsid w:val="00FC6BA6"/>
    <w:rsid w:val="00FC6D67"/>
    <w:rsid w:val="00FC70C4"/>
    <w:rsid w:val="00FC7351"/>
    <w:rsid w:val="00FC77F7"/>
    <w:rsid w:val="00FC7AA7"/>
    <w:rsid w:val="00FD01B5"/>
    <w:rsid w:val="00FD0485"/>
    <w:rsid w:val="00FD0548"/>
    <w:rsid w:val="00FD085F"/>
    <w:rsid w:val="00FD0917"/>
    <w:rsid w:val="00FD0E95"/>
    <w:rsid w:val="00FD1664"/>
    <w:rsid w:val="00FD1921"/>
    <w:rsid w:val="00FD3F9E"/>
    <w:rsid w:val="00FD42B8"/>
    <w:rsid w:val="00FD51B1"/>
    <w:rsid w:val="00FD52F8"/>
    <w:rsid w:val="00FD5451"/>
    <w:rsid w:val="00FD562B"/>
    <w:rsid w:val="00FD5BF0"/>
    <w:rsid w:val="00FD60B8"/>
    <w:rsid w:val="00FD60E1"/>
    <w:rsid w:val="00FD6A20"/>
    <w:rsid w:val="00FD6AE0"/>
    <w:rsid w:val="00FD6F47"/>
    <w:rsid w:val="00FD71ED"/>
    <w:rsid w:val="00FD7393"/>
    <w:rsid w:val="00FD7639"/>
    <w:rsid w:val="00FD7CAD"/>
    <w:rsid w:val="00FE08CA"/>
    <w:rsid w:val="00FE098C"/>
    <w:rsid w:val="00FE1617"/>
    <w:rsid w:val="00FE1CC8"/>
    <w:rsid w:val="00FE21A3"/>
    <w:rsid w:val="00FE2508"/>
    <w:rsid w:val="00FE2534"/>
    <w:rsid w:val="00FE2A95"/>
    <w:rsid w:val="00FE3030"/>
    <w:rsid w:val="00FE347A"/>
    <w:rsid w:val="00FE3555"/>
    <w:rsid w:val="00FE3606"/>
    <w:rsid w:val="00FE366E"/>
    <w:rsid w:val="00FE384A"/>
    <w:rsid w:val="00FE43B4"/>
    <w:rsid w:val="00FE4C5F"/>
    <w:rsid w:val="00FE4D13"/>
    <w:rsid w:val="00FE56E4"/>
    <w:rsid w:val="00FE5CC1"/>
    <w:rsid w:val="00FE68E9"/>
    <w:rsid w:val="00FE6910"/>
    <w:rsid w:val="00FE705D"/>
    <w:rsid w:val="00FE729E"/>
    <w:rsid w:val="00FE7374"/>
    <w:rsid w:val="00FE74F8"/>
    <w:rsid w:val="00FE7865"/>
    <w:rsid w:val="00FE7C57"/>
    <w:rsid w:val="00FF024C"/>
    <w:rsid w:val="00FF0551"/>
    <w:rsid w:val="00FF12CD"/>
    <w:rsid w:val="00FF27BE"/>
    <w:rsid w:val="00FF2EEB"/>
    <w:rsid w:val="00FF3A0F"/>
    <w:rsid w:val="00FF3CFA"/>
    <w:rsid w:val="00FF4328"/>
    <w:rsid w:val="00FF48E3"/>
    <w:rsid w:val="00FF4C8C"/>
    <w:rsid w:val="00FF4FBA"/>
    <w:rsid w:val="00FF5B50"/>
    <w:rsid w:val="00FF6175"/>
    <w:rsid w:val="00FF6422"/>
    <w:rsid w:val="00FF651F"/>
    <w:rsid w:val="00FF67B6"/>
    <w:rsid w:val="00FF6AD1"/>
    <w:rsid w:val="00FF6D40"/>
    <w:rsid w:val="00FF72BC"/>
    <w:rsid w:val="00FF7A8E"/>
    <w:rsid w:val="00FF7A99"/>
    <w:rsid w:val="00FF7B93"/>
    <w:rsid w:val="00FF7C65"/>
    <w:rsid w:val="00FF7CA3"/>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BFD8046"/>
  <w15:chartTrackingRefBased/>
  <w15:docId w15:val="{8C3A7829-8DB3-4888-B071-A32CE037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tabs>
        <w:tab w:val="clear" w:pos="851"/>
        <w:tab w:val="num" w:pos="360"/>
      </w:tabs>
      <w:ind w:left="360" w:hanging="3"/>
      <w:outlineLvl w:val="3"/>
    </w:pPr>
    <w:rPr>
      <w:bCs w:val="0"/>
      <w:i/>
      <w:iCs/>
    </w:rPr>
  </w:style>
  <w:style w:type="paragraph" w:styleId="Heading5">
    <w:name w:val="heading 5"/>
    <w:basedOn w:val="Normal"/>
    <w:next w:val="Normal"/>
    <w:link w:val="Heading5Char"/>
    <w:locked/>
    <w:rsid w:val="005C2ECF"/>
    <w:pPr>
      <w:keepNext/>
      <w:keepLines/>
      <w:numPr>
        <w:ilvl w:val="4"/>
        <w:numId w:val="1"/>
      </w:numPr>
      <w:tabs>
        <w:tab w:val="clear" w:pos="0"/>
        <w:tab w:val="num" w:pos="360"/>
      </w:tabs>
      <w:spacing w:before="200"/>
      <w:ind w:left="360" w:hanging="3"/>
      <w:outlineLvl w:val="4"/>
    </w:pPr>
  </w:style>
  <w:style w:type="paragraph" w:styleId="Heading6">
    <w:name w:val="heading 6"/>
    <w:basedOn w:val="Normal"/>
    <w:next w:val="Normal"/>
    <w:link w:val="Heading6Char"/>
    <w:locked/>
    <w:rsid w:val="005C2ECF"/>
    <w:pPr>
      <w:keepNext/>
      <w:keepLines/>
      <w:numPr>
        <w:ilvl w:val="5"/>
        <w:numId w:val="1"/>
      </w:numPr>
      <w:tabs>
        <w:tab w:val="clear" w:pos="0"/>
        <w:tab w:val="num" w:pos="360"/>
      </w:tabs>
      <w:spacing w:before="200"/>
      <w:ind w:left="360" w:hanging="3"/>
      <w:outlineLvl w:val="5"/>
    </w:pPr>
    <w:rPr>
      <w:i/>
      <w:iCs/>
    </w:rPr>
  </w:style>
  <w:style w:type="paragraph" w:styleId="Heading7">
    <w:name w:val="heading 7"/>
    <w:basedOn w:val="Normal"/>
    <w:next w:val="Normal"/>
    <w:link w:val="Heading7Char"/>
    <w:locked/>
    <w:rsid w:val="005C2ECF"/>
    <w:pPr>
      <w:keepNext/>
      <w:keepLines/>
      <w:numPr>
        <w:ilvl w:val="6"/>
        <w:numId w:val="1"/>
      </w:numPr>
      <w:tabs>
        <w:tab w:val="clear" w:pos="0"/>
        <w:tab w:val="num" w:pos="360"/>
      </w:tabs>
      <w:spacing w:before="200"/>
      <w:ind w:left="360" w:hanging="3"/>
      <w:outlineLvl w:val="6"/>
    </w:pPr>
    <w:rPr>
      <w:i/>
      <w:iCs/>
    </w:rPr>
  </w:style>
  <w:style w:type="paragraph" w:styleId="Heading8">
    <w:name w:val="heading 8"/>
    <w:basedOn w:val="Normal"/>
    <w:next w:val="Normal"/>
    <w:link w:val="Heading8Char"/>
    <w:locked/>
    <w:rsid w:val="005C2ECF"/>
    <w:pPr>
      <w:keepNext/>
      <w:keepLines/>
      <w:numPr>
        <w:ilvl w:val="7"/>
        <w:numId w:val="1"/>
      </w:numPr>
      <w:tabs>
        <w:tab w:val="clear" w:pos="0"/>
        <w:tab w:val="num" w:pos="360"/>
      </w:tabs>
      <w:spacing w:before="200"/>
      <w:ind w:left="360" w:hanging="3"/>
      <w:outlineLvl w:val="7"/>
    </w:pPr>
    <w:rPr>
      <w:sz w:val="20"/>
      <w:szCs w:val="20"/>
    </w:rPr>
  </w:style>
  <w:style w:type="paragraph" w:styleId="Heading9">
    <w:name w:val="heading 9"/>
    <w:basedOn w:val="Normal"/>
    <w:next w:val="Normal"/>
    <w:link w:val="Heading9Char"/>
    <w:locked/>
    <w:rsid w:val="005C2ECF"/>
    <w:pPr>
      <w:keepNext/>
      <w:keepLines/>
      <w:numPr>
        <w:ilvl w:val="8"/>
        <w:numId w:val="1"/>
      </w:numPr>
      <w:tabs>
        <w:tab w:val="clear" w:pos="0"/>
        <w:tab w:val="num" w:pos="360"/>
      </w:tabs>
      <w:spacing w:before="200"/>
      <w:ind w:left="360" w:hanging="3"/>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9"/>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0"/>
      </w:numPr>
    </w:pPr>
  </w:style>
  <w:style w:type="numbering" w:styleId="ArticleSection">
    <w:name w:val="Outline List 3"/>
    <w:basedOn w:val="NoList"/>
    <w:semiHidden/>
    <w:locked/>
    <w:rsid w:val="00E45954"/>
    <w:pPr>
      <w:numPr>
        <w:numId w:val="11"/>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9"/>
      </w:numPr>
      <w:tabs>
        <w:tab w:val="left" w:pos="1134"/>
      </w:tabs>
      <w:spacing w:before="120" w:after="120"/>
    </w:pPr>
  </w:style>
  <w:style w:type="paragraph" w:styleId="ListNumber2">
    <w:name w:val="List Number 2"/>
    <w:basedOn w:val="Normal"/>
    <w:semiHidden/>
    <w:locked/>
    <w:rsid w:val="005C2ECF"/>
    <w:pPr>
      <w:numPr>
        <w:numId w:val="7"/>
      </w:numPr>
    </w:pPr>
  </w:style>
  <w:style w:type="paragraph" w:styleId="ListNumber3">
    <w:name w:val="List Number 3"/>
    <w:basedOn w:val="Normal"/>
    <w:semiHidden/>
    <w:locked/>
    <w:rsid w:val="005C2ECF"/>
    <w:pPr>
      <w:numPr>
        <w:numId w:val="8"/>
      </w:numPr>
    </w:pPr>
  </w:style>
  <w:style w:type="paragraph" w:styleId="ListNumber4">
    <w:name w:val="List Number 4"/>
    <w:basedOn w:val="Normal"/>
    <w:semiHidden/>
    <w:locked/>
    <w:rsid w:val="005C2ECF"/>
    <w:pPr>
      <w:numPr>
        <w:numId w:val="10"/>
      </w:numPr>
    </w:pPr>
  </w:style>
  <w:style w:type="paragraph" w:styleId="ListNumber5">
    <w:name w:val="List Number 5"/>
    <w:basedOn w:val="Normal"/>
    <w:semiHidden/>
    <w:locked/>
    <w:rsid w:val="005C2ECF"/>
    <w:pPr>
      <w:numPr>
        <w:numId w:val="11"/>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2"/>
      </w:numPr>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53794C"/>
    <w:rPr>
      <w:color w:val="605E5C"/>
      <w:shd w:val="clear" w:color="auto" w:fill="E1DFDD"/>
    </w:rPr>
  </w:style>
  <w:style w:type="paragraph" w:styleId="FootnoteText">
    <w:name w:val="footnote text"/>
    <w:basedOn w:val="Normal"/>
    <w:link w:val="FootnoteTextChar"/>
    <w:uiPriority w:val="99"/>
    <w:locked/>
    <w:rsid w:val="00A71D94"/>
    <w:pPr>
      <w:spacing w:before="0" w:after="0"/>
    </w:pPr>
    <w:rPr>
      <w:sz w:val="20"/>
      <w:szCs w:val="20"/>
    </w:rPr>
  </w:style>
  <w:style w:type="character" w:customStyle="1" w:styleId="FootnoteTextChar">
    <w:name w:val="Footnote Text Char"/>
    <w:basedOn w:val="DefaultParagraphFont"/>
    <w:link w:val="FootnoteText"/>
    <w:uiPriority w:val="99"/>
    <w:rsid w:val="00A71D94"/>
    <w:rPr>
      <w:rFonts w:ascii="Open Sans" w:eastAsia="MS Mincho" w:hAnsi="Open Sans"/>
    </w:rPr>
  </w:style>
  <w:style w:type="character" w:styleId="FootnoteReference">
    <w:name w:val="footnote reference"/>
    <w:basedOn w:val="DefaultParagraphFont"/>
    <w:uiPriority w:val="99"/>
    <w:locked/>
    <w:rsid w:val="00A71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5137">
      <w:bodyDiv w:val="1"/>
      <w:marLeft w:val="0"/>
      <w:marRight w:val="0"/>
      <w:marTop w:val="0"/>
      <w:marBottom w:val="0"/>
      <w:divBdr>
        <w:top w:val="none" w:sz="0" w:space="0" w:color="auto"/>
        <w:left w:val="none" w:sz="0" w:space="0" w:color="auto"/>
        <w:bottom w:val="none" w:sz="0" w:space="0" w:color="auto"/>
        <w:right w:val="none" w:sz="0" w:space="0" w:color="auto"/>
      </w:divBdr>
    </w:div>
    <w:div w:id="75441513">
      <w:bodyDiv w:val="1"/>
      <w:marLeft w:val="0"/>
      <w:marRight w:val="0"/>
      <w:marTop w:val="0"/>
      <w:marBottom w:val="0"/>
      <w:divBdr>
        <w:top w:val="none" w:sz="0" w:space="0" w:color="auto"/>
        <w:left w:val="none" w:sz="0" w:space="0" w:color="auto"/>
        <w:bottom w:val="none" w:sz="0" w:space="0" w:color="auto"/>
        <w:right w:val="none" w:sz="0" w:space="0" w:color="auto"/>
      </w:divBdr>
    </w:div>
    <w:div w:id="86734484">
      <w:bodyDiv w:val="1"/>
      <w:marLeft w:val="0"/>
      <w:marRight w:val="0"/>
      <w:marTop w:val="0"/>
      <w:marBottom w:val="0"/>
      <w:divBdr>
        <w:top w:val="none" w:sz="0" w:space="0" w:color="auto"/>
        <w:left w:val="none" w:sz="0" w:space="0" w:color="auto"/>
        <w:bottom w:val="none" w:sz="0" w:space="0" w:color="auto"/>
        <w:right w:val="none" w:sz="0" w:space="0" w:color="auto"/>
      </w:divBdr>
    </w:div>
    <w:div w:id="112941712">
      <w:bodyDiv w:val="1"/>
      <w:marLeft w:val="0"/>
      <w:marRight w:val="0"/>
      <w:marTop w:val="0"/>
      <w:marBottom w:val="0"/>
      <w:divBdr>
        <w:top w:val="none" w:sz="0" w:space="0" w:color="auto"/>
        <w:left w:val="none" w:sz="0" w:space="0" w:color="auto"/>
        <w:bottom w:val="none" w:sz="0" w:space="0" w:color="auto"/>
        <w:right w:val="none" w:sz="0" w:space="0" w:color="auto"/>
      </w:divBdr>
    </w:div>
    <w:div w:id="185142492">
      <w:bodyDiv w:val="1"/>
      <w:marLeft w:val="0"/>
      <w:marRight w:val="0"/>
      <w:marTop w:val="0"/>
      <w:marBottom w:val="0"/>
      <w:divBdr>
        <w:top w:val="none" w:sz="0" w:space="0" w:color="auto"/>
        <w:left w:val="none" w:sz="0" w:space="0" w:color="auto"/>
        <w:bottom w:val="none" w:sz="0" w:space="0" w:color="auto"/>
        <w:right w:val="none" w:sz="0" w:space="0" w:color="auto"/>
      </w:divBdr>
    </w:div>
    <w:div w:id="242183804">
      <w:bodyDiv w:val="1"/>
      <w:marLeft w:val="0"/>
      <w:marRight w:val="0"/>
      <w:marTop w:val="0"/>
      <w:marBottom w:val="0"/>
      <w:divBdr>
        <w:top w:val="none" w:sz="0" w:space="0" w:color="auto"/>
        <w:left w:val="none" w:sz="0" w:space="0" w:color="auto"/>
        <w:bottom w:val="none" w:sz="0" w:space="0" w:color="auto"/>
        <w:right w:val="none" w:sz="0" w:space="0" w:color="auto"/>
      </w:divBdr>
    </w:div>
    <w:div w:id="317880634">
      <w:bodyDiv w:val="1"/>
      <w:marLeft w:val="0"/>
      <w:marRight w:val="0"/>
      <w:marTop w:val="0"/>
      <w:marBottom w:val="0"/>
      <w:divBdr>
        <w:top w:val="none" w:sz="0" w:space="0" w:color="auto"/>
        <w:left w:val="none" w:sz="0" w:space="0" w:color="auto"/>
        <w:bottom w:val="none" w:sz="0" w:space="0" w:color="auto"/>
        <w:right w:val="none" w:sz="0" w:space="0" w:color="auto"/>
      </w:divBdr>
    </w:div>
    <w:div w:id="319307566">
      <w:bodyDiv w:val="1"/>
      <w:marLeft w:val="0"/>
      <w:marRight w:val="0"/>
      <w:marTop w:val="0"/>
      <w:marBottom w:val="0"/>
      <w:divBdr>
        <w:top w:val="none" w:sz="0" w:space="0" w:color="auto"/>
        <w:left w:val="none" w:sz="0" w:space="0" w:color="auto"/>
        <w:bottom w:val="none" w:sz="0" w:space="0" w:color="auto"/>
        <w:right w:val="none" w:sz="0" w:space="0" w:color="auto"/>
      </w:divBdr>
    </w:div>
    <w:div w:id="380633152">
      <w:bodyDiv w:val="1"/>
      <w:marLeft w:val="0"/>
      <w:marRight w:val="0"/>
      <w:marTop w:val="0"/>
      <w:marBottom w:val="0"/>
      <w:divBdr>
        <w:top w:val="none" w:sz="0" w:space="0" w:color="auto"/>
        <w:left w:val="none" w:sz="0" w:space="0" w:color="auto"/>
        <w:bottom w:val="none" w:sz="0" w:space="0" w:color="auto"/>
        <w:right w:val="none" w:sz="0" w:space="0" w:color="auto"/>
      </w:divBdr>
    </w:div>
    <w:div w:id="494224252">
      <w:bodyDiv w:val="1"/>
      <w:marLeft w:val="0"/>
      <w:marRight w:val="0"/>
      <w:marTop w:val="0"/>
      <w:marBottom w:val="0"/>
      <w:divBdr>
        <w:top w:val="none" w:sz="0" w:space="0" w:color="auto"/>
        <w:left w:val="none" w:sz="0" w:space="0" w:color="auto"/>
        <w:bottom w:val="none" w:sz="0" w:space="0" w:color="auto"/>
        <w:right w:val="none" w:sz="0" w:space="0" w:color="auto"/>
      </w:divBdr>
    </w:div>
    <w:div w:id="496504516">
      <w:bodyDiv w:val="1"/>
      <w:marLeft w:val="0"/>
      <w:marRight w:val="0"/>
      <w:marTop w:val="0"/>
      <w:marBottom w:val="0"/>
      <w:divBdr>
        <w:top w:val="none" w:sz="0" w:space="0" w:color="auto"/>
        <w:left w:val="none" w:sz="0" w:space="0" w:color="auto"/>
        <w:bottom w:val="none" w:sz="0" w:space="0" w:color="auto"/>
        <w:right w:val="none" w:sz="0" w:space="0" w:color="auto"/>
      </w:divBdr>
    </w:div>
    <w:div w:id="648628964">
      <w:bodyDiv w:val="1"/>
      <w:marLeft w:val="0"/>
      <w:marRight w:val="0"/>
      <w:marTop w:val="0"/>
      <w:marBottom w:val="0"/>
      <w:divBdr>
        <w:top w:val="none" w:sz="0" w:space="0" w:color="auto"/>
        <w:left w:val="none" w:sz="0" w:space="0" w:color="auto"/>
        <w:bottom w:val="none" w:sz="0" w:space="0" w:color="auto"/>
        <w:right w:val="none" w:sz="0" w:space="0" w:color="auto"/>
      </w:divBdr>
    </w:div>
    <w:div w:id="656153294">
      <w:bodyDiv w:val="1"/>
      <w:marLeft w:val="0"/>
      <w:marRight w:val="0"/>
      <w:marTop w:val="0"/>
      <w:marBottom w:val="0"/>
      <w:divBdr>
        <w:top w:val="none" w:sz="0" w:space="0" w:color="auto"/>
        <w:left w:val="none" w:sz="0" w:space="0" w:color="auto"/>
        <w:bottom w:val="none" w:sz="0" w:space="0" w:color="auto"/>
        <w:right w:val="none" w:sz="0" w:space="0" w:color="auto"/>
      </w:divBdr>
    </w:div>
    <w:div w:id="657268442">
      <w:bodyDiv w:val="1"/>
      <w:marLeft w:val="0"/>
      <w:marRight w:val="0"/>
      <w:marTop w:val="0"/>
      <w:marBottom w:val="0"/>
      <w:divBdr>
        <w:top w:val="none" w:sz="0" w:space="0" w:color="auto"/>
        <w:left w:val="none" w:sz="0" w:space="0" w:color="auto"/>
        <w:bottom w:val="none" w:sz="0" w:space="0" w:color="auto"/>
        <w:right w:val="none" w:sz="0" w:space="0" w:color="auto"/>
      </w:divBdr>
    </w:div>
    <w:div w:id="665208651">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96023181">
      <w:bodyDiv w:val="1"/>
      <w:marLeft w:val="0"/>
      <w:marRight w:val="0"/>
      <w:marTop w:val="0"/>
      <w:marBottom w:val="0"/>
      <w:divBdr>
        <w:top w:val="none" w:sz="0" w:space="0" w:color="auto"/>
        <w:left w:val="none" w:sz="0" w:space="0" w:color="auto"/>
        <w:bottom w:val="none" w:sz="0" w:space="0" w:color="auto"/>
        <w:right w:val="none" w:sz="0" w:space="0" w:color="auto"/>
      </w:divBdr>
    </w:div>
    <w:div w:id="830491103">
      <w:bodyDiv w:val="1"/>
      <w:marLeft w:val="0"/>
      <w:marRight w:val="0"/>
      <w:marTop w:val="0"/>
      <w:marBottom w:val="0"/>
      <w:divBdr>
        <w:top w:val="none" w:sz="0" w:space="0" w:color="auto"/>
        <w:left w:val="none" w:sz="0" w:space="0" w:color="auto"/>
        <w:bottom w:val="none" w:sz="0" w:space="0" w:color="auto"/>
        <w:right w:val="none" w:sz="0" w:space="0" w:color="auto"/>
      </w:divBdr>
    </w:div>
    <w:div w:id="852375255">
      <w:bodyDiv w:val="1"/>
      <w:marLeft w:val="0"/>
      <w:marRight w:val="0"/>
      <w:marTop w:val="0"/>
      <w:marBottom w:val="0"/>
      <w:divBdr>
        <w:top w:val="none" w:sz="0" w:space="0" w:color="auto"/>
        <w:left w:val="none" w:sz="0" w:space="0" w:color="auto"/>
        <w:bottom w:val="none" w:sz="0" w:space="0" w:color="auto"/>
        <w:right w:val="none" w:sz="0" w:space="0" w:color="auto"/>
      </w:divBdr>
    </w:div>
    <w:div w:id="899167326">
      <w:bodyDiv w:val="1"/>
      <w:marLeft w:val="0"/>
      <w:marRight w:val="0"/>
      <w:marTop w:val="0"/>
      <w:marBottom w:val="0"/>
      <w:divBdr>
        <w:top w:val="none" w:sz="0" w:space="0" w:color="auto"/>
        <w:left w:val="none" w:sz="0" w:space="0" w:color="auto"/>
        <w:bottom w:val="none" w:sz="0" w:space="0" w:color="auto"/>
        <w:right w:val="none" w:sz="0" w:space="0" w:color="auto"/>
      </w:divBdr>
      <w:divsChild>
        <w:div w:id="560484319">
          <w:marLeft w:val="274"/>
          <w:marRight w:val="0"/>
          <w:marTop w:val="86"/>
          <w:marBottom w:val="0"/>
          <w:divBdr>
            <w:top w:val="none" w:sz="0" w:space="0" w:color="auto"/>
            <w:left w:val="none" w:sz="0" w:space="0" w:color="auto"/>
            <w:bottom w:val="none" w:sz="0" w:space="0" w:color="auto"/>
            <w:right w:val="none" w:sz="0" w:space="0" w:color="auto"/>
          </w:divBdr>
        </w:div>
      </w:divsChild>
    </w:div>
    <w:div w:id="908929906">
      <w:bodyDiv w:val="1"/>
      <w:marLeft w:val="0"/>
      <w:marRight w:val="0"/>
      <w:marTop w:val="0"/>
      <w:marBottom w:val="0"/>
      <w:divBdr>
        <w:top w:val="none" w:sz="0" w:space="0" w:color="auto"/>
        <w:left w:val="none" w:sz="0" w:space="0" w:color="auto"/>
        <w:bottom w:val="none" w:sz="0" w:space="0" w:color="auto"/>
        <w:right w:val="none" w:sz="0" w:space="0" w:color="auto"/>
      </w:divBdr>
      <w:divsChild>
        <w:div w:id="1127504990">
          <w:marLeft w:val="274"/>
          <w:marRight w:val="0"/>
          <w:marTop w:val="86"/>
          <w:marBottom w:val="0"/>
          <w:divBdr>
            <w:top w:val="none" w:sz="0" w:space="0" w:color="auto"/>
            <w:left w:val="none" w:sz="0" w:space="0" w:color="auto"/>
            <w:bottom w:val="none" w:sz="0" w:space="0" w:color="auto"/>
            <w:right w:val="none" w:sz="0" w:space="0" w:color="auto"/>
          </w:divBdr>
        </w:div>
      </w:divsChild>
    </w:div>
    <w:div w:id="929464051">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78470990">
      <w:bodyDiv w:val="1"/>
      <w:marLeft w:val="0"/>
      <w:marRight w:val="0"/>
      <w:marTop w:val="0"/>
      <w:marBottom w:val="0"/>
      <w:divBdr>
        <w:top w:val="none" w:sz="0" w:space="0" w:color="auto"/>
        <w:left w:val="none" w:sz="0" w:space="0" w:color="auto"/>
        <w:bottom w:val="none" w:sz="0" w:space="0" w:color="auto"/>
        <w:right w:val="none" w:sz="0" w:space="0" w:color="auto"/>
      </w:divBdr>
    </w:div>
    <w:div w:id="1203207162">
      <w:bodyDiv w:val="1"/>
      <w:marLeft w:val="0"/>
      <w:marRight w:val="0"/>
      <w:marTop w:val="0"/>
      <w:marBottom w:val="0"/>
      <w:divBdr>
        <w:top w:val="none" w:sz="0" w:space="0" w:color="auto"/>
        <w:left w:val="none" w:sz="0" w:space="0" w:color="auto"/>
        <w:bottom w:val="none" w:sz="0" w:space="0" w:color="auto"/>
        <w:right w:val="none" w:sz="0" w:space="0" w:color="auto"/>
      </w:divBdr>
    </w:div>
    <w:div w:id="1217546934">
      <w:bodyDiv w:val="1"/>
      <w:marLeft w:val="0"/>
      <w:marRight w:val="0"/>
      <w:marTop w:val="0"/>
      <w:marBottom w:val="0"/>
      <w:divBdr>
        <w:top w:val="none" w:sz="0" w:space="0" w:color="auto"/>
        <w:left w:val="none" w:sz="0" w:space="0" w:color="auto"/>
        <w:bottom w:val="none" w:sz="0" w:space="0" w:color="auto"/>
        <w:right w:val="none" w:sz="0" w:space="0" w:color="auto"/>
      </w:divBdr>
    </w:div>
    <w:div w:id="1263147824">
      <w:bodyDiv w:val="1"/>
      <w:marLeft w:val="0"/>
      <w:marRight w:val="0"/>
      <w:marTop w:val="0"/>
      <w:marBottom w:val="0"/>
      <w:divBdr>
        <w:top w:val="none" w:sz="0" w:space="0" w:color="auto"/>
        <w:left w:val="none" w:sz="0" w:space="0" w:color="auto"/>
        <w:bottom w:val="none" w:sz="0" w:space="0" w:color="auto"/>
        <w:right w:val="none" w:sz="0" w:space="0" w:color="auto"/>
      </w:divBdr>
    </w:div>
    <w:div w:id="1429620612">
      <w:bodyDiv w:val="1"/>
      <w:marLeft w:val="0"/>
      <w:marRight w:val="0"/>
      <w:marTop w:val="0"/>
      <w:marBottom w:val="0"/>
      <w:divBdr>
        <w:top w:val="none" w:sz="0" w:space="0" w:color="auto"/>
        <w:left w:val="none" w:sz="0" w:space="0" w:color="auto"/>
        <w:bottom w:val="none" w:sz="0" w:space="0" w:color="auto"/>
        <w:right w:val="none" w:sz="0" w:space="0" w:color="auto"/>
      </w:divBdr>
    </w:div>
    <w:div w:id="1513563866">
      <w:bodyDiv w:val="1"/>
      <w:marLeft w:val="0"/>
      <w:marRight w:val="0"/>
      <w:marTop w:val="0"/>
      <w:marBottom w:val="0"/>
      <w:divBdr>
        <w:top w:val="none" w:sz="0" w:space="0" w:color="auto"/>
        <w:left w:val="none" w:sz="0" w:space="0" w:color="auto"/>
        <w:bottom w:val="none" w:sz="0" w:space="0" w:color="auto"/>
        <w:right w:val="none" w:sz="0" w:space="0" w:color="auto"/>
      </w:divBdr>
    </w:div>
    <w:div w:id="1551185785">
      <w:bodyDiv w:val="1"/>
      <w:marLeft w:val="0"/>
      <w:marRight w:val="0"/>
      <w:marTop w:val="0"/>
      <w:marBottom w:val="0"/>
      <w:divBdr>
        <w:top w:val="none" w:sz="0" w:space="0" w:color="auto"/>
        <w:left w:val="none" w:sz="0" w:space="0" w:color="auto"/>
        <w:bottom w:val="none" w:sz="0" w:space="0" w:color="auto"/>
        <w:right w:val="none" w:sz="0" w:space="0" w:color="auto"/>
      </w:divBdr>
    </w:div>
    <w:div w:id="1578663912">
      <w:bodyDiv w:val="1"/>
      <w:marLeft w:val="0"/>
      <w:marRight w:val="0"/>
      <w:marTop w:val="0"/>
      <w:marBottom w:val="0"/>
      <w:divBdr>
        <w:top w:val="none" w:sz="0" w:space="0" w:color="auto"/>
        <w:left w:val="none" w:sz="0" w:space="0" w:color="auto"/>
        <w:bottom w:val="none" w:sz="0" w:space="0" w:color="auto"/>
        <w:right w:val="none" w:sz="0" w:space="0" w:color="auto"/>
      </w:divBdr>
    </w:div>
    <w:div w:id="1684090472">
      <w:bodyDiv w:val="1"/>
      <w:marLeft w:val="0"/>
      <w:marRight w:val="0"/>
      <w:marTop w:val="0"/>
      <w:marBottom w:val="0"/>
      <w:divBdr>
        <w:top w:val="none" w:sz="0" w:space="0" w:color="auto"/>
        <w:left w:val="none" w:sz="0" w:space="0" w:color="auto"/>
        <w:bottom w:val="none" w:sz="0" w:space="0" w:color="auto"/>
        <w:right w:val="none" w:sz="0" w:space="0" w:color="auto"/>
      </w:divBdr>
    </w:div>
    <w:div w:id="1796558883">
      <w:bodyDiv w:val="1"/>
      <w:marLeft w:val="0"/>
      <w:marRight w:val="0"/>
      <w:marTop w:val="0"/>
      <w:marBottom w:val="0"/>
      <w:divBdr>
        <w:top w:val="none" w:sz="0" w:space="0" w:color="auto"/>
        <w:left w:val="none" w:sz="0" w:space="0" w:color="auto"/>
        <w:bottom w:val="none" w:sz="0" w:space="0" w:color="auto"/>
        <w:right w:val="none" w:sz="0" w:space="0" w:color="auto"/>
      </w:divBdr>
    </w:div>
    <w:div w:id="1797067185">
      <w:bodyDiv w:val="1"/>
      <w:marLeft w:val="0"/>
      <w:marRight w:val="0"/>
      <w:marTop w:val="0"/>
      <w:marBottom w:val="0"/>
      <w:divBdr>
        <w:top w:val="none" w:sz="0" w:space="0" w:color="auto"/>
        <w:left w:val="none" w:sz="0" w:space="0" w:color="auto"/>
        <w:bottom w:val="none" w:sz="0" w:space="0" w:color="auto"/>
        <w:right w:val="none" w:sz="0" w:space="0" w:color="auto"/>
      </w:divBdr>
    </w:div>
    <w:div w:id="1885677789">
      <w:bodyDiv w:val="1"/>
      <w:marLeft w:val="0"/>
      <w:marRight w:val="0"/>
      <w:marTop w:val="0"/>
      <w:marBottom w:val="0"/>
      <w:divBdr>
        <w:top w:val="none" w:sz="0" w:space="0" w:color="auto"/>
        <w:left w:val="none" w:sz="0" w:space="0" w:color="auto"/>
        <w:bottom w:val="none" w:sz="0" w:space="0" w:color="auto"/>
        <w:right w:val="none" w:sz="0" w:space="0" w:color="auto"/>
      </w:divBdr>
    </w:div>
    <w:div w:id="1996302431">
      <w:bodyDiv w:val="1"/>
      <w:marLeft w:val="0"/>
      <w:marRight w:val="0"/>
      <w:marTop w:val="0"/>
      <w:marBottom w:val="0"/>
      <w:divBdr>
        <w:top w:val="none" w:sz="0" w:space="0" w:color="auto"/>
        <w:left w:val="none" w:sz="0" w:space="0" w:color="auto"/>
        <w:bottom w:val="none" w:sz="0" w:space="0" w:color="auto"/>
        <w:right w:val="none" w:sz="0" w:space="0" w:color="auto"/>
      </w:divBdr>
    </w:div>
    <w:div w:id="2069304853">
      <w:bodyDiv w:val="1"/>
      <w:marLeft w:val="0"/>
      <w:marRight w:val="0"/>
      <w:marTop w:val="0"/>
      <w:marBottom w:val="0"/>
      <w:divBdr>
        <w:top w:val="none" w:sz="0" w:space="0" w:color="auto"/>
        <w:left w:val="none" w:sz="0" w:space="0" w:color="auto"/>
        <w:bottom w:val="none" w:sz="0" w:space="0" w:color="auto"/>
        <w:right w:val="none" w:sz="0" w:space="0" w:color="auto"/>
      </w:divBdr>
    </w:div>
    <w:div w:id="2071075350">
      <w:bodyDiv w:val="1"/>
      <w:marLeft w:val="0"/>
      <w:marRight w:val="0"/>
      <w:marTop w:val="0"/>
      <w:marBottom w:val="0"/>
      <w:divBdr>
        <w:top w:val="none" w:sz="0" w:space="0" w:color="auto"/>
        <w:left w:val="none" w:sz="0" w:space="0" w:color="auto"/>
        <w:bottom w:val="none" w:sz="0" w:space="0" w:color="auto"/>
        <w:right w:val="none" w:sz="0" w:space="0" w:color="auto"/>
      </w:divBdr>
    </w:div>
    <w:div w:id="2115242999">
      <w:bodyDiv w:val="1"/>
      <w:marLeft w:val="0"/>
      <w:marRight w:val="0"/>
      <w:marTop w:val="0"/>
      <w:marBottom w:val="0"/>
      <w:divBdr>
        <w:top w:val="none" w:sz="0" w:space="0" w:color="auto"/>
        <w:left w:val="none" w:sz="0" w:space="0" w:color="auto"/>
        <w:bottom w:val="none" w:sz="0" w:space="0" w:color="auto"/>
        <w:right w:val="none" w:sz="0" w:space="0" w:color="auto"/>
      </w:divBdr>
    </w:div>
    <w:div w:id="2130202707">
      <w:bodyDiv w:val="1"/>
      <w:marLeft w:val="0"/>
      <w:marRight w:val="0"/>
      <w:marTop w:val="0"/>
      <w:marBottom w:val="0"/>
      <w:divBdr>
        <w:top w:val="none" w:sz="0" w:space="0" w:color="auto"/>
        <w:left w:val="none" w:sz="0" w:space="0" w:color="auto"/>
        <w:bottom w:val="none" w:sz="0" w:space="0" w:color="auto"/>
        <w:right w:val="none" w:sz="0" w:space="0" w:color="auto"/>
      </w:divBdr>
    </w:div>
    <w:div w:id="21310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aph.gov.au/DocumentStore.ashx?id=766df2d3-b918-4b17-aadf-28ccca57bca5&amp;subId=516302" TargetMode="External"/><Relationship Id="rId18" Type="http://schemas.openxmlformats.org/officeDocument/2006/relationships/hyperlink" Target="https://www.nationalsecurity.gov.au/Media-and-publications/Annual-Reports/Pages/default.aspx" TargetMode="External"/><Relationship Id="rId26" Type="http://schemas.openxmlformats.org/officeDocument/2006/relationships/hyperlink" Target="https://www.aph.gov.au/DocumentStore.ashx?id=21ad9998-5d4e-422e-8f72-cdc0623e1d4b&amp;subId=561854" TargetMode="External"/><Relationship Id="rId39" Type="http://schemas.openxmlformats.org/officeDocument/2006/relationships/hyperlink" Target="https://www.ombo.nsw.gov.au/__data/assets/pdf_file/0005/45455/Preventative-detention-and-covert-search-warrants_Review-of-Parts-2A-and-3-of-the-Terrorism-Police-Powers-Act-2002..pdf" TargetMode="External"/><Relationship Id="rId21" Type="http://schemas.openxmlformats.org/officeDocument/2006/relationships/hyperlink" Target="https://www.aph.gov.au/DocumentStore.ashx?id=5447abfd-97eb-4433-8253-7e955db74537&amp;subId=561854" TargetMode="External"/><Relationship Id="rId34" Type="http://schemas.openxmlformats.org/officeDocument/2006/relationships/hyperlink" Target="https://www.aph.gov.au/DocumentStore.ashx?id=21ad9998-5d4e-422e-8f72-cdc0623e1d4b&amp;subId=561854" TargetMode="External"/><Relationship Id="rId42" Type="http://schemas.openxmlformats.org/officeDocument/2006/relationships/hyperlink" Target="https://www.abc.net.au/news/2020-07-28/terrorist-prisoner-benbrika-could-be-kept-in-detention/12474720" TargetMode="External"/><Relationship Id="rId47" Type="http://schemas.openxmlformats.org/officeDocument/2006/relationships/hyperlink" Target="http://www.sentencingcouncil.justice.nsw.gov.au/Pages/sent_council_index/publications/completed_projects/svo/svo.aspx" TargetMode="External"/><Relationship Id="rId50" Type="http://schemas.openxmlformats.org/officeDocument/2006/relationships/hyperlink" Target="https://www.vera-2r.nl/vera-2r-instrument/strengths-and-limitations/index.aspx" TargetMode="External"/><Relationship Id="rId7" Type="http://schemas.openxmlformats.org/officeDocument/2006/relationships/hyperlink" Target="https://www.aph.gov.au/DocumentStore.ashx?id=a7b77fd7-2a24-4d94-8177-59d38a55d085&amp;subId=691389" TargetMode="External"/><Relationship Id="rId2" Type="http://schemas.openxmlformats.org/officeDocument/2006/relationships/hyperlink" Target="https://www.ag.gov.au/sites/default/files/2020-05/Australian%20Human%20Rights%20Commission_0.pdf" TargetMode="External"/><Relationship Id="rId16" Type="http://schemas.openxmlformats.org/officeDocument/2006/relationships/hyperlink" Target="https://www.aph.gov.au/Parliamentary_Business/Committees/Joint/Intelligence_and_Security/AFPpowersreview/Report" TargetMode="External"/><Relationship Id="rId29" Type="http://schemas.openxmlformats.org/officeDocument/2006/relationships/hyperlink" Target="https://www.inslm.gov.au/sites/default/files/inslm-annual-report-2012.pdf" TargetMode="External"/><Relationship Id="rId11" Type="http://schemas.openxmlformats.org/officeDocument/2006/relationships/hyperlink" Target="https://www.inslm.gov.au/sites/default/files/rpt-stop-search-seize-powers.pdf" TargetMode="External"/><Relationship Id="rId24" Type="http://schemas.openxmlformats.org/officeDocument/2006/relationships/hyperlink" Target="https://www.sbs.com.au/news/indigenous-police-brutality-victim-awarded-400-000" TargetMode="External"/><Relationship Id="rId32" Type="http://schemas.openxmlformats.org/officeDocument/2006/relationships/hyperlink" Target="https://www.cdpp.gov.au/news/media-statement-discontinuance-conspiracy-charge-against-mr-harun-causevic" TargetMode="External"/><Relationship Id="rId37" Type="http://schemas.openxmlformats.org/officeDocument/2006/relationships/hyperlink" Target="https://www.nationalsecurity.gov.au/Media-and-publications/Annual-Reports/Pages/default.aspx" TargetMode="External"/><Relationship Id="rId40" Type="http://schemas.openxmlformats.org/officeDocument/2006/relationships/hyperlink" Target="https://www.justice.nsw.gov.au/justicepolicy/Documents/statutory-review-of-the-tppa.pdf" TargetMode="External"/><Relationship Id="rId45" Type="http://schemas.openxmlformats.org/officeDocument/2006/relationships/hyperlink" Target="http://www.sentencingcouncil.justice.nsw.gov.au/Documents/Sentencing_Serious_Violent_Offenders/online%20final%20report%20hrvo.pdf" TargetMode="External"/><Relationship Id="rId53" Type="http://schemas.openxmlformats.org/officeDocument/2006/relationships/hyperlink" Target="https://www.aph.gov.au/DocumentStore.ashx?id=ed7b9dc5-07b4-4672-a2e6-1b015c1248dd" TargetMode="External"/><Relationship Id="rId5" Type="http://schemas.openxmlformats.org/officeDocument/2006/relationships/hyperlink" Target="https://www.aph.gov.au/DocumentStore.ashx?id=766df2d3-b918-4b17-aadf-28ccca57bca5&amp;subId=516302" TargetMode="External"/><Relationship Id="rId10" Type="http://schemas.openxmlformats.org/officeDocument/2006/relationships/hyperlink" Target="https://www.inslm.gov.au/sites/default/files/11-australian-human-rights-commission.pdf" TargetMode="External"/><Relationship Id="rId19" Type="http://schemas.openxmlformats.org/officeDocument/2006/relationships/hyperlink" Target="https://www.ag.gov.au/sites/default/files/2020-03/Final%20Report.PDF" TargetMode="External"/><Relationship Id="rId31" Type="http://schemas.openxmlformats.org/officeDocument/2006/relationships/hyperlink" Target="https://www.aph.gov.au/DocumentStore.ashx?id=5447abfd-97eb-4433-8253-7e955db74537&amp;subId=561854" TargetMode="External"/><Relationship Id="rId44" Type="http://schemas.openxmlformats.org/officeDocument/2006/relationships/hyperlink" Target="https://www.sentencingcouncil.vic.gov.au/publications/high-risk-offenders-final-report" TargetMode="External"/><Relationship Id="rId52" Type="http://schemas.openxmlformats.org/officeDocument/2006/relationships/hyperlink" Target="https://www.aph.gov.au/DocumentStore.ashx?id=ed7b9dc5-07b4-4672-a2e6-1b015c1248dd" TargetMode="External"/><Relationship Id="rId4" Type="http://schemas.openxmlformats.org/officeDocument/2006/relationships/hyperlink" Target="https://www.inslm.gov.au/sites/default/files/11-australian-human-rights-commission.pdf" TargetMode="External"/><Relationship Id="rId9" Type="http://schemas.openxmlformats.org/officeDocument/2006/relationships/hyperlink" Target="https://www.aph.gov.au/~/media/wopapub/senate/committee/legcon_ctte/completed_inquiries/2004_07/terrorism/report/report_pdf.ashx" TargetMode="External"/><Relationship Id="rId14" Type="http://schemas.openxmlformats.org/officeDocument/2006/relationships/hyperlink" Target="https://www.aph.gov.au/Parliamentary_Business/Committees/Joint/Intelligence_and_Security/AFPpowersreview/Report" TargetMode="External"/><Relationship Id="rId22" Type="http://schemas.openxmlformats.org/officeDocument/2006/relationships/hyperlink" Target="https://www.inslm.gov.au/sites/default/files/inslm-annual-report-2011.pdf" TargetMode="External"/><Relationship Id="rId27" Type="http://schemas.openxmlformats.org/officeDocument/2006/relationships/hyperlink" Target="https://www.aph.gov.au/DocumentStore.ashx?id=080c06ef-59cb-4d40-9132-f1664588c82c&amp;subId=407290" TargetMode="External"/><Relationship Id="rId30" Type="http://schemas.openxmlformats.org/officeDocument/2006/relationships/hyperlink" Target="https://www.ag.gov.au/sites/default/files/2020-03/Final%20Report.PDF" TargetMode="External"/><Relationship Id="rId35" Type="http://schemas.openxmlformats.org/officeDocument/2006/relationships/hyperlink" Target="https://www.aph.gov.au/DocumentStore.ashx?id=21ad9998-5d4e-422e-8f72-cdc0623e1d4b&amp;subId=561854" TargetMode="External"/><Relationship Id="rId43" Type="http://schemas.openxmlformats.org/officeDocument/2006/relationships/hyperlink" Target="https://www.aph.gov.au/DocumentStore.ashx?id=17e06008-e0f9-491e-98f0-1913b835392a&amp;subId=691220" TargetMode="External"/><Relationship Id="rId48" Type="http://schemas.openxmlformats.org/officeDocument/2006/relationships/hyperlink" Target="http://www.sentencingcouncil.justice.nsw.gov.au/Pages/sent_council_index/publications/completed_projects/svo/svo.aspx" TargetMode="External"/><Relationship Id="rId8" Type="http://schemas.openxmlformats.org/officeDocument/2006/relationships/hyperlink" Target="https://www.abc.net.au/news/2014-09-22/islamic-state-calls-on-supporters-to-kill-australians/5761502" TargetMode="External"/><Relationship Id="rId51" Type="http://schemas.openxmlformats.org/officeDocument/2006/relationships/hyperlink" Target="http://www.sentencingcouncil.justice.nsw.gov.au/Pages/sent_council_index/publications/completed_projects/svo/svo.aspx" TargetMode="External"/><Relationship Id="rId3" Type="http://schemas.openxmlformats.org/officeDocument/2006/relationships/hyperlink" Target="https://www.aph.gov.au/DocumentStore.ashx?id=32397a66-a179-4a07-a5fb-ab60b776676f&amp;subId=414693" TargetMode="External"/><Relationship Id="rId12" Type="http://schemas.openxmlformats.org/officeDocument/2006/relationships/hyperlink" Target="https://www.inslm.gov.au/sites/default/files/control-preventative-detention-orders.pdf" TargetMode="External"/><Relationship Id="rId17" Type="http://schemas.openxmlformats.org/officeDocument/2006/relationships/hyperlink" Target="https://www.aph.gov.au/DocumentStore.ashx?id=5bec13ed-117f-4148-9e7e-4ceb6a92383c&amp;subId=561438" TargetMode="External"/><Relationship Id="rId25" Type="http://schemas.openxmlformats.org/officeDocument/2006/relationships/hyperlink" Target="https://www.inslm.gov.au/sites/default/files/control-order-safeguards-part2.pdf" TargetMode="External"/><Relationship Id="rId33" Type="http://schemas.openxmlformats.org/officeDocument/2006/relationships/hyperlink" Target="https://www.abc.net.au/news/2020-06-26/part-of-witness-k-lawyer-bernard-collaery-trial-heard-in-secret/12397584" TargetMode="External"/><Relationship Id="rId38" Type="http://schemas.openxmlformats.org/officeDocument/2006/relationships/hyperlink" Target="https://www.inslm.gov.au/sites/default/files/INSLM-transcript-public-hearing-19-may-2017.pdf" TargetMode="External"/><Relationship Id="rId46" Type="http://schemas.openxmlformats.org/officeDocument/2006/relationships/hyperlink" Target="https://www.sentencingcouncil.vic.gov.au/publications/high-risk-offenders-final-report" TargetMode="External"/><Relationship Id="rId20" Type="http://schemas.openxmlformats.org/officeDocument/2006/relationships/hyperlink" Target="https://terrorismlegislationreviewer.independent.gov.uk/wp-content/uploads/2020/03/Terrorism-Acts-in-2018-Report-1.pdf" TargetMode="External"/><Relationship Id="rId41" Type="http://schemas.openxmlformats.org/officeDocument/2006/relationships/hyperlink" Target="https://www.aph.gov.au/DocumentStore.ashx?id=32397a66-a179-4a07-a5fb-ab60b776676f&amp;subId=414693" TargetMode="External"/><Relationship Id="rId1" Type="http://schemas.openxmlformats.org/officeDocument/2006/relationships/hyperlink" Target="https://www.aph.gov.au/~/media/wopapub/senate/committee/legcon_ctte/completed_inquiries/2004_07/terrorism/submissions/sub158_pdf.ashx" TargetMode="External"/><Relationship Id="rId6" Type="http://schemas.openxmlformats.org/officeDocument/2006/relationships/hyperlink" Target="http://www.humanrights.gov.au/human-rights-guide-australias-counter-terrorism-laws" TargetMode="External"/><Relationship Id="rId15" Type="http://schemas.openxmlformats.org/officeDocument/2006/relationships/hyperlink" Target="https://www.nationalsecurity.gov.au/Securityandyourcommunity/Pages/National-Terrorism-Threat-Advisory-System.aspx" TargetMode="External"/><Relationship Id="rId23" Type="http://schemas.openxmlformats.org/officeDocument/2006/relationships/hyperlink" Target="https://www.aph.gov.au/DocumentStore.ashx?id=19741c6e-98fc-4d3a-b52f-c4f9c5ee9595&amp;subId=561442" TargetMode="External"/><Relationship Id="rId28" Type="http://schemas.openxmlformats.org/officeDocument/2006/relationships/hyperlink" Target="https://www.nationalsecurity.gov.au/Media-and-publications/Annual-Reports/Pages/default.aspx" TargetMode="External"/><Relationship Id="rId36" Type="http://schemas.openxmlformats.org/officeDocument/2006/relationships/hyperlink" Target="https://www.inslm.gov.au/sites/default/files/08_LCA_submission.pdf" TargetMode="External"/><Relationship Id="rId49" Type="http://schemas.openxmlformats.org/officeDocument/2006/relationships/hyperlink" Target="https://www.aph.gov.au/Parliamentary_Business/Committees/Joint/Intelligence_and_Security/HRTOBill/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 xsi:nil="true"/>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_dlc_DocId xmlns="6500fe01-343b-4fb9-a1b0-68ac19d62e01">AHRC-31920988-7712</_dlc_DocId>
    <_dlc_DocIdUrl xmlns="6500fe01-343b-4fb9-a1b0-68ac19d62e01">
      <Url>https://australianhrc.sharepoint.com/sites/LegalServicesWorkspace/_layouts/15/DocIdRedir.aspx?ID=AHRC-31920988-7712</Url>
      <Description>AHRC-31920988-7712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48" ma:contentTypeDescription="Create a new document." ma:contentTypeScope="" ma:versionID="bbb1a6f41efe83b6fce66ec854f11e6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c1de35cc94024bdc9f93ad9350e1d678"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dexed="true" ma:internalName="Subdivider">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dexed="true" ma:internalName="Divider">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75c5ac6-a0cc-43ed-b850-4a2ae59237b6" ContentTypeId="0x0101"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A527B8B-CC85-4AEA-8448-FC09DF0F64AC}">
  <ds:schemaRefs>
    <ds:schemaRef ds:uri="http://schemas.microsoft.com/sharepoint/v3/contenttype/forms"/>
  </ds:schemaRefs>
</ds:datastoreItem>
</file>

<file path=customXml/itemProps2.xml><?xml version="1.0" encoding="utf-8"?>
<ds:datastoreItem xmlns:ds="http://schemas.openxmlformats.org/officeDocument/2006/customXml" ds:itemID="{7CD8664F-84FA-D843-8980-0EDFEDDCFC6B}">
  <ds:schemaRefs>
    <ds:schemaRef ds:uri="http://schemas.openxmlformats.org/officeDocument/2006/bibliography"/>
  </ds:schemaRefs>
</ds:datastoreItem>
</file>

<file path=customXml/itemProps3.xml><?xml version="1.0" encoding="utf-8"?>
<ds:datastoreItem xmlns:ds="http://schemas.openxmlformats.org/officeDocument/2006/customXml" ds:itemID="{A13ECF32-7A67-4530-867D-D01B758C8BC2}">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4.xml><?xml version="1.0" encoding="utf-8"?>
<ds:datastoreItem xmlns:ds="http://schemas.openxmlformats.org/officeDocument/2006/customXml" ds:itemID="{B7FC97D6-A40B-4951-BDAF-10C333DBD297}">
  <ds:schemaRefs>
    <ds:schemaRef ds:uri="http://schemas.microsoft.com/sharepoint/events"/>
  </ds:schemaRefs>
</ds:datastoreItem>
</file>

<file path=customXml/itemProps5.xml><?xml version="1.0" encoding="utf-8"?>
<ds:datastoreItem xmlns:ds="http://schemas.openxmlformats.org/officeDocument/2006/customXml" ds:itemID="{5812A9C1-5AEC-41C8-9990-A9B18D9D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8DBF26-F935-475D-B187-F2381FACD161}">
  <ds:schemaRefs>
    <ds:schemaRef ds:uri="Microsoft.SharePoint.Taxonomy.ContentTypeSync"/>
  </ds:schemaRefs>
</ds:datastoreItem>
</file>

<file path=customXml/itemProps7.xml><?xml version="1.0" encoding="utf-8"?>
<ds:datastoreItem xmlns:ds="http://schemas.openxmlformats.org/officeDocument/2006/customXml" ds:itemID="{A2C4370D-C3B2-440A-BEA8-7EF5138297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Submission_New.dotx</Template>
  <TotalTime>129</TotalTime>
  <Pages>111</Pages>
  <Words>28608</Words>
  <Characters>163067</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191293</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101</cp:revision>
  <cp:lastPrinted>2020-09-10T02:37:00Z</cp:lastPrinted>
  <dcterms:created xsi:type="dcterms:W3CDTF">2020-09-09T23:54:00Z</dcterms:created>
  <dcterms:modified xsi:type="dcterms:W3CDTF">2020-09-10T02:37:00Z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9151bfb7-0bf4-4c6e-9a6a-668ab1e90b44</vt:lpwstr>
  </property>
</Properties>
</file>