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4B017" w14:textId="4E291033" w:rsidR="00A355F9" w:rsidRPr="008A56A5" w:rsidRDefault="00B152AB" w:rsidP="00A355F9">
      <w:pPr>
        <w:pStyle w:val="MainTitle"/>
      </w:pPr>
      <w:bookmarkStart w:id="0" w:name="_Hlk20928629"/>
      <w:r w:rsidRPr="008A56A5">
        <w:t>Australian Citizenship Amendment (Citizenship Cessation) Bill 2019 (Cth)</w:t>
      </w:r>
    </w:p>
    <w:p w14:paraId="37345705" w14:textId="1179BDB8" w:rsidR="00817C73" w:rsidRPr="008A56A5" w:rsidRDefault="00827C93" w:rsidP="009B2425">
      <w:pPr>
        <w:jc w:val="right"/>
        <w:rPr>
          <w:color w:val="2E74B5" w:themeColor="accent1" w:themeShade="BF"/>
          <w:sz w:val="28"/>
          <w:szCs w:val="28"/>
        </w:rPr>
      </w:pPr>
      <w:bookmarkStart w:id="1" w:name="_Toc515873205"/>
      <w:bookmarkStart w:id="2" w:name="_Toc532997313"/>
      <w:bookmarkStart w:id="3" w:name="_Toc533088567"/>
      <w:bookmarkStart w:id="4" w:name="_Toc533158359"/>
      <w:bookmarkStart w:id="5" w:name="_Toc533174345"/>
      <w:bookmarkStart w:id="6" w:name="_Toc534383711"/>
      <w:bookmarkStart w:id="7" w:name="_Toc534631503"/>
      <w:bookmarkStart w:id="8" w:name="_Toc534817615"/>
      <w:bookmarkStart w:id="9" w:name="_Toc534878459"/>
      <w:bookmarkStart w:id="10" w:name="_Toc525894097"/>
      <w:bookmarkStart w:id="11" w:name="_Toc20921351"/>
      <w:bookmarkEnd w:id="0"/>
      <w:r w:rsidRPr="008A56A5">
        <w:rPr>
          <w:color w:val="2E74B5" w:themeColor="accent1" w:themeShade="BF"/>
          <w:sz w:val="28"/>
          <w:szCs w:val="28"/>
        </w:rPr>
        <w:t xml:space="preserve">Submission to the </w:t>
      </w:r>
      <w:bookmarkEnd w:id="1"/>
      <w:r w:rsidRPr="008A56A5">
        <w:rPr>
          <w:color w:val="2E74B5" w:themeColor="accent1" w:themeShade="BF"/>
          <w:sz w:val="28"/>
          <w:szCs w:val="28"/>
        </w:rPr>
        <w:t xml:space="preserve">Parliamentary Joint </w:t>
      </w:r>
      <w:r w:rsidRPr="008A56A5">
        <w:rPr>
          <w:color w:val="2E74B5" w:themeColor="accent1" w:themeShade="BF"/>
          <w:sz w:val="28"/>
          <w:szCs w:val="28"/>
        </w:rPr>
        <w:br/>
        <w:t>Committee on Intelligence and Security</w:t>
      </w:r>
      <w:bookmarkEnd w:id="2"/>
      <w:bookmarkEnd w:id="3"/>
      <w:bookmarkEnd w:id="4"/>
      <w:bookmarkEnd w:id="5"/>
      <w:bookmarkEnd w:id="6"/>
      <w:bookmarkEnd w:id="7"/>
      <w:bookmarkEnd w:id="8"/>
      <w:bookmarkEnd w:id="9"/>
      <w:bookmarkEnd w:id="10"/>
      <w:bookmarkEnd w:id="11"/>
    </w:p>
    <w:p w14:paraId="6DFB2D89" w14:textId="1C71D8EC" w:rsidR="00F220A5" w:rsidRPr="008A56A5" w:rsidRDefault="00827C93" w:rsidP="00F220A5">
      <w:pPr>
        <w:pStyle w:val="Date"/>
      </w:pPr>
      <w:r w:rsidRPr="008A56A5">
        <w:t>14 October 2019</w:t>
      </w:r>
    </w:p>
    <w:p w14:paraId="580ECEFD" w14:textId="77777777" w:rsidR="00AC636D" w:rsidRPr="008A56A5" w:rsidRDefault="00AC636D" w:rsidP="00AC636D"/>
    <w:p w14:paraId="4B27A13E" w14:textId="77777777" w:rsidR="009E4BD0" w:rsidRPr="008A56A5" w:rsidRDefault="009E4BD0" w:rsidP="000E4837">
      <w:pPr>
        <w:pStyle w:val="Subtitle"/>
        <w:sectPr w:rsidR="009E4BD0" w:rsidRPr="008A56A5" w:rsidSect="00AC636D">
          <w:headerReference w:type="even" r:id="rId14"/>
          <w:headerReference w:type="default" r:id="rId15"/>
          <w:headerReference w:type="first" r:id="rId16"/>
          <w:footerReference w:type="first" r:id="rId17"/>
          <w:type w:val="continuous"/>
          <w:pgSz w:w="11906" w:h="16838" w:code="9"/>
          <w:pgMar w:top="228" w:right="1700" w:bottom="1134" w:left="1418" w:header="277" w:footer="1361" w:gutter="0"/>
          <w:pgNumType w:start="2"/>
          <w:cols w:space="708"/>
          <w:titlePg/>
          <w:docGrid w:linePitch="360"/>
        </w:sectPr>
      </w:pPr>
    </w:p>
    <w:bookmarkStart w:id="12" w:name="_Toc209316062"/>
    <w:bookmarkEnd w:id="12"/>
    <w:p w14:paraId="7623A331" w14:textId="06947C1F" w:rsidR="00C11CFC" w:rsidRDefault="000E4837">
      <w:pPr>
        <w:pStyle w:val="TOC1"/>
        <w:rPr>
          <w:rFonts w:asciiTheme="minorHAnsi" w:eastAsiaTheme="minorEastAsia" w:hAnsiTheme="minorHAnsi" w:cstheme="minorBidi"/>
          <w:b w:val="0"/>
          <w:sz w:val="22"/>
          <w:szCs w:val="22"/>
        </w:rPr>
      </w:pPr>
      <w:r w:rsidRPr="008A56A5">
        <w:rPr>
          <w:b w:val="0"/>
        </w:rPr>
        <w:lastRenderedPageBreak/>
        <w:fldChar w:fldCharType="begin"/>
      </w:r>
      <w:r w:rsidRPr="008A56A5">
        <w:rPr>
          <w:b w:val="0"/>
        </w:rPr>
        <w:instrText xml:space="preserve"> TOC \o "1-3" \h \z \u </w:instrText>
      </w:r>
      <w:r w:rsidRPr="008A56A5">
        <w:rPr>
          <w:b w:val="0"/>
        </w:rPr>
        <w:fldChar w:fldCharType="separate"/>
      </w:r>
      <w:hyperlink w:anchor="_Toc21968470" w:history="1">
        <w:r w:rsidR="00C11CFC" w:rsidRPr="0038619D">
          <w:rPr>
            <w:rStyle w:val="Hyperlink"/>
          </w:rPr>
          <w:t>1</w:t>
        </w:r>
        <w:r w:rsidR="00C11CFC">
          <w:rPr>
            <w:rFonts w:asciiTheme="minorHAnsi" w:eastAsiaTheme="minorEastAsia" w:hAnsiTheme="minorHAnsi" w:cstheme="minorBidi"/>
            <w:b w:val="0"/>
            <w:sz w:val="22"/>
            <w:szCs w:val="22"/>
          </w:rPr>
          <w:tab/>
        </w:r>
        <w:r w:rsidR="00C11CFC" w:rsidRPr="0038619D">
          <w:rPr>
            <w:rStyle w:val="Hyperlink"/>
          </w:rPr>
          <w:t>Introduction</w:t>
        </w:r>
        <w:r w:rsidR="00C11CFC">
          <w:rPr>
            <w:webHidden/>
          </w:rPr>
          <w:tab/>
        </w:r>
        <w:r w:rsidR="00C11CFC">
          <w:rPr>
            <w:webHidden/>
          </w:rPr>
          <w:fldChar w:fldCharType="begin"/>
        </w:r>
        <w:r w:rsidR="00C11CFC">
          <w:rPr>
            <w:webHidden/>
          </w:rPr>
          <w:instrText xml:space="preserve"> PAGEREF _Toc21968470 \h </w:instrText>
        </w:r>
        <w:r w:rsidR="00C11CFC">
          <w:rPr>
            <w:webHidden/>
          </w:rPr>
        </w:r>
        <w:r w:rsidR="00C11CFC">
          <w:rPr>
            <w:webHidden/>
          </w:rPr>
          <w:fldChar w:fldCharType="separate"/>
        </w:r>
        <w:r w:rsidR="0091584B">
          <w:rPr>
            <w:webHidden/>
          </w:rPr>
          <w:t>3</w:t>
        </w:r>
        <w:r w:rsidR="00C11CFC">
          <w:rPr>
            <w:webHidden/>
          </w:rPr>
          <w:fldChar w:fldCharType="end"/>
        </w:r>
      </w:hyperlink>
    </w:p>
    <w:p w14:paraId="50387A66" w14:textId="2717D853" w:rsidR="00C11CFC" w:rsidRDefault="00C11CFC">
      <w:pPr>
        <w:pStyle w:val="TOC1"/>
        <w:rPr>
          <w:rFonts w:asciiTheme="minorHAnsi" w:eastAsiaTheme="minorEastAsia" w:hAnsiTheme="minorHAnsi" w:cstheme="minorBidi"/>
          <w:b w:val="0"/>
          <w:sz w:val="22"/>
          <w:szCs w:val="22"/>
        </w:rPr>
      </w:pPr>
      <w:hyperlink w:anchor="_Toc21968471" w:history="1">
        <w:r w:rsidRPr="0038619D">
          <w:rPr>
            <w:rStyle w:val="Hyperlink"/>
          </w:rPr>
          <w:t>2</w:t>
        </w:r>
        <w:r>
          <w:rPr>
            <w:rFonts w:asciiTheme="minorHAnsi" w:eastAsiaTheme="minorEastAsia" w:hAnsiTheme="minorHAnsi" w:cstheme="minorBidi"/>
            <w:b w:val="0"/>
            <w:sz w:val="22"/>
            <w:szCs w:val="22"/>
          </w:rPr>
          <w:tab/>
        </w:r>
        <w:r w:rsidRPr="0038619D">
          <w:rPr>
            <w:rStyle w:val="Hyperlink"/>
          </w:rPr>
          <w:t>Background</w:t>
        </w:r>
        <w:r>
          <w:rPr>
            <w:webHidden/>
          </w:rPr>
          <w:tab/>
        </w:r>
        <w:r>
          <w:rPr>
            <w:webHidden/>
          </w:rPr>
          <w:fldChar w:fldCharType="begin"/>
        </w:r>
        <w:r>
          <w:rPr>
            <w:webHidden/>
          </w:rPr>
          <w:instrText xml:space="preserve"> PAGEREF _Toc21968471 \h </w:instrText>
        </w:r>
        <w:r>
          <w:rPr>
            <w:webHidden/>
          </w:rPr>
        </w:r>
        <w:r>
          <w:rPr>
            <w:webHidden/>
          </w:rPr>
          <w:fldChar w:fldCharType="separate"/>
        </w:r>
        <w:r w:rsidR="0091584B">
          <w:rPr>
            <w:webHidden/>
          </w:rPr>
          <w:t>4</w:t>
        </w:r>
        <w:r>
          <w:rPr>
            <w:webHidden/>
          </w:rPr>
          <w:fldChar w:fldCharType="end"/>
        </w:r>
      </w:hyperlink>
    </w:p>
    <w:p w14:paraId="21BC6E9A" w14:textId="25B15E3E" w:rsidR="00C11CFC" w:rsidRDefault="00C11CFC">
      <w:pPr>
        <w:pStyle w:val="TOC2"/>
        <w:rPr>
          <w:rFonts w:asciiTheme="minorHAnsi" w:eastAsiaTheme="minorEastAsia" w:hAnsiTheme="minorHAnsi" w:cstheme="minorBidi"/>
          <w:b w:val="0"/>
          <w:i w:val="0"/>
          <w:sz w:val="22"/>
          <w:szCs w:val="22"/>
        </w:rPr>
      </w:pPr>
      <w:hyperlink w:anchor="_Toc21968472" w:history="1">
        <w:r w:rsidRPr="0038619D">
          <w:rPr>
            <w:rStyle w:val="Hyperlink"/>
          </w:rPr>
          <w:t>2.1</w:t>
        </w:r>
        <w:r>
          <w:rPr>
            <w:rFonts w:asciiTheme="minorHAnsi" w:eastAsiaTheme="minorEastAsia" w:hAnsiTheme="minorHAnsi" w:cstheme="minorBidi"/>
            <w:b w:val="0"/>
            <w:i w:val="0"/>
            <w:sz w:val="22"/>
            <w:szCs w:val="22"/>
          </w:rPr>
          <w:tab/>
        </w:r>
        <w:r w:rsidRPr="0038619D">
          <w:rPr>
            <w:rStyle w:val="Hyperlink"/>
          </w:rPr>
          <w:t>The Bill</w:t>
        </w:r>
        <w:r>
          <w:rPr>
            <w:webHidden/>
          </w:rPr>
          <w:tab/>
        </w:r>
        <w:r>
          <w:rPr>
            <w:webHidden/>
          </w:rPr>
          <w:fldChar w:fldCharType="begin"/>
        </w:r>
        <w:r>
          <w:rPr>
            <w:webHidden/>
          </w:rPr>
          <w:instrText xml:space="preserve"> PAGEREF _Toc21968472 \h </w:instrText>
        </w:r>
        <w:r>
          <w:rPr>
            <w:webHidden/>
          </w:rPr>
        </w:r>
        <w:r>
          <w:rPr>
            <w:webHidden/>
          </w:rPr>
          <w:fldChar w:fldCharType="separate"/>
        </w:r>
        <w:r w:rsidR="0091584B">
          <w:rPr>
            <w:webHidden/>
          </w:rPr>
          <w:t>4</w:t>
        </w:r>
        <w:r>
          <w:rPr>
            <w:webHidden/>
          </w:rPr>
          <w:fldChar w:fldCharType="end"/>
        </w:r>
      </w:hyperlink>
    </w:p>
    <w:p w14:paraId="54EBD1BA" w14:textId="680FA47D" w:rsidR="00C11CFC" w:rsidRDefault="00C11CFC">
      <w:pPr>
        <w:pStyle w:val="TOC2"/>
        <w:rPr>
          <w:rFonts w:asciiTheme="minorHAnsi" w:eastAsiaTheme="minorEastAsia" w:hAnsiTheme="minorHAnsi" w:cstheme="minorBidi"/>
          <w:b w:val="0"/>
          <w:i w:val="0"/>
          <w:sz w:val="22"/>
          <w:szCs w:val="22"/>
        </w:rPr>
      </w:pPr>
      <w:hyperlink w:anchor="_Toc21968473" w:history="1">
        <w:r w:rsidRPr="0038619D">
          <w:rPr>
            <w:rStyle w:val="Hyperlink"/>
          </w:rPr>
          <w:t>2.2</w:t>
        </w:r>
        <w:r>
          <w:rPr>
            <w:rFonts w:asciiTheme="minorHAnsi" w:eastAsiaTheme="minorEastAsia" w:hAnsiTheme="minorHAnsi" w:cstheme="minorBidi"/>
            <w:b w:val="0"/>
            <w:i w:val="0"/>
            <w:sz w:val="22"/>
            <w:szCs w:val="22"/>
          </w:rPr>
          <w:tab/>
        </w:r>
        <w:r w:rsidRPr="0038619D">
          <w:rPr>
            <w:rStyle w:val="Hyperlink"/>
          </w:rPr>
          <w:t>Summary of key concerns</w:t>
        </w:r>
        <w:r>
          <w:rPr>
            <w:webHidden/>
          </w:rPr>
          <w:tab/>
        </w:r>
        <w:r>
          <w:rPr>
            <w:webHidden/>
          </w:rPr>
          <w:fldChar w:fldCharType="begin"/>
        </w:r>
        <w:r>
          <w:rPr>
            <w:webHidden/>
          </w:rPr>
          <w:instrText xml:space="preserve"> PAGEREF _Toc21968473 \h </w:instrText>
        </w:r>
        <w:r>
          <w:rPr>
            <w:webHidden/>
          </w:rPr>
        </w:r>
        <w:r>
          <w:rPr>
            <w:webHidden/>
          </w:rPr>
          <w:fldChar w:fldCharType="separate"/>
        </w:r>
        <w:r w:rsidR="0091584B">
          <w:rPr>
            <w:webHidden/>
          </w:rPr>
          <w:t>6</w:t>
        </w:r>
        <w:r>
          <w:rPr>
            <w:webHidden/>
          </w:rPr>
          <w:fldChar w:fldCharType="end"/>
        </w:r>
      </w:hyperlink>
    </w:p>
    <w:p w14:paraId="75D9A6DB" w14:textId="46E8D5CB" w:rsidR="00C11CFC" w:rsidRDefault="00C11CFC">
      <w:pPr>
        <w:pStyle w:val="TOC2"/>
        <w:rPr>
          <w:rFonts w:asciiTheme="minorHAnsi" w:eastAsiaTheme="minorEastAsia" w:hAnsiTheme="minorHAnsi" w:cstheme="minorBidi"/>
          <w:b w:val="0"/>
          <w:i w:val="0"/>
          <w:sz w:val="22"/>
          <w:szCs w:val="22"/>
        </w:rPr>
      </w:pPr>
      <w:hyperlink w:anchor="_Toc21968474" w:history="1">
        <w:r w:rsidRPr="0038619D">
          <w:rPr>
            <w:rStyle w:val="Hyperlink"/>
          </w:rPr>
          <w:t>2.3</w:t>
        </w:r>
        <w:r>
          <w:rPr>
            <w:rFonts w:asciiTheme="minorHAnsi" w:eastAsiaTheme="minorEastAsia" w:hAnsiTheme="minorHAnsi" w:cstheme="minorBidi"/>
            <w:b w:val="0"/>
            <w:i w:val="0"/>
            <w:sz w:val="22"/>
            <w:szCs w:val="22"/>
          </w:rPr>
          <w:tab/>
        </w:r>
        <w:r w:rsidRPr="0038619D">
          <w:rPr>
            <w:rStyle w:val="Hyperlink"/>
          </w:rPr>
          <w:t>Recommendations</w:t>
        </w:r>
        <w:r>
          <w:rPr>
            <w:webHidden/>
          </w:rPr>
          <w:tab/>
        </w:r>
        <w:r>
          <w:rPr>
            <w:webHidden/>
          </w:rPr>
          <w:fldChar w:fldCharType="begin"/>
        </w:r>
        <w:r>
          <w:rPr>
            <w:webHidden/>
          </w:rPr>
          <w:instrText xml:space="preserve"> PAGEREF _Toc21968474 \h </w:instrText>
        </w:r>
        <w:r>
          <w:rPr>
            <w:webHidden/>
          </w:rPr>
        </w:r>
        <w:r>
          <w:rPr>
            <w:webHidden/>
          </w:rPr>
          <w:fldChar w:fldCharType="separate"/>
        </w:r>
        <w:r w:rsidR="0091584B">
          <w:rPr>
            <w:webHidden/>
          </w:rPr>
          <w:t>8</w:t>
        </w:r>
        <w:r>
          <w:rPr>
            <w:webHidden/>
          </w:rPr>
          <w:fldChar w:fldCharType="end"/>
        </w:r>
      </w:hyperlink>
    </w:p>
    <w:p w14:paraId="39E31B0B" w14:textId="654601D9" w:rsidR="00C11CFC" w:rsidRDefault="00C11CFC">
      <w:pPr>
        <w:pStyle w:val="TOC1"/>
        <w:rPr>
          <w:rFonts w:asciiTheme="minorHAnsi" w:eastAsiaTheme="minorEastAsia" w:hAnsiTheme="minorHAnsi" w:cstheme="minorBidi"/>
          <w:b w:val="0"/>
          <w:sz w:val="22"/>
          <w:szCs w:val="22"/>
        </w:rPr>
      </w:pPr>
      <w:hyperlink w:anchor="_Toc21968475" w:history="1">
        <w:r w:rsidRPr="0038619D">
          <w:rPr>
            <w:rStyle w:val="Hyperlink"/>
          </w:rPr>
          <w:t>3</w:t>
        </w:r>
        <w:r>
          <w:rPr>
            <w:rFonts w:asciiTheme="minorHAnsi" w:eastAsiaTheme="minorEastAsia" w:hAnsiTheme="minorHAnsi" w:cstheme="minorBidi"/>
            <w:b w:val="0"/>
            <w:sz w:val="22"/>
            <w:szCs w:val="22"/>
          </w:rPr>
          <w:tab/>
        </w:r>
        <w:r w:rsidRPr="0038619D">
          <w:rPr>
            <w:rStyle w:val="Hyperlink"/>
          </w:rPr>
          <w:t>Relevant human rights</w:t>
        </w:r>
        <w:r>
          <w:rPr>
            <w:webHidden/>
          </w:rPr>
          <w:tab/>
        </w:r>
        <w:r>
          <w:rPr>
            <w:webHidden/>
          </w:rPr>
          <w:fldChar w:fldCharType="begin"/>
        </w:r>
        <w:r>
          <w:rPr>
            <w:webHidden/>
          </w:rPr>
          <w:instrText xml:space="preserve"> PAGEREF _Toc21968475 \h </w:instrText>
        </w:r>
        <w:r>
          <w:rPr>
            <w:webHidden/>
          </w:rPr>
        </w:r>
        <w:r>
          <w:rPr>
            <w:webHidden/>
          </w:rPr>
          <w:fldChar w:fldCharType="separate"/>
        </w:r>
        <w:r w:rsidR="0091584B">
          <w:rPr>
            <w:webHidden/>
          </w:rPr>
          <w:t>10</w:t>
        </w:r>
        <w:r>
          <w:rPr>
            <w:webHidden/>
          </w:rPr>
          <w:fldChar w:fldCharType="end"/>
        </w:r>
      </w:hyperlink>
    </w:p>
    <w:p w14:paraId="589135A8" w14:textId="2CDE5265" w:rsidR="00C11CFC" w:rsidRDefault="00C11CFC">
      <w:pPr>
        <w:pStyle w:val="TOC2"/>
        <w:rPr>
          <w:rFonts w:asciiTheme="minorHAnsi" w:eastAsiaTheme="minorEastAsia" w:hAnsiTheme="minorHAnsi" w:cstheme="minorBidi"/>
          <w:b w:val="0"/>
          <w:i w:val="0"/>
          <w:sz w:val="22"/>
          <w:szCs w:val="22"/>
        </w:rPr>
      </w:pPr>
      <w:hyperlink w:anchor="_Toc21968476" w:history="1">
        <w:r w:rsidRPr="0038619D">
          <w:rPr>
            <w:rStyle w:val="Hyperlink"/>
            <w:rFonts w:cs="Open Sans"/>
          </w:rPr>
          <w:t>3.1</w:t>
        </w:r>
        <w:r>
          <w:rPr>
            <w:rFonts w:asciiTheme="minorHAnsi" w:eastAsiaTheme="minorEastAsia" w:hAnsiTheme="minorHAnsi" w:cstheme="minorBidi"/>
            <w:b w:val="0"/>
            <w:i w:val="0"/>
            <w:sz w:val="22"/>
            <w:szCs w:val="22"/>
          </w:rPr>
          <w:tab/>
        </w:r>
        <w:r w:rsidRPr="0038619D">
          <w:rPr>
            <w:rStyle w:val="Hyperlink"/>
            <w:rFonts w:cs="Open Sans"/>
          </w:rPr>
          <w:t>The right to enter and remain in one’s own country</w:t>
        </w:r>
        <w:r>
          <w:rPr>
            <w:webHidden/>
          </w:rPr>
          <w:tab/>
        </w:r>
        <w:r>
          <w:rPr>
            <w:webHidden/>
          </w:rPr>
          <w:fldChar w:fldCharType="begin"/>
        </w:r>
        <w:r>
          <w:rPr>
            <w:webHidden/>
          </w:rPr>
          <w:instrText xml:space="preserve"> PAGEREF _Toc21968476 \h </w:instrText>
        </w:r>
        <w:r>
          <w:rPr>
            <w:webHidden/>
          </w:rPr>
        </w:r>
        <w:r>
          <w:rPr>
            <w:webHidden/>
          </w:rPr>
          <w:fldChar w:fldCharType="separate"/>
        </w:r>
        <w:r w:rsidR="0091584B">
          <w:rPr>
            <w:webHidden/>
          </w:rPr>
          <w:t>10</w:t>
        </w:r>
        <w:r>
          <w:rPr>
            <w:webHidden/>
          </w:rPr>
          <w:fldChar w:fldCharType="end"/>
        </w:r>
      </w:hyperlink>
    </w:p>
    <w:p w14:paraId="55C464DE" w14:textId="21F818B1" w:rsidR="00C11CFC" w:rsidRDefault="00C11CFC">
      <w:pPr>
        <w:pStyle w:val="TOC2"/>
        <w:rPr>
          <w:rFonts w:asciiTheme="minorHAnsi" w:eastAsiaTheme="minorEastAsia" w:hAnsiTheme="minorHAnsi" w:cstheme="minorBidi"/>
          <w:b w:val="0"/>
          <w:i w:val="0"/>
          <w:sz w:val="22"/>
          <w:szCs w:val="22"/>
        </w:rPr>
      </w:pPr>
      <w:hyperlink w:anchor="_Toc21968477" w:history="1">
        <w:r w:rsidRPr="0038619D">
          <w:rPr>
            <w:rStyle w:val="Hyperlink"/>
            <w:rFonts w:cs="Open Sans"/>
          </w:rPr>
          <w:t>3.2</w:t>
        </w:r>
        <w:r>
          <w:rPr>
            <w:rFonts w:asciiTheme="minorHAnsi" w:eastAsiaTheme="minorEastAsia" w:hAnsiTheme="minorHAnsi" w:cstheme="minorBidi"/>
            <w:b w:val="0"/>
            <w:i w:val="0"/>
            <w:sz w:val="22"/>
            <w:szCs w:val="22"/>
          </w:rPr>
          <w:tab/>
        </w:r>
        <w:r w:rsidRPr="0038619D">
          <w:rPr>
            <w:rStyle w:val="Hyperlink"/>
            <w:rFonts w:cs="Open Sans"/>
          </w:rPr>
          <w:t>Children’s rights</w:t>
        </w:r>
        <w:r>
          <w:rPr>
            <w:webHidden/>
          </w:rPr>
          <w:tab/>
        </w:r>
        <w:r>
          <w:rPr>
            <w:webHidden/>
          </w:rPr>
          <w:fldChar w:fldCharType="begin"/>
        </w:r>
        <w:r>
          <w:rPr>
            <w:webHidden/>
          </w:rPr>
          <w:instrText xml:space="preserve"> PAGEREF _Toc21968477 \h </w:instrText>
        </w:r>
        <w:r>
          <w:rPr>
            <w:webHidden/>
          </w:rPr>
        </w:r>
        <w:r>
          <w:rPr>
            <w:webHidden/>
          </w:rPr>
          <w:fldChar w:fldCharType="separate"/>
        </w:r>
        <w:r w:rsidR="0091584B">
          <w:rPr>
            <w:webHidden/>
          </w:rPr>
          <w:t>11</w:t>
        </w:r>
        <w:r>
          <w:rPr>
            <w:webHidden/>
          </w:rPr>
          <w:fldChar w:fldCharType="end"/>
        </w:r>
      </w:hyperlink>
    </w:p>
    <w:p w14:paraId="6A5E75A2" w14:textId="096BA512" w:rsidR="00C11CFC" w:rsidRDefault="00C11CFC">
      <w:pPr>
        <w:pStyle w:val="TOC2"/>
        <w:rPr>
          <w:rFonts w:asciiTheme="minorHAnsi" w:eastAsiaTheme="minorEastAsia" w:hAnsiTheme="minorHAnsi" w:cstheme="minorBidi"/>
          <w:b w:val="0"/>
          <w:i w:val="0"/>
          <w:sz w:val="22"/>
          <w:szCs w:val="22"/>
        </w:rPr>
      </w:pPr>
      <w:hyperlink w:anchor="_Toc21968478" w:history="1">
        <w:r w:rsidRPr="0038619D">
          <w:rPr>
            <w:rStyle w:val="Hyperlink"/>
            <w:rFonts w:cs="Open Sans"/>
          </w:rPr>
          <w:t>3.3</w:t>
        </w:r>
        <w:r>
          <w:rPr>
            <w:rFonts w:asciiTheme="minorHAnsi" w:eastAsiaTheme="minorEastAsia" w:hAnsiTheme="minorHAnsi" w:cstheme="minorBidi"/>
            <w:b w:val="0"/>
            <w:i w:val="0"/>
            <w:sz w:val="22"/>
            <w:szCs w:val="22"/>
          </w:rPr>
          <w:tab/>
        </w:r>
        <w:r w:rsidRPr="0038619D">
          <w:rPr>
            <w:rStyle w:val="Hyperlink"/>
            <w:rFonts w:cs="Open Sans"/>
          </w:rPr>
          <w:t>Statelessness and other human rights</w:t>
        </w:r>
        <w:r>
          <w:rPr>
            <w:webHidden/>
          </w:rPr>
          <w:tab/>
        </w:r>
        <w:r>
          <w:rPr>
            <w:webHidden/>
          </w:rPr>
          <w:fldChar w:fldCharType="begin"/>
        </w:r>
        <w:r>
          <w:rPr>
            <w:webHidden/>
          </w:rPr>
          <w:instrText xml:space="preserve"> PAGEREF _Toc21968478 \h </w:instrText>
        </w:r>
        <w:r>
          <w:rPr>
            <w:webHidden/>
          </w:rPr>
        </w:r>
        <w:r>
          <w:rPr>
            <w:webHidden/>
          </w:rPr>
          <w:fldChar w:fldCharType="separate"/>
        </w:r>
        <w:r w:rsidR="0091584B">
          <w:rPr>
            <w:webHidden/>
          </w:rPr>
          <w:t>12</w:t>
        </w:r>
        <w:r>
          <w:rPr>
            <w:webHidden/>
          </w:rPr>
          <w:fldChar w:fldCharType="end"/>
        </w:r>
      </w:hyperlink>
    </w:p>
    <w:p w14:paraId="44D3B1A6" w14:textId="32BA3F24" w:rsidR="00C11CFC" w:rsidRDefault="00C11CFC">
      <w:pPr>
        <w:pStyle w:val="TOC1"/>
        <w:rPr>
          <w:rFonts w:asciiTheme="minorHAnsi" w:eastAsiaTheme="minorEastAsia" w:hAnsiTheme="minorHAnsi" w:cstheme="minorBidi"/>
          <w:b w:val="0"/>
          <w:sz w:val="22"/>
          <w:szCs w:val="22"/>
        </w:rPr>
      </w:pPr>
      <w:hyperlink w:anchor="_Toc21968479" w:history="1">
        <w:r w:rsidRPr="0038619D">
          <w:rPr>
            <w:rStyle w:val="Hyperlink"/>
          </w:rPr>
          <w:t>4</w:t>
        </w:r>
        <w:r>
          <w:rPr>
            <w:rFonts w:asciiTheme="minorHAnsi" w:eastAsiaTheme="minorEastAsia" w:hAnsiTheme="minorHAnsi" w:cstheme="minorBidi"/>
            <w:b w:val="0"/>
            <w:sz w:val="22"/>
            <w:szCs w:val="22"/>
          </w:rPr>
          <w:tab/>
        </w:r>
        <w:r w:rsidRPr="0038619D">
          <w:rPr>
            <w:rStyle w:val="Hyperlink"/>
          </w:rPr>
          <w:t>Key human rights issues</w:t>
        </w:r>
        <w:r>
          <w:rPr>
            <w:webHidden/>
          </w:rPr>
          <w:tab/>
        </w:r>
        <w:r>
          <w:rPr>
            <w:webHidden/>
          </w:rPr>
          <w:fldChar w:fldCharType="begin"/>
        </w:r>
        <w:r>
          <w:rPr>
            <w:webHidden/>
          </w:rPr>
          <w:instrText xml:space="preserve"> PAGEREF _Toc21968479 \h </w:instrText>
        </w:r>
        <w:r>
          <w:rPr>
            <w:webHidden/>
          </w:rPr>
        </w:r>
        <w:r>
          <w:rPr>
            <w:webHidden/>
          </w:rPr>
          <w:fldChar w:fldCharType="separate"/>
        </w:r>
        <w:r w:rsidR="0091584B">
          <w:rPr>
            <w:webHidden/>
          </w:rPr>
          <w:t>12</w:t>
        </w:r>
        <w:r>
          <w:rPr>
            <w:webHidden/>
          </w:rPr>
          <w:fldChar w:fldCharType="end"/>
        </w:r>
      </w:hyperlink>
    </w:p>
    <w:p w14:paraId="0853196E" w14:textId="7CD70520" w:rsidR="00C11CFC" w:rsidRDefault="00C11CFC">
      <w:pPr>
        <w:pStyle w:val="TOC2"/>
        <w:rPr>
          <w:rFonts w:asciiTheme="minorHAnsi" w:eastAsiaTheme="minorEastAsia" w:hAnsiTheme="minorHAnsi" w:cstheme="minorBidi"/>
          <w:b w:val="0"/>
          <w:i w:val="0"/>
          <w:sz w:val="22"/>
          <w:szCs w:val="22"/>
        </w:rPr>
      </w:pPr>
      <w:hyperlink w:anchor="_Toc21968480" w:history="1">
        <w:r w:rsidRPr="0038619D">
          <w:rPr>
            <w:rStyle w:val="Hyperlink"/>
          </w:rPr>
          <w:t>4.1</w:t>
        </w:r>
        <w:r>
          <w:rPr>
            <w:rFonts w:asciiTheme="minorHAnsi" w:eastAsiaTheme="minorEastAsia" w:hAnsiTheme="minorHAnsi" w:cstheme="minorBidi"/>
            <w:b w:val="0"/>
            <w:i w:val="0"/>
            <w:sz w:val="22"/>
            <w:szCs w:val="22"/>
          </w:rPr>
          <w:tab/>
        </w:r>
        <w:r w:rsidRPr="0038619D">
          <w:rPr>
            <w:rStyle w:val="Hyperlink"/>
          </w:rPr>
          <w:t>Removal of citizenship without conviction</w:t>
        </w:r>
        <w:r>
          <w:rPr>
            <w:webHidden/>
          </w:rPr>
          <w:tab/>
        </w:r>
        <w:r>
          <w:rPr>
            <w:webHidden/>
          </w:rPr>
          <w:fldChar w:fldCharType="begin"/>
        </w:r>
        <w:r>
          <w:rPr>
            <w:webHidden/>
          </w:rPr>
          <w:instrText xml:space="preserve"> PAGEREF _Toc21968480 \h </w:instrText>
        </w:r>
        <w:r>
          <w:rPr>
            <w:webHidden/>
          </w:rPr>
        </w:r>
        <w:r>
          <w:rPr>
            <w:webHidden/>
          </w:rPr>
          <w:fldChar w:fldCharType="separate"/>
        </w:r>
        <w:r w:rsidR="0091584B">
          <w:rPr>
            <w:webHidden/>
          </w:rPr>
          <w:t>12</w:t>
        </w:r>
        <w:r>
          <w:rPr>
            <w:webHidden/>
          </w:rPr>
          <w:fldChar w:fldCharType="end"/>
        </w:r>
      </w:hyperlink>
    </w:p>
    <w:p w14:paraId="7703488E" w14:textId="139E0EFD" w:rsidR="00C11CFC" w:rsidRDefault="00C11CFC">
      <w:pPr>
        <w:pStyle w:val="TOC2"/>
        <w:rPr>
          <w:rFonts w:asciiTheme="minorHAnsi" w:eastAsiaTheme="minorEastAsia" w:hAnsiTheme="minorHAnsi" w:cstheme="minorBidi"/>
          <w:b w:val="0"/>
          <w:i w:val="0"/>
          <w:sz w:val="22"/>
          <w:szCs w:val="22"/>
        </w:rPr>
      </w:pPr>
      <w:hyperlink w:anchor="_Toc21968481" w:history="1">
        <w:r w:rsidRPr="0038619D">
          <w:rPr>
            <w:rStyle w:val="Hyperlink"/>
          </w:rPr>
          <w:t>4.2</w:t>
        </w:r>
        <w:r>
          <w:rPr>
            <w:rFonts w:asciiTheme="minorHAnsi" w:eastAsiaTheme="minorEastAsia" w:hAnsiTheme="minorHAnsi" w:cstheme="minorBidi"/>
            <w:b w:val="0"/>
            <w:i w:val="0"/>
            <w:sz w:val="22"/>
            <w:szCs w:val="22"/>
          </w:rPr>
          <w:tab/>
        </w:r>
        <w:r w:rsidRPr="0038619D">
          <w:rPr>
            <w:rStyle w:val="Hyperlink"/>
          </w:rPr>
          <w:t>Lowered threshold for conviction-based citizenship loss</w:t>
        </w:r>
        <w:r>
          <w:rPr>
            <w:webHidden/>
          </w:rPr>
          <w:tab/>
        </w:r>
        <w:r>
          <w:rPr>
            <w:webHidden/>
          </w:rPr>
          <w:fldChar w:fldCharType="begin"/>
        </w:r>
        <w:r>
          <w:rPr>
            <w:webHidden/>
          </w:rPr>
          <w:instrText xml:space="preserve"> PAGEREF _Toc21968481 \h </w:instrText>
        </w:r>
        <w:r>
          <w:rPr>
            <w:webHidden/>
          </w:rPr>
        </w:r>
        <w:r>
          <w:rPr>
            <w:webHidden/>
          </w:rPr>
          <w:fldChar w:fldCharType="separate"/>
        </w:r>
        <w:r w:rsidR="0091584B">
          <w:rPr>
            <w:webHidden/>
          </w:rPr>
          <w:t>14</w:t>
        </w:r>
        <w:r>
          <w:rPr>
            <w:webHidden/>
          </w:rPr>
          <w:fldChar w:fldCharType="end"/>
        </w:r>
      </w:hyperlink>
    </w:p>
    <w:p w14:paraId="5403673F" w14:textId="09C2C890" w:rsidR="00C11CFC" w:rsidRDefault="00C11CFC">
      <w:pPr>
        <w:pStyle w:val="TOC2"/>
        <w:rPr>
          <w:rFonts w:asciiTheme="minorHAnsi" w:eastAsiaTheme="minorEastAsia" w:hAnsiTheme="minorHAnsi" w:cstheme="minorBidi"/>
          <w:b w:val="0"/>
          <w:i w:val="0"/>
          <w:sz w:val="22"/>
          <w:szCs w:val="22"/>
        </w:rPr>
      </w:pPr>
      <w:hyperlink w:anchor="_Toc21968482" w:history="1">
        <w:r w:rsidRPr="0038619D">
          <w:rPr>
            <w:rStyle w:val="Hyperlink"/>
          </w:rPr>
          <w:t>4.3</w:t>
        </w:r>
        <w:r>
          <w:rPr>
            <w:rFonts w:asciiTheme="minorHAnsi" w:eastAsiaTheme="minorEastAsia" w:hAnsiTheme="minorHAnsi" w:cstheme="minorBidi"/>
            <w:b w:val="0"/>
            <w:i w:val="0"/>
            <w:sz w:val="22"/>
            <w:szCs w:val="22"/>
          </w:rPr>
          <w:tab/>
        </w:r>
        <w:r w:rsidRPr="0038619D">
          <w:rPr>
            <w:rStyle w:val="Hyperlink"/>
          </w:rPr>
          <w:t>Inadequate procedural safeguards</w:t>
        </w:r>
        <w:r>
          <w:rPr>
            <w:webHidden/>
          </w:rPr>
          <w:tab/>
        </w:r>
        <w:r>
          <w:rPr>
            <w:webHidden/>
          </w:rPr>
          <w:fldChar w:fldCharType="begin"/>
        </w:r>
        <w:r>
          <w:rPr>
            <w:webHidden/>
          </w:rPr>
          <w:instrText xml:space="preserve"> PAGEREF _Toc21968482 \h </w:instrText>
        </w:r>
        <w:r>
          <w:rPr>
            <w:webHidden/>
          </w:rPr>
        </w:r>
        <w:r>
          <w:rPr>
            <w:webHidden/>
          </w:rPr>
          <w:fldChar w:fldCharType="separate"/>
        </w:r>
        <w:r w:rsidR="0091584B">
          <w:rPr>
            <w:webHidden/>
          </w:rPr>
          <w:t>16</w:t>
        </w:r>
        <w:r>
          <w:rPr>
            <w:webHidden/>
          </w:rPr>
          <w:fldChar w:fldCharType="end"/>
        </w:r>
      </w:hyperlink>
    </w:p>
    <w:p w14:paraId="219CB8E0" w14:textId="3C66CE10" w:rsidR="00C11CFC" w:rsidRDefault="00C11CFC">
      <w:pPr>
        <w:pStyle w:val="TOC3"/>
        <w:rPr>
          <w:rFonts w:asciiTheme="minorHAnsi" w:eastAsiaTheme="minorEastAsia" w:hAnsiTheme="minorHAnsi" w:cstheme="minorBidi"/>
          <w:i w:val="0"/>
          <w:sz w:val="22"/>
          <w:szCs w:val="22"/>
        </w:rPr>
      </w:pPr>
      <w:hyperlink w:anchor="_Toc21968483" w:history="1">
        <w:r w:rsidRPr="0038619D">
          <w:rPr>
            <w:rStyle w:val="Hyperlink"/>
            <w:iCs/>
          </w:rPr>
          <w:t>(a)</w:t>
        </w:r>
        <w:r>
          <w:rPr>
            <w:rFonts w:asciiTheme="minorHAnsi" w:eastAsiaTheme="minorEastAsia" w:hAnsiTheme="minorHAnsi" w:cstheme="minorBidi"/>
            <w:i w:val="0"/>
            <w:sz w:val="22"/>
            <w:szCs w:val="22"/>
          </w:rPr>
          <w:tab/>
        </w:r>
        <w:r w:rsidRPr="0038619D">
          <w:rPr>
            <w:rStyle w:val="Hyperlink"/>
            <w:iCs/>
          </w:rPr>
          <w:t>Public interest factors</w:t>
        </w:r>
        <w:r>
          <w:rPr>
            <w:webHidden/>
          </w:rPr>
          <w:tab/>
        </w:r>
        <w:r>
          <w:rPr>
            <w:webHidden/>
          </w:rPr>
          <w:fldChar w:fldCharType="begin"/>
        </w:r>
        <w:r>
          <w:rPr>
            <w:webHidden/>
          </w:rPr>
          <w:instrText xml:space="preserve"> PAGEREF _Toc21968483 \h </w:instrText>
        </w:r>
        <w:r>
          <w:rPr>
            <w:webHidden/>
          </w:rPr>
        </w:r>
        <w:r>
          <w:rPr>
            <w:webHidden/>
          </w:rPr>
          <w:fldChar w:fldCharType="separate"/>
        </w:r>
        <w:r w:rsidR="0091584B">
          <w:rPr>
            <w:webHidden/>
          </w:rPr>
          <w:t>19</w:t>
        </w:r>
        <w:r>
          <w:rPr>
            <w:webHidden/>
          </w:rPr>
          <w:fldChar w:fldCharType="end"/>
        </w:r>
      </w:hyperlink>
    </w:p>
    <w:p w14:paraId="146D2CD0" w14:textId="39AC0443" w:rsidR="00C11CFC" w:rsidRDefault="00C11CFC">
      <w:pPr>
        <w:pStyle w:val="TOC3"/>
        <w:rPr>
          <w:rFonts w:asciiTheme="minorHAnsi" w:eastAsiaTheme="minorEastAsia" w:hAnsiTheme="minorHAnsi" w:cstheme="minorBidi"/>
          <w:i w:val="0"/>
          <w:sz w:val="22"/>
          <w:szCs w:val="22"/>
        </w:rPr>
      </w:pPr>
      <w:hyperlink w:anchor="_Toc21968484" w:history="1">
        <w:r w:rsidRPr="0038619D">
          <w:rPr>
            <w:rStyle w:val="Hyperlink"/>
            <w:rFonts w:cs="Open Sans"/>
            <w:iCs/>
          </w:rPr>
          <w:t>(b)</w:t>
        </w:r>
        <w:r>
          <w:rPr>
            <w:rFonts w:asciiTheme="minorHAnsi" w:eastAsiaTheme="minorEastAsia" w:hAnsiTheme="minorHAnsi" w:cstheme="minorBidi"/>
            <w:i w:val="0"/>
            <w:sz w:val="22"/>
            <w:szCs w:val="22"/>
          </w:rPr>
          <w:tab/>
        </w:r>
        <w:r w:rsidRPr="0038619D">
          <w:rPr>
            <w:rStyle w:val="Hyperlink"/>
            <w:rFonts w:cs="Open Sans"/>
            <w:iCs/>
          </w:rPr>
          <w:t>Notification</w:t>
        </w:r>
        <w:r>
          <w:rPr>
            <w:webHidden/>
          </w:rPr>
          <w:tab/>
        </w:r>
        <w:r>
          <w:rPr>
            <w:webHidden/>
          </w:rPr>
          <w:fldChar w:fldCharType="begin"/>
        </w:r>
        <w:r>
          <w:rPr>
            <w:webHidden/>
          </w:rPr>
          <w:instrText xml:space="preserve"> PAGEREF _Toc21968484 \h </w:instrText>
        </w:r>
        <w:r>
          <w:rPr>
            <w:webHidden/>
          </w:rPr>
        </w:r>
        <w:r>
          <w:rPr>
            <w:webHidden/>
          </w:rPr>
          <w:fldChar w:fldCharType="separate"/>
        </w:r>
        <w:r w:rsidR="0091584B">
          <w:rPr>
            <w:webHidden/>
          </w:rPr>
          <w:t>20</w:t>
        </w:r>
        <w:r>
          <w:rPr>
            <w:webHidden/>
          </w:rPr>
          <w:fldChar w:fldCharType="end"/>
        </w:r>
      </w:hyperlink>
    </w:p>
    <w:p w14:paraId="3B5CED52" w14:textId="184030EA" w:rsidR="00C11CFC" w:rsidRDefault="00C11CFC">
      <w:pPr>
        <w:pStyle w:val="TOC3"/>
        <w:rPr>
          <w:rFonts w:asciiTheme="minorHAnsi" w:eastAsiaTheme="minorEastAsia" w:hAnsiTheme="minorHAnsi" w:cstheme="minorBidi"/>
          <w:i w:val="0"/>
          <w:sz w:val="22"/>
          <w:szCs w:val="22"/>
        </w:rPr>
      </w:pPr>
      <w:hyperlink w:anchor="_Toc21968485" w:history="1">
        <w:r w:rsidRPr="0038619D">
          <w:rPr>
            <w:rStyle w:val="Hyperlink"/>
            <w:rFonts w:cs="Open Sans"/>
            <w:iCs/>
          </w:rPr>
          <w:t>(c)</w:t>
        </w:r>
        <w:r>
          <w:rPr>
            <w:rFonts w:asciiTheme="minorHAnsi" w:eastAsiaTheme="minorEastAsia" w:hAnsiTheme="minorHAnsi" w:cstheme="minorBidi"/>
            <w:i w:val="0"/>
            <w:sz w:val="22"/>
            <w:szCs w:val="22"/>
          </w:rPr>
          <w:tab/>
        </w:r>
        <w:r w:rsidRPr="0038619D">
          <w:rPr>
            <w:rStyle w:val="Hyperlink"/>
            <w:rFonts w:cs="Open Sans"/>
            <w:iCs/>
          </w:rPr>
          <w:t>Provision of reasons</w:t>
        </w:r>
        <w:r>
          <w:rPr>
            <w:webHidden/>
          </w:rPr>
          <w:tab/>
        </w:r>
        <w:r>
          <w:rPr>
            <w:webHidden/>
          </w:rPr>
          <w:fldChar w:fldCharType="begin"/>
        </w:r>
        <w:r>
          <w:rPr>
            <w:webHidden/>
          </w:rPr>
          <w:instrText xml:space="preserve"> PAGEREF _Toc21968485 \h </w:instrText>
        </w:r>
        <w:r>
          <w:rPr>
            <w:webHidden/>
          </w:rPr>
        </w:r>
        <w:r>
          <w:rPr>
            <w:webHidden/>
          </w:rPr>
          <w:fldChar w:fldCharType="separate"/>
        </w:r>
        <w:r w:rsidR="0091584B">
          <w:rPr>
            <w:webHidden/>
          </w:rPr>
          <w:t>24</w:t>
        </w:r>
        <w:r>
          <w:rPr>
            <w:webHidden/>
          </w:rPr>
          <w:fldChar w:fldCharType="end"/>
        </w:r>
      </w:hyperlink>
    </w:p>
    <w:p w14:paraId="770940BF" w14:textId="54413E5C" w:rsidR="00C11CFC" w:rsidRDefault="00C11CFC">
      <w:pPr>
        <w:pStyle w:val="TOC3"/>
        <w:rPr>
          <w:rFonts w:asciiTheme="minorHAnsi" w:eastAsiaTheme="minorEastAsia" w:hAnsiTheme="minorHAnsi" w:cstheme="minorBidi"/>
          <w:i w:val="0"/>
          <w:sz w:val="22"/>
          <w:szCs w:val="22"/>
        </w:rPr>
      </w:pPr>
      <w:hyperlink w:anchor="_Toc21968486" w:history="1">
        <w:r w:rsidRPr="0038619D">
          <w:rPr>
            <w:rStyle w:val="Hyperlink"/>
            <w:rFonts w:cs="Open Sans"/>
            <w:iCs/>
          </w:rPr>
          <w:t>(d)</w:t>
        </w:r>
        <w:r>
          <w:rPr>
            <w:rFonts w:asciiTheme="minorHAnsi" w:eastAsiaTheme="minorEastAsia" w:hAnsiTheme="minorHAnsi" w:cstheme="minorBidi"/>
            <w:i w:val="0"/>
            <w:sz w:val="22"/>
            <w:szCs w:val="22"/>
          </w:rPr>
          <w:tab/>
        </w:r>
        <w:r w:rsidRPr="0038619D">
          <w:rPr>
            <w:rStyle w:val="Hyperlink"/>
            <w:rFonts w:cs="Open Sans"/>
            <w:iCs/>
          </w:rPr>
          <w:t>Merits review and judicial review</w:t>
        </w:r>
        <w:r>
          <w:rPr>
            <w:webHidden/>
          </w:rPr>
          <w:tab/>
        </w:r>
        <w:r>
          <w:rPr>
            <w:webHidden/>
          </w:rPr>
          <w:fldChar w:fldCharType="begin"/>
        </w:r>
        <w:r>
          <w:rPr>
            <w:webHidden/>
          </w:rPr>
          <w:instrText xml:space="preserve"> PAGEREF _Toc21968486 \h </w:instrText>
        </w:r>
        <w:r>
          <w:rPr>
            <w:webHidden/>
          </w:rPr>
        </w:r>
        <w:r>
          <w:rPr>
            <w:webHidden/>
          </w:rPr>
          <w:fldChar w:fldCharType="separate"/>
        </w:r>
        <w:r w:rsidR="0091584B">
          <w:rPr>
            <w:webHidden/>
          </w:rPr>
          <w:t>25</w:t>
        </w:r>
        <w:r>
          <w:rPr>
            <w:webHidden/>
          </w:rPr>
          <w:fldChar w:fldCharType="end"/>
        </w:r>
      </w:hyperlink>
    </w:p>
    <w:p w14:paraId="3905D70C" w14:textId="7CCA7770" w:rsidR="00C11CFC" w:rsidRDefault="00C11CFC">
      <w:pPr>
        <w:pStyle w:val="TOC2"/>
        <w:rPr>
          <w:rFonts w:asciiTheme="minorHAnsi" w:eastAsiaTheme="minorEastAsia" w:hAnsiTheme="minorHAnsi" w:cstheme="minorBidi"/>
          <w:b w:val="0"/>
          <w:i w:val="0"/>
          <w:sz w:val="22"/>
          <w:szCs w:val="22"/>
        </w:rPr>
      </w:pPr>
      <w:hyperlink w:anchor="_Toc21968487" w:history="1">
        <w:r w:rsidRPr="0038619D">
          <w:rPr>
            <w:rStyle w:val="Hyperlink"/>
          </w:rPr>
          <w:t>4.4</w:t>
        </w:r>
        <w:r>
          <w:rPr>
            <w:rFonts w:asciiTheme="minorHAnsi" w:eastAsiaTheme="minorEastAsia" w:hAnsiTheme="minorHAnsi" w:cstheme="minorBidi"/>
            <w:b w:val="0"/>
            <w:i w:val="0"/>
            <w:sz w:val="22"/>
            <w:szCs w:val="22"/>
          </w:rPr>
          <w:tab/>
        </w:r>
        <w:r w:rsidRPr="0038619D">
          <w:rPr>
            <w:rStyle w:val="Hyperlink"/>
          </w:rPr>
          <w:t>Risk of statelessness</w:t>
        </w:r>
        <w:r>
          <w:rPr>
            <w:webHidden/>
          </w:rPr>
          <w:tab/>
        </w:r>
        <w:r>
          <w:rPr>
            <w:webHidden/>
          </w:rPr>
          <w:fldChar w:fldCharType="begin"/>
        </w:r>
        <w:r>
          <w:rPr>
            <w:webHidden/>
          </w:rPr>
          <w:instrText xml:space="preserve"> PAGEREF _Toc21968487 \h </w:instrText>
        </w:r>
        <w:r>
          <w:rPr>
            <w:webHidden/>
          </w:rPr>
        </w:r>
        <w:r>
          <w:rPr>
            <w:webHidden/>
          </w:rPr>
          <w:fldChar w:fldCharType="separate"/>
        </w:r>
        <w:r w:rsidR="0091584B">
          <w:rPr>
            <w:webHidden/>
          </w:rPr>
          <w:t>29</w:t>
        </w:r>
        <w:r>
          <w:rPr>
            <w:webHidden/>
          </w:rPr>
          <w:fldChar w:fldCharType="end"/>
        </w:r>
      </w:hyperlink>
    </w:p>
    <w:p w14:paraId="3017C459" w14:textId="1EBC90FE" w:rsidR="00C11CFC" w:rsidRDefault="00C11CFC">
      <w:pPr>
        <w:pStyle w:val="TOC2"/>
        <w:rPr>
          <w:rFonts w:asciiTheme="minorHAnsi" w:eastAsiaTheme="minorEastAsia" w:hAnsiTheme="minorHAnsi" w:cstheme="minorBidi"/>
          <w:b w:val="0"/>
          <w:i w:val="0"/>
          <w:sz w:val="22"/>
          <w:szCs w:val="22"/>
        </w:rPr>
      </w:pPr>
      <w:hyperlink w:anchor="_Toc21968488" w:history="1">
        <w:r w:rsidRPr="0038619D">
          <w:rPr>
            <w:rStyle w:val="Hyperlink"/>
          </w:rPr>
          <w:t>4.5</w:t>
        </w:r>
        <w:r>
          <w:rPr>
            <w:rFonts w:asciiTheme="minorHAnsi" w:eastAsiaTheme="minorEastAsia" w:hAnsiTheme="minorHAnsi" w:cstheme="minorBidi"/>
            <w:b w:val="0"/>
            <w:i w:val="0"/>
            <w:sz w:val="22"/>
            <w:szCs w:val="22"/>
          </w:rPr>
          <w:tab/>
        </w:r>
        <w:r w:rsidRPr="0038619D">
          <w:rPr>
            <w:rStyle w:val="Hyperlink"/>
          </w:rPr>
          <w:t>Impact on children</w:t>
        </w:r>
        <w:r>
          <w:rPr>
            <w:webHidden/>
          </w:rPr>
          <w:tab/>
        </w:r>
        <w:r>
          <w:rPr>
            <w:webHidden/>
          </w:rPr>
          <w:fldChar w:fldCharType="begin"/>
        </w:r>
        <w:r>
          <w:rPr>
            <w:webHidden/>
          </w:rPr>
          <w:instrText xml:space="preserve"> PAGEREF _Toc21968488 \h </w:instrText>
        </w:r>
        <w:r>
          <w:rPr>
            <w:webHidden/>
          </w:rPr>
        </w:r>
        <w:r>
          <w:rPr>
            <w:webHidden/>
          </w:rPr>
          <w:fldChar w:fldCharType="separate"/>
        </w:r>
        <w:r w:rsidR="0091584B">
          <w:rPr>
            <w:webHidden/>
          </w:rPr>
          <w:t>31</w:t>
        </w:r>
        <w:r>
          <w:rPr>
            <w:webHidden/>
          </w:rPr>
          <w:fldChar w:fldCharType="end"/>
        </w:r>
      </w:hyperlink>
    </w:p>
    <w:p w14:paraId="1AD44DC5" w14:textId="4E0BFCDF" w:rsidR="00C11CFC" w:rsidRDefault="00C11CFC">
      <w:pPr>
        <w:pStyle w:val="TOC2"/>
        <w:rPr>
          <w:rFonts w:asciiTheme="minorHAnsi" w:eastAsiaTheme="minorEastAsia" w:hAnsiTheme="minorHAnsi" w:cstheme="minorBidi"/>
          <w:b w:val="0"/>
          <w:i w:val="0"/>
          <w:sz w:val="22"/>
          <w:szCs w:val="22"/>
        </w:rPr>
      </w:pPr>
      <w:hyperlink w:anchor="_Toc21968489" w:history="1">
        <w:r w:rsidRPr="0038619D">
          <w:rPr>
            <w:rStyle w:val="Hyperlink"/>
          </w:rPr>
          <w:t>4.6</w:t>
        </w:r>
        <w:r>
          <w:rPr>
            <w:rFonts w:asciiTheme="minorHAnsi" w:eastAsiaTheme="minorEastAsia" w:hAnsiTheme="minorHAnsi" w:cstheme="minorBidi"/>
            <w:b w:val="0"/>
            <w:i w:val="0"/>
            <w:sz w:val="22"/>
            <w:szCs w:val="22"/>
          </w:rPr>
          <w:tab/>
        </w:r>
        <w:r w:rsidRPr="0038619D">
          <w:rPr>
            <w:rStyle w:val="Hyperlink"/>
          </w:rPr>
          <w:t>Retrospectivity</w:t>
        </w:r>
        <w:r>
          <w:rPr>
            <w:webHidden/>
          </w:rPr>
          <w:tab/>
        </w:r>
        <w:r>
          <w:rPr>
            <w:webHidden/>
          </w:rPr>
          <w:fldChar w:fldCharType="begin"/>
        </w:r>
        <w:r>
          <w:rPr>
            <w:webHidden/>
          </w:rPr>
          <w:instrText xml:space="preserve"> PAGEREF _Toc21968489 \h </w:instrText>
        </w:r>
        <w:r>
          <w:rPr>
            <w:webHidden/>
          </w:rPr>
        </w:r>
        <w:r>
          <w:rPr>
            <w:webHidden/>
          </w:rPr>
          <w:fldChar w:fldCharType="separate"/>
        </w:r>
        <w:r w:rsidR="0091584B">
          <w:rPr>
            <w:webHidden/>
          </w:rPr>
          <w:t>34</w:t>
        </w:r>
        <w:r>
          <w:rPr>
            <w:webHidden/>
          </w:rPr>
          <w:fldChar w:fldCharType="end"/>
        </w:r>
      </w:hyperlink>
    </w:p>
    <w:p w14:paraId="288061D6" w14:textId="5A1F198A" w:rsidR="00BF63C1" w:rsidRPr="008A56A5" w:rsidRDefault="000E4837" w:rsidP="00BF63C1">
      <w:pPr>
        <w:spacing w:before="0" w:after="0"/>
        <w:rPr>
          <w:b/>
          <w:noProof/>
        </w:rPr>
      </w:pPr>
      <w:r w:rsidRPr="008A56A5">
        <w:rPr>
          <w:b/>
          <w:noProof/>
        </w:rPr>
        <w:fldChar w:fldCharType="end"/>
      </w:r>
      <w:r w:rsidR="00C86324" w:rsidRPr="008A56A5">
        <w:br w:type="page"/>
      </w:r>
      <w:bookmarkStart w:id="13" w:name="_Toc207761830"/>
      <w:bookmarkStart w:id="14" w:name="_Toc209578266"/>
      <w:bookmarkStart w:id="15" w:name="_Toc209941766"/>
      <w:bookmarkStart w:id="16" w:name="_Toc525894098"/>
    </w:p>
    <w:p w14:paraId="2EC19678" w14:textId="370EC741" w:rsidR="00510390" w:rsidRPr="008A56A5" w:rsidRDefault="009F2764" w:rsidP="00A27ABE">
      <w:pPr>
        <w:pStyle w:val="Heading1"/>
      </w:pPr>
      <w:bookmarkStart w:id="17" w:name="_Toc20921352"/>
      <w:bookmarkStart w:id="18" w:name="_Toc21968470"/>
      <w:r w:rsidRPr="008A56A5">
        <w:t>Introduction</w:t>
      </w:r>
      <w:bookmarkEnd w:id="13"/>
      <w:bookmarkEnd w:id="14"/>
      <w:bookmarkEnd w:id="15"/>
      <w:bookmarkEnd w:id="16"/>
      <w:bookmarkEnd w:id="17"/>
      <w:bookmarkEnd w:id="18"/>
    </w:p>
    <w:p w14:paraId="34E986B9" w14:textId="3C66F5E3" w:rsidR="00DD1599" w:rsidRPr="008A56A5" w:rsidRDefault="00DD1599" w:rsidP="005A0AB9">
      <w:pPr>
        <w:pStyle w:val="ListNumber"/>
        <w:numPr>
          <w:ilvl w:val="0"/>
          <w:numId w:val="15"/>
        </w:numPr>
        <w:tabs>
          <w:tab w:val="num" w:pos="993"/>
          <w:tab w:val="left" w:pos="1418"/>
        </w:tabs>
        <w:ind w:left="709" w:hanging="567"/>
        <w:rPr>
          <w:rFonts w:cs="Open Sans"/>
        </w:rPr>
      </w:pPr>
      <w:bookmarkStart w:id="19" w:name="_Toc525894099"/>
      <w:r w:rsidRPr="008A56A5">
        <w:rPr>
          <w:rFonts w:cs="Open Sans"/>
        </w:rPr>
        <w:t>The Australian Human Rights Commission</w:t>
      </w:r>
      <w:r w:rsidR="000266D8" w:rsidRPr="008A56A5">
        <w:rPr>
          <w:rFonts w:cs="Open Sans"/>
        </w:rPr>
        <w:t xml:space="preserve"> (the Commission)</w:t>
      </w:r>
      <w:r w:rsidRPr="008A56A5">
        <w:rPr>
          <w:rFonts w:cs="Open Sans"/>
        </w:rPr>
        <w:t xml:space="preserve"> makes this submission to the Parliamentary Joint Committee on Intelligence and Security (</w:t>
      </w:r>
      <w:r w:rsidR="009A538C" w:rsidRPr="008A56A5">
        <w:rPr>
          <w:rFonts w:cs="Open Sans"/>
        </w:rPr>
        <w:t>the Committee</w:t>
      </w:r>
      <w:r w:rsidRPr="008A56A5">
        <w:rPr>
          <w:rFonts w:cs="Open Sans"/>
        </w:rPr>
        <w:t xml:space="preserve">) with respect to its </w:t>
      </w:r>
      <w:r w:rsidR="000266D8" w:rsidRPr="008A56A5">
        <w:rPr>
          <w:rFonts w:cs="Open Sans"/>
        </w:rPr>
        <w:t>i</w:t>
      </w:r>
      <w:r w:rsidRPr="008A56A5">
        <w:rPr>
          <w:rFonts w:cs="Open Sans"/>
        </w:rPr>
        <w:t>nquiry into the Australian Citizenship Amendment (Citizenship Cessation) Bill 2019 (Cth) (the Bill).</w:t>
      </w:r>
      <w:r w:rsidR="00163BE5" w:rsidRPr="008A56A5">
        <w:rPr>
          <w:rFonts w:cs="Open Sans"/>
        </w:rPr>
        <w:t xml:space="preserve"> </w:t>
      </w:r>
    </w:p>
    <w:p w14:paraId="20093C5B" w14:textId="6D318839" w:rsidR="00C274FC" w:rsidRPr="008A56A5" w:rsidRDefault="00DD1599" w:rsidP="005A0AB9">
      <w:pPr>
        <w:pStyle w:val="ListNumber"/>
        <w:numPr>
          <w:ilvl w:val="0"/>
          <w:numId w:val="15"/>
        </w:numPr>
        <w:tabs>
          <w:tab w:val="num" w:pos="993"/>
          <w:tab w:val="left" w:pos="1418"/>
        </w:tabs>
        <w:ind w:left="709" w:hanging="567"/>
        <w:rPr>
          <w:rFonts w:cs="Open Sans"/>
        </w:rPr>
      </w:pPr>
      <w:r w:rsidRPr="008A56A5">
        <w:rPr>
          <w:rFonts w:cs="Open Sans"/>
        </w:rPr>
        <w:t>Th</w:t>
      </w:r>
      <w:r w:rsidR="00C274FC" w:rsidRPr="008A56A5">
        <w:rPr>
          <w:rFonts w:cs="Open Sans"/>
        </w:rPr>
        <w:t>e</w:t>
      </w:r>
      <w:r w:rsidRPr="008A56A5">
        <w:rPr>
          <w:rFonts w:cs="Open Sans"/>
        </w:rPr>
        <w:t xml:space="preserve"> Bill would amend the circumstances in which a </w:t>
      </w:r>
      <w:r w:rsidR="00C274FC" w:rsidRPr="008A56A5">
        <w:rPr>
          <w:rFonts w:cs="Open Sans"/>
        </w:rPr>
        <w:t xml:space="preserve">dual </w:t>
      </w:r>
      <w:r w:rsidR="00D42BFB" w:rsidRPr="008A56A5">
        <w:rPr>
          <w:rFonts w:cs="Open Sans"/>
        </w:rPr>
        <w:t>citizen</w:t>
      </w:r>
      <w:r w:rsidRPr="008A56A5">
        <w:rPr>
          <w:rFonts w:cs="Open Sans"/>
        </w:rPr>
        <w:t>’s Australian citizenship c</w:t>
      </w:r>
      <w:r w:rsidR="00CD54EA" w:rsidRPr="008A56A5">
        <w:rPr>
          <w:rFonts w:cs="Open Sans"/>
        </w:rPr>
        <w:t>an</w:t>
      </w:r>
      <w:r w:rsidRPr="008A56A5">
        <w:rPr>
          <w:rFonts w:cs="Open Sans"/>
        </w:rPr>
        <w:t xml:space="preserve"> be removed</w:t>
      </w:r>
      <w:r w:rsidR="00CD54EA" w:rsidRPr="008A56A5">
        <w:rPr>
          <w:rFonts w:cs="Open Sans"/>
        </w:rPr>
        <w:t xml:space="preserve"> </w:t>
      </w:r>
      <w:r w:rsidR="00C274FC" w:rsidRPr="008A56A5">
        <w:rPr>
          <w:rFonts w:cs="Open Sans"/>
        </w:rPr>
        <w:t xml:space="preserve">as a result of </w:t>
      </w:r>
      <w:r w:rsidR="00966474" w:rsidRPr="008A56A5">
        <w:rPr>
          <w:rFonts w:cs="Open Sans"/>
        </w:rPr>
        <w:t xml:space="preserve">a </w:t>
      </w:r>
      <w:r w:rsidR="00C274FC" w:rsidRPr="008A56A5">
        <w:rPr>
          <w:rFonts w:cs="Open Sans"/>
        </w:rPr>
        <w:t>conviction for a specified terrorism</w:t>
      </w:r>
      <w:r w:rsidR="00CD54EA" w:rsidRPr="008A56A5">
        <w:rPr>
          <w:rFonts w:cs="Open Sans"/>
        </w:rPr>
        <w:t>-related</w:t>
      </w:r>
      <w:r w:rsidR="00C274FC" w:rsidRPr="008A56A5">
        <w:rPr>
          <w:rFonts w:cs="Open Sans"/>
        </w:rPr>
        <w:t xml:space="preserve"> offence</w:t>
      </w:r>
      <w:r w:rsidR="006823B6" w:rsidRPr="008A56A5">
        <w:rPr>
          <w:rFonts w:cs="Open Sans"/>
        </w:rPr>
        <w:t xml:space="preserve"> or where the Minister is satisfied that the person has engaged in </w:t>
      </w:r>
      <w:r w:rsidR="00966474" w:rsidRPr="008A56A5">
        <w:rPr>
          <w:rFonts w:cs="Open Sans"/>
        </w:rPr>
        <w:t>certain terrorism-related conduct</w:t>
      </w:r>
      <w:r w:rsidR="00C274FC" w:rsidRPr="008A56A5">
        <w:rPr>
          <w:rFonts w:cs="Open Sans"/>
        </w:rPr>
        <w:t>.</w:t>
      </w:r>
      <w:r w:rsidR="000266D8" w:rsidRPr="008A56A5">
        <w:rPr>
          <w:rFonts w:cs="Open Sans"/>
        </w:rPr>
        <w:t xml:space="preserve"> </w:t>
      </w:r>
    </w:p>
    <w:p w14:paraId="2064C669" w14:textId="65756EB7" w:rsidR="000266D8" w:rsidRPr="008A56A5" w:rsidRDefault="00C274FC" w:rsidP="005A0AB9">
      <w:pPr>
        <w:pStyle w:val="ListNumber"/>
        <w:numPr>
          <w:ilvl w:val="0"/>
          <w:numId w:val="15"/>
        </w:numPr>
        <w:tabs>
          <w:tab w:val="num" w:pos="993"/>
          <w:tab w:val="left" w:pos="1418"/>
        </w:tabs>
        <w:ind w:left="709" w:hanging="567"/>
        <w:rPr>
          <w:rFonts w:cs="Open Sans"/>
        </w:rPr>
      </w:pPr>
      <w:r w:rsidRPr="008A56A5">
        <w:rPr>
          <w:rFonts w:cs="Open Sans"/>
        </w:rPr>
        <w:t>The Bill has been introduced in the context of a recent review conducted by the I</w:t>
      </w:r>
      <w:r w:rsidR="00827C93" w:rsidRPr="008A56A5">
        <w:rPr>
          <w:rFonts w:cs="Open Sans"/>
        </w:rPr>
        <w:t xml:space="preserve">ndependent </w:t>
      </w:r>
      <w:r w:rsidRPr="008A56A5">
        <w:rPr>
          <w:rFonts w:cs="Open Sans"/>
        </w:rPr>
        <w:t>N</w:t>
      </w:r>
      <w:r w:rsidR="00827C93" w:rsidRPr="008A56A5">
        <w:rPr>
          <w:rFonts w:cs="Open Sans"/>
        </w:rPr>
        <w:t xml:space="preserve">ational </w:t>
      </w:r>
      <w:r w:rsidRPr="008A56A5">
        <w:rPr>
          <w:rFonts w:cs="Open Sans"/>
        </w:rPr>
        <w:t>L</w:t>
      </w:r>
      <w:r w:rsidR="00827C93" w:rsidRPr="008A56A5">
        <w:rPr>
          <w:rFonts w:cs="Open Sans"/>
        </w:rPr>
        <w:t xml:space="preserve">egislation </w:t>
      </w:r>
      <w:r w:rsidRPr="008A56A5">
        <w:rPr>
          <w:rFonts w:cs="Open Sans"/>
        </w:rPr>
        <w:t>S</w:t>
      </w:r>
      <w:r w:rsidR="00827C93" w:rsidRPr="008A56A5">
        <w:rPr>
          <w:rFonts w:cs="Open Sans"/>
        </w:rPr>
        <w:t xml:space="preserve">ecurity </w:t>
      </w:r>
      <w:r w:rsidRPr="008A56A5">
        <w:rPr>
          <w:rFonts w:cs="Open Sans"/>
        </w:rPr>
        <w:t>M</w:t>
      </w:r>
      <w:r w:rsidR="00827C93" w:rsidRPr="008A56A5">
        <w:rPr>
          <w:rFonts w:cs="Open Sans"/>
        </w:rPr>
        <w:t>onitor (INSLM)</w:t>
      </w:r>
      <w:r w:rsidRPr="008A56A5">
        <w:rPr>
          <w:rFonts w:cs="Open Sans"/>
        </w:rPr>
        <w:t xml:space="preserve"> into the operation, effectiveness and implications of the citizenship loss provisions in the </w:t>
      </w:r>
      <w:r w:rsidR="00CD54EA" w:rsidRPr="008A56A5">
        <w:rPr>
          <w:rFonts w:cs="Open Sans"/>
          <w:i/>
          <w:iCs/>
        </w:rPr>
        <w:t xml:space="preserve">Australian Citizenship </w:t>
      </w:r>
      <w:r w:rsidRPr="008A56A5">
        <w:rPr>
          <w:rFonts w:cs="Open Sans"/>
          <w:i/>
          <w:iCs/>
        </w:rPr>
        <w:t>Act</w:t>
      </w:r>
      <w:r w:rsidR="00CD54EA" w:rsidRPr="008A56A5">
        <w:rPr>
          <w:rFonts w:cs="Open Sans"/>
          <w:i/>
          <w:iCs/>
        </w:rPr>
        <w:t xml:space="preserve"> 2007</w:t>
      </w:r>
      <w:r w:rsidR="00CD54EA" w:rsidRPr="008A56A5">
        <w:rPr>
          <w:rFonts w:cs="Open Sans"/>
        </w:rPr>
        <w:t xml:space="preserve"> (Cth) (the Act)</w:t>
      </w:r>
      <w:r w:rsidRPr="008A56A5">
        <w:rPr>
          <w:rFonts w:cs="Open Sans"/>
        </w:rPr>
        <w:t>.</w:t>
      </w:r>
      <w:r w:rsidR="005A24E8" w:rsidRPr="008A56A5">
        <w:rPr>
          <w:rFonts w:cs="Open Sans"/>
        </w:rPr>
        <w:t xml:space="preserve"> </w:t>
      </w:r>
    </w:p>
    <w:p w14:paraId="6FC20BD9" w14:textId="59C56627" w:rsidR="00DD1599" w:rsidRPr="008A56A5" w:rsidRDefault="005A24E8" w:rsidP="005A0AB9">
      <w:pPr>
        <w:pStyle w:val="ListNumber"/>
        <w:numPr>
          <w:ilvl w:val="0"/>
          <w:numId w:val="15"/>
        </w:numPr>
        <w:tabs>
          <w:tab w:val="num" w:pos="993"/>
          <w:tab w:val="left" w:pos="1418"/>
        </w:tabs>
        <w:ind w:left="709" w:hanging="567"/>
        <w:rPr>
          <w:rFonts w:cs="Open Sans"/>
        </w:rPr>
      </w:pPr>
      <w:r w:rsidRPr="008A56A5">
        <w:rPr>
          <w:rFonts w:cs="Open Sans"/>
        </w:rPr>
        <w:t>The Commission made a submission to th</w:t>
      </w:r>
      <w:r w:rsidR="000266D8" w:rsidRPr="008A56A5">
        <w:rPr>
          <w:rFonts w:cs="Open Sans"/>
        </w:rPr>
        <w:t>e INSLM</w:t>
      </w:r>
      <w:r w:rsidRPr="008A56A5">
        <w:rPr>
          <w:rFonts w:cs="Open Sans"/>
        </w:rPr>
        <w:t xml:space="preserve"> review</w:t>
      </w:r>
      <w:r w:rsidR="00827C93" w:rsidRPr="008A56A5">
        <w:rPr>
          <w:rFonts w:cs="Open Sans"/>
        </w:rPr>
        <w:t>, urging reform of the relevant provisions to ameliorate significant human rights concerns.</w:t>
      </w:r>
      <w:r w:rsidR="00726621" w:rsidRPr="008A56A5">
        <w:rPr>
          <w:rStyle w:val="EndnoteReference"/>
          <w:rFonts w:cs="Open Sans"/>
        </w:rPr>
        <w:endnoteReference w:id="1"/>
      </w:r>
      <w:r w:rsidR="00827C93" w:rsidRPr="008A56A5">
        <w:rPr>
          <w:rFonts w:cs="Open Sans"/>
        </w:rPr>
        <w:t xml:space="preserve"> The Commission also </w:t>
      </w:r>
      <w:r w:rsidR="000266D8" w:rsidRPr="008A56A5">
        <w:rPr>
          <w:rFonts w:cs="Open Sans"/>
        </w:rPr>
        <w:t>notes its</w:t>
      </w:r>
      <w:r w:rsidR="00827C93" w:rsidRPr="008A56A5">
        <w:rPr>
          <w:rFonts w:cs="Open Sans"/>
        </w:rPr>
        <w:t xml:space="preserve"> submission to the Committee with respect to the</w:t>
      </w:r>
      <w:r w:rsidR="000266D8" w:rsidRPr="008A56A5">
        <w:rPr>
          <w:rFonts w:cs="Open Sans"/>
        </w:rPr>
        <w:t xml:space="preserve"> Australian Citizenship Amendment (Strengthening the Citizenship Loss Provisions) Bill 2018</w:t>
      </w:r>
      <w:r w:rsidR="00827C93" w:rsidRPr="008A56A5">
        <w:rPr>
          <w:rFonts w:cs="Open Sans"/>
        </w:rPr>
        <w:t xml:space="preserve"> </w:t>
      </w:r>
      <w:r w:rsidR="000266D8" w:rsidRPr="008A56A5">
        <w:rPr>
          <w:rFonts w:cs="Open Sans"/>
        </w:rPr>
        <w:t>(Cth)</w:t>
      </w:r>
      <w:r w:rsidR="00827C93" w:rsidRPr="008A56A5">
        <w:rPr>
          <w:rFonts w:cs="Open Sans"/>
        </w:rPr>
        <w:t>,</w:t>
      </w:r>
      <w:r w:rsidR="005476B5" w:rsidRPr="008A56A5">
        <w:rPr>
          <w:rStyle w:val="EndnoteReference"/>
          <w:rFonts w:cs="Open Sans"/>
        </w:rPr>
        <w:endnoteReference w:id="2"/>
      </w:r>
      <w:r w:rsidR="00827C93" w:rsidRPr="008A56A5">
        <w:rPr>
          <w:rFonts w:cs="Open Sans"/>
        </w:rPr>
        <w:t xml:space="preserve"> which contained some similar proposals </w:t>
      </w:r>
      <w:r w:rsidR="000266D8" w:rsidRPr="008A56A5">
        <w:rPr>
          <w:rFonts w:cs="Open Sans"/>
        </w:rPr>
        <w:t>to</w:t>
      </w:r>
      <w:r w:rsidR="00827C93" w:rsidRPr="008A56A5">
        <w:rPr>
          <w:rFonts w:cs="Open Sans"/>
        </w:rPr>
        <w:t xml:space="preserve"> the current Bill,</w:t>
      </w:r>
      <w:r w:rsidR="000266D8" w:rsidRPr="008A56A5">
        <w:rPr>
          <w:rFonts w:cs="Open Sans"/>
        </w:rPr>
        <w:t xml:space="preserve"> but lapsed with the prorogation of Parliament.</w:t>
      </w:r>
    </w:p>
    <w:p w14:paraId="5015671C" w14:textId="1BD53C82" w:rsidR="00954268" w:rsidRPr="008A56A5" w:rsidRDefault="00827C93" w:rsidP="005A0AB9">
      <w:pPr>
        <w:pStyle w:val="ListNumber"/>
        <w:numPr>
          <w:ilvl w:val="0"/>
          <w:numId w:val="15"/>
        </w:numPr>
        <w:tabs>
          <w:tab w:val="num" w:pos="993"/>
          <w:tab w:val="left" w:pos="1418"/>
        </w:tabs>
        <w:ind w:left="709" w:hanging="567"/>
        <w:rPr>
          <w:rFonts w:cs="Open Sans"/>
        </w:rPr>
      </w:pPr>
      <w:r w:rsidRPr="008A56A5">
        <w:rPr>
          <w:rFonts w:cs="Open Sans"/>
        </w:rPr>
        <w:t xml:space="preserve">The Bill </w:t>
      </w:r>
      <w:r w:rsidR="00954268" w:rsidRPr="008A56A5">
        <w:rPr>
          <w:rFonts w:cs="Open Sans"/>
        </w:rPr>
        <w:t xml:space="preserve">would </w:t>
      </w:r>
      <w:r w:rsidRPr="008A56A5">
        <w:rPr>
          <w:rFonts w:cs="Open Sans"/>
        </w:rPr>
        <w:t>address several of the Commission’s previously articulated</w:t>
      </w:r>
      <w:r w:rsidR="000266D8" w:rsidRPr="008A56A5">
        <w:rPr>
          <w:rFonts w:cs="Open Sans"/>
        </w:rPr>
        <w:t xml:space="preserve"> concerns, and implements some but not all of the recommendations made by the INSLM.</w:t>
      </w:r>
      <w:r w:rsidR="00CC5F5F" w:rsidRPr="008A56A5">
        <w:rPr>
          <w:rStyle w:val="EndnoteReference"/>
          <w:rFonts w:cs="Open Sans"/>
        </w:rPr>
        <w:endnoteReference w:id="3"/>
      </w:r>
      <w:r w:rsidR="003035C5" w:rsidRPr="008A56A5">
        <w:rPr>
          <w:rFonts w:cs="Open Sans"/>
        </w:rPr>
        <w:t xml:space="preserve"> </w:t>
      </w:r>
    </w:p>
    <w:p w14:paraId="7A626A65" w14:textId="339DEC86" w:rsidR="00AE4648" w:rsidRPr="008A56A5" w:rsidRDefault="00954268" w:rsidP="005A0AB9">
      <w:pPr>
        <w:pStyle w:val="ListNumber"/>
        <w:numPr>
          <w:ilvl w:val="0"/>
          <w:numId w:val="15"/>
        </w:numPr>
        <w:tabs>
          <w:tab w:val="num" w:pos="993"/>
          <w:tab w:val="left" w:pos="1418"/>
        </w:tabs>
        <w:ind w:left="709" w:hanging="567"/>
        <w:rPr>
          <w:rFonts w:cs="Open Sans"/>
        </w:rPr>
      </w:pPr>
      <w:r w:rsidRPr="008A56A5">
        <w:rPr>
          <w:rFonts w:cs="Open Sans"/>
        </w:rPr>
        <w:t>In particular, t</w:t>
      </w:r>
      <w:r w:rsidR="003035C5" w:rsidRPr="008A56A5">
        <w:rPr>
          <w:rFonts w:cs="Open Sans"/>
        </w:rPr>
        <w:t>he Commission welcomes</w:t>
      </w:r>
      <w:r w:rsidR="007D787A" w:rsidRPr="008A56A5">
        <w:rPr>
          <w:rFonts w:cs="Open Sans"/>
        </w:rPr>
        <w:t xml:space="preserve"> and supports</w:t>
      </w:r>
      <w:r w:rsidR="003035C5" w:rsidRPr="008A56A5">
        <w:rPr>
          <w:rFonts w:cs="Open Sans"/>
        </w:rPr>
        <w:t xml:space="preserve"> </w:t>
      </w:r>
      <w:r w:rsidRPr="008A56A5">
        <w:rPr>
          <w:rFonts w:cs="Open Sans"/>
        </w:rPr>
        <w:t>the</w:t>
      </w:r>
      <w:r w:rsidR="00674AA4" w:rsidRPr="008A56A5">
        <w:rPr>
          <w:rFonts w:cs="Open Sans"/>
        </w:rPr>
        <w:t xml:space="preserve"> Bill’s</w:t>
      </w:r>
      <w:r w:rsidRPr="008A56A5">
        <w:rPr>
          <w:rFonts w:cs="Open Sans"/>
        </w:rPr>
        <w:t xml:space="preserve"> </w:t>
      </w:r>
      <w:r w:rsidR="00674AA4" w:rsidRPr="008A56A5">
        <w:rPr>
          <w:rFonts w:cs="Open Sans"/>
        </w:rPr>
        <w:t xml:space="preserve">revocation of </w:t>
      </w:r>
      <w:r w:rsidR="00E42594" w:rsidRPr="008A56A5">
        <w:rPr>
          <w:rFonts w:cs="Open Sans"/>
        </w:rPr>
        <w:t>self-executing</w:t>
      </w:r>
      <w:r w:rsidR="00674AA4" w:rsidRPr="008A56A5">
        <w:rPr>
          <w:rFonts w:cs="Open Sans"/>
        </w:rPr>
        <w:t xml:space="preserve"> citizenship loss</w:t>
      </w:r>
      <w:r w:rsidR="00C80DCD" w:rsidRPr="008A56A5">
        <w:rPr>
          <w:rFonts w:cs="Open Sans"/>
        </w:rPr>
        <w:t xml:space="preserve"> </w:t>
      </w:r>
      <w:r w:rsidR="00A74CFD" w:rsidRPr="008A56A5">
        <w:rPr>
          <w:rFonts w:cs="Open Sans"/>
        </w:rPr>
        <w:t>provisions</w:t>
      </w:r>
      <w:r w:rsidR="00674AA4" w:rsidRPr="008A56A5">
        <w:rPr>
          <w:rFonts w:cs="Open Sans"/>
        </w:rPr>
        <w:t>.</w:t>
      </w:r>
      <w:r w:rsidR="00C80DCD" w:rsidRPr="008A56A5">
        <w:rPr>
          <w:rFonts w:cs="Open Sans"/>
        </w:rPr>
        <w:t xml:space="preserve"> Th</w:t>
      </w:r>
      <w:r w:rsidR="00AE4648" w:rsidRPr="008A56A5">
        <w:rPr>
          <w:rFonts w:cs="Open Sans"/>
        </w:rPr>
        <w:t xml:space="preserve">is </w:t>
      </w:r>
      <w:r w:rsidR="00493133" w:rsidRPr="008A56A5">
        <w:rPr>
          <w:rFonts w:cs="Open Sans"/>
        </w:rPr>
        <w:t>addresses</w:t>
      </w:r>
      <w:r w:rsidR="00AE4648" w:rsidRPr="008A56A5">
        <w:rPr>
          <w:rFonts w:cs="Open Sans"/>
        </w:rPr>
        <w:t xml:space="preserve"> one of the Commission’s </w:t>
      </w:r>
      <w:r w:rsidR="008E1DD7" w:rsidRPr="008A56A5">
        <w:rPr>
          <w:rFonts w:cs="Open Sans"/>
        </w:rPr>
        <w:t>primary</w:t>
      </w:r>
      <w:r w:rsidR="00AE4648" w:rsidRPr="008A56A5">
        <w:rPr>
          <w:rFonts w:cs="Open Sans"/>
        </w:rPr>
        <w:t xml:space="preserve"> </w:t>
      </w:r>
      <w:r w:rsidR="00FF2C7B" w:rsidRPr="008A56A5">
        <w:rPr>
          <w:rFonts w:cs="Open Sans"/>
        </w:rPr>
        <w:t>contentions</w:t>
      </w:r>
      <w:r w:rsidR="00493133" w:rsidRPr="008A56A5">
        <w:rPr>
          <w:rFonts w:cs="Open Sans"/>
        </w:rPr>
        <w:t>,</w:t>
      </w:r>
      <w:r w:rsidR="00AE4648" w:rsidRPr="008A56A5">
        <w:rPr>
          <w:rFonts w:cs="Open Sans"/>
        </w:rPr>
        <w:t xml:space="preserve"> that loss of citizenship should never be automatic, and greatly enhances the proportionality of the scheme.</w:t>
      </w:r>
      <w:r w:rsidR="008E1DD7" w:rsidRPr="008A56A5">
        <w:rPr>
          <w:rFonts w:cs="Open Sans"/>
        </w:rPr>
        <w:t xml:space="preserve"> </w:t>
      </w:r>
    </w:p>
    <w:p w14:paraId="491E64A3" w14:textId="62AE9BC7" w:rsidR="00827C93" w:rsidRPr="008A56A5" w:rsidRDefault="00AE4648" w:rsidP="005A0AB9">
      <w:pPr>
        <w:pStyle w:val="ListNumber"/>
        <w:numPr>
          <w:ilvl w:val="0"/>
          <w:numId w:val="15"/>
        </w:numPr>
        <w:tabs>
          <w:tab w:val="num" w:pos="993"/>
          <w:tab w:val="left" w:pos="1418"/>
        </w:tabs>
        <w:ind w:left="709" w:hanging="567"/>
        <w:rPr>
          <w:rFonts w:cs="Open Sans"/>
        </w:rPr>
      </w:pPr>
      <w:r w:rsidRPr="008A56A5">
        <w:rPr>
          <w:rFonts w:cs="Open Sans"/>
        </w:rPr>
        <w:t xml:space="preserve">The </w:t>
      </w:r>
      <w:r w:rsidR="00116069" w:rsidRPr="008A56A5">
        <w:rPr>
          <w:rFonts w:cs="Open Sans"/>
        </w:rPr>
        <w:t xml:space="preserve">amendments </w:t>
      </w:r>
      <w:r w:rsidRPr="008A56A5">
        <w:rPr>
          <w:rFonts w:cs="Open Sans"/>
        </w:rPr>
        <w:t>would operate so that a determination of the Minister is required before a person can lose their citizenship, either for engaging in certain conduct or following a relevant conviction.</w:t>
      </w:r>
      <w:r w:rsidR="00954268" w:rsidRPr="008A56A5">
        <w:rPr>
          <w:rFonts w:cs="Open Sans"/>
        </w:rPr>
        <w:t xml:space="preserve"> </w:t>
      </w:r>
      <w:r w:rsidR="001B0C4F" w:rsidRPr="008A56A5">
        <w:rPr>
          <w:rFonts w:cs="Open Sans"/>
        </w:rPr>
        <w:t xml:space="preserve">However, they do not go so far as to address the Commission’s key recommendation, that loss of citizenship should </w:t>
      </w:r>
      <w:r w:rsidR="00A74CFD" w:rsidRPr="008A56A5">
        <w:rPr>
          <w:rFonts w:cs="Open Sans"/>
        </w:rPr>
        <w:t xml:space="preserve">only </w:t>
      </w:r>
      <w:r w:rsidR="001B0C4F" w:rsidRPr="008A56A5">
        <w:rPr>
          <w:rFonts w:cs="Open Sans"/>
        </w:rPr>
        <w:t xml:space="preserve">be possible following a criminal conviction, rather than </w:t>
      </w:r>
      <w:r w:rsidR="00444602" w:rsidRPr="008A56A5">
        <w:rPr>
          <w:rFonts w:cs="Open Sans"/>
        </w:rPr>
        <w:t xml:space="preserve">also </w:t>
      </w:r>
      <w:r w:rsidR="00E07AD5" w:rsidRPr="008A56A5">
        <w:rPr>
          <w:rFonts w:cs="Open Sans"/>
        </w:rPr>
        <w:t xml:space="preserve">being possible </w:t>
      </w:r>
      <w:r w:rsidR="001B0C4F" w:rsidRPr="008A56A5">
        <w:rPr>
          <w:rFonts w:cs="Open Sans"/>
        </w:rPr>
        <w:t xml:space="preserve">on the basis of </w:t>
      </w:r>
      <w:r w:rsidR="00527405" w:rsidRPr="008A56A5">
        <w:rPr>
          <w:rFonts w:cs="Open Sans"/>
        </w:rPr>
        <w:t xml:space="preserve">engaging in particular </w:t>
      </w:r>
      <w:r w:rsidR="001B0C4F" w:rsidRPr="008A56A5">
        <w:rPr>
          <w:rFonts w:cs="Open Sans"/>
        </w:rPr>
        <w:t>conduct</w:t>
      </w:r>
      <w:r w:rsidR="00527405" w:rsidRPr="008A56A5">
        <w:rPr>
          <w:rFonts w:cs="Open Sans"/>
        </w:rPr>
        <w:t xml:space="preserve"> which may amount to a</w:t>
      </w:r>
      <w:r w:rsidR="00E07AD5" w:rsidRPr="008A56A5">
        <w:rPr>
          <w:rFonts w:cs="Open Sans"/>
        </w:rPr>
        <w:t xml:space="preserve"> relevant</w:t>
      </w:r>
      <w:r w:rsidR="00527405" w:rsidRPr="008A56A5">
        <w:rPr>
          <w:rFonts w:cs="Open Sans"/>
        </w:rPr>
        <w:t xml:space="preserve"> offence but for which </w:t>
      </w:r>
      <w:r w:rsidR="00B207D2" w:rsidRPr="008A56A5">
        <w:rPr>
          <w:rFonts w:cs="Open Sans"/>
        </w:rPr>
        <w:t>the</w:t>
      </w:r>
      <w:r w:rsidR="00527405" w:rsidRPr="008A56A5">
        <w:rPr>
          <w:rFonts w:cs="Open Sans"/>
        </w:rPr>
        <w:t xml:space="preserve"> person has not been </w:t>
      </w:r>
      <w:r w:rsidR="00E07AD5" w:rsidRPr="008A56A5">
        <w:rPr>
          <w:rFonts w:cs="Open Sans"/>
        </w:rPr>
        <w:t>convicted</w:t>
      </w:r>
      <w:r w:rsidR="001B0C4F" w:rsidRPr="008A56A5">
        <w:rPr>
          <w:rFonts w:cs="Open Sans"/>
        </w:rPr>
        <w:t>.</w:t>
      </w:r>
      <w:r w:rsidR="004C0C43" w:rsidRPr="008A56A5">
        <w:rPr>
          <w:rFonts w:cs="Open Sans"/>
        </w:rPr>
        <w:t xml:space="preserve"> </w:t>
      </w:r>
      <w:r w:rsidR="003664C9" w:rsidRPr="008A56A5">
        <w:rPr>
          <w:rFonts w:cs="Open Sans"/>
        </w:rPr>
        <w:t>Nor do they provide for merits review of the determination by the Minister, contrary to recommendations by both the Commission and the INSLM.</w:t>
      </w:r>
    </w:p>
    <w:p w14:paraId="5C1A49EE" w14:textId="38FA8277" w:rsidR="002A62C1" w:rsidRPr="008A56A5" w:rsidRDefault="0080519F" w:rsidP="005A0AB9">
      <w:pPr>
        <w:pStyle w:val="ListNumber"/>
        <w:numPr>
          <w:ilvl w:val="0"/>
          <w:numId w:val="15"/>
        </w:numPr>
        <w:tabs>
          <w:tab w:val="num" w:pos="993"/>
          <w:tab w:val="left" w:pos="1418"/>
        </w:tabs>
        <w:ind w:left="709" w:hanging="567"/>
        <w:rPr>
          <w:rFonts w:cs="Open Sans"/>
        </w:rPr>
      </w:pPr>
      <w:r w:rsidRPr="008A56A5">
        <w:rPr>
          <w:rFonts w:cs="Open Sans"/>
        </w:rPr>
        <w:t>D</w:t>
      </w:r>
      <w:r w:rsidR="00BB7402" w:rsidRPr="008A56A5">
        <w:rPr>
          <w:rFonts w:cs="Open Sans"/>
        </w:rPr>
        <w:t>espite improvements</w:t>
      </w:r>
      <w:r w:rsidR="00444602" w:rsidRPr="008A56A5">
        <w:rPr>
          <w:rFonts w:cs="Open Sans"/>
        </w:rPr>
        <w:t xml:space="preserve"> to </w:t>
      </w:r>
      <w:r w:rsidR="002B2032" w:rsidRPr="008A56A5">
        <w:rPr>
          <w:rFonts w:cs="Open Sans"/>
        </w:rPr>
        <w:t xml:space="preserve">the </w:t>
      </w:r>
      <w:r w:rsidR="00444602" w:rsidRPr="008A56A5">
        <w:rPr>
          <w:rFonts w:cs="Open Sans"/>
        </w:rPr>
        <w:t>human rights compatibility</w:t>
      </w:r>
      <w:r w:rsidR="002B2032" w:rsidRPr="008A56A5">
        <w:rPr>
          <w:rFonts w:cs="Open Sans"/>
        </w:rPr>
        <w:t xml:space="preserve"> of the regime</w:t>
      </w:r>
      <w:r w:rsidR="00BB7402" w:rsidRPr="008A56A5">
        <w:rPr>
          <w:rFonts w:cs="Open Sans"/>
        </w:rPr>
        <w:t xml:space="preserve">, the Commission considers that several aspects of the Bill </w:t>
      </w:r>
      <w:r w:rsidR="007D787A" w:rsidRPr="008A56A5">
        <w:rPr>
          <w:rFonts w:cs="Open Sans"/>
        </w:rPr>
        <w:t>do not remedy</w:t>
      </w:r>
      <w:r w:rsidR="00593B62" w:rsidRPr="008A56A5">
        <w:rPr>
          <w:rFonts w:cs="Open Sans"/>
        </w:rPr>
        <w:t xml:space="preserve"> previous</w:t>
      </w:r>
      <w:r w:rsidR="00E34527" w:rsidRPr="008A56A5">
        <w:rPr>
          <w:rFonts w:cs="Open Sans"/>
        </w:rPr>
        <w:t xml:space="preserve">ly </w:t>
      </w:r>
      <w:r w:rsidR="00E7466A" w:rsidRPr="008A56A5">
        <w:rPr>
          <w:rFonts w:cs="Open Sans"/>
        </w:rPr>
        <w:t>identified</w:t>
      </w:r>
      <w:r w:rsidR="004F750C" w:rsidRPr="008A56A5">
        <w:rPr>
          <w:rFonts w:cs="Open Sans"/>
        </w:rPr>
        <w:t xml:space="preserve"> </w:t>
      </w:r>
      <w:r w:rsidR="00BB7402" w:rsidRPr="008A56A5">
        <w:rPr>
          <w:rFonts w:cs="Open Sans"/>
        </w:rPr>
        <w:t>human rights</w:t>
      </w:r>
      <w:r w:rsidR="008E1DD7" w:rsidRPr="008A56A5">
        <w:rPr>
          <w:rFonts w:cs="Open Sans"/>
        </w:rPr>
        <w:t xml:space="preserve"> concerns</w:t>
      </w:r>
      <w:r w:rsidR="002A62C1" w:rsidRPr="008A56A5">
        <w:rPr>
          <w:rFonts w:cs="Open Sans"/>
        </w:rPr>
        <w:t xml:space="preserve">. </w:t>
      </w:r>
      <w:r w:rsidR="00E34527" w:rsidRPr="008A56A5">
        <w:rPr>
          <w:rFonts w:cs="Open Sans"/>
        </w:rPr>
        <w:t xml:space="preserve">Some aspects of the Bill also create new human rights concerns. </w:t>
      </w:r>
      <w:r w:rsidR="002A62C1" w:rsidRPr="008A56A5">
        <w:rPr>
          <w:rFonts w:cs="Open Sans"/>
        </w:rPr>
        <w:t xml:space="preserve">Further, </w:t>
      </w:r>
      <w:r w:rsidR="00E34527" w:rsidRPr="008A56A5">
        <w:rPr>
          <w:rFonts w:cs="Open Sans"/>
        </w:rPr>
        <w:t xml:space="preserve">the Commission </w:t>
      </w:r>
      <w:r w:rsidR="00444602" w:rsidRPr="008A56A5">
        <w:rPr>
          <w:rFonts w:cs="Open Sans"/>
        </w:rPr>
        <w:t xml:space="preserve">considers that the proposed </w:t>
      </w:r>
      <w:r w:rsidR="002B2032" w:rsidRPr="008A56A5">
        <w:rPr>
          <w:rFonts w:cs="Open Sans"/>
        </w:rPr>
        <w:t xml:space="preserve">procedural </w:t>
      </w:r>
      <w:r w:rsidR="002A62C1" w:rsidRPr="008A56A5">
        <w:rPr>
          <w:rFonts w:cs="Open Sans"/>
        </w:rPr>
        <w:t>safeguards</w:t>
      </w:r>
      <w:r w:rsidR="002B2032" w:rsidRPr="008A56A5">
        <w:rPr>
          <w:rFonts w:cs="Open Sans"/>
        </w:rPr>
        <w:t xml:space="preserve"> attaching to the revocation of citizenship</w:t>
      </w:r>
      <w:r w:rsidR="00444602" w:rsidRPr="008A56A5">
        <w:rPr>
          <w:rFonts w:cs="Open Sans"/>
        </w:rPr>
        <w:t xml:space="preserve"> should be strengthened,</w:t>
      </w:r>
      <w:r w:rsidR="002A62C1" w:rsidRPr="008A56A5">
        <w:rPr>
          <w:rFonts w:cs="Open Sans"/>
        </w:rPr>
        <w:t xml:space="preserve"> to</w:t>
      </w:r>
      <w:r w:rsidR="00444602" w:rsidRPr="008A56A5">
        <w:rPr>
          <w:rFonts w:cs="Open Sans"/>
        </w:rPr>
        <w:t xml:space="preserve"> ensure appropriate</w:t>
      </w:r>
      <w:r w:rsidR="002A62C1" w:rsidRPr="008A56A5">
        <w:rPr>
          <w:rFonts w:cs="Open Sans"/>
        </w:rPr>
        <w:t xml:space="preserve"> protect</w:t>
      </w:r>
      <w:r w:rsidR="00444602" w:rsidRPr="008A56A5">
        <w:rPr>
          <w:rFonts w:cs="Open Sans"/>
        </w:rPr>
        <w:t>ion of</w:t>
      </w:r>
      <w:r w:rsidR="002A62C1" w:rsidRPr="008A56A5">
        <w:rPr>
          <w:rFonts w:cs="Open Sans"/>
        </w:rPr>
        <w:t xml:space="preserve"> the rights of individuals</w:t>
      </w:r>
      <w:r w:rsidR="00444602" w:rsidRPr="008A56A5">
        <w:rPr>
          <w:rFonts w:cs="Open Sans"/>
        </w:rPr>
        <w:t xml:space="preserve"> </w:t>
      </w:r>
      <w:r w:rsidR="002B2032" w:rsidRPr="008A56A5">
        <w:rPr>
          <w:rFonts w:cs="Open Sans"/>
        </w:rPr>
        <w:t>in light of</w:t>
      </w:r>
      <w:r w:rsidR="00444602" w:rsidRPr="008A56A5">
        <w:rPr>
          <w:rFonts w:cs="Open Sans"/>
        </w:rPr>
        <w:t xml:space="preserve"> the severe consequences</w:t>
      </w:r>
      <w:r w:rsidR="002A62C1" w:rsidRPr="008A56A5">
        <w:rPr>
          <w:rFonts w:cs="Open Sans"/>
        </w:rPr>
        <w:t>.</w:t>
      </w:r>
    </w:p>
    <w:p w14:paraId="68E41027" w14:textId="1D708D1C" w:rsidR="00E23F28" w:rsidRPr="008A56A5" w:rsidRDefault="004A6647" w:rsidP="005A0AB9">
      <w:pPr>
        <w:pStyle w:val="ListNumber"/>
        <w:numPr>
          <w:ilvl w:val="0"/>
          <w:numId w:val="15"/>
        </w:numPr>
        <w:tabs>
          <w:tab w:val="num" w:pos="993"/>
          <w:tab w:val="left" w:pos="1418"/>
        </w:tabs>
        <w:ind w:left="709" w:hanging="567"/>
      </w:pPr>
      <w:r w:rsidRPr="008A56A5">
        <w:t xml:space="preserve">Involuntarily removal of citizenship is an extremely serious matter, whether it occurs automatically or by </w:t>
      </w:r>
      <w:r w:rsidR="005A03C5" w:rsidRPr="008A56A5">
        <w:t xml:space="preserve">way of a </w:t>
      </w:r>
      <w:r w:rsidRPr="008A56A5">
        <w:t xml:space="preserve">determination. </w:t>
      </w:r>
      <w:r w:rsidR="00305150" w:rsidRPr="008A56A5">
        <w:t>Overreach or the unjustified</w:t>
      </w:r>
      <w:r w:rsidRPr="008A56A5">
        <w:t xml:space="preserve"> application of these provisions could mean that a person’s right to enter and remain in their own country, Australia, </w:t>
      </w:r>
      <w:r w:rsidR="00947F07">
        <w:t>is</w:t>
      </w:r>
      <w:r w:rsidR="00947F07" w:rsidRPr="008A56A5">
        <w:t xml:space="preserve"> </w:t>
      </w:r>
      <w:r w:rsidRPr="008A56A5">
        <w:t>seriously and arbitrarily impaired,</w:t>
      </w:r>
      <w:r w:rsidRPr="008A56A5">
        <w:rPr>
          <w:sz w:val="22"/>
          <w:szCs w:val="22"/>
          <w:vertAlign w:val="superscript"/>
          <w:lang w:val="en"/>
        </w:rPr>
        <w:endnoteReference w:id="4"/>
      </w:r>
      <w:r w:rsidRPr="008A56A5">
        <w:t xml:space="preserve"> having adverse consequences for numerous other human rights. </w:t>
      </w:r>
    </w:p>
    <w:p w14:paraId="37BC336D" w14:textId="72344630" w:rsidR="004A6647" w:rsidRPr="008A56A5" w:rsidRDefault="00D42BFB" w:rsidP="005A0AB9">
      <w:pPr>
        <w:pStyle w:val="ListNumber"/>
        <w:numPr>
          <w:ilvl w:val="0"/>
          <w:numId w:val="15"/>
        </w:numPr>
        <w:tabs>
          <w:tab w:val="num" w:pos="993"/>
          <w:tab w:val="left" w:pos="1418"/>
        </w:tabs>
        <w:ind w:left="709" w:hanging="567"/>
      </w:pPr>
      <w:r w:rsidRPr="008A56A5">
        <w:t>These powers can be applied to adults and children</w:t>
      </w:r>
      <w:r w:rsidR="00E23F28" w:rsidRPr="008A56A5">
        <w:t xml:space="preserve"> as young as ten</w:t>
      </w:r>
      <w:r w:rsidR="00431CD4" w:rsidRPr="008A56A5">
        <w:t>. Their</w:t>
      </w:r>
      <w:r w:rsidRPr="008A56A5">
        <w:t xml:space="preserve"> Australian citizenship </w:t>
      </w:r>
      <w:r w:rsidR="00431CD4" w:rsidRPr="008A56A5">
        <w:t>could</w:t>
      </w:r>
      <w:r w:rsidR="00E23F28" w:rsidRPr="008A56A5">
        <w:t xml:space="preserve"> be acquired by birth or otherwise conferred. </w:t>
      </w:r>
      <w:r w:rsidR="008563B9" w:rsidRPr="008A56A5">
        <w:t xml:space="preserve">They may have a strong and enduring connection to Australia. </w:t>
      </w:r>
    </w:p>
    <w:p w14:paraId="726D9F6F" w14:textId="42A93CC3" w:rsidR="00305150" w:rsidRPr="008A56A5" w:rsidRDefault="002A62C1" w:rsidP="005A03C5">
      <w:pPr>
        <w:pStyle w:val="ListNumber"/>
        <w:numPr>
          <w:ilvl w:val="0"/>
          <w:numId w:val="15"/>
        </w:numPr>
        <w:tabs>
          <w:tab w:val="num" w:pos="993"/>
          <w:tab w:val="left" w:pos="1418"/>
        </w:tabs>
        <w:ind w:left="709" w:hanging="567"/>
        <w:rPr>
          <w:color w:val="00B0F0"/>
        </w:rPr>
      </w:pPr>
      <w:r w:rsidRPr="008A56A5">
        <w:t xml:space="preserve">The Commission acknowledges the critical importance of protecting Australia’s national security, and </w:t>
      </w:r>
      <w:r w:rsidRPr="008A56A5">
        <w:rPr>
          <w:rFonts w:cs="Open Sans"/>
        </w:rPr>
        <w:t>the</w:t>
      </w:r>
      <w:r w:rsidRPr="008A56A5">
        <w:t xml:space="preserve"> Australian community from terrorism.</w:t>
      </w:r>
      <w:r w:rsidR="005A03C5" w:rsidRPr="008A56A5">
        <w:t xml:space="preserve"> </w:t>
      </w:r>
      <w:r w:rsidR="00305150" w:rsidRPr="008A56A5">
        <w:t>However</w:t>
      </w:r>
      <w:r w:rsidR="00C83984" w:rsidRPr="008A56A5">
        <w:t>,</w:t>
      </w:r>
      <w:r w:rsidR="00305150" w:rsidRPr="008A56A5">
        <w:t xml:space="preserve"> international human rights law requires that any limitation on rights must be reasonable, necessary and proportionate to the achievement of a legitimate objective. The Commission is concerned that numerous aspects of the citizenship loss provisions</w:t>
      </w:r>
      <w:r w:rsidR="007D787A" w:rsidRPr="008A56A5">
        <w:t xml:space="preserve"> as amended by the Bill would</w:t>
      </w:r>
      <w:r w:rsidR="00305150" w:rsidRPr="008A56A5">
        <w:t xml:space="preserve"> not satisfy these requirements. </w:t>
      </w:r>
    </w:p>
    <w:p w14:paraId="62783858" w14:textId="2DD45799" w:rsidR="00CD54EA" w:rsidRPr="008A56A5" w:rsidRDefault="00F14E46" w:rsidP="005A03C5">
      <w:pPr>
        <w:pStyle w:val="ListNumber"/>
        <w:numPr>
          <w:ilvl w:val="0"/>
          <w:numId w:val="15"/>
        </w:numPr>
        <w:tabs>
          <w:tab w:val="num" w:pos="993"/>
          <w:tab w:val="left" w:pos="1418"/>
        </w:tabs>
        <w:ind w:left="709" w:hanging="567"/>
        <w:rPr>
          <w:color w:val="00B0F0"/>
        </w:rPr>
      </w:pPr>
      <w:r w:rsidRPr="008A56A5">
        <w:t>The Commission</w:t>
      </w:r>
      <w:r w:rsidR="002A62C1" w:rsidRPr="008A56A5">
        <w:rPr>
          <w:rFonts w:cs="Open Sans"/>
        </w:rPr>
        <w:t xml:space="preserve"> makes </w:t>
      </w:r>
      <w:r w:rsidR="001F0738" w:rsidRPr="008A56A5">
        <w:rPr>
          <w:rFonts w:cs="Open Sans"/>
        </w:rPr>
        <w:t>15</w:t>
      </w:r>
      <w:r w:rsidR="002A62C1" w:rsidRPr="008A56A5">
        <w:rPr>
          <w:rFonts w:cs="Open Sans"/>
        </w:rPr>
        <w:t xml:space="preserve"> recommendations to ameliorate </w:t>
      </w:r>
      <w:r w:rsidR="00F453BB" w:rsidRPr="008A56A5">
        <w:rPr>
          <w:rFonts w:cs="Open Sans"/>
        </w:rPr>
        <w:t xml:space="preserve">some of the key </w:t>
      </w:r>
      <w:r w:rsidR="002A62C1" w:rsidRPr="008A56A5">
        <w:rPr>
          <w:rFonts w:cs="Open Sans"/>
        </w:rPr>
        <w:t>human rights concerns</w:t>
      </w:r>
      <w:r w:rsidR="00B16CC1" w:rsidRPr="008A56A5">
        <w:rPr>
          <w:rFonts w:cs="Open Sans"/>
        </w:rPr>
        <w:t xml:space="preserve"> </w:t>
      </w:r>
      <w:r w:rsidR="005A03C5" w:rsidRPr="008A56A5">
        <w:rPr>
          <w:rFonts w:cs="Open Sans"/>
        </w:rPr>
        <w:t>identified</w:t>
      </w:r>
      <w:r w:rsidR="00B16CC1" w:rsidRPr="008A56A5">
        <w:t>.</w:t>
      </w:r>
      <w:r w:rsidR="005A03C5" w:rsidRPr="008A56A5">
        <w:rPr>
          <w:rFonts w:cs="Open Sans"/>
        </w:rPr>
        <w:t xml:space="preserve"> </w:t>
      </w:r>
    </w:p>
    <w:p w14:paraId="53B639F5" w14:textId="65135B11" w:rsidR="009F2764" w:rsidRPr="008A56A5" w:rsidRDefault="00AF184E" w:rsidP="009E08D1">
      <w:pPr>
        <w:pStyle w:val="Heading1"/>
      </w:pPr>
      <w:bookmarkStart w:id="20" w:name="_Toc20921353"/>
      <w:bookmarkStart w:id="21" w:name="_Toc21968471"/>
      <w:bookmarkEnd w:id="19"/>
      <w:r w:rsidRPr="008A56A5">
        <w:t>Background</w:t>
      </w:r>
      <w:bookmarkEnd w:id="20"/>
      <w:bookmarkEnd w:id="21"/>
    </w:p>
    <w:p w14:paraId="10DA46F8" w14:textId="43B5FAEC" w:rsidR="001C04F6" w:rsidRPr="008A56A5" w:rsidRDefault="00AF184E" w:rsidP="00AF184E">
      <w:pPr>
        <w:pStyle w:val="Heading2"/>
        <w:rPr>
          <w:sz w:val="24"/>
          <w:szCs w:val="24"/>
        </w:rPr>
      </w:pPr>
      <w:bookmarkStart w:id="22" w:name="_Toc20921354"/>
      <w:bookmarkStart w:id="23" w:name="_Toc525894100"/>
      <w:bookmarkStart w:id="24" w:name="_Toc21968472"/>
      <w:r w:rsidRPr="008A56A5">
        <w:rPr>
          <w:sz w:val="24"/>
          <w:szCs w:val="24"/>
        </w:rPr>
        <w:t>The Bill</w:t>
      </w:r>
      <w:bookmarkEnd w:id="22"/>
      <w:bookmarkEnd w:id="24"/>
    </w:p>
    <w:p w14:paraId="4876E558" w14:textId="4DE46540" w:rsidR="00CA0060" w:rsidRPr="008A56A5" w:rsidRDefault="00AF184E" w:rsidP="00F23919">
      <w:pPr>
        <w:pStyle w:val="ListNumber"/>
        <w:numPr>
          <w:ilvl w:val="0"/>
          <w:numId w:val="15"/>
        </w:numPr>
        <w:tabs>
          <w:tab w:val="num" w:pos="993"/>
          <w:tab w:val="left" w:pos="1418"/>
        </w:tabs>
        <w:ind w:left="709" w:hanging="567"/>
        <w:rPr>
          <w:rFonts w:eastAsia="Times New Roman" w:cs="Open Sans"/>
          <w:color w:val="222222"/>
        </w:rPr>
      </w:pPr>
      <w:r w:rsidRPr="008A56A5">
        <w:rPr>
          <w:rFonts w:cs="Open Sans"/>
          <w:color w:val="222222"/>
        </w:rPr>
        <w:t xml:space="preserve">The Bill </w:t>
      </w:r>
      <w:r w:rsidR="00F23919" w:rsidRPr="008A56A5">
        <w:rPr>
          <w:rFonts w:cs="Open Sans"/>
          <w:color w:val="222222"/>
        </w:rPr>
        <w:t xml:space="preserve">would amend </w:t>
      </w:r>
      <w:r w:rsidR="00CA0060" w:rsidRPr="008A56A5">
        <w:rPr>
          <w:rFonts w:cs="Open Sans"/>
          <w:color w:val="222222"/>
        </w:rPr>
        <w:t>Division 3, Part 2 of the Act, reforming the circumstances in which a dual citizen or national c</w:t>
      </w:r>
      <w:r w:rsidR="004E557F" w:rsidRPr="008A56A5">
        <w:rPr>
          <w:rFonts w:cs="Open Sans"/>
          <w:color w:val="222222"/>
        </w:rPr>
        <w:t>an</w:t>
      </w:r>
      <w:r w:rsidR="00CA0060" w:rsidRPr="008A56A5">
        <w:rPr>
          <w:rFonts w:cs="Open Sans"/>
          <w:color w:val="222222"/>
        </w:rPr>
        <w:t xml:space="preserve"> have their Australian citizenship removed for terrorism-related conduct or convictions. </w:t>
      </w:r>
    </w:p>
    <w:p w14:paraId="732368C7" w14:textId="07C1E0EA" w:rsidR="008D5672" w:rsidRPr="008A56A5" w:rsidRDefault="008D5672" w:rsidP="008D5672">
      <w:pPr>
        <w:pStyle w:val="ListNumber"/>
        <w:numPr>
          <w:ilvl w:val="0"/>
          <w:numId w:val="15"/>
        </w:numPr>
        <w:tabs>
          <w:tab w:val="num" w:pos="993"/>
          <w:tab w:val="left" w:pos="1418"/>
        </w:tabs>
        <w:ind w:left="709" w:hanging="567"/>
        <w:rPr>
          <w:rFonts w:eastAsia="Times New Roman" w:cs="Open Sans"/>
          <w:color w:val="222222"/>
        </w:rPr>
      </w:pPr>
      <w:r w:rsidRPr="008A56A5">
        <w:rPr>
          <w:rFonts w:eastAsia="Times New Roman" w:cs="Open Sans"/>
          <w:color w:val="222222"/>
        </w:rPr>
        <w:t>The Statement of Compatibility with Human Rights states that the purpose of the Bill is</w:t>
      </w:r>
      <w:r w:rsidR="006C6D73" w:rsidRPr="008A56A5">
        <w:rPr>
          <w:rFonts w:eastAsia="Times New Roman" w:cs="Open Sans"/>
          <w:color w:val="222222"/>
        </w:rPr>
        <w:t xml:space="preserve"> as follows</w:t>
      </w:r>
      <w:r w:rsidRPr="008A56A5">
        <w:rPr>
          <w:rFonts w:eastAsia="Times New Roman" w:cs="Open Sans"/>
          <w:color w:val="222222"/>
        </w:rPr>
        <w:t>:</w:t>
      </w:r>
    </w:p>
    <w:p w14:paraId="231E7912" w14:textId="77777777" w:rsidR="006A7A98" w:rsidRPr="008A56A5" w:rsidRDefault="00806BB0" w:rsidP="006A7A98">
      <w:pPr>
        <w:pStyle w:val="ListNumber"/>
        <w:numPr>
          <w:ilvl w:val="0"/>
          <w:numId w:val="0"/>
        </w:numPr>
        <w:tabs>
          <w:tab w:val="left" w:pos="1418"/>
        </w:tabs>
        <w:ind w:left="1876" w:hanging="742"/>
        <w:rPr>
          <w:rFonts w:eastAsia="Times New Roman" w:cs="Open Sans"/>
          <w:color w:val="222222"/>
          <w:sz w:val="22"/>
          <w:szCs w:val="22"/>
        </w:rPr>
      </w:pPr>
      <w:r w:rsidRPr="008A56A5">
        <w:rPr>
          <w:rFonts w:eastAsia="Times New Roman" w:cs="Open Sans"/>
          <w:color w:val="222222"/>
          <w:sz w:val="22"/>
          <w:szCs w:val="22"/>
        </w:rPr>
        <w:t xml:space="preserve">15. </w:t>
      </w:r>
      <w:r w:rsidR="006A7A98" w:rsidRPr="008A56A5">
        <w:rPr>
          <w:rFonts w:eastAsia="Times New Roman" w:cs="Open Sans"/>
          <w:color w:val="222222"/>
          <w:sz w:val="22"/>
          <w:szCs w:val="22"/>
        </w:rPr>
        <w:tab/>
      </w:r>
      <w:r w:rsidRPr="008A56A5">
        <w:rPr>
          <w:sz w:val="22"/>
          <w:szCs w:val="22"/>
        </w:rPr>
        <w:t>In</w:t>
      </w:r>
      <w:r w:rsidRPr="008A56A5">
        <w:rPr>
          <w:rFonts w:eastAsia="Times New Roman" w:cs="Open Sans"/>
          <w:color w:val="222222"/>
          <w:sz w:val="22"/>
          <w:szCs w:val="22"/>
        </w:rPr>
        <w:t xml:space="preserve"> 2015, the current citizenship loss provisions were included in the Australian Citizenship Act because of the threat that foreign terrorist fighters presented to Australia and its interests. These provisions have helped protect the Australian community and limit citizenship to those who embrace and uphold Australian values. To date, the provisions have assisted in managing the threat posed by foreign terrorists as far from Australian shores as possible. </w:t>
      </w:r>
    </w:p>
    <w:p w14:paraId="205C1861" w14:textId="079CBD80" w:rsidR="0097513A" w:rsidRPr="008A56A5" w:rsidRDefault="00E065A4" w:rsidP="006A7A98">
      <w:pPr>
        <w:pStyle w:val="ListNumber"/>
        <w:numPr>
          <w:ilvl w:val="0"/>
          <w:numId w:val="0"/>
        </w:numPr>
        <w:tabs>
          <w:tab w:val="left" w:pos="1418"/>
        </w:tabs>
        <w:ind w:left="1876" w:hanging="742"/>
        <w:rPr>
          <w:rFonts w:eastAsia="Times New Roman" w:cs="Open Sans"/>
          <w:color w:val="222222"/>
          <w:sz w:val="22"/>
          <w:szCs w:val="22"/>
        </w:rPr>
      </w:pPr>
      <w:r w:rsidRPr="008A56A5">
        <w:rPr>
          <w:rFonts w:eastAsia="Times New Roman" w:cs="Open Sans"/>
          <w:color w:val="222222"/>
          <w:sz w:val="22"/>
          <w:szCs w:val="22"/>
        </w:rPr>
        <w:t>…</w:t>
      </w:r>
      <w:r w:rsidR="0097513A" w:rsidRPr="008A56A5">
        <w:rPr>
          <w:rFonts w:eastAsia="Times New Roman" w:cs="Open Sans"/>
          <w:color w:val="222222"/>
          <w:sz w:val="22"/>
          <w:szCs w:val="22"/>
        </w:rPr>
        <w:t xml:space="preserve"> </w:t>
      </w:r>
    </w:p>
    <w:p w14:paraId="4A178678" w14:textId="0D43362D" w:rsidR="00DB1568" w:rsidRPr="008A56A5" w:rsidRDefault="0097513A" w:rsidP="006A7A98">
      <w:pPr>
        <w:pStyle w:val="ListNumber"/>
        <w:numPr>
          <w:ilvl w:val="0"/>
          <w:numId w:val="0"/>
        </w:numPr>
        <w:tabs>
          <w:tab w:val="left" w:pos="1418"/>
        </w:tabs>
        <w:ind w:left="1876" w:hanging="742"/>
        <w:rPr>
          <w:rFonts w:eastAsia="Times New Roman" w:cs="Open Sans"/>
          <w:color w:val="222222"/>
          <w:sz w:val="22"/>
          <w:szCs w:val="22"/>
        </w:rPr>
      </w:pPr>
      <w:r w:rsidRPr="008A56A5">
        <w:rPr>
          <w:rFonts w:eastAsia="Times New Roman" w:cs="Open Sans"/>
          <w:color w:val="222222"/>
          <w:sz w:val="22"/>
          <w:szCs w:val="22"/>
        </w:rPr>
        <w:t>18.</w:t>
      </w:r>
      <w:r w:rsidR="006A7A98" w:rsidRPr="008A56A5">
        <w:rPr>
          <w:rFonts w:eastAsia="Times New Roman" w:cs="Open Sans"/>
          <w:color w:val="222222"/>
          <w:sz w:val="22"/>
          <w:szCs w:val="22"/>
        </w:rPr>
        <w:tab/>
      </w:r>
      <w:r w:rsidRPr="008A56A5">
        <w:rPr>
          <w:rFonts w:eastAsia="Times New Roman" w:cs="Open Sans"/>
          <w:color w:val="222222"/>
          <w:sz w:val="22"/>
          <w:szCs w:val="22"/>
        </w:rPr>
        <w:t xml:space="preserve">Cessation of citizenship is a significant consequence that can be applied in circumstances where, a person, through their own conduct, demonstrates a repudiation of their allegiance to Australia. Cessation of a person’s </w:t>
      </w:r>
      <w:r w:rsidRPr="008A56A5">
        <w:rPr>
          <w:sz w:val="22"/>
          <w:szCs w:val="22"/>
        </w:rPr>
        <w:t>formal</w:t>
      </w:r>
      <w:r w:rsidRPr="008A56A5">
        <w:rPr>
          <w:rFonts w:eastAsia="Times New Roman" w:cs="Open Sans"/>
          <w:color w:val="222222"/>
          <w:sz w:val="22"/>
          <w:szCs w:val="22"/>
        </w:rPr>
        <w:t xml:space="preserve"> membership of the Australian community is appropriate to reduce the possibility of a person engaging in acts or further acts that harm the Australian community, and to protect the integrity of the Australian citizenship framework by limiting membership of the community to those who uphold Australian values. </w:t>
      </w:r>
    </w:p>
    <w:p w14:paraId="41A8B96A" w14:textId="23443E2D" w:rsidR="0097513A" w:rsidRPr="008A56A5" w:rsidRDefault="0097513A" w:rsidP="006A7A98">
      <w:pPr>
        <w:pStyle w:val="ListNumber"/>
        <w:numPr>
          <w:ilvl w:val="0"/>
          <w:numId w:val="0"/>
        </w:numPr>
        <w:tabs>
          <w:tab w:val="left" w:pos="1418"/>
        </w:tabs>
        <w:ind w:left="1876" w:hanging="742"/>
        <w:rPr>
          <w:rFonts w:eastAsia="Times New Roman" w:cs="Open Sans"/>
          <w:color w:val="222222"/>
          <w:sz w:val="22"/>
          <w:szCs w:val="22"/>
        </w:rPr>
      </w:pPr>
      <w:r w:rsidRPr="008A56A5">
        <w:rPr>
          <w:rFonts w:eastAsia="Times New Roman" w:cs="Open Sans"/>
          <w:color w:val="222222"/>
          <w:sz w:val="22"/>
          <w:szCs w:val="22"/>
        </w:rPr>
        <w:t xml:space="preserve">19. </w:t>
      </w:r>
      <w:r w:rsidR="006A7A98" w:rsidRPr="008A56A5">
        <w:rPr>
          <w:rFonts w:eastAsia="Times New Roman" w:cs="Open Sans"/>
          <w:color w:val="222222"/>
          <w:sz w:val="22"/>
          <w:szCs w:val="22"/>
        </w:rPr>
        <w:tab/>
      </w:r>
      <w:r w:rsidRPr="008A56A5">
        <w:rPr>
          <w:rFonts w:eastAsia="Times New Roman" w:cs="Open Sans"/>
          <w:color w:val="222222"/>
          <w:sz w:val="22"/>
          <w:szCs w:val="22"/>
        </w:rPr>
        <w:t>The measures may also have a deterrent effect by making persons aware that their Australian citizenship is in jeopardy if they participate in certain conduct contrary to their allegiance to Australia.</w:t>
      </w:r>
    </w:p>
    <w:p w14:paraId="31CD5D5F" w14:textId="4E0D2024" w:rsidR="00CA0060" w:rsidRPr="008A56A5" w:rsidRDefault="00C65C65" w:rsidP="00F23919">
      <w:pPr>
        <w:pStyle w:val="ListNumber"/>
        <w:numPr>
          <w:ilvl w:val="0"/>
          <w:numId w:val="15"/>
        </w:numPr>
        <w:tabs>
          <w:tab w:val="num" w:pos="993"/>
          <w:tab w:val="left" w:pos="1418"/>
        </w:tabs>
        <w:ind w:left="709" w:hanging="567"/>
        <w:rPr>
          <w:rFonts w:eastAsia="Times New Roman" w:cs="Open Sans"/>
          <w:color w:val="222222"/>
        </w:rPr>
      </w:pPr>
      <w:r w:rsidRPr="008A56A5">
        <w:rPr>
          <w:rFonts w:cs="Open Sans"/>
          <w:color w:val="222222"/>
        </w:rPr>
        <w:t>Under current</w:t>
      </w:r>
      <w:r w:rsidR="00CA0060" w:rsidRPr="008A56A5">
        <w:rPr>
          <w:rFonts w:cs="Open Sans"/>
          <w:color w:val="222222"/>
        </w:rPr>
        <w:t xml:space="preserve"> ss 33AA and 35, the Act </w:t>
      </w:r>
      <w:r w:rsidRPr="008A56A5">
        <w:rPr>
          <w:rFonts w:cs="Open Sans"/>
          <w:color w:val="222222"/>
        </w:rPr>
        <w:t xml:space="preserve">presently </w:t>
      </w:r>
      <w:r w:rsidR="00CA0060" w:rsidRPr="008A56A5">
        <w:rPr>
          <w:rFonts w:cs="Open Sans"/>
          <w:color w:val="222222"/>
        </w:rPr>
        <w:t xml:space="preserve">operates to </w:t>
      </w:r>
      <w:r w:rsidR="00C808CF" w:rsidRPr="008A56A5">
        <w:rPr>
          <w:rFonts w:cs="Open Sans"/>
          <w:color w:val="222222"/>
        </w:rPr>
        <w:t xml:space="preserve">automatically </w:t>
      </w:r>
      <w:r w:rsidR="00CA0060" w:rsidRPr="008A56A5">
        <w:rPr>
          <w:rFonts w:cs="Open Sans"/>
          <w:color w:val="222222"/>
        </w:rPr>
        <w:t xml:space="preserve">remove a person’s Australian citizenship if they engage in certain conduct deemed to repudiate their allegiance to Australia. These provisions are self-executing by operation of law, rather than requiring any positive decision by a decision-maker. Pursuant to current s 35A, the Minister can also </w:t>
      </w:r>
      <w:proofErr w:type="gramStart"/>
      <w:r w:rsidR="00CA0060" w:rsidRPr="008A56A5">
        <w:rPr>
          <w:rFonts w:cs="Open Sans"/>
          <w:color w:val="222222"/>
        </w:rPr>
        <w:t>make a determination</w:t>
      </w:r>
      <w:proofErr w:type="gramEnd"/>
      <w:r w:rsidR="00CA0060" w:rsidRPr="008A56A5">
        <w:rPr>
          <w:rFonts w:cs="Open Sans"/>
          <w:color w:val="222222"/>
        </w:rPr>
        <w:t xml:space="preserve"> to remove someone’s citizenship </w:t>
      </w:r>
      <w:r w:rsidR="008E34A5" w:rsidRPr="008A56A5">
        <w:rPr>
          <w:rFonts w:cs="Open Sans"/>
          <w:color w:val="222222"/>
        </w:rPr>
        <w:t>following</w:t>
      </w:r>
      <w:r w:rsidR="00CA0060" w:rsidRPr="008A56A5">
        <w:rPr>
          <w:rFonts w:cs="Open Sans"/>
          <w:color w:val="222222"/>
        </w:rPr>
        <w:t xml:space="preserve"> certain criminal convictions.</w:t>
      </w:r>
    </w:p>
    <w:p w14:paraId="1B9BF2E9" w14:textId="6896E163" w:rsidR="008E34A5" w:rsidRPr="008A56A5" w:rsidRDefault="008E34A5" w:rsidP="00F23919">
      <w:pPr>
        <w:pStyle w:val="ListNumber"/>
        <w:numPr>
          <w:ilvl w:val="0"/>
          <w:numId w:val="15"/>
        </w:numPr>
        <w:tabs>
          <w:tab w:val="num" w:pos="993"/>
          <w:tab w:val="left" w:pos="1418"/>
        </w:tabs>
        <w:ind w:left="709" w:hanging="567"/>
        <w:rPr>
          <w:rFonts w:eastAsia="Times New Roman" w:cs="Open Sans"/>
          <w:color w:val="222222"/>
        </w:rPr>
      </w:pPr>
      <w:r w:rsidRPr="008A56A5">
        <w:rPr>
          <w:rFonts w:cs="Open Sans"/>
          <w:color w:val="222222"/>
        </w:rPr>
        <w:t xml:space="preserve">The Bill would repeal the automatic citizenship </w:t>
      </w:r>
      <w:r w:rsidR="00C808CF" w:rsidRPr="008A56A5">
        <w:rPr>
          <w:rFonts w:cs="Open Sans"/>
          <w:color w:val="222222"/>
        </w:rPr>
        <w:t>loss</w:t>
      </w:r>
      <w:r w:rsidRPr="008A56A5">
        <w:rPr>
          <w:rFonts w:cs="Open Sans"/>
          <w:color w:val="222222"/>
        </w:rPr>
        <w:t xml:space="preserve"> regime in ss 33AA and 35. It would introduce a revised scheme, where Australian citizenship could be removed</w:t>
      </w:r>
      <w:r w:rsidR="00CA0060" w:rsidRPr="008A56A5">
        <w:rPr>
          <w:rFonts w:cs="Open Sans"/>
          <w:color w:val="222222"/>
        </w:rPr>
        <w:t xml:space="preserve"> </w:t>
      </w:r>
      <w:r w:rsidRPr="008A56A5">
        <w:rPr>
          <w:rFonts w:cs="Open Sans"/>
          <w:color w:val="222222"/>
        </w:rPr>
        <w:t>in relation to either engaging in proscribed conduct or committing a certain criminal offence</w:t>
      </w:r>
      <w:r w:rsidR="00AF184E" w:rsidRPr="008A56A5">
        <w:rPr>
          <w:rFonts w:cs="Open Sans"/>
          <w:color w:val="222222"/>
        </w:rPr>
        <w:t xml:space="preserve">, </w:t>
      </w:r>
      <w:r w:rsidRPr="008A56A5">
        <w:rPr>
          <w:rFonts w:cs="Open Sans"/>
          <w:color w:val="222222"/>
        </w:rPr>
        <w:t>by way of a</w:t>
      </w:r>
      <w:r w:rsidR="00AF184E" w:rsidRPr="008A56A5">
        <w:rPr>
          <w:rFonts w:cs="Open Sans"/>
          <w:color w:val="222222"/>
        </w:rPr>
        <w:t xml:space="preserve"> determination </w:t>
      </w:r>
      <w:r w:rsidRPr="008A56A5">
        <w:rPr>
          <w:rFonts w:cs="Open Sans"/>
          <w:color w:val="222222"/>
        </w:rPr>
        <w:t>made by</w:t>
      </w:r>
      <w:r w:rsidR="00AF184E" w:rsidRPr="008A56A5">
        <w:rPr>
          <w:rFonts w:cs="Open Sans"/>
          <w:color w:val="222222"/>
        </w:rPr>
        <w:t xml:space="preserve"> the Minister</w:t>
      </w:r>
      <w:r w:rsidRPr="008A56A5">
        <w:rPr>
          <w:rFonts w:cs="Open Sans"/>
          <w:color w:val="222222"/>
        </w:rPr>
        <w:t xml:space="preserve">. </w:t>
      </w:r>
    </w:p>
    <w:p w14:paraId="2D9AA210" w14:textId="77777777" w:rsidR="00125273" w:rsidRPr="008A56A5" w:rsidRDefault="00401D2C" w:rsidP="00F23919">
      <w:pPr>
        <w:pStyle w:val="ListNumber"/>
        <w:numPr>
          <w:ilvl w:val="0"/>
          <w:numId w:val="15"/>
        </w:numPr>
        <w:tabs>
          <w:tab w:val="num" w:pos="993"/>
          <w:tab w:val="left" w:pos="1418"/>
        </w:tabs>
        <w:ind w:left="709" w:hanging="567"/>
        <w:rPr>
          <w:rFonts w:eastAsia="Times New Roman" w:cs="Open Sans"/>
          <w:color w:val="222222"/>
        </w:rPr>
      </w:pPr>
      <w:r w:rsidRPr="008A56A5">
        <w:rPr>
          <w:rFonts w:cs="Open Sans"/>
          <w:color w:val="222222"/>
        </w:rPr>
        <w:t>In summary, p</w:t>
      </w:r>
      <w:r w:rsidR="00D67612" w:rsidRPr="008A56A5">
        <w:rPr>
          <w:rFonts w:cs="Open Sans"/>
          <w:color w:val="222222"/>
        </w:rPr>
        <w:t xml:space="preserve">roposed new </w:t>
      </w:r>
      <w:r w:rsidR="00105063" w:rsidRPr="008A56A5">
        <w:rPr>
          <w:rFonts w:cs="Open Sans"/>
          <w:color w:val="222222"/>
        </w:rPr>
        <w:t xml:space="preserve">Subdivision C, </w:t>
      </w:r>
      <w:proofErr w:type="gramStart"/>
      <w:r w:rsidR="00105063" w:rsidRPr="008A56A5">
        <w:rPr>
          <w:rFonts w:cs="Open Sans"/>
          <w:color w:val="222222"/>
        </w:rPr>
        <w:t>Part</w:t>
      </w:r>
      <w:proofErr w:type="gramEnd"/>
      <w:r w:rsidR="00105063" w:rsidRPr="008A56A5">
        <w:rPr>
          <w:rFonts w:cs="Open Sans"/>
          <w:color w:val="222222"/>
        </w:rPr>
        <w:t xml:space="preserve"> 1 of the Act</w:t>
      </w:r>
      <w:r w:rsidR="00AF184E" w:rsidRPr="008A56A5">
        <w:rPr>
          <w:rFonts w:cs="Open Sans"/>
          <w:color w:val="222222"/>
        </w:rPr>
        <w:t xml:space="preserve"> </w:t>
      </w:r>
      <w:r w:rsidRPr="008A56A5">
        <w:rPr>
          <w:rFonts w:cs="Open Sans"/>
          <w:color w:val="222222"/>
        </w:rPr>
        <w:t xml:space="preserve">would permit the Minister to </w:t>
      </w:r>
      <w:r w:rsidR="00B55EB4" w:rsidRPr="008A56A5">
        <w:rPr>
          <w:rFonts w:cs="Open Sans"/>
          <w:color w:val="222222"/>
        </w:rPr>
        <w:t>make a</w:t>
      </w:r>
      <w:r w:rsidR="00087BC7" w:rsidRPr="008A56A5">
        <w:rPr>
          <w:rFonts w:cs="Open Sans"/>
          <w:color w:val="222222"/>
        </w:rPr>
        <w:t xml:space="preserve"> </w:t>
      </w:r>
      <w:r w:rsidR="00B55EB4" w:rsidRPr="008A56A5">
        <w:rPr>
          <w:rFonts w:cs="Open Sans"/>
          <w:color w:val="222222"/>
        </w:rPr>
        <w:t xml:space="preserve">determination to remove a person’s Australian citizenship </w:t>
      </w:r>
      <w:r w:rsidR="00125273" w:rsidRPr="008A56A5">
        <w:rPr>
          <w:rFonts w:cs="Open Sans"/>
          <w:color w:val="222222"/>
        </w:rPr>
        <w:t>in two kinds of cases.</w:t>
      </w:r>
    </w:p>
    <w:p w14:paraId="73B48F0A" w14:textId="077CC071" w:rsidR="00B55EB4" w:rsidRPr="008A56A5" w:rsidRDefault="000930E8" w:rsidP="004C0C43">
      <w:pPr>
        <w:pStyle w:val="ListNumber"/>
        <w:numPr>
          <w:ilvl w:val="0"/>
          <w:numId w:val="15"/>
        </w:numPr>
        <w:tabs>
          <w:tab w:val="num" w:pos="993"/>
          <w:tab w:val="left" w:pos="1418"/>
        </w:tabs>
        <w:ind w:left="709" w:hanging="567"/>
        <w:rPr>
          <w:rFonts w:cs="Open Sans"/>
          <w:color w:val="222222"/>
        </w:rPr>
      </w:pPr>
      <w:r w:rsidRPr="008A56A5">
        <w:rPr>
          <w:rFonts w:cs="Open Sans"/>
          <w:color w:val="222222"/>
        </w:rPr>
        <w:t xml:space="preserve">The </w:t>
      </w:r>
      <w:r w:rsidRPr="008A56A5">
        <w:rPr>
          <w:rFonts w:cs="Open Sans"/>
          <w:b/>
          <w:bCs/>
          <w:color w:val="222222"/>
        </w:rPr>
        <w:t>first</w:t>
      </w:r>
      <w:r w:rsidRPr="008A56A5">
        <w:rPr>
          <w:rFonts w:cs="Open Sans"/>
          <w:color w:val="222222"/>
        </w:rPr>
        <w:t xml:space="preserve"> kind of case applies only to people </w:t>
      </w:r>
      <w:r w:rsidR="004C5204" w:rsidRPr="008A56A5">
        <w:rPr>
          <w:rFonts w:cs="Open Sans"/>
          <w:color w:val="222222"/>
        </w:rPr>
        <w:t xml:space="preserve">aged </w:t>
      </w:r>
      <w:r w:rsidRPr="008A56A5">
        <w:rPr>
          <w:rFonts w:cs="Open Sans"/>
          <w:color w:val="222222"/>
        </w:rPr>
        <w:t>14 years of age</w:t>
      </w:r>
      <w:r w:rsidR="000B3A31" w:rsidRPr="008A56A5">
        <w:rPr>
          <w:rFonts w:cs="Open Sans"/>
          <w:color w:val="222222"/>
        </w:rPr>
        <w:t xml:space="preserve"> </w:t>
      </w:r>
      <w:r w:rsidR="004C5204" w:rsidRPr="008A56A5">
        <w:rPr>
          <w:rFonts w:cs="Open Sans"/>
          <w:color w:val="222222"/>
        </w:rPr>
        <w:t>or older</w:t>
      </w:r>
      <w:r w:rsidR="009B78EB" w:rsidRPr="008A56A5">
        <w:rPr>
          <w:rFonts w:cs="Open Sans"/>
          <w:color w:val="222222"/>
        </w:rPr>
        <w:t xml:space="preserve"> </w:t>
      </w:r>
      <w:r w:rsidR="00BC4C9D" w:rsidRPr="008A56A5">
        <w:rPr>
          <w:rFonts w:cs="Open Sans"/>
          <w:color w:val="222222"/>
        </w:rPr>
        <w:t xml:space="preserve">where the Minister is satisfied that they have </w:t>
      </w:r>
      <w:r w:rsidR="009B78EB" w:rsidRPr="008A56A5">
        <w:rPr>
          <w:rFonts w:cs="Open Sans"/>
          <w:color w:val="222222"/>
        </w:rPr>
        <w:t>engaged in terrorism</w:t>
      </w:r>
      <w:r w:rsidR="00DB3950" w:rsidRPr="008A56A5">
        <w:rPr>
          <w:rFonts w:cs="Open Sans"/>
          <w:color w:val="222222"/>
        </w:rPr>
        <w:t>-</w:t>
      </w:r>
      <w:r w:rsidR="009B78EB" w:rsidRPr="008A56A5">
        <w:rPr>
          <w:rFonts w:cs="Open Sans"/>
          <w:color w:val="222222"/>
        </w:rPr>
        <w:t xml:space="preserve">related conduct but </w:t>
      </w:r>
      <w:r w:rsidR="00BC4C9D" w:rsidRPr="008A56A5">
        <w:rPr>
          <w:rFonts w:cs="Open Sans"/>
          <w:color w:val="222222"/>
        </w:rPr>
        <w:t xml:space="preserve">where they have </w:t>
      </w:r>
      <w:r w:rsidR="009B78EB" w:rsidRPr="008A56A5">
        <w:rPr>
          <w:rFonts w:cs="Open Sans"/>
          <w:color w:val="222222"/>
        </w:rPr>
        <w:t>not been tried or convicted for that conduct</w:t>
      </w:r>
      <w:r w:rsidR="00E37AD3" w:rsidRPr="008A56A5">
        <w:rPr>
          <w:rFonts w:cs="Open Sans"/>
          <w:color w:val="222222"/>
        </w:rPr>
        <w:t>.</w:t>
      </w:r>
      <w:r w:rsidR="004C0C43" w:rsidRPr="008A56A5">
        <w:rPr>
          <w:rFonts w:cs="Open Sans"/>
          <w:color w:val="222222"/>
        </w:rPr>
        <w:t xml:space="preserve"> </w:t>
      </w:r>
      <w:r w:rsidR="00A87C11" w:rsidRPr="008A56A5">
        <w:rPr>
          <w:rFonts w:cs="Open Sans"/>
          <w:color w:val="222222"/>
        </w:rPr>
        <w:t>T</w:t>
      </w:r>
      <w:r w:rsidR="00F71E23" w:rsidRPr="008A56A5">
        <w:rPr>
          <w:rFonts w:cs="Open Sans"/>
          <w:color w:val="222222"/>
        </w:rPr>
        <w:t xml:space="preserve">he Minister </w:t>
      </w:r>
      <w:r w:rsidR="00A87C11" w:rsidRPr="008A56A5">
        <w:rPr>
          <w:rFonts w:cs="Open Sans"/>
          <w:color w:val="222222"/>
        </w:rPr>
        <w:t xml:space="preserve">must be </w:t>
      </w:r>
      <w:r w:rsidR="00F71E23" w:rsidRPr="008A56A5">
        <w:rPr>
          <w:rFonts w:cs="Open Sans"/>
          <w:color w:val="222222"/>
        </w:rPr>
        <w:t xml:space="preserve">satisfied that </w:t>
      </w:r>
      <w:r w:rsidR="0029486E" w:rsidRPr="008A56A5">
        <w:rPr>
          <w:rFonts w:cs="Open Sans"/>
          <w:color w:val="222222"/>
        </w:rPr>
        <w:t xml:space="preserve">the </w:t>
      </w:r>
      <w:r w:rsidR="00F71E23" w:rsidRPr="008A56A5">
        <w:rPr>
          <w:rFonts w:cs="Open Sans"/>
          <w:color w:val="222222"/>
        </w:rPr>
        <w:t xml:space="preserve">person </w:t>
      </w:r>
      <w:r w:rsidR="00B55EB4" w:rsidRPr="008A56A5">
        <w:rPr>
          <w:rFonts w:cs="Open Sans"/>
          <w:color w:val="222222"/>
        </w:rPr>
        <w:t xml:space="preserve">has engaged in </w:t>
      </w:r>
      <w:r w:rsidR="000C1B64" w:rsidRPr="008A56A5">
        <w:rPr>
          <w:rFonts w:cs="Open Sans"/>
          <w:color w:val="222222"/>
        </w:rPr>
        <w:t xml:space="preserve">the </w:t>
      </w:r>
      <w:r w:rsidR="00B55EB4" w:rsidRPr="008A56A5">
        <w:rPr>
          <w:rFonts w:cs="Open Sans"/>
          <w:color w:val="222222"/>
        </w:rPr>
        <w:t xml:space="preserve">specified conduct </w:t>
      </w:r>
      <w:r w:rsidR="00E37AD4" w:rsidRPr="008A56A5">
        <w:rPr>
          <w:rFonts w:cs="Open Sans"/>
          <w:color w:val="222222"/>
        </w:rPr>
        <w:t xml:space="preserve">while outside Australia </w:t>
      </w:r>
      <w:r w:rsidR="00A94C98" w:rsidRPr="008A56A5">
        <w:rPr>
          <w:rFonts w:cs="Open Sans"/>
          <w:color w:val="222222"/>
        </w:rPr>
        <w:t>(including fighting for or being</w:t>
      </w:r>
      <w:r w:rsidR="003A6836" w:rsidRPr="008A56A5">
        <w:rPr>
          <w:rFonts w:cs="Open Sans"/>
          <w:color w:val="222222"/>
        </w:rPr>
        <w:t xml:space="preserve"> </w:t>
      </w:r>
      <w:r w:rsidR="00A94C98" w:rsidRPr="008A56A5">
        <w:rPr>
          <w:rFonts w:cs="Open Sans"/>
          <w:color w:val="222222"/>
        </w:rPr>
        <w:t>in the service of a declared terrorist organisation)</w:t>
      </w:r>
      <w:r w:rsidR="008D0C15" w:rsidRPr="008A56A5">
        <w:rPr>
          <w:rFonts w:cs="Open Sans"/>
          <w:color w:val="222222"/>
        </w:rPr>
        <w:t xml:space="preserve">, or has engaged in that conduct while in Australia and </w:t>
      </w:r>
      <w:r w:rsidR="00B55EB4" w:rsidRPr="008A56A5">
        <w:rPr>
          <w:rFonts w:cs="Open Sans"/>
          <w:color w:val="222222"/>
        </w:rPr>
        <w:t xml:space="preserve">has since left Australia and not been tried for an offence in relation to the conduct </w:t>
      </w:r>
      <w:r w:rsidR="00A8697F" w:rsidRPr="008A56A5">
        <w:rPr>
          <w:rFonts w:cs="Open Sans"/>
          <w:color w:val="222222"/>
        </w:rPr>
        <w:t>(</w:t>
      </w:r>
      <w:r w:rsidR="00C61027" w:rsidRPr="008A56A5">
        <w:rPr>
          <w:rFonts w:cs="Open Sans"/>
          <w:color w:val="222222"/>
        </w:rPr>
        <w:t xml:space="preserve">proposed </w:t>
      </w:r>
      <w:r w:rsidR="00A8697F" w:rsidRPr="008A56A5">
        <w:rPr>
          <w:rFonts w:cs="Open Sans"/>
          <w:color w:val="222222"/>
        </w:rPr>
        <w:t>s</w:t>
      </w:r>
      <w:r w:rsidR="00E37AD4" w:rsidRPr="008A56A5">
        <w:rPr>
          <w:rFonts w:cs="Open Sans"/>
          <w:color w:val="222222"/>
        </w:rPr>
        <w:t> </w:t>
      </w:r>
      <w:r w:rsidR="00A8697F" w:rsidRPr="008A56A5">
        <w:rPr>
          <w:rFonts w:cs="Open Sans"/>
          <w:color w:val="222222"/>
        </w:rPr>
        <w:t>36B)</w:t>
      </w:r>
      <w:r w:rsidR="00AA2C23" w:rsidRPr="008A56A5">
        <w:rPr>
          <w:rFonts w:cs="Open Sans"/>
          <w:color w:val="222222"/>
        </w:rPr>
        <w:t>.</w:t>
      </w:r>
    </w:p>
    <w:p w14:paraId="7B2BA3A3" w14:textId="6444E5A1" w:rsidR="00C533D7" w:rsidRPr="008A56A5" w:rsidRDefault="00AA2C23" w:rsidP="00AA2C23">
      <w:pPr>
        <w:pStyle w:val="ListNumber"/>
        <w:numPr>
          <w:ilvl w:val="0"/>
          <w:numId w:val="15"/>
        </w:numPr>
        <w:tabs>
          <w:tab w:val="num" w:pos="993"/>
          <w:tab w:val="left" w:pos="1418"/>
        </w:tabs>
        <w:ind w:left="709" w:hanging="567"/>
        <w:rPr>
          <w:rFonts w:cs="Open Sans"/>
          <w:color w:val="222222"/>
        </w:rPr>
      </w:pPr>
      <w:r w:rsidRPr="008A56A5">
        <w:rPr>
          <w:rFonts w:cs="Open Sans"/>
          <w:color w:val="222222"/>
        </w:rPr>
        <w:t xml:space="preserve">The </w:t>
      </w:r>
      <w:r w:rsidRPr="008A56A5">
        <w:rPr>
          <w:rFonts w:cs="Open Sans"/>
          <w:b/>
          <w:bCs/>
          <w:color w:val="222222"/>
        </w:rPr>
        <w:t>second</w:t>
      </w:r>
      <w:r w:rsidRPr="008A56A5">
        <w:rPr>
          <w:rFonts w:cs="Open Sans"/>
          <w:color w:val="222222"/>
        </w:rPr>
        <w:t xml:space="preserve"> kind of case applies to </w:t>
      </w:r>
      <w:r w:rsidR="00F71E23" w:rsidRPr="008A56A5">
        <w:rPr>
          <w:rFonts w:cs="Open Sans"/>
          <w:color w:val="222222"/>
        </w:rPr>
        <w:t>a</w:t>
      </w:r>
      <w:r w:rsidR="00DE336E" w:rsidRPr="008A56A5">
        <w:rPr>
          <w:rFonts w:cs="Open Sans"/>
          <w:color w:val="222222"/>
        </w:rPr>
        <w:t>ny</w:t>
      </w:r>
      <w:r w:rsidR="00F71E23" w:rsidRPr="008A56A5">
        <w:rPr>
          <w:rFonts w:cs="Open Sans"/>
          <w:color w:val="222222"/>
        </w:rPr>
        <w:t xml:space="preserve"> person </w:t>
      </w:r>
      <w:r w:rsidR="00DE336E" w:rsidRPr="008A56A5">
        <w:rPr>
          <w:rFonts w:cs="Open Sans"/>
          <w:color w:val="222222"/>
        </w:rPr>
        <w:t xml:space="preserve">above the age of criminal responsibility (currently </w:t>
      </w:r>
      <w:r w:rsidR="004C0C43" w:rsidRPr="008A56A5">
        <w:rPr>
          <w:rFonts w:cs="Open Sans"/>
          <w:color w:val="222222"/>
        </w:rPr>
        <w:t>ten</w:t>
      </w:r>
      <w:r w:rsidR="00DE336E" w:rsidRPr="008A56A5">
        <w:rPr>
          <w:rFonts w:cs="Open Sans"/>
          <w:color w:val="222222"/>
        </w:rPr>
        <w:t xml:space="preserve"> years of age) who </w:t>
      </w:r>
      <w:r w:rsidR="00C533D7" w:rsidRPr="008A56A5">
        <w:rPr>
          <w:rFonts w:cs="Open Sans"/>
          <w:color w:val="222222"/>
        </w:rPr>
        <w:t>has been convicted o</w:t>
      </w:r>
      <w:r w:rsidR="00F120A5" w:rsidRPr="008A56A5">
        <w:rPr>
          <w:rFonts w:cs="Open Sans"/>
          <w:color w:val="222222"/>
        </w:rPr>
        <w:t>f</w:t>
      </w:r>
      <w:r w:rsidR="00C533D7" w:rsidRPr="008A56A5">
        <w:rPr>
          <w:rFonts w:cs="Open Sans"/>
          <w:color w:val="222222"/>
        </w:rPr>
        <w:t xml:space="preserve"> </w:t>
      </w:r>
      <w:r w:rsidR="00FF563E" w:rsidRPr="008A56A5">
        <w:rPr>
          <w:rFonts w:cs="Open Sans"/>
          <w:color w:val="222222"/>
        </w:rPr>
        <w:t xml:space="preserve">one or more </w:t>
      </w:r>
      <w:r w:rsidR="00C533D7" w:rsidRPr="008A56A5">
        <w:rPr>
          <w:rFonts w:cs="Open Sans"/>
          <w:color w:val="222222"/>
        </w:rPr>
        <w:t xml:space="preserve">specified terrorism-related offences and </w:t>
      </w:r>
      <w:r w:rsidR="00F120A5" w:rsidRPr="008A56A5">
        <w:rPr>
          <w:rFonts w:cs="Open Sans"/>
          <w:color w:val="222222"/>
        </w:rPr>
        <w:t xml:space="preserve">has been </w:t>
      </w:r>
      <w:r w:rsidR="00C533D7" w:rsidRPr="008A56A5">
        <w:rPr>
          <w:rFonts w:cs="Open Sans"/>
          <w:color w:val="222222"/>
        </w:rPr>
        <w:t>sentenced to a period of imprisonment of at least three years (or periods that total at least three years)</w:t>
      </w:r>
      <w:r w:rsidR="00935477" w:rsidRPr="008A56A5">
        <w:rPr>
          <w:rFonts w:cs="Open Sans"/>
          <w:color w:val="222222"/>
        </w:rPr>
        <w:t xml:space="preserve"> (</w:t>
      </w:r>
      <w:r w:rsidR="00C61027" w:rsidRPr="008A56A5">
        <w:rPr>
          <w:rFonts w:cs="Open Sans"/>
          <w:color w:val="222222"/>
        </w:rPr>
        <w:t xml:space="preserve">proposed </w:t>
      </w:r>
      <w:r w:rsidR="00935477" w:rsidRPr="008A56A5">
        <w:rPr>
          <w:rFonts w:cs="Open Sans"/>
          <w:color w:val="222222"/>
        </w:rPr>
        <w:t>s</w:t>
      </w:r>
      <w:r w:rsidR="00F71E23" w:rsidRPr="008A56A5">
        <w:rPr>
          <w:rFonts w:cs="Open Sans"/>
          <w:color w:val="222222"/>
        </w:rPr>
        <w:t> </w:t>
      </w:r>
      <w:r w:rsidR="00935477" w:rsidRPr="008A56A5">
        <w:rPr>
          <w:rFonts w:cs="Open Sans"/>
          <w:color w:val="222222"/>
        </w:rPr>
        <w:t>36D)</w:t>
      </w:r>
      <w:r w:rsidR="00DB4CAD" w:rsidRPr="008A56A5">
        <w:rPr>
          <w:rFonts w:cs="Open Sans"/>
          <w:color w:val="222222"/>
        </w:rPr>
        <w:t>.</w:t>
      </w:r>
    </w:p>
    <w:p w14:paraId="45F9C12B" w14:textId="288C1C6F" w:rsidR="00DB4CAD" w:rsidRPr="008A56A5" w:rsidRDefault="00DB4CAD" w:rsidP="004C0C43">
      <w:pPr>
        <w:pStyle w:val="ListNumber"/>
        <w:numPr>
          <w:ilvl w:val="0"/>
          <w:numId w:val="15"/>
        </w:numPr>
        <w:tabs>
          <w:tab w:val="num" w:pos="993"/>
          <w:tab w:val="left" w:pos="1418"/>
        </w:tabs>
        <w:ind w:left="709" w:hanging="567"/>
        <w:rPr>
          <w:rFonts w:cs="Open Sans"/>
          <w:color w:val="222222"/>
        </w:rPr>
      </w:pPr>
      <w:r w:rsidRPr="008A56A5">
        <w:rPr>
          <w:rFonts w:cs="Open Sans"/>
          <w:color w:val="222222"/>
        </w:rPr>
        <w:t xml:space="preserve">In either case, </w:t>
      </w:r>
      <w:r w:rsidR="003133BE" w:rsidRPr="008A56A5">
        <w:rPr>
          <w:rFonts w:cs="Open Sans"/>
          <w:color w:val="222222"/>
        </w:rPr>
        <w:t>the Minister must also be satisfied of all of the following things:</w:t>
      </w:r>
    </w:p>
    <w:p w14:paraId="3FC6FD7B" w14:textId="5B180BA4" w:rsidR="00B55EB4" w:rsidRPr="008A56A5" w:rsidRDefault="00935477" w:rsidP="0077036A">
      <w:pPr>
        <w:pStyle w:val="ListNumber"/>
        <w:numPr>
          <w:ilvl w:val="1"/>
          <w:numId w:val="15"/>
        </w:numPr>
        <w:tabs>
          <w:tab w:val="left" w:pos="1418"/>
        </w:tabs>
        <w:rPr>
          <w:rFonts w:eastAsia="Times New Roman" w:cs="Open Sans"/>
          <w:color w:val="222222"/>
        </w:rPr>
      </w:pPr>
      <w:r w:rsidRPr="008A56A5">
        <w:rPr>
          <w:rFonts w:eastAsia="Times New Roman" w:cs="Open Sans"/>
          <w:color w:val="222222"/>
        </w:rPr>
        <w:t xml:space="preserve">that </w:t>
      </w:r>
      <w:r w:rsidR="003133BE" w:rsidRPr="008A56A5">
        <w:rPr>
          <w:rFonts w:eastAsia="Times New Roman" w:cs="Open Sans"/>
          <w:color w:val="222222"/>
        </w:rPr>
        <w:t xml:space="preserve">the person’s </w:t>
      </w:r>
      <w:r w:rsidR="00B55EB4" w:rsidRPr="008A56A5">
        <w:rPr>
          <w:rFonts w:eastAsia="Times New Roman" w:cs="Open Sans"/>
          <w:color w:val="222222"/>
        </w:rPr>
        <w:t xml:space="preserve">conduct </w:t>
      </w:r>
      <w:r w:rsidR="00C533D7" w:rsidRPr="008A56A5">
        <w:rPr>
          <w:rFonts w:eastAsia="Times New Roman" w:cs="Open Sans"/>
          <w:color w:val="222222"/>
        </w:rPr>
        <w:t xml:space="preserve">or conviction </w:t>
      </w:r>
      <w:r w:rsidR="00B55EB4" w:rsidRPr="008A56A5">
        <w:rPr>
          <w:rFonts w:eastAsia="Times New Roman" w:cs="Open Sans"/>
          <w:color w:val="222222"/>
        </w:rPr>
        <w:t>demonstrates that the person has repudiated their allegiance to Australia</w:t>
      </w:r>
    </w:p>
    <w:p w14:paraId="6B844BB9" w14:textId="448387FE" w:rsidR="00B55EB4" w:rsidRPr="008A56A5" w:rsidRDefault="00087BC7" w:rsidP="0077036A">
      <w:pPr>
        <w:pStyle w:val="ListNumber"/>
        <w:numPr>
          <w:ilvl w:val="1"/>
          <w:numId w:val="15"/>
        </w:numPr>
        <w:tabs>
          <w:tab w:val="left" w:pos="1418"/>
        </w:tabs>
        <w:rPr>
          <w:rFonts w:eastAsia="Times New Roman" w:cs="Open Sans"/>
          <w:color w:val="222222"/>
        </w:rPr>
      </w:pPr>
      <w:r w:rsidRPr="008A56A5">
        <w:rPr>
          <w:rFonts w:eastAsia="Times New Roman" w:cs="Open Sans"/>
          <w:color w:val="222222"/>
        </w:rPr>
        <w:t xml:space="preserve">that </w:t>
      </w:r>
      <w:r w:rsidR="00B55EB4" w:rsidRPr="008A56A5">
        <w:rPr>
          <w:rFonts w:eastAsia="Times New Roman" w:cs="Open Sans"/>
          <w:color w:val="222222"/>
        </w:rPr>
        <w:t xml:space="preserve">it would be contrary to the public interest for the person to remain an Australian citizen, with mandatory factors for consideration set out in </w:t>
      </w:r>
      <w:r w:rsidR="007A5D34" w:rsidRPr="008A56A5">
        <w:rPr>
          <w:rFonts w:eastAsia="Times New Roman" w:cs="Open Sans"/>
          <w:color w:val="222222"/>
        </w:rPr>
        <w:t xml:space="preserve">proposed </w:t>
      </w:r>
      <w:r w:rsidR="00B55EB4" w:rsidRPr="008A56A5">
        <w:rPr>
          <w:rFonts w:eastAsia="Times New Roman" w:cs="Open Sans"/>
          <w:color w:val="222222"/>
        </w:rPr>
        <w:t>s 36E</w:t>
      </w:r>
    </w:p>
    <w:p w14:paraId="0477CA41" w14:textId="0504E6F4" w:rsidR="00A8697F" w:rsidRPr="008A56A5" w:rsidRDefault="00A8697F" w:rsidP="0077036A">
      <w:pPr>
        <w:pStyle w:val="ListNumber"/>
        <w:numPr>
          <w:ilvl w:val="1"/>
          <w:numId w:val="15"/>
        </w:numPr>
        <w:tabs>
          <w:tab w:val="left" w:pos="1418"/>
        </w:tabs>
        <w:rPr>
          <w:rFonts w:eastAsia="Times New Roman" w:cs="Open Sans"/>
          <w:color w:val="222222"/>
        </w:rPr>
      </w:pPr>
      <w:r w:rsidRPr="008A56A5">
        <w:rPr>
          <w:rFonts w:eastAsia="Times New Roman" w:cs="Open Sans"/>
          <w:color w:val="222222"/>
        </w:rPr>
        <w:t xml:space="preserve">that the person would, if the Minister were to make the determination, </w:t>
      </w:r>
      <w:r w:rsidR="00A94C98" w:rsidRPr="008A56A5">
        <w:rPr>
          <w:rFonts w:eastAsia="Times New Roman" w:cs="Open Sans"/>
          <w:color w:val="222222"/>
        </w:rPr>
        <w:t xml:space="preserve">not </w:t>
      </w:r>
      <w:r w:rsidRPr="008A56A5">
        <w:rPr>
          <w:rFonts w:eastAsia="Times New Roman" w:cs="Open Sans"/>
          <w:color w:val="222222"/>
        </w:rPr>
        <w:t>become a person who is not a national or citizen of any country</w:t>
      </w:r>
      <w:r w:rsidR="00A94C98" w:rsidRPr="008A56A5">
        <w:rPr>
          <w:rFonts w:eastAsia="Times New Roman" w:cs="Open Sans"/>
          <w:color w:val="222222"/>
        </w:rPr>
        <w:t>.</w:t>
      </w:r>
      <w:r w:rsidRPr="008A56A5">
        <w:rPr>
          <w:rFonts w:eastAsia="Times New Roman" w:cs="Open Sans"/>
          <w:color w:val="222222"/>
        </w:rPr>
        <w:t xml:space="preserve"> </w:t>
      </w:r>
    </w:p>
    <w:p w14:paraId="2D7DF3CB" w14:textId="2BD0BEEA" w:rsidR="00B077DE" w:rsidRPr="008A56A5" w:rsidRDefault="009C4CBC" w:rsidP="0077036A">
      <w:pPr>
        <w:pStyle w:val="ListNumber"/>
        <w:numPr>
          <w:ilvl w:val="0"/>
          <w:numId w:val="15"/>
        </w:numPr>
        <w:tabs>
          <w:tab w:val="num" w:pos="993"/>
          <w:tab w:val="left" w:pos="1418"/>
        </w:tabs>
        <w:ind w:left="709" w:hanging="567"/>
        <w:rPr>
          <w:rFonts w:eastAsia="Times New Roman" w:cs="Open Sans"/>
          <w:color w:val="222222"/>
        </w:rPr>
      </w:pPr>
      <w:r w:rsidRPr="008A56A5">
        <w:rPr>
          <w:rFonts w:eastAsia="Times New Roman" w:cs="Open Sans"/>
          <w:color w:val="222222"/>
        </w:rPr>
        <w:t>The Bill amends the current regime in numerous ways, most notably:</w:t>
      </w:r>
    </w:p>
    <w:p w14:paraId="01FA82F5" w14:textId="47DEEE80" w:rsidR="0063545D" w:rsidRPr="008A56A5" w:rsidRDefault="0063545D" w:rsidP="0077036A">
      <w:pPr>
        <w:pStyle w:val="ListNumber"/>
        <w:numPr>
          <w:ilvl w:val="1"/>
          <w:numId w:val="15"/>
        </w:numPr>
        <w:tabs>
          <w:tab w:val="left" w:pos="1418"/>
        </w:tabs>
        <w:rPr>
          <w:rFonts w:eastAsia="Times New Roman" w:cs="Open Sans"/>
          <w:color w:val="222222"/>
        </w:rPr>
      </w:pPr>
      <w:r w:rsidRPr="008A56A5">
        <w:rPr>
          <w:rFonts w:eastAsia="Times New Roman" w:cs="Open Sans"/>
          <w:color w:val="222222"/>
        </w:rPr>
        <w:t>repeal of the self-executing provisions that operate to automatically remove a person’s citizenship</w:t>
      </w:r>
      <w:r w:rsidR="00A42B94" w:rsidRPr="008A56A5">
        <w:rPr>
          <w:rFonts w:eastAsia="Times New Roman" w:cs="Open Sans"/>
          <w:color w:val="222222"/>
        </w:rPr>
        <w:t>, and applying a Ministerial decision-making model</w:t>
      </w:r>
      <w:r w:rsidR="005154B5" w:rsidRPr="008A56A5">
        <w:rPr>
          <w:rFonts w:eastAsia="Times New Roman" w:cs="Open Sans"/>
          <w:color w:val="222222"/>
        </w:rPr>
        <w:t xml:space="preserve"> instead</w:t>
      </w:r>
    </w:p>
    <w:p w14:paraId="5829C597" w14:textId="677287A0" w:rsidR="0063545D" w:rsidRPr="008A56A5" w:rsidRDefault="0063545D" w:rsidP="0077036A">
      <w:pPr>
        <w:pStyle w:val="ListNumber"/>
        <w:numPr>
          <w:ilvl w:val="1"/>
          <w:numId w:val="15"/>
        </w:numPr>
        <w:tabs>
          <w:tab w:val="left" w:pos="1418"/>
        </w:tabs>
        <w:rPr>
          <w:rFonts w:eastAsia="Times New Roman" w:cs="Open Sans"/>
          <w:color w:val="222222"/>
        </w:rPr>
      </w:pPr>
      <w:r w:rsidRPr="008A56A5">
        <w:rPr>
          <w:rFonts w:eastAsia="Times New Roman" w:cs="Open Sans"/>
          <w:color w:val="222222"/>
        </w:rPr>
        <w:t>reducing the minimum sentencing threshold for a relevant conviction from six years to three years</w:t>
      </w:r>
    </w:p>
    <w:p w14:paraId="0238EE01" w14:textId="2DEC5A00" w:rsidR="009C4CBC" w:rsidRPr="008A56A5" w:rsidRDefault="00340F66" w:rsidP="0077036A">
      <w:pPr>
        <w:pStyle w:val="ListNumber"/>
        <w:numPr>
          <w:ilvl w:val="1"/>
          <w:numId w:val="15"/>
        </w:numPr>
        <w:tabs>
          <w:tab w:val="left" w:pos="1418"/>
        </w:tabs>
        <w:rPr>
          <w:rFonts w:eastAsia="Times New Roman" w:cs="Open Sans"/>
          <w:color w:val="222222"/>
        </w:rPr>
      </w:pPr>
      <w:r w:rsidRPr="008A56A5">
        <w:rPr>
          <w:rFonts w:eastAsia="Times New Roman" w:cs="Open Sans"/>
          <w:color w:val="222222"/>
        </w:rPr>
        <w:t>allowing</w:t>
      </w:r>
      <w:r w:rsidR="0063545D" w:rsidRPr="008A56A5">
        <w:rPr>
          <w:rFonts w:eastAsia="Times New Roman" w:cs="Open Sans"/>
          <w:color w:val="222222"/>
        </w:rPr>
        <w:t xml:space="preserve"> an individual subject to a citizenship loss determination </w:t>
      </w:r>
      <w:r w:rsidR="00D965B0" w:rsidRPr="008A56A5">
        <w:rPr>
          <w:rFonts w:eastAsia="Times New Roman" w:cs="Open Sans"/>
          <w:color w:val="222222"/>
        </w:rPr>
        <w:t xml:space="preserve">to apply to the Minister to have the determination </w:t>
      </w:r>
      <w:r w:rsidRPr="008A56A5">
        <w:rPr>
          <w:rFonts w:eastAsia="Times New Roman" w:cs="Open Sans"/>
          <w:color w:val="222222"/>
        </w:rPr>
        <w:t>revoked</w:t>
      </w:r>
      <w:r w:rsidR="00D965B0" w:rsidRPr="008A56A5">
        <w:rPr>
          <w:rFonts w:eastAsia="Times New Roman" w:cs="Open Sans"/>
          <w:color w:val="222222"/>
        </w:rPr>
        <w:t xml:space="preserve">, and </w:t>
      </w:r>
      <w:r w:rsidRPr="008A56A5">
        <w:rPr>
          <w:rFonts w:eastAsia="Times New Roman" w:cs="Open Sans"/>
          <w:color w:val="222222"/>
        </w:rPr>
        <w:t>allowing the Minister to make a revocation at his or her own initiative</w:t>
      </w:r>
    </w:p>
    <w:p w14:paraId="5F457CB4" w14:textId="3D6015B5" w:rsidR="00340F66" w:rsidRPr="008A56A5" w:rsidRDefault="00C636D4" w:rsidP="0077036A">
      <w:pPr>
        <w:pStyle w:val="ListNumber"/>
        <w:numPr>
          <w:ilvl w:val="1"/>
          <w:numId w:val="15"/>
        </w:numPr>
        <w:tabs>
          <w:tab w:val="left" w:pos="1418"/>
        </w:tabs>
        <w:rPr>
          <w:rFonts w:eastAsia="Times New Roman" w:cs="Open Sans"/>
          <w:color w:val="222222"/>
        </w:rPr>
      </w:pPr>
      <w:r w:rsidRPr="008A56A5">
        <w:rPr>
          <w:rFonts w:eastAsia="Times New Roman" w:cs="Open Sans"/>
          <w:color w:val="222222"/>
        </w:rPr>
        <w:t>extending</w:t>
      </w:r>
      <w:r w:rsidR="00E464AA" w:rsidRPr="008A56A5">
        <w:rPr>
          <w:rFonts w:eastAsia="Times New Roman" w:cs="Open Sans"/>
          <w:color w:val="222222"/>
        </w:rPr>
        <w:t xml:space="preserve"> retrospectively</w:t>
      </w:r>
      <w:r w:rsidRPr="008A56A5">
        <w:rPr>
          <w:rFonts w:eastAsia="Times New Roman" w:cs="Open Sans"/>
          <w:color w:val="222222"/>
        </w:rPr>
        <w:t xml:space="preserve"> the time period in which </w:t>
      </w:r>
      <w:r w:rsidR="002F5AE6" w:rsidRPr="008A56A5">
        <w:rPr>
          <w:rFonts w:eastAsia="Times New Roman" w:cs="Open Sans"/>
          <w:color w:val="222222"/>
        </w:rPr>
        <w:t xml:space="preserve">relevant conduct </w:t>
      </w:r>
      <w:r w:rsidR="00D01821" w:rsidRPr="008A56A5">
        <w:rPr>
          <w:rFonts w:eastAsia="Times New Roman" w:cs="Open Sans"/>
          <w:color w:val="222222"/>
        </w:rPr>
        <w:t xml:space="preserve">or convictions </w:t>
      </w:r>
      <w:r w:rsidR="002F5AE6" w:rsidRPr="008A56A5">
        <w:rPr>
          <w:rFonts w:eastAsia="Times New Roman" w:cs="Open Sans"/>
          <w:color w:val="222222"/>
        </w:rPr>
        <w:t xml:space="preserve">can be </w:t>
      </w:r>
      <w:proofErr w:type="gramStart"/>
      <w:r w:rsidR="002F5AE6" w:rsidRPr="008A56A5">
        <w:rPr>
          <w:rFonts w:eastAsia="Times New Roman" w:cs="Open Sans"/>
          <w:color w:val="222222"/>
        </w:rPr>
        <w:t>taken into account</w:t>
      </w:r>
      <w:proofErr w:type="gramEnd"/>
      <w:r w:rsidR="002F5AE6" w:rsidRPr="008A56A5">
        <w:rPr>
          <w:rFonts w:eastAsia="Times New Roman" w:cs="Open Sans"/>
          <w:color w:val="222222"/>
        </w:rPr>
        <w:t xml:space="preserve"> in determining whether a person </w:t>
      </w:r>
      <w:r w:rsidRPr="008A56A5">
        <w:rPr>
          <w:rFonts w:eastAsia="Times New Roman" w:cs="Open Sans"/>
          <w:color w:val="222222"/>
        </w:rPr>
        <w:t>may lose their citizenship</w:t>
      </w:r>
      <w:r w:rsidR="000C513A" w:rsidRPr="008A56A5">
        <w:rPr>
          <w:rFonts w:eastAsia="Times New Roman" w:cs="Open Sans"/>
          <w:color w:val="222222"/>
        </w:rPr>
        <w:t>.</w:t>
      </w:r>
    </w:p>
    <w:p w14:paraId="571C52BE" w14:textId="00241CDA" w:rsidR="00AF184E" w:rsidRPr="008A56A5" w:rsidRDefault="00AF184E" w:rsidP="00AF184E">
      <w:pPr>
        <w:pStyle w:val="Heading2"/>
        <w:rPr>
          <w:sz w:val="24"/>
          <w:szCs w:val="24"/>
        </w:rPr>
      </w:pPr>
      <w:bookmarkStart w:id="25" w:name="_Toc20921355"/>
      <w:bookmarkStart w:id="26" w:name="_Toc21968473"/>
      <w:r w:rsidRPr="008A56A5">
        <w:rPr>
          <w:sz w:val="24"/>
          <w:szCs w:val="24"/>
        </w:rPr>
        <w:t>Summary of key concerns</w:t>
      </w:r>
      <w:bookmarkEnd w:id="25"/>
      <w:bookmarkEnd w:id="26"/>
    </w:p>
    <w:p w14:paraId="31321BE4" w14:textId="5C067E97" w:rsidR="00860B55" w:rsidRPr="008A56A5" w:rsidRDefault="00860B55" w:rsidP="000F4517">
      <w:pPr>
        <w:pStyle w:val="ListNumber"/>
        <w:numPr>
          <w:ilvl w:val="0"/>
          <w:numId w:val="15"/>
        </w:numPr>
        <w:tabs>
          <w:tab w:val="num" w:pos="993"/>
          <w:tab w:val="left" w:pos="1418"/>
        </w:tabs>
        <w:ind w:left="709" w:hanging="567"/>
        <w:rPr>
          <w:rFonts w:cs="Open Sans"/>
        </w:rPr>
      </w:pPr>
      <w:r w:rsidRPr="008A56A5">
        <w:rPr>
          <w:rFonts w:cs="Open Sans"/>
        </w:rPr>
        <w:t xml:space="preserve">The </w:t>
      </w:r>
      <w:r w:rsidRPr="008A56A5">
        <w:rPr>
          <w:rFonts w:eastAsia="Times New Roman" w:cs="Open Sans"/>
          <w:color w:val="222222"/>
        </w:rPr>
        <w:t>Commission</w:t>
      </w:r>
      <w:r w:rsidRPr="008A56A5">
        <w:rPr>
          <w:rFonts w:cs="Open Sans"/>
        </w:rPr>
        <w:t xml:space="preserve"> is concerned by the following features of the </w:t>
      </w:r>
      <w:r w:rsidR="00B007AB" w:rsidRPr="008A56A5">
        <w:rPr>
          <w:rFonts w:cs="Open Sans"/>
        </w:rPr>
        <w:t>Bill</w:t>
      </w:r>
      <w:r w:rsidRPr="008A56A5">
        <w:rPr>
          <w:rFonts w:cs="Open Sans"/>
        </w:rPr>
        <w:t>:</w:t>
      </w:r>
    </w:p>
    <w:p w14:paraId="5A23579F" w14:textId="454FDD33" w:rsidR="0077792C" w:rsidRPr="008A56A5" w:rsidRDefault="0077792C" w:rsidP="0042532B">
      <w:pPr>
        <w:pStyle w:val="ListNumber"/>
        <w:numPr>
          <w:ilvl w:val="1"/>
          <w:numId w:val="16"/>
        </w:numPr>
        <w:tabs>
          <w:tab w:val="left" w:pos="1418"/>
        </w:tabs>
        <w:rPr>
          <w:rFonts w:cs="Open Sans"/>
        </w:rPr>
      </w:pPr>
      <w:r w:rsidRPr="008A56A5">
        <w:rPr>
          <w:rFonts w:cs="Open Sans"/>
        </w:rPr>
        <w:t xml:space="preserve">the potential </w:t>
      </w:r>
      <w:r w:rsidR="000F4517" w:rsidRPr="008A56A5">
        <w:rPr>
          <w:rFonts w:cs="Open Sans"/>
        </w:rPr>
        <w:t xml:space="preserve">to </w:t>
      </w:r>
      <w:r w:rsidRPr="008A56A5">
        <w:rPr>
          <w:rFonts w:cs="Open Sans"/>
        </w:rPr>
        <w:t>remov</w:t>
      </w:r>
      <w:r w:rsidR="000F4517" w:rsidRPr="008A56A5">
        <w:rPr>
          <w:rFonts w:cs="Open Sans"/>
        </w:rPr>
        <w:t>e</w:t>
      </w:r>
      <w:r w:rsidR="00513DE7" w:rsidRPr="008A56A5">
        <w:rPr>
          <w:rFonts w:cs="Open Sans"/>
        </w:rPr>
        <w:t xml:space="preserve"> a person’s Australian</w:t>
      </w:r>
      <w:r w:rsidRPr="008A56A5">
        <w:rPr>
          <w:rFonts w:cs="Open Sans"/>
        </w:rPr>
        <w:t xml:space="preserve"> citizenship </w:t>
      </w:r>
      <w:r w:rsidR="000F4517" w:rsidRPr="008A56A5">
        <w:rPr>
          <w:rFonts w:cs="Open Sans"/>
        </w:rPr>
        <w:t xml:space="preserve">based on </w:t>
      </w:r>
      <w:r w:rsidR="000272E5" w:rsidRPr="008A56A5">
        <w:rPr>
          <w:rFonts w:cs="Open Sans"/>
        </w:rPr>
        <w:t xml:space="preserve">administrative </w:t>
      </w:r>
      <w:r w:rsidR="00CA0A18" w:rsidRPr="008A56A5">
        <w:rPr>
          <w:rFonts w:cs="Open Sans"/>
        </w:rPr>
        <w:t>‘</w:t>
      </w:r>
      <w:r w:rsidR="000272E5" w:rsidRPr="008A56A5">
        <w:rPr>
          <w:rFonts w:cs="Open Sans"/>
        </w:rPr>
        <w:t>satisfaction</w:t>
      </w:r>
      <w:r w:rsidR="00CA0A18" w:rsidRPr="008A56A5">
        <w:rPr>
          <w:rFonts w:cs="Open Sans"/>
        </w:rPr>
        <w:t>’</w:t>
      </w:r>
      <w:r w:rsidR="000272E5" w:rsidRPr="008A56A5">
        <w:rPr>
          <w:rFonts w:cs="Open Sans"/>
        </w:rPr>
        <w:t xml:space="preserve"> that they have engaged in </w:t>
      </w:r>
      <w:r w:rsidR="000F4517" w:rsidRPr="008A56A5">
        <w:rPr>
          <w:rFonts w:cs="Open Sans"/>
        </w:rPr>
        <w:t>certain</w:t>
      </w:r>
      <w:r w:rsidRPr="008A56A5">
        <w:rPr>
          <w:rFonts w:cs="Open Sans"/>
        </w:rPr>
        <w:t xml:space="preserve"> conduct, </w:t>
      </w:r>
      <w:r w:rsidR="000F4517" w:rsidRPr="008A56A5">
        <w:rPr>
          <w:rFonts w:cs="Open Sans"/>
        </w:rPr>
        <w:t>without a</w:t>
      </w:r>
      <w:r w:rsidRPr="008A56A5">
        <w:rPr>
          <w:rFonts w:cs="Open Sans"/>
        </w:rPr>
        <w:t xml:space="preserve"> criminal conviction</w:t>
      </w:r>
    </w:p>
    <w:p w14:paraId="21318BEF" w14:textId="19ED3757" w:rsidR="001A3AB6" w:rsidRPr="008A56A5" w:rsidRDefault="001A3AB6" w:rsidP="0042532B">
      <w:pPr>
        <w:pStyle w:val="ListNumber"/>
        <w:numPr>
          <w:ilvl w:val="1"/>
          <w:numId w:val="16"/>
        </w:numPr>
        <w:tabs>
          <w:tab w:val="left" w:pos="1418"/>
        </w:tabs>
        <w:rPr>
          <w:rFonts w:cs="Open Sans"/>
        </w:rPr>
      </w:pPr>
      <w:r w:rsidRPr="008A56A5">
        <w:rPr>
          <w:rFonts w:cs="Open Sans"/>
        </w:rPr>
        <w:t xml:space="preserve">the lowering of the threshold for </w:t>
      </w:r>
      <w:r w:rsidR="00F629CF" w:rsidRPr="008A56A5">
        <w:rPr>
          <w:rFonts w:cs="Open Sans"/>
        </w:rPr>
        <w:t>ascertaining</w:t>
      </w:r>
      <w:r w:rsidRPr="008A56A5">
        <w:rPr>
          <w:rFonts w:cs="Open Sans"/>
        </w:rPr>
        <w:t xml:space="preserve"> whether a person is a dual citizen before removing their Australian citizenship</w:t>
      </w:r>
      <w:r w:rsidR="00C808CF" w:rsidRPr="008A56A5">
        <w:rPr>
          <w:rFonts w:cs="Open Sans"/>
        </w:rPr>
        <w:t>, increasing the risk of statelessness</w:t>
      </w:r>
    </w:p>
    <w:p w14:paraId="708FBAFB" w14:textId="4F7D3F52" w:rsidR="001A3AB6" w:rsidRPr="008A56A5" w:rsidRDefault="001A3AB6" w:rsidP="0042532B">
      <w:pPr>
        <w:pStyle w:val="ListNumber"/>
        <w:numPr>
          <w:ilvl w:val="1"/>
          <w:numId w:val="16"/>
        </w:numPr>
        <w:tabs>
          <w:tab w:val="left" w:pos="1418"/>
        </w:tabs>
        <w:rPr>
          <w:rFonts w:cs="Open Sans"/>
        </w:rPr>
      </w:pPr>
      <w:r w:rsidRPr="008A56A5">
        <w:rPr>
          <w:rFonts w:cs="Open Sans"/>
        </w:rPr>
        <w:t xml:space="preserve">the </w:t>
      </w:r>
      <w:r w:rsidR="002C6F8C" w:rsidRPr="008A56A5">
        <w:rPr>
          <w:rFonts w:cs="Open Sans"/>
        </w:rPr>
        <w:t>lowering of the sentencing threshold</w:t>
      </w:r>
      <w:r w:rsidR="007D7576" w:rsidRPr="008A56A5">
        <w:rPr>
          <w:rFonts w:cs="Open Sans"/>
        </w:rPr>
        <w:t xml:space="preserve"> for relevant convictions, from</w:t>
      </w:r>
      <w:r w:rsidRPr="008A56A5">
        <w:rPr>
          <w:rFonts w:cs="Open Sans"/>
        </w:rPr>
        <w:t xml:space="preserve"> six years</w:t>
      </w:r>
      <w:r w:rsidR="00841664" w:rsidRPr="008A56A5">
        <w:rPr>
          <w:rFonts w:cs="Open Sans"/>
        </w:rPr>
        <w:t xml:space="preserve"> </w:t>
      </w:r>
      <w:r w:rsidR="00352ECC" w:rsidRPr="008A56A5">
        <w:rPr>
          <w:rFonts w:cs="Open Sans"/>
        </w:rPr>
        <w:t>imprisonment</w:t>
      </w:r>
      <w:r w:rsidRPr="008A56A5">
        <w:rPr>
          <w:rFonts w:cs="Open Sans"/>
        </w:rPr>
        <w:t xml:space="preserve"> </w:t>
      </w:r>
      <w:r w:rsidR="007D7576" w:rsidRPr="008A56A5">
        <w:rPr>
          <w:rFonts w:cs="Open Sans"/>
        </w:rPr>
        <w:t>to three years</w:t>
      </w:r>
      <w:r w:rsidR="00641937" w:rsidRPr="008A56A5">
        <w:rPr>
          <w:rFonts w:cs="Open Sans"/>
        </w:rPr>
        <w:t xml:space="preserve"> imprisonment</w:t>
      </w:r>
    </w:p>
    <w:p w14:paraId="35F43D01" w14:textId="57337CB4" w:rsidR="00860B55" w:rsidRPr="008A56A5" w:rsidRDefault="00860B55" w:rsidP="0042532B">
      <w:pPr>
        <w:pStyle w:val="ListNumber"/>
        <w:numPr>
          <w:ilvl w:val="1"/>
          <w:numId w:val="16"/>
        </w:numPr>
        <w:tabs>
          <w:tab w:val="left" w:pos="1418"/>
        </w:tabs>
        <w:rPr>
          <w:rFonts w:cs="Open Sans"/>
        </w:rPr>
      </w:pPr>
      <w:r w:rsidRPr="008A56A5">
        <w:rPr>
          <w:rFonts w:cs="Open Sans"/>
        </w:rPr>
        <w:t>the impacts on children, including children as young as ten years old</w:t>
      </w:r>
      <w:r w:rsidR="00947F07">
        <w:rPr>
          <w:rFonts w:cs="Open Sans"/>
        </w:rPr>
        <w:t>,</w:t>
      </w:r>
      <w:r w:rsidRPr="008A56A5">
        <w:rPr>
          <w:rFonts w:cs="Open Sans"/>
        </w:rPr>
        <w:t xml:space="preserve"> under the conviction-based loss regime, and children as young as 14 years old under the conduct-based loss regime</w:t>
      </w:r>
    </w:p>
    <w:p w14:paraId="75D52BBF" w14:textId="59810E3C" w:rsidR="00860B55" w:rsidRPr="008A56A5" w:rsidRDefault="00C2172B" w:rsidP="0042532B">
      <w:pPr>
        <w:pStyle w:val="ListNumber"/>
        <w:numPr>
          <w:ilvl w:val="1"/>
          <w:numId w:val="16"/>
        </w:numPr>
        <w:tabs>
          <w:tab w:val="left" w:pos="1418"/>
        </w:tabs>
        <w:rPr>
          <w:rFonts w:cs="Open Sans"/>
        </w:rPr>
      </w:pPr>
      <w:r w:rsidRPr="008A56A5">
        <w:rPr>
          <w:rFonts w:cs="Open Sans"/>
        </w:rPr>
        <w:t>inadequate</w:t>
      </w:r>
      <w:r w:rsidR="00860B55" w:rsidRPr="008A56A5">
        <w:rPr>
          <w:rFonts w:cs="Open Sans"/>
        </w:rPr>
        <w:t xml:space="preserve"> procedural safeguards when a person’s citizenship is removed, including no requirement to </w:t>
      </w:r>
      <w:proofErr w:type="gramStart"/>
      <w:r w:rsidR="00860B55" w:rsidRPr="008A56A5">
        <w:rPr>
          <w:rFonts w:cs="Open Sans"/>
        </w:rPr>
        <w:t>take into account</w:t>
      </w:r>
      <w:proofErr w:type="gramEnd"/>
      <w:r w:rsidR="00860B55" w:rsidRPr="008A56A5">
        <w:rPr>
          <w:rFonts w:cs="Open Sans"/>
        </w:rPr>
        <w:t xml:space="preserve"> </w:t>
      </w:r>
      <w:r w:rsidR="004F30DD" w:rsidRPr="008A56A5">
        <w:rPr>
          <w:rFonts w:cs="Open Sans"/>
        </w:rPr>
        <w:t xml:space="preserve">all </w:t>
      </w:r>
      <w:r w:rsidR="00860B55" w:rsidRPr="008A56A5">
        <w:rPr>
          <w:rFonts w:cs="Open Sans"/>
        </w:rPr>
        <w:t>relevant circumstances</w:t>
      </w:r>
      <w:r w:rsidR="0024033D" w:rsidRPr="008A56A5">
        <w:rPr>
          <w:rFonts w:cs="Open Sans"/>
        </w:rPr>
        <w:t>,</w:t>
      </w:r>
      <w:r w:rsidR="00860B55" w:rsidRPr="008A56A5">
        <w:rPr>
          <w:rFonts w:cs="Open Sans"/>
        </w:rPr>
        <w:t xml:space="preserve"> </w:t>
      </w:r>
      <w:r w:rsidR="00947F07">
        <w:rPr>
          <w:rFonts w:cs="Open Sans"/>
        </w:rPr>
        <w:t xml:space="preserve">to </w:t>
      </w:r>
      <w:r w:rsidR="00860B55" w:rsidRPr="008A56A5">
        <w:rPr>
          <w:rFonts w:cs="Open Sans"/>
        </w:rPr>
        <w:t>afford natural justice</w:t>
      </w:r>
      <w:r w:rsidR="0024033D" w:rsidRPr="008A56A5">
        <w:rPr>
          <w:rFonts w:cs="Open Sans"/>
        </w:rPr>
        <w:t>,</w:t>
      </w:r>
      <w:r w:rsidR="00860B55" w:rsidRPr="008A56A5">
        <w:rPr>
          <w:rFonts w:cs="Open Sans"/>
        </w:rPr>
        <w:t xml:space="preserve"> </w:t>
      </w:r>
      <w:r w:rsidR="00947F07">
        <w:rPr>
          <w:rFonts w:cs="Open Sans"/>
        </w:rPr>
        <w:t xml:space="preserve">and to </w:t>
      </w:r>
      <w:r w:rsidR="00860B55" w:rsidRPr="008A56A5">
        <w:rPr>
          <w:rFonts w:cs="Open Sans"/>
        </w:rPr>
        <w:t xml:space="preserve">provide reasons </w:t>
      </w:r>
      <w:r w:rsidR="0024033D" w:rsidRPr="008A56A5">
        <w:rPr>
          <w:rFonts w:cs="Open Sans"/>
        </w:rPr>
        <w:t>or ensure effective service</w:t>
      </w:r>
      <w:r w:rsidR="004D03B2" w:rsidRPr="008A56A5">
        <w:rPr>
          <w:rFonts w:cs="Open Sans"/>
        </w:rPr>
        <w:t xml:space="preserve"> of a notice</w:t>
      </w:r>
    </w:p>
    <w:p w14:paraId="0DFC3D2B" w14:textId="0D68527A" w:rsidR="00860B55" w:rsidRPr="008A56A5" w:rsidRDefault="00C808CF" w:rsidP="0042532B">
      <w:pPr>
        <w:pStyle w:val="ListNumber"/>
        <w:numPr>
          <w:ilvl w:val="1"/>
          <w:numId w:val="16"/>
        </w:numPr>
        <w:tabs>
          <w:tab w:val="left" w:pos="1418"/>
        </w:tabs>
        <w:rPr>
          <w:rFonts w:cs="Open Sans"/>
        </w:rPr>
      </w:pPr>
      <w:r w:rsidRPr="008A56A5">
        <w:rPr>
          <w:rFonts w:cs="Open Sans"/>
        </w:rPr>
        <w:t xml:space="preserve">inadequate oversight due to </w:t>
      </w:r>
      <w:r w:rsidR="00860B55" w:rsidRPr="008A56A5">
        <w:rPr>
          <w:rFonts w:cs="Open Sans"/>
        </w:rPr>
        <w:t xml:space="preserve">the lack of merits review or review under the </w:t>
      </w:r>
      <w:r w:rsidR="00860B55" w:rsidRPr="008A56A5">
        <w:rPr>
          <w:rFonts w:cs="Open Sans"/>
          <w:i/>
          <w:iCs/>
        </w:rPr>
        <w:t>Administrative Decisions (Judicial Review) Act 1977</w:t>
      </w:r>
      <w:r w:rsidR="00860B55" w:rsidRPr="008A56A5">
        <w:rPr>
          <w:rFonts w:cs="Open Sans"/>
        </w:rPr>
        <w:t xml:space="preserve"> (Cth) </w:t>
      </w:r>
    </w:p>
    <w:p w14:paraId="01865084" w14:textId="2A2DA768" w:rsidR="00860B55" w:rsidRPr="008A56A5" w:rsidRDefault="0029312C" w:rsidP="0042532B">
      <w:pPr>
        <w:pStyle w:val="ListNumber"/>
        <w:numPr>
          <w:ilvl w:val="1"/>
          <w:numId w:val="16"/>
        </w:numPr>
        <w:tabs>
          <w:tab w:val="left" w:pos="1418"/>
        </w:tabs>
        <w:rPr>
          <w:rFonts w:cs="Open Sans"/>
        </w:rPr>
      </w:pPr>
      <w:r w:rsidRPr="008A56A5">
        <w:rPr>
          <w:rFonts w:cs="Open Sans"/>
        </w:rPr>
        <w:t>exten</w:t>
      </w:r>
      <w:r w:rsidR="00DD3FCA" w:rsidRPr="008A56A5">
        <w:rPr>
          <w:rFonts w:cs="Open Sans"/>
        </w:rPr>
        <w:t>ded</w:t>
      </w:r>
      <w:r w:rsidR="00860B55" w:rsidRPr="008A56A5">
        <w:rPr>
          <w:rFonts w:cs="Open Sans"/>
        </w:rPr>
        <w:t xml:space="preserve"> retrospective application</w:t>
      </w:r>
      <w:r w:rsidR="00000304" w:rsidRPr="008A56A5">
        <w:rPr>
          <w:rFonts w:cs="Open Sans"/>
        </w:rPr>
        <w:t xml:space="preserve">, </w:t>
      </w:r>
      <w:r w:rsidR="00AC10D5" w:rsidRPr="008A56A5">
        <w:rPr>
          <w:rFonts w:cs="Open Sans"/>
        </w:rPr>
        <w:t xml:space="preserve">potentially </w:t>
      </w:r>
      <w:r w:rsidR="00000304" w:rsidRPr="008A56A5">
        <w:rPr>
          <w:rFonts w:cs="Open Sans"/>
        </w:rPr>
        <w:t>capturing conduct and conviction</w:t>
      </w:r>
      <w:r w:rsidR="00AC10D5" w:rsidRPr="008A56A5">
        <w:rPr>
          <w:rFonts w:cs="Open Sans"/>
        </w:rPr>
        <w:t>s</w:t>
      </w:r>
      <w:r w:rsidR="00000304" w:rsidRPr="008A56A5">
        <w:rPr>
          <w:rFonts w:cs="Open Sans"/>
        </w:rPr>
        <w:t xml:space="preserve"> that occurred </w:t>
      </w:r>
      <w:r w:rsidR="00560EFC" w:rsidRPr="008A56A5">
        <w:rPr>
          <w:rFonts w:cs="Open Sans"/>
        </w:rPr>
        <w:t xml:space="preserve">more than </w:t>
      </w:r>
      <w:r w:rsidR="00000304" w:rsidRPr="008A56A5">
        <w:rPr>
          <w:rFonts w:cs="Open Sans"/>
        </w:rPr>
        <w:t>16 years ago</w:t>
      </w:r>
      <w:r w:rsidR="00860B55" w:rsidRPr="008A56A5">
        <w:rPr>
          <w:rFonts w:cs="Open Sans"/>
        </w:rPr>
        <w:t>.</w:t>
      </w:r>
    </w:p>
    <w:p w14:paraId="469A797E" w14:textId="1D4A1DEE" w:rsidR="0056310A" w:rsidRDefault="0056310A" w:rsidP="0056310A">
      <w:pPr>
        <w:pStyle w:val="ListNumber"/>
        <w:numPr>
          <w:ilvl w:val="0"/>
          <w:numId w:val="15"/>
        </w:numPr>
        <w:tabs>
          <w:tab w:val="num" w:pos="993"/>
          <w:tab w:val="left" w:pos="1418"/>
        </w:tabs>
        <w:ind w:left="709" w:hanging="567"/>
        <w:rPr>
          <w:rFonts w:cs="Open Sans"/>
        </w:rPr>
      </w:pPr>
      <w:r w:rsidRPr="008A56A5">
        <w:t xml:space="preserve">More generally, the Commission reiterates its </w:t>
      </w:r>
      <w:r w:rsidR="00FF7681" w:rsidRPr="008A56A5">
        <w:t xml:space="preserve">previous </w:t>
      </w:r>
      <w:r w:rsidRPr="008A56A5">
        <w:t xml:space="preserve">view that it is questionable whether the stripping of citizenship </w:t>
      </w:r>
      <w:r w:rsidR="008931BD" w:rsidRPr="008A56A5">
        <w:t xml:space="preserve">will </w:t>
      </w:r>
      <w:r w:rsidRPr="008A56A5">
        <w:rPr>
          <w:rFonts w:cs="Open Sans"/>
        </w:rPr>
        <w:t>effectively enhance public safety and national security,</w:t>
      </w:r>
      <w:r w:rsidR="00635345" w:rsidRPr="008A56A5">
        <w:rPr>
          <w:vertAlign w:val="superscript"/>
        </w:rPr>
        <w:endnoteReference w:id="5"/>
      </w:r>
      <w:r w:rsidR="00635345" w:rsidRPr="008A56A5">
        <w:rPr>
          <w:rFonts w:cs="Open Sans"/>
        </w:rPr>
        <w:t xml:space="preserve"> raising concerns about the reasonableness, necessity and proportionality of th</w:t>
      </w:r>
      <w:r w:rsidR="006E2D2D" w:rsidRPr="008A56A5">
        <w:rPr>
          <w:rFonts w:cs="Open Sans"/>
        </w:rPr>
        <w:t>ese powers</w:t>
      </w:r>
      <w:r w:rsidRPr="008A56A5">
        <w:rPr>
          <w:rFonts w:cs="Open Sans"/>
        </w:rPr>
        <w:t>.</w:t>
      </w:r>
    </w:p>
    <w:p w14:paraId="3F6B080E" w14:textId="4982C419" w:rsidR="00094280" w:rsidRPr="008A56A5" w:rsidRDefault="00094280" w:rsidP="0056310A">
      <w:pPr>
        <w:pStyle w:val="ListNumber"/>
        <w:numPr>
          <w:ilvl w:val="0"/>
          <w:numId w:val="15"/>
        </w:numPr>
        <w:tabs>
          <w:tab w:val="num" w:pos="993"/>
          <w:tab w:val="left" w:pos="1418"/>
        </w:tabs>
        <w:ind w:left="709" w:hanging="567"/>
        <w:rPr>
          <w:rFonts w:cs="Open Sans"/>
        </w:rPr>
      </w:pPr>
      <w:r>
        <w:rPr>
          <w:rFonts w:cs="Open Sans"/>
        </w:rPr>
        <w:t xml:space="preserve">The Commission’s concerns are even more acute with respect to the potential removal of a child’s Australian citizenship, raising </w:t>
      </w:r>
      <w:r w:rsidR="00CC1280">
        <w:rPr>
          <w:rFonts w:cs="Open Sans"/>
        </w:rPr>
        <w:t>potential</w:t>
      </w:r>
      <w:r>
        <w:rPr>
          <w:rFonts w:cs="Open Sans"/>
        </w:rPr>
        <w:t xml:space="preserve"> compliance</w:t>
      </w:r>
      <w:r w:rsidR="00CC1280">
        <w:rPr>
          <w:rFonts w:cs="Open Sans"/>
        </w:rPr>
        <w:t xml:space="preserve"> issues</w:t>
      </w:r>
      <w:r>
        <w:rPr>
          <w:rFonts w:cs="Open Sans"/>
        </w:rPr>
        <w:t xml:space="preserve"> with Australia’s voluntary adopted obligations under the </w:t>
      </w:r>
      <w:r w:rsidRPr="008A56A5">
        <w:rPr>
          <w:rFonts w:cs="Open Sans"/>
          <w:i/>
        </w:rPr>
        <w:t>Convention on the Rights of the Child</w:t>
      </w:r>
      <w:r w:rsidRPr="008A56A5">
        <w:rPr>
          <w:rFonts w:cs="Open Sans"/>
        </w:rPr>
        <w:t xml:space="preserve"> (CRC).</w:t>
      </w:r>
      <w:r w:rsidRPr="008A56A5">
        <w:rPr>
          <w:rStyle w:val="EndnoteReference"/>
        </w:rPr>
        <w:endnoteReference w:id="6"/>
      </w:r>
      <w:r>
        <w:rPr>
          <w:rFonts w:cs="Open Sans"/>
        </w:rPr>
        <w:t xml:space="preserve"> </w:t>
      </w:r>
    </w:p>
    <w:p w14:paraId="023E2EF1" w14:textId="37E6C82C" w:rsidR="0001207B" w:rsidRPr="008A56A5" w:rsidRDefault="0056310A" w:rsidP="0056310A">
      <w:pPr>
        <w:pStyle w:val="ListNumber"/>
        <w:numPr>
          <w:ilvl w:val="0"/>
          <w:numId w:val="15"/>
        </w:numPr>
        <w:tabs>
          <w:tab w:val="num" w:pos="993"/>
          <w:tab w:val="left" w:pos="1418"/>
        </w:tabs>
        <w:ind w:left="709" w:hanging="567"/>
        <w:rPr>
          <w:rFonts w:cs="Open Sans"/>
        </w:rPr>
      </w:pPr>
      <w:r w:rsidRPr="008A56A5">
        <w:rPr>
          <w:rFonts w:cs="Open Sans"/>
        </w:rPr>
        <w:t>Violent extremism is a complex and multi-causal phenomenon, and needs to be addressed in a multidisciplinary manner that heeds local and national drivers.</w:t>
      </w:r>
      <w:r w:rsidRPr="008A56A5">
        <w:rPr>
          <w:vertAlign w:val="superscript"/>
        </w:rPr>
        <w:endnoteReference w:id="7"/>
      </w:r>
      <w:r w:rsidRPr="008A56A5">
        <w:rPr>
          <w:rFonts w:cs="Open Sans"/>
        </w:rPr>
        <w:t xml:space="preserve"> Expert commentary has suggested that stripping of citizenship serves a largely symbolic function, rather than any clear national security purpose.</w:t>
      </w:r>
      <w:r w:rsidRPr="008A56A5">
        <w:rPr>
          <w:vertAlign w:val="superscript"/>
        </w:rPr>
        <w:endnoteReference w:id="8"/>
      </w:r>
      <w:r w:rsidRPr="008A56A5">
        <w:rPr>
          <w:rFonts w:cs="Open Sans"/>
        </w:rPr>
        <w:t xml:space="preserve"> </w:t>
      </w:r>
    </w:p>
    <w:p w14:paraId="456ADA29" w14:textId="279C54D2" w:rsidR="0056310A" w:rsidRPr="008A56A5" w:rsidRDefault="0001338D" w:rsidP="00B12A73">
      <w:pPr>
        <w:pStyle w:val="ListNumber"/>
        <w:numPr>
          <w:ilvl w:val="0"/>
          <w:numId w:val="15"/>
        </w:numPr>
        <w:tabs>
          <w:tab w:val="num" w:pos="993"/>
          <w:tab w:val="left" w:pos="1418"/>
        </w:tabs>
        <w:ind w:left="709" w:hanging="567"/>
        <w:rPr>
          <w:rFonts w:cs="Open Sans"/>
        </w:rPr>
      </w:pPr>
      <w:r w:rsidRPr="008A56A5">
        <w:rPr>
          <w:rFonts w:cs="Open Sans"/>
        </w:rPr>
        <w:t>Citizenship cessation should</w:t>
      </w:r>
      <w:r w:rsidR="0060280D" w:rsidRPr="008A56A5">
        <w:rPr>
          <w:rFonts w:cs="Open Sans"/>
        </w:rPr>
        <w:t xml:space="preserve"> also</w:t>
      </w:r>
      <w:r w:rsidRPr="008A56A5">
        <w:rPr>
          <w:rFonts w:cs="Open Sans"/>
        </w:rPr>
        <w:t xml:space="preserve"> be considered in the context of the other powers already available to national security, intelligence and law enforcement agencies to address the threat of terrorism.</w:t>
      </w:r>
      <w:r w:rsidR="00462D82" w:rsidRPr="008A56A5">
        <w:rPr>
          <w:rFonts w:cs="Open Sans"/>
        </w:rPr>
        <w:t xml:space="preserve"> </w:t>
      </w:r>
      <w:r w:rsidRPr="008A56A5">
        <w:rPr>
          <w:rFonts w:cs="Open Sans"/>
        </w:rPr>
        <w:t xml:space="preserve">This includes </w:t>
      </w:r>
      <w:r w:rsidR="008E7D89" w:rsidRPr="008A56A5">
        <w:rPr>
          <w:rFonts w:cs="Open Sans"/>
        </w:rPr>
        <w:t xml:space="preserve">the sentences for relevant convictions available under </w:t>
      </w:r>
      <w:r w:rsidRPr="008A56A5">
        <w:rPr>
          <w:rFonts w:cs="Open Sans"/>
        </w:rPr>
        <w:t>our</w:t>
      </w:r>
      <w:r w:rsidR="006E2D2D" w:rsidRPr="008A56A5">
        <w:rPr>
          <w:rFonts w:cs="Open Sans"/>
        </w:rPr>
        <w:t xml:space="preserve"> </w:t>
      </w:r>
      <w:r w:rsidR="006D0F87" w:rsidRPr="008A56A5">
        <w:rPr>
          <w:rFonts w:cs="Open Sans"/>
        </w:rPr>
        <w:t xml:space="preserve">existing </w:t>
      </w:r>
      <w:r w:rsidR="0056310A" w:rsidRPr="008A56A5">
        <w:rPr>
          <w:rFonts w:cs="Open Sans"/>
        </w:rPr>
        <w:t>criminal justice system</w:t>
      </w:r>
      <w:r w:rsidR="00947F07">
        <w:rPr>
          <w:rFonts w:cs="Open Sans"/>
        </w:rPr>
        <w:t>,</w:t>
      </w:r>
      <w:r w:rsidR="0056310A" w:rsidRPr="008A56A5">
        <w:rPr>
          <w:rFonts w:cs="Open Sans"/>
        </w:rPr>
        <w:t xml:space="preserve"> </w:t>
      </w:r>
      <w:r w:rsidRPr="008A56A5">
        <w:rPr>
          <w:rFonts w:cs="Open Sans"/>
        </w:rPr>
        <w:t xml:space="preserve">which </w:t>
      </w:r>
      <w:r w:rsidR="008E7D89" w:rsidRPr="008A56A5">
        <w:rPr>
          <w:rFonts w:cs="Open Sans"/>
        </w:rPr>
        <w:t xml:space="preserve">are </w:t>
      </w:r>
      <w:r w:rsidR="0056310A" w:rsidRPr="008A56A5">
        <w:rPr>
          <w:rFonts w:cs="Open Sans"/>
        </w:rPr>
        <w:t xml:space="preserve">designed to act as </w:t>
      </w:r>
      <w:r w:rsidR="00D37CDF" w:rsidRPr="008A56A5">
        <w:rPr>
          <w:rFonts w:cs="Open Sans"/>
        </w:rPr>
        <w:t xml:space="preserve">both </w:t>
      </w:r>
      <w:r w:rsidR="0056310A" w:rsidRPr="008A56A5">
        <w:rPr>
          <w:rFonts w:cs="Open Sans"/>
        </w:rPr>
        <w:t xml:space="preserve">a </w:t>
      </w:r>
      <w:r w:rsidR="00D37CDF" w:rsidRPr="008A56A5">
        <w:rPr>
          <w:rFonts w:cs="Open Sans"/>
        </w:rPr>
        <w:t xml:space="preserve">specific and a general </w:t>
      </w:r>
      <w:r w:rsidR="0056310A" w:rsidRPr="008A56A5">
        <w:rPr>
          <w:rFonts w:cs="Open Sans"/>
        </w:rPr>
        <w:t xml:space="preserve">deterrent to the commission of crime. If there is a real risk of future terrorism offences, control orders and preventative detention powers are </w:t>
      </w:r>
      <w:r w:rsidR="00BE36FA" w:rsidRPr="008A56A5">
        <w:rPr>
          <w:rFonts w:cs="Open Sans"/>
        </w:rPr>
        <w:t xml:space="preserve">also </w:t>
      </w:r>
      <w:r w:rsidR="00B2629D" w:rsidRPr="008A56A5">
        <w:rPr>
          <w:rFonts w:cs="Open Sans"/>
        </w:rPr>
        <w:t>available with the</w:t>
      </w:r>
      <w:r w:rsidR="0056310A" w:rsidRPr="008A56A5">
        <w:rPr>
          <w:rFonts w:cs="Open Sans"/>
        </w:rPr>
        <w:t xml:space="preserve"> specific</w:t>
      </w:r>
      <w:r w:rsidR="002F0D74" w:rsidRPr="008A56A5">
        <w:rPr>
          <w:rFonts w:cs="Open Sans"/>
        </w:rPr>
        <w:t xml:space="preserve"> purpose of</w:t>
      </w:r>
      <w:r w:rsidR="0056310A" w:rsidRPr="008A56A5">
        <w:rPr>
          <w:rFonts w:cs="Open Sans"/>
        </w:rPr>
        <w:t xml:space="preserve"> protect</w:t>
      </w:r>
      <w:r w:rsidR="00CC0535" w:rsidRPr="008A56A5">
        <w:rPr>
          <w:rFonts w:cs="Open Sans"/>
        </w:rPr>
        <w:t>ing</w:t>
      </w:r>
      <w:r w:rsidR="0056310A" w:rsidRPr="008A56A5">
        <w:rPr>
          <w:rFonts w:cs="Open Sans"/>
        </w:rPr>
        <w:t xml:space="preserve"> public safety. </w:t>
      </w:r>
    </w:p>
    <w:p w14:paraId="792CCFF3" w14:textId="2EDF20F1" w:rsidR="00BD1244" w:rsidRPr="008A56A5" w:rsidRDefault="00BD1244" w:rsidP="00B12A73">
      <w:pPr>
        <w:pStyle w:val="ListNumber"/>
        <w:numPr>
          <w:ilvl w:val="0"/>
          <w:numId w:val="15"/>
        </w:numPr>
        <w:tabs>
          <w:tab w:val="num" w:pos="993"/>
          <w:tab w:val="left" w:pos="1418"/>
        </w:tabs>
        <w:ind w:left="709" w:hanging="567"/>
        <w:rPr>
          <w:rFonts w:cs="Open Sans"/>
        </w:rPr>
      </w:pPr>
      <w:r w:rsidRPr="008A56A5">
        <w:rPr>
          <w:rFonts w:cs="Open Sans"/>
        </w:rPr>
        <w:t>The Commission considers that</w:t>
      </w:r>
      <w:r w:rsidR="00947F07">
        <w:rPr>
          <w:rFonts w:cs="Open Sans"/>
        </w:rPr>
        <w:t>, before it is passed,</w:t>
      </w:r>
      <w:r w:rsidRPr="008A56A5">
        <w:rPr>
          <w:rFonts w:cs="Open Sans"/>
        </w:rPr>
        <w:t xml:space="preserve"> the Bill should be </w:t>
      </w:r>
      <w:r w:rsidR="00D06539" w:rsidRPr="008A56A5">
        <w:rPr>
          <w:rFonts w:cs="Open Sans"/>
        </w:rPr>
        <w:t xml:space="preserve">amended </w:t>
      </w:r>
      <w:r w:rsidRPr="008A56A5">
        <w:rPr>
          <w:rFonts w:cs="Open Sans"/>
        </w:rPr>
        <w:t xml:space="preserve">in accordance with the recommendations </w:t>
      </w:r>
      <w:r w:rsidR="00947F07">
        <w:rPr>
          <w:rFonts w:cs="Open Sans"/>
        </w:rPr>
        <w:t>below</w:t>
      </w:r>
      <w:r w:rsidRPr="008A56A5">
        <w:rPr>
          <w:rFonts w:cs="Open Sans"/>
        </w:rPr>
        <w:t>.</w:t>
      </w:r>
    </w:p>
    <w:p w14:paraId="6305DFC5" w14:textId="4048CB6D" w:rsidR="00494951" w:rsidRPr="008A56A5" w:rsidRDefault="00494951" w:rsidP="00494951">
      <w:pPr>
        <w:pStyle w:val="Heading2"/>
      </w:pPr>
      <w:bookmarkStart w:id="27" w:name="_Toc20921356"/>
      <w:bookmarkStart w:id="28" w:name="_Toc21968474"/>
      <w:r w:rsidRPr="008A56A5">
        <w:t>Recommendations</w:t>
      </w:r>
      <w:bookmarkEnd w:id="27"/>
      <w:bookmarkEnd w:id="28"/>
    </w:p>
    <w:p w14:paraId="4ADCFA78" w14:textId="77777777" w:rsidR="001C4549" w:rsidRPr="008A56A5" w:rsidRDefault="009B5B1D" w:rsidP="009B5B1D">
      <w:pPr>
        <w:pStyle w:val="ListNumber"/>
        <w:numPr>
          <w:ilvl w:val="0"/>
          <w:numId w:val="15"/>
        </w:numPr>
        <w:tabs>
          <w:tab w:val="num" w:pos="993"/>
          <w:tab w:val="left" w:pos="1418"/>
        </w:tabs>
        <w:ind w:left="709" w:hanging="567"/>
      </w:pPr>
      <w:r w:rsidRPr="008A56A5">
        <w:t xml:space="preserve">The Commission makes the following recommendations to ameliorate </w:t>
      </w:r>
      <w:r w:rsidR="00DA36FA" w:rsidRPr="008A56A5">
        <w:t xml:space="preserve">some of </w:t>
      </w:r>
      <w:r w:rsidRPr="008A56A5">
        <w:t xml:space="preserve">the significant human rights </w:t>
      </w:r>
      <w:r w:rsidR="00DA36FA" w:rsidRPr="008A56A5">
        <w:t>impacts of the Bill and regime:</w:t>
      </w:r>
      <w:r w:rsidR="001C4549" w:rsidRPr="008A56A5">
        <w:t xml:space="preserve"> </w:t>
      </w:r>
    </w:p>
    <w:p w14:paraId="5466FE35" w14:textId="77777777" w:rsidR="006F5FCD" w:rsidRPr="008A56A5" w:rsidRDefault="006F5FCD" w:rsidP="009E749F">
      <w:pPr>
        <w:pStyle w:val="ListNumber"/>
        <w:widowControl w:val="0"/>
        <w:numPr>
          <w:ilvl w:val="0"/>
          <w:numId w:val="0"/>
        </w:numPr>
        <w:tabs>
          <w:tab w:val="left" w:pos="1418"/>
        </w:tabs>
        <w:ind w:left="709"/>
        <w:rPr>
          <w:rFonts w:cs="Open Sans"/>
          <w:b/>
          <w:bCs/>
        </w:rPr>
      </w:pPr>
      <w:r w:rsidRPr="008A56A5">
        <w:rPr>
          <w:rFonts w:cs="Open Sans"/>
          <w:b/>
          <w:bCs/>
        </w:rPr>
        <w:t>Recommendation 1</w:t>
      </w:r>
    </w:p>
    <w:p w14:paraId="0E3318BD" w14:textId="77777777" w:rsidR="006F5FCD" w:rsidRPr="008A56A5" w:rsidRDefault="006F5FCD" w:rsidP="009E749F">
      <w:pPr>
        <w:pStyle w:val="ListNumber"/>
        <w:widowControl w:val="0"/>
        <w:numPr>
          <w:ilvl w:val="0"/>
          <w:numId w:val="0"/>
        </w:numPr>
        <w:tabs>
          <w:tab w:val="left" w:pos="1418"/>
        </w:tabs>
        <w:ind w:left="709"/>
        <w:rPr>
          <w:rFonts w:cs="Open Sans"/>
        </w:rPr>
      </w:pPr>
      <w:r w:rsidRPr="008A56A5">
        <w:rPr>
          <w:rFonts w:cs="Open Sans"/>
        </w:rPr>
        <w:t>Proposed s 36B should be removed from the Bill, with the result that loss of citizenship is only possible under proposed s 36D following a relevant criminal conviction, rather than on the basis of conduct without a conviction.</w:t>
      </w:r>
    </w:p>
    <w:p w14:paraId="5948CA33" w14:textId="77777777" w:rsidR="006F5FCD" w:rsidRPr="008A56A5" w:rsidRDefault="006F5FCD" w:rsidP="009E749F">
      <w:pPr>
        <w:pStyle w:val="ListNumber"/>
        <w:widowControl w:val="0"/>
        <w:numPr>
          <w:ilvl w:val="0"/>
          <w:numId w:val="0"/>
        </w:numPr>
        <w:tabs>
          <w:tab w:val="left" w:pos="1418"/>
        </w:tabs>
        <w:ind w:left="709"/>
        <w:rPr>
          <w:rFonts w:cs="Open Sans"/>
          <w:b/>
          <w:bCs/>
        </w:rPr>
      </w:pPr>
      <w:r w:rsidRPr="008A56A5">
        <w:rPr>
          <w:rFonts w:cs="Open Sans"/>
          <w:b/>
          <w:bCs/>
        </w:rPr>
        <w:t>Recommendation 2</w:t>
      </w:r>
    </w:p>
    <w:p w14:paraId="5881E190" w14:textId="77777777" w:rsidR="006F5FCD" w:rsidRPr="008A56A5" w:rsidRDefault="006F5FCD" w:rsidP="009E749F">
      <w:pPr>
        <w:pStyle w:val="ListNumber"/>
        <w:widowControl w:val="0"/>
        <w:numPr>
          <w:ilvl w:val="0"/>
          <w:numId w:val="0"/>
        </w:numPr>
        <w:tabs>
          <w:tab w:val="left" w:pos="1418"/>
        </w:tabs>
        <w:ind w:left="709"/>
        <w:rPr>
          <w:rFonts w:cs="Open Sans"/>
        </w:rPr>
      </w:pPr>
      <w:r w:rsidRPr="008A56A5">
        <w:rPr>
          <w:rFonts w:cs="Open Sans"/>
        </w:rPr>
        <w:t xml:space="preserve">Proposed s 36B(1)(b) should be amended, with the result that loss of citizenship is only possible in respect of relevant convictions where a person has been sentenced to a period of imprisonment of at least six years, or to periods of imprisonment that total at least six years. </w:t>
      </w:r>
    </w:p>
    <w:p w14:paraId="09B745C1" w14:textId="77777777" w:rsidR="006F5FCD" w:rsidRPr="008A56A5" w:rsidRDefault="006F5FCD" w:rsidP="009E749F">
      <w:pPr>
        <w:pStyle w:val="ListNumber"/>
        <w:widowControl w:val="0"/>
        <w:numPr>
          <w:ilvl w:val="0"/>
          <w:numId w:val="0"/>
        </w:numPr>
        <w:tabs>
          <w:tab w:val="left" w:pos="1418"/>
        </w:tabs>
        <w:ind w:left="709"/>
        <w:rPr>
          <w:rFonts w:cs="Open Sans"/>
          <w:b/>
          <w:bCs/>
        </w:rPr>
      </w:pPr>
      <w:r w:rsidRPr="008A56A5">
        <w:rPr>
          <w:rFonts w:cs="Open Sans"/>
          <w:b/>
          <w:bCs/>
        </w:rPr>
        <w:t>Recommendation 3</w:t>
      </w:r>
    </w:p>
    <w:p w14:paraId="56FBBAEE" w14:textId="77777777" w:rsidR="006F5FCD" w:rsidRPr="008A56A5" w:rsidRDefault="006F5FCD" w:rsidP="009E749F">
      <w:pPr>
        <w:pStyle w:val="ListNumber"/>
        <w:widowControl w:val="0"/>
        <w:numPr>
          <w:ilvl w:val="0"/>
          <w:numId w:val="0"/>
        </w:numPr>
        <w:tabs>
          <w:tab w:val="left" w:pos="1418"/>
        </w:tabs>
        <w:ind w:left="709"/>
        <w:rPr>
          <w:rFonts w:cs="Open Sans"/>
          <w:b/>
          <w:bCs/>
        </w:rPr>
      </w:pPr>
      <w:r w:rsidRPr="008A56A5">
        <w:rPr>
          <w:rFonts w:cs="Open Sans"/>
        </w:rPr>
        <w:t>The decision-making criteria in proposed s 36</w:t>
      </w:r>
      <w:proofErr w:type="gramStart"/>
      <w:r w:rsidRPr="008A56A5">
        <w:rPr>
          <w:rFonts w:cs="Open Sans"/>
        </w:rPr>
        <w:t>E(</w:t>
      </w:r>
      <w:proofErr w:type="gramEnd"/>
      <w:r w:rsidRPr="008A56A5">
        <w:rPr>
          <w:rFonts w:cs="Open Sans"/>
        </w:rPr>
        <w:t xml:space="preserve">2) should be amended to require that the Minister expressly consider: </w:t>
      </w:r>
    </w:p>
    <w:p w14:paraId="123F10AF" w14:textId="77777777" w:rsidR="006F5FCD" w:rsidRPr="008A56A5" w:rsidRDefault="006F5FCD" w:rsidP="00BD7F4B">
      <w:pPr>
        <w:pStyle w:val="Subnumbered"/>
        <w:widowControl w:val="0"/>
        <w:numPr>
          <w:ilvl w:val="0"/>
          <w:numId w:val="24"/>
        </w:numPr>
        <w:spacing w:before="60" w:after="60"/>
        <w:ind w:left="1066" w:hanging="357"/>
        <w:rPr>
          <w:rFonts w:cs="Open Sans"/>
        </w:rPr>
      </w:pPr>
      <w:r w:rsidRPr="008A56A5">
        <w:rPr>
          <w:rFonts w:cs="Open Sans"/>
        </w:rPr>
        <w:t>a person’s connection to Australia</w:t>
      </w:r>
    </w:p>
    <w:p w14:paraId="2A5062C9" w14:textId="5BDBD838" w:rsidR="0001207B" w:rsidRPr="008A56A5" w:rsidRDefault="006F5FCD" w:rsidP="00BD7F4B">
      <w:pPr>
        <w:pStyle w:val="Subnumbered"/>
        <w:widowControl w:val="0"/>
        <w:numPr>
          <w:ilvl w:val="0"/>
          <w:numId w:val="24"/>
        </w:numPr>
        <w:spacing w:before="60" w:after="60"/>
        <w:ind w:left="1066" w:hanging="357"/>
        <w:rPr>
          <w:rFonts w:cs="Open Sans"/>
        </w:rPr>
      </w:pPr>
      <w:r w:rsidRPr="008A56A5">
        <w:rPr>
          <w:rFonts w:cs="Open Sans"/>
        </w:rPr>
        <w:t>the ability of the person to travel to, enter and reside in the relevant other country.</w:t>
      </w:r>
    </w:p>
    <w:p w14:paraId="12A5E289" w14:textId="77777777" w:rsidR="006F5FCD" w:rsidRPr="008A56A5" w:rsidRDefault="006F5FCD" w:rsidP="009E749F">
      <w:pPr>
        <w:pStyle w:val="ListNumber"/>
        <w:widowControl w:val="0"/>
        <w:numPr>
          <w:ilvl w:val="0"/>
          <w:numId w:val="0"/>
        </w:numPr>
        <w:tabs>
          <w:tab w:val="left" w:pos="1418"/>
        </w:tabs>
        <w:ind w:left="709"/>
        <w:rPr>
          <w:rFonts w:cs="Open Sans"/>
          <w:b/>
          <w:bCs/>
        </w:rPr>
      </w:pPr>
      <w:r w:rsidRPr="008A56A5">
        <w:rPr>
          <w:rFonts w:cs="Open Sans"/>
          <w:b/>
          <w:bCs/>
        </w:rPr>
        <w:t>Recommendation 4</w:t>
      </w:r>
    </w:p>
    <w:p w14:paraId="00F053E7" w14:textId="77777777" w:rsidR="006F5FCD" w:rsidRPr="008A56A5" w:rsidRDefault="006F5FCD" w:rsidP="009E749F">
      <w:pPr>
        <w:pStyle w:val="ListNumber"/>
        <w:widowControl w:val="0"/>
        <w:numPr>
          <w:ilvl w:val="0"/>
          <w:numId w:val="0"/>
        </w:numPr>
        <w:tabs>
          <w:tab w:val="left" w:pos="1418"/>
        </w:tabs>
        <w:ind w:left="709"/>
        <w:rPr>
          <w:rFonts w:cs="Open Sans"/>
          <w:b/>
          <w:bCs/>
        </w:rPr>
      </w:pPr>
      <w:r w:rsidRPr="008A56A5">
        <w:rPr>
          <w:rFonts w:cs="Open Sans"/>
        </w:rPr>
        <w:t xml:space="preserve">Proposed s 36G(1) should be amended to require that the Minister must be satisfied that giving of a notice ‘would be likely’ to prejudice (rather than ‘could’ prejudice) national security, defence or the international relations of Australia or Australian law enforcement operations before determining not to give a notice. </w:t>
      </w:r>
    </w:p>
    <w:p w14:paraId="1ECF65E4" w14:textId="77777777" w:rsidR="006F5FCD" w:rsidRPr="008A56A5" w:rsidRDefault="006F5FCD" w:rsidP="009E749F">
      <w:pPr>
        <w:pStyle w:val="ListNumber"/>
        <w:widowControl w:val="0"/>
        <w:numPr>
          <w:ilvl w:val="0"/>
          <w:numId w:val="0"/>
        </w:numPr>
        <w:tabs>
          <w:tab w:val="left" w:pos="1418"/>
        </w:tabs>
        <w:ind w:left="709"/>
        <w:rPr>
          <w:rFonts w:cs="Open Sans"/>
          <w:b/>
          <w:bCs/>
        </w:rPr>
      </w:pPr>
      <w:r w:rsidRPr="008A56A5">
        <w:rPr>
          <w:rFonts w:cs="Open Sans"/>
          <w:b/>
          <w:bCs/>
        </w:rPr>
        <w:t>Recommendation 5</w:t>
      </w:r>
    </w:p>
    <w:p w14:paraId="15848C50" w14:textId="77777777" w:rsidR="006F5FCD" w:rsidRPr="008A56A5" w:rsidRDefault="006F5FCD" w:rsidP="009E749F">
      <w:pPr>
        <w:pStyle w:val="ListNumber"/>
        <w:widowControl w:val="0"/>
        <w:numPr>
          <w:ilvl w:val="0"/>
          <w:numId w:val="0"/>
        </w:numPr>
        <w:tabs>
          <w:tab w:val="left" w:pos="1418"/>
        </w:tabs>
        <w:ind w:left="709"/>
        <w:rPr>
          <w:rFonts w:cs="Open Sans"/>
        </w:rPr>
      </w:pPr>
      <w:r w:rsidRPr="008A56A5">
        <w:rPr>
          <w:rFonts w:cs="Open Sans"/>
        </w:rPr>
        <w:t xml:space="preserve">Proposed s 36F should be amended to require that all reasonable attempts be made to ensure effective service of a notice of citizenship cessation. </w:t>
      </w:r>
    </w:p>
    <w:p w14:paraId="190785AF" w14:textId="77777777" w:rsidR="006F5FCD" w:rsidRPr="008A56A5" w:rsidRDefault="006F5FCD" w:rsidP="009E749F">
      <w:pPr>
        <w:pStyle w:val="ListNumber"/>
        <w:widowControl w:val="0"/>
        <w:numPr>
          <w:ilvl w:val="0"/>
          <w:numId w:val="0"/>
        </w:numPr>
        <w:tabs>
          <w:tab w:val="left" w:pos="1418"/>
        </w:tabs>
        <w:ind w:left="709"/>
        <w:rPr>
          <w:rFonts w:cs="Open Sans"/>
          <w:b/>
          <w:bCs/>
        </w:rPr>
      </w:pPr>
      <w:r w:rsidRPr="008A56A5">
        <w:rPr>
          <w:rFonts w:cs="Open Sans"/>
          <w:b/>
          <w:bCs/>
        </w:rPr>
        <w:t>Recommendation 6</w:t>
      </w:r>
    </w:p>
    <w:p w14:paraId="50A057A3" w14:textId="77777777" w:rsidR="006F5FCD" w:rsidRPr="008A56A5" w:rsidRDefault="006F5FCD" w:rsidP="009E749F">
      <w:pPr>
        <w:pStyle w:val="ListNumber"/>
        <w:widowControl w:val="0"/>
        <w:numPr>
          <w:ilvl w:val="0"/>
          <w:numId w:val="0"/>
        </w:numPr>
        <w:tabs>
          <w:tab w:val="left" w:pos="1418"/>
        </w:tabs>
        <w:ind w:left="709"/>
        <w:rPr>
          <w:rFonts w:cs="Open Sans"/>
        </w:rPr>
      </w:pPr>
      <w:r w:rsidRPr="008A56A5">
        <w:rPr>
          <w:rFonts w:cs="Open Sans"/>
        </w:rPr>
        <w:t>Proposed s 36</w:t>
      </w:r>
      <w:proofErr w:type="gramStart"/>
      <w:r w:rsidRPr="008A56A5">
        <w:rPr>
          <w:rFonts w:cs="Open Sans"/>
        </w:rPr>
        <w:t>H(</w:t>
      </w:r>
      <w:proofErr w:type="gramEnd"/>
      <w:r w:rsidRPr="008A56A5">
        <w:rPr>
          <w:rFonts w:cs="Open Sans"/>
        </w:rPr>
        <w:t xml:space="preserve">2) should be amended to provide that an application for revocation may be made within 90 days of the date that the person actually received notice of the cessation of their citizenship. </w:t>
      </w:r>
    </w:p>
    <w:p w14:paraId="324EEE3B" w14:textId="77777777" w:rsidR="006F5FCD" w:rsidRPr="008A56A5" w:rsidRDefault="006F5FCD" w:rsidP="00F31C6E">
      <w:pPr>
        <w:pStyle w:val="ListNumber"/>
        <w:keepNext/>
        <w:widowControl w:val="0"/>
        <w:numPr>
          <w:ilvl w:val="0"/>
          <w:numId w:val="0"/>
        </w:numPr>
        <w:tabs>
          <w:tab w:val="left" w:pos="1418"/>
        </w:tabs>
        <w:ind w:left="709"/>
        <w:rPr>
          <w:rFonts w:cs="Open Sans"/>
          <w:b/>
          <w:bCs/>
        </w:rPr>
      </w:pPr>
      <w:r w:rsidRPr="008A56A5">
        <w:rPr>
          <w:rFonts w:cs="Open Sans"/>
          <w:b/>
          <w:bCs/>
        </w:rPr>
        <w:t>Recommendation 7</w:t>
      </w:r>
    </w:p>
    <w:p w14:paraId="19161FB5" w14:textId="77777777" w:rsidR="006F5FCD" w:rsidRPr="008A56A5" w:rsidRDefault="006F5FCD" w:rsidP="00F31C6E">
      <w:pPr>
        <w:pStyle w:val="ListNumber"/>
        <w:keepNext/>
        <w:widowControl w:val="0"/>
        <w:numPr>
          <w:ilvl w:val="0"/>
          <w:numId w:val="0"/>
        </w:numPr>
        <w:tabs>
          <w:tab w:val="left" w:pos="1418"/>
        </w:tabs>
        <w:ind w:left="709"/>
        <w:rPr>
          <w:rFonts w:cs="Open Sans"/>
        </w:rPr>
      </w:pPr>
      <w:r w:rsidRPr="008A56A5">
        <w:rPr>
          <w:rFonts w:cs="Open Sans"/>
        </w:rPr>
        <w:t xml:space="preserve">Proposed s 36G should be amended, to provide that a determination that notice of citizenship cessation should not be given will automatically expire after 90 days, subject to a one-off further extension of 90 days determined by the Minister, in accordance with the recommendation of the Independent National Security Legislation Monitor </w:t>
      </w:r>
    </w:p>
    <w:p w14:paraId="00CB272B" w14:textId="77777777" w:rsidR="006F5FCD" w:rsidRPr="008A56A5" w:rsidRDefault="006F5FCD" w:rsidP="009E749F">
      <w:pPr>
        <w:pStyle w:val="ListNumber"/>
        <w:widowControl w:val="0"/>
        <w:numPr>
          <w:ilvl w:val="0"/>
          <w:numId w:val="0"/>
        </w:numPr>
        <w:tabs>
          <w:tab w:val="left" w:pos="1418"/>
        </w:tabs>
        <w:ind w:left="709"/>
        <w:rPr>
          <w:rFonts w:cs="Open Sans"/>
          <w:b/>
          <w:bCs/>
        </w:rPr>
      </w:pPr>
      <w:r w:rsidRPr="008A56A5">
        <w:rPr>
          <w:rFonts w:cs="Open Sans"/>
          <w:b/>
          <w:bCs/>
        </w:rPr>
        <w:t>Recommendation 8</w:t>
      </w:r>
    </w:p>
    <w:p w14:paraId="65129D13" w14:textId="2356D1D7" w:rsidR="0001207B" w:rsidRPr="008A56A5" w:rsidRDefault="006F5FCD" w:rsidP="009E749F">
      <w:pPr>
        <w:pStyle w:val="ListNumber"/>
        <w:widowControl w:val="0"/>
        <w:numPr>
          <w:ilvl w:val="0"/>
          <w:numId w:val="0"/>
        </w:numPr>
        <w:tabs>
          <w:tab w:val="left" w:pos="1418"/>
        </w:tabs>
        <w:ind w:left="709"/>
        <w:rPr>
          <w:rFonts w:cs="Open Sans"/>
        </w:rPr>
      </w:pPr>
      <w:r w:rsidRPr="008A56A5">
        <w:rPr>
          <w:rFonts w:cs="Open Sans"/>
        </w:rPr>
        <w:t>Proposed s 36F should be amended to require that a notice of citizenship cessation set out the reasons for the determination.</w:t>
      </w:r>
    </w:p>
    <w:p w14:paraId="7BE10B7C" w14:textId="77777777" w:rsidR="006F5FCD" w:rsidRPr="008A56A5" w:rsidRDefault="006F5FCD" w:rsidP="009E749F">
      <w:pPr>
        <w:widowControl w:val="0"/>
        <w:tabs>
          <w:tab w:val="left" w:pos="1134"/>
          <w:tab w:val="left" w:pos="1418"/>
        </w:tabs>
        <w:spacing w:before="120" w:after="120"/>
        <w:ind w:left="709"/>
        <w:rPr>
          <w:rFonts w:cs="Open Sans"/>
        </w:rPr>
      </w:pPr>
      <w:r w:rsidRPr="008A56A5">
        <w:rPr>
          <w:rFonts w:cs="Open Sans"/>
          <w:b/>
        </w:rPr>
        <w:t>Recommendation 9</w:t>
      </w:r>
    </w:p>
    <w:p w14:paraId="03829C15" w14:textId="77777777" w:rsidR="006F5FCD" w:rsidRPr="008A56A5" w:rsidRDefault="006F5FCD" w:rsidP="009E749F">
      <w:pPr>
        <w:widowControl w:val="0"/>
        <w:tabs>
          <w:tab w:val="left" w:pos="1134"/>
          <w:tab w:val="left" w:pos="1418"/>
        </w:tabs>
        <w:spacing w:before="120" w:after="120"/>
        <w:ind w:left="709"/>
        <w:rPr>
          <w:rFonts w:cs="Open Sans"/>
        </w:rPr>
      </w:pPr>
      <w:r w:rsidRPr="008A56A5">
        <w:rPr>
          <w:rFonts w:cs="Open Sans"/>
        </w:rPr>
        <w:t>The Bill should be amended to ensure that each of the elements of a determination by the Minister that a person ceases to be an Australian citizen is amenable to independent merits review in the Administrative Appeals Tribunal.</w:t>
      </w:r>
    </w:p>
    <w:p w14:paraId="44AA8F72" w14:textId="77777777" w:rsidR="006F5FCD" w:rsidRPr="008A56A5" w:rsidRDefault="006F5FCD" w:rsidP="009E749F">
      <w:pPr>
        <w:widowControl w:val="0"/>
        <w:tabs>
          <w:tab w:val="left" w:pos="1134"/>
          <w:tab w:val="left" w:pos="1418"/>
        </w:tabs>
        <w:spacing w:before="120" w:after="120"/>
        <w:ind w:left="709"/>
        <w:rPr>
          <w:rFonts w:cs="Open Sans"/>
          <w:b/>
        </w:rPr>
      </w:pPr>
      <w:r w:rsidRPr="008A56A5">
        <w:rPr>
          <w:rFonts w:cs="Open Sans"/>
          <w:b/>
        </w:rPr>
        <w:t>Recommendation 10</w:t>
      </w:r>
    </w:p>
    <w:p w14:paraId="5E4DDCA2" w14:textId="77777777" w:rsidR="006F5FCD" w:rsidRPr="008A56A5" w:rsidRDefault="006F5FCD" w:rsidP="009E749F">
      <w:pPr>
        <w:widowControl w:val="0"/>
        <w:tabs>
          <w:tab w:val="left" w:pos="1134"/>
          <w:tab w:val="left" w:pos="1418"/>
        </w:tabs>
        <w:spacing w:before="120" w:after="120"/>
        <w:ind w:left="709"/>
        <w:rPr>
          <w:rFonts w:cs="Open Sans"/>
        </w:rPr>
      </w:pPr>
      <w:r w:rsidRPr="008A56A5">
        <w:rPr>
          <w:rFonts w:cs="Open Sans"/>
          <w:bCs/>
        </w:rPr>
        <w:t>If Recommendation 9 is not accepted, a limited form of</w:t>
      </w:r>
      <w:r w:rsidRPr="008A56A5">
        <w:rPr>
          <w:rFonts w:cs="Open Sans"/>
        </w:rPr>
        <w:t xml:space="preserve"> independent merits review should be made available in the Administrative Appeals Tribunal in accordance with recommendations made by the Independent National Security Legislation Monitor.</w:t>
      </w:r>
    </w:p>
    <w:p w14:paraId="6C1612FB" w14:textId="77777777" w:rsidR="006F5FCD" w:rsidRPr="008A56A5" w:rsidRDefault="006F5FCD" w:rsidP="009E749F">
      <w:pPr>
        <w:widowControl w:val="0"/>
        <w:tabs>
          <w:tab w:val="left" w:pos="1134"/>
          <w:tab w:val="left" w:pos="1418"/>
        </w:tabs>
        <w:spacing w:before="120" w:after="120"/>
        <w:ind w:left="709"/>
        <w:rPr>
          <w:rFonts w:cs="Open Sans"/>
        </w:rPr>
      </w:pPr>
      <w:r w:rsidRPr="008A56A5">
        <w:rPr>
          <w:rFonts w:cs="Open Sans"/>
          <w:b/>
        </w:rPr>
        <w:t>Recommendation 11</w:t>
      </w:r>
    </w:p>
    <w:p w14:paraId="25E3291C" w14:textId="77777777" w:rsidR="006F5FCD" w:rsidRPr="008A56A5" w:rsidRDefault="006F5FCD" w:rsidP="009E749F">
      <w:pPr>
        <w:widowControl w:val="0"/>
        <w:tabs>
          <w:tab w:val="left" w:pos="1134"/>
          <w:tab w:val="left" w:pos="1418"/>
        </w:tabs>
        <w:spacing w:before="120" w:after="120"/>
        <w:ind w:left="709"/>
        <w:rPr>
          <w:rFonts w:cs="Open Sans"/>
        </w:rPr>
      </w:pPr>
      <w:r w:rsidRPr="008A56A5">
        <w:rPr>
          <w:rFonts w:cs="Open Sans"/>
        </w:rPr>
        <w:t xml:space="preserve">The Bill should be amended to ensure that a decision by the Administrative Appeals Tribunal in relation to a determination by the Minister that a person ceases to be an Australian citizen is amenable to judicial review under the </w:t>
      </w:r>
      <w:r w:rsidRPr="008A56A5">
        <w:rPr>
          <w:rFonts w:cs="Open Sans"/>
          <w:i/>
          <w:iCs/>
        </w:rPr>
        <w:t>Administrative Decisions (Judicial Review) Act 1977</w:t>
      </w:r>
      <w:r w:rsidRPr="008A56A5">
        <w:rPr>
          <w:rFonts w:cs="Open Sans"/>
        </w:rPr>
        <w:t xml:space="preserve"> (Cth). </w:t>
      </w:r>
    </w:p>
    <w:p w14:paraId="16ACEFD1" w14:textId="77777777" w:rsidR="006F5FCD" w:rsidRPr="008A56A5" w:rsidRDefault="006F5FCD" w:rsidP="009E749F">
      <w:pPr>
        <w:widowControl w:val="0"/>
        <w:spacing w:before="120" w:after="120"/>
        <w:ind w:left="709"/>
        <w:rPr>
          <w:rFonts w:cs="Open Sans"/>
          <w:b/>
          <w:bCs/>
        </w:rPr>
      </w:pPr>
      <w:r w:rsidRPr="008A56A5">
        <w:rPr>
          <w:rFonts w:cs="Open Sans"/>
          <w:b/>
          <w:bCs/>
        </w:rPr>
        <w:t>Recommendation 12</w:t>
      </w:r>
    </w:p>
    <w:p w14:paraId="0378D3D6" w14:textId="77777777" w:rsidR="006F5FCD" w:rsidRPr="008A56A5" w:rsidRDefault="006F5FCD" w:rsidP="009E749F">
      <w:pPr>
        <w:widowControl w:val="0"/>
        <w:spacing w:before="120" w:after="120"/>
        <w:ind w:left="709"/>
        <w:rPr>
          <w:rFonts w:cs="Open Sans"/>
        </w:rPr>
      </w:pPr>
      <w:r w:rsidRPr="008A56A5">
        <w:rPr>
          <w:rFonts w:cs="Open Sans"/>
        </w:rPr>
        <w:t>Proposed ss 36B and 36D should be amended to require that the Minister can only make a citizenship cessation determination ‘where the person is a national or citizen of a country other than Australia at the time when the Minister makes the determination’, as a precondition to the exercise of the power.</w:t>
      </w:r>
    </w:p>
    <w:p w14:paraId="4D6360FA" w14:textId="77777777" w:rsidR="006F5FCD" w:rsidRPr="008A56A5" w:rsidRDefault="006F5FCD" w:rsidP="00F31C6E">
      <w:pPr>
        <w:keepNext/>
        <w:widowControl w:val="0"/>
        <w:tabs>
          <w:tab w:val="left" w:pos="1134"/>
          <w:tab w:val="left" w:pos="1418"/>
        </w:tabs>
        <w:spacing w:before="120" w:after="120"/>
        <w:ind w:left="709"/>
        <w:rPr>
          <w:rFonts w:cs="Open Sans"/>
          <w:b/>
        </w:rPr>
      </w:pPr>
      <w:r w:rsidRPr="008A56A5">
        <w:rPr>
          <w:rFonts w:cs="Open Sans"/>
          <w:b/>
        </w:rPr>
        <w:t>Recommendation 13</w:t>
      </w:r>
    </w:p>
    <w:p w14:paraId="788C4569" w14:textId="77777777" w:rsidR="006F5FCD" w:rsidRPr="008A56A5" w:rsidRDefault="006F5FCD" w:rsidP="00F31C6E">
      <w:pPr>
        <w:keepNext/>
        <w:widowControl w:val="0"/>
        <w:tabs>
          <w:tab w:val="left" w:pos="1134"/>
          <w:tab w:val="left" w:pos="1418"/>
        </w:tabs>
        <w:spacing w:before="120" w:after="120"/>
        <w:ind w:left="709"/>
        <w:rPr>
          <w:rFonts w:cs="Open Sans"/>
        </w:rPr>
      </w:pPr>
      <w:r w:rsidRPr="008A56A5">
        <w:rPr>
          <w:rFonts w:cs="Open Sans"/>
          <w:bCs/>
        </w:rPr>
        <w:t xml:space="preserve">Proposed s 36D of the Bill </w:t>
      </w:r>
      <w:r w:rsidRPr="008A56A5">
        <w:rPr>
          <w:rFonts w:cs="Open Sans"/>
        </w:rPr>
        <w:t>should be amended so that only persons aged at least 14 years of age or older, rather than ten years of age or older, can be subject to removal of citizenship on the basis of a criminal conviction.</w:t>
      </w:r>
    </w:p>
    <w:p w14:paraId="384FD13E" w14:textId="77777777" w:rsidR="006F5FCD" w:rsidRPr="008A56A5" w:rsidRDefault="006F5FCD" w:rsidP="00F31C6E">
      <w:pPr>
        <w:keepNext/>
        <w:widowControl w:val="0"/>
        <w:tabs>
          <w:tab w:val="left" w:pos="1134"/>
          <w:tab w:val="left" w:pos="1418"/>
        </w:tabs>
        <w:spacing w:before="120" w:after="120"/>
        <w:ind w:left="709"/>
        <w:rPr>
          <w:rFonts w:cs="Open Sans"/>
          <w:b/>
          <w:bCs/>
        </w:rPr>
      </w:pPr>
      <w:r w:rsidRPr="008A56A5">
        <w:rPr>
          <w:rFonts w:cs="Open Sans"/>
          <w:b/>
        </w:rPr>
        <w:t>Recommendation</w:t>
      </w:r>
      <w:r w:rsidRPr="008A56A5">
        <w:rPr>
          <w:rFonts w:cs="Open Sans"/>
          <w:b/>
          <w:bCs/>
        </w:rPr>
        <w:t xml:space="preserve"> 14</w:t>
      </w:r>
    </w:p>
    <w:p w14:paraId="691B1A5A" w14:textId="77777777" w:rsidR="006F5FCD" w:rsidRPr="008A56A5" w:rsidRDefault="006F5FCD" w:rsidP="00F31C6E">
      <w:pPr>
        <w:pStyle w:val="Subnumbered"/>
        <w:keepNext/>
        <w:widowControl w:val="0"/>
        <w:numPr>
          <w:ilvl w:val="0"/>
          <w:numId w:val="0"/>
        </w:numPr>
        <w:ind w:left="709"/>
        <w:rPr>
          <w:rFonts w:cs="Open Sans"/>
        </w:rPr>
      </w:pPr>
      <w:r w:rsidRPr="008A56A5">
        <w:rPr>
          <w:rFonts w:cs="Open Sans"/>
          <w:bCs/>
        </w:rPr>
        <w:t xml:space="preserve">Proposed items 18 and 19 Bill </w:t>
      </w:r>
      <w:r w:rsidRPr="008A56A5">
        <w:rPr>
          <w:rFonts w:cs="Open Sans"/>
        </w:rPr>
        <w:t xml:space="preserve">should be amended, so that there is no extended retrospective application of the power of the Minister to </w:t>
      </w:r>
      <w:proofErr w:type="gramStart"/>
      <w:r w:rsidRPr="008A56A5">
        <w:rPr>
          <w:rFonts w:cs="Open Sans"/>
        </w:rPr>
        <w:t>make a determination</w:t>
      </w:r>
      <w:proofErr w:type="gramEnd"/>
      <w:r w:rsidRPr="008A56A5">
        <w:rPr>
          <w:rFonts w:cs="Open Sans"/>
        </w:rPr>
        <w:t xml:space="preserve"> under ss 36B or 36D.</w:t>
      </w:r>
    </w:p>
    <w:p w14:paraId="4FCEDEF0" w14:textId="77777777" w:rsidR="006F5FCD" w:rsidRPr="008A56A5" w:rsidRDefault="006F5FCD" w:rsidP="00F31C6E">
      <w:pPr>
        <w:keepNext/>
        <w:widowControl w:val="0"/>
        <w:tabs>
          <w:tab w:val="left" w:pos="1134"/>
          <w:tab w:val="left" w:pos="1418"/>
        </w:tabs>
        <w:spacing w:before="120" w:after="120"/>
        <w:ind w:left="709"/>
        <w:rPr>
          <w:rFonts w:cs="Open Sans"/>
          <w:b/>
          <w:bCs/>
        </w:rPr>
      </w:pPr>
      <w:r w:rsidRPr="008A56A5">
        <w:rPr>
          <w:rFonts w:cs="Open Sans"/>
          <w:b/>
        </w:rPr>
        <w:t>Recommendation</w:t>
      </w:r>
      <w:r w:rsidRPr="008A56A5">
        <w:rPr>
          <w:rFonts w:cs="Open Sans"/>
          <w:b/>
          <w:bCs/>
        </w:rPr>
        <w:t xml:space="preserve"> 15</w:t>
      </w:r>
    </w:p>
    <w:p w14:paraId="4E4B7AC6" w14:textId="77777777" w:rsidR="006F5FCD" w:rsidRPr="008A56A5" w:rsidRDefault="006F5FCD" w:rsidP="00F31C6E">
      <w:pPr>
        <w:pStyle w:val="Subnumbered"/>
        <w:keepNext/>
        <w:widowControl w:val="0"/>
        <w:numPr>
          <w:ilvl w:val="0"/>
          <w:numId w:val="0"/>
        </w:numPr>
        <w:ind w:left="709"/>
        <w:rPr>
          <w:rFonts w:cs="Open Sans"/>
        </w:rPr>
      </w:pPr>
      <w:r w:rsidRPr="008A56A5">
        <w:rPr>
          <w:rFonts w:cs="Open Sans"/>
          <w:bCs/>
        </w:rPr>
        <w:t>If Recommendation 14 is not accepted, item 18(3) should be amended</w:t>
      </w:r>
      <w:r w:rsidRPr="008A56A5">
        <w:rPr>
          <w:rFonts w:cs="Open Sans"/>
        </w:rPr>
        <w:t xml:space="preserve"> to insert an appropriate time limit on the retrospective application of s 36B(5)(j), so that it is not unlimited.</w:t>
      </w:r>
    </w:p>
    <w:p w14:paraId="20E15F34" w14:textId="6E2D3CAB" w:rsidR="00D03307" w:rsidRPr="008A56A5" w:rsidRDefault="00494951" w:rsidP="001C04F6">
      <w:pPr>
        <w:pStyle w:val="Heading1"/>
      </w:pPr>
      <w:bookmarkStart w:id="29" w:name="_Toc20921357"/>
      <w:bookmarkStart w:id="30" w:name="_Toc21968475"/>
      <w:bookmarkEnd w:id="23"/>
      <w:r w:rsidRPr="008A56A5">
        <w:t>Relevant human rights</w:t>
      </w:r>
      <w:bookmarkEnd w:id="29"/>
      <w:bookmarkEnd w:id="30"/>
    </w:p>
    <w:p w14:paraId="6DF63058" w14:textId="77777777" w:rsidR="00D264ED" w:rsidRPr="008A56A5" w:rsidRDefault="00D264ED" w:rsidP="00F81C7E">
      <w:pPr>
        <w:pStyle w:val="Heading2"/>
        <w:numPr>
          <w:ilvl w:val="1"/>
          <w:numId w:val="19"/>
        </w:numPr>
        <w:rPr>
          <w:rFonts w:cs="Open Sans"/>
        </w:rPr>
      </w:pPr>
      <w:bookmarkStart w:id="31" w:name="_Toc11407963"/>
      <w:bookmarkStart w:id="32" w:name="_Toc534878466"/>
      <w:bookmarkStart w:id="33" w:name="_Toc20921358"/>
      <w:bookmarkStart w:id="34" w:name="_Toc21968476"/>
      <w:r w:rsidRPr="008A56A5">
        <w:rPr>
          <w:rFonts w:cs="Open Sans"/>
        </w:rPr>
        <w:t>The right to enter and remain in one’s own country</w:t>
      </w:r>
      <w:bookmarkEnd w:id="31"/>
      <w:bookmarkEnd w:id="32"/>
      <w:bookmarkEnd w:id="33"/>
      <w:bookmarkEnd w:id="34"/>
    </w:p>
    <w:p w14:paraId="18A99CCD" w14:textId="77777777" w:rsidR="00D264ED" w:rsidRPr="008A56A5" w:rsidRDefault="00D264ED" w:rsidP="006B358A">
      <w:pPr>
        <w:pStyle w:val="ListNumber"/>
        <w:numPr>
          <w:ilvl w:val="0"/>
          <w:numId w:val="15"/>
        </w:numPr>
        <w:tabs>
          <w:tab w:val="num" w:pos="993"/>
          <w:tab w:val="left" w:pos="1418"/>
        </w:tabs>
        <w:ind w:left="709" w:hanging="567"/>
        <w:rPr>
          <w:rFonts w:cs="Open Sans"/>
        </w:rPr>
      </w:pPr>
      <w:bookmarkStart w:id="35" w:name="_Hlk10463458"/>
      <w:r w:rsidRPr="008A56A5">
        <w:rPr>
          <w:rFonts w:eastAsia="Times New Roman" w:cs="Open Sans"/>
          <w:color w:val="222222"/>
        </w:rPr>
        <w:t>Article</w:t>
      </w:r>
      <w:r w:rsidRPr="008A56A5">
        <w:rPr>
          <w:rFonts w:cs="Open Sans"/>
        </w:rPr>
        <w:t xml:space="preserve"> 12(4) of the International Covenant on Civil and Political Rights (ICCPR) </w:t>
      </w:r>
      <w:bookmarkEnd w:id="35"/>
      <w:r w:rsidRPr="008A56A5">
        <w:rPr>
          <w:rFonts w:cs="Open Sans"/>
        </w:rPr>
        <w:t>provides that ‘no one shall be arbitrarily deprived of the right to enter his own country’.</w:t>
      </w:r>
      <w:r w:rsidRPr="008A56A5">
        <w:rPr>
          <w:rStyle w:val="EndnoteReference"/>
        </w:rPr>
        <w:endnoteReference w:id="9"/>
      </w:r>
      <w:r w:rsidRPr="008A56A5">
        <w:rPr>
          <w:rFonts w:cs="Open Sans"/>
          <w:sz w:val="22"/>
        </w:rPr>
        <w:t xml:space="preserve"> </w:t>
      </w:r>
    </w:p>
    <w:p w14:paraId="3DF12FA0" w14:textId="7CF9B5E9" w:rsidR="00D264ED" w:rsidRPr="008A56A5" w:rsidRDefault="00D264ED" w:rsidP="003252CC">
      <w:pPr>
        <w:pStyle w:val="ListNumber"/>
        <w:numPr>
          <w:ilvl w:val="0"/>
          <w:numId w:val="15"/>
        </w:numPr>
        <w:tabs>
          <w:tab w:val="num" w:pos="993"/>
          <w:tab w:val="left" w:pos="1418"/>
        </w:tabs>
        <w:ind w:left="709" w:hanging="567"/>
        <w:rPr>
          <w:rFonts w:cs="Open Sans"/>
        </w:rPr>
      </w:pPr>
      <w:r w:rsidRPr="008A56A5">
        <w:rPr>
          <w:rFonts w:cs="Open Sans"/>
        </w:rPr>
        <w:t xml:space="preserve">In its General Comment No 27, the United Nations Human Rights Committee (UN HR Committee) has stated that </w:t>
      </w:r>
      <w:r w:rsidR="003252CC" w:rsidRPr="008A56A5">
        <w:rPr>
          <w:rFonts w:cs="Open Sans"/>
        </w:rPr>
        <w:t>article 12(4)</w:t>
      </w:r>
      <w:r w:rsidRPr="008A56A5">
        <w:rPr>
          <w:rFonts w:cs="Open Sans"/>
        </w:rPr>
        <w:t xml:space="preserve"> </w:t>
      </w:r>
      <w:r w:rsidR="006B358A" w:rsidRPr="008A56A5">
        <w:rPr>
          <w:rFonts w:cs="Open Sans"/>
        </w:rPr>
        <w:t xml:space="preserve">includes an </w:t>
      </w:r>
      <w:r w:rsidRPr="008A56A5">
        <w:rPr>
          <w:rFonts w:cs="Open Sans"/>
        </w:rPr>
        <w:t>implie</w:t>
      </w:r>
      <w:r w:rsidR="006B358A" w:rsidRPr="008A56A5">
        <w:rPr>
          <w:rFonts w:cs="Open Sans"/>
        </w:rPr>
        <w:t>d</w:t>
      </w:r>
      <w:r w:rsidRPr="008A56A5">
        <w:rPr>
          <w:rFonts w:cs="Open Sans"/>
        </w:rPr>
        <w:t xml:space="preserve"> right to </w:t>
      </w:r>
      <w:r w:rsidRPr="008A56A5">
        <w:rPr>
          <w:rFonts w:cs="Open Sans"/>
          <w:i/>
        </w:rPr>
        <w:t>remain in</w:t>
      </w:r>
      <w:r w:rsidRPr="008A56A5">
        <w:rPr>
          <w:rFonts w:cs="Open Sans"/>
        </w:rPr>
        <w:t xml:space="preserve"> one’s own country.</w:t>
      </w:r>
      <w:r w:rsidRPr="008A56A5">
        <w:rPr>
          <w:rStyle w:val="EndnoteReference"/>
        </w:rPr>
        <w:endnoteReference w:id="10"/>
      </w:r>
      <w:r w:rsidRPr="008A56A5">
        <w:rPr>
          <w:rFonts w:cs="Open Sans"/>
        </w:rPr>
        <w:t xml:space="preserve"> </w:t>
      </w:r>
    </w:p>
    <w:p w14:paraId="68BCEE14" w14:textId="77777777" w:rsidR="00D264ED" w:rsidRPr="008A56A5" w:rsidRDefault="00D264ED" w:rsidP="003252CC">
      <w:pPr>
        <w:pStyle w:val="ListNumber"/>
        <w:numPr>
          <w:ilvl w:val="0"/>
          <w:numId w:val="15"/>
        </w:numPr>
        <w:tabs>
          <w:tab w:val="num" w:pos="993"/>
          <w:tab w:val="left" w:pos="1418"/>
        </w:tabs>
        <w:ind w:left="709" w:hanging="567"/>
        <w:rPr>
          <w:rFonts w:cs="Open Sans"/>
        </w:rPr>
      </w:pPr>
      <w:r w:rsidRPr="008A56A5">
        <w:rPr>
          <w:rFonts w:cs="Open Sans"/>
        </w:rPr>
        <w:t>General Comment No 27 further provides that the concept of one’s ‘own country’ is broader than that of nationality.</w:t>
      </w:r>
      <w:r w:rsidRPr="008A56A5">
        <w:rPr>
          <w:rStyle w:val="EndnoteReference"/>
        </w:rPr>
        <w:endnoteReference w:id="11"/>
      </w:r>
      <w:r w:rsidRPr="008A56A5">
        <w:rPr>
          <w:rFonts w:cs="Open Sans"/>
        </w:rPr>
        <w:t xml:space="preserve"> The concept includes non-nationals who have special ties or an enduring connection to a particular country. Relevant factors will include a person’s length of residence, personal and family ties, intention to remain, and lack of these ties to other countries.</w:t>
      </w:r>
      <w:r w:rsidRPr="008A56A5">
        <w:rPr>
          <w:rStyle w:val="EndnoteReference"/>
        </w:rPr>
        <w:endnoteReference w:id="12"/>
      </w:r>
      <w:r w:rsidRPr="008A56A5">
        <w:rPr>
          <w:rFonts w:cs="Open Sans"/>
        </w:rPr>
        <w:t xml:space="preserve"> </w:t>
      </w:r>
    </w:p>
    <w:p w14:paraId="3306771E" w14:textId="076E3127" w:rsidR="00D264ED" w:rsidRPr="008A56A5" w:rsidRDefault="00A33F43" w:rsidP="003252CC">
      <w:pPr>
        <w:pStyle w:val="ListNumber"/>
        <w:numPr>
          <w:ilvl w:val="0"/>
          <w:numId w:val="15"/>
        </w:numPr>
        <w:tabs>
          <w:tab w:val="num" w:pos="993"/>
          <w:tab w:val="left" w:pos="1418"/>
        </w:tabs>
        <w:ind w:left="709" w:hanging="567"/>
        <w:rPr>
          <w:rFonts w:cs="Open Sans"/>
        </w:rPr>
      </w:pPr>
      <w:r w:rsidRPr="008A56A5">
        <w:rPr>
          <w:rFonts w:cs="Open Sans"/>
        </w:rPr>
        <w:t>Clearly, there are many circumstances in which d</w:t>
      </w:r>
      <w:r w:rsidR="00D264ED" w:rsidRPr="008A56A5">
        <w:rPr>
          <w:rFonts w:cs="Open Sans"/>
        </w:rPr>
        <w:t xml:space="preserve">eprivation of Australian citizenship </w:t>
      </w:r>
      <w:r w:rsidRPr="008A56A5">
        <w:rPr>
          <w:rFonts w:cs="Open Sans"/>
        </w:rPr>
        <w:t>will</w:t>
      </w:r>
      <w:r w:rsidR="00D264ED" w:rsidRPr="008A56A5">
        <w:rPr>
          <w:rFonts w:cs="Open Sans"/>
        </w:rPr>
        <w:t xml:space="preserve"> not sever a person’s connection with Australia as their ‘own country’, </w:t>
      </w:r>
      <w:r w:rsidRPr="008A56A5">
        <w:rPr>
          <w:rFonts w:cs="Open Sans"/>
        </w:rPr>
        <w:t>such as where a person has</w:t>
      </w:r>
      <w:r w:rsidR="00D264ED" w:rsidRPr="008A56A5">
        <w:rPr>
          <w:rFonts w:cs="Open Sans"/>
        </w:rPr>
        <w:t xml:space="preserve"> acquired their citizenship by birth.</w:t>
      </w:r>
    </w:p>
    <w:p w14:paraId="1A148B6C" w14:textId="416AE05A" w:rsidR="00D264ED" w:rsidRPr="008A56A5" w:rsidRDefault="00D264ED" w:rsidP="00A33F43">
      <w:pPr>
        <w:pStyle w:val="ListNumber"/>
        <w:numPr>
          <w:ilvl w:val="0"/>
          <w:numId w:val="15"/>
        </w:numPr>
        <w:tabs>
          <w:tab w:val="num" w:pos="993"/>
          <w:tab w:val="left" w:pos="1418"/>
        </w:tabs>
        <w:ind w:left="709" w:hanging="567"/>
        <w:rPr>
          <w:rFonts w:cs="Open Sans"/>
        </w:rPr>
      </w:pPr>
      <w:r w:rsidRPr="008A56A5">
        <w:rPr>
          <w:rFonts w:cs="Open Sans"/>
        </w:rPr>
        <w:t>The cessation provisions can be applied to conduct of Australians that occurs either domestically or overseas. A person who loses their Australian citizenship while abroad would lose the right to re-enter Australia. A person who loses their Australian citizenship while in Australia would face immigration consequences, including likely mandatory detention until they are removed from Australia.</w:t>
      </w:r>
      <w:r w:rsidRPr="008A56A5">
        <w:rPr>
          <w:rStyle w:val="EndnoteReference"/>
        </w:rPr>
        <w:endnoteReference w:id="13"/>
      </w:r>
      <w:r w:rsidRPr="008A56A5">
        <w:rPr>
          <w:rFonts w:cs="Open Sans"/>
        </w:rPr>
        <w:t xml:space="preserve"> </w:t>
      </w:r>
    </w:p>
    <w:p w14:paraId="213579B0" w14:textId="77777777" w:rsidR="00D264ED" w:rsidRPr="008A56A5" w:rsidRDefault="00D264ED" w:rsidP="00A33F43">
      <w:pPr>
        <w:pStyle w:val="ListNumber"/>
        <w:numPr>
          <w:ilvl w:val="0"/>
          <w:numId w:val="15"/>
        </w:numPr>
        <w:tabs>
          <w:tab w:val="num" w:pos="993"/>
          <w:tab w:val="left" w:pos="1418"/>
        </w:tabs>
        <w:ind w:left="709" w:hanging="567"/>
        <w:rPr>
          <w:rFonts w:cs="Open Sans"/>
        </w:rPr>
      </w:pPr>
      <w:r w:rsidRPr="008A56A5">
        <w:rPr>
          <w:rFonts w:cs="Open Sans"/>
        </w:rPr>
        <w:t>These provisions therefore clearly interfere with the right of an affected person to enter and remain in their own country, Australia. The critical question then becomes whether the limitation is an arbitrary interference.</w:t>
      </w:r>
    </w:p>
    <w:p w14:paraId="1B8A2B68" w14:textId="56447FF0" w:rsidR="00D264ED" w:rsidRPr="008A56A5" w:rsidRDefault="00FB00BC" w:rsidP="00A33F43">
      <w:pPr>
        <w:pStyle w:val="ListNumber"/>
        <w:numPr>
          <w:ilvl w:val="0"/>
          <w:numId w:val="15"/>
        </w:numPr>
        <w:tabs>
          <w:tab w:val="num" w:pos="993"/>
          <w:tab w:val="left" w:pos="1418"/>
        </w:tabs>
        <w:ind w:left="709" w:hanging="567"/>
        <w:rPr>
          <w:rFonts w:cs="Open Sans"/>
        </w:rPr>
      </w:pPr>
      <w:r w:rsidRPr="008A56A5">
        <w:rPr>
          <w:rFonts w:cs="Open Sans"/>
        </w:rPr>
        <w:t>T</w:t>
      </w:r>
      <w:r w:rsidR="00D264ED" w:rsidRPr="008A56A5">
        <w:rPr>
          <w:rFonts w:cs="Open Sans"/>
        </w:rPr>
        <w:t>he UN HR Committee has stated</w:t>
      </w:r>
      <w:r w:rsidRPr="008A56A5">
        <w:rPr>
          <w:rFonts w:cs="Open Sans"/>
        </w:rPr>
        <w:t xml:space="preserve"> in relation to article 12(4)</w:t>
      </w:r>
      <w:r w:rsidR="00D264ED" w:rsidRPr="008A56A5">
        <w:rPr>
          <w:rFonts w:cs="Open Sans"/>
        </w:rPr>
        <w:t>:</w:t>
      </w:r>
    </w:p>
    <w:p w14:paraId="1EAFFFC9" w14:textId="70DA17A7" w:rsidR="00D264ED" w:rsidRPr="008A56A5" w:rsidRDefault="00D264ED" w:rsidP="00FB00BC">
      <w:pPr>
        <w:pStyle w:val="Quotesub"/>
        <w:rPr>
          <w:rFonts w:cs="Open Sans"/>
        </w:rPr>
      </w:pPr>
      <w:r w:rsidRPr="008A56A5">
        <w:rPr>
          <w:rFonts w:cs="Open Sans"/>
        </w:rPr>
        <w:t>[A]rbitrariness in this context is intended to emphasize that it applies to all State action, legislative, administrative and judicial; it guarantees that even interferences provided for by law should be in accordance with the provisions, aims and objectives of the Covenant and should be, in any event, reasonable in the particular circumstances.</w:t>
      </w:r>
      <w:r w:rsidR="00FB00BC" w:rsidRPr="008A56A5">
        <w:rPr>
          <w:rFonts w:cs="Open Sans"/>
        </w:rPr>
        <w:t xml:space="preserve"> The Committee considers that there are few, if any, circumstances in which deprivation of the right to enter one’s own country could be reasonable.</w:t>
      </w:r>
      <w:r w:rsidR="00FB00BC" w:rsidRPr="008A56A5">
        <w:rPr>
          <w:rFonts w:cs="Open Sans"/>
          <w:vertAlign w:val="superscript"/>
        </w:rPr>
        <w:endnoteReference w:id="14"/>
      </w:r>
    </w:p>
    <w:p w14:paraId="598DFC6F" w14:textId="7643F169" w:rsidR="00D264ED" w:rsidRPr="008A56A5" w:rsidRDefault="00D264ED" w:rsidP="00F81C7E">
      <w:pPr>
        <w:pStyle w:val="Heading2"/>
        <w:numPr>
          <w:ilvl w:val="1"/>
          <w:numId w:val="19"/>
        </w:numPr>
        <w:rPr>
          <w:rFonts w:cs="Open Sans"/>
        </w:rPr>
      </w:pPr>
      <w:bookmarkStart w:id="36" w:name="_Toc20921359"/>
      <w:bookmarkStart w:id="37" w:name="_Toc21968477"/>
      <w:r w:rsidRPr="008A56A5">
        <w:rPr>
          <w:rFonts w:cs="Open Sans"/>
        </w:rPr>
        <w:t>Children’s rights</w:t>
      </w:r>
      <w:bookmarkEnd w:id="36"/>
      <w:bookmarkEnd w:id="37"/>
    </w:p>
    <w:p w14:paraId="5343E60A" w14:textId="530E60C7" w:rsidR="003311E3" w:rsidRPr="008A56A5" w:rsidRDefault="003311E3" w:rsidP="00A33F43">
      <w:pPr>
        <w:pStyle w:val="ListNumber"/>
        <w:numPr>
          <w:ilvl w:val="0"/>
          <w:numId w:val="15"/>
        </w:numPr>
        <w:tabs>
          <w:tab w:val="num" w:pos="993"/>
          <w:tab w:val="left" w:pos="1418"/>
        </w:tabs>
        <w:ind w:left="709" w:hanging="567"/>
        <w:rPr>
          <w:rFonts w:cs="Open Sans"/>
        </w:rPr>
      </w:pPr>
      <w:bookmarkStart w:id="38" w:name="_Hlk10538901"/>
      <w:bookmarkStart w:id="39" w:name="_Hlk10463472"/>
      <w:r w:rsidRPr="008A56A5">
        <w:rPr>
          <w:rFonts w:cs="Open Sans"/>
        </w:rPr>
        <w:t xml:space="preserve">Children enjoy all the same human rights protections as adults under key international human rights conventions such as the ICCPR, as well as particular and special protections under the CRC. </w:t>
      </w:r>
    </w:p>
    <w:p w14:paraId="6EDCF063" w14:textId="0C6E62EF" w:rsidR="003311E3" w:rsidRPr="008A56A5" w:rsidRDefault="00B60757" w:rsidP="00A33F43">
      <w:pPr>
        <w:pStyle w:val="ListNumber"/>
        <w:numPr>
          <w:ilvl w:val="0"/>
          <w:numId w:val="15"/>
        </w:numPr>
        <w:tabs>
          <w:tab w:val="num" w:pos="993"/>
          <w:tab w:val="left" w:pos="1418"/>
        </w:tabs>
        <w:ind w:left="709" w:hanging="567"/>
        <w:rPr>
          <w:rFonts w:cs="Open Sans"/>
        </w:rPr>
      </w:pPr>
      <w:r w:rsidRPr="008A56A5">
        <w:rPr>
          <w:rFonts w:cs="Open Sans"/>
        </w:rPr>
        <w:t>I</w:t>
      </w:r>
      <w:r w:rsidR="003311E3" w:rsidRPr="008A56A5">
        <w:rPr>
          <w:rFonts w:cs="Open Sans"/>
        </w:rPr>
        <w:t>nternational human rights law recognises that, in light of their evolving physical and mental capacities, and developing neurological makeup, children have special need of safeguards, care and protection and should therefore be treated differently from adults.</w:t>
      </w:r>
      <w:r w:rsidR="003311E3" w:rsidRPr="008A56A5">
        <w:rPr>
          <w:rStyle w:val="EndnoteReference"/>
        </w:rPr>
        <w:endnoteReference w:id="15"/>
      </w:r>
      <w:r w:rsidR="003311E3" w:rsidRPr="008A56A5">
        <w:rPr>
          <w:rFonts w:cs="Open Sans"/>
        </w:rPr>
        <w:t xml:space="preserve"> </w:t>
      </w:r>
    </w:p>
    <w:p w14:paraId="2CFEEF3E" w14:textId="6A97D237" w:rsidR="003311E3" w:rsidRPr="008A56A5" w:rsidRDefault="00290C1E" w:rsidP="00290C1E">
      <w:pPr>
        <w:pStyle w:val="ListNumber"/>
        <w:numPr>
          <w:ilvl w:val="0"/>
          <w:numId w:val="15"/>
        </w:numPr>
        <w:tabs>
          <w:tab w:val="num" w:pos="993"/>
          <w:tab w:val="left" w:pos="1418"/>
        </w:tabs>
        <w:ind w:left="709" w:hanging="567"/>
        <w:rPr>
          <w:rFonts w:cs="Open Sans"/>
        </w:rPr>
      </w:pPr>
      <w:r w:rsidRPr="008A56A5">
        <w:rPr>
          <w:rFonts w:cs="Open Sans"/>
        </w:rPr>
        <w:t>Relevantly, a</w:t>
      </w:r>
      <w:r w:rsidR="003311E3" w:rsidRPr="008A56A5">
        <w:rPr>
          <w:rFonts w:cs="Open Sans"/>
        </w:rPr>
        <w:t xml:space="preserve">rticle 3 of the CRC requires the government </w:t>
      </w:r>
      <w:bookmarkStart w:id="40" w:name="_Hlk20989332"/>
      <w:r w:rsidR="003311E3" w:rsidRPr="008A56A5">
        <w:rPr>
          <w:rFonts w:cs="Open Sans"/>
        </w:rPr>
        <w:t xml:space="preserve">to </w:t>
      </w:r>
      <w:r w:rsidR="007A70E4" w:rsidRPr="008A56A5">
        <w:rPr>
          <w:rFonts w:cs="Open Sans"/>
        </w:rPr>
        <w:t>consider</w:t>
      </w:r>
      <w:r w:rsidR="003311E3" w:rsidRPr="008A56A5">
        <w:rPr>
          <w:rFonts w:cs="Open Sans"/>
        </w:rPr>
        <w:t xml:space="preserve"> the best interests of the child as a primary consideration in decision-making</w:t>
      </w:r>
      <w:bookmarkEnd w:id="40"/>
      <w:r w:rsidR="003311E3" w:rsidRPr="008A56A5">
        <w:rPr>
          <w:rFonts w:cs="Open Sans"/>
        </w:rPr>
        <w:t>:</w:t>
      </w:r>
    </w:p>
    <w:p w14:paraId="4B2CD8F1" w14:textId="77777777" w:rsidR="003311E3" w:rsidRPr="008A56A5" w:rsidRDefault="003311E3" w:rsidP="003311E3">
      <w:pPr>
        <w:pStyle w:val="Quotesub"/>
        <w:rPr>
          <w:rFonts w:cs="Open Sans"/>
        </w:rPr>
      </w:pPr>
      <w:r w:rsidRPr="008A56A5">
        <w:t>In all actions concerning children, whether undertaken by public or private social welfare institutions, courts of law, administrative authorities or legislative bodies, the best interests of the child shall be a primary consideration.</w:t>
      </w:r>
    </w:p>
    <w:p w14:paraId="7FC5E1C0" w14:textId="77777777" w:rsidR="00D264ED" w:rsidRPr="008A56A5" w:rsidRDefault="00D264ED" w:rsidP="00AE50B4">
      <w:pPr>
        <w:pStyle w:val="ListNumber"/>
        <w:numPr>
          <w:ilvl w:val="0"/>
          <w:numId w:val="15"/>
        </w:numPr>
        <w:tabs>
          <w:tab w:val="num" w:pos="993"/>
          <w:tab w:val="left" w:pos="1418"/>
        </w:tabs>
        <w:ind w:left="709" w:hanging="567"/>
        <w:rPr>
          <w:rFonts w:cs="Open Sans"/>
        </w:rPr>
      </w:pPr>
      <w:r w:rsidRPr="008A56A5">
        <w:rPr>
          <w:rFonts w:cs="Open Sans"/>
        </w:rPr>
        <w:t>Article 8(1) of the CRC protects the right of children to preserve their identity, which includes their nationality and family relations:</w:t>
      </w:r>
    </w:p>
    <w:p w14:paraId="65727A1C" w14:textId="77777777" w:rsidR="00D264ED" w:rsidRPr="008A56A5" w:rsidRDefault="00D264ED" w:rsidP="00D264ED">
      <w:pPr>
        <w:pStyle w:val="Quotesub"/>
        <w:rPr>
          <w:rFonts w:cs="Open Sans"/>
        </w:rPr>
      </w:pPr>
      <w:r w:rsidRPr="008A56A5">
        <w:rPr>
          <w:rFonts w:cs="Open Sans"/>
        </w:rPr>
        <w:t xml:space="preserve">States Parties undertake to respect the right of the child to preserve his or her </w:t>
      </w:r>
      <w:r w:rsidRPr="008A56A5">
        <w:rPr>
          <w:rFonts w:eastAsiaTheme="minorHAnsi" w:cs="Open Sans"/>
        </w:rPr>
        <w:t>identity</w:t>
      </w:r>
      <w:r w:rsidRPr="008A56A5">
        <w:rPr>
          <w:rFonts w:cs="Open Sans"/>
        </w:rPr>
        <w:t>, including nationality, name and family relations as recognized by law without unlawful interference.</w:t>
      </w:r>
    </w:p>
    <w:bookmarkEnd w:id="38"/>
    <w:bookmarkEnd w:id="39"/>
    <w:p w14:paraId="0FEDDC55" w14:textId="11E9CD48" w:rsidR="00D264ED" w:rsidRDefault="00D264ED" w:rsidP="00AE50B4">
      <w:pPr>
        <w:pStyle w:val="ListNumber"/>
        <w:numPr>
          <w:ilvl w:val="0"/>
          <w:numId w:val="15"/>
        </w:numPr>
        <w:tabs>
          <w:tab w:val="num" w:pos="993"/>
          <w:tab w:val="left" w:pos="1418"/>
        </w:tabs>
        <w:ind w:left="709" w:hanging="567"/>
        <w:rPr>
          <w:rFonts w:cs="Open Sans"/>
        </w:rPr>
      </w:pPr>
      <w:r w:rsidRPr="008A56A5">
        <w:rPr>
          <w:rFonts w:cs="Open Sans"/>
        </w:rPr>
        <w:t xml:space="preserve">Children are also </w:t>
      </w:r>
      <w:bookmarkStart w:id="41" w:name="_Hlk11318486"/>
      <w:r w:rsidRPr="008A56A5">
        <w:rPr>
          <w:rFonts w:cs="Open Sans"/>
        </w:rPr>
        <w:t xml:space="preserve">protected against arbitrary or unlawful interferences with their privacy, family and home under </w:t>
      </w:r>
      <w:bookmarkEnd w:id="41"/>
      <w:r w:rsidRPr="008A56A5">
        <w:rPr>
          <w:rFonts w:cs="Open Sans"/>
        </w:rPr>
        <w:t>article 16(1) of the CRC.</w:t>
      </w:r>
    </w:p>
    <w:p w14:paraId="51750FF5" w14:textId="721446C5" w:rsidR="00C926D9" w:rsidRPr="008A56A5" w:rsidRDefault="00C926D9" w:rsidP="00AE50B4">
      <w:pPr>
        <w:pStyle w:val="ListNumber"/>
        <w:numPr>
          <w:ilvl w:val="0"/>
          <w:numId w:val="15"/>
        </w:numPr>
        <w:tabs>
          <w:tab w:val="num" w:pos="993"/>
          <w:tab w:val="left" w:pos="1418"/>
        </w:tabs>
        <w:ind w:left="709" w:hanging="567"/>
        <w:rPr>
          <w:rFonts w:cs="Open Sans"/>
        </w:rPr>
      </w:pPr>
      <w:r>
        <w:rPr>
          <w:rFonts w:cs="Open Sans"/>
        </w:rPr>
        <w:t xml:space="preserve">With respect to </w:t>
      </w:r>
      <w:r w:rsidRPr="00C926D9">
        <w:rPr>
          <w:rFonts w:cs="Open Sans"/>
        </w:rPr>
        <w:t>children arriving in, or returning to, Australia, who may have been involved in armed conflict</w:t>
      </w:r>
      <w:r w:rsidR="00EE0F77">
        <w:rPr>
          <w:rFonts w:cs="Open Sans"/>
        </w:rPr>
        <w:t>, the</w:t>
      </w:r>
      <w:r>
        <w:rPr>
          <w:rFonts w:cs="Open Sans"/>
        </w:rPr>
        <w:t xml:space="preserve"> Commission has also previously recommended that </w:t>
      </w:r>
      <w:r w:rsidR="00EE0F77">
        <w:rPr>
          <w:rFonts w:cs="Open Sans"/>
        </w:rPr>
        <w:t>t</w:t>
      </w:r>
      <w:r w:rsidRPr="00C926D9">
        <w:rPr>
          <w:rFonts w:cs="Open Sans"/>
        </w:rPr>
        <w:t xml:space="preserve">he Australian Government </w:t>
      </w:r>
      <w:r w:rsidR="00EE0F77">
        <w:rPr>
          <w:rFonts w:cs="Open Sans"/>
        </w:rPr>
        <w:t xml:space="preserve">ensure the </w:t>
      </w:r>
      <w:r w:rsidRPr="00C926D9">
        <w:rPr>
          <w:rFonts w:cs="Open Sans"/>
        </w:rPr>
        <w:t>provi</w:t>
      </w:r>
      <w:r w:rsidR="00EE0F77">
        <w:rPr>
          <w:rFonts w:cs="Open Sans"/>
        </w:rPr>
        <w:t xml:space="preserve">sion of </w:t>
      </w:r>
      <w:r w:rsidRPr="00C926D9">
        <w:rPr>
          <w:rFonts w:cs="Open Sans"/>
        </w:rPr>
        <w:t>appropriate and specific physical and psychological rehabilitation.</w:t>
      </w:r>
      <w:r w:rsidR="00EE0F77">
        <w:rPr>
          <w:rStyle w:val="EndnoteReference"/>
          <w:rFonts w:cs="Open Sans"/>
        </w:rPr>
        <w:endnoteReference w:id="16"/>
      </w:r>
    </w:p>
    <w:p w14:paraId="0C0B0942" w14:textId="132D313A" w:rsidR="00D264ED" w:rsidRPr="008A56A5" w:rsidRDefault="000A5A58" w:rsidP="00F81C7E">
      <w:pPr>
        <w:pStyle w:val="Heading2"/>
        <w:numPr>
          <w:ilvl w:val="1"/>
          <w:numId w:val="19"/>
        </w:numPr>
        <w:rPr>
          <w:rFonts w:cs="Open Sans"/>
        </w:rPr>
      </w:pPr>
      <w:bookmarkStart w:id="42" w:name="_Toc20921360"/>
      <w:bookmarkStart w:id="43" w:name="_Toc21968478"/>
      <w:r w:rsidRPr="008A56A5">
        <w:rPr>
          <w:rFonts w:cs="Open Sans"/>
        </w:rPr>
        <w:t>S</w:t>
      </w:r>
      <w:r w:rsidR="00D264ED" w:rsidRPr="008A56A5">
        <w:rPr>
          <w:rFonts w:cs="Open Sans"/>
        </w:rPr>
        <w:t>tatelessness</w:t>
      </w:r>
      <w:bookmarkEnd w:id="42"/>
      <w:r w:rsidRPr="008A56A5">
        <w:rPr>
          <w:rFonts w:cs="Open Sans"/>
        </w:rPr>
        <w:t xml:space="preserve"> and other human rights</w:t>
      </w:r>
      <w:bookmarkEnd w:id="43"/>
    </w:p>
    <w:p w14:paraId="332A6E90" w14:textId="303FA5CD" w:rsidR="00D264ED" w:rsidRPr="008A56A5" w:rsidRDefault="00D264ED" w:rsidP="00AE50B4">
      <w:pPr>
        <w:pStyle w:val="ListNumber"/>
        <w:numPr>
          <w:ilvl w:val="0"/>
          <w:numId w:val="15"/>
        </w:numPr>
        <w:tabs>
          <w:tab w:val="num" w:pos="993"/>
          <w:tab w:val="left" w:pos="1418"/>
        </w:tabs>
        <w:ind w:left="709" w:hanging="567"/>
        <w:rPr>
          <w:rFonts w:cs="Open Sans"/>
        </w:rPr>
      </w:pPr>
      <w:r w:rsidRPr="008A56A5">
        <w:rPr>
          <w:rFonts w:cs="Open Sans"/>
        </w:rPr>
        <w:t xml:space="preserve">Australia has </w:t>
      </w:r>
      <w:r w:rsidR="00AE50B4" w:rsidRPr="008A56A5">
        <w:rPr>
          <w:rFonts w:cs="Open Sans"/>
        </w:rPr>
        <w:t xml:space="preserve">voluntarily </w:t>
      </w:r>
      <w:r w:rsidRPr="008A56A5">
        <w:rPr>
          <w:rFonts w:cs="Open Sans"/>
        </w:rPr>
        <w:t xml:space="preserve">assumed obligations under the </w:t>
      </w:r>
      <w:r w:rsidR="00B05B0F" w:rsidRPr="008A56A5">
        <w:rPr>
          <w:rFonts w:cs="Open Sans"/>
          <w:i/>
        </w:rPr>
        <w:t xml:space="preserve">Convention on the Reduction of Statelessness </w:t>
      </w:r>
      <w:r w:rsidR="00B05B0F" w:rsidRPr="008A56A5">
        <w:rPr>
          <w:rFonts w:cs="Open Sans"/>
        </w:rPr>
        <w:t>(Statelessness Convention)</w:t>
      </w:r>
      <w:r w:rsidR="00D6175E" w:rsidRPr="008A56A5">
        <w:rPr>
          <w:rFonts w:cs="Open Sans"/>
        </w:rPr>
        <w:t>.</w:t>
      </w:r>
      <w:r w:rsidR="00B05B0F" w:rsidRPr="008A56A5">
        <w:rPr>
          <w:rStyle w:val="EndnoteReference"/>
          <w:rFonts w:cs="Open Sans"/>
        </w:rPr>
        <w:endnoteReference w:id="17"/>
      </w:r>
      <w:r w:rsidRPr="008A56A5">
        <w:rPr>
          <w:rFonts w:cs="Open Sans"/>
        </w:rPr>
        <w:t xml:space="preserve"> Article 8(1) of the Statelessness Convention provides that a state ‘shall not deprive a person of its nationality if such deprivation would render him stateless’.</w:t>
      </w:r>
      <w:r w:rsidRPr="008A56A5">
        <w:rPr>
          <w:rStyle w:val="EndnoteReference"/>
        </w:rPr>
        <w:endnoteReference w:id="18"/>
      </w:r>
      <w:r w:rsidRPr="008A56A5">
        <w:rPr>
          <w:rFonts w:cs="Open Sans"/>
        </w:rPr>
        <w:t xml:space="preserve"> </w:t>
      </w:r>
    </w:p>
    <w:p w14:paraId="7DE0614D" w14:textId="4855AC46" w:rsidR="00D264ED" w:rsidRPr="008A56A5" w:rsidRDefault="00D264ED" w:rsidP="0070580F">
      <w:pPr>
        <w:pStyle w:val="ListNumber"/>
        <w:numPr>
          <w:ilvl w:val="0"/>
          <w:numId w:val="15"/>
        </w:numPr>
        <w:tabs>
          <w:tab w:val="num" w:pos="993"/>
          <w:tab w:val="left" w:pos="1418"/>
        </w:tabs>
        <w:ind w:left="709" w:hanging="567"/>
        <w:rPr>
          <w:rFonts w:cs="Open Sans"/>
        </w:rPr>
      </w:pPr>
      <w:r w:rsidRPr="008A56A5">
        <w:rPr>
          <w:rFonts w:cs="Open Sans"/>
        </w:rPr>
        <w:t>Article 15(2) of the Universal Declaration of Human Rights (</w:t>
      </w:r>
      <w:r w:rsidRPr="008A56A5">
        <w:rPr>
          <w:rFonts w:cs="Open Sans"/>
          <w:iCs/>
        </w:rPr>
        <w:t>UDHR) further</w:t>
      </w:r>
      <w:r w:rsidRPr="008A56A5">
        <w:rPr>
          <w:rFonts w:cs="Open Sans"/>
          <w:i/>
          <w:iCs/>
        </w:rPr>
        <w:t xml:space="preserve"> </w:t>
      </w:r>
      <w:r w:rsidRPr="008A56A5">
        <w:rPr>
          <w:rFonts w:cs="Open Sans"/>
        </w:rPr>
        <w:t>provides that ‘no one shall be arbitrarily deprived of his nationality’.</w:t>
      </w:r>
      <w:r w:rsidRPr="008A56A5">
        <w:rPr>
          <w:rStyle w:val="EndnoteReference"/>
          <w:iCs/>
        </w:rPr>
        <w:endnoteReference w:id="19"/>
      </w:r>
      <w:r w:rsidRPr="008A56A5">
        <w:rPr>
          <w:rFonts w:cs="Open Sans"/>
        </w:rPr>
        <w:t xml:space="preserve"> This prohibition is considered to be a rule of customary international law.</w:t>
      </w:r>
      <w:r w:rsidRPr="008A56A5">
        <w:rPr>
          <w:rStyle w:val="EndnoteReference"/>
        </w:rPr>
        <w:endnoteReference w:id="20"/>
      </w:r>
    </w:p>
    <w:p w14:paraId="08AF5A6E" w14:textId="2F3197D8" w:rsidR="00570034" w:rsidRPr="008A56A5" w:rsidRDefault="00D264ED" w:rsidP="00570034">
      <w:pPr>
        <w:pStyle w:val="ListNumber"/>
        <w:numPr>
          <w:ilvl w:val="0"/>
          <w:numId w:val="15"/>
        </w:numPr>
        <w:tabs>
          <w:tab w:val="num" w:pos="993"/>
          <w:tab w:val="left" w:pos="1418"/>
        </w:tabs>
        <w:ind w:left="709" w:hanging="567"/>
        <w:rPr>
          <w:rFonts w:cs="Open Sans"/>
        </w:rPr>
      </w:pPr>
      <w:r w:rsidRPr="008A56A5">
        <w:rPr>
          <w:rFonts w:cs="Open Sans"/>
        </w:rPr>
        <w:t xml:space="preserve">If a person’s Australian citizenship is removed on the incorrect </w:t>
      </w:r>
      <w:bookmarkStart w:id="44" w:name="_GoBack"/>
      <w:bookmarkEnd w:id="44"/>
      <w:r w:rsidRPr="008A56A5">
        <w:rPr>
          <w:rFonts w:cs="Open Sans"/>
        </w:rPr>
        <w:t xml:space="preserve">understanding that they are the citizen </w:t>
      </w:r>
      <w:r w:rsidR="00335D9E" w:rsidRPr="008A56A5">
        <w:rPr>
          <w:rFonts w:cs="Open Sans"/>
        </w:rPr>
        <w:t xml:space="preserve">or national </w:t>
      </w:r>
      <w:r w:rsidRPr="008A56A5">
        <w:rPr>
          <w:rFonts w:cs="Open Sans"/>
        </w:rPr>
        <w:t xml:space="preserve">of another country, they may be made stateless in contravention of these obligations. </w:t>
      </w:r>
      <w:r w:rsidR="00947F07" w:rsidRPr="00947F07">
        <w:rPr>
          <w:rFonts w:cs="Open Sans"/>
        </w:rPr>
        <w:t>A further issue for consideration is if a child is born overseas to an Australian woman whose citizenship has been removed prior to giving birth. There could be significant, complex and adverse implications for the potential citizenship of the child, and their human rights.</w:t>
      </w:r>
    </w:p>
    <w:p w14:paraId="1BE39CAF" w14:textId="77777777" w:rsidR="00CC10DB" w:rsidRPr="008A56A5" w:rsidRDefault="00D264ED" w:rsidP="00CC10DB">
      <w:pPr>
        <w:pStyle w:val="ListNumber"/>
        <w:numPr>
          <w:ilvl w:val="0"/>
          <w:numId w:val="15"/>
        </w:numPr>
        <w:tabs>
          <w:tab w:val="num" w:pos="993"/>
          <w:tab w:val="left" w:pos="1418"/>
        </w:tabs>
        <w:ind w:left="709" w:hanging="567"/>
        <w:rPr>
          <w:rFonts w:cs="Open Sans"/>
        </w:rPr>
      </w:pPr>
      <w:r w:rsidRPr="008A56A5">
        <w:rPr>
          <w:rFonts w:cs="Open Sans"/>
        </w:rPr>
        <w:t>Removal of citizenship is likely to significantly limit numerous other human right</w:t>
      </w:r>
      <w:r w:rsidR="00CC10DB" w:rsidRPr="008A56A5">
        <w:rPr>
          <w:rFonts w:cs="Open Sans"/>
        </w:rPr>
        <w:t xml:space="preserve">s in ways that </w:t>
      </w:r>
      <w:r w:rsidRPr="008A56A5">
        <w:rPr>
          <w:rFonts w:cs="Open Sans"/>
        </w:rPr>
        <w:t>may be extensive and not immediately apparent. For example, removal of citizenship may lead to loss of a passport,</w:t>
      </w:r>
      <w:r w:rsidRPr="008A56A5">
        <w:rPr>
          <w:rStyle w:val="EndnoteReference"/>
        </w:rPr>
        <w:endnoteReference w:id="21"/>
      </w:r>
      <w:r w:rsidRPr="008A56A5">
        <w:rPr>
          <w:rFonts w:cs="Open Sans"/>
        </w:rPr>
        <w:t xml:space="preserve"> removal from the electoral roll,</w:t>
      </w:r>
      <w:r w:rsidRPr="008A56A5">
        <w:rPr>
          <w:rStyle w:val="EndnoteReference"/>
        </w:rPr>
        <w:endnoteReference w:id="22"/>
      </w:r>
      <w:r w:rsidRPr="008A56A5">
        <w:rPr>
          <w:rFonts w:cs="Open Sans"/>
        </w:rPr>
        <w:t xml:space="preserve"> and loss of entitlement to social security benefits.</w:t>
      </w:r>
      <w:r w:rsidRPr="008A56A5">
        <w:rPr>
          <w:rStyle w:val="EndnoteReference"/>
        </w:rPr>
        <w:endnoteReference w:id="23"/>
      </w:r>
      <w:r w:rsidRPr="008A56A5">
        <w:rPr>
          <w:rFonts w:cs="Open Sans"/>
        </w:rPr>
        <w:t xml:space="preserve"> It would change the activities that intelligence organisations such as the Australian Secret Intelligence Service and the Australian Signals Directorate can undertake with respect to a person.</w:t>
      </w:r>
      <w:r w:rsidRPr="008A56A5">
        <w:rPr>
          <w:rStyle w:val="EndnoteReference"/>
        </w:rPr>
        <w:endnoteReference w:id="24"/>
      </w:r>
      <w:r w:rsidRPr="008A56A5">
        <w:rPr>
          <w:rFonts w:cs="Open Sans"/>
        </w:rPr>
        <w:t xml:space="preserve"> </w:t>
      </w:r>
    </w:p>
    <w:p w14:paraId="416B8D8C" w14:textId="17DA3AC5" w:rsidR="00D264ED" w:rsidRPr="008A56A5" w:rsidRDefault="000C669C" w:rsidP="000C669C">
      <w:pPr>
        <w:pStyle w:val="ListNumber"/>
        <w:numPr>
          <w:ilvl w:val="0"/>
          <w:numId w:val="15"/>
        </w:numPr>
        <w:tabs>
          <w:tab w:val="num" w:pos="993"/>
          <w:tab w:val="left" w:pos="1418"/>
        </w:tabs>
        <w:ind w:left="709" w:hanging="567"/>
        <w:rPr>
          <w:rFonts w:cs="Open Sans"/>
        </w:rPr>
      </w:pPr>
      <w:r w:rsidRPr="008A56A5">
        <w:rPr>
          <w:rFonts w:cs="Open Sans"/>
        </w:rPr>
        <w:t>It may also lead to</w:t>
      </w:r>
      <w:r w:rsidR="00CC10DB" w:rsidRPr="008A56A5">
        <w:rPr>
          <w:rFonts w:cs="Open Sans"/>
        </w:rPr>
        <w:t xml:space="preserve"> mandatory </w:t>
      </w:r>
      <w:r w:rsidRPr="008A56A5">
        <w:rPr>
          <w:rFonts w:cs="Open Sans"/>
        </w:rPr>
        <w:t xml:space="preserve">(and lengthy) </w:t>
      </w:r>
      <w:r w:rsidR="00CC10DB" w:rsidRPr="008A56A5">
        <w:rPr>
          <w:rFonts w:cs="Open Sans"/>
        </w:rPr>
        <w:t>immigration detention and</w:t>
      </w:r>
      <w:r w:rsidRPr="008A56A5">
        <w:rPr>
          <w:rFonts w:cs="Open Sans"/>
        </w:rPr>
        <w:t>/or involuntary</w:t>
      </w:r>
      <w:r w:rsidR="00CC10DB" w:rsidRPr="008A56A5">
        <w:rPr>
          <w:rFonts w:cs="Open Sans"/>
        </w:rPr>
        <w:t xml:space="preserve"> deportation. </w:t>
      </w:r>
      <w:r w:rsidR="00D264ED" w:rsidRPr="008A56A5">
        <w:rPr>
          <w:rFonts w:cs="Open Sans"/>
        </w:rPr>
        <w:t>Immigration detention, or an inability to re-enter Australia, may in turn interfere with a person’s family life contrary to articles 17 and 23 of the ICCPR. Removal of a person who was born, raised, or who has spent a long period of their life in Australia could result in forced relocation to a country where they have no family or social connections and that is entirely culturally or otherwise unfamiliar. </w:t>
      </w:r>
    </w:p>
    <w:p w14:paraId="13820BDD" w14:textId="61CF4148" w:rsidR="003423F4" w:rsidRPr="008A56A5" w:rsidRDefault="00494951" w:rsidP="003423F4">
      <w:pPr>
        <w:pStyle w:val="Heading1"/>
      </w:pPr>
      <w:bookmarkStart w:id="45" w:name="_Toc20921361"/>
      <w:bookmarkStart w:id="46" w:name="_Toc21968479"/>
      <w:r w:rsidRPr="008A56A5">
        <w:t>Key human rights issues</w:t>
      </w:r>
      <w:bookmarkEnd w:id="45"/>
      <w:bookmarkEnd w:id="46"/>
    </w:p>
    <w:p w14:paraId="59802092" w14:textId="08CA0EC5" w:rsidR="00297800" w:rsidRPr="008A56A5" w:rsidRDefault="00D3427C" w:rsidP="00D56368">
      <w:pPr>
        <w:pStyle w:val="Heading2"/>
      </w:pPr>
      <w:bookmarkStart w:id="47" w:name="_Toc20921362"/>
      <w:bookmarkStart w:id="48" w:name="_Toc21968480"/>
      <w:r w:rsidRPr="008A56A5">
        <w:t>Removal</w:t>
      </w:r>
      <w:r w:rsidR="00B45890" w:rsidRPr="008A56A5">
        <w:t xml:space="preserve"> of citizenship </w:t>
      </w:r>
      <w:bookmarkEnd w:id="47"/>
      <w:r w:rsidRPr="008A56A5">
        <w:t>without conviction</w:t>
      </w:r>
      <w:bookmarkEnd w:id="48"/>
    </w:p>
    <w:p w14:paraId="300EE092" w14:textId="14C87022" w:rsidR="00B60757" w:rsidRPr="008A56A5" w:rsidRDefault="00B60757" w:rsidP="00B60757">
      <w:pPr>
        <w:pStyle w:val="ListNumber"/>
        <w:numPr>
          <w:ilvl w:val="0"/>
          <w:numId w:val="15"/>
        </w:numPr>
        <w:tabs>
          <w:tab w:val="num" w:pos="993"/>
          <w:tab w:val="left" w:pos="1418"/>
        </w:tabs>
        <w:ind w:left="709" w:hanging="567"/>
      </w:pPr>
      <w:r w:rsidRPr="008A56A5">
        <w:t xml:space="preserve">The Commission welcomes the </w:t>
      </w:r>
      <w:r w:rsidR="00433940" w:rsidRPr="008A56A5">
        <w:t>propo</w:t>
      </w:r>
      <w:r w:rsidR="00B206B7" w:rsidRPr="008A56A5">
        <w:t xml:space="preserve">sed </w:t>
      </w:r>
      <w:r w:rsidRPr="008A56A5">
        <w:t xml:space="preserve">repeal of ss 33A and 35, which </w:t>
      </w:r>
      <w:r w:rsidR="00B206B7" w:rsidRPr="008A56A5">
        <w:t xml:space="preserve">would </w:t>
      </w:r>
      <w:r w:rsidRPr="008A56A5">
        <w:t>remove the automatic citizenship loss provisions.</w:t>
      </w:r>
    </w:p>
    <w:p w14:paraId="73B5D151" w14:textId="7A1A04A0" w:rsidR="00B60757" w:rsidRPr="008A56A5" w:rsidRDefault="00B60757" w:rsidP="00B60757">
      <w:pPr>
        <w:pStyle w:val="ListNumber"/>
        <w:numPr>
          <w:ilvl w:val="0"/>
          <w:numId w:val="15"/>
        </w:numPr>
        <w:tabs>
          <w:tab w:val="num" w:pos="993"/>
          <w:tab w:val="left" w:pos="1418"/>
        </w:tabs>
        <w:ind w:left="709" w:hanging="567"/>
      </w:pPr>
      <w:r w:rsidRPr="008A56A5">
        <w:t xml:space="preserve">However, in line with </w:t>
      </w:r>
      <w:r w:rsidR="001B2C2C" w:rsidRPr="008A56A5">
        <w:t>Recommendation 1</w:t>
      </w:r>
      <w:r w:rsidRPr="008A56A5">
        <w:t xml:space="preserve"> made</w:t>
      </w:r>
      <w:r w:rsidR="001B2C2C" w:rsidRPr="008A56A5">
        <w:t xml:space="preserve"> by the Commission</w:t>
      </w:r>
      <w:r w:rsidRPr="008A56A5">
        <w:t xml:space="preserve"> to the INSLM</w:t>
      </w:r>
      <w:r w:rsidR="001B2C2C" w:rsidRPr="008A56A5">
        <w:t xml:space="preserve"> in </w:t>
      </w:r>
      <w:r w:rsidR="00EE68C4">
        <w:t>a</w:t>
      </w:r>
      <w:r w:rsidR="00EE68C4" w:rsidRPr="008A56A5">
        <w:t xml:space="preserve"> </w:t>
      </w:r>
      <w:r w:rsidR="001B2C2C" w:rsidRPr="008A56A5">
        <w:t>submission dated 14 June 2019</w:t>
      </w:r>
      <w:r w:rsidRPr="008A56A5">
        <w:t xml:space="preserve">, </w:t>
      </w:r>
      <w:r w:rsidR="001B2C2C" w:rsidRPr="008A56A5">
        <w:t>the Commission</w:t>
      </w:r>
      <w:r w:rsidRPr="008A56A5">
        <w:t xml:space="preserve"> considers that </w:t>
      </w:r>
      <w:r w:rsidR="001B2C2C" w:rsidRPr="008A56A5">
        <w:t xml:space="preserve">loss of citizenship should only be possible following a relevant criminal conviction, rather than on the basis of </w:t>
      </w:r>
      <w:r w:rsidR="009941CB" w:rsidRPr="008A56A5">
        <w:t xml:space="preserve">the Minister’s satisfaction that the person has engaged in </w:t>
      </w:r>
      <w:r w:rsidR="001B2C2C" w:rsidRPr="008A56A5">
        <w:t xml:space="preserve">proscribed conduct. </w:t>
      </w:r>
    </w:p>
    <w:p w14:paraId="4C937100" w14:textId="5B8A58A1" w:rsidR="004810FB" w:rsidRPr="008A56A5" w:rsidRDefault="001B2C2C" w:rsidP="00B60757">
      <w:pPr>
        <w:pStyle w:val="ListNumber"/>
        <w:numPr>
          <w:ilvl w:val="0"/>
          <w:numId w:val="15"/>
        </w:numPr>
        <w:tabs>
          <w:tab w:val="num" w:pos="993"/>
          <w:tab w:val="left" w:pos="1418"/>
        </w:tabs>
        <w:ind w:left="709" w:hanging="567"/>
      </w:pPr>
      <w:r w:rsidRPr="008A56A5">
        <w:t xml:space="preserve">Proposed s 36B </w:t>
      </w:r>
      <w:r w:rsidRPr="008A56A5">
        <w:rPr>
          <w:rFonts w:cs="Open Sans"/>
        </w:rPr>
        <w:t xml:space="preserve">provides that the Minister can remove a person’s Australian citizenship if </w:t>
      </w:r>
      <w:r w:rsidR="001F2064" w:rsidRPr="008A56A5">
        <w:rPr>
          <w:rFonts w:cs="Open Sans"/>
        </w:rPr>
        <w:t xml:space="preserve">(among other things), the Minister is satisfied that </w:t>
      </w:r>
      <w:r w:rsidRPr="008A56A5">
        <w:rPr>
          <w:rFonts w:cs="Open Sans"/>
        </w:rPr>
        <w:t>they</w:t>
      </w:r>
      <w:r w:rsidR="001F2064" w:rsidRPr="008A56A5">
        <w:rPr>
          <w:rFonts w:cs="Open Sans"/>
        </w:rPr>
        <w:t xml:space="preserve"> have</w:t>
      </w:r>
      <w:r w:rsidRPr="008A56A5">
        <w:rPr>
          <w:rFonts w:cs="Open Sans"/>
        </w:rPr>
        <w:t xml:space="preserve"> engage</w:t>
      </w:r>
      <w:r w:rsidR="001F2064" w:rsidRPr="008A56A5">
        <w:rPr>
          <w:rFonts w:cs="Open Sans"/>
        </w:rPr>
        <w:t>d</w:t>
      </w:r>
      <w:r w:rsidRPr="008A56A5">
        <w:rPr>
          <w:rFonts w:cs="Open Sans"/>
        </w:rPr>
        <w:t xml:space="preserve"> in a range of specified conduct. The conduct is</w:t>
      </w:r>
      <w:r w:rsidR="001F2064" w:rsidRPr="008A56A5">
        <w:rPr>
          <w:rFonts w:cs="Open Sans"/>
        </w:rPr>
        <w:t xml:space="preserve"> largely</w:t>
      </w:r>
      <w:r w:rsidRPr="008A56A5">
        <w:rPr>
          <w:rFonts w:cs="Open Sans"/>
        </w:rPr>
        <w:t xml:space="preserve"> described in the same terms as certain offences in the Criminal Code. </w:t>
      </w:r>
    </w:p>
    <w:p w14:paraId="7DF7E0AD" w14:textId="64DCEF0D" w:rsidR="001B2C2C" w:rsidRPr="008A56A5" w:rsidRDefault="001B2C2C" w:rsidP="00B60757">
      <w:pPr>
        <w:pStyle w:val="ListNumber"/>
        <w:numPr>
          <w:ilvl w:val="0"/>
          <w:numId w:val="15"/>
        </w:numPr>
        <w:tabs>
          <w:tab w:val="num" w:pos="993"/>
          <w:tab w:val="left" w:pos="1418"/>
        </w:tabs>
        <w:ind w:left="709" w:hanging="567"/>
      </w:pPr>
      <w:r w:rsidRPr="008A56A5">
        <w:rPr>
          <w:rFonts w:cs="Open Sans"/>
        </w:rPr>
        <w:t>However, it is not necessary for a person to have been convicted of one of these offences</w:t>
      </w:r>
      <w:r w:rsidR="00EE68C4">
        <w:rPr>
          <w:rFonts w:cs="Open Sans"/>
        </w:rPr>
        <w:t xml:space="preserve"> under this provision</w:t>
      </w:r>
      <w:r w:rsidRPr="008A56A5">
        <w:rPr>
          <w:rFonts w:cs="Open Sans"/>
        </w:rPr>
        <w:t>.</w:t>
      </w:r>
      <w:r w:rsidR="004810FB" w:rsidRPr="008A56A5">
        <w:rPr>
          <w:rFonts w:cs="Open Sans"/>
        </w:rPr>
        <w:t xml:space="preserve"> Further, the conduct may not rise to the level of a criminal offence </w:t>
      </w:r>
      <w:r w:rsidR="004D59C6" w:rsidRPr="008A56A5">
        <w:rPr>
          <w:rFonts w:cs="Open Sans"/>
        </w:rPr>
        <w:t>that would be prosecutable in</w:t>
      </w:r>
      <w:r w:rsidR="004810FB" w:rsidRPr="008A56A5">
        <w:rPr>
          <w:rFonts w:cs="Open Sans"/>
        </w:rPr>
        <w:t xml:space="preserve"> court.</w:t>
      </w:r>
      <w:r w:rsidR="004D59C6" w:rsidRPr="008A56A5">
        <w:rPr>
          <w:rFonts w:cs="Open Sans"/>
        </w:rPr>
        <w:t xml:space="preserve"> For example, the Minister need not be satisfied of any fault element</w:t>
      </w:r>
      <w:r w:rsidR="00D15EFF" w:rsidRPr="008A56A5">
        <w:rPr>
          <w:rFonts w:cs="Open Sans"/>
        </w:rPr>
        <w:t>, which is normally required to establish criminal conduct.</w:t>
      </w:r>
    </w:p>
    <w:p w14:paraId="3C1B3D26" w14:textId="05895E06" w:rsidR="001B2C2C" w:rsidRPr="008A56A5" w:rsidRDefault="00640DF6" w:rsidP="00B60757">
      <w:pPr>
        <w:pStyle w:val="ListNumber"/>
        <w:numPr>
          <w:ilvl w:val="0"/>
          <w:numId w:val="15"/>
        </w:numPr>
        <w:tabs>
          <w:tab w:val="num" w:pos="993"/>
          <w:tab w:val="left" w:pos="1418"/>
        </w:tabs>
        <w:ind w:left="709" w:hanging="567"/>
      </w:pPr>
      <w:r w:rsidRPr="008A56A5">
        <w:rPr>
          <w:rFonts w:cs="Open Sans"/>
        </w:rPr>
        <w:t>Proposed s</w:t>
      </w:r>
      <w:r w:rsidR="00BC117C" w:rsidRPr="008A56A5">
        <w:rPr>
          <w:rFonts w:cs="Open Sans"/>
        </w:rPr>
        <w:t xml:space="preserve"> 36B </w:t>
      </w:r>
      <w:r w:rsidR="005F4D83" w:rsidRPr="008A56A5">
        <w:rPr>
          <w:rFonts w:cs="Open Sans"/>
        </w:rPr>
        <w:t>applies</w:t>
      </w:r>
      <w:r w:rsidR="00BC117C" w:rsidRPr="008A56A5">
        <w:rPr>
          <w:rFonts w:cs="Open Sans"/>
        </w:rPr>
        <w:t xml:space="preserve"> </w:t>
      </w:r>
      <w:r w:rsidR="005F4D83" w:rsidRPr="008A56A5">
        <w:rPr>
          <w:rFonts w:cs="Open Sans"/>
        </w:rPr>
        <w:t xml:space="preserve">to conduct that is engaged in outside of Australia, or conducted </w:t>
      </w:r>
      <w:r w:rsidR="00336D53" w:rsidRPr="008A56A5">
        <w:rPr>
          <w:rFonts w:cs="Open Sans"/>
        </w:rPr>
        <w:t>within</w:t>
      </w:r>
      <w:r w:rsidR="005F4D83" w:rsidRPr="008A56A5">
        <w:rPr>
          <w:rFonts w:cs="Open Sans"/>
        </w:rPr>
        <w:t xml:space="preserve"> in Australia </w:t>
      </w:r>
      <w:r w:rsidR="00336D53" w:rsidRPr="008A56A5">
        <w:rPr>
          <w:rFonts w:cs="Open Sans"/>
        </w:rPr>
        <w:t>where</w:t>
      </w:r>
      <w:r w:rsidR="005F4D83" w:rsidRPr="008A56A5">
        <w:rPr>
          <w:rFonts w:cs="Open Sans"/>
        </w:rPr>
        <w:t xml:space="preserve"> the person has since left Australia and has not been tr</w:t>
      </w:r>
      <w:r w:rsidR="0009218D" w:rsidRPr="008A56A5">
        <w:rPr>
          <w:rFonts w:cs="Open Sans"/>
        </w:rPr>
        <w:t>i</w:t>
      </w:r>
      <w:r w:rsidR="005F4D83" w:rsidRPr="008A56A5">
        <w:rPr>
          <w:rFonts w:cs="Open Sans"/>
        </w:rPr>
        <w:t>ed for an offence in relation to the conduct.</w:t>
      </w:r>
    </w:p>
    <w:p w14:paraId="2054B480" w14:textId="77777777" w:rsidR="00C46993" w:rsidRPr="008A56A5" w:rsidRDefault="001F2064" w:rsidP="00B60757">
      <w:pPr>
        <w:pStyle w:val="ListNumber"/>
        <w:numPr>
          <w:ilvl w:val="0"/>
          <w:numId w:val="15"/>
        </w:numPr>
        <w:tabs>
          <w:tab w:val="num" w:pos="993"/>
          <w:tab w:val="left" w:pos="1418"/>
        </w:tabs>
        <w:ind w:left="709" w:hanging="567"/>
      </w:pPr>
      <w:r w:rsidRPr="008A56A5">
        <w:rPr>
          <w:rFonts w:cs="Open Sans"/>
        </w:rPr>
        <w:t xml:space="preserve">The practical result of </w:t>
      </w:r>
      <w:r w:rsidR="00640DF6" w:rsidRPr="008A56A5">
        <w:rPr>
          <w:rFonts w:cs="Open Sans"/>
        </w:rPr>
        <w:t xml:space="preserve">proposed </w:t>
      </w:r>
      <w:r w:rsidRPr="008A56A5">
        <w:rPr>
          <w:rFonts w:cs="Open Sans"/>
        </w:rPr>
        <w:t>s 36B</w:t>
      </w:r>
      <w:r w:rsidR="006B1E56" w:rsidRPr="008A56A5">
        <w:rPr>
          <w:rFonts w:cs="Open Sans"/>
        </w:rPr>
        <w:t xml:space="preserve"> will be that </w:t>
      </w:r>
      <w:r w:rsidR="00A51922" w:rsidRPr="008A56A5">
        <w:rPr>
          <w:rFonts w:cs="Open Sans"/>
        </w:rPr>
        <w:t xml:space="preserve">the Minister </w:t>
      </w:r>
      <w:r w:rsidR="00A6678F" w:rsidRPr="008A56A5">
        <w:rPr>
          <w:rFonts w:cs="Open Sans"/>
        </w:rPr>
        <w:t>c</w:t>
      </w:r>
      <w:r w:rsidR="00095CD3" w:rsidRPr="008A56A5">
        <w:rPr>
          <w:rFonts w:cs="Open Sans"/>
        </w:rPr>
        <w:t>ould</w:t>
      </w:r>
      <w:r w:rsidR="00A6678F" w:rsidRPr="008A56A5">
        <w:rPr>
          <w:rFonts w:cs="Open Sans"/>
        </w:rPr>
        <w:t xml:space="preserve"> make decisions on the basis </w:t>
      </w:r>
      <w:r w:rsidR="00CC0988" w:rsidRPr="008A56A5">
        <w:rPr>
          <w:rFonts w:cs="Open Sans"/>
        </w:rPr>
        <w:t xml:space="preserve">information </w:t>
      </w:r>
      <w:r w:rsidR="00A6678F" w:rsidRPr="008A56A5">
        <w:rPr>
          <w:rFonts w:cs="Open Sans"/>
        </w:rPr>
        <w:t>that would</w:t>
      </w:r>
      <w:r w:rsidR="00095CD3" w:rsidRPr="008A56A5">
        <w:rPr>
          <w:rFonts w:cs="Open Sans"/>
        </w:rPr>
        <w:t xml:space="preserve"> not</w:t>
      </w:r>
      <w:r w:rsidR="00A6678F" w:rsidRPr="008A56A5">
        <w:rPr>
          <w:rFonts w:cs="Open Sans"/>
        </w:rPr>
        <w:t xml:space="preserve"> be</w:t>
      </w:r>
      <w:r w:rsidR="00CC0988" w:rsidRPr="008A56A5">
        <w:rPr>
          <w:rFonts w:cs="Open Sans"/>
        </w:rPr>
        <w:t xml:space="preserve"> accepted </w:t>
      </w:r>
      <w:r w:rsidR="00A6678F" w:rsidRPr="008A56A5">
        <w:rPr>
          <w:rFonts w:cs="Open Sans"/>
        </w:rPr>
        <w:t>as evidence before</w:t>
      </w:r>
      <w:r w:rsidR="00CC0988" w:rsidRPr="008A56A5">
        <w:rPr>
          <w:rFonts w:cs="Open Sans"/>
        </w:rPr>
        <w:t xml:space="preserve"> </w:t>
      </w:r>
      <w:r w:rsidR="00BF5593" w:rsidRPr="008A56A5">
        <w:rPr>
          <w:rFonts w:cs="Open Sans"/>
        </w:rPr>
        <w:t>an Australian court, or a relevant foreign court.</w:t>
      </w:r>
      <w:r w:rsidR="005F138C" w:rsidRPr="008A56A5">
        <w:rPr>
          <w:rFonts w:cs="Open Sans"/>
        </w:rPr>
        <w:t xml:space="preserve"> </w:t>
      </w:r>
      <w:r w:rsidR="00095CD3" w:rsidRPr="008A56A5">
        <w:rPr>
          <w:rFonts w:cs="Open Sans"/>
        </w:rPr>
        <w:t xml:space="preserve">That is, the bar for establishing reasonable satisfaction is one of administrative fact-finding, rather than evidence in a criminal prosecution. </w:t>
      </w:r>
    </w:p>
    <w:p w14:paraId="38C2D014" w14:textId="01E8B385" w:rsidR="00640DF6" w:rsidRPr="008A56A5" w:rsidRDefault="00A6678F" w:rsidP="00B60757">
      <w:pPr>
        <w:pStyle w:val="ListNumber"/>
        <w:numPr>
          <w:ilvl w:val="0"/>
          <w:numId w:val="15"/>
        </w:numPr>
        <w:tabs>
          <w:tab w:val="num" w:pos="993"/>
          <w:tab w:val="left" w:pos="1418"/>
        </w:tabs>
        <w:ind w:left="709" w:hanging="567"/>
      </w:pPr>
      <w:r w:rsidRPr="008A56A5">
        <w:rPr>
          <w:rFonts w:cs="Open Sans"/>
        </w:rPr>
        <w:t>This may, for example, include intelligence that has been gathered in a foreign country</w:t>
      </w:r>
      <w:r w:rsidR="00C36D4B" w:rsidRPr="008A56A5">
        <w:rPr>
          <w:rFonts w:cs="Open Sans"/>
        </w:rPr>
        <w:t xml:space="preserve"> where the chain of custody is questionable</w:t>
      </w:r>
      <w:r w:rsidRPr="008A56A5">
        <w:rPr>
          <w:rFonts w:cs="Open Sans"/>
        </w:rPr>
        <w:t xml:space="preserve">. </w:t>
      </w:r>
      <w:r w:rsidR="009539EC" w:rsidRPr="008A56A5">
        <w:rPr>
          <w:rFonts w:cs="Open Sans"/>
        </w:rPr>
        <w:t xml:space="preserve">There may be </w:t>
      </w:r>
      <w:r w:rsidR="009A0508" w:rsidRPr="008A56A5">
        <w:rPr>
          <w:rFonts w:cs="Open Sans"/>
        </w:rPr>
        <w:t xml:space="preserve">a far greater level of uncertainty as </w:t>
      </w:r>
      <w:r w:rsidR="00DE037F" w:rsidRPr="008A56A5">
        <w:rPr>
          <w:rFonts w:cs="Open Sans"/>
        </w:rPr>
        <w:t xml:space="preserve">to </w:t>
      </w:r>
      <w:r w:rsidR="00542BB7" w:rsidRPr="008A56A5">
        <w:rPr>
          <w:rFonts w:cs="Open Sans"/>
        </w:rPr>
        <w:t>whether the</w:t>
      </w:r>
      <w:r w:rsidR="00DE037F" w:rsidRPr="008A56A5">
        <w:rPr>
          <w:rFonts w:cs="Open Sans"/>
        </w:rPr>
        <w:t xml:space="preserve"> </w:t>
      </w:r>
      <w:r w:rsidR="000A4C82" w:rsidRPr="008A56A5">
        <w:rPr>
          <w:rFonts w:cs="Open Sans"/>
        </w:rPr>
        <w:t xml:space="preserve">physical </w:t>
      </w:r>
      <w:r w:rsidR="00DE037F" w:rsidRPr="008A56A5">
        <w:rPr>
          <w:rFonts w:cs="Open Sans"/>
        </w:rPr>
        <w:t>conduct</w:t>
      </w:r>
      <w:r w:rsidR="00542BB7" w:rsidRPr="008A56A5">
        <w:rPr>
          <w:rFonts w:cs="Open Sans"/>
        </w:rPr>
        <w:t xml:space="preserve"> has occurred</w:t>
      </w:r>
      <w:r w:rsidR="00DE037F" w:rsidRPr="008A56A5">
        <w:rPr>
          <w:rFonts w:cs="Open Sans"/>
        </w:rPr>
        <w:t>,</w:t>
      </w:r>
      <w:r w:rsidR="000A4C82" w:rsidRPr="008A56A5">
        <w:rPr>
          <w:rFonts w:cs="Open Sans"/>
        </w:rPr>
        <w:t xml:space="preserve"> whether the requisite intention can be made out,</w:t>
      </w:r>
      <w:r w:rsidR="00542BB7" w:rsidRPr="008A56A5">
        <w:rPr>
          <w:rFonts w:cs="Open Sans"/>
        </w:rPr>
        <w:t xml:space="preserve"> and</w:t>
      </w:r>
      <w:r w:rsidR="00DE037F" w:rsidRPr="008A56A5">
        <w:rPr>
          <w:rFonts w:cs="Open Sans"/>
        </w:rPr>
        <w:t xml:space="preserve"> the identity of the alleged perpetrator, </w:t>
      </w:r>
      <w:r w:rsidR="00542BB7" w:rsidRPr="008A56A5">
        <w:rPr>
          <w:rFonts w:cs="Open Sans"/>
        </w:rPr>
        <w:t>yet removal of citizenship could still be the result.</w:t>
      </w:r>
      <w:r w:rsidR="00DE037F" w:rsidRPr="008A56A5">
        <w:rPr>
          <w:rFonts w:cs="Open Sans"/>
        </w:rPr>
        <w:t xml:space="preserve"> </w:t>
      </w:r>
    </w:p>
    <w:p w14:paraId="3BDAB6C7" w14:textId="77777777" w:rsidR="00383BD4" w:rsidRPr="008A56A5" w:rsidRDefault="00640DF6" w:rsidP="00B60757">
      <w:pPr>
        <w:pStyle w:val="ListNumber"/>
        <w:numPr>
          <w:ilvl w:val="0"/>
          <w:numId w:val="15"/>
        </w:numPr>
        <w:tabs>
          <w:tab w:val="num" w:pos="993"/>
          <w:tab w:val="left" w:pos="1418"/>
        </w:tabs>
        <w:ind w:left="709" w:hanging="567"/>
      </w:pPr>
      <w:r w:rsidRPr="008A56A5">
        <w:rPr>
          <w:rFonts w:cs="Open Sans"/>
        </w:rPr>
        <w:t>Further, proposed s 36B could be applied to less serious conduct than proposed s 36D</w:t>
      </w:r>
      <w:r w:rsidR="000A4C82" w:rsidRPr="008A56A5">
        <w:rPr>
          <w:rFonts w:cs="Open Sans"/>
        </w:rPr>
        <w:t>.</w:t>
      </w:r>
      <w:r w:rsidRPr="008A56A5">
        <w:rPr>
          <w:rFonts w:cs="Open Sans"/>
        </w:rPr>
        <w:t xml:space="preserve"> </w:t>
      </w:r>
      <w:r w:rsidR="000A4C82" w:rsidRPr="008A56A5">
        <w:rPr>
          <w:rFonts w:cs="Open Sans"/>
        </w:rPr>
        <w:t>T</w:t>
      </w:r>
      <w:r w:rsidRPr="008A56A5">
        <w:rPr>
          <w:rFonts w:cs="Open Sans"/>
        </w:rPr>
        <w:t>he latter requires a</w:t>
      </w:r>
      <w:r w:rsidR="000A4C82" w:rsidRPr="008A56A5">
        <w:rPr>
          <w:rFonts w:cs="Open Sans"/>
        </w:rPr>
        <w:t xml:space="preserve"> conviction and</w:t>
      </w:r>
      <w:r w:rsidRPr="008A56A5">
        <w:rPr>
          <w:rFonts w:cs="Open Sans"/>
        </w:rPr>
        <w:t xml:space="preserve"> sentence of at least three years</w:t>
      </w:r>
      <w:r w:rsidR="00E24945" w:rsidRPr="008A56A5">
        <w:rPr>
          <w:rFonts w:cs="Open Sans"/>
        </w:rPr>
        <w:t xml:space="preserve"> (itself a reduction from the current standard of six years as discussed in more detail below)</w:t>
      </w:r>
      <w:r w:rsidRPr="008A56A5">
        <w:rPr>
          <w:rFonts w:cs="Open Sans"/>
        </w:rPr>
        <w:t xml:space="preserve">. </w:t>
      </w:r>
      <w:r w:rsidR="000A4C82" w:rsidRPr="008A56A5">
        <w:rPr>
          <w:rFonts w:cs="Open Sans"/>
        </w:rPr>
        <w:t>While u</w:t>
      </w:r>
      <w:r w:rsidRPr="008A56A5">
        <w:rPr>
          <w:rFonts w:cs="Open Sans"/>
        </w:rPr>
        <w:t>nder proposed s 36E(2)(a) the Minister must consider the severity of conduct</w:t>
      </w:r>
      <w:r w:rsidR="00BF7DF3" w:rsidRPr="008A56A5">
        <w:rPr>
          <w:rFonts w:cs="Open Sans"/>
        </w:rPr>
        <w:t xml:space="preserve"> in deciding whether to remove a person’s citizenship, there is no</w:t>
      </w:r>
      <w:r w:rsidR="00E22314" w:rsidRPr="008A56A5">
        <w:rPr>
          <w:rFonts w:cs="Open Sans"/>
        </w:rPr>
        <w:t xml:space="preserve"> requirement for the </w:t>
      </w:r>
      <w:r w:rsidR="004356BD" w:rsidRPr="008A56A5">
        <w:rPr>
          <w:rFonts w:cs="Open Sans"/>
        </w:rPr>
        <w:t xml:space="preserve">nature of the </w:t>
      </w:r>
      <w:r w:rsidR="00E22314" w:rsidRPr="008A56A5">
        <w:rPr>
          <w:rFonts w:cs="Open Sans"/>
        </w:rPr>
        <w:t xml:space="preserve">conduct to </w:t>
      </w:r>
      <w:r w:rsidR="004356BD" w:rsidRPr="008A56A5">
        <w:rPr>
          <w:rFonts w:cs="Open Sans"/>
        </w:rPr>
        <w:t>be</w:t>
      </w:r>
      <w:r w:rsidR="00E22314" w:rsidRPr="008A56A5">
        <w:rPr>
          <w:rFonts w:cs="Open Sans"/>
        </w:rPr>
        <w:t xml:space="preserve"> </w:t>
      </w:r>
      <w:r w:rsidR="00C15004" w:rsidRPr="008A56A5">
        <w:rPr>
          <w:rFonts w:cs="Open Sans"/>
        </w:rPr>
        <w:t xml:space="preserve">as </w:t>
      </w:r>
      <w:r w:rsidR="004356BD" w:rsidRPr="008A56A5">
        <w:rPr>
          <w:rFonts w:cs="Open Sans"/>
        </w:rPr>
        <w:t>severe</w:t>
      </w:r>
      <w:r w:rsidR="00C15004" w:rsidRPr="008A56A5">
        <w:rPr>
          <w:rFonts w:cs="Open Sans"/>
        </w:rPr>
        <w:t xml:space="preserve"> as would be required </w:t>
      </w:r>
      <w:r w:rsidR="002F7EED" w:rsidRPr="008A56A5">
        <w:rPr>
          <w:rFonts w:cs="Open Sans"/>
        </w:rPr>
        <w:t>under the conviction based loss provisions</w:t>
      </w:r>
      <w:r w:rsidR="00BF7DF3" w:rsidRPr="008A56A5">
        <w:rPr>
          <w:rFonts w:cs="Open Sans"/>
        </w:rPr>
        <w:t>.</w:t>
      </w:r>
      <w:r w:rsidR="007538B4" w:rsidRPr="008A56A5">
        <w:rPr>
          <w:rFonts w:cs="Open Sans"/>
        </w:rPr>
        <w:t xml:space="preserve"> </w:t>
      </w:r>
    </w:p>
    <w:p w14:paraId="45625E67" w14:textId="04FEBE64" w:rsidR="00EC0E65" w:rsidRPr="008A56A5" w:rsidRDefault="000A4C82" w:rsidP="00B60757">
      <w:pPr>
        <w:pStyle w:val="ListNumber"/>
        <w:numPr>
          <w:ilvl w:val="0"/>
          <w:numId w:val="15"/>
        </w:numPr>
        <w:tabs>
          <w:tab w:val="num" w:pos="993"/>
          <w:tab w:val="left" w:pos="1418"/>
        </w:tabs>
        <w:ind w:left="709" w:hanging="567"/>
      </w:pPr>
      <w:r w:rsidRPr="008A56A5">
        <w:rPr>
          <w:rFonts w:cs="Open Sans"/>
        </w:rPr>
        <w:t>This</w:t>
      </w:r>
      <w:r w:rsidR="004356BD" w:rsidRPr="008A56A5">
        <w:rPr>
          <w:rFonts w:cs="Open Sans"/>
        </w:rPr>
        <w:t xml:space="preserve"> </w:t>
      </w:r>
      <w:r w:rsidRPr="008A56A5">
        <w:rPr>
          <w:rFonts w:cs="Open Sans"/>
        </w:rPr>
        <w:t>may be compounded by the</w:t>
      </w:r>
      <w:r w:rsidR="007538B4" w:rsidRPr="008A56A5">
        <w:rPr>
          <w:rFonts w:cs="Open Sans"/>
        </w:rPr>
        <w:t xml:space="preserve"> lack of requirement to consider a fault element</w:t>
      </w:r>
      <w:r w:rsidR="00C46993" w:rsidRPr="008A56A5">
        <w:rPr>
          <w:rFonts w:cs="Open Sans"/>
        </w:rPr>
        <w:t>, and the lack of requirement for a person to be given procedural fairness in advance of citizenship removal</w:t>
      </w:r>
      <w:r w:rsidR="00211B32" w:rsidRPr="008A56A5">
        <w:rPr>
          <w:rFonts w:cs="Open Sans"/>
        </w:rPr>
        <w:t xml:space="preserve">. </w:t>
      </w:r>
      <w:r w:rsidR="001C2BDA" w:rsidRPr="008A56A5">
        <w:rPr>
          <w:rFonts w:cs="Open Sans"/>
        </w:rPr>
        <w:t>As a result</w:t>
      </w:r>
      <w:r w:rsidR="00211B32" w:rsidRPr="008A56A5">
        <w:rPr>
          <w:rFonts w:cs="Open Sans"/>
        </w:rPr>
        <w:t>, there is a lower threshold</w:t>
      </w:r>
      <w:r w:rsidR="00BF7DF3" w:rsidRPr="008A56A5">
        <w:rPr>
          <w:rFonts w:cs="Open Sans"/>
        </w:rPr>
        <w:t xml:space="preserve"> </w:t>
      </w:r>
      <w:r w:rsidR="00211B32" w:rsidRPr="008A56A5">
        <w:rPr>
          <w:rFonts w:cs="Open Sans"/>
        </w:rPr>
        <w:t>to losing Australian citizenship on the basis of conduct</w:t>
      </w:r>
      <w:r w:rsidR="002F7EED" w:rsidRPr="008A56A5">
        <w:rPr>
          <w:rFonts w:cs="Open Sans"/>
        </w:rPr>
        <w:t xml:space="preserve"> only</w:t>
      </w:r>
      <w:r w:rsidR="00211B32" w:rsidRPr="008A56A5">
        <w:rPr>
          <w:rFonts w:cs="Open Sans"/>
        </w:rPr>
        <w:t>.</w:t>
      </w:r>
    </w:p>
    <w:p w14:paraId="7F57EA6B" w14:textId="733A0AE1" w:rsidR="0009218D" w:rsidRPr="008A56A5" w:rsidRDefault="0009218D" w:rsidP="0009218D">
      <w:pPr>
        <w:pStyle w:val="ListNumber"/>
        <w:numPr>
          <w:ilvl w:val="0"/>
          <w:numId w:val="15"/>
        </w:numPr>
        <w:tabs>
          <w:tab w:val="num" w:pos="993"/>
          <w:tab w:val="left" w:pos="1418"/>
        </w:tabs>
        <w:ind w:left="709" w:hanging="567"/>
      </w:pPr>
      <w:r w:rsidRPr="008A56A5">
        <w:t xml:space="preserve">The Commission considers that our criminal justice system is best placed to </w:t>
      </w:r>
      <w:r w:rsidRPr="008A56A5">
        <w:rPr>
          <w:rFonts w:cs="Open Sans"/>
        </w:rPr>
        <w:t>establish</w:t>
      </w:r>
      <w:r w:rsidRPr="008A56A5">
        <w:t xml:space="preserve"> that criminal conduct has occurred</w:t>
      </w:r>
      <w:r w:rsidR="00F30E7B" w:rsidRPr="008A56A5">
        <w:t xml:space="preserve"> </w:t>
      </w:r>
      <w:r w:rsidRPr="008A56A5">
        <w:t>and to assess its seriousness</w:t>
      </w:r>
      <w:r w:rsidR="00F30E7B" w:rsidRPr="008A56A5">
        <w:rPr>
          <w:rFonts w:cs="Open Sans"/>
        </w:rPr>
        <w:t>, applying prospective and clear legislative requirements.</w:t>
      </w:r>
      <w:r w:rsidRPr="008A56A5">
        <w:t xml:space="preserve"> Loss of citizenship, being one of the most severe possible civil consequences, is also best justified by reference to the findings of a court</w:t>
      </w:r>
      <w:r w:rsidR="00F30E7B" w:rsidRPr="008A56A5">
        <w:t xml:space="preserve"> </w:t>
      </w:r>
      <w:r w:rsidR="00F30E7B" w:rsidRPr="008A56A5">
        <w:rPr>
          <w:rFonts w:cs="Open Sans"/>
        </w:rPr>
        <w:t xml:space="preserve">rather than being solely a matter of </w:t>
      </w:r>
      <w:r w:rsidR="00A21C9A" w:rsidRPr="008A56A5">
        <w:rPr>
          <w:rFonts w:cs="Open Sans"/>
        </w:rPr>
        <w:t xml:space="preserve">executive </w:t>
      </w:r>
      <w:r w:rsidR="00F30E7B" w:rsidRPr="008A56A5">
        <w:rPr>
          <w:rFonts w:cs="Open Sans"/>
        </w:rPr>
        <w:t>discretion</w:t>
      </w:r>
      <w:r w:rsidRPr="008A56A5">
        <w:t xml:space="preserve">. </w:t>
      </w:r>
    </w:p>
    <w:p w14:paraId="290C8807" w14:textId="27A33A38" w:rsidR="0044629E" w:rsidRPr="008A56A5" w:rsidRDefault="0074375A" w:rsidP="00D84AF7">
      <w:pPr>
        <w:pStyle w:val="ListNumber"/>
        <w:keepNext/>
        <w:numPr>
          <w:ilvl w:val="0"/>
          <w:numId w:val="0"/>
        </w:numPr>
        <w:tabs>
          <w:tab w:val="left" w:pos="1418"/>
        </w:tabs>
        <w:ind w:left="709"/>
        <w:rPr>
          <w:b/>
          <w:bCs/>
        </w:rPr>
      </w:pPr>
      <w:r w:rsidRPr="008A56A5">
        <w:rPr>
          <w:b/>
          <w:bCs/>
        </w:rPr>
        <w:t xml:space="preserve">Recommendation </w:t>
      </w:r>
      <w:r w:rsidR="00BD0F18" w:rsidRPr="008A56A5">
        <w:rPr>
          <w:b/>
          <w:bCs/>
        </w:rPr>
        <w:t>1</w:t>
      </w:r>
    </w:p>
    <w:p w14:paraId="364BAFF0" w14:textId="31201739" w:rsidR="00546E43" w:rsidRPr="008A56A5" w:rsidRDefault="00546E43" w:rsidP="002B03A3">
      <w:pPr>
        <w:pStyle w:val="ListNumber"/>
        <w:keepNext/>
        <w:numPr>
          <w:ilvl w:val="0"/>
          <w:numId w:val="0"/>
        </w:numPr>
        <w:tabs>
          <w:tab w:val="left" w:pos="1418"/>
        </w:tabs>
        <w:ind w:left="709"/>
        <w:rPr>
          <w:rFonts w:cs="Open Sans"/>
        </w:rPr>
      </w:pPr>
      <w:r w:rsidRPr="008A56A5">
        <w:rPr>
          <w:rFonts w:cs="Open Sans"/>
        </w:rPr>
        <w:t xml:space="preserve">Proposed s 36B should </w:t>
      </w:r>
      <w:r w:rsidR="00C42837" w:rsidRPr="008A56A5">
        <w:rPr>
          <w:rFonts w:cs="Open Sans"/>
        </w:rPr>
        <w:t>be removed from the Bill</w:t>
      </w:r>
      <w:r w:rsidRPr="008A56A5">
        <w:rPr>
          <w:rFonts w:cs="Open Sans"/>
        </w:rPr>
        <w:t xml:space="preserve">, with the result that loss of citizenship </w:t>
      </w:r>
      <w:r w:rsidR="00C42837" w:rsidRPr="008A56A5">
        <w:rPr>
          <w:rFonts w:cs="Open Sans"/>
        </w:rPr>
        <w:t xml:space="preserve">is only </w:t>
      </w:r>
      <w:r w:rsidRPr="008A56A5">
        <w:rPr>
          <w:rFonts w:cs="Open Sans"/>
        </w:rPr>
        <w:t xml:space="preserve">possible under </w:t>
      </w:r>
      <w:r w:rsidR="00C42837" w:rsidRPr="008A56A5">
        <w:rPr>
          <w:rFonts w:cs="Open Sans"/>
        </w:rPr>
        <w:t xml:space="preserve">proposed </w:t>
      </w:r>
      <w:r w:rsidRPr="008A56A5">
        <w:t>s 3</w:t>
      </w:r>
      <w:r w:rsidR="00032504" w:rsidRPr="008A56A5">
        <w:t>6</w:t>
      </w:r>
      <w:r w:rsidR="00C42837" w:rsidRPr="008A56A5">
        <w:t>D</w:t>
      </w:r>
      <w:r w:rsidRPr="008A56A5">
        <w:rPr>
          <w:rFonts w:cs="Open Sans"/>
        </w:rPr>
        <w:t xml:space="preserve"> following a relevant criminal conviction, rather than </w:t>
      </w:r>
      <w:r w:rsidR="00C42837" w:rsidRPr="008A56A5">
        <w:rPr>
          <w:rFonts w:cs="Open Sans"/>
        </w:rPr>
        <w:t>on the basis of conduct without a conviction.</w:t>
      </w:r>
    </w:p>
    <w:p w14:paraId="20876DF3" w14:textId="478AD7C9" w:rsidR="00D56368" w:rsidRPr="008A56A5" w:rsidRDefault="00FC7A83" w:rsidP="00D56368">
      <w:pPr>
        <w:pStyle w:val="Heading2"/>
      </w:pPr>
      <w:bookmarkStart w:id="49" w:name="_Toc20921363"/>
      <w:bookmarkStart w:id="50" w:name="_Toc21968481"/>
      <w:r w:rsidRPr="008A56A5">
        <w:t>Lower</w:t>
      </w:r>
      <w:r w:rsidR="00D3427C" w:rsidRPr="008A56A5">
        <w:t>ed</w:t>
      </w:r>
      <w:r w:rsidRPr="008A56A5">
        <w:t xml:space="preserve"> threshold</w:t>
      </w:r>
      <w:r w:rsidR="00FC3987" w:rsidRPr="008A56A5">
        <w:t xml:space="preserve"> for conviction</w:t>
      </w:r>
      <w:bookmarkEnd w:id="49"/>
      <w:r w:rsidR="00D3427C" w:rsidRPr="008A56A5">
        <w:t>-based citizenship loss</w:t>
      </w:r>
      <w:bookmarkEnd w:id="50"/>
    </w:p>
    <w:p w14:paraId="4BECBDA6" w14:textId="1C46C0AC" w:rsidR="007D2E0A" w:rsidRPr="008A56A5" w:rsidRDefault="007D2E0A" w:rsidP="007D2E0A">
      <w:pPr>
        <w:pStyle w:val="ListNumber"/>
        <w:numPr>
          <w:ilvl w:val="0"/>
          <w:numId w:val="15"/>
        </w:numPr>
        <w:tabs>
          <w:tab w:val="num" w:pos="993"/>
          <w:tab w:val="left" w:pos="1418"/>
        </w:tabs>
        <w:ind w:left="709" w:hanging="567"/>
      </w:pPr>
      <w:r w:rsidRPr="008A56A5">
        <w:rPr>
          <w:rFonts w:cs="Open Sans"/>
        </w:rPr>
        <w:t xml:space="preserve">Current s 35A provides that persons with a ‘relevant terrorism conviction’ are </w:t>
      </w:r>
      <w:r w:rsidRPr="008A56A5">
        <w:t>eligible for removal of citizenship only where they have been sentenced to a period of imprisonment of at least six years or to periods that total at least six years (for convictions from 12 December 2015), or to a period of imprisonment of at least</w:t>
      </w:r>
      <w:r w:rsidR="007874A2" w:rsidRPr="008A56A5">
        <w:t xml:space="preserve"> ten</w:t>
      </w:r>
      <w:r w:rsidRPr="008A56A5">
        <w:t xml:space="preserve"> years or to periods that total at least </w:t>
      </w:r>
      <w:r w:rsidR="007874A2" w:rsidRPr="008A56A5">
        <w:t>ten</w:t>
      </w:r>
      <w:r w:rsidRPr="008A56A5">
        <w:t xml:space="preserve"> years (for convictions from 12 December 2005</w:t>
      </w:r>
      <w:r w:rsidR="00CD39A5" w:rsidRPr="008A56A5">
        <w:t xml:space="preserve"> to 12 December 2015</w:t>
      </w:r>
      <w:r w:rsidRPr="008A56A5">
        <w:t xml:space="preserve">). </w:t>
      </w:r>
    </w:p>
    <w:p w14:paraId="543479EC" w14:textId="6C645446" w:rsidR="007D2E0A" w:rsidRPr="008A56A5" w:rsidRDefault="007D2E0A" w:rsidP="007D2E0A">
      <w:pPr>
        <w:pStyle w:val="ListNumber"/>
        <w:numPr>
          <w:ilvl w:val="0"/>
          <w:numId w:val="15"/>
        </w:numPr>
        <w:tabs>
          <w:tab w:val="num" w:pos="993"/>
          <w:tab w:val="left" w:pos="1418"/>
        </w:tabs>
        <w:ind w:left="709" w:hanging="567"/>
        <w:rPr>
          <w:rFonts w:cs="Open Sans"/>
        </w:rPr>
      </w:pPr>
      <w:r w:rsidRPr="008A56A5">
        <w:t>Proposed</w:t>
      </w:r>
      <w:r w:rsidRPr="008A56A5">
        <w:rPr>
          <w:rFonts w:cs="Open Sans"/>
        </w:rPr>
        <w:t xml:space="preserve"> s 36D(1)(b) would lower the threshold to </w:t>
      </w:r>
      <w:r w:rsidR="00B6005B" w:rsidRPr="008A56A5">
        <w:rPr>
          <w:rFonts w:cs="Open Sans"/>
        </w:rPr>
        <w:t xml:space="preserve">a </w:t>
      </w:r>
      <w:r w:rsidRPr="008A56A5">
        <w:rPr>
          <w:rFonts w:cs="Open Sans"/>
        </w:rPr>
        <w:t xml:space="preserve">sentence of a period of imprisonment of at least three years, or to periods of imprisonment that total at least three years. </w:t>
      </w:r>
    </w:p>
    <w:p w14:paraId="6001E874" w14:textId="54E1EF07" w:rsidR="00B6005B" w:rsidRPr="008A56A5" w:rsidRDefault="00B6005B" w:rsidP="007D2E0A">
      <w:pPr>
        <w:pStyle w:val="ListNumber"/>
        <w:numPr>
          <w:ilvl w:val="0"/>
          <w:numId w:val="15"/>
        </w:numPr>
        <w:tabs>
          <w:tab w:val="num" w:pos="993"/>
          <w:tab w:val="left" w:pos="1418"/>
        </w:tabs>
        <w:ind w:left="709" w:hanging="567"/>
        <w:rPr>
          <w:rFonts w:cs="Open Sans"/>
        </w:rPr>
      </w:pPr>
      <w:r w:rsidRPr="008A56A5">
        <w:rPr>
          <w:rFonts w:cs="Open Sans"/>
        </w:rPr>
        <w:t>The Explanatory Memorandum to the Bill states that:</w:t>
      </w:r>
    </w:p>
    <w:p w14:paraId="70F37E2B" w14:textId="77777777" w:rsidR="00B6005B" w:rsidRPr="008A56A5" w:rsidRDefault="00B6005B" w:rsidP="003A19A5">
      <w:pPr>
        <w:pStyle w:val="ListNumber"/>
        <w:numPr>
          <w:ilvl w:val="0"/>
          <w:numId w:val="0"/>
        </w:numPr>
        <w:tabs>
          <w:tab w:val="left" w:pos="1418"/>
        </w:tabs>
        <w:ind w:left="1876" w:hanging="742"/>
        <w:rPr>
          <w:sz w:val="22"/>
          <w:szCs w:val="22"/>
        </w:rPr>
      </w:pPr>
      <w:r w:rsidRPr="008A56A5">
        <w:rPr>
          <w:sz w:val="22"/>
          <w:szCs w:val="22"/>
        </w:rPr>
        <w:t xml:space="preserve">100. </w:t>
      </w:r>
      <w:r w:rsidRPr="008A56A5">
        <w:rPr>
          <w:sz w:val="22"/>
          <w:szCs w:val="22"/>
        </w:rPr>
        <w:tab/>
        <w:t xml:space="preserve">New paragraph 36D(1)(b) reduces the period or periods of imprisonment that a person has been sentenced to in order to be subject to citizenship cessation under existing section 35A from 6 years to 3 years. </w:t>
      </w:r>
    </w:p>
    <w:p w14:paraId="795AC3D2" w14:textId="76FF0BED" w:rsidR="00B6005B" w:rsidRPr="008A56A5" w:rsidRDefault="00B6005B" w:rsidP="003A19A5">
      <w:pPr>
        <w:pStyle w:val="ListNumber"/>
        <w:numPr>
          <w:ilvl w:val="0"/>
          <w:numId w:val="0"/>
        </w:numPr>
        <w:tabs>
          <w:tab w:val="left" w:pos="1418"/>
        </w:tabs>
        <w:ind w:left="1876" w:hanging="742"/>
        <w:rPr>
          <w:sz w:val="22"/>
          <w:szCs w:val="22"/>
        </w:rPr>
      </w:pPr>
      <w:r w:rsidRPr="008A56A5">
        <w:rPr>
          <w:sz w:val="22"/>
          <w:szCs w:val="22"/>
        </w:rPr>
        <w:t>101.</w:t>
      </w:r>
      <w:r w:rsidRPr="008A56A5">
        <w:rPr>
          <w:sz w:val="22"/>
          <w:szCs w:val="22"/>
        </w:rPr>
        <w:tab/>
        <w:t>A sentence of imprisonment for a period of at least 3 years, or periods that total at least 3 years reflects the seriousness of a criminal conviction for one of the terrorism-related offences specified in new subsection 36</w:t>
      </w:r>
      <w:proofErr w:type="gramStart"/>
      <w:r w:rsidRPr="008A56A5">
        <w:rPr>
          <w:sz w:val="22"/>
          <w:szCs w:val="22"/>
        </w:rPr>
        <w:t>D(</w:t>
      </w:r>
      <w:proofErr w:type="gramEnd"/>
      <w:r w:rsidRPr="008A56A5">
        <w:rPr>
          <w:sz w:val="22"/>
          <w:szCs w:val="22"/>
        </w:rPr>
        <w:t>5).</w:t>
      </w:r>
    </w:p>
    <w:p w14:paraId="3179687A" w14:textId="77C1F673" w:rsidR="001112A3" w:rsidRPr="008A56A5" w:rsidRDefault="001112A3" w:rsidP="003A19A5">
      <w:pPr>
        <w:pStyle w:val="ListNumber"/>
        <w:numPr>
          <w:ilvl w:val="0"/>
          <w:numId w:val="0"/>
        </w:numPr>
        <w:tabs>
          <w:tab w:val="left" w:pos="1418"/>
        </w:tabs>
        <w:ind w:left="1876" w:hanging="742"/>
        <w:rPr>
          <w:sz w:val="22"/>
          <w:szCs w:val="22"/>
        </w:rPr>
      </w:pPr>
      <w:r w:rsidRPr="008A56A5">
        <w:rPr>
          <w:sz w:val="22"/>
          <w:szCs w:val="22"/>
        </w:rPr>
        <w:t>…</w:t>
      </w:r>
    </w:p>
    <w:p w14:paraId="67188359" w14:textId="09A54218" w:rsidR="001112A3" w:rsidRPr="008A56A5" w:rsidRDefault="001112A3" w:rsidP="003A19A5">
      <w:pPr>
        <w:pStyle w:val="ListNumber"/>
        <w:numPr>
          <w:ilvl w:val="0"/>
          <w:numId w:val="0"/>
        </w:numPr>
        <w:tabs>
          <w:tab w:val="left" w:pos="1418"/>
        </w:tabs>
        <w:ind w:left="1876" w:hanging="742"/>
        <w:rPr>
          <w:rFonts w:cs="Open Sans"/>
          <w:sz w:val="22"/>
          <w:szCs w:val="22"/>
        </w:rPr>
      </w:pPr>
      <w:r w:rsidRPr="008A56A5">
        <w:rPr>
          <w:rFonts w:cs="Open Sans"/>
          <w:sz w:val="22"/>
          <w:szCs w:val="22"/>
        </w:rPr>
        <w:t xml:space="preserve">132. </w:t>
      </w:r>
      <w:r w:rsidRPr="008A56A5">
        <w:rPr>
          <w:rFonts w:cs="Open Sans"/>
          <w:sz w:val="22"/>
          <w:szCs w:val="22"/>
        </w:rPr>
        <w:tab/>
        <w:t>While this extends the power of new section 36D to a greater number of convictions, the conviction for a specified offence is simply the starting point for the Minister to make a citizenship cessation determination, that being a determination that can be made only after having regard to a number of factors. This is appropriate when considering a determination of this gravity.</w:t>
      </w:r>
    </w:p>
    <w:p w14:paraId="50600517" w14:textId="1727365A" w:rsidR="003A19A5" w:rsidRPr="008A56A5" w:rsidRDefault="003638D2" w:rsidP="000D334D">
      <w:pPr>
        <w:pStyle w:val="ListNumber"/>
        <w:numPr>
          <w:ilvl w:val="0"/>
          <w:numId w:val="15"/>
        </w:numPr>
        <w:tabs>
          <w:tab w:val="num" w:pos="993"/>
          <w:tab w:val="left" w:pos="1418"/>
        </w:tabs>
        <w:ind w:left="709" w:hanging="567"/>
      </w:pPr>
      <w:r w:rsidRPr="008A56A5">
        <w:t xml:space="preserve">The Commission considers that </w:t>
      </w:r>
      <w:r w:rsidR="003A19A5" w:rsidRPr="008A56A5">
        <w:t xml:space="preserve">this explanation does not elucidate or justify the reason for the </w:t>
      </w:r>
      <w:r w:rsidR="00632C31" w:rsidRPr="008A56A5">
        <w:rPr>
          <w:rFonts w:cs="Open Sans"/>
        </w:rPr>
        <w:t>reduction in minimum sentence</w:t>
      </w:r>
      <w:r w:rsidR="002F36D5" w:rsidRPr="008A56A5">
        <w:t>, which will subject a greater number of people to potential loss of citizenship</w:t>
      </w:r>
      <w:r w:rsidR="003A19A5" w:rsidRPr="008A56A5">
        <w:t xml:space="preserve">. </w:t>
      </w:r>
    </w:p>
    <w:p w14:paraId="54EE4C4D" w14:textId="28DB0D7F" w:rsidR="001112A3" w:rsidRPr="008A56A5" w:rsidRDefault="001112A3" w:rsidP="001112A3">
      <w:pPr>
        <w:pStyle w:val="ListNumber"/>
        <w:numPr>
          <w:ilvl w:val="0"/>
          <w:numId w:val="15"/>
        </w:numPr>
        <w:tabs>
          <w:tab w:val="num" w:pos="993"/>
          <w:tab w:val="left" w:pos="1418"/>
        </w:tabs>
        <w:ind w:left="709" w:hanging="567"/>
        <w:rPr>
          <w:rFonts w:eastAsiaTheme="minorHAnsi" w:cs="Open Sans"/>
        </w:rPr>
      </w:pPr>
      <w:r w:rsidRPr="008A56A5">
        <w:rPr>
          <w:rFonts w:cs="Open Sans"/>
        </w:rPr>
        <w:t>The current six year</w:t>
      </w:r>
      <w:r w:rsidR="000D334D" w:rsidRPr="008A56A5">
        <w:rPr>
          <w:rFonts w:cs="Open Sans"/>
        </w:rPr>
        <w:t xml:space="preserve"> minimum sentence</w:t>
      </w:r>
      <w:r w:rsidRPr="008A56A5">
        <w:rPr>
          <w:rFonts w:cs="Open Sans"/>
        </w:rPr>
        <w:t xml:space="preserve"> requirement was implemented in accordance with a previous recommendation of </w:t>
      </w:r>
      <w:r w:rsidR="00056C7F" w:rsidRPr="008A56A5">
        <w:rPr>
          <w:rFonts w:cs="Open Sans"/>
        </w:rPr>
        <w:t xml:space="preserve">this </w:t>
      </w:r>
      <w:r w:rsidR="00041435" w:rsidRPr="008A56A5">
        <w:rPr>
          <w:rFonts w:cs="Open Sans"/>
        </w:rPr>
        <w:t>Committee with</w:t>
      </w:r>
      <w:r w:rsidRPr="008A56A5">
        <w:rPr>
          <w:rFonts w:cs="Open Sans"/>
        </w:rPr>
        <w:t xml:space="preserve"> respect </w:t>
      </w:r>
      <w:r w:rsidR="00A6553A" w:rsidRPr="008A56A5">
        <w:rPr>
          <w:rFonts w:cs="Open Sans"/>
        </w:rPr>
        <w:t>to</w:t>
      </w:r>
      <w:r w:rsidRPr="008A56A5">
        <w:rPr>
          <w:rFonts w:cs="Open Sans"/>
        </w:rPr>
        <w:t xml:space="preserve"> the </w:t>
      </w:r>
      <w:r w:rsidR="00041435" w:rsidRPr="008A56A5">
        <w:rPr>
          <w:rFonts w:cs="Open Sans"/>
        </w:rPr>
        <w:t>Amendment (Allegiance to Australia) Bill 2015 (Cth)</w:t>
      </w:r>
      <w:r w:rsidRPr="008A56A5">
        <w:rPr>
          <w:rFonts w:cs="Open Sans"/>
        </w:rPr>
        <w:t>.</w:t>
      </w:r>
      <w:r w:rsidRPr="008A56A5">
        <w:rPr>
          <w:rFonts w:eastAsiaTheme="minorHAnsi" w:cs="Open Sans"/>
        </w:rPr>
        <w:t xml:space="preserve"> </w:t>
      </w:r>
    </w:p>
    <w:p w14:paraId="54F1F792" w14:textId="31ED72EE" w:rsidR="001112A3" w:rsidRPr="008A56A5" w:rsidRDefault="001112A3" w:rsidP="001112A3">
      <w:pPr>
        <w:pStyle w:val="ListNumber"/>
        <w:numPr>
          <w:ilvl w:val="0"/>
          <w:numId w:val="15"/>
        </w:numPr>
        <w:tabs>
          <w:tab w:val="num" w:pos="993"/>
          <w:tab w:val="left" w:pos="1418"/>
        </w:tabs>
        <w:ind w:left="709" w:hanging="567"/>
        <w:rPr>
          <w:rFonts w:cs="Open Sans"/>
        </w:rPr>
      </w:pPr>
      <w:r w:rsidRPr="008A56A5">
        <w:rPr>
          <w:rFonts w:eastAsiaTheme="minorHAnsi" w:cs="Open Sans"/>
        </w:rPr>
        <w:t xml:space="preserve">This </w:t>
      </w:r>
      <w:r w:rsidRPr="008A56A5">
        <w:rPr>
          <w:rFonts w:cs="Open Sans"/>
        </w:rPr>
        <w:t>recommendation</w:t>
      </w:r>
      <w:r w:rsidRPr="008A56A5">
        <w:rPr>
          <w:rFonts w:eastAsiaTheme="minorHAnsi" w:cs="Open Sans"/>
        </w:rPr>
        <w:t xml:space="preserve"> by the </w:t>
      </w:r>
      <w:r w:rsidR="00632C31" w:rsidRPr="008A56A5">
        <w:rPr>
          <w:rFonts w:eastAsiaTheme="minorHAnsi" w:cs="Open Sans"/>
        </w:rPr>
        <w:t>Committee</w:t>
      </w:r>
      <w:r w:rsidRPr="008A56A5">
        <w:rPr>
          <w:rFonts w:eastAsiaTheme="minorHAnsi" w:cs="Open Sans"/>
        </w:rPr>
        <w:t xml:space="preserve"> was made on the basis that, </w:t>
      </w:r>
      <w:r w:rsidRPr="008A56A5">
        <w:rPr>
          <w:rFonts w:cs="Open Sans"/>
        </w:rPr>
        <w:t>even following a conviction for a relevant offence:</w:t>
      </w:r>
    </w:p>
    <w:p w14:paraId="61B36E75" w14:textId="76A19008" w:rsidR="001112A3" w:rsidRPr="008A56A5" w:rsidRDefault="001112A3" w:rsidP="001112A3">
      <w:pPr>
        <w:pStyle w:val="Quotesub"/>
        <w:rPr>
          <w:rFonts w:cs="Open Sans"/>
        </w:rPr>
      </w:pPr>
      <w:r w:rsidRPr="008A56A5">
        <w:rPr>
          <w:rFonts w:cs="Open Sans"/>
        </w:rPr>
        <w:t xml:space="preserve">[T]here </w:t>
      </w:r>
      <w:r w:rsidR="001D0380" w:rsidRPr="008A56A5">
        <w:rPr>
          <w:rFonts w:cs="Open Sans"/>
        </w:rPr>
        <w:t xml:space="preserve">will </w:t>
      </w:r>
      <w:r w:rsidRPr="008A56A5">
        <w:rPr>
          <w:rFonts w:cs="Open Sans"/>
        </w:rPr>
        <w:t xml:space="preserve">still </w:t>
      </w:r>
      <w:r w:rsidR="001D0380" w:rsidRPr="008A56A5">
        <w:rPr>
          <w:rFonts w:cs="Open Sans"/>
        </w:rPr>
        <w:t xml:space="preserve">be </w:t>
      </w:r>
      <w:r w:rsidRPr="008A56A5">
        <w:rPr>
          <w:rFonts w:cs="Open Sans"/>
        </w:rPr>
        <w:t>degrees of seriousness of conduct and degrees to which conduct demonstrates a repudiation of allegiance to Australia … loss of citizenship should be attached to more serious conduct and a greater severity of sentence, and it was considered that a six year sentence would appropriately reflect this.</w:t>
      </w:r>
      <w:r w:rsidRPr="008A56A5">
        <w:rPr>
          <w:rStyle w:val="EndnoteReference"/>
          <w:rFonts w:cs="Open Sans"/>
          <w:sz w:val="22"/>
        </w:rPr>
        <w:endnoteReference w:id="25"/>
      </w:r>
      <w:r w:rsidRPr="008A56A5">
        <w:rPr>
          <w:rFonts w:cs="Open Sans"/>
        </w:rPr>
        <w:t xml:space="preserve"> </w:t>
      </w:r>
    </w:p>
    <w:p w14:paraId="3BDC6F02" w14:textId="2F1F8D60" w:rsidR="00632C31" w:rsidRPr="008A56A5" w:rsidRDefault="00632C31" w:rsidP="001112A3">
      <w:pPr>
        <w:pStyle w:val="ListNumber"/>
        <w:numPr>
          <w:ilvl w:val="0"/>
          <w:numId w:val="15"/>
        </w:numPr>
        <w:tabs>
          <w:tab w:val="num" w:pos="993"/>
          <w:tab w:val="left" w:pos="1418"/>
        </w:tabs>
        <w:ind w:left="709" w:hanging="567"/>
        <w:rPr>
          <w:rFonts w:cs="Open Sans"/>
        </w:rPr>
      </w:pPr>
      <w:r w:rsidRPr="008A56A5">
        <w:rPr>
          <w:rFonts w:eastAsiaTheme="minorHAnsi" w:cs="Open Sans"/>
        </w:rPr>
        <w:t xml:space="preserve">Further, the INSLM’s recent report </w:t>
      </w:r>
      <w:r w:rsidR="001D1DAA" w:rsidRPr="008A56A5">
        <w:rPr>
          <w:rFonts w:eastAsiaTheme="minorHAnsi" w:cs="Open Sans"/>
        </w:rPr>
        <w:t>state</w:t>
      </w:r>
      <w:r w:rsidR="0067123B" w:rsidRPr="008A56A5">
        <w:rPr>
          <w:rFonts w:eastAsiaTheme="minorHAnsi" w:cs="Open Sans"/>
        </w:rPr>
        <w:t>s</w:t>
      </w:r>
      <w:r w:rsidR="001D1DAA" w:rsidRPr="008A56A5">
        <w:rPr>
          <w:rFonts w:eastAsiaTheme="minorHAnsi" w:cs="Open Sans"/>
        </w:rPr>
        <w:t xml:space="preserve"> at [6.17] that a key aspect of his finding that the conviction-based regime (currents s 35A) is necessary and proportionate </w:t>
      </w:r>
      <w:r w:rsidR="00E93B72" w:rsidRPr="008A56A5">
        <w:rPr>
          <w:rFonts w:eastAsiaTheme="minorHAnsi" w:cs="Open Sans"/>
        </w:rPr>
        <w:t xml:space="preserve">is </w:t>
      </w:r>
      <w:r w:rsidR="001D1DAA" w:rsidRPr="008A56A5">
        <w:rPr>
          <w:rFonts w:eastAsiaTheme="minorHAnsi" w:cs="Open Sans"/>
        </w:rPr>
        <w:t>that there are appropriate safeguards to protect the rights of individuals, and to ensure an appropriate and flexible response to the circumstances of each individual</w:t>
      </w:r>
      <w:r w:rsidR="0067123B" w:rsidRPr="008A56A5">
        <w:rPr>
          <w:rFonts w:eastAsiaTheme="minorHAnsi" w:cs="Open Sans"/>
        </w:rPr>
        <w:t>,</w:t>
      </w:r>
      <w:r w:rsidR="001D1DAA" w:rsidRPr="008A56A5">
        <w:rPr>
          <w:rFonts w:eastAsiaTheme="minorHAnsi" w:cs="Open Sans"/>
        </w:rPr>
        <w:t xml:space="preserve"> including that:</w:t>
      </w:r>
    </w:p>
    <w:p w14:paraId="0CD2F295" w14:textId="0B7206E9" w:rsidR="001D1DAA" w:rsidRPr="008A56A5" w:rsidRDefault="001D1DAA" w:rsidP="001D1DAA">
      <w:pPr>
        <w:pStyle w:val="ListNumber"/>
        <w:numPr>
          <w:ilvl w:val="0"/>
          <w:numId w:val="0"/>
        </w:numPr>
        <w:tabs>
          <w:tab w:val="left" w:pos="1418"/>
        </w:tabs>
        <w:ind w:left="1134"/>
        <w:rPr>
          <w:rFonts w:cs="Open Sans"/>
          <w:sz w:val="22"/>
          <w:szCs w:val="22"/>
        </w:rPr>
      </w:pPr>
      <w:r w:rsidRPr="008A56A5">
        <w:rPr>
          <w:rFonts w:cs="Open Sans"/>
          <w:sz w:val="22"/>
          <w:szCs w:val="22"/>
        </w:rPr>
        <w:t>[T]here is a substantial sentence of imprisonment of six years or more, imposed by a judge, which shows the level of seriousness of the conduct…</w:t>
      </w:r>
    </w:p>
    <w:p w14:paraId="3073C562" w14:textId="7D434563" w:rsidR="00632C31" w:rsidRPr="008A56A5" w:rsidRDefault="00632C31" w:rsidP="001974CA">
      <w:pPr>
        <w:pStyle w:val="ListNumber"/>
        <w:numPr>
          <w:ilvl w:val="0"/>
          <w:numId w:val="15"/>
        </w:numPr>
        <w:tabs>
          <w:tab w:val="num" w:pos="993"/>
          <w:tab w:val="left" w:pos="1418"/>
        </w:tabs>
        <w:ind w:left="709" w:hanging="567"/>
      </w:pPr>
      <w:r w:rsidRPr="008A56A5">
        <w:t xml:space="preserve">The Commission considers that citizenship stripping should only occur in the most exceptional circumstances, where the gravest criminal </w:t>
      </w:r>
      <w:r w:rsidRPr="008A56A5">
        <w:rPr>
          <w:rFonts w:eastAsiaTheme="minorHAnsi"/>
        </w:rPr>
        <w:t>conduct</w:t>
      </w:r>
      <w:r w:rsidRPr="008A56A5">
        <w:t xml:space="preserve"> also repudiates one’s allegiance to Australia, and that the current </w:t>
      </w:r>
      <w:r w:rsidR="005F47BF" w:rsidRPr="008A56A5">
        <w:t>six</w:t>
      </w:r>
      <w:r w:rsidRPr="008A56A5">
        <w:t xml:space="preserve"> year requirement </w:t>
      </w:r>
      <w:r w:rsidR="009E0291" w:rsidRPr="008A56A5">
        <w:t xml:space="preserve">remains </w:t>
      </w:r>
      <w:r w:rsidR="0067123B" w:rsidRPr="008A56A5">
        <w:t>an appropriate</w:t>
      </w:r>
      <w:r w:rsidR="00C56880" w:rsidRPr="008A56A5">
        <w:t xml:space="preserve"> threshold</w:t>
      </w:r>
      <w:r w:rsidR="001974CA" w:rsidRPr="008A56A5">
        <w:t>.</w:t>
      </w:r>
      <w:r w:rsidRPr="008A56A5">
        <w:t xml:space="preserve"> </w:t>
      </w:r>
    </w:p>
    <w:p w14:paraId="1900BB95" w14:textId="6461DE2F" w:rsidR="00A962F9" w:rsidRPr="008A56A5" w:rsidRDefault="00A962F9" w:rsidP="001974CA">
      <w:pPr>
        <w:pStyle w:val="ListNumber"/>
        <w:numPr>
          <w:ilvl w:val="0"/>
          <w:numId w:val="15"/>
        </w:numPr>
        <w:tabs>
          <w:tab w:val="num" w:pos="993"/>
          <w:tab w:val="left" w:pos="1418"/>
        </w:tabs>
        <w:ind w:left="709" w:hanging="567"/>
        <w:rPr>
          <w:rFonts w:cs="Open Sans"/>
        </w:rPr>
      </w:pPr>
      <w:r w:rsidRPr="008A56A5">
        <w:rPr>
          <w:rFonts w:cs="Open Sans"/>
        </w:rPr>
        <w:t xml:space="preserve">Maintaining the six year imprisonment requirement </w:t>
      </w:r>
      <w:r w:rsidR="00035A13" w:rsidRPr="008A56A5">
        <w:rPr>
          <w:rFonts w:cs="Open Sans"/>
        </w:rPr>
        <w:t xml:space="preserve">would </w:t>
      </w:r>
      <w:r w:rsidRPr="008A56A5">
        <w:rPr>
          <w:rFonts w:cs="Open Sans"/>
        </w:rPr>
        <w:t xml:space="preserve">help ensure that only conduct with a </w:t>
      </w:r>
      <w:r w:rsidRPr="008A56A5">
        <w:t>higher</w:t>
      </w:r>
      <w:r w:rsidRPr="008A56A5">
        <w:rPr>
          <w:rFonts w:cs="Open Sans"/>
        </w:rPr>
        <w:t xml:space="preserve"> degree of culpability, and therefore also a likely closer nexus to conduct that repudiates allegiance to Australia, is eligible for removal of citizenship. </w:t>
      </w:r>
    </w:p>
    <w:p w14:paraId="2ABFB083" w14:textId="7CA4F104" w:rsidR="00461CAB" w:rsidRPr="008A56A5" w:rsidDel="005E41EE" w:rsidRDefault="00461CAB" w:rsidP="001974CA">
      <w:pPr>
        <w:pStyle w:val="ListNumber"/>
        <w:numPr>
          <w:ilvl w:val="0"/>
          <w:numId w:val="15"/>
        </w:numPr>
        <w:tabs>
          <w:tab w:val="num" w:pos="993"/>
          <w:tab w:val="left" w:pos="1418"/>
        </w:tabs>
        <w:ind w:left="709" w:hanging="567"/>
        <w:rPr>
          <w:rFonts w:cs="Open Sans"/>
        </w:rPr>
      </w:pPr>
      <w:r w:rsidRPr="008A56A5" w:rsidDel="005E41EE">
        <w:t xml:space="preserve">Where a court imposes a heavy sentence, </w:t>
      </w:r>
      <w:proofErr w:type="gramStart"/>
      <w:r w:rsidRPr="008A56A5" w:rsidDel="005E41EE">
        <w:t>this signals</w:t>
      </w:r>
      <w:proofErr w:type="gramEnd"/>
      <w:r w:rsidRPr="008A56A5" w:rsidDel="005E41EE">
        <w:t xml:space="preserve">, among other things, that the conduct is serious and that the person is a risk to the community. By contrast, a lighter sentence can signify a lower risk to the community, or even that the individual </w:t>
      </w:r>
      <w:r w:rsidRPr="008A56A5" w:rsidDel="005E41EE">
        <w:rPr>
          <w:rFonts w:cs="Open Sans"/>
        </w:rPr>
        <w:t>may</w:t>
      </w:r>
      <w:r w:rsidRPr="008A56A5" w:rsidDel="005E41EE">
        <w:t xml:space="preserve"> have committed a technical or otherwise less culpable contravention of the criminal law. </w:t>
      </w:r>
    </w:p>
    <w:p w14:paraId="4C2903B7" w14:textId="199593FB" w:rsidR="00A962F9" w:rsidRPr="008A56A5" w:rsidRDefault="007024EE" w:rsidP="001974CA">
      <w:pPr>
        <w:pStyle w:val="ListNumber"/>
        <w:numPr>
          <w:ilvl w:val="0"/>
          <w:numId w:val="15"/>
        </w:numPr>
        <w:tabs>
          <w:tab w:val="num" w:pos="993"/>
          <w:tab w:val="left" w:pos="1418"/>
        </w:tabs>
        <w:ind w:left="709" w:hanging="567"/>
        <w:rPr>
          <w:rFonts w:cs="Open Sans"/>
        </w:rPr>
      </w:pPr>
      <w:r w:rsidRPr="008A56A5">
        <w:rPr>
          <w:rFonts w:cs="Open Sans"/>
        </w:rPr>
        <w:t xml:space="preserve">By lowering the threshold </w:t>
      </w:r>
      <w:r w:rsidR="00656180" w:rsidRPr="008A56A5">
        <w:rPr>
          <w:rFonts w:cs="Open Sans"/>
        </w:rPr>
        <w:t xml:space="preserve">to </w:t>
      </w:r>
      <w:r w:rsidRPr="008A56A5">
        <w:rPr>
          <w:rFonts w:cs="Open Sans"/>
        </w:rPr>
        <w:t>three year</w:t>
      </w:r>
      <w:r w:rsidR="00A962F9" w:rsidRPr="008A56A5">
        <w:rPr>
          <w:rFonts w:cs="Open Sans"/>
        </w:rPr>
        <w:t xml:space="preserve"> imprisonment requirement, greater discretion is afforded to the Minister to determine whether certain conduct warrants the removal of citizenship. </w:t>
      </w:r>
      <w:r w:rsidR="009A1151" w:rsidRPr="008A56A5">
        <w:rPr>
          <w:rFonts w:cs="Open Sans"/>
        </w:rPr>
        <w:t>The result is that there is less reliance on the objective seriousness of the conduct and more reliance on impressionistic decision</w:t>
      </w:r>
      <w:r w:rsidR="000C0BD4" w:rsidRPr="008A56A5">
        <w:rPr>
          <w:rFonts w:cs="Open Sans"/>
        </w:rPr>
        <w:t>-</w:t>
      </w:r>
      <w:r w:rsidR="009A1151" w:rsidRPr="008A56A5">
        <w:rPr>
          <w:rFonts w:cs="Open Sans"/>
        </w:rPr>
        <w:t xml:space="preserve">making by a particular Minister. </w:t>
      </w:r>
      <w:r w:rsidR="000C0BD4" w:rsidRPr="008A56A5">
        <w:rPr>
          <w:rFonts w:cs="Open Sans"/>
        </w:rPr>
        <w:t xml:space="preserve">Given the serious consequences of citizenship loss, the Commission is not convinced that </w:t>
      </w:r>
      <w:r w:rsidR="000B2216" w:rsidRPr="008A56A5">
        <w:rPr>
          <w:rFonts w:cs="Open Sans"/>
        </w:rPr>
        <w:t>sufficient grounds have been made out to depart from the threshold previously recommended by this Committee.</w:t>
      </w:r>
      <w:r w:rsidR="000C0BD4" w:rsidRPr="008A56A5">
        <w:rPr>
          <w:rFonts w:cs="Open Sans"/>
        </w:rPr>
        <w:t xml:space="preserve"> </w:t>
      </w:r>
    </w:p>
    <w:p w14:paraId="252DA1BD" w14:textId="45C99A37" w:rsidR="0054260C" w:rsidRPr="008A56A5" w:rsidRDefault="0054260C" w:rsidP="0054260C">
      <w:pPr>
        <w:pStyle w:val="ListNumber"/>
        <w:keepNext/>
        <w:numPr>
          <w:ilvl w:val="0"/>
          <w:numId w:val="0"/>
        </w:numPr>
        <w:tabs>
          <w:tab w:val="left" w:pos="1418"/>
        </w:tabs>
        <w:ind w:left="709"/>
        <w:rPr>
          <w:b/>
          <w:bCs/>
        </w:rPr>
      </w:pPr>
      <w:bookmarkStart w:id="51" w:name="_Toc20921364"/>
      <w:r w:rsidRPr="008A56A5">
        <w:rPr>
          <w:b/>
          <w:bCs/>
        </w:rPr>
        <w:t xml:space="preserve">Recommendation </w:t>
      </w:r>
      <w:r w:rsidR="004E0C03" w:rsidRPr="008A56A5">
        <w:rPr>
          <w:b/>
          <w:bCs/>
        </w:rPr>
        <w:t>2</w:t>
      </w:r>
    </w:p>
    <w:p w14:paraId="207372EA" w14:textId="622DFF2E" w:rsidR="000051D9" w:rsidRPr="008A56A5" w:rsidRDefault="0054260C" w:rsidP="0054260C">
      <w:pPr>
        <w:pStyle w:val="ListNumber"/>
        <w:keepNext/>
        <w:numPr>
          <w:ilvl w:val="0"/>
          <w:numId w:val="0"/>
        </w:numPr>
        <w:tabs>
          <w:tab w:val="left" w:pos="1418"/>
        </w:tabs>
        <w:ind w:left="709"/>
        <w:rPr>
          <w:rFonts w:cs="Open Sans"/>
        </w:rPr>
      </w:pPr>
      <w:r w:rsidRPr="008A56A5">
        <w:rPr>
          <w:rFonts w:cs="Open Sans"/>
        </w:rPr>
        <w:t>Proposed s 36B</w:t>
      </w:r>
      <w:r w:rsidR="00001B46" w:rsidRPr="008A56A5">
        <w:rPr>
          <w:rFonts w:cs="Open Sans"/>
        </w:rPr>
        <w:t>(1)(b)</w:t>
      </w:r>
      <w:r w:rsidRPr="008A56A5">
        <w:rPr>
          <w:rFonts w:cs="Open Sans"/>
        </w:rPr>
        <w:t xml:space="preserve"> should be </w:t>
      </w:r>
      <w:r w:rsidR="00001B46" w:rsidRPr="008A56A5">
        <w:rPr>
          <w:rFonts w:cs="Open Sans"/>
        </w:rPr>
        <w:t>amended</w:t>
      </w:r>
      <w:r w:rsidRPr="008A56A5">
        <w:rPr>
          <w:rFonts w:cs="Open Sans"/>
        </w:rPr>
        <w:t>, with the result that loss of citizenship is only possible</w:t>
      </w:r>
      <w:r w:rsidR="00001B46" w:rsidRPr="008A56A5">
        <w:rPr>
          <w:rFonts w:cs="Open Sans"/>
        </w:rPr>
        <w:t xml:space="preserve"> in respect of relevant convictions</w:t>
      </w:r>
      <w:r w:rsidRPr="008A56A5">
        <w:rPr>
          <w:rFonts w:cs="Open Sans"/>
        </w:rPr>
        <w:t xml:space="preserve"> </w:t>
      </w:r>
      <w:r w:rsidR="00001B46" w:rsidRPr="008A56A5">
        <w:rPr>
          <w:rFonts w:cs="Open Sans"/>
        </w:rPr>
        <w:t>where a person has been sentence</w:t>
      </w:r>
      <w:r w:rsidR="004E0C03" w:rsidRPr="008A56A5">
        <w:rPr>
          <w:rFonts w:cs="Open Sans"/>
        </w:rPr>
        <w:t>d</w:t>
      </w:r>
      <w:r w:rsidR="00001B46" w:rsidRPr="008A56A5">
        <w:rPr>
          <w:rFonts w:cs="Open Sans"/>
        </w:rPr>
        <w:t xml:space="preserve"> to a period of imprisonment of at least six years, or to periods of imprisonment that total at least six years. </w:t>
      </w:r>
    </w:p>
    <w:p w14:paraId="00712EBA" w14:textId="080C48CA" w:rsidR="00D56368" w:rsidRPr="008A56A5" w:rsidRDefault="00FC7A83" w:rsidP="00AF2C51">
      <w:pPr>
        <w:pStyle w:val="Heading2"/>
      </w:pPr>
      <w:bookmarkStart w:id="52" w:name="_Toc21968482"/>
      <w:r w:rsidRPr="008A56A5">
        <w:t>Inadequate p</w:t>
      </w:r>
      <w:r w:rsidR="00D56368" w:rsidRPr="008A56A5">
        <w:t>rocedural safeguards</w:t>
      </w:r>
      <w:bookmarkEnd w:id="51"/>
      <w:bookmarkEnd w:id="52"/>
    </w:p>
    <w:p w14:paraId="0F2F14B7" w14:textId="1A5AD509" w:rsidR="009B0BD7" w:rsidRPr="008A56A5" w:rsidRDefault="009B0BD7" w:rsidP="00F81C7E">
      <w:pPr>
        <w:pStyle w:val="ListNumber"/>
        <w:numPr>
          <w:ilvl w:val="0"/>
          <w:numId w:val="16"/>
        </w:numPr>
        <w:tabs>
          <w:tab w:val="num" w:pos="993"/>
          <w:tab w:val="left" w:pos="1418"/>
        </w:tabs>
        <w:spacing w:afterLines="120" w:after="288"/>
        <w:ind w:left="709" w:hanging="567"/>
        <w:rPr>
          <w:rFonts w:cs="Open Sans"/>
        </w:rPr>
      </w:pPr>
      <w:r w:rsidRPr="008A56A5">
        <w:rPr>
          <w:rFonts w:cs="Open Sans"/>
        </w:rPr>
        <w:t>The</w:t>
      </w:r>
      <w:r w:rsidR="00045AFD" w:rsidRPr="008A56A5">
        <w:rPr>
          <w:rFonts w:cs="Open Sans"/>
        </w:rPr>
        <w:t xml:space="preserve"> Commission welcomes</w:t>
      </w:r>
      <w:r w:rsidRPr="008A56A5">
        <w:rPr>
          <w:rFonts w:cs="Open Sans"/>
        </w:rPr>
        <w:t xml:space="preserve"> a number of </w:t>
      </w:r>
      <w:r w:rsidR="0056787B" w:rsidRPr="008A56A5">
        <w:rPr>
          <w:rFonts w:cs="Open Sans"/>
        </w:rPr>
        <w:t>enhanced</w:t>
      </w:r>
      <w:r w:rsidR="004E6EA3" w:rsidRPr="008A56A5">
        <w:rPr>
          <w:rFonts w:cs="Open Sans"/>
        </w:rPr>
        <w:t xml:space="preserve"> procedural</w:t>
      </w:r>
      <w:r w:rsidR="00045AFD" w:rsidRPr="008A56A5">
        <w:rPr>
          <w:rFonts w:cs="Open Sans"/>
        </w:rPr>
        <w:t xml:space="preserve"> </w:t>
      </w:r>
      <w:r w:rsidR="00660921" w:rsidRPr="008A56A5">
        <w:rPr>
          <w:rFonts w:cs="Open Sans"/>
        </w:rPr>
        <w:t>safeguards</w:t>
      </w:r>
      <w:r w:rsidR="0056787B" w:rsidRPr="008A56A5">
        <w:rPr>
          <w:rFonts w:cs="Open Sans"/>
        </w:rPr>
        <w:t xml:space="preserve"> in the Bill</w:t>
      </w:r>
      <w:r w:rsidRPr="008A56A5">
        <w:rPr>
          <w:rFonts w:cs="Open Sans"/>
        </w:rPr>
        <w:t xml:space="preserve"> including</w:t>
      </w:r>
      <w:r w:rsidR="000F17E5" w:rsidRPr="008A56A5">
        <w:rPr>
          <w:rFonts w:cs="Open Sans"/>
        </w:rPr>
        <w:t xml:space="preserve"> that</w:t>
      </w:r>
      <w:r w:rsidRPr="008A56A5">
        <w:rPr>
          <w:rFonts w:cs="Open Sans"/>
        </w:rPr>
        <w:t>:</w:t>
      </w:r>
    </w:p>
    <w:p w14:paraId="2681C8AA" w14:textId="6C330750" w:rsidR="00D26B80" w:rsidRPr="008A56A5" w:rsidRDefault="00814A63" w:rsidP="00334DF2">
      <w:pPr>
        <w:pStyle w:val="ListNumber"/>
        <w:numPr>
          <w:ilvl w:val="1"/>
          <w:numId w:val="16"/>
        </w:numPr>
        <w:tabs>
          <w:tab w:val="left" w:pos="1418"/>
        </w:tabs>
        <w:rPr>
          <w:rFonts w:cs="Open Sans"/>
        </w:rPr>
      </w:pPr>
      <w:r w:rsidRPr="008A56A5">
        <w:rPr>
          <w:rFonts w:cs="Open Sans"/>
        </w:rPr>
        <w:t>in all cases,</w:t>
      </w:r>
      <w:r w:rsidR="00D26B80" w:rsidRPr="008A56A5">
        <w:rPr>
          <w:rFonts w:cs="Open Sans"/>
        </w:rPr>
        <w:t xml:space="preserve"> the Minister </w:t>
      </w:r>
      <w:r w:rsidR="000F17E5" w:rsidRPr="008A56A5">
        <w:rPr>
          <w:rFonts w:cs="Open Sans"/>
        </w:rPr>
        <w:t xml:space="preserve">must </w:t>
      </w:r>
      <w:proofErr w:type="gramStart"/>
      <w:r w:rsidR="00D26B80" w:rsidRPr="008A56A5">
        <w:rPr>
          <w:rFonts w:cs="Open Sans"/>
        </w:rPr>
        <w:t>make a determination</w:t>
      </w:r>
      <w:proofErr w:type="gramEnd"/>
      <w:r w:rsidR="00D26B80" w:rsidRPr="008A56A5">
        <w:rPr>
          <w:rFonts w:cs="Open Sans"/>
        </w:rPr>
        <w:t xml:space="preserve"> </w:t>
      </w:r>
      <w:r w:rsidR="004369CA" w:rsidRPr="008A56A5">
        <w:rPr>
          <w:rFonts w:cs="Open Sans"/>
        </w:rPr>
        <w:t xml:space="preserve">before </w:t>
      </w:r>
      <w:r w:rsidR="004F4EA4" w:rsidRPr="008A56A5">
        <w:rPr>
          <w:rFonts w:cs="Open Sans"/>
        </w:rPr>
        <w:t xml:space="preserve">citizenship </w:t>
      </w:r>
      <w:r w:rsidR="004D3438" w:rsidRPr="008A56A5">
        <w:rPr>
          <w:rFonts w:cs="Open Sans"/>
        </w:rPr>
        <w:t>ceases</w:t>
      </w:r>
      <w:r w:rsidR="004F4EA4" w:rsidRPr="008A56A5">
        <w:rPr>
          <w:rFonts w:cs="Open Sans"/>
        </w:rPr>
        <w:t xml:space="preserve"> </w:t>
      </w:r>
    </w:p>
    <w:p w14:paraId="4D0E9C46" w14:textId="079F721E" w:rsidR="0019627D" w:rsidRPr="008A56A5" w:rsidRDefault="007A676C" w:rsidP="00334DF2">
      <w:pPr>
        <w:pStyle w:val="ListNumber"/>
        <w:numPr>
          <w:ilvl w:val="1"/>
          <w:numId w:val="16"/>
        </w:numPr>
        <w:tabs>
          <w:tab w:val="left" w:pos="1418"/>
        </w:tabs>
        <w:rPr>
          <w:rFonts w:cs="Open Sans"/>
        </w:rPr>
      </w:pPr>
      <w:r w:rsidRPr="008A56A5">
        <w:rPr>
          <w:rFonts w:cs="Open Sans"/>
        </w:rPr>
        <w:t>a person who has ceased to be an Australian citizen because of a determination may apply in writing to the Minister to have the determination revoked</w:t>
      </w:r>
      <w:r w:rsidR="0019627D" w:rsidRPr="008A56A5">
        <w:rPr>
          <w:rFonts w:cs="Open Sans"/>
        </w:rPr>
        <w:t xml:space="preserve"> (s 36</w:t>
      </w:r>
      <w:proofErr w:type="gramStart"/>
      <w:r w:rsidR="0019627D" w:rsidRPr="008A56A5">
        <w:rPr>
          <w:rFonts w:cs="Open Sans"/>
        </w:rPr>
        <w:t>H(</w:t>
      </w:r>
      <w:proofErr w:type="gramEnd"/>
      <w:r w:rsidR="0019627D" w:rsidRPr="008A56A5">
        <w:rPr>
          <w:rFonts w:cs="Open Sans"/>
        </w:rPr>
        <w:t>1)</w:t>
      </w:r>
      <w:r w:rsidR="000F17E5" w:rsidRPr="008A56A5">
        <w:rPr>
          <w:rFonts w:cs="Open Sans"/>
        </w:rPr>
        <w:t>)</w:t>
      </w:r>
      <w:r w:rsidR="00786811" w:rsidRPr="008A56A5">
        <w:rPr>
          <w:rFonts w:cs="Open Sans"/>
        </w:rPr>
        <w:t xml:space="preserve"> </w:t>
      </w:r>
    </w:p>
    <w:p w14:paraId="05D5BE07" w14:textId="716537C2" w:rsidR="009B0BD7" w:rsidRPr="008A56A5" w:rsidRDefault="00786811" w:rsidP="00334DF2">
      <w:pPr>
        <w:pStyle w:val="ListNumber"/>
        <w:numPr>
          <w:ilvl w:val="1"/>
          <w:numId w:val="16"/>
        </w:numPr>
        <w:tabs>
          <w:tab w:val="left" w:pos="1418"/>
        </w:tabs>
        <w:rPr>
          <w:rFonts w:cs="Open Sans"/>
        </w:rPr>
      </w:pPr>
      <w:r w:rsidRPr="008A56A5">
        <w:rPr>
          <w:rFonts w:cs="Open Sans"/>
        </w:rPr>
        <w:t xml:space="preserve">the Minister must consider </w:t>
      </w:r>
      <w:r w:rsidR="00605098" w:rsidRPr="008A56A5">
        <w:rPr>
          <w:rFonts w:cs="Open Sans"/>
        </w:rPr>
        <w:t xml:space="preserve">any </w:t>
      </w:r>
      <w:r w:rsidRPr="008A56A5">
        <w:rPr>
          <w:rFonts w:cs="Open Sans"/>
        </w:rPr>
        <w:t>application</w:t>
      </w:r>
      <w:r w:rsidR="006C6C1C" w:rsidRPr="008A56A5">
        <w:rPr>
          <w:rFonts w:cs="Open Sans"/>
        </w:rPr>
        <w:t xml:space="preserve"> </w:t>
      </w:r>
      <w:r w:rsidR="00605098" w:rsidRPr="008A56A5">
        <w:rPr>
          <w:rFonts w:cs="Open Sans"/>
        </w:rPr>
        <w:t xml:space="preserve">for revocation </w:t>
      </w:r>
      <w:r w:rsidR="006C6C1C" w:rsidRPr="008A56A5">
        <w:rPr>
          <w:rFonts w:cs="Open Sans"/>
        </w:rPr>
        <w:t>(observ</w:t>
      </w:r>
      <w:r w:rsidR="00605098" w:rsidRPr="008A56A5">
        <w:rPr>
          <w:rFonts w:cs="Open Sans"/>
        </w:rPr>
        <w:t>ing</w:t>
      </w:r>
      <w:r w:rsidR="006C6C1C" w:rsidRPr="008A56A5">
        <w:rPr>
          <w:rFonts w:cs="Open Sans"/>
        </w:rPr>
        <w:t xml:space="preserve"> the rules of natural justice)</w:t>
      </w:r>
      <w:r w:rsidRPr="008A56A5">
        <w:rPr>
          <w:rFonts w:cs="Open Sans"/>
        </w:rPr>
        <w:t xml:space="preserve"> and:</w:t>
      </w:r>
    </w:p>
    <w:p w14:paraId="4F1BCA19" w14:textId="1C8AF71D" w:rsidR="00786811" w:rsidRPr="008A56A5" w:rsidRDefault="00647B65" w:rsidP="00334DF2">
      <w:pPr>
        <w:pStyle w:val="ListNumber"/>
        <w:numPr>
          <w:ilvl w:val="2"/>
          <w:numId w:val="16"/>
        </w:numPr>
        <w:tabs>
          <w:tab w:val="left" w:pos="1418"/>
        </w:tabs>
        <w:ind w:left="1803" w:hanging="181"/>
        <w:rPr>
          <w:rFonts w:cs="Open Sans"/>
        </w:rPr>
      </w:pPr>
      <w:r w:rsidRPr="008A56A5">
        <w:rPr>
          <w:rFonts w:cs="Open Sans"/>
        </w:rPr>
        <w:t xml:space="preserve">must </w:t>
      </w:r>
      <w:r w:rsidR="00786811" w:rsidRPr="008A56A5">
        <w:rPr>
          <w:rFonts w:cs="Open Sans"/>
        </w:rPr>
        <w:t xml:space="preserve">revoke the determination if </w:t>
      </w:r>
      <w:r w:rsidR="006C6C1C" w:rsidRPr="008A56A5">
        <w:rPr>
          <w:rFonts w:cs="Open Sans"/>
        </w:rPr>
        <w:t>satisfied</w:t>
      </w:r>
      <w:r w:rsidR="00786811" w:rsidRPr="008A56A5">
        <w:rPr>
          <w:rFonts w:cs="Open Sans"/>
        </w:rPr>
        <w:t xml:space="preserve"> that, at the time the </w:t>
      </w:r>
      <w:r w:rsidR="006C6C1C" w:rsidRPr="008A56A5">
        <w:rPr>
          <w:rFonts w:cs="Open Sans"/>
        </w:rPr>
        <w:t>determination</w:t>
      </w:r>
      <w:r w:rsidR="00786811" w:rsidRPr="008A56A5">
        <w:rPr>
          <w:rFonts w:cs="Open Sans"/>
        </w:rPr>
        <w:t xml:space="preserve"> was made, the </w:t>
      </w:r>
      <w:r w:rsidR="006C6C1C" w:rsidRPr="008A56A5">
        <w:rPr>
          <w:rFonts w:cs="Open Sans"/>
        </w:rPr>
        <w:t>person</w:t>
      </w:r>
      <w:r w:rsidR="00786811" w:rsidRPr="008A56A5">
        <w:rPr>
          <w:rFonts w:cs="Open Sans"/>
        </w:rPr>
        <w:t xml:space="preserve"> was not a national or citizen of any other country</w:t>
      </w:r>
    </w:p>
    <w:p w14:paraId="753F2F13" w14:textId="5897EA70" w:rsidR="00786811" w:rsidRPr="008A56A5" w:rsidRDefault="00647B65" w:rsidP="00334DF2">
      <w:pPr>
        <w:pStyle w:val="ListNumber"/>
        <w:numPr>
          <w:ilvl w:val="2"/>
          <w:numId w:val="16"/>
        </w:numPr>
        <w:tabs>
          <w:tab w:val="left" w:pos="1418"/>
        </w:tabs>
        <w:ind w:left="1803" w:hanging="181"/>
        <w:rPr>
          <w:rFonts w:cs="Open Sans"/>
        </w:rPr>
      </w:pPr>
      <w:r w:rsidRPr="008A56A5">
        <w:rPr>
          <w:rFonts w:cs="Open Sans"/>
        </w:rPr>
        <w:t xml:space="preserve">must </w:t>
      </w:r>
      <w:r w:rsidR="006C6C1C" w:rsidRPr="008A56A5">
        <w:rPr>
          <w:rFonts w:cs="Open Sans"/>
        </w:rPr>
        <w:t>revoke the determination if satisfied that the person did not engage in the relevant conduct</w:t>
      </w:r>
    </w:p>
    <w:p w14:paraId="53E6E5D5" w14:textId="77777777" w:rsidR="005B3155" w:rsidRPr="008A56A5" w:rsidRDefault="006C6C1C" w:rsidP="00334DF2">
      <w:pPr>
        <w:pStyle w:val="ListNumber"/>
        <w:numPr>
          <w:ilvl w:val="2"/>
          <w:numId w:val="16"/>
        </w:numPr>
        <w:tabs>
          <w:tab w:val="left" w:pos="1418"/>
        </w:tabs>
        <w:ind w:left="1803" w:hanging="181"/>
        <w:rPr>
          <w:rFonts w:cs="Open Sans"/>
        </w:rPr>
      </w:pPr>
      <w:r w:rsidRPr="008A56A5">
        <w:rPr>
          <w:rFonts w:cs="Open Sans"/>
        </w:rPr>
        <w:t>may revoke the determination if satisfied that it would be in the public interest</w:t>
      </w:r>
    </w:p>
    <w:p w14:paraId="0945045A" w14:textId="14FA5CE5" w:rsidR="00FC3007" w:rsidRPr="008A56A5" w:rsidRDefault="005B3155" w:rsidP="00334DF2">
      <w:pPr>
        <w:pStyle w:val="ListNumber"/>
        <w:numPr>
          <w:ilvl w:val="1"/>
          <w:numId w:val="16"/>
        </w:numPr>
        <w:tabs>
          <w:tab w:val="left" w:pos="1418"/>
        </w:tabs>
        <w:rPr>
          <w:rFonts w:cs="Open Sans"/>
        </w:rPr>
      </w:pPr>
      <w:r w:rsidRPr="008A56A5">
        <w:rPr>
          <w:rFonts w:cs="Open Sans"/>
        </w:rPr>
        <w:t>if the Minister refuses an application to revoke a determination, the Minister must give notice of their decision including reasons and the person’s rights of review</w:t>
      </w:r>
      <w:r w:rsidR="000E6E5C" w:rsidRPr="008A56A5">
        <w:rPr>
          <w:rFonts w:cs="Open Sans"/>
        </w:rPr>
        <w:t xml:space="preserve"> (s 36</w:t>
      </w:r>
      <w:proofErr w:type="gramStart"/>
      <w:r w:rsidR="000E6E5C" w:rsidRPr="008A56A5">
        <w:rPr>
          <w:rFonts w:cs="Open Sans"/>
        </w:rPr>
        <w:t>H(</w:t>
      </w:r>
      <w:proofErr w:type="gramEnd"/>
      <w:r w:rsidR="000E6E5C" w:rsidRPr="008A56A5">
        <w:rPr>
          <w:rFonts w:cs="Open Sans"/>
        </w:rPr>
        <w:t>4))</w:t>
      </w:r>
    </w:p>
    <w:p w14:paraId="7D7E5CF2" w14:textId="6754442D" w:rsidR="00236981" w:rsidRPr="008A56A5" w:rsidRDefault="00FC3007" w:rsidP="00334DF2">
      <w:pPr>
        <w:pStyle w:val="ListNumber"/>
        <w:numPr>
          <w:ilvl w:val="1"/>
          <w:numId w:val="16"/>
        </w:numPr>
        <w:tabs>
          <w:tab w:val="left" w:pos="1418"/>
        </w:tabs>
        <w:rPr>
          <w:rFonts w:cs="Open Sans"/>
        </w:rPr>
      </w:pPr>
      <w:r w:rsidRPr="008A56A5">
        <w:rPr>
          <w:rFonts w:cs="Open Sans"/>
        </w:rPr>
        <w:t>the Minister may revoke a citizenship loss determination on their own initiative if satisfied that doing so would be in the public interest</w:t>
      </w:r>
      <w:r w:rsidR="00CF4CA2" w:rsidRPr="008A56A5">
        <w:rPr>
          <w:rFonts w:cs="Open Sans"/>
        </w:rPr>
        <w:t>—this is personal, non-compellable power, and the rules of natural justice do not apply</w:t>
      </w:r>
      <w:r w:rsidR="00800C59" w:rsidRPr="008A56A5">
        <w:rPr>
          <w:rFonts w:cs="Open Sans"/>
        </w:rPr>
        <w:t xml:space="preserve"> (s 36J</w:t>
      </w:r>
      <w:r w:rsidR="00F93785" w:rsidRPr="008A56A5">
        <w:rPr>
          <w:rFonts w:cs="Open Sans"/>
        </w:rPr>
        <w:t>)</w:t>
      </w:r>
    </w:p>
    <w:p w14:paraId="08BCAB5C" w14:textId="6E4D7187" w:rsidR="00BA5756" w:rsidRPr="008A56A5" w:rsidRDefault="001514C4" w:rsidP="00334DF2">
      <w:pPr>
        <w:pStyle w:val="ListNumber"/>
        <w:numPr>
          <w:ilvl w:val="1"/>
          <w:numId w:val="16"/>
        </w:numPr>
        <w:tabs>
          <w:tab w:val="left" w:pos="1418"/>
        </w:tabs>
        <w:rPr>
          <w:rFonts w:cs="Open Sans"/>
        </w:rPr>
      </w:pPr>
      <w:r w:rsidRPr="008A56A5">
        <w:rPr>
          <w:rFonts w:cs="Open Sans"/>
        </w:rPr>
        <w:t>if the Minister ma</w:t>
      </w:r>
      <w:r w:rsidR="00901498" w:rsidRPr="008A56A5">
        <w:rPr>
          <w:rFonts w:cs="Open Sans"/>
        </w:rPr>
        <w:t xml:space="preserve">kes a </w:t>
      </w:r>
      <w:r w:rsidR="00BA5756" w:rsidRPr="008A56A5">
        <w:rPr>
          <w:rFonts w:cs="Open Sans"/>
        </w:rPr>
        <w:t>determination that a person should not be given notice of citizenship cessation</w:t>
      </w:r>
      <w:r w:rsidR="004D1390" w:rsidRPr="008A56A5">
        <w:rPr>
          <w:rFonts w:cs="Open Sans"/>
        </w:rPr>
        <w:t xml:space="preserve"> (because </w:t>
      </w:r>
      <w:r w:rsidR="00637E59" w:rsidRPr="008A56A5">
        <w:rPr>
          <w:rFonts w:cs="Open Sans"/>
        </w:rPr>
        <w:t xml:space="preserve">of </w:t>
      </w:r>
      <w:r w:rsidR="00BE6F45" w:rsidRPr="008A56A5">
        <w:rPr>
          <w:rFonts w:cs="Open Sans"/>
        </w:rPr>
        <w:t xml:space="preserve">anticipated </w:t>
      </w:r>
      <w:r w:rsidR="003744B5" w:rsidRPr="008A56A5">
        <w:rPr>
          <w:rFonts w:cs="Open Sans"/>
        </w:rPr>
        <w:t xml:space="preserve">prejudice </w:t>
      </w:r>
      <w:r w:rsidR="00BE6F45" w:rsidRPr="008A56A5">
        <w:rPr>
          <w:rFonts w:cs="Open Sans"/>
        </w:rPr>
        <w:t xml:space="preserve">to </w:t>
      </w:r>
      <w:r w:rsidR="003744B5" w:rsidRPr="008A56A5">
        <w:rPr>
          <w:rFonts w:cs="Open Sans"/>
        </w:rPr>
        <w:t>security, defence or international relations)</w:t>
      </w:r>
      <w:r w:rsidR="00BA5756" w:rsidRPr="008A56A5">
        <w:rPr>
          <w:rFonts w:cs="Open Sans"/>
        </w:rPr>
        <w:t xml:space="preserve">, </w:t>
      </w:r>
      <w:r w:rsidR="003744B5" w:rsidRPr="008A56A5">
        <w:rPr>
          <w:rFonts w:cs="Open Sans"/>
        </w:rPr>
        <w:t xml:space="preserve">the Minister must consider whether to revoke that determination </w:t>
      </w:r>
      <w:r w:rsidR="00693B5D" w:rsidRPr="008A56A5">
        <w:rPr>
          <w:rFonts w:cs="Open Sans"/>
        </w:rPr>
        <w:t xml:space="preserve">at least </w:t>
      </w:r>
      <w:r w:rsidR="00BA5756" w:rsidRPr="008A56A5">
        <w:rPr>
          <w:rFonts w:cs="Open Sans"/>
        </w:rPr>
        <w:t>every 90 days</w:t>
      </w:r>
      <w:r w:rsidR="00693B5D" w:rsidRPr="008A56A5">
        <w:rPr>
          <w:rFonts w:cs="Open Sans"/>
        </w:rPr>
        <w:t xml:space="preserve"> (s 36</w:t>
      </w:r>
      <w:proofErr w:type="gramStart"/>
      <w:r w:rsidR="00693B5D" w:rsidRPr="008A56A5">
        <w:rPr>
          <w:rFonts w:cs="Open Sans"/>
        </w:rPr>
        <w:t>G(</w:t>
      </w:r>
      <w:proofErr w:type="gramEnd"/>
      <w:r w:rsidR="00693B5D" w:rsidRPr="008A56A5">
        <w:rPr>
          <w:rFonts w:cs="Open Sans"/>
        </w:rPr>
        <w:t>2))</w:t>
      </w:r>
    </w:p>
    <w:p w14:paraId="49069D79" w14:textId="63DC028C" w:rsidR="00BA5756" w:rsidRPr="008A56A5" w:rsidRDefault="00BA5756" w:rsidP="00334DF2">
      <w:pPr>
        <w:pStyle w:val="ListNumber"/>
        <w:numPr>
          <w:ilvl w:val="1"/>
          <w:numId w:val="16"/>
        </w:numPr>
        <w:tabs>
          <w:tab w:val="left" w:pos="1418"/>
        </w:tabs>
        <w:rPr>
          <w:rFonts w:cs="Open Sans"/>
        </w:rPr>
      </w:pPr>
      <w:r w:rsidRPr="008A56A5">
        <w:rPr>
          <w:rFonts w:cs="Open Sans"/>
        </w:rPr>
        <w:t>if</w:t>
      </w:r>
      <w:r w:rsidR="00965A3F" w:rsidRPr="008A56A5">
        <w:rPr>
          <w:rFonts w:cs="Open Sans"/>
        </w:rPr>
        <w:t>, within five years,</w:t>
      </w:r>
      <w:r w:rsidRPr="008A56A5">
        <w:rPr>
          <w:rFonts w:cs="Open Sans"/>
        </w:rPr>
        <w:t xml:space="preserve"> the Minister </w:t>
      </w:r>
      <w:r w:rsidR="00965A3F" w:rsidRPr="008A56A5">
        <w:rPr>
          <w:rFonts w:cs="Open Sans"/>
        </w:rPr>
        <w:t xml:space="preserve">has </w:t>
      </w:r>
      <w:r w:rsidRPr="008A56A5">
        <w:rPr>
          <w:rFonts w:cs="Open Sans"/>
        </w:rPr>
        <w:t>not revoke</w:t>
      </w:r>
      <w:r w:rsidR="00965A3F" w:rsidRPr="008A56A5">
        <w:rPr>
          <w:rFonts w:cs="Open Sans"/>
        </w:rPr>
        <w:t>d</w:t>
      </w:r>
      <w:r w:rsidRPr="008A56A5">
        <w:rPr>
          <w:rFonts w:cs="Open Sans"/>
        </w:rPr>
        <w:t xml:space="preserve"> a determination </w:t>
      </w:r>
      <w:r w:rsidR="00965A3F" w:rsidRPr="008A56A5">
        <w:rPr>
          <w:rFonts w:cs="Open Sans"/>
        </w:rPr>
        <w:t>that notice not be given</w:t>
      </w:r>
      <w:r w:rsidRPr="008A56A5">
        <w:rPr>
          <w:rFonts w:cs="Open Sans"/>
        </w:rPr>
        <w:t xml:space="preserve">, the determination is taken to </w:t>
      </w:r>
      <w:r w:rsidR="0061664E" w:rsidRPr="008A56A5">
        <w:rPr>
          <w:rFonts w:cs="Open Sans"/>
        </w:rPr>
        <w:t xml:space="preserve">be </w:t>
      </w:r>
      <w:r w:rsidRPr="008A56A5">
        <w:rPr>
          <w:rFonts w:cs="Open Sans"/>
        </w:rPr>
        <w:t>revoked unless it is extended for one year by a further determination</w:t>
      </w:r>
      <w:r w:rsidR="00C8620A" w:rsidRPr="008A56A5">
        <w:rPr>
          <w:rFonts w:cs="Open Sans"/>
        </w:rPr>
        <w:t xml:space="preserve"> (s 36</w:t>
      </w:r>
      <w:proofErr w:type="gramStart"/>
      <w:r w:rsidR="00C8620A" w:rsidRPr="008A56A5">
        <w:rPr>
          <w:rFonts w:cs="Open Sans"/>
        </w:rPr>
        <w:t>G(</w:t>
      </w:r>
      <w:proofErr w:type="gramEnd"/>
      <w:r w:rsidR="00C8620A" w:rsidRPr="008A56A5">
        <w:rPr>
          <w:rFonts w:cs="Open Sans"/>
        </w:rPr>
        <w:t>3))</w:t>
      </w:r>
    </w:p>
    <w:p w14:paraId="0A27CD15" w14:textId="4A764C81" w:rsidR="006C6C1C" w:rsidRPr="008A56A5" w:rsidRDefault="00895943" w:rsidP="00334DF2">
      <w:pPr>
        <w:pStyle w:val="ListNumber"/>
        <w:numPr>
          <w:ilvl w:val="1"/>
          <w:numId w:val="16"/>
        </w:numPr>
        <w:tabs>
          <w:tab w:val="left" w:pos="1418"/>
        </w:tabs>
        <w:rPr>
          <w:rFonts w:cs="Open Sans"/>
        </w:rPr>
      </w:pPr>
      <w:r w:rsidRPr="008A56A5">
        <w:rPr>
          <w:rFonts w:cs="Open Sans"/>
        </w:rPr>
        <w:t xml:space="preserve">a citizenship loss determination will be automatically revoked </w:t>
      </w:r>
      <w:r w:rsidR="009964A3" w:rsidRPr="008A56A5">
        <w:rPr>
          <w:rFonts w:cs="Open Sans"/>
        </w:rPr>
        <w:t xml:space="preserve">if certain events </w:t>
      </w:r>
      <w:r w:rsidR="00F85C1E" w:rsidRPr="008A56A5">
        <w:rPr>
          <w:rFonts w:cs="Open Sans"/>
        </w:rPr>
        <w:t>occur</w:t>
      </w:r>
      <w:r w:rsidR="009964A3" w:rsidRPr="008A56A5">
        <w:rPr>
          <w:rFonts w:cs="Open Sans"/>
        </w:rPr>
        <w:t xml:space="preserve"> (e.g. a court overturns a relevant convicti</w:t>
      </w:r>
      <w:r w:rsidR="00F85C1E" w:rsidRPr="008A56A5">
        <w:rPr>
          <w:rFonts w:cs="Open Sans"/>
        </w:rPr>
        <w:t>o</w:t>
      </w:r>
      <w:r w:rsidR="009964A3" w:rsidRPr="008A56A5">
        <w:rPr>
          <w:rFonts w:cs="Open Sans"/>
        </w:rPr>
        <w:t>n)</w:t>
      </w:r>
      <w:r w:rsidR="00EB1FD3" w:rsidRPr="008A56A5">
        <w:rPr>
          <w:rFonts w:cs="Open Sans"/>
        </w:rPr>
        <w:t xml:space="preserve"> (s 36K)</w:t>
      </w:r>
      <w:r w:rsidR="005B3155" w:rsidRPr="008A56A5">
        <w:rPr>
          <w:rFonts w:cs="Open Sans"/>
        </w:rPr>
        <w:t>.</w:t>
      </w:r>
    </w:p>
    <w:p w14:paraId="49329426" w14:textId="061A9239" w:rsidR="002473C3" w:rsidRPr="008A56A5" w:rsidRDefault="002473C3" w:rsidP="00F81C7E">
      <w:pPr>
        <w:pStyle w:val="ListNumber"/>
        <w:numPr>
          <w:ilvl w:val="0"/>
          <w:numId w:val="16"/>
        </w:numPr>
        <w:tabs>
          <w:tab w:val="num" w:pos="993"/>
          <w:tab w:val="left" w:pos="1418"/>
        </w:tabs>
        <w:spacing w:after="240"/>
        <w:ind w:left="709" w:hanging="567"/>
        <w:rPr>
          <w:rFonts w:cs="Open Sans"/>
        </w:rPr>
      </w:pPr>
      <w:r w:rsidRPr="008A56A5">
        <w:rPr>
          <w:rFonts w:cs="Open Sans"/>
        </w:rPr>
        <w:t xml:space="preserve">However, the </w:t>
      </w:r>
      <w:r w:rsidR="009B37E7" w:rsidRPr="008A56A5">
        <w:rPr>
          <w:rFonts w:cs="Open Sans"/>
        </w:rPr>
        <w:t xml:space="preserve">Commission considers that other </w:t>
      </w:r>
      <w:r w:rsidR="007A676C" w:rsidRPr="008A56A5">
        <w:rPr>
          <w:rFonts w:cs="Open Sans"/>
        </w:rPr>
        <w:t>safeguards</w:t>
      </w:r>
      <w:r w:rsidRPr="008A56A5">
        <w:rPr>
          <w:rFonts w:cs="Open Sans"/>
        </w:rPr>
        <w:t xml:space="preserve"> are inadequate </w:t>
      </w:r>
      <w:r w:rsidR="00845024" w:rsidRPr="008A56A5">
        <w:rPr>
          <w:rFonts w:cs="Open Sans"/>
        </w:rPr>
        <w:t xml:space="preserve">to protect an individual’s human rights in light of the grave consequences </w:t>
      </w:r>
      <w:r w:rsidRPr="008A56A5">
        <w:rPr>
          <w:rFonts w:cs="Open Sans"/>
        </w:rPr>
        <w:t>for a number of reasons</w:t>
      </w:r>
      <w:r w:rsidR="00E75524" w:rsidRPr="008A56A5">
        <w:rPr>
          <w:rFonts w:cs="Open Sans"/>
        </w:rPr>
        <w:t>,</w:t>
      </w:r>
      <w:r w:rsidR="00845024" w:rsidRPr="008A56A5">
        <w:rPr>
          <w:rFonts w:cs="Open Sans"/>
        </w:rPr>
        <w:t xml:space="preserve"> including</w:t>
      </w:r>
      <w:r w:rsidRPr="008A56A5">
        <w:rPr>
          <w:rFonts w:cs="Open Sans"/>
        </w:rPr>
        <w:t>:</w:t>
      </w:r>
    </w:p>
    <w:p w14:paraId="42FCFE72" w14:textId="40A3EACB" w:rsidR="003B195D" w:rsidRPr="008A56A5" w:rsidRDefault="003B195D" w:rsidP="00F81C7E">
      <w:pPr>
        <w:pStyle w:val="ListParagraph"/>
        <w:numPr>
          <w:ilvl w:val="0"/>
          <w:numId w:val="20"/>
        </w:numPr>
        <w:spacing w:before="120" w:after="120"/>
        <w:ind w:left="1434" w:hanging="357"/>
        <w:rPr>
          <w:rFonts w:cs="Open Sans"/>
        </w:rPr>
      </w:pPr>
      <w:r w:rsidRPr="008A56A5">
        <w:rPr>
          <w:rFonts w:cs="Open Sans"/>
        </w:rPr>
        <w:t xml:space="preserve">the </w:t>
      </w:r>
      <w:r w:rsidR="00E43824" w:rsidRPr="008A56A5">
        <w:rPr>
          <w:rFonts w:cs="Open Sans"/>
        </w:rPr>
        <w:t xml:space="preserve">public interest factors that the Minister is required to </w:t>
      </w:r>
      <w:proofErr w:type="gramStart"/>
      <w:r w:rsidR="00E43824" w:rsidRPr="008A56A5">
        <w:rPr>
          <w:rFonts w:cs="Open Sans"/>
        </w:rPr>
        <w:t>take into account</w:t>
      </w:r>
      <w:proofErr w:type="gramEnd"/>
      <w:r w:rsidR="00E43824" w:rsidRPr="008A56A5">
        <w:rPr>
          <w:rFonts w:cs="Open Sans"/>
        </w:rPr>
        <w:t xml:space="preserve"> in making a determination about citizenship cessation </w:t>
      </w:r>
      <w:r w:rsidR="00D26B80" w:rsidRPr="008A56A5">
        <w:rPr>
          <w:rFonts w:cs="Open Sans"/>
        </w:rPr>
        <w:t>do not provide for</w:t>
      </w:r>
      <w:r w:rsidR="00183A30" w:rsidRPr="008A56A5">
        <w:rPr>
          <w:rFonts w:cs="Open Sans"/>
        </w:rPr>
        <w:t xml:space="preserve"> adequate consideration of a person’s individual circumstances</w:t>
      </w:r>
    </w:p>
    <w:p w14:paraId="6D6CFF63" w14:textId="692F1B48" w:rsidR="002473C3" w:rsidRPr="008A56A5" w:rsidRDefault="002473C3" w:rsidP="00F81C7E">
      <w:pPr>
        <w:pStyle w:val="ListParagraph"/>
        <w:numPr>
          <w:ilvl w:val="0"/>
          <w:numId w:val="20"/>
        </w:numPr>
        <w:spacing w:before="120" w:after="120"/>
        <w:ind w:left="1434" w:hanging="357"/>
        <w:rPr>
          <w:rFonts w:cs="Open Sans"/>
        </w:rPr>
      </w:pPr>
      <w:r w:rsidRPr="008A56A5">
        <w:rPr>
          <w:rFonts w:cs="Open Sans"/>
        </w:rPr>
        <w:t>there is a requirement to notify a person that their citizenship has been lost</w:t>
      </w:r>
      <w:r w:rsidR="00E328BF" w:rsidRPr="008A56A5">
        <w:rPr>
          <w:rFonts w:cs="Open Sans"/>
        </w:rPr>
        <w:t xml:space="preserve"> through a determination</w:t>
      </w:r>
      <w:r w:rsidRPr="008A56A5">
        <w:rPr>
          <w:rFonts w:cs="Open Sans"/>
        </w:rPr>
        <w:t xml:space="preserve">, but no notice has to be given if the Minister is satisfied that giving notice </w:t>
      </w:r>
      <w:r w:rsidRPr="008A56A5">
        <w:rPr>
          <w:rFonts w:cs="Open Sans"/>
          <w:i/>
          <w:iCs/>
        </w:rPr>
        <w:t>could</w:t>
      </w:r>
      <w:r w:rsidRPr="008A56A5">
        <w:rPr>
          <w:rFonts w:cs="Open Sans"/>
        </w:rPr>
        <w:t xml:space="preserve"> prejudice national security or other interests</w:t>
      </w:r>
      <w:r w:rsidR="00973438" w:rsidRPr="008A56A5">
        <w:rPr>
          <w:rFonts w:cs="Open Sans"/>
        </w:rPr>
        <w:t>, which is a relatively low bar</w:t>
      </w:r>
    </w:p>
    <w:p w14:paraId="0DEA9312" w14:textId="68B9E64A" w:rsidR="005B3155" w:rsidRPr="008A56A5" w:rsidRDefault="0071529D" w:rsidP="00F81C7E">
      <w:pPr>
        <w:pStyle w:val="ListParagraph"/>
        <w:numPr>
          <w:ilvl w:val="0"/>
          <w:numId w:val="20"/>
        </w:numPr>
        <w:spacing w:before="120" w:after="120"/>
        <w:ind w:left="1434" w:hanging="357"/>
        <w:rPr>
          <w:rFonts w:cs="Open Sans"/>
        </w:rPr>
      </w:pPr>
      <w:r w:rsidRPr="008A56A5">
        <w:rPr>
          <w:rFonts w:cs="Open Sans"/>
        </w:rPr>
        <w:t xml:space="preserve">the service of notice requirements </w:t>
      </w:r>
      <w:proofErr w:type="gramStart"/>
      <w:r w:rsidRPr="008A56A5">
        <w:rPr>
          <w:rFonts w:cs="Open Sans"/>
        </w:rPr>
        <w:t>are</w:t>
      </w:r>
      <w:proofErr w:type="gramEnd"/>
      <w:r w:rsidRPr="008A56A5">
        <w:rPr>
          <w:rFonts w:cs="Open Sans"/>
        </w:rPr>
        <w:t xml:space="preserve"> insufficient to ensure that a person actually receives notification</w:t>
      </w:r>
      <w:r w:rsidR="002A44D0" w:rsidRPr="008A56A5">
        <w:rPr>
          <w:rFonts w:cs="Open Sans"/>
        </w:rPr>
        <w:t xml:space="preserve"> </w:t>
      </w:r>
      <w:r w:rsidR="00135893" w:rsidRPr="008A56A5">
        <w:rPr>
          <w:rFonts w:cs="Open Sans"/>
        </w:rPr>
        <w:t>of citizenship cessation</w:t>
      </w:r>
    </w:p>
    <w:p w14:paraId="736AB35B" w14:textId="77777777" w:rsidR="004D4461" w:rsidRPr="008A56A5" w:rsidRDefault="004D4461" w:rsidP="004D4461">
      <w:pPr>
        <w:pStyle w:val="ListParagraph"/>
        <w:numPr>
          <w:ilvl w:val="0"/>
          <w:numId w:val="20"/>
        </w:numPr>
        <w:spacing w:before="120" w:after="120"/>
        <w:ind w:left="1434" w:hanging="357"/>
        <w:rPr>
          <w:rFonts w:cs="Open Sans"/>
        </w:rPr>
      </w:pPr>
      <w:r w:rsidRPr="008A56A5">
        <w:rPr>
          <w:rFonts w:cs="Open Sans"/>
        </w:rPr>
        <w:t xml:space="preserve">the time limits in which a person can make an application for revocation of a citizenship loss determination are confined </w:t>
      </w:r>
    </w:p>
    <w:p w14:paraId="511554C3" w14:textId="77777777" w:rsidR="001C34C3" w:rsidRPr="008A56A5" w:rsidRDefault="001C34C3" w:rsidP="001C34C3">
      <w:pPr>
        <w:pStyle w:val="ListParagraph"/>
        <w:numPr>
          <w:ilvl w:val="0"/>
          <w:numId w:val="20"/>
        </w:numPr>
        <w:spacing w:before="120" w:after="120"/>
        <w:ind w:left="1434" w:hanging="357"/>
        <w:rPr>
          <w:rFonts w:cs="Open Sans"/>
        </w:rPr>
      </w:pPr>
      <w:r w:rsidRPr="008A56A5">
        <w:rPr>
          <w:rFonts w:cs="Open Sans"/>
        </w:rPr>
        <w:t>there is no requirement to give reasons for a citizenship loss determination</w:t>
      </w:r>
    </w:p>
    <w:p w14:paraId="73FAFF5B" w14:textId="292ACA64" w:rsidR="001F4DE7" w:rsidRPr="008A56A5" w:rsidRDefault="001F4DE7" w:rsidP="00F81C7E">
      <w:pPr>
        <w:pStyle w:val="ListParagraph"/>
        <w:numPr>
          <w:ilvl w:val="0"/>
          <w:numId w:val="20"/>
        </w:numPr>
        <w:spacing w:before="120" w:after="120"/>
        <w:ind w:left="1434" w:hanging="357"/>
        <w:rPr>
          <w:rFonts w:cs="Open Sans"/>
        </w:rPr>
      </w:pPr>
      <w:r w:rsidRPr="008A56A5">
        <w:rPr>
          <w:rFonts w:cs="Open Sans"/>
        </w:rPr>
        <w:t xml:space="preserve">there is no </w:t>
      </w:r>
      <w:r w:rsidR="00EC2FE4" w:rsidRPr="008A56A5">
        <w:rPr>
          <w:rFonts w:cs="Open Sans"/>
        </w:rPr>
        <w:t xml:space="preserve">recourse to </w:t>
      </w:r>
      <w:r w:rsidRPr="008A56A5">
        <w:rPr>
          <w:rFonts w:cs="Open Sans"/>
        </w:rPr>
        <w:t>independent merits review</w:t>
      </w:r>
    </w:p>
    <w:p w14:paraId="1FADB5C0" w14:textId="0042B221" w:rsidR="001F4DE7" w:rsidRPr="008A56A5" w:rsidRDefault="001F4DE7" w:rsidP="00F81C7E">
      <w:pPr>
        <w:pStyle w:val="ListParagraph"/>
        <w:numPr>
          <w:ilvl w:val="0"/>
          <w:numId w:val="20"/>
        </w:numPr>
        <w:spacing w:before="120" w:after="120"/>
        <w:ind w:left="1434" w:hanging="357"/>
        <w:rPr>
          <w:rFonts w:cs="Open Sans"/>
        </w:rPr>
      </w:pPr>
      <w:r w:rsidRPr="008A56A5">
        <w:rPr>
          <w:rFonts w:cs="Open Sans"/>
        </w:rPr>
        <w:t>the</w:t>
      </w:r>
      <w:r w:rsidR="002473C3" w:rsidRPr="008A56A5">
        <w:rPr>
          <w:rFonts w:cs="Open Sans"/>
        </w:rPr>
        <w:t xml:space="preserve"> </w:t>
      </w:r>
      <w:r w:rsidR="007136DE" w:rsidRPr="008A56A5">
        <w:rPr>
          <w:rFonts w:cs="Open Sans"/>
        </w:rPr>
        <w:t>available form of</w:t>
      </w:r>
      <w:r w:rsidR="002473C3" w:rsidRPr="008A56A5">
        <w:rPr>
          <w:rFonts w:cs="Open Sans"/>
        </w:rPr>
        <w:t xml:space="preserve"> judicial review </w:t>
      </w:r>
      <w:r w:rsidR="00CB6DDA" w:rsidRPr="008A56A5">
        <w:rPr>
          <w:rFonts w:cs="Open Sans"/>
        </w:rPr>
        <w:t>may not ensure access to justice</w:t>
      </w:r>
      <w:r w:rsidR="002473C3" w:rsidRPr="008A56A5">
        <w:rPr>
          <w:rFonts w:cs="Open Sans"/>
        </w:rPr>
        <w:t xml:space="preserve">. </w:t>
      </w:r>
    </w:p>
    <w:p w14:paraId="0FC0970B" w14:textId="7C74E03D" w:rsidR="00F817B2" w:rsidRPr="008A56A5" w:rsidRDefault="0071529D" w:rsidP="00F81C7E">
      <w:pPr>
        <w:pStyle w:val="ListNumber"/>
        <w:numPr>
          <w:ilvl w:val="0"/>
          <w:numId w:val="16"/>
        </w:numPr>
        <w:tabs>
          <w:tab w:val="num" w:pos="993"/>
          <w:tab w:val="left" w:pos="1418"/>
        </w:tabs>
        <w:spacing w:after="240"/>
        <w:ind w:left="709" w:hanging="567"/>
        <w:rPr>
          <w:rFonts w:cs="Open Sans"/>
        </w:rPr>
      </w:pPr>
      <w:r w:rsidRPr="008A56A5">
        <w:rPr>
          <w:rFonts w:cs="Open Sans"/>
        </w:rPr>
        <w:t>The effect of the Bill w</w:t>
      </w:r>
      <w:r w:rsidR="003100F8" w:rsidRPr="008A56A5">
        <w:rPr>
          <w:rFonts w:cs="Open Sans"/>
        </w:rPr>
        <w:t>ould</w:t>
      </w:r>
      <w:r w:rsidRPr="008A56A5">
        <w:rPr>
          <w:rFonts w:cs="Open Sans"/>
        </w:rPr>
        <w:t xml:space="preserve"> be that</w:t>
      </w:r>
      <w:r w:rsidR="002473C3" w:rsidRPr="008A56A5">
        <w:rPr>
          <w:rFonts w:cs="Open Sans"/>
        </w:rPr>
        <w:t xml:space="preserve"> a person </w:t>
      </w:r>
      <w:r w:rsidR="00183A30" w:rsidRPr="008A56A5">
        <w:rPr>
          <w:rFonts w:cs="Open Sans"/>
        </w:rPr>
        <w:t xml:space="preserve">will not be notified in advance of </w:t>
      </w:r>
      <w:r w:rsidR="00C87551" w:rsidRPr="008A56A5">
        <w:rPr>
          <w:rFonts w:cs="Open Sans"/>
        </w:rPr>
        <w:t xml:space="preserve">the prospect of </w:t>
      </w:r>
      <w:r w:rsidR="00183A30" w:rsidRPr="008A56A5">
        <w:rPr>
          <w:rFonts w:cs="Open Sans"/>
        </w:rPr>
        <w:t>their citizenship being removed</w:t>
      </w:r>
      <w:r w:rsidRPr="008A56A5">
        <w:rPr>
          <w:rFonts w:cs="Open Sans"/>
        </w:rPr>
        <w:t xml:space="preserve">, </w:t>
      </w:r>
      <w:r w:rsidR="00183A30" w:rsidRPr="008A56A5">
        <w:rPr>
          <w:rFonts w:cs="Open Sans"/>
        </w:rPr>
        <w:t>and will not have the opportunity to make</w:t>
      </w:r>
      <w:r w:rsidR="002473C3" w:rsidRPr="008A56A5">
        <w:rPr>
          <w:rFonts w:cs="Open Sans"/>
        </w:rPr>
        <w:t xml:space="preserve"> </w:t>
      </w:r>
      <w:r w:rsidR="00183A30" w:rsidRPr="008A56A5">
        <w:rPr>
          <w:rFonts w:cs="Open Sans"/>
        </w:rPr>
        <w:t>submissions</w:t>
      </w:r>
      <w:r w:rsidRPr="008A56A5">
        <w:rPr>
          <w:rFonts w:cs="Open Sans"/>
        </w:rPr>
        <w:t xml:space="preserve"> or respond to adverse allegations</w:t>
      </w:r>
      <w:r w:rsidR="003100F8" w:rsidRPr="008A56A5">
        <w:rPr>
          <w:rFonts w:cs="Open Sans"/>
        </w:rPr>
        <w:t xml:space="preserve"> </w:t>
      </w:r>
      <w:r w:rsidR="00EC2FE4" w:rsidRPr="008A56A5">
        <w:rPr>
          <w:rFonts w:cs="Open Sans"/>
        </w:rPr>
        <w:t>at this stage</w:t>
      </w:r>
      <w:r w:rsidRPr="008A56A5">
        <w:rPr>
          <w:rFonts w:cs="Open Sans"/>
        </w:rPr>
        <w:t>. T</w:t>
      </w:r>
      <w:r w:rsidR="002473C3" w:rsidRPr="008A56A5">
        <w:rPr>
          <w:rFonts w:cs="Open Sans"/>
        </w:rPr>
        <w:t xml:space="preserve">hey may </w:t>
      </w:r>
      <w:r w:rsidR="00183A30" w:rsidRPr="008A56A5">
        <w:rPr>
          <w:rFonts w:cs="Open Sans"/>
        </w:rPr>
        <w:t xml:space="preserve">also </w:t>
      </w:r>
      <w:r w:rsidR="002473C3" w:rsidRPr="008A56A5">
        <w:rPr>
          <w:rFonts w:cs="Open Sans"/>
        </w:rPr>
        <w:t xml:space="preserve">not be notified </w:t>
      </w:r>
      <w:r w:rsidR="00A04648" w:rsidRPr="008A56A5">
        <w:rPr>
          <w:rFonts w:cs="Open Sans"/>
        </w:rPr>
        <w:t>at all</w:t>
      </w:r>
      <w:r w:rsidR="003100F8" w:rsidRPr="008A56A5">
        <w:rPr>
          <w:rFonts w:cs="Open Sans"/>
        </w:rPr>
        <w:t xml:space="preserve">, </w:t>
      </w:r>
      <w:r w:rsidRPr="008A56A5">
        <w:rPr>
          <w:rFonts w:cs="Open Sans"/>
        </w:rPr>
        <w:t xml:space="preserve">for a period of up to six years, if the Minister is satisfied that notification ‘could’ cause certain prejudice. </w:t>
      </w:r>
    </w:p>
    <w:p w14:paraId="1BD890C7" w14:textId="473CEE17" w:rsidR="0031434B" w:rsidRPr="008A56A5" w:rsidRDefault="0071529D" w:rsidP="00F81C7E">
      <w:pPr>
        <w:pStyle w:val="ListNumber"/>
        <w:numPr>
          <w:ilvl w:val="0"/>
          <w:numId w:val="16"/>
        </w:numPr>
        <w:tabs>
          <w:tab w:val="num" w:pos="993"/>
          <w:tab w:val="left" w:pos="1418"/>
        </w:tabs>
        <w:spacing w:after="240"/>
        <w:ind w:left="709" w:hanging="567"/>
        <w:rPr>
          <w:rFonts w:cs="Open Sans"/>
        </w:rPr>
      </w:pPr>
      <w:r w:rsidRPr="008A56A5">
        <w:rPr>
          <w:rFonts w:cs="Open Sans"/>
        </w:rPr>
        <w:t>Further,</w:t>
      </w:r>
      <w:r w:rsidR="002473C3" w:rsidRPr="008A56A5">
        <w:rPr>
          <w:rFonts w:cs="Open Sans"/>
        </w:rPr>
        <w:t xml:space="preserve"> even if </w:t>
      </w:r>
      <w:r w:rsidR="00747EA3" w:rsidRPr="008A56A5">
        <w:rPr>
          <w:rFonts w:cs="Open Sans"/>
        </w:rPr>
        <w:t>notification is provided in accordance with the requirements of the legislation</w:t>
      </w:r>
      <w:r w:rsidRPr="008A56A5">
        <w:rPr>
          <w:rFonts w:cs="Open Sans"/>
        </w:rPr>
        <w:t>,</w:t>
      </w:r>
      <w:r w:rsidR="002473C3" w:rsidRPr="008A56A5">
        <w:rPr>
          <w:rFonts w:cs="Open Sans"/>
        </w:rPr>
        <w:t xml:space="preserve"> </w:t>
      </w:r>
      <w:r w:rsidR="00AD400D" w:rsidRPr="008A56A5">
        <w:rPr>
          <w:rFonts w:cs="Open Sans"/>
        </w:rPr>
        <w:t xml:space="preserve">this may not be adequate to ensure that </w:t>
      </w:r>
      <w:r w:rsidR="002473C3" w:rsidRPr="008A56A5">
        <w:rPr>
          <w:rFonts w:cs="Open Sans"/>
        </w:rPr>
        <w:t>the</w:t>
      </w:r>
      <w:r w:rsidRPr="008A56A5">
        <w:rPr>
          <w:rFonts w:cs="Open Sans"/>
        </w:rPr>
        <w:t xml:space="preserve"> notice </w:t>
      </w:r>
      <w:r w:rsidR="008F1117" w:rsidRPr="008A56A5">
        <w:rPr>
          <w:rFonts w:cs="Open Sans"/>
        </w:rPr>
        <w:t xml:space="preserve">actually </w:t>
      </w:r>
      <w:r w:rsidRPr="008A56A5">
        <w:rPr>
          <w:rFonts w:cs="Open Sans"/>
        </w:rPr>
        <w:t>reach</w:t>
      </w:r>
      <w:r w:rsidR="008F1117" w:rsidRPr="008A56A5">
        <w:rPr>
          <w:rFonts w:cs="Open Sans"/>
        </w:rPr>
        <w:t>es</w:t>
      </w:r>
      <w:r w:rsidRPr="008A56A5">
        <w:rPr>
          <w:rFonts w:cs="Open Sans"/>
        </w:rPr>
        <w:t xml:space="preserve"> them </w:t>
      </w:r>
      <w:r w:rsidR="003C0785" w:rsidRPr="008A56A5">
        <w:rPr>
          <w:rFonts w:cs="Open Sans"/>
        </w:rPr>
        <w:t xml:space="preserve">due to </w:t>
      </w:r>
      <w:r w:rsidR="001A63D1" w:rsidRPr="008A56A5">
        <w:rPr>
          <w:rFonts w:cs="Open Sans"/>
        </w:rPr>
        <w:t>insufficient</w:t>
      </w:r>
      <w:r w:rsidR="003C0785" w:rsidRPr="008A56A5">
        <w:rPr>
          <w:rFonts w:cs="Open Sans"/>
        </w:rPr>
        <w:t xml:space="preserve"> service requirements</w:t>
      </w:r>
      <w:r w:rsidR="008F1117" w:rsidRPr="008A56A5">
        <w:rPr>
          <w:rFonts w:cs="Open Sans"/>
        </w:rPr>
        <w:t xml:space="preserve">. </w:t>
      </w:r>
      <w:r w:rsidR="00250E2F" w:rsidRPr="008A56A5">
        <w:rPr>
          <w:rFonts w:cs="Open Sans"/>
        </w:rPr>
        <w:t>If t</w:t>
      </w:r>
      <w:r w:rsidR="00602A3D" w:rsidRPr="008A56A5">
        <w:rPr>
          <w:rFonts w:cs="Open Sans"/>
        </w:rPr>
        <w:t xml:space="preserve">he person </w:t>
      </w:r>
      <w:r w:rsidR="00250E2F" w:rsidRPr="008A56A5">
        <w:rPr>
          <w:rFonts w:cs="Open Sans"/>
        </w:rPr>
        <w:t xml:space="preserve">wants to </w:t>
      </w:r>
      <w:r w:rsidR="00534F0B" w:rsidRPr="008A56A5">
        <w:rPr>
          <w:rFonts w:cs="Open Sans"/>
        </w:rPr>
        <w:t>apply for revocation of the determination</w:t>
      </w:r>
      <w:r w:rsidR="00250E2F" w:rsidRPr="008A56A5">
        <w:rPr>
          <w:rFonts w:cs="Open Sans"/>
        </w:rPr>
        <w:t>,</w:t>
      </w:r>
      <w:r w:rsidR="00534F0B" w:rsidRPr="008A56A5">
        <w:rPr>
          <w:rFonts w:cs="Open Sans"/>
        </w:rPr>
        <w:t xml:space="preserve"> </w:t>
      </w:r>
      <w:r w:rsidR="00250E2F" w:rsidRPr="008A56A5">
        <w:rPr>
          <w:rFonts w:cs="Open Sans"/>
        </w:rPr>
        <w:t xml:space="preserve">this must be done </w:t>
      </w:r>
      <w:r w:rsidR="00534F0B" w:rsidRPr="008A56A5">
        <w:rPr>
          <w:rFonts w:cs="Open Sans"/>
        </w:rPr>
        <w:t xml:space="preserve">within 90 days of </w:t>
      </w:r>
      <w:r w:rsidR="003F0843" w:rsidRPr="008A56A5">
        <w:rPr>
          <w:rFonts w:cs="Open Sans"/>
        </w:rPr>
        <w:t>the notice being sent to their last known place of residence</w:t>
      </w:r>
      <w:r w:rsidR="00EE545A" w:rsidRPr="008A56A5">
        <w:rPr>
          <w:rFonts w:cs="Open Sans"/>
        </w:rPr>
        <w:t xml:space="preserve"> (or within 30 days of </w:t>
      </w:r>
      <w:r w:rsidR="00250E2F" w:rsidRPr="008A56A5">
        <w:rPr>
          <w:rFonts w:cs="Open Sans"/>
        </w:rPr>
        <w:t xml:space="preserve">it being sent </w:t>
      </w:r>
      <w:r w:rsidR="00D64F12" w:rsidRPr="008A56A5">
        <w:rPr>
          <w:rFonts w:cs="Open Sans"/>
        </w:rPr>
        <w:t>to an email address</w:t>
      </w:r>
      <w:r w:rsidR="00CE57FC" w:rsidRPr="008A56A5">
        <w:rPr>
          <w:rFonts w:cs="Open Sans"/>
        </w:rPr>
        <w:t>)</w:t>
      </w:r>
      <w:r w:rsidR="003F0843" w:rsidRPr="008A56A5">
        <w:rPr>
          <w:rFonts w:cs="Open Sans"/>
        </w:rPr>
        <w:t xml:space="preserve"> even if that is no longer whether they live</w:t>
      </w:r>
      <w:r w:rsidR="00CE57FC" w:rsidRPr="008A56A5">
        <w:rPr>
          <w:rFonts w:cs="Open Sans"/>
        </w:rPr>
        <w:t>.</w:t>
      </w:r>
      <w:r w:rsidR="004C0C43" w:rsidRPr="008A56A5">
        <w:rPr>
          <w:rFonts w:cs="Open Sans"/>
        </w:rPr>
        <w:t xml:space="preserve"> </w:t>
      </w:r>
      <w:r w:rsidR="00310591" w:rsidRPr="008A56A5">
        <w:rPr>
          <w:rFonts w:cs="Open Sans"/>
        </w:rPr>
        <w:t>There is a real prospect that a</w:t>
      </w:r>
      <w:r w:rsidR="004010C3" w:rsidRPr="008A56A5">
        <w:rPr>
          <w:rFonts w:cs="Open Sans"/>
        </w:rPr>
        <w:t xml:space="preserve">n Australian citizen will lose their </w:t>
      </w:r>
      <w:r w:rsidR="0031434B" w:rsidRPr="008A56A5">
        <w:rPr>
          <w:rFonts w:cs="Open Sans"/>
        </w:rPr>
        <w:t xml:space="preserve">citizenship without the ability to seek revocation if the Department does not have their contact details. </w:t>
      </w:r>
    </w:p>
    <w:p w14:paraId="2FC1335F" w14:textId="5AC92123" w:rsidR="00D24193" w:rsidRPr="008A56A5" w:rsidRDefault="008F1117" w:rsidP="00F81C7E">
      <w:pPr>
        <w:pStyle w:val="ListNumber"/>
        <w:numPr>
          <w:ilvl w:val="0"/>
          <w:numId w:val="16"/>
        </w:numPr>
        <w:tabs>
          <w:tab w:val="num" w:pos="993"/>
          <w:tab w:val="left" w:pos="1418"/>
        </w:tabs>
        <w:spacing w:after="240"/>
        <w:ind w:left="709" w:hanging="567"/>
        <w:rPr>
          <w:rFonts w:cs="Open Sans"/>
        </w:rPr>
      </w:pPr>
      <w:r w:rsidRPr="008A56A5">
        <w:rPr>
          <w:rFonts w:cs="Open Sans"/>
        </w:rPr>
        <w:t xml:space="preserve">If the notice does reach them, </w:t>
      </w:r>
      <w:r w:rsidR="0071529D" w:rsidRPr="008A56A5">
        <w:rPr>
          <w:rFonts w:cs="Open Sans"/>
        </w:rPr>
        <w:t>the</w:t>
      </w:r>
      <w:r w:rsidR="002473C3" w:rsidRPr="008A56A5">
        <w:rPr>
          <w:rFonts w:cs="Open Sans"/>
        </w:rPr>
        <w:t>y may not be provided with more than ‘a basic description’ of the relevant conduct</w:t>
      </w:r>
      <w:r w:rsidR="0071529D" w:rsidRPr="008A56A5">
        <w:rPr>
          <w:rFonts w:cs="Open Sans"/>
        </w:rPr>
        <w:t xml:space="preserve">. </w:t>
      </w:r>
      <w:r w:rsidR="008346C1" w:rsidRPr="008A56A5">
        <w:rPr>
          <w:rFonts w:cs="Open Sans"/>
        </w:rPr>
        <w:t>This may not be sufficient for them to make meaningful submissions about revocation.</w:t>
      </w:r>
      <w:r w:rsidR="004C0C43" w:rsidRPr="008A56A5">
        <w:rPr>
          <w:rFonts w:cs="Open Sans"/>
        </w:rPr>
        <w:t xml:space="preserve"> </w:t>
      </w:r>
      <w:r w:rsidR="00D24193" w:rsidRPr="008A56A5">
        <w:rPr>
          <w:rFonts w:cs="Open Sans"/>
        </w:rPr>
        <w:t>For example, there is no requirement for them to be provided with reasons for the cessation of their citizenship.</w:t>
      </w:r>
      <w:r w:rsidR="004C0C43" w:rsidRPr="008A56A5">
        <w:rPr>
          <w:rFonts w:cs="Open Sans"/>
        </w:rPr>
        <w:t xml:space="preserve"> </w:t>
      </w:r>
    </w:p>
    <w:p w14:paraId="6E1625B1" w14:textId="54545283" w:rsidR="002473C3" w:rsidRPr="008A56A5" w:rsidRDefault="00D24193" w:rsidP="00F81C7E">
      <w:pPr>
        <w:pStyle w:val="ListNumber"/>
        <w:numPr>
          <w:ilvl w:val="0"/>
          <w:numId w:val="16"/>
        </w:numPr>
        <w:tabs>
          <w:tab w:val="num" w:pos="993"/>
          <w:tab w:val="left" w:pos="1418"/>
        </w:tabs>
        <w:spacing w:after="240"/>
        <w:ind w:left="709" w:hanging="567"/>
        <w:rPr>
          <w:rFonts w:cs="Open Sans"/>
        </w:rPr>
      </w:pPr>
      <w:r w:rsidRPr="008A56A5">
        <w:rPr>
          <w:rFonts w:cs="Open Sans"/>
        </w:rPr>
        <w:t>Significantly, and contrary to the recommendations of the INSLM, t</w:t>
      </w:r>
      <w:r w:rsidR="003100F8" w:rsidRPr="008A56A5">
        <w:rPr>
          <w:rFonts w:cs="Open Sans"/>
        </w:rPr>
        <w:t>here is no avenue to seek independent merits review</w:t>
      </w:r>
      <w:r w:rsidRPr="008A56A5">
        <w:rPr>
          <w:rFonts w:cs="Open Sans"/>
        </w:rPr>
        <w:t xml:space="preserve"> of a determination by the Minister that person’s citizenship should cease</w:t>
      </w:r>
      <w:r w:rsidR="00377CD4" w:rsidRPr="008A56A5">
        <w:rPr>
          <w:rFonts w:cs="Open Sans"/>
        </w:rPr>
        <w:t xml:space="preserve">. </w:t>
      </w:r>
    </w:p>
    <w:p w14:paraId="55658266" w14:textId="55968C4E" w:rsidR="00C82E7C" w:rsidRPr="008A56A5" w:rsidRDefault="00C82E7C" w:rsidP="00377CD4">
      <w:pPr>
        <w:pStyle w:val="ListNumber"/>
        <w:numPr>
          <w:ilvl w:val="0"/>
          <w:numId w:val="16"/>
        </w:numPr>
        <w:tabs>
          <w:tab w:val="num" w:pos="993"/>
          <w:tab w:val="left" w:pos="1418"/>
        </w:tabs>
        <w:spacing w:after="240"/>
        <w:ind w:left="709" w:hanging="567"/>
        <w:rPr>
          <w:rFonts w:cs="Open Sans"/>
        </w:rPr>
      </w:pPr>
      <w:r w:rsidRPr="008A56A5">
        <w:rPr>
          <w:rFonts w:cs="Open Sans"/>
        </w:rPr>
        <w:t xml:space="preserve">In addition to </w:t>
      </w:r>
      <w:r w:rsidR="00CB6DDA" w:rsidRPr="008A56A5">
        <w:rPr>
          <w:rFonts w:cs="Open Sans"/>
        </w:rPr>
        <w:t>increasing the risk of</w:t>
      </w:r>
      <w:r w:rsidRPr="008A56A5">
        <w:rPr>
          <w:rFonts w:cs="Open Sans"/>
        </w:rPr>
        <w:t xml:space="preserve"> arbitrary violations of article 12(4), these factors may also be inconsistent with an individual’s rights to a fair hearing and an effective remedy under articles 14(1) and 2(3) of the ICCPR respectively. </w:t>
      </w:r>
    </w:p>
    <w:p w14:paraId="2DFC5383" w14:textId="4488172D" w:rsidR="00F81C7E" w:rsidRPr="008A56A5" w:rsidRDefault="00F81C7E" w:rsidP="00871389">
      <w:pPr>
        <w:pStyle w:val="ListNumber"/>
        <w:numPr>
          <w:ilvl w:val="0"/>
          <w:numId w:val="16"/>
        </w:numPr>
        <w:tabs>
          <w:tab w:val="num" w:pos="993"/>
          <w:tab w:val="left" w:pos="1418"/>
        </w:tabs>
        <w:spacing w:after="240"/>
        <w:ind w:left="709" w:hanging="567"/>
        <w:rPr>
          <w:rFonts w:cs="Open Sans"/>
        </w:rPr>
      </w:pPr>
      <w:r w:rsidRPr="008A56A5">
        <w:t>T</w:t>
      </w:r>
      <w:r w:rsidRPr="008A56A5">
        <w:rPr>
          <w:rFonts w:cs="Open Sans"/>
        </w:rPr>
        <w:t>he Commission is concerned</w:t>
      </w:r>
      <w:r w:rsidR="00A96126" w:rsidRPr="008A56A5">
        <w:rPr>
          <w:rFonts w:cs="Open Sans"/>
        </w:rPr>
        <w:t xml:space="preserve"> that</w:t>
      </w:r>
      <w:r w:rsidRPr="008A56A5">
        <w:rPr>
          <w:rFonts w:cs="Open Sans"/>
        </w:rPr>
        <w:t xml:space="preserve"> the proposed safeguards are not sufficient to ensure that removal of citizenship only occurs as a last resort in the most extreme instances</w:t>
      </w:r>
      <w:r w:rsidR="001A63D1" w:rsidRPr="008A56A5">
        <w:rPr>
          <w:rFonts w:cs="Open Sans"/>
        </w:rPr>
        <w:t>, with appropriate opportunities for review</w:t>
      </w:r>
      <w:r w:rsidRPr="008A56A5">
        <w:rPr>
          <w:rFonts w:cs="Open Sans"/>
        </w:rPr>
        <w:t xml:space="preserve">. </w:t>
      </w:r>
      <w:r w:rsidR="00871389" w:rsidRPr="008A56A5">
        <w:rPr>
          <w:rFonts w:cs="Open Sans"/>
        </w:rPr>
        <w:t>It</w:t>
      </w:r>
      <w:r w:rsidRPr="008A56A5">
        <w:rPr>
          <w:rFonts w:cs="Open Sans"/>
        </w:rPr>
        <w:t xml:space="preserve"> considers that the safeguards should be enhanced to ensure that a fair, just and correct decision is made in the first instance, as far as possible</w:t>
      </w:r>
      <w:r w:rsidR="001A63D1" w:rsidRPr="008A56A5">
        <w:rPr>
          <w:rFonts w:cs="Open Sans"/>
        </w:rPr>
        <w:t>, and to provide adequate oversight</w:t>
      </w:r>
      <w:r w:rsidRPr="008A56A5">
        <w:rPr>
          <w:rFonts w:cs="Open Sans"/>
        </w:rPr>
        <w:t xml:space="preserve">. </w:t>
      </w:r>
    </w:p>
    <w:p w14:paraId="33EDF4EA" w14:textId="27BD3224" w:rsidR="0065031B" w:rsidRPr="008A56A5" w:rsidRDefault="0065031B" w:rsidP="00871389">
      <w:pPr>
        <w:pStyle w:val="ListNumber"/>
        <w:numPr>
          <w:ilvl w:val="0"/>
          <w:numId w:val="16"/>
        </w:numPr>
        <w:tabs>
          <w:tab w:val="num" w:pos="993"/>
          <w:tab w:val="left" w:pos="1418"/>
        </w:tabs>
        <w:spacing w:after="240"/>
        <w:ind w:left="709" w:hanging="567"/>
        <w:rPr>
          <w:rFonts w:cs="Open Sans"/>
        </w:rPr>
      </w:pPr>
      <w:r w:rsidRPr="008A56A5">
        <w:rPr>
          <w:rFonts w:cs="Open Sans"/>
        </w:rPr>
        <w:t>These factors are considered in more detail below.</w:t>
      </w:r>
    </w:p>
    <w:p w14:paraId="57F15F03" w14:textId="41EE3B8A" w:rsidR="007F2B56" w:rsidRPr="008A56A5" w:rsidRDefault="00E43824" w:rsidP="00F81C7E">
      <w:pPr>
        <w:pStyle w:val="Heading3"/>
        <w:numPr>
          <w:ilvl w:val="2"/>
          <w:numId w:val="19"/>
        </w:numPr>
        <w:rPr>
          <w:i/>
          <w:iCs/>
        </w:rPr>
      </w:pPr>
      <w:bookmarkStart w:id="53" w:name="_Toc21968483"/>
      <w:r w:rsidRPr="008A56A5">
        <w:rPr>
          <w:i/>
          <w:iCs/>
        </w:rPr>
        <w:t>Public interest factors</w:t>
      </w:r>
      <w:bookmarkEnd w:id="53"/>
    </w:p>
    <w:p w14:paraId="14DEAC0B" w14:textId="23F6FB00" w:rsidR="0071529D" w:rsidRPr="008A56A5" w:rsidRDefault="00D26B80" w:rsidP="00F81C7E">
      <w:pPr>
        <w:pStyle w:val="ListNumber"/>
        <w:numPr>
          <w:ilvl w:val="0"/>
          <w:numId w:val="16"/>
        </w:numPr>
        <w:tabs>
          <w:tab w:val="num" w:pos="993"/>
          <w:tab w:val="left" w:pos="1418"/>
        </w:tabs>
        <w:spacing w:after="240"/>
        <w:ind w:left="709" w:hanging="567"/>
      </w:pPr>
      <w:r w:rsidRPr="008A56A5">
        <w:t>P</w:t>
      </w:r>
      <w:r w:rsidR="00F73ACE" w:rsidRPr="008A56A5">
        <w:rPr>
          <w:rFonts w:cs="Open Sans"/>
        </w:rPr>
        <w:t>roposed s</w:t>
      </w:r>
      <w:r w:rsidRPr="008A56A5">
        <w:rPr>
          <w:rFonts w:cs="Open Sans"/>
        </w:rPr>
        <w:t xml:space="preserve">s </w:t>
      </w:r>
      <w:r w:rsidR="00A470BA" w:rsidRPr="008A56A5">
        <w:rPr>
          <w:rFonts w:cs="Open Sans"/>
        </w:rPr>
        <w:t xml:space="preserve">36B(1)(c), </w:t>
      </w:r>
      <w:r w:rsidRPr="008A56A5">
        <w:rPr>
          <w:rFonts w:cs="Open Sans"/>
        </w:rPr>
        <w:t>36D</w:t>
      </w:r>
      <w:r w:rsidR="00A470BA" w:rsidRPr="008A56A5">
        <w:rPr>
          <w:rFonts w:cs="Open Sans"/>
        </w:rPr>
        <w:t>(1)</w:t>
      </w:r>
      <w:r w:rsidRPr="008A56A5">
        <w:rPr>
          <w:rFonts w:cs="Open Sans"/>
        </w:rPr>
        <w:t>(d)</w:t>
      </w:r>
      <w:r w:rsidR="00934FA1" w:rsidRPr="008A56A5">
        <w:rPr>
          <w:rFonts w:cs="Open Sans"/>
        </w:rPr>
        <w:t xml:space="preserve"> </w:t>
      </w:r>
      <w:r w:rsidR="003E2C17" w:rsidRPr="008A56A5">
        <w:rPr>
          <w:rFonts w:cs="Open Sans"/>
        </w:rPr>
        <w:t xml:space="preserve">and 36E </w:t>
      </w:r>
      <w:r w:rsidR="00934FA1" w:rsidRPr="008A56A5">
        <w:rPr>
          <w:rFonts w:cs="Open Sans"/>
        </w:rPr>
        <w:t xml:space="preserve">provide that, in order to make a citizenship cessation determination, </w:t>
      </w:r>
      <w:r w:rsidR="0071529D" w:rsidRPr="008A56A5">
        <w:t xml:space="preserve">the Minister </w:t>
      </w:r>
      <w:r w:rsidR="00DB1550" w:rsidRPr="008A56A5">
        <w:t>must</w:t>
      </w:r>
      <w:r w:rsidR="0071529D" w:rsidRPr="008A56A5">
        <w:t xml:space="preserve"> be satisfied that it </w:t>
      </w:r>
      <w:r w:rsidR="00934FA1" w:rsidRPr="008A56A5">
        <w:t xml:space="preserve">would be contrary to the public interest for the person to </w:t>
      </w:r>
      <w:r w:rsidR="0071529D" w:rsidRPr="008A56A5">
        <w:t xml:space="preserve">remain an Australian citizen ‘having regard’ to certain factors. </w:t>
      </w:r>
      <w:r w:rsidR="003E2C17" w:rsidRPr="008A56A5">
        <w:t xml:space="preserve">This is in addition to a requirement </w:t>
      </w:r>
      <w:r w:rsidR="00D120BE" w:rsidRPr="008A56A5">
        <w:t>that the Minister be satisfied that the relevant conduct demonstrates that the person has repudiated their allegiance to Australia.</w:t>
      </w:r>
    </w:p>
    <w:p w14:paraId="3D7ADBB1" w14:textId="318FA6D2" w:rsidR="0071529D" w:rsidRPr="008A56A5" w:rsidRDefault="0071529D" w:rsidP="00934FA1">
      <w:pPr>
        <w:pStyle w:val="ListNumber"/>
        <w:numPr>
          <w:ilvl w:val="0"/>
          <w:numId w:val="16"/>
        </w:numPr>
        <w:tabs>
          <w:tab w:val="num" w:pos="993"/>
          <w:tab w:val="left" w:pos="1418"/>
        </w:tabs>
        <w:spacing w:after="240"/>
        <w:ind w:left="709" w:hanging="567"/>
      </w:pPr>
      <w:r w:rsidRPr="008A56A5">
        <w:t>The</w:t>
      </w:r>
      <w:r w:rsidR="003E2C17" w:rsidRPr="008A56A5">
        <w:t xml:space="preserve"> proposed public interest</w:t>
      </w:r>
      <w:r w:rsidRPr="008A56A5">
        <w:t xml:space="preserve"> factors</w:t>
      </w:r>
      <w:r w:rsidR="003E2C17" w:rsidRPr="008A56A5">
        <w:t xml:space="preserve"> under s 36</w:t>
      </w:r>
      <w:proofErr w:type="gramStart"/>
      <w:r w:rsidR="003E2C17" w:rsidRPr="008A56A5">
        <w:t>E</w:t>
      </w:r>
      <w:r w:rsidR="004B65AB" w:rsidRPr="008A56A5">
        <w:t>(</w:t>
      </w:r>
      <w:proofErr w:type="gramEnd"/>
      <w:r w:rsidR="004B65AB" w:rsidRPr="008A56A5">
        <w:t>2)</w:t>
      </w:r>
      <w:r w:rsidR="00D5539C" w:rsidRPr="008A56A5">
        <w:t xml:space="preserve"> are based on the current public interest factors in s 33AA(17). They</w:t>
      </w:r>
      <w:r w:rsidRPr="008A56A5">
        <w:t xml:space="preserve"> include the severity of the relevant conduct, </w:t>
      </w:r>
      <w:r w:rsidR="003F046E" w:rsidRPr="008A56A5">
        <w:t xml:space="preserve">the </w:t>
      </w:r>
      <w:r w:rsidRPr="008A56A5">
        <w:t>degree of threat posed</w:t>
      </w:r>
      <w:r w:rsidR="00934FA1" w:rsidRPr="008A56A5">
        <w:t xml:space="preserve"> to the Australian community</w:t>
      </w:r>
      <w:r w:rsidRPr="008A56A5">
        <w:t>,</w:t>
      </w:r>
      <w:r w:rsidR="00934FA1" w:rsidRPr="008A56A5">
        <w:t xml:space="preserve"> whether the person is being or likely to be prosecuted,</w:t>
      </w:r>
      <w:r w:rsidRPr="008A56A5">
        <w:t xml:space="preserve"> the age of the person, </w:t>
      </w:r>
      <w:r w:rsidR="003D5EF2" w:rsidRPr="008A56A5">
        <w:t>if the person is a child</w:t>
      </w:r>
      <w:r w:rsidR="003F046E" w:rsidRPr="008A56A5">
        <w:t xml:space="preserve"> – </w:t>
      </w:r>
      <w:r w:rsidRPr="008A56A5">
        <w:t>the</w:t>
      </w:r>
      <w:r w:rsidR="003F046E" w:rsidRPr="008A56A5">
        <w:t>ir</w:t>
      </w:r>
      <w:r w:rsidRPr="008A56A5">
        <w:t xml:space="preserve"> best interests</w:t>
      </w:r>
      <w:r w:rsidR="003F046E" w:rsidRPr="008A56A5">
        <w:t>,</w:t>
      </w:r>
      <w:r w:rsidRPr="008A56A5">
        <w:t xml:space="preserve"> the person’s connection to the other country</w:t>
      </w:r>
      <w:r w:rsidR="000837BE" w:rsidRPr="008A56A5">
        <w:t>,</w:t>
      </w:r>
      <w:r w:rsidR="004B65AB" w:rsidRPr="008A56A5">
        <w:t xml:space="preserve"> the availability of the</w:t>
      </w:r>
      <w:r w:rsidR="009B347A" w:rsidRPr="008A56A5">
        <w:t>ir</w:t>
      </w:r>
      <w:r w:rsidR="004B65AB" w:rsidRPr="008A56A5">
        <w:t xml:space="preserve"> rights of citizenship</w:t>
      </w:r>
      <w:r w:rsidR="000837BE" w:rsidRPr="008A56A5">
        <w:t xml:space="preserve"> there, and Australia’s international relations</w:t>
      </w:r>
      <w:r w:rsidRPr="008A56A5">
        <w:t xml:space="preserve">. </w:t>
      </w:r>
      <w:r w:rsidR="00B0271E" w:rsidRPr="008A56A5">
        <w:t xml:space="preserve">While the criteria </w:t>
      </w:r>
      <w:r w:rsidR="004C0036" w:rsidRPr="008A56A5">
        <w:t xml:space="preserve">permit consideration of ‘any other matter of public interest’ there is </w:t>
      </w:r>
      <w:r w:rsidRPr="008A56A5">
        <w:t>no express require</w:t>
      </w:r>
      <w:r w:rsidR="004C0036" w:rsidRPr="008A56A5">
        <w:t>ment to</w:t>
      </w:r>
      <w:r w:rsidRPr="008A56A5">
        <w:t xml:space="preserve"> consider of a person’s connection to Australia.</w:t>
      </w:r>
      <w:r w:rsidRPr="008A56A5">
        <w:rPr>
          <w:rStyle w:val="EndnoteReference"/>
          <w:rFonts w:cs="Open Sans"/>
        </w:rPr>
        <w:endnoteReference w:id="26"/>
      </w:r>
      <w:r w:rsidRPr="008A56A5">
        <w:t xml:space="preserve"> </w:t>
      </w:r>
    </w:p>
    <w:p w14:paraId="2D4AE9E5" w14:textId="2E2B521C" w:rsidR="0071529D" w:rsidRPr="008A56A5" w:rsidRDefault="0071529D" w:rsidP="003E2C17">
      <w:pPr>
        <w:pStyle w:val="ListNumber"/>
        <w:numPr>
          <w:ilvl w:val="0"/>
          <w:numId w:val="16"/>
        </w:numPr>
        <w:tabs>
          <w:tab w:val="num" w:pos="993"/>
          <w:tab w:val="left" w:pos="1418"/>
        </w:tabs>
        <w:spacing w:after="240"/>
        <w:ind w:left="709" w:hanging="567"/>
      </w:pPr>
      <w:r w:rsidRPr="008A56A5">
        <w:t xml:space="preserve">Circumstances may arise where a person has a strong connection to Australia, for example where they </w:t>
      </w:r>
      <w:r w:rsidR="004C0391" w:rsidRPr="008A56A5">
        <w:t xml:space="preserve">were born in Australia, </w:t>
      </w:r>
      <w:r w:rsidRPr="008A56A5">
        <w:t xml:space="preserve">have lived in Australia for a long period and have dependent children </w:t>
      </w:r>
      <w:r w:rsidR="004C0391" w:rsidRPr="008A56A5">
        <w:t xml:space="preserve">or other family </w:t>
      </w:r>
      <w:r w:rsidRPr="008A56A5">
        <w:t>who are Australian citizens. While courts have found that legislative provisions should be interpreted consistently with Australia’s international obligations,</w:t>
      </w:r>
      <w:r w:rsidRPr="008A56A5">
        <w:rPr>
          <w:rStyle w:val="EndnoteReference"/>
          <w:rFonts w:cs="Open Sans"/>
        </w:rPr>
        <w:endnoteReference w:id="27"/>
      </w:r>
      <w:r w:rsidRPr="008A56A5">
        <w:t xml:space="preserve"> this does not afford the same level of protection as statutory decision-making criteria.</w:t>
      </w:r>
    </w:p>
    <w:p w14:paraId="2DFBD2CE" w14:textId="6DB418C3" w:rsidR="0071529D" w:rsidRPr="008A56A5" w:rsidRDefault="0071529D" w:rsidP="00DB1550">
      <w:pPr>
        <w:pStyle w:val="ListNumber"/>
        <w:numPr>
          <w:ilvl w:val="0"/>
          <w:numId w:val="16"/>
        </w:numPr>
        <w:tabs>
          <w:tab w:val="num" w:pos="993"/>
          <w:tab w:val="left" w:pos="1418"/>
        </w:tabs>
        <w:spacing w:after="240"/>
        <w:ind w:left="709" w:hanging="567"/>
      </w:pPr>
      <w:r w:rsidRPr="008A56A5">
        <w:t xml:space="preserve">Nor does </w:t>
      </w:r>
      <w:r w:rsidR="004C0391" w:rsidRPr="008A56A5">
        <w:t>s 36</w:t>
      </w:r>
      <w:proofErr w:type="gramStart"/>
      <w:r w:rsidR="004C0391" w:rsidRPr="008A56A5">
        <w:t>E(</w:t>
      </w:r>
      <w:proofErr w:type="gramEnd"/>
      <w:r w:rsidR="004C0391" w:rsidRPr="008A56A5">
        <w:t>2)</w:t>
      </w:r>
      <w:r w:rsidRPr="008A56A5">
        <w:t xml:space="preserve"> expressly require consideration of the </w:t>
      </w:r>
      <w:bookmarkStart w:id="54" w:name="_Hlk20911663"/>
      <w:r w:rsidR="00DB1550" w:rsidRPr="008A56A5">
        <w:t xml:space="preserve">practical ability </w:t>
      </w:r>
      <w:bookmarkEnd w:id="54"/>
      <w:r w:rsidR="00DB1550" w:rsidRPr="008A56A5">
        <w:t xml:space="preserve">of a person </w:t>
      </w:r>
      <w:r w:rsidRPr="008A56A5">
        <w:t>to enter and reside in th</w:t>
      </w:r>
      <w:r w:rsidR="00DB1550" w:rsidRPr="008A56A5">
        <w:t>e country of which they may be a national or citizen</w:t>
      </w:r>
      <w:r w:rsidRPr="008A56A5">
        <w:t>.</w:t>
      </w:r>
      <w:r w:rsidR="00DB1550" w:rsidRPr="008A56A5">
        <w:t xml:space="preserve"> This is a different inquiry to a person’s potential </w:t>
      </w:r>
      <w:r w:rsidR="0040690A" w:rsidRPr="008A56A5">
        <w:t>other citizenship</w:t>
      </w:r>
      <w:r w:rsidR="00DB1550" w:rsidRPr="008A56A5">
        <w:t xml:space="preserve"> as a matter of law. Rather, it </w:t>
      </w:r>
      <w:r w:rsidR="0040690A" w:rsidRPr="008A56A5">
        <w:t xml:space="preserve">would require consideration of diplomatic, </w:t>
      </w:r>
      <w:r w:rsidR="00C675A7" w:rsidRPr="008A56A5">
        <w:t>pragmatic and other considerations.</w:t>
      </w:r>
      <w:r w:rsidR="0040690A" w:rsidRPr="008A56A5">
        <w:t xml:space="preserve"> </w:t>
      </w:r>
      <w:r w:rsidR="002F7BC8" w:rsidRPr="008A56A5">
        <w:t>For example, the other country may disagree that the person is a citizen and/or refuse to issue a passport</w:t>
      </w:r>
      <w:r w:rsidR="004C0391" w:rsidRPr="008A56A5">
        <w:t>, which would effectively render them stateless</w:t>
      </w:r>
      <w:r w:rsidR="002F7BC8" w:rsidRPr="008A56A5">
        <w:t>.</w:t>
      </w:r>
    </w:p>
    <w:p w14:paraId="30D2EFCB" w14:textId="0FAFA539" w:rsidR="0071529D" w:rsidRPr="008A56A5" w:rsidRDefault="0071529D" w:rsidP="002F7BC8">
      <w:pPr>
        <w:pStyle w:val="ListNumber"/>
        <w:numPr>
          <w:ilvl w:val="0"/>
          <w:numId w:val="16"/>
        </w:numPr>
        <w:tabs>
          <w:tab w:val="num" w:pos="993"/>
          <w:tab w:val="left" w:pos="1418"/>
        </w:tabs>
        <w:spacing w:after="240"/>
        <w:ind w:left="709" w:hanging="567"/>
      </w:pPr>
      <w:r w:rsidRPr="008A56A5">
        <w:t xml:space="preserve">The Commission considers that these additional factors should be prescribed as mandatory considerations, to ensure appropriate consideration of individual circumstances of the affected person and help decrease the risk of disproportionate or arbitrary </w:t>
      </w:r>
      <w:r w:rsidR="006E08B0" w:rsidRPr="008A56A5">
        <w:t>revocation of citizenship</w:t>
      </w:r>
      <w:r w:rsidRPr="008A56A5">
        <w:t>.</w:t>
      </w:r>
    </w:p>
    <w:p w14:paraId="3FC62D97" w14:textId="12F3CCB9" w:rsidR="00235FDB" w:rsidRPr="008A56A5" w:rsidRDefault="0071529D" w:rsidP="00235FDB">
      <w:pPr>
        <w:pStyle w:val="ListNumber"/>
        <w:keepNext/>
        <w:numPr>
          <w:ilvl w:val="0"/>
          <w:numId w:val="0"/>
        </w:numPr>
        <w:tabs>
          <w:tab w:val="left" w:pos="1418"/>
        </w:tabs>
        <w:ind w:left="709"/>
        <w:rPr>
          <w:b/>
          <w:bCs/>
        </w:rPr>
      </w:pPr>
      <w:r w:rsidRPr="008A56A5">
        <w:rPr>
          <w:b/>
          <w:bCs/>
        </w:rPr>
        <w:t>Recommendation</w:t>
      </w:r>
      <w:r w:rsidR="00901922" w:rsidRPr="008A56A5">
        <w:rPr>
          <w:b/>
          <w:bCs/>
        </w:rPr>
        <w:t xml:space="preserve"> </w:t>
      </w:r>
      <w:r w:rsidR="007D2F9D" w:rsidRPr="008A56A5">
        <w:rPr>
          <w:b/>
          <w:bCs/>
        </w:rPr>
        <w:t>3</w:t>
      </w:r>
    </w:p>
    <w:p w14:paraId="4CAC589A" w14:textId="4C5DC9C8" w:rsidR="00235FDB" w:rsidRPr="008A56A5" w:rsidRDefault="004B65AB" w:rsidP="00235FDB">
      <w:pPr>
        <w:pStyle w:val="ListNumber"/>
        <w:keepNext/>
        <w:numPr>
          <w:ilvl w:val="0"/>
          <w:numId w:val="0"/>
        </w:numPr>
        <w:tabs>
          <w:tab w:val="left" w:pos="1418"/>
        </w:tabs>
        <w:ind w:left="709"/>
        <w:rPr>
          <w:b/>
          <w:bCs/>
        </w:rPr>
      </w:pPr>
      <w:r w:rsidRPr="008A56A5">
        <w:rPr>
          <w:rFonts w:cs="Open Sans"/>
        </w:rPr>
        <w:t>The decision-making criteria in p</w:t>
      </w:r>
      <w:r w:rsidR="00235FDB" w:rsidRPr="008A56A5">
        <w:rPr>
          <w:rFonts w:cs="Open Sans"/>
        </w:rPr>
        <w:t xml:space="preserve">roposed </w:t>
      </w:r>
      <w:r w:rsidR="0071529D" w:rsidRPr="008A56A5">
        <w:rPr>
          <w:rFonts w:cs="Open Sans"/>
        </w:rPr>
        <w:t>s 36</w:t>
      </w:r>
      <w:proofErr w:type="gramStart"/>
      <w:r w:rsidR="0071529D" w:rsidRPr="008A56A5">
        <w:rPr>
          <w:rFonts w:cs="Open Sans"/>
        </w:rPr>
        <w:t>E(</w:t>
      </w:r>
      <w:proofErr w:type="gramEnd"/>
      <w:r w:rsidR="0071529D" w:rsidRPr="008A56A5">
        <w:rPr>
          <w:rFonts w:cs="Open Sans"/>
        </w:rPr>
        <w:t>2) should be amended to</w:t>
      </w:r>
      <w:r w:rsidR="00235FDB" w:rsidRPr="008A56A5">
        <w:rPr>
          <w:rFonts w:cs="Open Sans"/>
        </w:rPr>
        <w:t xml:space="preserve"> require that the Minister expressly consider</w:t>
      </w:r>
      <w:r w:rsidR="0071529D" w:rsidRPr="008A56A5">
        <w:rPr>
          <w:rFonts w:cs="Open Sans"/>
        </w:rPr>
        <w:t xml:space="preserve">: </w:t>
      </w:r>
    </w:p>
    <w:p w14:paraId="3E482B94" w14:textId="77777777" w:rsidR="004B65AB" w:rsidRPr="008A56A5" w:rsidRDefault="004B65AB" w:rsidP="00BD7F4B">
      <w:pPr>
        <w:pStyle w:val="Subnumbered"/>
        <w:numPr>
          <w:ilvl w:val="0"/>
          <w:numId w:val="24"/>
        </w:numPr>
        <w:spacing w:before="60" w:after="60"/>
        <w:ind w:left="1066" w:hanging="357"/>
        <w:rPr>
          <w:rFonts w:cs="Open Sans"/>
        </w:rPr>
      </w:pPr>
      <w:r w:rsidRPr="008A56A5">
        <w:rPr>
          <w:rFonts w:cs="Open Sans"/>
        </w:rPr>
        <w:t xml:space="preserve">a person’s </w:t>
      </w:r>
      <w:r w:rsidR="0071529D" w:rsidRPr="008A56A5">
        <w:rPr>
          <w:rFonts w:cs="Open Sans"/>
        </w:rPr>
        <w:t>connection to Australia</w:t>
      </w:r>
    </w:p>
    <w:p w14:paraId="2746191D" w14:textId="3E29909F" w:rsidR="0071529D" w:rsidRPr="008A56A5" w:rsidRDefault="00C504BD" w:rsidP="00BD7F4B">
      <w:pPr>
        <w:pStyle w:val="Subnumbered"/>
        <w:numPr>
          <w:ilvl w:val="0"/>
          <w:numId w:val="24"/>
        </w:numPr>
        <w:spacing w:before="60" w:after="60"/>
        <w:ind w:left="1066" w:hanging="357"/>
        <w:rPr>
          <w:rFonts w:cs="Open Sans"/>
        </w:rPr>
      </w:pPr>
      <w:r w:rsidRPr="008A56A5">
        <w:rPr>
          <w:rFonts w:cs="Open Sans"/>
        </w:rPr>
        <w:t xml:space="preserve">the ability of the </w:t>
      </w:r>
      <w:r w:rsidR="0071529D" w:rsidRPr="008A56A5">
        <w:rPr>
          <w:rFonts w:cs="Open Sans"/>
        </w:rPr>
        <w:t>person</w:t>
      </w:r>
      <w:r w:rsidRPr="008A56A5">
        <w:rPr>
          <w:rFonts w:cs="Open Sans"/>
        </w:rPr>
        <w:t xml:space="preserve"> to travel to, enter and reside in the relevant </w:t>
      </w:r>
      <w:r w:rsidR="0071529D" w:rsidRPr="008A56A5">
        <w:rPr>
          <w:rFonts w:cs="Open Sans"/>
        </w:rPr>
        <w:t>other country</w:t>
      </w:r>
      <w:r w:rsidRPr="008A56A5">
        <w:rPr>
          <w:rFonts w:cs="Open Sans"/>
        </w:rPr>
        <w:t>.</w:t>
      </w:r>
    </w:p>
    <w:p w14:paraId="5F8BE50A" w14:textId="4DA582E9" w:rsidR="0071529D" w:rsidRPr="008A56A5" w:rsidRDefault="00582CC1" w:rsidP="00582CC1">
      <w:pPr>
        <w:pStyle w:val="Heading3"/>
        <w:numPr>
          <w:ilvl w:val="2"/>
          <w:numId w:val="19"/>
        </w:numPr>
        <w:rPr>
          <w:rFonts w:cs="Open Sans"/>
          <w:i/>
          <w:iCs/>
        </w:rPr>
      </w:pPr>
      <w:bookmarkStart w:id="55" w:name="_Toc21968484"/>
      <w:r w:rsidRPr="008A56A5">
        <w:rPr>
          <w:rFonts w:cs="Open Sans"/>
          <w:i/>
          <w:iCs/>
        </w:rPr>
        <w:t>Notification</w:t>
      </w:r>
      <w:bookmarkEnd w:id="55"/>
    </w:p>
    <w:p w14:paraId="2B89EB43" w14:textId="7897B42A" w:rsidR="00584E2A" w:rsidRPr="008A56A5" w:rsidRDefault="00DB407E" w:rsidP="00F81C7E">
      <w:pPr>
        <w:pStyle w:val="ListNumber"/>
        <w:numPr>
          <w:ilvl w:val="0"/>
          <w:numId w:val="16"/>
        </w:numPr>
        <w:tabs>
          <w:tab w:val="num" w:pos="993"/>
          <w:tab w:val="left" w:pos="1418"/>
        </w:tabs>
        <w:spacing w:after="240"/>
        <w:ind w:left="709" w:hanging="567"/>
        <w:rPr>
          <w:rFonts w:cs="Open Sans"/>
        </w:rPr>
      </w:pPr>
      <w:r w:rsidRPr="008A56A5">
        <w:rPr>
          <w:rFonts w:cs="Open Sans"/>
        </w:rPr>
        <w:t>Proposed s 36</w:t>
      </w:r>
      <w:proofErr w:type="gramStart"/>
      <w:r w:rsidRPr="008A56A5">
        <w:rPr>
          <w:rFonts w:cs="Open Sans"/>
        </w:rPr>
        <w:t>F(</w:t>
      </w:r>
      <w:proofErr w:type="gramEnd"/>
      <w:r w:rsidRPr="008A56A5">
        <w:rPr>
          <w:rFonts w:cs="Open Sans"/>
        </w:rPr>
        <w:t xml:space="preserve">1) provides that if the Minister makes a citizenship revocation determination under ss 36B(1) or 36D(1), </w:t>
      </w:r>
      <w:r w:rsidR="00A14B4F" w:rsidRPr="008A56A5">
        <w:rPr>
          <w:rFonts w:cs="Open Sans"/>
        </w:rPr>
        <w:t>he or she</w:t>
      </w:r>
      <w:r w:rsidRPr="008A56A5">
        <w:rPr>
          <w:rFonts w:cs="Open Sans"/>
        </w:rPr>
        <w:t xml:space="preserve"> must give written notice of the determination to the person as soon as practicable after the determination is made</w:t>
      </w:r>
      <w:r w:rsidR="00584E2A" w:rsidRPr="008A56A5">
        <w:rPr>
          <w:rFonts w:cs="Open Sans"/>
        </w:rPr>
        <w:t xml:space="preserve">. </w:t>
      </w:r>
    </w:p>
    <w:p w14:paraId="3CFC4F6F" w14:textId="6EFF9D47" w:rsidR="00B335FC" w:rsidRPr="008A56A5" w:rsidRDefault="00B335FC" w:rsidP="00F81C7E">
      <w:pPr>
        <w:pStyle w:val="ListNumber"/>
        <w:numPr>
          <w:ilvl w:val="0"/>
          <w:numId w:val="16"/>
        </w:numPr>
        <w:tabs>
          <w:tab w:val="num" w:pos="993"/>
          <w:tab w:val="left" w:pos="1418"/>
        </w:tabs>
        <w:spacing w:after="240"/>
        <w:ind w:left="709" w:hanging="567"/>
        <w:rPr>
          <w:rFonts w:cs="Open Sans"/>
        </w:rPr>
      </w:pPr>
      <w:r w:rsidRPr="008A56A5">
        <w:rPr>
          <w:rFonts w:cs="Open Sans"/>
        </w:rPr>
        <w:t xml:space="preserve">The required content of </w:t>
      </w:r>
      <w:r w:rsidR="001870AC" w:rsidRPr="008A56A5">
        <w:rPr>
          <w:rFonts w:cs="Open Sans"/>
        </w:rPr>
        <w:t>a</w:t>
      </w:r>
      <w:r w:rsidRPr="008A56A5">
        <w:rPr>
          <w:rFonts w:cs="Open Sans"/>
        </w:rPr>
        <w:t xml:space="preserve"> notice is set out in proposed s 36</w:t>
      </w:r>
      <w:proofErr w:type="gramStart"/>
      <w:r w:rsidR="004A7300" w:rsidRPr="008A56A5">
        <w:rPr>
          <w:rFonts w:cs="Open Sans"/>
        </w:rPr>
        <w:t>F</w:t>
      </w:r>
      <w:r w:rsidRPr="008A56A5">
        <w:rPr>
          <w:rFonts w:cs="Open Sans"/>
        </w:rPr>
        <w:t>(</w:t>
      </w:r>
      <w:proofErr w:type="gramEnd"/>
      <w:r w:rsidRPr="008A56A5">
        <w:rPr>
          <w:rFonts w:cs="Open Sans"/>
        </w:rPr>
        <w:t>5)</w:t>
      </w:r>
      <w:r w:rsidR="001870AC" w:rsidRPr="008A56A5">
        <w:rPr>
          <w:rFonts w:cs="Open Sans"/>
        </w:rPr>
        <w:t>–(6), summarised</w:t>
      </w:r>
      <w:r w:rsidRPr="008A56A5">
        <w:rPr>
          <w:rFonts w:cs="Open Sans"/>
        </w:rPr>
        <w:t xml:space="preserve"> as follows:</w:t>
      </w:r>
    </w:p>
    <w:p w14:paraId="3BAD25C0" w14:textId="60A80AE2" w:rsidR="00B335FC" w:rsidRPr="008A56A5" w:rsidRDefault="007F2E8B" w:rsidP="00A041AE">
      <w:pPr>
        <w:pStyle w:val="ListNumber"/>
        <w:numPr>
          <w:ilvl w:val="0"/>
          <w:numId w:val="25"/>
        </w:numPr>
        <w:tabs>
          <w:tab w:val="left" w:pos="1418"/>
        </w:tabs>
        <w:ind w:hanging="357"/>
        <w:rPr>
          <w:rFonts w:cs="Open Sans"/>
        </w:rPr>
      </w:pPr>
      <w:r w:rsidRPr="008A56A5">
        <w:rPr>
          <w:rFonts w:cs="Open Sans"/>
        </w:rPr>
        <w:t xml:space="preserve">the fact </w:t>
      </w:r>
      <w:r w:rsidR="00B335FC" w:rsidRPr="008A56A5">
        <w:rPr>
          <w:rFonts w:cs="Open Sans"/>
        </w:rPr>
        <w:t>that the Minister has determined under subsection 36</w:t>
      </w:r>
      <w:proofErr w:type="gramStart"/>
      <w:r w:rsidR="00B335FC" w:rsidRPr="008A56A5">
        <w:rPr>
          <w:rFonts w:cs="Open Sans"/>
        </w:rPr>
        <w:t>B(</w:t>
      </w:r>
      <w:proofErr w:type="gramEnd"/>
      <w:r w:rsidR="00B335FC" w:rsidRPr="008A56A5">
        <w:rPr>
          <w:rFonts w:cs="Open Sans"/>
        </w:rPr>
        <w:t>1) or 36D(1) that the person has ceased to be an Australian citizen</w:t>
      </w:r>
    </w:p>
    <w:p w14:paraId="00617A81" w14:textId="05DAE39A" w:rsidR="00B335FC" w:rsidRPr="008A56A5" w:rsidRDefault="00B97E99" w:rsidP="00A041AE">
      <w:pPr>
        <w:pStyle w:val="ListNumber"/>
        <w:numPr>
          <w:ilvl w:val="0"/>
          <w:numId w:val="25"/>
        </w:numPr>
        <w:tabs>
          <w:tab w:val="left" w:pos="1418"/>
        </w:tabs>
        <w:ind w:hanging="357"/>
        <w:rPr>
          <w:rFonts w:cs="Open Sans"/>
        </w:rPr>
      </w:pPr>
      <w:r w:rsidRPr="008A56A5">
        <w:rPr>
          <w:rFonts w:cs="Open Sans"/>
        </w:rPr>
        <w:t xml:space="preserve">either </w:t>
      </w:r>
      <w:r w:rsidR="00B335FC" w:rsidRPr="008A56A5">
        <w:rPr>
          <w:rFonts w:cs="Open Sans"/>
        </w:rPr>
        <w:t>a basic description of the conduct</w:t>
      </w:r>
      <w:r w:rsidRPr="008A56A5">
        <w:rPr>
          <w:rFonts w:cs="Open Sans"/>
        </w:rPr>
        <w:t>,</w:t>
      </w:r>
      <w:r w:rsidR="001D4DA8" w:rsidRPr="008A56A5">
        <w:rPr>
          <w:rFonts w:cs="Open Sans"/>
        </w:rPr>
        <w:t xml:space="preserve"> or the specific </w:t>
      </w:r>
      <w:r w:rsidR="00A166EF" w:rsidRPr="008A56A5">
        <w:rPr>
          <w:rFonts w:cs="Open Sans"/>
        </w:rPr>
        <w:t>convictions or sentences</w:t>
      </w:r>
      <w:r w:rsidRPr="008A56A5">
        <w:rPr>
          <w:rFonts w:cs="Open Sans"/>
        </w:rPr>
        <w:t>,</w:t>
      </w:r>
      <w:r w:rsidR="00B335FC" w:rsidRPr="008A56A5">
        <w:rPr>
          <w:rFonts w:cs="Open Sans"/>
        </w:rPr>
        <w:t xml:space="preserve"> to which the determination relates </w:t>
      </w:r>
    </w:p>
    <w:p w14:paraId="034D9868" w14:textId="77777777" w:rsidR="00B335FC" w:rsidRPr="008A56A5" w:rsidRDefault="00B335FC" w:rsidP="00A041AE">
      <w:pPr>
        <w:pStyle w:val="ListNumber"/>
        <w:numPr>
          <w:ilvl w:val="0"/>
          <w:numId w:val="25"/>
        </w:numPr>
        <w:tabs>
          <w:tab w:val="left" w:pos="1418"/>
        </w:tabs>
        <w:ind w:hanging="357"/>
        <w:rPr>
          <w:rFonts w:cs="Open Sans"/>
        </w:rPr>
      </w:pPr>
      <w:r w:rsidRPr="008A56A5">
        <w:rPr>
          <w:rFonts w:cs="Open Sans"/>
        </w:rPr>
        <w:t>the date of the notice</w:t>
      </w:r>
    </w:p>
    <w:p w14:paraId="5582F5E2" w14:textId="395A4889" w:rsidR="001870AC" w:rsidRPr="008A56A5" w:rsidRDefault="00B335FC" w:rsidP="00A041AE">
      <w:pPr>
        <w:pStyle w:val="ListNumber"/>
        <w:numPr>
          <w:ilvl w:val="0"/>
          <w:numId w:val="25"/>
        </w:numPr>
        <w:tabs>
          <w:tab w:val="left" w:pos="1418"/>
        </w:tabs>
        <w:ind w:hanging="357"/>
        <w:rPr>
          <w:rFonts w:cs="Open Sans"/>
        </w:rPr>
      </w:pPr>
      <w:r w:rsidRPr="008A56A5">
        <w:rPr>
          <w:rFonts w:cs="Open Sans"/>
        </w:rPr>
        <w:t>the person’s rights of review</w:t>
      </w:r>
      <w:r w:rsidR="00DB7472" w:rsidRPr="008A56A5">
        <w:rPr>
          <w:rFonts w:cs="Open Sans"/>
        </w:rPr>
        <w:t>.</w:t>
      </w:r>
    </w:p>
    <w:p w14:paraId="561ECECD" w14:textId="4314575C" w:rsidR="00B335FC" w:rsidRPr="008A56A5" w:rsidRDefault="00DB7472" w:rsidP="0099328A">
      <w:pPr>
        <w:pStyle w:val="ListNumber"/>
        <w:numPr>
          <w:ilvl w:val="0"/>
          <w:numId w:val="16"/>
        </w:numPr>
        <w:tabs>
          <w:tab w:val="num" w:pos="993"/>
          <w:tab w:val="left" w:pos="1418"/>
        </w:tabs>
        <w:spacing w:after="240"/>
        <w:ind w:left="709" w:hanging="567"/>
        <w:rPr>
          <w:rFonts w:cs="Open Sans"/>
        </w:rPr>
      </w:pPr>
      <w:r w:rsidRPr="008A56A5">
        <w:rPr>
          <w:rFonts w:cs="Open Sans"/>
        </w:rPr>
        <w:t>T</w:t>
      </w:r>
      <w:r w:rsidR="001870AC" w:rsidRPr="008A56A5">
        <w:rPr>
          <w:rFonts w:cs="Open Sans"/>
        </w:rPr>
        <w:t xml:space="preserve">he notice must not contain information that is operationally sensitive or that could prejudice </w:t>
      </w:r>
      <w:r w:rsidR="00AF5C52" w:rsidRPr="008A56A5">
        <w:rPr>
          <w:rFonts w:cs="Open Sans"/>
        </w:rPr>
        <w:t xml:space="preserve">law </w:t>
      </w:r>
      <w:r w:rsidR="003E1A78" w:rsidRPr="008A56A5">
        <w:rPr>
          <w:rFonts w:cs="Open Sans"/>
        </w:rPr>
        <w:t>enforcement</w:t>
      </w:r>
      <w:r w:rsidR="00AF5C52" w:rsidRPr="008A56A5">
        <w:rPr>
          <w:rFonts w:cs="Open Sans"/>
        </w:rPr>
        <w:t xml:space="preserve">, </w:t>
      </w:r>
      <w:r w:rsidR="00A04648" w:rsidRPr="008A56A5">
        <w:rPr>
          <w:rFonts w:cs="Open Sans"/>
        </w:rPr>
        <w:t>security</w:t>
      </w:r>
      <w:r w:rsidR="00AF5C52" w:rsidRPr="008A56A5">
        <w:rPr>
          <w:rFonts w:cs="Open Sans"/>
        </w:rPr>
        <w:t>, defence or international relations</w:t>
      </w:r>
      <w:r w:rsidR="00A04648" w:rsidRPr="008A56A5">
        <w:rPr>
          <w:rFonts w:cs="Open Sans"/>
        </w:rPr>
        <w:t xml:space="preserve">, </w:t>
      </w:r>
      <w:r w:rsidR="00D97A61" w:rsidRPr="008A56A5">
        <w:rPr>
          <w:rFonts w:cs="Open Sans"/>
        </w:rPr>
        <w:t xml:space="preserve">endanger </w:t>
      </w:r>
      <w:r w:rsidR="00A04648" w:rsidRPr="008A56A5">
        <w:rPr>
          <w:rFonts w:cs="Open Sans"/>
        </w:rPr>
        <w:t xml:space="preserve">a person’s </w:t>
      </w:r>
      <w:r w:rsidR="000D6B1B" w:rsidRPr="008A56A5">
        <w:rPr>
          <w:rFonts w:cs="Open Sans"/>
        </w:rPr>
        <w:t xml:space="preserve">safety </w:t>
      </w:r>
      <w:r w:rsidR="00A04648" w:rsidRPr="008A56A5">
        <w:rPr>
          <w:rFonts w:cs="Open Sans"/>
        </w:rPr>
        <w:t>or ‘be contrary to the public interest for any other reason’</w:t>
      </w:r>
      <w:r w:rsidR="00B335FC" w:rsidRPr="008A56A5">
        <w:rPr>
          <w:rFonts w:cs="Open Sans"/>
        </w:rPr>
        <w:t>.</w:t>
      </w:r>
    </w:p>
    <w:p w14:paraId="4D91AFD5" w14:textId="7E6835A4" w:rsidR="001870AC" w:rsidRPr="008A56A5" w:rsidRDefault="00947D30" w:rsidP="0014094E">
      <w:pPr>
        <w:pStyle w:val="ListNumber"/>
        <w:numPr>
          <w:ilvl w:val="0"/>
          <w:numId w:val="16"/>
        </w:numPr>
        <w:tabs>
          <w:tab w:val="num" w:pos="993"/>
          <w:tab w:val="left" w:pos="1418"/>
        </w:tabs>
        <w:spacing w:after="240"/>
        <w:ind w:left="709" w:hanging="567"/>
        <w:rPr>
          <w:rFonts w:cs="Open Sans"/>
        </w:rPr>
      </w:pPr>
      <w:r w:rsidRPr="008A56A5">
        <w:rPr>
          <w:rFonts w:cs="Open Sans"/>
        </w:rPr>
        <w:t>P</w:t>
      </w:r>
      <w:r w:rsidR="001870AC" w:rsidRPr="008A56A5">
        <w:rPr>
          <w:rFonts w:cs="Open Sans"/>
        </w:rPr>
        <w:t>roposed s 36</w:t>
      </w:r>
      <w:proofErr w:type="gramStart"/>
      <w:r w:rsidR="001870AC" w:rsidRPr="008A56A5">
        <w:rPr>
          <w:rFonts w:cs="Open Sans"/>
        </w:rPr>
        <w:t>F(</w:t>
      </w:r>
      <w:proofErr w:type="gramEnd"/>
      <w:r w:rsidR="001870AC" w:rsidRPr="008A56A5">
        <w:rPr>
          <w:rFonts w:cs="Open Sans"/>
        </w:rPr>
        <w:t xml:space="preserve">2) </w:t>
      </w:r>
      <w:r w:rsidRPr="008A56A5">
        <w:rPr>
          <w:rFonts w:cs="Open Sans"/>
        </w:rPr>
        <w:t>provides that the notice must be</w:t>
      </w:r>
      <w:r w:rsidR="001870AC" w:rsidRPr="008A56A5">
        <w:rPr>
          <w:rFonts w:cs="Open Sans"/>
        </w:rPr>
        <w:t xml:space="preserve"> post</w:t>
      </w:r>
      <w:r w:rsidRPr="008A56A5">
        <w:rPr>
          <w:rFonts w:cs="Open Sans"/>
        </w:rPr>
        <w:t>ed</w:t>
      </w:r>
      <w:r w:rsidR="001870AC" w:rsidRPr="008A56A5">
        <w:rPr>
          <w:rFonts w:cs="Open Sans"/>
        </w:rPr>
        <w:t xml:space="preserve"> to the address of the place of residence of the person last known to the Department</w:t>
      </w:r>
      <w:r w:rsidR="002804E1" w:rsidRPr="008A56A5">
        <w:rPr>
          <w:rFonts w:cs="Open Sans"/>
        </w:rPr>
        <w:t>. Proposed s 36</w:t>
      </w:r>
      <w:proofErr w:type="gramStart"/>
      <w:r w:rsidR="002804E1" w:rsidRPr="008A56A5">
        <w:rPr>
          <w:rFonts w:cs="Open Sans"/>
        </w:rPr>
        <w:t>F(</w:t>
      </w:r>
      <w:proofErr w:type="gramEnd"/>
      <w:r w:rsidR="002804E1" w:rsidRPr="008A56A5">
        <w:rPr>
          <w:rFonts w:cs="Open Sans"/>
        </w:rPr>
        <w:t>3) provides that, if</w:t>
      </w:r>
      <w:r w:rsidRPr="008A56A5">
        <w:rPr>
          <w:rFonts w:cs="Open Sans"/>
        </w:rPr>
        <w:t xml:space="preserve"> the Minister is satisfied that the person did not receive the notice by mail and has become aware of the electronic address for the person, the notice</w:t>
      </w:r>
      <w:r w:rsidR="002804E1" w:rsidRPr="008A56A5">
        <w:rPr>
          <w:rFonts w:cs="Open Sans"/>
        </w:rPr>
        <w:t xml:space="preserve"> may be given</w:t>
      </w:r>
      <w:r w:rsidRPr="008A56A5">
        <w:rPr>
          <w:rFonts w:cs="Open Sans"/>
        </w:rPr>
        <w:t xml:space="preserve"> again by email.</w:t>
      </w:r>
    </w:p>
    <w:p w14:paraId="464AB30E" w14:textId="0481BBCD" w:rsidR="00F630F4" w:rsidRPr="008A56A5" w:rsidRDefault="00584E2A" w:rsidP="00F81C7E">
      <w:pPr>
        <w:pStyle w:val="ListNumber"/>
        <w:numPr>
          <w:ilvl w:val="0"/>
          <w:numId w:val="16"/>
        </w:numPr>
        <w:tabs>
          <w:tab w:val="num" w:pos="993"/>
          <w:tab w:val="left" w:pos="1418"/>
        </w:tabs>
        <w:spacing w:after="240"/>
        <w:ind w:left="709" w:hanging="567"/>
        <w:rPr>
          <w:rFonts w:cs="Open Sans"/>
        </w:rPr>
      </w:pPr>
      <w:r w:rsidRPr="008A56A5">
        <w:rPr>
          <w:rFonts w:cs="Open Sans"/>
        </w:rPr>
        <w:t xml:space="preserve">Under proposed s 36G, the Minister can </w:t>
      </w:r>
      <w:proofErr w:type="gramStart"/>
      <w:r w:rsidRPr="008A56A5">
        <w:rPr>
          <w:rFonts w:cs="Open Sans"/>
        </w:rPr>
        <w:t xml:space="preserve">make </w:t>
      </w:r>
      <w:r w:rsidR="0014094E" w:rsidRPr="008A56A5">
        <w:rPr>
          <w:rFonts w:cs="Open Sans"/>
        </w:rPr>
        <w:t>a</w:t>
      </w:r>
      <w:r w:rsidRPr="008A56A5">
        <w:rPr>
          <w:rFonts w:cs="Open Sans"/>
        </w:rPr>
        <w:t xml:space="preserve"> determination</w:t>
      </w:r>
      <w:proofErr w:type="gramEnd"/>
      <w:r w:rsidRPr="008A56A5">
        <w:rPr>
          <w:rFonts w:cs="Open Sans"/>
        </w:rPr>
        <w:t xml:space="preserve"> in writing that notice of the citizenship cessation should not be given, if the Minister is satisfied that </w:t>
      </w:r>
      <w:r w:rsidR="007A664E" w:rsidRPr="008A56A5">
        <w:rPr>
          <w:rFonts w:cs="Open Sans"/>
        </w:rPr>
        <w:t>it</w:t>
      </w:r>
      <w:r w:rsidRPr="008A56A5">
        <w:rPr>
          <w:rFonts w:cs="Open Sans"/>
        </w:rPr>
        <w:t xml:space="preserve"> ‘could prejudice the security, defence or international relations of Australia, or Australian law enforcement operations’. </w:t>
      </w:r>
    </w:p>
    <w:p w14:paraId="2ADD7D3C" w14:textId="7EDED0E1" w:rsidR="00584E2A" w:rsidRPr="008A56A5" w:rsidRDefault="0014094E" w:rsidP="00F81C7E">
      <w:pPr>
        <w:pStyle w:val="ListNumber"/>
        <w:numPr>
          <w:ilvl w:val="0"/>
          <w:numId w:val="16"/>
        </w:numPr>
        <w:tabs>
          <w:tab w:val="num" w:pos="993"/>
          <w:tab w:val="left" w:pos="1418"/>
        </w:tabs>
        <w:spacing w:after="240"/>
        <w:ind w:left="709" w:hanging="567"/>
        <w:rPr>
          <w:rFonts w:cs="Open Sans"/>
        </w:rPr>
      </w:pPr>
      <w:r w:rsidRPr="008A56A5">
        <w:rPr>
          <w:rFonts w:cs="Open Sans"/>
        </w:rPr>
        <w:t xml:space="preserve">If </w:t>
      </w:r>
      <w:r w:rsidR="00F630F4" w:rsidRPr="008A56A5">
        <w:rPr>
          <w:rFonts w:cs="Open Sans"/>
        </w:rPr>
        <w:t xml:space="preserve">a </w:t>
      </w:r>
      <w:r w:rsidRPr="008A56A5">
        <w:rPr>
          <w:rFonts w:cs="Open Sans"/>
        </w:rPr>
        <w:t>determination</w:t>
      </w:r>
      <w:r w:rsidR="00F630F4" w:rsidRPr="008A56A5">
        <w:rPr>
          <w:rFonts w:cs="Open Sans"/>
        </w:rPr>
        <w:t xml:space="preserve"> not to give </w:t>
      </w:r>
      <w:r w:rsidR="007C1377" w:rsidRPr="008A56A5">
        <w:rPr>
          <w:rFonts w:cs="Open Sans"/>
        </w:rPr>
        <w:t xml:space="preserve">a </w:t>
      </w:r>
      <w:r w:rsidR="00F630F4" w:rsidRPr="008A56A5">
        <w:rPr>
          <w:rFonts w:cs="Open Sans"/>
        </w:rPr>
        <w:t>notice</w:t>
      </w:r>
      <w:r w:rsidRPr="008A56A5">
        <w:rPr>
          <w:rFonts w:cs="Open Sans"/>
        </w:rPr>
        <w:t xml:space="preserve"> is made, notice does not need to be given until </w:t>
      </w:r>
      <w:r w:rsidR="004064D4" w:rsidRPr="008A56A5">
        <w:rPr>
          <w:rFonts w:cs="Open Sans"/>
        </w:rPr>
        <w:t xml:space="preserve">as soon as practicable after </w:t>
      </w:r>
      <w:r w:rsidRPr="008A56A5">
        <w:rPr>
          <w:rFonts w:cs="Open Sans"/>
        </w:rPr>
        <w:t>the determin</w:t>
      </w:r>
      <w:r w:rsidR="004064D4" w:rsidRPr="008A56A5">
        <w:rPr>
          <w:rFonts w:cs="Open Sans"/>
        </w:rPr>
        <w:t xml:space="preserve">ation </w:t>
      </w:r>
      <w:r w:rsidRPr="008A56A5">
        <w:rPr>
          <w:rFonts w:cs="Open Sans"/>
        </w:rPr>
        <w:t xml:space="preserve">is revoked. </w:t>
      </w:r>
      <w:r w:rsidR="001C7C4D" w:rsidRPr="008A56A5">
        <w:rPr>
          <w:rFonts w:cs="Open Sans"/>
        </w:rPr>
        <w:t>If the Minister becomes aware of an electronic address for the person while a determination is in force under proposed s 36G</w:t>
      </w:r>
      <w:r w:rsidR="00496A9C" w:rsidRPr="008A56A5">
        <w:rPr>
          <w:rFonts w:cs="Open Sans"/>
        </w:rPr>
        <w:t xml:space="preserve">, when the determination is revoked the </w:t>
      </w:r>
      <w:r w:rsidR="00F630F4" w:rsidRPr="008A56A5">
        <w:rPr>
          <w:rFonts w:cs="Open Sans"/>
        </w:rPr>
        <w:t>Minister</w:t>
      </w:r>
      <w:r w:rsidR="00496A9C" w:rsidRPr="008A56A5">
        <w:rPr>
          <w:rFonts w:cs="Open Sans"/>
        </w:rPr>
        <w:t xml:space="preserve"> may give notice by e</w:t>
      </w:r>
      <w:r w:rsidR="007511A7" w:rsidRPr="008A56A5">
        <w:rPr>
          <w:rFonts w:cs="Open Sans"/>
        </w:rPr>
        <w:t>mail rather than</w:t>
      </w:r>
      <w:r w:rsidR="00496A9C" w:rsidRPr="008A56A5">
        <w:rPr>
          <w:rFonts w:cs="Open Sans"/>
        </w:rPr>
        <w:t xml:space="preserve"> by </w:t>
      </w:r>
      <w:r w:rsidR="00F630F4" w:rsidRPr="008A56A5">
        <w:rPr>
          <w:rFonts w:cs="Open Sans"/>
        </w:rPr>
        <w:t>mail</w:t>
      </w:r>
      <w:r w:rsidR="00496A9C" w:rsidRPr="008A56A5">
        <w:rPr>
          <w:rFonts w:cs="Open Sans"/>
        </w:rPr>
        <w:t xml:space="preserve">. </w:t>
      </w:r>
    </w:p>
    <w:p w14:paraId="663D2D67" w14:textId="6A64A2B9" w:rsidR="007A664E" w:rsidRPr="008A56A5" w:rsidRDefault="007A664E" w:rsidP="004B7F03">
      <w:pPr>
        <w:pStyle w:val="ListNumber"/>
        <w:numPr>
          <w:ilvl w:val="0"/>
          <w:numId w:val="16"/>
        </w:numPr>
        <w:tabs>
          <w:tab w:val="num" w:pos="993"/>
          <w:tab w:val="left" w:pos="1418"/>
        </w:tabs>
        <w:spacing w:after="240"/>
        <w:ind w:left="709" w:hanging="567"/>
        <w:rPr>
          <w:rFonts w:cs="Open Sans"/>
        </w:rPr>
      </w:pPr>
      <w:r w:rsidRPr="008A56A5">
        <w:t>Under proposed s 36</w:t>
      </w:r>
      <w:proofErr w:type="gramStart"/>
      <w:r w:rsidRPr="008A56A5">
        <w:t>G(</w:t>
      </w:r>
      <w:proofErr w:type="gramEnd"/>
      <w:r w:rsidRPr="008A56A5">
        <w:t>2)-(5), t</w:t>
      </w:r>
      <w:r w:rsidR="00983E4F" w:rsidRPr="008A56A5">
        <w:t>he Minister must review</w:t>
      </w:r>
      <w:r w:rsidR="004B7F03" w:rsidRPr="008A56A5">
        <w:t xml:space="preserve"> a s 36G determination</w:t>
      </w:r>
      <w:r w:rsidR="00983E4F" w:rsidRPr="008A56A5">
        <w:t xml:space="preserve"> at least every 90 days </w:t>
      </w:r>
      <w:r w:rsidR="0076557F" w:rsidRPr="008A56A5">
        <w:t>to consider whether to revoke it</w:t>
      </w:r>
      <w:r w:rsidR="00983E4F" w:rsidRPr="008A56A5">
        <w:t xml:space="preserve">. </w:t>
      </w:r>
      <w:r w:rsidR="00D86F8C" w:rsidRPr="008A56A5">
        <w:t xml:space="preserve">After five years, the determination is taken to be revoked unless the Minister extends the determination for </w:t>
      </w:r>
      <w:r w:rsidR="005E674E" w:rsidRPr="008A56A5">
        <w:t>one</w:t>
      </w:r>
      <w:r w:rsidR="00D86F8C" w:rsidRPr="008A56A5">
        <w:t xml:space="preserve"> </w:t>
      </w:r>
      <w:r w:rsidR="00CC464A" w:rsidRPr="008A56A5">
        <w:t xml:space="preserve">more </w:t>
      </w:r>
      <w:r w:rsidR="00D86F8C" w:rsidRPr="008A56A5">
        <w:t xml:space="preserve">year. </w:t>
      </w:r>
    </w:p>
    <w:p w14:paraId="1CF3530C" w14:textId="31C378E3" w:rsidR="00FE513F" w:rsidRPr="008A56A5" w:rsidRDefault="007A664E" w:rsidP="00347EC8">
      <w:pPr>
        <w:pStyle w:val="ListNumber"/>
        <w:numPr>
          <w:ilvl w:val="0"/>
          <w:numId w:val="16"/>
        </w:numPr>
        <w:tabs>
          <w:tab w:val="num" w:pos="993"/>
          <w:tab w:val="left" w:pos="1418"/>
        </w:tabs>
        <w:spacing w:after="240"/>
        <w:ind w:left="709" w:hanging="567"/>
        <w:rPr>
          <w:rFonts w:cs="Open Sans"/>
        </w:rPr>
      </w:pPr>
      <w:r w:rsidRPr="008A56A5">
        <w:t xml:space="preserve">Once </w:t>
      </w:r>
      <w:r w:rsidR="00347EC8" w:rsidRPr="008A56A5">
        <w:t>a notice is given of citizenship cessation</w:t>
      </w:r>
      <w:r w:rsidRPr="008A56A5">
        <w:t>,</w:t>
      </w:r>
      <w:r w:rsidR="00347EC8" w:rsidRPr="008A56A5">
        <w:t xml:space="preserve"> </w:t>
      </w:r>
      <w:r w:rsidR="00FE513F" w:rsidRPr="008A56A5">
        <w:t xml:space="preserve">under proposed s 36H </w:t>
      </w:r>
      <w:r w:rsidR="00347EC8" w:rsidRPr="008A56A5">
        <w:t>a person has</w:t>
      </w:r>
      <w:r w:rsidRPr="008A56A5">
        <w:t xml:space="preserve"> 90 days to apply to the Minister for a revocation</w:t>
      </w:r>
      <w:r w:rsidR="00D64B1D" w:rsidRPr="008A56A5">
        <w:t>.</w:t>
      </w:r>
      <w:r w:rsidR="00C4084E" w:rsidRPr="008A56A5">
        <w:t xml:space="preserve"> Natural justice will be afforded in this particular process</w:t>
      </w:r>
      <w:r w:rsidR="00E6607D" w:rsidRPr="008A56A5">
        <w:t>.</w:t>
      </w:r>
    </w:p>
    <w:p w14:paraId="64F41683" w14:textId="1FAD0A07" w:rsidR="00FE513F" w:rsidRPr="008A56A5" w:rsidRDefault="00D64B1D" w:rsidP="00347EC8">
      <w:pPr>
        <w:pStyle w:val="ListNumber"/>
        <w:numPr>
          <w:ilvl w:val="0"/>
          <w:numId w:val="16"/>
        </w:numPr>
        <w:tabs>
          <w:tab w:val="num" w:pos="993"/>
          <w:tab w:val="left" w:pos="1418"/>
        </w:tabs>
        <w:spacing w:after="240"/>
        <w:ind w:left="709" w:hanging="567"/>
        <w:rPr>
          <w:rFonts w:cs="Open Sans"/>
        </w:rPr>
      </w:pPr>
      <w:r w:rsidRPr="008A56A5">
        <w:rPr>
          <w:rFonts w:cs="Open Sans"/>
        </w:rPr>
        <w:t xml:space="preserve">The </w:t>
      </w:r>
      <w:r w:rsidR="00152C51" w:rsidRPr="008A56A5">
        <w:rPr>
          <w:rFonts w:cs="Open Sans"/>
        </w:rPr>
        <w:t>Statement of Compatibility with Human Rights</w:t>
      </w:r>
      <w:r w:rsidR="00536961" w:rsidRPr="008A56A5">
        <w:rPr>
          <w:rFonts w:cs="Open Sans"/>
        </w:rPr>
        <w:t xml:space="preserve"> at [38]</w:t>
      </w:r>
      <w:proofErr w:type="gramStart"/>
      <w:r w:rsidR="00184F61" w:rsidRPr="008A56A5">
        <w:rPr>
          <w:rFonts w:cs="Open Sans"/>
        </w:rPr>
        <w:t>–</w:t>
      </w:r>
      <w:r w:rsidR="00536961" w:rsidRPr="008A56A5">
        <w:rPr>
          <w:rFonts w:cs="Open Sans"/>
        </w:rPr>
        <w:t>[</w:t>
      </w:r>
      <w:proofErr w:type="gramEnd"/>
      <w:r w:rsidR="00536961" w:rsidRPr="008A56A5">
        <w:rPr>
          <w:rFonts w:cs="Open Sans"/>
        </w:rPr>
        <w:t>39]</w:t>
      </w:r>
      <w:r w:rsidRPr="008A56A5">
        <w:rPr>
          <w:rFonts w:cs="Open Sans"/>
        </w:rPr>
        <w:t xml:space="preserve"> explains the notification </w:t>
      </w:r>
      <w:r w:rsidR="00B953A3" w:rsidRPr="008A56A5">
        <w:rPr>
          <w:rFonts w:cs="Open Sans"/>
        </w:rPr>
        <w:t xml:space="preserve">and review </w:t>
      </w:r>
      <w:r w:rsidRPr="008A56A5">
        <w:rPr>
          <w:rFonts w:cs="Open Sans"/>
        </w:rPr>
        <w:t>provisions as follows:</w:t>
      </w:r>
    </w:p>
    <w:p w14:paraId="0F39F84B" w14:textId="5D7E7455" w:rsidR="00C4084E" w:rsidRPr="008A56A5" w:rsidRDefault="00E6733B" w:rsidP="00CD33C4">
      <w:pPr>
        <w:pStyle w:val="ListNumber"/>
        <w:numPr>
          <w:ilvl w:val="0"/>
          <w:numId w:val="0"/>
        </w:numPr>
        <w:tabs>
          <w:tab w:val="left" w:pos="1418"/>
        </w:tabs>
        <w:ind w:left="1876" w:hanging="1156"/>
        <w:rPr>
          <w:sz w:val="22"/>
          <w:szCs w:val="22"/>
        </w:rPr>
      </w:pPr>
      <w:r w:rsidRPr="008A56A5">
        <w:rPr>
          <w:rFonts w:cs="Open Sans"/>
          <w:sz w:val="22"/>
          <w:szCs w:val="22"/>
        </w:rPr>
        <w:tab/>
      </w:r>
      <w:r w:rsidR="00C4084E" w:rsidRPr="008A56A5">
        <w:rPr>
          <w:rFonts w:cs="Open Sans"/>
          <w:sz w:val="22"/>
          <w:szCs w:val="22"/>
        </w:rPr>
        <w:t>38</w:t>
      </w:r>
      <w:r w:rsidR="00C4084E" w:rsidRPr="008A56A5">
        <w:rPr>
          <w:sz w:val="22"/>
          <w:szCs w:val="22"/>
        </w:rPr>
        <w:t>.</w:t>
      </w:r>
      <w:r w:rsidRPr="008A56A5">
        <w:rPr>
          <w:sz w:val="22"/>
          <w:szCs w:val="22"/>
        </w:rPr>
        <w:t xml:space="preserve"> </w:t>
      </w:r>
      <w:r w:rsidR="00CD33C4" w:rsidRPr="008A56A5">
        <w:rPr>
          <w:sz w:val="22"/>
          <w:szCs w:val="22"/>
        </w:rPr>
        <w:tab/>
      </w:r>
      <w:r w:rsidR="00C4084E" w:rsidRPr="008A56A5">
        <w:rPr>
          <w:sz w:val="22"/>
          <w:szCs w:val="22"/>
        </w:rPr>
        <w:t xml:space="preserve">In circumstances where the Minister has </w:t>
      </w:r>
      <w:proofErr w:type="gramStart"/>
      <w:r w:rsidR="00C4084E" w:rsidRPr="008A56A5">
        <w:rPr>
          <w:sz w:val="22"/>
          <w:szCs w:val="22"/>
        </w:rPr>
        <w:t>made a determination</w:t>
      </w:r>
      <w:proofErr w:type="gramEnd"/>
      <w:r w:rsidR="00C4084E" w:rsidRPr="008A56A5">
        <w:rPr>
          <w:sz w:val="22"/>
          <w:szCs w:val="22"/>
        </w:rPr>
        <w:t xml:space="preserve"> to cease a person’s citizenship, the provisions make clear that the starting presumption is that the Minister must give notice of the cessation to the affected person. Notice may be withheld if the Minister is satisfied that giving the notice could prejudice the security, defence or international relations of Australia or Australian law enforcement operations. A determination to withhold notice can be in place for up to 6 years, but a decision to withhold notice must be reviewed every 90 days. The requirement for frequent reviews gives ample opportunity for the individual circumstances to be assessed and prevent arbitrary withholding of notice. This recognises that the provisions seek to balance competing public interests, including national security and the rights of the person. At the conclusion of the 6 years, notice must be provided to the individual, giving a maximum period during which notice may be withheld</w:t>
      </w:r>
      <w:r w:rsidR="00234734" w:rsidRPr="008A56A5">
        <w:rPr>
          <w:sz w:val="22"/>
          <w:szCs w:val="22"/>
        </w:rPr>
        <w:t>.</w:t>
      </w:r>
      <w:r w:rsidR="00B953A3" w:rsidRPr="008A56A5">
        <w:rPr>
          <w:sz w:val="22"/>
          <w:szCs w:val="22"/>
        </w:rPr>
        <w:t xml:space="preserve"> …</w:t>
      </w:r>
      <w:r w:rsidR="00C4084E" w:rsidRPr="008A56A5">
        <w:rPr>
          <w:sz w:val="22"/>
          <w:szCs w:val="22"/>
        </w:rPr>
        <w:t xml:space="preserve"> </w:t>
      </w:r>
    </w:p>
    <w:p w14:paraId="765E8F00" w14:textId="6BADD569" w:rsidR="00B953A3" w:rsidRPr="008A56A5" w:rsidRDefault="0027792B" w:rsidP="00CD33C4">
      <w:pPr>
        <w:pStyle w:val="ListNumber"/>
        <w:numPr>
          <w:ilvl w:val="0"/>
          <w:numId w:val="0"/>
        </w:numPr>
        <w:tabs>
          <w:tab w:val="left" w:pos="1418"/>
        </w:tabs>
        <w:ind w:left="1876" w:hanging="742"/>
        <w:rPr>
          <w:sz w:val="22"/>
          <w:szCs w:val="22"/>
        </w:rPr>
      </w:pPr>
      <w:r w:rsidRPr="008A56A5">
        <w:rPr>
          <w:sz w:val="22"/>
          <w:szCs w:val="22"/>
        </w:rPr>
        <w:tab/>
      </w:r>
      <w:r w:rsidR="00152C51" w:rsidRPr="008A56A5">
        <w:rPr>
          <w:sz w:val="22"/>
          <w:szCs w:val="22"/>
        </w:rPr>
        <w:t>39.</w:t>
      </w:r>
      <w:r w:rsidR="00452693" w:rsidRPr="008A56A5">
        <w:rPr>
          <w:sz w:val="22"/>
          <w:szCs w:val="22"/>
        </w:rPr>
        <w:tab/>
      </w:r>
      <w:r w:rsidR="00152C51" w:rsidRPr="008A56A5">
        <w:rPr>
          <w:sz w:val="22"/>
          <w:szCs w:val="22"/>
        </w:rPr>
        <w:t>Once the person is provided notice, they have 90 days to apply to the Minister is writing for a revocation of the determination that resulted in the cessation of their citizenship. Outside the 90 day period, if the Minister is satisfied the person did not receive the original notice, the Minister may provide notice again and the person is provided 30 day</w:t>
      </w:r>
      <w:r w:rsidR="0061199D">
        <w:rPr>
          <w:sz w:val="22"/>
          <w:szCs w:val="22"/>
        </w:rPr>
        <w:t>s</w:t>
      </w:r>
      <w:r w:rsidR="00152C51" w:rsidRPr="008A56A5">
        <w:rPr>
          <w:sz w:val="22"/>
          <w:szCs w:val="22"/>
        </w:rPr>
        <w:t xml:space="preserve"> to make an application. Natural justice is afforded to this process. This ensures the person is provided an opportunity to make representations and present information specific to their case to the Minister.</w:t>
      </w:r>
    </w:p>
    <w:p w14:paraId="3819BB10" w14:textId="1DDDD9C3" w:rsidR="00347EC8" w:rsidRPr="008A56A5" w:rsidRDefault="00872086" w:rsidP="00347EC8">
      <w:pPr>
        <w:pStyle w:val="ListNumber"/>
        <w:numPr>
          <w:ilvl w:val="0"/>
          <w:numId w:val="16"/>
        </w:numPr>
        <w:tabs>
          <w:tab w:val="num" w:pos="993"/>
          <w:tab w:val="left" w:pos="1418"/>
        </w:tabs>
        <w:spacing w:after="240"/>
        <w:ind w:left="709" w:hanging="567"/>
        <w:rPr>
          <w:rFonts w:cs="Open Sans"/>
        </w:rPr>
      </w:pPr>
      <w:r w:rsidRPr="008A56A5">
        <w:rPr>
          <w:rFonts w:cs="Open Sans"/>
        </w:rPr>
        <w:t>The Commission has several concerns about the fairness and proportionality of these provisions.</w:t>
      </w:r>
    </w:p>
    <w:p w14:paraId="2E8ECE47" w14:textId="77777777" w:rsidR="00B155AB" w:rsidRPr="008A56A5" w:rsidRDefault="00872086" w:rsidP="00B155AB">
      <w:pPr>
        <w:pStyle w:val="ListNumber"/>
        <w:numPr>
          <w:ilvl w:val="0"/>
          <w:numId w:val="16"/>
        </w:numPr>
        <w:tabs>
          <w:tab w:val="num" w:pos="993"/>
          <w:tab w:val="left" w:pos="1418"/>
        </w:tabs>
        <w:spacing w:after="240"/>
        <w:ind w:left="709" w:hanging="567"/>
        <w:rPr>
          <w:rFonts w:cs="Open Sans"/>
        </w:rPr>
      </w:pPr>
      <w:r w:rsidRPr="008A56A5">
        <w:rPr>
          <w:rFonts w:cs="Open Sans"/>
          <w:b/>
          <w:bCs/>
        </w:rPr>
        <w:t>First</w:t>
      </w:r>
      <w:r w:rsidRPr="008A56A5">
        <w:rPr>
          <w:rFonts w:cs="Open Sans"/>
        </w:rPr>
        <w:t>, t</w:t>
      </w:r>
      <w:r w:rsidR="002473C3" w:rsidRPr="008A56A5">
        <w:rPr>
          <w:rFonts w:cs="Open Sans"/>
        </w:rPr>
        <w:t xml:space="preserve">he threshold </w:t>
      </w:r>
      <w:r w:rsidRPr="008A56A5">
        <w:rPr>
          <w:rFonts w:cs="Open Sans"/>
        </w:rPr>
        <w:t xml:space="preserve">for withholding notification of loss of citizenship is that notification </w:t>
      </w:r>
      <w:r w:rsidR="002473C3" w:rsidRPr="008A56A5">
        <w:rPr>
          <w:rFonts w:cs="Open Sans"/>
        </w:rPr>
        <w:t>‘could’</w:t>
      </w:r>
      <w:r w:rsidRPr="008A56A5">
        <w:rPr>
          <w:rFonts w:cs="Open Sans"/>
        </w:rPr>
        <w:t xml:space="preserve"> </w:t>
      </w:r>
      <w:r w:rsidR="00327B12" w:rsidRPr="008A56A5">
        <w:rPr>
          <w:rFonts w:cs="Open Sans"/>
        </w:rPr>
        <w:t xml:space="preserve">cause certain </w:t>
      </w:r>
      <w:r w:rsidRPr="008A56A5">
        <w:rPr>
          <w:rFonts w:cs="Open Sans"/>
        </w:rPr>
        <w:t>prejudice</w:t>
      </w:r>
      <w:r w:rsidR="002473C3" w:rsidRPr="008A56A5">
        <w:rPr>
          <w:rFonts w:cs="Open Sans"/>
        </w:rPr>
        <w:t xml:space="preserve">. In practice, this means that a trivial or purely hypothetical risk to national security or Australia’s international relations could be sufficient to deny an individual notice of the fact that their citizenship has been lost. </w:t>
      </w:r>
      <w:r w:rsidR="00B155AB" w:rsidRPr="008A56A5">
        <w:rPr>
          <w:rFonts w:cs="Open Sans"/>
        </w:rPr>
        <w:t xml:space="preserve">The Commission notes that exemptions from the notice requirements have been frequently relied upon to prevent the giving of notices under the current Act. </w:t>
      </w:r>
    </w:p>
    <w:p w14:paraId="02A727F7" w14:textId="1A9B0496" w:rsidR="002473C3" w:rsidRPr="008A56A5" w:rsidRDefault="002473C3" w:rsidP="00E41CD0">
      <w:pPr>
        <w:pStyle w:val="ListNumber"/>
        <w:numPr>
          <w:ilvl w:val="0"/>
          <w:numId w:val="16"/>
        </w:numPr>
        <w:tabs>
          <w:tab w:val="num" w:pos="993"/>
          <w:tab w:val="left" w:pos="1418"/>
        </w:tabs>
        <w:spacing w:after="240"/>
        <w:ind w:left="709" w:hanging="567"/>
        <w:rPr>
          <w:rFonts w:cs="Open Sans"/>
        </w:rPr>
      </w:pPr>
      <w:r w:rsidRPr="008A56A5">
        <w:rPr>
          <w:rFonts w:cs="Open Sans"/>
        </w:rPr>
        <w:t>Th</w:t>
      </w:r>
      <w:r w:rsidR="00B155AB" w:rsidRPr="008A56A5">
        <w:rPr>
          <w:rFonts w:cs="Open Sans"/>
        </w:rPr>
        <w:t>e</w:t>
      </w:r>
      <w:r w:rsidRPr="008A56A5">
        <w:rPr>
          <w:rFonts w:cs="Open Sans"/>
        </w:rPr>
        <w:t xml:space="preserve"> </w:t>
      </w:r>
      <w:r w:rsidR="00B155AB" w:rsidRPr="008A56A5">
        <w:rPr>
          <w:rFonts w:cs="Open Sans"/>
        </w:rPr>
        <w:t xml:space="preserve">comparatively </w:t>
      </w:r>
      <w:r w:rsidR="00872086" w:rsidRPr="008A56A5">
        <w:rPr>
          <w:rFonts w:cs="Open Sans"/>
        </w:rPr>
        <w:t xml:space="preserve">low </w:t>
      </w:r>
      <w:r w:rsidRPr="008A56A5">
        <w:rPr>
          <w:rFonts w:cs="Open Sans"/>
        </w:rPr>
        <w:t>threshold</w:t>
      </w:r>
      <w:r w:rsidR="00B155AB" w:rsidRPr="008A56A5">
        <w:rPr>
          <w:rFonts w:cs="Open Sans"/>
        </w:rPr>
        <w:t xml:space="preserve"> of ‘could’</w:t>
      </w:r>
      <w:r w:rsidRPr="008A56A5">
        <w:rPr>
          <w:rFonts w:cs="Open Sans"/>
        </w:rPr>
        <w:t xml:space="preserve"> makes it more likely that a disproportionate weight will be placed on the low risk to national security (or the other named factors) to the detriment of an individual whose rights will be seriously diminished by their citizenship being lost without notice. </w:t>
      </w:r>
    </w:p>
    <w:p w14:paraId="0356E17E" w14:textId="57306205" w:rsidR="00B155AB" w:rsidRPr="008A56A5" w:rsidRDefault="002473C3" w:rsidP="00F81C7E">
      <w:pPr>
        <w:pStyle w:val="ListNumber"/>
        <w:numPr>
          <w:ilvl w:val="0"/>
          <w:numId w:val="16"/>
        </w:numPr>
        <w:tabs>
          <w:tab w:val="num" w:pos="993"/>
          <w:tab w:val="left" w:pos="1418"/>
        </w:tabs>
        <w:spacing w:after="240"/>
        <w:ind w:left="709" w:hanging="567"/>
        <w:rPr>
          <w:rFonts w:cs="Open Sans"/>
        </w:rPr>
      </w:pPr>
      <w:r w:rsidRPr="008A56A5">
        <w:rPr>
          <w:rFonts w:cs="Open Sans"/>
        </w:rPr>
        <w:t>While the requirement on the Minister to periodically review a determination not to give a notice provide</w:t>
      </w:r>
      <w:r w:rsidR="00E158B8" w:rsidRPr="008A56A5">
        <w:rPr>
          <w:rFonts w:cs="Open Sans"/>
        </w:rPr>
        <w:t>s</w:t>
      </w:r>
      <w:r w:rsidRPr="008A56A5">
        <w:rPr>
          <w:rFonts w:cs="Open Sans"/>
        </w:rPr>
        <w:t xml:space="preserve"> some protection, the Commission considers that a higher bar should apply before the Minister may decide not to give notice to an affected individual. </w:t>
      </w:r>
    </w:p>
    <w:p w14:paraId="1BD5FEEE" w14:textId="480BAF74" w:rsidR="002473C3" w:rsidRPr="008A56A5" w:rsidRDefault="00817EA3" w:rsidP="00F81C7E">
      <w:pPr>
        <w:pStyle w:val="ListNumber"/>
        <w:numPr>
          <w:ilvl w:val="0"/>
          <w:numId w:val="16"/>
        </w:numPr>
        <w:tabs>
          <w:tab w:val="num" w:pos="993"/>
          <w:tab w:val="left" w:pos="1418"/>
        </w:tabs>
        <w:spacing w:after="240"/>
        <w:ind w:left="709" w:hanging="567"/>
        <w:rPr>
          <w:rFonts w:cs="Open Sans"/>
        </w:rPr>
      </w:pPr>
      <w:r w:rsidRPr="008A56A5">
        <w:rPr>
          <w:rFonts w:cs="Open Sans"/>
        </w:rPr>
        <w:t>The</w:t>
      </w:r>
      <w:r w:rsidR="002473C3" w:rsidRPr="008A56A5">
        <w:rPr>
          <w:rFonts w:cs="Open Sans"/>
        </w:rPr>
        <w:t xml:space="preserve"> Minister should need to be satisfied that giving of a notice ‘would be likely’ to prejudice national security, defence or the international relations of Australia or Australian law enforcement operations before determining not to give a notice. This provides a more robust, objective standard that is familiar to administrative decision-making. </w:t>
      </w:r>
      <w:bookmarkStart w:id="56" w:name="_Hlk11328351"/>
    </w:p>
    <w:p w14:paraId="21731E33" w14:textId="4A9AA78E" w:rsidR="007B604F" w:rsidRPr="008A56A5" w:rsidRDefault="00B155AB" w:rsidP="007B604F">
      <w:pPr>
        <w:pStyle w:val="ListNumber"/>
        <w:keepNext/>
        <w:numPr>
          <w:ilvl w:val="0"/>
          <w:numId w:val="0"/>
        </w:numPr>
        <w:tabs>
          <w:tab w:val="left" w:pos="1418"/>
        </w:tabs>
        <w:ind w:left="709"/>
        <w:rPr>
          <w:rFonts w:cs="Open Sans"/>
          <w:b/>
          <w:bCs/>
        </w:rPr>
      </w:pPr>
      <w:bookmarkStart w:id="57" w:name="_Hlk10709661"/>
      <w:bookmarkEnd w:id="56"/>
      <w:r w:rsidRPr="008A56A5">
        <w:rPr>
          <w:b/>
          <w:bCs/>
        </w:rPr>
        <w:t>Recommendation</w:t>
      </w:r>
      <w:r w:rsidR="00B44F7C" w:rsidRPr="008A56A5">
        <w:rPr>
          <w:b/>
          <w:bCs/>
        </w:rPr>
        <w:t xml:space="preserve"> </w:t>
      </w:r>
      <w:r w:rsidR="008B4482" w:rsidRPr="008A56A5">
        <w:rPr>
          <w:b/>
          <w:bCs/>
        </w:rPr>
        <w:t>4</w:t>
      </w:r>
    </w:p>
    <w:p w14:paraId="399FA5D1" w14:textId="762D3CDE" w:rsidR="00B44F7C" w:rsidRPr="008A56A5" w:rsidRDefault="00B44F7C" w:rsidP="007B604F">
      <w:pPr>
        <w:pStyle w:val="ListNumber"/>
        <w:keepNext/>
        <w:numPr>
          <w:ilvl w:val="0"/>
          <w:numId w:val="0"/>
        </w:numPr>
        <w:tabs>
          <w:tab w:val="left" w:pos="1418"/>
        </w:tabs>
        <w:ind w:left="709"/>
        <w:rPr>
          <w:rFonts w:cs="Open Sans"/>
          <w:b/>
          <w:bCs/>
        </w:rPr>
      </w:pPr>
      <w:r w:rsidRPr="008A56A5">
        <w:rPr>
          <w:rFonts w:cs="Open Sans"/>
        </w:rPr>
        <w:t xml:space="preserve">Proposed s 36G(1) should be amended to require that the Minister must be satisfied that giving of a notice ‘would be likely’ to prejudice </w:t>
      </w:r>
      <w:r w:rsidR="00F76DD9" w:rsidRPr="008A56A5">
        <w:rPr>
          <w:rFonts w:cs="Open Sans"/>
        </w:rPr>
        <w:t xml:space="preserve">(rather than ‘could’ prejudice) </w:t>
      </w:r>
      <w:r w:rsidRPr="008A56A5">
        <w:rPr>
          <w:rFonts w:cs="Open Sans"/>
        </w:rPr>
        <w:t xml:space="preserve">national security, defence or the international relations of Australia or Australian law enforcement operations before determining not to give a notice. </w:t>
      </w:r>
    </w:p>
    <w:p w14:paraId="36E5AFC8" w14:textId="1AD27F86" w:rsidR="002804E1" w:rsidRPr="008A56A5" w:rsidRDefault="00B36D19" w:rsidP="00D34833">
      <w:pPr>
        <w:pStyle w:val="ListNumber"/>
        <w:numPr>
          <w:ilvl w:val="0"/>
          <w:numId w:val="16"/>
        </w:numPr>
        <w:tabs>
          <w:tab w:val="num" w:pos="993"/>
          <w:tab w:val="left" w:pos="1418"/>
        </w:tabs>
        <w:spacing w:after="240"/>
        <w:ind w:left="709" w:hanging="567"/>
        <w:rPr>
          <w:rFonts w:cs="Open Sans"/>
        </w:rPr>
      </w:pPr>
      <w:r w:rsidRPr="008A56A5">
        <w:rPr>
          <w:b/>
          <w:bCs/>
        </w:rPr>
        <w:t>Second</w:t>
      </w:r>
      <w:r w:rsidR="00F85E31" w:rsidRPr="008A56A5">
        <w:rPr>
          <w:b/>
          <w:bCs/>
        </w:rPr>
        <w:t>ly</w:t>
      </w:r>
      <w:r w:rsidRPr="008A56A5">
        <w:t xml:space="preserve">, the Commission is concerned that the </w:t>
      </w:r>
      <w:r w:rsidR="002804E1" w:rsidRPr="008A56A5">
        <w:t xml:space="preserve">proposed </w:t>
      </w:r>
      <w:r w:rsidRPr="008A56A5">
        <w:t xml:space="preserve">service requirements are inadequate to ensure that a person actually receives notice that their citizenship has been </w:t>
      </w:r>
      <w:r w:rsidRPr="008A56A5">
        <w:rPr>
          <w:rFonts w:cs="Open Sans"/>
        </w:rPr>
        <w:t>revoked</w:t>
      </w:r>
      <w:r w:rsidRPr="008A56A5">
        <w:t xml:space="preserve">. </w:t>
      </w:r>
      <w:r w:rsidR="002804E1" w:rsidRPr="008A56A5">
        <w:t xml:space="preserve">This is especially so </w:t>
      </w:r>
      <w:r w:rsidR="00D34833" w:rsidRPr="008A56A5">
        <w:t>if</w:t>
      </w:r>
      <w:r w:rsidR="002804E1" w:rsidRPr="008A56A5">
        <w:t xml:space="preserve"> citizenship loss provisions are applied to people who are already outside Australia—which the Commission understands has been universally the case to date</w:t>
      </w:r>
      <w:r w:rsidR="000F2E26" w:rsidRPr="008A56A5">
        <w:t>—or who are incarcerated</w:t>
      </w:r>
      <w:r w:rsidR="002804E1" w:rsidRPr="008A56A5">
        <w:t>.</w:t>
      </w:r>
      <w:r w:rsidR="00AF3890" w:rsidRPr="008A56A5">
        <w:t xml:space="preserve"> </w:t>
      </w:r>
    </w:p>
    <w:p w14:paraId="04E3EF51" w14:textId="11F3E64F" w:rsidR="002804E1" w:rsidRPr="008A56A5" w:rsidRDefault="00D34833" w:rsidP="002804E1">
      <w:pPr>
        <w:pStyle w:val="ListNumber"/>
        <w:numPr>
          <w:ilvl w:val="0"/>
          <w:numId w:val="16"/>
        </w:numPr>
        <w:tabs>
          <w:tab w:val="num" w:pos="993"/>
          <w:tab w:val="left" w:pos="1418"/>
        </w:tabs>
        <w:spacing w:after="240"/>
        <w:ind w:left="709" w:hanging="567"/>
        <w:rPr>
          <w:rFonts w:cs="Open Sans"/>
        </w:rPr>
      </w:pPr>
      <w:r w:rsidRPr="008A56A5">
        <w:t>S</w:t>
      </w:r>
      <w:r w:rsidR="002804E1" w:rsidRPr="008A56A5">
        <w:t xml:space="preserve">ervice by mail to the place of residence </w:t>
      </w:r>
      <w:r w:rsidR="00C15C65" w:rsidRPr="008A56A5">
        <w:t xml:space="preserve">last </w:t>
      </w:r>
      <w:r w:rsidR="002804E1" w:rsidRPr="008A56A5">
        <w:t xml:space="preserve">known to the Department may be inadequate </w:t>
      </w:r>
      <w:r w:rsidR="00E774F5" w:rsidRPr="008A56A5">
        <w:t xml:space="preserve">actually </w:t>
      </w:r>
      <w:r w:rsidR="002804E1" w:rsidRPr="008A56A5">
        <w:t xml:space="preserve">to reach the person. </w:t>
      </w:r>
      <w:r w:rsidR="006B5100" w:rsidRPr="008A56A5">
        <w:t xml:space="preserve">The Department may not have </w:t>
      </w:r>
      <w:r w:rsidR="00E060FC" w:rsidRPr="008A56A5">
        <w:t xml:space="preserve">current </w:t>
      </w:r>
      <w:r w:rsidR="006B5100" w:rsidRPr="008A56A5">
        <w:t xml:space="preserve">residential addresses for every Australian </w:t>
      </w:r>
      <w:r w:rsidR="00E060FC" w:rsidRPr="008A56A5">
        <w:t xml:space="preserve">citizen. </w:t>
      </w:r>
      <w:r w:rsidR="002804E1" w:rsidRPr="008A56A5">
        <w:t xml:space="preserve">The Commission </w:t>
      </w:r>
      <w:r w:rsidRPr="008A56A5">
        <w:t xml:space="preserve">also </w:t>
      </w:r>
      <w:r w:rsidR="002804E1" w:rsidRPr="008A56A5">
        <w:t xml:space="preserve">notes that </w:t>
      </w:r>
      <w:r w:rsidR="002804E1" w:rsidRPr="008A56A5">
        <w:rPr>
          <w:rFonts w:cs="Open Sans"/>
        </w:rPr>
        <w:t>proposed s 36</w:t>
      </w:r>
      <w:proofErr w:type="gramStart"/>
      <w:r w:rsidR="002804E1" w:rsidRPr="008A56A5">
        <w:rPr>
          <w:rFonts w:cs="Open Sans"/>
        </w:rPr>
        <w:t>F(</w:t>
      </w:r>
      <w:proofErr w:type="gramEnd"/>
      <w:r w:rsidR="002804E1" w:rsidRPr="008A56A5">
        <w:rPr>
          <w:rFonts w:cs="Open Sans"/>
        </w:rPr>
        <w:t>3) does not require service by email</w:t>
      </w:r>
      <w:r w:rsidRPr="008A56A5">
        <w:rPr>
          <w:rFonts w:cs="Open Sans"/>
        </w:rPr>
        <w:t xml:space="preserve"> if the Minister is satisfied that the person did not receive the notice by mail</w:t>
      </w:r>
      <w:r w:rsidR="002804E1" w:rsidRPr="008A56A5">
        <w:rPr>
          <w:rFonts w:cs="Open Sans"/>
        </w:rPr>
        <w:t xml:space="preserve">, rather the Minister ‘may’ effect service by email </w:t>
      </w:r>
      <w:r w:rsidRPr="008A56A5">
        <w:rPr>
          <w:rFonts w:cs="Open Sans"/>
        </w:rPr>
        <w:t>again</w:t>
      </w:r>
      <w:r w:rsidR="002804E1" w:rsidRPr="008A56A5">
        <w:rPr>
          <w:rFonts w:cs="Open Sans"/>
        </w:rPr>
        <w:t>.</w:t>
      </w:r>
      <w:r w:rsidR="004C0C43" w:rsidRPr="008A56A5">
        <w:rPr>
          <w:rFonts w:cs="Open Sans"/>
        </w:rPr>
        <w:t xml:space="preserve"> </w:t>
      </w:r>
      <w:r w:rsidR="00FB1A96" w:rsidRPr="008A56A5">
        <w:rPr>
          <w:rFonts w:cs="Open Sans"/>
        </w:rPr>
        <w:t xml:space="preserve">Further, contrary to </w:t>
      </w:r>
      <w:r w:rsidR="006837A0" w:rsidRPr="008A56A5">
        <w:rPr>
          <w:rFonts w:cs="Open Sans"/>
        </w:rPr>
        <w:t xml:space="preserve">paragraph 39 of the Explanatory Memorandum set out above, </w:t>
      </w:r>
      <w:r w:rsidR="00F54A84" w:rsidRPr="008A56A5">
        <w:rPr>
          <w:rFonts w:cs="Open Sans"/>
        </w:rPr>
        <w:t xml:space="preserve">the </w:t>
      </w:r>
      <w:r w:rsidR="00DC7158" w:rsidRPr="008A56A5">
        <w:rPr>
          <w:rFonts w:cs="Open Sans"/>
        </w:rPr>
        <w:t xml:space="preserve">statutory </w:t>
      </w:r>
      <w:r w:rsidR="00F54A84" w:rsidRPr="008A56A5">
        <w:rPr>
          <w:rFonts w:cs="Open Sans"/>
        </w:rPr>
        <w:t xml:space="preserve">discretion to attempt service again is limited to circumstances where the Minister becomes aware of </w:t>
      </w:r>
      <w:r w:rsidR="001C1C54" w:rsidRPr="008A56A5">
        <w:rPr>
          <w:rFonts w:cs="Open Sans"/>
        </w:rPr>
        <w:t>an email address for the person.</w:t>
      </w:r>
      <w:r w:rsidR="004C0C43" w:rsidRPr="008A56A5">
        <w:rPr>
          <w:rFonts w:cs="Open Sans"/>
        </w:rPr>
        <w:t xml:space="preserve"> </w:t>
      </w:r>
      <w:r w:rsidR="001C1C54" w:rsidRPr="008A56A5">
        <w:rPr>
          <w:rFonts w:cs="Open Sans"/>
        </w:rPr>
        <w:t xml:space="preserve">The Bill is silent about what happens if the Minister </w:t>
      </w:r>
      <w:r w:rsidR="004428D7" w:rsidRPr="008A56A5">
        <w:rPr>
          <w:rFonts w:cs="Open Sans"/>
        </w:rPr>
        <w:t xml:space="preserve">is satisfied that the person did not receive the notice </w:t>
      </w:r>
      <w:r w:rsidR="00921375" w:rsidRPr="008A56A5">
        <w:rPr>
          <w:rFonts w:cs="Open Sans"/>
        </w:rPr>
        <w:t xml:space="preserve">by mail </w:t>
      </w:r>
      <w:r w:rsidR="001E006C" w:rsidRPr="008A56A5">
        <w:rPr>
          <w:rFonts w:cs="Open Sans"/>
        </w:rPr>
        <w:t xml:space="preserve">but becomes aware of </w:t>
      </w:r>
      <w:r w:rsidR="00DC7158" w:rsidRPr="008A56A5">
        <w:rPr>
          <w:rFonts w:cs="Open Sans"/>
        </w:rPr>
        <w:t xml:space="preserve">the current </w:t>
      </w:r>
      <w:r w:rsidR="001E006C" w:rsidRPr="008A56A5">
        <w:rPr>
          <w:rFonts w:cs="Open Sans"/>
        </w:rPr>
        <w:t xml:space="preserve">physical address for a person. </w:t>
      </w:r>
    </w:p>
    <w:p w14:paraId="2B5772A2" w14:textId="0ACBA718" w:rsidR="00292500" w:rsidRPr="008A56A5" w:rsidRDefault="001456A7" w:rsidP="00A50D4F">
      <w:pPr>
        <w:pStyle w:val="ListNumber"/>
        <w:numPr>
          <w:ilvl w:val="0"/>
          <w:numId w:val="16"/>
        </w:numPr>
        <w:tabs>
          <w:tab w:val="num" w:pos="993"/>
          <w:tab w:val="left" w:pos="1418"/>
        </w:tabs>
        <w:spacing w:after="240"/>
        <w:ind w:left="709" w:hanging="567"/>
        <w:rPr>
          <w:rFonts w:cs="Open Sans"/>
        </w:rPr>
      </w:pPr>
      <w:r w:rsidRPr="008A56A5">
        <w:rPr>
          <w:rFonts w:cs="Open Sans"/>
        </w:rPr>
        <w:t>The</w:t>
      </w:r>
      <w:r w:rsidR="004938A5" w:rsidRPr="008A56A5">
        <w:rPr>
          <w:rFonts w:cs="Open Sans"/>
        </w:rPr>
        <w:t xml:space="preserve"> Commission considers that all reasonable attempts should be made</w:t>
      </w:r>
      <w:r w:rsidR="00E1442A" w:rsidRPr="008A56A5">
        <w:rPr>
          <w:rFonts w:cs="Open Sans"/>
        </w:rPr>
        <w:t xml:space="preserve"> to ensure effective service of a notice of citizenship cessation</w:t>
      </w:r>
      <w:r w:rsidR="004164BC" w:rsidRPr="008A56A5">
        <w:rPr>
          <w:rFonts w:cs="Open Sans"/>
        </w:rPr>
        <w:t xml:space="preserve">. </w:t>
      </w:r>
      <w:r w:rsidR="00065C86" w:rsidRPr="008A56A5">
        <w:rPr>
          <w:rFonts w:cs="Open Sans"/>
        </w:rPr>
        <w:t xml:space="preserve">This would be consistent with the minimum standard under the </w:t>
      </w:r>
      <w:r w:rsidR="005962B1" w:rsidRPr="008A56A5">
        <w:rPr>
          <w:rFonts w:cs="Open Sans"/>
        </w:rPr>
        <w:t>current Act which requires the Minister to give, or make reasonable attempts to give, notice of citizenship cessation.</w:t>
      </w:r>
      <w:r w:rsidR="005962B1" w:rsidRPr="008A56A5">
        <w:rPr>
          <w:rStyle w:val="EndnoteReference"/>
          <w:rFonts w:cs="Open Sans"/>
        </w:rPr>
        <w:endnoteReference w:id="28"/>
      </w:r>
      <w:r w:rsidR="005962B1" w:rsidRPr="008A56A5">
        <w:rPr>
          <w:rFonts w:cs="Open Sans"/>
        </w:rPr>
        <w:t xml:space="preserve"> </w:t>
      </w:r>
      <w:r w:rsidR="00B711D7" w:rsidRPr="008A56A5">
        <w:rPr>
          <w:rFonts w:cs="Open Sans"/>
        </w:rPr>
        <w:t xml:space="preserve">Reasonable attempts would </w:t>
      </w:r>
      <w:r w:rsidR="004164BC" w:rsidRPr="008A56A5">
        <w:rPr>
          <w:rFonts w:cs="Open Sans"/>
        </w:rPr>
        <w:t>include</w:t>
      </w:r>
      <w:r w:rsidR="00DA7CAE" w:rsidRPr="008A56A5">
        <w:rPr>
          <w:rFonts w:cs="Open Sans"/>
        </w:rPr>
        <w:t xml:space="preserve"> </w:t>
      </w:r>
      <w:r w:rsidR="00993F08" w:rsidRPr="008A56A5">
        <w:rPr>
          <w:rFonts w:cs="Open Sans"/>
        </w:rPr>
        <w:t>the Minister</w:t>
      </w:r>
      <w:r w:rsidR="004164BC" w:rsidRPr="008A56A5">
        <w:rPr>
          <w:rFonts w:cs="Open Sans"/>
        </w:rPr>
        <w:t xml:space="preserve"> being</w:t>
      </w:r>
      <w:r w:rsidR="00993F08" w:rsidRPr="008A56A5">
        <w:rPr>
          <w:rFonts w:cs="Open Sans"/>
        </w:rPr>
        <w:t xml:space="preserve"> required to</w:t>
      </w:r>
      <w:r w:rsidR="00A50D4F" w:rsidRPr="008A56A5">
        <w:rPr>
          <w:rFonts w:cs="Open Sans"/>
        </w:rPr>
        <w:t xml:space="preserve"> </w:t>
      </w:r>
      <w:r w:rsidR="0032237C" w:rsidRPr="008A56A5">
        <w:rPr>
          <w:rFonts w:cs="Open Sans"/>
        </w:rPr>
        <w:t xml:space="preserve">effect service by both post (to a person’s last known place of residence or </w:t>
      </w:r>
      <w:r w:rsidR="00141510" w:rsidRPr="008A56A5">
        <w:rPr>
          <w:rFonts w:cs="Open Sans"/>
        </w:rPr>
        <w:t xml:space="preserve">other address such as </w:t>
      </w:r>
      <w:r w:rsidR="0091521A" w:rsidRPr="008A56A5">
        <w:rPr>
          <w:rFonts w:cs="Open Sans"/>
        </w:rPr>
        <w:t xml:space="preserve">a relevant </w:t>
      </w:r>
      <w:r w:rsidR="0032237C" w:rsidRPr="008A56A5">
        <w:rPr>
          <w:rFonts w:cs="Open Sans"/>
        </w:rPr>
        <w:t>correcti</w:t>
      </w:r>
      <w:r w:rsidR="0091521A" w:rsidRPr="008A56A5">
        <w:rPr>
          <w:rFonts w:cs="Open Sans"/>
        </w:rPr>
        <w:t>ons facility</w:t>
      </w:r>
      <w:r w:rsidR="0032237C" w:rsidRPr="008A56A5">
        <w:rPr>
          <w:rFonts w:cs="Open Sans"/>
        </w:rPr>
        <w:t xml:space="preserve">) </w:t>
      </w:r>
      <w:r w:rsidR="00796BF8" w:rsidRPr="008A56A5">
        <w:rPr>
          <w:rFonts w:cs="Open Sans"/>
        </w:rPr>
        <w:t xml:space="preserve">and </w:t>
      </w:r>
      <w:r w:rsidR="0032237C" w:rsidRPr="008A56A5">
        <w:rPr>
          <w:rFonts w:cs="Open Sans"/>
        </w:rPr>
        <w:t xml:space="preserve">email </w:t>
      </w:r>
      <w:r w:rsidR="0091521A" w:rsidRPr="008A56A5">
        <w:rPr>
          <w:rFonts w:cs="Open Sans"/>
        </w:rPr>
        <w:t>(if the Department has a record of the affected person’s e</w:t>
      </w:r>
      <w:r w:rsidR="007A1544" w:rsidRPr="008A56A5">
        <w:rPr>
          <w:rFonts w:cs="Open Sans"/>
        </w:rPr>
        <w:t>-mail</w:t>
      </w:r>
      <w:r w:rsidR="0091521A" w:rsidRPr="008A56A5">
        <w:rPr>
          <w:rFonts w:cs="Open Sans"/>
        </w:rPr>
        <w:t xml:space="preserve"> address)</w:t>
      </w:r>
      <w:r w:rsidR="00796BF8" w:rsidRPr="008A56A5">
        <w:rPr>
          <w:rFonts w:cs="Open Sans"/>
        </w:rPr>
        <w:t>.</w:t>
      </w:r>
      <w:r w:rsidR="004C0C43" w:rsidRPr="008A56A5">
        <w:rPr>
          <w:rFonts w:cs="Open Sans"/>
        </w:rPr>
        <w:t xml:space="preserve"> </w:t>
      </w:r>
      <w:r w:rsidR="00796BF8" w:rsidRPr="008A56A5">
        <w:rPr>
          <w:rFonts w:cs="Open Sans"/>
        </w:rPr>
        <w:t xml:space="preserve">It would include </w:t>
      </w:r>
      <w:r w:rsidR="001B3613" w:rsidRPr="008A56A5">
        <w:rPr>
          <w:rFonts w:cs="Open Sans"/>
        </w:rPr>
        <w:t xml:space="preserve">calling the person </w:t>
      </w:r>
      <w:r w:rsidR="00A50D4F" w:rsidRPr="008A56A5">
        <w:rPr>
          <w:rFonts w:cs="Open Sans"/>
        </w:rPr>
        <w:t>(</w:t>
      </w:r>
      <w:r w:rsidR="007A1544" w:rsidRPr="008A56A5">
        <w:rPr>
          <w:rFonts w:cs="Open Sans"/>
        </w:rPr>
        <w:t>if the Department has a record of the affected person’s phone number</w:t>
      </w:r>
      <w:r w:rsidR="001C0629" w:rsidRPr="008A56A5">
        <w:rPr>
          <w:rFonts w:cs="Open Sans"/>
        </w:rPr>
        <w:t>)</w:t>
      </w:r>
      <w:r w:rsidR="007A1544" w:rsidRPr="008A56A5">
        <w:rPr>
          <w:rFonts w:cs="Open Sans"/>
        </w:rPr>
        <w:t xml:space="preserve"> </w:t>
      </w:r>
      <w:r w:rsidR="001B3613" w:rsidRPr="008A56A5">
        <w:rPr>
          <w:rFonts w:cs="Open Sans"/>
        </w:rPr>
        <w:t xml:space="preserve">if the Department does not have other contact details </w:t>
      </w:r>
      <w:r w:rsidR="007764A6" w:rsidRPr="008A56A5">
        <w:rPr>
          <w:rFonts w:cs="Open Sans"/>
        </w:rPr>
        <w:t>or if it appears that service of the notice was not successful.</w:t>
      </w:r>
      <w:r w:rsidR="004C0C43" w:rsidRPr="008A56A5">
        <w:rPr>
          <w:rFonts w:cs="Open Sans"/>
        </w:rPr>
        <w:t xml:space="preserve"> </w:t>
      </w:r>
      <w:r w:rsidR="007764A6" w:rsidRPr="008A56A5">
        <w:rPr>
          <w:rFonts w:cs="Open Sans"/>
        </w:rPr>
        <w:t>It would also include making further attempts at service</w:t>
      </w:r>
      <w:r w:rsidR="00EE68C4">
        <w:rPr>
          <w:rFonts w:cs="Open Sans"/>
        </w:rPr>
        <w:t>,</w:t>
      </w:r>
      <w:r w:rsidR="007764A6" w:rsidRPr="008A56A5">
        <w:rPr>
          <w:rFonts w:cs="Open Sans"/>
        </w:rPr>
        <w:t xml:space="preserve"> i</w:t>
      </w:r>
      <w:r w:rsidR="00E53D21" w:rsidRPr="008A56A5">
        <w:rPr>
          <w:rFonts w:cs="Open Sans"/>
        </w:rPr>
        <w:t xml:space="preserve">f it appeared that service was not successful </w:t>
      </w:r>
      <w:r w:rsidR="0032237C" w:rsidRPr="008A56A5">
        <w:rPr>
          <w:rFonts w:cs="Open Sans"/>
        </w:rPr>
        <w:t xml:space="preserve">in the first </w:t>
      </w:r>
      <w:proofErr w:type="gramStart"/>
      <w:r w:rsidR="0032237C" w:rsidRPr="008A56A5">
        <w:rPr>
          <w:rFonts w:cs="Open Sans"/>
        </w:rPr>
        <w:t>instance</w:t>
      </w:r>
      <w:proofErr w:type="gramEnd"/>
      <w:r w:rsidR="00E53D21" w:rsidRPr="008A56A5">
        <w:rPr>
          <w:rFonts w:cs="Open Sans"/>
        </w:rPr>
        <w:t xml:space="preserve"> but the Department has</w:t>
      </w:r>
      <w:r w:rsidR="0048255D" w:rsidRPr="008A56A5">
        <w:rPr>
          <w:rFonts w:cs="Open Sans"/>
        </w:rPr>
        <w:t xml:space="preserve"> subsequently</w:t>
      </w:r>
      <w:r w:rsidR="00E53D21" w:rsidRPr="008A56A5">
        <w:rPr>
          <w:rFonts w:cs="Open Sans"/>
        </w:rPr>
        <w:t xml:space="preserve"> been made aware of new contact details</w:t>
      </w:r>
      <w:r w:rsidR="00AF025E" w:rsidRPr="008A56A5">
        <w:rPr>
          <w:rFonts w:cs="Open Sans"/>
        </w:rPr>
        <w:t>.</w:t>
      </w:r>
    </w:p>
    <w:p w14:paraId="3AE38CDD" w14:textId="5234928A" w:rsidR="00467F4E" w:rsidRPr="008A56A5" w:rsidRDefault="00467F4E" w:rsidP="00467F4E">
      <w:pPr>
        <w:pStyle w:val="ListNumber"/>
        <w:keepNext/>
        <w:numPr>
          <w:ilvl w:val="0"/>
          <w:numId w:val="0"/>
        </w:numPr>
        <w:tabs>
          <w:tab w:val="left" w:pos="1418"/>
        </w:tabs>
        <w:ind w:left="709"/>
        <w:rPr>
          <w:b/>
          <w:bCs/>
        </w:rPr>
      </w:pPr>
      <w:bookmarkStart w:id="58" w:name="_Hlk21523940"/>
      <w:r w:rsidRPr="008A56A5">
        <w:rPr>
          <w:b/>
          <w:bCs/>
        </w:rPr>
        <w:t xml:space="preserve">Recommendation </w:t>
      </w:r>
      <w:r w:rsidR="000B24C1" w:rsidRPr="008A56A5">
        <w:rPr>
          <w:b/>
          <w:bCs/>
        </w:rPr>
        <w:t>5</w:t>
      </w:r>
    </w:p>
    <w:bookmarkEnd w:id="58"/>
    <w:p w14:paraId="726FD2CD" w14:textId="6BC72B36" w:rsidR="00C51142" w:rsidRPr="008A56A5" w:rsidRDefault="00467F4E" w:rsidP="00C51142">
      <w:pPr>
        <w:pStyle w:val="ListNumber"/>
        <w:keepNext/>
        <w:numPr>
          <w:ilvl w:val="0"/>
          <w:numId w:val="0"/>
        </w:numPr>
        <w:tabs>
          <w:tab w:val="left" w:pos="1418"/>
        </w:tabs>
        <w:ind w:left="709"/>
        <w:rPr>
          <w:rFonts w:cs="Open Sans"/>
        </w:rPr>
      </w:pPr>
      <w:r w:rsidRPr="008A56A5">
        <w:t>Proposed s 36</w:t>
      </w:r>
      <w:r w:rsidR="00CC6778" w:rsidRPr="008A56A5">
        <w:t xml:space="preserve">F </w:t>
      </w:r>
      <w:r w:rsidRPr="008A56A5">
        <w:t>should be amended to require that</w:t>
      </w:r>
      <w:r w:rsidR="00C51142" w:rsidRPr="008A56A5">
        <w:rPr>
          <w:rFonts w:cs="Open Sans"/>
        </w:rPr>
        <w:t xml:space="preserve"> all reasonable attempts be made to ensure effective service of a notice of citizenship cessation. </w:t>
      </w:r>
    </w:p>
    <w:p w14:paraId="4E6D3245" w14:textId="0C77A66A" w:rsidR="00643ED5" w:rsidRPr="008A56A5" w:rsidRDefault="008E225F" w:rsidP="008E225F">
      <w:pPr>
        <w:pStyle w:val="ListNumber"/>
        <w:numPr>
          <w:ilvl w:val="0"/>
          <w:numId w:val="16"/>
        </w:numPr>
        <w:tabs>
          <w:tab w:val="num" w:pos="993"/>
          <w:tab w:val="left" w:pos="1418"/>
        </w:tabs>
        <w:spacing w:after="240"/>
        <w:ind w:left="709" w:hanging="567"/>
        <w:rPr>
          <w:rFonts w:cs="Open Sans"/>
        </w:rPr>
      </w:pPr>
      <w:r w:rsidRPr="008A56A5">
        <w:rPr>
          <w:rFonts w:cs="Open Sans"/>
          <w:b/>
          <w:bCs/>
        </w:rPr>
        <w:t>Third</w:t>
      </w:r>
      <w:r w:rsidR="00F85E31" w:rsidRPr="008A56A5">
        <w:rPr>
          <w:rFonts w:cs="Open Sans"/>
          <w:b/>
          <w:bCs/>
        </w:rPr>
        <w:t>ly</w:t>
      </w:r>
      <w:r w:rsidRPr="008A56A5">
        <w:rPr>
          <w:rFonts w:cs="Open Sans"/>
        </w:rPr>
        <w:t xml:space="preserve">, the </w:t>
      </w:r>
      <w:r w:rsidR="00E26AB4" w:rsidRPr="008A56A5">
        <w:rPr>
          <w:rFonts w:cs="Open Sans"/>
        </w:rPr>
        <w:t xml:space="preserve">Commission is </w:t>
      </w:r>
      <w:r w:rsidR="00273BE2" w:rsidRPr="008A56A5">
        <w:rPr>
          <w:rFonts w:cs="Open Sans"/>
        </w:rPr>
        <w:t xml:space="preserve">concerned by the limited </w:t>
      </w:r>
      <w:r w:rsidR="00C42F4B" w:rsidRPr="008A56A5">
        <w:rPr>
          <w:rFonts w:cs="Open Sans"/>
        </w:rPr>
        <w:t>time period</w:t>
      </w:r>
      <w:r w:rsidR="00273BE2" w:rsidRPr="008A56A5">
        <w:rPr>
          <w:rFonts w:cs="Open Sans"/>
        </w:rPr>
        <w:t xml:space="preserve"> in which a person </w:t>
      </w:r>
      <w:r w:rsidR="00351D4B" w:rsidRPr="008A56A5">
        <w:rPr>
          <w:rFonts w:cs="Open Sans"/>
        </w:rPr>
        <w:t>can</w:t>
      </w:r>
      <w:r w:rsidR="00273BE2" w:rsidRPr="008A56A5">
        <w:rPr>
          <w:rFonts w:cs="Open Sans"/>
        </w:rPr>
        <w:t xml:space="preserve"> apply for a review of citizenship revocation by the Minister under s 36</w:t>
      </w:r>
      <w:proofErr w:type="gramStart"/>
      <w:r w:rsidR="00273BE2" w:rsidRPr="008A56A5">
        <w:rPr>
          <w:rFonts w:cs="Open Sans"/>
        </w:rPr>
        <w:t>H(</w:t>
      </w:r>
      <w:proofErr w:type="gramEnd"/>
      <w:r w:rsidR="00273BE2" w:rsidRPr="008A56A5">
        <w:rPr>
          <w:rFonts w:cs="Open Sans"/>
        </w:rPr>
        <w:t xml:space="preserve">2). This is </w:t>
      </w:r>
      <w:r w:rsidR="00643ED5" w:rsidRPr="008A56A5">
        <w:rPr>
          <w:rFonts w:cs="Open Sans"/>
        </w:rPr>
        <w:t>9</w:t>
      </w:r>
      <w:r w:rsidR="00273BE2" w:rsidRPr="008A56A5">
        <w:rPr>
          <w:rFonts w:cs="Open Sans"/>
        </w:rPr>
        <w:t xml:space="preserve">0 days </w:t>
      </w:r>
      <w:r w:rsidR="00643ED5" w:rsidRPr="008A56A5">
        <w:rPr>
          <w:rFonts w:cs="Open Sans"/>
        </w:rPr>
        <w:t xml:space="preserve">after the date of the notice given by mail or 30 days after the date of the notice if sent again to an electronic address. </w:t>
      </w:r>
    </w:p>
    <w:p w14:paraId="6F7D4F86" w14:textId="41D60BF3" w:rsidR="00432366" w:rsidRPr="008A56A5" w:rsidRDefault="005D54E6" w:rsidP="00AB12AF">
      <w:pPr>
        <w:pStyle w:val="ListNumber"/>
        <w:numPr>
          <w:ilvl w:val="0"/>
          <w:numId w:val="16"/>
        </w:numPr>
        <w:tabs>
          <w:tab w:val="num" w:pos="993"/>
          <w:tab w:val="left" w:pos="1418"/>
        </w:tabs>
        <w:spacing w:after="240"/>
        <w:ind w:left="709" w:hanging="567"/>
        <w:rPr>
          <w:rFonts w:cs="Open Sans"/>
        </w:rPr>
      </w:pPr>
      <w:r w:rsidRPr="008A56A5">
        <w:rPr>
          <w:rFonts w:cs="Open Sans"/>
        </w:rPr>
        <w:t>T</w:t>
      </w:r>
      <w:r w:rsidR="00273BE2" w:rsidRPr="008A56A5">
        <w:rPr>
          <w:rFonts w:cs="Open Sans"/>
        </w:rPr>
        <w:t>he inadequa</w:t>
      </w:r>
      <w:r w:rsidR="00C42F4B" w:rsidRPr="008A56A5">
        <w:rPr>
          <w:rFonts w:cs="Open Sans"/>
        </w:rPr>
        <w:t>cy of the</w:t>
      </w:r>
      <w:r w:rsidR="00273BE2" w:rsidRPr="008A56A5">
        <w:rPr>
          <w:rFonts w:cs="Open Sans"/>
        </w:rPr>
        <w:t xml:space="preserve"> notice requirements</w:t>
      </w:r>
      <w:r w:rsidR="00643ED5" w:rsidRPr="008A56A5">
        <w:rPr>
          <w:rFonts w:cs="Open Sans"/>
        </w:rPr>
        <w:t xml:space="preserve"> discussed above</w:t>
      </w:r>
      <w:r w:rsidRPr="008A56A5">
        <w:rPr>
          <w:rFonts w:cs="Open Sans"/>
        </w:rPr>
        <w:t xml:space="preserve"> mean that </w:t>
      </w:r>
      <w:r w:rsidR="003E69AE" w:rsidRPr="008A56A5">
        <w:rPr>
          <w:rFonts w:cs="Open Sans"/>
        </w:rPr>
        <w:t xml:space="preserve">a person </w:t>
      </w:r>
      <w:r w:rsidR="001F0A0C" w:rsidRPr="008A56A5">
        <w:rPr>
          <w:rFonts w:cs="Open Sans"/>
        </w:rPr>
        <w:t xml:space="preserve">could lose the right to seek revocation of citizenship cessation </w:t>
      </w:r>
      <w:r w:rsidR="00E064B0" w:rsidRPr="008A56A5">
        <w:rPr>
          <w:rFonts w:cs="Open Sans"/>
        </w:rPr>
        <w:t>because the notice provisions have been complied with</w:t>
      </w:r>
      <w:r w:rsidR="00EE68C4">
        <w:rPr>
          <w:rFonts w:cs="Open Sans"/>
        </w:rPr>
        <w:t>,</w:t>
      </w:r>
      <w:r w:rsidR="00E064B0" w:rsidRPr="008A56A5">
        <w:rPr>
          <w:rFonts w:cs="Open Sans"/>
        </w:rPr>
        <w:t xml:space="preserve"> but the person still has not actually </w:t>
      </w:r>
      <w:r w:rsidR="003E69AE" w:rsidRPr="008A56A5">
        <w:rPr>
          <w:rFonts w:cs="Open Sans"/>
        </w:rPr>
        <w:t xml:space="preserve">received </w:t>
      </w:r>
      <w:r w:rsidR="00114517" w:rsidRPr="008A56A5">
        <w:rPr>
          <w:rFonts w:cs="Open Sans"/>
        </w:rPr>
        <w:t xml:space="preserve">the </w:t>
      </w:r>
      <w:r w:rsidR="003E69AE" w:rsidRPr="008A56A5">
        <w:rPr>
          <w:rFonts w:cs="Open Sans"/>
        </w:rPr>
        <w:t>notice</w:t>
      </w:r>
      <w:r w:rsidR="00E66E9E" w:rsidRPr="008A56A5">
        <w:rPr>
          <w:rFonts w:cs="Open Sans"/>
        </w:rPr>
        <w:t>.</w:t>
      </w:r>
      <w:r w:rsidR="008940DC" w:rsidRPr="008A56A5">
        <w:rPr>
          <w:rFonts w:cs="Open Sans"/>
        </w:rPr>
        <w:t xml:space="preserve"> </w:t>
      </w:r>
    </w:p>
    <w:p w14:paraId="4B5C2079" w14:textId="0650F6F4" w:rsidR="00AB12AF" w:rsidRPr="008A56A5" w:rsidRDefault="00432366" w:rsidP="00AB12AF">
      <w:pPr>
        <w:pStyle w:val="ListNumber"/>
        <w:numPr>
          <w:ilvl w:val="0"/>
          <w:numId w:val="16"/>
        </w:numPr>
        <w:tabs>
          <w:tab w:val="num" w:pos="993"/>
          <w:tab w:val="left" w:pos="1418"/>
        </w:tabs>
        <w:spacing w:after="240"/>
        <w:ind w:left="709" w:hanging="567"/>
        <w:rPr>
          <w:rFonts w:cs="Open Sans"/>
        </w:rPr>
      </w:pPr>
      <w:r w:rsidRPr="008A56A5">
        <w:rPr>
          <w:rFonts w:cs="Open Sans"/>
        </w:rPr>
        <w:t xml:space="preserve">While s 36J allows the Minister to </w:t>
      </w:r>
      <w:r w:rsidR="0073530E" w:rsidRPr="008A56A5">
        <w:rPr>
          <w:rFonts w:cs="Open Sans"/>
        </w:rPr>
        <w:t xml:space="preserve">later </w:t>
      </w:r>
      <w:r w:rsidRPr="008A56A5">
        <w:rPr>
          <w:rFonts w:cs="Open Sans"/>
        </w:rPr>
        <w:t xml:space="preserve">revoke a citizenship cessation determination on his or her own </w:t>
      </w:r>
      <w:r w:rsidR="00884C67" w:rsidRPr="008A56A5">
        <w:rPr>
          <w:rFonts w:cs="Open Sans"/>
        </w:rPr>
        <w:t>initiative</w:t>
      </w:r>
      <w:r w:rsidRPr="008A56A5">
        <w:rPr>
          <w:rFonts w:cs="Open Sans"/>
        </w:rPr>
        <w:t>, this is a personal, discretionary, non-compellable power</w:t>
      </w:r>
      <w:r w:rsidR="00884C67" w:rsidRPr="008A56A5">
        <w:rPr>
          <w:rFonts w:cs="Open Sans"/>
        </w:rPr>
        <w:t>, and therefore provides a very limited safeguard</w:t>
      </w:r>
      <w:r w:rsidRPr="008A56A5">
        <w:rPr>
          <w:rFonts w:cs="Open Sans"/>
        </w:rPr>
        <w:t>.</w:t>
      </w:r>
      <w:r w:rsidR="00462D82" w:rsidRPr="008A56A5">
        <w:rPr>
          <w:rFonts w:cs="Open Sans"/>
        </w:rPr>
        <w:t xml:space="preserve"> </w:t>
      </w:r>
    </w:p>
    <w:p w14:paraId="48DD7AE2" w14:textId="3EE3F6C4" w:rsidR="0073530E" w:rsidRPr="008A56A5" w:rsidRDefault="0073530E" w:rsidP="0073530E">
      <w:pPr>
        <w:pStyle w:val="ListNumber"/>
        <w:keepNext/>
        <w:numPr>
          <w:ilvl w:val="0"/>
          <w:numId w:val="0"/>
        </w:numPr>
        <w:tabs>
          <w:tab w:val="left" w:pos="1418"/>
        </w:tabs>
        <w:ind w:left="709"/>
        <w:rPr>
          <w:b/>
          <w:bCs/>
        </w:rPr>
      </w:pPr>
      <w:r w:rsidRPr="008A56A5">
        <w:rPr>
          <w:b/>
          <w:bCs/>
        </w:rPr>
        <w:t xml:space="preserve">Recommendation </w:t>
      </w:r>
      <w:r w:rsidR="00CA2B1C" w:rsidRPr="008A56A5">
        <w:rPr>
          <w:b/>
          <w:bCs/>
        </w:rPr>
        <w:t>6</w:t>
      </w:r>
    </w:p>
    <w:p w14:paraId="2822218C" w14:textId="4AAEBEAA" w:rsidR="0073530E" w:rsidRPr="008A56A5" w:rsidRDefault="004B6266" w:rsidP="0073530E">
      <w:pPr>
        <w:pStyle w:val="ListNumber"/>
        <w:keepNext/>
        <w:numPr>
          <w:ilvl w:val="0"/>
          <w:numId w:val="0"/>
        </w:numPr>
        <w:tabs>
          <w:tab w:val="left" w:pos="1418"/>
        </w:tabs>
        <w:ind w:left="709"/>
      </w:pPr>
      <w:r w:rsidRPr="008A56A5">
        <w:t xml:space="preserve">Proposed </w:t>
      </w:r>
      <w:r w:rsidR="00E924FA" w:rsidRPr="008A56A5">
        <w:t>s 36</w:t>
      </w:r>
      <w:proofErr w:type="gramStart"/>
      <w:r w:rsidR="00E924FA" w:rsidRPr="008A56A5">
        <w:t>H</w:t>
      </w:r>
      <w:r w:rsidR="009E7A5C" w:rsidRPr="008A56A5">
        <w:t>(</w:t>
      </w:r>
      <w:proofErr w:type="gramEnd"/>
      <w:r w:rsidR="009E7A5C" w:rsidRPr="008A56A5">
        <w:t>2)</w:t>
      </w:r>
      <w:r w:rsidR="00E924FA" w:rsidRPr="008A56A5">
        <w:t xml:space="preserve"> should be amended to </w:t>
      </w:r>
      <w:r w:rsidR="007E2423" w:rsidRPr="008A56A5">
        <w:t xml:space="preserve">provide that an application for revocation may be made within 90 days </w:t>
      </w:r>
      <w:r w:rsidR="003E1432" w:rsidRPr="008A56A5">
        <w:t xml:space="preserve">of the date that the person actually received notice of the cessation of their citizenship. </w:t>
      </w:r>
    </w:p>
    <w:p w14:paraId="7BCC14D5" w14:textId="759CED49" w:rsidR="00B934E5" w:rsidRPr="008A56A5" w:rsidRDefault="009C4BEB" w:rsidP="009C4BEB">
      <w:pPr>
        <w:pStyle w:val="ListNumber"/>
        <w:numPr>
          <w:ilvl w:val="0"/>
          <w:numId w:val="16"/>
        </w:numPr>
        <w:tabs>
          <w:tab w:val="num" w:pos="993"/>
          <w:tab w:val="left" w:pos="1418"/>
        </w:tabs>
        <w:spacing w:after="240"/>
        <w:ind w:left="709" w:hanging="567"/>
        <w:rPr>
          <w:rFonts w:cs="Open Sans"/>
        </w:rPr>
      </w:pPr>
      <w:r w:rsidRPr="008A56A5">
        <w:rPr>
          <w:rFonts w:cs="Open Sans"/>
          <w:b/>
          <w:bCs/>
        </w:rPr>
        <w:t>Fourth</w:t>
      </w:r>
      <w:r w:rsidR="00013E93" w:rsidRPr="008A56A5">
        <w:rPr>
          <w:rFonts w:cs="Open Sans"/>
          <w:b/>
          <w:bCs/>
        </w:rPr>
        <w:t>ly</w:t>
      </w:r>
      <w:r w:rsidRPr="008A56A5">
        <w:rPr>
          <w:rFonts w:cs="Open Sans"/>
        </w:rPr>
        <w:t xml:space="preserve">, </w:t>
      </w:r>
      <w:r w:rsidR="00AB518F" w:rsidRPr="008A56A5">
        <w:rPr>
          <w:rFonts w:cs="Open Sans"/>
        </w:rPr>
        <w:t xml:space="preserve">the Commission considers that the length of time for which notice of citizenship cessation can be withheld under proposed s 36G, being up to six years, </w:t>
      </w:r>
      <w:r w:rsidR="00774AA5" w:rsidRPr="008A56A5">
        <w:rPr>
          <w:rFonts w:cs="Open Sans"/>
        </w:rPr>
        <w:t xml:space="preserve">has not been shown to be a reasonable, necessary and </w:t>
      </w:r>
      <w:r w:rsidR="00940BB6" w:rsidRPr="008A56A5">
        <w:rPr>
          <w:rFonts w:cs="Open Sans"/>
        </w:rPr>
        <w:t>proportionate maximum time limit.</w:t>
      </w:r>
      <w:r w:rsidR="00B934E5" w:rsidRPr="008A56A5">
        <w:rPr>
          <w:rFonts w:cs="Open Sans"/>
        </w:rPr>
        <w:t xml:space="preserve"> </w:t>
      </w:r>
    </w:p>
    <w:p w14:paraId="4BE2A000" w14:textId="4AB43EB1" w:rsidR="004450A1" w:rsidRPr="008A56A5" w:rsidRDefault="00E65DEC" w:rsidP="004450A1">
      <w:pPr>
        <w:pStyle w:val="ListNumber"/>
        <w:numPr>
          <w:ilvl w:val="0"/>
          <w:numId w:val="16"/>
        </w:numPr>
        <w:tabs>
          <w:tab w:val="num" w:pos="993"/>
          <w:tab w:val="left" w:pos="1418"/>
        </w:tabs>
        <w:spacing w:after="240"/>
        <w:ind w:left="709" w:hanging="567"/>
        <w:rPr>
          <w:rFonts w:cs="Open Sans"/>
        </w:rPr>
      </w:pPr>
      <w:r w:rsidRPr="008A56A5">
        <w:rPr>
          <w:rFonts w:cs="Open Sans"/>
        </w:rPr>
        <w:t xml:space="preserve">The Commission supports the approach of </w:t>
      </w:r>
      <w:r w:rsidR="000F2E26" w:rsidRPr="008A56A5">
        <w:rPr>
          <w:rFonts w:cs="Open Sans"/>
        </w:rPr>
        <w:t>t</w:t>
      </w:r>
      <w:r w:rsidR="00904BF5" w:rsidRPr="008A56A5">
        <w:rPr>
          <w:rFonts w:cs="Open Sans"/>
        </w:rPr>
        <w:t>he INSLM</w:t>
      </w:r>
      <w:r w:rsidRPr="008A56A5">
        <w:rPr>
          <w:rFonts w:cs="Open Sans"/>
        </w:rPr>
        <w:t>, who has</w:t>
      </w:r>
      <w:r w:rsidR="000F2E26" w:rsidRPr="008A56A5">
        <w:rPr>
          <w:rFonts w:cs="Open Sans"/>
        </w:rPr>
        <w:t xml:space="preserve"> recommended that </w:t>
      </w:r>
      <w:r w:rsidR="00625DED" w:rsidRPr="008A56A5">
        <w:rPr>
          <w:rFonts w:cs="Open Sans"/>
        </w:rPr>
        <w:t xml:space="preserve">a determination </w:t>
      </w:r>
      <w:r w:rsidR="00A642A8" w:rsidRPr="008A56A5">
        <w:rPr>
          <w:rFonts w:cs="Open Sans"/>
        </w:rPr>
        <w:t>to withhold</w:t>
      </w:r>
      <w:r w:rsidR="00625DED" w:rsidRPr="008A56A5">
        <w:rPr>
          <w:rFonts w:cs="Open Sans"/>
        </w:rPr>
        <w:t xml:space="preserve"> notice should expire after 90 days. </w:t>
      </w:r>
    </w:p>
    <w:p w14:paraId="1324FD56" w14:textId="46832C6F" w:rsidR="00940BB6" w:rsidRPr="008A56A5" w:rsidRDefault="00625DED" w:rsidP="009C4BEB">
      <w:pPr>
        <w:pStyle w:val="ListNumber"/>
        <w:numPr>
          <w:ilvl w:val="0"/>
          <w:numId w:val="16"/>
        </w:numPr>
        <w:tabs>
          <w:tab w:val="num" w:pos="993"/>
          <w:tab w:val="left" w:pos="1418"/>
        </w:tabs>
        <w:spacing w:after="240"/>
        <w:ind w:left="709" w:hanging="567"/>
        <w:rPr>
          <w:rFonts w:cs="Open Sans"/>
        </w:rPr>
      </w:pPr>
      <w:r w:rsidRPr="008A56A5">
        <w:rPr>
          <w:rFonts w:cs="Open Sans"/>
        </w:rPr>
        <w:t xml:space="preserve">The INSLM </w:t>
      </w:r>
      <w:r w:rsidR="00E65DEC" w:rsidRPr="008A56A5">
        <w:rPr>
          <w:rFonts w:cs="Open Sans"/>
        </w:rPr>
        <w:t xml:space="preserve">further </w:t>
      </w:r>
      <w:r w:rsidRPr="008A56A5">
        <w:rPr>
          <w:rFonts w:cs="Open Sans"/>
        </w:rPr>
        <w:t xml:space="preserve">recommended that the Minister only have </w:t>
      </w:r>
      <w:r w:rsidR="00BD193D" w:rsidRPr="008A56A5">
        <w:rPr>
          <w:rFonts w:cs="Open Sans"/>
        </w:rPr>
        <w:t>a</w:t>
      </w:r>
      <w:r w:rsidRPr="008A56A5">
        <w:rPr>
          <w:rFonts w:cs="Open Sans"/>
        </w:rPr>
        <w:t xml:space="preserve"> one-off ability to extend the withholding of notification for a further 90 days, and be required to notify the Committee and the IGIS</w:t>
      </w:r>
      <w:r w:rsidR="00BD193D" w:rsidRPr="008A56A5">
        <w:rPr>
          <w:rFonts w:cs="Open Sans"/>
        </w:rPr>
        <w:t xml:space="preserve"> if this extension power is exercised</w:t>
      </w:r>
      <w:r w:rsidRPr="008A56A5">
        <w:rPr>
          <w:rFonts w:cs="Open Sans"/>
        </w:rPr>
        <w:t>. The INSLM commented</w:t>
      </w:r>
      <w:r w:rsidR="00E65DEC" w:rsidRPr="008A56A5">
        <w:rPr>
          <w:rFonts w:cs="Open Sans"/>
        </w:rPr>
        <w:t>: ‘in my view, six months is a sufficient maximum period to withhold notice’.</w:t>
      </w:r>
      <w:r w:rsidR="00884F5A" w:rsidRPr="008A56A5">
        <w:rPr>
          <w:rStyle w:val="EndnoteReference"/>
          <w:rFonts w:cs="Open Sans"/>
        </w:rPr>
        <w:endnoteReference w:id="29"/>
      </w:r>
    </w:p>
    <w:p w14:paraId="2B309C39" w14:textId="36019D6D" w:rsidR="00B945AB" w:rsidRPr="008A56A5" w:rsidRDefault="00B945AB" w:rsidP="00B945AB">
      <w:pPr>
        <w:pStyle w:val="ListNumber"/>
        <w:keepNext/>
        <w:numPr>
          <w:ilvl w:val="0"/>
          <w:numId w:val="0"/>
        </w:numPr>
        <w:tabs>
          <w:tab w:val="left" w:pos="1418"/>
        </w:tabs>
        <w:ind w:left="709"/>
        <w:rPr>
          <w:b/>
          <w:bCs/>
        </w:rPr>
      </w:pPr>
      <w:r w:rsidRPr="008A56A5">
        <w:rPr>
          <w:b/>
          <w:bCs/>
        </w:rPr>
        <w:t xml:space="preserve">Recommendation </w:t>
      </w:r>
      <w:r w:rsidR="00BD708C" w:rsidRPr="008A56A5">
        <w:rPr>
          <w:b/>
          <w:bCs/>
        </w:rPr>
        <w:t>7</w:t>
      </w:r>
    </w:p>
    <w:p w14:paraId="033B9B5C" w14:textId="06140E5B" w:rsidR="00E65DEC" w:rsidRPr="008A56A5" w:rsidRDefault="00B934E5" w:rsidP="00B945AB">
      <w:pPr>
        <w:pStyle w:val="ListNumber"/>
        <w:numPr>
          <w:ilvl w:val="0"/>
          <w:numId w:val="0"/>
        </w:numPr>
        <w:tabs>
          <w:tab w:val="left" w:pos="1418"/>
        </w:tabs>
        <w:spacing w:after="240"/>
        <w:ind w:left="709"/>
        <w:rPr>
          <w:rFonts w:cs="Open Sans"/>
        </w:rPr>
      </w:pPr>
      <w:r w:rsidRPr="008A56A5">
        <w:rPr>
          <w:rFonts w:cs="Open Sans"/>
        </w:rPr>
        <w:t xml:space="preserve">Proposed s 36G should be amended, </w:t>
      </w:r>
      <w:r w:rsidR="00BF1B1D" w:rsidRPr="008A56A5">
        <w:rPr>
          <w:rFonts w:cs="Open Sans"/>
        </w:rPr>
        <w:t xml:space="preserve">to provide that a determination that notice of citizenship cessation should not be given will automatically expire after 90 days, subject to a one-off further extension of 90 days determined by the Minister, in accordance with the recommendation of the </w:t>
      </w:r>
      <w:r w:rsidR="0076204C" w:rsidRPr="008A56A5">
        <w:rPr>
          <w:rFonts w:cs="Open Sans"/>
        </w:rPr>
        <w:t>Independent National Security Legislation Monitor</w:t>
      </w:r>
      <w:r w:rsidR="00BF1B1D" w:rsidRPr="008A56A5">
        <w:rPr>
          <w:rFonts w:cs="Open Sans"/>
        </w:rPr>
        <w:t xml:space="preserve">. </w:t>
      </w:r>
    </w:p>
    <w:p w14:paraId="5D7C1C32" w14:textId="3F6FD6DB" w:rsidR="000B1709" w:rsidRPr="008A56A5" w:rsidRDefault="00CD33C4" w:rsidP="004E4621">
      <w:pPr>
        <w:pStyle w:val="Heading3"/>
        <w:numPr>
          <w:ilvl w:val="2"/>
          <w:numId w:val="19"/>
        </w:numPr>
        <w:rPr>
          <w:rFonts w:cs="Open Sans"/>
          <w:i/>
          <w:iCs/>
        </w:rPr>
      </w:pPr>
      <w:bookmarkStart w:id="59" w:name="_Toc11407973"/>
      <w:bookmarkStart w:id="60" w:name="_Toc20921366"/>
      <w:bookmarkStart w:id="61" w:name="_Toc21968485"/>
      <w:bookmarkEnd w:id="57"/>
      <w:r w:rsidRPr="008A56A5">
        <w:rPr>
          <w:rFonts w:cs="Open Sans"/>
          <w:i/>
          <w:iCs/>
        </w:rPr>
        <w:t>Provision of r</w:t>
      </w:r>
      <w:r w:rsidR="000B1709" w:rsidRPr="008A56A5">
        <w:rPr>
          <w:rFonts w:cs="Open Sans"/>
          <w:i/>
          <w:iCs/>
        </w:rPr>
        <w:t>easons</w:t>
      </w:r>
      <w:bookmarkEnd w:id="61"/>
    </w:p>
    <w:p w14:paraId="6C444B3B" w14:textId="77777777" w:rsidR="00935C07" w:rsidRPr="008A56A5" w:rsidRDefault="00E540D4" w:rsidP="00E518E9">
      <w:pPr>
        <w:pStyle w:val="ListNumber"/>
        <w:numPr>
          <w:ilvl w:val="0"/>
          <w:numId w:val="16"/>
        </w:numPr>
        <w:tabs>
          <w:tab w:val="num" w:pos="993"/>
          <w:tab w:val="left" w:pos="1418"/>
        </w:tabs>
        <w:spacing w:after="240"/>
        <w:ind w:left="709" w:hanging="567"/>
        <w:rPr>
          <w:rFonts w:cs="Open Sans"/>
        </w:rPr>
      </w:pPr>
      <w:r w:rsidRPr="008A56A5">
        <w:rPr>
          <w:rFonts w:cs="Open Sans"/>
        </w:rPr>
        <w:t xml:space="preserve">Proposed </w:t>
      </w:r>
      <w:r w:rsidR="00B23155" w:rsidRPr="008A56A5">
        <w:rPr>
          <w:rFonts w:cs="Open Sans"/>
        </w:rPr>
        <w:t>s</w:t>
      </w:r>
      <w:r w:rsidRPr="008A56A5">
        <w:rPr>
          <w:rFonts w:cs="Open Sans"/>
        </w:rPr>
        <w:t>s 36</w:t>
      </w:r>
      <w:proofErr w:type="gramStart"/>
      <w:r w:rsidRPr="008A56A5">
        <w:rPr>
          <w:rFonts w:cs="Open Sans"/>
        </w:rPr>
        <w:t>F(</w:t>
      </w:r>
      <w:proofErr w:type="gramEnd"/>
      <w:r w:rsidRPr="008A56A5">
        <w:rPr>
          <w:rFonts w:cs="Open Sans"/>
        </w:rPr>
        <w:t>5)</w:t>
      </w:r>
      <w:r w:rsidR="00B23155" w:rsidRPr="008A56A5">
        <w:rPr>
          <w:rFonts w:cs="Open Sans"/>
        </w:rPr>
        <w:t>-(6)</w:t>
      </w:r>
      <w:r w:rsidR="00961AC8" w:rsidRPr="008A56A5">
        <w:rPr>
          <w:rFonts w:cs="Open Sans"/>
        </w:rPr>
        <w:t xml:space="preserve"> provides that a</w:t>
      </w:r>
      <w:r w:rsidRPr="008A56A5">
        <w:rPr>
          <w:rFonts w:cs="Open Sans"/>
        </w:rPr>
        <w:t xml:space="preserve"> notice</w:t>
      </w:r>
      <w:r w:rsidR="00961AC8" w:rsidRPr="008A56A5">
        <w:rPr>
          <w:rFonts w:cs="Open Sans"/>
        </w:rPr>
        <w:t xml:space="preserve"> of citizenship loss</w:t>
      </w:r>
      <w:r w:rsidRPr="008A56A5">
        <w:rPr>
          <w:rFonts w:cs="Open Sans"/>
        </w:rPr>
        <w:t xml:space="preserve"> must only set out a ‘basic description’ of the relevant conduct (for conduct-based loss) or specify the relevant conviction/s and sentence/s (for conviction-based loss)</w:t>
      </w:r>
      <w:r w:rsidR="00CB4808" w:rsidRPr="008A56A5">
        <w:rPr>
          <w:rFonts w:cs="Open Sans"/>
        </w:rPr>
        <w:t>. There is no requirement to provide reasons for the decision</w:t>
      </w:r>
      <w:r w:rsidR="00B23155" w:rsidRPr="008A56A5">
        <w:rPr>
          <w:rFonts w:cs="Open Sans"/>
        </w:rPr>
        <w:t xml:space="preserve"> to remove a person’s citizenship</w:t>
      </w:r>
      <w:r w:rsidR="00CB4808" w:rsidRPr="008A56A5">
        <w:rPr>
          <w:rFonts w:cs="Open Sans"/>
        </w:rPr>
        <w:t>.</w:t>
      </w:r>
      <w:r w:rsidR="00174942" w:rsidRPr="008A56A5">
        <w:rPr>
          <w:rFonts w:cs="Open Sans"/>
        </w:rPr>
        <w:t xml:space="preserve"> </w:t>
      </w:r>
    </w:p>
    <w:p w14:paraId="517F69B0" w14:textId="55093FDD" w:rsidR="00E540D4" w:rsidRPr="008A56A5" w:rsidRDefault="00174942" w:rsidP="00E518E9">
      <w:pPr>
        <w:pStyle w:val="ListNumber"/>
        <w:numPr>
          <w:ilvl w:val="0"/>
          <w:numId w:val="16"/>
        </w:numPr>
        <w:tabs>
          <w:tab w:val="num" w:pos="993"/>
          <w:tab w:val="left" w:pos="1418"/>
        </w:tabs>
        <w:spacing w:after="240"/>
        <w:ind w:left="709" w:hanging="567"/>
        <w:rPr>
          <w:rFonts w:cs="Open Sans"/>
        </w:rPr>
      </w:pPr>
      <w:r w:rsidRPr="008A56A5">
        <w:rPr>
          <w:rFonts w:cs="Open Sans"/>
        </w:rPr>
        <w:t xml:space="preserve">For example, there is no requirement </w:t>
      </w:r>
      <w:r w:rsidR="00935C07" w:rsidRPr="008A56A5">
        <w:rPr>
          <w:rFonts w:cs="Open Sans"/>
        </w:rPr>
        <w:t xml:space="preserve">for the Minister </w:t>
      </w:r>
      <w:r w:rsidRPr="008A56A5">
        <w:rPr>
          <w:rFonts w:cs="Open Sans"/>
        </w:rPr>
        <w:t xml:space="preserve">to explain how </w:t>
      </w:r>
      <w:r w:rsidR="00935C07" w:rsidRPr="008A56A5">
        <w:rPr>
          <w:rFonts w:cs="Open Sans"/>
        </w:rPr>
        <w:t>they were</w:t>
      </w:r>
      <w:r w:rsidR="00C35545" w:rsidRPr="008A56A5">
        <w:rPr>
          <w:rFonts w:cs="Open Sans"/>
        </w:rPr>
        <w:t xml:space="preserve"> satisfied that the conduct </w:t>
      </w:r>
      <w:r w:rsidR="000C4113" w:rsidRPr="008A56A5">
        <w:rPr>
          <w:rFonts w:cs="Open Sans"/>
        </w:rPr>
        <w:t xml:space="preserve">of the person </w:t>
      </w:r>
      <w:r w:rsidR="00C35545" w:rsidRPr="008A56A5">
        <w:rPr>
          <w:rFonts w:cs="Open Sans"/>
        </w:rPr>
        <w:t>demonstrated that the</w:t>
      </w:r>
      <w:r w:rsidR="000C4113" w:rsidRPr="008A56A5">
        <w:rPr>
          <w:rFonts w:cs="Open Sans"/>
        </w:rPr>
        <w:t>y</w:t>
      </w:r>
      <w:r w:rsidR="00C35545" w:rsidRPr="008A56A5">
        <w:rPr>
          <w:rFonts w:cs="Open Sans"/>
        </w:rPr>
        <w:t xml:space="preserve"> had repudiated their allegiance to Australia, or </w:t>
      </w:r>
      <w:r w:rsidR="0058030E" w:rsidRPr="008A56A5">
        <w:rPr>
          <w:rFonts w:cs="Open Sans"/>
        </w:rPr>
        <w:t>why it would be contrary to the public interest for the person to remain an Australian citizen.</w:t>
      </w:r>
      <w:r w:rsidR="00DA7AFA" w:rsidRPr="008A56A5">
        <w:rPr>
          <w:rFonts w:cs="Open Sans"/>
        </w:rPr>
        <w:t xml:space="preserve"> </w:t>
      </w:r>
      <w:r w:rsidR="008B6331" w:rsidRPr="008A56A5">
        <w:rPr>
          <w:rFonts w:cs="Open Sans"/>
        </w:rPr>
        <w:t xml:space="preserve">There is no requirement for the Minister to explain how the public interest factors set out in s 36E were </w:t>
      </w:r>
      <w:proofErr w:type="gramStart"/>
      <w:r w:rsidR="008B6331" w:rsidRPr="008A56A5">
        <w:rPr>
          <w:rFonts w:cs="Open Sans"/>
        </w:rPr>
        <w:t>taken into account</w:t>
      </w:r>
      <w:proofErr w:type="gramEnd"/>
      <w:r w:rsidR="008B6331" w:rsidRPr="008A56A5">
        <w:rPr>
          <w:rFonts w:cs="Open Sans"/>
        </w:rPr>
        <w:t>.</w:t>
      </w:r>
      <w:r w:rsidR="004C0C43" w:rsidRPr="008A56A5">
        <w:rPr>
          <w:rFonts w:cs="Open Sans"/>
        </w:rPr>
        <w:t xml:space="preserve"> </w:t>
      </w:r>
      <w:r w:rsidR="00DA7AFA" w:rsidRPr="008A56A5">
        <w:rPr>
          <w:rFonts w:cs="Open Sans"/>
        </w:rPr>
        <w:t xml:space="preserve">There is no requirement that the Minister explain how they were satisfied that </w:t>
      </w:r>
      <w:r w:rsidR="00935C07" w:rsidRPr="008A56A5">
        <w:rPr>
          <w:rFonts w:cs="Open Sans"/>
        </w:rPr>
        <w:t>the person had another nationality or citizenship.</w:t>
      </w:r>
    </w:p>
    <w:p w14:paraId="1F3C3261" w14:textId="300E57E6" w:rsidR="00CB4808" w:rsidRPr="008A56A5" w:rsidRDefault="00CB4808" w:rsidP="00E518E9">
      <w:pPr>
        <w:pStyle w:val="ListNumber"/>
        <w:numPr>
          <w:ilvl w:val="0"/>
          <w:numId w:val="16"/>
        </w:numPr>
        <w:tabs>
          <w:tab w:val="num" w:pos="993"/>
          <w:tab w:val="left" w:pos="1418"/>
        </w:tabs>
        <w:spacing w:after="240"/>
        <w:ind w:left="709" w:hanging="567"/>
        <w:rPr>
          <w:rFonts w:cs="Open Sans"/>
        </w:rPr>
      </w:pPr>
      <w:r w:rsidRPr="008A56A5">
        <w:rPr>
          <w:rFonts w:cs="Open Sans"/>
        </w:rPr>
        <w:t xml:space="preserve">The Commission is concerned that </w:t>
      </w:r>
      <w:r w:rsidR="002C76D0" w:rsidRPr="008A56A5">
        <w:rPr>
          <w:rFonts w:cs="Open Sans"/>
        </w:rPr>
        <w:t xml:space="preserve">notices may be given that contain very little detail, making it difficult for a person to </w:t>
      </w:r>
      <w:r w:rsidR="0056265A" w:rsidRPr="008A56A5">
        <w:rPr>
          <w:rFonts w:cs="Open Sans"/>
        </w:rPr>
        <w:t xml:space="preserve">effectively respond to </w:t>
      </w:r>
      <w:r w:rsidR="002C76D0" w:rsidRPr="008A56A5">
        <w:rPr>
          <w:rFonts w:cs="Open Sans"/>
        </w:rPr>
        <w:t xml:space="preserve">any relevant adverse allegations </w:t>
      </w:r>
      <w:r w:rsidR="005453C0" w:rsidRPr="008A56A5">
        <w:rPr>
          <w:rFonts w:cs="Open Sans"/>
        </w:rPr>
        <w:t xml:space="preserve">or to </w:t>
      </w:r>
      <w:r w:rsidR="00A43CEF" w:rsidRPr="008A56A5">
        <w:rPr>
          <w:rFonts w:cs="Open Sans"/>
        </w:rPr>
        <w:t xml:space="preserve">make submissions </w:t>
      </w:r>
      <w:r w:rsidR="00186F47" w:rsidRPr="008A56A5">
        <w:rPr>
          <w:rFonts w:cs="Open Sans"/>
        </w:rPr>
        <w:t xml:space="preserve">about why the determination should be </w:t>
      </w:r>
      <w:r w:rsidR="00A43CEF" w:rsidRPr="008A56A5">
        <w:rPr>
          <w:rFonts w:cs="Open Sans"/>
        </w:rPr>
        <w:t>revoke</w:t>
      </w:r>
      <w:r w:rsidR="00186F47" w:rsidRPr="008A56A5">
        <w:rPr>
          <w:rFonts w:cs="Open Sans"/>
        </w:rPr>
        <w:t>d</w:t>
      </w:r>
      <w:r w:rsidR="00A43CEF" w:rsidRPr="008A56A5">
        <w:rPr>
          <w:rFonts w:cs="Open Sans"/>
        </w:rPr>
        <w:t>.</w:t>
      </w:r>
    </w:p>
    <w:p w14:paraId="19615D1A" w14:textId="0CE11CD3" w:rsidR="00A43CEF" w:rsidRPr="008A56A5" w:rsidRDefault="00A43CEF" w:rsidP="00E518E9">
      <w:pPr>
        <w:pStyle w:val="ListNumber"/>
        <w:numPr>
          <w:ilvl w:val="0"/>
          <w:numId w:val="16"/>
        </w:numPr>
        <w:tabs>
          <w:tab w:val="num" w:pos="993"/>
          <w:tab w:val="left" w:pos="1418"/>
        </w:tabs>
        <w:spacing w:after="240"/>
        <w:ind w:left="709" w:hanging="567"/>
        <w:rPr>
          <w:rFonts w:cs="Open Sans"/>
        </w:rPr>
      </w:pPr>
      <w:r w:rsidRPr="008A56A5">
        <w:rPr>
          <w:rFonts w:cs="Open Sans"/>
        </w:rPr>
        <w:t xml:space="preserve">While there is a requirement </w:t>
      </w:r>
      <w:r w:rsidR="00A642A8" w:rsidRPr="008A56A5">
        <w:rPr>
          <w:rFonts w:cs="Open Sans"/>
        </w:rPr>
        <w:t>in</w:t>
      </w:r>
      <w:r w:rsidRPr="008A56A5">
        <w:rPr>
          <w:rFonts w:cs="Open Sans"/>
        </w:rPr>
        <w:t xml:space="preserve"> proposed s 36</w:t>
      </w:r>
      <w:proofErr w:type="gramStart"/>
      <w:r w:rsidRPr="008A56A5">
        <w:rPr>
          <w:rFonts w:cs="Open Sans"/>
        </w:rPr>
        <w:t>H(</w:t>
      </w:r>
      <w:proofErr w:type="gramEnd"/>
      <w:r w:rsidRPr="008A56A5">
        <w:rPr>
          <w:rFonts w:cs="Open Sans"/>
        </w:rPr>
        <w:t xml:space="preserve">4) </w:t>
      </w:r>
      <w:r w:rsidR="003A568D" w:rsidRPr="008A56A5">
        <w:rPr>
          <w:rFonts w:cs="Open Sans"/>
        </w:rPr>
        <w:t>that the</w:t>
      </w:r>
      <w:r w:rsidRPr="008A56A5">
        <w:rPr>
          <w:rFonts w:cs="Open Sans"/>
        </w:rPr>
        <w:t xml:space="preserve"> Minister provide reasons </w:t>
      </w:r>
      <w:r w:rsidR="004E66E1" w:rsidRPr="008A56A5">
        <w:rPr>
          <w:rFonts w:cs="Open Sans"/>
        </w:rPr>
        <w:t>for</w:t>
      </w:r>
      <w:r w:rsidRPr="008A56A5">
        <w:rPr>
          <w:rFonts w:cs="Open Sans"/>
        </w:rPr>
        <w:t xml:space="preserve"> refus</w:t>
      </w:r>
      <w:r w:rsidR="004E66E1" w:rsidRPr="008A56A5">
        <w:rPr>
          <w:rFonts w:cs="Open Sans"/>
        </w:rPr>
        <w:t>ing</w:t>
      </w:r>
      <w:r w:rsidRPr="008A56A5">
        <w:rPr>
          <w:rFonts w:cs="Open Sans"/>
        </w:rPr>
        <w:t xml:space="preserve"> a person’s revocation application, these reasons will only be provided after the </w:t>
      </w:r>
      <w:r w:rsidR="00D16385" w:rsidRPr="008A56A5">
        <w:rPr>
          <w:rFonts w:cs="Open Sans"/>
        </w:rPr>
        <w:t xml:space="preserve">refusal has occurred. It therefore will not inform </w:t>
      </w:r>
      <w:r w:rsidR="00840E54" w:rsidRPr="008A56A5">
        <w:rPr>
          <w:rFonts w:cs="Open Sans"/>
        </w:rPr>
        <w:t>a person</w:t>
      </w:r>
      <w:r w:rsidR="002C3255" w:rsidRPr="008A56A5">
        <w:rPr>
          <w:rFonts w:cs="Open Sans"/>
        </w:rPr>
        <w:t xml:space="preserve"> of the case against them</w:t>
      </w:r>
      <w:r w:rsidR="00840E54" w:rsidRPr="008A56A5">
        <w:rPr>
          <w:rFonts w:cs="Open Sans"/>
        </w:rPr>
        <w:t xml:space="preserve"> in advance of making their application</w:t>
      </w:r>
      <w:r w:rsidR="00B849A5" w:rsidRPr="008A56A5">
        <w:rPr>
          <w:rFonts w:cs="Open Sans"/>
        </w:rPr>
        <w:t xml:space="preserve"> for revocation</w:t>
      </w:r>
      <w:r w:rsidR="00840E54" w:rsidRPr="008A56A5">
        <w:rPr>
          <w:rFonts w:cs="Open Sans"/>
        </w:rPr>
        <w:t xml:space="preserve">, in a manner that would </w:t>
      </w:r>
      <w:r w:rsidR="002C3255" w:rsidRPr="008A56A5">
        <w:rPr>
          <w:rFonts w:cs="Open Sans"/>
        </w:rPr>
        <w:t xml:space="preserve">maximise </w:t>
      </w:r>
      <w:r w:rsidR="00F9513F" w:rsidRPr="008A56A5">
        <w:rPr>
          <w:rFonts w:cs="Open Sans"/>
        </w:rPr>
        <w:t>procedural fairness</w:t>
      </w:r>
      <w:r w:rsidR="00C86750" w:rsidRPr="008A56A5">
        <w:rPr>
          <w:rFonts w:cs="Open Sans"/>
        </w:rPr>
        <w:t>, increase transparency</w:t>
      </w:r>
      <w:r w:rsidR="00840E54" w:rsidRPr="008A56A5">
        <w:rPr>
          <w:rFonts w:cs="Open Sans"/>
        </w:rPr>
        <w:t xml:space="preserve"> and support good</w:t>
      </w:r>
      <w:r w:rsidR="005E4487" w:rsidRPr="008A56A5">
        <w:rPr>
          <w:rFonts w:cs="Open Sans"/>
        </w:rPr>
        <w:t xml:space="preserve"> administrative</w:t>
      </w:r>
      <w:r w:rsidR="00840E54" w:rsidRPr="008A56A5">
        <w:rPr>
          <w:rFonts w:cs="Open Sans"/>
        </w:rPr>
        <w:t xml:space="preserve"> decision-making.</w:t>
      </w:r>
    </w:p>
    <w:p w14:paraId="4F3B252D" w14:textId="3D660079" w:rsidR="00134584" w:rsidRDefault="00134584" w:rsidP="00E518E9">
      <w:pPr>
        <w:pStyle w:val="ListNumber"/>
        <w:numPr>
          <w:ilvl w:val="0"/>
          <w:numId w:val="16"/>
        </w:numPr>
        <w:tabs>
          <w:tab w:val="num" w:pos="993"/>
          <w:tab w:val="left" w:pos="1418"/>
        </w:tabs>
        <w:spacing w:after="240"/>
        <w:ind w:left="709" w:hanging="567"/>
        <w:rPr>
          <w:rFonts w:cs="Open Sans"/>
        </w:rPr>
      </w:pPr>
      <w:r w:rsidRPr="008A56A5">
        <w:rPr>
          <w:rFonts w:cs="Open Sans"/>
        </w:rPr>
        <w:t>The Commission considers that s 36F should require that</w:t>
      </w:r>
      <w:r w:rsidR="008D4C1A" w:rsidRPr="008A56A5">
        <w:rPr>
          <w:rFonts w:cs="Open Sans"/>
        </w:rPr>
        <w:t xml:space="preserve"> a notice of citizenship cessation contain</w:t>
      </w:r>
      <w:r w:rsidRPr="008A56A5">
        <w:rPr>
          <w:rFonts w:cs="Open Sans"/>
        </w:rPr>
        <w:t xml:space="preserve"> reasons </w:t>
      </w:r>
      <w:r w:rsidR="008D4C1A" w:rsidRPr="008A56A5">
        <w:rPr>
          <w:rFonts w:cs="Open Sans"/>
        </w:rPr>
        <w:t xml:space="preserve">for the determination, including </w:t>
      </w:r>
      <w:r w:rsidR="002D250C" w:rsidRPr="008A56A5">
        <w:rPr>
          <w:rFonts w:cs="Open Sans"/>
        </w:rPr>
        <w:t>by reference to the public interest factors considered by the Minister.</w:t>
      </w:r>
      <w:r w:rsidRPr="008A56A5">
        <w:rPr>
          <w:rFonts w:cs="Open Sans"/>
        </w:rPr>
        <w:t xml:space="preserve"> </w:t>
      </w:r>
    </w:p>
    <w:p w14:paraId="0D2CE851" w14:textId="16A57155" w:rsidR="00A40DCE" w:rsidRPr="008A56A5" w:rsidRDefault="00A40DCE" w:rsidP="00E518E9">
      <w:pPr>
        <w:pStyle w:val="ListNumber"/>
        <w:numPr>
          <w:ilvl w:val="0"/>
          <w:numId w:val="16"/>
        </w:numPr>
        <w:tabs>
          <w:tab w:val="num" w:pos="993"/>
          <w:tab w:val="left" w:pos="1418"/>
        </w:tabs>
        <w:spacing w:after="240"/>
        <w:ind w:left="709" w:hanging="567"/>
        <w:rPr>
          <w:rFonts w:cs="Open Sans"/>
        </w:rPr>
      </w:pPr>
      <w:r>
        <w:rPr>
          <w:rFonts w:cs="Open Sans"/>
        </w:rPr>
        <w:t xml:space="preserve"> I</w:t>
      </w:r>
      <w:r w:rsidRPr="00A40DCE">
        <w:rPr>
          <w:rFonts w:cs="Open Sans"/>
        </w:rPr>
        <w:t>f a notice is sent to a child</w:t>
      </w:r>
      <w:r>
        <w:rPr>
          <w:rFonts w:cs="Open Sans"/>
        </w:rPr>
        <w:t>,</w:t>
      </w:r>
      <w:r w:rsidRPr="00A40DCE">
        <w:rPr>
          <w:rFonts w:cs="Open Sans"/>
        </w:rPr>
        <w:t xml:space="preserve"> </w:t>
      </w:r>
      <w:r w:rsidR="00EA32CE">
        <w:rPr>
          <w:rFonts w:cs="Open Sans"/>
        </w:rPr>
        <w:t xml:space="preserve">the notice and reasons </w:t>
      </w:r>
      <w:r w:rsidRPr="00A40DCE">
        <w:rPr>
          <w:rFonts w:cs="Open Sans"/>
        </w:rPr>
        <w:t>should</w:t>
      </w:r>
      <w:r w:rsidR="00EA32CE">
        <w:rPr>
          <w:rFonts w:cs="Open Sans"/>
        </w:rPr>
        <w:t xml:space="preserve"> also</w:t>
      </w:r>
      <w:r w:rsidRPr="00A40DCE">
        <w:rPr>
          <w:rFonts w:cs="Open Sans"/>
        </w:rPr>
        <w:t xml:space="preserve"> be</w:t>
      </w:r>
      <w:r w:rsidR="00EA32CE">
        <w:rPr>
          <w:rFonts w:cs="Open Sans"/>
        </w:rPr>
        <w:t xml:space="preserve"> set out</w:t>
      </w:r>
      <w:r w:rsidRPr="00A40DCE">
        <w:rPr>
          <w:rFonts w:cs="Open Sans"/>
        </w:rPr>
        <w:t xml:space="preserve"> in accessible language</w:t>
      </w:r>
      <w:r w:rsidR="00EA32CE">
        <w:rPr>
          <w:rFonts w:cs="Open Sans"/>
        </w:rPr>
        <w:t>.</w:t>
      </w:r>
    </w:p>
    <w:p w14:paraId="03B170FA" w14:textId="7B30CC75" w:rsidR="00F660BD" w:rsidRPr="008A56A5" w:rsidRDefault="00F660BD" w:rsidP="00D42AAC">
      <w:pPr>
        <w:pStyle w:val="ListNumber"/>
        <w:keepNext/>
        <w:numPr>
          <w:ilvl w:val="0"/>
          <w:numId w:val="0"/>
        </w:numPr>
        <w:tabs>
          <w:tab w:val="left" w:pos="1418"/>
        </w:tabs>
        <w:ind w:left="709"/>
        <w:rPr>
          <w:b/>
          <w:bCs/>
        </w:rPr>
      </w:pPr>
      <w:r w:rsidRPr="008A56A5">
        <w:rPr>
          <w:b/>
          <w:bCs/>
        </w:rPr>
        <w:t xml:space="preserve">Recommendation </w:t>
      </w:r>
      <w:r w:rsidR="00AD3248" w:rsidRPr="008A56A5">
        <w:rPr>
          <w:b/>
          <w:bCs/>
        </w:rPr>
        <w:t>8</w:t>
      </w:r>
    </w:p>
    <w:p w14:paraId="07585E49" w14:textId="17D505F6" w:rsidR="00F660BD" w:rsidRPr="008A56A5" w:rsidRDefault="00134584" w:rsidP="00F660BD">
      <w:pPr>
        <w:pStyle w:val="ListNumber"/>
        <w:numPr>
          <w:ilvl w:val="0"/>
          <w:numId w:val="0"/>
        </w:numPr>
        <w:tabs>
          <w:tab w:val="left" w:pos="1418"/>
        </w:tabs>
        <w:spacing w:after="240"/>
        <w:ind w:left="709"/>
        <w:rPr>
          <w:rFonts w:cs="Open Sans"/>
        </w:rPr>
      </w:pPr>
      <w:r w:rsidRPr="008A56A5">
        <w:rPr>
          <w:rFonts w:cs="Open Sans"/>
        </w:rPr>
        <w:t xml:space="preserve">Proposed </w:t>
      </w:r>
      <w:r w:rsidR="004F5B54" w:rsidRPr="008A56A5">
        <w:rPr>
          <w:rFonts w:cs="Open Sans"/>
        </w:rPr>
        <w:t xml:space="preserve">s 36F should be amended to require that a notice of citizenship cessation </w:t>
      </w:r>
      <w:r w:rsidR="008A31C3" w:rsidRPr="008A56A5">
        <w:rPr>
          <w:rFonts w:cs="Open Sans"/>
        </w:rPr>
        <w:t>set out the</w:t>
      </w:r>
      <w:r w:rsidR="004F5B54" w:rsidRPr="008A56A5">
        <w:rPr>
          <w:rFonts w:cs="Open Sans"/>
        </w:rPr>
        <w:t xml:space="preserve"> reasons for the determination.</w:t>
      </w:r>
    </w:p>
    <w:p w14:paraId="7383C754" w14:textId="54972187" w:rsidR="002473C3" w:rsidRPr="008A56A5" w:rsidRDefault="002473C3" w:rsidP="00F81C7E">
      <w:pPr>
        <w:pStyle w:val="Heading3"/>
        <w:numPr>
          <w:ilvl w:val="2"/>
          <w:numId w:val="19"/>
        </w:numPr>
        <w:rPr>
          <w:rFonts w:cs="Open Sans"/>
          <w:i/>
          <w:iCs/>
        </w:rPr>
      </w:pPr>
      <w:bookmarkStart w:id="62" w:name="_Toc21968486"/>
      <w:r w:rsidRPr="008A56A5">
        <w:rPr>
          <w:rFonts w:cs="Open Sans"/>
          <w:i/>
          <w:iCs/>
        </w:rPr>
        <w:t>Merits review</w:t>
      </w:r>
      <w:bookmarkEnd w:id="59"/>
      <w:bookmarkEnd w:id="60"/>
      <w:r w:rsidRPr="008A56A5">
        <w:rPr>
          <w:rFonts w:cs="Open Sans"/>
          <w:i/>
          <w:iCs/>
        </w:rPr>
        <w:t xml:space="preserve"> </w:t>
      </w:r>
      <w:r w:rsidR="00671B9C" w:rsidRPr="008A56A5">
        <w:rPr>
          <w:rFonts w:cs="Open Sans"/>
          <w:i/>
          <w:iCs/>
        </w:rPr>
        <w:t>and judicial review</w:t>
      </w:r>
      <w:bookmarkEnd w:id="62"/>
      <w:r w:rsidR="00671B9C" w:rsidRPr="008A56A5">
        <w:rPr>
          <w:rFonts w:cs="Open Sans"/>
          <w:i/>
          <w:iCs/>
        </w:rPr>
        <w:t xml:space="preserve"> </w:t>
      </w:r>
    </w:p>
    <w:p w14:paraId="2182E2EB" w14:textId="4AB89512" w:rsidR="002473C3" w:rsidRPr="008A56A5" w:rsidRDefault="0041186D" w:rsidP="00F81C7E">
      <w:pPr>
        <w:pStyle w:val="ListNumber"/>
        <w:numPr>
          <w:ilvl w:val="0"/>
          <w:numId w:val="16"/>
        </w:numPr>
        <w:tabs>
          <w:tab w:val="num" w:pos="993"/>
          <w:tab w:val="left" w:pos="1418"/>
        </w:tabs>
        <w:spacing w:after="240"/>
        <w:ind w:left="709" w:hanging="567"/>
        <w:rPr>
          <w:rFonts w:cs="Open Sans"/>
        </w:rPr>
      </w:pPr>
      <w:r w:rsidRPr="008A56A5">
        <w:rPr>
          <w:rFonts w:cs="Open Sans"/>
        </w:rPr>
        <w:t xml:space="preserve">The </w:t>
      </w:r>
      <w:r w:rsidR="002473C3" w:rsidRPr="008A56A5">
        <w:rPr>
          <w:rFonts w:cs="Open Sans"/>
        </w:rPr>
        <w:t xml:space="preserve">Commission </w:t>
      </w:r>
      <w:r w:rsidR="00B21969" w:rsidRPr="008A56A5">
        <w:rPr>
          <w:rFonts w:cs="Open Sans"/>
        </w:rPr>
        <w:t xml:space="preserve">reiterates its </w:t>
      </w:r>
      <w:r w:rsidR="00F70831" w:rsidRPr="008A56A5">
        <w:rPr>
          <w:rFonts w:cs="Open Sans"/>
        </w:rPr>
        <w:t xml:space="preserve">previous </w:t>
      </w:r>
      <w:r w:rsidR="00B21969" w:rsidRPr="008A56A5">
        <w:rPr>
          <w:rFonts w:cs="Open Sans"/>
        </w:rPr>
        <w:t>view</w:t>
      </w:r>
      <w:r w:rsidR="002473C3" w:rsidRPr="008A56A5">
        <w:rPr>
          <w:rFonts w:cs="Open Sans"/>
        </w:rPr>
        <w:t xml:space="preserve"> that </w:t>
      </w:r>
      <w:r w:rsidR="000A1ED5" w:rsidRPr="008A56A5">
        <w:rPr>
          <w:rFonts w:cs="Open Sans"/>
        </w:rPr>
        <w:t xml:space="preserve">independent </w:t>
      </w:r>
      <w:r w:rsidR="002473C3" w:rsidRPr="008A56A5">
        <w:rPr>
          <w:rFonts w:cs="Open Sans"/>
        </w:rPr>
        <w:t xml:space="preserve">merits review </w:t>
      </w:r>
      <w:r w:rsidR="008259E6" w:rsidRPr="008A56A5">
        <w:rPr>
          <w:rFonts w:cs="Open Sans"/>
        </w:rPr>
        <w:t xml:space="preserve">should be available for </w:t>
      </w:r>
      <w:r w:rsidR="002473C3" w:rsidRPr="008A56A5">
        <w:rPr>
          <w:rFonts w:cs="Open Sans"/>
        </w:rPr>
        <w:t xml:space="preserve">all decisions made under </w:t>
      </w:r>
      <w:r w:rsidR="00671B9C" w:rsidRPr="008A56A5">
        <w:rPr>
          <w:rFonts w:cs="Open Sans"/>
        </w:rPr>
        <w:t xml:space="preserve">proposed new </w:t>
      </w:r>
      <w:r w:rsidR="00671B9C" w:rsidRPr="008A56A5">
        <w:rPr>
          <w:rFonts w:cs="Open Sans"/>
          <w:color w:val="222222"/>
        </w:rPr>
        <w:t>Division 3, Part 2 of the Act</w:t>
      </w:r>
      <w:r w:rsidR="002473C3" w:rsidRPr="008A56A5">
        <w:rPr>
          <w:rFonts w:cs="Open Sans"/>
        </w:rPr>
        <w:t xml:space="preserve">. </w:t>
      </w:r>
      <w:r w:rsidR="00244B76" w:rsidRPr="008A56A5">
        <w:rPr>
          <w:rFonts w:cs="Open Sans"/>
        </w:rPr>
        <w:t>R</w:t>
      </w:r>
      <w:r w:rsidR="003F0278" w:rsidRPr="008A56A5">
        <w:rPr>
          <w:rFonts w:cs="Open Sans"/>
        </w:rPr>
        <w:t xml:space="preserve">ecommendations </w:t>
      </w:r>
      <w:r w:rsidR="00244B76" w:rsidRPr="008A56A5">
        <w:rPr>
          <w:rFonts w:cs="Open Sans"/>
        </w:rPr>
        <w:t xml:space="preserve">for a limited form of merits review </w:t>
      </w:r>
      <w:r w:rsidR="003F0278" w:rsidRPr="008A56A5">
        <w:rPr>
          <w:rFonts w:cs="Open Sans"/>
        </w:rPr>
        <w:t xml:space="preserve">were </w:t>
      </w:r>
      <w:r w:rsidR="00244B76" w:rsidRPr="008A56A5">
        <w:rPr>
          <w:rFonts w:cs="Open Sans"/>
        </w:rPr>
        <w:t xml:space="preserve">also </w:t>
      </w:r>
      <w:r w:rsidR="003F0278" w:rsidRPr="008A56A5">
        <w:rPr>
          <w:rFonts w:cs="Open Sans"/>
        </w:rPr>
        <w:t>made by the INSLM but have not been adopted in the Bill.</w:t>
      </w:r>
    </w:p>
    <w:p w14:paraId="57C6BEFD" w14:textId="7B708831" w:rsidR="00E34B7F" w:rsidRPr="008A56A5" w:rsidRDefault="0052446A" w:rsidP="00F81C7E">
      <w:pPr>
        <w:pStyle w:val="ListNumber"/>
        <w:numPr>
          <w:ilvl w:val="0"/>
          <w:numId w:val="16"/>
        </w:numPr>
        <w:tabs>
          <w:tab w:val="num" w:pos="993"/>
          <w:tab w:val="left" w:pos="1418"/>
        </w:tabs>
        <w:spacing w:after="240"/>
        <w:ind w:left="709" w:hanging="567"/>
        <w:rPr>
          <w:rFonts w:cs="Open Sans"/>
        </w:rPr>
      </w:pPr>
      <w:r w:rsidRPr="008A56A5">
        <w:rPr>
          <w:rFonts w:cs="Open Sans"/>
        </w:rPr>
        <w:t>As discussed above, proposed s 36H provides that a person can apply to the Minister for revocation of a determination</w:t>
      </w:r>
      <w:r w:rsidR="008500E2" w:rsidRPr="008A56A5">
        <w:rPr>
          <w:rFonts w:cs="Open Sans"/>
        </w:rPr>
        <w:t xml:space="preserve"> </w:t>
      </w:r>
      <w:r w:rsidR="00DE498C" w:rsidRPr="008A56A5">
        <w:rPr>
          <w:rFonts w:cs="Open Sans"/>
        </w:rPr>
        <w:t xml:space="preserve">by the Minister </w:t>
      </w:r>
      <w:r w:rsidR="00A75CD9" w:rsidRPr="008A56A5">
        <w:rPr>
          <w:rFonts w:cs="Open Sans"/>
        </w:rPr>
        <w:t xml:space="preserve">that a person’s </w:t>
      </w:r>
      <w:r w:rsidR="008500E2" w:rsidRPr="008A56A5">
        <w:rPr>
          <w:rFonts w:cs="Open Sans"/>
        </w:rPr>
        <w:t>citizenship ce</w:t>
      </w:r>
      <w:r w:rsidR="000337A2" w:rsidRPr="008A56A5">
        <w:rPr>
          <w:rFonts w:cs="Open Sans"/>
        </w:rPr>
        <w:t>ase</w:t>
      </w:r>
      <w:r w:rsidRPr="008A56A5">
        <w:rPr>
          <w:rFonts w:cs="Open Sans"/>
        </w:rPr>
        <w:t xml:space="preserve">. However, the Commission considers that </w:t>
      </w:r>
      <w:r w:rsidR="00216F3A" w:rsidRPr="008A56A5">
        <w:rPr>
          <w:rFonts w:cs="Open Sans"/>
        </w:rPr>
        <w:t>further</w:t>
      </w:r>
      <w:r w:rsidRPr="008A56A5">
        <w:rPr>
          <w:rFonts w:cs="Open Sans"/>
        </w:rPr>
        <w:t xml:space="preserve"> consideration </w:t>
      </w:r>
      <w:r w:rsidR="00A42D9D" w:rsidRPr="008A56A5">
        <w:rPr>
          <w:rFonts w:cs="Open Sans"/>
        </w:rPr>
        <w:t xml:space="preserve">by the original decision maker </w:t>
      </w:r>
      <w:r w:rsidRPr="008A56A5">
        <w:rPr>
          <w:rFonts w:cs="Open Sans"/>
        </w:rPr>
        <w:t>should not be a replacement for merits review before an independent decision-maker.</w:t>
      </w:r>
    </w:p>
    <w:p w14:paraId="35481F86" w14:textId="77777777" w:rsidR="002473C3" w:rsidRPr="008A56A5" w:rsidRDefault="002473C3" w:rsidP="00F81C7E">
      <w:pPr>
        <w:pStyle w:val="ListNumber"/>
        <w:numPr>
          <w:ilvl w:val="0"/>
          <w:numId w:val="16"/>
        </w:numPr>
        <w:tabs>
          <w:tab w:val="num" w:pos="993"/>
          <w:tab w:val="left" w:pos="1418"/>
        </w:tabs>
        <w:spacing w:after="240"/>
        <w:ind w:left="709" w:hanging="567"/>
        <w:rPr>
          <w:rFonts w:cs="Open Sans"/>
        </w:rPr>
      </w:pPr>
      <w:r w:rsidRPr="008A56A5">
        <w:rPr>
          <w:rFonts w:cs="Open Sans"/>
        </w:rPr>
        <w:t>The following relevant principles have been identified by the Administrative Review Council (ARC), to guide what decisions should be subject to merits review:</w:t>
      </w:r>
      <w:r w:rsidRPr="008A56A5">
        <w:rPr>
          <w:rStyle w:val="EndnoteReference"/>
        </w:rPr>
        <w:endnoteReference w:id="30"/>
      </w:r>
    </w:p>
    <w:p w14:paraId="2AEE1C77" w14:textId="77777777" w:rsidR="002473C3" w:rsidRPr="008A56A5" w:rsidRDefault="002473C3" w:rsidP="004B6266">
      <w:pPr>
        <w:pStyle w:val="ListParagraph"/>
        <w:numPr>
          <w:ilvl w:val="0"/>
          <w:numId w:val="21"/>
        </w:numPr>
        <w:spacing w:before="120" w:after="120"/>
        <w:rPr>
          <w:rFonts w:cs="Open Sans"/>
        </w:rPr>
      </w:pPr>
      <w:r w:rsidRPr="008A56A5">
        <w:rPr>
          <w:rFonts w:cs="Open Sans"/>
        </w:rPr>
        <w:t>as a matter of principle an administrative decision that will ‘affect the interests of a person’ should be subject to merits review</w:t>
      </w:r>
    </w:p>
    <w:p w14:paraId="0BC6D155" w14:textId="77777777" w:rsidR="002473C3" w:rsidRPr="008A56A5" w:rsidRDefault="002473C3" w:rsidP="004B6266">
      <w:pPr>
        <w:pStyle w:val="ListParagraph"/>
        <w:numPr>
          <w:ilvl w:val="0"/>
          <w:numId w:val="21"/>
        </w:numPr>
        <w:spacing w:before="120" w:after="120"/>
        <w:rPr>
          <w:rFonts w:cs="Open Sans"/>
        </w:rPr>
      </w:pPr>
      <w:r w:rsidRPr="008A56A5">
        <w:rPr>
          <w:rFonts w:cs="Open Sans"/>
        </w:rPr>
        <w:t xml:space="preserve">the fact that a decision-making power involves matters of national sovereignty, such as the question of who is admitted </w:t>
      </w:r>
      <w:proofErr w:type="gramStart"/>
      <w:r w:rsidRPr="008A56A5">
        <w:rPr>
          <w:rFonts w:cs="Open Sans"/>
        </w:rPr>
        <w:t>to enter</w:t>
      </w:r>
      <w:proofErr w:type="gramEnd"/>
      <w:r w:rsidRPr="008A56A5">
        <w:rPr>
          <w:rFonts w:cs="Open Sans"/>
        </w:rPr>
        <w:t xml:space="preserve"> the country, does not, alone, mean that decisions made under the power should be excluded from review</w:t>
      </w:r>
    </w:p>
    <w:p w14:paraId="65596405" w14:textId="77777777" w:rsidR="002473C3" w:rsidRPr="008A56A5" w:rsidRDefault="002473C3" w:rsidP="004B6266">
      <w:pPr>
        <w:pStyle w:val="ListParagraph"/>
        <w:numPr>
          <w:ilvl w:val="0"/>
          <w:numId w:val="21"/>
        </w:numPr>
        <w:spacing w:before="120" w:after="120"/>
        <w:rPr>
          <w:rFonts w:cs="Open Sans"/>
        </w:rPr>
      </w:pPr>
      <w:r w:rsidRPr="008A56A5">
        <w:rPr>
          <w:rFonts w:cs="Open Sans"/>
        </w:rPr>
        <w:t>a decision is not inappropriate for merits review merely because that decision may also be the subject of judicial review.</w:t>
      </w:r>
    </w:p>
    <w:p w14:paraId="315F1239" w14:textId="77777777" w:rsidR="002473C3" w:rsidRPr="008A56A5" w:rsidRDefault="002473C3" w:rsidP="00F81C7E">
      <w:pPr>
        <w:pStyle w:val="ListNumber"/>
        <w:numPr>
          <w:ilvl w:val="0"/>
          <w:numId w:val="16"/>
        </w:numPr>
        <w:tabs>
          <w:tab w:val="num" w:pos="993"/>
          <w:tab w:val="left" w:pos="1418"/>
        </w:tabs>
        <w:spacing w:after="240"/>
        <w:ind w:left="709" w:hanging="567"/>
        <w:rPr>
          <w:rFonts w:cs="Open Sans"/>
        </w:rPr>
      </w:pPr>
      <w:r w:rsidRPr="008A56A5">
        <w:rPr>
          <w:rFonts w:cs="Open Sans"/>
        </w:rPr>
        <w:t xml:space="preserve">Balanced against these factors are the arguments that decisions of high political content including those relating to national security, and particularly decisions of this kind made personally by a Minister, may justify excluding merits review. </w:t>
      </w:r>
    </w:p>
    <w:p w14:paraId="27F36565" w14:textId="0DB24B60" w:rsidR="00A5539C" w:rsidRPr="008A56A5" w:rsidRDefault="002473C3" w:rsidP="0002500B">
      <w:pPr>
        <w:pStyle w:val="ListNumber"/>
        <w:numPr>
          <w:ilvl w:val="0"/>
          <w:numId w:val="16"/>
        </w:numPr>
        <w:tabs>
          <w:tab w:val="num" w:pos="993"/>
          <w:tab w:val="left" w:pos="1418"/>
        </w:tabs>
        <w:spacing w:after="240"/>
        <w:ind w:left="709" w:hanging="567"/>
        <w:rPr>
          <w:rFonts w:cs="Open Sans"/>
        </w:rPr>
      </w:pPr>
      <w:r w:rsidRPr="008A56A5">
        <w:rPr>
          <w:rFonts w:cs="Open Sans"/>
        </w:rPr>
        <w:t xml:space="preserve">In seeking to evaluate these conflicting positions, the Commission’s view is influenced by the fact that these decisions have the potential to gravely affect a person’s interests and basic human rights. </w:t>
      </w:r>
      <w:r w:rsidR="00A5539C" w:rsidRPr="008A56A5">
        <w:rPr>
          <w:rFonts w:cs="Open Sans"/>
        </w:rPr>
        <w:t>Further, that the Bill would operate to remove citizenship and notify someone after the fact, and would not afford procedural fairness at the time the determination is made.</w:t>
      </w:r>
      <w:r w:rsidR="00A5539C" w:rsidRPr="008A56A5">
        <w:rPr>
          <w:rStyle w:val="EndnoteReference"/>
          <w:rFonts w:cs="Open Sans"/>
        </w:rPr>
        <w:endnoteReference w:id="31"/>
      </w:r>
      <w:r w:rsidR="00A5539C" w:rsidRPr="008A56A5">
        <w:rPr>
          <w:rFonts w:cs="Open Sans"/>
        </w:rPr>
        <w:t xml:space="preserve"> </w:t>
      </w:r>
    </w:p>
    <w:p w14:paraId="7D64086C" w14:textId="09C6BAA8" w:rsidR="002473C3" w:rsidRPr="008A56A5" w:rsidRDefault="0002500B" w:rsidP="0002500B">
      <w:pPr>
        <w:pStyle w:val="ListNumber"/>
        <w:numPr>
          <w:ilvl w:val="0"/>
          <w:numId w:val="16"/>
        </w:numPr>
        <w:tabs>
          <w:tab w:val="num" w:pos="993"/>
          <w:tab w:val="left" w:pos="1418"/>
        </w:tabs>
        <w:spacing w:after="240"/>
        <w:ind w:left="709" w:hanging="567"/>
        <w:rPr>
          <w:rFonts w:cs="Open Sans"/>
        </w:rPr>
      </w:pPr>
      <w:r w:rsidRPr="008A56A5">
        <w:rPr>
          <w:rFonts w:cs="Open Sans"/>
        </w:rPr>
        <w:t>It also note</w:t>
      </w:r>
      <w:r w:rsidR="002D0752" w:rsidRPr="008A56A5">
        <w:rPr>
          <w:rFonts w:cs="Open Sans"/>
        </w:rPr>
        <w:t>s the</w:t>
      </w:r>
      <w:r w:rsidRPr="008A56A5">
        <w:rPr>
          <w:rFonts w:cs="Open Sans"/>
        </w:rPr>
        <w:t xml:space="preserve"> </w:t>
      </w:r>
      <w:r w:rsidR="002D0752" w:rsidRPr="008A56A5">
        <w:rPr>
          <w:rFonts w:cs="Open Sans"/>
        </w:rPr>
        <w:t>existing</w:t>
      </w:r>
      <w:r w:rsidR="002473C3" w:rsidRPr="008A56A5">
        <w:rPr>
          <w:rFonts w:cs="Open Sans"/>
        </w:rPr>
        <w:t xml:space="preserve"> mechanisms available </w:t>
      </w:r>
      <w:r w:rsidRPr="008A56A5">
        <w:rPr>
          <w:rFonts w:cs="Open Sans"/>
        </w:rPr>
        <w:t xml:space="preserve">in </w:t>
      </w:r>
      <w:r w:rsidR="002D0752" w:rsidRPr="008A56A5">
        <w:rPr>
          <w:rFonts w:cs="Open Sans"/>
        </w:rPr>
        <w:t>merits review hearings</w:t>
      </w:r>
      <w:r w:rsidR="002473C3" w:rsidRPr="008A56A5">
        <w:rPr>
          <w:rFonts w:cs="Open Sans"/>
        </w:rPr>
        <w:t xml:space="preserve"> to ensure th</w:t>
      </w:r>
      <w:r w:rsidR="002D0752" w:rsidRPr="008A56A5">
        <w:rPr>
          <w:rFonts w:cs="Open Sans"/>
        </w:rPr>
        <w:t xml:space="preserve">e protection of </w:t>
      </w:r>
      <w:r w:rsidR="0041186D" w:rsidRPr="008A56A5">
        <w:rPr>
          <w:rFonts w:cs="Open Sans"/>
        </w:rPr>
        <w:t>sensitive, classified information, and t</w:t>
      </w:r>
      <w:r w:rsidRPr="008A56A5">
        <w:rPr>
          <w:rFonts w:cs="Open Sans"/>
        </w:rPr>
        <w:t>o</w:t>
      </w:r>
      <w:r w:rsidR="0041186D" w:rsidRPr="008A56A5">
        <w:rPr>
          <w:rFonts w:cs="Open Sans"/>
        </w:rPr>
        <w:t xml:space="preserve"> protect the Australian community</w:t>
      </w:r>
      <w:r w:rsidRPr="008A56A5">
        <w:rPr>
          <w:rFonts w:cs="Open Sans"/>
        </w:rPr>
        <w:t xml:space="preserve">, but </w:t>
      </w:r>
      <w:r w:rsidR="002D0752" w:rsidRPr="008A56A5">
        <w:rPr>
          <w:rFonts w:cs="Open Sans"/>
        </w:rPr>
        <w:t xml:space="preserve">that </w:t>
      </w:r>
      <w:r w:rsidRPr="008A56A5">
        <w:rPr>
          <w:rFonts w:cs="Open Sans"/>
        </w:rPr>
        <w:t xml:space="preserve">still afford meaningful </w:t>
      </w:r>
      <w:r w:rsidR="002D0752" w:rsidRPr="008A56A5">
        <w:rPr>
          <w:rFonts w:cs="Open Sans"/>
        </w:rPr>
        <w:t xml:space="preserve">and independent </w:t>
      </w:r>
      <w:r w:rsidRPr="008A56A5">
        <w:rPr>
          <w:rFonts w:cs="Open Sans"/>
        </w:rPr>
        <w:t>review</w:t>
      </w:r>
      <w:r w:rsidR="002473C3" w:rsidRPr="008A56A5">
        <w:rPr>
          <w:rFonts w:cs="Open Sans"/>
        </w:rPr>
        <w:t xml:space="preserve">. </w:t>
      </w:r>
      <w:r w:rsidR="00223C6B" w:rsidRPr="008A56A5">
        <w:rPr>
          <w:rFonts w:cs="Open Sans"/>
        </w:rPr>
        <w:t>This includes the use of special advocates.</w:t>
      </w:r>
    </w:p>
    <w:p w14:paraId="01A402D6" w14:textId="2A00BE78" w:rsidR="002473C3" w:rsidRPr="008A56A5" w:rsidRDefault="002473C3" w:rsidP="00F81C7E">
      <w:pPr>
        <w:pStyle w:val="ListNumber"/>
        <w:numPr>
          <w:ilvl w:val="0"/>
          <w:numId w:val="16"/>
        </w:numPr>
        <w:tabs>
          <w:tab w:val="num" w:pos="993"/>
          <w:tab w:val="left" w:pos="1418"/>
        </w:tabs>
        <w:spacing w:after="240"/>
        <w:ind w:left="709" w:hanging="567"/>
        <w:rPr>
          <w:rFonts w:cs="Open Sans"/>
        </w:rPr>
      </w:pPr>
      <w:r w:rsidRPr="008A56A5">
        <w:rPr>
          <w:rFonts w:cs="Open Sans"/>
        </w:rPr>
        <w:t xml:space="preserve">On balance, </w:t>
      </w:r>
      <w:r w:rsidR="002D0752" w:rsidRPr="008A56A5">
        <w:rPr>
          <w:rFonts w:cs="Open Sans"/>
        </w:rPr>
        <w:t>the Commission considers</w:t>
      </w:r>
      <w:r w:rsidRPr="008A56A5">
        <w:rPr>
          <w:rFonts w:cs="Open Sans"/>
        </w:rPr>
        <w:t xml:space="preserve"> that a broader approach should be applied</w:t>
      </w:r>
      <w:r w:rsidR="0045156D" w:rsidRPr="008A56A5">
        <w:rPr>
          <w:rFonts w:cs="Open Sans"/>
        </w:rPr>
        <w:t xml:space="preserve"> to maximise access to justice and</w:t>
      </w:r>
      <w:r w:rsidR="00A642A8" w:rsidRPr="008A56A5">
        <w:rPr>
          <w:rFonts w:cs="Open Sans"/>
        </w:rPr>
        <w:t xml:space="preserve"> the</w:t>
      </w:r>
      <w:r w:rsidR="0045156D" w:rsidRPr="008A56A5">
        <w:rPr>
          <w:rFonts w:cs="Open Sans"/>
        </w:rPr>
        <w:t xml:space="preserve"> protection of human rights</w:t>
      </w:r>
      <w:r w:rsidRPr="008A56A5">
        <w:rPr>
          <w:rFonts w:cs="Open Sans"/>
        </w:rPr>
        <w:t>. As stated by the ARC:</w:t>
      </w:r>
    </w:p>
    <w:p w14:paraId="0C0D78ED" w14:textId="77777777" w:rsidR="002473C3" w:rsidRPr="008A56A5" w:rsidRDefault="002473C3" w:rsidP="002D0752">
      <w:pPr>
        <w:pStyle w:val="ListNumber"/>
        <w:numPr>
          <w:ilvl w:val="0"/>
          <w:numId w:val="0"/>
        </w:numPr>
        <w:tabs>
          <w:tab w:val="left" w:pos="1418"/>
        </w:tabs>
        <w:ind w:left="1134"/>
        <w:rPr>
          <w:rFonts w:cs="Open Sans"/>
          <w:sz w:val="22"/>
          <w:szCs w:val="22"/>
        </w:rPr>
      </w:pPr>
      <w:r w:rsidRPr="008A56A5">
        <w:rPr>
          <w:rFonts w:cs="Open Sans"/>
          <w:sz w:val="22"/>
          <w:szCs w:val="22"/>
        </w:rPr>
        <w:t>If a more restrictive approach is adopted, there is a risk of denying an opportunity for review to someone whose interests have been adversely affected by a decision. Further, there is a risk of losing the broader and beneficial effects that merits review is intended to have on the overall quality of government decision-making.</w:t>
      </w:r>
      <w:r w:rsidRPr="008A56A5">
        <w:rPr>
          <w:rStyle w:val="EndnoteReference"/>
        </w:rPr>
        <w:endnoteReference w:id="32"/>
      </w:r>
    </w:p>
    <w:p w14:paraId="38293254" w14:textId="2725BEA8" w:rsidR="00E37845" w:rsidRPr="008A56A5" w:rsidRDefault="007D325C" w:rsidP="00AE55D2">
      <w:pPr>
        <w:pStyle w:val="ListNumber"/>
        <w:numPr>
          <w:ilvl w:val="0"/>
          <w:numId w:val="16"/>
        </w:numPr>
        <w:tabs>
          <w:tab w:val="num" w:pos="993"/>
          <w:tab w:val="left" w:pos="1418"/>
        </w:tabs>
        <w:spacing w:after="240"/>
        <w:ind w:left="709" w:hanging="567"/>
        <w:rPr>
          <w:rFonts w:cs="Open Sans"/>
        </w:rPr>
      </w:pPr>
      <w:r w:rsidRPr="008A56A5">
        <w:t>The Commission</w:t>
      </w:r>
      <w:r w:rsidR="00742013" w:rsidRPr="008A56A5">
        <w:t xml:space="preserve"> </w:t>
      </w:r>
      <w:r w:rsidR="007025CA" w:rsidRPr="008A56A5">
        <w:t>notes</w:t>
      </w:r>
      <w:r w:rsidR="00742013" w:rsidRPr="008A56A5">
        <w:t xml:space="preserve"> the INSLM</w:t>
      </w:r>
      <w:r w:rsidR="007025CA" w:rsidRPr="008A56A5">
        <w:t>’s</w:t>
      </w:r>
      <w:r w:rsidR="00742013" w:rsidRPr="008A56A5">
        <w:t xml:space="preserve"> </w:t>
      </w:r>
      <w:r w:rsidR="007025CA" w:rsidRPr="008A56A5">
        <w:t xml:space="preserve">view, that citizenship loss on the basis </w:t>
      </w:r>
      <w:r w:rsidR="007025CA" w:rsidRPr="008A56A5">
        <w:rPr>
          <w:rFonts w:cs="Open Sans"/>
        </w:rPr>
        <w:t>of</w:t>
      </w:r>
      <w:r w:rsidR="007025CA" w:rsidRPr="008A56A5">
        <w:t xml:space="preserve"> conduct should be subject to a limited</w:t>
      </w:r>
      <w:r w:rsidR="0098659D" w:rsidRPr="008A56A5">
        <w:t xml:space="preserve"> form of merits review</w:t>
      </w:r>
      <w:r w:rsidR="0052446A" w:rsidRPr="008A56A5">
        <w:t>,</w:t>
      </w:r>
      <w:r w:rsidR="0098659D" w:rsidRPr="008A56A5">
        <w:t xml:space="preserve"> in the Security Appeals </w:t>
      </w:r>
      <w:r w:rsidR="00432DB6" w:rsidRPr="008A56A5">
        <w:t>Division</w:t>
      </w:r>
      <w:r w:rsidR="0098659D" w:rsidRPr="008A56A5">
        <w:t xml:space="preserve"> of the </w:t>
      </w:r>
      <w:r w:rsidR="00FD4864" w:rsidRPr="008A56A5">
        <w:t xml:space="preserve">Administrative </w:t>
      </w:r>
      <w:r w:rsidR="0098659D" w:rsidRPr="008A56A5">
        <w:t>A</w:t>
      </w:r>
      <w:r w:rsidR="00FD4864" w:rsidRPr="008A56A5">
        <w:t xml:space="preserve">ppeals </w:t>
      </w:r>
      <w:r w:rsidR="0098659D" w:rsidRPr="008A56A5">
        <w:t>T</w:t>
      </w:r>
      <w:r w:rsidR="00FD4864" w:rsidRPr="008A56A5">
        <w:t>ribunal (AAT)</w:t>
      </w:r>
      <w:r w:rsidR="0098659D" w:rsidRPr="008A56A5">
        <w:t>.</w:t>
      </w:r>
      <w:r w:rsidR="00462D82" w:rsidRPr="008A56A5">
        <w:t xml:space="preserve"> </w:t>
      </w:r>
    </w:p>
    <w:p w14:paraId="6E0DBA72" w14:textId="1907078C" w:rsidR="00465944" w:rsidRPr="008A56A5" w:rsidRDefault="00FD4864" w:rsidP="00AE55D2">
      <w:pPr>
        <w:pStyle w:val="ListNumber"/>
        <w:numPr>
          <w:ilvl w:val="0"/>
          <w:numId w:val="16"/>
        </w:numPr>
        <w:tabs>
          <w:tab w:val="num" w:pos="993"/>
          <w:tab w:val="left" w:pos="1418"/>
        </w:tabs>
        <w:spacing w:after="240"/>
        <w:ind w:left="709" w:hanging="567"/>
        <w:rPr>
          <w:rFonts w:cs="Open Sans"/>
        </w:rPr>
      </w:pPr>
      <w:r w:rsidRPr="008A56A5">
        <w:t xml:space="preserve">The INSLM recommend </w:t>
      </w:r>
      <w:r w:rsidR="00AF7D7F" w:rsidRPr="008A56A5">
        <w:t xml:space="preserve">a person be able to apply to the Minister </w:t>
      </w:r>
      <w:r w:rsidR="00276ED3" w:rsidRPr="008A56A5">
        <w:t>to revoke a determination that their citizenship cease.</w:t>
      </w:r>
      <w:r w:rsidR="004C0C43" w:rsidRPr="008A56A5">
        <w:t xml:space="preserve"> </w:t>
      </w:r>
      <w:r w:rsidR="00616E0E" w:rsidRPr="008A56A5">
        <w:t xml:space="preserve">If the Minister </w:t>
      </w:r>
      <w:r w:rsidR="008D6ADF" w:rsidRPr="008A56A5">
        <w:t xml:space="preserve">affirmed their </w:t>
      </w:r>
      <w:r w:rsidR="00D36296" w:rsidRPr="008A56A5">
        <w:t xml:space="preserve">original </w:t>
      </w:r>
      <w:r w:rsidR="008D6ADF" w:rsidRPr="008A56A5">
        <w:t>decision</w:t>
      </w:r>
      <w:r w:rsidR="00616E0E" w:rsidRPr="008A56A5">
        <w:t xml:space="preserve">, the INLSM said that this </w:t>
      </w:r>
      <w:r w:rsidR="00D36296" w:rsidRPr="008A56A5">
        <w:t xml:space="preserve">affirmation decision should be reviewable in </w:t>
      </w:r>
      <w:r w:rsidRPr="008A56A5">
        <w:t>the AAT</w:t>
      </w:r>
      <w:r w:rsidR="004D73F2" w:rsidRPr="008A56A5">
        <w:t>.</w:t>
      </w:r>
      <w:r w:rsidR="004C0C43" w:rsidRPr="008A56A5">
        <w:t xml:space="preserve"> </w:t>
      </w:r>
      <w:r w:rsidR="0069069F" w:rsidRPr="008A56A5">
        <w:t>The review in the AAT would be limited to the question</w:t>
      </w:r>
      <w:r w:rsidR="00F82A92" w:rsidRPr="008A56A5">
        <w:t xml:space="preserve"> of whether the Minister </w:t>
      </w:r>
      <w:r w:rsidR="00A47964" w:rsidRPr="008A56A5">
        <w:t xml:space="preserve">could have </w:t>
      </w:r>
      <w:r w:rsidR="00A47964" w:rsidRPr="008A56A5">
        <w:rPr>
          <w:rFonts w:cs="Open Sans"/>
        </w:rPr>
        <w:t>been</w:t>
      </w:r>
      <w:r w:rsidR="00A47964" w:rsidRPr="008A56A5">
        <w:t xml:space="preserve"> reasonabl</w:t>
      </w:r>
      <w:r w:rsidR="00F82A92" w:rsidRPr="008A56A5">
        <w:t>y</w:t>
      </w:r>
      <w:r w:rsidR="00A47964" w:rsidRPr="008A56A5">
        <w:t xml:space="preserve"> satisf</w:t>
      </w:r>
      <w:r w:rsidR="00F82A92" w:rsidRPr="008A56A5">
        <w:t>ied</w:t>
      </w:r>
      <w:r w:rsidR="00A47964" w:rsidRPr="008A56A5">
        <w:t xml:space="preserve"> </w:t>
      </w:r>
      <w:r w:rsidR="00EB3541" w:rsidRPr="008A56A5">
        <w:t xml:space="preserve">that the person engaged in the relevant </w:t>
      </w:r>
      <w:r w:rsidR="00A47964" w:rsidRPr="008A56A5">
        <w:t>conduct.</w:t>
      </w:r>
      <w:r w:rsidR="004C0C43" w:rsidRPr="008A56A5">
        <w:t xml:space="preserve"> </w:t>
      </w:r>
      <w:r w:rsidR="0062569D" w:rsidRPr="008A56A5">
        <w:t>The onus would be on the person to satisfy the AAT that they did not engage in the relevant conduct.</w:t>
      </w:r>
    </w:p>
    <w:p w14:paraId="205531F7" w14:textId="7651FCD2" w:rsidR="00A47964" w:rsidRPr="008A56A5" w:rsidRDefault="00A47964" w:rsidP="00AE55D2">
      <w:pPr>
        <w:pStyle w:val="ListNumber"/>
        <w:numPr>
          <w:ilvl w:val="0"/>
          <w:numId w:val="16"/>
        </w:numPr>
        <w:tabs>
          <w:tab w:val="num" w:pos="993"/>
          <w:tab w:val="left" w:pos="1418"/>
        </w:tabs>
        <w:spacing w:after="240"/>
        <w:ind w:left="709" w:hanging="567"/>
        <w:rPr>
          <w:rFonts w:cs="Open Sans"/>
        </w:rPr>
      </w:pPr>
      <w:r w:rsidRPr="008A56A5">
        <w:t xml:space="preserve">The INSLM also recommended use of special advocates based partly on existing procedures for the review of adverse security assessments and partly on provisions </w:t>
      </w:r>
      <w:r w:rsidR="004861FA" w:rsidRPr="008A56A5">
        <w:t>of</w:t>
      </w:r>
      <w:r w:rsidRPr="008A56A5">
        <w:t xml:space="preserve"> the </w:t>
      </w:r>
      <w:r w:rsidRPr="008A56A5">
        <w:rPr>
          <w:rFonts w:cs="Open Sans"/>
          <w:i/>
          <w:iCs/>
        </w:rPr>
        <w:t>National Security Information (Criminal and Civil Proceedings) Act 2004</w:t>
      </w:r>
      <w:r w:rsidRPr="008A56A5">
        <w:rPr>
          <w:rFonts w:cs="Open Sans"/>
        </w:rPr>
        <w:t xml:space="preserve"> (Cth)</w:t>
      </w:r>
      <w:r w:rsidR="00240D56" w:rsidRPr="008A56A5">
        <w:rPr>
          <w:rFonts w:cs="Open Sans"/>
        </w:rPr>
        <w:t>.</w:t>
      </w:r>
    </w:p>
    <w:p w14:paraId="351D516C" w14:textId="77777777" w:rsidR="00521AD0" w:rsidRPr="008A56A5" w:rsidRDefault="001D5A21" w:rsidP="00AE55D2">
      <w:pPr>
        <w:pStyle w:val="ListNumber"/>
        <w:numPr>
          <w:ilvl w:val="0"/>
          <w:numId w:val="16"/>
        </w:numPr>
        <w:tabs>
          <w:tab w:val="num" w:pos="993"/>
          <w:tab w:val="left" w:pos="1418"/>
        </w:tabs>
        <w:spacing w:after="240"/>
        <w:ind w:left="709" w:hanging="567"/>
        <w:rPr>
          <w:rFonts w:cs="Open Sans"/>
        </w:rPr>
      </w:pPr>
      <w:r w:rsidRPr="008A56A5">
        <w:t xml:space="preserve">In the Commission’s view, </w:t>
      </w:r>
      <w:r w:rsidR="00363F59" w:rsidRPr="008A56A5">
        <w:t>the AAT should also be able to consider whether the Minister could reasonably have been satisfied that</w:t>
      </w:r>
      <w:r w:rsidR="00521AD0" w:rsidRPr="008A56A5">
        <w:t>:</w:t>
      </w:r>
    </w:p>
    <w:p w14:paraId="425CF941" w14:textId="523D9DED" w:rsidR="001D5A21" w:rsidRPr="008A56A5" w:rsidRDefault="00521AD0" w:rsidP="00521AD0">
      <w:pPr>
        <w:pStyle w:val="ListNumber"/>
        <w:numPr>
          <w:ilvl w:val="0"/>
          <w:numId w:val="34"/>
        </w:numPr>
        <w:tabs>
          <w:tab w:val="left" w:pos="1418"/>
        </w:tabs>
        <w:spacing w:after="240"/>
      </w:pPr>
      <w:r w:rsidRPr="008A56A5">
        <w:t>the relevant conduct demonstrates that the person has repudiated their allegiance to Australia</w:t>
      </w:r>
      <w:r w:rsidR="0006780F" w:rsidRPr="008A56A5">
        <w:t>, and</w:t>
      </w:r>
    </w:p>
    <w:p w14:paraId="0B9B71C1" w14:textId="6B96F3D8" w:rsidR="00521AD0" w:rsidRPr="008A56A5" w:rsidRDefault="00521AD0" w:rsidP="00EE04A3">
      <w:pPr>
        <w:pStyle w:val="ListNumber"/>
        <w:numPr>
          <w:ilvl w:val="0"/>
          <w:numId w:val="34"/>
        </w:numPr>
        <w:tabs>
          <w:tab w:val="left" w:pos="1418"/>
        </w:tabs>
        <w:spacing w:after="240"/>
      </w:pPr>
      <w:r w:rsidRPr="008A56A5">
        <w:t xml:space="preserve">it would be contrary to the public interest for the person to remain </w:t>
      </w:r>
      <w:r w:rsidR="0006780F" w:rsidRPr="008A56A5">
        <w:t>an Australian citizen, having regard to the factors set out in s 36E.</w:t>
      </w:r>
    </w:p>
    <w:p w14:paraId="1019654D" w14:textId="0774776D" w:rsidR="00521AD0" w:rsidRPr="008A56A5" w:rsidRDefault="00DE579D" w:rsidP="00DE579D">
      <w:pPr>
        <w:pStyle w:val="ListNumber"/>
        <w:numPr>
          <w:ilvl w:val="0"/>
          <w:numId w:val="16"/>
        </w:numPr>
        <w:tabs>
          <w:tab w:val="num" w:pos="993"/>
          <w:tab w:val="left" w:pos="1418"/>
        </w:tabs>
        <w:spacing w:after="240"/>
        <w:ind w:left="709" w:hanging="567"/>
        <w:rPr>
          <w:rFonts w:cs="Open Sans"/>
        </w:rPr>
      </w:pPr>
      <w:r w:rsidRPr="008A56A5">
        <w:rPr>
          <w:rFonts w:cs="Open Sans"/>
        </w:rPr>
        <w:t xml:space="preserve">While </w:t>
      </w:r>
      <w:r w:rsidR="002559E8" w:rsidRPr="008A56A5">
        <w:rPr>
          <w:rFonts w:cs="Open Sans"/>
        </w:rPr>
        <w:t xml:space="preserve">these decisions </w:t>
      </w:r>
      <w:r w:rsidR="00A14110" w:rsidRPr="008A56A5">
        <w:rPr>
          <w:rFonts w:cs="Open Sans"/>
        </w:rPr>
        <w:t xml:space="preserve">involve significant matters of public interest, </w:t>
      </w:r>
      <w:r w:rsidR="0092018A" w:rsidRPr="008A56A5">
        <w:rPr>
          <w:rFonts w:cs="Open Sans"/>
        </w:rPr>
        <w:t xml:space="preserve">involving the composition of the Australian population, </w:t>
      </w:r>
      <w:r w:rsidR="00A14110" w:rsidRPr="008A56A5">
        <w:rPr>
          <w:rFonts w:cs="Open Sans"/>
        </w:rPr>
        <w:t>that does not mean that they are not appropriate subjects for administrative review.</w:t>
      </w:r>
      <w:r w:rsidR="004C0C43" w:rsidRPr="008A56A5">
        <w:rPr>
          <w:rFonts w:cs="Open Sans"/>
        </w:rPr>
        <w:t xml:space="preserve"> </w:t>
      </w:r>
      <w:r w:rsidR="00A14110" w:rsidRPr="008A56A5">
        <w:rPr>
          <w:rFonts w:cs="Open Sans"/>
        </w:rPr>
        <w:t>As the ARC said:</w:t>
      </w:r>
    </w:p>
    <w:p w14:paraId="1E9D3036" w14:textId="1EB017D5" w:rsidR="00BE3063" w:rsidRPr="008A56A5" w:rsidRDefault="00BE3063" w:rsidP="00BE3063">
      <w:pPr>
        <w:pStyle w:val="ListNumber"/>
        <w:numPr>
          <w:ilvl w:val="0"/>
          <w:numId w:val="0"/>
        </w:numPr>
        <w:tabs>
          <w:tab w:val="left" w:pos="1418"/>
        </w:tabs>
        <w:spacing w:after="240"/>
        <w:ind w:left="1134"/>
        <w:rPr>
          <w:rFonts w:cs="Open Sans"/>
          <w:sz w:val="22"/>
          <w:szCs w:val="22"/>
        </w:rPr>
      </w:pPr>
      <w:r w:rsidRPr="008A56A5">
        <w:rPr>
          <w:rFonts w:cs="Open Sans"/>
          <w:sz w:val="22"/>
          <w:szCs w:val="22"/>
        </w:rPr>
        <w:t>The fact that a decision-making power involves matters of national sovereignty (such as the question of who is admitted to enter the country) or the prerogative power (the inherent powers of the Government) does not, alone, mean that decisions made under the power should be excluded from review.</w:t>
      </w:r>
    </w:p>
    <w:p w14:paraId="0F4F4CB4" w14:textId="75770645" w:rsidR="00BE3063" w:rsidRPr="008A56A5" w:rsidRDefault="00BE3063" w:rsidP="00BE3063">
      <w:pPr>
        <w:pStyle w:val="ListNumber"/>
        <w:numPr>
          <w:ilvl w:val="0"/>
          <w:numId w:val="0"/>
        </w:numPr>
        <w:tabs>
          <w:tab w:val="left" w:pos="1418"/>
        </w:tabs>
        <w:spacing w:after="240"/>
        <w:ind w:left="1134"/>
        <w:rPr>
          <w:rFonts w:cs="Open Sans"/>
          <w:sz w:val="22"/>
          <w:szCs w:val="22"/>
        </w:rPr>
      </w:pPr>
      <w:r w:rsidRPr="008A56A5">
        <w:rPr>
          <w:rFonts w:cs="Open Sans"/>
          <w:sz w:val="22"/>
          <w:szCs w:val="22"/>
        </w:rPr>
        <w:t>For example, the Council recognises that an aspect of the national sovereignty is the power to determine who is admitted to the country and the composition of its population.</w:t>
      </w:r>
    </w:p>
    <w:p w14:paraId="703E5AFF" w14:textId="469948AD" w:rsidR="00BE3063" w:rsidRPr="008A56A5" w:rsidRDefault="00BE3063" w:rsidP="00BE3063">
      <w:pPr>
        <w:pStyle w:val="ListNumber"/>
        <w:numPr>
          <w:ilvl w:val="0"/>
          <w:numId w:val="0"/>
        </w:numPr>
        <w:tabs>
          <w:tab w:val="left" w:pos="1418"/>
        </w:tabs>
        <w:spacing w:after="240"/>
        <w:ind w:left="1134"/>
        <w:rPr>
          <w:rFonts w:cs="Open Sans"/>
          <w:sz w:val="22"/>
          <w:szCs w:val="22"/>
        </w:rPr>
      </w:pPr>
      <w:r w:rsidRPr="008A56A5">
        <w:rPr>
          <w:rFonts w:cs="Open Sans"/>
          <w:sz w:val="22"/>
          <w:szCs w:val="22"/>
        </w:rPr>
        <w:t>But the Council does not consider that this power is incompatible with the availability of remedies to ensure that administrative decisions taken under it are lawful and correct, within the context of the legislative and policy framework in which they are made. Further, Australian citizens may well have a real interest in the admission of a relative, friend or prospective employee.</w:t>
      </w:r>
      <w:r w:rsidR="00E36167" w:rsidRPr="008A56A5">
        <w:rPr>
          <w:rStyle w:val="EndnoteReference"/>
        </w:rPr>
        <w:endnoteReference w:id="33"/>
      </w:r>
    </w:p>
    <w:p w14:paraId="55335FB4" w14:textId="61195746" w:rsidR="0053007B" w:rsidRPr="008A56A5" w:rsidRDefault="0081737C" w:rsidP="0053007B">
      <w:pPr>
        <w:pStyle w:val="ListNumber"/>
        <w:numPr>
          <w:ilvl w:val="0"/>
          <w:numId w:val="16"/>
        </w:numPr>
        <w:tabs>
          <w:tab w:val="num" w:pos="993"/>
          <w:tab w:val="left" w:pos="1418"/>
        </w:tabs>
        <w:spacing w:after="240"/>
        <w:ind w:left="709" w:hanging="567"/>
        <w:rPr>
          <w:rFonts w:cs="Open Sans"/>
        </w:rPr>
      </w:pPr>
      <w:r w:rsidRPr="008A56A5">
        <w:rPr>
          <w:rFonts w:cs="Open Sans"/>
        </w:rPr>
        <w:t>As set out in the following section, t</w:t>
      </w:r>
      <w:r w:rsidR="0053007B" w:rsidRPr="008A56A5">
        <w:rPr>
          <w:rFonts w:cs="Open Sans"/>
        </w:rPr>
        <w:t>he Commission</w:t>
      </w:r>
      <w:r w:rsidRPr="008A56A5">
        <w:rPr>
          <w:rFonts w:cs="Open Sans"/>
        </w:rPr>
        <w:t xml:space="preserve"> is also of the view that </w:t>
      </w:r>
      <w:r w:rsidR="00D12B7C" w:rsidRPr="008A56A5">
        <w:rPr>
          <w:rFonts w:cs="Open Sans"/>
        </w:rPr>
        <w:t>a person’s status as someone with another nationality or citizenship should be a question of jurisdictional fact rather than a matter of subjective satisfaction by the Minister.</w:t>
      </w:r>
      <w:r w:rsidR="004C0C43" w:rsidRPr="008A56A5">
        <w:rPr>
          <w:rFonts w:cs="Open Sans"/>
        </w:rPr>
        <w:t xml:space="preserve"> </w:t>
      </w:r>
      <w:r w:rsidR="00D12B7C" w:rsidRPr="008A56A5">
        <w:rPr>
          <w:rFonts w:cs="Open Sans"/>
        </w:rPr>
        <w:t xml:space="preserve">This </w:t>
      </w:r>
      <w:r w:rsidR="001C1189" w:rsidRPr="008A56A5">
        <w:rPr>
          <w:rFonts w:cs="Open Sans"/>
        </w:rPr>
        <w:t xml:space="preserve">factual </w:t>
      </w:r>
      <w:r w:rsidR="00D12B7C" w:rsidRPr="008A56A5">
        <w:rPr>
          <w:rFonts w:cs="Open Sans"/>
        </w:rPr>
        <w:t xml:space="preserve">question should also be </w:t>
      </w:r>
      <w:r w:rsidR="001C1189" w:rsidRPr="008A56A5">
        <w:rPr>
          <w:rFonts w:cs="Open Sans"/>
        </w:rPr>
        <w:t xml:space="preserve">subject to merits review. </w:t>
      </w:r>
    </w:p>
    <w:p w14:paraId="1AFED672" w14:textId="3D426829" w:rsidR="002473C3" w:rsidRPr="008A56A5" w:rsidRDefault="002473C3" w:rsidP="00067B02">
      <w:pPr>
        <w:pStyle w:val="ListNumber"/>
        <w:numPr>
          <w:ilvl w:val="0"/>
          <w:numId w:val="16"/>
        </w:numPr>
        <w:tabs>
          <w:tab w:val="num" w:pos="993"/>
          <w:tab w:val="left" w:pos="1418"/>
        </w:tabs>
        <w:spacing w:after="240"/>
        <w:ind w:left="709" w:hanging="567"/>
        <w:rPr>
          <w:rFonts w:cs="Open Sans"/>
        </w:rPr>
      </w:pPr>
      <w:r w:rsidRPr="008A56A5">
        <w:rPr>
          <w:rFonts w:cs="Open Sans"/>
        </w:rPr>
        <w:t xml:space="preserve">The Commission is also concerned that </w:t>
      </w:r>
      <w:r w:rsidR="009B44A4" w:rsidRPr="008A56A5">
        <w:rPr>
          <w:rFonts w:cs="Open Sans"/>
        </w:rPr>
        <w:t xml:space="preserve">decisions relating to the </w:t>
      </w:r>
      <w:r w:rsidRPr="008A56A5">
        <w:rPr>
          <w:rFonts w:cs="Open Sans"/>
        </w:rPr>
        <w:t xml:space="preserve">revocation of citizenship </w:t>
      </w:r>
      <w:r w:rsidR="009B44A4" w:rsidRPr="008A56A5">
        <w:rPr>
          <w:rFonts w:cs="Open Sans"/>
        </w:rPr>
        <w:t>are</w:t>
      </w:r>
      <w:r w:rsidRPr="008A56A5">
        <w:rPr>
          <w:rFonts w:cs="Open Sans"/>
        </w:rPr>
        <w:t xml:space="preserve"> </w:t>
      </w:r>
      <w:r w:rsidR="005C65BD" w:rsidRPr="008A56A5">
        <w:rPr>
          <w:rFonts w:cs="Open Sans"/>
        </w:rPr>
        <w:t xml:space="preserve">only </w:t>
      </w:r>
      <w:r w:rsidRPr="008A56A5">
        <w:rPr>
          <w:rFonts w:cs="Open Sans"/>
        </w:rPr>
        <w:t>amenable to a limited form of judicial review</w:t>
      </w:r>
      <w:r w:rsidR="009410D2" w:rsidRPr="008A56A5">
        <w:rPr>
          <w:rFonts w:cs="Open Sans"/>
        </w:rPr>
        <w:t>,</w:t>
      </w:r>
      <w:r w:rsidR="00067B02" w:rsidRPr="008A56A5">
        <w:rPr>
          <w:rFonts w:cs="Open Sans"/>
        </w:rPr>
        <w:t xml:space="preserve"> which may not ensure access to justice.</w:t>
      </w:r>
      <w:r w:rsidR="00E9188C" w:rsidRPr="008A56A5">
        <w:rPr>
          <w:rFonts w:cs="Open Sans"/>
        </w:rPr>
        <w:t xml:space="preserve"> </w:t>
      </w:r>
      <w:r w:rsidRPr="008A56A5">
        <w:rPr>
          <w:rFonts w:cs="Open Sans"/>
        </w:rPr>
        <w:t xml:space="preserve">Making judicial review available under the ADJR Act would provide a clearer, more straightforward and accessible means of review when compared with </w:t>
      </w:r>
      <w:r w:rsidR="009410D2" w:rsidRPr="008A56A5">
        <w:rPr>
          <w:rFonts w:cs="Open Sans"/>
        </w:rPr>
        <w:t xml:space="preserve">review in </w:t>
      </w:r>
      <w:r w:rsidRPr="008A56A5">
        <w:rPr>
          <w:rFonts w:cs="Open Sans"/>
        </w:rPr>
        <w:t>the original jurisdiction of the High Court or Federal Court.</w:t>
      </w:r>
      <w:r w:rsidRPr="008A56A5">
        <w:rPr>
          <w:rStyle w:val="EndnoteReference"/>
        </w:rPr>
        <w:endnoteReference w:id="34"/>
      </w:r>
      <w:r w:rsidRPr="008A56A5">
        <w:rPr>
          <w:rFonts w:cs="Open Sans"/>
        </w:rPr>
        <w:t xml:space="preserve"> </w:t>
      </w:r>
    </w:p>
    <w:p w14:paraId="3D759DAB" w14:textId="51C8E412" w:rsidR="002473C3" w:rsidRPr="008A56A5" w:rsidRDefault="002473C3" w:rsidP="002473C3">
      <w:pPr>
        <w:keepNext/>
        <w:tabs>
          <w:tab w:val="left" w:pos="1134"/>
          <w:tab w:val="left" w:pos="1418"/>
        </w:tabs>
        <w:spacing w:before="120"/>
        <w:ind w:left="709"/>
        <w:rPr>
          <w:rFonts w:cs="Open Sans"/>
        </w:rPr>
      </w:pPr>
      <w:r w:rsidRPr="008A56A5">
        <w:rPr>
          <w:rFonts w:cs="Open Sans"/>
          <w:b/>
        </w:rPr>
        <w:t xml:space="preserve">Recommendation </w:t>
      </w:r>
      <w:r w:rsidR="00510BB9" w:rsidRPr="008A56A5">
        <w:rPr>
          <w:rFonts w:cs="Open Sans"/>
          <w:b/>
        </w:rPr>
        <w:t>9</w:t>
      </w:r>
    </w:p>
    <w:p w14:paraId="1A8F36EB" w14:textId="628DF781" w:rsidR="00787896" w:rsidRPr="008A56A5" w:rsidRDefault="00E50E31" w:rsidP="002473C3">
      <w:pPr>
        <w:tabs>
          <w:tab w:val="left" w:pos="1134"/>
          <w:tab w:val="left" w:pos="1418"/>
        </w:tabs>
        <w:spacing w:before="120"/>
        <w:ind w:left="709"/>
        <w:rPr>
          <w:rFonts w:cs="Open Sans"/>
        </w:rPr>
      </w:pPr>
      <w:r w:rsidRPr="008A56A5">
        <w:rPr>
          <w:rFonts w:cs="Open Sans"/>
        </w:rPr>
        <w:t xml:space="preserve">The Bill should be amended to ensure that </w:t>
      </w:r>
      <w:r w:rsidR="00333087" w:rsidRPr="008A56A5">
        <w:rPr>
          <w:rFonts w:cs="Open Sans"/>
        </w:rPr>
        <w:t xml:space="preserve">each of the elements of </w:t>
      </w:r>
      <w:r w:rsidR="00F42465" w:rsidRPr="008A56A5">
        <w:rPr>
          <w:rFonts w:cs="Open Sans"/>
        </w:rPr>
        <w:t xml:space="preserve">a determination </w:t>
      </w:r>
      <w:r w:rsidR="00F77F2F" w:rsidRPr="008A56A5">
        <w:rPr>
          <w:rFonts w:cs="Open Sans"/>
        </w:rPr>
        <w:t xml:space="preserve">by the Minister </w:t>
      </w:r>
      <w:r w:rsidR="00F42465" w:rsidRPr="008A56A5">
        <w:rPr>
          <w:rFonts w:cs="Open Sans"/>
        </w:rPr>
        <w:t xml:space="preserve">that </w:t>
      </w:r>
      <w:r w:rsidR="00F77F2F" w:rsidRPr="008A56A5">
        <w:rPr>
          <w:rFonts w:cs="Open Sans"/>
        </w:rPr>
        <w:t xml:space="preserve">a person ceases to be an Australian citizen </w:t>
      </w:r>
      <w:r w:rsidRPr="008A56A5">
        <w:rPr>
          <w:rFonts w:cs="Open Sans"/>
        </w:rPr>
        <w:t xml:space="preserve">is </w:t>
      </w:r>
      <w:r w:rsidR="003F4202" w:rsidRPr="008A56A5">
        <w:rPr>
          <w:rFonts w:cs="Open Sans"/>
        </w:rPr>
        <w:t>amenable</w:t>
      </w:r>
      <w:r w:rsidR="002473C3" w:rsidRPr="008A56A5">
        <w:rPr>
          <w:rFonts w:cs="Open Sans"/>
        </w:rPr>
        <w:t xml:space="preserve"> to independent merits review</w:t>
      </w:r>
      <w:r w:rsidR="00645B57" w:rsidRPr="008A56A5">
        <w:rPr>
          <w:rFonts w:cs="Open Sans"/>
        </w:rPr>
        <w:t xml:space="preserve"> in the Administrative Appeals Tribunal</w:t>
      </w:r>
      <w:r w:rsidR="00787896" w:rsidRPr="008A56A5">
        <w:rPr>
          <w:rFonts w:cs="Open Sans"/>
        </w:rPr>
        <w:t>.</w:t>
      </w:r>
    </w:p>
    <w:p w14:paraId="64AC1837" w14:textId="7AA6C111" w:rsidR="00FF0E65" w:rsidRPr="008A56A5" w:rsidRDefault="00FF0E65" w:rsidP="00FF0E65">
      <w:pPr>
        <w:keepNext/>
        <w:tabs>
          <w:tab w:val="left" w:pos="1134"/>
          <w:tab w:val="left" w:pos="1418"/>
        </w:tabs>
        <w:spacing w:before="120"/>
        <w:ind w:left="709"/>
        <w:rPr>
          <w:rFonts w:cs="Open Sans"/>
          <w:b/>
        </w:rPr>
      </w:pPr>
      <w:r w:rsidRPr="008A56A5">
        <w:rPr>
          <w:rFonts w:cs="Open Sans"/>
          <w:b/>
        </w:rPr>
        <w:t xml:space="preserve">Recommendation </w:t>
      </w:r>
      <w:r w:rsidR="00510BB9" w:rsidRPr="008A56A5">
        <w:rPr>
          <w:rFonts w:cs="Open Sans"/>
          <w:b/>
        </w:rPr>
        <w:t>10</w:t>
      </w:r>
    </w:p>
    <w:p w14:paraId="1438FB69" w14:textId="2FE389FA" w:rsidR="00FF0E65" w:rsidRPr="008A56A5" w:rsidRDefault="00FF0E65" w:rsidP="00FF0E65">
      <w:pPr>
        <w:keepNext/>
        <w:tabs>
          <w:tab w:val="left" w:pos="1134"/>
          <w:tab w:val="left" w:pos="1418"/>
        </w:tabs>
        <w:spacing w:before="120"/>
        <w:ind w:left="709"/>
        <w:rPr>
          <w:rFonts w:cs="Open Sans"/>
        </w:rPr>
      </w:pPr>
      <w:r w:rsidRPr="008A56A5">
        <w:rPr>
          <w:rFonts w:cs="Open Sans"/>
          <w:bCs/>
        </w:rPr>
        <w:t xml:space="preserve">If Recommendation </w:t>
      </w:r>
      <w:r w:rsidR="00510BB9" w:rsidRPr="008A56A5">
        <w:rPr>
          <w:rFonts w:cs="Open Sans"/>
          <w:bCs/>
        </w:rPr>
        <w:t xml:space="preserve">9 </w:t>
      </w:r>
      <w:r w:rsidRPr="008A56A5">
        <w:rPr>
          <w:rFonts w:cs="Open Sans"/>
          <w:bCs/>
        </w:rPr>
        <w:t xml:space="preserve">is not accepted, </w:t>
      </w:r>
      <w:r w:rsidR="00EE0D42" w:rsidRPr="008A56A5">
        <w:rPr>
          <w:rFonts w:cs="Open Sans"/>
          <w:bCs/>
        </w:rPr>
        <w:t>a limited form of</w:t>
      </w:r>
      <w:r w:rsidR="00EE0D42" w:rsidRPr="008A56A5">
        <w:rPr>
          <w:rFonts w:cs="Open Sans"/>
        </w:rPr>
        <w:t xml:space="preserve"> independent merits review </w:t>
      </w:r>
      <w:r w:rsidR="007610E3" w:rsidRPr="008A56A5">
        <w:rPr>
          <w:rFonts w:cs="Open Sans"/>
        </w:rPr>
        <w:t>should be made available in</w:t>
      </w:r>
      <w:r w:rsidR="00EE0D42" w:rsidRPr="008A56A5">
        <w:rPr>
          <w:rFonts w:cs="Open Sans"/>
        </w:rPr>
        <w:t xml:space="preserve"> the Administrative Appeals Tribunal</w:t>
      </w:r>
      <w:r w:rsidR="007610E3" w:rsidRPr="008A56A5">
        <w:rPr>
          <w:rFonts w:cs="Open Sans"/>
        </w:rPr>
        <w:t xml:space="preserve"> in accordance with recommendations made by the Independent National Security Legislation Monitor</w:t>
      </w:r>
      <w:r w:rsidR="00EE0D42" w:rsidRPr="008A56A5">
        <w:rPr>
          <w:rFonts w:cs="Open Sans"/>
        </w:rPr>
        <w:t>.</w:t>
      </w:r>
    </w:p>
    <w:p w14:paraId="0051E795" w14:textId="3B6B98E0" w:rsidR="007D199D" w:rsidRPr="008A56A5" w:rsidRDefault="007D199D" w:rsidP="007D199D">
      <w:pPr>
        <w:keepNext/>
        <w:tabs>
          <w:tab w:val="left" w:pos="1134"/>
          <w:tab w:val="left" w:pos="1418"/>
        </w:tabs>
        <w:spacing w:before="120"/>
        <w:ind w:left="709"/>
        <w:rPr>
          <w:rFonts w:cs="Open Sans"/>
        </w:rPr>
      </w:pPr>
      <w:r w:rsidRPr="008A56A5">
        <w:rPr>
          <w:rFonts w:cs="Open Sans"/>
          <w:b/>
        </w:rPr>
        <w:t xml:space="preserve">Recommendation </w:t>
      </w:r>
      <w:r w:rsidR="00510BB9" w:rsidRPr="008A56A5">
        <w:rPr>
          <w:rFonts w:cs="Open Sans"/>
          <w:b/>
        </w:rPr>
        <w:t>11</w:t>
      </w:r>
    </w:p>
    <w:p w14:paraId="612DEEB5" w14:textId="45C7EF95" w:rsidR="007D199D" w:rsidRPr="008A56A5" w:rsidRDefault="007D199D" w:rsidP="007D199D">
      <w:pPr>
        <w:tabs>
          <w:tab w:val="left" w:pos="1134"/>
          <w:tab w:val="left" w:pos="1418"/>
        </w:tabs>
        <w:spacing w:before="120"/>
        <w:ind w:left="709"/>
        <w:rPr>
          <w:rFonts w:cs="Open Sans"/>
        </w:rPr>
      </w:pPr>
      <w:r w:rsidRPr="008A56A5">
        <w:rPr>
          <w:rFonts w:cs="Open Sans"/>
        </w:rPr>
        <w:t xml:space="preserve">The Bill should be amended to ensure that a decision by the </w:t>
      </w:r>
      <w:r w:rsidR="00510BB9" w:rsidRPr="008A56A5">
        <w:rPr>
          <w:rFonts w:cs="Open Sans"/>
        </w:rPr>
        <w:t>Administrative Appeals Tribunal</w:t>
      </w:r>
      <w:r w:rsidRPr="008A56A5">
        <w:rPr>
          <w:rFonts w:cs="Open Sans"/>
        </w:rPr>
        <w:t xml:space="preserve"> in relation to a determination by the Minister that a person ceases to be an Australian citizen is amenable to judicial review under the </w:t>
      </w:r>
      <w:r w:rsidRPr="008A56A5">
        <w:rPr>
          <w:rFonts w:cs="Open Sans"/>
          <w:i/>
          <w:iCs/>
        </w:rPr>
        <w:t>Administrative Decisions (Judicial Review) Act 1977</w:t>
      </w:r>
      <w:r w:rsidRPr="008A56A5">
        <w:rPr>
          <w:rFonts w:cs="Open Sans"/>
        </w:rPr>
        <w:t xml:space="preserve"> (Cth). </w:t>
      </w:r>
    </w:p>
    <w:p w14:paraId="23FA6BAD" w14:textId="13EEA83D" w:rsidR="00D56368" w:rsidRPr="008A56A5" w:rsidRDefault="004E557F" w:rsidP="00D56368">
      <w:pPr>
        <w:pStyle w:val="Heading2"/>
      </w:pPr>
      <w:bookmarkStart w:id="63" w:name="_Toc20921368"/>
      <w:bookmarkStart w:id="64" w:name="_Toc21968487"/>
      <w:r w:rsidRPr="008A56A5">
        <w:t>Risk of s</w:t>
      </w:r>
      <w:r w:rsidR="00D56368" w:rsidRPr="008A56A5">
        <w:t>tatelessness</w:t>
      </w:r>
      <w:bookmarkEnd w:id="63"/>
      <w:bookmarkEnd w:id="64"/>
    </w:p>
    <w:p w14:paraId="48BEC8B3" w14:textId="4784913E" w:rsidR="00A307DC" w:rsidRPr="008A56A5" w:rsidRDefault="00A307DC" w:rsidP="00F81C7E">
      <w:pPr>
        <w:pStyle w:val="ListNumber"/>
        <w:numPr>
          <w:ilvl w:val="0"/>
          <w:numId w:val="16"/>
        </w:numPr>
        <w:tabs>
          <w:tab w:val="num" w:pos="993"/>
          <w:tab w:val="left" w:pos="1418"/>
        </w:tabs>
        <w:spacing w:after="240"/>
        <w:ind w:left="709" w:hanging="567"/>
        <w:rPr>
          <w:rFonts w:cs="Open Sans"/>
        </w:rPr>
      </w:pPr>
      <w:r w:rsidRPr="008A56A5">
        <w:rPr>
          <w:rFonts w:cs="Open Sans"/>
        </w:rPr>
        <w:t>The</w:t>
      </w:r>
      <w:r w:rsidR="00F46772" w:rsidRPr="008A56A5">
        <w:rPr>
          <w:rFonts w:cs="Open Sans"/>
        </w:rPr>
        <w:t xml:space="preserve"> Commission is concerned that the</w:t>
      </w:r>
      <w:r w:rsidRPr="008A56A5">
        <w:rPr>
          <w:rFonts w:cs="Open Sans"/>
        </w:rPr>
        <w:t xml:space="preserve"> Bill would the weaken the current safeguard in the Act that protects against a person being made stateless.</w:t>
      </w:r>
      <w:r w:rsidR="004C0C43" w:rsidRPr="008A56A5">
        <w:rPr>
          <w:rFonts w:cs="Open Sans"/>
        </w:rPr>
        <w:t xml:space="preserve"> </w:t>
      </w:r>
    </w:p>
    <w:p w14:paraId="636DA655" w14:textId="7AFD88AD" w:rsidR="00A307DC" w:rsidRPr="008A56A5" w:rsidRDefault="00A307DC" w:rsidP="00F81C7E">
      <w:pPr>
        <w:pStyle w:val="ListNumber"/>
        <w:numPr>
          <w:ilvl w:val="0"/>
          <w:numId w:val="16"/>
        </w:numPr>
        <w:tabs>
          <w:tab w:val="num" w:pos="993"/>
          <w:tab w:val="left" w:pos="1418"/>
        </w:tabs>
        <w:spacing w:after="240"/>
        <w:ind w:left="709" w:hanging="567"/>
        <w:rPr>
          <w:rFonts w:cs="Open Sans"/>
        </w:rPr>
      </w:pPr>
      <w:r w:rsidRPr="008A56A5">
        <w:rPr>
          <w:rFonts w:cs="Open Sans"/>
        </w:rPr>
        <w:t>Current ss</w:t>
      </w:r>
      <w:r w:rsidR="007B4539" w:rsidRPr="008A56A5">
        <w:rPr>
          <w:rFonts w:cs="Open Sans"/>
        </w:rPr>
        <w:t xml:space="preserve"> 33AA(1), 35(1)(a) and</w:t>
      </w:r>
      <w:r w:rsidRPr="008A56A5">
        <w:rPr>
          <w:rFonts w:cs="Open Sans"/>
        </w:rPr>
        <w:t xml:space="preserve"> 35A(1)(c) </w:t>
      </w:r>
      <w:r w:rsidR="00BA0E07" w:rsidRPr="008A56A5">
        <w:rPr>
          <w:rFonts w:cs="Open Sans"/>
        </w:rPr>
        <w:t>permits</w:t>
      </w:r>
      <w:r w:rsidR="00EF69D9" w:rsidRPr="008A56A5">
        <w:rPr>
          <w:rFonts w:cs="Open Sans"/>
        </w:rPr>
        <w:t xml:space="preserve"> a </w:t>
      </w:r>
      <w:r w:rsidR="007B4539" w:rsidRPr="008A56A5">
        <w:rPr>
          <w:rFonts w:cs="Open Sans"/>
        </w:rPr>
        <w:t>person’s</w:t>
      </w:r>
      <w:r w:rsidR="00A87250" w:rsidRPr="008A56A5">
        <w:rPr>
          <w:rFonts w:cs="Open Sans"/>
        </w:rPr>
        <w:t xml:space="preserve"> Australian</w:t>
      </w:r>
      <w:r w:rsidR="007B4539" w:rsidRPr="008A56A5">
        <w:rPr>
          <w:rFonts w:cs="Open Sans"/>
        </w:rPr>
        <w:t xml:space="preserve"> citizen</w:t>
      </w:r>
      <w:r w:rsidR="00EF69D9" w:rsidRPr="008A56A5">
        <w:rPr>
          <w:rFonts w:cs="Open Sans"/>
        </w:rPr>
        <w:t xml:space="preserve">ship </w:t>
      </w:r>
      <w:r w:rsidR="00BA0E07" w:rsidRPr="008A56A5">
        <w:rPr>
          <w:rFonts w:cs="Open Sans"/>
        </w:rPr>
        <w:t>to be</w:t>
      </w:r>
      <w:r w:rsidR="007B4539" w:rsidRPr="008A56A5">
        <w:rPr>
          <w:rFonts w:cs="Open Sans"/>
        </w:rPr>
        <w:t xml:space="preserve"> removed </w:t>
      </w:r>
      <w:r w:rsidR="00EF69D9" w:rsidRPr="008A56A5">
        <w:rPr>
          <w:rFonts w:cs="Open Sans"/>
        </w:rPr>
        <w:t>if</w:t>
      </w:r>
      <w:r w:rsidR="00BA0E07" w:rsidRPr="008A56A5">
        <w:rPr>
          <w:rFonts w:cs="Open Sans"/>
        </w:rPr>
        <w:t>, among other things,</w:t>
      </w:r>
      <w:r w:rsidR="007B4539" w:rsidRPr="008A56A5">
        <w:rPr>
          <w:rFonts w:cs="Open Sans"/>
        </w:rPr>
        <w:t xml:space="preserve"> </w:t>
      </w:r>
      <w:bookmarkStart w:id="65" w:name="_Hlk21448501"/>
      <w:r w:rsidR="007B4539" w:rsidRPr="008A56A5">
        <w:rPr>
          <w:rFonts w:cs="Open Sans"/>
        </w:rPr>
        <w:t>‘the person is a national or citizen of a country other than Australia at the time when the Minister makes the determination’.</w:t>
      </w:r>
      <w:bookmarkEnd w:id="65"/>
    </w:p>
    <w:p w14:paraId="248A33EA" w14:textId="71950376" w:rsidR="00142A4E" w:rsidRPr="008A56A5" w:rsidRDefault="00142A4E" w:rsidP="00F81C7E">
      <w:pPr>
        <w:pStyle w:val="ListNumber"/>
        <w:numPr>
          <w:ilvl w:val="0"/>
          <w:numId w:val="16"/>
        </w:numPr>
        <w:tabs>
          <w:tab w:val="num" w:pos="993"/>
          <w:tab w:val="left" w:pos="1418"/>
        </w:tabs>
        <w:spacing w:after="240"/>
        <w:ind w:left="709" w:hanging="567"/>
        <w:rPr>
          <w:rFonts w:cs="Open Sans"/>
        </w:rPr>
      </w:pPr>
      <w:r w:rsidRPr="008A56A5">
        <w:rPr>
          <w:rFonts w:cs="Open Sans"/>
        </w:rPr>
        <w:t>Proposed ss 36</w:t>
      </w:r>
      <w:proofErr w:type="gramStart"/>
      <w:r w:rsidRPr="008A56A5">
        <w:rPr>
          <w:rFonts w:cs="Open Sans"/>
        </w:rPr>
        <w:t>B(</w:t>
      </w:r>
      <w:proofErr w:type="gramEnd"/>
      <w:r w:rsidRPr="008A56A5">
        <w:rPr>
          <w:rFonts w:cs="Open Sans"/>
        </w:rPr>
        <w:t>2) and 36D(2)</w:t>
      </w:r>
      <w:r w:rsidR="00BE12F4" w:rsidRPr="008A56A5">
        <w:rPr>
          <w:rFonts w:cs="Open Sans"/>
        </w:rPr>
        <w:t xml:space="preserve"> </w:t>
      </w:r>
      <w:r w:rsidR="00190188" w:rsidRPr="008A56A5">
        <w:rPr>
          <w:rFonts w:cs="Open Sans"/>
        </w:rPr>
        <w:t xml:space="preserve">are drafted as double negatives </w:t>
      </w:r>
      <w:r w:rsidR="00F07930" w:rsidRPr="008A56A5">
        <w:rPr>
          <w:rFonts w:cs="Open Sans"/>
        </w:rPr>
        <w:t>which make them difficult to read.</w:t>
      </w:r>
      <w:r w:rsidR="004C0C43" w:rsidRPr="008A56A5">
        <w:rPr>
          <w:rFonts w:cs="Open Sans"/>
        </w:rPr>
        <w:t xml:space="preserve"> </w:t>
      </w:r>
      <w:r w:rsidR="00F07930" w:rsidRPr="008A56A5">
        <w:rPr>
          <w:rFonts w:cs="Open Sans"/>
        </w:rPr>
        <w:t xml:space="preserve">However, </w:t>
      </w:r>
      <w:r w:rsidR="00273723" w:rsidRPr="008A56A5">
        <w:rPr>
          <w:rFonts w:cs="Open Sans"/>
        </w:rPr>
        <w:t xml:space="preserve">the </w:t>
      </w:r>
      <w:r w:rsidR="00B7006B" w:rsidRPr="008A56A5">
        <w:rPr>
          <w:rFonts w:cs="Open Sans"/>
        </w:rPr>
        <w:t xml:space="preserve">effect of these sections is to </w:t>
      </w:r>
      <w:r w:rsidR="004D32BA" w:rsidRPr="008A56A5">
        <w:rPr>
          <w:rFonts w:cs="Open Sans"/>
        </w:rPr>
        <w:t xml:space="preserve">change </w:t>
      </w:r>
      <w:r w:rsidR="00F07930" w:rsidRPr="008A56A5">
        <w:rPr>
          <w:rFonts w:cs="Open Sans"/>
        </w:rPr>
        <w:t xml:space="preserve">the question of </w:t>
      </w:r>
      <w:r w:rsidR="003A7B91" w:rsidRPr="008A56A5">
        <w:rPr>
          <w:rFonts w:cs="Open Sans"/>
        </w:rPr>
        <w:t>whether a person would be rendered stateless</w:t>
      </w:r>
      <w:r w:rsidR="00A35C72" w:rsidRPr="008A56A5">
        <w:rPr>
          <w:rFonts w:cs="Open Sans"/>
        </w:rPr>
        <w:t xml:space="preserve"> from a question of fact </w:t>
      </w:r>
      <w:r w:rsidR="004D32BA" w:rsidRPr="008A56A5">
        <w:rPr>
          <w:rFonts w:cs="Open Sans"/>
        </w:rPr>
        <w:t xml:space="preserve">to </w:t>
      </w:r>
      <w:r w:rsidR="00A35C72" w:rsidRPr="008A56A5">
        <w:rPr>
          <w:rFonts w:cs="Open Sans"/>
        </w:rPr>
        <w:t xml:space="preserve">a question of </w:t>
      </w:r>
      <w:r w:rsidR="004D32BA" w:rsidRPr="008A56A5">
        <w:rPr>
          <w:rFonts w:cs="Open Sans"/>
        </w:rPr>
        <w:t xml:space="preserve">the subjective ‘satisfaction’ of the Minister. </w:t>
      </w:r>
    </w:p>
    <w:p w14:paraId="69EBECA2" w14:textId="13EEF00E" w:rsidR="005E5471" w:rsidRPr="008A56A5" w:rsidRDefault="000B7744" w:rsidP="005E5471">
      <w:pPr>
        <w:pStyle w:val="ListNumber"/>
        <w:numPr>
          <w:ilvl w:val="0"/>
          <w:numId w:val="15"/>
        </w:numPr>
        <w:tabs>
          <w:tab w:val="num" w:pos="993"/>
          <w:tab w:val="left" w:pos="1418"/>
        </w:tabs>
        <w:ind w:left="709" w:hanging="567"/>
        <w:rPr>
          <w:rFonts w:cs="Open Sans"/>
        </w:rPr>
      </w:pPr>
      <w:r w:rsidRPr="008A56A5">
        <w:rPr>
          <w:rFonts w:cs="Open Sans"/>
        </w:rPr>
        <w:t>T</w:t>
      </w:r>
      <w:r w:rsidR="005A0AB9" w:rsidRPr="008A56A5">
        <w:rPr>
          <w:rFonts w:cs="Open Sans"/>
        </w:rPr>
        <w:t>he</w:t>
      </w:r>
      <w:r w:rsidRPr="008A56A5">
        <w:rPr>
          <w:rFonts w:cs="Open Sans"/>
        </w:rPr>
        <w:t xml:space="preserve"> Commission considers that the</w:t>
      </w:r>
      <w:r w:rsidR="005A0AB9" w:rsidRPr="008A56A5">
        <w:rPr>
          <w:rFonts w:cs="Open Sans"/>
        </w:rPr>
        <w:t xml:space="preserve"> Explanatory Memorandum </w:t>
      </w:r>
      <w:r w:rsidRPr="008A56A5">
        <w:rPr>
          <w:rFonts w:cs="Open Sans"/>
        </w:rPr>
        <w:t xml:space="preserve">does not adequately </w:t>
      </w:r>
      <w:r w:rsidR="00AC2D1D" w:rsidRPr="008A56A5">
        <w:rPr>
          <w:rFonts w:cs="Open Sans"/>
        </w:rPr>
        <w:t>justify</w:t>
      </w:r>
      <w:r w:rsidRPr="008A56A5">
        <w:rPr>
          <w:rFonts w:cs="Open Sans"/>
        </w:rPr>
        <w:t xml:space="preserve"> </w:t>
      </w:r>
      <w:r w:rsidR="00924AC0" w:rsidRPr="008A56A5">
        <w:rPr>
          <w:rFonts w:cs="Open Sans"/>
        </w:rPr>
        <w:t xml:space="preserve">this </w:t>
      </w:r>
      <w:r w:rsidR="00AC2D1D" w:rsidRPr="008A56A5">
        <w:rPr>
          <w:rFonts w:cs="Open Sans"/>
        </w:rPr>
        <w:t>amendment</w:t>
      </w:r>
      <w:r w:rsidR="00F44C51" w:rsidRPr="008A56A5">
        <w:rPr>
          <w:rFonts w:cs="Open Sans"/>
        </w:rPr>
        <w:t>. It states</w:t>
      </w:r>
      <w:r w:rsidR="005A0AB9" w:rsidRPr="008A56A5">
        <w:rPr>
          <w:rFonts w:cs="Open Sans"/>
        </w:rPr>
        <w:t>:</w:t>
      </w:r>
    </w:p>
    <w:p w14:paraId="5CB39FBD" w14:textId="3A5478EB" w:rsidR="000B7744" w:rsidRPr="008A56A5" w:rsidRDefault="00CD33C4" w:rsidP="00CD33C4">
      <w:pPr>
        <w:pStyle w:val="ListNumber"/>
        <w:numPr>
          <w:ilvl w:val="0"/>
          <w:numId w:val="0"/>
        </w:numPr>
        <w:tabs>
          <w:tab w:val="left" w:pos="1418"/>
        </w:tabs>
        <w:ind w:left="1876" w:hanging="1156"/>
        <w:rPr>
          <w:sz w:val="22"/>
          <w:szCs w:val="22"/>
        </w:rPr>
      </w:pPr>
      <w:r w:rsidRPr="008A56A5">
        <w:rPr>
          <w:sz w:val="22"/>
          <w:szCs w:val="22"/>
        </w:rPr>
        <w:tab/>
      </w:r>
      <w:r w:rsidR="005E5471" w:rsidRPr="008A56A5">
        <w:rPr>
          <w:sz w:val="22"/>
          <w:szCs w:val="22"/>
        </w:rPr>
        <w:t>60.</w:t>
      </w:r>
      <w:r w:rsidR="005E5471" w:rsidRPr="008A56A5">
        <w:rPr>
          <w:sz w:val="22"/>
          <w:szCs w:val="22"/>
        </w:rPr>
        <w:tab/>
        <w:t xml:space="preserve">The operation of new section 36B is limited to persons that the Minister is satisfied are nationals or citizens of a country other than Australia. The purpose of this amendment is to ensure that the application of this provision will not result in a person becoming stateless. </w:t>
      </w:r>
    </w:p>
    <w:p w14:paraId="39FE7D45" w14:textId="2E655309" w:rsidR="005E5471" w:rsidRPr="008A56A5" w:rsidRDefault="00CD33C4" w:rsidP="00CD33C4">
      <w:pPr>
        <w:pStyle w:val="ListNumber"/>
        <w:numPr>
          <w:ilvl w:val="0"/>
          <w:numId w:val="0"/>
        </w:numPr>
        <w:tabs>
          <w:tab w:val="left" w:pos="1418"/>
        </w:tabs>
        <w:ind w:left="1876" w:hanging="1156"/>
        <w:rPr>
          <w:sz w:val="22"/>
          <w:szCs w:val="22"/>
        </w:rPr>
      </w:pPr>
      <w:r w:rsidRPr="008A56A5">
        <w:rPr>
          <w:sz w:val="22"/>
          <w:szCs w:val="22"/>
        </w:rPr>
        <w:tab/>
      </w:r>
      <w:r w:rsidRPr="008A56A5">
        <w:rPr>
          <w:sz w:val="22"/>
          <w:szCs w:val="22"/>
        </w:rPr>
        <w:tab/>
      </w:r>
      <w:r w:rsidR="009F41D2" w:rsidRPr="008A56A5">
        <w:rPr>
          <w:sz w:val="22"/>
          <w:szCs w:val="22"/>
        </w:rPr>
        <w:tab/>
        <w:t>…</w:t>
      </w:r>
    </w:p>
    <w:p w14:paraId="120EA85F" w14:textId="19B11548" w:rsidR="005E5471" w:rsidRPr="008A56A5" w:rsidRDefault="00CD33C4" w:rsidP="00CD33C4">
      <w:pPr>
        <w:pStyle w:val="ListNumber"/>
        <w:numPr>
          <w:ilvl w:val="0"/>
          <w:numId w:val="0"/>
        </w:numPr>
        <w:tabs>
          <w:tab w:val="left" w:pos="1418"/>
        </w:tabs>
        <w:ind w:left="1876" w:hanging="1156"/>
        <w:rPr>
          <w:sz w:val="22"/>
          <w:szCs w:val="22"/>
        </w:rPr>
      </w:pPr>
      <w:r w:rsidRPr="008A56A5">
        <w:rPr>
          <w:sz w:val="22"/>
          <w:szCs w:val="22"/>
        </w:rPr>
        <w:tab/>
      </w:r>
      <w:r w:rsidR="005E5471" w:rsidRPr="008A56A5">
        <w:rPr>
          <w:sz w:val="22"/>
          <w:szCs w:val="22"/>
        </w:rPr>
        <w:t xml:space="preserve">62. </w:t>
      </w:r>
      <w:r w:rsidRPr="008A56A5">
        <w:rPr>
          <w:sz w:val="22"/>
          <w:szCs w:val="22"/>
        </w:rPr>
        <w:tab/>
      </w:r>
      <w:r w:rsidR="005E5471" w:rsidRPr="008A56A5">
        <w:rPr>
          <w:sz w:val="22"/>
          <w:szCs w:val="22"/>
        </w:rPr>
        <w:t xml:space="preserve">The requirement that the Minister be satisfied that a person would not become a person who is not a national or citizen of any country differs slightly from the formulation in the provision in existing sections 33AA and 35 of the Citizenship Act. Currently, a person’s citizenship can only cease under section 33AA or 35 of the Citizenship Act if, as a matter of fact, they are a national or citizen of another country. </w:t>
      </w:r>
    </w:p>
    <w:p w14:paraId="7602CE1E" w14:textId="071B8C9B" w:rsidR="009F41D2" w:rsidRPr="008A56A5" w:rsidRDefault="00CD33C4" w:rsidP="00CD33C4">
      <w:pPr>
        <w:pStyle w:val="ListNumber"/>
        <w:numPr>
          <w:ilvl w:val="0"/>
          <w:numId w:val="0"/>
        </w:numPr>
        <w:tabs>
          <w:tab w:val="left" w:pos="1418"/>
        </w:tabs>
        <w:ind w:left="1876" w:hanging="1156"/>
        <w:rPr>
          <w:sz w:val="22"/>
          <w:szCs w:val="22"/>
        </w:rPr>
      </w:pPr>
      <w:r w:rsidRPr="008A56A5">
        <w:rPr>
          <w:sz w:val="22"/>
          <w:szCs w:val="22"/>
        </w:rPr>
        <w:tab/>
      </w:r>
      <w:r w:rsidR="005E5471" w:rsidRPr="008A56A5">
        <w:rPr>
          <w:sz w:val="22"/>
          <w:szCs w:val="22"/>
        </w:rPr>
        <w:t xml:space="preserve">63. </w:t>
      </w:r>
      <w:r w:rsidRPr="008A56A5">
        <w:rPr>
          <w:sz w:val="22"/>
          <w:szCs w:val="22"/>
        </w:rPr>
        <w:tab/>
      </w:r>
      <w:r w:rsidR="005E5471" w:rsidRPr="008A56A5">
        <w:rPr>
          <w:sz w:val="22"/>
          <w:szCs w:val="22"/>
        </w:rPr>
        <w:t>In order to facilitate the Minister’s power to make a determination with regard to cessation of citizenship under new section 36</w:t>
      </w:r>
      <w:proofErr w:type="gramStart"/>
      <w:r w:rsidR="005E5471" w:rsidRPr="008A56A5">
        <w:rPr>
          <w:sz w:val="22"/>
          <w:szCs w:val="22"/>
        </w:rPr>
        <w:t>B(</w:t>
      </w:r>
      <w:proofErr w:type="gramEnd"/>
      <w:r w:rsidR="005E5471" w:rsidRPr="008A56A5">
        <w:rPr>
          <w:sz w:val="22"/>
          <w:szCs w:val="22"/>
        </w:rPr>
        <w:t xml:space="preserve">1), the Minister needs to be satisfied that the person would not become a person who is not a national or citizen of any country. The Minister will be required to turn his or her mind to the issue, using the materials available to him or her at the time. This adjusts the current threshold in relation to this issue, and adds additional safeguards, namely: </w:t>
      </w:r>
    </w:p>
    <w:p w14:paraId="64A7F643" w14:textId="77777777" w:rsidR="009F41D2" w:rsidRPr="008A56A5" w:rsidRDefault="005E5471" w:rsidP="004C0C43">
      <w:pPr>
        <w:pStyle w:val="ListNumber"/>
        <w:numPr>
          <w:ilvl w:val="0"/>
          <w:numId w:val="23"/>
        </w:numPr>
        <w:tabs>
          <w:tab w:val="left" w:pos="1418"/>
        </w:tabs>
        <w:ind w:left="2208"/>
        <w:rPr>
          <w:rFonts w:cs="Open Sans"/>
          <w:sz w:val="22"/>
          <w:szCs w:val="22"/>
        </w:rPr>
      </w:pPr>
      <w:r w:rsidRPr="008A56A5">
        <w:rPr>
          <w:sz w:val="22"/>
          <w:szCs w:val="22"/>
        </w:rPr>
        <w:t xml:space="preserve">the Minister must revoke his decision on application by a person, under new subparagraph 36H(3)(a)(i) if he is satisfied that a person is not a national or citizen of any country. </w:t>
      </w:r>
    </w:p>
    <w:p w14:paraId="6BC9D15B" w14:textId="3C4D5598" w:rsidR="009F41D2" w:rsidRPr="008A56A5" w:rsidRDefault="00863B06" w:rsidP="004C0C43">
      <w:pPr>
        <w:pStyle w:val="ListNumber"/>
        <w:numPr>
          <w:ilvl w:val="0"/>
          <w:numId w:val="23"/>
        </w:numPr>
        <w:tabs>
          <w:tab w:val="left" w:pos="1418"/>
        </w:tabs>
        <w:ind w:left="2208"/>
        <w:rPr>
          <w:rFonts w:cs="Open Sans"/>
          <w:sz w:val="22"/>
          <w:szCs w:val="22"/>
        </w:rPr>
      </w:pPr>
      <w:r w:rsidRPr="008A56A5">
        <w:rPr>
          <w:sz w:val="22"/>
          <w:szCs w:val="22"/>
        </w:rPr>
        <w:t>t</w:t>
      </w:r>
      <w:r w:rsidR="005E5471" w:rsidRPr="008A56A5">
        <w:rPr>
          <w:sz w:val="22"/>
          <w:szCs w:val="22"/>
        </w:rPr>
        <w:t>he determination will be automatically revoked under new</w:t>
      </w:r>
      <w:r w:rsidR="009F41D2" w:rsidRPr="008A56A5">
        <w:rPr>
          <w:sz w:val="22"/>
          <w:szCs w:val="22"/>
        </w:rPr>
        <w:t xml:space="preserve"> </w:t>
      </w:r>
      <w:r w:rsidR="005E5471" w:rsidRPr="008A56A5">
        <w:rPr>
          <w:sz w:val="22"/>
          <w:szCs w:val="22"/>
        </w:rPr>
        <w:t>paragraph 36K(1)(c) if a court finds that the person was not a national or citizen of any country other than Australia at the time the determination was made</w:t>
      </w:r>
      <w:r w:rsidRPr="008A56A5">
        <w:rPr>
          <w:sz w:val="22"/>
          <w:szCs w:val="22"/>
        </w:rPr>
        <w:t>.</w:t>
      </w:r>
      <w:r w:rsidR="005E5471" w:rsidRPr="008A56A5">
        <w:rPr>
          <w:sz w:val="22"/>
          <w:szCs w:val="22"/>
        </w:rPr>
        <w:t xml:space="preserve"> </w:t>
      </w:r>
    </w:p>
    <w:p w14:paraId="1C20D3ED" w14:textId="55F5C6BA" w:rsidR="005A0AB9" w:rsidRPr="008A56A5" w:rsidRDefault="001D0DD9" w:rsidP="005A0AB9">
      <w:pPr>
        <w:pStyle w:val="ListNumber"/>
        <w:numPr>
          <w:ilvl w:val="0"/>
          <w:numId w:val="15"/>
        </w:numPr>
        <w:tabs>
          <w:tab w:val="num" w:pos="993"/>
          <w:tab w:val="left" w:pos="1418"/>
        </w:tabs>
        <w:ind w:left="709" w:hanging="567"/>
        <w:rPr>
          <w:rFonts w:cs="Open Sans"/>
        </w:rPr>
      </w:pPr>
      <w:r w:rsidRPr="008A56A5">
        <w:rPr>
          <w:rFonts w:cs="Open Sans"/>
        </w:rPr>
        <w:t>D</w:t>
      </w:r>
      <w:r w:rsidR="005A0AB9" w:rsidRPr="008A56A5">
        <w:rPr>
          <w:rFonts w:cs="Open Sans"/>
        </w:rPr>
        <w:t>espite the stated intention</w:t>
      </w:r>
      <w:r w:rsidRPr="008A56A5">
        <w:rPr>
          <w:rFonts w:cs="Open Sans"/>
        </w:rPr>
        <w:t xml:space="preserve"> that a person will not become stateless</w:t>
      </w:r>
      <w:r w:rsidR="005A0AB9" w:rsidRPr="008A56A5">
        <w:rPr>
          <w:rFonts w:cs="Open Sans"/>
        </w:rPr>
        <w:t xml:space="preserve">, the Commission holds serious concerns </w:t>
      </w:r>
      <w:r w:rsidR="006236A9" w:rsidRPr="008A56A5">
        <w:rPr>
          <w:rFonts w:cs="Open Sans"/>
        </w:rPr>
        <w:t xml:space="preserve">that </w:t>
      </w:r>
      <w:r w:rsidR="005A0AB9" w:rsidRPr="008A56A5">
        <w:rPr>
          <w:rFonts w:cs="Open Sans"/>
        </w:rPr>
        <w:t xml:space="preserve">an important safeguard </w:t>
      </w:r>
      <w:r w:rsidR="00B162AA" w:rsidRPr="008A56A5">
        <w:rPr>
          <w:rFonts w:cs="Open Sans"/>
        </w:rPr>
        <w:t xml:space="preserve">is being diluted </w:t>
      </w:r>
      <w:r w:rsidR="005A0AB9" w:rsidRPr="008A56A5">
        <w:rPr>
          <w:rFonts w:cs="Open Sans"/>
        </w:rPr>
        <w:t>in two ways.</w:t>
      </w:r>
    </w:p>
    <w:p w14:paraId="7A11529B" w14:textId="0B700830" w:rsidR="00F803E9" w:rsidRPr="008A56A5" w:rsidRDefault="005A0AB9" w:rsidP="00F803E9">
      <w:pPr>
        <w:pStyle w:val="ListNumber"/>
        <w:numPr>
          <w:ilvl w:val="0"/>
          <w:numId w:val="15"/>
        </w:numPr>
        <w:tabs>
          <w:tab w:val="num" w:pos="993"/>
          <w:tab w:val="left" w:pos="1418"/>
        </w:tabs>
        <w:ind w:left="709" w:hanging="567"/>
        <w:rPr>
          <w:rFonts w:cs="Open Sans"/>
        </w:rPr>
      </w:pPr>
      <w:r w:rsidRPr="008A56A5">
        <w:rPr>
          <w:rFonts w:cs="Open Sans"/>
        </w:rPr>
        <w:t xml:space="preserve">First, it </w:t>
      </w:r>
      <w:r w:rsidR="00D76629" w:rsidRPr="008A56A5">
        <w:rPr>
          <w:rFonts w:cs="Open Sans"/>
        </w:rPr>
        <w:t xml:space="preserve">removes the need for a person to be a national or citizen of country other than Australia, as a </w:t>
      </w:r>
      <w:r w:rsidR="00F705B6" w:rsidRPr="008A56A5">
        <w:rPr>
          <w:rFonts w:cs="Open Sans"/>
          <w:i/>
          <w:iCs/>
        </w:rPr>
        <w:t>precondition</w:t>
      </w:r>
      <w:r w:rsidR="00D76629" w:rsidRPr="008A56A5">
        <w:rPr>
          <w:rFonts w:cs="Open Sans"/>
        </w:rPr>
        <w:t xml:space="preserve"> that enlivens the ability of the Minister to exercise the power to remove a person’s citizenship. A requirement that a decision maker be reasonably satisfied of a particular matter is different, and a weaker protection, from a requirement that the particular matter actually exists. </w:t>
      </w:r>
    </w:p>
    <w:p w14:paraId="326EFD98" w14:textId="1FB7853E" w:rsidR="005A0AB9" w:rsidRPr="008A56A5" w:rsidRDefault="00D76629" w:rsidP="00F803E9">
      <w:pPr>
        <w:pStyle w:val="ListNumber"/>
        <w:numPr>
          <w:ilvl w:val="0"/>
          <w:numId w:val="15"/>
        </w:numPr>
        <w:tabs>
          <w:tab w:val="num" w:pos="993"/>
          <w:tab w:val="left" w:pos="1418"/>
        </w:tabs>
        <w:ind w:left="709" w:hanging="567"/>
        <w:rPr>
          <w:rFonts w:cs="Open Sans"/>
        </w:rPr>
      </w:pPr>
      <w:r w:rsidRPr="008A56A5">
        <w:rPr>
          <w:rFonts w:cs="Open Sans"/>
        </w:rPr>
        <w:t xml:space="preserve">That is, the current test requires that a person </w:t>
      </w:r>
      <w:r w:rsidRPr="008A56A5">
        <w:rPr>
          <w:rFonts w:cs="Open Sans"/>
          <w:i/>
        </w:rPr>
        <w:t>is</w:t>
      </w:r>
      <w:r w:rsidRPr="008A56A5">
        <w:rPr>
          <w:rFonts w:cs="Open Sans"/>
        </w:rPr>
        <w:t xml:space="preserve"> a dual citizen. The new proposed test would only require the Minister to reach a state of satisfaction </w:t>
      </w:r>
      <w:r w:rsidR="00353A2E" w:rsidRPr="008A56A5">
        <w:rPr>
          <w:rFonts w:cs="Open Sans"/>
        </w:rPr>
        <w:t>that the person would not become stateless</w:t>
      </w:r>
      <w:r w:rsidRPr="008A56A5">
        <w:rPr>
          <w:rFonts w:cs="Open Sans"/>
        </w:rPr>
        <w:t>, acting reasonably.</w:t>
      </w:r>
      <w:r w:rsidR="00F803E9" w:rsidRPr="008A56A5">
        <w:rPr>
          <w:rFonts w:cs="Open Sans"/>
        </w:rPr>
        <w:t xml:space="preserve"> This </w:t>
      </w:r>
      <w:r w:rsidR="005A0AB9" w:rsidRPr="008A56A5">
        <w:rPr>
          <w:rFonts w:cs="Open Sans"/>
        </w:rPr>
        <w:t xml:space="preserve">provides for less rigorous </w:t>
      </w:r>
      <w:r w:rsidR="00353A2E" w:rsidRPr="008A56A5">
        <w:rPr>
          <w:rFonts w:cs="Open Sans"/>
        </w:rPr>
        <w:t>protection, as the Minister must only be satisfied that an event will not occur (a</w:t>
      </w:r>
      <w:r w:rsidR="00CD3A38" w:rsidRPr="008A56A5">
        <w:rPr>
          <w:rFonts w:cs="Open Sans"/>
        </w:rPr>
        <w:t xml:space="preserve"> </w:t>
      </w:r>
      <w:r w:rsidR="00A2700A" w:rsidRPr="008A56A5">
        <w:rPr>
          <w:rFonts w:cs="Open Sans"/>
        </w:rPr>
        <w:t>subjective</w:t>
      </w:r>
      <w:r w:rsidR="00353A2E" w:rsidRPr="008A56A5">
        <w:rPr>
          <w:rFonts w:cs="Open Sans"/>
        </w:rPr>
        <w:t xml:space="preserve"> </w:t>
      </w:r>
      <w:r w:rsidR="00CD3A38" w:rsidRPr="008A56A5">
        <w:rPr>
          <w:rFonts w:cs="Open Sans"/>
        </w:rPr>
        <w:t>judgment in the negative</w:t>
      </w:r>
      <w:r w:rsidR="00353A2E" w:rsidRPr="008A56A5">
        <w:rPr>
          <w:rFonts w:cs="Open Sans"/>
        </w:rPr>
        <w:t xml:space="preserve">), rather than needing to establish </w:t>
      </w:r>
      <w:r w:rsidR="00CD3A38" w:rsidRPr="008A56A5">
        <w:rPr>
          <w:rFonts w:cs="Open Sans"/>
        </w:rPr>
        <w:t xml:space="preserve">the fact of a person’s dual citizenship </w:t>
      </w:r>
      <w:r w:rsidR="00353A2E" w:rsidRPr="008A56A5">
        <w:rPr>
          <w:rFonts w:cs="Open Sans"/>
        </w:rPr>
        <w:t>(a positive condition)</w:t>
      </w:r>
      <w:r w:rsidR="005A0AB9" w:rsidRPr="008A56A5">
        <w:rPr>
          <w:rFonts w:cs="Open Sans"/>
        </w:rPr>
        <w:t xml:space="preserve">. </w:t>
      </w:r>
    </w:p>
    <w:p w14:paraId="67038988" w14:textId="1EEEFA8A" w:rsidR="005A0AB9" w:rsidRPr="008A56A5" w:rsidRDefault="005A0AB9" w:rsidP="005A0AB9">
      <w:pPr>
        <w:pStyle w:val="ListNumber"/>
        <w:numPr>
          <w:ilvl w:val="0"/>
          <w:numId w:val="15"/>
        </w:numPr>
        <w:tabs>
          <w:tab w:val="num" w:pos="993"/>
          <w:tab w:val="left" w:pos="1418"/>
        </w:tabs>
        <w:ind w:left="709" w:hanging="567"/>
        <w:rPr>
          <w:rFonts w:cs="Open Sans"/>
        </w:rPr>
      </w:pPr>
      <w:r w:rsidRPr="008A56A5">
        <w:rPr>
          <w:rFonts w:cs="Open Sans"/>
        </w:rPr>
        <w:t xml:space="preserve">Secondly, the Bill would lower the intensity of available judicial review. Currently, the Act makes the question whether a person is a national or citizen of another country a jurisdictional fact. This means that a court in judicial review can receive evidence of whether the individual in question </w:t>
      </w:r>
      <w:proofErr w:type="gramStart"/>
      <w:r w:rsidRPr="008A56A5">
        <w:rPr>
          <w:rFonts w:cs="Open Sans"/>
        </w:rPr>
        <w:t>is indeed a dual citizen</w:t>
      </w:r>
      <w:proofErr w:type="gramEnd"/>
      <w:r w:rsidRPr="008A56A5">
        <w:rPr>
          <w:rFonts w:cs="Open Sans"/>
        </w:rPr>
        <w:t xml:space="preserve">. </w:t>
      </w:r>
    </w:p>
    <w:p w14:paraId="1CCD206B" w14:textId="6B688AFC" w:rsidR="005A0AB9" w:rsidRPr="008A56A5" w:rsidRDefault="005A0AB9" w:rsidP="001F05F0">
      <w:pPr>
        <w:pStyle w:val="ListNumber"/>
        <w:numPr>
          <w:ilvl w:val="0"/>
          <w:numId w:val="15"/>
        </w:numPr>
        <w:tabs>
          <w:tab w:val="num" w:pos="993"/>
          <w:tab w:val="left" w:pos="1418"/>
        </w:tabs>
        <w:ind w:left="709" w:hanging="567"/>
        <w:rPr>
          <w:rFonts w:cs="Open Sans"/>
        </w:rPr>
      </w:pPr>
      <w:r w:rsidRPr="008A56A5">
        <w:rPr>
          <w:rFonts w:cs="Open Sans"/>
        </w:rPr>
        <w:t xml:space="preserve">By contrast, the Bill would reduce the capacity of a court to correct this error, because the court would only be able to review the </w:t>
      </w:r>
      <w:r w:rsidRPr="008A56A5">
        <w:rPr>
          <w:rFonts w:cs="Open Sans"/>
          <w:i/>
        </w:rPr>
        <w:t>reasonableness</w:t>
      </w:r>
      <w:r w:rsidRPr="008A56A5">
        <w:rPr>
          <w:rFonts w:cs="Open Sans"/>
        </w:rPr>
        <w:t xml:space="preserve"> of the Minister’s satisfaction</w:t>
      </w:r>
      <w:r w:rsidR="00CB0EFB" w:rsidRPr="008A56A5">
        <w:rPr>
          <w:rFonts w:cs="Open Sans"/>
        </w:rPr>
        <w:t xml:space="preserve"> that a person would not become stateless</w:t>
      </w:r>
      <w:r w:rsidRPr="008A56A5">
        <w:rPr>
          <w:rFonts w:cs="Open Sans"/>
        </w:rPr>
        <w:t xml:space="preserve">. If the Minister acts reasonably, but </w:t>
      </w:r>
      <w:r w:rsidR="001F05F0" w:rsidRPr="008A56A5">
        <w:rPr>
          <w:rFonts w:cs="Open Sans"/>
        </w:rPr>
        <w:t>is still</w:t>
      </w:r>
      <w:r w:rsidRPr="008A56A5">
        <w:rPr>
          <w:rFonts w:cs="Open Sans"/>
        </w:rPr>
        <w:t xml:space="preserve"> mistaken, the Court </w:t>
      </w:r>
      <w:r w:rsidR="00CB0EFB" w:rsidRPr="008A56A5">
        <w:rPr>
          <w:rFonts w:cs="Open Sans"/>
        </w:rPr>
        <w:t>may</w:t>
      </w:r>
      <w:r w:rsidRPr="008A56A5">
        <w:rPr>
          <w:rFonts w:cs="Open Sans"/>
        </w:rPr>
        <w:t xml:space="preserve"> </w:t>
      </w:r>
      <w:r w:rsidR="009473B1" w:rsidRPr="008A56A5">
        <w:rPr>
          <w:rFonts w:cs="Open Sans"/>
        </w:rPr>
        <w:t>be less</w:t>
      </w:r>
      <w:r w:rsidRPr="008A56A5">
        <w:rPr>
          <w:rFonts w:cs="Open Sans"/>
        </w:rPr>
        <w:t xml:space="preserve"> able to </w:t>
      </w:r>
      <w:proofErr w:type="gramStart"/>
      <w:r w:rsidRPr="008A56A5">
        <w:rPr>
          <w:rFonts w:cs="Open Sans"/>
        </w:rPr>
        <w:t>intervene</w:t>
      </w:r>
      <w:proofErr w:type="gramEnd"/>
      <w:r w:rsidRPr="008A56A5">
        <w:rPr>
          <w:rFonts w:cs="Open Sans"/>
        </w:rPr>
        <w:t xml:space="preserve"> and the individual </w:t>
      </w:r>
      <w:r w:rsidR="00FA08BD" w:rsidRPr="008A56A5">
        <w:rPr>
          <w:rFonts w:cs="Open Sans"/>
        </w:rPr>
        <w:t>c</w:t>
      </w:r>
      <w:r w:rsidRPr="008A56A5">
        <w:rPr>
          <w:rFonts w:cs="Open Sans"/>
        </w:rPr>
        <w:t>ould be rendered stateless.</w:t>
      </w:r>
    </w:p>
    <w:p w14:paraId="24A8CCF3" w14:textId="63CA7F21" w:rsidR="00EE31B5" w:rsidRPr="008A56A5" w:rsidRDefault="00EE31B5" w:rsidP="001F05F0">
      <w:pPr>
        <w:pStyle w:val="ListNumber"/>
        <w:numPr>
          <w:ilvl w:val="0"/>
          <w:numId w:val="15"/>
        </w:numPr>
        <w:tabs>
          <w:tab w:val="num" w:pos="993"/>
          <w:tab w:val="left" w:pos="1418"/>
        </w:tabs>
        <w:ind w:left="709" w:hanging="567"/>
        <w:rPr>
          <w:rFonts w:cs="Open Sans"/>
        </w:rPr>
      </w:pPr>
      <w:r w:rsidRPr="008A56A5">
        <w:rPr>
          <w:rFonts w:cs="Open Sans"/>
        </w:rPr>
        <w:t xml:space="preserve">The Commission is not </w:t>
      </w:r>
      <w:r w:rsidR="00097887" w:rsidRPr="008A56A5">
        <w:rPr>
          <w:rFonts w:cs="Open Sans"/>
        </w:rPr>
        <w:t>convinced</w:t>
      </w:r>
      <w:r w:rsidR="00C315C5" w:rsidRPr="008A56A5">
        <w:rPr>
          <w:rFonts w:cs="Open Sans"/>
        </w:rPr>
        <w:t xml:space="preserve"> that the safeguards in </w:t>
      </w:r>
      <w:r w:rsidR="00097FC4" w:rsidRPr="008A56A5">
        <w:rPr>
          <w:rFonts w:cs="Open Sans"/>
        </w:rPr>
        <w:t xml:space="preserve">ss 36H(3)(a)(i) and 36K(1)(c) are sufficient. </w:t>
      </w:r>
      <w:r w:rsidR="0057721B" w:rsidRPr="008A56A5">
        <w:rPr>
          <w:rFonts w:cs="Open Sans"/>
        </w:rPr>
        <w:t xml:space="preserve">The first safeguard depends on the </w:t>
      </w:r>
      <w:r w:rsidR="00097FC4" w:rsidRPr="008A56A5">
        <w:rPr>
          <w:rFonts w:cs="Open Sans"/>
        </w:rPr>
        <w:t>Minister becom</w:t>
      </w:r>
      <w:r w:rsidR="0057721B" w:rsidRPr="008A56A5">
        <w:rPr>
          <w:rFonts w:cs="Open Sans"/>
        </w:rPr>
        <w:t xml:space="preserve">ing </w:t>
      </w:r>
      <w:r w:rsidR="00097FC4" w:rsidRPr="008A56A5">
        <w:rPr>
          <w:rFonts w:cs="Open Sans"/>
        </w:rPr>
        <w:t xml:space="preserve">aware that </w:t>
      </w:r>
      <w:r w:rsidR="00106154" w:rsidRPr="008A56A5">
        <w:rPr>
          <w:rFonts w:cs="Open Sans"/>
        </w:rPr>
        <w:t xml:space="preserve">they have made an error </w:t>
      </w:r>
      <w:r w:rsidR="0057721B" w:rsidRPr="008A56A5">
        <w:rPr>
          <w:rFonts w:cs="Open Sans"/>
        </w:rPr>
        <w:t xml:space="preserve">and </w:t>
      </w:r>
      <w:r w:rsidR="00AE08D9" w:rsidRPr="008A56A5">
        <w:rPr>
          <w:rFonts w:cs="Open Sans"/>
        </w:rPr>
        <w:t xml:space="preserve">is </w:t>
      </w:r>
      <w:r w:rsidR="0057721B" w:rsidRPr="008A56A5">
        <w:rPr>
          <w:rFonts w:cs="Open Sans"/>
        </w:rPr>
        <w:t xml:space="preserve">also </w:t>
      </w:r>
      <w:r w:rsidR="00AE08D9" w:rsidRPr="008A56A5">
        <w:rPr>
          <w:rFonts w:cs="Open Sans"/>
        </w:rPr>
        <w:t xml:space="preserve">couched in the language of </w:t>
      </w:r>
      <w:r w:rsidR="0057721B" w:rsidRPr="008A56A5">
        <w:rPr>
          <w:rFonts w:cs="Open Sans"/>
        </w:rPr>
        <w:t>Minister</w:t>
      </w:r>
      <w:r w:rsidR="00AE08D9" w:rsidRPr="008A56A5">
        <w:rPr>
          <w:rFonts w:cs="Open Sans"/>
        </w:rPr>
        <w:t>ial</w:t>
      </w:r>
      <w:r w:rsidR="0057721B" w:rsidRPr="008A56A5">
        <w:rPr>
          <w:rFonts w:cs="Open Sans"/>
        </w:rPr>
        <w:t xml:space="preserve"> satisfaction. The second safeguard depends on a person rendered stateless being able to effectively access a federal court in Australia.</w:t>
      </w:r>
    </w:p>
    <w:p w14:paraId="010F100D" w14:textId="15B56822" w:rsidR="00EE31B5" w:rsidRPr="008A56A5" w:rsidRDefault="005A0AB9" w:rsidP="00EE31B5">
      <w:pPr>
        <w:pStyle w:val="ListNumber"/>
        <w:numPr>
          <w:ilvl w:val="0"/>
          <w:numId w:val="15"/>
        </w:numPr>
        <w:tabs>
          <w:tab w:val="num" w:pos="993"/>
          <w:tab w:val="left" w:pos="1418"/>
        </w:tabs>
        <w:ind w:left="709" w:hanging="567"/>
        <w:rPr>
          <w:rFonts w:cs="Open Sans"/>
        </w:rPr>
      </w:pPr>
      <w:r w:rsidRPr="008A56A5">
        <w:rPr>
          <w:rFonts w:cs="Open Sans"/>
        </w:rPr>
        <w:t>Th</w:t>
      </w:r>
      <w:r w:rsidR="001F05F0" w:rsidRPr="008A56A5">
        <w:rPr>
          <w:rFonts w:cs="Open Sans"/>
        </w:rPr>
        <w:t>is</w:t>
      </w:r>
      <w:r w:rsidRPr="008A56A5">
        <w:rPr>
          <w:rFonts w:cs="Open Sans"/>
        </w:rPr>
        <w:t xml:space="preserve"> proposed amendment raises a serious risk of conflict with article 15(2) of the </w:t>
      </w:r>
      <w:r w:rsidRPr="008A56A5">
        <w:rPr>
          <w:rFonts w:cs="Open Sans"/>
          <w:iCs/>
        </w:rPr>
        <w:t>UDHR</w:t>
      </w:r>
      <w:r w:rsidRPr="008A56A5">
        <w:rPr>
          <w:rFonts w:cs="Open Sans"/>
        </w:rPr>
        <w:t>, the Statelessness Convention and the</w:t>
      </w:r>
      <w:r w:rsidRPr="008A56A5">
        <w:rPr>
          <w:rFonts w:cs="Open Sans"/>
          <w:i/>
          <w:iCs/>
        </w:rPr>
        <w:t xml:space="preserve"> </w:t>
      </w:r>
      <w:r w:rsidRPr="008A56A5">
        <w:rPr>
          <w:rFonts w:cs="Open Sans"/>
          <w:iCs/>
        </w:rPr>
        <w:t>CRC</w:t>
      </w:r>
      <w:r w:rsidRPr="008A56A5">
        <w:rPr>
          <w:rFonts w:cs="Open Sans"/>
        </w:rPr>
        <w:t>.</w:t>
      </w:r>
    </w:p>
    <w:p w14:paraId="6B9172A0" w14:textId="724E3EEB" w:rsidR="005A0AB9" w:rsidRPr="008A56A5" w:rsidRDefault="005A0AB9" w:rsidP="005A0AB9">
      <w:pPr>
        <w:pStyle w:val="ListNumber"/>
        <w:numPr>
          <w:ilvl w:val="0"/>
          <w:numId w:val="15"/>
        </w:numPr>
        <w:tabs>
          <w:tab w:val="num" w:pos="993"/>
          <w:tab w:val="left" w:pos="1418"/>
        </w:tabs>
        <w:ind w:left="709" w:hanging="567"/>
        <w:rPr>
          <w:rFonts w:cs="Open Sans"/>
        </w:rPr>
      </w:pPr>
      <w:r w:rsidRPr="008A56A5">
        <w:rPr>
          <w:rFonts w:cs="Open Sans"/>
        </w:rPr>
        <w:t>The Commission considers that the current threshold is an appropriate test to meet, given the severe consequences. It provides stronger legislative protection against statelessness</w:t>
      </w:r>
      <w:r w:rsidR="001F05F0" w:rsidRPr="008A56A5">
        <w:rPr>
          <w:rFonts w:cs="Open Sans"/>
        </w:rPr>
        <w:t>, by</w:t>
      </w:r>
      <w:r w:rsidRPr="008A56A5">
        <w:rPr>
          <w:rFonts w:cs="Open Sans"/>
        </w:rPr>
        <w:t xml:space="preserve"> increas</w:t>
      </w:r>
      <w:r w:rsidR="00D3201E" w:rsidRPr="008A56A5">
        <w:rPr>
          <w:rFonts w:cs="Open Sans"/>
        </w:rPr>
        <w:t>ing</w:t>
      </w:r>
      <w:r w:rsidRPr="008A56A5">
        <w:rPr>
          <w:rFonts w:cs="Open Sans"/>
        </w:rPr>
        <w:t xml:space="preserve"> the likelihood that a correct decision will be made as to the citizenship status of a relevant person, by virtue of the </w:t>
      </w:r>
      <w:r w:rsidR="00FA08BD" w:rsidRPr="008A56A5">
        <w:rPr>
          <w:rFonts w:cs="Open Sans"/>
        </w:rPr>
        <w:t>obligations on the Minister in decision-making</w:t>
      </w:r>
      <w:r w:rsidRPr="008A56A5">
        <w:rPr>
          <w:rFonts w:cs="Open Sans"/>
        </w:rPr>
        <w:t xml:space="preserve"> and the intensity of available judicial review.</w:t>
      </w:r>
      <w:r w:rsidR="00FA08BD" w:rsidRPr="008A56A5">
        <w:rPr>
          <w:rFonts w:cs="Open Sans"/>
        </w:rPr>
        <w:t xml:space="preserve"> This </w:t>
      </w:r>
      <w:r w:rsidR="001F05F0" w:rsidRPr="008A56A5">
        <w:rPr>
          <w:rFonts w:cs="Open Sans"/>
        </w:rPr>
        <w:t xml:space="preserve">is all the more important </w:t>
      </w:r>
      <w:r w:rsidR="00B64CF6" w:rsidRPr="008A56A5">
        <w:rPr>
          <w:rFonts w:cs="Open Sans"/>
        </w:rPr>
        <w:t xml:space="preserve">if the Bill is not amended to include </w:t>
      </w:r>
      <w:r w:rsidR="00C6311E" w:rsidRPr="008A56A5">
        <w:rPr>
          <w:rFonts w:cs="Open Sans"/>
        </w:rPr>
        <w:t xml:space="preserve">independent </w:t>
      </w:r>
      <w:r w:rsidR="00FA08BD" w:rsidRPr="008A56A5">
        <w:rPr>
          <w:rFonts w:cs="Open Sans"/>
        </w:rPr>
        <w:t>merits review</w:t>
      </w:r>
      <w:r w:rsidR="00B35AEB" w:rsidRPr="008A56A5">
        <w:rPr>
          <w:rFonts w:cs="Open Sans"/>
        </w:rPr>
        <w:t>.</w:t>
      </w:r>
    </w:p>
    <w:p w14:paraId="268A8AAC" w14:textId="4323366A" w:rsidR="005A0AB9" w:rsidRPr="008A56A5" w:rsidRDefault="00994FEC" w:rsidP="00626248">
      <w:pPr>
        <w:keepNext/>
        <w:ind w:left="709"/>
        <w:rPr>
          <w:b/>
          <w:bCs/>
        </w:rPr>
      </w:pPr>
      <w:r w:rsidRPr="008A56A5">
        <w:rPr>
          <w:b/>
          <w:bCs/>
        </w:rPr>
        <w:t>Recommendation</w:t>
      </w:r>
      <w:r w:rsidR="00B50171" w:rsidRPr="008A56A5">
        <w:rPr>
          <w:b/>
          <w:bCs/>
        </w:rPr>
        <w:t xml:space="preserve"> </w:t>
      </w:r>
      <w:r w:rsidR="0076204C" w:rsidRPr="008A56A5">
        <w:rPr>
          <w:b/>
          <w:bCs/>
        </w:rPr>
        <w:t>12</w:t>
      </w:r>
    </w:p>
    <w:p w14:paraId="1691C3EF" w14:textId="1458901E" w:rsidR="00B50171" w:rsidRPr="008A56A5" w:rsidRDefault="00B50171" w:rsidP="00626248">
      <w:pPr>
        <w:keepNext/>
        <w:ind w:left="709"/>
        <w:rPr>
          <w:rFonts w:cs="Open Sans"/>
        </w:rPr>
      </w:pPr>
      <w:r w:rsidRPr="008A56A5">
        <w:rPr>
          <w:rFonts w:cs="Open Sans"/>
        </w:rPr>
        <w:t>Proposed ss 36B and 36D</w:t>
      </w:r>
      <w:r w:rsidR="00DE1555" w:rsidRPr="008A56A5">
        <w:rPr>
          <w:rFonts w:cs="Open Sans"/>
        </w:rPr>
        <w:t xml:space="preserve"> should be amended to require that the Minister </w:t>
      </w:r>
      <w:r w:rsidR="00FC1669" w:rsidRPr="008A56A5">
        <w:rPr>
          <w:rFonts w:cs="Open Sans"/>
        </w:rPr>
        <w:t xml:space="preserve">can only </w:t>
      </w:r>
      <w:r w:rsidR="003F55B9" w:rsidRPr="008A56A5">
        <w:rPr>
          <w:rFonts w:cs="Open Sans"/>
        </w:rPr>
        <w:t>make a citizenship cessation determination ‘where the person is a national or citizen of a country other than Australia at the time when the Minister makes the determination’</w:t>
      </w:r>
      <w:r w:rsidR="00B91F2E" w:rsidRPr="008A56A5">
        <w:rPr>
          <w:rFonts w:cs="Open Sans"/>
        </w:rPr>
        <w:t xml:space="preserve">, as a </w:t>
      </w:r>
      <w:r w:rsidR="00F705B6" w:rsidRPr="008A56A5">
        <w:rPr>
          <w:rFonts w:cs="Open Sans"/>
        </w:rPr>
        <w:t>precondition</w:t>
      </w:r>
      <w:r w:rsidR="00B91F2E" w:rsidRPr="008A56A5">
        <w:rPr>
          <w:rFonts w:cs="Open Sans"/>
        </w:rPr>
        <w:t xml:space="preserve"> to the exercise of the power.</w:t>
      </w:r>
    </w:p>
    <w:p w14:paraId="20EABEAC" w14:textId="62C2A3AB" w:rsidR="00297800" w:rsidRPr="008A56A5" w:rsidRDefault="00297800" w:rsidP="00297800">
      <w:pPr>
        <w:pStyle w:val="Heading2"/>
      </w:pPr>
      <w:bookmarkStart w:id="66" w:name="_Toc20921369"/>
      <w:bookmarkStart w:id="67" w:name="_Toc21968488"/>
      <w:r w:rsidRPr="008A56A5">
        <w:t>Impact on children</w:t>
      </w:r>
      <w:bookmarkEnd w:id="66"/>
      <w:bookmarkEnd w:id="67"/>
    </w:p>
    <w:p w14:paraId="75AA43D8" w14:textId="77777777" w:rsidR="002473C3" w:rsidRPr="008A56A5" w:rsidRDefault="002473C3" w:rsidP="00F81C7E">
      <w:pPr>
        <w:pStyle w:val="ListNumber"/>
        <w:numPr>
          <w:ilvl w:val="0"/>
          <w:numId w:val="16"/>
        </w:numPr>
        <w:tabs>
          <w:tab w:val="num" w:pos="993"/>
          <w:tab w:val="left" w:pos="1418"/>
        </w:tabs>
        <w:spacing w:after="240"/>
        <w:ind w:left="709" w:hanging="567"/>
        <w:rPr>
          <w:rFonts w:cs="Open Sans"/>
        </w:rPr>
      </w:pPr>
      <w:r w:rsidRPr="008A56A5">
        <w:rPr>
          <w:rFonts w:cs="Open Sans"/>
        </w:rPr>
        <w:t>The Commission is particularly concerned about the potential human rights impacts of citizenship loss on children.</w:t>
      </w:r>
    </w:p>
    <w:p w14:paraId="1FF9A830" w14:textId="77777777" w:rsidR="002473C3" w:rsidRPr="008A56A5" w:rsidRDefault="002473C3" w:rsidP="00F81C7E">
      <w:pPr>
        <w:pStyle w:val="ListNumber"/>
        <w:numPr>
          <w:ilvl w:val="0"/>
          <w:numId w:val="16"/>
        </w:numPr>
        <w:tabs>
          <w:tab w:val="num" w:pos="993"/>
          <w:tab w:val="left" w:pos="1418"/>
        </w:tabs>
        <w:spacing w:after="240"/>
        <w:ind w:left="709" w:hanging="567"/>
        <w:rPr>
          <w:rFonts w:cs="Open Sans"/>
        </w:rPr>
      </w:pPr>
      <w:r w:rsidRPr="008A56A5">
        <w:rPr>
          <w:rFonts w:cs="Open Sans"/>
        </w:rPr>
        <w:t>The citizenship loss provisions apply to children in two ways:</w:t>
      </w:r>
    </w:p>
    <w:p w14:paraId="47B5F082" w14:textId="17766494" w:rsidR="002473C3" w:rsidRPr="008A56A5" w:rsidRDefault="002473C3" w:rsidP="00F81C7E">
      <w:pPr>
        <w:pStyle w:val="ListParagraph"/>
        <w:numPr>
          <w:ilvl w:val="0"/>
          <w:numId w:val="17"/>
        </w:numPr>
        <w:spacing w:before="120" w:after="120"/>
        <w:rPr>
          <w:rFonts w:cs="Open Sans"/>
        </w:rPr>
      </w:pPr>
      <w:r w:rsidRPr="008A56A5">
        <w:rPr>
          <w:rFonts w:cs="Open Sans"/>
        </w:rPr>
        <w:t>children as young as ten years of age who have relevant criminal convictions could lose their</w:t>
      </w:r>
      <w:r w:rsidR="00F36FC0" w:rsidRPr="008A56A5">
        <w:rPr>
          <w:rFonts w:cs="Open Sans"/>
        </w:rPr>
        <w:t xml:space="preserve"> citizenship</w:t>
      </w:r>
      <w:r w:rsidRPr="008A56A5">
        <w:rPr>
          <w:rStyle w:val="EndnoteReference"/>
        </w:rPr>
        <w:endnoteReference w:id="35"/>
      </w:r>
      <w:r w:rsidRPr="008A56A5">
        <w:rPr>
          <w:rFonts w:cs="Open Sans"/>
        </w:rPr>
        <w:t xml:space="preserve"> </w:t>
      </w:r>
    </w:p>
    <w:p w14:paraId="29D89879" w14:textId="39C88375" w:rsidR="002473C3" w:rsidRPr="008A56A5" w:rsidRDefault="002473C3" w:rsidP="00F81C7E">
      <w:pPr>
        <w:pStyle w:val="ListParagraph"/>
        <w:numPr>
          <w:ilvl w:val="0"/>
          <w:numId w:val="17"/>
        </w:numPr>
        <w:spacing w:before="120" w:after="120"/>
        <w:rPr>
          <w:rFonts w:cs="Open Sans"/>
        </w:rPr>
      </w:pPr>
      <w:r w:rsidRPr="008A56A5">
        <w:rPr>
          <w:rFonts w:cs="Open Sans"/>
        </w:rPr>
        <w:t>children as young as fourteen who</w:t>
      </w:r>
      <w:r w:rsidR="00DE4CEB" w:rsidRPr="008A56A5">
        <w:rPr>
          <w:rFonts w:cs="Open Sans"/>
        </w:rPr>
        <w:t xml:space="preserve"> the Minister is satisfied have</w:t>
      </w:r>
      <w:r w:rsidRPr="008A56A5">
        <w:rPr>
          <w:rFonts w:cs="Open Sans"/>
        </w:rPr>
        <w:t xml:space="preserve"> engage</w:t>
      </w:r>
      <w:r w:rsidR="00DE4CEB" w:rsidRPr="008A56A5">
        <w:rPr>
          <w:rFonts w:cs="Open Sans"/>
        </w:rPr>
        <w:t>d</w:t>
      </w:r>
      <w:r w:rsidRPr="008A56A5">
        <w:rPr>
          <w:rFonts w:cs="Open Sans"/>
        </w:rPr>
        <w:t xml:space="preserve"> in relevant</w:t>
      </w:r>
      <w:r w:rsidR="00105063" w:rsidRPr="008A56A5">
        <w:rPr>
          <w:rFonts w:cs="Open Sans"/>
        </w:rPr>
        <w:t xml:space="preserve"> proscribed</w:t>
      </w:r>
      <w:r w:rsidRPr="008A56A5">
        <w:rPr>
          <w:rFonts w:cs="Open Sans"/>
        </w:rPr>
        <w:t xml:space="preserve"> conduct could lose their citizenship.</w:t>
      </w:r>
      <w:r w:rsidRPr="008A56A5">
        <w:rPr>
          <w:rStyle w:val="EndnoteReference"/>
        </w:rPr>
        <w:endnoteReference w:id="36"/>
      </w:r>
    </w:p>
    <w:p w14:paraId="28E48016" w14:textId="77777777" w:rsidR="00614523" w:rsidRPr="008A56A5" w:rsidRDefault="00614523" w:rsidP="00F81C7E">
      <w:pPr>
        <w:pStyle w:val="ListNumber"/>
        <w:numPr>
          <w:ilvl w:val="0"/>
          <w:numId w:val="16"/>
        </w:numPr>
        <w:tabs>
          <w:tab w:val="num" w:pos="993"/>
          <w:tab w:val="left" w:pos="1418"/>
        </w:tabs>
        <w:spacing w:after="240"/>
        <w:ind w:left="709" w:hanging="567"/>
        <w:rPr>
          <w:rFonts w:cs="Open Sans"/>
        </w:rPr>
      </w:pPr>
      <w:r w:rsidRPr="008A56A5">
        <w:rPr>
          <w:rFonts w:cs="Open Sans"/>
        </w:rPr>
        <w:t>International human rights law recognises that, in light of their evolving physical and mental capacities, and developing neurological makeup, children have special need of safeguards, care and protection and should therefore be treated differently from adults.</w:t>
      </w:r>
      <w:r w:rsidRPr="008A56A5">
        <w:rPr>
          <w:rStyle w:val="EndnoteReference"/>
        </w:rPr>
        <w:endnoteReference w:id="37"/>
      </w:r>
      <w:r w:rsidRPr="008A56A5">
        <w:rPr>
          <w:rFonts w:cs="Open Sans"/>
        </w:rPr>
        <w:t xml:space="preserve"> </w:t>
      </w:r>
    </w:p>
    <w:p w14:paraId="38FEB5E7" w14:textId="77777777" w:rsidR="002473C3" w:rsidRPr="008A56A5" w:rsidRDefault="002473C3" w:rsidP="00F81C7E">
      <w:pPr>
        <w:pStyle w:val="ListNumber"/>
        <w:numPr>
          <w:ilvl w:val="0"/>
          <w:numId w:val="16"/>
        </w:numPr>
        <w:tabs>
          <w:tab w:val="num" w:pos="993"/>
          <w:tab w:val="left" w:pos="1418"/>
        </w:tabs>
        <w:spacing w:after="240"/>
        <w:ind w:left="709" w:hanging="567"/>
        <w:rPr>
          <w:rFonts w:cs="Open Sans"/>
        </w:rPr>
      </w:pPr>
      <w:r w:rsidRPr="008A56A5">
        <w:rPr>
          <w:rFonts w:cs="Open Sans"/>
        </w:rPr>
        <w:t xml:space="preserve">In recognition of that fact, Australia has ratified the CRC, which protects the best interests of the child (article 3) and the right of children to preserve their identity including their nationality (article 8(1)). </w:t>
      </w:r>
    </w:p>
    <w:p w14:paraId="40B4451C" w14:textId="164E8ECD" w:rsidR="002473C3" w:rsidRPr="008A56A5" w:rsidRDefault="002473C3" w:rsidP="00F81C7E">
      <w:pPr>
        <w:pStyle w:val="ListNumber"/>
        <w:numPr>
          <w:ilvl w:val="0"/>
          <w:numId w:val="16"/>
        </w:numPr>
        <w:tabs>
          <w:tab w:val="num" w:pos="993"/>
          <w:tab w:val="left" w:pos="1418"/>
        </w:tabs>
        <w:spacing w:after="240"/>
        <w:ind w:left="709" w:hanging="567"/>
        <w:rPr>
          <w:rFonts w:cs="Open Sans"/>
        </w:rPr>
      </w:pPr>
      <w:r w:rsidRPr="008A56A5">
        <w:rPr>
          <w:rFonts w:cs="Open Sans"/>
        </w:rPr>
        <w:t>Removal of a child’s citizenship, and consequent loss of their right to enter or remain in Australia, is even more likely to be arbitrary in contravention of article 12(4) of the ICCPR than in the case of an adult. That is so for a range of reasons, including that a child is less culpable for wrongdoing</w:t>
      </w:r>
      <w:r w:rsidR="00DC5518" w:rsidRPr="008A56A5">
        <w:rPr>
          <w:rFonts w:cs="Open Sans"/>
        </w:rPr>
        <w:t>,</w:t>
      </w:r>
      <w:r w:rsidRPr="008A56A5">
        <w:rPr>
          <w:rFonts w:cs="Open Sans"/>
        </w:rPr>
        <w:t xml:space="preserve"> is more vulnerable to any adverse consequences</w:t>
      </w:r>
      <w:r w:rsidR="00DC5518" w:rsidRPr="008A56A5">
        <w:rPr>
          <w:rFonts w:cs="Open Sans"/>
        </w:rPr>
        <w:t xml:space="preserve">, and is </w:t>
      </w:r>
      <w:r w:rsidRPr="008A56A5">
        <w:rPr>
          <w:rFonts w:cs="Open Sans"/>
        </w:rPr>
        <w:t>at risk of exploitation or manipulation by adults.</w:t>
      </w:r>
    </w:p>
    <w:p w14:paraId="5EC91B6C" w14:textId="0F3B6265" w:rsidR="00E655FD" w:rsidRPr="008A56A5" w:rsidRDefault="00E655FD" w:rsidP="00F81C7E">
      <w:pPr>
        <w:pStyle w:val="ListNumber"/>
        <w:numPr>
          <w:ilvl w:val="0"/>
          <w:numId w:val="16"/>
        </w:numPr>
        <w:tabs>
          <w:tab w:val="num" w:pos="993"/>
          <w:tab w:val="left" w:pos="1418"/>
        </w:tabs>
        <w:spacing w:after="240"/>
        <w:ind w:left="709" w:hanging="567"/>
        <w:rPr>
          <w:rFonts w:cs="Open Sans"/>
        </w:rPr>
      </w:pPr>
      <w:r w:rsidRPr="008A56A5">
        <w:rPr>
          <w:rFonts w:cs="Open Sans"/>
        </w:rPr>
        <w:t>The Commission supports the</w:t>
      </w:r>
      <w:r w:rsidR="00806A7D" w:rsidRPr="008A56A5">
        <w:rPr>
          <w:rFonts w:cs="Open Sans"/>
        </w:rPr>
        <w:t xml:space="preserve"> </w:t>
      </w:r>
      <w:r w:rsidRPr="008A56A5">
        <w:rPr>
          <w:rFonts w:cs="Open Sans"/>
        </w:rPr>
        <w:t>decision-making criteria in proposed s</w:t>
      </w:r>
      <w:r w:rsidR="00C7253C" w:rsidRPr="008A56A5">
        <w:rPr>
          <w:rFonts w:cs="Open Sans"/>
        </w:rPr>
        <w:t> </w:t>
      </w:r>
      <w:r w:rsidRPr="008A56A5">
        <w:rPr>
          <w:rFonts w:cs="Open Sans"/>
        </w:rPr>
        <w:t xml:space="preserve">36E(2)(e), that </w:t>
      </w:r>
      <w:r w:rsidR="00806A7D" w:rsidRPr="008A56A5">
        <w:rPr>
          <w:rFonts w:cs="Open Sans"/>
        </w:rPr>
        <w:t xml:space="preserve">would </w:t>
      </w:r>
      <w:r w:rsidRPr="008A56A5">
        <w:rPr>
          <w:rFonts w:cs="Open Sans"/>
        </w:rPr>
        <w:t xml:space="preserve">require the </w:t>
      </w:r>
      <w:r w:rsidR="00F934D4" w:rsidRPr="008A56A5">
        <w:rPr>
          <w:rFonts w:cs="Open Sans"/>
        </w:rPr>
        <w:t>M</w:t>
      </w:r>
      <w:r w:rsidRPr="008A56A5">
        <w:rPr>
          <w:rFonts w:cs="Open Sans"/>
        </w:rPr>
        <w:t xml:space="preserve">inister to consider the best interests of the child as a primary consideration before </w:t>
      </w:r>
      <w:proofErr w:type="gramStart"/>
      <w:r w:rsidR="007917E9" w:rsidRPr="008A56A5">
        <w:rPr>
          <w:rFonts w:cs="Open Sans"/>
        </w:rPr>
        <w:t>making a determination</w:t>
      </w:r>
      <w:proofErr w:type="gramEnd"/>
      <w:r w:rsidR="007917E9" w:rsidRPr="008A56A5">
        <w:rPr>
          <w:rFonts w:cs="Open Sans"/>
        </w:rPr>
        <w:t xml:space="preserve"> to </w:t>
      </w:r>
      <w:r w:rsidRPr="008A56A5">
        <w:rPr>
          <w:rFonts w:cs="Open Sans"/>
        </w:rPr>
        <w:t>remov</w:t>
      </w:r>
      <w:r w:rsidR="007917E9" w:rsidRPr="008A56A5">
        <w:rPr>
          <w:rFonts w:cs="Open Sans"/>
        </w:rPr>
        <w:t>e</w:t>
      </w:r>
      <w:r w:rsidRPr="008A56A5">
        <w:rPr>
          <w:rFonts w:cs="Open Sans"/>
        </w:rPr>
        <w:t xml:space="preserve"> the citizenship of a person aged under 18.</w:t>
      </w:r>
    </w:p>
    <w:p w14:paraId="431234E0" w14:textId="06172A5E" w:rsidR="00FD18F5" w:rsidRPr="008A56A5" w:rsidRDefault="00FD18F5" w:rsidP="00F81C7E">
      <w:pPr>
        <w:pStyle w:val="ListNumber"/>
        <w:numPr>
          <w:ilvl w:val="0"/>
          <w:numId w:val="16"/>
        </w:numPr>
        <w:tabs>
          <w:tab w:val="num" w:pos="993"/>
          <w:tab w:val="left" w:pos="1418"/>
        </w:tabs>
        <w:spacing w:after="240"/>
        <w:ind w:left="709" w:hanging="567"/>
        <w:rPr>
          <w:rFonts w:cs="Open Sans"/>
        </w:rPr>
      </w:pPr>
      <w:r w:rsidRPr="008A56A5">
        <w:rPr>
          <w:rFonts w:cs="Open Sans"/>
        </w:rPr>
        <w:t>In assessing the best interests of a child under article 3 of the CRC, the Commission notes that it is necessary to take into account all of the circumstances of the particular child and the particular action.</w:t>
      </w:r>
      <w:r w:rsidRPr="008A56A5">
        <w:rPr>
          <w:rStyle w:val="EndnoteReference"/>
        </w:rPr>
        <w:endnoteReference w:id="38"/>
      </w:r>
      <w:r w:rsidRPr="008A56A5">
        <w:rPr>
          <w:rFonts w:cs="Open Sans"/>
        </w:rPr>
        <w:t xml:space="preserve"> Article 3 also requires that procedural safeguards are implemented</w:t>
      </w:r>
      <w:r w:rsidR="00675F20" w:rsidRPr="008A56A5">
        <w:rPr>
          <w:rFonts w:cs="Open Sans"/>
        </w:rPr>
        <w:t xml:space="preserve"> that</w:t>
      </w:r>
      <w:r w:rsidRPr="008A56A5">
        <w:rPr>
          <w:rFonts w:cs="Open Sans"/>
        </w:rPr>
        <w:t xml:space="preserve"> allow children to express their views,</w:t>
      </w:r>
      <w:r w:rsidRPr="008A56A5">
        <w:rPr>
          <w:rStyle w:val="EndnoteReference"/>
        </w:rPr>
        <w:endnoteReference w:id="39"/>
      </w:r>
      <w:r w:rsidRPr="008A56A5">
        <w:rPr>
          <w:rFonts w:cs="Open Sans"/>
        </w:rPr>
        <w:t xml:space="preserve"> to ensure that decisions and decision-making processes are transparent,</w:t>
      </w:r>
      <w:r w:rsidRPr="008A56A5">
        <w:rPr>
          <w:rStyle w:val="EndnoteReference"/>
        </w:rPr>
        <w:endnoteReference w:id="40"/>
      </w:r>
      <w:r w:rsidRPr="008A56A5">
        <w:rPr>
          <w:rFonts w:cs="Open Sans"/>
        </w:rPr>
        <w:t xml:space="preserve"> and that </w:t>
      </w:r>
      <w:r w:rsidR="00675F20" w:rsidRPr="008A56A5">
        <w:rPr>
          <w:rFonts w:cs="Open Sans"/>
        </w:rPr>
        <w:t>provide</w:t>
      </w:r>
      <w:r w:rsidRPr="008A56A5">
        <w:rPr>
          <w:rFonts w:cs="Open Sans"/>
        </w:rPr>
        <w:t xml:space="preserve"> mechanisms to review decisions.</w:t>
      </w:r>
      <w:r w:rsidRPr="008A56A5">
        <w:rPr>
          <w:rStyle w:val="EndnoteReference"/>
        </w:rPr>
        <w:endnoteReference w:id="41"/>
      </w:r>
      <w:r w:rsidRPr="008A56A5">
        <w:rPr>
          <w:rFonts w:cs="Open Sans"/>
        </w:rPr>
        <w:t xml:space="preserve"> </w:t>
      </w:r>
    </w:p>
    <w:p w14:paraId="4AF6F6DA" w14:textId="77777777" w:rsidR="00D83356" w:rsidRPr="008A56A5" w:rsidRDefault="00D83356" w:rsidP="00F81C7E">
      <w:pPr>
        <w:pStyle w:val="ListNumber"/>
        <w:numPr>
          <w:ilvl w:val="0"/>
          <w:numId w:val="16"/>
        </w:numPr>
        <w:tabs>
          <w:tab w:val="num" w:pos="993"/>
          <w:tab w:val="left" w:pos="1418"/>
        </w:tabs>
        <w:spacing w:after="240"/>
        <w:ind w:left="709" w:hanging="567"/>
        <w:rPr>
          <w:rFonts w:cs="Open Sans"/>
        </w:rPr>
      </w:pPr>
      <w:r w:rsidRPr="008A56A5">
        <w:rPr>
          <w:rFonts w:cs="Open Sans"/>
        </w:rPr>
        <w:t>Overall, removal of a child’s citizenship is extremely difficult to justify under international law. The Committee on the Rights of the Child, in concluding observations made with respect to Australia, has stated:</w:t>
      </w:r>
    </w:p>
    <w:p w14:paraId="7F68F816" w14:textId="71358EF0" w:rsidR="00D83356" w:rsidRPr="008A56A5" w:rsidRDefault="0077628A" w:rsidP="0077628A">
      <w:pPr>
        <w:pStyle w:val="ListNumber"/>
        <w:numPr>
          <w:ilvl w:val="0"/>
          <w:numId w:val="0"/>
        </w:numPr>
        <w:tabs>
          <w:tab w:val="left" w:pos="1418"/>
        </w:tabs>
        <w:ind w:left="1134" w:hanging="360"/>
        <w:rPr>
          <w:rFonts w:cs="Open Sans"/>
          <w:sz w:val="22"/>
          <w:szCs w:val="22"/>
        </w:rPr>
      </w:pPr>
      <w:r w:rsidRPr="008A56A5">
        <w:rPr>
          <w:rFonts w:cs="Open Sans"/>
          <w:sz w:val="22"/>
          <w:szCs w:val="22"/>
        </w:rPr>
        <w:tab/>
      </w:r>
      <w:r w:rsidR="00D83356" w:rsidRPr="008A56A5">
        <w:rPr>
          <w:rFonts w:cs="Open Sans"/>
          <w:sz w:val="22"/>
          <w:szCs w:val="22"/>
        </w:rPr>
        <w:t xml:space="preserve">With reference to article 8 of the Convention, the Committee further recommends that the State party undertake measures to ensure that no child is deprived of citizenship </w:t>
      </w:r>
      <w:r w:rsidR="00D83356" w:rsidRPr="008A56A5">
        <w:rPr>
          <w:rFonts w:cs="Open Sans"/>
          <w:i/>
          <w:iCs/>
          <w:sz w:val="22"/>
          <w:szCs w:val="22"/>
        </w:rPr>
        <w:t>on any ground</w:t>
      </w:r>
      <w:r w:rsidR="00D83356" w:rsidRPr="008A56A5">
        <w:rPr>
          <w:rFonts w:cs="Open Sans"/>
          <w:sz w:val="22"/>
          <w:szCs w:val="22"/>
        </w:rPr>
        <w:t xml:space="preserve"> regardless of the status of his/her parents. [emphasis added]</w:t>
      </w:r>
      <w:r w:rsidR="00B31FFA" w:rsidRPr="008A56A5">
        <w:rPr>
          <w:rStyle w:val="EndnoteReference"/>
          <w:rFonts w:cs="Open Sans"/>
          <w:szCs w:val="22"/>
        </w:rPr>
        <w:endnoteReference w:id="42"/>
      </w:r>
    </w:p>
    <w:p w14:paraId="5AC60E06" w14:textId="29D42431" w:rsidR="002473C3" w:rsidRPr="008A56A5" w:rsidRDefault="002473C3" w:rsidP="00F81C7E">
      <w:pPr>
        <w:pStyle w:val="ListNumber"/>
        <w:numPr>
          <w:ilvl w:val="0"/>
          <w:numId w:val="16"/>
        </w:numPr>
        <w:tabs>
          <w:tab w:val="num" w:pos="993"/>
          <w:tab w:val="left" w:pos="1418"/>
        </w:tabs>
        <w:spacing w:after="240"/>
        <w:ind w:left="709" w:hanging="567"/>
        <w:rPr>
          <w:rFonts w:cs="Open Sans"/>
        </w:rPr>
      </w:pPr>
      <w:r w:rsidRPr="008A56A5">
        <w:rPr>
          <w:rFonts w:cs="Open Sans"/>
        </w:rPr>
        <w:t xml:space="preserve">With respect to </w:t>
      </w:r>
      <w:r w:rsidR="007A0E19" w:rsidRPr="008A56A5">
        <w:rPr>
          <w:rFonts w:cs="Open Sans"/>
        </w:rPr>
        <w:t xml:space="preserve">proposed s </w:t>
      </w:r>
      <w:r w:rsidR="007A5BB0" w:rsidRPr="008A56A5">
        <w:rPr>
          <w:rFonts w:cs="Open Sans"/>
        </w:rPr>
        <w:t>36D</w:t>
      </w:r>
      <w:r w:rsidRPr="008A56A5">
        <w:rPr>
          <w:rFonts w:cs="Open Sans"/>
        </w:rPr>
        <w:t xml:space="preserve">, the Commission considers that it is inappropriate for younger children to be subject to citizenship loss under the conviction-based regime. This accords with previous calls made by the Commission to raise the age of criminal responsibility to at least 14 years of age. </w:t>
      </w:r>
    </w:p>
    <w:p w14:paraId="6D31DAA6" w14:textId="742A08BA" w:rsidR="002473C3" w:rsidRPr="008A56A5" w:rsidRDefault="002473C3" w:rsidP="00F81C7E">
      <w:pPr>
        <w:pStyle w:val="ListNumber"/>
        <w:numPr>
          <w:ilvl w:val="0"/>
          <w:numId w:val="16"/>
        </w:numPr>
        <w:tabs>
          <w:tab w:val="num" w:pos="993"/>
          <w:tab w:val="left" w:pos="1418"/>
        </w:tabs>
        <w:spacing w:after="240"/>
        <w:ind w:left="709" w:hanging="567"/>
      </w:pPr>
      <w:r w:rsidRPr="008A56A5">
        <w:t xml:space="preserve">Currently, the minimum age of responsibility in all states and territories in Australia is </w:t>
      </w:r>
      <w:r w:rsidR="007874A2" w:rsidRPr="008A56A5">
        <w:t>ten</w:t>
      </w:r>
      <w:r w:rsidRPr="008A56A5">
        <w:t xml:space="preserve"> years of age, mitigated by the principle of </w:t>
      </w:r>
      <w:r w:rsidRPr="008A56A5">
        <w:rPr>
          <w:i/>
          <w:iCs/>
        </w:rPr>
        <w:t>doli incapax</w:t>
      </w:r>
      <w:r w:rsidRPr="008A56A5">
        <w:t>. Th</w:t>
      </w:r>
      <w:r w:rsidR="009B4075" w:rsidRPr="008A56A5">
        <w:t>is age</w:t>
      </w:r>
      <w:r w:rsidRPr="008A56A5">
        <w:t xml:space="preserve"> is comparatively low compared with many other countries.</w:t>
      </w:r>
      <w:r w:rsidRPr="008A56A5">
        <w:rPr>
          <w:rStyle w:val="EndnoteReference"/>
        </w:rPr>
        <w:endnoteReference w:id="43"/>
      </w:r>
      <w:r w:rsidRPr="008A56A5">
        <w:t xml:space="preserve"> There have been increasing and repeated calls for raising this age, including by expert bodies. </w:t>
      </w:r>
    </w:p>
    <w:p w14:paraId="2C9DF908" w14:textId="77777777" w:rsidR="002473C3" w:rsidRPr="008A56A5" w:rsidRDefault="002473C3" w:rsidP="00F81C7E">
      <w:pPr>
        <w:pStyle w:val="ListNumber"/>
        <w:numPr>
          <w:ilvl w:val="0"/>
          <w:numId w:val="16"/>
        </w:numPr>
        <w:tabs>
          <w:tab w:val="num" w:pos="993"/>
          <w:tab w:val="left" w:pos="1418"/>
        </w:tabs>
        <w:spacing w:after="240"/>
        <w:ind w:left="709" w:hanging="567"/>
      </w:pPr>
      <w:r w:rsidRPr="008A56A5">
        <w:t>The United Nations Committee on the Rights of the Child, in its Draft General Comment No 24, has stated that the desirable minimum age of criminal responsibility is at least 14 years old. However, it has commended states to adopt a higher minimum age, for instance at least 15 or 16 years old. The Commission has expressed its support for this position,</w:t>
      </w:r>
      <w:r w:rsidRPr="008A56A5">
        <w:rPr>
          <w:rStyle w:val="EndnoteReference"/>
        </w:rPr>
        <w:endnoteReference w:id="44"/>
      </w:r>
      <w:r w:rsidRPr="008A56A5">
        <w:t xml:space="preserve"> along with the preservation of </w:t>
      </w:r>
      <w:r w:rsidRPr="008A56A5">
        <w:rPr>
          <w:i/>
          <w:iCs/>
        </w:rPr>
        <w:t>doli incapax</w:t>
      </w:r>
      <w:r w:rsidRPr="008A56A5">
        <w:t>, and the availability of appropriate diversionary programs for children.</w:t>
      </w:r>
    </w:p>
    <w:p w14:paraId="436782F2" w14:textId="103B523A" w:rsidR="002473C3" w:rsidRPr="008A56A5" w:rsidRDefault="002473C3" w:rsidP="00F81C7E">
      <w:pPr>
        <w:pStyle w:val="ListNumber"/>
        <w:numPr>
          <w:ilvl w:val="0"/>
          <w:numId w:val="16"/>
        </w:numPr>
        <w:tabs>
          <w:tab w:val="num" w:pos="993"/>
          <w:tab w:val="left" w:pos="1418"/>
        </w:tabs>
        <w:spacing w:after="240"/>
        <w:ind w:left="709" w:hanging="567"/>
      </w:pPr>
      <w:r w:rsidRPr="008A56A5">
        <w:t xml:space="preserve">Reasons for raising the age of criminal responsibility, and the application of </w:t>
      </w:r>
      <w:r w:rsidR="00EB51B5" w:rsidRPr="008A56A5">
        <w:rPr>
          <w:rFonts w:cs="Open Sans"/>
        </w:rPr>
        <w:t>proposed s 36D</w:t>
      </w:r>
      <w:r w:rsidR="00EB51B5" w:rsidRPr="008A56A5">
        <w:t xml:space="preserve"> </w:t>
      </w:r>
      <w:r w:rsidRPr="008A56A5">
        <w:t>to persons aged at least 14 years or older, include that:</w:t>
      </w:r>
    </w:p>
    <w:p w14:paraId="75174BFD" w14:textId="77777777" w:rsidR="002473C3" w:rsidRPr="008A56A5" w:rsidRDefault="002473C3" w:rsidP="00F81C7E">
      <w:pPr>
        <w:pStyle w:val="ListParagraph"/>
        <w:numPr>
          <w:ilvl w:val="0"/>
          <w:numId w:val="18"/>
        </w:numPr>
        <w:spacing w:before="120" w:after="120"/>
      </w:pPr>
      <w:r w:rsidRPr="008A56A5">
        <w:t xml:space="preserve">many children involved in the criminal justice system come from disadvantaged </w:t>
      </w:r>
      <w:r w:rsidRPr="008A56A5">
        <w:rPr>
          <w:rFonts w:cs="Open Sans"/>
        </w:rPr>
        <w:t>backgrounds</w:t>
      </w:r>
      <w:r w:rsidRPr="008A56A5">
        <w:t xml:space="preserve"> and have complex needs better addressed outside the criminal justice system</w:t>
      </w:r>
      <w:r w:rsidRPr="008A56A5">
        <w:rPr>
          <w:rStyle w:val="EndnoteReference"/>
        </w:rPr>
        <w:endnoteReference w:id="45"/>
      </w:r>
    </w:p>
    <w:p w14:paraId="19CB0D18" w14:textId="28320CEA" w:rsidR="002473C3" w:rsidRPr="008A56A5" w:rsidRDefault="002473C3" w:rsidP="00F81C7E">
      <w:pPr>
        <w:pStyle w:val="ListParagraph"/>
        <w:numPr>
          <w:ilvl w:val="0"/>
          <w:numId w:val="18"/>
        </w:numPr>
        <w:spacing w:before="120" w:after="120"/>
      </w:pPr>
      <w:r w:rsidRPr="008A56A5">
        <w:t xml:space="preserve">research on brain development shows that </w:t>
      </w:r>
      <w:r w:rsidR="005A71CD">
        <w:t>younger teens</w:t>
      </w:r>
      <w:r w:rsidRPr="008A56A5">
        <w:t xml:space="preserve"> have not developed the requisite level of maturity to form the necessary intent for full criminal responsibility</w:t>
      </w:r>
      <w:r w:rsidRPr="008A56A5">
        <w:rPr>
          <w:rStyle w:val="EndnoteReference"/>
        </w:rPr>
        <w:endnoteReference w:id="46"/>
      </w:r>
    </w:p>
    <w:p w14:paraId="1DC1FFA7" w14:textId="0C5F3CB1" w:rsidR="002473C3" w:rsidRPr="008A56A5" w:rsidRDefault="002473C3" w:rsidP="00F81C7E">
      <w:pPr>
        <w:pStyle w:val="ListParagraph"/>
        <w:numPr>
          <w:ilvl w:val="0"/>
          <w:numId w:val="18"/>
        </w:numPr>
        <w:spacing w:before="120" w:after="120"/>
      </w:pPr>
      <w:r w:rsidRPr="008A56A5">
        <w:t>younger children, particularly under the age of 1</w:t>
      </w:r>
      <w:r w:rsidR="005A71CD">
        <w:t xml:space="preserve">4 </w:t>
      </w:r>
      <w:r w:rsidRPr="008A56A5">
        <w:t xml:space="preserve">years, </w:t>
      </w:r>
      <w:r w:rsidR="00A40DCE">
        <w:t xml:space="preserve">may </w:t>
      </w:r>
      <w:r w:rsidRPr="008A56A5">
        <w:t>lack the capacity to properly engage in the criminal justice system, resulting in a propensity to accept a plea bargain, give false confessions or fail to keep track of court proceedings</w:t>
      </w:r>
      <w:r w:rsidRPr="008A56A5">
        <w:rPr>
          <w:rStyle w:val="EndnoteReference"/>
        </w:rPr>
        <w:endnoteReference w:id="47"/>
      </w:r>
    </w:p>
    <w:p w14:paraId="36796A68" w14:textId="77777777" w:rsidR="002473C3" w:rsidRPr="008A56A5" w:rsidRDefault="002473C3" w:rsidP="00F81C7E">
      <w:pPr>
        <w:pStyle w:val="ListParagraph"/>
        <w:numPr>
          <w:ilvl w:val="0"/>
          <w:numId w:val="18"/>
        </w:numPr>
        <w:spacing w:before="120" w:after="120"/>
      </w:pPr>
      <w:r w:rsidRPr="008A56A5">
        <w:t>studies have shown that the younger the child is when encountering the justice system, the more likely they are to reoffend</w:t>
      </w:r>
      <w:r w:rsidRPr="008A56A5">
        <w:rPr>
          <w:rStyle w:val="EndnoteReference"/>
        </w:rPr>
        <w:endnoteReference w:id="48"/>
      </w:r>
    </w:p>
    <w:p w14:paraId="6AF3EF38" w14:textId="77777777" w:rsidR="002473C3" w:rsidRPr="008A56A5" w:rsidRDefault="002473C3" w:rsidP="00F81C7E">
      <w:pPr>
        <w:pStyle w:val="ListParagraph"/>
        <w:numPr>
          <w:ilvl w:val="0"/>
          <w:numId w:val="18"/>
        </w:numPr>
        <w:spacing w:before="120" w:after="120"/>
      </w:pPr>
      <w:r w:rsidRPr="008A56A5">
        <w:t>it would bring Australia into line with its obligations under the CRC.</w:t>
      </w:r>
      <w:r w:rsidRPr="008A56A5">
        <w:rPr>
          <w:sz w:val="20"/>
          <w:szCs w:val="20"/>
          <w:vertAlign w:val="superscript"/>
        </w:rPr>
        <w:endnoteReference w:id="49"/>
      </w:r>
    </w:p>
    <w:p w14:paraId="2B2D3693" w14:textId="0801F514" w:rsidR="002473C3" w:rsidRPr="008A56A5" w:rsidRDefault="002473C3" w:rsidP="00F81C7E">
      <w:pPr>
        <w:pStyle w:val="ListNumber"/>
        <w:numPr>
          <w:ilvl w:val="0"/>
          <w:numId w:val="16"/>
        </w:numPr>
        <w:tabs>
          <w:tab w:val="num" w:pos="993"/>
          <w:tab w:val="left" w:pos="1418"/>
        </w:tabs>
        <w:spacing w:after="240"/>
        <w:ind w:left="709" w:hanging="567"/>
      </w:pPr>
      <w:r w:rsidRPr="008A56A5">
        <w:t xml:space="preserve">The Commission considers that young children, aged below 14 years old if not older, should not be subject to criminal responsibility or the related result and adverse impacts of citizenship removal. </w:t>
      </w:r>
      <w:r w:rsidR="00CE55F4" w:rsidRPr="008A56A5">
        <w:rPr>
          <w:rFonts w:cs="Open Sans"/>
        </w:rPr>
        <w:t xml:space="preserve">This would also </w:t>
      </w:r>
      <w:r w:rsidR="00EA6489" w:rsidRPr="008A56A5">
        <w:rPr>
          <w:rFonts w:cs="Open Sans"/>
        </w:rPr>
        <w:t xml:space="preserve">provide </w:t>
      </w:r>
      <w:r w:rsidR="00CE55F4" w:rsidRPr="008A56A5">
        <w:rPr>
          <w:rFonts w:cs="Open Sans"/>
        </w:rPr>
        <w:t>consistency with the conduct-based regime in proposed s 36B, which only applies to person</w:t>
      </w:r>
      <w:r w:rsidR="002F6556" w:rsidRPr="008A56A5">
        <w:rPr>
          <w:rFonts w:cs="Open Sans"/>
        </w:rPr>
        <w:t>s</w:t>
      </w:r>
      <w:r w:rsidR="00CE55F4" w:rsidRPr="008A56A5">
        <w:rPr>
          <w:rFonts w:cs="Open Sans"/>
        </w:rPr>
        <w:t xml:space="preserve"> aged 14 years old or older. </w:t>
      </w:r>
      <w:r w:rsidRPr="008A56A5">
        <w:t xml:space="preserve">The other safeguards currently in place to protect children should also continue to apply. </w:t>
      </w:r>
    </w:p>
    <w:p w14:paraId="181E619B" w14:textId="27EFBFD9" w:rsidR="009B4075" w:rsidRPr="008A56A5" w:rsidRDefault="002473C3" w:rsidP="009B4075">
      <w:pPr>
        <w:keepNext/>
        <w:tabs>
          <w:tab w:val="left" w:pos="1134"/>
          <w:tab w:val="left" w:pos="1418"/>
        </w:tabs>
        <w:spacing w:before="120"/>
        <w:ind w:left="709"/>
        <w:rPr>
          <w:rFonts w:cs="Open Sans"/>
          <w:b/>
        </w:rPr>
      </w:pPr>
      <w:r w:rsidRPr="008A56A5">
        <w:rPr>
          <w:rFonts w:cs="Open Sans"/>
          <w:b/>
        </w:rPr>
        <w:t xml:space="preserve">Recommendation </w:t>
      </w:r>
      <w:r w:rsidR="00353C66" w:rsidRPr="008A56A5">
        <w:rPr>
          <w:rFonts w:cs="Open Sans"/>
          <w:b/>
        </w:rPr>
        <w:t>13</w:t>
      </w:r>
    </w:p>
    <w:p w14:paraId="323DE4F6" w14:textId="560B34F2" w:rsidR="002473C3" w:rsidRPr="008A56A5" w:rsidRDefault="00546670" w:rsidP="009B4075">
      <w:pPr>
        <w:keepNext/>
        <w:tabs>
          <w:tab w:val="left" w:pos="1134"/>
          <w:tab w:val="left" w:pos="1418"/>
        </w:tabs>
        <w:spacing w:before="120"/>
        <w:ind w:left="709"/>
      </w:pPr>
      <w:r w:rsidRPr="008A56A5">
        <w:rPr>
          <w:bCs/>
        </w:rPr>
        <w:t>P</w:t>
      </w:r>
      <w:r w:rsidR="009B4075" w:rsidRPr="008A56A5">
        <w:rPr>
          <w:bCs/>
        </w:rPr>
        <w:t xml:space="preserve">roposed s </w:t>
      </w:r>
      <w:r w:rsidRPr="008A56A5">
        <w:rPr>
          <w:bCs/>
        </w:rPr>
        <w:t xml:space="preserve">36D of the Bill </w:t>
      </w:r>
      <w:r w:rsidR="002473C3" w:rsidRPr="008A56A5">
        <w:rPr>
          <w:rFonts w:cs="Open Sans"/>
        </w:rPr>
        <w:t>should</w:t>
      </w:r>
      <w:r w:rsidRPr="008A56A5">
        <w:rPr>
          <w:rFonts w:cs="Open Sans"/>
        </w:rPr>
        <w:t xml:space="preserve"> be amended so that</w:t>
      </w:r>
      <w:r w:rsidR="002473C3" w:rsidRPr="008A56A5">
        <w:rPr>
          <w:rFonts w:cs="Open Sans"/>
        </w:rPr>
        <w:t xml:space="preserve"> only persons aged at least 14 years of age or older</w:t>
      </w:r>
      <w:r w:rsidR="000C513A" w:rsidRPr="008A56A5">
        <w:rPr>
          <w:rFonts w:cs="Open Sans"/>
        </w:rPr>
        <w:t xml:space="preserve">, rather than </w:t>
      </w:r>
      <w:r w:rsidR="007874A2" w:rsidRPr="008A56A5">
        <w:rPr>
          <w:rFonts w:cs="Open Sans"/>
        </w:rPr>
        <w:t>ten</w:t>
      </w:r>
      <w:r w:rsidR="000C513A" w:rsidRPr="008A56A5">
        <w:rPr>
          <w:rFonts w:cs="Open Sans"/>
        </w:rPr>
        <w:t xml:space="preserve"> years </w:t>
      </w:r>
      <w:r w:rsidR="00EC2759" w:rsidRPr="008A56A5">
        <w:rPr>
          <w:rFonts w:cs="Open Sans"/>
        </w:rPr>
        <w:t xml:space="preserve">of age </w:t>
      </w:r>
      <w:r w:rsidR="000C513A" w:rsidRPr="008A56A5">
        <w:rPr>
          <w:rFonts w:cs="Open Sans"/>
        </w:rPr>
        <w:t>or older,</w:t>
      </w:r>
      <w:r w:rsidRPr="008A56A5">
        <w:rPr>
          <w:rFonts w:cs="Open Sans"/>
        </w:rPr>
        <w:t xml:space="preserve"> can be subject to removal of citizenship on the basis of a criminal conviction</w:t>
      </w:r>
      <w:r w:rsidR="002473C3" w:rsidRPr="008A56A5">
        <w:rPr>
          <w:rFonts w:cs="Open Sans"/>
        </w:rPr>
        <w:t>.</w:t>
      </w:r>
    </w:p>
    <w:p w14:paraId="7E3B7B2F" w14:textId="212DD7F4" w:rsidR="00D56368" w:rsidRPr="008A56A5" w:rsidRDefault="00D56368" w:rsidP="00D56368">
      <w:pPr>
        <w:pStyle w:val="Heading2"/>
      </w:pPr>
      <w:bookmarkStart w:id="68" w:name="_Toc20921371"/>
      <w:bookmarkStart w:id="69" w:name="_Toc21968489"/>
      <w:r w:rsidRPr="008A56A5">
        <w:t>Retrospectivity</w:t>
      </w:r>
      <w:bookmarkEnd w:id="68"/>
      <w:bookmarkEnd w:id="69"/>
    </w:p>
    <w:p w14:paraId="2F9DBC02" w14:textId="1F1F58E1" w:rsidR="0005456E" w:rsidRPr="008A56A5" w:rsidRDefault="0005456E" w:rsidP="0005456E">
      <w:pPr>
        <w:pStyle w:val="ListNumber"/>
        <w:numPr>
          <w:ilvl w:val="0"/>
          <w:numId w:val="15"/>
        </w:numPr>
        <w:tabs>
          <w:tab w:val="num" w:pos="993"/>
          <w:tab w:val="left" w:pos="1418"/>
        </w:tabs>
        <w:ind w:left="709" w:hanging="567"/>
      </w:pPr>
      <w:r w:rsidRPr="008A56A5">
        <w:t xml:space="preserve">Article 15(1) of the ICCPR prohibits retrospective criminal laws, including the imposition of heavier penalties than the one applicable at the time the offence was committed. </w:t>
      </w:r>
    </w:p>
    <w:p w14:paraId="3754FB14" w14:textId="69423AF8" w:rsidR="008045AC" w:rsidRPr="008A56A5" w:rsidRDefault="000C513A" w:rsidP="0043187A">
      <w:pPr>
        <w:pStyle w:val="ListNumber"/>
        <w:numPr>
          <w:ilvl w:val="0"/>
          <w:numId w:val="15"/>
        </w:numPr>
        <w:tabs>
          <w:tab w:val="num" w:pos="993"/>
          <w:tab w:val="left" w:pos="1418"/>
        </w:tabs>
        <w:ind w:left="709" w:hanging="567"/>
        <w:rPr>
          <w:rFonts w:cs="Open Sans"/>
        </w:rPr>
      </w:pPr>
      <w:r w:rsidRPr="008A56A5">
        <w:t>The Bill would e</w:t>
      </w:r>
      <w:r w:rsidR="001F15DE" w:rsidRPr="008A56A5">
        <w:t>xtend the time period in which persons who engaged in specified conduct</w:t>
      </w:r>
      <w:r w:rsidR="008045AC" w:rsidRPr="008A56A5">
        <w:t xml:space="preserve"> or who are </w:t>
      </w:r>
      <w:r w:rsidR="00702CFF" w:rsidRPr="008A56A5">
        <w:t>convicted</w:t>
      </w:r>
      <w:r w:rsidR="008045AC" w:rsidRPr="008A56A5">
        <w:t xml:space="preserve"> </w:t>
      </w:r>
      <w:r w:rsidR="004A5F70" w:rsidRPr="008A56A5">
        <w:t xml:space="preserve">of </w:t>
      </w:r>
      <w:r w:rsidR="008045AC" w:rsidRPr="008A56A5">
        <w:t>certain offences</w:t>
      </w:r>
      <w:r w:rsidR="001F15DE" w:rsidRPr="008A56A5">
        <w:t xml:space="preserve"> may</w:t>
      </w:r>
      <w:r w:rsidR="008045AC" w:rsidRPr="008A56A5">
        <w:t xml:space="preserve"> have their citizenship removed. The effect of this </w:t>
      </w:r>
      <w:r w:rsidR="00007B8F" w:rsidRPr="008A56A5">
        <w:t xml:space="preserve">provision </w:t>
      </w:r>
      <w:r w:rsidR="008045AC" w:rsidRPr="008A56A5">
        <w:t>is to extend the retrospective application of citizenship removal</w:t>
      </w:r>
      <w:r w:rsidR="0043187A" w:rsidRPr="008A56A5">
        <w:t xml:space="preserve">, </w:t>
      </w:r>
      <w:r w:rsidR="0043187A" w:rsidRPr="008A56A5">
        <w:rPr>
          <w:rFonts w:cs="Open Sans"/>
        </w:rPr>
        <w:t xml:space="preserve">capturing conduct and convictions that </w:t>
      </w:r>
      <w:r w:rsidR="001E50A2" w:rsidRPr="008A56A5">
        <w:rPr>
          <w:rFonts w:cs="Open Sans"/>
        </w:rPr>
        <w:t xml:space="preserve">may have </w:t>
      </w:r>
      <w:r w:rsidR="0043187A" w:rsidRPr="008A56A5">
        <w:rPr>
          <w:rFonts w:cs="Open Sans"/>
        </w:rPr>
        <w:t>occurred long before the passage of the Bill</w:t>
      </w:r>
      <w:r w:rsidR="008045AC" w:rsidRPr="008A56A5">
        <w:t xml:space="preserve">. </w:t>
      </w:r>
    </w:p>
    <w:p w14:paraId="3A5E0642" w14:textId="60245909" w:rsidR="008045AC" w:rsidRPr="008A56A5" w:rsidRDefault="008045AC" w:rsidP="00F81C7E">
      <w:pPr>
        <w:pStyle w:val="ListNumber"/>
        <w:numPr>
          <w:ilvl w:val="0"/>
          <w:numId w:val="16"/>
        </w:numPr>
        <w:tabs>
          <w:tab w:val="num" w:pos="993"/>
          <w:tab w:val="left" w:pos="1418"/>
        </w:tabs>
        <w:spacing w:after="240"/>
        <w:ind w:left="709" w:hanging="567"/>
      </w:pPr>
      <w:r w:rsidRPr="008A56A5">
        <w:t xml:space="preserve">Under </w:t>
      </w:r>
      <w:r w:rsidR="00B07E35" w:rsidRPr="008A56A5">
        <w:t>i</w:t>
      </w:r>
      <w:r w:rsidRPr="008A56A5">
        <w:t>tems 18 and 19 of the Bill, the following extended time periods would apply</w:t>
      </w:r>
      <w:r w:rsidR="00D87796" w:rsidRPr="008A56A5">
        <w:t xml:space="preserve"> for citizenship cessation</w:t>
      </w:r>
      <w:r w:rsidR="003B628F" w:rsidRPr="008A56A5">
        <w:t xml:space="preserve"> based on the conduct identified</w:t>
      </w:r>
      <w:r w:rsidRPr="008A56A5">
        <w:t>:</w:t>
      </w:r>
    </w:p>
    <w:p w14:paraId="11C5202D" w14:textId="176E58B4" w:rsidR="00A7615D" w:rsidRPr="008A56A5" w:rsidRDefault="008045AC" w:rsidP="0068307F">
      <w:pPr>
        <w:pStyle w:val="ListNumber"/>
        <w:numPr>
          <w:ilvl w:val="1"/>
          <w:numId w:val="16"/>
        </w:numPr>
        <w:tabs>
          <w:tab w:val="left" w:pos="1418"/>
        </w:tabs>
        <w:ind w:left="1077" w:hanging="357"/>
      </w:pPr>
      <w:r w:rsidRPr="008A56A5">
        <w:t>c</w:t>
      </w:r>
      <w:r w:rsidR="001F15DE" w:rsidRPr="008A56A5">
        <w:t>onduct</w:t>
      </w:r>
      <w:r w:rsidRPr="008A56A5">
        <w:t xml:space="preserve"> in proposed s 36B(5)(a)</w:t>
      </w:r>
      <w:r w:rsidR="00D87796" w:rsidRPr="008A56A5">
        <w:rPr>
          <w:rFonts w:cs="Open Sans"/>
        </w:rPr>
        <w:t>–</w:t>
      </w:r>
      <w:r w:rsidRPr="008A56A5">
        <w:t>(h)</w:t>
      </w:r>
      <w:r w:rsidR="001F15DE" w:rsidRPr="008A56A5">
        <w:t xml:space="preserve"> engaged in </w:t>
      </w:r>
      <w:r w:rsidR="009A5BC6" w:rsidRPr="008A56A5">
        <w:t>from</w:t>
      </w:r>
      <w:r w:rsidR="001F15DE" w:rsidRPr="008A56A5">
        <w:t xml:space="preserve"> 29 May 2003 (compared to 12 December 2015 at present)</w:t>
      </w:r>
    </w:p>
    <w:p w14:paraId="769C6119" w14:textId="4E7BF56E" w:rsidR="009A5BC6" w:rsidRPr="008A56A5" w:rsidRDefault="009A5BC6" w:rsidP="0068307F">
      <w:pPr>
        <w:pStyle w:val="ListNumber"/>
        <w:numPr>
          <w:ilvl w:val="1"/>
          <w:numId w:val="16"/>
        </w:numPr>
        <w:tabs>
          <w:tab w:val="left" w:pos="1418"/>
        </w:tabs>
        <w:ind w:left="1077" w:hanging="357"/>
      </w:pPr>
      <w:r w:rsidRPr="008A56A5">
        <w:t>conduct in proposed s 36B(5)(j), being ‘serving in the armed forces of a country at war with Australia</w:t>
      </w:r>
      <w:r w:rsidR="00B42ADB" w:rsidRPr="008A56A5">
        <w:t>’</w:t>
      </w:r>
      <w:r w:rsidRPr="008A56A5">
        <w:t xml:space="preserve"> </w:t>
      </w:r>
      <w:r w:rsidR="00B42ADB" w:rsidRPr="008A56A5">
        <w:t xml:space="preserve">engaged in at any time in the past </w:t>
      </w:r>
      <w:r w:rsidRPr="008A56A5">
        <w:t xml:space="preserve">(compared to </w:t>
      </w:r>
      <w:r w:rsidR="000F51C8" w:rsidRPr="008A56A5">
        <w:t>1 July 200</w:t>
      </w:r>
      <w:r w:rsidR="007E0432" w:rsidRPr="008A56A5">
        <w:t>7</w:t>
      </w:r>
      <w:r w:rsidRPr="008A56A5">
        <w:t xml:space="preserve"> at present)</w:t>
      </w:r>
    </w:p>
    <w:p w14:paraId="251B5193" w14:textId="545F60F5" w:rsidR="00FD7A25" w:rsidRPr="008A56A5" w:rsidRDefault="00381CF2" w:rsidP="0068307F">
      <w:pPr>
        <w:pStyle w:val="ListNumber"/>
        <w:numPr>
          <w:ilvl w:val="1"/>
          <w:numId w:val="16"/>
        </w:numPr>
        <w:tabs>
          <w:tab w:val="left" w:pos="1418"/>
        </w:tabs>
        <w:ind w:left="1077" w:hanging="357"/>
      </w:pPr>
      <w:r w:rsidRPr="008A56A5">
        <w:t>convictions</w:t>
      </w:r>
      <w:r w:rsidR="00D87796" w:rsidRPr="008A56A5">
        <w:t xml:space="preserve"> </w:t>
      </w:r>
      <w:r w:rsidR="00FA3FAB" w:rsidRPr="008A56A5">
        <w:t xml:space="preserve">of </w:t>
      </w:r>
      <w:r w:rsidR="0073372C" w:rsidRPr="008A56A5">
        <w:t xml:space="preserve">at least </w:t>
      </w:r>
      <w:r w:rsidR="008203B7" w:rsidRPr="008A56A5">
        <w:t>three</w:t>
      </w:r>
      <w:r w:rsidR="0073372C" w:rsidRPr="008A56A5">
        <w:t xml:space="preserve"> years </w:t>
      </w:r>
      <w:r w:rsidR="00D87796" w:rsidRPr="008A56A5">
        <w:t xml:space="preserve">for </w:t>
      </w:r>
      <w:r w:rsidR="0073372C" w:rsidRPr="008A56A5">
        <w:t xml:space="preserve">one or more </w:t>
      </w:r>
      <w:r w:rsidR="00FD7A25" w:rsidRPr="008A56A5">
        <w:t>relevant offence</w:t>
      </w:r>
      <w:r w:rsidR="0073372C" w:rsidRPr="008A56A5">
        <w:t>s</w:t>
      </w:r>
      <w:r w:rsidR="00FD7A25" w:rsidRPr="008A56A5">
        <w:t xml:space="preserve"> </w:t>
      </w:r>
      <w:r w:rsidRPr="008A56A5">
        <w:t xml:space="preserve">under proposed s 36D </w:t>
      </w:r>
      <w:r w:rsidR="00FD7A25" w:rsidRPr="008A56A5">
        <w:t xml:space="preserve">from 29 May 2003 </w:t>
      </w:r>
      <w:r w:rsidR="001E50A2" w:rsidRPr="008A56A5">
        <w:t xml:space="preserve">(compared to </w:t>
      </w:r>
      <w:r w:rsidR="0073372C" w:rsidRPr="008A56A5">
        <w:t xml:space="preserve">convictions of at least </w:t>
      </w:r>
      <w:r w:rsidR="005F47BF" w:rsidRPr="008A56A5">
        <w:t>ten</w:t>
      </w:r>
      <w:r w:rsidR="0073372C" w:rsidRPr="008A56A5">
        <w:t xml:space="preserve"> years for one or more relevant </w:t>
      </w:r>
      <w:r w:rsidR="00337378" w:rsidRPr="008A56A5">
        <w:t xml:space="preserve">offences from </w:t>
      </w:r>
      <w:r w:rsidR="0005456E" w:rsidRPr="008A56A5">
        <w:t>12 December 2005</w:t>
      </w:r>
      <w:r w:rsidR="001E50A2" w:rsidRPr="008A56A5">
        <w:t xml:space="preserve"> </w:t>
      </w:r>
      <w:r w:rsidR="00701A44" w:rsidRPr="008A56A5">
        <w:t xml:space="preserve">or convictions of at least </w:t>
      </w:r>
      <w:r w:rsidR="008203B7" w:rsidRPr="008A56A5">
        <w:t>six</w:t>
      </w:r>
      <w:r w:rsidR="00701A44" w:rsidRPr="008A56A5">
        <w:t xml:space="preserve"> years for one or more relevant offences from 12 December 2015 </w:t>
      </w:r>
      <w:r w:rsidR="001E50A2" w:rsidRPr="008A56A5">
        <w:t>at present).</w:t>
      </w:r>
    </w:p>
    <w:p w14:paraId="466CDAD8" w14:textId="70939BCD" w:rsidR="001E50A2" w:rsidRPr="008A56A5" w:rsidRDefault="001E50A2" w:rsidP="00F81C7E">
      <w:pPr>
        <w:pStyle w:val="ListNumber"/>
        <w:numPr>
          <w:ilvl w:val="0"/>
          <w:numId w:val="16"/>
        </w:numPr>
        <w:tabs>
          <w:tab w:val="num" w:pos="993"/>
          <w:tab w:val="left" w:pos="1418"/>
        </w:tabs>
        <w:spacing w:after="240"/>
        <w:ind w:left="709" w:hanging="567"/>
      </w:pPr>
      <w:r w:rsidRPr="008A56A5">
        <w:t xml:space="preserve">The practical effect of the </w:t>
      </w:r>
      <w:r w:rsidR="00FC003D" w:rsidRPr="008A56A5">
        <w:t xml:space="preserve">provisions </w:t>
      </w:r>
      <w:r w:rsidRPr="008A56A5">
        <w:t>would be that is dual citizens convicted up to 1</w:t>
      </w:r>
      <w:r w:rsidR="00BA59D0" w:rsidRPr="008A56A5">
        <w:t>6</w:t>
      </w:r>
      <w:r w:rsidRPr="008A56A5">
        <w:t xml:space="preserve"> years ago</w:t>
      </w:r>
      <w:r w:rsidR="00BA59D0" w:rsidRPr="008A56A5">
        <w:t>, or who</w:t>
      </w:r>
      <w:r w:rsidR="004E012B" w:rsidRPr="008A56A5">
        <w:t xml:space="preserve"> the Minister was sat</w:t>
      </w:r>
      <w:r w:rsidR="00560866" w:rsidRPr="008A56A5">
        <w:t>i</w:t>
      </w:r>
      <w:r w:rsidR="004E012B" w:rsidRPr="008A56A5">
        <w:t>sf</w:t>
      </w:r>
      <w:r w:rsidR="00560866" w:rsidRPr="008A56A5">
        <w:t>i</w:t>
      </w:r>
      <w:r w:rsidR="004E012B" w:rsidRPr="008A56A5">
        <w:t>ed</w:t>
      </w:r>
      <w:r w:rsidR="00BA59D0" w:rsidRPr="008A56A5">
        <w:t xml:space="preserve"> engaged in proscribed conduct up to 16 years ago,</w:t>
      </w:r>
      <w:r w:rsidRPr="008A56A5">
        <w:t xml:space="preserve"> could now have their citizenship removed. </w:t>
      </w:r>
      <w:r w:rsidR="0005456E" w:rsidRPr="008A56A5">
        <w:t>This is a</w:t>
      </w:r>
      <w:r w:rsidR="00FC4F02" w:rsidRPr="008A56A5">
        <w:t xml:space="preserve">n extension of the retrospective operation of the Act of between </w:t>
      </w:r>
      <w:r w:rsidR="00DB1701" w:rsidRPr="008A56A5">
        <w:t xml:space="preserve">two and a half and 12 and a half years </w:t>
      </w:r>
      <w:r w:rsidR="006F7267" w:rsidRPr="008A56A5">
        <w:t>depending on the offence</w:t>
      </w:r>
      <w:r w:rsidR="00DB1701" w:rsidRPr="008A56A5">
        <w:t>.</w:t>
      </w:r>
      <w:r w:rsidR="004C0C43" w:rsidRPr="008A56A5">
        <w:t xml:space="preserve"> </w:t>
      </w:r>
      <w:r w:rsidR="00DB1701" w:rsidRPr="008A56A5">
        <w:t>A</w:t>
      </w:r>
      <w:r w:rsidR="006F496F" w:rsidRPr="008A56A5">
        <w:t>t the same time</w:t>
      </w:r>
      <w:r w:rsidR="00DB1701" w:rsidRPr="008A56A5">
        <w:t>,</w:t>
      </w:r>
      <w:r w:rsidR="006F496F" w:rsidRPr="008A56A5">
        <w:t xml:space="preserve"> the seriousness of offending that may lead to a loss of citizenship</w:t>
      </w:r>
      <w:r w:rsidR="00DB1701" w:rsidRPr="008A56A5">
        <w:t xml:space="preserve"> is being </w:t>
      </w:r>
      <w:r w:rsidR="006F7267" w:rsidRPr="008A56A5">
        <w:t>significantly reduced</w:t>
      </w:r>
      <w:r w:rsidR="006F496F" w:rsidRPr="008A56A5">
        <w:t>.</w:t>
      </w:r>
    </w:p>
    <w:p w14:paraId="65515905" w14:textId="59B5B16A" w:rsidR="002D4078" w:rsidRPr="008A56A5" w:rsidRDefault="002D4078" w:rsidP="00F81C7E">
      <w:pPr>
        <w:pStyle w:val="ListNumber"/>
        <w:numPr>
          <w:ilvl w:val="0"/>
          <w:numId w:val="16"/>
        </w:numPr>
        <w:tabs>
          <w:tab w:val="num" w:pos="993"/>
          <w:tab w:val="left" w:pos="1418"/>
        </w:tabs>
        <w:spacing w:after="240"/>
        <w:ind w:left="709" w:hanging="567"/>
      </w:pPr>
      <w:r w:rsidRPr="008A56A5">
        <w:t xml:space="preserve">If a person has served in the armed forces of a country at war with Australia, there </w:t>
      </w:r>
      <w:r w:rsidR="00EA1C51" w:rsidRPr="008A56A5">
        <w:t xml:space="preserve">would be </w:t>
      </w:r>
      <w:r w:rsidRPr="008A56A5">
        <w:t xml:space="preserve">no time limit to the retrospective application of the </w:t>
      </w:r>
      <w:r w:rsidR="00EA1C51" w:rsidRPr="008A56A5">
        <w:t xml:space="preserve">citizenship loss provisions </w:t>
      </w:r>
      <w:r w:rsidRPr="008A56A5">
        <w:t>at all.</w:t>
      </w:r>
    </w:p>
    <w:p w14:paraId="307B7D60" w14:textId="2CE81D90" w:rsidR="00CF1A6B" w:rsidRPr="008A56A5" w:rsidRDefault="00E43757" w:rsidP="002036A3">
      <w:pPr>
        <w:pStyle w:val="ListNumber"/>
        <w:numPr>
          <w:ilvl w:val="0"/>
          <w:numId w:val="16"/>
        </w:numPr>
        <w:tabs>
          <w:tab w:val="num" w:pos="993"/>
          <w:tab w:val="left" w:pos="1418"/>
        </w:tabs>
        <w:spacing w:after="240"/>
        <w:ind w:left="709" w:hanging="567"/>
        <w:rPr>
          <w:rFonts w:eastAsiaTheme="minorHAnsi" w:cs="Open Sans"/>
        </w:rPr>
      </w:pPr>
      <w:r w:rsidRPr="008A56A5">
        <w:rPr>
          <w:rFonts w:eastAsiaTheme="minorHAnsi" w:cs="Open Sans"/>
        </w:rPr>
        <w:t>The Statement of Compatibility</w:t>
      </w:r>
      <w:r w:rsidR="001E34F0" w:rsidRPr="008A56A5">
        <w:rPr>
          <w:rFonts w:eastAsiaTheme="minorHAnsi" w:cs="Open Sans"/>
        </w:rPr>
        <w:t xml:space="preserve"> with Human Rights</w:t>
      </w:r>
      <w:r w:rsidRPr="008A56A5">
        <w:rPr>
          <w:rFonts w:eastAsiaTheme="minorHAnsi" w:cs="Open Sans"/>
        </w:rPr>
        <w:t xml:space="preserve"> to the Bill describes the reasons </w:t>
      </w:r>
      <w:r w:rsidRPr="008A56A5">
        <w:t>for</w:t>
      </w:r>
      <w:r w:rsidRPr="008A56A5">
        <w:rPr>
          <w:rFonts w:eastAsiaTheme="minorHAnsi" w:cs="Open Sans"/>
        </w:rPr>
        <w:t xml:space="preserve"> extend</w:t>
      </w:r>
      <w:r w:rsidR="00F95725" w:rsidRPr="008A56A5">
        <w:rPr>
          <w:rFonts w:eastAsiaTheme="minorHAnsi" w:cs="Open Sans"/>
        </w:rPr>
        <w:t>ing</w:t>
      </w:r>
      <w:r w:rsidRPr="008A56A5">
        <w:rPr>
          <w:rFonts w:eastAsiaTheme="minorHAnsi" w:cs="Open Sans"/>
        </w:rPr>
        <w:t xml:space="preserve"> retrospectivity as follows:</w:t>
      </w:r>
    </w:p>
    <w:p w14:paraId="7A49DB97" w14:textId="77777777" w:rsidR="005C2A05" w:rsidRPr="008A56A5" w:rsidRDefault="00CF1A6B" w:rsidP="005C2A05">
      <w:pPr>
        <w:pStyle w:val="ListNumber"/>
        <w:numPr>
          <w:ilvl w:val="0"/>
          <w:numId w:val="0"/>
        </w:numPr>
        <w:tabs>
          <w:tab w:val="left" w:pos="1418"/>
        </w:tabs>
        <w:ind w:left="1876" w:hanging="1156"/>
        <w:rPr>
          <w:rFonts w:eastAsiaTheme="minorHAnsi" w:cs="Open Sans"/>
          <w:sz w:val="22"/>
          <w:szCs w:val="22"/>
        </w:rPr>
      </w:pPr>
      <w:r w:rsidRPr="008A56A5">
        <w:rPr>
          <w:rFonts w:eastAsiaTheme="minorHAnsi" w:cs="Open Sans"/>
          <w:sz w:val="22"/>
          <w:szCs w:val="22"/>
        </w:rPr>
        <w:tab/>
      </w:r>
      <w:r w:rsidR="00ED2AF0" w:rsidRPr="008A56A5">
        <w:rPr>
          <w:rFonts w:eastAsiaTheme="minorHAnsi" w:cs="Open Sans"/>
          <w:sz w:val="22"/>
          <w:szCs w:val="22"/>
        </w:rPr>
        <w:tab/>
      </w:r>
      <w:r w:rsidRPr="008A56A5">
        <w:rPr>
          <w:rFonts w:eastAsiaTheme="minorHAnsi" w:cs="Open Sans"/>
          <w:sz w:val="22"/>
          <w:szCs w:val="22"/>
        </w:rPr>
        <w:t>44.</w:t>
      </w:r>
      <w:r w:rsidR="00ED2AF0" w:rsidRPr="008A56A5">
        <w:rPr>
          <w:rFonts w:eastAsiaTheme="minorHAnsi" w:cs="Open Sans"/>
          <w:sz w:val="22"/>
          <w:szCs w:val="22"/>
        </w:rPr>
        <w:t xml:space="preserve"> </w:t>
      </w:r>
      <w:r w:rsidR="00ED2AF0" w:rsidRPr="008A56A5">
        <w:rPr>
          <w:rFonts w:eastAsiaTheme="minorHAnsi" w:cs="Open Sans"/>
          <w:sz w:val="22"/>
          <w:szCs w:val="22"/>
        </w:rPr>
        <w:tab/>
        <w:t>Relevantly, making a citizenship cessation determination following conviction does not amount to an additional punishment for an offence for which a person has already been convicted or acquitted. Rather than being a punitive measure, this provision, and its retrospective application, provides further administrative options to manage offenders who continue to pose a threat to the community. Section 36D does not create a new criminal offence; rather, it allows for the imposition of an administrative consequence at the Minister’s discretion. When doing so, the Minister must be satisfied it is not in the public interest for the individual to remain an Australia citizen, having regard to a number of factors.</w:t>
      </w:r>
    </w:p>
    <w:p w14:paraId="61C81E63" w14:textId="07C97A7F" w:rsidR="00ED2AF0" w:rsidRPr="008A56A5" w:rsidRDefault="005C2A05" w:rsidP="005C2A05">
      <w:pPr>
        <w:pStyle w:val="ListNumber"/>
        <w:numPr>
          <w:ilvl w:val="0"/>
          <w:numId w:val="0"/>
        </w:numPr>
        <w:tabs>
          <w:tab w:val="left" w:pos="1418"/>
        </w:tabs>
        <w:ind w:left="1876" w:hanging="1156"/>
        <w:rPr>
          <w:rFonts w:eastAsiaTheme="minorHAnsi" w:cs="Open Sans"/>
          <w:sz w:val="22"/>
          <w:szCs w:val="22"/>
        </w:rPr>
      </w:pPr>
      <w:r w:rsidRPr="008A56A5">
        <w:rPr>
          <w:rFonts w:eastAsiaTheme="minorHAnsi" w:cs="Open Sans"/>
          <w:sz w:val="22"/>
          <w:szCs w:val="22"/>
        </w:rPr>
        <w:tab/>
      </w:r>
      <w:r w:rsidRPr="008A56A5">
        <w:rPr>
          <w:rFonts w:eastAsiaTheme="minorHAnsi" w:cs="Open Sans"/>
          <w:sz w:val="22"/>
          <w:szCs w:val="22"/>
        </w:rPr>
        <w:tab/>
      </w:r>
      <w:r w:rsidRPr="008A56A5">
        <w:rPr>
          <w:rFonts w:eastAsiaTheme="minorHAnsi" w:cs="Open Sans"/>
          <w:sz w:val="22"/>
          <w:szCs w:val="22"/>
        </w:rPr>
        <w:tab/>
      </w:r>
      <w:r w:rsidR="00ED2AF0" w:rsidRPr="008A56A5">
        <w:rPr>
          <w:rFonts w:eastAsiaTheme="minorHAnsi" w:cs="Open Sans"/>
          <w:sz w:val="22"/>
          <w:szCs w:val="22"/>
        </w:rPr>
        <w:t>…</w:t>
      </w:r>
    </w:p>
    <w:p w14:paraId="407AC4D2" w14:textId="1690BDB7" w:rsidR="00CF1A6B" w:rsidRPr="008A56A5" w:rsidRDefault="00ED2AF0" w:rsidP="00A041AE">
      <w:pPr>
        <w:pStyle w:val="ListNumber"/>
        <w:numPr>
          <w:ilvl w:val="0"/>
          <w:numId w:val="0"/>
        </w:numPr>
        <w:tabs>
          <w:tab w:val="left" w:pos="1418"/>
        </w:tabs>
        <w:ind w:left="1876" w:hanging="1156"/>
        <w:rPr>
          <w:rFonts w:eastAsiaTheme="minorHAnsi" w:cs="Open Sans"/>
          <w:sz w:val="22"/>
          <w:szCs w:val="22"/>
        </w:rPr>
      </w:pPr>
      <w:r w:rsidRPr="008A56A5">
        <w:rPr>
          <w:rFonts w:eastAsiaTheme="minorHAnsi" w:cs="Open Sans"/>
          <w:sz w:val="22"/>
          <w:szCs w:val="22"/>
        </w:rPr>
        <w:tab/>
      </w:r>
      <w:r w:rsidRPr="008A56A5">
        <w:rPr>
          <w:rFonts w:eastAsiaTheme="minorHAnsi" w:cs="Open Sans"/>
          <w:sz w:val="22"/>
          <w:szCs w:val="22"/>
        </w:rPr>
        <w:tab/>
      </w:r>
      <w:r w:rsidR="00E43757" w:rsidRPr="008A56A5">
        <w:rPr>
          <w:rFonts w:eastAsiaTheme="minorHAnsi" w:cs="Open Sans"/>
          <w:sz w:val="22"/>
          <w:szCs w:val="22"/>
        </w:rPr>
        <w:t>47.</w:t>
      </w:r>
      <w:r w:rsidR="00E43757" w:rsidRPr="008A56A5">
        <w:rPr>
          <w:rFonts w:eastAsiaTheme="minorHAnsi" w:cs="Open Sans"/>
          <w:sz w:val="22"/>
          <w:szCs w:val="22"/>
        </w:rPr>
        <w:tab/>
        <w:t xml:space="preserve">Past terrorist–related conduct is widely recognised as repugnant and a contradiction of the values that define our society. It is appropriate to take past conduct into consideration in order to ensure the safety and security of Australia and its people, and to ensure the community of Australian citizens is limited to those who continue to retain an allegiance to Australia. The discretionary nature of the cessation provisions and the public interest criteria the Minister may regard in </w:t>
      </w:r>
      <w:proofErr w:type="gramStart"/>
      <w:r w:rsidR="00E43757" w:rsidRPr="008A56A5">
        <w:rPr>
          <w:rFonts w:eastAsiaTheme="minorHAnsi" w:cs="Open Sans"/>
          <w:sz w:val="22"/>
          <w:szCs w:val="22"/>
        </w:rPr>
        <w:t>making a determination</w:t>
      </w:r>
      <w:proofErr w:type="gramEnd"/>
      <w:r w:rsidR="00E43757" w:rsidRPr="008A56A5">
        <w:rPr>
          <w:rFonts w:eastAsiaTheme="minorHAnsi" w:cs="Open Sans"/>
          <w:sz w:val="22"/>
          <w:szCs w:val="22"/>
        </w:rPr>
        <w:t xml:space="preserve"> prevent arbitrary application.</w:t>
      </w:r>
      <w:r w:rsidR="007308D1" w:rsidRPr="008A56A5">
        <w:rPr>
          <w:rStyle w:val="EndnoteReference"/>
          <w:rFonts w:eastAsiaTheme="minorHAnsi" w:cs="Open Sans"/>
          <w:szCs w:val="22"/>
        </w:rPr>
        <w:endnoteReference w:id="50"/>
      </w:r>
    </w:p>
    <w:p w14:paraId="7B28ABB5" w14:textId="3C81B003" w:rsidR="000C3953" w:rsidRPr="008A56A5" w:rsidRDefault="000C3953" w:rsidP="000C3953">
      <w:pPr>
        <w:pStyle w:val="ListNumber"/>
        <w:numPr>
          <w:ilvl w:val="0"/>
          <w:numId w:val="15"/>
        </w:numPr>
        <w:tabs>
          <w:tab w:val="num" w:pos="993"/>
          <w:tab w:val="left" w:pos="1418"/>
        </w:tabs>
        <w:ind w:left="709" w:hanging="567"/>
        <w:rPr>
          <w:rFonts w:cs="Open Sans"/>
        </w:rPr>
      </w:pPr>
      <w:r w:rsidRPr="008A56A5">
        <w:rPr>
          <w:rFonts w:cs="Open Sans"/>
        </w:rPr>
        <w:t xml:space="preserve">The Commission </w:t>
      </w:r>
      <w:r w:rsidR="00ED2AF0" w:rsidRPr="008A56A5">
        <w:rPr>
          <w:rFonts w:cs="Open Sans"/>
        </w:rPr>
        <w:t xml:space="preserve">has previously articulated in detail why it </w:t>
      </w:r>
      <w:r w:rsidRPr="008A56A5">
        <w:rPr>
          <w:rFonts w:cs="Open Sans"/>
        </w:rPr>
        <w:t>considers that, in the present context, the removal of citizenship</w:t>
      </w:r>
      <w:r w:rsidR="00ED2AF0" w:rsidRPr="008A56A5">
        <w:rPr>
          <w:rFonts w:cs="Open Sans"/>
        </w:rPr>
        <w:t xml:space="preserve"> constitute</w:t>
      </w:r>
      <w:r w:rsidR="00F95725" w:rsidRPr="008A56A5">
        <w:rPr>
          <w:rFonts w:cs="Open Sans"/>
        </w:rPr>
        <w:t>s</w:t>
      </w:r>
      <w:r w:rsidR="00ED2AF0" w:rsidRPr="008A56A5">
        <w:rPr>
          <w:rFonts w:cs="Open Sans"/>
        </w:rPr>
        <w:t xml:space="preserve"> a</w:t>
      </w:r>
      <w:r w:rsidRPr="008A56A5">
        <w:rPr>
          <w:rFonts w:cs="Open Sans"/>
        </w:rPr>
        <w:t xml:space="preserve"> penalty in a manner that is inconsistent with article 15(1).</w:t>
      </w:r>
      <w:r w:rsidR="00ED2AF0" w:rsidRPr="008A56A5">
        <w:rPr>
          <w:rStyle w:val="EndnoteReference"/>
          <w:rFonts w:cs="Open Sans"/>
        </w:rPr>
        <w:endnoteReference w:id="51"/>
      </w:r>
    </w:p>
    <w:p w14:paraId="0596E18D" w14:textId="4DEE19B8" w:rsidR="000A2DC8" w:rsidRPr="008A56A5" w:rsidRDefault="000C3953" w:rsidP="000A2DC8">
      <w:pPr>
        <w:pStyle w:val="ListNumber"/>
        <w:numPr>
          <w:ilvl w:val="0"/>
          <w:numId w:val="15"/>
        </w:numPr>
        <w:tabs>
          <w:tab w:val="num" w:pos="993"/>
          <w:tab w:val="left" w:pos="1418"/>
        </w:tabs>
        <w:ind w:left="709" w:hanging="567"/>
        <w:rPr>
          <w:rFonts w:eastAsia="Times New Roman" w:cs="Open Sans"/>
          <w:sz w:val="22"/>
        </w:rPr>
      </w:pPr>
      <w:r w:rsidRPr="008A56A5">
        <w:rPr>
          <w:rFonts w:cs="Open Sans"/>
        </w:rPr>
        <w:t>Further, r</w:t>
      </w:r>
      <w:r w:rsidR="000A2DC8" w:rsidRPr="008A56A5">
        <w:rPr>
          <w:rFonts w:cs="Open Sans"/>
        </w:rPr>
        <w:t xml:space="preserve">etrospective laws, and in particular criminal laws, are generally contrary to the rule of law. </w:t>
      </w:r>
      <w:r w:rsidR="000A2DC8" w:rsidRPr="008A56A5">
        <w:rPr>
          <w:rFonts w:eastAsiaTheme="minorHAnsi" w:cs="Open Sans"/>
        </w:rPr>
        <w:t>It is a fundamental principle that the existence of an offence and penalty be established prospectively, as</w:t>
      </w:r>
      <w:r w:rsidR="000A2DC8" w:rsidRPr="008A56A5">
        <w:rPr>
          <w:rFonts w:cs="Open Sans"/>
        </w:rPr>
        <w:t xml:space="preserve"> reflected in the common law presumption against retrospectivity.</w:t>
      </w:r>
      <w:r w:rsidR="000A2DC8" w:rsidRPr="008A56A5">
        <w:rPr>
          <w:rStyle w:val="EndnoteReference"/>
          <w:rFonts w:cs="Open Sans"/>
        </w:rPr>
        <w:endnoteReference w:id="52"/>
      </w:r>
      <w:r w:rsidR="000A2DC8" w:rsidRPr="008A56A5">
        <w:rPr>
          <w:rFonts w:cs="Open Sans"/>
        </w:rPr>
        <w:t xml:space="preserve"> </w:t>
      </w:r>
    </w:p>
    <w:p w14:paraId="790CBA49" w14:textId="4EE19C97" w:rsidR="003F250F" w:rsidRPr="008A56A5" w:rsidRDefault="000A2DC8" w:rsidP="000A2DC8">
      <w:pPr>
        <w:pStyle w:val="ListNumber"/>
        <w:numPr>
          <w:ilvl w:val="0"/>
          <w:numId w:val="15"/>
        </w:numPr>
        <w:tabs>
          <w:tab w:val="num" w:pos="993"/>
          <w:tab w:val="left" w:pos="1418"/>
        </w:tabs>
        <w:ind w:left="709" w:hanging="567"/>
        <w:rPr>
          <w:rFonts w:eastAsiaTheme="minorHAnsi" w:cs="Open Sans"/>
        </w:rPr>
      </w:pPr>
      <w:r w:rsidRPr="008A56A5">
        <w:rPr>
          <w:rFonts w:eastAsiaTheme="minorHAnsi" w:cs="Open Sans"/>
        </w:rPr>
        <w:t xml:space="preserve">The </w:t>
      </w:r>
      <w:r w:rsidR="003F250F" w:rsidRPr="008A56A5">
        <w:rPr>
          <w:rFonts w:eastAsiaTheme="minorHAnsi" w:cs="Open Sans"/>
        </w:rPr>
        <w:t xml:space="preserve">Commission notes that the </w:t>
      </w:r>
      <w:r w:rsidRPr="008A56A5">
        <w:rPr>
          <w:rFonts w:eastAsiaTheme="minorHAnsi" w:cs="Open Sans"/>
        </w:rPr>
        <w:t>retrospectiv</w:t>
      </w:r>
      <w:r w:rsidR="002B69F0" w:rsidRPr="008A56A5">
        <w:rPr>
          <w:rFonts w:eastAsiaTheme="minorHAnsi" w:cs="Open Sans"/>
        </w:rPr>
        <w:t>ity</w:t>
      </w:r>
      <w:r w:rsidRPr="008A56A5">
        <w:rPr>
          <w:rFonts w:eastAsiaTheme="minorHAnsi" w:cs="Open Sans"/>
        </w:rPr>
        <w:t xml:space="preserve"> of the </w:t>
      </w:r>
      <w:r w:rsidR="002B69F0" w:rsidRPr="008A56A5">
        <w:rPr>
          <w:rFonts w:eastAsiaTheme="minorHAnsi" w:cs="Open Sans"/>
        </w:rPr>
        <w:t xml:space="preserve">originally introduced </w:t>
      </w:r>
      <w:r w:rsidRPr="008A56A5">
        <w:rPr>
          <w:rFonts w:eastAsiaTheme="minorHAnsi" w:cs="Open Sans"/>
        </w:rPr>
        <w:t>citizenship removal powers</w:t>
      </w:r>
      <w:r w:rsidR="005F7A66" w:rsidRPr="008A56A5">
        <w:rPr>
          <w:rFonts w:eastAsiaTheme="minorHAnsi" w:cs="Open Sans"/>
        </w:rPr>
        <w:t xml:space="preserve"> </w:t>
      </w:r>
      <w:r w:rsidR="002B69F0" w:rsidRPr="008A56A5">
        <w:rPr>
          <w:rFonts w:eastAsiaTheme="minorHAnsi" w:cs="Open Sans"/>
        </w:rPr>
        <w:t>in</w:t>
      </w:r>
      <w:r w:rsidRPr="008A56A5">
        <w:rPr>
          <w:rFonts w:eastAsiaTheme="minorHAnsi" w:cs="Open Sans"/>
        </w:rPr>
        <w:t xml:space="preserve"> the </w:t>
      </w:r>
      <w:r w:rsidR="005F7A66" w:rsidRPr="008A56A5">
        <w:rPr>
          <w:rFonts w:cs="Open Sans"/>
          <w:i/>
        </w:rPr>
        <w:t>Australian Citizenship Amendment (Allegiance to Australia) Act 2015</w:t>
      </w:r>
      <w:r w:rsidR="005F7A66" w:rsidRPr="008A56A5">
        <w:rPr>
          <w:rFonts w:cs="Open Sans"/>
        </w:rPr>
        <w:t xml:space="preserve"> (Cth) </w:t>
      </w:r>
      <w:r w:rsidRPr="008A56A5">
        <w:rPr>
          <w:rFonts w:eastAsiaTheme="minorHAnsi" w:cs="Open Sans"/>
        </w:rPr>
        <w:t>wa</w:t>
      </w:r>
      <w:r w:rsidR="002B69F0" w:rsidRPr="008A56A5">
        <w:rPr>
          <w:rFonts w:eastAsiaTheme="minorHAnsi" w:cs="Open Sans"/>
        </w:rPr>
        <w:t xml:space="preserve">s </w:t>
      </w:r>
      <w:r w:rsidRPr="008A56A5">
        <w:rPr>
          <w:rFonts w:eastAsiaTheme="minorHAnsi" w:cs="Open Sans"/>
        </w:rPr>
        <w:t xml:space="preserve">restricted to individuals convicted of a relevant </w:t>
      </w:r>
      <w:r w:rsidRPr="008A56A5">
        <w:rPr>
          <w:rFonts w:cs="Open Sans"/>
        </w:rPr>
        <w:t>offence</w:t>
      </w:r>
      <w:r w:rsidRPr="008A56A5">
        <w:rPr>
          <w:rFonts w:eastAsiaTheme="minorHAnsi" w:cs="Open Sans"/>
        </w:rPr>
        <w:t xml:space="preserve"> with a term of at least ten years imprisonment</w:t>
      </w:r>
      <w:r w:rsidR="002B69F0" w:rsidRPr="008A56A5">
        <w:rPr>
          <w:rFonts w:eastAsiaTheme="minorHAnsi" w:cs="Open Sans"/>
        </w:rPr>
        <w:t>,</w:t>
      </w:r>
      <w:r w:rsidRPr="008A56A5">
        <w:rPr>
          <w:rFonts w:eastAsiaTheme="minorHAnsi" w:cs="Open Sans"/>
        </w:rPr>
        <w:t xml:space="preserve"> </w:t>
      </w:r>
      <w:r w:rsidR="00B3434C" w:rsidRPr="008A56A5">
        <w:rPr>
          <w:rFonts w:eastAsiaTheme="minorHAnsi" w:cs="Open Sans"/>
        </w:rPr>
        <w:t>within</w:t>
      </w:r>
      <w:r w:rsidRPr="008A56A5">
        <w:rPr>
          <w:rFonts w:eastAsiaTheme="minorHAnsi" w:cs="Open Sans"/>
        </w:rPr>
        <w:t xml:space="preserve"> ten years prior to the passage of that Act. </w:t>
      </w:r>
    </w:p>
    <w:p w14:paraId="449B21F1" w14:textId="368A0478" w:rsidR="00B3434C" w:rsidRPr="008A56A5" w:rsidRDefault="000A2DC8" w:rsidP="000A2DC8">
      <w:pPr>
        <w:pStyle w:val="ListNumber"/>
        <w:numPr>
          <w:ilvl w:val="0"/>
          <w:numId w:val="15"/>
        </w:numPr>
        <w:tabs>
          <w:tab w:val="num" w:pos="993"/>
          <w:tab w:val="left" w:pos="1418"/>
        </w:tabs>
        <w:ind w:left="709" w:hanging="567"/>
        <w:rPr>
          <w:rFonts w:eastAsiaTheme="minorHAnsi" w:cs="Open Sans"/>
        </w:rPr>
      </w:pPr>
      <w:r w:rsidRPr="008A56A5">
        <w:rPr>
          <w:rFonts w:eastAsiaTheme="minorHAnsi" w:cs="Open Sans"/>
        </w:rPr>
        <w:t>Th</w:t>
      </w:r>
      <w:r w:rsidR="005F7A66" w:rsidRPr="008A56A5">
        <w:rPr>
          <w:rFonts w:eastAsiaTheme="minorHAnsi" w:cs="Open Sans"/>
        </w:rPr>
        <w:t xml:space="preserve">e </w:t>
      </w:r>
      <w:r w:rsidR="007874A2" w:rsidRPr="008A56A5">
        <w:rPr>
          <w:rFonts w:eastAsiaTheme="minorHAnsi" w:cs="Open Sans"/>
        </w:rPr>
        <w:t xml:space="preserve">ten </w:t>
      </w:r>
      <w:r w:rsidR="005F7A66" w:rsidRPr="008A56A5">
        <w:rPr>
          <w:rFonts w:eastAsiaTheme="minorHAnsi" w:cs="Open Sans"/>
        </w:rPr>
        <w:t>year limit on retrospective application</w:t>
      </w:r>
      <w:r w:rsidRPr="008A56A5">
        <w:rPr>
          <w:rFonts w:eastAsiaTheme="minorHAnsi" w:cs="Open Sans"/>
        </w:rPr>
        <w:t xml:space="preserve"> implemented a recommendation</w:t>
      </w:r>
      <w:r w:rsidR="00C90A73" w:rsidRPr="008A56A5">
        <w:rPr>
          <w:rFonts w:eastAsiaTheme="minorHAnsi" w:cs="Open Sans"/>
        </w:rPr>
        <w:t xml:space="preserve"> previously</w:t>
      </w:r>
      <w:r w:rsidRPr="008A56A5">
        <w:rPr>
          <w:rFonts w:eastAsiaTheme="minorHAnsi" w:cs="Open Sans"/>
        </w:rPr>
        <w:t xml:space="preserve"> made by </w:t>
      </w:r>
      <w:r w:rsidR="002366EF" w:rsidRPr="008A56A5">
        <w:rPr>
          <w:rFonts w:eastAsiaTheme="minorHAnsi" w:cs="Open Sans"/>
        </w:rPr>
        <w:t xml:space="preserve">this </w:t>
      </w:r>
      <w:r w:rsidR="00B3434C" w:rsidRPr="008A56A5">
        <w:rPr>
          <w:rFonts w:eastAsiaTheme="minorHAnsi" w:cs="Open Sans"/>
        </w:rPr>
        <w:t>Committee</w:t>
      </w:r>
      <w:r w:rsidRPr="008A56A5">
        <w:rPr>
          <w:rFonts w:eastAsiaTheme="minorHAnsi" w:cs="Open Sans"/>
        </w:rPr>
        <w:t xml:space="preserve">. </w:t>
      </w:r>
      <w:r w:rsidR="009B65D4" w:rsidRPr="008A56A5">
        <w:rPr>
          <w:rFonts w:eastAsiaTheme="minorHAnsi" w:cs="Open Sans"/>
        </w:rPr>
        <w:t>In this respect, the Committee stated:</w:t>
      </w:r>
    </w:p>
    <w:p w14:paraId="0BF71A7C" w14:textId="75029EB9" w:rsidR="00721FC2" w:rsidRPr="008A56A5" w:rsidRDefault="00721FC2" w:rsidP="002F02B7">
      <w:pPr>
        <w:pStyle w:val="ListNumber"/>
        <w:numPr>
          <w:ilvl w:val="0"/>
          <w:numId w:val="0"/>
        </w:numPr>
        <w:tabs>
          <w:tab w:val="left" w:pos="1418"/>
        </w:tabs>
        <w:ind w:left="1876" w:hanging="1156"/>
        <w:rPr>
          <w:rFonts w:eastAsiaTheme="minorHAnsi" w:cs="Open Sans"/>
          <w:sz w:val="22"/>
          <w:szCs w:val="22"/>
        </w:rPr>
      </w:pPr>
      <w:r w:rsidRPr="008A56A5">
        <w:rPr>
          <w:rFonts w:eastAsiaTheme="minorHAnsi" w:cs="Open Sans"/>
          <w:sz w:val="22"/>
          <w:szCs w:val="22"/>
        </w:rPr>
        <w:tab/>
      </w:r>
      <w:r w:rsidRPr="008A56A5">
        <w:rPr>
          <w:rFonts w:eastAsiaTheme="minorHAnsi" w:cs="Open Sans"/>
          <w:sz w:val="22"/>
          <w:szCs w:val="22"/>
        </w:rPr>
        <w:tab/>
        <w:t>6.85</w:t>
      </w:r>
      <w:r w:rsidR="00A041AE" w:rsidRPr="008A56A5">
        <w:rPr>
          <w:rFonts w:eastAsiaTheme="minorHAnsi" w:cs="Open Sans"/>
          <w:sz w:val="22"/>
          <w:szCs w:val="22"/>
        </w:rPr>
        <w:t xml:space="preserve"> </w:t>
      </w:r>
      <w:r w:rsidRPr="008A56A5">
        <w:rPr>
          <w:rFonts w:eastAsiaTheme="minorHAnsi" w:cs="Open Sans"/>
          <w:sz w:val="22"/>
          <w:szCs w:val="22"/>
        </w:rPr>
        <w:t xml:space="preserve">The Committee acknowledges the concerns raised by stakeholders. The Committee acknowledges that retrospectivity should only be applied with great caution and following careful deliberation, with regard to the nation as a whole. </w:t>
      </w:r>
    </w:p>
    <w:p w14:paraId="17106DE5" w14:textId="6DE25811" w:rsidR="00A10777" w:rsidRPr="008A56A5" w:rsidRDefault="00721FC2" w:rsidP="002F02B7">
      <w:pPr>
        <w:pStyle w:val="ListNumber"/>
        <w:numPr>
          <w:ilvl w:val="0"/>
          <w:numId w:val="0"/>
        </w:numPr>
        <w:tabs>
          <w:tab w:val="left" w:pos="1418"/>
        </w:tabs>
        <w:ind w:left="1876" w:hanging="1156"/>
        <w:rPr>
          <w:rFonts w:eastAsiaTheme="minorHAnsi" w:cs="Open Sans"/>
          <w:sz w:val="22"/>
          <w:szCs w:val="22"/>
        </w:rPr>
      </w:pPr>
      <w:r w:rsidRPr="008A56A5">
        <w:rPr>
          <w:rFonts w:eastAsiaTheme="minorHAnsi" w:cs="Open Sans"/>
          <w:sz w:val="22"/>
          <w:szCs w:val="22"/>
        </w:rPr>
        <w:tab/>
      </w:r>
      <w:r w:rsidRPr="008A56A5">
        <w:rPr>
          <w:rFonts w:eastAsiaTheme="minorHAnsi" w:cs="Open Sans"/>
          <w:sz w:val="22"/>
          <w:szCs w:val="22"/>
        </w:rPr>
        <w:tab/>
        <w:t>6.86</w:t>
      </w:r>
      <w:r w:rsidRPr="008A56A5">
        <w:rPr>
          <w:rFonts w:eastAsiaTheme="minorHAnsi" w:cs="Open Sans"/>
          <w:sz w:val="22"/>
          <w:szCs w:val="22"/>
        </w:rPr>
        <w:tab/>
      </w:r>
      <w:r w:rsidR="00F95725" w:rsidRPr="008A56A5">
        <w:rPr>
          <w:rFonts w:eastAsiaTheme="minorHAnsi" w:cs="Open Sans"/>
          <w:sz w:val="22"/>
          <w:szCs w:val="22"/>
        </w:rPr>
        <w:t xml:space="preserve"> </w:t>
      </w:r>
      <w:r w:rsidRPr="008A56A5">
        <w:rPr>
          <w:rFonts w:eastAsiaTheme="minorHAnsi" w:cs="Open Sans"/>
          <w:sz w:val="22"/>
          <w:szCs w:val="22"/>
        </w:rPr>
        <w:t>While some members of the Committee expressed concern regarding the principle of retrospective application, on balance the Committee determined these to be special circumstances. The Committee formed the view that past terrorist–related conduct, to which persons have been convicted under Australian law, is conduct that all members of the Australian community would view as repugnant and a deliberate step outside of the values that define our society.</w:t>
      </w:r>
    </w:p>
    <w:p w14:paraId="5D47CFBA" w14:textId="3CEE83E3" w:rsidR="00721FC2" w:rsidRPr="008A56A5" w:rsidRDefault="00721FC2" w:rsidP="002F02B7">
      <w:pPr>
        <w:pStyle w:val="ListNumber"/>
        <w:numPr>
          <w:ilvl w:val="0"/>
          <w:numId w:val="0"/>
        </w:numPr>
        <w:tabs>
          <w:tab w:val="left" w:pos="1418"/>
        </w:tabs>
        <w:ind w:left="1876" w:hanging="1156"/>
        <w:rPr>
          <w:rFonts w:eastAsiaTheme="minorHAnsi" w:cs="Open Sans"/>
          <w:sz w:val="22"/>
          <w:szCs w:val="22"/>
        </w:rPr>
      </w:pPr>
      <w:r w:rsidRPr="008A56A5">
        <w:rPr>
          <w:rFonts w:eastAsiaTheme="minorHAnsi" w:cs="Open Sans"/>
          <w:sz w:val="22"/>
          <w:szCs w:val="22"/>
        </w:rPr>
        <w:tab/>
      </w:r>
      <w:r w:rsidRPr="008A56A5">
        <w:rPr>
          <w:rFonts w:eastAsiaTheme="minorHAnsi" w:cs="Open Sans"/>
          <w:sz w:val="22"/>
          <w:szCs w:val="22"/>
        </w:rPr>
        <w:tab/>
      </w:r>
      <w:r w:rsidRPr="008A56A5">
        <w:rPr>
          <w:rFonts w:eastAsiaTheme="minorHAnsi" w:cs="Open Sans"/>
          <w:sz w:val="22"/>
          <w:szCs w:val="22"/>
        </w:rPr>
        <w:tab/>
        <w:t>…</w:t>
      </w:r>
    </w:p>
    <w:p w14:paraId="1BC85780" w14:textId="77777777" w:rsidR="00375350" w:rsidRPr="008A56A5" w:rsidRDefault="00721FC2" w:rsidP="00375350">
      <w:pPr>
        <w:pStyle w:val="ListNumber"/>
        <w:numPr>
          <w:ilvl w:val="0"/>
          <w:numId w:val="0"/>
        </w:numPr>
        <w:tabs>
          <w:tab w:val="left" w:pos="1418"/>
        </w:tabs>
        <w:ind w:left="1876"/>
        <w:rPr>
          <w:rFonts w:eastAsiaTheme="minorHAnsi" w:cs="Open Sans"/>
          <w:sz w:val="22"/>
          <w:szCs w:val="22"/>
        </w:rPr>
      </w:pPr>
      <w:r w:rsidRPr="008A56A5">
        <w:rPr>
          <w:rFonts w:eastAsiaTheme="minorHAnsi" w:cs="Open Sans"/>
          <w:sz w:val="22"/>
          <w:szCs w:val="22"/>
        </w:rPr>
        <w:t>Recommendation 10</w:t>
      </w:r>
      <w:r w:rsidR="00950D2F" w:rsidRPr="008A56A5">
        <w:rPr>
          <w:rFonts w:eastAsiaTheme="minorHAnsi" w:cs="Open Sans"/>
          <w:sz w:val="22"/>
          <w:szCs w:val="22"/>
        </w:rPr>
        <w:t>:</w:t>
      </w:r>
      <w:r w:rsidRPr="008A56A5">
        <w:rPr>
          <w:rFonts w:eastAsiaTheme="minorHAnsi" w:cs="Open Sans"/>
          <w:sz w:val="22"/>
          <w:szCs w:val="22"/>
        </w:rPr>
        <w:t xml:space="preserve"> </w:t>
      </w:r>
      <w:r w:rsidR="006C048E" w:rsidRPr="008A56A5">
        <w:rPr>
          <w:rFonts w:eastAsiaTheme="minorHAnsi" w:cs="Open Sans"/>
          <w:sz w:val="22"/>
          <w:szCs w:val="22"/>
        </w:rPr>
        <w:t>The Committee recommends that proposed section 35A of the</w:t>
      </w:r>
      <w:r w:rsidR="00375350" w:rsidRPr="008A56A5">
        <w:rPr>
          <w:rFonts w:eastAsiaTheme="minorHAnsi" w:cs="Open Sans"/>
          <w:sz w:val="22"/>
          <w:szCs w:val="22"/>
        </w:rPr>
        <w:t xml:space="preserve"> </w:t>
      </w:r>
      <w:r w:rsidR="006C048E" w:rsidRPr="008A56A5">
        <w:rPr>
          <w:rFonts w:eastAsiaTheme="minorHAnsi" w:cs="Open Sans"/>
          <w:sz w:val="22"/>
          <w:szCs w:val="22"/>
        </w:rPr>
        <w:t>Australian Citizenship Amendment (Allegiance to Australia) Bill 2015</w:t>
      </w:r>
      <w:r w:rsidR="00375350" w:rsidRPr="008A56A5">
        <w:rPr>
          <w:rFonts w:eastAsiaTheme="minorHAnsi" w:cs="Open Sans"/>
          <w:sz w:val="22"/>
          <w:szCs w:val="22"/>
        </w:rPr>
        <w:t xml:space="preserve"> </w:t>
      </w:r>
      <w:r w:rsidR="006C048E" w:rsidRPr="008A56A5">
        <w:rPr>
          <w:rFonts w:eastAsiaTheme="minorHAnsi" w:cs="Open Sans"/>
          <w:sz w:val="22"/>
          <w:szCs w:val="22"/>
        </w:rPr>
        <w:t>be applied retrospectively to convictions for relevant offences where</w:t>
      </w:r>
      <w:r w:rsidR="00375350" w:rsidRPr="008A56A5">
        <w:rPr>
          <w:rFonts w:eastAsiaTheme="minorHAnsi" w:cs="Open Sans"/>
          <w:sz w:val="22"/>
          <w:szCs w:val="22"/>
        </w:rPr>
        <w:t xml:space="preserve"> </w:t>
      </w:r>
      <w:r w:rsidR="006C048E" w:rsidRPr="008A56A5">
        <w:rPr>
          <w:rFonts w:eastAsiaTheme="minorHAnsi" w:cs="Open Sans"/>
          <w:sz w:val="22"/>
          <w:szCs w:val="22"/>
        </w:rPr>
        <w:t>sentences of ten years or more have been handed down by a court.</w:t>
      </w:r>
      <w:r w:rsidR="00950D2F" w:rsidRPr="008A56A5">
        <w:rPr>
          <w:rFonts w:eastAsiaTheme="minorHAnsi" w:cs="Open Sans"/>
          <w:sz w:val="22"/>
          <w:szCs w:val="22"/>
        </w:rPr>
        <w:t xml:space="preserve"> </w:t>
      </w:r>
    </w:p>
    <w:p w14:paraId="39470AA6" w14:textId="026946A8" w:rsidR="00721FC2" w:rsidRPr="008A56A5" w:rsidRDefault="00721FC2" w:rsidP="00375350">
      <w:pPr>
        <w:pStyle w:val="ListNumber"/>
        <w:numPr>
          <w:ilvl w:val="0"/>
          <w:numId w:val="0"/>
        </w:numPr>
        <w:tabs>
          <w:tab w:val="left" w:pos="1418"/>
        </w:tabs>
        <w:ind w:left="1876"/>
        <w:rPr>
          <w:rFonts w:eastAsiaTheme="minorHAnsi" w:cs="Open Sans"/>
          <w:sz w:val="22"/>
          <w:szCs w:val="22"/>
        </w:rPr>
      </w:pPr>
      <w:r w:rsidRPr="008A56A5">
        <w:rPr>
          <w:rFonts w:eastAsiaTheme="minorHAnsi" w:cs="Open Sans"/>
          <w:sz w:val="22"/>
          <w:szCs w:val="22"/>
        </w:rPr>
        <w:t>The Ministerial discretion to revoke citizenship</w:t>
      </w:r>
      <w:r w:rsidRPr="008A56A5">
        <w:rPr>
          <w:sz w:val="22"/>
          <w:szCs w:val="22"/>
        </w:rPr>
        <w:t xml:space="preserve"> must not apply to convictions that have been handed down more than ten years before the Bill receives Royal Assent.</w:t>
      </w:r>
      <w:r w:rsidR="00617EE9" w:rsidRPr="008A56A5">
        <w:rPr>
          <w:rStyle w:val="EndnoteReference"/>
          <w:rFonts w:eastAsiaTheme="minorHAnsi" w:cs="Open Sans"/>
        </w:rPr>
        <w:endnoteReference w:id="53"/>
      </w:r>
    </w:p>
    <w:p w14:paraId="3F3E4320" w14:textId="74F06706" w:rsidR="008F39C4" w:rsidRPr="008A56A5" w:rsidRDefault="00375350" w:rsidP="0001207B">
      <w:pPr>
        <w:pStyle w:val="ListNumber"/>
        <w:numPr>
          <w:ilvl w:val="0"/>
          <w:numId w:val="15"/>
        </w:numPr>
        <w:tabs>
          <w:tab w:val="num" w:pos="993"/>
          <w:tab w:val="left" w:pos="1418"/>
        </w:tabs>
        <w:ind w:left="709" w:hanging="567"/>
        <w:rPr>
          <w:rFonts w:cs="Open Sans"/>
        </w:rPr>
      </w:pPr>
      <w:r w:rsidRPr="008A56A5">
        <w:rPr>
          <w:rFonts w:cs="Open Sans"/>
        </w:rPr>
        <w:t xml:space="preserve">It is significant that when this Committee considered </w:t>
      </w:r>
      <w:r w:rsidR="00A01623" w:rsidRPr="008A56A5">
        <w:rPr>
          <w:rFonts w:cs="Open Sans"/>
        </w:rPr>
        <w:t xml:space="preserve">the retrospective application of the 2015 amending Act, it recommended that offences in the past be </w:t>
      </w:r>
      <w:r w:rsidR="00A01623" w:rsidRPr="008A56A5">
        <w:rPr>
          <w:rFonts w:cs="Open Sans"/>
          <w:i/>
          <w:iCs/>
        </w:rPr>
        <w:t>more</w:t>
      </w:r>
      <w:r w:rsidR="00A01623" w:rsidRPr="008A56A5">
        <w:rPr>
          <w:rFonts w:cs="Open Sans"/>
        </w:rPr>
        <w:t xml:space="preserve"> serious than </w:t>
      </w:r>
      <w:r w:rsidR="00606477" w:rsidRPr="008A56A5">
        <w:rPr>
          <w:rFonts w:cs="Open Sans"/>
        </w:rPr>
        <w:t>those provided for in the amendments, bearing in mind the serious consequences of retrospective legislation.</w:t>
      </w:r>
      <w:r w:rsidR="004C0C43" w:rsidRPr="008A56A5">
        <w:rPr>
          <w:rFonts w:cs="Open Sans"/>
        </w:rPr>
        <w:t xml:space="preserve"> </w:t>
      </w:r>
      <w:r w:rsidR="006A0452" w:rsidRPr="008A56A5">
        <w:rPr>
          <w:rFonts w:cs="Open Sans"/>
        </w:rPr>
        <w:t>While</w:t>
      </w:r>
      <w:r w:rsidR="008F39C4" w:rsidRPr="008A56A5">
        <w:rPr>
          <w:rFonts w:cs="Open Sans"/>
        </w:rPr>
        <w:t xml:space="preserve"> the Act provided for </w:t>
      </w:r>
      <w:r w:rsidR="0047167A" w:rsidRPr="008A56A5">
        <w:rPr>
          <w:rFonts w:cs="Open Sans"/>
        </w:rPr>
        <w:t xml:space="preserve">citizenship cancellation upon being sentenced to at least </w:t>
      </w:r>
      <w:r w:rsidR="008203B7" w:rsidRPr="008A56A5">
        <w:rPr>
          <w:rFonts w:cs="Open Sans"/>
        </w:rPr>
        <w:t>six</w:t>
      </w:r>
      <w:r w:rsidR="0047167A" w:rsidRPr="008A56A5">
        <w:rPr>
          <w:rFonts w:cs="Open Sans"/>
        </w:rPr>
        <w:t xml:space="preserve"> years</w:t>
      </w:r>
      <w:r w:rsidR="006C5C00" w:rsidRPr="008A56A5">
        <w:rPr>
          <w:rFonts w:cs="Open Sans"/>
        </w:rPr>
        <w:t xml:space="preserve"> for specified offences</w:t>
      </w:r>
      <w:r w:rsidR="009C60EB" w:rsidRPr="008A56A5">
        <w:rPr>
          <w:rFonts w:cs="Open Sans"/>
        </w:rPr>
        <w:t xml:space="preserve"> </w:t>
      </w:r>
      <w:r w:rsidR="00962484" w:rsidRPr="008A56A5">
        <w:rPr>
          <w:rFonts w:cs="Open Sans"/>
        </w:rPr>
        <w:t xml:space="preserve">a person was convicted of </w:t>
      </w:r>
      <w:r w:rsidR="009C60EB" w:rsidRPr="008A56A5">
        <w:rPr>
          <w:rFonts w:cs="Open Sans"/>
        </w:rPr>
        <w:t>in the future</w:t>
      </w:r>
      <w:r w:rsidR="0047167A" w:rsidRPr="008A56A5">
        <w:rPr>
          <w:rFonts w:cs="Open Sans"/>
        </w:rPr>
        <w:t xml:space="preserve">, the Act would only apply to </w:t>
      </w:r>
      <w:r w:rsidR="006C5C00" w:rsidRPr="008A56A5">
        <w:rPr>
          <w:rFonts w:cs="Open Sans"/>
        </w:rPr>
        <w:t xml:space="preserve">offences </w:t>
      </w:r>
      <w:r w:rsidR="00962484" w:rsidRPr="008A56A5">
        <w:rPr>
          <w:rFonts w:cs="Open Sans"/>
        </w:rPr>
        <w:t xml:space="preserve">a person had previously been convicted of </w:t>
      </w:r>
      <w:r w:rsidR="0047167A" w:rsidRPr="008A56A5">
        <w:rPr>
          <w:rFonts w:cs="Open Sans"/>
        </w:rPr>
        <w:t xml:space="preserve">if </w:t>
      </w:r>
      <w:r w:rsidR="00797ED4" w:rsidRPr="008A56A5">
        <w:rPr>
          <w:rFonts w:cs="Open Sans"/>
        </w:rPr>
        <w:t xml:space="preserve">the sentence </w:t>
      </w:r>
      <w:r w:rsidR="007B1CF9" w:rsidRPr="008A56A5">
        <w:rPr>
          <w:rFonts w:cs="Open Sans"/>
        </w:rPr>
        <w:t xml:space="preserve">imposed </w:t>
      </w:r>
      <w:r w:rsidR="00797ED4" w:rsidRPr="008A56A5">
        <w:rPr>
          <w:rFonts w:cs="Open Sans"/>
        </w:rPr>
        <w:t xml:space="preserve">was </w:t>
      </w:r>
      <w:r w:rsidR="0047167A" w:rsidRPr="008A56A5">
        <w:rPr>
          <w:rFonts w:cs="Open Sans"/>
        </w:rPr>
        <w:t xml:space="preserve">at least </w:t>
      </w:r>
      <w:r w:rsidR="008203B7" w:rsidRPr="008A56A5">
        <w:rPr>
          <w:rFonts w:cs="Open Sans"/>
        </w:rPr>
        <w:t>ten</w:t>
      </w:r>
      <w:r w:rsidR="0047167A" w:rsidRPr="008A56A5">
        <w:rPr>
          <w:rFonts w:cs="Open Sans"/>
        </w:rPr>
        <w:t xml:space="preserve"> years. </w:t>
      </w:r>
    </w:p>
    <w:p w14:paraId="7718284B" w14:textId="7D64C81B" w:rsidR="00375350" w:rsidRPr="008A56A5" w:rsidRDefault="00606477" w:rsidP="0001207B">
      <w:pPr>
        <w:pStyle w:val="ListNumber"/>
        <w:numPr>
          <w:ilvl w:val="0"/>
          <w:numId w:val="15"/>
        </w:numPr>
        <w:tabs>
          <w:tab w:val="num" w:pos="993"/>
          <w:tab w:val="left" w:pos="1418"/>
        </w:tabs>
        <w:ind w:left="709" w:hanging="567"/>
        <w:rPr>
          <w:rFonts w:cs="Open Sans"/>
        </w:rPr>
      </w:pPr>
      <w:r w:rsidRPr="008A56A5">
        <w:rPr>
          <w:rFonts w:cs="Open Sans"/>
        </w:rPr>
        <w:t>The present Bill seeks to simul</w:t>
      </w:r>
      <w:r w:rsidR="001D3DD1" w:rsidRPr="008A56A5">
        <w:rPr>
          <w:rFonts w:cs="Open Sans"/>
        </w:rPr>
        <w:t xml:space="preserve">taneously extend the period of retrospectivity </w:t>
      </w:r>
      <w:r w:rsidR="00653EE5" w:rsidRPr="008A56A5">
        <w:rPr>
          <w:rFonts w:cs="Open Sans"/>
        </w:rPr>
        <w:t xml:space="preserve">even further </w:t>
      </w:r>
      <w:r w:rsidR="001D3DD1" w:rsidRPr="008A56A5">
        <w:rPr>
          <w:rFonts w:cs="Open Sans"/>
        </w:rPr>
        <w:t xml:space="preserve">(by </w:t>
      </w:r>
      <w:r w:rsidR="00CD595C" w:rsidRPr="008A56A5">
        <w:rPr>
          <w:rFonts w:cs="Open Sans"/>
        </w:rPr>
        <w:t xml:space="preserve">more than </w:t>
      </w:r>
      <w:r w:rsidR="001D3DD1" w:rsidRPr="008A56A5">
        <w:rPr>
          <w:rFonts w:cs="Open Sans"/>
        </w:rPr>
        <w:t>12 and a half years</w:t>
      </w:r>
      <w:r w:rsidR="00653EE5" w:rsidRPr="008A56A5">
        <w:rPr>
          <w:rFonts w:cs="Open Sans"/>
        </w:rPr>
        <w:t xml:space="preserve"> for </w:t>
      </w:r>
      <w:r w:rsidR="00AA3ADD" w:rsidRPr="008A56A5">
        <w:rPr>
          <w:rFonts w:cs="Open Sans"/>
        </w:rPr>
        <w:t>conduct that did not result in a conviction</w:t>
      </w:r>
      <w:r w:rsidR="00CD595C" w:rsidRPr="008A56A5">
        <w:rPr>
          <w:rFonts w:cs="Open Sans"/>
        </w:rPr>
        <w:t xml:space="preserve">, and by more than two and a half years for most </w:t>
      </w:r>
      <w:r w:rsidR="005E04C3" w:rsidRPr="008A56A5">
        <w:rPr>
          <w:rFonts w:cs="Open Sans"/>
        </w:rPr>
        <w:t>convictions</w:t>
      </w:r>
      <w:r w:rsidR="001D3DD1" w:rsidRPr="008A56A5">
        <w:rPr>
          <w:rFonts w:cs="Open Sans"/>
        </w:rPr>
        <w:t xml:space="preserve">) </w:t>
      </w:r>
      <w:r w:rsidR="00653EE5" w:rsidRPr="008A56A5">
        <w:rPr>
          <w:rFonts w:cs="Open Sans"/>
        </w:rPr>
        <w:t xml:space="preserve">while also </w:t>
      </w:r>
      <w:r w:rsidR="001D3DD1" w:rsidRPr="008A56A5">
        <w:rPr>
          <w:rFonts w:cs="Open Sans"/>
        </w:rPr>
        <w:t>significantly decreas</w:t>
      </w:r>
      <w:r w:rsidR="00AA3ADD" w:rsidRPr="008A56A5">
        <w:rPr>
          <w:rFonts w:cs="Open Sans"/>
        </w:rPr>
        <w:t>ing</w:t>
      </w:r>
      <w:r w:rsidR="001D3DD1" w:rsidRPr="008A56A5">
        <w:rPr>
          <w:rFonts w:cs="Open Sans"/>
        </w:rPr>
        <w:t xml:space="preserve"> the </w:t>
      </w:r>
      <w:r w:rsidR="00AA3ADD" w:rsidRPr="008A56A5">
        <w:rPr>
          <w:rFonts w:cs="Open Sans"/>
        </w:rPr>
        <w:t>seriousness of the conduct to which the provisions will have retrospective application</w:t>
      </w:r>
      <w:r w:rsidR="006D4DF8" w:rsidRPr="008A56A5">
        <w:rPr>
          <w:rFonts w:cs="Open Sans"/>
        </w:rPr>
        <w:t xml:space="preserve">. In the case of conduct resulting in a conviction, the Act will apply retrospectively </w:t>
      </w:r>
      <w:r w:rsidR="003B1594" w:rsidRPr="008A56A5">
        <w:rPr>
          <w:rFonts w:cs="Open Sans"/>
        </w:rPr>
        <w:t xml:space="preserve">if the person was </w:t>
      </w:r>
      <w:r w:rsidR="00146C9D" w:rsidRPr="008A56A5">
        <w:rPr>
          <w:rFonts w:cs="Open Sans"/>
        </w:rPr>
        <w:t>sentence</w:t>
      </w:r>
      <w:r w:rsidR="003B1594" w:rsidRPr="008A56A5">
        <w:rPr>
          <w:rFonts w:cs="Open Sans"/>
        </w:rPr>
        <w:t>d</w:t>
      </w:r>
      <w:r w:rsidR="00146C9D" w:rsidRPr="008A56A5">
        <w:rPr>
          <w:rFonts w:cs="Open Sans"/>
        </w:rPr>
        <w:t xml:space="preserve"> </w:t>
      </w:r>
      <w:r w:rsidR="003B1594" w:rsidRPr="008A56A5">
        <w:rPr>
          <w:rFonts w:cs="Open Sans"/>
        </w:rPr>
        <w:t xml:space="preserve">to </w:t>
      </w:r>
      <w:r w:rsidR="005F585B" w:rsidRPr="008A56A5">
        <w:rPr>
          <w:rFonts w:cs="Open Sans"/>
        </w:rPr>
        <w:t xml:space="preserve">only </w:t>
      </w:r>
      <w:r w:rsidR="008203B7" w:rsidRPr="008A56A5">
        <w:rPr>
          <w:rFonts w:cs="Open Sans"/>
        </w:rPr>
        <w:t>three</w:t>
      </w:r>
      <w:r w:rsidR="005F585B" w:rsidRPr="008A56A5">
        <w:rPr>
          <w:rFonts w:cs="Open Sans"/>
        </w:rPr>
        <w:t xml:space="preserve"> years.</w:t>
      </w:r>
      <w:r w:rsidR="00572F65" w:rsidRPr="008A56A5">
        <w:rPr>
          <w:rFonts w:cs="Open Sans"/>
        </w:rPr>
        <w:t xml:space="preserve"> In the case of conduct not resulting in a conviction, there is no minimum seriousness required.</w:t>
      </w:r>
      <w:r w:rsidR="004C0C43" w:rsidRPr="008A56A5">
        <w:rPr>
          <w:rFonts w:cs="Open Sans"/>
        </w:rPr>
        <w:t xml:space="preserve"> </w:t>
      </w:r>
    </w:p>
    <w:p w14:paraId="2CD90A90" w14:textId="5B94C2C3" w:rsidR="00FE0BF3" w:rsidRPr="008A56A5" w:rsidRDefault="00B3434C" w:rsidP="0001207B">
      <w:pPr>
        <w:pStyle w:val="ListNumber"/>
        <w:numPr>
          <w:ilvl w:val="0"/>
          <w:numId w:val="15"/>
        </w:numPr>
        <w:tabs>
          <w:tab w:val="num" w:pos="993"/>
          <w:tab w:val="left" w:pos="1418"/>
        </w:tabs>
        <w:ind w:left="709" w:hanging="567"/>
        <w:rPr>
          <w:rFonts w:cs="Open Sans"/>
        </w:rPr>
      </w:pPr>
      <w:r w:rsidRPr="008A56A5">
        <w:rPr>
          <w:rFonts w:eastAsiaTheme="minorHAnsi" w:cs="Open Sans"/>
        </w:rPr>
        <w:t xml:space="preserve">The Commission queries why </w:t>
      </w:r>
      <w:r w:rsidR="009B65D4" w:rsidRPr="008A56A5">
        <w:rPr>
          <w:rFonts w:eastAsiaTheme="minorHAnsi" w:cs="Open Sans"/>
        </w:rPr>
        <w:t xml:space="preserve">a </w:t>
      </w:r>
      <w:r w:rsidRPr="008A56A5">
        <w:rPr>
          <w:rFonts w:eastAsiaTheme="minorHAnsi" w:cs="Open Sans"/>
        </w:rPr>
        <w:t xml:space="preserve">further extension of </w:t>
      </w:r>
      <w:r w:rsidR="009B65D4" w:rsidRPr="008A56A5">
        <w:rPr>
          <w:rFonts w:eastAsiaTheme="minorHAnsi" w:cs="Open Sans"/>
        </w:rPr>
        <w:t>retrospective application</w:t>
      </w:r>
      <w:r w:rsidR="0013065A" w:rsidRPr="008A56A5">
        <w:rPr>
          <w:rFonts w:eastAsiaTheme="minorHAnsi" w:cs="Open Sans"/>
        </w:rPr>
        <w:t xml:space="preserve"> </w:t>
      </w:r>
      <w:r w:rsidR="005E04C3" w:rsidRPr="008A56A5">
        <w:rPr>
          <w:rFonts w:eastAsiaTheme="minorHAnsi" w:cs="Open Sans"/>
        </w:rPr>
        <w:t xml:space="preserve">is proposed </w:t>
      </w:r>
      <w:r w:rsidR="00EE32E0" w:rsidRPr="008A56A5">
        <w:rPr>
          <w:rFonts w:eastAsiaTheme="minorHAnsi" w:cs="Open Sans"/>
        </w:rPr>
        <w:t xml:space="preserve">without </w:t>
      </w:r>
      <w:r w:rsidR="005E04C3" w:rsidRPr="008A56A5">
        <w:rPr>
          <w:rFonts w:eastAsiaTheme="minorHAnsi" w:cs="Open Sans"/>
        </w:rPr>
        <w:t xml:space="preserve">any </w:t>
      </w:r>
      <w:r w:rsidR="00EE32E0" w:rsidRPr="008A56A5">
        <w:rPr>
          <w:rFonts w:eastAsiaTheme="minorHAnsi" w:cs="Open Sans"/>
        </w:rPr>
        <w:t xml:space="preserve">compelling justification, </w:t>
      </w:r>
      <w:r w:rsidR="008F39C4" w:rsidRPr="008A56A5">
        <w:rPr>
          <w:rFonts w:eastAsiaTheme="minorHAnsi" w:cs="Open Sans"/>
        </w:rPr>
        <w:t xml:space="preserve">in a manner so </w:t>
      </w:r>
      <w:r w:rsidR="00571B5B" w:rsidRPr="008A56A5">
        <w:rPr>
          <w:rFonts w:eastAsiaTheme="minorHAnsi" w:cs="Open Sans"/>
        </w:rPr>
        <w:t>out of step with</w:t>
      </w:r>
      <w:r w:rsidR="0013065A" w:rsidRPr="008A56A5">
        <w:rPr>
          <w:rFonts w:eastAsiaTheme="minorHAnsi" w:cs="Open Sans"/>
        </w:rPr>
        <w:t xml:space="preserve"> the previous</w:t>
      </w:r>
      <w:r w:rsidR="000A2DC8" w:rsidRPr="008A56A5">
        <w:rPr>
          <w:rFonts w:eastAsiaTheme="minorHAnsi" w:cs="Open Sans"/>
        </w:rPr>
        <w:t xml:space="preserve"> recommendation </w:t>
      </w:r>
      <w:r w:rsidR="0013065A" w:rsidRPr="008A56A5">
        <w:rPr>
          <w:rFonts w:eastAsiaTheme="minorHAnsi" w:cs="Open Sans"/>
        </w:rPr>
        <w:t xml:space="preserve">of the </w:t>
      </w:r>
      <w:r w:rsidR="00B67CE8" w:rsidRPr="008A56A5">
        <w:rPr>
          <w:rFonts w:eastAsiaTheme="minorHAnsi" w:cs="Open Sans"/>
        </w:rPr>
        <w:t>Committee</w:t>
      </w:r>
      <w:r w:rsidR="000A2DC8" w:rsidRPr="008A56A5">
        <w:rPr>
          <w:rFonts w:eastAsiaTheme="minorHAnsi" w:cs="Open Sans"/>
        </w:rPr>
        <w:t xml:space="preserve">. </w:t>
      </w:r>
    </w:p>
    <w:p w14:paraId="7924A869" w14:textId="50B9119A" w:rsidR="000A2DC8" w:rsidRPr="008A56A5" w:rsidRDefault="00EE32E0" w:rsidP="000A2DC8">
      <w:pPr>
        <w:pStyle w:val="ListNumber"/>
        <w:numPr>
          <w:ilvl w:val="0"/>
          <w:numId w:val="15"/>
        </w:numPr>
        <w:tabs>
          <w:tab w:val="num" w:pos="993"/>
          <w:tab w:val="left" w:pos="1418"/>
        </w:tabs>
        <w:ind w:left="709" w:hanging="567"/>
        <w:rPr>
          <w:rFonts w:cs="Open Sans"/>
        </w:rPr>
      </w:pPr>
      <w:r w:rsidRPr="008A56A5">
        <w:rPr>
          <w:rFonts w:cs="Open Sans"/>
        </w:rPr>
        <w:t>The Commission considers that extending retrospectivity</w:t>
      </w:r>
      <w:r w:rsidR="000A2DC8" w:rsidRPr="008A56A5">
        <w:rPr>
          <w:rFonts w:cs="Open Sans"/>
        </w:rPr>
        <w:t xml:space="preserve"> </w:t>
      </w:r>
      <w:r w:rsidR="0098216A" w:rsidRPr="008A56A5">
        <w:rPr>
          <w:rFonts w:cs="Open Sans"/>
        </w:rPr>
        <w:t xml:space="preserve">generally </w:t>
      </w:r>
      <w:r w:rsidR="00C217F1" w:rsidRPr="008A56A5">
        <w:rPr>
          <w:rFonts w:cs="Open Sans"/>
        </w:rPr>
        <w:t>reduces</w:t>
      </w:r>
      <w:r w:rsidR="000A2DC8" w:rsidRPr="008A56A5">
        <w:rPr>
          <w:rFonts w:cs="Open Sans"/>
        </w:rPr>
        <w:t xml:space="preserve"> the proportionality of the </w:t>
      </w:r>
      <w:r w:rsidR="00C217F1" w:rsidRPr="008A56A5">
        <w:rPr>
          <w:rFonts w:cs="Open Sans"/>
        </w:rPr>
        <w:t>Bill with respect to its purported goals</w:t>
      </w:r>
      <w:r w:rsidR="00503296" w:rsidRPr="008A56A5">
        <w:rPr>
          <w:rFonts w:cs="Open Sans"/>
        </w:rPr>
        <w:t>. Further, affected persons would not have known at the earlier time that they may be liable to</w:t>
      </w:r>
      <w:r w:rsidR="000A2DC8" w:rsidRPr="008A56A5">
        <w:rPr>
          <w:rFonts w:cs="Open Sans"/>
        </w:rPr>
        <w:t xml:space="preserve"> </w:t>
      </w:r>
      <w:r w:rsidR="00503296" w:rsidRPr="008A56A5">
        <w:rPr>
          <w:rFonts w:cs="Open Sans"/>
        </w:rPr>
        <w:t xml:space="preserve">Australian </w:t>
      </w:r>
      <w:r w:rsidR="000A2DC8" w:rsidRPr="008A56A5">
        <w:rPr>
          <w:rFonts w:cs="Open Sans"/>
        </w:rPr>
        <w:t xml:space="preserve">citizenship removal </w:t>
      </w:r>
      <w:r w:rsidR="00503296" w:rsidRPr="008A56A5">
        <w:rPr>
          <w:rFonts w:cs="Open Sans"/>
        </w:rPr>
        <w:t xml:space="preserve">and the </w:t>
      </w:r>
      <w:r w:rsidR="008B4DB9" w:rsidRPr="008A56A5">
        <w:rPr>
          <w:rFonts w:cs="Open Sans"/>
        </w:rPr>
        <w:t>severe human rights consequences that flow from it.</w:t>
      </w:r>
    </w:p>
    <w:p w14:paraId="2A09B0DA" w14:textId="3D703616" w:rsidR="00003481" w:rsidRPr="008A56A5" w:rsidRDefault="00003481" w:rsidP="000A2DC8">
      <w:pPr>
        <w:pStyle w:val="ListNumber"/>
        <w:numPr>
          <w:ilvl w:val="0"/>
          <w:numId w:val="15"/>
        </w:numPr>
        <w:tabs>
          <w:tab w:val="num" w:pos="993"/>
          <w:tab w:val="left" w:pos="1418"/>
        </w:tabs>
        <w:ind w:left="709" w:hanging="567"/>
        <w:rPr>
          <w:rFonts w:cs="Open Sans"/>
        </w:rPr>
      </w:pPr>
      <w:r w:rsidRPr="008A56A5">
        <w:rPr>
          <w:rFonts w:cs="Open Sans"/>
        </w:rPr>
        <w:t xml:space="preserve">The Commission notes that a Ministerial decision will be required that requires consideration of </w:t>
      </w:r>
      <w:r w:rsidR="00FF765D" w:rsidRPr="008A56A5">
        <w:rPr>
          <w:rFonts w:cs="Open Sans"/>
        </w:rPr>
        <w:t>prescribed</w:t>
      </w:r>
      <w:r w:rsidRPr="008A56A5">
        <w:rPr>
          <w:rFonts w:cs="Open Sans"/>
        </w:rPr>
        <w:t xml:space="preserve"> factors including the severity of the conduct and the age of the person, but holds concerns that the decision-making criteria and other safeguards are inadequate to properly protect human rights, as discussed above.</w:t>
      </w:r>
    </w:p>
    <w:p w14:paraId="7D784CA2" w14:textId="3DD60C11" w:rsidR="00FD7A25" w:rsidRPr="008A56A5" w:rsidRDefault="000A2DC8" w:rsidP="001C18A1">
      <w:pPr>
        <w:pStyle w:val="ListNumber"/>
        <w:numPr>
          <w:ilvl w:val="0"/>
          <w:numId w:val="15"/>
        </w:numPr>
        <w:tabs>
          <w:tab w:val="num" w:pos="993"/>
          <w:tab w:val="left" w:pos="1418"/>
        </w:tabs>
        <w:ind w:left="709" w:hanging="567"/>
        <w:rPr>
          <w:rFonts w:cs="Open Sans"/>
        </w:rPr>
      </w:pPr>
      <w:r w:rsidRPr="008A56A5">
        <w:rPr>
          <w:rFonts w:cs="Open Sans"/>
        </w:rPr>
        <w:t xml:space="preserve">The Commission opposes any extension of the retrospective application of </w:t>
      </w:r>
      <w:r w:rsidR="00B2562F" w:rsidRPr="008A56A5">
        <w:rPr>
          <w:rFonts w:cs="Open Sans"/>
        </w:rPr>
        <w:t xml:space="preserve">the </w:t>
      </w:r>
      <w:r w:rsidRPr="008A56A5">
        <w:rPr>
          <w:rFonts w:cs="Open Sans"/>
        </w:rPr>
        <w:t>citizenship removal power.</w:t>
      </w:r>
      <w:r w:rsidR="00697533" w:rsidRPr="008A56A5">
        <w:rPr>
          <w:rFonts w:cs="Open Sans"/>
        </w:rPr>
        <w:t xml:space="preserve"> </w:t>
      </w:r>
    </w:p>
    <w:p w14:paraId="171D6864" w14:textId="6AE34AD7" w:rsidR="00697533" w:rsidRPr="008A56A5" w:rsidRDefault="00697533" w:rsidP="0061199D">
      <w:pPr>
        <w:keepNext/>
        <w:tabs>
          <w:tab w:val="left" w:pos="1134"/>
          <w:tab w:val="left" w:pos="1418"/>
        </w:tabs>
        <w:spacing w:before="120" w:after="120"/>
        <w:ind w:left="709"/>
        <w:rPr>
          <w:b/>
          <w:bCs/>
        </w:rPr>
      </w:pPr>
      <w:r w:rsidRPr="008A56A5">
        <w:rPr>
          <w:rFonts w:cs="Open Sans"/>
          <w:b/>
        </w:rPr>
        <w:t>Recommendation</w:t>
      </w:r>
      <w:r w:rsidRPr="008A56A5">
        <w:rPr>
          <w:b/>
          <w:bCs/>
        </w:rPr>
        <w:t xml:space="preserve"> </w:t>
      </w:r>
      <w:r w:rsidR="00C6257E" w:rsidRPr="008A56A5">
        <w:rPr>
          <w:b/>
          <w:bCs/>
        </w:rPr>
        <w:t>14</w:t>
      </w:r>
    </w:p>
    <w:p w14:paraId="5E3A7FBF" w14:textId="09F66049" w:rsidR="00697533" w:rsidRPr="008A56A5" w:rsidRDefault="00697533" w:rsidP="0061199D">
      <w:pPr>
        <w:pStyle w:val="Subnumbered"/>
        <w:keepNext/>
        <w:numPr>
          <w:ilvl w:val="0"/>
          <w:numId w:val="0"/>
        </w:numPr>
        <w:ind w:left="709"/>
      </w:pPr>
      <w:r w:rsidRPr="008A56A5">
        <w:rPr>
          <w:bCs/>
        </w:rPr>
        <w:t xml:space="preserve">Proposed </w:t>
      </w:r>
      <w:r w:rsidR="00B07E35" w:rsidRPr="008A56A5">
        <w:rPr>
          <w:bCs/>
        </w:rPr>
        <w:t>i</w:t>
      </w:r>
      <w:r w:rsidR="0040740B" w:rsidRPr="008A56A5">
        <w:rPr>
          <w:bCs/>
        </w:rPr>
        <w:t>tems 18 and 19</w:t>
      </w:r>
      <w:r w:rsidRPr="008A56A5">
        <w:rPr>
          <w:bCs/>
        </w:rPr>
        <w:t xml:space="preserve"> Bill </w:t>
      </w:r>
      <w:r w:rsidRPr="008A56A5">
        <w:t>should be amended</w:t>
      </w:r>
      <w:r w:rsidR="0040740B" w:rsidRPr="008A56A5">
        <w:t>,</w:t>
      </w:r>
      <w:r w:rsidRPr="008A56A5">
        <w:t xml:space="preserve"> </w:t>
      </w:r>
      <w:r w:rsidR="0040740B" w:rsidRPr="008A56A5">
        <w:t>so that there is no exten</w:t>
      </w:r>
      <w:r w:rsidR="009E20E9" w:rsidRPr="008A56A5">
        <w:t>ded</w:t>
      </w:r>
      <w:r w:rsidR="0040740B" w:rsidRPr="008A56A5">
        <w:t xml:space="preserve"> retrospective application</w:t>
      </w:r>
      <w:r w:rsidR="009E20E9" w:rsidRPr="008A56A5">
        <w:t xml:space="preserve"> of </w:t>
      </w:r>
      <w:r w:rsidR="00FD6D10" w:rsidRPr="008A56A5">
        <w:t xml:space="preserve">the </w:t>
      </w:r>
      <w:r w:rsidR="009E20E9" w:rsidRPr="008A56A5">
        <w:t>power</w:t>
      </w:r>
      <w:r w:rsidR="00702729" w:rsidRPr="008A56A5">
        <w:t xml:space="preserve"> of the Minister to </w:t>
      </w:r>
      <w:proofErr w:type="gramStart"/>
      <w:r w:rsidR="00702729" w:rsidRPr="008A56A5">
        <w:t>make a determination</w:t>
      </w:r>
      <w:proofErr w:type="gramEnd"/>
      <w:r w:rsidR="00702729" w:rsidRPr="008A56A5">
        <w:t xml:space="preserve"> under ss 36B or 36D</w:t>
      </w:r>
      <w:r w:rsidRPr="008A56A5">
        <w:t>.</w:t>
      </w:r>
    </w:p>
    <w:p w14:paraId="1DA943B6" w14:textId="3FED110D" w:rsidR="009E20E9" w:rsidRPr="008A56A5" w:rsidRDefault="009E20E9" w:rsidP="0061199D">
      <w:pPr>
        <w:keepNext/>
        <w:tabs>
          <w:tab w:val="left" w:pos="1134"/>
          <w:tab w:val="left" w:pos="1418"/>
        </w:tabs>
        <w:spacing w:before="120" w:after="120"/>
        <w:ind w:left="709"/>
        <w:rPr>
          <w:b/>
          <w:bCs/>
        </w:rPr>
      </w:pPr>
      <w:r w:rsidRPr="008A56A5">
        <w:rPr>
          <w:rFonts w:cs="Open Sans"/>
          <w:b/>
        </w:rPr>
        <w:t>Recommendation</w:t>
      </w:r>
      <w:r w:rsidRPr="008A56A5">
        <w:rPr>
          <w:b/>
          <w:bCs/>
        </w:rPr>
        <w:t xml:space="preserve"> </w:t>
      </w:r>
      <w:r w:rsidR="00C6257E" w:rsidRPr="008A56A5">
        <w:rPr>
          <w:b/>
          <w:bCs/>
        </w:rPr>
        <w:t>15</w:t>
      </w:r>
    </w:p>
    <w:p w14:paraId="01976E58" w14:textId="3BC1DB9D" w:rsidR="009E20E9" w:rsidRDefault="00E97D1E" w:rsidP="0061199D">
      <w:pPr>
        <w:pStyle w:val="Subnumbered"/>
        <w:keepNext/>
        <w:numPr>
          <w:ilvl w:val="0"/>
          <w:numId w:val="0"/>
        </w:numPr>
        <w:ind w:left="709"/>
      </w:pPr>
      <w:r w:rsidRPr="008A56A5">
        <w:rPr>
          <w:bCs/>
        </w:rPr>
        <w:t>If</w:t>
      </w:r>
      <w:r w:rsidR="009E20E9" w:rsidRPr="008A56A5">
        <w:rPr>
          <w:bCs/>
        </w:rPr>
        <w:t xml:space="preserve"> Recommendation </w:t>
      </w:r>
      <w:r w:rsidR="001F0738" w:rsidRPr="008A56A5">
        <w:rPr>
          <w:bCs/>
        </w:rPr>
        <w:t>14</w:t>
      </w:r>
      <w:r w:rsidR="009E20E9" w:rsidRPr="008A56A5">
        <w:rPr>
          <w:bCs/>
        </w:rPr>
        <w:t xml:space="preserve"> </w:t>
      </w:r>
      <w:r w:rsidRPr="008A56A5">
        <w:rPr>
          <w:bCs/>
        </w:rPr>
        <w:t xml:space="preserve">is </w:t>
      </w:r>
      <w:r w:rsidR="009E20E9" w:rsidRPr="008A56A5">
        <w:rPr>
          <w:bCs/>
        </w:rPr>
        <w:t xml:space="preserve">not accepted, </w:t>
      </w:r>
      <w:r w:rsidR="00B07E35" w:rsidRPr="008A56A5">
        <w:rPr>
          <w:bCs/>
        </w:rPr>
        <w:t>i</w:t>
      </w:r>
      <w:r w:rsidR="009E20E9" w:rsidRPr="008A56A5">
        <w:rPr>
          <w:bCs/>
        </w:rPr>
        <w:t>tem 18(3) should be amended</w:t>
      </w:r>
      <w:r w:rsidR="009E20E9" w:rsidRPr="008A56A5">
        <w:t xml:space="preserve"> </w:t>
      </w:r>
      <w:r w:rsidR="0048367B" w:rsidRPr="008A56A5">
        <w:t>to insert an appropriate time limit on the retrospective application of s 36B(5)(j)</w:t>
      </w:r>
      <w:r w:rsidR="00B72500" w:rsidRPr="008A56A5">
        <w:t>,</w:t>
      </w:r>
      <w:r w:rsidR="0048367B" w:rsidRPr="008A56A5">
        <w:t xml:space="preserve"> so that it is not </w:t>
      </w:r>
      <w:r w:rsidR="007B5560" w:rsidRPr="008A56A5">
        <w:t>unlimited</w:t>
      </w:r>
      <w:r w:rsidR="009E20E9" w:rsidRPr="008A56A5">
        <w:t>.</w:t>
      </w:r>
    </w:p>
    <w:p w14:paraId="3C8B4EFB" w14:textId="77777777" w:rsidR="009E20E9" w:rsidRDefault="009E20E9" w:rsidP="00697533">
      <w:pPr>
        <w:pStyle w:val="Subnumbered"/>
        <w:numPr>
          <w:ilvl w:val="0"/>
          <w:numId w:val="0"/>
        </w:numPr>
        <w:ind w:left="360"/>
      </w:pPr>
    </w:p>
    <w:sectPr w:rsidR="009E20E9" w:rsidSect="00A7615D">
      <w:headerReference w:type="even" r:id="rId18"/>
      <w:headerReference w:type="default" r:id="rId19"/>
      <w:footerReference w:type="even" r:id="rId20"/>
      <w:footerReference w:type="default" r:id="rId21"/>
      <w:headerReference w:type="first" r:id="rId22"/>
      <w:footerReference w:type="first" r:id="rId23"/>
      <w:endnotePr>
        <w:numFmt w:val="decimal"/>
      </w:endnotePr>
      <w:pgSz w:w="11906" w:h="16838" w:code="9"/>
      <w:pgMar w:top="2438" w:right="1418" w:bottom="1134" w:left="1418" w:header="907" w:footer="28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C3C57" w14:textId="77777777" w:rsidR="00C11CFC" w:rsidRDefault="00C11CFC" w:rsidP="00F14C6D">
      <w:r>
        <w:separator/>
      </w:r>
    </w:p>
  </w:endnote>
  <w:endnote w:type="continuationSeparator" w:id="0">
    <w:p w14:paraId="1454B00F" w14:textId="77777777" w:rsidR="00C11CFC" w:rsidRDefault="00C11CFC" w:rsidP="00F14C6D">
      <w:r>
        <w:continuationSeparator/>
      </w:r>
    </w:p>
  </w:endnote>
  <w:endnote w:id="1">
    <w:p w14:paraId="33C52B42" w14:textId="723D1BCE" w:rsidR="00C11CFC" w:rsidRDefault="00C11CFC" w:rsidP="005A6FF2">
      <w:pPr>
        <w:pStyle w:val="EndnoteText"/>
        <w:ind w:left="425" w:hanging="425"/>
      </w:pPr>
      <w:r>
        <w:rPr>
          <w:rStyle w:val="EndnoteReference"/>
        </w:rPr>
        <w:endnoteRef/>
      </w:r>
      <w:r>
        <w:t xml:space="preserve"> </w:t>
      </w:r>
      <w:r>
        <w:tab/>
        <w:t xml:space="preserve">Australian Human Rights Commission, Submission to the Independent National Security Legislation Monitor, </w:t>
      </w:r>
      <w:r w:rsidRPr="005A6FF2">
        <w:rPr>
          <w:i/>
          <w:iCs/>
        </w:rPr>
        <w:t xml:space="preserve">Review of citizenship loss provisions in the Australian Citizenship Act 2007 </w:t>
      </w:r>
      <w:r w:rsidRPr="004C0C43">
        <w:t>(Cth)</w:t>
      </w:r>
      <w:r>
        <w:t xml:space="preserve">. At </w:t>
      </w:r>
      <w:r w:rsidRPr="004C0C43">
        <w:t>https://www.inslm.gov.au/sites/default/files/submissions/ahrc-citizenship-loss-review-inslm-submission-14-june-19.pdf</w:t>
      </w:r>
      <w:r>
        <w:t xml:space="preserve">. </w:t>
      </w:r>
    </w:p>
  </w:endnote>
  <w:endnote w:id="2">
    <w:p w14:paraId="04ECC568" w14:textId="7634D1A9" w:rsidR="00C11CFC" w:rsidRDefault="00C11CFC" w:rsidP="00146746">
      <w:pPr>
        <w:pStyle w:val="EndnoteText"/>
        <w:ind w:left="425" w:hanging="425"/>
      </w:pPr>
      <w:r>
        <w:rPr>
          <w:rStyle w:val="EndnoteReference"/>
        </w:rPr>
        <w:endnoteRef/>
      </w:r>
      <w:r>
        <w:t xml:space="preserve"> </w:t>
      </w:r>
      <w:r>
        <w:tab/>
        <w:t xml:space="preserve">Australian Human Rights Commission, Submission to the Parliamentary Joint Committee on Intelligence and Security, </w:t>
      </w:r>
      <w:r w:rsidRPr="00146746">
        <w:rPr>
          <w:i/>
          <w:iCs/>
        </w:rPr>
        <w:t xml:space="preserve">Australian Citizenship Amendment (Strengthening the Citizenship Loss Provisions) Bill 2018 </w:t>
      </w:r>
      <w:r w:rsidRPr="004C0C43">
        <w:t>(Cth)</w:t>
      </w:r>
      <w:r>
        <w:t xml:space="preserve">. At </w:t>
      </w:r>
      <w:r w:rsidRPr="004C0C43">
        <w:t>https://www.aph.gov.au/DocumentStore.ashx?id=804cc1f2-83bc-49ba-bd3e-d48b44b4da70&amp;subId=664696</w:t>
      </w:r>
      <w:r>
        <w:t xml:space="preserve">. </w:t>
      </w:r>
    </w:p>
  </w:endnote>
  <w:endnote w:id="3">
    <w:p w14:paraId="5E7F0C9C" w14:textId="1BEA7D0E" w:rsidR="00C11CFC" w:rsidRDefault="00C11CFC" w:rsidP="00CC5F5F">
      <w:pPr>
        <w:pStyle w:val="EndnoteText"/>
        <w:tabs>
          <w:tab w:val="left" w:pos="426"/>
        </w:tabs>
        <w:ind w:left="426" w:right="57" w:hanging="426"/>
      </w:pPr>
      <w:r>
        <w:rPr>
          <w:rStyle w:val="EndnoteReference"/>
        </w:rPr>
        <w:endnoteRef/>
      </w:r>
      <w:r>
        <w:t xml:space="preserve"> </w:t>
      </w:r>
      <w:r>
        <w:tab/>
        <w:t xml:space="preserve">The </w:t>
      </w:r>
      <w:r w:rsidRPr="00CC5F5F">
        <w:rPr>
          <w:rFonts w:cs="Open Sans"/>
        </w:rPr>
        <w:t>Explanatory</w:t>
      </w:r>
      <w:r>
        <w:t xml:space="preserve"> Memorandum to the Bill states that the Bill has been introduced to address the INSLM’s recommendations, including his key recommendation to replace the current </w:t>
      </w:r>
      <w:r w:rsidRPr="009778A4">
        <w:rPr>
          <w:rFonts w:cs="Open Sans"/>
        </w:rPr>
        <w:t>operation</w:t>
      </w:r>
      <w:r>
        <w:t xml:space="preserve"> of law scheme with a Ministerial decision model. See</w:t>
      </w:r>
      <w:r w:rsidRPr="00CC5F5F">
        <w:rPr>
          <w:rFonts w:cs="Open Sans"/>
        </w:rPr>
        <w:t xml:space="preserve"> </w:t>
      </w:r>
      <w:r w:rsidRPr="006B2669">
        <w:rPr>
          <w:rFonts w:cs="Open Sans"/>
        </w:rPr>
        <w:t xml:space="preserve">Explanatory Memorandum, Australian Citizenship Amendment (Citizenship </w:t>
      </w:r>
      <w:r>
        <w:rPr>
          <w:rFonts w:cs="Open Sans"/>
        </w:rPr>
        <w:t>Cessation</w:t>
      </w:r>
      <w:r w:rsidRPr="006B2669">
        <w:rPr>
          <w:rFonts w:cs="Open Sans"/>
        </w:rPr>
        <w:t>) Bill 201</w:t>
      </w:r>
      <w:r>
        <w:rPr>
          <w:rFonts w:cs="Open Sans"/>
        </w:rPr>
        <w:t>9</w:t>
      </w:r>
      <w:r w:rsidRPr="006B2669">
        <w:rPr>
          <w:rFonts w:cs="Open Sans"/>
        </w:rPr>
        <w:t xml:space="preserve"> (Cth) </w:t>
      </w:r>
      <w:r>
        <w:rPr>
          <w:rFonts w:cs="Open Sans"/>
        </w:rPr>
        <w:t>1</w:t>
      </w:r>
      <w:r w:rsidRPr="006B2669">
        <w:rPr>
          <w:rFonts w:cs="Open Sans"/>
        </w:rPr>
        <w:t>.</w:t>
      </w:r>
    </w:p>
  </w:endnote>
  <w:endnote w:id="4">
    <w:p w14:paraId="4A0DA80D" w14:textId="3A2F06C4" w:rsidR="00C11CFC" w:rsidRDefault="00C11CFC" w:rsidP="004A6647">
      <w:pPr>
        <w:pStyle w:val="EndnoteText"/>
        <w:tabs>
          <w:tab w:val="left" w:pos="426"/>
        </w:tabs>
        <w:ind w:left="426" w:right="57" w:hanging="426"/>
        <w:rPr>
          <w:rFonts w:cs="Open Sans"/>
        </w:rPr>
      </w:pPr>
      <w:r>
        <w:rPr>
          <w:rStyle w:val="EndnoteReference"/>
        </w:rPr>
        <w:endnoteRef/>
      </w:r>
      <w:r>
        <w:rPr>
          <w:rFonts w:cs="Open Sans"/>
          <w:i/>
        </w:rPr>
        <w:t xml:space="preserve"> </w:t>
      </w:r>
      <w:r>
        <w:rPr>
          <w:rFonts w:cs="Open Sans"/>
          <w:i/>
        </w:rPr>
        <w:tab/>
        <w:t>International Covenant on Civil and Political Rights</w:t>
      </w:r>
      <w:r>
        <w:rPr>
          <w:rFonts w:cs="Open Sans"/>
        </w:rPr>
        <w:t>, opened for signature 19 December 1966, 999 UNTS 171 (entered into force 23 March 1976) art 12(4).</w:t>
      </w:r>
    </w:p>
  </w:endnote>
  <w:endnote w:id="5">
    <w:p w14:paraId="03D8E617" w14:textId="77777777" w:rsidR="00C11CFC" w:rsidRPr="006B2669" w:rsidRDefault="00C11CFC" w:rsidP="006465CA">
      <w:pPr>
        <w:pStyle w:val="EndnoteText"/>
        <w:tabs>
          <w:tab w:val="left" w:pos="426"/>
        </w:tabs>
        <w:ind w:left="426" w:right="57" w:hanging="426"/>
        <w:rPr>
          <w:rFonts w:cs="Open Sans"/>
        </w:rPr>
      </w:pPr>
      <w:r w:rsidRPr="006B2669">
        <w:rPr>
          <w:rStyle w:val="EndnoteReference"/>
          <w:rFonts w:cs="Open Sans"/>
        </w:rPr>
        <w:endnoteRef/>
      </w:r>
      <w:r w:rsidRPr="006B2669">
        <w:rPr>
          <w:rFonts w:cs="Open Sans"/>
        </w:rPr>
        <w:tab/>
      </w:r>
      <w:r>
        <w:rPr>
          <w:rFonts w:cs="Open Sans"/>
        </w:rPr>
        <w:t>Statement of Compatibility with Human Rights</w:t>
      </w:r>
      <w:r w:rsidRPr="006B2669">
        <w:rPr>
          <w:rFonts w:cs="Open Sans"/>
        </w:rPr>
        <w:t xml:space="preserve">, Australian Citizenship Amendment (Citizenship </w:t>
      </w:r>
      <w:r>
        <w:rPr>
          <w:rFonts w:cs="Open Sans"/>
        </w:rPr>
        <w:t>Cessation</w:t>
      </w:r>
      <w:r w:rsidRPr="006B2669">
        <w:rPr>
          <w:rFonts w:cs="Open Sans"/>
        </w:rPr>
        <w:t>) Bill 201</w:t>
      </w:r>
      <w:r>
        <w:rPr>
          <w:rFonts w:cs="Open Sans"/>
        </w:rPr>
        <w:t>9</w:t>
      </w:r>
      <w:r w:rsidRPr="006B2669">
        <w:rPr>
          <w:rFonts w:cs="Open Sans"/>
        </w:rPr>
        <w:t xml:space="preserve"> (Cth) </w:t>
      </w:r>
      <w:r>
        <w:rPr>
          <w:rFonts w:cs="Open Sans"/>
        </w:rPr>
        <w:t>1-3.</w:t>
      </w:r>
    </w:p>
  </w:endnote>
  <w:endnote w:id="6">
    <w:p w14:paraId="5AFC5D0D" w14:textId="77777777" w:rsidR="00C11CFC" w:rsidRDefault="00C11CFC" w:rsidP="00094280">
      <w:pPr>
        <w:pStyle w:val="EndnoteText"/>
        <w:widowControl w:val="0"/>
        <w:tabs>
          <w:tab w:val="left" w:pos="426"/>
        </w:tabs>
        <w:ind w:left="426" w:right="57" w:hanging="426"/>
        <w:contextualSpacing/>
        <w:rPr>
          <w:rFonts w:cs="Open Sans"/>
        </w:rPr>
      </w:pPr>
      <w:r>
        <w:rPr>
          <w:rStyle w:val="EndnoteReference"/>
        </w:rPr>
        <w:endnoteRef/>
      </w:r>
      <w:r>
        <w:rPr>
          <w:rFonts w:cs="Open Sans"/>
          <w:i/>
          <w:iCs/>
        </w:rPr>
        <w:t xml:space="preserve"> </w:t>
      </w:r>
      <w:r>
        <w:rPr>
          <w:rFonts w:cs="Open Sans"/>
          <w:i/>
          <w:iCs/>
        </w:rPr>
        <w:tab/>
      </w:r>
      <w:r w:rsidRPr="00C824B9">
        <w:rPr>
          <w:rFonts w:cs="Open Sans"/>
          <w:i/>
        </w:rPr>
        <w:t>Convention</w:t>
      </w:r>
      <w:r>
        <w:rPr>
          <w:rFonts w:cs="Open Sans"/>
          <w:i/>
          <w:iCs/>
        </w:rPr>
        <w:t xml:space="preserve"> on the Rights of the Child</w:t>
      </w:r>
      <w:r>
        <w:rPr>
          <w:rFonts w:cs="Open Sans"/>
          <w:iCs/>
        </w:rPr>
        <w:t>, opened for signature 20 November 1989,</w:t>
      </w:r>
      <w:r>
        <w:rPr>
          <w:rFonts w:cs="Open Sans"/>
        </w:rPr>
        <w:t xml:space="preserve"> [1991] ATS 4 (entered into force 2 September 1990) arts 3, 8(1). </w:t>
      </w:r>
    </w:p>
  </w:endnote>
  <w:endnote w:id="7">
    <w:p w14:paraId="55C4F04A" w14:textId="77777777" w:rsidR="00C11CFC" w:rsidRPr="006B2669" w:rsidRDefault="00C11CFC" w:rsidP="006465CA">
      <w:pPr>
        <w:pStyle w:val="EndnoteText"/>
        <w:tabs>
          <w:tab w:val="left" w:pos="426"/>
        </w:tabs>
        <w:ind w:left="426" w:right="57" w:hanging="426"/>
        <w:rPr>
          <w:rFonts w:cs="Open Sans"/>
        </w:rPr>
      </w:pPr>
      <w:r w:rsidRPr="006B2669">
        <w:rPr>
          <w:rStyle w:val="EndnoteReference"/>
          <w:rFonts w:cs="Open Sans"/>
        </w:rPr>
        <w:endnoteRef/>
      </w:r>
      <w:r w:rsidRPr="006B2669">
        <w:rPr>
          <w:rFonts w:cs="Open Sans"/>
        </w:rPr>
        <w:tab/>
        <w:t xml:space="preserve">See for example UN Secretary-General, </w:t>
      </w:r>
      <w:r w:rsidRPr="006B2669">
        <w:rPr>
          <w:rFonts w:cs="Open Sans"/>
          <w:i/>
        </w:rPr>
        <w:t>Plan of Action to Prevent Violent Extremism</w:t>
      </w:r>
      <w:r w:rsidRPr="006B2669">
        <w:rPr>
          <w:rFonts w:cs="Open Sans"/>
        </w:rPr>
        <w:t>, UN Doc A/70/674 (24 December 2015).</w:t>
      </w:r>
    </w:p>
  </w:endnote>
  <w:endnote w:id="8">
    <w:p w14:paraId="7F43395F" w14:textId="77777777" w:rsidR="00C11CFC" w:rsidRPr="006B2669" w:rsidRDefault="00C11CFC" w:rsidP="006465CA">
      <w:pPr>
        <w:pStyle w:val="EndnoteText"/>
        <w:tabs>
          <w:tab w:val="left" w:pos="426"/>
        </w:tabs>
        <w:ind w:left="426" w:right="57" w:hanging="426"/>
        <w:rPr>
          <w:rFonts w:cs="Open Sans"/>
        </w:rPr>
      </w:pPr>
      <w:r w:rsidRPr="006B2669">
        <w:rPr>
          <w:rStyle w:val="EndnoteReference"/>
          <w:rFonts w:cs="Open Sans"/>
        </w:rPr>
        <w:endnoteRef/>
      </w:r>
      <w:r w:rsidRPr="006B2669">
        <w:rPr>
          <w:rFonts w:cs="Open Sans"/>
        </w:rPr>
        <w:tab/>
        <w:t xml:space="preserve">Sangeetha Pillai and George Williams, ‘The Utility of Citizenship Stripping Laws in the UK, Canada and Australia’ (2017) 41(2) </w:t>
      </w:r>
      <w:r w:rsidRPr="006B2669">
        <w:rPr>
          <w:rFonts w:cs="Open Sans"/>
          <w:i/>
        </w:rPr>
        <w:t>Melbourne University Law Review</w:t>
      </w:r>
      <w:r w:rsidRPr="006B2669">
        <w:rPr>
          <w:rFonts w:cs="Open Sans"/>
        </w:rPr>
        <w:t xml:space="preserve"> 845, 881; 885.</w:t>
      </w:r>
    </w:p>
  </w:endnote>
  <w:endnote w:id="9">
    <w:p w14:paraId="56220E86" w14:textId="77777777" w:rsidR="00C11CFC" w:rsidRDefault="00C11CFC" w:rsidP="00D264ED">
      <w:pPr>
        <w:pStyle w:val="EndnoteText"/>
        <w:widowControl w:val="0"/>
        <w:tabs>
          <w:tab w:val="left" w:pos="426"/>
        </w:tabs>
        <w:ind w:left="426" w:right="57" w:hanging="426"/>
        <w:contextualSpacing/>
        <w:rPr>
          <w:rFonts w:cs="Open Sans"/>
        </w:rPr>
      </w:pPr>
      <w:r>
        <w:rPr>
          <w:rStyle w:val="EndnoteReference"/>
        </w:rPr>
        <w:endnoteRef/>
      </w:r>
      <w:r>
        <w:rPr>
          <w:rFonts w:cs="Open Sans"/>
        </w:rPr>
        <w:t xml:space="preserve"> </w:t>
      </w:r>
      <w:r>
        <w:rPr>
          <w:rFonts w:cs="Open Sans"/>
        </w:rPr>
        <w:tab/>
      </w:r>
      <w:r>
        <w:rPr>
          <w:rFonts w:cs="Open Sans"/>
          <w:i/>
        </w:rPr>
        <w:t>International Covenant on Civil and Political Rights</w:t>
      </w:r>
      <w:r>
        <w:rPr>
          <w:rFonts w:cs="Open Sans"/>
        </w:rPr>
        <w:t>, opened for signature 16 December 1966, 999 UNTS 171 (entered into force 23 March 1976).</w:t>
      </w:r>
    </w:p>
  </w:endnote>
  <w:endnote w:id="10">
    <w:p w14:paraId="7393FC46" w14:textId="77777777" w:rsidR="00C11CFC" w:rsidRDefault="00C11CFC" w:rsidP="00D264ED">
      <w:pPr>
        <w:pStyle w:val="EndnoteText"/>
        <w:tabs>
          <w:tab w:val="left" w:pos="426"/>
        </w:tabs>
        <w:ind w:left="426" w:right="57" w:hanging="426"/>
        <w:rPr>
          <w:rFonts w:cs="Open Sans"/>
        </w:rPr>
      </w:pPr>
      <w:r>
        <w:rPr>
          <w:rStyle w:val="EndnoteReference"/>
        </w:rPr>
        <w:endnoteRef/>
      </w:r>
      <w:r>
        <w:rPr>
          <w:rFonts w:cs="Open Sans"/>
        </w:rPr>
        <w:tab/>
        <w:t xml:space="preserve">United Nations Human Rights Committee, </w:t>
      </w:r>
      <w:r>
        <w:rPr>
          <w:rFonts w:cs="Open Sans"/>
          <w:i/>
        </w:rPr>
        <w:t xml:space="preserve">General Comment No 27: Article 12 (Freedom of Movement) </w:t>
      </w:r>
      <w:r>
        <w:rPr>
          <w:rFonts w:cs="Open Sans"/>
        </w:rPr>
        <w:t>67</w:t>
      </w:r>
      <w:r>
        <w:rPr>
          <w:rFonts w:cs="Open Sans"/>
          <w:vertAlign w:val="superscript"/>
        </w:rPr>
        <w:t>th</w:t>
      </w:r>
      <w:r>
        <w:rPr>
          <w:rFonts w:cs="Open Sans"/>
        </w:rPr>
        <w:t xml:space="preserve"> sess, UN Doc CCPR/C/21/Rev.1/Add.9 (2 November 1999) 5 [19]. </w:t>
      </w:r>
    </w:p>
  </w:endnote>
  <w:endnote w:id="11">
    <w:p w14:paraId="0F420238" w14:textId="77777777" w:rsidR="00C11CFC" w:rsidRDefault="00C11CFC" w:rsidP="00D264ED">
      <w:pPr>
        <w:pStyle w:val="EndnoteText"/>
        <w:tabs>
          <w:tab w:val="left" w:pos="426"/>
        </w:tabs>
        <w:ind w:left="426" w:right="57" w:hanging="426"/>
        <w:rPr>
          <w:rFonts w:cs="Open Sans"/>
        </w:rPr>
      </w:pPr>
      <w:r>
        <w:rPr>
          <w:rStyle w:val="EndnoteReference"/>
        </w:rPr>
        <w:endnoteRef/>
      </w:r>
      <w:r>
        <w:rPr>
          <w:rFonts w:cs="Open Sans"/>
        </w:rPr>
        <w:tab/>
        <w:t xml:space="preserve">United Nations Human Rights Committee, </w:t>
      </w:r>
      <w:r>
        <w:rPr>
          <w:rFonts w:cs="Open Sans"/>
          <w:i/>
        </w:rPr>
        <w:t xml:space="preserve">General Comment No 27: Article 12 (Freedom of Movement) </w:t>
      </w:r>
      <w:r>
        <w:rPr>
          <w:rFonts w:cs="Open Sans"/>
        </w:rPr>
        <w:t>67</w:t>
      </w:r>
      <w:r>
        <w:rPr>
          <w:rFonts w:cs="Open Sans"/>
          <w:vertAlign w:val="superscript"/>
        </w:rPr>
        <w:t>th</w:t>
      </w:r>
      <w:r>
        <w:rPr>
          <w:rFonts w:cs="Open Sans"/>
        </w:rPr>
        <w:t xml:space="preserve"> sess, UN Doc CCPR/C/21/Rev.1/Add.9 (2 November 1999) 5 [20].</w:t>
      </w:r>
    </w:p>
  </w:endnote>
  <w:endnote w:id="12">
    <w:p w14:paraId="725BCA53" w14:textId="77777777" w:rsidR="00C11CFC" w:rsidRDefault="00C11CFC" w:rsidP="00D264ED">
      <w:pPr>
        <w:pStyle w:val="EndnoteText"/>
        <w:tabs>
          <w:tab w:val="left" w:pos="426"/>
        </w:tabs>
        <w:ind w:left="426" w:right="57" w:hanging="426"/>
        <w:rPr>
          <w:rFonts w:cs="Open Sans"/>
        </w:rPr>
      </w:pPr>
      <w:r>
        <w:rPr>
          <w:rStyle w:val="EndnoteReference"/>
        </w:rPr>
        <w:endnoteRef/>
      </w:r>
      <w:r>
        <w:rPr>
          <w:rFonts w:cs="Open Sans"/>
        </w:rPr>
        <w:tab/>
        <w:t xml:space="preserve">See for example United Nations Human Rights Committee, </w:t>
      </w:r>
      <w:r>
        <w:rPr>
          <w:rFonts w:cs="Open Sans"/>
          <w:i/>
        </w:rPr>
        <w:t>Views: Communication No. 1557/2007</w:t>
      </w:r>
      <w:r>
        <w:rPr>
          <w:rFonts w:cs="Open Sans"/>
        </w:rPr>
        <w:t>, 102</w:t>
      </w:r>
      <w:r>
        <w:rPr>
          <w:rFonts w:cs="Open Sans"/>
          <w:vertAlign w:val="superscript"/>
        </w:rPr>
        <w:t>nd</w:t>
      </w:r>
      <w:r>
        <w:rPr>
          <w:rFonts w:cs="Open Sans"/>
        </w:rPr>
        <w:t xml:space="preserve"> sess, </w:t>
      </w:r>
      <w:r>
        <w:rPr>
          <w:rFonts w:cs="Open Sans"/>
          <w:lang w:val="en"/>
        </w:rPr>
        <w:t xml:space="preserve">UN Doc CCPR/C/102/D/1557/2007 (1 September 2011) 18 </w:t>
      </w:r>
      <w:r>
        <w:rPr>
          <w:rFonts w:cs="Open Sans"/>
        </w:rPr>
        <w:t>[7.4] (‘Nystrom v Australia’).</w:t>
      </w:r>
    </w:p>
  </w:endnote>
  <w:endnote w:id="13">
    <w:p w14:paraId="466DC3E5" w14:textId="77777777" w:rsidR="00C11CFC" w:rsidRDefault="00C11CFC" w:rsidP="00D264ED">
      <w:pPr>
        <w:pStyle w:val="EndnoteText"/>
        <w:tabs>
          <w:tab w:val="left" w:pos="426"/>
        </w:tabs>
        <w:ind w:left="426" w:right="57" w:hanging="426"/>
        <w:rPr>
          <w:rFonts w:cs="Open Sans"/>
        </w:rPr>
      </w:pPr>
      <w:r>
        <w:rPr>
          <w:rStyle w:val="EndnoteReference"/>
        </w:rPr>
        <w:endnoteRef/>
      </w:r>
      <w:r>
        <w:rPr>
          <w:rFonts w:cs="Open Sans"/>
        </w:rPr>
        <w:t xml:space="preserve"> </w:t>
      </w:r>
      <w:r>
        <w:rPr>
          <w:rFonts w:cs="Open Sans"/>
        </w:rPr>
        <w:tab/>
      </w:r>
      <w:r>
        <w:rPr>
          <w:rFonts w:cs="Open Sans"/>
          <w:i/>
        </w:rPr>
        <w:t>Migration Act</w:t>
      </w:r>
      <w:r>
        <w:rPr>
          <w:rFonts w:cs="Open Sans"/>
        </w:rPr>
        <w:t xml:space="preserve"> </w:t>
      </w:r>
      <w:r>
        <w:rPr>
          <w:rFonts w:cs="Open Sans"/>
          <w:i/>
        </w:rPr>
        <w:t>1958</w:t>
      </w:r>
      <w:r>
        <w:rPr>
          <w:rFonts w:cs="Open Sans"/>
        </w:rPr>
        <w:t xml:space="preserve"> (Cth) ss 189, 198. </w:t>
      </w:r>
    </w:p>
  </w:endnote>
  <w:endnote w:id="14">
    <w:p w14:paraId="66E7D2B6" w14:textId="77777777" w:rsidR="00C11CFC" w:rsidRDefault="00C11CFC" w:rsidP="00FB00BC">
      <w:pPr>
        <w:pStyle w:val="EndnoteText"/>
        <w:tabs>
          <w:tab w:val="left" w:pos="426"/>
        </w:tabs>
        <w:ind w:left="426" w:right="57" w:hanging="426"/>
        <w:rPr>
          <w:rFonts w:cs="Open Sans"/>
        </w:rPr>
      </w:pPr>
      <w:r>
        <w:rPr>
          <w:rStyle w:val="EndnoteReference"/>
        </w:rPr>
        <w:endnoteRef/>
      </w:r>
      <w:r>
        <w:rPr>
          <w:rFonts w:cs="Open Sans"/>
        </w:rPr>
        <w:tab/>
        <w:t xml:space="preserve">United Nations Human Rights Committee, </w:t>
      </w:r>
      <w:r>
        <w:rPr>
          <w:rFonts w:cs="Open Sans"/>
          <w:i/>
        </w:rPr>
        <w:t xml:space="preserve">General Comment No 27: Article 12 (Freedom of Movement) </w:t>
      </w:r>
      <w:r>
        <w:rPr>
          <w:rFonts w:cs="Open Sans"/>
        </w:rPr>
        <w:t>67</w:t>
      </w:r>
      <w:r>
        <w:rPr>
          <w:rFonts w:cs="Open Sans"/>
          <w:vertAlign w:val="superscript"/>
        </w:rPr>
        <w:t>th</w:t>
      </w:r>
      <w:r>
        <w:rPr>
          <w:rFonts w:cs="Open Sans"/>
        </w:rPr>
        <w:t xml:space="preserve"> sess, UN Doc CCPR/C/21/Rev.1/Add.9 (2 November 1999) 5 [21].</w:t>
      </w:r>
    </w:p>
  </w:endnote>
  <w:endnote w:id="15">
    <w:p w14:paraId="0A797E4A" w14:textId="55084FC6" w:rsidR="00C11CFC" w:rsidRDefault="00C11CFC" w:rsidP="00C824B9">
      <w:pPr>
        <w:pStyle w:val="EndnoteText"/>
        <w:widowControl w:val="0"/>
        <w:tabs>
          <w:tab w:val="left" w:pos="426"/>
        </w:tabs>
        <w:ind w:left="426" w:right="57" w:hanging="426"/>
        <w:contextualSpacing/>
        <w:rPr>
          <w:rFonts w:cs="Open Sans"/>
        </w:rPr>
      </w:pPr>
      <w:r>
        <w:rPr>
          <w:rStyle w:val="EndnoteReference"/>
        </w:rPr>
        <w:endnoteRef/>
      </w:r>
      <w:r>
        <w:rPr>
          <w:rFonts w:cs="Open Sans"/>
          <w:i/>
        </w:rPr>
        <w:t xml:space="preserve"> </w:t>
      </w:r>
      <w:r>
        <w:rPr>
          <w:rFonts w:cs="Open Sans"/>
          <w:i/>
        </w:rPr>
        <w:tab/>
      </w:r>
      <w:r w:rsidRPr="00C824B9">
        <w:rPr>
          <w:rFonts w:cs="Open Sans"/>
          <w:i/>
        </w:rPr>
        <w:t>Convention</w:t>
      </w:r>
      <w:r>
        <w:rPr>
          <w:rFonts w:cs="Open Sans"/>
          <w:i/>
          <w:iCs/>
        </w:rPr>
        <w:t xml:space="preserve"> on the Rights of the Child</w:t>
      </w:r>
      <w:r>
        <w:rPr>
          <w:rFonts w:cs="Open Sans"/>
          <w:iCs/>
        </w:rPr>
        <w:t>, opened for signature 20 November 1989,</w:t>
      </w:r>
      <w:r>
        <w:rPr>
          <w:rFonts w:cs="Open Sans"/>
        </w:rPr>
        <w:t xml:space="preserve"> [1991] ATS 4 (entered into force 2 September 1990) preamble; </w:t>
      </w:r>
      <w:r>
        <w:rPr>
          <w:rFonts w:cs="Open Sans"/>
          <w:i/>
        </w:rPr>
        <w:t>Universal Declaration of Human Right</w:t>
      </w:r>
      <w:r>
        <w:rPr>
          <w:rFonts w:cs="Open Sans"/>
        </w:rPr>
        <w:t xml:space="preserve">s, GA Res 217A (III), UN GAOR, 3rd sess, 183rd plen mtg UN Doc A/810 (10 December 1948) article 25(2). </w:t>
      </w:r>
    </w:p>
  </w:endnote>
  <w:endnote w:id="16">
    <w:p w14:paraId="0EEBF17D" w14:textId="28CDD640" w:rsidR="00C11CFC" w:rsidRDefault="00C11CFC" w:rsidP="00B83255">
      <w:pPr>
        <w:pStyle w:val="EndnoteText"/>
        <w:tabs>
          <w:tab w:val="left" w:pos="426"/>
        </w:tabs>
        <w:ind w:left="426" w:right="57" w:hanging="426"/>
      </w:pPr>
      <w:r>
        <w:rPr>
          <w:rStyle w:val="EndnoteReference"/>
        </w:rPr>
        <w:endnoteRef/>
      </w:r>
      <w:r>
        <w:t xml:space="preserve"> </w:t>
      </w:r>
      <w:r>
        <w:tab/>
      </w:r>
      <w:r w:rsidRPr="00EE0F77">
        <w:rPr>
          <w:rFonts w:cs="Open Sans"/>
        </w:rPr>
        <w:t xml:space="preserve">Australian Human Rights Commission, Submission to the United Nations Committee on the Rights of the Child, </w:t>
      </w:r>
      <w:r w:rsidRPr="00EE0F77">
        <w:rPr>
          <w:rFonts w:cs="Open Sans"/>
          <w:i/>
          <w:iCs/>
        </w:rPr>
        <w:t>Information relating to Australia's joint fifth and sixth report under the Convention on the Rights of the Child, second report on the Optional Protocol on the sale of children, child prostitution and child pornography, and second report on the Optional Protocol on the involvement of children in armed conflict</w:t>
      </w:r>
      <w:r w:rsidRPr="00EE0F77">
        <w:rPr>
          <w:rFonts w:cs="Open Sans"/>
        </w:rPr>
        <w:t xml:space="preserve"> (1 November 2018)</w:t>
      </w:r>
      <w:r>
        <w:rPr>
          <w:rFonts w:cs="Open Sans"/>
        </w:rPr>
        <w:t>.</w:t>
      </w:r>
    </w:p>
  </w:endnote>
  <w:endnote w:id="17">
    <w:p w14:paraId="5F1A515F" w14:textId="77777777" w:rsidR="00C11CFC" w:rsidRPr="006B2669" w:rsidRDefault="00C11CFC" w:rsidP="00C824B9">
      <w:pPr>
        <w:pStyle w:val="EndnoteText"/>
        <w:widowControl w:val="0"/>
        <w:tabs>
          <w:tab w:val="left" w:pos="426"/>
        </w:tabs>
        <w:ind w:left="426" w:right="57" w:hanging="426"/>
        <w:contextualSpacing/>
        <w:rPr>
          <w:rFonts w:cs="Open Sans"/>
        </w:rPr>
      </w:pPr>
      <w:r w:rsidRPr="006B2669">
        <w:rPr>
          <w:rStyle w:val="EndnoteReference"/>
          <w:rFonts w:cs="Open Sans"/>
        </w:rPr>
        <w:endnoteRef/>
      </w:r>
      <w:r w:rsidRPr="006B2669">
        <w:rPr>
          <w:rFonts w:cs="Open Sans"/>
        </w:rPr>
        <w:tab/>
      </w:r>
      <w:r w:rsidRPr="006B2669">
        <w:rPr>
          <w:rFonts w:cs="Open Sans"/>
          <w:i/>
        </w:rPr>
        <w:t>Convention on the Reduction of Statelessness</w:t>
      </w:r>
      <w:r w:rsidRPr="006B2669">
        <w:rPr>
          <w:rFonts w:cs="Open Sans"/>
        </w:rPr>
        <w:t>, opened for signature 30 August 1961, 989 UNTS 175 (entered into force 13 December 1975).</w:t>
      </w:r>
    </w:p>
  </w:endnote>
  <w:endnote w:id="18">
    <w:p w14:paraId="211298D4" w14:textId="77777777" w:rsidR="00C11CFC" w:rsidRDefault="00C11CFC" w:rsidP="00D264ED">
      <w:pPr>
        <w:pStyle w:val="EndnoteText"/>
        <w:tabs>
          <w:tab w:val="left" w:pos="426"/>
        </w:tabs>
        <w:ind w:left="426" w:right="57" w:hanging="426"/>
        <w:rPr>
          <w:rFonts w:cs="Open Sans"/>
        </w:rPr>
      </w:pPr>
      <w:r>
        <w:rPr>
          <w:rStyle w:val="EndnoteReference"/>
        </w:rPr>
        <w:endnoteRef/>
      </w:r>
      <w:r>
        <w:rPr>
          <w:rFonts w:cs="Open Sans"/>
        </w:rPr>
        <w:tab/>
        <w:t xml:space="preserve">Relevant exceptions to article 8(1) of the </w:t>
      </w:r>
      <w:r>
        <w:rPr>
          <w:rFonts w:cs="Open Sans"/>
          <w:i/>
        </w:rPr>
        <w:t>Convention on the Reduction of Statelessness</w:t>
      </w:r>
      <w:r>
        <w:rPr>
          <w:rFonts w:cs="Open Sans"/>
        </w:rPr>
        <w:t>, opened for signature 30 August 1961, 989 UNTS 175 (entered into force 13 December 1975) include where a person has conducted himself in a manner seriously prejudicial to the vital interests of the State, or where the person has given definite evidence of his determination to repudiate his allegiance. However, for a state to rely on these exceptions, article 8(3) provides that the State must specify that it retains the right to deprive a person of his nationality on those grounds, as at the time of signature, ratification or accession of the Convention, and that the grounds need to exist in domestic law at the relevant time. Australia has made no such declaration.</w:t>
      </w:r>
    </w:p>
  </w:endnote>
  <w:endnote w:id="19">
    <w:p w14:paraId="617DCB8A" w14:textId="77777777" w:rsidR="00C11CFC" w:rsidRDefault="00C11CFC" w:rsidP="00D264ED">
      <w:pPr>
        <w:pStyle w:val="EndnoteText"/>
        <w:tabs>
          <w:tab w:val="left" w:pos="426"/>
        </w:tabs>
        <w:ind w:left="426" w:right="57" w:hanging="426"/>
        <w:rPr>
          <w:rFonts w:cs="Open Sans"/>
        </w:rPr>
      </w:pPr>
      <w:r>
        <w:rPr>
          <w:rStyle w:val="EndnoteReference"/>
        </w:rPr>
        <w:endnoteRef/>
      </w:r>
      <w:r>
        <w:rPr>
          <w:rFonts w:cs="Open Sans"/>
        </w:rPr>
        <w:tab/>
      </w:r>
      <w:r>
        <w:rPr>
          <w:rFonts w:cs="Open Sans"/>
          <w:i/>
        </w:rPr>
        <w:t>Universal Declaration of Human Right</w:t>
      </w:r>
      <w:r>
        <w:rPr>
          <w:rFonts w:cs="Open Sans"/>
        </w:rPr>
        <w:t>s, GA Res 217A (III), UN GAOR, 3rd sess, 183rd plen mtg UN Doc A/810 (10 December 1948) art 15.</w:t>
      </w:r>
    </w:p>
  </w:endnote>
  <w:endnote w:id="20">
    <w:p w14:paraId="31F654C3" w14:textId="77777777" w:rsidR="00C11CFC" w:rsidRDefault="00C11CFC" w:rsidP="00D264ED">
      <w:pPr>
        <w:pStyle w:val="EndnoteText"/>
        <w:tabs>
          <w:tab w:val="left" w:pos="426"/>
        </w:tabs>
        <w:ind w:left="426" w:right="57" w:hanging="426"/>
        <w:rPr>
          <w:rFonts w:cs="Open Sans"/>
        </w:rPr>
      </w:pPr>
      <w:r>
        <w:rPr>
          <w:rStyle w:val="EndnoteReference"/>
        </w:rPr>
        <w:endnoteRef/>
      </w:r>
      <w:r>
        <w:rPr>
          <w:rFonts w:cs="Open Sans"/>
        </w:rPr>
        <w:tab/>
        <w:t xml:space="preserve">See for example Michelle Foster and Hélène Lambert, ‘Statelessness as a human rights issue: a concept whose time has come‘ (2016) 28(4) </w:t>
      </w:r>
      <w:r>
        <w:rPr>
          <w:rFonts w:cs="Open Sans"/>
          <w:i/>
        </w:rPr>
        <w:t>International Journal of Refugee Law</w:t>
      </w:r>
      <w:r>
        <w:rPr>
          <w:rFonts w:cs="Open Sans"/>
        </w:rPr>
        <w:t xml:space="preserve"> 564, 578; United Nations Human Rights Council, Human Rights and Arbitrary Deprivation of Nationality: Report of the Secretary-General, 13th sess, Agenda item 3, UN Doc A/HRC/13/34, (14 December 2009) 5–6 [19–22].</w:t>
      </w:r>
    </w:p>
  </w:endnote>
  <w:endnote w:id="21">
    <w:p w14:paraId="4183CBC6" w14:textId="77777777" w:rsidR="00C11CFC" w:rsidRDefault="00C11CFC" w:rsidP="00D264ED">
      <w:pPr>
        <w:pStyle w:val="EndnoteText"/>
        <w:tabs>
          <w:tab w:val="left" w:pos="426"/>
        </w:tabs>
        <w:ind w:left="426" w:right="57" w:hanging="426"/>
        <w:rPr>
          <w:rFonts w:cs="Open Sans"/>
        </w:rPr>
      </w:pPr>
      <w:r>
        <w:rPr>
          <w:rStyle w:val="EndnoteReference"/>
        </w:rPr>
        <w:endnoteRef/>
      </w:r>
      <w:r>
        <w:rPr>
          <w:rFonts w:cs="Open Sans"/>
        </w:rPr>
        <w:tab/>
      </w:r>
      <w:r>
        <w:rPr>
          <w:rFonts w:cs="Open Sans"/>
          <w:i/>
        </w:rPr>
        <w:t xml:space="preserve">Australian Passports Act 2005 </w:t>
      </w:r>
      <w:r>
        <w:rPr>
          <w:rFonts w:cs="Open Sans"/>
        </w:rPr>
        <w:t xml:space="preserve">(Cth) ss 8, 22. </w:t>
      </w:r>
    </w:p>
  </w:endnote>
  <w:endnote w:id="22">
    <w:p w14:paraId="782D3AE0" w14:textId="77777777" w:rsidR="00C11CFC" w:rsidRDefault="00C11CFC" w:rsidP="00D264ED">
      <w:pPr>
        <w:pStyle w:val="EndnoteText"/>
        <w:tabs>
          <w:tab w:val="left" w:pos="426"/>
        </w:tabs>
        <w:ind w:left="426" w:right="57" w:hanging="426"/>
        <w:rPr>
          <w:rFonts w:cs="Open Sans"/>
        </w:rPr>
      </w:pPr>
      <w:r>
        <w:rPr>
          <w:rStyle w:val="EndnoteReference"/>
        </w:rPr>
        <w:endnoteRef/>
      </w:r>
      <w:r>
        <w:rPr>
          <w:rFonts w:cs="Open Sans"/>
        </w:rPr>
        <w:tab/>
      </w:r>
      <w:r>
        <w:rPr>
          <w:rFonts w:cs="Open Sans"/>
          <w:i/>
        </w:rPr>
        <w:t xml:space="preserve">Commonwealth Electoral Act 1918 </w:t>
      </w:r>
      <w:r>
        <w:rPr>
          <w:rFonts w:cs="Open Sans"/>
        </w:rPr>
        <w:t xml:space="preserve">(Cth) ss 93, Parts VI-X. </w:t>
      </w:r>
    </w:p>
  </w:endnote>
  <w:endnote w:id="23">
    <w:p w14:paraId="7A389C4E" w14:textId="77777777" w:rsidR="00C11CFC" w:rsidRDefault="00C11CFC" w:rsidP="00D264ED">
      <w:pPr>
        <w:pStyle w:val="EndnoteText"/>
        <w:tabs>
          <w:tab w:val="left" w:pos="426"/>
        </w:tabs>
        <w:ind w:left="426" w:right="57" w:hanging="426"/>
        <w:rPr>
          <w:rFonts w:cs="Open Sans"/>
        </w:rPr>
      </w:pPr>
      <w:r>
        <w:rPr>
          <w:rStyle w:val="EndnoteReference"/>
        </w:rPr>
        <w:endnoteRef/>
      </w:r>
      <w:r>
        <w:rPr>
          <w:rFonts w:cs="Open Sans"/>
        </w:rPr>
        <w:tab/>
      </w:r>
      <w:r>
        <w:rPr>
          <w:rFonts w:cs="Open Sans"/>
          <w:i/>
        </w:rPr>
        <w:t xml:space="preserve">Social Security Act 1991 </w:t>
      </w:r>
      <w:r>
        <w:rPr>
          <w:rFonts w:cs="Open Sans"/>
        </w:rPr>
        <w:t xml:space="preserve">(Cth) s 7 and various other provisions. Australian residence is generally a precondition of receipt of social security payments. </w:t>
      </w:r>
    </w:p>
  </w:endnote>
  <w:endnote w:id="24">
    <w:p w14:paraId="68D16321" w14:textId="77777777" w:rsidR="00C11CFC" w:rsidRDefault="00C11CFC" w:rsidP="00D264ED">
      <w:pPr>
        <w:pStyle w:val="EndnoteText"/>
        <w:tabs>
          <w:tab w:val="left" w:pos="426"/>
        </w:tabs>
        <w:ind w:left="426" w:right="57" w:hanging="426"/>
        <w:rPr>
          <w:rFonts w:cs="Open Sans"/>
        </w:rPr>
      </w:pPr>
      <w:r>
        <w:rPr>
          <w:rStyle w:val="EndnoteReference"/>
        </w:rPr>
        <w:endnoteRef/>
      </w:r>
      <w:r>
        <w:rPr>
          <w:rFonts w:cs="Open Sans"/>
        </w:rPr>
        <w:tab/>
        <w:t xml:space="preserve">See for example </w:t>
      </w:r>
      <w:r>
        <w:rPr>
          <w:rFonts w:cs="Open Sans"/>
          <w:i/>
        </w:rPr>
        <w:t xml:space="preserve">Intelligence Services Act 2001 </w:t>
      </w:r>
      <w:r>
        <w:rPr>
          <w:rFonts w:cs="Open Sans"/>
        </w:rPr>
        <w:t xml:space="preserve">(Cth) s 15. </w:t>
      </w:r>
    </w:p>
  </w:endnote>
  <w:endnote w:id="25">
    <w:p w14:paraId="60B64CEB" w14:textId="77777777" w:rsidR="00C11CFC" w:rsidRPr="006B2669" w:rsidRDefault="00C11CFC" w:rsidP="00E8337E">
      <w:pPr>
        <w:pStyle w:val="EndnoteText"/>
        <w:tabs>
          <w:tab w:val="left" w:pos="426"/>
        </w:tabs>
        <w:ind w:left="426" w:right="57" w:hanging="426"/>
        <w:rPr>
          <w:rFonts w:cs="Open Sans"/>
        </w:rPr>
      </w:pPr>
      <w:r w:rsidRPr="006B2669">
        <w:rPr>
          <w:rStyle w:val="EndnoteReference"/>
          <w:rFonts w:cs="Open Sans"/>
        </w:rPr>
        <w:endnoteRef/>
      </w:r>
      <w:r w:rsidRPr="006B2669">
        <w:rPr>
          <w:rFonts w:cs="Open Sans"/>
        </w:rPr>
        <w:tab/>
        <w:t xml:space="preserve">Parliamentary Joint Committee on Intelligence and Security, </w:t>
      </w:r>
      <w:r w:rsidRPr="006B2669">
        <w:rPr>
          <w:rFonts w:cs="Open Sans"/>
          <w:i/>
        </w:rPr>
        <w:t>Advisory Report on the Australian Citizenship Amendment (Allegiance to Australia) Bill 2015</w:t>
      </w:r>
      <w:r w:rsidRPr="006B2669">
        <w:rPr>
          <w:rFonts w:cs="Open Sans"/>
        </w:rPr>
        <w:t xml:space="preserve"> (September 2015) 115–116.</w:t>
      </w:r>
    </w:p>
  </w:endnote>
  <w:endnote w:id="26">
    <w:p w14:paraId="473E2342" w14:textId="42147FC4" w:rsidR="00C11CFC" w:rsidRPr="006B2669" w:rsidRDefault="00C11CFC" w:rsidP="006A0183">
      <w:pPr>
        <w:pStyle w:val="EndnoteText"/>
        <w:tabs>
          <w:tab w:val="left" w:pos="426"/>
        </w:tabs>
        <w:ind w:left="426" w:right="57" w:hanging="426"/>
        <w:rPr>
          <w:rFonts w:cs="Open Sans"/>
        </w:rPr>
      </w:pPr>
      <w:r w:rsidRPr="006B2669">
        <w:rPr>
          <w:rStyle w:val="EndnoteReference"/>
          <w:rFonts w:cs="Open Sans"/>
        </w:rPr>
        <w:endnoteRef/>
      </w:r>
      <w:r w:rsidRPr="006B2669">
        <w:rPr>
          <w:rFonts w:cs="Open Sans"/>
        </w:rPr>
        <w:t xml:space="preserve"> </w:t>
      </w:r>
      <w:r w:rsidRPr="006B2669">
        <w:rPr>
          <w:rFonts w:cs="Open Sans"/>
        </w:rPr>
        <w:tab/>
        <w:t>This can be contrast</w:t>
      </w:r>
      <w:r>
        <w:rPr>
          <w:rFonts w:cs="Open Sans"/>
        </w:rPr>
        <w:t>ed</w:t>
      </w:r>
      <w:r w:rsidRPr="006B2669">
        <w:rPr>
          <w:rFonts w:cs="Open Sans"/>
        </w:rPr>
        <w:t xml:space="preserve"> with the exercise of other powers in the migration context. For example, when deciding whether to refuse or cancel a visa under s 501 or 501CA of the </w:t>
      </w:r>
      <w:r w:rsidRPr="006B2669">
        <w:rPr>
          <w:rFonts w:cs="Open Sans"/>
          <w:i/>
        </w:rPr>
        <w:t>Migration Act 1958</w:t>
      </w:r>
      <w:r w:rsidRPr="006B2669">
        <w:rPr>
          <w:rFonts w:cs="Open Sans"/>
        </w:rPr>
        <w:t xml:space="preserve"> (Cth), a Ministerial Direction requires decision-makers to have regard to the ‘strength, nature and duration’ of a person’s ties to Australia. See Minister for Immigration and Border Protection, </w:t>
      </w:r>
      <w:r w:rsidRPr="006B2669">
        <w:rPr>
          <w:rFonts w:cs="Open Sans"/>
          <w:i/>
        </w:rPr>
        <w:t>Direction No. 65 under section 499 of the Migration Act 1958 – Visa refusal and cancellation under s 501 and revocation of a mandatory cancellation of a visa under s 501CA</w:t>
      </w:r>
      <w:r w:rsidRPr="006B2669">
        <w:rPr>
          <w:rFonts w:cs="Open Sans"/>
        </w:rPr>
        <w:t xml:space="preserve"> (22 December 2014) [10.2].</w:t>
      </w:r>
    </w:p>
  </w:endnote>
  <w:endnote w:id="27">
    <w:p w14:paraId="35DB7DE2" w14:textId="77777777" w:rsidR="00C11CFC" w:rsidRPr="006B2669" w:rsidRDefault="00C11CFC" w:rsidP="009778A4">
      <w:pPr>
        <w:pStyle w:val="EndnoteText"/>
        <w:tabs>
          <w:tab w:val="left" w:pos="426"/>
        </w:tabs>
        <w:ind w:left="426" w:right="57" w:hanging="426"/>
        <w:rPr>
          <w:rFonts w:cs="Open Sans"/>
        </w:rPr>
      </w:pPr>
      <w:r w:rsidRPr="006B2669">
        <w:rPr>
          <w:rStyle w:val="EndnoteReference"/>
          <w:rFonts w:cs="Open Sans"/>
        </w:rPr>
        <w:endnoteRef/>
      </w:r>
      <w:r w:rsidRPr="006B2669">
        <w:rPr>
          <w:rFonts w:cs="Open Sans"/>
        </w:rPr>
        <w:t xml:space="preserve"> </w:t>
      </w:r>
      <w:r w:rsidRPr="006B2669">
        <w:rPr>
          <w:rFonts w:cs="Open Sans"/>
        </w:rPr>
        <w:tab/>
      </w:r>
      <w:r w:rsidRPr="006B2669">
        <w:rPr>
          <w:rFonts w:cs="Open Sans"/>
          <w:i/>
        </w:rPr>
        <w:t>Minister for Immigration and Ethnic Affairs v Ah Hin Teoh</w:t>
      </w:r>
      <w:r w:rsidRPr="006B2669">
        <w:rPr>
          <w:rFonts w:cs="Open Sans"/>
        </w:rPr>
        <w:t xml:space="preserve"> (1995) 183 CLR 273, 287, 291.</w:t>
      </w:r>
    </w:p>
  </w:endnote>
  <w:endnote w:id="28">
    <w:p w14:paraId="57A8DE4B" w14:textId="116F9483" w:rsidR="00C11CFC" w:rsidRDefault="00C11CFC" w:rsidP="005962B1">
      <w:pPr>
        <w:pStyle w:val="EndnoteText"/>
        <w:ind w:left="425" w:hanging="425"/>
      </w:pPr>
      <w:r>
        <w:rPr>
          <w:rStyle w:val="EndnoteReference"/>
        </w:rPr>
        <w:endnoteRef/>
      </w:r>
      <w:r>
        <w:t xml:space="preserve"> </w:t>
      </w:r>
      <w:r>
        <w:tab/>
      </w:r>
      <w:r w:rsidRPr="005962B1">
        <w:rPr>
          <w:i/>
          <w:iCs/>
        </w:rPr>
        <w:t>Australian Citizenship Act 2007</w:t>
      </w:r>
      <w:r>
        <w:t xml:space="preserve"> (Cth), ss 33AA(10)(a), 35(5)(a), 35A(5)(a).</w:t>
      </w:r>
    </w:p>
  </w:endnote>
  <w:endnote w:id="29">
    <w:p w14:paraId="7560A01D" w14:textId="7846B0D0" w:rsidR="00C11CFC" w:rsidRDefault="00C11CFC" w:rsidP="009778A4">
      <w:pPr>
        <w:pStyle w:val="EndnoteText"/>
        <w:tabs>
          <w:tab w:val="left" w:pos="426"/>
        </w:tabs>
        <w:ind w:left="426" w:right="57" w:hanging="426"/>
      </w:pPr>
      <w:r>
        <w:rPr>
          <w:rStyle w:val="EndnoteReference"/>
        </w:rPr>
        <w:endnoteRef/>
      </w:r>
      <w:r>
        <w:t xml:space="preserve"> </w:t>
      </w:r>
      <w:r>
        <w:tab/>
      </w:r>
      <w:r w:rsidRPr="00BE0E19">
        <w:rPr>
          <w:rFonts w:cs="Open Sans"/>
        </w:rPr>
        <w:t>Independent</w:t>
      </w:r>
      <w:r>
        <w:t xml:space="preserve"> National Security Legislation Monitor, </w:t>
      </w:r>
      <w:r w:rsidRPr="009D0FDE">
        <w:rPr>
          <w:i/>
          <w:iCs/>
        </w:rPr>
        <w:t>Review of the operation, effectiveness and implications of terrorism-related citizenship loss provisions contained in the Australian Citizenship Act 2007</w:t>
      </w:r>
      <w:r>
        <w:t xml:space="preserve"> (15 August 2019) 59.</w:t>
      </w:r>
    </w:p>
  </w:endnote>
  <w:endnote w:id="30">
    <w:p w14:paraId="1EA0B9A5" w14:textId="77777777" w:rsidR="00C11CFC" w:rsidRDefault="00C11CFC" w:rsidP="002473C3">
      <w:pPr>
        <w:pStyle w:val="EndnoteText"/>
        <w:tabs>
          <w:tab w:val="left" w:pos="426"/>
        </w:tabs>
        <w:ind w:left="426" w:hanging="426"/>
        <w:rPr>
          <w:rFonts w:cs="Open Sans"/>
        </w:rPr>
      </w:pPr>
      <w:r>
        <w:rPr>
          <w:rStyle w:val="EndnoteReference"/>
        </w:rPr>
        <w:endnoteRef/>
      </w:r>
      <w:r>
        <w:rPr>
          <w:rFonts w:cs="Open Sans"/>
        </w:rPr>
        <w:t xml:space="preserve"> </w:t>
      </w:r>
      <w:r>
        <w:rPr>
          <w:rFonts w:cs="Open Sans"/>
        </w:rPr>
        <w:tab/>
        <w:t xml:space="preserve">Administrative Review Council, </w:t>
      </w:r>
      <w:r>
        <w:rPr>
          <w:rFonts w:cs="Open Sans"/>
          <w:i/>
        </w:rPr>
        <w:t>What decisions should be subject to merit review?</w:t>
      </w:r>
      <w:r>
        <w:rPr>
          <w:rFonts w:cs="Open Sans"/>
        </w:rPr>
        <w:t xml:space="preserve"> (Report, 1999) [2.1].</w:t>
      </w:r>
    </w:p>
  </w:endnote>
  <w:endnote w:id="31">
    <w:p w14:paraId="0C026B3C" w14:textId="60E68525" w:rsidR="00C11CFC" w:rsidRDefault="00C11CFC" w:rsidP="00A5539C">
      <w:pPr>
        <w:pStyle w:val="EndnoteText"/>
        <w:tabs>
          <w:tab w:val="left" w:pos="426"/>
        </w:tabs>
        <w:ind w:left="426" w:hanging="426"/>
      </w:pPr>
      <w:r>
        <w:rPr>
          <w:rStyle w:val="EndnoteReference"/>
        </w:rPr>
        <w:endnoteRef/>
      </w:r>
      <w:r>
        <w:t xml:space="preserve"> </w:t>
      </w:r>
      <w:r>
        <w:tab/>
        <w:t>Proposed ss 36D(9) and 36B(11) provide that the rules of natural justice do not apply in relation to the making of a citizenship cessation determination, either on the basis of certain conduct or convictions. The Commission notes that under current s 35A(11), dealing with conviction-based cessation of citizenship, there is presently an obligation on the Minister to observe the rules of natural justice when deciding to revoke a person’s citizenship.</w:t>
      </w:r>
    </w:p>
  </w:endnote>
  <w:endnote w:id="32">
    <w:p w14:paraId="16FEA378" w14:textId="77777777" w:rsidR="00C11CFC" w:rsidRDefault="00C11CFC" w:rsidP="002473C3">
      <w:pPr>
        <w:pStyle w:val="EndnoteText"/>
        <w:tabs>
          <w:tab w:val="left" w:pos="426"/>
        </w:tabs>
        <w:ind w:left="426" w:hanging="426"/>
        <w:rPr>
          <w:rFonts w:cs="Open Sans"/>
        </w:rPr>
      </w:pPr>
      <w:r>
        <w:rPr>
          <w:rStyle w:val="EndnoteReference"/>
        </w:rPr>
        <w:endnoteRef/>
      </w:r>
      <w:r>
        <w:rPr>
          <w:rFonts w:cs="Open Sans"/>
        </w:rPr>
        <w:t xml:space="preserve"> </w:t>
      </w:r>
      <w:r>
        <w:rPr>
          <w:rFonts w:cs="Open Sans"/>
        </w:rPr>
        <w:tab/>
        <w:t xml:space="preserve">Administrative Review Council, </w:t>
      </w:r>
      <w:r>
        <w:rPr>
          <w:rFonts w:cs="Open Sans"/>
          <w:i/>
        </w:rPr>
        <w:t>What decisions should be subject to merit review?</w:t>
      </w:r>
      <w:r>
        <w:rPr>
          <w:rFonts w:cs="Open Sans"/>
        </w:rPr>
        <w:t xml:space="preserve"> (Report, 1999) [2.5].</w:t>
      </w:r>
    </w:p>
  </w:endnote>
  <w:endnote w:id="33">
    <w:p w14:paraId="741B6429" w14:textId="7B2AD186" w:rsidR="00C11CFC" w:rsidRDefault="00C11CFC" w:rsidP="00E36167">
      <w:pPr>
        <w:pStyle w:val="EndnoteText"/>
        <w:tabs>
          <w:tab w:val="left" w:pos="426"/>
        </w:tabs>
        <w:ind w:left="426" w:hanging="426"/>
        <w:rPr>
          <w:rFonts w:cs="Open Sans"/>
        </w:rPr>
      </w:pPr>
      <w:r>
        <w:rPr>
          <w:rStyle w:val="EndnoteReference"/>
        </w:rPr>
        <w:endnoteRef/>
      </w:r>
      <w:r>
        <w:rPr>
          <w:rFonts w:cs="Open Sans"/>
        </w:rPr>
        <w:t xml:space="preserve"> </w:t>
      </w:r>
      <w:r>
        <w:rPr>
          <w:rFonts w:cs="Open Sans"/>
        </w:rPr>
        <w:tab/>
        <w:t xml:space="preserve">Administrative Review Council, </w:t>
      </w:r>
      <w:r>
        <w:rPr>
          <w:rFonts w:cs="Open Sans"/>
          <w:i/>
        </w:rPr>
        <w:t>What decisions should be subject to merit review?</w:t>
      </w:r>
      <w:r>
        <w:rPr>
          <w:rFonts w:cs="Open Sans"/>
        </w:rPr>
        <w:t xml:space="preserve"> (Report, 1999) [5.3]-[5.5].</w:t>
      </w:r>
    </w:p>
  </w:endnote>
  <w:endnote w:id="34">
    <w:p w14:paraId="2E59DC5B" w14:textId="77777777" w:rsidR="00C11CFC" w:rsidRDefault="00C11CFC" w:rsidP="002473C3">
      <w:pPr>
        <w:pStyle w:val="EndnoteText"/>
        <w:tabs>
          <w:tab w:val="left" w:pos="426"/>
        </w:tabs>
        <w:ind w:left="426" w:hanging="426"/>
        <w:rPr>
          <w:rFonts w:cs="Open Sans"/>
        </w:rPr>
      </w:pPr>
      <w:r>
        <w:rPr>
          <w:rStyle w:val="EndnoteReference"/>
        </w:rPr>
        <w:endnoteRef/>
      </w:r>
      <w:r>
        <w:rPr>
          <w:rFonts w:cs="Open Sans"/>
        </w:rPr>
        <w:t xml:space="preserve"> </w:t>
      </w:r>
      <w:r>
        <w:rPr>
          <w:rFonts w:cs="Open Sans"/>
        </w:rPr>
        <w:tab/>
        <w:t xml:space="preserve">Administrative Review Council, </w:t>
      </w:r>
      <w:r>
        <w:rPr>
          <w:rFonts w:cs="Open Sans"/>
          <w:i/>
          <w:iCs/>
        </w:rPr>
        <w:t>Federal Judicial Review in Australia</w:t>
      </w:r>
      <w:r>
        <w:rPr>
          <w:rFonts w:cs="Open Sans"/>
        </w:rPr>
        <w:t xml:space="preserve"> (Report No 50, September 2012) 72–73 [4.4].</w:t>
      </w:r>
    </w:p>
  </w:endnote>
  <w:endnote w:id="35">
    <w:p w14:paraId="0B85727C" w14:textId="77777777" w:rsidR="00C11CFC" w:rsidRDefault="00C11CFC" w:rsidP="002473C3">
      <w:pPr>
        <w:pStyle w:val="EndnoteText"/>
        <w:tabs>
          <w:tab w:val="left" w:pos="426"/>
        </w:tabs>
        <w:ind w:left="426" w:right="57" w:hanging="426"/>
        <w:rPr>
          <w:rFonts w:cs="Open Sans"/>
          <w:b/>
          <w:bCs/>
        </w:rPr>
      </w:pPr>
      <w:r>
        <w:rPr>
          <w:rStyle w:val="EndnoteReference"/>
        </w:rPr>
        <w:endnoteRef/>
      </w:r>
      <w:r>
        <w:rPr>
          <w:rFonts w:cs="Open Sans"/>
        </w:rPr>
        <w:tab/>
      </w:r>
      <w:r>
        <w:rPr>
          <w:rFonts w:cs="Open Sans"/>
          <w:i/>
        </w:rPr>
        <w:t>Criminal Code</w:t>
      </w:r>
      <w:r>
        <w:rPr>
          <w:rFonts w:cs="Open Sans"/>
        </w:rPr>
        <w:t xml:space="preserve"> (Cth) Division 7; </w:t>
      </w:r>
      <w:r>
        <w:rPr>
          <w:rFonts w:cs="Open Sans"/>
          <w:i/>
        </w:rPr>
        <w:t xml:space="preserve">Australian Citizenship Act 2007 </w:t>
      </w:r>
      <w:r>
        <w:rPr>
          <w:rFonts w:cs="Open Sans"/>
        </w:rPr>
        <w:t>(Cth) s 35A.</w:t>
      </w:r>
    </w:p>
  </w:endnote>
  <w:endnote w:id="36">
    <w:p w14:paraId="1985B81C" w14:textId="519D5233" w:rsidR="00C11CFC" w:rsidRDefault="00C11CFC" w:rsidP="002473C3">
      <w:pPr>
        <w:pStyle w:val="EndnoteText"/>
        <w:tabs>
          <w:tab w:val="left" w:pos="426"/>
        </w:tabs>
        <w:ind w:left="426" w:right="57" w:hanging="426"/>
        <w:rPr>
          <w:rFonts w:cs="Open Sans"/>
        </w:rPr>
      </w:pPr>
      <w:r>
        <w:rPr>
          <w:rStyle w:val="EndnoteReference"/>
        </w:rPr>
        <w:endnoteRef/>
      </w:r>
      <w:r>
        <w:rPr>
          <w:rFonts w:cs="Open Sans"/>
        </w:rPr>
        <w:t xml:space="preserve"> </w:t>
      </w:r>
      <w:r>
        <w:rPr>
          <w:rFonts w:cs="Open Sans"/>
        </w:rPr>
        <w:tab/>
      </w:r>
      <w:r w:rsidRPr="006B2669">
        <w:rPr>
          <w:rFonts w:cs="Open Sans"/>
        </w:rPr>
        <w:t xml:space="preserve">Australian Citizenship Amendment (Citizenship </w:t>
      </w:r>
      <w:r>
        <w:rPr>
          <w:rFonts w:cs="Open Sans"/>
        </w:rPr>
        <w:t>Cessation</w:t>
      </w:r>
      <w:r w:rsidRPr="006B2669">
        <w:rPr>
          <w:rFonts w:cs="Open Sans"/>
        </w:rPr>
        <w:t>) Bill 201</w:t>
      </w:r>
      <w:r>
        <w:rPr>
          <w:rFonts w:cs="Open Sans"/>
        </w:rPr>
        <w:t>9</w:t>
      </w:r>
      <w:r w:rsidRPr="006B2669">
        <w:rPr>
          <w:rFonts w:cs="Open Sans"/>
        </w:rPr>
        <w:t xml:space="preserve"> (Cth) </w:t>
      </w:r>
      <w:r>
        <w:rPr>
          <w:rFonts w:cs="Open Sans"/>
        </w:rPr>
        <w:t>proposed ss 36B(1).</w:t>
      </w:r>
    </w:p>
  </w:endnote>
  <w:endnote w:id="37">
    <w:p w14:paraId="61129771" w14:textId="269D05CF" w:rsidR="00C11CFC" w:rsidRDefault="00C11CFC" w:rsidP="00E8337E">
      <w:pPr>
        <w:pStyle w:val="EndnoteText"/>
        <w:tabs>
          <w:tab w:val="left" w:pos="426"/>
        </w:tabs>
        <w:ind w:left="426" w:right="57" w:hanging="426"/>
        <w:rPr>
          <w:rFonts w:cs="Open Sans"/>
        </w:rPr>
      </w:pPr>
      <w:r>
        <w:rPr>
          <w:rStyle w:val="EndnoteReference"/>
        </w:rPr>
        <w:endnoteRef/>
      </w:r>
      <w:r>
        <w:rPr>
          <w:rFonts w:cs="Open Sans"/>
          <w:i/>
        </w:rPr>
        <w:t xml:space="preserve"> </w:t>
      </w:r>
      <w:r>
        <w:rPr>
          <w:rFonts w:cs="Open Sans"/>
          <w:i/>
        </w:rPr>
        <w:tab/>
      </w:r>
      <w:r w:rsidRPr="00E8337E">
        <w:rPr>
          <w:rFonts w:cs="Open Sans"/>
          <w:i/>
        </w:rPr>
        <w:t>Convention</w:t>
      </w:r>
      <w:r>
        <w:rPr>
          <w:rFonts w:cs="Open Sans"/>
          <w:i/>
          <w:iCs/>
        </w:rPr>
        <w:t xml:space="preserve"> on the Rights of the Child</w:t>
      </w:r>
      <w:r>
        <w:rPr>
          <w:rFonts w:cs="Open Sans"/>
          <w:iCs/>
        </w:rPr>
        <w:t>, opened for signature 20 November 1989,</w:t>
      </w:r>
      <w:r>
        <w:rPr>
          <w:rFonts w:cs="Open Sans"/>
        </w:rPr>
        <w:t xml:space="preserve"> [1991] ATS 4 (entered into force 2 September 1990) preamble; </w:t>
      </w:r>
      <w:r>
        <w:rPr>
          <w:rFonts w:cs="Open Sans"/>
          <w:i/>
        </w:rPr>
        <w:t>Universal Declaration of Human Right</w:t>
      </w:r>
      <w:r>
        <w:rPr>
          <w:rFonts w:cs="Open Sans"/>
        </w:rPr>
        <w:t xml:space="preserve">s, GA Res 217A (III), UN GAOR, 3rd sess, 183rd plen mtg UN Doc A/810 (10 December 1948) article 25(2). </w:t>
      </w:r>
    </w:p>
  </w:endnote>
  <w:endnote w:id="38">
    <w:p w14:paraId="2C835A28" w14:textId="77777777" w:rsidR="00C11CFC" w:rsidRDefault="00C11CFC" w:rsidP="00FD18F5">
      <w:pPr>
        <w:pStyle w:val="EndnoteText"/>
        <w:tabs>
          <w:tab w:val="left" w:pos="426"/>
        </w:tabs>
        <w:ind w:left="426" w:right="57" w:hanging="426"/>
        <w:rPr>
          <w:rFonts w:cs="Open Sans"/>
        </w:rPr>
      </w:pPr>
      <w:r>
        <w:rPr>
          <w:rStyle w:val="EndnoteReference"/>
        </w:rPr>
        <w:endnoteRef/>
      </w:r>
      <w:r>
        <w:rPr>
          <w:rFonts w:cs="Open Sans"/>
        </w:rPr>
        <w:tab/>
        <w:t xml:space="preserve">United Nations Committee on the Rights of the Child, </w:t>
      </w:r>
      <w:r>
        <w:rPr>
          <w:rFonts w:cs="Open Sans"/>
          <w:i/>
        </w:rPr>
        <w:t>General Comment No 14 on the right of the child to have his or her best interests taken as a primary consideration (art 3, para 1)</w:t>
      </w:r>
      <w:r>
        <w:rPr>
          <w:rFonts w:cs="Open Sans"/>
        </w:rPr>
        <w:t>, 62</w:t>
      </w:r>
      <w:r>
        <w:rPr>
          <w:rFonts w:cs="Open Sans"/>
          <w:vertAlign w:val="superscript"/>
        </w:rPr>
        <w:t>nd</w:t>
      </w:r>
      <w:r>
        <w:rPr>
          <w:rFonts w:cs="Open Sans"/>
        </w:rPr>
        <w:t xml:space="preserve"> sess, UN Doc. CRC/C/GC/14 (29 May 2013) 12 [46]–[51]. </w:t>
      </w:r>
    </w:p>
  </w:endnote>
  <w:endnote w:id="39">
    <w:p w14:paraId="46266FC5" w14:textId="77777777" w:rsidR="00C11CFC" w:rsidRDefault="00C11CFC" w:rsidP="00FD18F5">
      <w:pPr>
        <w:pStyle w:val="EndnoteText"/>
        <w:tabs>
          <w:tab w:val="left" w:pos="426"/>
        </w:tabs>
        <w:ind w:left="426" w:right="57" w:hanging="426"/>
        <w:rPr>
          <w:rFonts w:cs="Open Sans"/>
        </w:rPr>
      </w:pPr>
      <w:r>
        <w:rPr>
          <w:rStyle w:val="EndnoteReference"/>
        </w:rPr>
        <w:endnoteRef/>
      </w:r>
      <w:r>
        <w:rPr>
          <w:rFonts w:cs="Open Sans"/>
        </w:rPr>
        <w:tab/>
        <w:t xml:space="preserve">United Nations Committee on the Rights of the Child, </w:t>
      </w:r>
      <w:r>
        <w:rPr>
          <w:rFonts w:cs="Open Sans"/>
          <w:i/>
        </w:rPr>
        <w:t>General Comment No 14 on the right of the child to have his or her best interests taken as a primary consideration (art 3, para 1)</w:t>
      </w:r>
      <w:r>
        <w:rPr>
          <w:rFonts w:cs="Open Sans"/>
        </w:rPr>
        <w:t>, 62</w:t>
      </w:r>
      <w:r>
        <w:rPr>
          <w:rFonts w:cs="Open Sans"/>
          <w:vertAlign w:val="superscript"/>
        </w:rPr>
        <w:t>nd</w:t>
      </w:r>
      <w:r>
        <w:rPr>
          <w:rFonts w:cs="Open Sans"/>
        </w:rPr>
        <w:t xml:space="preserve"> sess, UN Doc. CRC/C/GC/14 (29 May 2013) 18–19 [89]–[91]. </w:t>
      </w:r>
    </w:p>
  </w:endnote>
  <w:endnote w:id="40">
    <w:p w14:paraId="4B9ABE18" w14:textId="77777777" w:rsidR="00C11CFC" w:rsidRDefault="00C11CFC" w:rsidP="00FD18F5">
      <w:pPr>
        <w:pStyle w:val="EndnoteText"/>
        <w:tabs>
          <w:tab w:val="left" w:pos="426"/>
        </w:tabs>
        <w:ind w:left="426" w:right="57" w:hanging="426"/>
        <w:rPr>
          <w:rFonts w:cs="Open Sans"/>
        </w:rPr>
      </w:pPr>
      <w:r>
        <w:rPr>
          <w:rStyle w:val="EndnoteReference"/>
        </w:rPr>
        <w:endnoteRef/>
      </w:r>
      <w:r>
        <w:rPr>
          <w:rFonts w:cs="Open Sans"/>
        </w:rPr>
        <w:tab/>
        <w:t xml:space="preserve">United Nations Committee on the Rights of the Child, </w:t>
      </w:r>
      <w:r>
        <w:rPr>
          <w:rFonts w:cs="Open Sans"/>
          <w:i/>
        </w:rPr>
        <w:t>General Comment No 14 on the right of the child to have his or her best interests taken as a primary consideration (art 3, para 1)</w:t>
      </w:r>
      <w:r>
        <w:rPr>
          <w:rFonts w:cs="Open Sans"/>
        </w:rPr>
        <w:t>, 62</w:t>
      </w:r>
      <w:r>
        <w:rPr>
          <w:rFonts w:cs="Open Sans"/>
          <w:vertAlign w:val="superscript"/>
        </w:rPr>
        <w:t>nd</w:t>
      </w:r>
      <w:r>
        <w:rPr>
          <w:rFonts w:cs="Open Sans"/>
        </w:rPr>
        <w:t xml:space="preserve"> sess, UN Doc. CRC/C/GC/14 (29 May 2013) 18 [87].</w:t>
      </w:r>
    </w:p>
  </w:endnote>
  <w:endnote w:id="41">
    <w:p w14:paraId="0A7B7D48" w14:textId="77777777" w:rsidR="00C11CFC" w:rsidRDefault="00C11CFC" w:rsidP="00FD18F5">
      <w:pPr>
        <w:pStyle w:val="EndnoteText"/>
        <w:tabs>
          <w:tab w:val="left" w:pos="426"/>
        </w:tabs>
        <w:ind w:left="426" w:right="57" w:hanging="426"/>
        <w:rPr>
          <w:rFonts w:cs="Open Sans"/>
        </w:rPr>
      </w:pPr>
      <w:r>
        <w:rPr>
          <w:rStyle w:val="EndnoteReference"/>
        </w:rPr>
        <w:endnoteRef/>
      </w:r>
      <w:r>
        <w:rPr>
          <w:rFonts w:cs="Open Sans"/>
        </w:rPr>
        <w:tab/>
        <w:t xml:space="preserve">United Nations Committee on the Rights of the Child, </w:t>
      </w:r>
      <w:r>
        <w:rPr>
          <w:rFonts w:cs="Open Sans"/>
          <w:i/>
        </w:rPr>
        <w:t>General Comment No 14 on the right of the child to have his or her best interests taken as a primary consideration (art 3, para 1)</w:t>
      </w:r>
      <w:r>
        <w:rPr>
          <w:rFonts w:cs="Open Sans"/>
        </w:rPr>
        <w:t>, 62</w:t>
      </w:r>
      <w:r>
        <w:rPr>
          <w:rFonts w:cs="Open Sans"/>
          <w:vertAlign w:val="superscript"/>
        </w:rPr>
        <w:t>nd</w:t>
      </w:r>
      <w:r>
        <w:rPr>
          <w:rFonts w:cs="Open Sans"/>
        </w:rPr>
        <w:t xml:space="preserve"> sess, UN Doc. CRC/C/GC/14 (29 May 2013) 20 [98]. </w:t>
      </w:r>
    </w:p>
  </w:endnote>
  <w:endnote w:id="42">
    <w:p w14:paraId="2EB975B7" w14:textId="16BC5216" w:rsidR="00C11CFC" w:rsidRDefault="00C11CFC" w:rsidP="00B31FFA">
      <w:pPr>
        <w:pStyle w:val="EndnoteText"/>
        <w:tabs>
          <w:tab w:val="left" w:pos="426"/>
        </w:tabs>
        <w:ind w:left="426" w:right="57" w:hanging="426"/>
      </w:pPr>
      <w:r>
        <w:rPr>
          <w:rStyle w:val="EndnoteReference"/>
        </w:rPr>
        <w:endnoteRef/>
      </w:r>
      <w:r>
        <w:t xml:space="preserve"> </w:t>
      </w:r>
      <w:r>
        <w:tab/>
      </w:r>
      <w:r>
        <w:rPr>
          <w:rFonts w:cs="Open Sans"/>
        </w:rPr>
        <w:t xml:space="preserve">United Nations Committee on the Rights of the Child, </w:t>
      </w:r>
      <w:r>
        <w:rPr>
          <w:rFonts w:cs="Open Sans"/>
          <w:i/>
        </w:rPr>
        <w:t>Consideration of reports submitted by States parties under article 44 of the Convention</w:t>
      </w:r>
      <w:r>
        <w:rPr>
          <w:rFonts w:cs="Open Sans"/>
        </w:rPr>
        <w:t>, 60</w:t>
      </w:r>
      <w:r w:rsidRPr="002F1E3C">
        <w:rPr>
          <w:rFonts w:cs="Open Sans"/>
          <w:vertAlign w:val="superscript"/>
        </w:rPr>
        <w:t>th</w:t>
      </w:r>
      <w:r>
        <w:rPr>
          <w:rFonts w:cs="Open Sans"/>
        </w:rPr>
        <w:t xml:space="preserve"> sess, UN Doc. CRC/C/AUS/CO/4 (28 August 2012) 9 [38].</w:t>
      </w:r>
    </w:p>
  </w:endnote>
  <w:endnote w:id="43">
    <w:p w14:paraId="0A792964" w14:textId="77777777" w:rsidR="00C11CFC" w:rsidRDefault="00C11CFC" w:rsidP="002473C3">
      <w:pPr>
        <w:pStyle w:val="EndnoteText"/>
        <w:tabs>
          <w:tab w:val="left" w:pos="426"/>
        </w:tabs>
        <w:ind w:left="426" w:right="57" w:hanging="426"/>
        <w:rPr>
          <w:rFonts w:cs="Open Sans"/>
        </w:rPr>
      </w:pPr>
      <w:r>
        <w:rPr>
          <w:rStyle w:val="EndnoteReference"/>
        </w:rPr>
        <w:endnoteRef/>
      </w:r>
      <w:r>
        <w:rPr>
          <w:rFonts w:cs="Open Sans"/>
        </w:rPr>
        <w:t xml:space="preserve"> </w:t>
      </w:r>
      <w:r>
        <w:rPr>
          <w:rFonts w:cs="Open Sans"/>
        </w:rPr>
        <w:tab/>
        <w:t xml:space="preserve">Australian Human Rights Commission, </w:t>
      </w:r>
      <w:r>
        <w:rPr>
          <w:rFonts w:cs="Open Sans"/>
          <w:i/>
        </w:rPr>
        <w:t>Children’s Rights Report 2016</w:t>
      </w:r>
      <w:r>
        <w:rPr>
          <w:rFonts w:cs="Open Sans"/>
        </w:rPr>
        <w:t xml:space="preserve"> (2016) 189 &lt;https://www.humanrights.gov.au/our-work/childrens-rights/projects/childrens-rights-reports&gt;.</w:t>
      </w:r>
    </w:p>
  </w:endnote>
  <w:endnote w:id="44">
    <w:p w14:paraId="653588D0" w14:textId="77777777" w:rsidR="00C11CFC" w:rsidRDefault="00C11CFC" w:rsidP="002473C3">
      <w:pPr>
        <w:pStyle w:val="EndnoteText"/>
        <w:tabs>
          <w:tab w:val="left" w:pos="426"/>
        </w:tabs>
        <w:ind w:left="426" w:right="57" w:hanging="426"/>
        <w:rPr>
          <w:rFonts w:cs="Open Sans"/>
        </w:rPr>
      </w:pPr>
      <w:r>
        <w:rPr>
          <w:rStyle w:val="EndnoteReference"/>
        </w:rPr>
        <w:endnoteRef/>
      </w:r>
      <w:r>
        <w:rPr>
          <w:rFonts w:cs="Open Sans"/>
        </w:rPr>
        <w:t xml:space="preserve"> </w:t>
      </w:r>
      <w:r>
        <w:rPr>
          <w:rFonts w:cs="Open Sans"/>
        </w:rPr>
        <w:tab/>
        <w:t xml:space="preserve">Australian Human Rights Commission (National Children’s Commissioner), Letter to the United Nations Committee on the Rights of the Child, </w:t>
      </w:r>
      <w:r>
        <w:rPr>
          <w:rFonts w:cs="Open Sans"/>
          <w:i/>
          <w:iCs/>
        </w:rPr>
        <w:t>Call for comments on Draft Revised General Comment No 10 (2007)</w:t>
      </w:r>
      <w:r>
        <w:rPr>
          <w:rFonts w:cs="Open Sans"/>
        </w:rPr>
        <w:t xml:space="preserve"> (7 January 2019) 3.</w:t>
      </w:r>
    </w:p>
  </w:endnote>
  <w:endnote w:id="45">
    <w:p w14:paraId="51CE8933" w14:textId="77777777" w:rsidR="00C11CFC" w:rsidRDefault="00C11CFC" w:rsidP="002473C3">
      <w:pPr>
        <w:pStyle w:val="EndnoteText"/>
        <w:tabs>
          <w:tab w:val="left" w:pos="426"/>
        </w:tabs>
        <w:ind w:left="426" w:right="57" w:hanging="426"/>
      </w:pPr>
      <w:r>
        <w:rPr>
          <w:rStyle w:val="EndnoteReference"/>
        </w:rPr>
        <w:endnoteRef/>
      </w:r>
      <w:r>
        <w:t xml:space="preserve"> </w:t>
      </w:r>
      <w:r>
        <w:tab/>
        <w:t xml:space="preserve">Sally Parnell, Jesuit Social Services, Too Much Too Young: Raise The Age of Criminal </w:t>
      </w:r>
      <w:r>
        <w:rPr>
          <w:rFonts w:cs="Open Sans"/>
        </w:rPr>
        <w:t>Responsibility</w:t>
      </w:r>
      <w:r>
        <w:t>, Letter to Attorneys– General (2015) &lt;http://jss.org.au/wp-content/uploads/2016/01/Letter_to_AGs_Age_of_Criminal_responsibility.pdf&gt;.</w:t>
      </w:r>
    </w:p>
  </w:endnote>
  <w:endnote w:id="46">
    <w:p w14:paraId="7B724A1B" w14:textId="77777777" w:rsidR="00C11CFC" w:rsidRDefault="00C11CFC" w:rsidP="002473C3">
      <w:pPr>
        <w:pStyle w:val="EndnoteText"/>
        <w:tabs>
          <w:tab w:val="left" w:pos="426"/>
        </w:tabs>
        <w:ind w:left="426" w:right="57" w:hanging="426"/>
      </w:pPr>
      <w:r>
        <w:rPr>
          <w:rStyle w:val="EndnoteReference"/>
        </w:rPr>
        <w:endnoteRef/>
      </w:r>
      <w:r>
        <w:t xml:space="preserve"> </w:t>
      </w:r>
      <w:r>
        <w:tab/>
        <w:t xml:space="preserve">Elly Farmer, ‘The age of criminal responsibility: developmental science and human rights perspectives’ (2011) 6(2) </w:t>
      </w:r>
      <w:r>
        <w:rPr>
          <w:i/>
          <w:iCs/>
        </w:rPr>
        <w:t>Journal of Children’s Services</w:t>
      </w:r>
      <w:r>
        <w:t>, 86, 87.</w:t>
      </w:r>
    </w:p>
  </w:endnote>
  <w:endnote w:id="47">
    <w:p w14:paraId="6A91F32E" w14:textId="77777777" w:rsidR="00C11CFC" w:rsidRDefault="00C11CFC" w:rsidP="002473C3">
      <w:pPr>
        <w:pStyle w:val="EndnoteText"/>
        <w:tabs>
          <w:tab w:val="left" w:pos="426"/>
        </w:tabs>
        <w:ind w:left="426" w:right="57" w:hanging="426"/>
      </w:pPr>
      <w:r>
        <w:rPr>
          <w:rStyle w:val="EndnoteReference"/>
        </w:rPr>
        <w:endnoteRef/>
      </w:r>
      <w:r>
        <w:t xml:space="preserve"> </w:t>
      </w:r>
      <w:r>
        <w:tab/>
        <w:t xml:space="preserve">Elly Farmer, ‘The age of criminal responsibility: developmental science and human rights perspectives’ (2011) 6(2) </w:t>
      </w:r>
      <w:r>
        <w:rPr>
          <w:i/>
          <w:iCs/>
        </w:rPr>
        <w:t>Journal of Children’s Services</w:t>
      </w:r>
      <w:r>
        <w:t xml:space="preserve"> 86, 86-95.</w:t>
      </w:r>
    </w:p>
  </w:endnote>
  <w:endnote w:id="48">
    <w:p w14:paraId="7C2B11D6" w14:textId="77777777" w:rsidR="00C11CFC" w:rsidRDefault="00C11CFC" w:rsidP="002473C3">
      <w:pPr>
        <w:pStyle w:val="EndnoteText"/>
        <w:tabs>
          <w:tab w:val="left" w:pos="426"/>
        </w:tabs>
        <w:ind w:left="426" w:right="57" w:hanging="426"/>
      </w:pPr>
      <w:r>
        <w:rPr>
          <w:rStyle w:val="EndnoteReference"/>
        </w:rPr>
        <w:endnoteRef/>
      </w:r>
      <w:r>
        <w:t xml:space="preserve"> </w:t>
      </w:r>
      <w:r>
        <w:tab/>
        <w:t>Australian Institute of Health and Welfare, Young people aged 10–14 in the youth justice system 2011–2012 (2013) vi &lt;http:// www.aihw.gov.au/publication-detail/?id=60129543944&gt;.</w:t>
      </w:r>
    </w:p>
  </w:endnote>
  <w:endnote w:id="49">
    <w:p w14:paraId="1B582EB0" w14:textId="77777777" w:rsidR="00C11CFC" w:rsidRDefault="00C11CFC" w:rsidP="002473C3">
      <w:pPr>
        <w:pStyle w:val="EndnoteText"/>
        <w:tabs>
          <w:tab w:val="left" w:pos="426"/>
        </w:tabs>
        <w:ind w:left="426" w:right="57" w:hanging="426"/>
        <w:rPr>
          <w:rFonts w:cs="Open Sans"/>
        </w:rPr>
      </w:pPr>
      <w:r>
        <w:rPr>
          <w:rStyle w:val="EndnoteReference"/>
        </w:rPr>
        <w:endnoteRef/>
      </w:r>
      <w:r>
        <w:rPr>
          <w:rFonts w:cs="Open Sans"/>
        </w:rPr>
        <w:t xml:space="preserve"> </w:t>
      </w:r>
      <w:r>
        <w:rPr>
          <w:rFonts w:cs="Open Sans"/>
        </w:rPr>
        <w:tab/>
        <w:t xml:space="preserve">See generally, Australian Human Rights Commission, </w:t>
      </w:r>
      <w:r>
        <w:rPr>
          <w:rFonts w:cs="Open Sans"/>
          <w:i/>
        </w:rPr>
        <w:t>Children’s Rights Report 2016</w:t>
      </w:r>
      <w:r>
        <w:rPr>
          <w:rFonts w:cs="Open Sans"/>
        </w:rPr>
        <w:t xml:space="preserve"> (2016) Part 4.3.2 &lt;https://www.humanrights.gov.au/our-work/childrens-rights/projects/childrens-rights-reports&gt;.</w:t>
      </w:r>
    </w:p>
  </w:endnote>
  <w:endnote w:id="50">
    <w:p w14:paraId="3BF16B65" w14:textId="6A49FE47" w:rsidR="00C11CFC" w:rsidRPr="001E34F0" w:rsidRDefault="00C11CFC" w:rsidP="00617EE9">
      <w:pPr>
        <w:pStyle w:val="EndnoteText"/>
        <w:tabs>
          <w:tab w:val="left" w:pos="426"/>
        </w:tabs>
        <w:ind w:left="426" w:right="57" w:hanging="426"/>
        <w:rPr>
          <w:rFonts w:cs="Open Sans"/>
        </w:rPr>
      </w:pPr>
      <w:r>
        <w:rPr>
          <w:rStyle w:val="EndnoteReference"/>
        </w:rPr>
        <w:endnoteRef/>
      </w:r>
      <w:r>
        <w:t xml:space="preserve"> </w:t>
      </w:r>
      <w:r>
        <w:tab/>
      </w:r>
      <w:r w:rsidRPr="00617EE9">
        <w:t>Statement</w:t>
      </w:r>
      <w:r>
        <w:rPr>
          <w:rFonts w:cs="Open Sans"/>
        </w:rPr>
        <w:t xml:space="preserve"> of Compatibility with Human Rights</w:t>
      </w:r>
      <w:r w:rsidRPr="006B2669">
        <w:rPr>
          <w:rFonts w:cs="Open Sans"/>
        </w:rPr>
        <w:t xml:space="preserve">, Australian Citizenship Amendment (Citizenship </w:t>
      </w:r>
      <w:r>
        <w:rPr>
          <w:rFonts w:cs="Open Sans"/>
        </w:rPr>
        <w:t>Cessation</w:t>
      </w:r>
      <w:r w:rsidRPr="006B2669">
        <w:rPr>
          <w:rFonts w:cs="Open Sans"/>
        </w:rPr>
        <w:t>) Bill 201</w:t>
      </w:r>
      <w:r>
        <w:rPr>
          <w:rFonts w:cs="Open Sans"/>
        </w:rPr>
        <w:t>9</w:t>
      </w:r>
      <w:r w:rsidRPr="006B2669">
        <w:rPr>
          <w:rFonts w:cs="Open Sans"/>
        </w:rPr>
        <w:t xml:space="preserve"> (Cth) </w:t>
      </w:r>
      <w:r>
        <w:rPr>
          <w:rFonts w:cs="Open Sans"/>
        </w:rPr>
        <w:t>10.</w:t>
      </w:r>
    </w:p>
  </w:endnote>
  <w:endnote w:id="51">
    <w:p w14:paraId="4784AD17" w14:textId="49DCDB5F" w:rsidR="00C11CFC" w:rsidRDefault="00C11CFC" w:rsidP="00ED2AF0">
      <w:pPr>
        <w:pStyle w:val="EndnoteText"/>
        <w:tabs>
          <w:tab w:val="left" w:pos="426"/>
        </w:tabs>
        <w:ind w:left="426" w:right="57" w:hanging="426"/>
      </w:pPr>
      <w:r>
        <w:rPr>
          <w:rStyle w:val="EndnoteReference"/>
        </w:rPr>
        <w:endnoteRef/>
      </w:r>
      <w:r>
        <w:t xml:space="preserve"> </w:t>
      </w:r>
      <w:r>
        <w:tab/>
        <w:t xml:space="preserve">Australian Human Rights Commission, </w:t>
      </w:r>
      <w:r w:rsidRPr="00CB49C6">
        <w:rPr>
          <w:i/>
          <w:iCs/>
        </w:rPr>
        <w:t>Strengthening the Citizenship Loss Provisions Bill 2018</w:t>
      </w:r>
      <w:r>
        <w:t>, Submission to the Parliamentary Joint Committee on Intelligence and Security (</w:t>
      </w:r>
      <w:r w:rsidRPr="00A17B47">
        <w:t>10 January 2019</w:t>
      </w:r>
      <w:r>
        <w:t>) [4.3].</w:t>
      </w:r>
    </w:p>
  </w:endnote>
  <w:endnote w:id="52">
    <w:p w14:paraId="08579E4A" w14:textId="77777777" w:rsidR="00C11CFC" w:rsidRPr="006B2669" w:rsidRDefault="00C11CFC" w:rsidP="00E126F6">
      <w:pPr>
        <w:pStyle w:val="EndnoteText"/>
        <w:tabs>
          <w:tab w:val="left" w:pos="426"/>
        </w:tabs>
        <w:ind w:left="426" w:hanging="426"/>
        <w:rPr>
          <w:rFonts w:cs="Open Sans"/>
        </w:rPr>
      </w:pPr>
      <w:r w:rsidRPr="006B2669">
        <w:rPr>
          <w:rStyle w:val="EndnoteReference"/>
          <w:rFonts w:cs="Open Sans"/>
        </w:rPr>
        <w:endnoteRef/>
      </w:r>
      <w:r w:rsidRPr="006B2669">
        <w:rPr>
          <w:rFonts w:cs="Open Sans"/>
        </w:rPr>
        <w:t xml:space="preserve"> </w:t>
      </w:r>
      <w:r w:rsidRPr="006B2669">
        <w:rPr>
          <w:rFonts w:cs="Open Sans"/>
        </w:rPr>
        <w:tab/>
        <w:t xml:space="preserve">Australian Law Reform Commission, </w:t>
      </w:r>
      <w:r w:rsidRPr="006B2669">
        <w:rPr>
          <w:rFonts w:cs="Open Sans"/>
          <w:i/>
        </w:rPr>
        <w:t>Traditional Rights and Freedoms—Encroachments by Commonwealth Laws</w:t>
      </w:r>
      <w:r w:rsidRPr="006B2669">
        <w:rPr>
          <w:rFonts w:cs="Open Sans"/>
        </w:rPr>
        <w:t>, Report No 129 (2016) 362.</w:t>
      </w:r>
    </w:p>
  </w:endnote>
  <w:endnote w:id="53">
    <w:p w14:paraId="163D4C51" w14:textId="0C8CA848" w:rsidR="00C11CFC" w:rsidRDefault="00C11CFC" w:rsidP="0087286B">
      <w:pPr>
        <w:pStyle w:val="EndnoteText"/>
        <w:tabs>
          <w:tab w:val="left" w:pos="426"/>
        </w:tabs>
        <w:ind w:left="426" w:hanging="426"/>
        <w:rPr>
          <w:rFonts w:cs="Open Sans"/>
        </w:rPr>
      </w:pPr>
      <w:r w:rsidRPr="006B2669">
        <w:rPr>
          <w:rStyle w:val="EndnoteReference"/>
          <w:rFonts w:cs="Open Sans"/>
        </w:rPr>
        <w:endnoteRef/>
      </w:r>
      <w:r w:rsidRPr="006B2669">
        <w:rPr>
          <w:rFonts w:cs="Open Sans"/>
        </w:rPr>
        <w:tab/>
      </w:r>
      <w:r>
        <w:rPr>
          <w:rFonts w:cs="Open Sans"/>
        </w:rPr>
        <w:t xml:space="preserve">Parliamentary Joint Committee on Intelligence and Security, </w:t>
      </w:r>
      <w:r>
        <w:rPr>
          <w:rFonts w:cs="Open Sans"/>
          <w:i/>
        </w:rPr>
        <w:t>Advisory Report on the Australian Citizenship Amendment (Allegiance to Australia) Bill 2015</w:t>
      </w:r>
      <w:r>
        <w:rPr>
          <w:rFonts w:cs="Open Sans"/>
        </w:rPr>
        <w:t xml:space="preserve"> (2015) 128.</w:t>
      </w:r>
    </w:p>
    <w:p w14:paraId="03679920" w14:textId="3DE85CCF" w:rsidR="00C11CFC" w:rsidRPr="006B2669" w:rsidRDefault="00C11CFC" w:rsidP="00617EE9">
      <w:pPr>
        <w:pStyle w:val="EndnoteText"/>
        <w:ind w:left="511" w:right="57" w:hanging="454"/>
        <w:rPr>
          <w:rFonts w:cs="Open San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53CDC" w14:textId="77777777" w:rsidR="00C11CFC" w:rsidRPr="000465F1" w:rsidRDefault="00C11CFC" w:rsidP="000465F1">
    <w:pPr>
      <w:pStyle w:val="Footer"/>
    </w:pPr>
    <w:r w:rsidRPr="000465F1">
      <w:t>ABN 47 996 232 602</w:t>
    </w:r>
  </w:p>
  <w:p w14:paraId="49EC8CFA" w14:textId="77777777" w:rsidR="00C11CFC" w:rsidRPr="000465F1" w:rsidRDefault="00C11CFC" w:rsidP="000465F1">
    <w:pPr>
      <w:pStyle w:val="Footer"/>
    </w:pPr>
    <w:r w:rsidRPr="000465F1">
      <w:t>Level 3, 175 Pitt Street, Sydney NSW 2000</w:t>
    </w:r>
  </w:p>
  <w:p w14:paraId="12E9307C" w14:textId="77777777" w:rsidR="00C11CFC" w:rsidRPr="000465F1" w:rsidRDefault="00C11CFC" w:rsidP="000465F1">
    <w:pPr>
      <w:pStyle w:val="Footer"/>
    </w:pPr>
    <w:r w:rsidRPr="000465F1">
      <w:t>GPO Box 5218, Sydney NSW 2001</w:t>
    </w:r>
  </w:p>
  <w:p w14:paraId="16F5BA79" w14:textId="77777777" w:rsidR="00C11CFC" w:rsidRPr="000465F1" w:rsidRDefault="00C11CFC" w:rsidP="000465F1">
    <w:pPr>
      <w:pStyle w:val="Footer"/>
    </w:pPr>
    <w:r w:rsidRPr="000465F1">
      <w:t>General enquiries 1300 369 711</w:t>
    </w:r>
  </w:p>
  <w:p w14:paraId="6BFF7AFD" w14:textId="77777777" w:rsidR="00C11CFC" w:rsidRPr="000465F1" w:rsidRDefault="00C11CFC" w:rsidP="000465F1">
    <w:pPr>
      <w:pStyle w:val="Footer"/>
    </w:pPr>
    <w:r>
      <w:t xml:space="preserve">National Information Service </w:t>
    </w:r>
    <w:r w:rsidRPr="000465F1">
      <w:t>1300 656 419</w:t>
    </w:r>
  </w:p>
  <w:p w14:paraId="431E1D3E" w14:textId="77777777" w:rsidR="00C11CFC" w:rsidRPr="000465F1" w:rsidRDefault="00C11CFC" w:rsidP="000465F1">
    <w:pPr>
      <w:pStyle w:val="Footer"/>
    </w:pPr>
    <w:r w:rsidRPr="000465F1">
      <w:t>TTY 1800 620 241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668B2" w14:textId="77777777" w:rsidR="00C11CFC" w:rsidRDefault="00C11CFC">
    <w:pPr>
      <w:pStyle w:val="Footer"/>
    </w:pPr>
    <w:r w:rsidRPr="00622508">
      <w:fldChar w:fldCharType="begin"/>
    </w:r>
    <w:r>
      <w:instrText xml:space="preserve"> PAGE   \* MERGEFORMAT </w:instrText>
    </w:r>
    <w:r w:rsidRPr="00622508">
      <w:fldChar w:fldCharType="separate"/>
    </w:r>
    <w:r w:rsidRPr="00AB7C8F">
      <w:t>4</w:t>
    </w:r>
    <w:r w:rsidRPr="0062250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96186" w14:textId="77777777" w:rsidR="00C11CFC" w:rsidRDefault="00C11CFC" w:rsidP="00E53546">
    <w:pPr>
      <w:pStyle w:val="FooterOddPageNumber"/>
    </w:pPr>
    <w:r w:rsidRPr="00AB7C8F">
      <w:fldChar w:fldCharType="begin"/>
    </w:r>
    <w:r>
      <w:instrText xml:space="preserve"> PAGE   \* MERGEFORMAT </w:instrText>
    </w:r>
    <w:r w:rsidRPr="00AB7C8F">
      <w:fldChar w:fldCharType="separate"/>
    </w:r>
    <w:r>
      <w:rPr>
        <w:noProof/>
      </w:rPr>
      <w:t>4</w:t>
    </w:r>
    <w:r w:rsidRPr="00AB7C8F">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D6AB" w14:textId="77777777" w:rsidR="00C11CFC" w:rsidRDefault="00C11CFC" w:rsidP="00F149FF">
    <w:pPr>
      <w:pStyle w:val="FooterEvenPageNumber"/>
      <w:jc w:val="right"/>
    </w:pPr>
    <w:r w:rsidRPr="00F127A8">
      <w:fldChar w:fldCharType="begin"/>
    </w:r>
    <w:r>
      <w:instrText xml:space="preserve"> PAGE   \* MERGEFORMAT </w:instrText>
    </w:r>
    <w:r w:rsidRPr="00F127A8">
      <w:fldChar w:fldCharType="separate"/>
    </w:r>
    <w:r>
      <w:rPr>
        <w:noProof/>
      </w:rPr>
      <w:t>2</w:t>
    </w:r>
    <w:r w:rsidRPr="00F127A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3AE44" w14:textId="77777777" w:rsidR="00C11CFC" w:rsidRDefault="00C11CFC" w:rsidP="00F14C6D">
      <w:r>
        <w:separator/>
      </w:r>
    </w:p>
  </w:footnote>
  <w:footnote w:type="continuationSeparator" w:id="0">
    <w:p w14:paraId="4262E0F0" w14:textId="77777777" w:rsidR="00C11CFC" w:rsidRDefault="00C11CFC"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5E971" w14:textId="77777777" w:rsidR="00C11CFC" w:rsidRPr="000465F1" w:rsidRDefault="00C11CFC" w:rsidP="000465F1">
    <w:pPr>
      <w:pStyle w:val="Header"/>
    </w:pPr>
    <w:r>
      <w:pict w14:anchorId="5B0CD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2067" type="#_x0000_t75" style="position:absolute;left:0;text-align:left;margin-left:0;margin-top:0;width:930.9pt;height:1359.95pt;z-index:-251658752;mso-position-horizontal:center;mso-position-horizontal-relative:margin;mso-position-vertical:center;mso-position-vertical-relative:margin" o:allowincell="f">
          <v:imagedata r:id="rId1" o:title="report watermark"/>
          <w10:wrap anchorx="margin" anchory="margin"/>
        </v:shape>
      </w:pict>
    </w:r>
    <w:r w:rsidRPr="000465F1">
      <w:t>Australian Human Rights Commission</w:t>
    </w:r>
  </w:p>
  <w:p w14:paraId="58E99E4B" w14:textId="77777777" w:rsidR="00C11CFC" w:rsidRPr="00622508" w:rsidRDefault="00C11CFC" w:rsidP="00622508">
    <w:pPr>
      <w:pStyle w:val="Footer"/>
    </w:pPr>
    <w:r w:rsidRPr="001F62CC">
      <w:rPr>
        <w:rStyle w:val="HeaderDocumentTitle"/>
      </w:rPr>
      <w:t>Short title</w:t>
    </w:r>
    <w:r w:rsidRPr="00622508">
      <w:rPr>
        <w:rStyle w:val="HeaderDocumentTitle"/>
      </w:rPr>
      <w:t>, report name,</w:t>
    </w:r>
    <w:r w:rsidRPr="00622508">
      <w:t xml:space="preserve"> 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B3E21" w14:textId="77777777" w:rsidR="00C11CFC" w:rsidRPr="000465F1" w:rsidRDefault="00C11CFC" w:rsidP="000465F1">
    <w:r>
      <w:pict w14:anchorId="15D860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2068" type="#_x0000_t75" style="position:absolute;margin-left:0;margin-top:0;width:930.9pt;height:1359.95pt;z-index:-251657728;mso-position-horizontal:center;mso-position-horizontal-relative:margin;mso-position-vertical:center;mso-position-vertical-relative:margin" o:allowincell="f">
          <v:imagedata r:id="rId1" o:title="report watermark"/>
          <w10:wrap anchorx="margin" anchory="margin"/>
        </v:shape>
      </w:pict>
    </w:r>
    <w:r w:rsidRPr="000465F1">
      <w:t>Australian Human Rights Commission</w:t>
    </w:r>
  </w:p>
  <w:p w14:paraId="745B4DEE" w14:textId="77777777" w:rsidR="00C11CFC" w:rsidRPr="000465F1" w:rsidRDefault="00C11CFC" w:rsidP="000465F1">
    <w:pPr>
      <w:pStyle w:val="Footer"/>
    </w:pPr>
    <w:r w:rsidRPr="000465F1">
      <w:t>Short document title, 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FCE29" w14:textId="77777777" w:rsidR="00C11CFC" w:rsidRDefault="00C11CFC" w:rsidP="002012F7">
    <w:pPr>
      <w:pStyle w:val="Header"/>
    </w:pPr>
    <w:r>
      <w:pict w14:anchorId="2908C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71" type="#_x0000_t75" style="position:absolute;left:0;text-align:left;margin-left:-71.05pt;margin-top:-108.5pt;width:595.65pt;height:870.15pt;z-index:-251656704;mso-position-horizontal-relative:margin;mso-position-vertical-relative:margin" o:allowincell="f">
          <v:imagedata r:id="rId1" o:title="MS word cover1"/>
          <w10:wrap anchorx="margin" anchory="margin"/>
        </v:shape>
      </w:pict>
    </w:r>
    <w:r>
      <w:pict w14:anchorId="4FC03EAE">
        <v:shape id="WordPictureWatermark1034832" o:spid="_x0000_s2066" type="#_x0000_t75" style="position:absolute;left:0;text-align:left;margin-left:-70.9pt;margin-top:-109.05pt;width:595.1pt;height:869.4pt;z-index:-251659776;mso-position-horizontal-relative:margin;mso-position-vertical-relative:margin" o:allowincell="f">
          <v:imagedata r:id="rId2" o:title="report watermark"/>
          <w10:wrap anchorx="margin" anchory="margin"/>
        </v:shape>
      </w:pict>
    </w:r>
  </w:p>
  <w:p w14:paraId="2A24EA04" w14:textId="77777777" w:rsidR="00C11CFC" w:rsidRDefault="00C11CFC" w:rsidP="002012F7">
    <w:pPr>
      <w:pStyle w:val="Header"/>
    </w:pPr>
  </w:p>
  <w:p w14:paraId="65325D3D" w14:textId="77777777" w:rsidR="00C11CFC" w:rsidRDefault="00C11CFC"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69D8F" w14:textId="77777777" w:rsidR="00C11CFC" w:rsidRPr="000465F1" w:rsidRDefault="00C11CFC" w:rsidP="0015239E">
    <w:pPr>
      <w:pStyle w:val="Header"/>
    </w:pPr>
    <w:r w:rsidRPr="000465F1">
      <w:t>Australian Human Rights Commission</w:t>
    </w:r>
  </w:p>
  <w:p w14:paraId="4C1766AB" w14:textId="77777777" w:rsidR="00C11CFC" w:rsidRPr="000465F1" w:rsidRDefault="00C11CFC" w:rsidP="0015239E">
    <w:pPr>
      <w:pStyle w:val="HeaderDocumentDate"/>
    </w:pPr>
    <w:r w:rsidRPr="001F62CC">
      <w:rPr>
        <w:rStyle w:val="HeaderDocumentTitle"/>
      </w:rPr>
      <w:t>Short title, report name,</w:t>
    </w:r>
    <w:r>
      <w:t xml:space="preserve"> </w:t>
    </w:r>
    <w:r w:rsidRPr="002850B0">
      <w:t>Date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EE58C" w14:textId="2080FED5" w:rsidR="00C11CFC" w:rsidRDefault="00C11CFC" w:rsidP="00CA5D90">
    <w:pPr>
      <w:pStyle w:val="Header"/>
    </w:pPr>
    <w:bookmarkStart w:id="70" w:name="_Hlk514672172"/>
    <w:bookmarkStart w:id="71" w:name="_Hlk514672173"/>
    <w:r w:rsidRPr="000465F1">
      <w:t>Australian Human Rights Commission</w:t>
    </w:r>
    <w:bookmarkEnd w:id="70"/>
    <w:bookmarkEnd w:id="71"/>
  </w:p>
  <w:p w14:paraId="39EAB1E6" w14:textId="7EB37451" w:rsidR="00C11CFC" w:rsidRPr="000465F1" w:rsidRDefault="00C11CFC" w:rsidP="00E4787E">
    <w:pPr>
      <w:pStyle w:val="HeaderDocumentDate"/>
    </w:pPr>
    <w:r w:rsidRPr="00E4787E">
      <w:rPr>
        <w:rStyle w:val="HeaderDocumentTitle"/>
        <w:b w:val="0"/>
        <w:bCs/>
      </w:rPr>
      <w:t xml:space="preserve">Citizenship Cessation Bill 2019, </w:t>
    </w:r>
    <w:r>
      <w:rPr>
        <w:rStyle w:val="HeaderDocumentTitle"/>
      </w:rPr>
      <w:t>14 October 2019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BF221" w14:textId="77777777" w:rsidR="00C11CFC" w:rsidRPr="000465F1" w:rsidRDefault="00C11CFC" w:rsidP="0063009F">
    <w:pPr>
      <w:pStyle w:val="Header"/>
    </w:pPr>
    <w:r w:rsidRPr="000465F1">
      <w:t>Australian Human Rights Commission</w:t>
    </w:r>
  </w:p>
  <w:p w14:paraId="4864B17B" w14:textId="7975191F" w:rsidR="00C11CFC" w:rsidRPr="000465F1" w:rsidRDefault="00C11CFC" w:rsidP="0063009F">
    <w:pPr>
      <w:pStyle w:val="HeaderDocumentDate"/>
    </w:pPr>
    <w:r w:rsidRPr="00E4787E">
      <w:rPr>
        <w:rStyle w:val="HeaderDocumentTitle"/>
        <w:b w:val="0"/>
        <w:bCs/>
      </w:rPr>
      <w:t xml:space="preserve">Citizenship Cessation Bill 2019, </w:t>
    </w:r>
    <w:r>
      <w:rPr>
        <w:rStyle w:val="HeaderDocumentTitle"/>
      </w:rPr>
      <w:t>14 October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0203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D44524"/>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07672312"/>
    <w:multiLevelType w:val="hybridMultilevel"/>
    <w:tmpl w:val="5EFC774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B627BC1"/>
    <w:multiLevelType w:val="hybridMultilevel"/>
    <w:tmpl w:val="164E053A"/>
    <w:lvl w:ilvl="0" w:tplc="2E4C80B8">
      <w:start w:val="1"/>
      <w:numFmt w:val="decimal"/>
      <w:pStyle w:val="Subnumbered"/>
      <w:lvlText w:val="%1."/>
      <w:lvlJc w:val="left"/>
      <w:pPr>
        <w:ind w:left="360" w:hanging="360"/>
      </w:pPr>
      <w:rPr>
        <w:rFonts w:hint="default"/>
        <w:color w:val="auto"/>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8444DC4"/>
    <w:multiLevelType w:val="hybridMultilevel"/>
    <w:tmpl w:val="119A8D42"/>
    <w:lvl w:ilvl="0" w:tplc="0C090019">
      <w:start w:val="1"/>
      <w:numFmt w:val="lowerLetter"/>
      <w:lvlText w:val="%1."/>
      <w:lvlJc w:val="left"/>
      <w:pPr>
        <w:ind w:left="1440" w:hanging="360"/>
      </w:pPr>
    </w:lvl>
    <w:lvl w:ilvl="1" w:tplc="0C09001B">
      <w:start w:val="1"/>
      <w:numFmt w:val="lowerRoman"/>
      <w:lvlText w:val="%2."/>
      <w:lvlJc w:val="right"/>
      <w:pPr>
        <w:ind w:left="2160" w:hanging="360"/>
      </w:p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3AE77D36"/>
    <w:multiLevelType w:val="hybridMultilevel"/>
    <w:tmpl w:val="119A8D42"/>
    <w:lvl w:ilvl="0" w:tplc="0C090019">
      <w:start w:val="1"/>
      <w:numFmt w:val="lowerLetter"/>
      <w:lvlText w:val="%1."/>
      <w:lvlJc w:val="left"/>
      <w:pPr>
        <w:ind w:left="1440" w:hanging="360"/>
      </w:pPr>
    </w:lvl>
    <w:lvl w:ilvl="1" w:tplc="0C09001B">
      <w:start w:val="1"/>
      <w:numFmt w:val="lowerRoman"/>
      <w:lvlText w:val="%2."/>
      <w:lvlJc w:val="right"/>
      <w:pPr>
        <w:ind w:left="2160" w:hanging="360"/>
      </w:p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7"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509528B6"/>
    <w:multiLevelType w:val="hybridMultilevel"/>
    <w:tmpl w:val="EF321B6E"/>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9" w15:restartNumberingAfterBreak="0">
    <w:nsid w:val="676D110E"/>
    <w:multiLevelType w:val="hybridMultilevel"/>
    <w:tmpl w:val="E90AC8A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0" w15:restartNumberingAfterBreak="0">
    <w:nsid w:val="696643F2"/>
    <w:multiLevelType w:val="hybridMultilevel"/>
    <w:tmpl w:val="119A8D42"/>
    <w:lvl w:ilvl="0" w:tplc="0C090019">
      <w:start w:val="1"/>
      <w:numFmt w:val="lowerLetter"/>
      <w:lvlText w:val="%1."/>
      <w:lvlJc w:val="left"/>
      <w:pPr>
        <w:ind w:left="1440" w:hanging="360"/>
      </w:pPr>
    </w:lvl>
    <w:lvl w:ilvl="1" w:tplc="0C09001B">
      <w:start w:val="1"/>
      <w:numFmt w:val="lowerRoman"/>
      <w:lvlText w:val="%2."/>
      <w:lvlJc w:val="right"/>
      <w:pPr>
        <w:ind w:left="2160" w:hanging="360"/>
      </w:p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6C3C77EE"/>
    <w:multiLevelType w:val="hybridMultilevel"/>
    <w:tmpl w:val="844E41FE"/>
    <w:lvl w:ilvl="0" w:tplc="0C090019">
      <w:start w:val="1"/>
      <w:numFmt w:val="lowerLetter"/>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71DC516B"/>
    <w:multiLevelType w:val="hybridMultilevel"/>
    <w:tmpl w:val="119A8D42"/>
    <w:lvl w:ilvl="0" w:tplc="0C090019">
      <w:start w:val="1"/>
      <w:numFmt w:val="lowerLetter"/>
      <w:lvlText w:val="%1."/>
      <w:lvlJc w:val="left"/>
      <w:pPr>
        <w:ind w:left="1440" w:hanging="360"/>
      </w:pPr>
    </w:lvl>
    <w:lvl w:ilvl="1" w:tplc="0C09001B">
      <w:start w:val="1"/>
      <w:numFmt w:val="lowerRoman"/>
      <w:lvlText w:val="%2."/>
      <w:lvlJc w:val="right"/>
      <w:pPr>
        <w:ind w:left="2160" w:hanging="360"/>
      </w:p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754C3877"/>
    <w:multiLevelType w:val="hybridMultilevel"/>
    <w:tmpl w:val="E11EBEE4"/>
    <w:lvl w:ilvl="0" w:tplc="0C090001">
      <w:start w:val="1"/>
      <w:numFmt w:val="bullet"/>
      <w:lvlText w:val=""/>
      <w:lvlJc w:val="left"/>
      <w:pPr>
        <w:ind w:left="1848" w:hanging="360"/>
      </w:pPr>
      <w:rPr>
        <w:rFonts w:ascii="Symbol" w:hAnsi="Symbol" w:hint="default"/>
      </w:rPr>
    </w:lvl>
    <w:lvl w:ilvl="1" w:tplc="0C090003" w:tentative="1">
      <w:start w:val="1"/>
      <w:numFmt w:val="bullet"/>
      <w:lvlText w:val="o"/>
      <w:lvlJc w:val="left"/>
      <w:pPr>
        <w:ind w:left="2568" w:hanging="360"/>
      </w:pPr>
      <w:rPr>
        <w:rFonts w:ascii="Courier New" w:hAnsi="Courier New" w:cs="Courier New" w:hint="default"/>
      </w:rPr>
    </w:lvl>
    <w:lvl w:ilvl="2" w:tplc="0C090005" w:tentative="1">
      <w:start w:val="1"/>
      <w:numFmt w:val="bullet"/>
      <w:lvlText w:val=""/>
      <w:lvlJc w:val="left"/>
      <w:pPr>
        <w:ind w:left="3288" w:hanging="360"/>
      </w:pPr>
      <w:rPr>
        <w:rFonts w:ascii="Wingdings" w:hAnsi="Wingdings" w:hint="default"/>
      </w:rPr>
    </w:lvl>
    <w:lvl w:ilvl="3" w:tplc="0C090001" w:tentative="1">
      <w:start w:val="1"/>
      <w:numFmt w:val="bullet"/>
      <w:lvlText w:val=""/>
      <w:lvlJc w:val="left"/>
      <w:pPr>
        <w:ind w:left="4008" w:hanging="360"/>
      </w:pPr>
      <w:rPr>
        <w:rFonts w:ascii="Symbol" w:hAnsi="Symbol" w:hint="default"/>
      </w:rPr>
    </w:lvl>
    <w:lvl w:ilvl="4" w:tplc="0C090003" w:tentative="1">
      <w:start w:val="1"/>
      <w:numFmt w:val="bullet"/>
      <w:lvlText w:val="o"/>
      <w:lvlJc w:val="left"/>
      <w:pPr>
        <w:ind w:left="4728" w:hanging="360"/>
      </w:pPr>
      <w:rPr>
        <w:rFonts w:ascii="Courier New" w:hAnsi="Courier New" w:cs="Courier New" w:hint="default"/>
      </w:rPr>
    </w:lvl>
    <w:lvl w:ilvl="5" w:tplc="0C090005" w:tentative="1">
      <w:start w:val="1"/>
      <w:numFmt w:val="bullet"/>
      <w:lvlText w:val=""/>
      <w:lvlJc w:val="left"/>
      <w:pPr>
        <w:ind w:left="5448" w:hanging="360"/>
      </w:pPr>
      <w:rPr>
        <w:rFonts w:ascii="Wingdings" w:hAnsi="Wingdings" w:hint="default"/>
      </w:rPr>
    </w:lvl>
    <w:lvl w:ilvl="6" w:tplc="0C090001" w:tentative="1">
      <w:start w:val="1"/>
      <w:numFmt w:val="bullet"/>
      <w:lvlText w:val=""/>
      <w:lvlJc w:val="left"/>
      <w:pPr>
        <w:ind w:left="6168" w:hanging="360"/>
      </w:pPr>
      <w:rPr>
        <w:rFonts w:ascii="Symbol" w:hAnsi="Symbol" w:hint="default"/>
      </w:rPr>
    </w:lvl>
    <w:lvl w:ilvl="7" w:tplc="0C090003" w:tentative="1">
      <w:start w:val="1"/>
      <w:numFmt w:val="bullet"/>
      <w:lvlText w:val="o"/>
      <w:lvlJc w:val="left"/>
      <w:pPr>
        <w:ind w:left="6888" w:hanging="360"/>
      </w:pPr>
      <w:rPr>
        <w:rFonts w:ascii="Courier New" w:hAnsi="Courier New" w:cs="Courier New" w:hint="default"/>
      </w:rPr>
    </w:lvl>
    <w:lvl w:ilvl="8" w:tplc="0C090005" w:tentative="1">
      <w:start w:val="1"/>
      <w:numFmt w:val="bullet"/>
      <w:lvlText w:val=""/>
      <w:lvlJc w:val="left"/>
      <w:pPr>
        <w:ind w:left="7608" w:hanging="360"/>
      </w:pPr>
      <w:rPr>
        <w:rFonts w:ascii="Wingdings" w:hAnsi="Wingding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17"/>
  </w:num>
  <w:num w:numId="13">
    <w:abstractNumId w:val="15"/>
  </w:num>
  <w:num w:numId="14">
    <w:abstractNumId w:val="11"/>
  </w:num>
  <w:num w:numId="15">
    <w:abstractNumId w:val="12"/>
  </w:num>
  <w:num w:numId="16">
    <w:abstractNumId w:val="12"/>
  </w:num>
  <w:num w:numId="17">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21"/>
    <w:lvlOverride w:ilvl="0">
      <w:startOverride w:val="1"/>
    </w:lvlOverride>
    <w:lvlOverride w:ilvl="1"/>
    <w:lvlOverride w:ilvl="2"/>
    <w:lvlOverride w:ilvl="3"/>
    <w:lvlOverride w:ilvl="4"/>
    <w:lvlOverride w:ilvl="5"/>
    <w:lvlOverride w:ilvl="6"/>
    <w:lvlOverride w:ilvl="7"/>
    <w:lvlOverride w:ilvl="8"/>
  </w:num>
  <w:num w:numId="23">
    <w:abstractNumId w:val="23"/>
  </w:num>
  <w:num w:numId="24">
    <w:abstractNumId w:val="18"/>
  </w:num>
  <w:num w:numId="25">
    <w:abstractNumId w:val="10"/>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19"/>
  </w:num>
  <w:num w:numId="35">
    <w:abstractNumId w:val="8"/>
  </w:num>
  <w:num w:numId="36">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drawingGridHorizontalSpacing w:val="120"/>
  <w:displayHorizontalDrawingGridEvery w:val="2"/>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8B"/>
    <w:rsid w:val="00000304"/>
    <w:rsid w:val="000015EC"/>
    <w:rsid w:val="00001B46"/>
    <w:rsid w:val="00003481"/>
    <w:rsid w:val="0000387F"/>
    <w:rsid w:val="00003EA5"/>
    <w:rsid w:val="000051D9"/>
    <w:rsid w:val="00007B8F"/>
    <w:rsid w:val="0001074D"/>
    <w:rsid w:val="000119CF"/>
    <w:rsid w:val="0001207B"/>
    <w:rsid w:val="0001338D"/>
    <w:rsid w:val="00013E93"/>
    <w:rsid w:val="000161C2"/>
    <w:rsid w:val="0002476A"/>
    <w:rsid w:val="0002500B"/>
    <w:rsid w:val="00025CF2"/>
    <w:rsid w:val="000266D8"/>
    <w:rsid w:val="000272E5"/>
    <w:rsid w:val="00031111"/>
    <w:rsid w:val="00032504"/>
    <w:rsid w:val="000337A2"/>
    <w:rsid w:val="00033B5D"/>
    <w:rsid w:val="00035A13"/>
    <w:rsid w:val="00036BE4"/>
    <w:rsid w:val="00041435"/>
    <w:rsid w:val="00041919"/>
    <w:rsid w:val="000430B8"/>
    <w:rsid w:val="00044BEC"/>
    <w:rsid w:val="00045712"/>
    <w:rsid w:val="00045AFD"/>
    <w:rsid w:val="00045C4B"/>
    <w:rsid w:val="000465F1"/>
    <w:rsid w:val="000466AA"/>
    <w:rsid w:val="0005456E"/>
    <w:rsid w:val="00056C7F"/>
    <w:rsid w:val="000572F6"/>
    <w:rsid w:val="000579B1"/>
    <w:rsid w:val="000601DE"/>
    <w:rsid w:val="00061C6C"/>
    <w:rsid w:val="000628CF"/>
    <w:rsid w:val="00065C86"/>
    <w:rsid w:val="000668ED"/>
    <w:rsid w:val="0006780F"/>
    <w:rsid w:val="00067B02"/>
    <w:rsid w:val="000705F2"/>
    <w:rsid w:val="00071C6A"/>
    <w:rsid w:val="00072EDA"/>
    <w:rsid w:val="00075AC2"/>
    <w:rsid w:val="0007607D"/>
    <w:rsid w:val="000837BE"/>
    <w:rsid w:val="00087BC7"/>
    <w:rsid w:val="0009218D"/>
    <w:rsid w:val="000930E8"/>
    <w:rsid w:val="00094280"/>
    <w:rsid w:val="00094E28"/>
    <w:rsid w:val="00095CD3"/>
    <w:rsid w:val="00096E0C"/>
    <w:rsid w:val="00097887"/>
    <w:rsid w:val="00097FC4"/>
    <w:rsid w:val="000A0026"/>
    <w:rsid w:val="000A1DB8"/>
    <w:rsid w:val="000A1ED5"/>
    <w:rsid w:val="000A2DC8"/>
    <w:rsid w:val="000A48AC"/>
    <w:rsid w:val="000A4C82"/>
    <w:rsid w:val="000A520E"/>
    <w:rsid w:val="000A5870"/>
    <w:rsid w:val="000A5A58"/>
    <w:rsid w:val="000B0603"/>
    <w:rsid w:val="000B0A5D"/>
    <w:rsid w:val="000B1709"/>
    <w:rsid w:val="000B2216"/>
    <w:rsid w:val="000B24C1"/>
    <w:rsid w:val="000B3A31"/>
    <w:rsid w:val="000B5B68"/>
    <w:rsid w:val="000B6726"/>
    <w:rsid w:val="000B6C5A"/>
    <w:rsid w:val="000B7744"/>
    <w:rsid w:val="000C0BD4"/>
    <w:rsid w:val="000C0DAE"/>
    <w:rsid w:val="000C1B64"/>
    <w:rsid w:val="000C2522"/>
    <w:rsid w:val="000C3953"/>
    <w:rsid w:val="000C4113"/>
    <w:rsid w:val="000C513A"/>
    <w:rsid w:val="000C51A6"/>
    <w:rsid w:val="000C5608"/>
    <w:rsid w:val="000C5DA6"/>
    <w:rsid w:val="000C5DD7"/>
    <w:rsid w:val="000C669C"/>
    <w:rsid w:val="000D29C0"/>
    <w:rsid w:val="000D333D"/>
    <w:rsid w:val="000D334D"/>
    <w:rsid w:val="000D40A7"/>
    <w:rsid w:val="000D6B1B"/>
    <w:rsid w:val="000E130A"/>
    <w:rsid w:val="000E45C8"/>
    <w:rsid w:val="000E4837"/>
    <w:rsid w:val="000E6E5C"/>
    <w:rsid w:val="000F03F6"/>
    <w:rsid w:val="000F17E5"/>
    <w:rsid w:val="000F2E26"/>
    <w:rsid w:val="000F4517"/>
    <w:rsid w:val="000F51C8"/>
    <w:rsid w:val="000F750D"/>
    <w:rsid w:val="000F77AD"/>
    <w:rsid w:val="000F7F2A"/>
    <w:rsid w:val="00101D43"/>
    <w:rsid w:val="00105063"/>
    <w:rsid w:val="00106154"/>
    <w:rsid w:val="00106377"/>
    <w:rsid w:val="001112A3"/>
    <w:rsid w:val="00114517"/>
    <w:rsid w:val="00116069"/>
    <w:rsid w:val="00117DAF"/>
    <w:rsid w:val="00125273"/>
    <w:rsid w:val="0013065A"/>
    <w:rsid w:val="00134584"/>
    <w:rsid w:val="00134774"/>
    <w:rsid w:val="00135893"/>
    <w:rsid w:val="00140274"/>
    <w:rsid w:val="0014094E"/>
    <w:rsid w:val="00141510"/>
    <w:rsid w:val="00142A4E"/>
    <w:rsid w:val="001456A7"/>
    <w:rsid w:val="00146746"/>
    <w:rsid w:val="00146C9D"/>
    <w:rsid w:val="001507CF"/>
    <w:rsid w:val="00151263"/>
    <w:rsid w:val="001514C4"/>
    <w:rsid w:val="0015239E"/>
    <w:rsid w:val="00152C51"/>
    <w:rsid w:val="00152CAB"/>
    <w:rsid w:val="00154892"/>
    <w:rsid w:val="0016266F"/>
    <w:rsid w:val="00162A8D"/>
    <w:rsid w:val="00163BE5"/>
    <w:rsid w:val="00165E3C"/>
    <w:rsid w:val="00173FB5"/>
    <w:rsid w:val="00174942"/>
    <w:rsid w:val="00174D9A"/>
    <w:rsid w:val="0017511B"/>
    <w:rsid w:val="00183A30"/>
    <w:rsid w:val="00184F61"/>
    <w:rsid w:val="00186F47"/>
    <w:rsid w:val="001870AC"/>
    <w:rsid w:val="00190188"/>
    <w:rsid w:val="00195EDE"/>
    <w:rsid w:val="0019627D"/>
    <w:rsid w:val="001967C1"/>
    <w:rsid w:val="001974CA"/>
    <w:rsid w:val="00197A9C"/>
    <w:rsid w:val="00197E61"/>
    <w:rsid w:val="001A3AB6"/>
    <w:rsid w:val="001A53F7"/>
    <w:rsid w:val="001A63D1"/>
    <w:rsid w:val="001B0353"/>
    <w:rsid w:val="001B0C4F"/>
    <w:rsid w:val="001B2C2C"/>
    <w:rsid w:val="001B3613"/>
    <w:rsid w:val="001B4EF9"/>
    <w:rsid w:val="001B79D7"/>
    <w:rsid w:val="001B7D07"/>
    <w:rsid w:val="001C04F6"/>
    <w:rsid w:val="001C0629"/>
    <w:rsid w:val="001C074D"/>
    <w:rsid w:val="001C1189"/>
    <w:rsid w:val="001C18A1"/>
    <w:rsid w:val="001C1C54"/>
    <w:rsid w:val="001C1F8B"/>
    <w:rsid w:val="001C2BDA"/>
    <w:rsid w:val="001C34C3"/>
    <w:rsid w:val="001C4549"/>
    <w:rsid w:val="001C7C4D"/>
    <w:rsid w:val="001D0380"/>
    <w:rsid w:val="001D0DD9"/>
    <w:rsid w:val="001D1DAA"/>
    <w:rsid w:val="001D3DD1"/>
    <w:rsid w:val="001D4DA8"/>
    <w:rsid w:val="001D5A21"/>
    <w:rsid w:val="001E006C"/>
    <w:rsid w:val="001E34F0"/>
    <w:rsid w:val="001E400E"/>
    <w:rsid w:val="001E4A91"/>
    <w:rsid w:val="001E50A2"/>
    <w:rsid w:val="001E50E6"/>
    <w:rsid w:val="001E5676"/>
    <w:rsid w:val="001E7AA4"/>
    <w:rsid w:val="001E7E05"/>
    <w:rsid w:val="001F05F0"/>
    <w:rsid w:val="001F0738"/>
    <w:rsid w:val="001F0A0C"/>
    <w:rsid w:val="001F15DE"/>
    <w:rsid w:val="001F2064"/>
    <w:rsid w:val="001F2BBB"/>
    <w:rsid w:val="001F4DE7"/>
    <w:rsid w:val="001F4E1C"/>
    <w:rsid w:val="001F52FD"/>
    <w:rsid w:val="001F62CC"/>
    <w:rsid w:val="001F76E4"/>
    <w:rsid w:val="00200677"/>
    <w:rsid w:val="002012F7"/>
    <w:rsid w:val="002027F6"/>
    <w:rsid w:val="00203084"/>
    <w:rsid w:val="002036A3"/>
    <w:rsid w:val="002068EB"/>
    <w:rsid w:val="00206DF5"/>
    <w:rsid w:val="00211B32"/>
    <w:rsid w:val="00214A2B"/>
    <w:rsid w:val="0021592F"/>
    <w:rsid w:val="00216F3A"/>
    <w:rsid w:val="0022049B"/>
    <w:rsid w:val="0022280B"/>
    <w:rsid w:val="00223C6B"/>
    <w:rsid w:val="00224E4C"/>
    <w:rsid w:val="00225486"/>
    <w:rsid w:val="00227004"/>
    <w:rsid w:val="00231ED1"/>
    <w:rsid w:val="00234734"/>
    <w:rsid w:val="00235990"/>
    <w:rsid w:val="00235FDB"/>
    <w:rsid w:val="002366EF"/>
    <w:rsid w:val="00236981"/>
    <w:rsid w:val="0024033D"/>
    <w:rsid w:val="002407F5"/>
    <w:rsid w:val="00240D56"/>
    <w:rsid w:val="00241523"/>
    <w:rsid w:val="00242624"/>
    <w:rsid w:val="00244B76"/>
    <w:rsid w:val="0024557E"/>
    <w:rsid w:val="002468CB"/>
    <w:rsid w:val="002471FD"/>
    <w:rsid w:val="002473C3"/>
    <w:rsid w:val="00250E2F"/>
    <w:rsid w:val="002559E8"/>
    <w:rsid w:val="00256E8C"/>
    <w:rsid w:val="002614AE"/>
    <w:rsid w:val="00261B32"/>
    <w:rsid w:val="002632EA"/>
    <w:rsid w:val="00267FE8"/>
    <w:rsid w:val="0027104D"/>
    <w:rsid w:val="00272514"/>
    <w:rsid w:val="00273723"/>
    <w:rsid w:val="00273BE2"/>
    <w:rsid w:val="00276ED3"/>
    <w:rsid w:val="0027792B"/>
    <w:rsid w:val="002804E1"/>
    <w:rsid w:val="00283E7D"/>
    <w:rsid w:val="0028506A"/>
    <w:rsid w:val="002850B0"/>
    <w:rsid w:val="002863D7"/>
    <w:rsid w:val="00286E1F"/>
    <w:rsid w:val="002873B4"/>
    <w:rsid w:val="00290C1E"/>
    <w:rsid w:val="00292500"/>
    <w:rsid w:val="00292AB5"/>
    <w:rsid w:val="0029312C"/>
    <w:rsid w:val="0029486E"/>
    <w:rsid w:val="00294CC5"/>
    <w:rsid w:val="00297800"/>
    <w:rsid w:val="002A3B40"/>
    <w:rsid w:val="002A43C2"/>
    <w:rsid w:val="002A44D0"/>
    <w:rsid w:val="002A6055"/>
    <w:rsid w:val="002A62C1"/>
    <w:rsid w:val="002B03A3"/>
    <w:rsid w:val="002B1B65"/>
    <w:rsid w:val="002B2032"/>
    <w:rsid w:val="002B69F0"/>
    <w:rsid w:val="002C02DB"/>
    <w:rsid w:val="002C1866"/>
    <w:rsid w:val="002C2FC2"/>
    <w:rsid w:val="002C3255"/>
    <w:rsid w:val="002C36CE"/>
    <w:rsid w:val="002C5FFA"/>
    <w:rsid w:val="002C6F8C"/>
    <w:rsid w:val="002C76D0"/>
    <w:rsid w:val="002C7F1C"/>
    <w:rsid w:val="002D0752"/>
    <w:rsid w:val="002D09DC"/>
    <w:rsid w:val="002D250C"/>
    <w:rsid w:val="002D4078"/>
    <w:rsid w:val="002D6960"/>
    <w:rsid w:val="002E036C"/>
    <w:rsid w:val="002E214B"/>
    <w:rsid w:val="002E5A1B"/>
    <w:rsid w:val="002F02B7"/>
    <w:rsid w:val="002F0D74"/>
    <w:rsid w:val="002F1E3C"/>
    <w:rsid w:val="002F2F08"/>
    <w:rsid w:val="002F36D5"/>
    <w:rsid w:val="002F4CE1"/>
    <w:rsid w:val="002F5AE6"/>
    <w:rsid w:val="002F5E96"/>
    <w:rsid w:val="002F6556"/>
    <w:rsid w:val="002F7BC8"/>
    <w:rsid w:val="002F7EED"/>
    <w:rsid w:val="0030053D"/>
    <w:rsid w:val="00300F22"/>
    <w:rsid w:val="00301FEA"/>
    <w:rsid w:val="003035C5"/>
    <w:rsid w:val="0030462C"/>
    <w:rsid w:val="00304A37"/>
    <w:rsid w:val="00304D99"/>
    <w:rsid w:val="00304E4D"/>
    <w:rsid w:val="00305135"/>
    <w:rsid w:val="00305150"/>
    <w:rsid w:val="00307E8B"/>
    <w:rsid w:val="003100F8"/>
    <w:rsid w:val="0031040E"/>
    <w:rsid w:val="00310591"/>
    <w:rsid w:val="00310D7C"/>
    <w:rsid w:val="00310ED4"/>
    <w:rsid w:val="00312301"/>
    <w:rsid w:val="003133BE"/>
    <w:rsid w:val="0031434B"/>
    <w:rsid w:val="0031492A"/>
    <w:rsid w:val="00316C1A"/>
    <w:rsid w:val="00321634"/>
    <w:rsid w:val="0032237C"/>
    <w:rsid w:val="00323C73"/>
    <w:rsid w:val="003252CC"/>
    <w:rsid w:val="00327951"/>
    <w:rsid w:val="00327B12"/>
    <w:rsid w:val="003301A3"/>
    <w:rsid w:val="00331141"/>
    <w:rsid w:val="003311E3"/>
    <w:rsid w:val="00333087"/>
    <w:rsid w:val="0033336C"/>
    <w:rsid w:val="00334DF2"/>
    <w:rsid w:val="00335D9E"/>
    <w:rsid w:val="00336D53"/>
    <w:rsid w:val="00337378"/>
    <w:rsid w:val="00340E2D"/>
    <w:rsid w:val="00340F66"/>
    <w:rsid w:val="003423F4"/>
    <w:rsid w:val="00344758"/>
    <w:rsid w:val="00346889"/>
    <w:rsid w:val="00347142"/>
    <w:rsid w:val="00347820"/>
    <w:rsid w:val="00347EC8"/>
    <w:rsid w:val="00350D1B"/>
    <w:rsid w:val="00351D4B"/>
    <w:rsid w:val="00352ECC"/>
    <w:rsid w:val="00353A2E"/>
    <w:rsid w:val="00353C66"/>
    <w:rsid w:val="00355BCC"/>
    <w:rsid w:val="003565A8"/>
    <w:rsid w:val="003566EA"/>
    <w:rsid w:val="00360E40"/>
    <w:rsid w:val="003638D2"/>
    <w:rsid w:val="00363F59"/>
    <w:rsid w:val="003664C9"/>
    <w:rsid w:val="00372C79"/>
    <w:rsid w:val="003744B5"/>
    <w:rsid w:val="00375350"/>
    <w:rsid w:val="00377CD4"/>
    <w:rsid w:val="00381431"/>
    <w:rsid w:val="00381CF2"/>
    <w:rsid w:val="00383BD4"/>
    <w:rsid w:val="003948F2"/>
    <w:rsid w:val="00396F65"/>
    <w:rsid w:val="003A168E"/>
    <w:rsid w:val="003A19A5"/>
    <w:rsid w:val="003A2CFE"/>
    <w:rsid w:val="003A48B7"/>
    <w:rsid w:val="003A568D"/>
    <w:rsid w:val="003A6836"/>
    <w:rsid w:val="003A7B91"/>
    <w:rsid w:val="003A7F15"/>
    <w:rsid w:val="003B07E6"/>
    <w:rsid w:val="003B1594"/>
    <w:rsid w:val="003B195D"/>
    <w:rsid w:val="003B628F"/>
    <w:rsid w:val="003C0785"/>
    <w:rsid w:val="003D5EF2"/>
    <w:rsid w:val="003E1432"/>
    <w:rsid w:val="003E1936"/>
    <w:rsid w:val="003E1A78"/>
    <w:rsid w:val="003E225F"/>
    <w:rsid w:val="003E2C17"/>
    <w:rsid w:val="003E3C17"/>
    <w:rsid w:val="003E495F"/>
    <w:rsid w:val="003E5DEF"/>
    <w:rsid w:val="003E69AE"/>
    <w:rsid w:val="003F0278"/>
    <w:rsid w:val="003F046E"/>
    <w:rsid w:val="003F0843"/>
    <w:rsid w:val="003F250F"/>
    <w:rsid w:val="003F4202"/>
    <w:rsid w:val="003F55B9"/>
    <w:rsid w:val="003F6845"/>
    <w:rsid w:val="004010C3"/>
    <w:rsid w:val="00401D2C"/>
    <w:rsid w:val="0040497E"/>
    <w:rsid w:val="0040596F"/>
    <w:rsid w:val="004064D4"/>
    <w:rsid w:val="0040690A"/>
    <w:rsid w:val="0040740B"/>
    <w:rsid w:val="00410F20"/>
    <w:rsid w:val="0041186D"/>
    <w:rsid w:val="004119F0"/>
    <w:rsid w:val="004164BC"/>
    <w:rsid w:val="00417C57"/>
    <w:rsid w:val="00422417"/>
    <w:rsid w:val="00423ACE"/>
    <w:rsid w:val="00424233"/>
    <w:rsid w:val="004251C0"/>
    <w:rsid w:val="0042532B"/>
    <w:rsid w:val="00426C6A"/>
    <w:rsid w:val="0043187A"/>
    <w:rsid w:val="00431CD4"/>
    <w:rsid w:val="00432366"/>
    <w:rsid w:val="00432DB6"/>
    <w:rsid w:val="00433940"/>
    <w:rsid w:val="004356BD"/>
    <w:rsid w:val="004369CA"/>
    <w:rsid w:val="004428D7"/>
    <w:rsid w:val="004433A5"/>
    <w:rsid w:val="00444602"/>
    <w:rsid w:val="004450A1"/>
    <w:rsid w:val="00445CB5"/>
    <w:rsid w:val="0044629E"/>
    <w:rsid w:val="00450F68"/>
    <w:rsid w:val="0045156D"/>
    <w:rsid w:val="00452693"/>
    <w:rsid w:val="0045782F"/>
    <w:rsid w:val="00460EE0"/>
    <w:rsid w:val="00461CAB"/>
    <w:rsid w:val="00462D82"/>
    <w:rsid w:val="00465944"/>
    <w:rsid w:val="00466DD2"/>
    <w:rsid w:val="0046753C"/>
    <w:rsid w:val="00467F4E"/>
    <w:rsid w:val="004712FB"/>
    <w:rsid w:val="0047167A"/>
    <w:rsid w:val="00471BB7"/>
    <w:rsid w:val="00472EFF"/>
    <w:rsid w:val="00474063"/>
    <w:rsid w:val="00476793"/>
    <w:rsid w:val="00476FFD"/>
    <w:rsid w:val="004810FB"/>
    <w:rsid w:val="00481B2A"/>
    <w:rsid w:val="00481F3E"/>
    <w:rsid w:val="00482091"/>
    <w:rsid w:val="0048255D"/>
    <w:rsid w:val="0048257A"/>
    <w:rsid w:val="00482A56"/>
    <w:rsid w:val="0048351F"/>
    <w:rsid w:val="0048367B"/>
    <w:rsid w:val="004861FA"/>
    <w:rsid w:val="004862C8"/>
    <w:rsid w:val="00493133"/>
    <w:rsid w:val="004938A5"/>
    <w:rsid w:val="00493ED5"/>
    <w:rsid w:val="00494951"/>
    <w:rsid w:val="00496A9C"/>
    <w:rsid w:val="004A187B"/>
    <w:rsid w:val="004A2D3C"/>
    <w:rsid w:val="004A351F"/>
    <w:rsid w:val="004A4E47"/>
    <w:rsid w:val="004A5F70"/>
    <w:rsid w:val="004A6647"/>
    <w:rsid w:val="004A681B"/>
    <w:rsid w:val="004A7300"/>
    <w:rsid w:val="004B6266"/>
    <w:rsid w:val="004B6529"/>
    <w:rsid w:val="004B65AB"/>
    <w:rsid w:val="004B7F03"/>
    <w:rsid w:val="004C0036"/>
    <w:rsid w:val="004C0391"/>
    <w:rsid w:val="004C0C43"/>
    <w:rsid w:val="004C5204"/>
    <w:rsid w:val="004C7412"/>
    <w:rsid w:val="004D03B2"/>
    <w:rsid w:val="004D04BF"/>
    <w:rsid w:val="004D1390"/>
    <w:rsid w:val="004D22CC"/>
    <w:rsid w:val="004D32BA"/>
    <w:rsid w:val="004D3438"/>
    <w:rsid w:val="004D4461"/>
    <w:rsid w:val="004D59C6"/>
    <w:rsid w:val="004D7282"/>
    <w:rsid w:val="004D73F2"/>
    <w:rsid w:val="004E012B"/>
    <w:rsid w:val="004E0C03"/>
    <w:rsid w:val="004E0DFF"/>
    <w:rsid w:val="004E4621"/>
    <w:rsid w:val="004E4694"/>
    <w:rsid w:val="004E557F"/>
    <w:rsid w:val="004E66E1"/>
    <w:rsid w:val="004E6EA3"/>
    <w:rsid w:val="004F1C7C"/>
    <w:rsid w:val="004F2E3A"/>
    <w:rsid w:val="004F30DD"/>
    <w:rsid w:val="004F397F"/>
    <w:rsid w:val="004F4EA4"/>
    <w:rsid w:val="004F5144"/>
    <w:rsid w:val="004F5946"/>
    <w:rsid w:val="004F5B54"/>
    <w:rsid w:val="004F750C"/>
    <w:rsid w:val="005030B4"/>
    <w:rsid w:val="00503296"/>
    <w:rsid w:val="00503D4E"/>
    <w:rsid w:val="005047FF"/>
    <w:rsid w:val="00505673"/>
    <w:rsid w:val="00510390"/>
    <w:rsid w:val="00510BB9"/>
    <w:rsid w:val="005123F0"/>
    <w:rsid w:val="00513540"/>
    <w:rsid w:val="00513941"/>
    <w:rsid w:val="00513DE7"/>
    <w:rsid w:val="00514AB3"/>
    <w:rsid w:val="005154B5"/>
    <w:rsid w:val="00521AD0"/>
    <w:rsid w:val="00522019"/>
    <w:rsid w:val="00523E4F"/>
    <w:rsid w:val="0052446A"/>
    <w:rsid w:val="00527405"/>
    <w:rsid w:val="0053007B"/>
    <w:rsid w:val="0053051D"/>
    <w:rsid w:val="00534943"/>
    <w:rsid w:val="00534F0B"/>
    <w:rsid w:val="00536961"/>
    <w:rsid w:val="0054260C"/>
    <w:rsid w:val="00542BB7"/>
    <w:rsid w:val="005453C0"/>
    <w:rsid w:val="00546670"/>
    <w:rsid w:val="00546A6F"/>
    <w:rsid w:val="00546E43"/>
    <w:rsid w:val="005476B5"/>
    <w:rsid w:val="00560866"/>
    <w:rsid w:val="00560EFC"/>
    <w:rsid w:val="0056265A"/>
    <w:rsid w:val="0056310A"/>
    <w:rsid w:val="0056405E"/>
    <w:rsid w:val="00564208"/>
    <w:rsid w:val="005660DA"/>
    <w:rsid w:val="00566912"/>
    <w:rsid w:val="0056787B"/>
    <w:rsid w:val="00570034"/>
    <w:rsid w:val="00571739"/>
    <w:rsid w:val="00571B5B"/>
    <w:rsid w:val="00571CEB"/>
    <w:rsid w:val="00572F65"/>
    <w:rsid w:val="0057721B"/>
    <w:rsid w:val="0058030E"/>
    <w:rsid w:val="00581FC0"/>
    <w:rsid w:val="00582CC1"/>
    <w:rsid w:val="00584E2A"/>
    <w:rsid w:val="005865E2"/>
    <w:rsid w:val="005914B6"/>
    <w:rsid w:val="00591951"/>
    <w:rsid w:val="00592360"/>
    <w:rsid w:val="00593B62"/>
    <w:rsid w:val="005940D0"/>
    <w:rsid w:val="005960DA"/>
    <w:rsid w:val="005962B1"/>
    <w:rsid w:val="005A03C5"/>
    <w:rsid w:val="005A0964"/>
    <w:rsid w:val="005A0AB9"/>
    <w:rsid w:val="005A24E8"/>
    <w:rsid w:val="005A6FF2"/>
    <w:rsid w:val="005A71CD"/>
    <w:rsid w:val="005B3155"/>
    <w:rsid w:val="005B36F6"/>
    <w:rsid w:val="005C2A05"/>
    <w:rsid w:val="005C2ECF"/>
    <w:rsid w:val="005C4A3A"/>
    <w:rsid w:val="005C5D41"/>
    <w:rsid w:val="005C65BD"/>
    <w:rsid w:val="005D0DB9"/>
    <w:rsid w:val="005D1F34"/>
    <w:rsid w:val="005D2939"/>
    <w:rsid w:val="005D383D"/>
    <w:rsid w:val="005D54E6"/>
    <w:rsid w:val="005D5ABE"/>
    <w:rsid w:val="005D5BE1"/>
    <w:rsid w:val="005E04C3"/>
    <w:rsid w:val="005E10AD"/>
    <w:rsid w:val="005E41EE"/>
    <w:rsid w:val="005E4487"/>
    <w:rsid w:val="005E5471"/>
    <w:rsid w:val="005E674E"/>
    <w:rsid w:val="005F138C"/>
    <w:rsid w:val="005F47BF"/>
    <w:rsid w:val="005F4D83"/>
    <w:rsid w:val="005F585B"/>
    <w:rsid w:val="005F7A66"/>
    <w:rsid w:val="00601885"/>
    <w:rsid w:val="0060280D"/>
    <w:rsid w:val="00602A3D"/>
    <w:rsid w:val="006034E2"/>
    <w:rsid w:val="00605098"/>
    <w:rsid w:val="00605139"/>
    <w:rsid w:val="00606477"/>
    <w:rsid w:val="00610B5C"/>
    <w:rsid w:val="0061199D"/>
    <w:rsid w:val="00614523"/>
    <w:rsid w:val="0061456E"/>
    <w:rsid w:val="0061664E"/>
    <w:rsid w:val="00616E0E"/>
    <w:rsid w:val="00616F88"/>
    <w:rsid w:val="00617EE9"/>
    <w:rsid w:val="00622508"/>
    <w:rsid w:val="006236A9"/>
    <w:rsid w:val="00625666"/>
    <w:rsid w:val="0062569D"/>
    <w:rsid w:val="00625DED"/>
    <w:rsid w:val="00626248"/>
    <w:rsid w:val="0063009F"/>
    <w:rsid w:val="00631FAE"/>
    <w:rsid w:val="00632C31"/>
    <w:rsid w:val="00635345"/>
    <w:rsid w:val="0063545D"/>
    <w:rsid w:val="006356C5"/>
    <w:rsid w:val="00636BAC"/>
    <w:rsid w:val="00637E59"/>
    <w:rsid w:val="0064068A"/>
    <w:rsid w:val="00640DF6"/>
    <w:rsid w:val="00641937"/>
    <w:rsid w:val="00643ED5"/>
    <w:rsid w:val="00645B57"/>
    <w:rsid w:val="006465CA"/>
    <w:rsid w:val="00647B65"/>
    <w:rsid w:val="0065031B"/>
    <w:rsid w:val="00650E26"/>
    <w:rsid w:val="00650F5A"/>
    <w:rsid w:val="00653EE5"/>
    <w:rsid w:val="00654793"/>
    <w:rsid w:val="00655930"/>
    <w:rsid w:val="00656180"/>
    <w:rsid w:val="00660921"/>
    <w:rsid w:val="00660A28"/>
    <w:rsid w:val="00664F0E"/>
    <w:rsid w:val="0067123B"/>
    <w:rsid w:val="00671B9C"/>
    <w:rsid w:val="00671D08"/>
    <w:rsid w:val="006740CC"/>
    <w:rsid w:val="00674AA4"/>
    <w:rsid w:val="00675F20"/>
    <w:rsid w:val="006823B6"/>
    <w:rsid w:val="0068307F"/>
    <w:rsid w:val="006837A0"/>
    <w:rsid w:val="0069032D"/>
    <w:rsid w:val="0069069F"/>
    <w:rsid w:val="006939E9"/>
    <w:rsid w:val="00693B5D"/>
    <w:rsid w:val="0069724B"/>
    <w:rsid w:val="00697533"/>
    <w:rsid w:val="006A0183"/>
    <w:rsid w:val="006A0452"/>
    <w:rsid w:val="006A2035"/>
    <w:rsid w:val="006A6BB3"/>
    <w:rsid w:val="006A7A98"/>
    <w:rsid w:val="006B0B35"/>
    <w:rsid w:val="006B1E56"/>
    <w:rsid w:val="006B2393"/>
    <w:rsid w:val="006B2EB5"/>
    <w:rsid w:val="006B358A"/>
    <w:rsid w:val="006B3DE1"/>
    <w:rsid w:val="006B5100"/>
    <w:rsid w:val="006C048E"/>
    <w:rsid w:val="006C0642"/>
    <w:rsid w:val="006C0730"/>
    <w:rsid w:val="006C5C00"/>
    <w:rsid w:val="006C6C1C"/>
    <w:rsid w:val="006C6D73"/>
    <w:rsid w:val="006D03AE"/>
    <w:rsid w:val="006D0407"/>
    <w:rsid w:val="006D0F87"/>
    <w:rsid w:val="006D4DF8"/>
    <w:rsid w:val="006D5EE5"/>
    <w:rsid w:val="006D66B5"/>
    <w:rsid w:val="006E08B0"/>
    <w:rsid w:val="006E2D2D"/>
    <w:rsid w:val="006E4597"/>
    <w:rsid w:val="006E66EB"/>
    <w:rsid w:val="006E6D3B"/>
    <w:rsid w:val="006F496F"/>
    <w:rsid w:val="006F5FCD"/>
    <w:rsid w:val="006F6143"/>
    <w:rsid w:val="006F7267"/>
    <w:rsid w:val="00701A44"/>
    <w:rsid w:val="007024EE"/>
    <w:rsid w:val="007025CA"/>
    <w:rsid w:val="00702729"/>
    <w:rsid w:val="00702CFF"/>
    <w:rsid w:val="0070580F"/>
    <w:rsid w:val="007136DE"/>
    <w:rsid w:val="00714FF5"/>
    <w:rsid w:val="0071529D"/>
    <w:rsid w:val="00721B22"/>
    <w:rsid w:val="00721FC2"/>
    <w:rsid w:val="00726621"/>
    <w:rsid w:val="007271A7"/>
    <w:rsid w:val="007308D1"/>
    <w:rsid w:val="00730BD2"/>
    <w:rsid w:val="00731B04"/>
    <w:rsid w:val="007320F2"/>
    <w:rsid w:val="0073372C"/>
    <w:rsid w:val="0073530E"/>
    <w:rsid w:val="00742013"/>
    <w:rsid w:val="0074375A"/>
    <w:rsid w:val="00747EA3"/>
    <w:rsid w:val="007511A7"/>
    <w:rsid w:val="007538B4"/>
    <w:rsid w:val="007540BF"/>
    <w:rsid w:val="00754F4D"/>
    <w:rsid w:val="00757B60"/>
    <w:rsid w:val="007610E3"/>
    <w:rsid w:val="0076204C"/>
    <w:rsid w:val="007637A8"/>
    <w:rsid w:val="0076396B"/>
    <w:rsid w:val="0076557F"/>
    <w:rsid w:val="00765B58"/>
    <w:rsid w:val="007665CF"/>
    <w:rsid w:val="00770197"/>
    <w:rsid w:val="0077036A"/>
    <w:rsid w:val="00770DCB"/>
    <w:rsid w:val="0077438E"/>
    <w:rsid w:val="00774AA5"/>
    <w:rsid w:val="00775485"/>
    <w:rsid w:val="007754AA"/>
    <w:rsid w:val="0077628A"/>
    <w:rsid w:val="007764A6"/>
    <w:rsid w:val="0077792C"/>
    <w:rsid w:val="00780437"/>
    <w:rsid w:val="00782699"/>
    <w:rsid w:val="00783532"/>
    <w:rsid w:val="007846B5"/>
    <w:rsid w:val="00784F23"/>
    <w:rsid w:val="00786811"/>
    <w:rsid w:val="007874A2"/>
    <w:rsid w:val="00787896"/>
    <w:rsid w:val="00790D3A"/>
    <w:rsid w:val="007917E9"/>
    <w:rsid w:val="00795AA9"/>
    <w:rsid w:val="00795B1F"/>
    <w:rsid w:val="00796BF8"/>
    <w:rsid w:val="00797ED4"/>
    <w:rsid w:val="007A0E19"/>
    <w:rsid w:val="007A1544"/>
    <w:rsid w:val="007A17D7"/>
    <w:rsid w:val="007A54D3"/>
    <w:rsid w:val="007A5BB0"/>
    <w:rsid w:val="007A5D34"/>
    <w:rsid w:val="007A664E"/>
    <w:rsid w:val="007A676C"/>
    <w:rsid w:val="007A70E4"/>
    <w:rsid w:val="007B06EA"/>
    <w:rsid w:val="007B103E"/>
    <w:rsid w:val="007B1CF9"/>
    <w:rsid w:val="007B4539"/>
    <w:rsid w:val="007B5560"/>
    <w:rsid w:val="007B604F"/>
    <w:rsid w:val="007B6438"/>
    <w:rsid w:val="007B7A3B"/>
    <w:rsid w:val="007C1377"/>
    <w:rsid w:val="007C21F1"/>
    <w:rsid w:val="007C2297"/>
    <w:rsid w:val="007C373A"/>
    <w:rsid w:val="007C3BE5"/>
    <w:rsid w:val="007C4C80"/>
    <w:rsid w:val="007C5255"/>
    <w:rsid w:val="007D199D"/>
    <w:rsid w:val="007D2E0A"/>
    <w:rsid w:val="007D2F00"/>
    <w:rsid w:val="007D2F9D"/>
    <w:rsid w:val="007D325C"/>
    <w:rsid w:val="007D33C2"/>
    <w:rsid w:val="007D372F"/>
    <w:rsid w:val="007D7576"/>
    <w:rsid w:val="007D787A"/>
    <w:rsid w:val="007E0432"/>
    <w:rsid w:val="007E2423"/>
    <w:rsid w:val="007E5B88"/>
    <w:rsid w:val="007F0D0B"/>
    <w:rsid w:val="007F1529"/>
    <w:rsid w:val="007F2B56"/>
    <w:rsid w:val="007F2E8B"/>
    <w:rsid w:val="007F4800"/>
    <w:rsid w:val="008007A8"/>
    <w:rsid w:val="00800C59"/>
    <w:rsid w:val="008020AD"/>
    <w:rsid w:val="00802150"/>
    <w:rsid w:val="008028EB"/>
    <w:rsid w:val="00803290"/>
    <w:rsid w:val="008042D9"/>
    <w:rsid w:val="008045AC"/>
    <w:rsid w:val="0080519F"/>
    <w:rsid w:val="00806A7D"/>
    <w:rsid w:val="00806BB0"/>
    <w:rsid w:val="00812B70"/>
    <w:rsid w:val="00814A63"/>
    <w:rsid w:val="00814FC0"/>
    <w:rsid w:val="0081737C"/>
    <w:rsid w:val="00817C73"/>
    <w:rsid w:val="00817EA3"/>
    <w:rsid w:val="008203B7"/>
    <w:rsid w:val="00821FD2"/>
    <w:rsid w:val="00823005"/>
    <w:rsid w:val="008259E6"/>
    <w:rsid w:val="008262C2"/>
    <w:rsid w:val="00826709"/>
    <w:rsid w:val="00827C93"/>
    <w:rsid w:val="008336B2"/>
    <w:rsid w:val="008346C1"/>
    <w:rsid w:val="008353CE"/>
    <w:rsid w:val="00835B09"/>
    <w:rsid w:val="00840E54"/>
    <w:rsid w:val="00841664"/>
    <w:rsid w:val="008417CE"/>
    <w:rsid w:val="00841DC3"/>
    <w:rsid w:val="00842C92"/>
    <w:rsid w:val="008449B9"/>
    <w:rsid w:val="00845024"/>
    <w:rsid w:val="008451B9"/>
    <w:rsid w:val="00847191"/>
    <w:rsid w:val="008500E2"/>
    <w:rsid w:val="0085172B"/>
    <w:rsid w:val="0085410B"/>
    <w:rsid w:val="008563B9"/>
    <w:rsid w:val="00860B55"/>
    <w:rsid w:val="0086133C"/>
    <w:rsid w:val="0086254F"/>
    <w:rsid w:val="00863B06"/>
    <w:rsid w:val="008654B0"/>
    <w:rsid w:val="00870910"/>
    <w:rsid w:val="00871389"/>
    <w:rsid w:val="00871FA5"/>
    <w:rsid w:val="00872086"/>
    <w:rsid w:val="008724DE"/>
    <w:rsid w:val="0087286B"/>
    <w:rsid w:val="008758D9"/>
    <w:rsid w:val="00877376"/>
    <w:rsid w:val="00882B0A"/>
    <w:rsid w:val="00884C67"/>
    <w:rsid w:val="00884F5A"/>
    <w:rsid w:val="008923F4"/>
    <w:rsid w:val="008931BD"/>
    <w:rsid w:val="008940DC"/>
    <w:rsid w:val="00895943"/>
    <w:rsid w:val="00895FD1"/>
    <w:rsid w:val="0089650F"/>
    <w:rsid w:val="008A1EBF"/>
    <w:rsid w:val="008A31C3"/>
    <w:rsid w:val="008A3D57"/>
    <w:rsid w:val="008A56A5"/>
    <w:rsid w:val="008A74B9"/>
    <w:rsid w:val="008B23BC"/>
    <w:rsid w:val="008B3899"/>
    <w:rsid w:val="008B4482"/>
    <w:rsid w:val="008B4DB9"/>
    <w:rsid w:val="008B6331"/>
    <w:rsid w:val="008C23FD"/>
    <w:rsid w:val="008D013D"/>
    <w:rsid w:val="008D0C15"/>
    <w:rsid w:val="008D4C1A"/>
    <w:rsid w:val="008D5672"/>
    <w:rsid w:val="008D6ADF"/>
    <w:rsid w:val="008D6D79"/>
    <w:rsid w:val="008E1DD7"/>
    <w:rsid w:val="008E225F"/>
    <w:rsid w:val="008E2A9E"/>
    <w:rsid w:val="008E328C"/>
    <w:rsid w:val="008E34A5"/>
    <w:rsid w:val="008E3D60"/>
    <w:rsid w:val="008E3F4C"/>
    <w:rsid w:val="008E7D89"/>
    <w:rsid w:val="008F062E"/>
    <w:rsid w:val="008F1117"/>
    <w:rsid w:val="008F39C4"/>
    <w:rsid w:val="00901498"/>
    <w:rsid w:val="0090165F"/>
    <w:rsid w:val="00901922"/>
    <w:rsid w:val="00901B82"/>
    <w:rsid w:val="009024C7"/>
    <w:rsid w:val="00904BF5"/>
    <w:rsid w:val="00905389"/>
    <w:rsid w:val="009106F2"/>
    <w:rsid w:val="00910920"/>
    <w:rsid w:val="00912B09"/>
    <w:rsid w:val="0091521A"/>
    <w:rsid w:val="0091584B"/>
    <w:rsid w:val="0092018A"/>
    <w:rsid w:val="00921375"/>
    <w:rsid w:val="00924AC0"/>
    <w:rsid w:val="00926153"/>
    <w:rsid w:val="00931F91"/>
    <w:rsid w:val="00934FA1"/>
    <w:rsid w:val="00935477"/>
    <w:rsid w:val="009358CC"/>
    <w:rsid w:val="00935C07"/>
    <w:rsid w:val="0093691D"/>
    <w:rsid w:val="00940BB6"/>
    <w:rsid w:val="009410D2"/>
    <w:rsid w:val="009432CF"/>
    <w:rsid w:val="009473B1"/>
    <w:rsid w:val="00947D30"/>
    <w:rsid w:val="00947F07"/>
    <w:rsid w:val="009507F2"/>
    <w:rsid w:val="0095088A"/>
    <w:rsid w:val="00950D2F"/>
    <w:rsid w:val="00951A10"/>
    <w:rsid w:val="009539EC"/>
    <w:rsid w:val="00954268"/>
    <w:rsid w:val="00954ED8"/>
    <w:rsid w:val="00961AC8"/>
    <w:rsid w:val="0096209E"/>
    <w:rsid w:val="00962484"/>
    <w:rsid w:val="00964456"/>
    <w:rsid w:val="00965A3F"/>
    <w:rsid w:val="00966474"/>
    <w:rsid w:val="00966C2F"/>
    <w:rsid w:val="0096742A"/>
    <w:rsid w:val="00973438"/>
    <w:rsid w:val="0097425E"/>
    <w:rsid w:val="0097512B"/>
    <w:rsid w:val="0097513A"/>
    <w:rsid w:val="009778A4"/>
    <w:rsid w:val="0098216A"/>
    <w:rsid w:val="00982404"/>
    <w:rsid w:val="0098356B"/>
    <w:rsid w:val="00983E4F"/>
    <w:rsid w:val="00985721"/>
    <w:rsid w:val="0098659D"/>
    <w:rsid w:val="0099319C"/>
    <w:rsid w:val="0099328A"/>
    <w:rsid w:val="00993F08"/>
    <w:rsid w:val="009941CB"/>
    <w:rsid w:val="00994FEC"/>
    <w:rsid w:val="00995B7F"/>
    <w:rsid w:val="009964A3"/>
    <w:rsid w:val="009972A5"/>
    <w:rsid w:val="00997936"/>
    <w:rsid w:val="009A0508"/>
    <w:rsid w:val="009A1151"/>
    <w:rsid w:val="009A1259"/>
    <w:rsid w:val="009A4866"/>
    <w:rsid w:val="009A538C"/>
    <w:rsid w:val="009A5BC6"/>
    <w:rsid w:val="009B0BD7"/>
    <w:rsid w:val="009B2425"/>
    <w:rsid w:val="009B322E"/>
    <w:rsid w:val="009B347A"/>
    <w:rsid w:val="009B37E7"/>
    <w:rsid w:val="009B4075"/>
    <w:rsid w:val="009B44A4"/>
    <w:rsid w:val="009B5B1D"/>
    <w:rsid w:val="009B65D4"/>
    <w:rsid w:val="009B78EB"/>
    <w:rsid w:val="009C31F0"/>
    <w:rsid w:val="009C4BEB"/>
    <w:rsid w:val="009C4CBC"/>
    <w:rsid w:val="009C60EB"/>
    <w:rsid w:val="009D0FDE"/>
    <w:rsid w:val="009D26F4"/>
    <w:rsid w:val="009D67F6"/>
    <w:rsid w:val="009E0291"/>
    <w:rsid w:val="009E08D1"/>
    <w:rsid w:val="009E0FE1"/>
    <w:rsid w:val="009E160A"/>
    <w:rsid w:val="009E20E9"/>
    <w:rsid w:val="009E3679"/>
    <w:rsid w:val="009E4BD0"/>
    <w:rsid w:val="009E749F"/>
    <w:rsid w:val="009E7A5C"/>
    <w:rsid w:val="009F2764"/>
    <w:rsid w:val="009F41D2"/>
    <w:rsid w:val="009F52CA"/>
    <w:rsid w:val="009F7A2B"/>
    <w:rsid w:val="00A0154C"/>
    <w:rsid w:val="00A01623"/>
    <w:rsid w:val="00A03EDB"/>
    <w:rsid w:val="00A0406E"/>
    <w:rsid w:val="00A041AE"/>
    <w:rsid w:val="00A04648"/>
    <w:rsid w:val="00A10777"/>
    <w:rsid w:val="00A11307"/>
    <w:rsid w:val="00A13AF3"/>
    <w:rsid w:val="00A14110"/>
    <w:rsid w:val="00A1497A"/>
    <w:rsid w:val="00A14B4F"/>
    <w:rsid w:val="00A166EF"/>
    <w:rsid w:val="00A172C2"/>
    <w:rsid w:val="00A17B47"/>
    <w:rsid w:val="00A21388"/>
    <w:rsid w:val="00A21C9A"/>
    <w:rsid w:val="00A2686E"/>
    <w:rsid w:val="00A2700A"/>
    <w:rsid w:val="00A27791"/>
    <w:rsid w:val="00A27ABE"/>
    <w:rsid w:val="00A307DC"/>
    <w:rsid w:val="00A336DF"/>
    <w:rsid w:val="00A33F43"/>
    <w:rsid w:val="00A352F7"/>
    <w:rsid w:val="00A355F9"/>
    <w:rsid w:val="00A35C72"/>
    <w:rsid w:val="00A40DCE"/>
    <w:rsid w:val="00A41355"/>
    <w:rsid w:val="00A42B94"/>
    <w:rsid w:val="00A42D9D"/>
    <w:rsid w:val="00A437B6"/>
    <w:rsid w:val="00A43B92"/>
    <w:rsid w:val="00A43CEF"/>
    <w:rsid w:val="00A470BA"/>
    <w:rsid w:val="00A47964"/>
    <w:rsid w:val="00A50D4F"/>
    <w:rsid w:val="00A51922"/>
    <w:rsid w:val="00A5372E"/>
    <w:rsid w:val="00A54251"/>
    <w:rsid w:val="00A5539C"/>
    <w:rsid w:val="00A6179E"/>
    <w:rsid w:val="00A642A8"/>
    <w:rsid w:val="00A64316"/>
    <w:rsid w:val="00A6553A"/>
    <w:rsid w:val="00A6678F"/>
    <w:rsid w:val="00A716CD"/>
    <w:rsid w:val="00A7225B"/>
    <w:rsid w:val="00A747CE"/>
    <w:rsid w:val="00A74CFD"/>
    <w:rsid w:val="00A7554D"/>
    <w:rsid w:val="00A75CD9"/>
    <w:rsid w:val="00A7615D"/>
    <w:rsid w:val="00A77F35"/>
    <w:rsid w:val="00A804D9"/>
    <w:rsid w:val="00A8573B"/>
    <w:rsid w:val="00A8697F"/>
    <w:rsid w:val="00A87250"/>
    <w:rsid w:val="00A87C11"/>
    <w:rsid w:val="00A92915"/>
    <w:rsid w:val="00A929D0"/>
    <w:rsid w:val="00A92F92"/>
    <w:rsid w:val="00A94C98"/>
    <w:rsid w:val="00A96126"/>
    <w:rsid w:val="00A962F9"/>
    <w:rsid w:val="00A96892"/>
    <w:rsid w:val="00AA2051"/>
    <w:rsid w:val="00AA2C23"/>
    <w:rsid w:val="00AA3ADD"/>
    <w:rsid w:val="00AA47CB"/>
    <w:rsid w:val="00AA4EAD"/>
    <w:rsid w:val="00AA70C4"/>
    <w:rsid w:val="00AB0C76"/>
    <w:rsid w:val="00AB12AF"/>
    <w:rsid w:val="00AB3D90"/>
    <w:rsid w:val="00AB518F"/>
    <w:rsid w:val="00AB7C8F"/>
    <w:rsid w:val="00AC10D5"/>
    <w:rsid w:val="00AC15BF"/>
    <w:rsid w:val="00AC2192"/>
    <w:rsid w:val="00AC2D1D"/>
    <w:rsid w:val="00AC4E07"/>
    <w:rsid w:val="00AC636D"/>
    <w:rsid w:val="00AC70B5"/>
    <w:rsid w:val="00AC789C"/>
    <w:rsid w:val="00AD1AE8"/>
    <w:rsid w:val="00AD3248"/>
    <w:rsid w:val="00AD400D"/>
    <w:rsid w:val="00AD4A3C"/>
    <w:rsid w:val="00AD4DC5"/>
    <w:rsid w:val="00AD5D39"/>
    <w:rsid w:val="00AE08D9"/>
    <w:rsid w:val="00AE0D12"/>
    <w:rsid w:val="00AE4648"/>
    <w:rsid w:val="00AE50B4"/>
    <w:rsid w:val="00AE55D2"/>
    <w:rsid w:val="00AF025E"/>
    <w:rsid w:val="00AF184E"/>
    <w:rsid w:val="00AF2C51"/>
    <w:rsid w:val="00AF3890"/>
    <w:rsid w:val="00AF5C52"/>
    <w:rsid w:val="00AF68BA"/>
    <w:rsid w:val="00AF7D7F"/>
    <w:rsid w:val="00B007AB"/>
    <w:rsid w:val="00B00A3E"/>
    <w:rsid w:val="00B00F61"/>
    <w:rsid w:val="00B0271E"/>
    <w:rsid w:val="00B04BE4"/>
    <w:rsid w:val="00B05B0F"/>
    <w:rsid w:val="00B077DE"/>
    <w:rsid w:val="00B07E35"/>
    <w:rsid w:val="00B11956"/>
    <w:rsid w:val="00B12255"/>
    <w:rsid w:val="00B12A73"/>
    <w:rsid w:val="00B152AB"/>
    <w:rsid w:val="00B155AB"/>
    <w:rsid w:val="00B162AA"/>
    <w:rsid w:val="00B16CC1"/>
    <w:rsid w:val="00B206B7"/>
    <w:rsid w:val="00B207D2"/>
    <w:rsid w:val="00B21969"/>
    <w:rsid w:val="00B2265C"/>
    <w:rsid w:val="00B23155"/>
    <w:rsid w:val="00B237FB"/>
    <w:rsid w:val="00B24B1D"/>
    <w:rsid w:val="00B2562F"/>
    <w:rsid w:val="00B2629D"/>
    <w:rsid w:val="00B26C33"/>
    <w:rsid w:val="00B277E0"/>
    <w:rsid w:val="00B277FA"/>
    <w:rsid w:val="00B3100A"/>
    <w:rsid w:val="00B31FFA"/>
    <w:rsid w:val="00B335FC"/>
    <w:rsid w:val="00B3434C"/>
    <w:rsid w:val="00B34946"/>
    <w:rsid w:val="00B35AEB"/>
    <w:rsid w:val="00B36557"/>
    <w:rsid w:val="00B36D19"/>
    <w:rsid w:val="00B42ADB"/>
    <w:rsid w:val="00B44F7C"/>
    <w:rsid w:val="00B45890"/>
    <w:rsid w:val="00B50171"/>
    <w:rsid w:val="00B519FD"/>
    <w:rsid w:val="00B520BC"/>
    <w:rsid w:val="00B539CC"/>
    <w:rsid w:val="00B55EB4"/>
    <w:rsid w:val="00B6005B"/>
    <w:rsid w:val="00B60757"/>
    <w:rsid w:val="00B61B5B"/>
    <w:rsid w:val="00B63D24"/>
    <w:rsid w:val="00B64CF6"/>
    <w:rsid w:val="00B6650D"/>
    <w:rsid w:val="00B67069"/>
    <w:rsid w:val="00B67CE8"/>
    <w:rsid w:val="00B7006B"/>
    <w:rsid w:val="00B7011E"/>
    <w:rsid w:val="00B70D78"/>
    <w:rsid w:val="00B711D7"/>
    <w:rsid w:val="00B72500"/>
    <w:rsid w:val="00B76CE6"/>
    <w:rsid w:val="00B773AC"/>
    <w:rsid w:val="00B774D5"/>
    <w:rsid w:val="00B8212F"/>
    <w:rsid w:val="00B83255"/>
    <w:rsid w:val="00B849A5"/>
    <w:rsid w:val="00B8596D"/>
    <w:rsid w:val="00B90078"/>
    <w:rsid w:val="00B91F2E"/>
    <w:rsid w:val="00B924E6"/>
    <w:rsid w:val="00B934E5"/>
    <w:rsid w:val="00B945AB"/>
    <w:rsid w:val="00B953A3"/>
    <w:rsid w:val="00B97E99"/>
    <w:rsid w:val="00BA0E07"/>
    <w:rsid w:val="00BA262D"/>
    <w:rsid w:val="00BA5698"/>
    <w:rsid w:val="00BA5756"/>
    <w:rsid w:val="00BA59D0"/>
    <w:rsid w:val="00BA674C"/>
    <w:rsid w:val="00BA6BF5"/>
    <w:rsid w:val="00BB2BF5"/>
    <w:rsid w:val="00BB3A8E"/>
    <w:rsid w:val="00BB7402"/>
    <w:rsid w:val="00BB7E60"/>
    <w:rsid w:val="00BC117C"/>
    <w:rsid w:val="00BC1A4E"/>
    <w:rsid w:val="00BC308A"/>
    <w:rsid w:val="00BC4C9D"/>
    <w:rsid w:val="00BC79EB"/>
    <w:rsid w:val="00BD0F18"/>
    <w:rsid w:val="00BD1146"/>
    <w:rsid w:val="00BD1244"/>
    <w:rsid w:val="00BD193D"/>
    <w:rsid w:val="00BD708C"/>
    <w:rsid w:val="00BD7F4B"/>
    <w:rsid w:val="00BD7FCF"/>
    <w:rsid w:val="00BE00F3"/>
    <w:rsid w:val="00BE0E19"/>
    <w:rsid w:val="00BE12F4"/>
    <w:rsid w:val="00BE1C50"/>
    <w:rsid w:val="00BE3063"/>
    <w:rsid w:val="00BE36FA"/>
    <w:rsid w:val="00BE60AC"/>
    <w:rsid w:val="00BE6F45"/>
    <w:rsid w:val="00BE7BE9"/>
    <w:rsid w:val="00BF1B1D"/>
    <w:rsid w:val="00BF20F4"/>
    <w:rsid w:val="00BF5593"/>
    <w:rsid w:val="00BF63C1"/>
    <w:rsid w:val="00BF6406"/>
    <w:rsid w:val="00BF69C4"/>
    <w:rsid w:val="00BF7DF3"/>
    <w:rsid w:val="00C064DC"/>
    <w:rsid w:val="00C11CFC"/>
    <w:rsid w:val="00C149BD"/>
    <w:rsid w:val="00C15004"/>
    <w:rsid w:val="00C15C65"/>
    <w:rsid w:val="00C2172B"/>
    <w:rsid w:val="00C217F1"/>
    <w:rsid w:val="00C22BDC"/>
    <w:rsid w:val="00C25BDA"/>
    <w:rsid w:val="00C274FC"/>
    <w:rsid w:val="00C315C5"/>
    <w:rsid w:val="00C31B9E"/>
    <w:rsid w:val="00C33104"/>
    <w:rsid w:val="00C332D4"/>
    <w:rsid w:val="00C35545"/>
    <w:rsid w:val="00C36560"/>
    <w:rsid w:val="00C36D4B"/>
    <w:rsid w:val="00C4084E"/>
    <w:rsid w:val="00C40DFE"/>
    <w:rsid w:val="00C42837"/>
    <w:rsid w:val="00C42F4B"/>
    <w:rsid w:val="00C45249"/>
    <w:rsid w:val="00C463AC"/>
    <w:rsid w:val="00C46993"/>
    <w:rsid w:val="00C46D4A"/>
    <w:rsid w:val="00C503BE"/>
    <w:rsid w:val="00C504BD"/>
    <w:rsid w:val="00C51011"/>
    <w:rsid w:val="00C51142"/>
    <w:rsid w:val="00C533D7"/>
    <w:rsid w:val="00C5359D"/>
    <w:rsid w:val="00C560AC"/>
    <w:rsid w:val="00C56880"/>
    <w:rsid w:val="00C5781C"/>
    <w:rsid w:val="00C60343"/>
    <w:rsid w:val="00C61027"/>
    <w:rsid w:val="00C6257E"/>
    <w:rsid w:val="00C6311E"/>
    <w:rsid w:val="00C636D4"/>
    <w:rsid w:val="00C65C65"/>
    <w:rsid w:val="00C675A7"/>
    <w:rsid w:val="00C7253C"/>
    <w:rsid w:val="00C808CF"/>
    <w:rsid w:val="00C80DCD"/>
    <w:rsid w:val="00C8238F"/>
    <w:rsid w:val="00C824B9"/>
    <w:rsid w:val="00C82E7C"/>
    <w:rsid w:val="00C83984"/>
    <w:rsid w:val="00C854D4"/>
    <w:rsid w:val="00C8620A"/>
    <w:rsid w:val="00C86324"/>
    <w:rsid w:val="00C86750"/>
    <w:rsid w:val="00C87551"/>
    <w:rsid w:val="00C90556"/>
    <w:rsid w:val="00C90A73"/>
    <w:rsid w:val="00C926D9"/>
    <w:rsid w:val="00CA0060"/>
    <w:rsid w:val="00CA0A18"/>
    <w:rsid w:val="00CA0AD5"/>
    <w:rsid w:val="00CA0D30"/>
    <w:rsid w:val="00CA0D78"/>
    <w:rsid w:val="00CA19DF"/>
    <w:rsid w:val="00CA1D9C"/>
    <w:rsid w:val="00CA2B1C"/>
    <w:rsid w:val="00CA4855"/>
    <w:rsid w:val="00CA5D90"/>
    <w:rsid w:val="00CA6145"/>
    <w:rsid w:val="00CB08F5"/>
    <w:rsid w:val="00CB0EFB"/>
    <w:rsid w:val="00CB24FE"/>
    <w:rsid w:val="00CB4808"/>
    <w:rsid w:val="00CB49C6"/>
    <w:rsid w:val="00CB69DB"/>
    <w:rsid w:val="00CB6DDA"/>
    <w:rsid w:val="00CB734C"/>
    <w:rsid w:val="00CC0535"/>
    <w:rsid w:val="00CC0988"/>
    <w:rsid w:val="00CC10DB"/>
    <w:rsid w:val="00CC1280"/>
    <w:rsid w:val="00CC2AA0"/>
    <w:rsid w:val="00CC2AAF"/>
    <w:rsid w:val="00CC464A"/>
    <w:rsid w:val="00CC5F5F"/>
    <w:rsid w:val="00CC6138"/>
    <w:rsid w:val="00CC6778"/>
    <w:rsid w:val="00CD33C4"/>
    <w:rsid w:val="00CD39A5"/>
    <w:rsid w:val="00CD3A38"/>
    <w:rsid w:val="00CD54EA"/>
    <w:rsid w:val="00CD58FD"/>
    <w:rsid w:val="00CD595C"/>
    <w:rsid w:val="00CD6991"/>
    <w:rsid w:val="00CD76C3"/>
    <w:rsid w:val="00CE3836"/>
    <w:rsid w:val="00CE55F4"/>
    <w:rsid w:val="00CE57FC"/>
    <w:rsid w:val="00CF0CB7"/>
    <w:rsid w:val="00CF1A6B"/>
    <w:rsid w:val="00CF4CA2"/>
    <w:rsid w:val="00CF4D5B"/>
    <w:rsid w:val="00CF5541"/>
    <w:rsid w:val="00D01821"/>
    <w:rsid w:val="00D01DBA"/>
    <w:rsid w:val="00D02074"/>
    <w:rsid w:val="00D03307"/>
    <w:rsid w:val="00D06539"/>
    <w:rsid w:val="00D120BE"/>
    <w:rsid w:val="00D12B7C"/>
    <w:rsid w:val="00D15EFF"/>
    <w:rsid w:val="00D16385"/>
    <w:rsid w:val="00D21ECA"/>
    <w:rsid w:val="00D24193"/>
    <w:rsid w:val="00D255E5"/>
    <w:rsid w:val="00D264ED"/>
    <w:rsid w:val="00D26B80"/>
    <w:rsid w:val="00D274A3"/>
    <w:rsid w:val="00D27FB0"/>
    <w:rsid w:val="00D3201E"/>
    <w:rsid w:val="00D3427C"/>
    <w:rsid w:val="00D343FA"/>
    <w:rsid w:val="00D34833"/>
    <w:rsid w:val="00D36296"/>
    <w:rsid w:val="00D37CDF"/>
    <w:rsid w:val="00D418FF"/>
    <w:rsid w:val="00D42AAC"/>
    <w:rsid w:val="00D42BFB"/>
    <w:rsid w:val="00D53FED"/>
    <w:rsid w:val="00D5440A"/>
    <w:rsid w:val="00D5539C"/>
    <w:rsid w:val="00D56368"/>
    <w:rsid w:val="00D6175E"/>
    <w:rsid w:val="00D640A7"/>
    <w:rsid w:val="00D64B1D"/>
    <w:rsid w:val="00D64F12"/>
    <w:rsid w:val="00D65C76"/>
    <w:rsid w:val="00D67612"/>
    <w:rsid w:val="00D734C7"/>
    <w:rsid w:val="00D7542B"/>
    <w:rsid w:val="00D76629"/>
    <w:rsid w:val="00D83356"/>
    <w:rsid w:val="00D833E5"/>
    <w:rsid w:val="00D8351F"/>
    <w:rsid w:val="00D84AF7"/>
    <w:rsid w:val="00D86F8C"/>
    <w:rsid w:val="00D87796"/>
    <w:rsid w:val="00D965B0"/>
    <w:rsid w:val="00D97A61"/>
    <w:rsid w:val="00DA1D32"/>
    <w:rsid w:val="00DA2F73"/>
    <w:rsid w:val="00DA36FA"/>
    <w:rsid w:val="00DA5458"/>
    <w:rsid w:val="00DA7A55"/>
    <w:rsid w:val="00DA7AFA"/>
    <w:rsid w:val="00DA7CAE"/>
    <w:rsid w:val="00DB02E2"/>
    <w:rsid w:val="00DB1550"/>
    <w:rsid w:val="00DB1568"/>
    <w:rsid w:val="00DB1701"/>
    <w:rsid w:val="00DB3950"/>
    <w:rsid w:val="00DB407E"/>
    <w:rsid w:val="00DB4CAD"/>
    <w:rsid w:val="00DB7472"/>
    <w:rsid w:val="00DC1D3D"/>
    <w:rsid w:val="00DC307B"/>
    <w:rsid w:val="00DC343B"/>
    <w:rsid w:val="00DC37D5"/>
    <w:rsid w:val="00DC3811"/>
    <w:rsid w:val="00DC462F"/>
    <w:rsid w:val="00DC499A"/>
    <w:rsid w:val="00DC5518"/>
    <w:rsid w:val="00DC7158"/>
    <w:rsid w:val="00DC7CA9"/>
    <w:rsid w:val="00DD082F"/>
    <w:rsid w:val="00DD1599"/>
    <w:rsid w:val="00DD3D43"/>
    <w:rsid w:val="00DD3FCA"/>
    <w:rsid w:val="00DD6A21"/>
    <w:rsid w:val="00DE037F"/>
    <w:rsid w:val="00DE1555"/>
    <w:rsid w:val="00DE18A7"/>
    <w:rsid w:val="00DE2313"/>
    <w:rsid w:val="00DE2EFB"/>
    <w:rsid w:val="00DE336E"/>
    <w:rsid w:val="00DE498C"/>
    <w:rsid w:val="00DE4CEB"/>
    <w:rsid w:val="00DE579D"/>
    <w:rsid w:val="00DE60CA"/>
    <w:rsid w:val="00DF2F1E"/>
    <w:rsid w:val="00DF6593"/>
    <w:rsid w:val="00DF67D6"/>
    <w:rsid w:val="00E02517"/>
    <w:rsid w:val="00E060FC"/>
    <w:rsid w:val="00E064B0"/>
    <w:rsid w:val="00E065A4"/>
    <w:rsid w:val="00E07AD5"/>
    <w:rsid w:val="00E126F6"/>
    <w:rsid w:val="00E131B6"/>
    <w:rsid w:val="00E1442A"/>
    <w:rsid w:val="00E14833"/>
    <w:rsid w:val="00E158B8"/>
    <w:rsid w:val="00E1675F"/>
    <w:rsid w:val="00E22314"/>
    <w:rsid w:val="00E23F28"/>
    <w:rsid w:val="00E24945"/>
    <w:rsid w:val="00E24FA3"/>
    <w:rsid w:val="00E25F4A"/>
    <w:rsid w:val="00E26AB4"/>
    <w:rsid w:val="00E26B28"/>
    <w:rsid w:val="00E3069D"/>
    <w:rsid w:val="00E31121"/>
    <w:rsid w:val="00E31465"/>
    <w:rsid w:val="00E328BF"/>
    <w:rsid w:val="00E328CD"/>
    <w:rsid w:val="00E34527"/>
    <w:rsid w:val="00E3489E"/>
    <w:rsid w:val="00E34B7F"/>
    <w:rsid w:val="00E36167"/>
    <w:rsid w:val="00E362F0"/>
    <w:rsid w:val="00E36B95"/>
    <w:rsid w:val="00E36D17"/>
    <w:rsid w:val="00E37845"/>
    <w:rsid w:val="00E37AD3"/>
    <w:rsid w:val="00E37AD4"/>
    <w:rsid w:val="00E4003F"/>
    <w:rsid w:val="00E418C3"/>
    <w:rsid w:val="00E41CD0"/>
    <w:rsid w:val="00E42594"/>
    <w:rsid w:val="00E43757"/>
    <w:rsid w:val="00E43824"/>
    <w:rsid w:val="00E458F6"/>
    <w:rsid w:val="00E45954"/>
    <w:rsid w:val="00E464AA"/>
    <w:rsid w:val="00E46704"/>
    <w:rsid w:val="00E46E68"/>
    <w:rsid w:val="00E4787E"/>
    <w:rsid w:val="00E50E31"/>
    <w:rsid w:val="00E518E9"/>
    <w:rsid w:val="00E53546"/>
    <w:rsid w:val="00E53D21"/>
    <w:rsid w:val="00E540D4"/>
    <w:rsid w:val="00E55F24"/>
    <w:rsid w:val="00E56EA3"/>
    <w:rsid w:val="00E619AB"/>
    <w:rsid w:val="00E6260E"/>
    <w:rsid w:val="00E655FD"/>
    <w:rsid w:val="00E65DEC"/>
    <w:rsid w:val="00E6607D"/>
    <w:rsid w:val="00E66E9E"/>
    <w:rsid w:val="00E6733B"/>
    <w:rsid w:val="00E714DA"/>
    <w:rsid w:val="00E7466A"/>
    <w:rsid w:val="00E75524"/>
    <w:rsid w:val="00E774F5"/>
    <w:rsid w:val="00E82B61"/>
    <w:rsid w:val="00E8337E"/>
    <w:rsid w:val="00E9188C"/>
    <w:rsid w:val="00E924FA"/>
    <w:rsid w:val="00E93B72"/>
    <w:rsid w:val="00E97D1E"/>
    <w:rsid w:val="00E97D9E"/>
    <w:rsid w:val="00EA1C51"/>
    <w:rsid w:val="00EA249D"/>
    <w:rsid w:val="00EA32CE"/>
    <w:rsid w:val="00EA44D9"/>
    <w:rsid w:val="00EA6489"/>
    <w:rsid w:val="00EB15E2"/>
    <w:rsid w:val="00EB1FD3"/>
    <w:rsid w:val="00EB3541"/>
    <w:rsid w:val="00EB51B5"/>
    <w:rsid w:val="00EB6A76"/>
    <w:rsid w:val="00EC0E65"/>
    <w:rsid w:val="00EC2759"/>
    <w:rsid w:val="00EC2FE4"/>
    <w:rsid w:val="00ED08E2"/>
    <w:rsid w:val="00ED2AF0"/>
    <w:rsid w:val="00EE033F"/>
    <w:rsid w:val="00EE04A3"/>
    <w:rsid w:val="00EE0D42"/>
    <w:rsid w:val="00EE0F77"/>
    <w:rsid w:val="00EE2825"/>
    <w:rsid w:val="00EE31B5"/>
    <w:rsid w:val="00EE32E0"/>
    <w:rsid w:val="00EE545A"/>
    <w:rsid w:val="00EE68C4"/>
    <w:rsid w:val="00EF69D9"/>
    <w:rsid w:val="00F0273D"/>
    <w:rsid w:val="00F07930"/>
    <w:rsid w:val="00F0799D"/>
    <w:rsid w:val="00F10201"/>
    <w:rsid w:val="00F10717"/>
    <w:rsid w:val="00F107A0"/>
    <w:rsid w:val="00F120A5"/>
    <w:rsid w:val="00F126F9"/>
    <w:rsid w:val="00F127A8"/>
    <w:rsid w:val="00F149FF"/>
    <w:rsid w:val="00F14C41"/>
    <w:rsid w:val="00F14C6D"/>
    <w:rsid w:val="00F14E46"/>
    <w:rsid w:val="00F15FA1"/>
    <w:rsid w:val="00F220A5"/>
    <w:rsid w:val="00F230A5"/>
    <w:rsid w:val="00F23919"/>
    <w:rsid w:val="00F30E7B"/>
    <w:rsid w:val="00F31C6E"/>
    <w:rsid w:val="00F3273B"/>
    <w:rsid w:val="00F32884"/>
    <w:rsid w:val="00F34362"/>
    <w:rsid w:val="00F34BC9"/>
    <w:rsid w:val="00F36FB6"/>
    <w:rsid w:val="00F36FC0"/>
    <w:rsid w:val="00F42465"/>
    <w:rsid w:val="00F4282C"/>
    <w:rsid w:val="00F44C51"/>
    <w:rsid w:val="00F453BB"/>
    <w:rsid w:val="00F46772"/>
    <w:rsid w:val="00F513AE"/>
    <w:rsid w:val="00F54092"/>
    <w:rsid w:val="00F54A84"/>
    <w:rsid w:val="00F629CF"/>
    <w:rsid w:val="00F630F4"/>
    <w:rsid w:val="00F6454E"/>
    <w:rsid w:val="00F65C83"/>
    <w:rsid w:val="00F660BD"/>
    <w:rsid w:val="00F66F20"/>
    <w:rsid w:val="00F705B6"/>
    <w:rsid w:val="00F70831"/>
    <w:rsid w:val="00F71E23"/>
    <w:rsid w:val="00F73ACE"/>
    <w:rsid w:val="00F73D27"/>
    <w:rsid w:val="00F76DD9"/>
    <w:rsid w:val="00F77F2F"/>
    <w:rsid w:val="00F803E9"/>
    <w:rsid w:val="00F812EF"/>
    <w:rsid w:val="00F817B2"/>
    <w:rsid w:val="00F81C7E"/>
    <w:rsid w:val="00F82A92"/>
    <w:rsid w:val="00F8302E"/>
    <w:rsid w:val="00F85C1E"/>
    <w:rsid w:val="00F85E31"/>
    <w:rsid w:val="00F85FE9"/>
    <w:rsid w:val="00F86DAB"/>
    <w:rsid w:val="00F87A5B"/>
    <w:rsid w:val="00F934D4"/>
    <w:rsid w:val="00F93785"/>
    <w:rsid w:val="00F9513F"/>
    <w:rsid w:val="00F95725"/>
    <w:rsid w:val="00F95DB2"/>
    <w:rsid w:val="00F965C2"/>
    <w:rsid w:val="00FA08BD"/>
    <w:rsid w:val="00FA3FAB"/>
    <w:rsid w:val="00FA40EA"/>
    <w:rsid w:val="00FA42CF"/>
    <w:rsid w:val="00FA4916"/>
    <w:rsid w:val="00FA667D"/>
    <w:rsid w:val="00FA7AC9"/>
    <w:rsid w:val="00FA7E5C"/>
    <w:rsid w:val="00FB00BC"/>
    <w:rsid w:val="00FB193D"/>
    <w:rsid w:val="00FB1A96"/>
    <w:rsid w:val="00FB3422"/>
    <w:rsid w:val="00FB5DC7"/>
    <w:rsid w:val="00FB5DEC"/>
    <w:rsid w:val="00FB6A68"/>
    <w:rsid w:val="00FC003D"/>
    <w:rsid w:val="00FC1669"/>
    <w:rsid w:val="00FC1B88"/>
    <w:rsid w:val="00FC3007"/>
    <w:rsid w:val="00FC3987"/>
    <w:rsid w:val="00FC4F02"/>
    <w:rsid w:val="00FC7A83"/>
    <w:rsid w:val="00FD01B5"/>
    <w:rsid w:val="00FD18F5"/>
    <w:rsid w:val="00FD2C73"/>
    <w:rsid w:val="00FD4864"/>
    <w:rsid w:val="00FD5BF0"/>
    <w:rsid w:val="00FD5E91"/>
    <w:rsid w:val="00FD6D10"/>
    <w:rsid w:val="00FD7A25"/>
    <w:rsid w:val="00FE0BF3"/>
    <w:rsid w:val="00FE1D58"/>
    <w:rsid w:val="00FE45DC"/>
    <w:rsid w:val="00FE513F"/>
    <w:rsid w:val="00FE571F"/>
    <w:rsid w:val="00FE60E4"/>
    <w:rsid w:val="00FF0E65"/>
    <w:rsid w:val="00FF2C7B"/>
    <w:rsid w:val="00FF563E"/>
    <w:rsid w:val="00FF765D"/>
    <w:rsid w:val="00FF76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shapelayout v:ext="edit">
      <o:idmap v:ext="edit" data="1"/>
    </o:shapelayout>
  </w:shapeDefaults>
  <w:decimalSymbol w:val="."/>
  <w:listSeparator w:val=","/>
  <w14:docId w14:val="0F2E3358"/>
  <w15:chartTrackingRefBased/>
  <w15:docId w15:val="{C5BA49B7-3068-47A0-8261-2BB6D024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toc 1" w:locked="0" w:uiPriority="39"/>
    <w:lsdException w:name="toc 2" w:locked="0" w:uiPriority="39"/>
    <w:lsdException w:name="toc 3" w:locked="0" w:uiPriority="39"/>
    <w:lsdException w:name="toc 4" w:locked="0" w:uiPriority="39"/>
    <w:lsdException w:name="header" w:locked="0" w:qFormat="1"/>
    <w:lsdException w:name="footer" w:locked="0" w:uiPriority="99"/>
    <w:lsdException w:name="caption" w:semiHidden="1" w:unhideWhenUsed="1" w:qFormat="1"/>
    <w:lsdException w:name="endnote reference" w:locked="0" w:qFormat="1"/>
    <w:lsdException w:name="endnote text" w:locked="0" w:qFormat="1"/>
    <w:lsdException w:name="List Bullet" w:qFormat="1"/>
    <w:lsdException w:name="List Number" w:qFormat="1"/>
    <w:lsdException w:name="Default Paragraph Font" w:locked="0"/>
    <w:lsdException w:name="List Continue 4" w:locked="0"/>
    <w:lsdException w:name="Hyperlink" w:locked="0" w:uiPriority="99"/>
    <w:lsdException w:name="Strong" w:locked="0"/>
    <w:lsdException w:name="HTML Top of Form" w:locked="0"/>
    <w:lsdException w:name="HTML Bottom of Form" w:locked="0"/>
    <w:lsdException w:name="Normal (Web)" w:uiPriority="99"/>
    <w:lsdException w:name="HTML Definition"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qFormat/>
    <w:rsid w:val="005C2ECF"/>
    <w:pPr>
      <w:keepNext/>
      <w:keepLines/>
      <w:numPr>
        <w:numId w:val="1"/>
      </w:numPr>
      <w:spacing w:before="360"/>
      <w:outlineLvl w:val="0"/>
    </w:pPr>
    <w:rPr>
      <w:b/>
      <w:bCs/>
      <w:sz w:val="36"/>
      <w:szCs w:val="28"/>
    </w:rPr>
  </w:style>
  <w:style w:type="paragraph" w:styleId="Heading2">
    <w:name w:val="heading 2"/>
    <w:basedOn w:val="Heading1"/>
    <w:next w:val="Normal"/>
    <w:link w:val="Heading2Char"/>
    <w:qFormat/>
    <w:rsid w:val="005C2ECF"/>
    <w:pPr>
      <w:numPr>
        <w:ilvl w:val="1"/>
      </w:numPr>
      <w:outlineLvl w:val="1"/>
    </w:pPr>
    <w:rPr>
      <w:bCs w:val="0"/>
      <w:sz w:val="28"/>
      <w:szCs w:val="26"/>
    </w:rPr>
  </w:style>
  <w:style w:type="paragraph" w:styleId="Heading3">
    <w:name w:val="heading 3"/>
    <w:basedOn w:val="Heading2"/>
    <w:next w:val="Normal"/>
    <w:link w:val="Heading3Char"/>
    <w:qFormat/>
    <w:rsid w:val="008007A8"/>
    <w:pPr>
      <w:numPr>
        <w:ilvl w:val="2"/>
      </w:numPr>
      <w:outlineLvl w:val="2"/>
    </w:pPr>
    <w:rPr>
      <w:b w:val="0"/>
      <w:bCs/>
      <w:sz w:val="24"/>
    </w:rPr>
  </w:style>
  <w:style w:type="paragraph" w:styleId="Heading4">
    <w:name w:val="heading 4"/>
    <w:basedOn w:val="Heading3"/>
    <w:next w:val="Normal"/>
    <w:link w:val="Heading4Char"/>
    <w:qFormat/>
    <w:locked/>
    <w:rsid w:val="008007A8"/>
    <w:pPr>
      <w:numPr>
        <w:ilvl w:val="3"/>
      </w:numPr>
      <w:outlineLvl w:val="3"/>
    </w:pPr>
    <w:rPr>
      <w:bCs w:val="0"/>
      <w:i/>
      <w:iCs/>
    </w:rPr>
  </w:style>
  <w:style w:type="paragraph" w:styleId="Heading5">
    <w:name w:val="heading 5"/>
    <w:basedOn w:val="Normal"/>
    <w:next w:val="Normal"/>
    <w:link w:val="Heading5Char"/>
    <w:qFormat/>
    <w:locked/>
    <w:rsid w:val="005C2ECF"/>
    <w:pPr>
      <w:keepNext/>
      <w:keepLines/>
      <w:numPr>
        <w:ilvl w:val="4"/>
        <w:numId w:val="1"/>
      </w:numPr>
      <w:spacing w:before="200"/>
      <w:outlineLvl w:val="4"/>
    </w:pPr>
  </w:style>
  <w:style w:type="paragraph" w:styleId="Heading6">
    <w:name w:val="heading 6"/>
    <w:basedOn w:val="Normal"/>
    <w:next w:val="Normal"/>
    <w:link w:val="Heading6Char"/>
    <w:qFormat/>
    <w:locked/>
    <w:rsid w:val="005C2ECF"/>
    <w:pPr>
      <w:keepNext/>
      <w:keepLines/>
      <w:numPr>
        <w:ilvl w:val="5"/>
        <w:numId w:val="1"/>
      </w:numPr>
      <w:spacing w:before="200"/>
      <w:outlineLvl w:val="5"/>
    </w:pPr>
    <w:rPr>
      <w:i/>
      <w:iCs/>
    </w:rPr>
  </w:style>
  <w:style w:type="paragraph" w:styleId="Heading7">
    <w:name w:val="heading 7"/>
    <w:basedOn w:val="Normal"/>
    <w:next w:val="Normal"/>
    <w:link w:val="Heading7Char"/>
    <w:qFormat/>
    <w:locked/>
    <w:rsid w:val="005C2ECF"/>
    <w:pPr>
      <w:keepNext/>
      <w:keepLines/>
      <w:numPr>
        <w:ilvl w:val="6"/>
        <w:numId w:val="1"/>
      </w:numPr>
      <w:spacing w:before="200"/>
      <w:outlineLvl w:val="6"/>
    </w:pPr>
    <w:rPr>
      <w:i/>
      <w:iCs/>
    </w:rPr>
  </w:style>
  <w:style w:type="paragraph" w:styleId="Heading8">
    <w:name w:val="heading 8"/>
    <w:basedOn w:val="Normal"/>
    <w:next w:val="Normal"/>
    <w:link w:val="Heading8Char"/>
    <w:qFormat/>
    <w:locked/>
    <w:rsid w:val="005C2ECF"/>
    <w:pPr>
      <w:keepNext/>
      <w:keepLines/>
      <w:numPr>
        <w:ilvl w:val="7"/>
        <w:numId w:val="1"/>
      </w:numPr>
      <w:spacing w:before="200"/>
      <w:outlineLvl w:val="7"/>
    </w:pPr>
    <w:rPr>
      <w:sz w:val="20"/>
      <w:szCs w:val="20"/>
    </w:rPr>
  </w:style>
  <w:style w:type="paragraph" w:styleId="Heading9">
    <w:name w:val="heading 9"/>
    <w:basedOn w:val="Normal"/>
    <w:next w:val="Normal"/>
    <w:link w:val="Heading9Char"/>
    <w:qFormat/>
    <w:locked/>
    <w:rsid w:val="005C2ECF"/>
    <w:pPr>
      <w:keepNext/>
      <w:keepLines/>
      <w:numPr>
        <w:ilvl w:val="8"/>
        <w:numId w:val="1"/>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5C2ECF"/>
    <w:rPr>
      <w:rFonts w:ascii="Open Sans" w:eastAsia="MS Mincho" w:hAnsi="Open Sans"/>
      <w:b/>
      <w:sz w:val="28"/>
      <w:szCs w:val="26"/>
    </w:rPr>
  </w:style>
  <w:style w:type="character" w:customStyle="1" w:styleId="Heading3Char">
    <w:name w:val="Heading 3 Char"/>
    <w:link w:val="Heading3"/>
    <w:rsid w:val="008007A8"/>
    <w:rPr>
      <w:rFonts w:ascii="Open Sans" w:eastAsia="MS Mincho" w:hAnsi="Open Sans"/>
      <w:bCs/>
      <w:sz w:val="24"/>
      <w:szCs w:val="26"/>
    </w:rPr>
  </w:style>
  <w:style w:type="character" w:customStyle="1" w:styleId="Heading4Char">
    <w:name w:val="Heading 4 Char"/>
    <w:link w:val="Heading4"/>
    <w:rsid w:val="008007A8"/>
    <w:rPr>
      <w:rFonts w:ascii="Open Sans" w:eastAsia="MS Mincho" w:hAnsi="Open Sans"/>
      <w:i/>
      <w:iCs/>
      <w:sz w:val="24"/>
      <w:szCs w:val="26"/>
    </w:rPr>
  </w:style>
  <w:style w:type="character" w:styleId="Strong">
    <w:name w:val="Strong"/>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CA5D90"/>
    <w:pPr>
      <w:tabs>
        <w:tab w:val="center" w:pos="4513"/>
        <w:tab w:val="right" w:pos="9026"/>
      </w:tabs>
      <w:spacing w:after="0"/>
      <w:jc w:val="right"/>
    </w:pPr>
    <w:rPr>
      <w:sz w:val="22"/>
    </w:rPr>
  </w:style>
  <w:style w:type="character" w:customStyle="1" w:styleId="HeaderChar">
    <w:name w:val="Header Char"/>
    <w:link w:val="Header"/>
    <w:rsid w:val="0016266F"/>
    <w:rPr>
      <w:rFonts w:ascii="Open Sans" w:eastAsia="MS Mincho" w:hAnsi="Open Sans"/>
      <w:sz w:val="22"/>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autoRedefine/>
    <w:uiPriority w:val="39"/>
    <w:locked/>
    <w:rsid w:val="000E4837"/>
    <w:pPr>
      <w:tabs>
        <w:tab w:val="left" w:pos="1202"/>
        <w:tab w:val="right" w:leader="dot" w:pos="9060"/>
      </w:tabs>
      <w:spacing w:before="0" w:after="0"/>
      <w:ind w:left="720"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rsid w:val="000E4837"/>
    <w:pPr>
      <w:tabs>
        <w:tab w:val="right" w:leader="dot" w:pos="9060"/>
      </w:tabs>
      <w:spacing w:after="0"/>
      <w:ind w:left="720" w:hanging="720"/>
    </w:pPr>
    <w:rPr>
      <w:b/>
      <w:noProof/>
    </w:rPr>
  </w:style>
  <w:style w:type="paragraph" w:styleId="TOC2">
    <w:name w:val="toc 2"/>
    <w:basedOn w:val="Normal"/>
    <w:next w:val="Normal"/>
    <w:autoRedefine/>
    <w:uiPriority w:val="39"/>
    <w:locked/>
    <w:rsid w:val="000E4837"/>
    <w:pPr>
      <w:tabs>
        <w:tab w:val="right" w:leader="dot" w:pos="9060"/>
      </w:tabs>
      <w:spacing w:before="0" w:after="0"/>
      <w:ind w:left="720"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qFormat/>
    <w:rsid w:val="00471BB7"/>
    <w:pPr>
      <w:spacing w:before="0" w:after="360"/>
    </w:pPr>
    <w:rPr>
      <w:b/>
      <w:lang w:val="en-US" w:eastAsia="en-US"/>
    </w:rPr>
  </w:style>
  <w:style w:type="paragraph" w:styleId="EndnoteText">
    <w:name w:val="endnote text"/>
    <w:basedOn w:val="Normal"/>
    <w:link w:val="EndnoteTextChar1"/>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aliases w:val="QUOTE"/>
    <w:qFormat/>
    <w:rsid w:val="00045C4B"/>
    <w:rPr>
      <w:rFonts w:ascii="Open Sans" w:hAnsi="Open Sans"/>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DC307B"/>
    <w:pPr>
      <w:numPr>
        <w:numId w:val="2"/>
      </w:numPr>
      <w:spacing w:before="0"/>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7B06EA"/>
    <w:pPr>
      <w:numPr>
        <w:numId w:val="7"/>
      </w:numPr>
      <w:tabs>
        <w:tab w:val="left" w:pos="1134"/>
      </w:tabs>
      <w:spacing w:before="120" w:after="120"/>
    </w:pPr>
  </w:style>
  <w:style w:type="paragraph" w:styleId="ListNumber2">
    <w:name w:val="List Number 2"/>
    <w:basedOn w:val="Normal"/>
    <w:semiHidden/>
    <w:locked/>
    <w:rsid w:val="005C2ECF"/>
    <w:pPr>
      <w:numPr>
        <w:numId w:val="10"/>
      </w:numPr>
    </w:pPr>
  </w:style>
  <w:style w:type="paragraph" w:styleId="ListNumber3">
    <w:name w:val="List Number 3"/>
    <w:basedOn w:val="Normal"/>
    <w:semiHidden/>
    <w:locked/>
    <w:rsid w:val="005C2ECF"/>
    <w:pPr>
      <w:numPr>
        <w:numId w:val="11"/>
      </w:numPr>
    </w:pPr>
  </w:style>
  <w:style w:type="paragraph" w:styleId="ListNumber4">
    <w:name w:val="List Number 4"/>
    <w:basedOn w:val="Normal"/>
    <w:semiHidden/>
    <w:locked/>
    <w:rsid w:val="005C2ECF"/>
    <w:pPr>
      <w:numPr>
        <w:numId w:val="8"/>
      </w:numPr>
    </w:pPr>
  </w:style>
  <w:style w:type="paragraph" w:styleId="ListNumber5">
    <w:name w:val="List Number 5"/>
    <w:basedOn w:val="Normal"/>
    <w:semiHidden/>
    <w:locked/>
    <w:rsid w:val="005C2ECF"/>
    <w:pPr>
      <w:numPr>
        <w:numId w:val="9"/>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rsid w:val="000E4837"/>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qFormat/>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semiHidden/>
    <w:locked/>
    <w:rsid w:val="00045C4B"/>
    <w:rPr>
      <w:rFonts w:ascii="Open Sans" w:hAnsi="Open Sans"/>
      <w:sz w:val="20"/>
      <w:lang w:bidi="ar-SA"/>
    </w:rPr>
  </w:style>
  <w:style w:type="character" w:customStyle="1" w:styleId="SubtitleChar">
    <w:name w:val="Subtitle Char"/>
    <w:link w:val="Subtitle"/>
    <w:rsid w:val="000E4837"/>
    <w:rPr>
      <w:rFonts w:ascii="Open Sans" w:eastAsia="MS Mincho" w:hAnsi="Open Sans" w:cs="Arial"/>
      <w:color w:val="237BBC"/>
      <w:sz w:val="28"/>
      <w:szCs w:val="24"/>
    </w:rPr>
  </w:style>
  <w:style w:type="paragraph" w:customStyle="1" w:styleId="SubmissionNormal">
    <w:name w:val="Submission Normal"/>
    <w:basedOn w:val="Normal"/>
    <w:link w:val="SubmissionNormalChar"/>
    <w:locked/>
    <w:rsid w:val="00B34946"/>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customStyle="1" w:styleId="CommentTextChar">
    <w:name w:val="Comment Text Char"/>
    <w:link w:val="CommentText"/>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uiPriority w:val="1"/>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aliases w:val="List Paragraph1,List Paragraph11,Bullet point,Recommendation,List Paragraph Number"/>
    <w:basedOn w:val="Normal"/>
    <w:link w:val="ListParagraphChar"/>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HeaderDocumentTitle">
    <w:name w:val="Header Document Title"/>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paragraph" w:customStyle="1" w:styleId="Subnumbered">
    <w:name w:val="Sub numbered"/>
    <w:basedOn w:val="ListNumber"/>
    <w:qFormat/>
    <w:rsid w:val="00DD1599"/>
    <w:pPr>
      <w:numPr>
        <w:numId w:val="16"/>
      </w:numPr>
      <w:tabs>
        <w:tab w:val="left" w:pos="1418"/>
      </w:tabs>
    </w:pPr>
  </w:style>
  <w:style w:type="paragraph" w:customStyle="1" w:styleId="Quotesub">
    <w:name w:val="Quote sub"/>
    <w:basedOn w:val="EndnoteText"/>
    <w:link w:val="QuotesubChar"/>
    <w:qFormat/>
    <w:rsid w:val="00A962F9"/>
    <w:pPr>
      <w:spacing w:before="120" w:after="120"/>
      <w:ind w:left="1134" w:firstLine="0"/>
    </w:pPr>
    <w:rPr>
      <w:sz w:val="22"/>
      <w:szCs w:val="22"/>
    </w:rPr>
  </w:style>
  <w:style w:type="character" w:customStyle="1" w:styleId="QuotesubChar">
    <w:name w:val="Quote sub Char"/>
    <w:basedOn w:val="SubmissionNormalChar"/>
    <w:link w:val="Quotesub"/>
    <w:rsid w:val="00A962F9"/>
    <w:rPr>
      <w:rFonts w:ascii="Open Sans" w:eastAsia="MS Mincho" w:hAnsi="Open Sans"/>
      <w:sz w:val="22"/>
      <w:szCs w:val="22"/>
    </w:rPr>
  </w:style>
  <w:style w:type="character" w:customStyle="1" w:styleId="ListParagraphChar">
    <w:name w:val="List Paragraph Char"/>
    <w:aliases w:val="List Paragraph1 Char,List Paragraph11 Char,Bullet point Char,Recommendation Char,List Paragraph Number Char"/>
    <w:link w:val="ListParagraph"/>
    <w:uiPriority w:val="34"/>
    <w:locked/>
    <w:rsid w:val="003311E3"/>
    <w:rPr>
      <w:rFonts w:ascii="Open Sans" w:eastAsia="MS Mincho" w:hAnsi="Open Sans"/>
      <w:sz w:val="24"/>
      <w:szCs w:val="24"/>
    </w:rPr>
  </w:style>
  <w:style w:type="character" w:styleId="UnresolvedMention">
    <w:name w:val="Unresolved Mention"/>
    <w:basedOn w:val="DefaultParagraphFont"/>
    <w:uiPriority w:val="99"/>
    <w:semiHidden/>
    <w:unhideWhenUsed/>
    <w:rsid w:val="00802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59679">
      <w:bodyDiv w:val="1"/>
      <w:marLeft w:val="0"/>
      <w:marRight w:val="0"/>
      <w:marTop w:val="0"/>
      <w:marBottom w:val="0"/>
      <w:divBdr>
        <w:top w:val="none" w:sz="0" w:space="0" w:color="auto"/>
        <w:left w:val="none" w:sz="0" w:space="0" w:color="auto"/>
        <w:bottom w:val="none" w:sz="0" w:space="0" w:color="auto"/>
        <w:right w:val="none" w:sz="0" w:space="0" w:color="auto"/>
      </w:divBdr>
    </w:div>
    <w:div w:id="280112846">
      <w:bodyDiv w:val="1"/>
      <w:marLeft w:val="0"/>
      <w:marRight w:val="0"/>
      <w:marTop w:val="0"/>
      <w:marBottom w:val="0"/>
      <w:divBdr>
        <w:top w:val="none" w:sz="0" w:space="0" w:color="auto"/>
        <w:left w:val="none" w:sz="0" w:space="0" w:color="auto"/>
        <w:bottom w:val="none" w:sz="0" w:space="0" w:color="auto"/>
        <w:right w:val="none" w:sz="0" w:space="0" w:color="auto"/>
      </w:divBdr>
    </w:div>
    <w:div w:id="295305685">
      <w:bodyDiv w:val="1"/>
      <w:marLeft w:val="0"/>
      <w:marRight w:val="0"/>
      <w:marTop w:val="0"/>
      <w:marBottom w:val="0"/>
      <w:divBdr>
        <w:top w:val="none" w:sz="0" w:space="0" w:color="auto"/>
        <w:left w:val="none" w:sz="0" w:space="0" w:color="auto"/>
        <w:bottom w:val="none" w:sz="0" w:space="0" w:color="auto"/>
        <w:right w:val="none" w:sz="0" w:space="0" w:color="auto"/>
      </w:divBdr>
    </w:div>
    <w:div w:id="417407927">
      <w:bodyDiv w:val="1"/>
      <w:marLeft w:val="0"/>
      <w:marRight w:val="0"/>
      <w:marTop w:val="0"/>
      <w:marBottom w:val="0"/>
      <w:divBdr>
        <w:top w:val="none" w:sz="0" w:space="0" w:color="auto"/>
        <w:left w:val="none" w:sz="0" w:space="0" w:color="auto"/>
        <w:bottom w:val="none" w:sz="0" w:space="0" w:color="auto"/>
        <w:right w:val="none" w:sz="0" w:space="0" w:color="auto"/>
      </w:divBdr>
    </w:div>
    <w:div w:id="465003688">
      <w:bodyDiv w:val="1"/>
      <w:marLeft w:val="0"/>
      <w:marRight w:val="0"/>
      <w:marTop w:val="0"/>
      <w:marBottom w:val="0"/>
      <w:divBdr>
        <w:top w:val="none" w:sz="0" w:space="0" w:color="auto"/>
        <w:left w:val="none" w:sz="0" w:space="0" w:color="auto"/>
        <w:bottom w:val="none" w:sz="0" w:space="0" w:color="auto"/>
        <w:right w:val="none" w:sz="0" w:space="0" w:color="auto"/>
      </w:divBdr>
    </w:div>
    <w:div w:id="677077476">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832913310">
      <w:bodyDiv w:val="1"/>
      <w:marLeft w:val="0"/>
      <w:marRight w:val="0"/>
      <w:marTop w:val="0"/>
      <w:marBottom w:val="0"/>
      <w:divBdr>
        <w:top w:val="none" w:sz="0" w:space="0" w:color="auto"/>
        <w:left w:val="none" w:sz="0" w:space="0" w:color="auto"/>
        <w:bottom w:val="none" w:sz="0" w:space="0" w:color="auto"/>
        <w:right w:val="none" w:sz="0" w:space="0" w:color="auto"/>
      </w:divBdr>
    </w:div>
    <w:div w:id="858859790">
      <w:bodyDiv w:val="1"/>
      <w:marLeft w:val="0"/>
      <w:marRight w:val="0"/>
      <w:marTop w:val="0"/>
      <w:marBottom w:val="0"/>
      <w:divBdr>
        <w:top w:val="none" w:sz="0" w:space="0" w:color="auto"/>
        <w:left w:val="none" w:sz="0" w:space="0" w:color="auto"/>
        <w:bottom w:val="none" w:sz="0" w:space="0" w:color="auto"/>
        <w:right w:val="none" w:sz="0" w:space="0" w:color="auto"/>
      </w:divBdr>
    </w:div>
    <w:div w:id="88876001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165323293">
      <w:bodyDiv w:val="1"/>
      <w:marLeft w:val="0"/>
      <w:marRight w:val="0"/>
      <w:marTop w:val="0"/>
      <w:marBottom w:val="0"/>
      <w:divBdr>
        <w:top w:val="none" w:sz="0" w:space="0" w:color="auto"/>
        <w:left w:val="none" w:sz="0" w:space="0" w:color="auto"/>
        <w:bottom w:val="none" w:sz="0" w:space="0" w:color="auto"/>
        <w:right w:val="none" w:sz="0" w:space="0" w:color="auto"/>
      </w:divBdr>
    </w:div>
    <w:div w:id="1295255495">
      <w:bodyDiv w:val="1"/>
      <w:marLeft w:val="0"/>
      <w:marRight w:val="0"/>
      <w:marTop w:val="0"/>
      <w:marBottom w:val="0"/>
      <w:divBdr>
        <w:top w:val="none" w:sz="0" w:space="0" w:color="auto"/>
        <w:left w:val="none" w:sz="0" w:space="0" w:color="auto"/>
        <w:bottom w:val="none" w:sz="0" w:space="0" w:color="auto"/>
        <w:right w:val="none" w:sz="0" w:space="0" w:color="auto"/>
      </w:divBdr>
    </w:div>
    <w:div w:id="1420061708">
      <w:bodyDiv w:val="1"/>
      <w:marLeft w:val="0"/>
      <w:marRight w:val="0"/>
      <w:marTop w:val="0"/>
      <w:marBottom w:val="0"/>
      <w:divBdr>
        <w:top w:val="none" w:sz="0" w:space="0" w:color="auto"/>
        <w:left w:val="none" w:sz="0" w:space="0" w:color="auto"/>
        <w:bottom w:val="none" w:sz="0" w:space="0" w:color="auto"/>
        <w:right w:val="none" w:sz="0" w:space="0" w:color="auto"/>
      </w:divBdr>
    </w:div>
    <w:div w:id="1456832126">
      <w:bodyDiv w:val="1"/>
      <w:marLeft w:val="0"/>
      <w:marRight w:val="0"/>
      <w:marTop w:val="0"/>
      <w:marBottom w:val="0"/>
      <w:divBdr>
        <w:top w:val="none" w:sz="0" w:space="0" w:color="auto"/>
        <w:left w:val="none" w:sz="0" w:space="0" w:color="auto"/>
        <w:bottom w:val="none" w:sz="0" w:space="0" w:color="auto"/>
        <w:right w:val="none" w:sz="0" w:space="0" w:color="auto"/>
      </w:divBdr>
    </w:div>
    <w:div w:id="1670672399">
      <w:bodyDiv w:val="1"/>
      <w:marLeft w:val="0"/>
      <w:marRight w:val="0"/>
      <w:marTop w:val="0"/>
      <w:marBottom w:val="0"/>
      <w:divBdr>
        <w:top w:val="none" w:sz="0" w:space="0" w:color="auto"/>
        <w:left w:val="none" w:sz="0" w:space="0" w:color="auto"/>
        <w:bottom w:val="none" w:sz="0" w:space="0" w:color="auto"/>
        <w:right w:val="none" w:sz="0" w:space="0" w:color="auto"/>
      </w:divBdr>
    </w:div>
    <w:div w:id="1833718900">
      <w:bodyDiv w:val="1"/>
      <w:marLeft w:val="0"/>
      <w:marRight w:val="0"/>
      <w:marTop w:val="0"/>
      <w:marBottom w:val="0"/>
      <w:divBdr>
        <w:top w:val="none" w:sz="0" w:space="0" w:color="auto"/>
        <w:left w:val="none" w:sz="0" w:space="0" w:color="auto"/>
        <w:bottom w:val="none" w:sz="0" w:space="0" w:color="auto"/>
        <w:right w:val="none" w:sz="0" w:space="0" w:color="auto"/>
      </w:divBdr>
    </w:div>
    <w:div w:id="1834947281">
      <w:bodyDiv w:val="1"/>
      <w:marLeft w:val="0"/>
      <w:marRight w:val="0"/>
      <w:marTop w:val="0"/>
      <w:marBottom w:val="0"/>
      <w:divBdr>
        <w:top w:val="none" w:sz="0" w:space="0" w:color="auto"/>
        <w:left w:val="none" w:sz="0" w:space="0" w:color="auto"/>
        <w:bottom w:val="none" w:sz="0" w:space="0" w:color="auto"/>
        <w:right w:val="none" w:sz="0" w:space="0" w:color="auto"/>
      </w:divBdr>
    </w:div>
    <w:div w:id="1890146545">
      <w:bodyDiv w:val="1"/>
      <w:marLeft w:val="0"/>
      <w:marRight w:val="0"/>
      <w:marTop w:val="0"/>
      <w:marBottom w:val="0"/>
      <w:divBdr>
        <w:top w:val="none" w:sz="0" w:space="0" w:color="auto"/>
        <w:left w:val="none" w:sz="0" w:space="0" w:color="auto"/>
        <w:bottom w:val="none" w:sz="0" w:space="0" w:color="auto"/>
        <w:right w:val="none" w:sz="0" w:space="0" w:color="auto"/>
      </w:divBdr>
    </w:div>
    <w:div w:id="1895659192">
      <w:bodyDiv w:val="1"/>
      <w:marLeft w:val="0"/>
      <w:marRight w:val="0"/>
      <w:marTop w:val="0"/>
      <w:marBottom w:val="0"/>
      <w:divBdr>
        <w:top w:val="none" w:sz="0" w:space="0" w:color="auto"/>
        <w:left w:val="none" w:sz="0" w:space="0" w:color="auto"/>
        <w:bottom w:val="none" w:sz="0" w:space="0" w:color="auto"/>
        <w:right w:val="none" w:sz="0" w:space="0" w:color="auto"/>
      </w:divBdr>
    </w:div>
    <w:div w:id="2025865951">
      <w:bodyDiv w:val="1"/>
      <w:marLeft w:val="0"/>
      <w:marRight w:val="0"/>
      <w:marTop w:val="0"/>
      <w:marBottom w:val="0"/>
      <w:divBdr>
        <w:top w:val="none" w:sz="0" w:space="0" w:color="auto"/>
        <w:left w:val="none" w:sz="0" w:space="0" w:color="auto"/>
        <w:bottom w:val="none" w:sz="0" w:space="0" w:color="auto"/>
        <w:right w:val="none" w:sz="0" w:space="0" w:color="auto"/>
      </w:divBdr>
    </w:div>
    <w:div w:id="206316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Submission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975c5ac6-a0cc-43ed-b850-4a2ae59237b6" ContentTypeId="0x0101" PreviousValue="false"/>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_dlc_DocId xmlns="6500fe01-343b-4fb9-a1b0-68ac19d62e01">AHRC-31920988-7221</_dlc_DocId>
    <_dlc_DocIdUrl xmlns="6500fe01-343b-4fb9-a1b0-68ac19d62e01">
      <Url>https://australianhrc.sharepoint.com/sites/LegalServicesWorkspace/_layouts/15/DocIdRedir.aspx?ID=AHRC-31920988-7221</Url>
      <Description>AHRC-31920988-7221</Description>
    </_dlc_DocIdUrl>
    <Received_x002f_Sent xmlns="57f1fb52-79b9-4278-9d54-1e5db41bfcda" xsi:nil="true"/>
    <EmailasAttachment xmlns="1a69bdef-c635-48ac-9cf9-b687dab64bb7">
      <Url xsi:nil="true"/>
      <Description xsi:nil="true"/>
    </EmailasAttachment>
    <Divider xmlns="6500fe01-343b-4fb9-a1b0-68ac19d62e01">Australian Citizenship Amendment (Citizenship Cessation) Bill 2019</Divider>
    <TaxCatchAll xmlns="6500fe01-343b-4fb9-a1b0-68ac19d62e01"/>
    <TaxKeywordTaxHTField xmlns="6500fe01-343b-4fb9-a1b0-68ac19d62e01">
      <Terms xmlns="http://schemas.microsoft.com/office/infopath/2007/PartnerControls"/>
    </TaxKeywordTaxHTField>
    <h1905e97e92e42caaf2a314461ed6a1e xmlns="57f1fb52-79b9-4278-9d54-1e5db41bfcda">
      <Terms xmlns="http://schemas.microsoft.com/office/infopath/2007/PartnerControls"/>
    </h1905e97e92e42caaf2a314461ed6a1e>
    <From1 xmlns="57f1fb52-79b9-4278-9d54-1e5db41bfcda" xsi:nil="true"/>
    <Subdivider xmlns="57f1fb52-79b9-4278-9d54-1e5db41bfcd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B55D95DF676046B99E394FD3A716A8" ma:contentTypeVersion="635" ma:contentTypeDescription="Create a new document." ma:contentTypeScope="" ma:versionID="4db94b5e49948c7e82a6c092f1aa48da">
  <xsd:schema xmlns:xsd="http://www.w3.org/2001/XMLSchema" xmlns:xs="http://www.w3.org/2001/XMLSchema" xmlns:p="http://schemas.microsoft.com/office/2006/metadata/properties" xmlns:ns2="57f1fb52-79b9-4278-9d54-1e5db41bfcda" xmlns:ns3="6500fe01-343b-4fb9-a1b0-68ac19d62e01" xmlns:ns4="1a69bdef-c635-48ac-9cf9-b687dab64bb7" targetNamespace="http://schemas.microsoft.com/office/2006/metadata/properties" ma:root="true" ma:fieldsID="c39f52f10b43259aa12537fdd8029ffe" ns2:_="" ns3:_="" ns4:_="">
    <xsd:import namespace="57f1fb52-79b9-4278-9d54-1e5db41bfcda"/>
    <xsd:import namespace="6500fe01-343b-4fb9-a1b0-68ac19d62e01"/>
    <xsd:import namespace="1a69bdef-c635-48ac-9cf9-b687dab64bb7"/>
    <xsd:element name="properties">
      <xsd:complexType>
        <xsd:sequence>
          <xsd:element name="documentManagement">
            <xsd:complexType>
              <xsd:all>
                <xsd:element ref="ns3:Divider" minOccurs="0"/>
                <xsd:element ref="ns2:Subdivider"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2:h1905e97e92e42caaf2a314461ed6a1e"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2:From1" minOccurs="0"/>
                <xsd:element ref="ns2:Received_x002f_Sent" minOccurs="0"/>
                <xsd:element ref="ns4:EmailasAttachment"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Subdivider" ma:index="3" nillable="true" ma:displayName="Subdivider" ma:format="Dropdown" ma:internalName="Subdivider">
      <xsd:simpleType>
        <xsd:union memberTypes="dms:Text">
          <xsd:simpleType>
            <xsd:restriction base="dms:Choice">
              <xsd:enumeration value="-"/>
            </xsd:restriction>
          </xsd:simpleType>
        </xsd:union>
      </xsd:simpleType>
    </xsd:element>
    <xsd:element name="h1905e97e92e42caaf2a314461ed6a1e" ma:index="18" nillable="true" ma:taxonomy="true" ma:internalName="h1905e97e92e42caaf2a314461ed6a1e" ma:taxonomyFieldName="Document_x0020_Type" ma:displayName="Document Type" ma:default="" ma:fieldId="{11905e97-e92e-42ca-af2a-314461ed6a1e}" ma:sspId="975c5ac6-a0cc-43ed-b850-4a2ae59237b6" ma:termSetId="5c0fb424-e810-48cd-89f5-068486990c36" ma:anchorId="00000000-0000-0000-0000-000000000000" ma:open="false" ma:isKeyword="false">
      <xsd:complexType>
        <xsd:sequence>
          <xsd:element ref="pc:Terms" minOccurs="0" maxOccurs="1"/>
        </xsd:sequence>
      </xsd:complexType>
    </xsd:element>
    <xsd:element name="From1" ma:index="27" nillable="true" ma:displayName="From" ma:internalName="From1">
      <xsd:simpleType>
        <xsd:restriction base="dms:Text">
          <xsd:maxLength value="255"/>
        </xsd:restriction>
      </xsd:simpleType>
    </xsd:element>
    <xsd:element name="Received_x002f_Sent" ma:index="28" nillable="true" ma:displayName="Received/Sent" ma:internalName="Received_x002F_Sent">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format="Dropdown" ma:internalName="Divider">
      <xsd:simpleType>
        <xsd:union memberTypes="dms:Text">
          <xsd:simpleType>
            <xsd:restriction base="dms:Choice">
              <xsd:enumeration value="-"/>
            </xsd:restriction>
          </xsd:simpleType>
        </xsd:union>
      </xsd:simpleType>
    </xsd:element>
    <xsd:element name="TaxKeywordTaxHTField" ma:index="7"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8" nillable="true" ma:displayName="Taxonomy Catch All Column" ma:hidden="true" ma:list="{f386e28e-d76d-4cdd-8585-6723f400076b}" ma:internalName="TaxCatchAll" ma:showField="CatchAllData"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386e28e-d76d-4cdd-8585-6723f400076b}" ma:internalName="TaxCatchAllLabel" ma:readOnly="true" ma:showField="CatchAllDataLabel"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9bdef-c635-48ac-9cf9-b687dab64bb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EmailasAttachment" ma:index="30" nillable="true" ma:displayName="Email as Attachment" ma:format="Hyperlink" ma:internalName="EmailasAttachment">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60C3E-0DFD-4A38-9BBC-27522D0564F2}">
  <ds:schemaRefs>
    <ds:schemaRef ds:uri="Microsoft.SharePoint.Taxonomy.ContentTypeSync"/>
  </ds:schemaRefs>
</ds:datastoreItem>
</file>

<file path=customXml/itemProps2.xml><?xml version="1.0" encoding="utf-8"?>
<ds:datastoreItem xmlns:ds="http://schemas.openxmlformats.org/officeDocument/2006/customXml" ds:itemID="{EED3E24B-242F-4FBE-A13D-DD49BF94C975}">
  <ds:schemaRefs>
    <ds:schemaRef ds:uri="http://schemas.microsoft.com/office/2006/metadata/customXsn"/>
  </ds:schemaRefs>
</ds:datastoreItem>
</file>

<file path=customXml/itemProps3.xml><?xml version="1.0" encoding="utf-8"?>
<ds:datastoreItem xmlns:ds="http://schemas.openxmlformats.org/officeDocument/2006/customXml" ds:itemID="{B8ED0E2C-226C-46A5-9ED4-A537616AB0BC}">
  <ds:schemaRefs>
    <ds:schemaRef ds:uri="57f1fb52-79b9-4278-9d54-1e5db41bfcda"/>
    <ds:schemaRef ds:uri="http://www.w3.org/XML/1998/namespace"/>
    <ds:schemaRef ds:uri="http://schemas.openxmlformats.org/package/2006/metadata/core-properties"/>
    <ds:schemaRef ds:uri="http://purl.org/dc/elements/1.1/"/>
    <ds:schemaRef ds:uri="http://purl.org/dc/terms/"/>
    <ds:schemaRef ds:uri="http://schemas.microsoft.com/office/2006/metadata/properties"/>
    <ds:schemaRef ds:uri="http://schemas.microsoft.com/office/2006/documentManagement/types"/>
    <ds:schemaRef ds:uri="http://purl.org/dc/dcmitype/"/>
    <ds:schemaRef ds:uri="1a69bdef-c635-48ac-9cf9-b687dab64bb7"/>
    <ds:schemaRef ds:uri="http://schemas.microsoft.com/office/infopath/2007/PartnerControls"/>
    <ds:schemaRef ds:uri="6500fe01-343b-4fb9-a1b0-68ac19d62e01"/>
  </ds:schemaRefs>
</ds:datastoreItem>
</file>

<file path=customXml/itemProps4.xml><?xml version="1.0" encoding="utf-8"?>
<ds:datastoreItem xmlns:ds="http://schemas.openxmlformats.org/officeDocument/2006/customXml" ds:itemID="{4E6614B9-1B13-432E-A407-B10E813AD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1fb52-79b9-4278-9d54-1e5db41bfcda"/>
    <ds:schemaRef ds:uri="6500fe01-343b-4fb9-a1b0-68ac19d62e01"/>
    <ds:schemaRef ds:uri="1a69bdef-c635-48ac-9cf9-b687dab64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4B648D-9705-43AA-B426-3CBBAB5F4DB5}">
  <ds:schemaRefs>
    <ds:schemaRef ds:uri="http://schemas.microsoft.com/sharepoint/v3/contenttype/forms"/>
  </ds:schemaRefs>
</ds:datastoreItem>
</file>

<file path=customXml/itemProps6.xml><?xml version="1.0" encoding="utf-8"?>
<ds:datastoreItem xmlns:ds="http://schemas.openxmlformats.org/officeDocument/2006/customXml" ds:itemID="{F4C9A5E3-90ED-43F5-A51F-B660FA85B923}">
  <ds:schemaRefs>
    <ds:schemaRef ds:uri="http://schemas.microsoft.com/sharepoint/events"/>
  </ds:schemaRefs>
</ds:datastoreItem>
</file>

<file path=customXml/itemProps7.xml><?xml version="1.0" encoding="utf-8"?>
<ds:datastoreItem xmlns:ds="http://schemas.openxmlformats.org/officeDocument/2006/customXml" ds:itemID="{56B4461E-3327-43CA-8596-0B8CC807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Submission_New.dotx</Template>
  <TotalTime>929</TotalTime>
  <Pages>40</Pages>
  <Words>12191</Words>
  <Characters>65035</Characters>
  <Application>Microsoft Office Word</Application>
  <DocSecurity>0</DocSecurity>
  <Lines>541</Lines>
  <Paragraphs>154</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77072</CharactersWithSpaces>
  <SharedDoc>false</SharedDoc>
  <HLinks>
    <vt:vector size="24" baseType="variant">
      <vt:variant>
        <vt:i4>1703995</vt:i4>
      </vt:variant>
      <vt:variant>
        <vt:i4>20</vt:i4>
      </vt:variant>
      <vt:variant>
        <vt:i4>0</vt:i4>
      </vt:variant>
      <vt:variant>
        <vt:i4>5</vt:i4>
      </vt:variant>
      <vt:variant>
        <vt:lpwstr/>
      </vt:variant>
      <vt:variant>
        <vt:lpwstr>_Toc515289374</vt:lpwstr>
      </vt:variant>
      <vt:variant>
        <vt:i4>1703995</vt:i4>
      </vt:variant>
      <vt:variant>
        <vt:i4>14</vt:i4>
      </vt:variant>
      <vt:variant>
        <vt:i4>0</vt:i4>
      </vt:variant>
      <vt:variant>
        <vt:i4>5</vt:i4>
      </vt:variant>
      <vt:variant>
        <vt:lpwstr/>
      </vt:variant>
      <vt:variant>
        <vt:lpwstr>_Toc515289373</vt:lpwstr>
      </vt:variant>
      <vt:variant>
        <vt:i4>1703995</vt:i4>
      </vt:variant>
      <vt:variant>
        <vt:i4>8</vt:i4>
      </vt:variant>
      <vt:variant>
        <vt:i4>0</vt:i4>
      </vt:variant>
      <vt:variant>
        <vt:i4>5</vt:i4>
      </vt:variant>
      <vt:variant>
        <vt:lpwstr/>
      </vt:variant>
      <vt:variant>
        <vt:lpwstr>_Toc515289372</vt:lpwstr>
      </vt:variant>
      <vt:variant>
        <vt:i4>1703995</vt:i4>
      </vt:variant>
      <vt:variant>
        <vt:i4>2</vt:i4>
      </vt:variant>
      <vt:variant>
        <vt:i4>0</vt:i4>
      </vt:variant>
      <vt:variant>
        <vt:i4>5</vt:i4>
      </vt:variant>
      <vt:variant>
        <vt:lpwstr/>
      </vt:variant>
      <vt:variant>
        <vt:lpwstr>_Toc515289371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Jennifer Lim</dc:creator>
  <cp:keywords/>
  <cp:lastModifiedBy>Jennifer Lim</cp:lastModifiedBy>
  <cp:revision>5</cp:revision>
  <cp:lastPrinted>2019-10-15T00:13:00Z</cp:lastPrinted>
  <dcterms:created xsi:type="dcterms:W3CDTF">2019-10-14T06:57:00Z</dcterms:created>
  <dcterms:modified xsi:type="dcterms:W3CDTF">2019-10-15T00:15:00Z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0x01010084B55D95DF676046B99E394FD3A716A8</vt:lpwstr>
  </property>
  <property fmtid="{D5CDD505-2E9C-101B-9397-08002B2CF9AE}" pid="3" name="_dlc_DocIdItemGuid">
    <vt:lpwstr>5f73adf4-dc93-4775-a5ea-c5c9bf5053b9</vt:lpwstr>
  </property>
  <property fmtid="{D5CDD505-2E9C-101B-9397-08002B2CF9AE}" pid="4" name="TaxKeyword">
    <vt:lpwstr/>
  </property>
  <property fmtid="{D5CDD505-2E9C-101B-9397-08002B2CF9AE}" pid="5" name="Document Type">
    <vt:lpwstr/>
  </property>
</Properties>
</file>