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E1D37" w14:textId="506BD357" w:rsidR="00252DAD" w:rsidRPr="002F2C55" w:rsidRDefault="00252DAD" w:rsidP="00252DAD">
      <w:pPr>
        <w:pStyle w:val="Date"/>
        <w:rPr>
          <w:rFonts w:eastAsia="Times New Roman" w:cs="Open Sans"/>
          <w:bCs/>
          <w:color w:val="237BBC"/>
          <w:kern w:val="32"/>
          <w:sz w:val="56"/>
          <w:szCs w:val="32"/>
        </w:rPr>
      </w:pPr>
      <w:bookmarkStart w:id="0" w:name="_Toc525894097"/>
      <w:r w:rsidRPr="002F2C55">
        <w:rPr>
          <w:rFonts w:eastAsia="Times New Roman" w:cs="Open Sans"/>
          <w:bCs/>
          <w:color w:val="237BBC"/>
          <w:kern w:val="32"/>
          <w:sz w:val="56"/>
          <w:szCs w:val="32"/>
        </w:rPr>
        <w:t>Social Services Legislation Amendment (Drug Testing Trial) Bill 2019</w:t>
      </w:r>
      <w:bookmarkEnd w:id="0"/>
      <w:r w:rsidRPr="002F2C55">
        <w:rPr>
          <w:rFonts w:eastAsia="Times New Roman" w:cs="Open Sans"/>
          <w:bCs/>
          <w:color w:val="237BBC"/>
          <w:kern w:val="32"/>
          <w:sz w:val="56"/>
          <w:szCs w:val="32"/>
        </w:rPr>
        <w:br/>
      </w:r>
      <w:r w:rsidRPr="002F2C55">
        <w:rPr>
          <w:rFonts w:cs="Open Sans"/>
          <w:color w:val="2E74B5" w:themeColor="accent1" w:themeShade="BF"/>
          <w:sz w:val="28"/>
        </w:rPr>
        <w:t>Senate Community Affairs Legislation Committee</w:t>
      </w:r>
    </w:p>
    <w:p w14:paraId="1E81D62D" w14:textId="0E91754A" w:rsidR="00F220A5" w:rsidRPr="002F2C55" w:rsidRDefault="00475E3A" w:rsidP="00F220A5">
      <w:pPr>
        <w:pStyle w:val="Date"/>
        <w:rPr>
          <w:rFonts w:cs="Open Sans"/>
        </w:rPr>
      </w:pPr>
      <w:r w:rsidRPr="002F2C55">
        <w:rPr>
          <w:rFonts w:cs="Open Sans"/>
        </w:rPr>
        <w:t>1</w:t>
      </w:r>
      <w:r w:rsidR="00252DAD" w:rsidRPr="002F2C55">
        <w:rPr>
          <w:rFonts w:cs="Open Sans"/>
        </w:rPr>
        <w:t xml:space="preserve"> October 2019</w:t>
      </w:r>
    </w:p>
    <w:p w14:paraId="7602367D" w14:textId="77777777" w:rsidR="00AC636D" w:rsidRPr="002F2C55" w:rsidRDefault="00AC636D" w:rsidP="00AC636D">
      <w:pPr>
        <w:rPr>
          <w:rFonts w:cs="Open Sans"/>
        </w:rPr>
      </w:pPr>
    </w:p>
    <w:p w14:paraId="4DF157D0" w14:textId="77777777" w:rsidR="009E4BD0" w:rsidRPr="002F2C55" w:rsidRDefault="009E4BD0" w:rsidP="000E4837">
      <w:pPr>
        <w:pStyle w:val="Subtitle"/>
        <w:rPr>
          <w:rFonts w:cs="Open Sans"/>
        </w:rPr>
        <w:sectPr w:rsidR="009E4BD0" w:rsidRPr="002F2C55"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5BA018BF" w14:textId="1DA99D62" w:rsidR="002F2C55" w:rsidRPr="002F2C55" w:rsidRDefault="000E4837">
      <w:pPr>
        <w:pStyle w:val="TOC1"/>
        <w:rPr>
          <w:rFonts w:eastAsiaTheme="minorEastAsia" w:cs="Open Sans"/>
          <w:b w:val="0"/>
          <w:sz w:val="22"/>
          <w:szCs w:val="22"/>
        </w:rPr>
      </w:pPr>
      <w:r w:rsidRPr="002F2C55">
        <w:rPr>
          <w:rFonts w:cs="Open Sans"/>
          <w:b w:val="0"/>
        </w:rPr>
        <w:lastRenderedPageBreak/>
        <w:fldChar w:fldCharType="begin"/>
      </w:r>
      <w:r w:rsidRPr="002F2C55">
        <w:rPr>
          <w:rFonts w:cs="Open Sans"/>
          <w:b w:val="0"/>
        </w:rPr>
        <w:instrText xml:space="preserve"> TOC \o "1-3" \h \z \u </w:instrText>
      </w:r>
      <w:r w:rsidRPr="002F2C55">
        <w:rPr>
          <w:rFonts w:cs="Open Sans"/>
          <w:b w:val="0"/>
        </w:rPr>
        <w:fldChar w:fldCharType="separate"/>
      </w:r>
      <w:hyperlink w:anchor="_Toc20838301" w:history="1">
        <w:r w:rsidR="002F2C55" w:rsidRPr="002F2C55">
          <w:rPr>
            <w:rStyle w:val="Hyperlink"/>
            <w:rFonts w:cs="Open Sans"/>
          </w:rPr>
          <w:t>1</w:t>
        </w:r>
        <w:r w:rsidR="002F2C55" w:rsidRPr="002F2C55">
          <w:rPr>
            <w:rFonts w:eastAsiaTheme="minorEastAsia" w:cs="Open Sans"/>
            <w:b w:val="0"/>
            <w:sz w:val="22"/>
            <w:szCs w:val="22"/>
          </w:rPr>
          <w:tab/>
        </w:r>
        <w:r w:rsidR="002F2C55" w:rsidRPr="002F2C55">
          <w:rPr>
            <w:rStyle w:val="Hyperlink"/>
            <w:rFonts w:cs="Open Sans"/>
          </w:rPr>
          <w:t>Introduction</w:t>
        </w:r>
        <w:r w:rsidR="002F2C55" w:rsidRPr="002F2C55">
          <w:rPr>
            <w:rFonts w:cs="Open Sans"/>
            <w:webHidden/>
          </w:rPr>
          <w:tab/>
        </w:r>
        <w:r w:rsidR="002F2C55" w:rsidRPr="002F2C55">
          <w:rPr>
            <w:rFonts w:cs="Open Sans"/>
            <w:webHidden/>
          </w:rPr>
          <w:fldChar w:fldCharType="begin"/>
        </w:r>
        <w:r w:rsidR="002F2C55" w:rsidRPr="002F2C55">
          <w:rPr>
            <w:rFonts w:cs="Open Sans"/>
            <w:webHidden/>
          </w:rPr>
          <w:instrText xml:space="preserve"> PAGEREF _Toc20838301 \h </w:instrText>
        </w:r>
        <w:r w:rsidR="002F2C55" w:rsidRPr="002F2C55">
          <w:rPr>
            <w:rFonts w:cs="Open Sans"/>
            <w:webHidden/>
          </w:rPr>
        </w:r>
        <w:r w:rsidR="002F2C55" w:rsidRPr="002F2C55">
          <w:rPr>
            <w:rFonts w:cs="Open Sans"/>
            <w:webHidden/>
          </w:rPr>
          <w:fldChar w:fldCharType="separate"/>
        </w:r>
        <w:r w:rsidR="007E7A2F">
          <w:rPr>
            <w:rFonts w:cs="Open Sans"/>
            <w:webHidden/>
          </w:rPr>
          <w:t>3</w:t>
        </w:r>
        <w:r w:rsidR="002F2C55" w:rsidRPr="002F2C55">
          <w:rPr>
            <w:rFonts w:cs="Open Sans"/>
            <w:webHidden/>
          </w:rPr>
          <w:fldChar w:fldCharType="end"/>
        </w:r>
      </w:hyperlink>
    </w:p>
    <w:p w14:paraId="27E235F3" w14:textId="5A3544DC" w:rsidR="002F2C55" w:rsidRPr="002F2C55" w:rsidRDefault="002F2C55">
      <w:pPr>
        <w:pStyle w:val="TOC1"/>
        <w:rPr>
          <w:rFonts w:eastAsiaTheme="minorEastAsia" w:cs="Open Sans"/>
          <w:b w:val="0"/>
          <w:sz w:val="22"/>
          <w:szCs w:val="22"/>
        </w:rPr>
      </w:pPr>
      <w:hyperlink w:anchor="_Toc20838302" w:history="1">
        <w:r w:rsidRPr="002F2C55">
          <w:rPr>
            <w:rStyle w:val="Hyperlink"/>
            <w:rFonts w:cs="Open Sans"/>
          </w:rPr>
          <w:t>2</w:t>
        </w:r>
        <w:r w:rsidRPr="002F2C55">
          <w:rPr>
            <w:rFonts w:eastAsiaTheme="minorEastAsia" w:cs="Open Sans"/>
            <w:b w:val="0"/>
            <w:sz w:val="22"/>
            <w:szCs w:val="22"/>
          </w:rPr>
          <w:tab/>
        </w:r>
        <w:r w:rsidRPr="002F2C55">
          <w:rPr>
            <w:rStyle w:val="Hyperlink"/>
            <w:rFonts w:cs="Open Sans"/>
          </w:rPr>
          <w:t>Summary</w:t>
        </w:r>
        <w:r w:rsidRPr="002F2C55">
          <w:rPr>
            <w:rFonts w:cs="Open Sans"/>
            <w:webHidden/>
          </w:rPr>
          <w:tab/>
        </w:r>
        <w:r w:rsidRPr="002F2C55">
          <w:rPr>
            <w:rFonts w:cs="Open Sans"/>
            <w:webHidden/>
          </w:rPr>
          <w:fldChar w:fldCharType="begin"/>
        </w:r>
        <w:r w:rsidRPr="002F2C55">
          <w:rPr>
            <w:rFonts w:cs="Open Sans"/>
            <w:webHidden/>
          </w:rPr>
          <w:instrText xml:space="preserve"> PAGEREF _Toc20838302 \h </w:instrText>
        </w:r>
        <w:r w:rsidRPr="002F2C55">
          <w:rPr>
            <w:rFonts w:cs="Open Sans"/>
            <w:webHidden/>
          </w:rPr>
        </w:r>
        <w:r w:rsidRPr="002F2C55">
          <w:rPr>
            <w:rFonts w:cs="Open Sans"/>
            <w:webHidden/>
          </w:rPr>
          <w:fldChar w:fldCharType="separate"/>
        </w:r>
        <w:r w:rsidR="007E7A2F">
          <w:rPr>
            <w:rFonts w:cs="Open Sans"/>
            <w:webHidden/>
          </w:rPr>
          <w:t>3</w:t>
        </w:r>
        <w:r w:rsidRPr="002F2C55">
          <w:rPr>
            <w:rFonts w:cs="Open Sans"/>
            <w:webHidden/>
          </w:rPr>
          <w:fldChar w:fldCharType="end"/>
        </w:r>
      </w:hyperlink>
    </w:p>
    <w:p w14:paraId="2C3C6799" w14:textId="29E426A3" w:rsidR="002F2C55" w:rsidRPr="002F2C55" w:rsidRDefault="002F2C55">
      <w:pPr>
        <w:pStyle w:val="TOC1"/>
        <w:rPr>
          <w:rFonts w:eastAsiaTheme="minorEastAsia" w:cs="Open Sans"/>
          <w:b w:val="0"/>
          <w:sz w:val="22"/>
          <w:szCs w:val="22"/>
        </w:rPr>
      </w:pPr>
      <w:hyperlink w:anchor="_Toc20838303" w:history="1">
        <w:r w:rsidRPr="002F2C55">
          <w:rPr>
            <w:rStyle w:val="Hyperlink"/>
            <w:rFonts w:cs="Open Sans"/>
          </w:rPr>
          <w:t>3</w:t>
        </w:r>
        <w:r w:rsidRPr="002F2C55">
          <w:rPr>
            <w:rFonts w:eastAsiaTheme="minorEastAsia" w:cs="Open Sans"/>
            <w:b w:val="0"/>
            <w:sz w:val="22"/>
            <w:szCs w:val="22"/>
          </w:rPr>
          <w:tab/>
        </w:r>
        <w:r w:rsidRPr="002F2C55">
          <w:rPr>
            <w:rStyle w:val="Hyperlink"/>
            <w:rFonts w:cs="Open Sans"/>
          </w:rPr>
          <w:t>Recommendations</w:t>
        </w:r>
        <w:r w:rsidRPr="002F2C55">
          <w:rPr>
            <w:rFonts w:cs="Open Sans"/>
            <w:webHidden/>
          </w:rPr>
          <w:tab/>
        </w:r>
        <w:r w:rsidRPr="002F2C55">
          <w:rPr>
            <w:rFonts w:cs="Open Sans"/>
            <w:webHidden/>
          </w:rPr>
          <w:fldChar w:fldCharType="begin"/>
        </w:r>
        <w:r w:rsidRPr="002F2C55">
          <w:rPr>
            <w:rFonts w:cs="Open Sans"/>
            <w:webHidden/>
          </w:rPr>
          <w:instrText xml:space="preserve"> PAGEREF _Toc20838303 \h </w:instrText>
        </w:r>
        <w:r w:rsidRPr="002F2C55">
          <w:rPr>
            <w:rFonts w:cs="Open Sans"/>
            <w:webHidden/>
          </w:rPr>
        </w:r>
        <w:r w:rsidRPr="002F2C55">
          <w:rPr>
            <w:rFonts w:cs="Open Sans"/>
            <w:webHidden/>
          </w:rPr>
          <w:fldChar w:fldCharType="separate"/>
        </w:r>
        <w:r w:rsidR="007E7A2F">
          <w:rPr>
            <w:rFonts w:cs="Open Sans"/>
            <w:webHidden/>
          </w:rPr>
          <w:t>5</w:t>
        </w:r>
        <w:r w:rsidRPr="002F2C55">
          <w:rPr>
            <w:rFonts w:cs="Open Sans"/>
            <w:webHidden/>
          </w:rPr>
          <w:fldChar w:fldCharType="end"/>
        </w:r>
      </w:hyperlink>
    </w:p>
    <w:p w14:paraId="245F1487" w14:textId="29E13EF9" w:rsidR="002F2C55" w:rsidRPr="002F2C55" w:rsidRDefault="002F2C55">
      <w:pPr>
        <w:pStyle w:val="TOC1"/>
        <w:rPr>
          <w:rFonts w:eastAsiaTheme="minorEastAsia" w:cs="Open Sans"/>
          <w:b w:val="0"/>
          <w:sz w:val="22"/>
          <w:szCs w:val="22"/>
        </w:rPr>
      </w:pPr>
      <w:hyperlink w:anchor="_Toc20838304" w:history="1">
        <w:r w:rsidRPr="002F2C55">
          <w:rPr>
            <w:rStyle w:val="Hyperlink"/>
            <w:rFonts w:cs="Open Sans"/>
          </w:rPr>
          <w:t>4</w:t>
        </w:r>
        <w:r w:rsidRPr="002F2C55">
          <w:rPr>
            <w:rFonts w:eastAsiaTheme="minorEastAsia" w:cs="Open Sans"/>
            <w:b w:val="0"/>
            <w:sz w:val="22"/>
            <w:szCs w:val="22"/>
          </w:rPr>
          <w:tab/>
        </w:r>
        <w:r w:rsidRPr="002F2C55">
          <w:rPr>
            <w:rStyle w:val="Hyperlink"/>
            <w:rFonts w:cs="Open Sans"/>
          </w:rPr>
          <w:t>Overview of the proposed mandatory drug testing trial</w:t>
        </w:r>
        <w:r w:rsidRPr="002F2C55">
          <w:rPr>
            <w:rFonts w:cs="Open Sans"/>
            <w:webHidden/>
          </w:rPr>
          <w:tab/>
        </w:r>
        <w:r w:rsidRPr="002F2C55">
          <w:rPr>
            <w:rFonts w:cs="Open Sans"/>
            <w:webHidden/>
          </w:rPr>
          <w:fldChar w:fldCharType="begin"/>
        </w:r>
        <w:r w:rsidRPr="002F2C55">
          <w:rPr>
            <w:rFonts w:cs="Open Sans"/>
            <w:webHidden/>
          </w:rPr>
          <w:instrText xml:space="preserve"> PAGEREF _Toc20838304 \h </w:instrText>
        </w:r>
        <w:r w:rsidRPr="002F2C55">
          <w:rPr>
            <w:rFonts w:cs="Open Sans"/>
            <w:webHidden/>
          </w:rPr>
        </w:r>
        <w:r w:rsidRPr="002F2C55">
          <w:rPr>
            <w:rFonts w:cs="Open Sans"/>
            <w:webHidden/>
          </w:rPr>
          <w:fldChar w:fldCharType="separate"/>
        </w:r>
        <w:r w:rsidR="007E7A2F">
          <w:rPr>
            <w:rFonts w:cs="Open Sans"/>
            <w:webHidden/>
          </w:rPr>
          <w:t>8</w:t>
        </w:r>
        <w:r w:rsidRPr="002F2C55">
          <w:rPr>
            <w:rFonts w:cs="Open Sans"/>
            <w:webHidden/>
          </w:rPr>
          <w:fldChar w:fldCharType="end"/>
        </w:r>
      </w:hyperlink>
    </w:p>
    <w:p w14:paraId="6EA33E81" w14:textId="5A758494" w:rsidR="002F2C55" w:rsidRPr="002F2C55" w:rsidRDefault="002F2C55">
      <w:pPr>
        <w:pStyle w:val="TOC1"/>
        <w:rPr>
          <w:rFonts w:eastAsiaTheme="minorEastAsia" w:cs="Open Sans"/>
          <w:b w:val="0"/>
          <w:sz w:val="22"/>
          <w:szCs w:val="22"/>
        </w:rPr>
      </w:pPr>
      <w:hyperlink w:anchor="_Toc20838305" w:history="1">
        <w:r w:rsidRPr="002F2C55">
          <w:rPr>
            <w:rStyle w:val="Hyperlink"/>
            <w:rFonts w:cs="Open Sans"/>
          </w:rPr>
          <w:t>5</w:t>
        </w:r>
        <w:r w:rsidRPr="002F2C55">
          <w:rPr>
            <w:rFonts w:eastAsiaTheme="minorEastAsia" w:cs="Open Sans"/>
            <w:b w:val="0"/>
            <w:sz w:val="22"/>
            <w:szCs w:val="22"/>
          </w:rPr>
          <w:tab/>
        </w:r>
        <w:r w:rsidRPr="002F2C55">
          <w:rPr>
            <w:rStyle w:val="Hyperlink"/>
            <w:rFonts w:cs="Open Sans"/>
          </w:rPr>
          <w:t>Key relevant human rights</w:t>
        </w:r>
        <w:r w:rsidRPr="002F2C55">
          <w:rPr>
            <w:rFonts w:cs="Open Sans"/>
            <w:webHidden/>
          </w:rPr>
          <w:tab/>
        </w:r>
        <w:r w:rsidRPr="002F2C55">
          <w:rPr>
            <w:rFonts w:cs="Open Sans"/>
            <w:webHidden/>
          </w:rPr>
          <w:fldChar w:fldCharType="begin"/>
        </w:r>
        <w:r w:rsidRPr="002F2C55">
          <w:rPr>
            <w:rFonts w:cs="Open Sans"/>
            <w:webHidden/>
          </w:rPr>
          <w:instrText xml:space="preserve"> PAGEREF _Toc20838305 \h </w:instrText>
        </w:r>
        <w:r w:rsidRPr="002F2C55">
          <w:rPr>
            <w:rFonts w:cs="Open Sans"/>
            <w:webHidden/>
          </w:rPr>
        </w:r>
        <w:r w:rsidRPr="002F2C55">
          <w:rPr>
            <w:rFonts w:cs="Open Sans"/>
            <w:webHidden/>
          </w:rPr>
          <w:fldChar w:fldCharType="separate"/>
        </w:r>
        <w:r w:rsidR="007E7A2F">
          <w:rPr>
            <w:rFonts w:cs="Open Sans"/>
            <w:webHidden/>
          </w:rPr>
          <w:t>11</w:t>
        </w:r>
        <w:r w:rsidRPr="002F2C55">
          <w:rPr>
            <w:rFonts w:cs="Open Sans"/>
            <w:webHidden/>
          </w:rPr>
          <w:fldChar w:fldCharType="end"/>
        </w:r>
      </w:hyperlink>
    </w:p>
    <w:p w14:paraId="07A1D54D" w14:textId="6E893C03" w:rsidR="002F2C55" w:rsidRPr="002F2C55" w:rsidRDefault="002F2C55">
      <w:pPr>
        <w:pStyle w:val="TOC2"/>
        <w:rPr>
          <w:rFonts w:eastAsiaTheme="minorEastAsia" w:cs="Open Sans"/>
          <w:b w:val="0"/>
          <w:i w:val="0"/>
          <w:sz w:val="22"/>
          <w:szCs w:val="22"/>
        </w:rPr>
      </w:pPr>
      <w:hyperlink w:anchor="_Toc20838306" w:history="1">
        <w:r w:rsidRPr="002F2C55">
          <w:rPr>
            <w:rStyle w:val="Hyperlink"/>
            <w:rFonts w:cs="Open Sans"/>
          </w:rPr>
          <w:t>5.1</w:t>
        </w:r>
        <w:r w:rsidRPr="002F2C55">
          <w:rPr>
            <w:rFonts w:eastAsiaTheme="minorEastAsia" w:cs="Open Sans"/>
            <w:b w:val="0"/>
            <w:i w:val="0"/>
            <w:sz w:val="22"/>
            <w:szCs w:val="22"/>
          </w:rPr>
          <w:tab/>
        </w:r>
        <w:r w:rsidRPr="002F2C55">
          <w:rPr>
            <w:rStyle w:val="Hyperlink"/>
            <w:rFonts w:cs="Open Sans"/>
          </w:rPr>
          <w:t>Rights to social security and adequate standard of living</w:t>
        </w:r>
        <w:r w:rsidRPr="002F2C55">
          <w:rPr>
            <w:rFonts w:cs="Open Sans"/>
            <w:webHidden/>
          </w:rPr>
          <w:tab/>
        </w:r>
        <w:r w:rsidRPr="002F2C55">
          <w:rPr>
            <w:rFonts w:cs="Open Sans"/>
            <w:webHidden/>
          </w:rPr>
          <w:fldChar w:fldCharType="begin"/>
        </w:r>
        <w:r w:rsidRPr="002F2C55">
          <w:rPr>
            <w:rFonts w:cs="Open Sans"/>
            <w:webHidden/>
          </w:rPr>
          <w:instrText xml:space="preserve"> PAGEREF _Toc20838306 \h </w:instrText>
        </w:r>
        <w:r w:rsidRPr="002F2C55">
          <w:rPr>
            <w:rFonts w:cs="Open Sans"/>
            <w:webHidden/>
          </w:rPr>
        </w:r>
        <w:r w:rsidRPr="002F2C55">
          <w:rPr>
            <w:rFonts w:cs="Open Sans"/>
            <w:webHidden/>
          </w:rPr>
          <w:fldChar w:fldCharType="separate"/>
        </w:r>
        <w:r w:rsidR="007E7A2F">
          <w:rPr>
            <w:rFonts w:cs="Open Sans"/>
            <w:webHidden/>
          </w:rPr>
          <w:t>11</w:t>
        </w:r>
        <w:r w:rsidRPr="002F2C55">
          <w:rPr>
            <w:rFonts w:cs="Open Sans"/>
            <w:webHidden/>
          </w:rPr>
          <w:fldChar w:fldCharType="end"/>
        </w:r>
      </w:hyperlink>
    </w:p>
    <w:p w14:paraId="668096F4" w14:textId="4C38BC14" w:rsidR="002F2C55" w:rsidRPr="002F2C55" w:rsidRDefault="002F2C55">
      <w:pPr>
        <w:pStyle w:val="TOC2"/>
        <w:rPr>
          <w:rFonts w:eastAsiaTheme="minorEastAsia" w:cs="Open Sans"/>
          <w:b w:val="0"/>
          <w:i w:val="0"/>
          <w:sz w:val="22"/>
          <w:szCs w:val="22"/>
        </w:rPr>
      </w:pPr>
      <w:hyperlink w:anchor="_Toc20838307" w:history="1">
        <w:r w:rsidRPr="002F2C55">
          <w:rPr>
            <w:rStyle w:val="Hyperlink"/>
            <w:rFonts w:cs="Open Sans"/>
          </w:rPr>
          <w:t>5.2</w:t>
        </w:r>
        <w:r w:rsidRPr="002F2C55">
          <w:rPr>
            <w:rFonts w:eastAsiaTheme="minorEastAsia" w:cs="Open Sans"/>
            <w:b w:val="0"/>
            <w:i w:val="0"/>
            <w:sz w:val="22"/>
            <w:szCs w:val="22"/>
          </w:rPr>
          <w:tab/>
        </w:r>
        <w:r w:rsidRPr="002F2C55">
          <w:rPr>
            <w:rStyle w:val="Hyperlink"/>
            <w:rFonts w:cs="Open Sans"/>
          </w:rPr>
          <w:t>Right to privacy and health</w:t>
        </w:r>
        <w:r w:rsidRPr="002F2C55">
          <w:rPr>
            <w:rFonts w:cs="Open Sans"/>
            <w:webHidden/>
          </w:rPr>
          <w:tab/>
        </w:r>
        <w:r w:rsidRPr="002F2C55">
          <w:rPr>
            <w:rFonts w:cs="Open Sans"/>
            <w:webHidden/>
          </w:rPr>
          <w:fldChar w:fldCharType="begin"/>
        </w:r>
        <w:r w:rsidRPr="002F2C55">
          <w:rPr>
            <w:rFonts w:cs="Open Sans"/>
            <w:webHidden/>
          </w:rPr>
          <w:instrText xml:space="preserve"> PAGEREF _Toc20838307 \h </w:instrText>
        </w:r>
        <w:r w:rsidRPr="002F2C55">
          <w:rPr>
            <w:rFonts w:cs="Open Sans"/>
            <w:webHidden/>
          </w:rPr>
        </w:r>
        <w:r w:rsidRPr="002F2C55">
          <w:rPr>
            <w:rFonts w:cs="Open Sans"/>
            <w:webHidden/>
          </w:rPr>
          <w:fldChar w:fldCharType="separate"/>
        </w:r>
        <w:r w:rsidR="007E7A2F">
          <w:rPr>
            <w:rFonts w:cs="Open Sans"/>
            <w:webHidden/>
          </w:rPr>
          <w:t>12</w:t>
        </w:r>
        <w:r w:rsidRPr="002F2C55">
          <w:rPr>
            <w:rFonts w:cs="Open Sans"/>
            <w:webHidden/>
          </w:rPr>
          <w:fldChar w:fldCharType="end"/>
        </w:r>
      </w:hyperlink>
    </w:p>
    <w:p w14:paraId="6E2C0061" w14:textId="4C880A24" w:rsidR="002F2C55" w:rsidRPr="002F2C55" w:rsidRDefault="002F2C55">
      <w:pPr>
        <w:pStyle w:val="TOC2"/>
        <w:rPr>
          <w:rFonts w:eastAsiaTheme="minorEastAsia" w:cs="Open Sans"/>
          <w:b w:val="0"/>
          <w:i w:val="0"/>
          <w:sz w:val="22"/>
          <w:szCs w:val="22"/>
        </w:rPr>
      </w:pPr>
      <w:hyperlink w:anchor="_Toc20838308" w:history="1">
        <w:r w:rsidRPr="002F2C55">
          <w:rPr>
            <w:rStyle w:val="Hyperlink"/>
            <w:rFonts w:cs="Open Sans"/>
          </w:rPr>
          <w:t>5.3</w:t>
        </w:r>
        <w:r w:rsidRPr="002F2C55">
          <w:rPr>
            <w:rFonts w:eastAsiaTheme="minorEastAsia" w:cs="Open Sans"/>
            <w:b w:val="0"/>
            <w:i w:val="0"/>
            <w:sz w:val="22"/>
            <w:szCs w:val="22"/>
          </w:rPr>
          <w:tab/>
        </w:r>
        <w:r w:rsidRPr="002F2C55">
          <w:rPr>
            <w:rStyle w:val="Hyperlink"/>
            <w:rFonts w:cs="Open Sans"/>
          </w:rPr>
          <w:t>Right to equality and non-discrimination</w:t>
        </w:r>
        <w:r w:rsidRPr="002F2C55">
          <w:rPr>
            <w:rFonts w:cs="Open Sans"/>
            <w:webHidden/>
          </w:rPr>
          <w:tab/>
        </w:r>
        <w:r w:rsidRPr="002F2C55">
          <w:rPr>
            <w:rFonts w:cs="Open Sans"/>
            <w:webHidden/>
          </w:rPr>
          <w:fldChar w:fldCharType="begin"/>
        </w:r>
        <w:r w:rsidRPr="002F2C55">
          <w:rPr>
            <w:rFonts w:cs="Open Sans"/>
            <w:webHidden/>
          </w:rPr>
          <w:instrText xml:space="preserve"> PAGEREF _Toc20838308 \h </w:instrText>
        </w:r>
        <w:r w:rsidRPr="002F2C55">
          <w:rPr>
            <w:rFonts w:cs="Open Sans"/>
            <w:webHidden/>
          </w:rPr>
        </w:r>
        <w:r w:rsidRPr="002F2C55">
          <w:rPr>
            <w:rFonts w:cs="Open Sans"/>
            <w:webHidden/>
          </w:rPr>
          <w:fldChar w:fldCharType="separate"/>
        </w:r>
        <w:r w:rsidR="007E7A2F">
          <w:rPr>
            <w:rFonts w:cs="Open Sans"/>
            <w:webHidden/>
          </w:rPr>
          <w:t>13</w:t>
        </w:r>
        <w:r w:rsidRPr="002F2C55">
          <w:rPr>
            <w:rFonts w:cs="Open Sans"/>
            <w:webHidden/>
          </w:rPr>
          <w:fldChar w:fldCharType="end"/>
        </w:r>
      </w:hyperlink>
    </w:p>
    <w:p w14:paraId="29177F1A" w14:textId="2114161B" w:rsidR="002F2C55" w:rsidRPr="002F2C55" w:rsidRDefault="002F2C55">
      <w:pPr>
        <w:pStyle w:val="TOC2"/>
        <w:rPr>
          <w:rFonts w:eastAsiaTheme="minorEastAsia" w:cs="Open Sans"/>
          <w:b w:val="0"/>
          <w:i w:val="0"/>
          <w:sz w:val="22"/>
          <w:szCs w:val="22"/>
        </w:rPr>
      </w:pPr>
      <w:hyperlink w:anchor="_Toc20838309" w:history="1">
        <w:r w:rsidRPr="002F2C55">
          <w:rPr>
            <w:rStyle w:val="Hyperlink"/>
            <w:rFonts w:cs="Open Sans"/>
            <w:lang w:val="en-US"/>
          </w:rPr>
          <w:t>5.4</w:t>
        </w:r>
        <w:r w:rsidRPr="002F2C55">
          <w:rPr>
            <w:rFonts w:eastAsiaTheme="minorEastAsia" w:cs="Open Sans"/>
            <w:b w:val="0"/>
            <w:i w:val="0"/>
            <w:sz w:val="22"/>
            <w:szCs w:val="22"/>
          </w:rPr>
          <w:tab/>
        </w:r>
        <w:r w:rsidRPr="002F2C55">
          <w:rPr>
            <w:rStyle w:val="Hyperlink"/>
            <w:rFonts w:cs="Open Sans"/>
            <w:lang w:val="en-US"/>
          </w:rPr>
          <w:t>Children’s rights</w:t>
        </w:r>
        <w:r w:rsidRPr="002F2C55">
          <w:rPr>
            <w:rFonts w:cs="Open Sans"/>
            <w:webHidden/>
          </w:rPr>
          <w:tab/>
        </w:r>
        <w:r w:rsidRPr="002F2C55">
          <w:rPr>
            <w:rFonts w:cs="Open Sans"/>
            <w:webHidden/>
          </w:rPr>
          <w:fldChar w:fldCharType="begin"/>
        </w:r>
        <w:r w:rsidRPr="002F2C55">
          <w:rPr>
            <w:rFonts w:cs="Open Sans"/>
            <w:webHidden/>
          </w:rPr>
          <w:instrText xml:space="preserve"> PAGEREF _Toc20838309 \h </w:instrText>
        </w:r>
        <w:r w:rsidRPr="002F2C55">
          <w:rPr>
            <w:rFonts w:cs="Open Sans"/>
            <w:webHidden/>
          </w:rPr>
        </w:r>
        <w:r w:rsidRPr="002F2C55">
          <w:rPr>
            <w:rFonts w:cs="Open Sans"/>
            <w:webHidden/>
          </w:rPr>
          <w:fldChar w:fldCharType="separate"/>
        </w:r>
        <w:r w:rsidR="007E7A2F">
          <w:rPr>
            <w:rFonts w:cs="Open Sans"/>
            <w:webHidden/>
          </w:rPr>
          <w:t>14</w:t>
        </w:r>
        <w:r w:rsidRPr="002F2C55">
          <w:rPr>
            <w:rFonts w:cs="Open Sans"/>
            <w:webHidden/>
          </w:rPr>
          <w:fldChar w:fldCharType="end"/>
        </w:r>
      </w:hyperlink>
    </w:p>
    <w:p w14:paraId="0573D7A6" w14:textId="285B93B6" w:rsidR="002F2C55" w:rsidRPr="002F2C55" w:rsidRDefault="002F2C55">
      <w:pPr>
        <w:pStyle w:val="TOC1"/>
        <w:rPr>
          <w:rFonts w:eastAsiaTheme="minorEastAsia" w:cs="Open Sans"/>
          <w:b w:val="0"/>
          <w:sz w:val="22"/>
          <w:szCs w:val="22"/>
        </w:rPr>
      </w:pPr>
      <w:hyperlink w:anchor="_Toc20838310" w:history="1">
        <w:r w:rsidRPr="002F2C55">
          <w:rPr>
            <w:rStyle w:val="Hyperlink"/>
            <w:rFonts w:cs="Open Sans"/>
            <w:lang w:val="en-US"/>
          </w:rPr>
          <w:t>6</w:t>
        </w:r>
        <w:r w:rsidRPr="002F2C55">
          <w:rPr>
            <w:rFonts w:eastAsiaTheme="minorEastAsia" w:cs="Open Sans"/>
            <w:b w:val="0"/>
            <w:sz w:val="22"/>
            <w:szCs w:val="22"/>
          </w:rPr>
          <w:tab/>
        </w:r>
        <w:r w:rsidRPr="002F2C55">
          <w:rPr>
            <w:rStyle w:val="Hyperlink"/>
            <w:rFonts w:cs="Open Sans"/>
            <w:lang w:val="en-US"/>
          </w:rPr>
          <w:t>Incompatibility of the Bill with human rights</w:t>
        </w:r>
        <w:r w:rsidRPr="002F2C55">
          <w:rPr>
            <w:rFonts w:cs="Open Sans"/>
            <w:webHidden/>
          </w:rPr>
          <w:tab/>
        </w:r>
        <w:r w:rsidRPr="002F2C55">
          <w:rPr>
            <w:rFonts w:cs="Open Sans"/>
            <w:webHidden/>
          </w:rPr>
          <w:fldChar w:fldCharType="begin"/>
        </w:r>
        <w:r w:rsidRPr="002F2C55">
          <w:rPr>
            <w:rFonts w:cs="Open Sans"/>
            <w:webHidden/>
          </w:rPr>
          <w:instrText xml:space="preserve"> PAGEREF _Toc20838310 \h </w:instrText>
        </w:r>
        <w:r w:rsidRPr="002F2C55">
          <w:rPr>
            <w:rFonts w:cs="Open Sans"/>
            <w:webHidden/>
          </w:rPr>
        </w:r>
        <w:r w:rsidRPr="002F2C55">
          <w:rPr>
            <w:rFonts w:cs="Open Sans"/>
            <w:webHidden/>
          </w:rPr>
          <w:fldChar w:fldCharType="separate"/>
        </w:r>
        <w:r w:rsidR="007E7A2F">
          <w:rPr>
            <w:rFonts w:cs="Open Sans"/>
            <w:webHidden/>
          </w:rPr>
          <w:t>15</w:t>
        </w:r>
        <w:r w:rsidRPr="002F2C55">
          <w:rPr>
            <w:rFonts w:cs="Open Sans"/>
            <w:webHidden/>
          </w:rPr>
          <w:fldChar w:fldCharType="end"/>
        </w:r>
      </w:hyperlink>
    </w:p>
    <w:p w14:paraId="4824AE8E" w14:textId="653F5D03" w:rsidR="002F2C55" w:rsidRPr="002F2C55" w:rsidRDefault="002F2C55">
      <w:pPr>
        <w:pStyle w:val="TOC1"/>
        <w:rPr>
          <w:rFonts w:eastAsiaTheme="minorEastAsia" w:cs="Open Sans"/>
          <w:b w:val="0"/>
          <w:sz w:val="22"/>
          <w:szCs w:val="22"/>
        </w:rPr>
      </w:pPr>
      <w:hyperlink w:anchor="_Toc20838311" w:history="1">
        <w:r w:rsidRPr="002F2C55">
          <w:rPr>
            <w:rStyle w:val="Hyperlink"/>
            <w:rFonts w:cs="Open Sans"/>
            <w:lang w:val="en-US"/>
          </w:rPr>
          <w:t>7</w:t>
        </w:r>
        <w:r w:rsidRPr="002F2C55">
          <w:rPr>
            <w:rFonts w:eastAsiaTheme="minorEastAsia" w:cs="Open Sans"/>
            <w:b w:val="0"/>
            <w:sz w:val="22"/>
            <w:szCs w:val="22"/>
          </w:rPr>
          <w:tab/>
        </w:r>
        <w:r w:rsidRPr="002F2C55">
          <w:rPr>
            <w:rStyle w:val="Hyperlink"/>
            <w:rFonts w:cs="Open Sans"/>
            <w:lang w:val="en-US"/>
          </w:rPr>
          <w:t>Improving human rights compatibility</w:t>
        </w:r>
        <w:r w:rsidRPr="002F2C55">
          <w:rPr>
            <w:rFonts w:cs="Open Sans"/>
            <w:webHidden/>
          </w:rPr>
          <w:tab/>
        </w:r>
        <w:r w:rsidRPr="002F2C55">
          <w:rPr>
            <w:rFonts w:cs="Open Sans"/>
            <w:webHidden/>
          </w:rPr>
          <w:fldChar w:fldCharType="begin"/>
        </w:r>
        <w:r w:rsidRPr="002F2C55">
          <w:rPr>
            <w:rFonts w:cs="Open Sans"/>
            <w:webHidden/>
          </w:rPr>
          <w:instrText xml:space="preserve"> PAGEREF _Toc20838311 \h </w:instrText>
        </w:r>
        <w:r w:rsidRPr="002F2C55">
          <w:rPr>
            <w:rFonts w:cs="Open Sans"/>
            <w:webHidden/>
          </w:rPr>
        </w:r>
        <w:r w:rsidRPr="002F2C55">
          <w:rPr>
            <w:rFonts w:cs="Open Sans"/>
            <w:webHidden/>
          </w:rPr>
          <w:fldChar w:fldCharType="separate"/>
        </w:r>
        <w:r w:rsidR="007E7A2F">
          <w:rPr>
            <w:rFonts w:cs="Open Sans"/>
            <w:webHidden/>
          </w:rPr>
          <w:t>18</w:t>
        </w:r>
        <w:r w:rsidRPr="002F2C55">
          <w:rPr>
            <w:rFonts w:cs="Open Sans"/>
            <w:webHidden/>
          </w:rPr>
          <w:fldChar w:fldCharType="end"/>
        </w:r>
      </w:hyperlink>
    </w:p>
    <w:p w14:paraId="424960B7" w14:textId="1328EC74" w:rsidR="002F2C55" w:rsidRPr="002F2C55" w:rsidRDefault="002F2C55">
      <w:pPr>
        <w:pStyle w:val="TOC2"/>
        <w:rPr>
          <w:rFonts w:eastAsiaTheme="minorEastAsia" w:cs="Open Sans"/>
          <w:b w:val="0"/>
          <w:i w:val="0"/>
          <w:sz w:val="22"/>
          <w:szCs w:val="22"/>
        </w:rPr>
      </w:pPr>
      <w:hyperlink w:anchor="_Toc20838312" w:history="1">
        <w:r w:rsidRPr="002F2C55">
          <w:rPr>
            <w:rStyle w:val="Hyperlink"/>
            <w:rFonts w:cs="Open Sans"/>
          </w:rPr>
          <w:t>7.1</w:t>
        </w:r>
        <w:r w:rsidRPr="002F2C55">
          <w:rPr>
            <w:rFonts w:eastAsiaTheme="minorEastAsia" w:cs="Open Sans"/>
            <w:b w:val="0"/>
            <w:i w:val="0"/>
            <w:sz w:val="22"/>
            <w:szCs w:val="22"/>
          </w:rPr>
          <w:tab/>
        </w:r>
        <w:r w:rsidRPr="002F2C55">
          <w:rPr>
            <w:rStyle w:val="Hyperlink"/>
            <w:rFonts w:cs="Open Sans"/>
          </w:rPr>
          <w:t>Conditionality and punitive compliance</w:t>
        </w:r>
        <w:r w:rsidRPr="002F2C55">
          <w:rPr>
            <w:rFonts w:cs="Open Sans"/>
            <w:webHidden/>
          </w:rPr>
          <w:tab/>
        </w:r>
        <w:r w:rsidRPr="002F2C55">
          <w:rPr>
            <w:rFonts w:cs="Open Sans"/>
            <w:webHidden/>
          </w:rPr>
          <w:fldChar w:fldCharType="begin"/>
        </w:r>
        <w:r w:rsidRPr="002F2C55">
          <w:rPr>
            <w:rFonts w:cs="Open Sans"/>
            <w:webHidden/>
          </w:rPr>
          <w:instrText xml:space="preserve"> PAGEREF _Toc20838312 \h </w:instrText>
        </w:r>
        <w:r w:rsidRPr="002F2C55">
          <w:rPr>
            <w:rFonts w:cs="Open Sans"/>
            <w:webHidden/>
          </w:rPr>
        </w:r>
        <w:r w:rsidRPr="002F2C55">
          <w:rPr>
            <w:rFonts w:cs="Open Sans"/>
            <w:webHidden/>
          </w:rPr>
          <w:fldChar w:fldCharType="separate"/>
        </w:r>
        <w:r w:rsidR="007E7A2F">
          <w:rPr>
            <w:rFonts w:cs="Open Sans"/>
            <w:webHidden/>
          </w:rPr>
          <w:t>18</w:t>
        </w:r>
        <w:r w:rsidRPr="002F2C55">
          <w:rPr>
            <w:rFonts w:cs="Open Sans"/>
            <w:webHidden/>
          </w:rPr>
          <w:fldChar w:fldCharType="end"/>
        </w:r>
      </w:hyperlink>
    </w:p>
    <w:p w14:paraId="1410323C" w14:textId="424E0368" w:rsidR="002F2C55" w:rsidRPr="002F2C55" w:rsidRDefault="002F2C55">
      <w:pPr>
        <w:pStyle w:val="TOC2"/>
        <w:rPr>
          <w:rFonts w:eastAsiaTheme="minorEastAsia" w:cs="Open Sans"/>
          <w:b w:val="0"/>
          <w:i w:val="0"/>
          <w:sz w:val="22"/>
          <w:szCs w:val="22"/>
        </w:rPr>
      </w:pPr>
      <w:hyperlink w:anchor="_Toc20838313" w:history="1">
        <w:r w:rsidRPr="002F2C55">
          <w:rPr>
            <w:rStyle w:val="Hyperlink"/>
            <w:rFonts w:cs="Open Sans"/>
            <w:lang w:val="en-US"/>
          </w:rPr>
          <w:t>7.2</w:t>
        </w:r>
        <w:r w:rsidRPr="002F2C55">
          <w:rPr>
            <w:rFonts w:eastAsiaTheme="minorEastAsia" w:cs="Open Sans"/>
            <w:b w:val="0"/>
            <w:i w:val="0"/>
            <w:sz w:val="22"/>
            <w:szCs w:val="22"/>
          </w:rPr>
          <w:tab/>
        </w:r>
        <w:r w:rsidRPr="002F2C55">
          <w:rPr>
            <w:rStyle w:val="Hyperlink"/>
            <w:rFonts w:cs="Open Sans"/>
            <w:lang w:val="en-US"/>
          </w:rPr>
          <w:t>Overreach of measures to persons without drug dependency</w:t>
        </w:r>
        <w:r w:rsidRPr="002F2C55">
          <w:rPr>
            <w:rFonts w:cs="Open Sans"/>
            <w:webHidden/>
          </w:rPr>
          <w:tab/>
        </w:r>
        <w:r w:rsidRPr="002F2C55">
          <w:rPr>
            <w:rFonts w:cs="Open Sans"/>
            <w:webHidden/>
          </w:rPr>
          <w:fldChar w:fldCharType="begin"/>
        </w:r>
        <w:r w:rsidRPr="002F2C55">
          <w:rPr>
            <w:rFonts w:cs="Open Sans"/>
            <w:webHidden/>
          </w:rPr>
          <w:instrText xml:space="preserve"> PAGEREF _Toc20838313 \h </w:instrText>
        </w:r>
        <w:r w:rsidRPr="002F2C55">
          <w:rPr>
            <w:rFonts w:cs="Open Sans"/>
            <w:webHidden/>
          </w:rPr>
        </w:r>
        <w:r w:rsidRPr="002F2C55">
          <w:rPr>
            <w:rFonts w:cs="Open Sans"/>
            <w:webHidden/>
          </w:rPr>
          <w:fldChar w:fldCharType="separate"/>
        </w:r>
        <w:r w:rsidR="007E7A2F">
          <w:rPr>
            <w:rFonts w:cs="Open Sans"/>
            <w:webHidden/>
          </w:rPr>
          <w:t>19</w:t>
        </w:r>
        <w:r w:rsidRPr="002F2C55">
          <w:rPr>
            <w:rFonts w:cs="Open Sans"/>
            <w:webHidden/>
          </w:rPr>
          <w:fldChar w:fldCharType="end"/>
        </w:r>
      </w:hyperlink>
    </w:p>
    <w:p w14:paraId="4C63F4E6" w14:textId="1036C146" w:rsidR="002F2C55" w:rsidRPr="002F2C55" w:rsidRDefault="002F2C55">
      <w:pPr>
        <w:pStyle w:val="TOC2"/>
        <w:rPr>
          <w:rFonts w:eastAsiaTheme="minorEastAsia" w:cs="Open Sans"/>
          <w:b w:val="0"/>
          <w:i w:val="0"/>
          <w:sz w:val="22"/>
          <w:szCs w:val="22"/>
        </w:rPr>
      </w:pPr>
      <w:hyperlink w:anchor="_Toc20838314" w:history="1">
        <w:r w:rsidRPr="002F2C55">
          <w:rPr>
            <w:rStyle w:val="Hyperlink"/>
            <w:rFonts w:cs="Open Sans"/>
          </w:rPr>
          <w:t>7.3</w:t>
        </w:r>
        <w:r w:rsidRPr="002F2C55">
          <w:rPr>
            <w:rFonts w:eastAsiaTheme="minorEastAsia" w:cs="Open Sans"/>
            <w:b w:val="0"/>
            <w:i w:val="0"/>
            <w:sz w:val="22"/>
            <w:szCs w:val="22"/>
          </w:rPr>
          <w:tab/>
        </w:r>
        <w:r w:rsidRPr="002F2C55">
          <w:rPr>
            <w:rStyle w:val="Hyperlink"/>
            <w:rFonts w:cs="Open Sans"/>
          </w:rPr>
          <w:t>Income management through cashless debit card</w:t>
        </w:r>
        <w:r w:rsidRPr="002F2C55">
          <w:rPr>
            <w:rFonts w:cs="Open Sans"/>
            <w:webHidden/>
          </w:rPr>
          <w:tab/>
        </w:r>
        <w:r w:rsidRPr="002F2C55">
          <w:rPr>
            <w:rFonts w:cs="Open Sans"/>
            <w:webHidden/>
          </w:rPr>
          <w:fldChar w:fldCharType="begin"/>
        </w:r>
        <w:r w:rsidRPr="002F2C55">
          <w:rPr>
            <w:rFonts w:cs="Open Sans"/>
            <w:webHidden/>
          </w:rPr>
          <w:instrText xml:space="preserve"> PAGEREF _Toc20838314 \h </w:instrText>
        </w:r>
        <w:r w:rsidRPr="002F2C55">
          <w:rPr>
            <w:rFonts w:cs="Open Sans"/>
            <w:webHidden/>
          </w:rPr>
        </w:r>
        <w:r w:rsidRPr="002F2C55">
          <w:rPr>
            <w:rFonts w:cs="Open Sans"/>
            <w:webHidden/>
          </w:rPr>
          <w:fldChar w:fldCharType="separate"/>
        </w:r>
        <w:r w:rsidR="007E7A2F">
          <w:rPr>
            <w:rFonts w:cs="Open Sans"/>
            <w:webHidden/>
          </w:rPr>
          <w:t>21</w:t>
        </w:r>
        <w:r w:rsidRPr="002F2C55">
          <w:rPr>
            <w:rFonts w:cs="Open Sans"/>
            <w:webHidden/>
          </w:rPr>
          <w:fldChar w:fldCharType="end"/>
        </w:r>
      </w:hyperlink>
    </w:p>
    <w:p w14:paraId="31B6F1E0" w14:textId="0CFC8F03" w:rsidR="002F2C55" w:rsidRPr="002F2C55" w:rsidRDefault="002F2C55">
      <w:pPr>
        <w:pStyle w:val="TOC2"/>
        <w:rPr>
          <w:rFonts w:eastAsiaTheme="minorEastAsia" w:cs="Open Sans"/>
          <w:b w:val="0"/>
          <w:i w:val="0"/>
          <w:sz w:val="22"/>
          <w:szCs w:val="22"/>
        </w:rPr>
      </w:pPr>
      <w:hyperlink w:anchor="_Toc20838315" w:history="1">
        <w:r w:rsidRPr="002F2C55">
          <w:rPr>
            <w:rStyle w:val="Hyperlink"/>
            <w:rFonts w:cs="Open Sans"/>
          </w:rPr>
          <w:t>7.4</w:t>
        </w:r>
        <w:r w:rsidRPr="002F2C55">
          <w:rPr>
            <w:rFonts w:eastAsiaTheme="minorEastAsia" w:cs="Open Sans"/>
            <w:b w:val="0"/>
            <w:i w:val="0"/>
            <w:sz w:val="22"/>
            <w:szCs w:val="22"/>
          </w:rPr>
          <w:tab/>
        </w:r>
        <w:r w:rsidRPr="002F2C55">
          <w:rPr>
            <w:rStyle w:val="Hyperlink"/>
            <w:rFonts w:cs="Open Sans"/>
          </w:rPr>
          <w:t>Free, informed, prior consent to medical treatment</w:t>
        </w:r>
        <w:r w:rsidRPr="002F2C55">
          <w:rPr>
            <w:rFonts w:cs="Open Sans"/>
            <w:webHidden/>
          </w:rPr>
          <w:tab/>
        </w:r>
        <w:r w:rsidRPr="002F2C55">
          <w:rPr>
            <w:rFonts w:cs="Open Sans"/>
            <w:webHidden/>
          </w:rPr>
          <w:fldChar w:fldCharType="begin"/>
        </w:r>
        <w:r w:rsidRPr="002F2C55">
          <w:rPr>
            <w:rFonts w:cs="Open Sans"/>
            <w:webHidden/>
          </w:rPr>
          <w:instrText xml:space="preserve"> PAGEREF _Toc20838315 \h </w:instrText>
        </w:r>
        <w:r w:rsidRPr="002F2C55">
          <w:rPr>
            <w:rFonts w:cs="Open Sans"/>
            <w:webHidden/>
          </w:rPr>
        </w:r>
        <w:r w:rsidRPr="002F2C55">
          <w:rPr>
            <w:rFonts w:cs="Open Sans"/>
            <w:webHidden/>
          </w:rPr>
          <w:fldChar w:fldCharType="separate"/>
        </w:r>
        <w:r w:rsidR="007E7A2F">
          <w:rPr>
            <w:rFonts w:cs="Open Sans"/>
            <w:webHidden/>
          </w:rPr>
          <w:t>22</w:t>
        </w:r>
        <w:r w:rsidRPr="002F2C55">
          <w:rPr>
            <w:rFonts w:cs="Open Sans"/>
            <w:webHidden/>
          </w:rPr>
          <w:fldChar w:fldCharType="end"/>
        </w:r>
      </w:hyperlink>
    </w:p>
    <w:p w14:paraId="5269DB71" w14:textId="3E0A6337" w:rsidR="002F2C55" w:rsidRPr="002F2C55" w:rsidRDefault="002F2C55">
      <w:pPr>
        <w:pStyle w:val="TOC2"/>
        <w:rPr>
          <w:rFonts w:eastAsiaTheme="minorEastAsia" w:cs="Open Sans"/>
          <w:b w:val="0"/>
          <w:i w:val="0"/>
          <w:sz w:val="22"/>
          <w:szCs w:val="22"/>
        </w:rPr>
      </w:pPr>
      <w:hyperlink w:anchor="_Toc20838316" w:history="1">
        <w:r w:rsidRPr="002F2C55">
          <w:rPr>
            <w:rStyle w:val="Hyperlink"/>
            <w:rFonts w:cs="Open Sans"/>
          </w:rPr>
          <w:t>7.5</w:t>
        </w:r>
        <w:r w:rsidRPr="002F2C55">
          <w:rPr>
            <w:rFonts w:eastAsiaTheme="minorEastAsia" w:cs="Open Sans"/>
            <w:b w:val="0"/>
            <w:i w:val="0"/>
            <w:sz w:val="22"/>
            <w:szCs w:val="22"/>
          </w:rPr>
          <w:tab/>
        </w:r>
        <w:r w:rsidRPr="002F2C55">
          <w:rPr>
            <w:rStyle w:val="Hyperlink"/>
            <w:rFonts w:cs="Open Sans"/>
          </w:rPr>
          <w:t>Discriminatory operation</w:t>
        </w:r>
        <w:r w:rsidRPr="002F2C55">
          <w:rPr>
            <w:rFonts w:cs="Open Sans"/>
            <w:webHidden/>
          </w:rPr>
          <w:tab/>
        </w:r>
        <w:r w:rsidRPr="002F2C55">
          <w:rPr>
            <w:rFonts w:cs="Open Sans"/>
            <w:webHidden/>
          </w:rPr>
          <w:fldChar w:fldCharType="begin"/>
        </w:r>
        <w:r w:rsidRPr="002F2C55">
          <w:rPr>
            <w:rFonts w:cs="Open Sans"/>
            <w:webHidden/>
          </w:rPr>
          <w:instrText xml:space="preserve"> PAGEREF _Toc20838316 \h </w:instrText>
        </w:r>
        <w:r w:rsidRPr="002F2C55">
          <w:rPr>
            <w:rFonts w:cs="Open Sans"/>
            <w:webHidden/>
          </w:rPr>
        </w:r>
        <w:r w:rsidRPr="002F2C55">
          <w:rPr>
            <w:rFonts w:cs="Open Sans"/>
            <w:webHidden/>
          </w:rPr>
          <w:fldChar w:fldCharType="separate"/>
        </w:r>
        <w:r w:rsidR="007E7A2F">
          <w:rPr>
            <w:rFonts w:cs="Open Sans"/>
            <w:webHidden/>
          </w:rPr>
          <w:t>23</w:t>
        </w:r>
        <w:r w:rsidRPr="002F2C55">
          <w:rPr>
            <w:rFonts w:cs="Open Sans"/>
            <w:webHidden/>
          </w:rPr>
          <w:fldChar w:fldCharType="end"/>
        </w:r>
      </w:hyperlink>
    </w:p>
    <w:p w14:paraId="42145950" w14:textId="514202AD" w:rsidR="002F2C55" w:rsidRPr="002F2C55" w:rsidRDefault="002F2C55">
      <w:pPr>
        <w:pStyle w:val="TOC3"/>
        <w:rPr>
          <w:rFonts w:eastAsiaTheme="minorEastAsia" w:cs="Open Sans"/>
          <w:i w:val="0"/>
          <w:sz w:val="22"/>
          <w:szCs w:val="22"/>
        </w:rPr>
      </w:pPr>
      <w:hyperlink w:anchor="_Toc20838317" w:history="1">
        <w:r w:rsidRPr="002F2C55">
          <w:rPr>
            <w:rStyle w:val="Hyperlink"/>
            <w:rFonts w:cs="Open Sans"/>
          </w:rPr>
          <w:t>(a)</w:t>
        </w:r>
        <w:r w:rsidRPr="002F2C55">
          <w:rPr>
            <w:rFonts w:eastAsiaTheme="minorEastAsia" w:cs="Open Sans"/>
            <w:i w:val="0"/>
            <w:sz w:val="22"/>
            <w:szCs w:val="22"/>
          </w:rPr>
          <w:tab/>
        </w:r>
        <w:r w:rsidRPr="002F2C55">
          <w:rPr>
            <w:rStyle w:val="Hyperlink"/>
            <w:rFonts w:cs="Open Sans"/>
          </w:rPr>
          <w:t>Aboriginal and Torres Strait Islander peoples</w:t>
        </w:r>
        <w:r w:rsidRPr="002F2C55">
          <w:rPr>
            <w:rFonts w:cs="Open Sans"/>
            <w:webHidden/>
          </w:rPr>
          <w:tab/>
        </w:r>
        <w:r w:rsidRPr="002F2C55">
          <w:rPr>
            <w:rFonts w:cs="Open Sans"/>
            <w:webHidden/>
          </w:rPr>
          <w:fldChar w:fldCharType="begin"/>
        </w:r>
        <w:r w:rsidRPr="002F2C55">
          <w:rPr>
            <w:rFonts w:cs="Open Sans"/>
            <w:webHidden/>
          </w:rPr>
          <w:instrText xml:space="preserve"> PAGEREF _Toc20838317 \h </w:instrText>
        </w:r>
        <w:r w:rsidRPr="002F2C55">
          <w:rPr>
            <w:rFonts w:cs="Open Sans"/>
            <w:webHidden/>
          </w:rPr>
        </w:r>
        <w:r w:rsidRPr="002F2C55">
          <w:rPr>
            <w:rFonts w:cs="Open Sans"/>
            <w:webHidden/>
          </w:rPr>
          <w:fldChar w:fldCharType="separate"/>
        </w:r>
        <w:r w:rsidR="007E7A2F">
          <w:rPr>
            <w:rFonts w:cs="Open Sans"/>
            <w:webHidden/>
          </w:rPr>
          <w:t>23</w:t>
        </w:r>
        <w:r w:rsidRPr="002F2C55">
          <w:rPr>
            <w:rFonts w:cs="Open Sans"/>
            <w:webHidden/>
          </w:rPr>
          <w:fldChar w:fldCharType="end"/>
        </w:r>
      </w:hyperlink>
    </w:p>
    <w:p w14:paraId="21B3350C" w14:textId="41560172" w:rsidR="002F2C55" w:rsidRPr="002F2C55" w:rsidRDefault="002F2C55">
      <w:pPr>
        <w:pStyle w:val="TOC3"/>
        <w:rPr>
          <w:rFonts w:eastAsiaTheme="minorEastAsia" w:cs="Open Sans"/>
          <w:i w:val="0"/>
          <w:sz w:val="22"/>
          <w:szCs w:val="22"/>
        </w:rPr>
      </w:pPr>
      <w:hyperlink w:anchor="_Toc20838318" w:history="1">
        <w:r w:rsidRPr="002F2C55">
          <w:rPr>
            <w:rStyle w:val="Hyperlink"/>
            <w:rFonts w:cs="Open Sans"/>
            <w:lang w:val="en-US"/>
          </w:rPr>
          <w:t>(b)</w:t>
        </w:r>
        <w:r w:rsidRPr="002F2C55">
          <w:rPr>
            <w:rFonts w:eastAsiaTheme="minorEastAsia" w:cs="Open Sans"/>
            <w:i w:val="0"/>
            <w:sz w:val="22"/>
            <w:szCs w:val="22"/>
          </w:rPr>
          <w:tab/>
        </w:r>
        <w:r w:rsidRPr="002F2C55">
          <w:rPr>
            <w:rStyle w:val="Hyperlink"/>
            <w:rFonts w:cs="Open Sans"/>
            <w:lang w:val="en-US"/>
          </w:rPr>
          <w:t>Persons with disabilities</w:t>
        </w:r>
        <w:r w:rsidRPr="002F2C55">
          <w:rPr>
            <w:rFonts w:cs="Open Sans"/>
            <w:webHidden/>
          </w:rPr>
          <w:tab/>
        </w:r>
        <w:r w:rsidRPr="002F2C55">
          <w:rPr>
            <w:rFonts w:cs="Open Sans"/>
            <w:webHidden/>
          </w:rPr>
          <w:fldChar w:fldCharType="begin"/>
        </w:r>
        <w:r w:rsidRPr="002F2C55">
          <w:rPr>
            <w:rFonts w:cs="Open Sans"/>
            <w:webHidden/>
          </w:rPr>
          <w:instrText xml:space="preserve"> PAGEREF _Toc20838318 \h </w:instrText>
        </w:r>
        <w:r w:rsidRPr="002F2C55">
          <w:rPr>
            <w:rFonts w:cs="Open Sans"/>
            <w:webHidden/>
          </w:rPr>
        </w:r>
        <w:r w:rsidRPr="002F2C55">
          <w:rPr>
            <w:rFonts w:cs="Open Sans"/>
            <w:webHidden/>
          </w:rPr>
          <w:fldChar w:fldCharType="separate"/>
        </w:r>
        <w:r w:rsidR="007E7A2F">
          <w:rPr>
            <w:rFonts w:cs="Open Sans"/>
            <w:webHidden/>
          </w:rPr>
          <w:t>24</w:t>
        </w:r>
        <w:r w:rsidRPr="002F2C55">
          <w:rPr>
            <w:rFonts w:cs="Open Sans"/>
            <w:webHidden/>
          </w:rPr>
          <w:fldChar w:fldCharType="end"/>
        </w:r>
      </w:hyperlink>
    </w:p>
    <w:p w14:paraId="7306BECF" w14:textId="6E304840" w:rsidR="002F2C55" w:rsidRPr="002F2C55" w:rsidRDefault="002F2C55">
      <w:pPr>
        <w:pStyle w:val="TOC3"/>
        <w:rPr>
          <w:rFonts w:eastAsiaTheme="minorEastAsia" w:cs="Open Sans"/>
          <w:i w:val="0"/>
          <w:sz w:val="22"/>
          <w:szCs w:val="22"/>
        </w:rPr>
      </w:pPr>
      <w:hyperlink w:anchor="_Toc20838319" w:history="1">
        <w:r w:rsidRPr="002F2C55">
          <w:rPr>
            <w:rStyle w:val="Hyperlink"/>
            <w:rFonts w:cs="Open Sans"/>
            <w:lang w:val="en-US"/>
          </w:rPr>
          <w:t>(c)</w:t>
        </w:r>
        <w:r w:rsidRPr="002F2C55">
          <w:rPr>
            <w:rFonts w:eastAsiaTheme="minorEastAsia" w:cs="Open Sans"/>
            <w:i w:val="0"/>
            <w:sz w:val="22"/>
            <w:szCs w:val="22"/>
          </w:rPr>
          <w:tab/>
        </w:r>
        <w:r w:rsidRPr="002F2C55">
          <w:rPr>
            <w:rStyle w:val="Hyperlink"/>
            <w:rFonts w:cs="Open Sans"/>
            <w:lang w:val="en-US"/>
          </w:rPr>
          <w:t>Young people and children</w:t>
        </w:r>
        <w:r w:rsidRPr="002F2C55">
          <w:rPr>
            <w:rFonts w:cs="Open Sans"/>
            <w:webHidden/>
          </w:rPr>
          <w:tab/>
        </w:r>
        <w:r w:rsidRPr="002F2C55">
          <w:rPr>
            <w:rFonts w:cs="Open Sans"/>
            <w:webHidden/>
          </w:rPr>
          <w:fldChar w:fldCharType="begin"/>
        </w:r>
        <w:r w:rsidRPr="002F2C55">
          <w:rPr>
            <w:rFonts w:cs="Open Sans"/>
            <w:webHidden/>
          </w:rPr>
          <w:instrText xml:space="preserve"> PAGEREF _Toc20838319 \h </w:instrText>
        </w:r>
        <w:r w:rsidRPr="002F2C55">
          <w:rPr>
            <w:rFonts w:cs="Open Sans"/>
            <w:webHidden/>
          </w:rPr>
        </w:r>
        <w:r w:rsidRPr="002F2C55">
          <w:rPr>
            <w:rFonts w:cs="Open Sans"/>
            <w:webHidden/>
          </w:rPr>
          <w:fldChar w:fldCharType="separate"/>
        </w:r>
        <w:r w:rsidR="007E7A2F">
          <w:rPr>
            <w:rFonts w:cs="Open Sans"/>
            <w:webHidden/>
          </w:rPr>
          <w:t>25</w:t>
        </w:r>
        <w:r w:rsidRPr="002F2C55">
          <w:rPr>
            <w:rFonts w:cs="Open Sans"/>
            <w:webHidden/>
          </w:rPr>
          <w:fldChar w:fldCharType="end"/>
        </w:r>
      </w:hyperlink>
    </w:p>
    <w:p w14:paraId="64D306E7" w14:textId="2E185387" w:rsidR="002F2C55" w:rsidRPr="002F2C55" w:rsidRDefault="002F2C55">
      <w:pPr>
        <w:pStyle w:val="TOC2"/>
        <w:rPr>
          <w:rFonts w:eastAsiaTheme="minorEastAsia" w:cs="Open Sans"/>
          <w:b w:val="0"/>
          <w:i w:val="0"/>
          <w:sz w:val="22"/>
          <w:szCs w:val="22"/>
        </w:rPr>
      </w:pPr>
      <w:hyperlink w:anchor="_Toc20838320" w:history="1">
        <w:r w:rsidRPr="002F2C55">
          <w:rPr>
            <w:rStyle w:val="Hyperlink"/>
            <w:rFonts w:cs="Open Sans"/>
          </w:rPr>
          <w:t>7.6</w:t>
        </w:r>
        <w:r w:rsidRPr="002F2C55">
          <w:rPr>
            <w:rFonts w:eastAsiaTheme="minorEastAsia" w:cs="Open Sans"/>
            <w:b w:val="0"/>
            <w:i w:val="0"/>
            <w:sz w:val="22"/>
            <w:szCs w:val="22"/>
          </w:rPr>
          <w:tab/>
        </w:r>
        <w:r w:rsidRPr="002F2C55">
          <w:rPr>
            <w:rStyle w:val="Hyperlink"/>
            <w:rFonts w:cs="Open Sans"/>
          </w:rPr>
          <w:t>Privacy and confidentiality</w:t>
        </w:r>
        <w:r w:rsidRPr="002F2C55">
          <w:rPr>
            <w:rFonts w:cs="Open Sans"/>
            <w:webHidden/>
          </w:rPr>
          <w:tab/>
        </w:r>
        <w:r w:rsidRPr="002F2C55">
          <w:rPr>
            <w:rFonts w:cs="Open Sans"/>
            <w:webHidden/>
          </w:rPr>
          <w:fldChar w:fldCharType="begin"/>
        </w:r>
        <w:r w:rsidRPr="002F2C55">
          <w:rPr>
            <w:rFonts w:cs="Open Sans"/>
            <w:webHidden/>
          </w:rPr>
          <w:instrText xml:space="preserve"> PAGEREF _Toc20838320 \h </w:instrText>
        </w:r>
        <w:r w:rsidRPr="002F2C55">
          <w:rPr>
            <w:rFonts w:cs="Open Sans"/>
            <w:webHidden/>
          </w:rPr>
        </w:r>
        <w:r w:rsidRPr="002F2C55">
          <w:rPr>
            <w:rFonts w:cs="Open Sans"/>
            <w:webHidden/>
          </w:rPr>
          <w:fldChar w:fldCharType="separate"/>
        </w:r>
        <w:r w:rsidR="007E7A2F">
          <w:rPr>
            <w:rFonts w:cs="Open Sans"/>
            <w:webHidden/>
          </w:rPr>
          <w:t>26</w:t>
        </w:r>
        <w:r w:rsidRPr="002F2C55">
          <w:rPr>
            <w:rFonts w:cs="Open Sans"/>
            <w:webHidden/>
          </w:rPr>
          <w:fldChar w:fldCharType="end"/>
        </w:r>
      </w:hyperlink>
    </w:p>
    <w:p w14:paraId="0EBCC7ED" w14:textId="6EF62807" w:rsidR="002F2C55" w:rsidRPr="002F2C55" w:rsidRDefault="002F2C55">
      <w:pPr>
        <w:pStyle w:val="TOC2"/>
        <w:rPr>
          <w:rFonts w:eastAsiaTheme="minorEastAsia" w:cs="Open Sans"/>
          <w:b w:val="0"/>
          <w:i w:val="0"/>
          <w:sz w:val="22"/>
          <w:szCs w:val="22"/>
        </w:rPr>
      </w:pPr>
      <w:hyperlink w:anchor="_Toc20838321" w:history="1">
        <w:r w:rsidRPr="002F2C55">
          <w:rPr>
            <w:rStyle w:val="Hyperlink"/>
            <w:rFonts w:cs="Open Sans"/>
          </w:rPr>
          <w:t>7.7</w:t>
        </w:r>
        <w:r w:rsidRPr="002F2C55">
          <w:rPr>
            <w:rFonts w:eastAsiaTheme="minorEastAsia" w:cs="Open Sans"/>
            <w:b w:val="0"/>
            <w:i w:val="0"/>
            <w:sz w:val="22"/>
            <w:szCs w:val="22"/>
          </w:rPr>
          <w:tab/>
        </w:r>
        <w:r w:rsidRPr="002F2C55">
          <w:rPr>
            <w:rStyle w:val="Hyperlink"/>
            <w:rFonts w:cs="Open Sans"/>
          </w:rPr>
          <w:t>Consultation on Drug Testing Rules</w:t>
        </w:r>
        <w:r w:rsidRPr="002F2C55">
          <w:rPr>
            <w:rFonts w:cs="Open Sans"/>
            <w:webHidden/>
          </w:rPr>
          <w:tab/>
        </w:r>
        <w:r w:rsidRPr="002F2C55">
          <w:rPr>
            <w:rFonts w:cs="Open Sans"/>
            <w:webHidden/>
          </w:rPr>
          <w:fldChar w:fldCharType="begin"/>
        </w:r>
        <w:r w:rsidRPr="002F2C55">
          <w:rPr>
            <w:rFonts w:cs="Open Sans"/>
            <w:webHidden/>
          </w:rPr>
          <w:instrText xml:space="preserve"> PAGEREF _Toc20838321 \h </w:instrText>
        </w:r>
        <w:r w:rsidRPr="002F2C55">
          <w:rPr>
            <w:rFonts w:cs="Open Sans"/>
            <w:webHidden/>
          </w:rPr>
        </w:r>
        <w:r w:rsidRPr="002F2C55">
          <w:rPr>
            <w:rFonts w:cs="Open Sans"/>
            <w:webHidden/>
          </w:rPr>
          <w:fldChar w:fldCharType="separate"/>
        </w:r>
        <w:r w:rsidR="007E7A2F">
          <w:rPr>
            <w:rFonts w:cs="Open Sans"/>
            <w:webHidden/>
          </w:rPr>
          <w:t>28</w:t>
        </w:r>
        <w:r w:rsidRPr="002F2C55">
          <w:rPr>
            <w:rFonts w:cs="Open Sans"/>
            <w:webHidden/>
          </w:rPr>
          <w:fldChar w:fldCharType="end"/>
        </w:r>
      </w:hyperlink>
    </w:p>
    <w:p w14:paraId="7B4E9A2C" w14:textId="3394E647" w:rsidR="002F2C55" w:rsidRPr="002F2C55" w:rsidRDefault="002F2C55">
      <w:pPr>
        <w:pStyle w:val="TOC2"/>
        <w:rPr>
          <w:rFonts w:eastAsiaTheme="minorEastAsia" w:cs="Open Sans"/>
          <w:b w:val="0"/>
          <w:i w:val="0"/>
          <w:sz w:val="22"/>
          <w:szCs w:val="22"/>
        </w:rPr>
      </w:pPr>
      <w:hyperlink w:anchor="_Toc20838322" w:history="1">
        <w:r w:rsidRPr="002F2C55">
          <w:rPr>
            <w:rStyle w:val="Hyperlink"/>
            <w:rFonts w:cs="Open Sans"/>
          </w:rPr>
          <w:t>7.8</w:t>
        </w:r>
        <w:r w:rsidRPr="002F2C55">
          <w:rPr>
            <w:rFonts w:eastAsiaTheme="minorEastAsia" w:cs="Open Sans"/>
            <w:b w:val="0"/>
            <w:i w:val="0"/>
            <w:sz w:val="22"/>
            <w:szCs w:val="22"/>
          </w:rPr>
          <w:tab/>
        </w:r>
        <w:r w:rsidRPr="002F2C55">
          <w:rPr>
            <w:rStyle w:val="Hyperlink"/>
            <w:rFonts w:cs="Open Sans"/>
          </w:rPr>
          <w:t>Evaluation and expansion of trial</w:t>
        </w:r>
        <w:r w:rsidRPr="002F2C55">
          <w:rPr>
            <w:rFonts w:cs="Open Sans"/>
            <w:webHidden/>
          </w:rPr>
          <w:tab/>
        </w:r>
        <w:r w:rsidRPr="002F2C55">
          <w:rPr>
            <w:rFonts w:cs="Open Sans"/>
            <w:webHidden/>
          </w:rPr>
          <w:fldChar w:fldCharType="begin"/>
        </w:r>
        <w:r w:rsidRPr="002F2C55">
          <w:rPr>
            <w:rFonts w:cs="Open Sans"/>
            <w:webHidden/>
          </w:rPr>
          <w:instrText xml:space="preserve"> PAGEREF _Toc20838322 \h </w:instrText>
        </w:r>
        <w:r w:rsidRPr="002F2C55">
          <w:rPr>
            <w:rFonts w:cs="Open Sans"/>
            <w:webHidden/>
          </w:rPr>
        </w:r>
        <w:r w:rsidRPr="002F2C55">
          <w:rPr>
            <w:rFonts w:cs="Open Sans"/>
            <w:webHidden/>
          </w:rPr>
          <w:fldChar w:fldCharType="separate"/>
        </w:r>
        <w:r w:rsidR="007E7A2F">
          <w:rPr>
            <w:rFonts w:cs="Open Sans"/>
            <w:webHidden/>
          </w:rPr>
          <w:t>31</w:t>
        </w:r>
        <w:r w:rsidRPr="002F2C55">
          <w:rPr>
            <w:rFonts w:cs="Open Sans"/>
            <w:webHidden/>
          </w:rPr>
          <w:fldChar w:fldCharType="end"/>
        </w:r>
      </w:hyperlink>
    </w:p>
    <w:p w14:paraId="4A3997DA" w14:textId="0C4F5C99" w:rsidR="00C86324" w:rsidRPr="002F2C55" w:rsidRDefault="000E4837">
      <w:pPr>
        <w:spacing w:before="0" w:after="0"/>
        <w:rPr>
          <w:rFonts w:cs="Open Sans"/>
          <w:b/>
          <w:noProof/>
        </w:rPr>
      </w:pPr>
      <w:r w:rsidRPr="002F2C55">
        <w:rPr>
          <w:rFonts w:cs="Open Sans"/>
          <w:b/>
          <w:noProof/>
        </w:rPr>
        <w:fldChar w:fldCharType="end"/>
      </w:r>
      <w:r w:rsidR="00C86324" w:rsidRPr="002F2C55">
        <w:rPr>
          <w:rFonts w:cs="Open Sans"/>
        </w:rPr>
        <w:br w:type="page"/>
      </w:r>
    </w:p>
    <w:p w14:paraId="1E836428" w14:textId="6D9E2F0D" w:rsidR="00510390" w:rsidRPr="002F2C55" w:rsidRDefault="009F2764" w:rsidP="00A27ABE">
      <w:pPr>
        <w:pStyle w:val="Heading1"/>
        <w:rPr>
          <w:rFonts w:cs="Open Sans"/>
        </w:rPr>
      </w:pPr>
      <w:bookmarkStart w:id="2" w:name="_Toc207761830"/>
      <w:bookmarkStart w:id="3" w:name="_Toc209578266"/>
      <w:bookmarkStart w:id="4" w:name="_Toc209941766"/>
      <w:bookmarkStart w:id="5" w:name="_Toc525894098"/>
      <w:bookmarkStart w:id="6" w:name="_Toc20838301"/>
      <w:r w:rsidRPr="002F2C55">
        <w:rPr>
          <w:rFonts w:cs="Open Sans"/>
        </w:rPr>
        <w:lastRenderedPageBreak/>
        <w:t>Introduction</w:t>
      </w:r>
      <w:bookmarkEnd w:id="2"/>
      <w:bookmarkEnd w:id="3"/>
      <w:bookmarkEnd w:id="4"/>
      <w:bookmarkEnd w:id="5"/>
      <w:bookmarkEnd w:id="6"/>
    </w:p>
    <w:p w14:paraId="687FFFB4" w14:textId="6CDBC277" w:rsidR="00252DAD" w:rsidRPr="002F2C55" w:rsidRDefault="00252DAD" w:rsidP="00F67FD2">
      <w:pPr>
        <w:pStyle w:val="ListParagraph"/>
        <w:numPr>
          <w:ilvl w:val="0"/>
          <w:numId w:val="16"/>
        </w:numPr>
        <w:rPr>
          <w:rFonts w:cs="Open Sans"/>
        </w:rPr>
      </w:pPr>
      <w:r w:rsidRPr="002F2C55">
        <w:rPr>
          <w:rFonts w:cs="Open Sans"/>
        </w:rPr>
        <w:t xml:space="preserve">The Australian Human Rights Commission (the Commission) welcomes the opportunity to make this submission to the Senate Community Affairs Legislation Committee </w:t>
      </w:r>
      <w:r w:rsidR="00BB2016" w:rsidRPr="002F2C55">
        <w:rPr>
          <w:rFonts w:cs="Open Sans"/>
        </w:rPr>
        <w:t xml:space="preserve">(the Committee) </w:t>
      </w:r>
      <w:r w:rsidRPr="002F2C55">
        <w:rPr>
          <w:rFonts w:cs="Open Sans"/>
        </w:rPr>
        <w:t>for its inquiry into the Social Services Legislation Amendment (Drug Testing Trial) Bill 2019 (the Bill).</w:t>
      </w:r>
    </w:p>
    <w:p w14:paraId="2ACE5311" w14:textId="2B19E12F" w:rsidR="00E378D1" w:rsidRPr="002F2C55" w:rsidRDefault="000851FC" w:rsidP="000851FC">
      <w:pPr>
        <w:pStyle w:val="ListParagraph"/>
        <w:numPr>
          <w:ilvl w:val="0"/>
          <w:numId w:val="16"/>
        </w:numPr>
        <w:rPr>
          <w:rFonts w:cs="Open Sans"/>
        </w:rPr>
      </w:pPr>
      <w:r w:rsidRPr="002F2C55">
        <w:rPr>
          <w:rFonts w:cs="Open Sans"/>
        </w:rPr>
        <w:t xml:space="preserve">While the Commission notes the importance of reducing social harms caused by drug </w:t>
      </w:r>
      <w:r w:rsidR="00356E9D" w:rsidRPr="002F2C55">
        <w:rPr>
          <w:rFonts w:cs="Open Sans"/>
        </w:rPr>
        <w:t xml:space="preserve">dependence, and supports the goals of assisting </w:t>
      </w:r>
      <w:r w:rsidR="00C72F6D" w:rsidRPr="002F2C55">
        <w:rPr>
          <w:rFonts w:cs="Open Sans"/>
        </w:rPr>
        <w:t xml:space="preserve">people that are fit for work to </w:t>
      </w:r>
      <w:r w:rsidR="00A32841" w:rsidRPr="002F2C55">
        <w:rPr>
          <w:rFonts w:cs="Open Sans"/>
        </w:rPr>
        <w:t xml:space="preserve">obtain and maintain decent work, it holds serious concerns that the introduction of </w:t>
      </w:r>
      <w:r w:rsidR="00BA7AFE" w:rsidRPr="002F2C55">
        <w:rPr>
          <w:rFonts w:cs="Open Sans"/>
        </w:rPr>
        <w:t xml:space="preserve">mandatory </w:t>
      </w:r>
      <w:r w:rsidR="00A32841" w:rsidRPr="002F2C55">
        <w:rPr>
          <w:rFonts w:cs="Open Sans"/>
        </w:rPr>
        <w:t>drug testing</w:t>
      </w:r>
      <w:r w:rsidR="0044089B" w:rsidRPr="002F2C55">
        <w:rPr>
          <w:rFonts w:cs="Open Sans"/>
        </w:rPr>
        <w:t>, treatment</w:t>
      </w:r>
      <w:r w:rsidR="00BA7AFE" w:rsidRPr="002F2C55">
        <w:rPr>
          <w:rFonts w:cs="Open Sans"/>
        </w:rPr>
        <w:t xml:space="preserve"> and</w:t>
      </w:r>
      <w:r w:rsidR="00A32841" w:rsidRPr="002F2C55">
        <w:rPr>
          <w:rFonts w:cs="Open Sans"/>
        </w:rPr>
        <w:t xml:space="preserve"> income management</w:t>
      </w:r>
      <w:r w:rsidR="007222E3" w:rsidRPr="002F2C55">
        <w:rPr>
          <w:rFonts w:cs="Open Sans"/>
        </w:rPr>
        <w:t xml:space="preserve"> </w:t>
      </w:r>
      <w:r w:rsidR="00BA7AFE" w:rsidRPr="002F2C55">
        <w:rPr>
          <w:rFonts w:cs="Open Sans"/>
        </w:rPr>
        <w:t>for welfare recipients under threat of</w:t>
      </w:r>
      <w:r w:rsidR="007222E3" w:rsidRPr="002F2C55">
        <w:rPr>
          <w:rFonts w:cs="Open Sans"/>
        </w:rPr>
        <w:t xml:space="preserve"> punitive </w:t>
      </w:r>
      <w:r w:rsidR="00BA7AFE" w:rsidRPr="002F2C55">
        <w:rPr>
          <w:rFonts w:cs="Open Sans"/>
        </w:rPr>
        <w:t>measures</w:t>
      </w:r>
      <w:r w:rsidR="00A32841" w:rsidRPr="002F2C55">
        <w:rPr>
          <w:rFonts w:cs="Open Sans"/>
        </w:rPr>
        <w:t xml:space="preserve"> will not achieve</w:t>
      </w:r>
      <w:r w:rsidR="005F0CEE" w:rsidRPr="002F2C55">
        <w:rPr>
          <w:rFonts w:cs="Open Sans"/>
        </w:rPr>
        <w:t xml:space="preserve"> these goals. </w:t>
      </w:r>
    </w:p>
    <w:p w14:paraId="1CB1D938" w14:textId="04FC5F34" w:rsidR="000E05EC" w:rsidRPr="002F2C55" w:rsidRDefault="007222E3" w:rsidP="000851FC">
      <w:pPr>
        <w:pStyle w:val="ListParagraph"/>
        <w:numPr>
          <w:ilvl w:val="0"/>
          <w:numId w:val="16"/>
        </w:numPr>
        <w:rPr>
          <w:rFonts w:cs="Open Sans"/>
        </w:rPr>
      </w:pPr>
      <w:r w:rsidRPr="002F2C55">
        <w:rPr>
          <w:rFonts w:cs="Open Sans"/>
        </w:rPr>
        <w:t>Further</w:t>
      </w:r>
      <w:bookmarkStart w:id="7" w:name="_Hlk20494566"/>
      <w:r w:rsidRPr="002F2C55">
        <w:rPr>
          <w:rFonts w:cs="Open Sans"/>
        </w:rPr>
        <w:t>, the Commission is concerned ab</w:t>
      </w:r>
      <w:r w:rsidR="00BA7AFE" w:rsidRPr="002F2C55">
        <w:rPr>
          <w:rFonts w:cs="Open Sans"/>
        </w:rPr>
        <w:t xml:space="preserve">out </w:t>
      </w:r>
      <w:r w:rsidR="00440703" w:rsidRPr="002F2C55">
        <w:rPr>
          <w:rFonts w:cs="Open Sans"/>
        </w:rPr>
        <w:t xml:space="preserve">the </w:t>
      </w:r>
      <w:r w:rsidR="00BA7AFE" w:rsidRPr="002F2C55">
        <w:rPr>
          <w:rFonts w:cs="Open Sans"/>
        </w:rPr>
        <w:t xml:space="preserve">potentially </w:t>
      </w:r>
      <w:r w:rsidR="00A83562" w:rsidRPr="002F2C55">
        <w:rPr>
          <w:rFonts w:cs="Open Sans"/>
        </w:rPr>
        <w:t xml:space="preserve">severe detrimental impacts on the </w:t>
      </w:r>
      <w:r w:rsidR="00440703" w:rsidRPr="002F2C55">
        <w:rPr>
          <w:rFonts w:cs="Open Sans"/>
        </w:rPr>
        <w:t xml:space="preserve">human rights </w:t>
      </w:r>
      <w:r w:rsidR="00A83562" w:rsidRPr="002F2C55">
        <w:rPr>
          <w:rFonts w:cs="Open Sans"/>
        </w:rPr>
        <w:t xml:space="preserve">and financial security of affected </w:t>
      </w:r>
      <w:r w:rsidR="000E05EC" w:rsidRPr="002F2C55">
        <w:rPr>
          <w:rFonts w:cs="Open Sans"/>
        </w:rPr>
        <w:t xml:space="preserve">persons. The Bill will </w:t>
      </w:r>
      <w:r w:rsidR="00292A16" w:rsidRPr="002F2C55">
        <w:rPr>
          <w:rFonts w:cs="Open Sans"/>
        </w:rPr>
        <w:t xml:space="preserve">affect </w:t>
      </w:r>
      <w:r w:rsidR="000E05EC" w:rsidRPr="002F2C55">
        <w:rPr>
          <w:rFonts w:cs="Open Sans"/>
        </w:rPr>
        <w:t>some of the most vulnerable members of the Australian community, including welfare recipients who are children</w:t>
      </w:r>
      <w:r w:rsidR="00856E03" w:rsidRPr="002F2C55">
        <w:rPr>
          <w:rFonts w:cs="Open Sans"/>
        </w:rPr>
        <w:t xml:space="preserve"> as young as 15 years old</w:t>
      </w:r>
      <w:r w:rsidR="000E05EC" w:rsidRPr="002F2C55">
        <w:rPr>
          <w:rFonts w:cs="Open Sans"/>
        </w:rPr>
        <w:t xml:space="preserve">, </w:t>
      </w:r>
      <w:r w:rsidR="00856E03" w:rsidRPr="002F2C55">
        <w:rPr>
          <w:rFonts w:cs="Open Sans"/>
        </w:rPr>
        <w:t xml:space="preserve">Aboriginal </w:t>
      </w:r>
      <w:r w:rsidR="000E05EC" w:rsidRPr="002F2C55">
        <w:rPr>
          <w:rFonts w:cs="Open Sans"/>
        </w:rPr>
        <w:t xml:space="preserve">and Torres Strait Islander </w:t>
      </w:r>
      <w:r w:rsidR="00856E03" w:rsidRPr="002F2C55">
        <w:rPr>
          <w:rFonts w:cs="Open Sans"/>
        </w:rPr>
        <w:t>peoples,</w:t>
      </w:r>
      <w:r w:rsidR="000E05EC" w:rsidRPr="002F2C55">
        <w:rPr>
          <w:rFonts w:cs="Open Sans"/>
        </w:rPr>
        <w:t xml:space="preserve"> and people with </w:t>
      </w:r>
      <w:r w:rsidR="00033658" w:rsidRPr="002F2C55">
        <w:rPr>
          <w:rFonts w:cs="Open Sans"/>
        </w:rPr>
        <w:t xml:space="preserve">a </w:t>
      </w:r>
      <w:r w:rsidR="000E05EC" w:rsidRPr="002F2C55">
        <w:rPr>
          <w:rFonts w:cs="Open Sans"/>
        </w:rPr>
        <w:t>drug dependenc</w:t>
      </w:r>
      <w:r w:rsidR="00033658" w:rsidRPr="002F2C55">
        <w:rPr>
          <w:rFonts w:cs="Open Sans"/>
        </w:rPr>
        <w:t>y</w:t>
      </w:r>
      <w:r w:rsidR="000E05EC" w:rsidRPr="002F2C55">
        <w:rPr>
          <w:rFonts w:cs="Open Sans"/>
        </w:rPr>
        <w:t xml:space="preserve"> that constitute</w:t>
      </w:r>
      <w:r w:rsidR="00033658" w:rsidRPr="002F2C55">
        <w:rPr>
          <w:rFonts w:cs="Open Sans"/>
        </w:rPr>
        <w:t>s</w:t>
      </w:r>
      <w:r w:rsidR="000E05EC" w:rsidRPr="002F2C55">
        <w:rPr>
          <w:rFonts w:cs="Open Sans"/>
        </w:rPr>
        <w:t xml:space="preserve"> a disability.</w:t>
      </w:r>
    </w:p>
    <w:bookmarkEnd w:id="7"/>
    <w:p w14:paraId="45C02D7E" w14:textId="58CCD6A1" w:rsidR="000851FC" w:rsidRPr="002F2C55" w:rsidRDefault="00EE52AA" w:rsidP="000851FC">
      <w:pPr>
        <w:pStyle w:val="ListParagraph"/>
        <w:numPr>
          <w:ilvl w:val="0"/>
          <w:numId w:val="16"/>
        </w:numPr>
        <w:rPr>
          <w:rFonts w:cs="Open Sans"/>
        </w:rPr>
      </w:pPr>
      <w:r w:rsidRPr="002F2C55">
        <w:rPr>
          <w:rFonts w:cs="Open Sans"/>
        </w:rPr>
        <w:t xml:space="preserve">The Commission considers </w:t>
      </w:r>
      <w:r w:rsidR="007340FD" w:rsidRPr="002F2C55">
        <w:rPr>
          <w:rFonts w:cs="Open Sans"/>
        </w:rPr>
        <w:t>that</w:t>
      </w:r>
      <w:r w:rsidRPr="002F2C55">
        <w:rPr>
          <w:rFonts w:cs="Open Sans"/>
        </w:rPr>
        <w:t xml:space="preserve"> the</w:t>
      </w:r>
      <w:r w:rsidR="007340FD" w:rsidRPr="002F2C55">
        <w:rPr>
          <w:rFonts w:cs="Open Sans"/>
        </w:rPr>
        <w:t xml:space="preserve"> </w:t>
      </w:r>
      <w:r w:rsidR="009979D8" w:rsidRPr="002F2C55">
        <w:rPr>
          <w:rFonts w:cs="Open Sans"/>
        </w:rPr>
        <w:t xml:space="preserve">significant limitations on human rights </w:t>
      </w:r>
      <w:r w:rsidR="00147E2D" w:rsidRPr="002F2C55">
        <w:rPr>
          <w:rFonts w:cs="Open Sans"/>
        </w:rPr>
        <w:t xml:space="preserve">have not been </w:t>
      </w:r>
      <w:r w:rsidR="002D0BB0" w:rsidRPr="002F2C55">
        <w:rPr>
          <w:rFonts w:cs="Open Sans"/>
        </w:rPr>
        <w:t>shown to be reasonable</w:t>
      </w:r>
      <w:r w:rsidR="00147E2D" w:rsidRPr="002F2C55">
        <w:rPr>
          <w:rFonts w:cs="Open Sans"/>
        </w:rPr>
        <w:t>,</w:t>
      </w:r>
      <w:r w:rsidR="002D0BB0" w:rsidRPr="002F2C55">
        <w:rPr>
          <w:rFonts w:cs="Open Sans"/>
        </w:rPr>
        <w:t xml:space="preserve"> necessary or proportionate, in particular with respect to the human rights to privacy, social security and equality and non-discrimination. It considers that the </w:t>
      </w:r>
      <w:r w:rsidR="00147E2D" w:rsidRPr="002F2C55">
        <w:rPr>
          <w:rFonts w:cs="Open Sans"/>
        </w:rPr>
        <w:t>proposed safeguards will not adequately protect human rights.</w:t>
      </w:r>
      <w:r w:rsidR="00E363E4" w:rsidRPr="002F2C55">
        <w:rPr>
          <w:rFonts w:cs="Open Sans"/>
        </w:rPr>
        <w:t xml:space="preserve"> </w:t>
      </w:r>
    </w:p>
    <w:p w14:paraId="028EE65A" w14:textId="7454AF00" w:rsidR="005F0C26" w:rsidRPr="002F2C55" w:rsidRDefault="007E1EBF" w:rsidP="005F0C26">
      <w:pPr>
        <w:pStyle w:val="ListParagraph"/>
        <w:numPr>
          <w:ilvl w:val="0"/>
          <w:numId w:val="16"/>
        </w:numPr>
        <w:rPr>
          <w:rFonts w:cs="Open Sans"/>
        </w:rPr>
      </w:pPr>
      <w:r w:rsidRPr="002F2C55">
        <w:rPr>
          <w:rFonts w:cs="Open Sans"/>
        </w:rPr>
        <w:t xml:space="preserve">The Commission does not support passage of the Bill </w:t>
      </w:r>
      <w:r w:rsidR="00292A16" w:rsidRPr="002F2C55">
        <w:rPr>
          <w:rFonts w:cs="Open Sans"/>
        </w:rPr>
        <w:t xml:space="preserve">in </w:t>
      </w:r>
      <w:r w:rsidRPr="002F2C55">
        <w:rPr>
          <w:rFonts w:cs="Open Sans"/>
        </w:rPr>
        <w:t xml:space="preserve">its present form. </w:t>
      </w:r>
      <w:r w:rsidR="005F0C26" w:rsidRPr="002F2C55">
        <w:rPr>
          <w:rFonts w:cs="Open Sans"/>
        </w:rPr>
        <w:t xml:space="preserve">In the event that the Bill does proceed, the Commission </w:t>
      </w:r>
      <w:r w:rsidR="0025732F" w:rsidRPr="002F2C55">
        <w:rPr>
          <w:rFonts w:cs="Open Sans"/>
        </w:rPr>
        <w:t>makes</w:t>
      </w:r>
      <w:r w:rsidR="005F0C26" w:rsidRPr="002F2C55">
        <w:rPr>
          <w:rFonts w:cs="Open Sans"/>
        </w:rPr>
        <w:t xml:space="preserve"> </w:t>
      </w:r>
      <w:r w:rsidR="007C2B22" w:rsidRPr="002F2C55">
        <w:rPr>
          <w:rFonts w:cs="Open Sans"/>
        </w:rPr>
        <w:t xml:space="preserve">13 </w:t>
      </w:r>
      <w:r w:rsidR="005F0C26" w:rsidRPr="002F2C55">
        <w:rPr>
          <w:rFonts w:cs="Open Sans"/>
        </w:rPr>
        <w:t>recommendations t</w:t>
      </w:r>
      <w:r w:rsidR="0025732F" w:rsidRPr="002F2C55">
        <w:rPr>
          <w:rFonts w:cs="Open Sans"/>
        </w:rPr>
        <w:t>hat will</w:t>
      </w:r>
      <w:r w:rsidR="000C0B76" w:rsidRPr="002F2C55">
        <w:rPr>
          <w:rFonts w:cs="Open Sans"/>
        </w:rPr>
        <w:t xml:space="preserve"> </w:t>
      </w:r>
      <w:r w:rsidR="003E1EF0" w:rsidRPr="002F2C55">
        <w:rPr>
          <w:rFonts w:cs="Open Sans"/>
        </w:rPr>
        <w:t xml:space="preserve">help </w:t>
      </w:r>
      <w:r w:rsidR="000C0B76" w:rsidRPr="002F2C55">
        <w:rPr>
          <w:rFonts w:cs="Open Sans"/>
        </w:rPr>
        <w:t>ameliorate</w:t>
      </w:r>
      <w:r w:rsidR="0086382D" w:rsidRPr="002F2C55">
        <w:rPr>
          <w:rFonts w:cs="Open Sans"/>
        </w:rPr>
        <w:t xml:space="preserve">, </w:t>
      </w:r>
      <w:r w:rsidR="000C0B76" w:rsidRPr="002F2C55">
        <w:rPr>
          <w:rFonts w:cs="Open Sans"/>
        </w:rPr>
        <w:t xml:space="preserve">but not </w:t>
      </w:r>
      <w:r w:rsidR="008C2D3C" w:rsidRPr="002F2C55">
        <w:rPr>
          <w:rFonts w:cs="Open Sans"/>
        </w:rPr>
        <w:t>resolve</w:t>
      </w:r>
      <w:r w:rsidR="0086382D" w:rsidRPr="002F2C55">
        <w:rPr>
          <w:rFonts w:cs="Open Sans"/>
        </w:rPr>
        <w:t>,</w:t>
      </w:r>
      <w:r w:rsidR="005F0C26" w:rsidRPr="002F2C55">
        <w:rPr>
          <w:rFonts w:cs="Open Sans"/>
        </w:rPr>
        <w:t xml:space="preserve"> the </w:t>
      </w:r>
      <w:r w:rsidR="008C2D3C" w:rsidRPr="002F2C55">
        <w:rPr>
          <w:rFonts w:cs="Open Sans"/>
        </w:rPr>
        <w:t xml:space="preserve">adverse </w:t>
      </w:r>
      <w:r w:rsidR="005F0C26" w:rsidRPr="002F2C55">
        <w:rPr>
          <w:rFonts w:cs="Open Sans"/>
        </w:rPr>
        <w:t>human rights impacts identified.</w:t>
      </w:r>
      <w:r w:rsidR="004E3469" w:rsidRPr="002F2C55">
        <w:rPr>
          <w:rFonts w:cs="Open Sans"/>
        </w:rPr>
        <w:t xml:space="preserve"> It also emphasises the importance of ensuring available and</w:t>
      </w:r>
      <w:r w:rsidR="00357F0D" w:rsidRPr="002F2C55">
        <w:rPr>
          <w:rFonts w:cs="Open Sans"/>
        </w:rPr>
        <w:t xml:space="preserve"> appropriate medical treatment, including accessible, </w:t>
      </w:r>
      <w:r w:rsidR="00357F0D" w:rsidRPr="002F2C55">
        <w:rPr>
          <w:rFonts w:cs="Open Sans"/>
        </w:rPr>
        <w:t xml:space="preserve">adequately </w:t>
      </w:r>
      <w:r w:rsidR="00357F0D" w:rsidRPr="002F2C55">
        <w:rPr>
          <w:rFonts w:cs="Open Sans"/>
        </w:rPr>
        <w:t xml:space="preserve">funded drug rehabilitation </w:t>
      </w:r>
      <w:r w:rsidR="00F95267" w:rsidRPr="002F2C55">
        <w:rPr>
          <w:rFonts w:cs="Open Sans"/>
        </w:rPr>
        <w:t xml:space="preserve">programs run by suitably qualified </w:t>
      </w:r>
      <w:r w:rsidR="0087246A" w:rsidRPr="002F2C55">
        <w:rPr>
          <w:rFonts w:cs="Open Sans"/>
        </w:rPr>
        <w:t>staff</w:t>
      </w:r>
      <w:r w:rsidR="00357F0D" w:rsidRPr="002F2C55">
        <w:rPr>
          <w:rFonts w:cs="Open Sans"/>
        </w:rPr>
        <w:t>.</w:t>
      </w:r>
    </w:p>
    <w:p w14:paraId="31A623D4" w14:textId="4BD8EEA1" w:rsidR="009F2764" w:rsidRPr="002F2C55" w:rsidRDefault="003423F4" w:rsidP="009E08D1">
      <w:pPr>
        <w:pStyle w:val="Heading1"/>
        <w:rPr>
          <w:rFonts w:cs="Open Sans"/>
        </w:rPr>
      </w:pPr>
      <w:bookmarkStart w:id="8" w:name="_Toc525894099"/>
      <w:bookmarkStart w:id="9" w:name="_Toc20838302"/>
      <w:r w:rsidRPr="002F2C55">
        <w:rPr>
          <w:rFonts w:cs="Open Sans"/>
        </w:rPr>
        <w:t>Summary</w:t>
      </w:r>
      <w:bookmarkEnd w:id="8"/>
      <w:bookmarkEnd w:id="9"/>
    </w:p>
    <w:p w14:paraId="37E9A6F2" w14:textId="442C428C" w:rsidR="00BB2016" w:rsidRPr="002F2C55" w:rsidRDefault="00BB2016" w:rsidP="00F67FD2">
      <w:pPr>
        <w:pStyle w:val="ListParagraph"/>
        <w:numPr>
          <w:ilvl w:val="0"/>
          <w:numId w:val="16"/>
        </w:numPr>
        <w:rPr>
          <w:rFonts w:cs="Open Sans"/>
        </w:rPr>
      </w:pPr>
      <w:r w:rsidRPr="002F2C55">
        <w:rPr>
          <w:rFonts w:cs="Open Sans"/>
        </w:rPr>
        <w:t>The Bill establishes a two-year mandatory drug testing trial in three l</w:t>
      </w:r>
      <w:r w:rsidR="00233C77" w:rsidRPr="002F2C55">
        <w:rPr>
          <w:rFonts w:cs="Open Sans"/>
        </w:rPr>
        <w:t xml:space="preserve">ocal government areas—being </w:t>
      </w:r>
      <w:r w:rsidRPr="002F2C55">
        <w:rPr>
          <w:rFonts w:cs="Open Sans"/>
        </w:rPr>
        <w:t>Canterbury-Bankstown</w:t>
      </w:r>
      <w:r w:rsidR="00233C77" w:rsidRPr="002F2C55">
        <w:rPr>
          <w:rFonts w:cs="Open Sans"/>
        </w:rPr>
        <w:t xml:space="preserve"> in</w:t>
      </w:r>
      <w:r w:rsidRPr="002F2C55">
        <w:rPr>
          <w:rFonts w:cs="Open Sans"/>
        </w:rPr>
        <w:t xml:space="preserve"> N</w:t>
      </w:r>
      <w:r w:rsidR="00233C77" w:rsidRPr="002F2C55">
        <w:rPr>
          <w:rFonts w:cs="Open Sans"/>
        </w:rPr>
        <w:t xml:space="preserve">ew </w:t>
      </w:r>
      <w:r w:rsidRPr="002F2C55">
        <w:rPr>
          <w:rFonts w:cs="Open Sans"/>
        </w:rPr>
        <w:t>S</w:t>
      </w:r>
      <w:r w:rsidR="00233C77" w:rsidRPr="002F2C55">
        <w:rPr>
          <w:rFonts w:cs="Open Sans"/>
        </w:rPr>
        <w:t xml:space="preserve">outh </w:t>
      </w:r>
      <w:r w:rsidRPr="002F2C55">
        <w:rPr>
          <w:rFonts w:cs="Open Sans"/>
        </w:rPr>
        <w:t>W</w:t>
      </w:r>
      <w:r w:rsidR="00233C77" w:rsidRPr="002F2C55">
        <w:rPr>
          <w:rFonts w:cs="Open Sans"/>
        </w:rPr>
        <w:t>ales,</w:t>
      </w:r>
      <w:r w:rsidRPr="002F2C55">
        <w:rPr>
          <w:rFonts w:cs="Open Sans"/>
        </w:rPr>
        <w:t xml:space="preserve"> </w:t>
      </w:r>
      <w:r w:rsidRPr="002F2C55">
        <w:rPr>
          <w:rFonts w:cs="Open Sans"/>
        </w:rPr>
        <w:lastRenderedPageBreak/>
        <w:t>Logan</w:t>
      </w:r>
      <w:r w:rsidR="00233C77" w:rsidRPr="002F2C55">
        <w:rPr>
          <w:rFonts w:cs="Open Sans"/>
        </w:rPr>
        <w:t xml:space="preserve"> in</w:t>
      </w:r>
      <w:r w:rsidRPr="002F2C55">
        <w:rPr>
          <w:rFonts w:cs="Open Sans"/>
        </w:rPr>
        <w:t xml:space="preserve"> </w:t>
      </w:r>
      <w:r w:rsidR="00233C77" w:rsidRPr="002F2C55">
        <w:rPr>
          <w:rFonts w:cs="Open Sans"/>
        </w:rPr>
        <w:t>Queensland,</w:t>
      </w:r>
      <w:r w:rsidRPr="002F2C55">
        <w:rPr>
          <w:rFonts w:cs="Open Sans"/>
        </w:rPr>
        <w:t xml:space="preserve"> and Mandurah</w:t>
      </w:r>
      <w:r w:rsidR="00233C77" w:rsidRPr="002F2C55">
        <w:rPr>
          <w:rFonts w:cs="Open Sans"/>
        </w:rPr>
        <w:t xml:space="preserve"> in </w:t>
      </w:r>
      <w:r w:rsidRPr="002F2C55">
        <w:rPr>
          <w:rFonts w:cs="Open Sans"/>
        </w:rPr>
        <w:t>W</w:t>
      </w:r>
      <w:r w:rsidR="00233C77" w:rsidRPr="002F2C55">
        <w:rPr>
          <w:rFonts w:cs="Open Sans"/>
        </w:rPr>
        <w:t xml:space="preserve">estern </w:t>
      </w:r>
      <w:r w:rsidRPr="002F2C55">
        <w:rPr>
          <w:rFonts w:cs="Open Sans"/>
        </w:rPr>
        <w:t>A</w:t>
      </w:r>
      <w:r w:rsidR="00233C77" w:rsidRPr="002F2C55">
        <w:rPr>
          <w:rFonts w:cs="Open Sans"/>
        </w:rPr>
        <w:t>ustralia—</w:t>
      </w:r>
      <w:r w:rsidRPr="002F2C55">
        <w:rPr>
          <w:rFonts w:cs="Open Sans"/>
        </w:rPr>
        <w:t xml:space="preserve">for 5,000 </w:t>
      </w:r>
      <w:r w:rsidR="00B05F13" w:rsidRPr="002F2C55">
        <w:rPr>
          <w:rFonts w:cs="Open Sans"/>
        </w:rPr>
        <w:t xml:space="preserve">randomly selected </w:t>
      </w:r>
      <w:r w:rsidRPr="002F2C55">
        <w:rPr>
          <w:rFonts w:cs="Open Sans"/>
        </w:rPr>
        <w:t xml:space="preserve">new recipients of </w:t>
      </w:r>
      <w:r w:rsidR="00233C77" w:rsidRPr="002F2C55">
        <w:rPr>
          <w:rFonts w:cs="Open Sans"/>
        </w:rPr>
        <w:t xml:space="preserve">the </w:t>
      </w:r>
      <w:r w:rsidRPr="002F2C55">
        <w:rPr>
          <w:rFonts w:cs="Open Sans"/>
        </w:rPr>
        <w:t xml:space="preserve">Newstart Allowance </w:t>
      </w:r>
      <w:r w:rsidR="00233C77" w:rsidRPr="002F2C55">
        <w:rPr>
          <w:rFonts w:cs="Open Sans"/>
        </w:rPr>
        <w:t>or</w:t>
      </w:r>
      <w:r w:rsidRPr="002F2C55">
        <w:rPr>
          <w:rFonts w:cs="Open Sans"/>
        </w:rPr>
        <w:t xml:space="preserve"> Youth Allowance (</w:t>
      </w:r>
      <w:r w:rsidR="00233C77" w:rsidRPr="002F2C55">
        <w:rPr>
          <w:rFonts w:cs="Open Sans"/>
        </w:rPr>
        <w:t>o</w:t>
      </w:r>
      <w:r w:rsidRPr="002F2C55">
        <w:rPr>
          <w:rFonts w:cs="Open Sans"/>
        </w:rPr>
        <w:t xml:space="preserve">ther). </w:t>
      </w:r>
    </w:p>
    <w:p w14:paraId="7CEE63A3" w14:textId="16942FCB" w:rsidR="00BB2016" w:rsidRPr="002F2C55" w:rsidRDefault="00BB2016" w:rsidP="00F67FD2">
      <w:pPr>
        <w:pStyle w:val="ListParagraph"/>
        <w:numPr>
          <w:ilvl w:val="0"/>
          <w:numId w:val="16"/>
        </w:numPr>
        <w:rPr>
          <w:rFonts w:cs="Open Sans"/>
        </w:rPr>
      </w:pPr>
      <w:r w:rsidRPr="002F2C55">
        <w:rPr>
          <w:rFonts w:cs="Open Sans"/>
        </w:rPr>
        <w:t xml:space="preserve">The Explanatory Memorandum states that the </w:t>
      </w:r>
      <w:r w:rsidR="00B05F13" w:rsidRPr="002F2C55">
        <w:rPr>
          <w:rFonts w:cs="Open Sans"/>
        </w:rPr>
        <w:t xml:space="preserve">purpose of the </w:t>
      </w:r>
      <w:r w:rsidR="00D67773" w:rsidRPr="002F2C55">
        <w:rPr>
          <w:rFonts w:cs="Open Sans"/>
        </w:rPr>
        <w:t>Bill</w:t>
      </w:r>
      <w:r w:rsidR="00B05F13" w:rsidRPr="002F2C55">
        <w:rPr>
          <w:rFonts w:cs="Open Sans"/>
        </w:rPr>
        <w:t xml:space="preserve"> is to improve employment and education outcomes</w:t>
      </w:r>
      <w:r w:rsidR="00D67773" w:rsidRPr="002F2C55">
        <w:rPr>
          <w:rFonts w:cs="Open Sans"/>
        </w:rPr>
        <w:t xml:space="preserve"> by assisting people with drug use issues to undertake treatment</w:t>
      </w:r>
      <w:r w:rsidRPr="002F2C55">
        <w:rPr>
          <w:rFonts w:cs="Open Sans"/>
        </w:rPr>
        <w:t>:</w:t>
      </w:r>
    </w:p>
    <w:p w14:paraId="49CB76CC" w14:textId="67754ABC" w:rsidR="00BB2016" w:rsidRPr="002F2C55" w:rsidRDefault="00B05F13" w:rsidP="00B05F13">
      <w:pPr>
        <w:pStyle w:val="ListParagraph"/>
        <w:ind w:left="1440"/>
        <w:rPr>
          <w:rFonts w:cs="Open Sans"/>
          <w:sz w:val="22"/>
          <w:szCs w:val="22"/>
        </w:rPr>
      </w:pPr>
      <w:r w:rsidRPr="002F2C55">
        <w:rPr>
          <w:rFonts w:cs="Open Sans"/>
          <w:sz w:val="22"/>
          <w:szCs w:val="22"/>
        </w:rPr>
        <w:t>The aim of the trial is to improve a recipient’s capacity to find employment or participate in education or training by identifying people with drug use issues and assisting them to undertake treatment.</w:t>
      </w:r>
      <w:r w:rsidR="00474A86" w:rsidRPr="002F2C55">
        <w:rPr>
          <w:rFonts w:cs="Open Sans"/>
          <w:sz w:val="22"/>
          <w:szCs w:val="22"/>
        </w:rPr>
        <w:t xml:space="preserve"> </w:t>
      </w:r>
      <w:r w:rsidRPr="002F2C55">
        <w:rPr>
          <w:rFonts w:cs="Open Sans"/>
          <w:sz w:val="22"/>
          <w:szCs w:val="22"/>
        </w:rPr>
        <w:t>The trial will test the effectiveness of decreasing substance abuse through random drug testing, in an effort to improve employment outcomes for trial participants.</w:t>
      </w:r>
      <w:r w:rsidRPr="002F2C55">
        <w:rPr>
          <w:rStyle w:val="EndnoteReference"/>
          <w:rFonts w:cs="Open Sans"/>
          <w:szCs w:val="22"/>
        </w:rPr>
        <w:endnoteReference w:id="1"/>
      </w:r>
    </w:p>
    <w:p w14:paraId="573E68F8" w14:textId="77777777" w:rsidR="00A74A9D" w:rsidRPr="002F2C55" w:rsidRDefault="007E1EBF" w:rsidP="007E1EBF">
      <w:pPr>
        <w:pStyle w:val="ListParagraph"/>
        <w:numPr>
          <w:ilvl w:val="0"/>
          <w:numId w:val="16"/>
        </w:numPr>
        <w:rPr>
          <w:rFonts w:cs="Open Sans"/>
        </w:rPr>
      </w:pPr>
      <w:r w:rsidRPr="002F2C55">
        <w:rPr>
          <w:rFonts w:cs="Open Sans"/>
        </w:rPr>
        <w:t xml:space="preserve">The Commission notes that in 2018, </w:t>
      </w:r>
      <w:r w:rsidR="00F802BA" w:rsidRPr="002F2C55">
        <w:rPr>
          <w:rFonts w:cs="Open Sans"/>
        </w:rPr>
        <w:t>a</w:t>
      </w:r>
      <w:r w:rsidRPr="002F2C55">
        <w:rPr>
          <w:rFonts w:cs="Open Sans"/>
        </w:rPr>
        <w:t xml:space="preserve"> similar</w:t>
      </w:r>
      <w:r w:rsidR="00F802BA" w:rsidRPr="002F2C55">
        <w:rPr>
          <w:rFonts w:cs="Open Sans"/>
        </w:rPr>
        <w:t xml:space="preserve"> scheme was proposed in the</w:t>
      </w:r>
      <w:r w:rsidRPr="002F2C55">
        <w:rPr>
          <w:rFonts w:cs="Open Sans"/>
        </w:rPr>
        <w:t xml:space="preserve"> Social Services Legislation Amendment (Drug Testing Trial) Bill 2018 (the 2018 Bill). However, that Bill lapsed with the prorogation of the 45</w:t>
      </w:r>
      <w:r w:rsidRPr="002F2C55">
        <w:rPr>
          <w:rFonts w:cs="Open Sans"/>
          <w:vertAlign w:val="superscript"/>
        </w:rPr>
        <w:t>th</w:t>
      </w:r>
      <w:r w:rsidRPr="002F2C55">
        <w:rPr>
          <w:rFonts w:cs="Open Sans"/>
        </w:rPr>
        <w:t xml:space="preserve"> Parliament. The 2018 Bill was also inquired into by the Committee. The Commission made a submission on the 2018 Bill, recommending that it not proceed, in similar terms to this submission.</w:t>
      </w:r>
      <w:r w:rsidR="007058CC" w:rsidRPr="002F2C55">
        <w:rPr>
          <w:rStyle w:val="EndnoteReference"/>
          <w:rFonts w:cs="Open Sans"/>
        </w:rPr>
        <w:endnoteReference w:id="2"/>
      </w:r>
      <w:r w:rsidR="005006E8" w:rsidRPr="002F2C55">
        <w:rPr>
          <w:rFonts w:cs="Open Sans"/>
        </w:rPr>
        <w:t xml:space="preserve"> </w:t>
      </w:r>
    </w:p>
    <w:p w14:paraId="5F7829F3" w14:textId="1E63AA3B" w:rsidR="0086382D" w:rsidRPr="002F2C55" w:rsidRDefault="005006E8" w:rsidP="00ED1629">
      <w:pPr>
        <w:pStyle w:val="ListParagraph"/>
        <w:numPr>
          <w:ilvl w:val="0"/>
          <w:numId w:val="16"/>
        </w:numPr>
        <w:rPr>
          <w:rFonts w:cs="Open Sans"/>
        </w:rPr>
      </w:pPr>
      <w:r w:rsidRPr="002F2C55">
        <w:rPr>
          <w:rFonts w:cs="Open Sans"/>
        </w:rPr>
        <w:t xml:space="preserve">Many concerns were raised </w:t>
      </w:r>
      <w:r w:rsidR="00A74A9D" w:rsidRPr="002F2C55">
        <w:rPr>
          <w:rFonts w:cs="Open Sans"/>
        </w:rPr>
        <w:t xml:space="preserve">by submitters and by other parliamentary bodies </w:t>
      </w:r>
      <w:r w:rsidRPr="002F2C55">
        <w:rPr>
          <w:rFonts w:cs="Open Sans"/>
        </w:rPr>
        <w:t xml:space="preserve">in relation to </w:t>
      </w:r>
      <w:r w:rsidR="00A74A9D" w:rsidRPr="002F2C55">
        <w:rPr>
          <w:rFonts w:cs="Open Sans"/>
        </w:rPr>
        <w:t>the 2018 Bill.</w:t>
      </w:r>
      <w:r w:rsidR="0063612A" w:rsidRPr="002F2C55">
        <w:rPr>
          <w:rStyle w:val="EndnoteReference"/>
          <w:rFonts w:cs="Open Sans"/>
        </w:rPr>
        <w:endnoteReference w:id="3"/>
      </w:r>
      <w:r w:rsidR="00ED1629" w:rsidRPr="002F2C55">
        <w:rPr>
          <w:rFonts w:cs="Open Sans"/>
        </w:rPr>
        <w:t xml:space="preserve"> For example, t</w:t>
      </w:r>
      <w:r w:rsidR="0086382D" w:rsidRPr="002F2C55">
        <w:rPr>
          <w:rFonts w:cs="Open Sans"/>
        </w:rPr>
        <w:t>he Parliamentary Joint Committee on Human Rights</w:t>
      </w:r>
      <w:r w:rsidR="00DF0BB6" w:rsidRPr="002F2C55">
        <w:rPr>
          <w:rFonts w:cs="Open Sans"/>
        </w:rPr>
        <w:t xml:space="preserve"> found</w:t>
      </w:r>
      <w:r w:rsidR="0086382D" w:rsidRPr="002F2C55">
        <w:rPr>
          <w:rFonts w:cs="Open Sans"/>
        </w:rPr>
        <w:t xml:space="preserve"> that </w:t>
      </w:r>
      <w:r w:rsidR="00DF0BB6" w:rsidRPr="002F2C55">
        <w:rPr>
          <w:rFonts w:cs="Open Sans"/>
        </w:rPr>
        <w:t>“the proposed mandatory drug testing trial was likely to be incompatible with the right to privacy, the right to social security and right to an adequate standard of living, and the right to equality and non-discrimination</w:t>
      </w:r>
      <w:r w:rsidR="0086382D" w:rsidRPr="002F2C55">
        <w:rPr>
          <w:rFonts w:cs="Open Sans"/>
        </w:rPr>
        <w:t>”.</w:t>
      </w:r>
      <w:r w:rsidR="006E1BC3" w:rsidRPr="002F2C55">
        <w:rPr>
          <w:rStyle w:val="EndnoteReference"/>
          <w:rFonts w:cs="Open Sans"/>
        </w:rPr>
        <w:endnoteReference w:id="4"/>
      </w:r>
    </w:p>
    <w:p w14:paraId="531779CF" w14:textId="7116CEF2" w:rsidR="006C40A9" w:rsidRPr="002F2C55" w:rsidRDefault="006C40A9" w:rsidP="00ED1629">
      <w:pPr>
        <w:pStyle w:val="ListParagraph"/>
        <w:numPr>
          <w:ilvl w:val="0"/>
          <w:numId w:val="16"/>
        </w:numPr>
        <w:rPr>
          <w:rFonts w:cs="Open Sans"/>
        </w:rPr>
      </w:pPr>
      <w:r w:rsidRPr="002F2C55">
        <w:rPr>
          <w:rFonts w:cs="Open Sans"/>
        </w:rPr>
        <w:t xml:space="preserve">The Commission also notes that while the report of the Committee with respect to the 2018 Bill made a recommendation that the 2018 Bill be passed, a dissenting report was issued by </w:t>
      </w:r>
      <w:proofErr w:type="spellStart"/>
      <w:r w:rsidRPr="002F2C55">
        <w:rPr>
          <w:rFonts w:cs="Open Sans"/>
        </w:rPr>
        <w:t>Labor</w:t>
      </w:r>
      <w:proofErr w:type="spellEnd"/>
      <w:r w:rsidRPr="002F2C55">
        <w:rPr>
          <w:rFonts w:cs="Open Sans"/>
        </w:rPr>
        <w:t xml:space="preserve"> Party Senators </w:t>
      </w:r>
      <w:r w:rsidR="00ED1629" w:rsidRPr="002F2C55">
        <w:rPr>
          <w:rFonts w:cs="Open Sans"/>
        </w:rPr>
        <w:t xml:space="preserve">who stated that “in light of the overwhelming evidence presented to this Committee on a number of occasions that these trials will not be successful, </w:t>
      </w:r>
      <w:proofErr w:type="spellStart"/>
      <w:r w:rsidR="00ED1629" w:rsidRPr="002F2C55">
        <w:rPr>
          <w:rFonts w:cs="Open Sans"/>
        </w:rPr>
        <w:t>Labor</w:t>
      </w:r>
      <w:proofErr w:type="spellEnd"/>
      <w:r w:rsidR="00ED1629" w:rsidRPr="002F2C55">
        <w:rPr>
          <w:rFonts w:cs="Open Sans"/>
        </w:rPr>
        <w:t xml:space="preserve"> Senators on this Committee are nonetheless strongly of the view that the Bill should not be passed”.</w:t>
      </w:r>
      <w:r w:rsidR="00B757BD" w:rsidRPr="002F2C55">
        <w:rPr>
          <w:rStyle w:val="EndnoteReference"/>
          <w:rFonts w:cs="Open Sans"/>
        </w:rPr>
        <w:endnoteReference w:id="5"/>
      </w:r>
      <w:r w:rsidR="00ED1629" w:rsidRPr="002F2C55">
        <w:rPr>
          <w:rFonts w:cs="Open Sans"/>
        </w:rPr>
        <w:t xml:space="preserve"> Th</w:t>
      </w:r>
      <w:r w:rsidR="00B757BD" w:rsidRPr="002F2C55">
        <w:rPr>
          <w:rFonts w:cs="Open Sans"/>
        </w:rPr>
        <w:t>is</w:t>
      </w:r>
      <w:r w:rsidR="00ED1629" w:rsidRPr="002F2C55">
        <w:rPr>
          <w:rFonts w:cs="Open Sans"/>
        </w:rPr>
        <w:t xml:space="preserve"> dissenting report stated:</w:t>
      </w:r>
    </w:p>
    <w:p w14:paraId="24771464" w14:textId="62B9469E" w:rsidR="00ED1629" w:rsidRPr="002F2C55" w:rsidRDefault="00ED1629" w:rsidP="00ED1629">
      <w:pPr>
        <w:pStyle w:val="ListParagraph"/>
        <w:ind w:left="1440"/>
        <w:rPr>
          <w:rFonts w:cs="Open Sans"/>
        </w:rPr>
      </w:pPr>
      <w:r w:rsidRPr="002F2C55">
        <w:rPr>
          <w:rFonts w:cs="Open Sans"/>
        </w:rPr>
        <w:t xml:space="preserve">[T]he Committee was overwhelmed by evidence from the health sector, including from specialists in addiction medicine, as well as the community sector that the proposal to drug test income support recipients will not be effective, will further exacerbate long </w:t>
      </w:r>
      <w:r w:rsidRPr="002F2C55">
        <w:rPr>
          <w:rFonts w:cs="Open Sans"/>
        </w:rPr>
        <w:lastRenderedPageBreak/>
        <w:t>waiting times for treatment, will be very expensive and also risks increasing levels of crime and homelessness.</w:t>
      </w:r>
      <w:r w:rsidR="00B757BD" w:rsidRPr="002F2C55">
        <w:rPr>
          <w:rStyle w:val="EndnoteReference"/>
          <w:rFonts w:cs="Open Sans"/>
        </w:rPr>
        <w:endnoteReference w:id="6"/>
      </w:r>
    </w:p>
    <w:p w14:paraId="29D33243" w14:textId="33057EF0" w:rsidR="00381B7E" w:rsidRPr="002F2C55" w:rsidRDefault="00381B7E" w:rsidP="00381B7E">
      <w:pPr>
        <w:pStyle w:val="ListParagraph"/>
        <w:ind w:left="907"/>
        <w:rPr>
          <w:rFonts w:cs="Open Sans"/>
        </w:rPr>
      </w:pPr>
      <w:r w:rsidRPr="002F2C55">
        <w:rPr>
          <w:rFonts w:cs="Open Sans"/>
        </w:rPr>
        <w:t>A dissenting report was also issued by the Australian Greens, strongly opposing the passage of the Bill.</w:t>
      </w:r>
      <w:r w:rsidRPr="002F2C55">
        <w:rPr>
          <w:rStyle w:val="EndnoteReference"/>
          <w:rFonts w:cs="Open Sans"/>
        </w:rPr>
        <w:endnoteReference w:id="7"/>
      </w:r>
    </w:p>
    <w:p w14:paraId="22320673" w14:textId="11779C58" w:rsidR="00BB2016" w:rsidRPr="002F2C55" w:rsidRDefault="00BB2016" w:rsidP="00F67FD2">
      <w:pPr>
        <w:pStyle w:val="ListParagraph"/>
        <w:numPr>
          <w:ilvl w:val="0"/>
          <w:numId w:val="16"/>
        </w:numPr>
        <w:rPr>
          <w:rFonts w:cs="Open Sans"/>
        </w:rPr>
      </w:pPr>
      <w:r w:rsidRPr="002F2C55">
        <w:rPr>
          <w:rFonts w:cs="Open Sans"/>
        </w:rPr>
        <w:t xml:space="preserve">The Commission urges the Committee to consider the concerns raised </w:t>
      </w:r>
      <w:r w:rsidR="00906154" w:rsidRPr="002F2C55">
        <w:rPr>
          <w:rFonts w:cs="Open Sans"/>
        </w:rPr>
        <w:t xml:space="preserve">in this submission </w:t>
      </w:r>
      <w:r w:rsidRPr="002F2C55">
        <w:rPr>
          <w:rFonts w:cs="Open Sans"/>
        </w:rPr>
        <w:t>and</w:t>
      </w:r>
      <w:r w:rsidR="005F62D1" w:rsidRPr="002F2C55">
        <w:rPr>
          <w:rFonts w:cs="Open Sans"/>
        </w:rPr>
        <w:t xml:space="preserve"> the</w:t>
      </w:r>
      <w:r w:rsidRPr="002F2C55">
        <w:rPr>
          <w:rFonts w:cs="Open Sans"/>
        </w:rPr>
        <w:t xml:space="preserve"> recommendations made</w:t>
      </w:r>
      <w:r w:rsidR="0094517E" w:rsidRPr="002F2C55">
        <w:rPr>
          <w:rFonts w:cs="Open Sans"/>
        </w:rPr>
        <w:t xml:space="preserve"> below</w:t>
      </w:r>
      <w:r w:rsidRPr="002F2C55">
        <w:rPr>
          <w:rFonts w:cs="Open Sans"/>
        </w:rPr>
        <w:t xml:space="preserve">. </w:t>
      </w:r>
    </w:p>
    <w:p w14:paraId="5A955EED" w14:textId="08395A26" w:rsidR="00D03307" w:rsidRPr="002F2C55" w:rsidRDefault="00D03307" w:rsidP="001C04F6">
      <w:pPr>
        <w:pStyle w:val="Heading1"/>
        <w:rPr>
          <w:rFonts w:cs="Open Sans"/>
        </w:rPr>
      </w:pPr>
      <w:bookmarkStart w:id="10" w:name="_Toc525894100"/>
      <w:bookmarkStart w:id="11" w:name="_Toc20838303"/>
      <w:r w:rsidRPr="002F2C55">
        <w:rPr>
          <w:rFonts w:cs="Open Sans"/>
        </w:rPr>
        <w:t>Recommendations</w:t>
      </w:r>
      <w:bookmarkEnd w:id="10"/>
      <w:bookmarkEnd w:id="11"/>
    </w:p>
    <w:p w14:paraId="1D46C1F4" w14:textId="77777777" w:rsidR="005F09A2" w:rsidRPr="002F2C55" w:rsidRDefault="005F09A2" w:rsidP="0022081D">
      <w:pPr>
        <w:pStyle w:val="SubmissionNormal"/>
        <w:numPr>
          <w:ilvl w:val="0"/>
          <w:numId w:val="21"/>
        </w:numPr>
        <w:ind w:left="720"/>
        <w:rPr>
          <w:rFonts w:cs="Open Sans"/>
          <w:bCs/>
        </w:rPr>
      </w:pPr>
      <w:r w:rsidRPr="002F2C55">
        <w:rPr>
          <w:rFonts w:cs="Open Sans"/>
          <w:bCs/>
        </w:rPr>
        <w:t>That the Social Services Legislation Amendment (Drug Testing Trial) Bill 2019 (</w:t>
      </w:r>
      <w:proofErr w:type="spellStart"/>
      <w:r w:rsidRPr="002F2C55">
        <w:rPr>
          <w:rFonts w:cs="Open Sans"/>
          <w:bCs/>
        </w:rPr>
        <w:t>Cth</w:t>
      </w:r>
      <w:proofErr w:type="spellEnd"/>
      <w:r w:rsidRPr="002F2C55">
        <w:rPr>
          <w:rFonts w:cs="Open Sans"/>
          <w:bCs/>
        </w:rPr>
        <w:t xml:space="preserve">) not be passed in its present form. </w:t>
      </w:r>
    </w:p>
    <w:p w14:paraId="3E8B69CF"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xml:space="preserve">) proceeds, participation in the trial should be voluntary. </w:t>
      </w:r>
    </w:p>
    <w:p w14:paraId="0566FE93"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xml:space="preserve">) proceeds, the “drug test refusal waiting period”, which applies upon reapplication for social security after cancellation, should be removed. </w:t>
      </w:r>
    </w:p>
    <w:p w14:paraId="5B40EEBE"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proceeds, a recipient should not be required to meet the high threshold of “severe” financial hardship to warrant a reduction in the rate of social security deductions for the purposes of repaying the costs of positive drug re-testing.</w:t>
      </w:r>
    </w:p>
    <w:p w14:paraId="6513E8B4"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xml:space="preserve">) proceeds, it should be amended so that measures: (a) </w:t>
      </w:r>
      <w:r w:rsidRPr="002F2C55">
        <w:rPr>
          <w:rFonts w:cs="Open Sans"/>
          <w:bCs/>
          <w:lang w:val="en-US"/>
        </w:rPr>
        <w:t xml:space="preserve">imposing income management, (b) deducting amounts from social security, and (c) suspending or cancelling social security, should </w:t>
      </w:r>
      <w:r w:rsidRPr="002F2C55">
        <w:rPr>
          <w:rFonts w:cs="Open Sans"/>
          <w:bCs/>
        </w:rPr>
        <w:t xml:space="preserve">only apply to a recipient who has been recommended by a medical professional to undertake treatment for their drug dependency. </w:t>
      </w:r>
    </w:p>
    <w:p w14:paraId="47D340FE" w14:textId="77777777" w:rsidR="005F09A2" w:rsidRPr="002F2C55" w:rsidRDefault="005F09A2" w:rsidP="0022081D">
      <w:pPr>
        <w:pStyle w:val="SubmissionNormal"/>
        <w:numPr>
          <w:ilvl w:val="0"/>
          <w:numId w:val="21"/>
        </w:numPr>
        <w:ind w:left="720"/>
        <w:rPr>
          <w:rFonts w:cs="Open Sans"/>
          <w:bCs/>
        </w:rPr>
      </w:pPr>
      <w:r w:rsidRPr="002F2C55">
        <w:rPr>
          <w:rFonts w:cs="Open Sans"/>
          <w:bCs/>
        </w:rPr>
        <w:t xml:space="preserve">Mandatory income management for social security recipients should: </w:t>
      </w:r>
    </w:p>
    <w:p w14:paraId="0E7136EE" w14:textId="77777777" w:rsidR="005F09A2" w:rsidRPr="002F2C55" w:rsidRDefault="005F09A2" w:rsidP="0052474E">
      <w:pPr>
        <w:pStyle w:val="SubmissionNormal"/>
        <w:numPr>
          <w:ilvl w:val="0"/>
          <w:numId w:val="26"/>
        </w:numPr>
        <w:spacing w:before="120" w:after="120"/>
        <w:ind w:left="1434" w:hanging="357"/>
        <w:rPr>
          <w:rFonts w:cs="Open Sans"/>
          <w:bCs/>
        </w:rPr>
      </w:pPr>
      <w:r w:rsidRPr="002F2C55">
        <w:rPr>
          <w:rFonts w:cs="Open Sans"/>
          <w:bCs/>
          <w:lang w:val="en-US"/>
        </w:rPr>
        <w:t xml:space="preserve">be imposed for a defined period of time proportionate to the recipient’s circumstances such as the length of their medical </w:t>
      </w:r>
      <w:r w:rsidRPr="002F2C55">
        <w:rPr>
          <w:rFonts w:cs="Open Sans"/>
          <w:bCs/>
          <w:lang w:val="en-US"/>
        </w:rPr>
        <w:lastRenderedPageBreak/>
        <w:t>treatment, with 24-months being reserved for only the most severe of cases</w:t>
      </w:r>
    </w:p>
    <w:p w14:paraId="2854F618" w14:textId="77777777" w:rsidR="005F09A2" w:rsidRPr="002F2C55" w:rsidRDefault="005F09A2" w:rsidP="0052474E">
      <w:pPr>
        <w:pStyle w:val="SubmissionNormal"/>
        <w:numPr>
          <w:ilvl w:val="0"/>
          <w:numId w:val="26"/>
        </w:numPr>
        <w:spacing w:before="120" w:after="120"/>
        <w:ind w:left="1434" w:hanging="357"/>
        <w:rPr>
          <w:rFonts w:cs="Open Sans"/>
          <w:bCs/>
          <w:lang w:val="en-US"/>
        </w:rPr>
      </w:pPr>
      <w:r w:rsidRPr="002F2C55">
        <w:rPr>
          <w:rFonts w:cs="Open Sans"/>
          <w:bCs/>
          <w:lang w:val="en-US"/>
        </w:rPr>
        <w:t>only be permitted to be extended beyond a 24-month period under s 123UFAA if the extension is supported by the recommendation of an appropriate treating medical professional</w:t>
      </w:r>
    </w:p>
    <w:p w14:paraId="5E71C1F2" w14:textId="77777777" w:rsidR="005F09A2" w:rsidRPr="002F2C55" w:rsidRDefault="005F09A2" w:rsidP="0052474E">
      <w:pPr>
        <w:pStyle w:val="SubmissionNormal"/>
        <w:numPr>
          <w:ilvl w:val="0"/>
          <w:numId w:val="26"/>
        </w:numPr>
        <w:spacing w:before="120" w:after="120"/>
        <w:ind w:left="1434" w:hanging="357"/>
        <w:rPr>
          <w:rFonts w:cs="Open Sans"/>
          <w:bCs/>
        </w:rPr>
      </w:pPr>
      <w:r w:rsidRPr="002F2C55">
        <w:rPr>
          <w:rFonts w:cs="Open Sans"/>
          <w:bCs/>
          <w:lang w:val="en-US"/>
        </w:rPr>
        <w:t>be</w:t>
      </w:r>
      <w:r w:rsidRPr="002F2C55">
        <w:rPr>
          <w:rFonts w:cs="Open Sans"/>
          <w:bCs/>
        </w:rPr>
        <w:t xml:space="preserve"> subject to periodic review by the Department, with particular attention paid to any serious risk posed to a person’s mental, physical or emotional wellbeing.</w:t>
      </w:r>
    </w:p>
    <w:p w14:paraId="4D2A48D7"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proceeds, that the following measures with respect to medical treatment be incorporated:</w:t>
      </w:r>
    </w:p>
    <w:p w14:paraId="6A393778" w14:textId="77777777" w:rsidR="005F09A2" w:rsidRPr="002F2C55" w:rsidRDefault="005F09A2" w:rsidP="0052474E">
      <w:pPr>
        <w:pStyle w:val="SubmissionNormal"/>
        <w:numPr>
          <w:ilvl w:val="0"/>
          <w:numId w:val="41"/>
        </w:numPr>
        <w:spacing w:before="120" w:after="120"/>
        <w:ind w:left="1434" w:hanging="357"/>
        <w:rPr>
          <w:rFonts w:cs="Open Sans"/>
          <w:bCs/>
        </w:rPr>
      </w:pPr>
      <w:r w:rsidRPr="002F2C55">
        <w:rPr>
          <w:rFonts w:cs="Open Sans"/>
          <w:bCs/>
        </w:rPr>
        <w:t>requiring that a person’s full, free and informed consent to any medical treatment be obtained in advance</w:t>
      </w:r>
    </w:p>
    <w:p w14:paraId="3011EEDB" w14:textId="77777777" w:rsidR="005F09A2" w:rsidRPr="002F2C55" w:rsidRDefault="005F09A2" w:rsidP="0052474E">
      <w:pPr>
        <w:pStyle w:val="SubmissionNormal"/>
        <w:numPr>
          <w:ilvl w:val="0"/>
          <w:numId w:val="41"/>
        </w:numPr>
        <w:spacing w:before="120" w:after="120"/>
        <w:ind w:left="1434" w:hanging="357"/>
        <w:rPr>
          <w:rFonts w:cs="Open Sans"/>
          <w:bCs/>
        </w:rPr>
      </w:pPr>
      <w:r w:rsidRPr="002F2C55">
        <w:rPr>
          <w:rFonts w:cs="Open Sans"/>
          <w:bCs/>
        </w:rPr>
        <w:t xml:space="preserve">ensuring that mechanisms are in place to allow recipients to have appropriate decision-making input into the type, length, location and other aspects of their recommended treatment </w:t>
      </w:r>
    </w:p>
    <w:p w14:paraId="3B050F7E" w14:textId="77777777" w:rsidR="005F09A2" w:rsidRPr="002F2C55" w:rsidRDefault="005F09A2" w:rsidP="0052474E">
      <w:pPr>
        <w:pStyle w:val="SubmissionNormal"/>
        <w:numPr>
          <w:ilvl w:val="0"/>
          <w:numId w:val="41"/>
        </w:numPr>
        <w:spacing w:before="120" w:after="120"/>
        <w:ind w:left="1434" w:hanging="357"/>
        <w:rPr>
          <w:rFonts w:cs="Open Sans"/>
          <w:bCs/>
        </w:rPr>
      </w:pPr>
      <w:r w:rsidRPr="002F2C55">
        <w:rPr>
          <w:rFonts w:cs="Open Sans"/>
          <w:bCs/>
        </w:rPr>
        <w:t>ensuring that incorporation of treatment obligations into a Job Plan are documented in the least onerous form possible with respect to potential punitive action for non-compliance</w:t>
      </w:r>
    </w:p>
    <w:p w14:paraId="4C3016A3" w14:textId="77777777" w:rsidR="005F09A2" w:rsidRPr="002F2C55" w:rsidRDefault="005F09A2" w:rsidP="0052474E">
      <w:pPr>
        <w:pStyle w:val="SubmissionNormal"/>
        <w:numPr>
          <w:ilvl w:val="0"/>
          <w:numId w:val="41"/>
        </w:numPr>
        <w:spacing w:before="120" w:after="120"/>
        <w:ind w:left="1434" w:hanging="357"/>
        <w:rPr>
          <w:rFonts w:cs="Open Sans"/>
          <w:bCs/>
        </w:rPr>
      </w:pPr>
      <w:r w:rsidRPr="002F2C55">
        <w:rPr>
          <w:rFonts w:cs="Open Sans"/>
          <w:bCs/>
        </w:rPr>
        <w:t>to the extent that the Bill applies to persons under the age of 18, ensuring that any medical examination and treatments are carried out with regard to their developmental needs by appropriately qualified practitioners in child health.</w:t>
      </w:r>
    </w:p>
    <w:p w14:paraId="6BE13817"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xml:space="preserve">) proceeds, the applicable “reasonable excuse” provisions should appropriately recognise drug dependency that amounts to a disability under international human rights law. </w:t>
      </w:r>
    </w:p>
    <w:p w14:paraId="3A31B222" w14:textId="322D3A7F" w:rsidR="005F09A2" w:rsidRPr="002F2C55" w:rsidRDefault="005F09A2" w:rsidP="0022081D">
      <w:pPr>
        <w:pStyle w:val="SubmissionNormal"/>
        <w:numPr>
          <w:ilvl w:val="0"/>
          <w:numId w:val="21"/>
        </w:numPr>
        <w:ind w:left="720"/>
        <w:rPr>
          <w:rFonts w:cs="Open Sans"/>
          <w:bCs/>
        </w:rPr>
      </w:pPr>
      <w:r w:rsidRPr="002F2C55">
        <w:rPr>
          <w:rFonts w:cs="Open Sans"/>
          <w:bCs/>
        </w:rPr>
        <w:t xml:space="preserve">Should Recommendation 2 not be accepted, application of the trial with respect to welfare recipients under the age of 18 should only occur with their voluntary consent, rather than being mandatory. </w:t>
      </w:r>
    </w:p>
    <w:p w14:paraId="1F8B8BDC" w14:textId="0C29DA94" w:rsidR="005F09A2" w:rsidRPr="002F2C55" w:rsidRDefault="005F09A2" w:rsidP="0022081D">
      <w:pPr>
        <w:pStyle w:val="SubmissionNormal"/>
        <w:numPr>
          <w:ilvl w:val="0"/>
          <w:numId w:val="21"/>
        </w:numPr>
        <w:ind w:left="720"/>
        <w:rPr>
          <w:rFonts w:cs="Open Sans"/>
          <w:bCs/>
        </w:rPr>
      </w:pPr>
      <w:r w:rsidRPr="002F2C55">
        <w:rPr>
          <w:rFonts w:cs="Open Sans"/>
          <w:bCs/>
        </w:rPr>
        <w:t xml:space="preserve">Should Recommendation 9 not be accepted, Services Australia should be required to consider in advance whether or not to apply the trial to a relevant child or young person on a case-by-case </w:t>
      </w:r>
      <w:r w:rsidRPr="002F2C55">
        <w:rPr>
          <w:rFonts w:cs="Open Sans"/>
          <w:bCs/>
        </w:rPr>
        <w:lastRenderedPageBreak/>
        <w:t>basis, in particular with respect to welfare recipients under the age of 18 years old, with the best interests of the child constituting the primary consideration.</w:t>
      </w:r>
    </w:p>
    <w:p w14:paraId="478131AA"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xml:space="preserve">) proceeds: </w:t>
      </w:r>
    </w:p>
    <w:p w14:paraId="425B302F" w14:textId="77777777" w:rsidR="005F09A2" w:rsidRPr="002F2C55" w:rsidRDefault="005F09A2" w:rsidP="0022081D">
      <w:pPr>
        <w:pStyle w:val="ListParagraph"/>
        <w:numPr>
          <w:ilvl w:val="0"/>
          <w:numId w:val="20"/>
        </w:numPr>
        <w:ind w:left="1440"/>
        <w:rPr>
          <w:rFonts w:eastAsia="Times New Roman" w:cs="Open Sans"/>
          <w:bCs/>
        </w:rPr>
      </w:pPr>
      <w:r w:rsidRPr="002F2C55">
        <w:rPr>
          <w:rFonts w:eastAsia="Times New Roman" w:cs="Open Sans"/>
          <w:bCs/>
        </w:rPr>
        <w:t xml:space="preserve">unless the relevant person consents, drug test information should be unable to be used or disclosed for purposes other than those directly related to the payment of a relevant Newstart of Youth Allowance (other) entitlement </w:t>
      </w:r>
    </w:p>
    <w:p w14:paraId="3F54445B" w14:textId="77777777" w:rsidR="005F09A2" w:rsidRPr="002F2C55" w:rsidRDefault="005F09A2" w:rsidP="0022081D">
      <w:pPr>
        <w:pStyle w:val="ListParagraph"/>
        <w:numPr>
          <w:ilvl w:val="0"/>
          <w:numId w:val="20"/>
        </w:numPr>
        <w:ind w:left="1440"/>
        <w:rPr>
          <w:rFonts w:eastAsia="Times New Roman" w:cs="Open Sans"/>
          <w:bCs/>
        </w:rPr>
      </w:pPr>
      <w:r w:rsidRPr="002F2C55">
        <w:rPr>
          <w:rFonts w:eastAsia="Times New Roman" w:cs="Open Sans"/>
          <w:bCs/>
        </w:rPr>
        <w:t>privacy protections should be included in the Drug Testing Rules</w:t>
      </w:r>
    </w:p>
    <w:p w14:paraId="1ECF2343" w14:textId="77777777" w:rsidR="005F09A2" w:rsidRPr="002F2C55" w:rsidRDefault="005F09A2" w:rsidP="0022081D">
      <w:pPr>
        <w:pStyle w:val="ListParagraph"/>
        <w:numPr>
          <w:ilvl w:val="0"/>
          <w:numId w:val="20"/>
        </w:numPr>
        <w:ind w:left="1440"/>
        <w:rPr>
          <w:rFonts w:eastAsia="Times New Roman" w:cs="Open Sans"/>
          <w:bCs/>
        </w:rPr>
      </w:pPr>
      <w:r w:rsidRPr="002F2C55">
        <w:rPr>
          <w:rFonts w:eastAsia="Times New Roman" w:cs="Open Sans"/>
          <w:bCs/>
        </w:rPr>
        <w:t xml:space="preserve">appropriate measures should be put in place, for example in relevant contracts or the Drug Testing Rules, to ensure that contractors conducting drug tests treat test results with an appropriate level of security and confidentiality </w:t>
      </w:r>
    </w:p>
    <w:p w14:paraId="0B8890C4" w14:textId="77777777" w:rsidR="005F09A2" w:rsidRPr="002F2C55" w:rsidRDefault="005F09A2" w:rsidP="0022081D">
      <w:pPr>
        <w:pStyle w:val="ListParagraph"/>
        <w:numPr>
          <w:ilvl w:val="0"/>
          <w:numId w:val="20"/>
        </w:numPr>
        <w:ind w:left="1440"/>
        <w:rPr>
          <w:rFonts w:eastAsia="Times New Roman" w:cs="Open Sans"/>
          <w:bCs/>
        </w:rPr>
      </w:pPr>
      <w:r w:rsidRPr="002F2C55">
        <w:rPr>
          <w:rFonts w:eastAsia="Times New Roman" w:cs="Open Sans"/>
          <w:bCs/>
        </w:rPr>
        <w:t>mechanisms should be put in place to ensure that people are informed in advance of the purposes for which drug test result information can be used and disclosed, and give their full, informed and free consent to these uses and disclosures.</w:t>
      </w:r>
    </w:p>
    <w:p w14:paraId="1126775D" w14:textId="17380A38"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proceeds, the Australian Government should consult widely on the Drug Testing Rules</w:t>
      </w:r>
      <w:r w:rsidR="002146BC" w:rsidRPr="002F2C55">
        <w:rPr>
          <w:rFonts w:cs="Open Sans"/>
          <w:bCs/>
        </w:rPr>
        <w:t>,</w:t>
      </w:r>
      <w:r w:rsidRPr="002F2C55">
        <w:rPr>
          <w:rFonts w:cs="Open Sans"/>
          <w:bCs/>
        </w:rPr>
        <w:t xml:space="preserve"> including with human rights bodies. </w:t>
      </w:r>
    </w:p>
    <w:p w14:paraId="0BBDDB31" w14:textId="77777777" w:rsidR="005F09A2" w:rsidRPr="002F2C55" w:rsidRDefault="005F09A2" w:rsidP="0022081D">
      <w:pPr>
        <w:pStyle w:val="SubmissionNormal"/>
        <w:numPr>
          <w:ilvl w:val="0"/>
          <w:numId w:val="21"/>
        </w:numPr>
        <w:ind w:left="720"/>
        <w:rPr>
          <w:rFonts w:cs="Open Sans"/>
          <w:bCs/>
        </w:rPr>
      </w:pPr>
      <w:r w:rsidRPr="002F2C55">
        <w:rPr>
          <w:rFonts w:cs="Open Sans"/>
          <w:bCs/>
        </w:rPr>
        <w:t>In the event that the Social Services Legislation Amendment (Drug Testing Trial) Bill 2019 (</w:t>
      </w:r>
      <w:proofErr w:type="spellStart"/>
      <w:r w:rsidRPr="002F2C55">
        <w:rPr>
          <w:rFonts w:cs="Open Sans"/>
          <w:bCs/>
        </w:rPr>
        <w:t>Cth</w:t>
      </w:r>
      <w:proofErr w:type="spellEnd"/>
      <w:r w:rsidRPr="002F2C55">
        <w:rPr>
          <w:rFonts w:cs="Open Sans"/>
          <w:bCs/>
        </w:rPr>
        <w:t xml:space="preserve">) proceeds: </w:t>
      </w:r>
    </w:p>
    <w:p w14:paraId="0D8EA751" w14:textId="77777777" w:rsidR="005F09A2" w:rsidRPr="002F2C55" w:rsidRDefault="005F09A2" w:rsidP="0052474E">
      <w:pPr>
        <w:pStyle w:val="ListParagraph"/>
        <w:numPr>
          <w:ilvl w:val="0"/>
          <w:numId w:val="38"/>
        </w:numPr>
        <w:ind w:left="1440"/>
        <w:rPr>
          <w:rFonts w:eastAsia="Times New Roman" w:cs="Open Sans"/>
          <w:bCs/>
        </w:rPr>
      </w:pPr>
      <w:r w:rsidRPr="002F2C55">
        <w:rPr>
          <w:rFonts w:cs="Open Sans"/>
          <w:bCs/>
        </w:rPr>
        <w:t>an evaluation of the</w:t>
      </w:r>
      <w:r w:rsidRPr="002F2C55">
        <w:rPr>
          <w:rFonts w:eastAsia="Times New Roman" w:cs="Open Sans"/>
          <w:bCs/>
        </w:rPr>
        <w:t xml:space="preserve"> effectiveness and impacts of the trial should be conducted by an independent, appropriately qualified expert research body on the basis of both quantitative and qualitative indicators</w:t>
      </w:r>
    </w:p>
    <w:p w14:paraId="34B590F7" w14:textId="77777777" w:rsidR="005F09A2" w:rsidRPr="002F2C55" w:rsidRDefault="005F09A2" w:rsidP="0052474E">
      <w:pPr>
        <w:pStyle w:val="ListParagraph"/>
        <w:numPr>
          <w:ilvl w:val="0"/>
          <w:numId w:val="38"/>
        </w:numPr>
        <w:ind w:left="1440"/>
        <w:rPr>
          <w:rFonts w:eastAsia="Times New Roman" w:cs="Open Sans"/>
          <w:bCs/>
        </w:rPr>
      </w:pPr>
      <w:r w:rsidRPr="002F2C55">
        <w:rPr>
          <w:rFonts w:eastAsia="Times New Roman" w:cs="Open Sans"/>
          <w:bCs/>
        </w:rPr>
        <w:t>the evaluation body should consider the impacts on and compliance with Australia’s human rights obligations, as part of the assessment of the effectiveness of the program</w:t>
      </w:r>
    </w:p>
    <w:p w14:paraId="34871299" w14:textId="77777777" w:rsidR="005F09A2" w:rsidRPr="002F2C55" w:rsidRDefault="005F09A2" w:rsidP="0052474E">
      <w:pPr>
        <w:pStyle w:val="ListParagraph"/>
        <w:numPr>
          <w:ilvl w:val="0"/>
          <w:numId w:val="38"/>
        </w:numPr>
        <w:ind w:left="1440"/>
        <w:rPr>
          <w:rFonts w:eastAsia="Times New Roman" w:cs="Open Sans"/>
          <w:bCs/>
        </w:rPr>
      </w:pPr>
      <w:r w:rsidRPr="002F2C55">
        <w:rPr>
          <w:rFonts w:eastAsia="Times New Roman" w:cs="Open Sans"/>
          <w:bCs/>
        </w:rPr>
        <w:t>the evaluation report should be made publicly available for review by stakeholders</w:t>
      </w:r>
    </w:p>
    <w:p w14:paraId="3CE13A45" w14:textId="77777777" w:rsidR="005F09A2" w:rsidRPr="002F2C55" w:rsidRDefault="005F09A2" w:rsidP="0052474E">
      <w:pPr>
        <w:pStyle w:val="ListParagraph"/>
        <w:numPr>
          <w:ilvl w:val="0"/>
          <w:numId w:val="38"/>
        </w:numPr>
        <w:ind w:left="1440"/>
        <w:rPr>
          <w:rFonts w:eastAsia="Times New Roman" w:cs="Open Sans"/>
          <w:bCs/>
        </w:rPr>
      </w:pPr>
      <w:r w:rsidRPr="002F2C55">
        <w:rPr>
          <w:rFonts w:eastAsia="Times New Roman" w:cs="Open Sans"/>
          <w:bCs/>
        </w:rPr>
        <w:lastRenderedPageBreak/>
        <w:t>a public consultation process should inform any consideration of an expansion of the trial or extension of its duration</w:t>
      </w:r>
    </w:p>
    <w:p w14:paraId="278535DF" w14:textId="77777777" w:rsidR="005F09A2" w:rsidRPr="002F2C55" w:rsidRDefault="005F09A2" w:rsidP="0052474E">
      <w:pPr>
        <w:pStyle w:val="ListParagraph"/>
        <w:numPr>
          <w:ilvl w:val="0"/>
          <w:numId w:val="38"/>
        </w:numPr>
        <w:ind w:left="1440"/>
        <w:rPr>
          <w:rFonts w:eastAsia="Times New Roman" w:cs="Open Sans"/>
          <w:bCs/>
        </w:rPr>
      </w:pPr>
      <w:r w:rsidRPr="002F2C55">
        <w:rPr>
          <w:rFonts w:eastAsia="Times New Roman" w:cs="Open Sans"/>
          <w:bCs/>
        </w:rPr>
        <w:t>any expansion or extension of the trial should only occur following a positive report on the effectiveness of the trial and improved human rights outcomes, and with the support of key stakeholders</w:t>
      </w:r>
    </w:p>
    <w:p w14:paraId="3C706675" w14:textId="77777777" w:rsidR="005F09A2" w:rsidRPr="002F2C55" w:rsidRDefault="005F09A2" w:rsidP="0052474E">
      <w:pPr>
        <w:pStyle w:val="SubmissionNormal"/>
        <w:numPr>
          <w:ilvl w:val="0"/>
          <w:numId w:val="38"/>
        </w:numPr>
        <w:ind w:left="1440"/>
        <w:rPr>
          <w:rFonts w:cs="Open Sans"/>
          <w:bCs/>
        </w:rPr>
      </w:pPr>
      <w:r w:rsidRPr="002F2C55">
        <w:rPr>
          <w:rFonts w:cs="Open Sans"/>
          <w:bCs/>
        </w:rPr>
        <w:t>the trial should be reviewed for compliance with Australia’s international human rights obligations one year after commencement.</w:t>
      </w:r>
    </w:p>
    <w:p w14:paraId="6D2AAAEB" w14:textId="77777777" w:rsidR="00233C77" w:rsidRPr="002F2C55" w:rsidRDefault="00233C77" w:rsidP="00233C77">
      <w:pPr>
        <w:pStyle w:val="Heading1"/>
        <w:rPr>
          <w:rFonts w:cs="Open Sans"/>
        </w:rPr>
      </w:pPr>
      <w:bookmarkStart w:id="12" w:name="_Toc511221386"/>
      <w:bookmarkStart w:id="13" w:name="_Toc20838304"/>
      <w:r w:rsidRPr="002F2C55">
        <w:rPr>
          <w:rFonts w:cs="Open Sans"/>
        </w:rPr>
        <w:t>Overview of the proposed mandatory drug testing trial</w:t>
      </w:r>
      <w:bookmarkEnd w:id="12"/>
      <w:bookmarkEnd w:id="13"/>
    </w:p>
    <w:p w14:paraId="18EBE798" w14:textId="39134607" w:rsidR="00233C77" w:rsidRPr="002F2C55" w:rsidRDefault="00233C77" w:rsidP="00F67FD2">
      <w:pPr>
        <w:pStyle w:val="ListParagraph"/>
        <w:numPr>
          <w:ilvl w:val="0"/>
          <w:numId w:val="16"/>
        </w:numPr>
        <w:rPr>
          <w:rFonts w:cs="Open Sans"/>
          <w:i/>
        </w:rPr>
      </w:pPr>
      <w:r w:rsidRPr="002F2C55">
        <w:rPr>
          <w:rFonts w:cs="Open Sans"/>
        </w:rPr>
        <w:t>In summary, the</w:t>
      </w:r>
      <w:r w:rsidR="00C33B59" w:rsidRPr="002F2C55">
        <w:rPr>
          <w:rFonts w:cs="Open Sans"/>
        </w:rPr>
        <w:t xml:space="preserve"> Explanatory Memorandum to the</w:t>
      </w:r>
      <w:r w:rsidRPr="002F2C55">
        <w:rPr>
          <w:rFonts w:cs="Open Sans"/>
        </w:rPr>
        <w:t xml:space="preserve"> Bill </w:t>
      </w:r>
      <w:r w:rsidR="00C33B59" w:rsidRPr="002F2C55">
        <w:rPr>
          <w:rFonts w:cs="Open Sans"/>
        </w:rPr>
        <w:t xml:space="preserve">states that </w:t>
      </w:r>
      <w:r w:rsidRPr="002F2C55">
        <w:rPr>
          <w:rFonts w:cs="Open Sans"/>
        </w:rPr>
        <w:t>the drug testing trial scheme</w:t>
      </w:r>
      <w:r w:rsidR="00A45308" w:rsidRPr="002F2C55">
        <w:rPr>
          <w:rFonts w:cs="Open Sans"/>
        </w:rPr>
        <w:t xml:space="preserve"> </w:t>
      </w:r>
      <w:r w:rsidR="00C33B59" w:rsidRPr="002F2C55">
        <w:rPr>
          <w:rFonts w:cs="Open Sans"/>
        </w:rPr>
        <w:t>would operate as follows</w:t>
      </w:r>
      <w:r w:rsidRPr="002F2C55">
        <w:rPr>
          <w:rFonts w:cs="Open Sans"/>
        </w:rPr>
        <w:t>:</w:t>
      </w:r>
      <w:r w:rsidRPr="002F2C55">
        <w:rPr>
          <w:rStyle w:val="EndnoteReference"/>
          <w:rFonts w:cs="Open Sans"/>
        </w:rPr>
        <w:endnoteReference w:id="8"/>
      </w:r>
    </w:p>
    <w:p w14:paraId="1AED860A" w14:textId="44E80CC6" w:rsidR="00233C77" w:rsidRPr="002F2C55" w:rsidRDefault="00233C77" w:rsidP="00F67FD2">
      <w:pPr>
        <w:pStyle w:val="SubmissionNormal"/>
        <w:numPr>
          <w:ilvl w:val="1"/>
          <w:numId w:val="15"/>
        </w:numPr>
        <w:tabs>
          <w:tab w:val="num" w:pos="7383"/>
        </w:tabs>
        <w:spacing w:before="120" w:after="120"/>
        <w:rPr>
          <w:rFonts w:cs="Open Sans"/>
        </w:rPr>
      </w:pPr>
      <w:r w:rsidRPr="002F2C55">
        <w:rPr>
          <w:rFonts w:cs="Open Sans"/>
        </w:rPr>
        <w:t xml:space="preserve">5,000 randomly selected new recipients of the Newstart Allowance or Youth Allowance (other) (being Youth Allowance </w:t>
      </w:r>
      <w:r w:rsidR="00A45308" w:rsidRPr="002F2C55">
        <w:rPr>
          <w:rFonts w:cs="Open Sans"/>
        </w:rPr>
        <w:t>recipients</w:t>
      </w:r>
      <w:r w:rsidRPr="002F2C55">
        <w:rPr>
          <w:rFonts w:cs="Open Sans"/>
        </w:rPr>
        <w:t xml:space="preserve"> who are not full-time students or </w:t>
      </w:r>
      <w:r w:rsidR="00A45308" w:rsidRPr="002F2C55">
        <w:rPr>
          <w:rFonts w:cs="Open Sans"/>
        </w:rPr>
        <w:t>Australian apprentices) residing in the three selected areas would be subject to mandatory drug testing in order to receive their welfare entitlements</w:t>
      </w:r>
    </w:p>
    <w:p w14:paraId="2D206D30" w14:textId="09C54B30" w:rsidR="00233C77" w:rsidRPr="002F2C55" w:rsidRDefault="00A45308" w:rsidP="00F67FD2">
      <w:pPr>
        <w:pStyle w:val="SubmissionNormal"/>
        <w:numPr>
          <w:ilvl w:val="1"/>
          <w:numId w:val="15"/>
        </w:numPr>
        <w:tabs>
          <w:tab w:val="num" w:pos="7383"/>
        </w:tabs>
        <w:spacing w:before="120" w:after="120"/>
        <w:rPr>
          <w:rFonts w:cs="Open Sans"/>
        </w:rPr>
      </w:pPr>
      <w:r w:rsidRPr="002F2C55">
        <w:rPr>
          <w:rFonts w:cs="Open Sans"/>
        </w:rPr>
        <w:t>t</w:t>
      </w:r>
      <w:r w:rsidR="00233C77" w:rsidRPr="002F2C55">
        <w:rPr>
          <w:rFonts w:cs="Open Sans"/>
        </w:rPr>
        <w:t>he</w:t>
      </w:r>
      <w:r w:rsidRPr="002F2C55">
        <w:rPr>
          <w:rFonts w:cs="Open Sans"/>
        </w:rPr>
        <w:t xml:space="preserve"> scheme would be administered by</w:t>
      </w:r>
      <w:r w:rsidR="00233C77" w:rsidRPr="002F2C55">
        <w:rPr>
          <w:rFonts w:cs="Open Sans"/>
        </w:rPr>
        <w:t xml:space="preserve"> Services</w:t>
      </w:r>
      <w:r w:rsidRPr="002F2C55">
        <w:rPr>
          <w:rFonts w:cs="Open Sans"/>
        </w:rPr>
        <w:t xml:space="preserve"> Australia, using contracted third party drug testing providers</w:t>
      </w:r>
      <w:r w:rsidR="00233C77" w:rsidRPr="002F2C55">
        <w:rPr>
          <w:rFonts w:cs="Open Sans"/>
        </w:rPr>
        <w:t xml:space="preserve"> </w:t>
      </w:r>
    </w:p>
    <w:p w14:paraId="5009A267" w14:textId="2BE6D30A" w:rsidR="00233C77" w:rsidRPr="002F2C55" w:rsidRDefault="00A45308" w:rsidP="00F67FD2">
      <w:pPr>
        <w:pStyle w:val="SubmissionNormal"/>
        <w:numPr>
          <w:ilvl w:val="1"/>
          <w:numId w:val="15"/>
        </w:numPr>
        <w:tabs>
          <w:tab w:val="num" w:pos="7383"/>
        </w:tabs>
        <w:spacing w:before="120" w:after="120"/>
        <w:rPr>
          <w:rFonts w:cs="Open Sans"/>
        </w:rPr>
      </w:pPr>
      <w:r w:rsidRPr="002F2C55">
        <w:rPr>
          <w:rFonts w:cs="Open Sans"/>
        </w:rPr>
        <w:t>n</w:t>
      </w:r>
      <w:r w:rsidR="00233C77" w:rsidRPr="002F2C55">
        <w:rPr>
          <w:rFonts w:cs="Open Sans"/>
        </w:rPr>
        <w:t xml:space="preserve">ew </w:t>
      </w:r>
      <w:r w:rsidRPr="002F2C55">
        <w:rPr>
          <w:rFonts w:cs="Open Sans"/>
        </w:rPr>
        <w:t>social security claimants would have to</w:t>
      </w:r>
      <w:r w:rsidR="00233C77" w:rsidRPr="002F2C55">
        <w:rPr>
          <w:rFonts w:cs="Open Sans"/>
        </w:rPr>
        <w:t xml:space="preserve"> acknowledge in their claim </w:t>
      </w:r>
      <w:r w:rsidRPr="002F2C55">
        <w:rPr>
          <w:rFonts w:cs="Open Sans"/>
        </w:rPr>
        <w:t xml:space="preserve">form </w:t>
      </w:r>
      <w:r w:rsidR="00233C77" w:rsidRPr="002F2C55">
        <w:rPr>
          <w:rFonts w:cs="Open Sans"/>
        </w:rPr>
        <w:t>that they may be required to undergo drug test</w:t>
      </w:r>
      <w:r w:rsidRPr="002F2C55">
        <w:rPr>
          <w:rFonts w:cs="Open Sans"/>
        </w:rPr>
        <w:t>ing</w:t>
      </w:r>
      <w:r w:rsidR="00233C77" w:rsidRPr="002F2C55">
        <w:rPr>
          <w:rFonts w:cs="Open Sans"/>
        </w:rPr>
        <w:t xml:space="preserve"> as a condition of payment</w:t>
      </w:r>
    </w:p>
    <w:p w14:paraId="513AE0B4" w14:textId="11AD15AC" w:rsidR="00C33B59" w:rsidRPr="002F2C55" w:rsidRDefault="00C33B59" w:rsidP="00F67FD2">
      <w:pPr>
        <w:pStyle w:val="SubmissionNormal"/>
        <w:numPr>
          <w:ilvl w:val="1"/>
          <w:numId w:val="15"/>
        </w:numPr>
        <w:tabs>
          <w:tab w:val="num" w:pos="7383"/>
        </w:tabs>
        <w:spacing w:before="120" w:after="120"/>
        <w:rPr>
          <w:rFonts w:cs="Open Sans"/>
        </w:rPr>
      </w:pPr>
      <w:r w:rsidRPr="002F2C55">
        <w:rPr>
          <w:rFonts w:cs="Open Sans"/>
        </w:rPr>
        <w:t xml:space="preserve">selected recipients would be notified to attend an appointment at their local Centrelink office, where they would be notified that they are required to undertake a random drug test immediately </w:t>
      </w:r>
    </w:p>
    <w:p w14:paraId="7636A688" w14:textId="0F9D9BE9" w:rsidR="00C33B59" w:rsidRPr="002F2C55" w:rsidRDefault="00C33B59" w:rsidP="00F67FD2">
      <w:pPr>
        <w:pStyle w:val="SubmissionNormal"/>
        <w:numPr>
          <w:ilvl w:val="1"/>
          <w:numId w:val="15"/>
        </w:numPr>
        <w:tabs>
          <w:tab w:val="num" w:pos="7383"/>
        </w:tabs>
        <w:spacing w:before="120" w:after="120"/>
        <w:rPr>
          <w:rFonts w:cs="Open Sans"/>
        </w:rPr>
      </w:pPr>
      <w:r w:rsidRPr="002F2C55">
        <w:rPr>
          <w:rFonts w:cs="Open Sans"/>
        </w:rPr>
        <w:t>the drug test would be carried out in a private space at the Centrelink office, or at the drug testing provider’s premises nearby</w:t>
      </w:r>
    </w:p>
    <w:p w14:paraId="26EF5821" w14:textId="124E6292" w:rsidR="00C33B59" w:rsidRPr="002F2C55" w:rsidRDefault="00C33B59" w:rsidP="00F67FD2">
      <w:pPr>
        <w:pStyle w:val="SubmissionNormal"/>
        <w:numPr>
          <w:ilvl w:val="1"/>
          <w:numId w:val="15"/>
        </w:numPr>
        <w:tabs>
          <w:tab w:val="num" w:pos="7383"/>
        </w:tabs>
        <w:spacing w:before="120" w:after="120"/>
        <w:rPr>
          <w:rFonts w:cs="Open Sans"/>
        </w:rPr>
      </w:pPr>
      <w:r w:rsidRPr="002F2C55">
        <w:rPr>
          <w:rFonts w:cs="Open Sans"/>
        </w:rPr>
        <w:t>testing of a person’s</w:t>
      </w:r>
      <w:r w:rsidR="001D2D76" w:rsidRPr="002F2C55">
        <w:rPr>
          <w:rFonts w:cs="Open Sans"/>
        </w:rPr>
        <w:t xml:space="preserve"> hair, saliva or urine would be carried out to identify a </w:t>
      </w:r>
      <w:r w:rsidR="00F90979" w:rsidRPr="002F2C55">
        <w:rPr>
          <w:rFonts w:cs="Open Sans"/>
        </w:rPr>
        <w:t>“</w:t>
      </w:r>
      <w:r w:rsidR="001D2D76" w:rsidRPr="002F2C55">
        <w:rPr>
          <w:rFonts w:cs="Open Sans"/>
        </w:rPr>
        <w:t>testable drug</w:t>
      </w:r>
      <w:r w:rsidR="00F90979" w:rsidRPr="002F2C55">
        <w:rPr>
          <w:rFonts w:cs="Open Sans"/>
        </w:rPr>
        <w:t>”</w:t>
      </w:r>
      <w:r w:rsidR="001D2D76" w:rsidRPr="002F2C55">
        <w:rPr>
          <w:rFonts w:cs="Open Sans"/>
        </w:rPr>
        <w:t xml:space="preserve">, defined to include methamphetamine, heroin, cocaine, tetrahydrocannabinol or another substance prescribed by the drug test rules under </w:t>
      </w:r>
      <w:r w:rsidR="006E088C" w:rsidRPr="002F2C55">
        <w:rPr>
          <w:rFonts w:cs="Open Sans"/>
        </w:rPr>
        <w:t>proposed</w:t>
      </w:r>
      <w:r w:rsidR="001D2D76" w:rsidRPr="002F2C55">
        <w:rPr>
          <w:rFonts w:cs="Open Sans"/>
        </w:rPr>
        <w:t xml:space="preserve"> s 38FA</w:t>
      </w:r>
    </w:p>
    <w:p w14:paraId="1975A623" w14:textId="18E82801" w:rsidR="004E7DBD" w:rsidRPr="002F2C55" w:rsidRDefault="00A45308" w:rsidP="00F67FD2">
      <w:pPr>
        <w:pStyle w:val="SubmissionNormal"/>
        <w:numPr>
          <w:ilvl w:val="1"/>
          <w:numId w:val="15"/>
        </w:numPr>
        <w:tabs>
          <w:tab w:val="num" w:pos="7383"/>
        </w:tabs>
        <w:spacing w:before="120" w:after="120"/>
        <w:rPr>
          <w:rFonts w:cs="Open Sans"/>
        </w:rPr>
      </w:pPr>
      <w:r w:rsidRPr="002F2C55">
        <w:rPr>
          <w:rFonts w:cs="Open Sans"/>
        </w:rPr>
        <w:t>r</w:t>
      </w:r>
      <w:r w:rsidR="00233C77" w:rsidRPr="002F2C55">
        <w:rPr>
          <w:rFonts w:cs="Open Sans"/>
        </w:rPr>
        <w:t xml:space="preserve">ecipients who test positive to </w:t>
      </w:r>
      <w:r w:rsidR="00C33B59" w:rsidRPr="002F2C55">
        <w:rPr>
          <w:rFonts w:cs="Open Sans"/>
        </w:rPr>
        <w:t>the</w:t>
      </w:r>
      <w:r w:rsidR="00233C77" w:rsidRPr="002F2C55">
        <w:rPr>
          <w:rFonts w:cs="Open Sans"/>
        </w:rPr>
        <w:t xml:space="preserve"> </w:t>
      </w:r>
      <w:r w:rsidRPr="002F2C55">
        <w:rPr>
          <w:rFonts w:cs="Open Sans"/>
        </w:rPr>
        <w:t xml:space="preserve">first </w:t>
      </w:r>
      <w:r w:rsidR="00233C77" w:rsidRPr="002F2C55">
        <w:rPr>
          <w:rFonts w:cs="Open Sans"/>
        </w:rPr>
        <w:t>mandatory drug test w</w:t>
      </w:r>
      <w:r w:rsidRPr="002F2C55">
        <w:rPr>
          <w:rFonts w:cs="Open Sans"/>
        </w:rPr>
        <w:t>ould</w:t>
      </w:r>
      <w:r w:rsidR="00233C77" w:rsidRPr="002F2C55">
        <w:rPr>
          <w:rFonts w:cs="Open Sans"/>
        </w:rPr>
        <w:t xml:space="preserve"> be </w:t>
      </w:r>
      <w:r w:rsidRPr="002F2C55">
        <w:rPr>
          <w:rFonts w:cs="Open Sans"/>
        </w:rPr>
        <w:t xml:space="preserve">made </w:t>
      </w:r>
      <w:r w:rsidR="00233C77" w:rsidRPr="002F2C55">
        <w:rPr>
          <w:rFonts w:cs="Open Sans"/>
        </w:rPr>
        <w:t xml:space="preserve">subject to income management for 24 months and further </w:t>
      </w:r>
      <w:r w:rsidR="00233C77" w:rsidRPr="002F2C55">
        <w:rPr>
          <w:rFonts w:cs="Open Sans"/>
        </w:rPr>
        <w:lastRenderedPageBreak/>
        <w:t>random drug tests</w:t>
      </w:r>
      <w:r w:rsidR="00C33B59" w:rsidRPr="002F2C55">
        <w:rPr>
          <w:rFonts w:cs="Open Sans"/>
        </w:rPr>
        <w:t xml:space="preserve"> throughout that period</w:t>
      </w:r>
      <w:r w:rsidR="00233C77" w:rsidRPr="002F2C55">
        <w:rPr>
          <w:rFonts w:cs="Open Sans"/>
        </w:rPr>
        <w:t xml:space="preserve"> (the first</w:t>
      </w:r>
      <w:r w:rsidR="001D2D76" w:rsidRPr="002F2C55">
        <w:rPr>
          <w:rFonts w:cs="Open Sans"/>
        </w:rPr>
        <w:t xml:space="preserve"> further</w:t>
      </w:r>
      <w:r w:rsidR="00C33B59" w:rsidRPr="002F2C55">
        <w:rPr>
          <w:rFonts w:cs="Open Sans"/>
        </w:rPr>
        <w:t xml:space="preserve"> test</w:t>
      </w:r>
      <w:r w:rsidR="00233C77" w:rsidRPr="002F2C55">
        <w:rPr>
          <w:rFonts w:cs="Open Sans"/>
        </w:rPr>
        <w:t xml:space="preserve"> being</w:t>
      </w:r>
      <w:r w:rsidR="00C33B59" w:rsidRPr="002F2C55">
        <w:rPr>
          <w:rFonts w:cs="Open Sans"/>
        </w:rPr>
        <w:t xml:space="preserve"> conducted</w:t>
      </w:r>
      <w:r w:rsidR="00233C77" w:rsidRPr="002F2C55">
        <w:rPr>
          <w:rFonts w:cs="Open Sans"/>
        </w:rPr>
        <w:t xml:space="preserve"> within 25 days</w:t>
      </w:r>
      <w:r w:rsidR="001D2D76" w:rsidRPr="002F2C55">
        <w:rPr>
          <w:rFonts w:cs="Open Sans"/>
        </w:rPr>
        <w:t xml:space="preserve"> of the first positive test</w:t>
      </w:r>
      <w:r w:rsidR="00233C77" w:rsidRPr="002F2C55">
        <w:rPr>
          <w:rFonts w:cs="Open Sans"/>
        </w:rPr>
        <w:t>)</w:t>
      </w:r>
    </w:p>
    <w:p w14:paraId="6FDE273C" w14:textId="20458256" w:rsidR="004E7DBD" w:rsidRPr="002F2C55" w:rsidRDefault="004E7DBD" w:rsidP="00F67FD2">
      <w:pPr>
        <w:pStyle w:val="SubmissionNormal"/>
        <w:numPr>
          <w:ilvl w:val="1"/>
          <w:numId w:val="15"/>
        </w:numPr>
        <w:tabs>
          <w:tab w:val="num" w:pos="7383"/>
        </w:tabs>
        <w:spacing w:before="120" w:after="120"/>
        <w:rPr>
          <w:rFonts w:cs="Open Sans"/>
        </w:rPr>
      </w:pPr>
      <w:r w:rsidRPr="002F2C55">
        <w:rPr>
          <w:rFonts w:cs="Open Sans"/>
        </w:rPr>
        <w:t xml:space="preserve">income management would take the form of </w:t>
      </w:r>
      <w:r w:rsidR="003E1B4C" w:rsidRPr="002F2C55">
        <w:rPr>
          <w:rFonts w:cs="Open Sans"/>
        </w:rPr>
        <w:t xml:space="preserve">the quarantining of the majority of a </w:t>
      </w:r>
      <w:r w:rsidR="00220443" w:rsidRPr="002F2C55">
        <w:rPr>
          <w:rFonts w:cs="Open Sans"/>
        </w:rPr>
        <w:t>welfare</w:t>
      </w:r>
      <w:r w:rsidR="003E1B4C" w:rsidRPr="002F2C55">
        <w:rPr>
          <w:rFonts w:cs="Open Sans"/>
        </w:rPr>
        <w:t xml:space="preserve"> payment</w:t>
      </w:r>
      <w:r w:rsidR="00220443" w:rsidRPr="002F2C55">
        <w:rPr>
          <w:rFonts w:cs="Open Sans"/>
        </w:rPr>
        <w:t xml:space="preserve"> onto a cashless debit card; the person is unable to use the card to withdraw cash and </w:t>
      </w:r>
      <w:r w:rsidR="00890A61" w:rsidRPr="002F2C55">
        <w:rPr>
          <w:rFonts w:cs="Open Sans"/>
        </w:rPr>
        <w:t>also unable to use the card to gamble, buy alcohol</w:t>
      </w:r>
      <w:r w:rsidR="005D077F" w:rsidRPr="002F2C55">
        <w:rPr>
          <w:rFonts w:cs="Open Sans"/>
        </w:rPr>
        <w:t xml:space="preserve"> or</w:t>
      </w:r>
      <w:r w:rsidR="00890A61" w:rsidRPr="002F2C55">
        <w:rPr>
          <w:rFonts w:cs="Open Sans"/>
        </w:rPr>
        <w:t xml:space="preserve"> tobacco products </w:t>
      </w:r>
    </w:p>
    <w:p w14:paraId="7AC79C5A" w14:textId="74E38BEF" w:rsidR="00233C77" w:rsidRPr="002F2C55" w:rsidRDefault="00C33B59" w:rsidP="00F67FD2">
      <w:pPr>
        <w:pStyle w:val="SubmissionNormal"/>
        <w:numPr>
          <w:ilvl w:val="1"/>
          <w:numId w:val="15"/>
        </w:numPr>
        <w:tabs>
          <w:tab w:val="num" w:pos="7383"/>
        </w:tabs>
        <w:spacing w:before="120" w:after="120"/>
        <w:rPr>
          <w:rFonts w:cs="Open Sans"/>
        </w:rPr>
      </w:pPr>
      <w:r w:rsidRPr="002F2C55">
        <w:rPr>
          <w:rFonts w:cs="Open Sans"/>
        </w:rPr>
        <w:t>r</w:t>
      </w:r>
      <w:r w:rsidR="00233C77" w:rsidRPr="002F2C55">
        <w:rPr>
          <w:rFonts w:cs="Open Sans"/>
        </w:rPr>
        <w:t xml:space="preserve">ecipients who test positive to </w:t>
      </w:r>
      <w:r w:rsidR="004E7DBD" w:rsidRPr="002F2C55">
        <w:rPr>
          <w:rFonts w:cs="Open Sans"/>
        </w:rPr>
        <w:t>more than one</w:t>
      </w:r>
      <w:r w:rsidR="00233C77" w:rsidRPr="002F2C55">
        <w:rPr>
          <w:rFonts w:cs="Open Sans"/>
        </w:rPr>
        <w:t xml:space="preserve"> mandatory drug test w</w:t>
      </w:r>
      <w:r w:rsidR="001D2D76" w:rsidRPr="002F2C55">
        <w:rPr>
          <w:rFonts w:cs="Open Sans"/>
        </w:rPr>
        <w:t>ould</w:t>
      </w:r>
      <w:r w:rsidR="00233C77" w:rsidRPr="002F2C55">
        <w:rPr>
          <w:rFonts w:cs="Open Sans"/>
        </w:rPr>
        <w:t>:</w:t>
      </w:r>
    </w:p>
    <w:p w14:paraId="07F6F584" w14:textId="557A7274" w:rsidR="00233C77" w:rsidRPr="002F2C55" w:rsidRDefault="00233C77" w:rsidP="00F67FD2">
      <w:pPr>
        <w:pStyle w:val="SubmissionNormal"/>
        <w:numPr>
          <w:ilvl w:val="2"/>
          <w:numId w:val="15"/>
        </w:numPr>
        <w:tabs>
          <w:tab w:val="num" w:pos="7383"/>
        </w:tabs>
        <w:spacing w:before="120" w:after="120"/>
        <w:rPr>
          <w:rFonts w:cs="Open Sans"/>
        </w:rPr>
      </w:pPr>
      <w:r w:rsidRPr="002F2C55">
        <w:rPr>
          <w:rFonts w:cs="Open Sans"/>
        </w:rPr>
        <w:t>be referred for medical, psychiatric or psychological examination and assessment</w:t>
      </w:r>
      <w:r w:rsidR="005D2435" w:rsidRPr="002F2C55">
        <w:rPr>
          <w:rFonts w:cs="Open Sans"/>
        </w:rPr>
        <w:t xml:space="preserve"> in accordance with a notice given under s 63(4) of the </w:t>
      </w:r>
      <w:r w:rsidR="00230154" w:rsidRPr="002F2C55">
        <w:rPr>
          <w:rFonts w:cs="Open Sans"/>
          <w:i/>
          <w:iCs/>
        </w:rPr>
        <w:t>Social Security (Administration) Act 1999</w:t>
      </w:r>
      <w:r w:rsidR="00230154" w:rsidRPr="002F2C55">
        <w:rPr>
          <w:rFonts w:cs="Open Sans"/>
        </w:rPr>
        <w:t xml:space="preserve"> (</w:t>
      </w:r>
      <w:proofErr w:type="spellStart"/>
      <w:r w:rsidR="00230154" w:rsidRPr="002F2C55">
        <w:rPr>
          <w:rFonts w:cs="Open Sans"/>
        </w:rPr>
        <w:t>Cth</w:t>
      </w:r>
      <w:proofErr w:type="spellEnd"/>
      <w:r w:rsidR="00230154" w:rsidRPr="002F2C55">
        <w:rPr>
          <w:rFonts w:cs="Open Sans"/>
        </w:rPr>
        <w:t>)</w:t>
      </w:r>
    </w:p>
    <w:p w14:paraId="283585F2" w14:textId="0587C57A" w:rsidR="00233C77" w:rsidRPr="002F2C55" w:rsidRDefault="00233C77" w:rsidP="00F67FD2">
      <w:pPr>
        <w:pStyle w:val="SubmissionNormal"/>
        <w:numPr>
          <w:ilvl w:val="2"/>
          <w:numId w:val="15"/>
        </w:numPr>
        <w:tabs>
          <w:tab w:val="num" w:pos="7383"/>
        </w:tabs>
        <w:spacing w:before="120" w:after="120"/>
        <w:rPr>
          <w:rFonts w:cs="Open Sans"/>
        </w:rPr>
      </w:pPr>
      <w:r w:rsidRPr="002F2C55">
        <w:rPr>
          <w:rFonts w:cs="Open Sans"/>
        </w:rPr>
        <w:t xml:space="preserve">if treatment is recommended, be required to </w:t>
      </w:r>
      <w:r w:rsidR="00FD1D0F" w:rsidRPr="002F2C55">
        <w:rPr>
          <w:rFonts w:cs="Open Sans"/>
        </w:rPr>
        <w:t>undertake</w:t>
      </w:r>
      <w:r w:rsidRPr="002F2C55">
        <w:rPr>
          <w:rFonts w:cs="Open Sans"/>
        </w:rPr>
        <w:t xml:space="preserve"> treatment </w:t>
      </w:r>
      <w:r w:rsidR="00250D1F" w:rsidRPr="002F2C55">
        <w:rPr>
          <w:rFonts w:cs="Open Sans"/>
        </w:rPr>
        <w:t>for use of drugs,</w:t>
      </w:r>
      <w:r w:rsidR="00DD0C97" w:rsidRPr="002F2C55">
        <w:rPr>
          <w:rFonts w:cs="Open Sans"/>
        </w:rPr>
        <w:t xml:space="preserve"> or make an undertaking to commit to future treatment</w:t>
      </w:r>
      <w:r w:rsidR="00250D1F" w:rsidRPr="002F2C55">
        <w:rPr>
          <w:rFonts w:cs="Open Sans"/>
        </w:rPr>
        <w:t>,</w:t>
      </w:r>
      <w:r w:rsidR="00532CA7" w:rsidRPr="002F2C55">
        <w:rPr>
          <w:rFonts w:cs="Open Sans"/>
        </w:rPr>
        <w:t xml:space="preserve"> </w:t>
      </w:r>
      <w:r w:rsidRPr="002F2C55">
        <w:rPr>
          <w:rFonts w:cs="Open Sans"/>
        </w:rPr>
        <w:t>such as counselling, rehabilitation and/or ongoing drug testing as part of a</w:t>
      </w:r>
      <w:r w:rsidR="00250D1F" w:rsidRPr="002F2C55">
        <w:rPr>
          <w:rFonts w:cs="Open Sans"/>
        </w:rPr>
        <w:t xml:space="preserve"> mandatory</w:t>
      </w:r>
      <w:r w:rsidR="00C937F9" w:rsidRPr="002F2C55">
        <w:rPr>
          <w:rFonts w:cs="Open Sans"/>
        </w:rPr>
        <w:t xml:space="preserve"> ‘Employment Pathway Plan’ (</w:t>
      </w:r>
      <w:r w:rsidR="00250D1F" w:rsidRPr="002F2C55">
        <w:rPr>
          <w:rFonts w:cs="Open Sans"/>
        </w:rPr>
        <w:t>Job Plan</w:t>
      </w:r>
      <w:r w:rsidR="00C937F9" w:rsidRPr="002F2C55">
        <w:rPr>
          <w:rFonts w:cs="Open Sans"/>
        </w:rPr>
        <w:t>)</w:t>
      </w:r>
      <w:r w:rsidR="00250D1F" w:rsidRPr="002F2C55">
        <w:rPr>
          <w:rFonts w:cs="Open Sans"/>
        </w:rPr>
        <w:t xml:space="preserve"> linked to their welfare payments</w:t>
      </w:r>
      <w:r w:rsidRPr="002F2C55">
        <w:rPr>
          <w:rFonts w:cs="Open Sans"/>
        </w:rPr>
        <w:t xml:space="preserve"> </w:t>
      </w:r>
    </w:p>
    <w:p w14:paraId="56D2014A" w14:textId="2C49720F" w:rsidR="00FD66FC" w:rsidRPr="002F2C55" w:rsidRDefault="00FD66FC" w:rsidP="00F67FD2">
      <w:pPr>
        <w:pStyle w:val="SubmissionNormal"/>
        <w:numPr>
          <w:ilvl w:val="1"/>
          <w:numId w:val="15"/>
        </w:numPr>
        <w:tabs>
          <w:tab w:val="num" w:pos="7383"/>
        </w:tabs>
        <w:spacing w:before="120" w:after="120"/>
        <w:rPr>
          <w:rFonts w:cs="Open Sans"/>
        </w:rPr>
      </w:pPr>
      <w:r w:rsidRPr="002F2C55">
        <w:rPr>
          <w:rFonts w:cs="Open Sans"/>
        </w:rPr>
        <w:t>recipients who refuse to undertake drug testing will have their payment</w:t>
      </w:r>
      <w:r w:rsidR="00CB778F" w:rsidRPr="002F2C55">
        <w:rPr>
          <w:rFonts w:cs="Open Sans"/>
        </w:rPr>
        <w:t>s</w:t>
      </w:r>
      <w:r w:rsidRPr="002F2C55">
        <w:rPr>
          <w:rFonts w:cs="Open Sans"/>
        </w:rPr>
        <w:t xml:space="preserve"> cancelled</w:t>
      </w:r>
      <w:r w:rsidR="00CB778F" w:rsidRPr="002F2C55">
        <w:rPr>
          <w:rFonts w:cs="Open Sans"/>
        </w:rPr>
        <w:t xml:space="preserve"> with immediate effect</w:t>
      </w:r>
      <w:r w:rsidR="00C62597" w:rsidRPr="002F2C55">
        <w:rPr>
          <w:rFonts w:cs="Open Sans"/>
        </w:rPr>
        <w:t xml:space="preserve"> on the day of the refusal</w:t>
      </w:r>
      <w:r w:rsidRPr="002F2C55">
        <w:rPr>
          <w:rFonts w:cs="Open Sans"/>
        </w:rPr>
        <w:t xml:space="preserve"> unless they have a </w:t>
      </w:r>
      <w:r w:rsidR="00F90979" w:rsidRPr="002F2C55">
        <w:rPr>
          <w:rFonts w:cs="Open Sans"/>
        </w:rPr>
        <w:t>“</w:t>
      </w:r>
      <w:r w:rsidRPr="002F2C55">
        <w:rPr>
          <w:rFonts w:cs="Open Sans"/>
        </w:rPr>
        <w:t>reasonable excuse</w:t>
      </w:r>
      <w:r w:rsidR="00F90979" w:rsidRPr="002F2C55">
        <w:rPr>
          <w:rFonts w:cs="Open Sans"/>
        </w:rPr>
        <w:t>”</w:t>
      </w:r>
      <w:r w:rsidR="00772AAE" w:rsidRPr="002F2C55">
        <w:rPr>
          <w:rFonts w:cs="Open Sans"/>
        </w:rPr>
        <w:t xml:space="preserve"> (suspension will not be an </w:t>
      </w:r>
      <w:r w:rsidR="00D336A8" w:rsidRPr="002F2C55">
        <w:rPr>
          <w:rFonts w:cs="Open Sans"/>
        </w:rPr>
        <w:t>option</w:t>
      </w:r>
      <w:r w:rsidR="00772AAE" w:rsidRPr="002F2C55">
        <w:rPr>
          <w:rFonts w:cs="Open Sans"/>
        </w:rPr>
        <w:t>)</w:t>
      </w:r>
      <w:r w:rsidRPr="002F2C55">
        <w:rPr>
          <w:rFonts w:cs="Open Sans"/>
        </w:rPr>
        <w:t xml:space="preserve"> </w:t>
      </w:r>
    </w:p>
    <w:p w14:paraId="3384A1E5" w14:textId="687E17D7" w:rsidR="00D336A8" w:rsidRPr="002F2C55" w:rsidRDefault="00684EAA" w:rsidP="00F67FD2">
      <w:pPr>
        <w:pStyle w:val="SubmissionNormal"/>
        <w:numPr>
          <w:ilvl w:val="1"/>
          <w:numId w:val="15"/>
        </w:numPr>
        <w:tabs>
          <w:tab w:val="num" w:pos="7383"/>
        </w:tabs>
        <w:spacing w:before="120" w:after="120"/>
        <w:rPr>
          <w:rFonts w:cs="Open Sans"/>
        </w:rPr>
      </w:pPr>
      <w:r w:rsidRPr="002F2C55">
        <w:rPr>
          <w:rFonts w:cs="Open Sans"/>
        </w:rPr>
        <w:t>r</w:t>
      </w:r>
      <w:r w:rsidR="00233C77" w:rsidRPr="002F2C55">
        <w:rPr>
          <w:rFonts w:cs="Open Sans"/>
        </w:rPr>
        <w:t xml:space="preserve">ecipients who do not comply with the terms of their </w:t>
      </w:r>
      <w:r w:rsidR="0029245F" w:rsidRPr="002F2C55">
        <w:rPr>
          <w:rFonts w:cs="Open Sans"/>
        </w:rPr>
        <w:t>Job Plan</w:t>
      </w:r>
      <w:r w:rsidR="00FE6124" w:rsidRPr="002F2C55">
        <w:rPr>
          <w:rFonts w:cs="Open Sans"/>
        </w:rPr>
        <w:t xml:space="preserve">, for example </w:t>
      </w:r>
      <w:r w:rsidR="00F06008" w:rsidRPr="002F2C55">
        <w:rPr>
          <w:rFonts w:cs="Open Sans"/>
        </w:rPr>
        <w:t xml:space="preserve">failing to </w:t>
      </w:r>
      <w:r w:rsidR="00FE6124" w:rsidRPr="002F2C55">
        <w:rPr>
          <w:rFonts w:cs="Open Sans"/>
        </w:rPr>
        <w:t xml:space="preserve">attend </w:t>
      </w:r>
      <w:r w:rsidR="00F06008" w:rsidRPr="002F2C55">
        <w:rPr>
          <w:rFonts w:cs="Open Sans"/>
        </w:rPr>
        <w:t xml:space="preserve">a </w:t>
      </w:r>
      <w:r w:rsidR="00587868" w:rsidRPr="002F2C55">
        <w:rPr>
          <w:rFonts w:cs="Open Sans"/>
        </w:rPr>
        <w:t xml:space="preserve">drug </w:t>
      </w:r>
      <w:r w:rsidR="00F06008" w:rsidRPr="002F2C55">
        <w:rPr>
          <w:rFonts w:cs="Open Sans"/>
        </w:rPr>
        <w:t>counselling appointment</w:t>
      </w:r>
      <w:r w:rsidR="00014A26" w:rsidRPr="002F2C55">
        <w:rPr>
          <w:rFonts w:cs="Open Sans"/>
        </w:rPr>
        <w:t xml:space="preserve"> or not being punctual</w:t>
      </w:r>
      <w:r w:rsidR="00FE6124" w:rsidRPr="002F2C55">
        <w:rPr>
          <w:rFonts w:cs="Open Sans"/>
        </w:rPr>
        <w:t>,</w:t>
      </w:r>
      <w:r w:rsidR="00233C77" w:rsidRPr="002F2C55">
        <w:rPr>
          <w:rFonts w:cs="Open Sans"/>
        </w:rPr>
        <w:t xml:space="preserve"> may have their social security payments suspended </w:t>
      </w:r>
      <w:r w:rsidR="00FD66FC" w:rsidRPr="002F2C55">
        <w:rPr>
          <w:rFonts w:cs="Open Sans"/>
        </w:rPr>
        <w:t xml:space="preserve">or </w:t>
      </w:r>
      <w:r w:rsidR="00233C77" w:rsidRPr="002F2C55">
        <w:rPr>
          <w:rFonts w:cs="Open Sans"/>
        </w:rPr>
        <w:t>cancelled</w:t>
      </w:r>
      <w:r w:rsidR="00D336A8" w:rsidRPr="002F2C55">
        <w:rPr>
          <w:rFonts w:cs="Open Sans"/>
        </w:rPr>
        <w:t xml:space="preserve"> </w:t>
      </w:r>
      <w:r w:rsidR="00FD66FC" w:rsidRPr="002F2C55">
        <w:rPr>
          <w:rFonts w:cs="Open Sans"/>
        </w:rPr>
        <w:t xml:space="preserve">in accordance with </w:t>
      </w:r>
      <w:r w:rsidR="00D8757A" w:rsidRPr="002F2C55">
        <w:rPr>
          <w:rFonts w:cs="Open Sans"/>
        </w:rPr>
        <w:t xml:space="preserve">mutual obligation requirements under </w:t>
      </w:r>
      <w:r w:rsidR="00FD66FC" w:rsidRPr="002F2C55">
        <w:rPr>
          <w:rFonts w:cs="Open Sans"/>
        </w:rPr>
        <w:t>the Targeted Compliance Framework</w:t>
      </w:r>
      <w:r w:rsidR="00D336A8" w:rsidRPr="002F2C55">
        <w:rPr>
          <w:rFonts w:cs="Open Sans"/>
        </w:rPr>
        <w:t>, that is:</w:t>
      </w:r>
    </w:p>
    <w:p w14:paraId="28FF6393" w14:textId="686D012F" w:rsidR="007866B9" w:rsidRPr="002F2C55" w:rsidRDefault="007866B9" w:rsidP="00F67FD2">
      <w:pPr>
        <w:pStyle w:val="SubmissionNormal"/>
        <w:numPr>
          <w:ilvl w:val="2"/>
          <w:numId w:val="15"/>
        </w:numPr>
        <w:tabs>
          <w:tab w:val="num" w:pos="7383"/>
        </w:tabs>
        <w:spacing w:before="120" w:after="120"/>
        <w:rPr>
          <w:rFonts w:cs="Open Sans"/>
        </w:rPr>
      </w:pPr>
      <w:r w:rsidRPr="002F2C55">
        <w:rPr>
          <w:rFonts w:cs="Open Sans"/>
        </w:rPr>
        <w:t>payment suspension for failing to attend a scheduled appoint</w:t>
      </w:r>
      <w:r w:rsidR="00AE73EF" w:rsidRPr="002F2C55">
        <w:rPr>
          <w:rFonts w:cs="Open Sans"/>
        </w:rPr>
        <w:t>ment</w:t>
      </w:r>
      <w:r w:rsidRPr="002F2C55">
        <w:rPr>
          <w:rFonts w:cs="Open Sans"/>
        </w:rPr>
        <w:t xml:space="preserve"> with Services Australia</w:t>
      </w:r>
      <w:r w:rsidR="00997633" w:rsidRPr="002F2C55">
        <w:rPr>
          <w:rFonts w:cs="Open Sans"/>
        </w:rPr>
        <w:t xml:space="preserve"> (with the possibility of requesting to reschedule an appointment, with prior notice)</w:t>
      </w:r>
    </w:p>
    <w:p w14:paraId="28606936" w14:textId="656A69A3" w:rsidR="00233C77" w:rsidRPr="002F2C55" w:rsidRDefault="007866B9" w:rsidP="00F67FD2">
      <w:pPr>
        <w:pStyle w:val="SubmissionNormal"/>
        <w:numPr>
          <w:ilvl w:val="2"/>
          <w:numId w:val="15"/>
        </w:numPr>
        <w:tabs>
          <w:tab w:val="num" w:pos="7383"/>
        </w:tabs>
        <w:spacing w:before="120" w:after="120"/>
        <w:rPr>
          <w:rFonts w:cs="Open Sans"/>
        </w:rPr>
      </w:pPr>
      <w:r w:rsidRPr="002F2C55">
        <w:rPr>
          <w:rFonts w:cs="Open Sans"/>
        </w:rPr>
        <w:t>resumption of payment when the appointment is attended, but no back-dating of payment</w:t>
      </w:r>
      <w:r w:rsidR="00DD31D1" w:rsidRPr="002F2C55">
        <w:rPr>
          <w:rFonts w:cs="Open Sans"/>
        </w:rPr>
        <w:t xml:space="preserve">, unless the recipient has a </w:t>
      </w:r>
      <w:r w:rsidR="00F90979" w:rsidRPr="002F2C55">
        <w:rPr>
          <w:rFonts w:cs="Open Sans"/>
        </w:rPr>
        <w:t>“</w:t>
      </w:r>
      <w:r w:rsidR="00DD31D1" w:rsidRPr="002F2C55">
        <w:rPr>
          <w:rFonts w:cs="Open Sans"/>
        </w:rPr>
        <w:t>reasonable excuse</w:t>
      </w:r>
      <w:r w:rsidR="00F90979" w:rsidRPr="002F2C55">
        <w:rPr>
          <w:rFonts w:cs="Open Sans"/>
        </w:rPr>
        <w:t>”</w:t>
      </w:r>
      <w:r w:rsidR="00DD31D1" w:rsidRPr="002F2C55">
        <w:rPr>
          <w:rFonts w:cs="Open Sans"/>
        </w:rPr>
        <w:t xml:space="preserve"> for non-attendance</w:t>
      </w:r>
      <w:r w:rsidR="00233C77" w:rsidRPr="002F2C55">
        <w:rPr>
          <w:rFonts w:cs="Open Sans"/>
        </w:rPr>
        <w:t xml:space="preserve"> </w:t>
      </w:r>
    </w:p>
    <w:p w14:paraId="5032FD66" w14:textId="7646A1A0" w:rsidR="00997633" w:rsidRPr="002F2C55" w:rsidRDefault="00997633" w:rsidP="00F67FD2">
      <w:pPr>
        <w:pStyle w:val="SubmissionNormal"/>
        <w:numPr>
          <w:ilvl w:val="2"/>
          <w:numId w:val="15"/>
        </w:numPr>
        <w:tabs>
          <w:tab w:val="num" w:pos="7383"/>
        </w:tabs>
        <w:spacing w:before="120" w:after="120"/>
        <w:rPr>
          <w:rFonts w:cs="Open Sans"/>
        </w:rPr>
      </w:pPr>
      <w:r w:rsidRPr="002F2C55">
        <w:rPr>
          <w:rFonts w:cs="Open Sans"/>
        </w:rPr>
        <w:t>cancellation of payment if the recipient has not attended an appointment after 13 weeks</w:t>
      </w:r>
      <w:r w:rsidR="00EE2A03" w:rsidRPr="002F2C55">
        <w:rPr>
          <w:rFonts w:cs="Open Sans"/>
        </w:rPr>
        <w:t>.</w:t>
      </w:r>
    </w:p>
    <w:p w14:paraId="1C60AC1C" w14:textId="09DAC390" w:rsidR="007F6E03" w:rsidRPr="002F2C55" w:rsidRDefault="007F6E03" w:rsidP="00F67FD2">
      <w:pPr>
        <w:pStyle w:val="SubmissionNormal"/>
        <w:numPr>
          <w:ilvl w:val="1"/>
          <w:numId w:val="15"/>
        </w:numPr>
        <w:tabs>
          <w:tab w:val="num" w:pos="7383"/>
        </w:tabs>
        <w:spacing w:before="120" w:after="120"/>
        <w:rPr>
          <w:rFonts w:cs="Open Sans"/>
        </w:rPr>
      </w:pPr>
      <w:r w:rsidRPr="002F2C55">
        <w:rPr>
          <w:rFonts w:cs="Open Sans"/>
        </w:rPr>
        <w:lastRenderedPageBreak/>
        <w:t xml:space="preserve">if a person’s payment is </w:t>
      </w:r>
      <w:r w:rsidR="00B701B4" w:rsidRPr="002F2C55">
        <w:rPr>
          <w:rFonts w:cs="Open Sans"/>
        </w:rPr>
        <w:t>cancelled</w:t>
      </w:r>
      <w:r w:rsidRPr="002F2C55">
        <w:rPr>
          <w:rFonts w:cs="Open Sans"/>
        </w:rPr>
        <w:t xml:space="preserve"> due to refusing </w:t>
      </w:r>
      <w:r w:rsidR="00B701B4" w:rsidRPr="002F2C55">
        <w:rPr>
          <w:rFonts w:cs="Open Sans"/>
        </w:rPr>
        <w:t>to undertake a</w:t>
      </w:r>
      <w:r w:rsidRPr="002F2C55">
        <w:rPr>
          <w:rFonts w:cs="Open Sans"/>
        </w:rPr>
        <w:t xml:space="preserve"> drug test</w:t>
      </w:r>
      <w:r w:rsidR="00B701B4" w:rsidRPr="002F2C55">
        <w:rPr>
          <w:rFonts w:cs="Open Sans"/>
        </w:rPr>
        <w:t xml:space="preserve">, they will be subject to a </w:t>
      </w:r>
      <w:r w:rsidR="00F90979" w:rsidRPr="002F2C55">
        <w:rPr>
          <w:rFonts w:cs="Open Sans"/>
        </w:rPr>
        <w:t>“</w:t>
      </w:r>
      <w:r w:rsidR="00F72080" w:rsidRPr="002F2C55">
        <w:rPr>
          <w:rFonts w:cs="Open Sans"/>
        </w:rPr>
        <w:t>drug test refusal waiting period</w:t>
      </w:r>
      <w:r w:rsidR="00F90979" w:rsidRPr="002F2C55">
        <w:rPr>
          <w:rFonts w:cs="Open Sans"/>
        </w:rPr>
        <w:t>”</w:t>
      </w:r>
      <w:r w:rsidR="00F72080" w:rsidRPr="002F2C55">
        <w:rPr>
          <w:rFonts w:cs="Open Sans"/>
        </w:rPr>
        <w:t xml:space="preserve"> of 28 days before </w:t>
      </w:r>
      <w:r w:rsidR="006A22E3" w:rsidRPr="002F2C55">
        <w:rPr>
          <w:rFonts w:cs="Open Sans"/>
        </w:rPr>
        <w:t xml:space="preserve">Newstart or Youth Allowance (other) </w:t>
      </w:r>
      <w:r w:rsidR="006A1DC3" w:rsidRPr="002F2C55">
        <w:rPr>
          <w:rFonts w:cs="Open Sans"/>
        </w:rPr>
        <w:t xml:space="preserve">is payable </w:t>
      </w:r>
      <w:r w:rsidR="006A22E3" w:rsidRPr="002F2C55">
        <w:rPr>
          <w:rFonts w:cs="Open Sans"/>
        </w:rPr>
        <w:t>again</w:t>
      </w:r>
      <w:r w:rsidR="006A1DC3" w:rsidRPr="002F2C55">
        <w:rPr>
          <w:rFonts w:cs="Open Sans"/>
        </w:rPr>
        <w:t xml:space="preserve"> following reapplication</w:t>
      </w:r>
    </w:p>
    <w:p w14:paraId="643B44BA" w14:textId="2B66D568" w:rsidR="006A22E3" w:rsidRPr="002F2C55" w:rsidRDefault="006A22E3" w:rsidP="00F67FD2">
      <w:pPr>
        <w:pStyle w:val="SubmissionNormal"/>
        <w:numPr>
          <w:ilvl w:val="1"/>
          <w:numId w:val="15"/>
        </w:numPr>
        <w:tabs>
          <w:tab w:val="num" w:pos="7383"/>
        </w:tabs>
        <w:spacing w:before="120" w:after="120"/>
        <w:rPr>
          <w:rFonts w:cs="Open Sans"/>
        </w:rPr>
      </w:pPr>
      <w:r w:rsidRPr="002F2C55">
        <w:rPr>
          <w:rFonts w:cs="Open Sans"/>
        </w:rPr>
        <w:t xml:space="preserve">if a person successfully reapplies for Newstart or Youth Allowance (other) payments after their payment </w:t>
      </w:r>
      <w:r w:rsidR="00461E45" w:rsidRPr="002F2C55">
        <w:rPr>
          <w:rFonts w:cs="Open Sans"/>
        </w:rPr>
        <w:t>i</w:t>
      </w:r>
      <w:r w:rsidRPr="002F2C55">
        <w:rPr>
          <w:rFonts w:cs="Open Sans"/>
        </w:rPr>
        <w:t xml:space="preserve">s cancelled for refusing to </w:t>
      </w:r>
      <w:r w:rsidR="00DE6FC2" w:rsidRPr="002F2C55">
        <w:rPr>
          <w:rFonts w:cs="Open Sans"/>
        </w:rPr>
        <w:t xml:space="preserve">undertake a drug test, they will be subject to </w:t>
      </w:r>
      <w:r w:rsidR="00D91F49" w:rsidRPr="002F2C55">
        <w:rPr>
          <w:rFonts w:cs="Open Sans"/>
        </w:rPr>
        <w:t xml:space="preserve">the trial again including </w:t>
      </w:r>
      <w:r w:rsidR="00461E45" w:rsidRPr="002F2C55">
        <w:rPr>
          <w:rFonts w:cs="Open Sans"/>
        </w:rPr>
        <w:t xml:space="preserve">continued random drug testing </w:t>
      </w:r>
      <w:r w:rsidR="00D76D30" w:rsidRPr="002F2C55">
        <w:rPr>
          <w:rFonts w:cs="Open Sans"/>
        </w:rPr>
        <w:t>(and if previously subject to income management will continue to be subject to income management)</w:t>
      </w:r>
    </w:p>
    <w:p w14:paraId="15B0FD5C" w14:textId="587C4C5B" w:rsidR="00233C77" w:rsidRPr="002F2C55" w:rsidRDefault="005E1941" w:rsidP="00F67FD2">
      <w:pPr>
        <w:pStyle w:val="SubmissionNormal"/>
        <w:numPr>
          <w:ilvl w:val="1"/>
          <w:numId w:val="15"/>
        </w:numPr>
        <w:tabs>
          <w:tab w:val="num" w:pos="7383"/>
        </w:tabs>
        <w:spacing w:before="120" w:after="120"/>
        <w:rPr>
          <w:rFonts w:cs="Open Sans"/>
        </w:rPr>
      </w:pPr>
      <w:r w:rsidRPr="002F2C55">
        <w:rPr>
          <w:rFonts w:cs="Open Sans"/>
        </w:rPr>
        <w:t xml:space="preserve">if a recipient disputes the results of a drug </w:t>
      </w:r>
      <w:r w:rsidR="00C32A5E" w:rsidRPr="002F2C55">
        <w:rPr>
          <w:rFonts w:cs="Open Sans"/>
        </w:rPr>
        <w:t>t</w:t>
      </w:r>
      <w:r w:rsidRPr="002F2C55">
        <w:rPr>
          <w:rFonts w:cs="Open Sans"/>
        </w:rPr>
        <w:t xml:space="preserve">est and requests another test, they will be </w:t>
      </w:r>
      <w:r w:rsidR="00C32A5E" w:rsidRPr="002F2C55">
        <w:rPr>
          <w:rFonts w:cs="Open Sans"/>
        </w:rPr>
        <w:t>required</w:t>
      </w:r>
      <w:r w:rsidRPr="002F2C55">
        <w:rPr>
          <w:rFonts w:cs="Open Sans"/>
        </w:rPr>
        <w:t xml:space="preserve"> to repay </w:t>
      </w:r>
      <w:r w:rsidR="00424299" w:rsidRPr="002F2C55">
        <w:rPr>
          <w:rFonts w:cs="Open Sans"/>
        </w:rPr>
        <w:t xml:space="preserve">the </w:t>
      </w:r>
      <w:r w:rsidRPr="002F2C55">
        <w:rPr>
          <w:rFonts w:cs="Open Sans"/>
        </w:rPr>
        <w:t xml:space="preserve">cost of the re-test if the result is </w:t>
      </w:r>
      <w:r w:rsidR="00C32A5E" w:rsidRPr="002F2C55">
        <w:rPr>
          <w:rFonts w:cs="Open Sans"/>
        </w:rPr>
        <w:t>positive</w:t>
      </w:r>
      <w:r w:rsidR="001D2D76" w:rsidRPr="002F2C55">
        <w:rPr>
          <w:rFonts w:cs="Open Sans"/>
        </w:rPr>
        <w:t xml:space="preserve"> (by way of deduction from their social security payments, capped at a rate of 10%)</w:t>
      </w:r>
      <w:r w:rsidR="00233C77" w:rsidRPr="002F2C55">
        <w:rPr>
          <w:rFonts w:cs="Open Sans"/>
        </w:rPr>
        <w:t xml:space="preserve">. </w:t>
      </w:r>
    </w:p>
    <w:p w14:paraId="63833F00" w14:textId="2E7FEAE3" w:rsidR="001D2D76" w:rsidRPr="002F2C55" w:rsidRDefault="001D2D76" w:rsidP="00F67FD2">
      <w:pPr>
        <w:pStyle w:val="ListParagraph"/>
        <w:numPr>
          <w:ilvl w:val="0"/>
          <w:numId w:val="16"/>
        </w:numPr>
        <w:rPr>
          <w:rFonts w:cs="Open Sans"/>
        </w:rPr>
      </w:pPr>
      <w:r w:rsidRPr="002F2C55">
        <w:rPr>
          <w:rFonts w:cs="Open Sans"/>
        </w:rPr>
        <w:t xml:space="preserve">The Explanatory Memorandum states that the following </w:t>
      </w:r>
      <w:r w:rsidR="006E088C" w:rsidRPr="002F2C55">
        <w:rPr>
          <w:rFonts w:cs="Open Sans"/>
        </w:rPr>
        <w:t xml:space="preserve">measures </w:t>
      </w:r>
      <w:r w:rsidR="00822EB4" w:rsidRPr="002F2C55">
        <w:rPr>
          <w:rFonts w:cs="Open Sans"/>
        </w:rPr>
        <w:t xml:space="preserve">apply as </w:t>
      </w:r>
      <w:r w:rsidR="006E088C" w:rsidRPr="002F2C55">
        <w:rPr>
          <w:rFonts w:cs="Open Sans"/>
        </w:rPr>
        <w:t>safeguards</w:t>
      </w:r>
      <w:r w:rsidRPr="002F2C55">
        <w:rPr>
          <w:rFonts w:cs="Open Sans"/>
        </w:rPr>
        <w:t>:</w:t>
      </w:r>
    </w:p>
    <w:p w14:paraId="3D14D651" w14:textId="5564D794" w:rsidR="001D2D76" w:rsidRPr="002F2C55" w:rsidRDefault="00E21BD8" w:rsidP="00F67FD2">
      <w:pPr>
        <w:pStyle w:val="SubmissionNormal"/>
        <w:numPr>
          <w:ilvl w:val="0"/>
          <w:numId w:val="17"/>
        </w:numPr>
        <w:rPr>
          <w:rFonts w:cs="Open Sans"/>
        </w:rPr>
      </w:pPr>
      <w:r w:rsidRPr="002F2C55">
        <w:rPr>
          <w:rFonts w:cs="Open Sans"/>
        </w:rPr>
        <w:t>the Secretary may determine to red</w:t>
      </w:r>
      <w:r w:rsidR="00155601" w:rsidRPr="002F2C55">
        <w:rPr>
          <w:rFonts w:cs="Open Sans"/>
        </w:rPr>
        <w:t>uce the</w:t>
      </w:r>
      <w:r w:rsidR="001D2D76" w:rsidRPr="002F2C55">
        <w:rPr>
          <w:rFonts w:cs="Open Sans"/>
        </w:rPr>
        <w:t xml:space="preserve"> recipient’s rate of deduction </w:t>
      </w:r>
      <w:r w:rsidR="00A75807" w:rsidRPr="002F2C55">
        <w:rPr>
          <w:rFonts w:cs="Open Sans"/>
        </w:rPr>
        <w:t xml:space="preserve">from their welfare payment </w:t>
      </w:r>
      <w:r w:rsidR="001D2D76" w:rsidRPr="002F2C55">
        <w:rPr>
          <w:rFonts w:cs="Open Sans"/>
        </w:rPr>
        <w:t>to repay</w:t>
      </w:r>
      <w:r w:rsidR="00A75807" w:rsidRPr="002F2C55">
        <w:rPr>
          <w:rFonts w:cs="Open Sans"/>
        </w:rPr>
        <w:t xml:space="preserve"> the cost of</w:t>
      </w:r>
      <w:r w:rsidR="001D2D76" w:rsidRPr="002F2C55">
        <w:rPr>
          <w:rFonts w:cs="Open Sans"/>
        </w:rPr>
        <w:t xml:space="preserve"> positive drug </w:t>
      </w:r>
      <w:r w:rsidR="00A75807" w:rsidRPr="002F2C55">
        <w:rPr>
          <w:rFonts w:cs="Open Sans"/>
        </w:rPr>
        <w:t>re-</w:t>
      </w:r>
      <w:r w:rsidR="001D2D76" w:rsidRPr="002F2C55">
        <w:rPr>
          <w:rFonts w:cs="Open Sans"/>
        </w:rPr>
        <w:t>tests</w:t>
      </w:r>
      <w:r w:rsidR="00985A76" w:rsidRPr="002F2C55">
        <w:rPr>
          <w:rFonts w:cs="Open Sans"/>
        </w:rPr>
        <w:t xml:space="preserve"> (i.e. to less than 10%)</w:t>
      </w:r>
      <w:r w:rsidR="006E6CDD" w:rsidRPr="002F2C55">
        <w:rPr>
          <w:rFonts w:cs="Open Sans"/>
        </w:rPr>
        <w:t>,</w:t>
      </w:r>
      <w:r w:rsidR="001D2D76" w:rsidRPr="002F2C55">
        <w:rPr>
          <w:rFonts w:cs="Open Sans"/>
        </w:rPr>
        <w:t xml:space="preserve"> if</w:t>
      </w:r>
      <w:r w:rsidR="00155601" w:rsidRPr="002F2C55">
        <w:rPr>
          <w:rFonts w:cs="Open Sans"/>
        </w:rPr>
        <w:t xml:space="preserve"> satisfied that</w:t>
      </w:r>
      <w:r w:rsidR="001D2D76" w:rsidRPr="002F2C55">
        <w:rPr>
          <w:rFonts w:cs="Open Sans"/>
        </w:rPr>
        <w:t xml:space="preserve"> their circumstances are </w:t>
      </w:r>
      <w:r w:rsidR="00F90979" w:rsidRPr="002F2C55">
        <w:rPr>
          <w:rFonts w:cs="Open Sans"/>
        </w:rPr>
        <w:t>“</w:t>
      </w:r>
      <w:r w:rsidR="001D2D76" w:rsidRPr="002F2C55">
        <w:rPr>
          <w:rFonts w:cs="Open Sans"/>
        </w:rPr>
        <w:t>exceptional</w:t>
      </w:r>
      <w:r w:rsidR="00F90979" w:rsidRPr="002F2C55">
        <w:rPr>
          <w:rFonts w:cs="Open Sans"/>
        </w:rPr>
        <w:t>”</w:t>
      </w:r>
      <w:r w:rsidR="00230154" w:rsidRPr="002F2C55">
        <w:rPr>
          <w:rFonts w:cs="Open Sans"/>
        </w:rPr>
        <w:t>,</w:t>
      </w:r>
      <w:r w:rsidR="001D2D76" w:rsidRPr="002F2C55">
        <w:rPr>
          <w:rFonts w:cs="Open Sans"/>
        </w:rPr>
        <w:t xml:space="preserve"> and the recipient would suffer </w:t>
      </w:r>
      <w:r w:rsidR="00F90979" w:rsidRPr="002F2C55">
        <w:rPr>
          <w:rFonts w:cs="Open Sans"/>
        </w:rPr>
        <w:t>“</w:t>
      </w:r>
      <w:r w:rsidR="001D2D76" w:rsidRPr="002F2C55">
        <w:rPr>
          <w:rFonts w:cs="Open Sans"/>
        </w:rPr>
        <w:t>severe financial hardship</w:t>
      </w:r>
      <w:r w:rsidR="00F90979" w:rsidRPr="002F2C55">
        <w:rPr>
          <w:rFonts w:cs="Open Sans"/>
        </w:rPr>
        <w:t>”</w:t>
      </w:r>
      <w:r w:rsidR="001D2D76" w:rsidRPr="002F2C55">
        <w:rPr>
          <w:rFonts w:cs="Open Sans"/>
        </w:rPr>
        <w:t xml:space="preserve"> </w:t>
      </w:r>
    </w:p>
    <w:p w14:paraId="636EA9CE" w14:textId="325CB1BD" w:rsidR="001D2D76" w:rsidRPr="002F2C55" w:rsidRDefault="00F90979" w:rsidP="00F67FD2">
      <w:pPr>
        <w:pStyle w:val="SubmissionNormal"/>
        <w:numPr>
          <w:ilvl w:val="0"/>
          <w:numId w:val="17"/>
        </w:numPr>
        <w:rPr>
          <w:rFonts w:cs="Open Sans"/>
        </w:rPr>
      </w:pPr>
      <w:r w:rsidRPr="002F2C55">
        <w:rPr>
          <w:rFonts w:cs="Open Sans"/>
        </w:rPr>
        <w:t>“</w:t>
      </w:r>
      <w:r w:rsidR="001D2D76" w:rsidRPr="002F2C55">
        <w:rPr>
          <w:rFonts w:cs="Open Sans"/>
        </w:rPr>
        <w:t>reasonable excuse</w:t>
      </w:r>
      <w:r w:rsidRPr="002F2C55">
        <w:rPr>
          <w:rFonts w:cs="Open Sans"/>
        </w:rPr>
        <w:t>”</w:t>
      </w:r>
      <w:r w:rsidR="001D2D76" w:rsidRPr="002F2C55">
        <w:rPr>
          <w:rFonts w:cs="Open Sans"/>
        </w:rPr>
        <w:t xml:space="preserve"> provisions apply to some instances of non-compliance</w:t>
      </w:r>
      <w:r w:rsidR="00BD4C76" w:rsidRPr="002F2C55">
        <w:rPr>
          <w:rFonts w:cs="Open Sans"/>
        </w:rPr>
        <w:t xml:space="preserve"> with mandatory obligations</w:t>
      </w:r>
      <w:r w:rsidR="001D2D76" w:rsidRPr="002F2C55">
        <w:rPr>
          <w:rFonts w:cs="Open Sans"/>
        </w:rPr>
        <w:t>,</w:t>
      </w:r>
      <w:r w:rsidR="00DE6FC2" w:rsidRPr="002F2C55">
        <w:rPr>
          <w:rFonts w:cs="Open Sans"/>
        </w:rPr>
        <w:t xml:space="preserve"> </w:t>
      </w:r>
      <w:r w:rsidR="001D2D76" w:rsidRPr="002F2C55">
        <w:rPr>
          <w:rFonts w:cs="Open Sans"/>
        </w:rPr>
        <w:t>but not where the excuse is wholly or substantially attributable to drug or alcohol use and the person has refused available and appropriate treatment</w:t>
      </w:r>
    </w:p>
    <w:p w14:paraId="05089140" w14:textId="3FAF5A56" w:rsidR="00BA0D4F" w:rsidRPr="002F2C55" w:rsidRDefault="00415634" w:rsidP="00F67FD2">
      <w:pPr>
        <w:pStyle w:val="SubmissionNormal"/>
        <w:numPr>
          <w:ilvl w:val="0"/>
          <w:numId w:val="17"/>
        </w:numPr>
        <w:rPr>
          <w:rFonts w:cs="Open Sans"/>
        </w:rPr>
      </w:pPr>
      <w:r w:rsidRPr="002F2C55">
        <w:rPr>
          <w:rFonts w:cs="Open Sans"/>
        </w:rPr>
        <w:t>n</w:t>
      </w:r>
      <w:r w:rsidR="00BA0D4F" w:rsidRPr="002F2C55">
        <w:rPr>
          <w:rFonts w:cs="Open Sans"/>
        </w:rPr>
        <w:t xml:space="preserve">ew subsection 1206XA(5) provides that a drug test repayment amount is taken not to have arisen from a positive drug </w:t>
      </w:r>
      <w:r w:rsidR="00D84828" w:rsidRPr="002F2C55">
        <w:rPr>
          <w:rFonts w:cs="Open Sans"/>
        </w:rPr>
        <w:t>test</w:t>
      </w:r>
      <w:r w:rsidR="00BA0D4F" w:rsidRPr="002F2C55">
        <w:rPr>
          <w:rFonts w:cs="Open Sans"/>
        </w:rPr>
        <w:t xml:space="preserve"> if the contractor who carried out the test gives written notice to the </w:t>
      </w:r>
      <w:r w:rsidR="00D84828" w:rsidRPr="002F2C55">
        <w:rPr>
          <w:rFonts w:cs="Open Sans"/>
        </w:rPr>
        <w:t>Secretary</w:t>
      </w:r>
      <w:r w:rsidR="00BA0D4F" w:rsidRPr="002F2C55">
        <w:rPr>
          <w:rFonts w:cs="Open Sans"/>
        </w:rPr>
        <w:t xml:space="preserve"> that </w:t>
      </w:r>
      <w:r w:rsidR="00D84828" w:rsidRPr="002F2C55">
        <w:rPr>
          <w:rFonts w:cs="Open Sans"/>
        </w:rPr>
        <w:t>the</w:t>
      </w:r>
      <w:r w:rsidR="00BA0D4F" w:rsidRPr="002F2C55">
        <w:rPr>
          <w:rFonts w:cs="Open Sans"/>
        </w:rPr>
        <w:t xml:space="preserve"> test should not be taken into account</w:t>
      </w:r>
      <w:r w:rsidR="004E04DA" w:rsidRPr="002F2C55">
        <w:rPr>
          <w:rFonts w:cs="Open Sans"/>
        </w:rPr>
        <w:t>, for example if the contractor becomes aware of a false positive test result such as when they are provided with evidence that the person is taking legal medication which ma</w:t>
      </w:r>
      <w:r w:rsidR="00B20BD0" w:rsidRPr="002F2C55">
        <w:rPr>
          <w:rFonts w:cs="Open Sans"/>
        </w:rPr>
        <w:t>y</w:t>
      </w:r>
      <w:r w:rsidR="004E04DA" w:rsidRPr="002F2C55">
        <w:rPr>
          <w:rFonts w:cs="Open Sans"/>
        </w:rPr>
        <w:t xml:space="preserve"> have </w:t>
      </w:r>
      <w:r w:rsidR="00D84828" w:rsidRPr="002F2C55">
        <w:rPr>
          <w:rFonts w:cs="Open Sans"/>
        </w:rPr>
        <w:t>caused</w:t>
      </w:r>
      <w:r w:rsidR="004E04DA" w:rsidRPr="002F2C55">
        <w:rPr>
          <w:rFonts w:cs="Open Sans"/>
        </w:rPr>
        <w:t xml:space="preserve"> the result </w:t>
      </w:r>
    </w:p>
    <w:p w14:paraId="27752F82" w14:textId="5831AA1C" w:rsidR="001D2D76" w:rsidRPr="002F2C55" w:rsidRDefault="00415634" w:rsidP="00F67FD2">
      <w:pPr>
        <w:pStyle w:val="SubmissionNormal"/>
        <w:numPr>
          <w:ilvl w:val="0"/>
          <w:numId w:val="17"/>
        </w:numPr>
        <w:tabs>
          <w:tab w:val="num" w:pos="2160"/>
          <w:tab w:val="num" w:pos="7383"/>
        </w:tabs>
        <w:rPr>
          <w:rFonts w:cs="Open Sans"/>
        </w:rPr>
      </w:pPr>
      <w:r w:rsidRPr="002F2C55">
        <w:rPr>
          <w:rFonts w:cs="Open Sans"/>
        </w:rPr>
        <w:t xml:space="preserve">the Secretary </w:t>
      </w:r>
      <w:r w:rsidR="00E37559" w:rsidRPr="002F2C55">
        <w:rPr>
          <w:rFonts w:cs="Open Sans"/>
        </w:rPr>
        <w:t xml:space="preserve">must determine that a person </w:t>
      </w:r>
      <w:proofErr w:type="gramStart"/>
      <w:r w:rsidR="00E37559" w:rsidRPr="002F2C55">
        <w:rPr>
          <w:rFonts w:cs="Open Sans"/>
        </w:rPr>
        <w:t>not be</w:t>
      </w:r>
      <w:proofErr w:type="gramEnd"/>
      <w:r w:rsidR="00E37559" w:rsidRPr="002F2C55">
        <w:rPr>
          <w:rFonts w:cs="Open Sans"/>
        </w:rPr>
        <w:t xml:space="preserve"> subject to income management </w:t>
      </w:r>
      <w:r w:rsidRPr="002F2C55">
        <w:rPr>
          <w:rFonts w:cs="Open Sans"/>
        </w:rPr>
        <w:t>i</w:t>
      </w:r>
      <w:r w:rsidR="00E37559" w:rsidRPr="002F2C55">
        <w:rPr>
          <w:rFonts w:cs="Open Sans"/>
        </w:rPr>
        <w:t>f</w:t>
      </w:r>
      <w:r w:rsidRPr="002F2C55">
        <w:rPr>
          <w:rFonts w:cs="Open Sans"/>
        </w:rPr>
        <w:t xml:space="preserve"> satisfied that </w:t>
      </w:r>
      <w:r w:rsidR="001D2D76" w:rsidRPr="002F2C55">
        <w:rPr>
          <w:rFonts w:cs="Open Sans"/>
        </w:rPr>
        <w:t>it pose</w:t>
      </w:r>
      <w:r w:rsidR="00F70B47" w:rsidRPr="002F2C55">
        <w:rPr>
          <w:rFonts w:cs="Open Sans"/>
        </w:rPr>
        <w:t>s</w:t>
      </w:r>
      <w:r w:rsidR="001D2D76" w:rsidRPr="002F2C55">
        <w:rPr>
          <w:rFonts w:cs="Open Sans"/>
        </w:rPr>
        <w:t xml:space="preserve"> a</w:t>
      </w:r>
      <w:r w:rsidR="00F70B47" w:rsidRPr="002F2C55">
        <w:rPr>
          <w:rFonts w:cs="Open Sans"/>
        </w:rPr>
        <w:t xml:space="preserve"> serious</w:t>
      </w:r>
      <w:r w:rsidR="001D2D76" w:rsidRPr="002F2C55">
        <w:rPr>
          <w:rFonts w:cs="Open Sans"/>
        </w:rPr>
        <w:t xml:space="preserve"> risk to their mental, physical or emotional wellbeing.</w:t>
      </w:r>
      <w:r w:rsidR="001D2D76" w:rsidRPr="002F2C55">
        <w:rPr>
          <w:rStyle w:val="EndnoteReference"/>
          <w:rFonts w:cs="Open Sans"/>
        </w:rPr>
        <w:endnoteReference w:id="9"/>
      </w:r>
      <w:r w:rsidR="00BD4C76" w:rsidRPr="002F2C55">
        <w:rPr>
          <w:rFonts w:cs="Open Sans"/>
        </w:rPr>
        <w:t xml:space="preserve"> </w:t>
      </w:r>
    </w:p>
    <w:p w14:paraId="6E59175F" w14:textId="6972AA0F" w:rsidR="009D3E58" w:rsidRPr="002F2C55" w:rsidRDefault="009D3E58" w:rsidP="003C0692">
      <w:pPr>
        <w:pStyle w:val="ListParagraph"/>
        <w:ind w:left="851"/>
        <w:rPr>
          <w:rFonts w:cs="Open Sans"/>
          <w:lang w:val="en-US"/>
        </w:rPr>
      </w:pPr>
      <w:r w:rsidRPr="002F2C55">
        <w:rPr>
          <w:rFonts w:cs="Open Sans"/>
          <w:lang w:val="en-US"/>
        </w:rPr>
        <w:lastRenderedPageBreak/>
        <w:t xml:space="preserve">The Commission is concerned that these and other safeguards are inadequate to protect the </w:t>
      </w:r>
      <w:r w:rsidRPr="002F2C55">
        <w:rPr>
          <w:rFonts w:cs="Open Sans"/>
        </w:rPr>
        <w:t>human</w:t>
      </w:r>
      <w:r w:rsidRPr="002F2C55">
        <w:rPr>
          <w:rFonts w:cs="Open Sans"/>
          <w:lang w:val="en-US"/>
        </w:rPr>
        <w:t xml:space="preserve"> rights of affected persons, including those of children and young people</w:t>
      </w:r>
      <w:r w:rsidR="00AB7D3C" w:rsidRPr="002F2C55">
        <w:rPr>
          <w:rFonts w:cs="Open Sans"/>
          <w:lang w:val="en-US"/>
        </w:rPr>
        <w:t>, as discussed further below</w:t>
      </w:r>
      <w:r w:rsidRPr="002F2C55">
        <w:rPr>
          <w:rFonts w:cs="Open Sans"/>
          <w:lang w:val="en-US"/>
        </w:rPr>
        <w:t>.</w:t>
      </w:r>
    </w:p>
    <w:p w14:paraId="1CED7C59" w14:textId="71EBFDF0" w:rsidR="00B160BA" w:rsidRPr="002F2C55" w:rsidRDefault="000F7CF8" w:rsidP="00B160BA">
      <w:pPr>
        <w:pStyle w:val="Heading1"/>
        <w:rPr>
          <w:rFonts w:cs="Open Sans"/>
        </w:rPr>
      </w:pPr>
      <w:bookmarkStart w:id="14" w:name="_Toc511221387"/>
      <w:bookmarkStart w:id="15" w:name="_Toc20838305"/>
      <w:r w:rsidRPr="002F2C55">
        <w:rPr>
          <w:rFonts w:cs="Open Sans"/>
        </w:rPr>
        <w:t>Key relevant h</w:t>
      </w:r>
      <w:r w:rsidR="00B160BA" w:rsidRPr="002F2C55">
        <w:rPr>
          <w:rFonts w:cs="Open Sans"/>
        </w:rPr>
        <w:t>uman rights</w:t>
      </w:r>
      <w:bookmarkEnd w:id="14"/>
      <w:bookmarkEnd w:id="15"/>
    </w:p>
    <w:p w14:paraId="5DC83580" w14:textId="6799261E" w:rsidR="00B160BA" w:rsidRPr="002F2C55" w:rsidRDefault="00B160BA" w:rsidP="00B160BA">
      <w:pPr>
        <w:pStyle w:val="Heading2"/>
        <w:rPr>
          <w:rFonts w:cs="Open Sans"/>
        </w:rPr>
      </w:pPr>
      <w:bookmarkStart w:id="16" w:name="_Toc511221388"/>
      <w:bookmarkStart w:id="17" w:name="_Toc20838306"/>
      <w:r w:rsidRPr="002F2C55">
        <w:rPr>
          <w:rFonts w:cs="Open Sans"/>
        </w:rPr>
        <w:t>Right</w:t>
      </w:r>
      <w:r w:rsidR="00093AE7" w:rsidRPr="002F2C55">
        <w:rPr>
          <w:rFonts w:cs="Open Sans"/>
        </w:rPr>
        <w:t>s</w:t>
      </w:r>
      <w:r w:rsidRPr="002F2C55">
        <w:rPr>
          <w:rFonts w:cs="Open Sans"/>
        </w:rPr>
        <w:t xml:space="preserve"> to social security</w:t>
      </w:r>
      <w:bookmarkEnd w:id="16"/>
      <w:r w:rsidRPr="002F2C55">
        <w:rPr>
          <w:rFonts w:cs="Open Sans"/>
        </w:rPr>
        <w:t xml:space="preserve"> </w:t>
      </w:r>
      <w:r w:rsidR="00CE601E" w:rsidRPr="002F2C55">
        <w:rPr>
          <w:rFonts w:cs="Open Sans"/>
        </w:rPr>
        <w:t>and adequate standard of living</w:t>
      </w:r>
      <w:bookmarkEnd w:id="17"/>
    </w:p>
    <w:p w14:paraId="00FF90CE" w14:textId="77777777" w:rsidR="0087116D" w:rsidRPr="002F2C55" w:rsidRDefault="0087116D" w:rsidP="008116B7">
      <w:pPr>
        <w:pStyle w:val="ListParagraph"/>
        <w:numPr>
          <w:ilvl w:val="0"/>
          <w:numId w:val="16"/>
        </w:numPr>
        <w:rPr>
          <w:rFonts w:cs="Open Sans"/>
        </w:rPr>
      </w:pPr>
      <w:r w:rsidRPr="002F2C55">
        <w:rPr>
          <w:rFonts w:cs="Open Sans"/>
        </w:rPr>
        <w:t xml:space="preserve">The right to social security is recognised in several international legal conventions to which </w:t>
      </w:r>
      <w:r w:rsidRPr="002F2C55">
        <w:rPr>
          <w:rFonts w:cs="Open Sans"/>
          <w:lang w:val="en-US"/>
        </w:rPr>
        <w:t>Australia</w:t>
      </w:r>
      <w:r w:rsidRPr="002F2C55">
        <w:rPr>
          <w:rFonts w:cs="Open Sans"/>
        </w:rPr>
        <w:t xml:space="preserve"> is a party.</w:t>
      </w:r>
    </w:p>
    <w:p w14:paraId="74E6BABB" w14:textId="7303E9AF" w:rsidR="00AA7BA7" w:rsidRPr="002F2C55" w:rsidRDefault="007C430B" w:rsidP="008116B7">
      <w:pPr>
        <w:pStyle w:val="ListParagraph"/>
        <w:numPr>
          <w:ilvl w:val="0"/>
          <w:numId w:val="16"/>
        </w:numPr>
        <w:rPr>
          <w:rFonts w:cs="Open Sans"/>
        </w:rPr>
      </w:pPr>
      <w:r w:rsidRPr="002F2C55">
        <w:rPr>
          <w:rFonts w:cs="Open Sans"/>
        </w:rPr>
        <w:t>For example, a</w:t>
      </w:r>
      <w:r w:rsidR="00AA7BA7" w:rsidRPr="002F2C55">
        <w:rPr>
          <w:rFonts w:cs="Open Sans"/>
        </w:rPr>
        <w:t xml:space="preserve">rticle 9 </w:t>
      </w:r>
      <w:r w:rsidR="00AA7BA7" w:rsidRPr="002F2C55">
        <w:rPr>
          <w:rFonts w:cs="Open Sans"/>
          <w:lang w:val="en-US"/>
        </w:rPr>
        <w:t>of</w:t>
      </w:r>
      <w:r w:rsidR="00AA7BA7" w:rsidRPr="002F2C55">
        <w:rPr>
          <w:rFonts w:cs="Open Sans"/>
        </w:rPr>
        <w:t xml:space="preserve"> the </w:t>
      </w:r>
      <w:r w:rsidR="00AA7BA7" w:rsidRPr="002F2C55">
        <w:rPr>
          <w:rFonts w:cs="Open Sans"/>
          <w:i/>
        </w:rPr>
        <w:t xml:space="preserve">International Covenant on Economic, Social and Cultural Rights </w:t>
      </w:r>
      <w:r w:rsidR="00AA7BA7" w:rsidRPr="002F2C55">
        <w:rPr>
          <w:rFonts w:cs="Open Sans"/>
        </w:rPr>
        <w:t xml:space="preserve">(ICESCR) recognises </w:t>
      </w:r>
      <w:r w:rsidR="00F90979" w:rsidRPr="002F2C55">
        <w:rPr>
          <w:rFonts w:cs="Open Sans"/>
        </w:rPr>
        <w:t>“</w:t>
      </w:r>
      <w:r w:rsidR="00AA7BA7" w:rsidRPr="002F2C55">
        <w:rPr>
          <w:rFonts w:cs="Open Sans"/>
        </w:rPr>
        <w:t>the right of everyone to social security</w:t>
      </w:r>
      <w:r w:rsidR="00F90979" w:rsidRPr="002F2C55">
        <w:rPr>
          <w:rFonts w:cs="Open Sans"/>
        </w:rPr>
        <w:t>”</w:t>
      </w:r>
      <w:r w:rsidR="00AA7BA7" w:rsidRPr="002F2C55">
        <w:rPr>
          <w:rFonts w:cs="Open Sans"/>
        </w:rPr>
        <w:t>.</w:t>
      </w:r>
      <w:r w:rsidR="00AA7BA7" w:rsidRPr="002F2C55">
        <w:rPr>
          <w:rStyle w:val="EndnoteReference"/>
          <w:rFonts w:cs="Open Sans"/>
        </w:rPr>
        <w:endnoteReference w:id="10"/>
      </w:r>
      <w:r w:rsidR="00AA7BA7" w:rsidRPr="002F2C55">
        <w:rPr>
          <w:rFonts w:cs="Open Sans"/>
        </w:rPr>
        <w:t xml:space="preserve"> </w:t>
      </w:r>
    </w:p>
    <w:p w14:paraId="5F70A846" w14:textId="475AA45F" w:rsidR="0087116D" w:rsidRPr="002F2C55" w:rsidRDefault="0087116D" w:rsidP="008116B7">
      <w:pPr>
        <w:pStyle w:val="ListParagraph"/>
        <w:numPr>
          <w:ilvl w:val="0"/>
          <w:numId w:val="16"/>
        </w:numPr>
        <w:rPr>
          <w:rFonts w:cs="Open Sans"/>
        </w:rPr>
      </w:pPr>
      <w:r w:rsidRPr="002F2C55">
        <w:rPr>
          <w:rFonts w:cs="Open Sans"/>
        </w:rPr>
        <w:t>The right to social security encompasses the right to access and maintain benefits</w:t>
      </w:r>
      <w:r w:rsidR="00807235" w:rsidRPr="002F2C55">
        <w:rPr>
          <w:rFonts w:cs="Open Sans"/>
        </w:rPr>
        <w:t>, without discrimination,</w:t>
      </w:r>
      <w:r w:rsidRPr="002F2C55">
        <w:rPr>
          <w:rFonts w:cs="Open Sans"/>
        </w:rPr>
        <w:t xml:space="preserve"> in order to secure protection from social risks and </w:t>
      </w:r>
      <w:r w:rsidRPr="002F2C55">
        <w:rPr>
          <w:rFonts w:cs="Open Sans"/>
          <w:lang w:val="en-US"/>
        </w:rPr>
        <w:t>contingencies</w:t>
      </w:r>
      <w:r w:rsidRPr="002F2C55">
        <w:rPr>
          <w:rFonts w:cs="Open Sans"/>
        </w:rPr>
        <w:t>.</w:t>
      </w:r>
      <w:r w:rsidR="00807235" w:rsidRPr="002F2C55">
        <w:rPr>
          <w:rStyle w:val="EndnoteReference"/>
          <w:rFonts w:cs="Open Sans"/>
        </w:rPr>
        <w:endnoteReference w:id="11"/>
      </w:r>
      <w:r w:rsidRPr="002F2C55">
        <w:rPr>
          <w:rFonts w:cs="Open Sans"/>
        </w:rPr>
        <w:t xml:space="preserve"> It includes the right not to be subject to arbitrary and unreasonable restrictions of existing social security coverage.</w:t>
      </w:r>
      <w:r w:rsidR="00CE601E" w:rsidRPr="002F2C55">
        <w:rPr>
          <w:rStyle w:val="EndnoteReference"/>
          <w:rFonts w:cs="Open Sans"/>
        </w:rPr>
        <w:endnoteReference w:id="12"/>
      </w:r>
    </w:p>
    <w:p w14:paraId="00C7B9AF" w14:textId="4E15345D" w:rsidR="00807235" w:rsidRPr="002F2C55" w:rsidRDefault="00807235" w:rsidP="008116B7">
      <w:pPr>
        <w:pStyle w:val="ListParagraph"/>
        <w:numPr>
          <w:ilvl w:val="0"/>
          <w:numId w:val="16"/>
        </w:numPr>
        <w:rPr>
          <w:rStyle w:val="EndnoteReference"/>
          <w:rFonts w:cs="Open Sans"/>
          <w:sz w:val="24"/>
          <w:vertAlign w:val="baseline"/>
        </w:rPr>
      </w:pPr>
      <w:r w:rsidRPr="002F2C55">
        <w:rPr>
          <w:rFonts w:cs="Open Sans"/>
        </w:rPr>
        <w:t xml:space="preserve">The Committee on Economic, Social and Cultural Rights (ESCR Committee) has </w:t>
      </w:r>
      <w:r w:rsidRPr="002F2C55">
        <w:rPr>
          <w:rFonts w:cs="Open Sans"/>
          <w:lang w:val="en-US"/>
        </w:rPr>
        <w:t>stated</w:t>
      </w:r>
      <w:r w:rsidRPr="002F2C55">
        <w:rPr>
          <w:rFonts w:cs="Open Sans"/>
        </w:rPr>
        <w:t xml:space="preserve"> that this right is of </w:t>
      </w:r>
      <w:r w:rsidR="00F90979" w:rsidRPr="002F2C55">
        <w:rPr>
          <w:rFonts w:cs="Open Sans"/>
        </w:rPr>
        <w:t>“</w:t>
      </w:r>
      <w:r w:rsidRPr="002F2C55">
        <w:rPr>
          <w:rFonts w:cs="Open Sans"/>
        </w:rPr>
        <w:t>central importance</w:t>
      </w:r>
      <w:r w:rsidR="00F90979" w:rsidRPr="002F2C55">
        <w:rPr>
          <w:rFonts w:cs="Open Sans"/>
        </w:rPr>
        <w:t>”</w:t>
      </w:r>
      <w:r w:rsidRPr="002F2C55">
        <w:rPr>
          <w:rFonts w:cs="Open Sans"/>
        </w:rPr>
        <w:t xml:space="preserve"> in </w:t>
      </w:r>
      <w:r w:rsidR="00F90979" w:rsidRPr="002F2C55">
        <w:rPr>
          <w:rFonts w:cs="Open Sans"/>
        </w:rPr>
        <w:t>“</w:t>
      </w:r>
      <w:r w:rsidRPr="002F2C55">
        <w:rPr>
          <w:rFonts w:cs="Open Sans"/>
        </w:rPr>
        <w:t>guaranteeing human dignity for all persons ... faced with circumstances that deprive them of their capacity to fully realise [their economic, social and cultural rights]</w:t>
      </w:r>
      <w:r w:rsidR="00F90979" w:rsidRPr="002F2C55">
        <w:rPr>
          <w:rFonts w:cs="Open Sans"/>
        </w:rPr>
        <w:t>”</w:t>
      </w:r>
      <w:r w:rsidRPr="002F2C55">
        <w:rPr>
          <w:rFonts w:cs="Open Sans"/>
        </w:rPr>
        <w:t>,</w:t>
      </w:r>
      <w:r w:rsidRPr="002F2C55">
        <w:rPr>
          <w:rStyle w:val="EndnoteReference"/>
          <w:rFonts w:cs="Open Sans"/>
        </w:rPr>
        <w:endnoteReference w:id="13"/>
      </w:r>
      <w:r w:rsidRPr="002F2C55">
        <w:rPr>
          <w:rFonts w:cs="Open Sans"/>
        </w:rPr>
        <w:t xml:space="preserve"> including those unemployed and those with drug dependency.</w:t>
      </w:r>
    </w:p>
    <w:p w14:paraId="1CD4E66A" w14:textId="6414917B" w:rsidR="00B160BA" w:rsidRPr="002F2C55" w:rsidRDefault="00B160BA" w:rsidP="008116B7">
      <w:pPr>
        <w:pStyle w:val="ListParagraph"/>
        <w:numPr>
          <w:ilvl w:val="0"/>
          <w:numId w:val="16"/>
        </w:numPr>
        <w:rPr>
          <w:rFonts w:cs="Open Sans"/>
        </w:rPr>
      </w:pPr>
      <w:r w:rsidRPr="002F2C55">
        <w:rPr>
          <w:rFonts w:cs="Open Sans"/>
        </w:rPr>
        <w:t>The right to social security is inextricably linked with the right to an adequate standard of living,</w:t>
      </w:r>
      <w:r w:rsidRPr="002F2C55">
        <w:rPr>
          <w:rStyle w:val="EndnoteReference"/>
          <w:rFonts w:cs="Open Sans"/>
        </w:rPr>
        <w:endnoteReference w:id="14"/>
      </w:r>
      <w:r w:rsidRPr="002F2C55">
        <w:rPr>
          <w:rFonts w:cs="Open Sans"/>
        </w:rPr>
        <w:t xml:space="preserve"> which ensures the availability, adequacy and </w:t>
      </w:r>
      <w:r w:rsidRPr="002F2C55">
        <w:rPr>
          <w:rFonts w:cs="Open Sans"/>
          <w:lang w:val="en-US"/>
        </w:rPr>
        <w:t>accessibility</w:t>
      </w:r>
      <w:r w:rsidRPr="002F2C55">
        <w:rPr>
          <w:rFonts w:cs="Open Sans"/>
        </w:rPr>
        <w:t xml:space="preserve"> of food, clothing, water and housing for all people.</w:t>
      </w:r>
      <w:r w:rsidRPr="002F2C55">
        <w:rPr>
          <w:rStyle w:val="EndnoteReference"/>
          <w:rFonts w:cs="Open Sans"/>
        </w:rPr>
        <w:endnoteReference w:id="15"/>
      </w:r>
      <w:r w:rsidRPr="002F2C55">
        <w:rPr>
          <w:rFonts w:cs="Open Sans"/>
        </w:rPr>
        <w:t xml:space="preserve"> Importantly, social security benefits must be </w:t>
      </w:r>
      <w:r w:rsidR="00F90979" w:rsidRPr="002F2C55">
        <w:rPr>
          <w:rFonts w:cs="Open Sans"/>
        </w:rPr>
        <w:t>“</w:t>
      </w:r>
      <w:r w:rsidRPr="002F2C55">
        <w:rPr>
          <w:rFonts w:cs="Open Sans"/>
        </w:rPr>
        <w:t>adequate in amount and duration</w:t>
      </w:r>
      <w:r w:rsidR="00F90979" w:rsidRPr="002F2C55">
        <w:rPr>
          <w:rFonts w:cs="Open Sans"/>
        </w:rPr>
        <w:t>”</w:t>
      </w:r>
      <w:r w:rsidRPr="002F2C55">
        <w:rPr>
          <w:rFonts w:cs="Open Sans"/>
        </w:rPr>
        <w:t xml:space="preserve"> to ensure an adequate standard of living.</w:t>
      </w:r>
      <w:r w:rsidRPr="002F2C55">
        <w:rPr>
          <w:rStyle w:val="EndnoteReference"/>
          <w:rFonts w:cs="Open Sans"/>
        </w:rPr>
        <w:endnoteReference w:id="16"/>
      </w:r>
    </w:p>
    <w:p w14:paraId="77FD42F4" w14:textId="5254673B" w:rsidR="00CE601E" w:rsidRPr="002F2C55" w:rsidRDefault="00B160BA" w:rsidP="008116B7">
      <w:pPr>
        <w:pStyle w:val="ListParagraph"/>
        <w:numPr>
          <w:ilvl w:val="0"/>
          <w:numId w:val="16"/>
        </w:numPr>
        <w:rPr>
          <w:rFonts w:cs="Open Sans"/>
        </w:rPr>
      </w:pPr>
      <w:r w:rsidRPr="002F2C55">
        <w:rPr>
          <w:rFonts w:cs="Open Sans"/>
        </w:rPr>
        <w:t xml:space="preserve">Australia’s obligation to promote these rights is one of </w:t>
      </w:r>
      <w:r w:rsidR="00F90979" w:rsidRPr="002F2C55">
        <w:rPr>
          <w:rFonts w:cs="Open Sans"/>
        </w:rPr>
        <w:t>“</w:t>
      </w:r>
      <w:r w:rsidRPr="002F2C55">
        <w:rPr>
          <w:rFonts w:cs="Open Sans"/>
        </w:rPr>
        <w:t>progressive realisation</w:t>
      </w:r>
      <w:r w:rsidR="00F90979" w:rsidRPr="002F2C55">
        <w:rPr>
          <w:rFonts w:cs="Open Sans"/>
        </w:rPr>
        <w:t>”</w:t>
      </w:r>
      <w:r w:rsidRPr="002F2C55">
        <w:rPr>
          <w:rFonts w:cs="Open Sans"/>
        </w:rPr>
        <w:t>,</w:t>
      </w:r>
      <w:r w:rsidRPr="002F2C55">
        <w:rPr>
          <w:rStyle w:val="EndnoteReference"/>
          <w:rFonts w:cs="Open Sans"/>
        </w:rPr>
        <w:endnoteReference w:id="17"/>
      </w:r>
      <w:r w:rsidRPr="002F2C55">
        <w:rPr>
          <w:rFonts w:cs="Open Sans"/>
        </w:rPr>
        <w:t xml:space="preserve"> whereby it must take reasonable measures within its </w:t>
      </w:r>
      <w:r w:rsidRPr="002F2C55">
        <w:rPr>
          <w:rFonts w:cs="Open Sans"/>
          <w:lang w:val="en-US"/>
        </w:rPr>
        <w:t>available</w:t>
      </w:r>
      <w:r w:rsidRPr="002F2C55">
        <w:rPr>
          <w:rFonts w:cs="Open Sans"/>
        </w:rPr>
        <w:t xml:space="preserve"> resources to progressively secure their broader enjoyment.</w:t>
      </w:r>
      <w:r w:rsidRPr="002F2C55">
        <w:rPr>
          <w:rStyle w:val="EndnoteReference"/>
          <w:rFonts w:cs="Open Sans"/>
        </w:rPr>
        <w:endnoteReference w:id="18"/>
      </w:r>
      <w:r w:rsidRPr="002F2C55">
        <w:rPr>
          <w:rFonts w:cs="Open Sans"/>
        </w:rPr>
        <w:t xml:space="preserve"> Correspondingly, it must not impermissibly take backwards steps (or </w:t>
      </w:r>
      <w:r w:rsidR="00F90979" w:rsidRPr="002F2C55">
        <w:rPr>
          <w:rFonts w:cs="Open Sans"/>
        </w:rPr>
        <w:t>“</w:t>
      </w:r>
      <w:r w:rsidRPr="002F2C55">
        <w:rPr>
          <w:rFonts w:cs="Open Sans"/>
        </w:rPr>
        <w:t>retrogressive measures</w:t>
      </w:r>
      <w:r w:rsidR="00F90979" w:rsidRPr="002F2C55">
        <w:rPr>
          <w:rFonts w:cs="Open Sans"/>
        </w:rPr>
        <w:t>”</w:t>
      </w:r>
      <w:r w:rsidRPr="002F2C55">
        <w:rPr>
          <w:rFonts w:cs="Open Sans"/>
        </w:rPr>
        <w:t>).</w:t>
      </w:r>
      <w:r w:rsidRPr="002F2C55">
        <w:rPr>
          <w:rStyle w:val="EndnoteReference"/>
          <w:rFonts w:cs="Open Sans"/>
        </w:rPr>
        <w:endnoteReference w:id="19"/>
      </w:r>
      <w:r w:rsidRPr="002F2C55">
        <w:rPr>
          <w:rFonts w:cs="Open Sans"/>
        </w:rPr>
        <w:t xml:space="preserve"> </w:t>
      </w:r>
    </w:p>
    <w:p w14:paraId="278126AC" w14:textId="77777777" w:rsidR="00DB705D" w:rsidRPr="002F2C55" w:rsidRDefault="00DB705D" w:rsidP="00DB705D">
      <w:pPr>
        <w:pStyle w:val="ListParagraph"/>
        <w:numPr>
          <w:ilvl w:val="0"/>
          <w:numId w:val="16"/>
        </w:numPr>
        <w:rPr>
          <w:rFonts w:cs="Open Sans"/>
        </w:rPr>
      </w:pPr>
      <w:r w:rsidRPr="002F2C55">
        <w:rPr>
          <w:rFonts w:cs="Open Sans"/>
        </w:rPr>
        <w:lastRenderedPageBreak/>
        <w:t>While the right to social security requires progressive realisation, ICESCR also imposes some obligations of</w:t>
      </w:r>
      <w:r w:rsidRPr="002F2C55">
        <w:rPr>
          <w:rFonts w:cs="Open Sans"/>
          <w:i/>
        </w:rPr>
        <w:t xml:space="preserve"> immediate</w:t>
      </w:r>
      <w:r w:rsidRPr="002F2C55">
        <w:rPr>
          <w:rFonts w:cs="Open Sans"/>
        </w:rPr>
        <w:t xml:space="preserve"> effect. These include that the right to social security will: </w:t>
      </w:r>
    </w:p>
    <w:p w14:paraId="20B556CC" w14:textId="77777777" w:rsidR="00DB705D" w:rsidRPr="002F2C55" w:rsidRDefault="00DB705D" w:rsidP="00C32733">
      <w:pPr>
        <w:pStyle w:val="ListNumber"/>
        <w:numPr>
          <w:ilvl w:val="0"/>
          <w:numId w:val="25"/>
        </w:numPr>
        <w:ind w:left="1797" w:hanging="357"/>
        <w:rPr>
          <w:rFonts w:cs="Open Sans"/>
        </w:rPr>
      </w:pPr>
      <w:r w:rsidRPr="002F2C55">
        <w:rPr>
          <w:rFonts w:cs="Open Sans"/>
        </w:rPr>
        <w:t>be exercised without discrimination of any kind (article 2(2))</w:t>
      </w:r>
    </w:p>
    <w:p w14:paraId="3F40797B" w14:textId="4A46CA0D" w:rsidR="00DB705D" w:rsidRPr="002F2C55" w:rsidRDefault="00DB705D" w:rsidP="00C32733">
      <w:pPr>
        <w:pStyle w:val="ListNumber"/>
        <w:numPr>
          <w:ilvl w:val="0"/>
          <w:numId w:val="25"/>
        </w:numPr>
        <w:ind w:left="1797" w:hanging="357"/>
        <w:rPr>
          <w:rFonts w:cs="Open Sans"/>
        </w:rPr>
      </w:pPr>
      <w:r w:rsidRPr="002F2C55">
        <w:rPr>
          <w:rFonts w:cs="Open Sans"/>
        </w:rPr>
        <w:t>be fulfilled through taking deliberate, concrete and targeted steps towards the full realisation of the right (article 2(1)).</w:t>
      </w:r>
      <w:r w:rsidRPr="002F2C55">
        <w:rPr>
          <w:rStyle w:val="EndnoteReference"/>
          <w:rFonts w:cs="Open Sans"/>
        </w:rPr>
        <w:endnoteReference w:id="20"/>
      </w:r>
    </w:p>
    <w:p w14:paraId="2246B711" w14:textId="77777777" w:rsidR="00B160BA" w:rsidRPr="002F2C55" w:rsidRDefault="00B160BA" w:rsidP="008116B7">
      <w:pPr>
        <w:pStyle w:val="ListParagraph"/>
        <w:numPr>
          <w:ilvl w:val="0"/>
          <w:numId w:val="16"/>
        </w:numPr>
        <w:rPr>
          <w:rFonts w:cs="Open Sans"/>
        </w:rPr>
      </w:pPr>
      <w:r w:rsidRPr="002F2C55">
        <w:rPr>
          <w:rFonts w:cs="Open Sans"/>
        </w:rPr>
        <w:t xml:space="preserve">The Commission considers that the Bill limits the right to social security, and to </w:t>
      </w:r>
      <w:r w:rsidRPr="002F2C55">
        <w:rPr>
          <w:rFonts w:cs="Open Sans"/>
          <w:lang w:val="en-US"/>
        </w:rPr>
        <w:t>an</w:t>
      </w:r>
      <w:r w:rsidRPr="002F2C55">
        <w:rPr>
          <w:rFonts w:cs="Open Sans"/>
        </w:rPr>
        <w:t xml:space="preserve"> adequate standard of living, in the following ways:</w:t>
      </w:r>
    </w:p>
    <w:p w14:paraId="3AE8119E" w14:textId="7C09370B" w:rsidR="003603CB" w:rsidRPr="002F2C55" w:rsidRDefault="003603CB" w:rsidP="00CE6B77">
      <w:pPr>
        <w:pStyle w:val="SubmissionNormal"/>
        <w:numPr>
          <w:ilvl w:val="0"/>
          <w:numId w:val="24"/>
        </w:numPr>
        <w:spacing w:before="120" w:after="120"/>
        <w:rPr>
          <w:rFonts w:cs="Open Sans"/>
        </w:rPr>
      </w:pPr>
      <w:r w:rsidRPr="002F2C55">
        <w:rPr>
          <w:rFonts w:cs="Open Sans"/>
        </w:rPr>
        <w:t>by requiring recipients to acknowledge that they may be required to undergo drug test</w:t>
      </w:r>
      <w:r w:rsidR="00434AF7" w:rsidRPr="002F2C55">
        <w:rPr>
          <w:rFonts w:cs="Open Sans"/>
        </w:rPr>
        <w:t>ing</w:t>
      </w:r>
      <w:r w:rsidRPr="002F2C55">
        <w:rPr>
          <w:rFonts w:cs="Open Sans"/>
        </w:rPr>
        <w:t xml:space="preserve"> as a condition of a social security payment, and thereby </w:t>
      </w:r>
      <w:r w:rsidR="00434AF7" w:rsidRPr="002F2C55">
        <w:rPr>
          <w:rFonts w:cs="Open Sans"/>
        </w:rPr>
        <w:t xml:space="preserve">potentially </w:t>
      </w:r>
      <w:r w:rsidRPr="002F2C55">
        <w:rPr>
          <w:rFonts w:cs="Open Sans"/>
        </w:rPr>
        <w:t xml:space="preserve">discouraging people from applying for social security </w:t>
      </w:r>
      <w:r w:rsidR="00C52F26" w:rsidRPr="002F2C55">
        <w:rPr>
          <w:rFonts w:cs="Open Sans"/>
        </w:rPr>
        <w:t>entitlements</w:t>
      </w:r>
      <w:r w:rsidRPr="002F2C55">
        <w:rPr>
          <w:rFonts w:cs="Open Sans"/>
        </w:rPr>
        <w:t xml:space="preserve"> </w:t>
      </w:r>
      <w:r w:rsidR="00434AF7" w:rsidRPr="002F2C55">
        <w:rPr>
          <w:rFonts w:cs="Open Sans"/>
        </w:rPr>
        <w:t xml:space="preserve">(or having a broader </w:t>
      </w:r>
      <w:r w:rsidR="00F90979" w:rsidRPr="002F2C55">
        <w:rPr>
          <w:rFonts w:cs="Open Sans"/>
        </w:rPr>
        <w:t>“</w:t>
      </w:r>
      <w:r w:rsidR="00434AF7" w:rsidRPr="002F2C55">
        <w:rPr>
          <w:rFonts w:cs="Open Sans"/>
        </w:rPr>
        <w:t>chilling effect</w:t>
      </w:r>
      <w:r w:rsidR="00F90979" w:rsidRPr="002F2C55">
        <w:rPr>
          <w:rFonts w:cs="Open Sans"/>
        </w:rPr>
        <w:t>”</w:t>
      </w:r>
      <w:r w:rsidR="00434AF7" w:rsidRPr="002F2C55">
        <w:rPr>
          <w:rFonts w:cs="Open Sans"/>
        </w:rPr>
        <w:t>)</w:t>
      </w:r>
    </w:p>
    <w:p w14:paraId="5F88F827" w14:textId="19C4C5E3" w:rsidR="004E6DD2" w:rsidRPr="002F2C55" w:rsidRDefault="004E6DD2" w:rsidP="00CE6B77">
      <w:pPr>
        <w:pStyle w:val="SubmissionNormal"/>
        <w:numPr>
          <w:ilvl w:val="0"/>
          <w:numId w:val="24"/>
        </w:numPr>
        <w:spacing w:before="120" w:after="120"/>
        <w:rPr>
          <w:rFonts w:cs="Open Sans"/>
        </w:rPr>
      </w:pPr>
      <w:r w:rsidRPr="002F2C55">
        <w:rPr>
          <w:rFonts w:cs="Open Sans"/>
        </w:rPr>
        <w:t xml:space="preserve">by requiring recipients to undertake drug testing as a condition of </w:t>
      </w:r>
      <w:r w:rsidR="00F24ED4" w:rsidRPr="002F2C55">
        <w:rPr>
          <w:rFonts w:cs="Open Sans"/>
        </w:rPr>
        <w:t xml:space="preserve">receiving </w:t>
      </w:r>
      <w:r w:rsidRPr="002F2C55">
        <w:rPr>
          <w:rFonts w:cs="Open Sans"/>
        </w:rPr>
        <w:t>social security,</w:t>
      </w:r>
      <w:r w:rsidR="00F24ED4" w:rsidRPr="002F2C55">
        <w:rPr>
          <w:rFonts w:cs="Open Sans"/>
        </w:rPr>
        <w:t xml:space="preserve"> </w:t>
      </w:r>
      <w:r w:rsidR="009F2A52" w:rsidRPr="002F2C55">
        <w:rPr>
          <w:rFonts w:cs="Open Sans"/>
        </w:rPr>
        <w:t xml:space="preserve">and imposing mandatory income management measures, </w:t>
      </w:r>
      <w:r w:rsidR="00F24ED4" w:rsidRPr="002F2C55">
        <w:rPr>
          <w:rFonts w:cs="Open Sans"/>
        </w:rPr>
        <w:t>thereby</w:t>
      </w:r>
      <w:r w:rsidRPr="002F2C55">
        <w:rPr>
          <w:rFonts w:cs="Open Sans"/>
        </w:rPr>
        <w:t xml:space="preserve"> making social security entitlements </w:t>
      </w:r>
      <w:r w:rsidR="00F24ED4" w:rsidRPr="002F2C55">
        <w:rPr>
          <w:rFonts w:cs="Open Sans"/>
        </w:rPr>
        <w:t xml:space="preserve">subject to intrusive </w:t>
      </w:r>
      <w:r w:rsidRPr="002F2C55">
        <w:rPr>
          <w:rFonts w:cs="Open Sans"/>
        </w:rPr>
        <w:t>conditional</w:t>
      </w:r>
      <w:r w:rsidR="002477AB" w:rsidRPr="002F2C55">
        <w:rPr>
          <w:rFonts w:cs="Open Sans"/>
        </w:rPr>
        <w:t>ity (that the Commission considers has not been shown to be reasonable, necessary or proportionate)</w:t>
      </w:r>
    </w:p>
    <w:p w14:paraId="24DCF437" w14:textId="0C5E2258" w:rsidR="003603CB" w:rsidRPr="002F2C55" w:rsidRDefault="00C52F26" w:rsidP="00CE6B77">
      <w:pPr>
        <w:pStyle w:val="SubmissionNormal"/>
        <w:numPr>
          <w:ilvl w:val="0"/>
          <w:numId w:val="24"/>
        </w:numPr>
        <w:tabs>
          <w:tab w:val="num" w:pos="1440"/>
        </w:tabs>
        <w:spacing w:before="120" w:after="120"/>
        <w:rPr>
          <w:rFonts w:cs="Open Sans"/>
        </w:rPr>
      </w:pPr>
      <w:r w:rsidRPr="002F2C55">
        <w:rPr>
          <w:rFonts w:cs="Open Sans"/>
        </w:rPr>
        <w:t>by reducing the</w:t>
      </w:r>
      <w:r w:rsidR="00B35A06" w:rsidRPr="002F2C55">
        <w:rPr>
          <w:rFonts w:cs="Open Sans"/>
        </w:rPr>
        <w:t xml:space="preserve"> amount</w:t>
      </w:r>
      <w:r w:rsidRPr="002F2C55">
        <w:rPr>
          <w:rFonts w:cs="Open Sans"/>
        </w:rPr>
        <w:t xml:space="preserve"> </w:t>
      </w:r>
      <w:r w:rsidR="00243113" w:rsidRPr="002F2C55">
        <w:rPr>
          <w:rFonts w:cs="Open Sans"/>
        </w:rPr>
        <w:t xml:space="preserve">or availability </w:t>
      </w:r>
      <w:r w:rsidRPr="002F2C55">
        <w:rPr>
          <w:rFonts w:cs="Open Sans"/>
        </w:rPr>
        <w:t xml:space="preserve">of social security provided through the punitive compliance regime </w:t>
      </w:r>
      <w:r w:rsidR="00243113" w:rsidRPr="002F2C55">
        <w:rPr>
          <w:rFonts w:cs="Open Sans"/>
        </w:rPr>
        <w:t xml:space="preserve">in certain circumstances, in the form of </w:t>
      </w:r>
      <w:r w:rsidR="002477AB" w:rsidRPr="002F2C55">
        <w:rPr>
          <w:rFonts w:cs="Open Sans"/>
        </w:rPr>
        <w:t xml:space="preserve">payment </w:t>
      </w:r>
      <w:r w:rsidR="00243113" w:rsidRPr="002F2C55">
        <w:rPr>
          <w:rFonts w:cs="Open Sans"/>
        </w:rPr>
        <w:t>deductions, suspensions or cancellation</w:t>
      </w:r>
    </w:p>
    <w:p w14:paraId="0DE9DACD" w14:textId="4E654E41" w:rsidR="00B160BA" w:rsidRPr="002F2C55" w:rsidRDefault="00B160BA" w:rsidP="00CE6B77">
      <w:pPr>
        <w:pStyle w:val="SubmissionNormal"/>
        <w:numPr>
          <w:ilvl w:val="0"/>
          <w:numId w:val="24"/>
        </w:numPr>
        <w:tabs>
          <w:tab w:val="num" w:pos="1440"/>
        </w:tabs>
        <w:spacing w:before="120" w:after="120"/>
        <w:rPr>
          <w:rFonts w:cs="Open Sans"/>
        </w:rPr>
      </w:pPr>
      <w:r w:rsidRPr="002F2C55">
        <w:rPr>
          <w:rFonts w:cs="Open Sans"/>
        </w:rPr>
        <w:t xml:space="preserve">by </w:t>
      </w:r>
      <w:r w:rsidR="00B35A06" w:rsidRPr="002F2C55">
        <w:rPr>
          <w:rFonts w:cs="Open Sans"/>
        </w:rPr>
        <w:t xml:space="preserve">reducing the amount of </w:t>
      </w:r>
      <w:r w:rsidRPr="002F2C55">
        <w:rPr>
          <w:rFonts w:cs="Open Sans"/>
        </w:rPr>
        <w:t xml:space="preserve">social security </w:t>
      </w:r>
      <w:r w:rsidR="00B35A06" w:rsidRPr="002F2C55">
        <w:rPr>
          <w:rFonts w:cs="Open Sans"/>
        </w:rPr>
        <w:t>provided</w:t>
      </w:r>
      <w:r w:rsidR="00463412" w:rsidRPr="002F2C55">
        <w:rPr>
          <w:rFonts w:cs="Open Sans"/>
        </w:rPr>
        <w:t>,</w:t>
      </w:r>
      <w:r w:rsidR="00B35A06" w:rsidRPr="002F2C55">
        <w:rPr>
          <w:rFonts w:cs="Open Sans"/>
        </w:rPr>
        <w:t xml:space="preserve"> </w:t>
      </w:r>
      <w:r w:rsidRPr="002F2C55">
        <w:rPr>
          <w:rFonts w:cs="Open Sans"/>
        </w:rPr>
        <w:t>to cover the cost of</w:t>
      </w:r>
      <w:r w:rsidR="00661E18" w:rsidRPr="002F2C55">
        <w:rPr>
          <w:rFonts w:cs="Open Sans"/>
        </w:rPr>
        <w:t xml:space="preserve"> drug </w:t>
      </w:r>
      <w:r w:rsidRPr="002F2C55">
        <w:rPr>
          <w:rFonts w:cs="Open Sans"/>
        </w:rPr>
        <w:t>re</w:t>
      </w:r>
      <w:r w:rsidR="00B35A06" w:rsidRPr="002F2C55">
        <w:rPr>
          <w:rFonts w:cs="Open Sans"/>
        </w:rPr>
        <w:t>-</w:t>
      </w:r>
      <w:r w:rsidRPr="002F2C55">
        <w:rPr>
          <w:rFonts w:cs="Open Sans"/>
        </w:rPr>
        <w:t>test</w:t>
      </w:r>
      <w:r w:rsidR="00B35A06" w:rsidRPr="002F2C55">
        <w:rPr>
          <w:rFonts w:cs="Open Sans"/>
        </w:rPr>
        <w:t>ing</w:t>
      </w:r>
      <w:r w:rsidR="00661E18" w:rsidRPr="002F2C55">
        <w:rPr>
          <w:rFonts w:cs="Open Sans"/>
        </w:rPr>
        <w:t xml:space="preserve"> requests where the result is positive </w:t>
      </w:r>
    </w:p>
    <w:p w14:paraId="7227CB56" w14:textId="77777777" w:rsidR="00B160BA" w:rsidRPr="002F2C55" w:rsidRDefault="00B160BA" w:rsidP="00CE6B77">
      <w:pPr>
        <w:pStyle w:val="SubmissionNormal"/>
        <w:numPr>
          <w:ilvl w:val="0"/>
          <w:numId w:val="24"/>
        </w:numPr>
        <w:tabs>
          <w:tab w:val="num" w:pos="1440"/>
        </w:tabs>
        <w:spacing w:before="120" w:after="120"/>
        <w:rPr>
          <w:rFonts w:cs="Open Sans"/>
        </w:rPr>
      </w:pPr>
      <w:r w:rsidRPr="002F2C55">
        <w:rPr>
          <w:rFonts w:cs="Open Sans"/>
        </w:rPr>
        <w:t>by having a discriminatory impact on:</w:t>
      </w:r>
    </w:p>
    <w:p w14:paraId="7BB08478" w14:textId="49F9DE20" w:rsidR="00B160BA" w:rsidRPr="002F2C55" w:rsidRDefault="00B160BA" w:rsidP="00CE6B77">
      <w:pPr>
        <w:pStyle w:val="SubmissionNormal"/>
        <w:numPr>
          <w:ilvl w:val="2"/>
          <w:numId w:val="15"/>
        </w:numPr>
        <w:spacing w:before="120" w:after="120"/>
        <w:rPr>
          <w:rFonts w:cs="Open Sans"/>
        </w:rPr>
      </w:pPr>
      <w:r w:rsidRPr="002F2C55">
        <w:rPr>
          <w:rFonts w:cs="Open Sans"/>
        </w:rPr>
        <w:t xml:space="preserve">persons whose drug dependency rises to the level of disability </w:t>
      </w:r>
    </w:p>
    <w:p w14:paraId="3DD6F4E4" w14:textId="7C594A4F" w:rsidR="00B160BA" w:rsidRPr="002F2C55" w:rsidRDefault="00B160BA" w:rsidP="00CE6B77">
      <w:pPr>
        <w:pStyle w:val="SubmissionNormal"/>
        <w:numPr>
          <w:ilvl w:val="2"/>
          <w:numId w:val="15"/>
        </w:numPr>
        <w:spacing w:before="120" w:after="120"/>
        <w:rPr>
          <w:rFonts w:cs="Open Sans"/>
        </w:rPr>
      </w:pPr>
      <w:r w:rsidRPr="002F2C55">
        <w:rPr>
          <w:rFonts w:cs="Open Sans"/>
        </w:rPr>
        <w:t>Aboriginal and Torres Strait Islander peoples (who make up a large proportion of social security recipients)</w:t>
      </w:r>
    </w:p>
    <w:p w14:paraId="0884A353" w14:textId="17AC59B3" w:rsidR="00E52178" w:rsidRPr="002F2C55" w:rsidRDefault="00E52178" w:rsidP="00CE6B77">
      <w:pPr>
        <w:pStyle w:val="SubmissionNormal"/>
        <w:numPr>
          <w:ilvl w:val="2"/>
          <w:numId w:val="15"/>
        </w:numPr>
        <w:spacing w:before="120" w:after="120"/>
        <w:rPr>
          <w:rFonts w:cs="Open Sans"/>
        </w:rPr>
      </w:pPr>
      <w:r w:rsidRPr="002F2C55">
        <w:rPr>
          <w:rFonts w:cs="Open Sans"/>
        </w:rPr>
        <w:t>children and young people (being Youth Allowance (other) recipients).</w:t>
      </w:r>
    </w:p>
    <w:p w14:paraId="7A7DAE0F" w14:textId="5AF956D9" w:rsidR="00B160BA" w:rsidRPr="002F2C55" w:rsidRDefault="00B160BA" w:rsidP="00B160BA">
      <w:pPr>
        <w:pStyle w:val="Heading2"/>
        <w:rPr>
          <w:rFonts w:cs="Open Sans"/>
        </w:rPr>
      </w:pPr>
      <w:bookmarkStart w:id="19" w:name="_Toc511221389"/>
      <w:bookmarkStart w:id="20" w:name="_Toc20838307"/>
      <w:r w:rsidRPr="002F2C55">
        <w:rPr>
          <w:rFonts w:cs="Open Sans"/>
        </w:rPr>
        <w:t>Right to privacy</w:t>
      </w:r>
      <w:bookmarkEnd w:id="19"/>
      <w:r w:rsidR="00992E0A" w:rsidRPr="002F2C55">
        <w:rPr>
          <w:rFonts w:cs="Open Sans"/>
        </w:rPr>
        <w:t xml:space="preserve"> and health</w:t>
      </w:r>
      <w:bookmarkEnd w:id="20"/>
    </w:p>
    <w:p w14:paraId="590A95C3" w14:textId="47670032" w:rsidR="002F44C2" w:rsidRPr="002F2C55" w:rsidRDefault="007D2430" w:rsidP="00230154">
      <w:pPr>
        <w:pStyle w:val="ListParagraph"/>
        <w:numPr>
          <w:ilvl w:val="0"/>
          <w:numId w:val="16"/>
        </w:numPr>
        <w:rPr>
          <w:rFonts w:cs="Open Sans"/>
        </w:rPr>
      </w:pPr>
      <w:r w:rsidRPr="002F2C55">
        <w:rPr>
          <w:rFonts w:cs="Open Sans"/>
        </w:rPr>
        <w:t xml:space="preserve">Many international human rights treaties protect a person’s right to privacy. </w:t>
      </w:r>
      <w:r w:rsidR="00BD3A60" w:rsidRPr="002F2C55">
        <w:rPr>
          <w:rFonts w:cs="Open Sans"/>
        </w:rPr>
        <w:t>Most notably, a</w:t>
      </w:r>
      <w:r w:rsidR="00B160BA" w:rsidRPr="002F2C55">
        <w:rPr>
          <w:rFonts w:cs="Open Sans"/>
        </w:rPr>
        <w:t xml:space="preserve">rticle 17 of the </w:t>
      </w:r>
      <w:r w:rsidR="00B160BA" w:rsidRPr="002F2C55">
        <w:rPr>
          <w:rFonts w:cs="Open Sans"/>
          <w:i/>
        </w:rPr>
        <w:t xml:space="preserve">International Covenant on Civil and Political </w:t>
      </w:r>
      <w:r w:rsidR="00B160BA" w:rsidRPr="002F2C55">
        <w:rPr>
          <w:rFonts w:cs="Open Sans"/>
          <w:i/>
          <w:iCs/>
        </w:rPr>
        <w:t>Rights</w:t>
      </w:r>
      <w:r w:rsidR="00B160BA" w:rsidRPr="002F2C55">
        <w:rPr>
          <w:rFonts w:cs="Open Sans"/>
        </w:rPr>
        <w:t xml:space="preserve"> (ICCPR) provides that: </w:t>
      </w:r>
    </w:p>
    <w:p w14:paraId="428B707B" w14:textId="06205075" w:rsidR="00B160BA" w:rsidRPr="002F2C55" w:rsidRDefault="00B160BA" w:rsidP="002F44C2">
      <w:pPr>
        <w:pStyle w:val="SubmissionNormal"/>
        <w:numPr>
          <w:ilvl w:val="0"/>
          <w:numId w:val="0"/>
        </w:numPr>
        <w:ind w:left="1440"/>
        <w:rPr>
          <w:rFonts w:cs="Open Sans"/>
          <w:sz w:val="22"/>
          <w:szCs w:val="22"/>
        </w:rPr>
      </w:pPr>
      <w:r w:rsidRPr="002F2C55">
        <w:rPr>
          <w:rFonts w:cs="Open Sans"/>
          <w:sz w:val="22"/>
          <w:szCs w:val="22"/>
        </w:rPr>
        <w:lastRenderedPageBreak/>
        <w:t>No one shall be subjected to arbitrary or unlawful interference with his privacy, family, home or correspondence, nor to unlawful attacks on his honour and reputation.</w:t>
      </w:r>
    </w:p>
    <w:p w14:paraId="7A670269" w14:textId="51F0EE55" w:rsidR="00B160BA" w:rsidRPr="002F2C55" w:rsidRDefault="00B160BA" w:rsidP="00230154">
      <w:pPr>
        <w:pStyle w:val="ListParagraph"/>
        <w:numPr>
          <w:ilvl w:val="0"/>
          <w:numId w:val="16"/>
        </w:numPr>
        <w:rPr>
          <w:rFonts w:cs="Open Sans"/>
        </w:rPr>
      </w:pPr>
      <w:r w:rsidRPr="002F2C55">
        <w:rPr>
          <w:rFonts w:cs="Open Sans"/>
        </w:rPr>
        <w:t>The scope of the right to privacy is very broad,</w:t>
      </w:r>
      <w:r w:rsidRPr="002F2C55">
        <w:rPr>
          <w:rStyle w:val="EndnoteReference"/>
          <w:rFonts w:cs="Open Sans"/>
        </w:rPr>
        <w:endnoteReference w:id="21"/>
      </w:r>
      <w:r w:rsidRPr="002F2C55">
        <w:rPr>
          <w:rFonts w:cs="Open Sans"/>
        </w:rPr>
        <w:t xml:space="preserve"> covering privacy in the sense of data and personal information,</w:t>
      </w:r>
      <w:r w:rsidRPr="002F2C55">
        <w:rPr>
          <w:rStyle w:val="EndnoteReference"/>
          <w:rFonts w:cs="Open Sans"/>
        </w:rPr>
        <w:endnoteReference w:id="22"/>
      </w:r>
      <w:r w:rsidRPr="002F2C55">
        <w:rPr>
          <w:rFonts w:cs="Open Sans"/>
        </w:rPr>
        <w:t xml:space="preserve"> a</w:t>
      </w:r>
      <w:r w:rsidR="002F44C2" w:rsidRPr="002F2C55">
        <w:rPr>
          <w:rFonts w:cs="Open Sans"/>
        </w:rPr>
        <w:t>s well as</w:t>
      </w:r>
      <w:r w:rsidRPr="002F2C55">
        <w:rPr>
          <w:rFonts w:cs="Open Sans"/>
        </w:rPr>
        <w:t xml:space="preserve"> unwarranted incursions by the state into the private sphere, such </w:t>
      </w:r>
      <w:r w:rsidR="00A95262" w:rsidRPr="002F2C55">
        <w:rPr>
          <w:rFonts w:cs="Open Sans"/>
        </w:rPr>
        <w:t xml:space="preserve">as </w:t>
      </w:r>
      <w:r w:rsidRPr="002F2C55">
        <w:rPr>
          <w:rFonts w:cs="Open Sans"/>
        </w:rPr>
        <w:t>arbitrary or unreasonable searches.</w:t>
      </w:r>
      <w:r w:rsidRPr="002F2C55">
        <w:rPr>
          <w:rStyle w:val="EndnoteReference"/>
          <w:rFonts w:cs="Open Sans"/>
          <w:sz w:val="24"/>
        </w:rPr>
        <w:endnoteReference w:id="23"/>
      </w:r>
      <w:r w:rsidRPr="002F2C55">
        <w:rPr>
          <w:rFonts w:cs="Open Sans"/>
        </w:rPr>
        <w:t xml:space="preserve"> </w:t>
      </w:r>
    </w:p>
    <w:p w14:paraId="7E894AC9" w14:textId="479753B7" w:rsidR="00992E0A" w:rsidRPr="002F2C55" w:rsidRDefault="00515E6B" w:rsidP="00230154">
      <w:pPr>
        <w:pStyle w:val="ListParagraph"/>
        <w:numPr>
          <w:ilvl w:val="0"/>
          <w:numId w:val="16"/>
        </w:numPr>
        <w:rPr>
          <w:rFonts w:cs="Open Sans"/>
        </w:rPr>
      </w:pPr>
      <w:r w:rsidRPr="002F2C55">
        <w:rPr>
          <w:rFonts w:cs="Open Sans"/>
        </w:rPr>
        <w:t>A</w:t>
      </w:r>
      <w:r w:rsidR="00992E0A" w:rsidRPr="002F2C55">
        <w:rPr>
          <w:rFonts w:cs="Open Sans"/>
        </w:rPr>
        <w:t>rticle 12</w:t>
      </w:r>
      <w:r w:rsidRPr="002F2C55">
        <w:rPr>
          <w:rFonts w:cs="Open Sans"/>
        </w:rPr>
        <w:t>(1)</w:t>
      </w:r>
      <w:r w:rsidR="00992E0A" w:rsidRPr="002F2C55">
        <w:rPr>
          <w:rFonts w:cs="Open Sans"/>
        </w:rPr>
        <w:t xml:space="preserve"> of the ICESCR</w:t>
      </w:r>
      <w:r w:rsidRPr="002F2C55">
        <w:rPr>
          <w:rFonts w:cs="Open Sans"/>
        </w:rPr>
        <w:t xml:space="preserve"> </w:t>
      </w:r>
      <w:r w:rsidR="00B80DF1" w:rsidRPr="002F2C55">
        <w:rPr>
          <w:rFonts w:cs="Open Sans"/>
        </w:rPr>
        <w:t xml:space="preserve">also relevantly </w:t>
      </w:r>
      <w:r w:rsidR="008D0880" w:rsidRPr="002F2C55">
        <w:rPr>
          <w:rFonts w:cs="Open Sans"/>
        </w:rPr>
        <w:t xml:space="preserve">protects </w:t>
      </w:r>
      <w:r w:rsidR="00F90979" w:rsidRPr="002F2C55">
        <w:rPr>
          <w:rFonts w:cs="Open Sans"/>
        </w:rPr>
        <w:t>“</w:t>
      </w:r>
      <w:r w:rsidR="008D0880" w:rsidRPr="002F2C55">
        <w:rPr>
          <w:rFonts w:cs="Open Sans"/>
        </w:rPr>
        <w:t>the right of everyone to the enjoyment of the highest attainable standard of physical and mental health</w:t>
      </w:r>
      <w:r w:rsidR="00F90979" w:rsidRPr="002F2C55">
        <w:rPr>
          <w:rFonts w:cs="Open Sans"/>
        </w:rPr>
        <w:t>”</w:t>
      </w:r>
      <w:r w:rsidR="008D0880" w:rsidRPr="002F2C55">
        <w:rPr>
          <w:rFonts w:cs="Open Sans"/>
        </w:rPr>
        <w:t>.</w:t>
      </w:r>
      <w:r w:rsidRPr="002F2C55">
        <w:rPr>
          <w:rFonts w:cs="Open Sans"/>
        </w:rPr>
        <w:t xml:space="preserve"> The CESCR Committee has stated </w:t>
      </w:r>
      <w:r w:rsidR="00B80DF1" w:rsidRPr="002F2C55">
        <w:rPr>
          <w:rFonts w:cs="Open Sans"/>
        </w:rPr>
        <w:t>this right</w:t>
      </w:r>
      <w:r w:rsidR="00B67C0D" w:rsidRPr="002F2C55">
        <w:rPr>
          <w:rFonts w:cs="Open Sans"/>
        </w:rPr>
        <w:t xml:space="preserve"> includes </w:t>
      </w:r>
      <w:r w:rsidR="00126469" w:rsidRPr="002F2C55">
        <w:rPr>
          <w:rFonts w:cs="Open Sans"/>
        </w:rPr>
        <w:t>the right to control one’s health and body, and to be free from non-consensual medical treatment.</w:t>
      </w:r>
      <w:r w:rsidR="00B80DF1" w:rsidRPr="002F2C55">
        <w:rPr>
          <w:rStyle w:val="EndnoteReference"/>
          <w:rFonts w:cs="Open Sans"/>
        </w:rPr>
        <w:endnoteReference w:id="24"/>
      </w:r>
    </w:p>
    <w:p w14:paraId="5CD46D47" w14:textId="144E9AFD" w:rsidR="00B160BA" w:rsidRPr="002F2C55" w:rsidRDefault="00B160BA" w:rsidP="00230154">
      <w:pPr>
        <w:pStyle w:val="ListParagraph"/>
        <w:numPr>
          <w:ilvl w:val="0"/>
          <w:numId w:val="16"/>
        </w:numPr>
        <w:rPr>
          <w:rFonts w:cs="Open Sans"/>
        </w:rPr>
      </w:pPr>
      <w:r w:rsidRPr="002F2C55">
        <w:rPr>
          <w:rFonts w:cs="Open Sans"/>
        </w:rPr>
        <w:t xml:space="preserve">The </w:t>
      </w:r>
      <w:r w:rsidR="002F44C2" w:rsidRPr="002F2C55">
        <w:rPr>
          <w:rFonts w:cs="Open Sans"/>
        </w:rPr>
        <w:t>Commission considers that the Bill</w:t>
      </w:r>
      <w:r w:rsidRPr="002F2C55">
        <w:rPr>
          <w:rFonts w:cs="Open Sans"/>
        </w:rPr>
        <w:t xml:space="preserve"> limit</w:t>
      </w:r>
      <w:r w:rsidR="002F44C2" w:rsidRPr="002F2C55">
        <w:rPr>
          <w:rFonts w:cs="Open Sans"/>
        </w:rPr>
        <w:t>s the right to</w:t>
      </w:r>
      <w:r w:rsidRPr="002F2C55">
        <w:rPr>
          <w:rFonts w:cs="Open Sans"/>
        </w:rPr>
        <w:t xml:space="preserve"> privacy </w:t>
      </w:r>
      <w:r w:rsidR="00C14D7A" w:rsidRPr="002F2C55">
        <w:rPr>
          <w:rFonts w:cs="Open Sans"/>
        </w:rPr>
        <w:t xml:space="preserve">and/or health </w:t>
      </w:r>
      <w:r w:rsidR="002F44C2" w:rsidRPr="002F2C55">
        <w:rPr>
          <w:rFonts w:cs="Open Sans"/>
        </w:rPr>
        <w:t>in numerous ways, including</w:t>
      </w:r>
      <w:r w:rsidRPr="002F2C55">
        <w:rPr>
          <w:rFonts w:cs="Open Sans"/>
        </w:rPr>
        <w:t xml:space="preserve">: </w:t>
      </w:r>
    </w:p>
    <w:p w14:paraId="5C7135CD" w14:textId="04F23699" w:rsidR="00B160BA" w:rsidRPr="002F2C55" w:rsidRDefault="002F44C2" w:rsidP="00230154">
      <w:pPr>
        <w:pStyle w:val="SubmissionNormal"/>
        <w:numPr>
          <w:ilvl w:val="0"/>
          <w:numId w:val="31"/>
        </w:numPr>
        <w:rPr>
          <w:rFonts w:cs="Open Sans"/>
        </w:rPr>
      </w:pPr>
      <w:r w:rsidRPr="002F2C55">
        <w:rPr>
          <w:rFonts w:cs="Open Sans"/>
        </w:rPr>
        <w:t>d</w:t>
      </w:r>
      <w:r w:rsidR="00B160BA" w:rsidRPr="002F2C55">
        <w:rPr>
          <w:rFonts w:cs="Open Sans"/>
        </w:rPr>
        <w:t>rug testing</w:t>
      </w:r>
      <w:r w:rsidR="00BF0630" w:rsidRPr="002F2C55">
        <w:rPr>
          <w:rFonts w:cs="Open Sans"/>
        </w:rPr>
        <w:t xml:space="preserve"> of urine, hair and/or saliva</w:t>
      </w:r>
      <w:r w:rsidR="00B160BA" w:rsidRPr="002F2C55">
        <w:rPr>
          <w:rFonts w:cs="Open Sans"/>
        </w:rPr>
        <w:t xml:space="preserve">, </w:t>
      </w:r>
      <w:r w:rsidR="00FF2F27" w:rsidRPr="002F2C55">
        <w:rPr>
          <w:rFonts w:cs="Open Sans"/>
        </w:rPr>
        <w:t>being an</w:t>
      </w:r>
      <w:r w:rsidR="00B160BA" w:rsidRPr="002F2C55">
        <w:rPr>
          <w:rFonts w:cs="Open Sans"/>
        </w:rPr>
        <w:t xml:space="preserve"> invasive </w:t>
      </w:r>
      <w:r w:rsidR="00507381" w:rsidRPr="002F2C55">
        <w:rPr>
          <w:rFonts w:cs="Open Sans"/>
        </w:rPr>
        <w:t xml:space="preserve">and mandatory </w:t>
      </w:r>
      <w:r w:rsidR="00FF2F27" w:rsidRPr="002F2C55">
        <w:rPr>
          <w:rFonts w:cs="Open Sans"/>
        </w:rPr>
        <w:t>procedure</w:t>
      </w:r>
      <w:r w:rsidR="000535F4" w:rsidRPr="002F2C55">
        <w:rPr>
          <w:rFonts w:cs="Open Sans"/>
        </w:rPr>
        <w:t xml:space="preserve">, and the </w:t>
      </w:r>
      <w:r w:rsidR="00CE6B77" w:rsidRPr="002F2C55">
        <w:rPr>
          <w:rFonts w:cs="Open Sans"/>
        </w:rPr>
        <w:t xml:space="preserve">apparent </w:t>
      </w:r>
      <w:r w:rsidR="000535F4" w:rsidRPr="002F2C55">
        <w:rPr>
          <w:rFonts w:cs="Open Sans"/>
        </w:rPr>
        <w:t>potential limitless number of drug tests to which a person may be subjected</w:t>
      </w:r>
    </w:p>
    <w:p w14:paraId="7E29E0B8" w14:textId="7CEBAC62" w:rsidR="00B160BA" w:rsidRPr="002F2C55" w:rsidRDefault="00AC7E57" w:rsidP="00230154">
      <w:pPr>
        <w:pStyle w:val="SubmissionNormal"/>
        <w:numPr>
          <w:ilvl w:val="0"/>
          <w:numId w:val="31"/>
        </w:numPr>
        <w:rPr>
          <w:rFonts w:cs="Open Sans"/>
        </w:rPr>
      </w:pPr>
      <w:r w:rsidRPr="002F2C55">
        <w:rPr>
          <w:rFonts w:cs="Open Sans"/>
          <w:bCs/>
          <w:lang w:val="en-US"/>
        </w:rPr>
        <w:t>r</w:t>
      </w:r>
      <w:r w:rsidR="00B160BA" w:rsidRPr="002F2C55">
        <w:rPr>
          <w:rFonts w:cs="Open Sans"/>
          <w:bCs/>
          <w:lang w:val="en-US"/>
        </w:rPr>
        <w:t>equiring recipients to divulge private medical information to</w:t>
      </w:r>
      <w:r w:rsidR="00B160BA" w:rsidRPr="002F2C55">
        <w:rPr>
          <w:rFonts w:cs="Open Sans"/>
          <w:b/>
          <w:bCs/>
          <w:lang w:val="en-US"/>
        </w:rPr>
        <w:t xml:space="preserve"> </w:t>
      </w:r>
      <w:r w:rsidR="00B160BA" w:rsidRPr="002F2C55">
        <w:rPr>
          <w:rFonts w:cs="Open Sans"/>
          <w:bCs/>
          <w:lang w:val="en-US"/>
        </w:rPr>
        <w:t xml:space="preserve">third parties contracted </w:t>
      </w:r>
      <w:r w:rsidR="00B160BA" w:rsidRPr="002F2C55">
        <w:rPr>
          <w:rFonts w:cs="Open Sans"/>
          <w:lang w:val="en-US"/>
        </w:rPr>
        <w:t>to conduct the drug tests</w:t>
      </w:r>
      <w:r w:rsidR="00895948" w:rsidRPr="002F2C55">
        <w:rPr>
          <w:rFonts w:cs="Open Sans"/>
          <w:lang w:val="en-US"/>
        </w:rPr>
        <w:t xml:space="preserve">, and the </w:t>
      </w:r>
      <w:r w:rsidR="00183F41" w:rsidRPr="002F2C55">
        <w:rPr>
          <w:rFonts w:cs="Open Sans"/>
          <w:lang w:val="en-US"/>
        </w:rPr>
        <w:t>potential use of this information for other purposes and the adequacy of security measures to ensure the confidentiality of this information</w:t>
      </w:r>
    </w:p>
    <w:p w14:paraId="4EF4DBB5" w14:textId="4620E59F" w:rsidR="00F41F3C" w:rsidRPr="002F2C55" w:rsidRDefault="00507381" w:rsidP="00230154">
      <w:pPr>
        <w:pStyle w:val="SubmissionNormal"/>
        <w:numPr>
          <w:ilvl w:val="0"/>
          <w:numId w:val="31"/>
        </w:numPr>
        <w:rPr>
          <w:rFonts w:cs="Open Sans"/>
        </w:rPr>
      </w:pPr>
      <w:r w:rsidRPr="002F2C55">
        <w:rPr>
          <w:rFonts w:cs="Open Sans"/>
          <w:lang w:val="en-US"/>
        </w:rPr>
        <w:t>requiring certain recipients to undertake</w:t>
      </w:r>
      <w:r w:rsidR="00F41F3C" w:rsidRPr="002F2C55">
        <w:rPr>
          <w:rFonts w:cs="Open Sans"/>
          <w:lang w:val="en-US"/>
        </w:rPr>
        <w:t xml:space="preserve"> medical treatment in order to receive</w:t>
      </w:r>
      <w:r w:rsidR="00AC2693" w:rsidRPr="002F2C55">
        <w:rPr>
          <w:rFonts w:cs="Open Sans"/>
          <w:lang w:val="en-US"/>
        </w:rPr>
        <w:t xml:space="preserve"> welfare entitlements</w:t>
      </w:r>
    </w:p>
    <w:p w14:paraId="785C494E" w14:textId="6912BCD8" w:rsidR="00085278" w:rsidRPr="002F2C55" w:rsidRDefault="00DC3A92" w:rsidP="00230154">
      <w:pPr>
        <w:pStyle w:val="SubmissionNormal"/>
        <w:numPr>
          <w:ilvl w:val="0"/>
          <w:numId w:val="31"/>
        </w:numPr>
        <w:rPr>
          <w:rFonts w:cs="Open Sans"/>
        </w:rPr>
      </w:pPr>
      <w:r w:rsidRPr="002F2C55">
        <w:rPr>
          <w:rFonts w:cs="Open Sans"/>
          <w:bCs/>
          <w:lang w:val="en-US"/>
        </w:rPr>
        <w:t>i</w:t>
      </w:r>
      <w:r w:rsidR="00B160BA" w:rsidRPr="002F2C55">
        <w:rPr>
          <w:rFonts w:cs="Open Sans"/>
          <w:bCs/>
          <w:lang w:val="en-US"/>
        </w:rPr>
        <w:t xml:space="preserve">ncome management by way of </w:t>
      </w:r>
      <w:r w:rsidR="00B160BA" w:rsidRPr="002F2C55">
        <w:rPr>
          <w:rFonts w:cs="Open Sans"/>
          <w:lang w:val="en-US"/>
        </w:rPr>
        <w:t xml:space="preserve">a cashless </w:t>
      </w:r>
      <w:r w:rsidR="00085278" w:rsidRPr="002F2C55">
        <w:rPr>
          <w:rFonts w:cs="Open Sans"/>
          <w:lang w:val="en-US"/>
        </w:rPr>
        <w:t>debit card which would</w:t>
      </w:r>
      <w:r w:rsidR="00B160BA" w:rsidRPr="002F2C55">
        <w:rPr>
          <w:rFonts w:cs="Open Sans"/>
          <w:lang w:val="en-US"/>
        </w:rPr>
        <w:t xml:space="preserve"> immediately </w:t>
      </w:r>
      <w:r w:rsidR="00B160BA" w:rsidRPr="002F2C55">
        <w:rPr>
          <w:rFonts w:cs="Open Sans"/>
          <w:bCs/>
          <w:lang w:val="en-US"/>
        </w:rPr>
        <w:t xml:space="preserve">disclose </w:t>
      </w:r>
      <w:r w:rsidR="00085278" w:rsidRPr="002F2C55">
        <w:rPr>
          <w:rFonts w:cs="Open Sans"/>
          <w:bCs/>
          <w:lang w:val="en-US"/>
        </w:rPr>
        <w:t xml:space="preserve">upon use </w:t>
      </w:r>
      <w:r w:rsidR="00B160BA" w:rsidRPr="002F2C55">
        <w:rPr>
          <w:rFonts w:cs="Open Sans"/>
          <w:bCs/>
          <w:lang w:val="en-US"/>
        </w:rPr>
        <w:t xml:space="preserve">that a person </w:t>
      </w:r>
      <w:r w:rsidR="00085278" w:rsidRPr="002F2C55">
        <w:rPr>
          <w:rFonts w:cs="Open Sans"/>
          <w:bCs/>
          <w:lang w:val="en-US"/>
        </w:rPr>
        <w:t>is a social security recipient that receives</w:t>
      </w:r>
      <w:r w:rsidR="00B160BA" w:rsidRPr="002F2C55">
        <w:rPr>
          <w:rFonts w:cs="Open Sans"/>
          <w:bCs/>
          <w:lang w:val="en-US"/>
        </w:rPr>
        <w:t xml:space="preserve"> quarantined </w:t>
      </w:r>
      <w:r w:rsidR="00085278" w:rsidRPr="002F2C55">
        <w:rPr>
          <w:rFonts w:cs="Open Sans"/>
          <w:bCs/>
          <w:lang w:val="en-US"/>
        </w:rPr>
        <w:t xml:space="preserve">payments, </w:t>
      </w:r>
      <w:r w:rsidR="000A5143" w:rsidRPr="002F2C55">
        <w:rPr>
          <w:rFonts w:cs="Open Sans"/>
          <w:bCs/>
          <w:lang w:val="en-US"/>
        </w:rPr>
        <w:t>which could reasonably be expected to cause</w:t>
      </w:r>
      <w:r w:rsidR="00085278" w:rsidRPr="002F2C55">
        <w:rPr>
          <w:rFonts w:cs="Open Sans"/>
          <w:bCs/>
          <w:lang w:val="en-US"/>
        </w:rPr>
        <w:t xml:space="preserve"> a level of</w:t>
      </w:r>
      <w:r w:rsidR="000A5143" w:rsidRPr="002F2C55">
        <w:rPr>
          <w:rFonts w:cs="Open Sans"/>
          <w:bCs/>
          <w:lang w:val="en-US"/>
        </w:rPr>
        <w:t xml:space="preserve"> social</w:t>
      </w:r>
      <w:r w:rsidR="00085278" w:rsidRPr="002F2C55">
        <w:rPr>
          <w:rFonts w:cs="Open Sans"/>
          <w:bCs/>
          <w:lang w:val="en-US"/>
        </w:rPr>
        <w:t xml:space="preserve"> stigma</w:t>
      </w:r>
      <w:r w:rsidR="00F41F3C" w:rsidRPr="002F2C55">
        <w:rPr>
          <w:rFonts w:cs="Open Sans"/>
        </w:rPr>
        <w:t>.</w:t>
      </w:r>
    </w:p>
    <w:p w14:paraId="3363D054" w14:textId="77777777" w:rsidR="00B160BA" w:rsidRPr="002F2C55" w:rsidRDefault="00B160BA" w:rsidP="00B160BA">
      <w:pPr>
        <w:pStyle w:val="Heading2"/>
        <w:rPr>
          <w:rFonts w:cs="Open Sans"/>
        </w:rPr>
      </w:pPr>
      <w:bookmarkStart w:id="21" w:name="_Toc511221390"/>
      <w:bookmarkStart w:id="22" w:name="_Toc20838308"/>
      <w:r w:rsidRPr="002F2C55">
        <w:rPr>
          <w:rFonts w:cs="Open Sans"/>
        </w:rPr>
        <w:t>Right to equality and non-discrimination</w:t>
      </w:r>
      <w:bookmarkEnd w:id="21"/>
      <w:bookmarkEnd w:id="22"/>
    </w:p>
    <w:p w14:paraId="6DDCA091" w14:textId="0157A91E" w:rsidR="00A704BF" w:rsidRPr="002F2C55" w:rsidRDefault="00B160BA" w:rsidP="00230154">
      <w:pPr>
        <w:pStyle w:val="ListParagraph"/>
        <w:numPr>
          <w:ilvl w:val="0"/>
          <w:numId w:val="16"/>
        </w:numPr>
        <w:rPr>
          <w:rFonts w:cs="Open Sans"/>
        </w:rPr>
      </w:pPr>
      <w:r w:rsidRPr="002F2C55">
        <w:rPr>
          <w:rFonts w:cs="Open Sans"/>
        </w:rPr>
        <w:t xml:space="preserve">The right to equality and non-discrimination is </w:t>
      </w:r>
      <w:r w:rsidR="00A704BF" w:rsidRPr="002F2C55">
        <w:rPr>
          <w:rFonts w:cs="Open Sans"/>
        </w:rPr>
        <w:t>protected by</w:t>
      </w:r>
      <w:r w:rsidRPr="002F2C55">
        <w:rPr>
          <w:rFonts w:cs="Open Sans"/>
        </w:rPr>
        <w:t xml:space="preserve"> </w:t>
      </w:r>
      <w:r w:rsidR="00A704BF" w:rsidRPr="002F2C55">
        <w:rPr>
          <w:rFonts w:cs="Open Sans"/>
        </w:rPr>
        <w:t>numerous</w:t>
      </w:r>
      <w:r w:rsidRPr="002F2C55">
        <w:rPr>
          <w:rFonts w:cs="Open Sans"/>
        </w:rPr>
        <w:t xml:space="preserve"> international human rights treaties to which Australia is a party</w:t>
      </w:r>
      <w:r w:rsidR="00DC0C67" w:rsidRPr="002F2C55">
        <w:rPr>
          <w:rFonts w:cs="Open Sans"/>
        </w:rPr>
        <w:t>,</w:t>
      </w:r>
      <w:r w:rsidRPr="002F2C55">
        <w:rPr>
          <w:rFonts w:cs="Open Sans"/>
          <w:vertAlign w:val="superscript"/>
        </w:rPr>
        <w:endnoteReference w:id="25"/>
      </w:r>
      <w:r w:rsidR="00DC0C67" w:rsidRPr="002F2C55">
        <w:rPr>
          <w:rFonts w:cs="Open Sans"/>
        </w:rPr>
        <w:t xml:space="preserve"> as well as our domestic anti-discrimination laws.</w:t>
      </w:r>
      <w:r w:rsidR="00DC0C67" w:rsidRPr="002F2C55">
        <w:rPr>
          <w:rStyle w:val="EndnoteReference"/>
          <w:rFonts w:cs="Open Sans"/>
        </w:rPr>
        <w:endnoteReference w:id="26"/>
      </w:r>
      <w:r w:rsidRPr="002F2C55">
        <w:rPr>
          <w:rFonts w:cs="Open Sans"/>
        </w:rPr>
        <w:t xml:space="preserve"> </w:t>
      </w:r>
    </w:p>
    <w:p w14:paraId="173C03F4" w14:textId="4CB5A07C" w:rsidR="00B160BA" w:rsidRPr="002F2C55" w:rsidRDefault="00B160BA" w:rsidP="00230154">
      <w:pPr>
        <w:pStyle w:val="ListParagraph"/>
        <w:numPr>
          <w:ilvl w:val="0"/>
          <w:numId w:val="16"/>
        </w:numPr>
        <w:rPr>
          <w:rFonts w:cs="Open Sans"/>
        </w:rPr>
      </w:pPr>
      <w:r w:rsidRPr="002F2C55">
        <w:rPr>
          <w:rFonts w:cs="Open Sans"/>
        </w:rPr>
        <w:lastRenderedPageBreak/>
        <w:t>The right ensures equality before the law and equal protection of the law and guarantees to all persons equal and effective protection against discrimination on any ground such as race, colour, sex, language, religion, political or other opinion, national or social origin, property, birth or other status.</w:t>
      </w:r>
      <w:r w:rsidRPr="002F2C55">
        <w:rPr>
          <w:rFonts w:cs="Open Sans"/>
          <w:vertAlign w:val="superscript"/>
        </w:rPr>
        <w:endnoteReference w:id="27"/>
      </w:r>
      <w:r w:rsidRPr="002F2C55">
        <w:rPr>
          <w:rFonts w:cs="Open Sans"/>
        </w:rPr>
        <w:t xml:space="preserve"> </w:t>
      </w:r>
    </w:p>
    <w:p w14:paraId="07A1C068" w14:textId="53490878" w:rsidR="00DC0C67" w:rsidRPr="002F2C55" w:rsidRDefault="00473759" w:rsidP="00DC0C67">
      <w:pPr>
        <w:pStyle w:val="ListParagraph"/>
        <w:numPr>
          <w:ilvl w:val="0"/>
          <w:numId w:val="16"/>
        </w:numPr>
        <w:rPr>
          <w:rFonts w:cs="Open Sans"/>
        </w:rPr>
      </w:pPr>
      <w:r w:rsidRPr="002F2C55">
        <w:rPr>
          <w:rFonts w:cs="Open Sans"/>
        </w:rPr>
        <w:t xml:space="preserve">The Commission is concerned that the Bill </w:t>
      </w:r>
      <w:r w:rsidR="00E313B7" w:rsidRPr="002F2C55">
        <w:rPr>
          <w:rFonts w:cs="Open Sans"/>
        </w:rPr>
        <w:t xml:space="preserve">has a </w:t>
      </w:r>
      <w:r w:rsidRPr="002F2C55">
        <w:rPr>
          <w:rFonts w:cs="Open Sans"/>
        </w:rPr>
        <w:t>disproportionate impact</w:t>
      </w:r>
      <w:r w:rsidR="00E313B7" w:rsidRPr="002F2C55">
        <w:rPr>
          <w:rFonts w:cs="Open Sans"/>
        </w:rPr>
        <w:t xml:space="preserve"> on</w:t>
      </w:r>
      <w:r w:rsidRPr="002F2C55">
        <w:rPr>
          <w:rFonts w:cs="Open Sans"/>
        </w:rPr>
        <w:t xml:space="preserve"> Aboriginal and Torres Strait Islander peoples, people with disability, and young people and children</w:t>
      </w:r>
      <w:r w:rsidR="002669DC" w:rsidRPr="002F2C55">
        <w:rPr>
          <w:rFonts w:cs="Open Sans"/>
        </w:rPr>
        <w:t xml:space="preserve">, thereby </w:t>
      </w:r>
      <w:r w:rsidR="005260E0" w:rsidRPr="002F2C55">
        <w:rPr>
          <w:rFonts w:cs="Open Sans"/>
        </w:rPr>
        <w:t>operating in a discriminatory manner</w:t>
      </w:r>
      <w:r w:rsidR="00154A74" w:rsidRPr="002F2C55">
        <w:rPr>
          <w:rFonts w:cs="Open Sans"/>
        </w:rPr>
        <w:t xml:space="preserve"> on the basis of race, age </w:t>
      </w:r>
      <w:r w:rsidR="00B23929" w:rsidRPr="002F2C55">
        <w:rPr>
          <w:rFonts w:cs="Open Sans"/>
        </w:rPr>
        <w:t xml:space="preserve">and disability. </w:t>
      </w:r>
    </w:p>
    <w:p w14:paraId="4BC3C653" w14:textId="00C43168" w:rsidR="00B8583E" w:rsidRPr="002F2C55" w:rsidRDefault="00982C45" w:rsidP="00982C45">
      <w:pPr>
        <w:pStyle w:val="ListParagraph"/>
        <w:numPr>
          <w:ilvl w:val="0"/>
          <w:numId w:val="16"/>
        </w:numPr>
        <w:rPr>
          <w:rFonts w:cs="Open Sans"/>
          <w:lang w:val="en-US"/>
        </w:rPr>
      </w:pPr>
      <w:r w:rsidRPr="002F2C55">
        <w:rPr>
          <w:rFonts w:cs="Open Sans"/>
          <w:lang w:val="en-US"/>
        </w:rPr>
        <w:t>The</w:t>
      </w:r>
      <w:r w:rsidRPr="002F2C55">
        <w:rPr>
          <w:rFonts w:cs="Open Sans"/>
        </w:rPr>
        <w:t xml:space="preserve"> Explanatory Memorandum to the Bill</w:t>
      </w:r>
      <w:r w:rsidR="00B8583E" w:rsidRPr="002F2C55">
        <w:rPr>
          <w:rFonts w:cs="Open Sans"/>
        </w:rPr>
        <w:t xml:space="preserve"> relies on the principle of legitimate differential impact to justify any discriminatory impact, for example</w:t>
      </w:r>
      <w:r w:rsidRPr="002F2C55">
        <w:rPr>
          <w:rFonts w:cs="Open Sans"/>
        </w:rPr>
        <w:t xml:space="preserve"> stat</w:t>
      </w:r>
      <w:r w:rsidR="00B8583E" w:rsidRPr="002F2C55">
        <w:rPr>
          <w:rFonts w:cs="Open Sans"/>
        </w:rPr>
        <w:t>ing</w:t>
      </w:r>
      <w:r w:rsidRPr="002F2C55">
        <w:rPr>
          <w:rFonts w:cs="Open Sans"/>
        </w:rPr>
        <w:t xml:space="preserve"> that “[t]o the extent that certain cohorts may be more likely to test positive, this constitutes legitimate differential treatment and does not discriminate on the basis of race or disability”.</w:t>
      </w:r>
      <w:r w:rsidRPr="002F2C55">
        <w:rPr>
          <w:rStyle w:val="EndnoteReference"/>
          <w:rFonts w:cs="Open Sans"/>
        </w:rPr>
        <w:endnoteReference w:id="28"/>
      </w:r>
      <w:r w:rsidRPr="002F2C55">
        <w:rPr>
          <w:rFonts w:cs="Open Sans"/>
        </w:rPr>
        <w:t xml:space="preserve"> </w:t>
      </w:r>
      <w:r w:rsidR="00D66450" w:rsidRPr="002F2C55">
        <w:rPr>
          <w:rFonts w:cs="Open Sans"/>
        </w:rPr>
        <w:t>However, the Commission considers that th</w:t>
      </w:r>
      <w:r w:rsidR="002419A8" w:rsidRPr="002F2C55">
        <w:rPr>
          <w:rFonts w:cs="Open Sans"/>
        </w:rPr>
        <w:t>ese</w:t>
      </w:r>
      <w:r w:rsidR="00D66450" w:rsidRPr="002F2C55">
        <w:rPr>
          <w:rFonts w:cs="Open Sans"/>
        </w:rPr>
        <w:t xml:space="preserve"> assertion</w:t>
      </w:r>
      <w:r w:rsidR="002419A8" w:rsidRPr="002F2C55">
        <w:rPr>
          <w:rFonts w:cs="Open Sans"/>
        </w:rPr>
        <w:t>s are</w:t>
      </w:r>
      <w:r w:rsidR="00D66450" w:rsidRPr="002F2C55">
        <w:rPr>
          <w:rFonts w:cs="Open Sans"/>
        </w:rPr>
        <w:t xml:space="preserve"> not supported by further information justifying</w:t>
      </w:r>
      <w:r w:rsidR="003E68FE" w:rsidRPr="002F2C55">
        <w:rPr>
          <w:rFonts w:cs="Open Sans"/>
        </w:rPr>
        <w:t xml:space="preserve"> why the difference in treatment is appropriate, by reference to evidence.</w:t>
      </w:r>
    </w:p>
    <w:p w14:paraId="22155C50" w14:textId="06B0103A" w:rsidR="00982C45" w:rsidRPr="002F2C55" w:rsidRDefault="00A219F5" w:rsidP="00B8583E">
      <w:pPr>
        <w:pStyle w:val="ListParagraph"/>
        <w:numPr>
          <w:ilvl w:val="0"/>
          <w:numId w:val="16"/>
        </w:numPr>
        <w:rPr>
          <w:rFonts w:cs="Open Sans"/>
          <w:lang w:val="en-US"/>
        </w:rPr>
      </w:pPr>
      <w:r w:rsidRPr="002F2C55">
        <w:rPr>
          <w:rFonts w:cs="Open Sans"/>
        </w:rPr>
        <w:t>I</w:t>
      </w:r>
      <w:r w:rsidR="00982C45" w:rsidRPr="002F2C55">
        <w:rPr>
          <w:rFonts w:cs="Open Sans"/>
        </w:rPr>
        <w:t xml:space="preserve">n the Commission’s view, the additional compliance obligations as proposed in the drug testing trial do not amount to legitimate differential treatment. These measures do not appear to guarantee full and equal enjoyment of human rights and fundamental freedoms. Rather, they may have the effect of undermining the equal enjoyment of human rights by particular groups. </w:t>
      </w:r>
    </w:p>
    <w:p w14:paraId="7CEF62D8" w14:textId="09073856" w:rsidR="000F1F7A" w:rsidRPr="002F2C55" w:rsidRDefault="000F1F7A" w:rsidP="00230154">
      <w:pPr>
        <w:pStyle w:val="ListParagraph"/>
        <w:numPr>
          <w:ilvl w:val="0"/>
          <w:numId w:val="16"/>
        </w:numPr>
        <w:rPr>
          <w:rFonts w:cs="Open Sans"/>
          <w:lang w:val="en-US"/>
        </w:rPr>
      </w:pPr>
      <w:r w:rsidRPr="002F2C55">
        <w:rPr>
          <w:rFonts w:cs="Open Sans"/>
        </w:rPr>
        <w:t xml:space="preserve">As discussed in </w:t>
      </w:r>
      <w:r w:rsidR="00942644" w:rsidRPr="002F2C55">
        <w:rPr>
          <w:rFonts w:cs="Open Sans"/>
        </w:rPr>
        <w:t xml:space="preserve">Part </w:t>
      </w:r>
      <w:r w:rsidR="00942644" w:rsidRPr="002F2C55">
        <w:rPr>
          <w:rFonts w:cs="Open Sans"/>
        </w:rPr>
        <w:fldChar w:fldCharType="begin"/>
      </w:r>
      <w:r w:rsidR="00942644" w:rsidRPr="002F2C55">
        <w:rPr>
          <w:rFonts w:cs="Open Sans"/>
        </w:rPr>
        <w:instrText xml:space="preserve"> REF _Ref20497769 \r \h </w:instrText>
      </w:r>
      <w:r w:rsidR="00230154" w:rsidRPr="002F2C55">
        <w:rPr>
          <w:rFonts w:cs="Open Sans"/>
        </w:rPr>
        <w:instrText xml:space="preserve"> \* MERGEFORMAT </w:instrText>
      </w:r>
      <w:r w:rsidR="00942644" w:rsidRPr="002F2C55">
        <w:rPr>
          <w:rFonts w:cs="Open Sans"/>
        </w:rPr>
      </w:r>
      <w:r w:rsidR="00942644" w:rsidRPr="002F2C55">
        <w:rPr>
          <w:rFonts w:cs="Open Sans"/>
        </w:rPr>
        <w:fldChar w:fldCharType="separate"/>
      </w:r>
      <w:r w:rsidR="007E7A2F">
        <w:rPr>
          <w:rFonts w:cs="Open Sans"/>
        </w:rPr>
        <w:t>7.5</w:t>
      </w:r>
      <w:r w:rsidR="00942644" w:rsidRPr="002F2C55">
        <w:rPr>
          <w:rFonts w:cs="Open Sans"/>
        </w:rPr>
        <w:fldChar w:fldCharType="end"/>
      </w:r>
      <w:r w:rsidRPr="002F2C55">
        <w:rPr>
          <w:rFonts w:cs="Open Sans"/>
        </w:rPr>
        <w:t xml:space="preserve"> below, such discriminatory limitations on human rights engage the right to equality and non-discrimination, but also exacerbate other</w:t>
      </w:r>
      <w:r w:rsidR="00D43AA1" w:rsidRPr="002F2C55">
        <w:rPr>
          <w:rFonts w:cs="Open Sans"/>
        </w:rPr>
        <w:t xml:space="preserve"> adverse</w:t>
      </w:r>
      <w:r w:rsidRPr="002F2C55">
        <w:rPr>
          <w:rFonts w:cs="Open Sans"/>
        </w:rPr>
        <w:t xml:space="preserve"> human rights impacts and undermine </w:t>
      </w:r>
      <w:r w:rsidR="00D43AA1" w:rsidRPr="002F2C55">
        <w:rPr>
          <w:rFonts w:cs="Open Sans"/>
        </w:rPr>
        <w:t>the</w:t>
      </w:r>
      <w:r w:rsidRPr="002F2C55">
        <w:rPr>
          <w:rFonts w:cs="Open Sans"/>
        </w:rPr>
        <w:t xml:space="preserve"> overall proportionality</w:t>
      </w:r>
      <w:r w:rsidR="00D43AA1" w:rsidRPr="002F2C55">
        <w:rPr>
          <w:rFonts w:cs="Open Sans"/>
        </w:rPr>
        <w:t xml:space="preserve"> of the Bill</w:t>
      </w:r>
      <w:r w:rsidRPr="002F2C55">
        <w:rPr>
          <w:rFonts w:cs="Open Sans"/>
        </w:rPr>
        <w:t>.</w:t>
      </w:r>
    </w:p>
    <w:p w14:paraId="64BBCA91" w14:textId="7300AF77" w:rsidR="00BB0025" w:rsidRPr="002F2C55" w:rsidRDefault="00BB0025" w:rsidP="00BB0025">
      <w:pPr>
        <w:pStyle w:val="Heading2"/>
        <w:rPr>
          <w:rFonts w:cs="Open Sans"/>
          <w:lang w:val="en-US"/>
        </w:rPr>
      </w:pPr>
      <w:bookmarkStart w:id="23" w:name="_Toc20838309"/>
      <w:r w:rsidRPr="002F2C55">
        <w:rPr>
          <w:rFonts w:cs="Open Sans"/>
          <w:lang w:val="en-US"/>
        </w:rPr>
        <w:t>Children’s rights</w:t>
      </w:r>
      <w:bookmarkEnd w:id="23"/>
    </w:p>
    <w:p w14:paraId="0D68B919" w14:textId="728BE9E1" w:rsidR="00B57985" w:rsidRPr="002F2C55" w:rsidRDefault="00A57747" w:rsidP="00230154">
      <w:pPr>
        <w:pStyle w:val="ListParagraph"/>
        <w:numPr>
          <w:ilvl w:val="0"/>
          <w:numId w:val="16"/>
        </w:numPr>
        <w:rPr>
          <w:rFonts w:cs="Open Sans"/>
        </w:rPr>
      </w:pPr>
      <w:r w:rsidRPr="002F2C55">
        <w:rPr>
          <w:rFonts w:cs="Open Sans"/>
        </w:rPr>
        <w:t>C</w:t>
      </w:r>
      <w:r w:rsidR="00B57985" w:rsidRPr="002F2C55">
        <w:rPr>
          <w:rFonts w:cs="Open Sans"/>
        </w:rPr>
        <w:t xml:space="preserve">hildren enjoy all the same human rights protections as adults under key international human rights conventions such as the ICCPR, as well as particular and special protections under the </w:t>
      </w:r>
      <w:r w:rsidR="00B57985" w:rsidRPr="002F2C55">
        <w:rPr>
          <w:rFonts w:cs="Open Sans"/>
          <w:i/>
        </w:rPr>
        <w:t>Convention on the Rights of the Child</w:t>
      </w:r>
      <w:r w:rsidR="00B57985" w:rsidRPr="002F2C55">
        <w:rPr>
          <w:rFonts w:cs="Open Sans"/>
        </w:rPr>
        <w:t xml:space="preserve"> (CRC).</w:t>
      </w:r>
      <w:r w:rsidR="00B57985" w:rsidRPr="002F2C55">
        <w:rPr>
          <w:rStyle w:val="EndnoteReference"/>
          <w:rFonts w:cs="Open Sans"/>
        </w:rPr>
        <w:endnoteReference w:id="29"/>
      </w:r>
      <w:r w:rsidR="00B57985" w:rsidRPr="002F2C55">
        <w:rPr>
          <w:rFonts w:cs="Open Sans"/>
        </w:rPr>
        <w:t xml:space="preserve"> </w:t>
      </w:r>
    </w:p>
    <w:p w14:paraId="15D93962" w14:textId="5033DCBD" w:rsidR="00A57747" w:rsidRPr="002F2C55" w:rsidRDefault="00A57747" w:rsidP="00230154">
      <w:pPr>
        <w:pStyle w:val="ListParagraph"/>
        <w:numPr>
          <w:ilvl w:val="0"/>
          <w:numId w:val="16"/>
        </w:numPr>
        <w:rPr>
          <w:rFonts w:cs="Open Sans"/>
        </w:rPr>
      </w:pPr>
      <w:r w:rsidRPr="002F2C55">
        <w:rPr>
          <w:rFonts w:cs="Open Sans"/>
        </w:rPr>
        <w:t>International human rights law recognises that, in light of their</w:t>
      </w:r>
      <w:r w:rsidR="00EA5417" w:rsidRPr="002F2C55">
        <w:rPr>
          <w:rFonts w:cs="Open Sans"/>
        </w:rPr>
        <w:t xml:space="preserve"> evolving</w:t>
      </w:r>
      <w:r w:rsidRPr="002F2C55">
        <w:rPr>
          <w:rFonts w:cs="Open Sans"/>
        </w:rPr>
        <w:t xml:space="preserve"> physical and mental </w:t>
      </w:r>
      <w:r w:rsidR="00295B96" w:rsidRPr="002F2C55">
        <w:rPr>
          <w:rFonts w:cs="Open Sans"/>
        </w:rPr>
        <w:t>capacities</w:t>
      </w:r>
      <w:r w:rsidRPr="002F2C55">
        <w:rPr>
          <w:rFonts w:cs="Open Sans"/>
        </w:rPr>
        <w:t xml:space="preserve">, and developing neurological makeup, </w:t>
      </w:r>
      <w:r w:rsidRPr="002F2C55">
        <w:rPr>
          <w:rFonts w:cs="Open Sans"/>
        </w:rPr>
        <w:lastRenderedPageBreak/>
        <w:t xml:space="preserve">children have special need of safeguards, care and protection and should therefore be treated differently </w:t>
      </w:r>
      <w:r w:rsidR="00E313B7" w:rsidRPr="002F2C55">
        <w:rPr>
          <w:rFonts w:cs="Open Sans"/>
        </w:rPr>
        <w:t xml:space="preserve">from </w:t>
      </w:r>
      <w:r w:rsidRPr="002F2C55">
        <w:rPr>
          <w:rFonts w:cs="Open Sans"/>
        </w:rPr>
        <w:t>adults.</w:t>
      </w:r>
      <w:r w:rsidRPr="002F2C55">
        <w:rPr>
          <w:rStyle w:val="EndnoteReference"/>
          <w:rFonts w:cs="Open Sans"/>
        </w:rPr>
        <w:endnoteReference w:id="30"/>
      </w:r>
      <w:r w:rsidRPr="002F2C55">
        <w:rPr>
          <w:rFonts w:cs="Open Sans"/>
        </w:rPr>
        <w:t xml:space="preserve"> </w:t>
      </w:r>
    </w:p>
    <w:p w14:paraId="18B1A39E" w14:textId="06ABEA09" w:rsidR="007A6C98" w:rsidRPr="002F2C55" w:rsidRDefault="007A6C98" w:rsidP="00230154">
      <w:pPr>
        <w:pStyle w:val="ListParagraph"/>
        <w:numPr>
          <w:ilvl w:val="0"/>
          <w:numId w:val="16"/>
        </w:numPr>
        <w:rPr>
          <w:rFonts w:cs="Open Sans"/>
        </w:rPr>
      </w:pPr>
      <w:r w:rsidRPr="002F2C55">
        <w:rPr>
          <w:rFonts w:cs="Open Sans"/>
        </w:rPr>
        <w:t>Article 3 of the CRC requires the government to take account of the best interests of the child as a primary consideration in decision-making:</w:t>
      </w:r>
    </w:p>
    <w:p w14:paraId="71DEA3C9" w14:textId="77777777" w:rsidR="007A6C98" w:rsidRPr="002F2C55" w:rsidRDefault="007A6C98" w:rsidP="007A6C98">
      <w:pPr>
        <w:pStyle w:val="Quotesub"/>
      </w:pPr>
      <w:r w:rsidRPr="002F2C55">
        <w:t>In all actions concerning children, whether undertaken by public or private social welfare institutions, courts of law, administrative authorities or legislative bodies, the best interests of the child shall be a primary consideration.</w:t>
      </w:r>
    </w:p>
    <w:p w14:paraId="5506EDB5" w14:textId="11332A38" w:rsidR="007A6C98" w:rsidRPr="002F2C55" w:rsidRDefault="007A6C98" w:rsidP="00230154">
      <w:pPr>
        <w:pStyle w:val="ListParagraph"/>
        <w:numPr>
          <w:ilvl w:val="0"/>
          <w:numId w:val="16"/>
        </w:numPr>
        <w:rPr>
          <w:rFonts w:cs="Open Sans"/>
        </w:rPr>
      </w:pPr>
      <w:r w:rsidRPr="002F2C55">
        <w:rPr>
          <w:rFonts w:cs="Open Sans"/>
        </w:rPr>
        <w:t xml:space="preserve">Under the CRC and other human rights treaties, </w:t>
      </w:r>
      <w:r w:rsidR="00D62D13" w:rsidRPr="002F2C55">
        <w:rPr>
          <w:rFonts w:cs="Open Sans"/>
        </w:rPr>
        <w:t xml:space="preserve">key relevant human rights of </w:t>
      </w:r>
      <w:r w:rsidRPr="002F2C55">
        <w:rPr>
          <w:rFonts w:cs="Open Sans"/>
        </w:rPr>
        <w:t xml:space="preserve">children </w:t>
      </w:r>
      <w:r w:rsidR="00D62D13" w:rsidRPr="002F2C55">
        <w:rPr>
          <w:rFonts w:cs="Open Sans"/>
        </w:rPr>
        <w:t>include</w:t>
      </w:r>
      <w:r w:rsidRPr="002F2C55">
        <w:rPr>
          <w:rFonts w:cs="Open Sans"/>
        </w:rPr>
        <w:t xml:space="preserve"> the right to: </w:t>
      </w:r>
      <w:r w:rsidR="00856E03" w:rsidRPr="002F2C55">
        <w:rPr>
          <w:rFonts w:cs="Open Sans"/>
        </w:rPr>
        <w:t xml:space="preserve">social security, </w:t>
      </w:r>
      <w:r w:rsidR="002C74F4" w:rsidRPr="002F2C55">
        <w:rPr>
          <w:rFonts w:cs="Open Sans"/>
        </w:rPr>
        <w:t xml:space="preserve">protection against arbitrary or unlawful interference with their privacy, family and home, </w:t>
      </w:r>
      <w:r w:rsidRPr="002F2C55">
        <w:rPr>
          <w:rFonts w:cs="Open Sans"/>
        </w:rPr>
        <w:t>enjoyment of the highest attainable standard of health, an adequate standard of living, and the protection of families</w:t>
      </w:r>
      <w:r w:rsidR="000B01E7" w:rsidRPr="002F2C55">
        <w:rPr>
          <w:rFonts w:cs="Open Sans"/>
        </w:rPr>
        <w:t xml:space="preserve"> (</w:t>
      </w:r>
      <w:r w:rsidRPr="002F2C55">
        <w:rPr>
          <w:rFonts w:cs="Open Sans"/>
        </w:rPr>
        <w:t>particularly when they are responsible for the care and education of dependent children</w:t>
      </w:r>
      <w:r w:rsidR="000B01E7" w:rsidRPr="002F2C55">
        <w:rPr>
          <w:rFonts w:cs="Open Sans"/>
        </w:rPr>
        <w:t>)</w:t>
      </w:r>
      <w:r w:rsidRPr="002F2C55">
        <w:rPr>
          <w:rFonts w:cs="Open Sans"/>
        </w:rPr>
        <w:t>.</w:t>
      </w:r>
      <w:r w:rsidRPr="002F2C55">
        <w:rPr>
          <w:rStyle w:val="EndnoteReference"/>
          <w:rFonts w:cs="Open Sans"/>
        </w:rPr>
        <w:endnoteReference w:id="31"/>
      </w:r>
    </w:p>
    <w:p w14:paraId="57F05F2F" w14:textId="0E0DD8E6" w:rsidR="00B160BA" w:rsidRPr="002F2C55" w:rsidRDefault="00B160BA" w:rsidP="00B160BA">
      <w:pPr>
        <w:pStyle w:val="Heading1"/>
        <w:rPr>
          <w:rFonts w:cs="Open Sans"/>
          <w:lang w:val="en-US"/>
        </w:rPr>
      </w:pPr>
      <w:bookmarkStart w:id="24" w:name="_Toc511221391"/>
      <w:bookmarkStart w:id="25" w:name="_Toc20838310"/>
      <w:r w:rsidRPr="002F2C55">
        <w:rPr>
          <w:rFonts w:cs="Open Sans"/>
          <w:lang w:val="en-US"/>
        </w:rPr>
        <w:t>Incompatibility</w:t>
      </w:r>
      <w:r w:rsidR="00B12DA3" w:rsidRPr="002F2C55">
        <w:rPr>
          <w:rFonts w:cs="Open Sans"/>
          <w:lang w:val="en-US"/>
        </w:rPr>
        <w:t xml:space="preserve"> of </w:t>
      </w:r>
      <w:r w:rsidR="00C7791C" w:rsidRPr="002F2C55">
        <w:rPr>
          <w:rFonts w:cs="Open Sans"/>
          <w:lang w:val="en-US"/>
        </w:rPr>
        <w:t>the Bill</w:t>
      </w:r>
      <w:r w:rsidRPr="002F2C55">
        <w:rPr>
          <w:rFonts w:cs="Open Sans"/>
          <w:lang w:val="en-US"/>
        </w:rPr>
        <w:t xml:space="preserve"> with human rights</w:t>
      </w:r>
      <w:bookmarkEnd w:id="24"/>
      <w:bookmarkEnd w:id="25"/>
      <w:r w:rsidRPr="002F2C55">
        <w:rPr>
          <w:rFonts w:cs="Open Sans"/>
          <w:lang w:val="en-US"/>
        </w:rPr>
        <w:t xml:space="preserve"> </w:t>
      </w:r>
    </w:p>
    <w:p w14:paraId="3B807793" w14:textId="77777777" w:rsidR="00B160BA" w:rsidRPr="002F2C55" w:rsidRDefault="00B160BA" w:rsidP="00230154">
      <w:pPr>
        <w:pStyle w:val="ListParagraph"/>
        <w:numPr>
          <w:ilvl w:val="0"/>
          <w:numId w:val="16"/>
        </w:numPr>
        <w:rPr>
          <w:rFonts w:cs="Open Sans"/>
          <w:szCs w:val="22"/>
        </w:rPr>
      </w:pPr>
      <w:r w:rsidRPr="002F2C55">
        <w:rPr>
          <w:rFonts w:cs="Open Sans"/>
          <w:szCs w:val="22"/>
        </w:rPr>
        <w:t xml:space="preserve">Under international human rights law, the right to privacy and the right to </w:t>
      </w:r>
      <w:r w:rsidRPr="002F2C55">
        <w:rPr>
          <w:rFonts w:cs="Open Sans"/>
        </w:rPr>
        <w:t>equality</w:t>
      </w:r>
      <w:r w:rsidRPr="002F2C55">
        <w:rPr>
          <w:rFonts w:cs="Open Sans"/>
          <w:szCs w:val="22"/>
        </w:rPr>
        <w:t xml:space="preserve"> and non-discrimination may be justifiably limited where limitations:</w:t>
      </w:r>
    </w:p>
    <w:p w14:paraId="4A7812A6" w14:textId="72EACE0D" w:rsidR="00B160BA" w:rsidRPr="002F2C55" w:rsidRDefault="00B160BA" w:rsidP="002C38D0">
      <w:pPr>
        <w:pStyle w:val="SubmissionNormal"/>
        <w:numPr>
          <w:ilvl w:val="0"/>
          <w:numId w:val="35"/>
        </w:numPr>
        <w:spacing w:before="120" w:after="120"/>
        <w:rPr>
          <w:rFonts w:cs="Open Sans"/>
          <w:szCs w:val="22"/>
        </w:rPr>
      </w:pPr>
      <w:r w:rsidRPr="002F2C55">
        <w:rPr>
          <w:rFonts w:cs="Open Sans"/>
          <w:szCs w:val="22"/>
        </w:rPr>
        <w:t xml:space="preserve">are </w:t>
      </w:r>
      <w:r w:rsidR="00F90979" w:rsidRPr="002F2C55">
        <w:rPr>
          <w:rFonts w:cs="Open Sans"/>
          <w:szCs w:val="22"/>
        </w:rPr>
        <w:t>“</w:t>
      </w:r>
      <w:r w:rsidRPr="002F2C55">
        <w:rPr>
          <w:rFonts w:cs="Open Sans"/>
          <w:szCs w:val="22"/>
        </w:rPr>
        <w:t>prescribed by law</w:t>
      </w:r>
      <w:r w:rsidR="00F90979" w:rsidRPr="002F2C55">
        <w:rPr>
          <w:rFonts w:cs="Open Sans"/>
          <w:szCs w:val="22"/>
        </w:rPr>
        <w:t>”</w:t>
      </w:r>
    </w:p>
    <w:p w14:paraId="7B7058BF" w14:textId="78982278" w:rsidR="00B160BA" w:rsidRPr="002F2C55" w:rsidRDefault="00B160BA" w:rsidP="002C38D0">
      <w:pPr>
        <w:pStyle w:val="SubmissionNormal"/>
        <w:numPr>
          <w:ilvl w:val="0"/>
          <w:numId w:val="35"/>
        </w:numPr>
        <w:spacing w:before="120" w:after="120"/>
        <w:rPr>
          <w:rFonts w:cs="Open Sans"/>
          <w:szCs w:val="22"/>
        </w:rPr>
      </w:pPr>
      <w:r w:rsidRPr="002F2C55">
        <w:rPr>
          <w:rFonts w:cs="Open Sans"/>
          <w:szCs w:val="22"/>
        </w:rPr>
        <w:t>pursue a legitimate aim</w:t>
      </w:r>
    </w:p>
    <w:p w14:paraId="20098D8D" w14:textId="77777777" w:rsidR="00B160BA" w:rsidRPr="002F2C55" w:rsidRDefault="00B160BA" w:rsidP="002C38D0">
      <w:pPr>
        <w:pStyle w:val="SubmissionNormal"/>
        <w:numPr>
          <w:ilvl w:val="0"/>
          <w:numId w:val="35"/>
        </w:numPr>
        <w:spacing w:before="120" w:after="120"/>
        <w:rPr>
          <w:rFonts w:cs="Open Sans"/>
          <w:szCs w:val="22"/>
        </w:rPr>
      </w:pPr>
      <w:r w:rsidRPr="002F2C55">
        <w:rPr>
          <w:rFonts w:cs="Open Sans"/>
          <w:szCs w:val="22"/>
        </w:rPr>
        <w:t>are necessary and proportionate to pursue that legitimate aim.</w:t>
      </w:r>
      <w:r w:rsidRPr="002F2C55">
        <w:rPr>
          <w:rStyle w:val="EndnoteReference"/>
          <w:rFonts w:cs="Open Sans"/>
          <w:szCs w:val="22"/>
        </w:rPr>
        <w:endnoteReference w:id="32"/>
      </w:r>
      <w:r w:rsidRPr="002F2C55">
        <w:rPr>
          <w:rFonts w:cs="Open Sans"/>
          <w:szCs w:val="22"/>
        </w:rPr>
        <w:t xml:space="preserve"> </w:t>
      </w:r>
    </w:p>
    <w:p w14:paraId="57403DDF" w14:textId="77777777" w:rsidR="0006701B" w:rsidRPr="002F2C55" w:rsidRDefault="0006701B" w:rsidP="00230154">
      <w:pPr>
        <w:pStyle w:val="ListParagraph"/>
        <w:numPr>
          <w:ilvl w:val="0"/>
          <w:numId w:val="16"/>
        </w:numPr>
        <w:rPr>
          <w:rFonts w:cs="Open Sans"/>
        </w:rPr>
      </w:pPr>
      <w:r w:rsidRPr="002F2C55">
        <w:rPr>
          <w:rFonts w:cs="Open Sans"/>
        </w:rPr>
        <w:t xml:space="preserve">Under article 4 of ICESCR, </w:t>
      </w:r>
      <w:r w:rsidRPr="002F2C55">
        <w:rPr>
          <w:rFonts w:cs="Open Sans"/>
          <w:szCs w:val="22"/>
        </w:rPr>
        <w:t>the</w:t>
      </w:r>
      <w:r w:rsidRPr="002F2C55">
        <w:rPr>
          <w:rFonts w:cs="Open Sans"/>
        </w:rPr>
        <w:t xml:space="preserve"> right to social security can only be subject to limitations that are both:</w:t>
      </w:r>
    </w:p>
    <w:p w14:paraId="569285AD" w14:textId="77777777" w:rsidR="0006701B" w:rsidRPr="002F2C55" w:rsidRDefault="0006701B" w:rsidP="002C38D0">
      <w:pPr>
        <w:pStyle w:val="SubmissionNormal"/>
        <w:numPr>
          <w:ilvl w:val="0"/>
          <w:numId w:val="36"/>
        </w:numPr>
        <w:spacing w:before="120" w:after="120"/>
        <w:rPr>
          <w:rFonts w:cs="Open Sans"/>
          <w:szCs w:val="22"/>
        </w:rPr>
      </w:pPr>
      <w:r w:rsidRPr="002F2C55">
        <w:rPr>
          <w:rFonts w:cs="Open Sans"/>
          <w:szCs w:val="22"/>
        </w:rPr>
        <w:t>determined</w:t>
      </w:r>
      <w:r w:rsidRPr="002F2C55">
        <w:rPr>
          <w:rFonts w:cs="Open Sans"/>
        </w:rPr>
        <w:t xml:space="preserve"> by law, only in so far as this may be compatible with the </w:t>
      </w:r>
      <w:r w:rsidRPr="002F2C55">
        <w:rPr>
          <w:rFonts w:cs="Open Sans"/>
          <w:szCs w:val="22"/>
        </w:rPr>
        <w:t>nature of these rights</w:t>
      </w:r>
    </w:p>
    <w:p w14:paraId="4E1F2CBE" w14:textId="77777777" w:rsidR="0006701B" w:rsidRPr="002F2C55" w:rsidRDefault="0006701B" w:rsidP="002C38D0">
      <w:pPr>
        <w:pStyle w:val="SubmissionNormal"/>
        <w:numPr>
          <w:ilvl w:val="0"/>
          <w:numId w:val="36"/>
        </w:numPr>
        <w:spacing w:before="120" w:after="120"/>
        <w:rPr>
          <w:rFonts w:cs="Open Sans"/>
        </w:rPr>
      </w:pPr>
      <w:r w:rsidRPr="002F2C55">
        <w:rPr>
          <w:rFonts w:cs="Open Sans"/>
          <w:szCs w:val="22"/>
        </w:rPr>
        <w:t>solel</w:t>
      </w:r>
      <w:r w:rsidRPr="002F2C55">
        <w:rPr>
          <w:rFonts w:cs="Open Sans"/>
        </w:rPr>
        <w:t>y for the purpose of promoting the general welfare in a democratic society.</w:t>
      </w:r>
      <w:r w:rsidRPr="002F2C55">
        <w:rPr>
          <w:rStyle w:val="EndnoteReference"/>
          <w:rFonts w:cs="Open Sans"/>
        </w:rPr>
        <w:endnoteReference w:id="33"/>
      </w:r>
    </w:p>
    <w:p w14:paraId="0252AEBC" w14:textId="7AF2EC95" w:rsidR="00256362" w:rsidRPr="002F2C55" w:rsidRDefault="004D7BE1" w:rsidP="00230154">
      <w:pPr>
        <w:pStyle w:val="ListParagraph"/>
        <w:numPr>
          <w:ilvl w:val="0"/>
          <w:numId w:val="16"/>
        </w:numPr>
        <w:rPr>
          <w:rFonts w:cs="Open Sans"/>
        </w:rPr>
      </w:pPr>
      <w:r w:rsidRPr="002F2C55">
        <w:rPr>
          <w:rFonts w:cs="Open Sans"/>
        </w:rPr>
        <w:t>Further</w:t>
      </w:r>
      <w:r w:rsidR="0046390B" w:rsidRPr="002F2C55">
        <w:rPr>
          <w:rFonts w:cs="Open Sans"/>
        </w:rPr>
        <w:t>, any limitations on the right to social security must be proportionate, the least restrictive alternative, of limited duration and subject to review.</w:t>
      </w:r>
      <w:r w:rsidR="00256362" w:rsidRPr="002F2C55">
        <w:rPr>
          <w:rFonts w:cs="Open Sans"/>
        </w:rPr>
        <w:t xml:space="preserve"> That is, if there are readily available alternatives </w:t>
      </w:r>
      <w:r w:rsidR="00F13C5B" w:rsidRPr="002F2C55">
        <w:rPr>
          <w:rFonts w:cs="Open Sans"/>
        </w:rPr>
        <w:t xml:space="preserve">to achieve a legitimate objective </w:t>
      </w:r>
      <w:r w:rsidR="00256362" w:rsidRPr="002F2C55">
        <w:rPr>
          <w:rFonts w:cs="Open Sans"/>
        </w:rPr>
        <w:t>that are less restrictive of</w:t>
      </w:r>
      <w:r w:rsidR="00F13C5B" w:rsidRPr="002F2C55">
        <w:rPr>
          <w:rFonts w:cs="Open Sans"/>
        </w:rPr>
        <w:t xml:space="preserve"> human rights</w:t>
      </w:r>
      <w:r w:rsidR="00256362" w:rsidRPr="002F2C55">
        <w:rPr>
          <w:rFonts w:cs="Open Sans"/>
        </w:rPr>
        <w:t xml:space="preserve">, </w:t>
      </w:r>
      <w:r w:rsidR="00F13C5B" w:rsidRPr="002F2C55">
        <w:rPr>
          <w:rFonts w:cs="Open Sans"/>
        </w:rPr>
        <w:lastRenderedPageBreak/>
        <w:t xml:space="preserve">those </w:t>
      </w:r>
      <w:r w:rsidR="00206CFE" w:rsidRPr="002F2C55">
        <w:rPr>
          <w:rFonts w:cs="Open Sans"/>
        </w:rPr>
        <w:t xml:space="preserve">means should be used. With respect to social security, this could </w:t>
      </w:r>
      <w:r w:rsidR="00256362" w:rsidRPr="002F2C55">
        <w:rPr>
          <w:rFonts w:cs="Open Sans"/>
        </w:rPr>
        <w:t>includ</w:t>
      </w:r>
      <w:r w:rsidR="00206CFE" w:rsidRPr="002F2C55">
        <w:rPr>
          <w:rFonts w:cs="Open Sans"/>
        </w:rPr>
        <w:t>e</w:t>
      </w:r>
      <w:r w:rsidR="00256362" w:rsidRPr="002F2C55">
        <w:rPr>
          <w:rFonts w:cs="Open Sans"/>
        </w:rPr>
        <w:t xml:space="preserve"> incentive based models</w:t>
      </w:r>
      <w:r w:rsidR="00206CFE" w:rsidRPr="002F2C55">
        <w:rPr>
          <w:rFonts w:cs="Open Sans"/>
        </w:rPr>
        <w:t xml:space="preserve"> rather than punitive models</w:t>
      </w:r>
      <w:r w:rsidR="00256362" w:rsidRPr="002F2C55">
        <w:rPr>
          <w:rFonts w:cs="Open Sans"/>
        </w:rPr>
        <w:t>.</w:t>
      </w:r>
    </w:p>
    <w:p w14:paraId="6B08187B" w14:textId="1AB0BB75" w:rsidR="0046390B" w:rsidRPr="002F2C55" w:rsidRDefault="0046390B" w:rsidP="00230154">
      <w:pPr>
        <w:pStyle w:val="ListParagraph"/>
        <w:numPr>
          <w:ilvl w:val="0"/>
          <w:numId w:val="16"/>
        </w:numPr>
        <w:rPr>
          <w:rFonts w:cs="Open Sans"/>
        </w:rPr>
      </w:pPr>
      <w:r w:rsidRPr="002F2C55">
        <w:rPr>
          <w:rFonts w:cs="Open Sans"/>
        </w:rPr>
        <w:t xml:space="preserve">There is a strong presumption that </w:t>
      </w:r>
      <w:r w:rsidRPr="002F2C55">
        <w:rPr>
          <w:rFonts w:cs="Open Sans"/>
          <w:i/>
        </w:rPr>
        <w:t>retrogressive</w:t>
      </w:r>
      <w:r w:rsidRPr="002F2C55">
        <w:rPr>
          <w:rFonts w:cs="Open Sans"/>
        </w:rPr>
        <w:t xml:space="preserve"> measures taken against the right to social security are prohibited under ICESCR.</w:t>
      </w:r>
      <w:r w:rsidRPr="002F2C55">
        <w:rPr>
          <w:rStyle w:val="EndnoteReference"/>
          <w:rFonts w:cs="Open Sans"/>
        </w:rPr>
        <w:endnoteReference w:id="34"/>
      </w:r>
      <w:r w:rsidRPr="002F2C55">
        <w:rPr>
          <w:rFonts w:cs="Open Sans"/>
        </w:rPr>
        <w:t xml:space="preserve"> If deliberately retrogressive measures are taken, the </w:t>
      </w:r>
      <w:r w:rsidR="00926C43" w:rsidRPr="002F2C55">
        <w:rPr>
          <w:rFonts w:cs="Open Sans"/>
        </w:rPr>
        <w:t>ESCR Committee</w:t>
      </w:r>
      <w:r w:rsidRPr="002F2C55">
        <w:rPr>
          <w:rFonts w:cs="Open Sans"/>
        </w:rPr>
        <w:t xml:space="preserve"> has stated that:</w:t>
      </w:r>
    </w:p>
    <w:p w14:paraId="30A00FCF" w14:textId="77777777" w:rsidR="0046390B" w:rsidRPr="002F2C55" w:rsidRDefault="0046390B" w:rsidP="0046390B">
      <w:pPr>
        <w:pStyle w:val="ListNumber"/>
        <w:numPr>
          <w:ilvl w:val="0"/>
          <w:numId w:val="0"/>
        </w:numPr>
        <w:ind w:left="1440"/>
        <w:rPr>
          <w:rFonts w:cs="Open Sans"/>
          <w:sz w:val="22"/>
          <w:szCs w:val="22"/>
        </w:rPr>
      </w:pPr>
      <w:r w:rsidRPr="002F2C55">
        <w:rPr>
          <w:rFonts w:cs="Open Sans"/>
          <w:sz w:val="22"/>
          <w:szCs w:val="22"/>
        </w:rPr>
        <w:t>[T]he State party has the burden of proving that they have been introduced after the most careful consideration of all alternatives and that they are duly justified by reference to the totality of the rights provided for in the Covenant, in the context of the full use of the maximum available resources of the State party. The Committee will look carefully at whether: (a) there was reasonable justification for the action; (b) alternatives were comprehensively examined; (c) there was genuine participation of affected groups in examining the proposed measures and alternatives; (d) the measures were directly or indirectly discriminatory; (e) the measures will have a sustained impact on the realization of the right to social security, an unreasonable impact on acquired social security rights or whether an individual or group is deprived of access to the minimum essential level of social security; and (f) whether there was an independent review of the measures at the national level.</w:t>
      </w:r>
      <w:r w:rsidRPr="002F2C55">
        <w:rPr>
          <w:rStyle w:val="EndnoteReference"/>
          <w:rFonts w:cs="Open Sans"/>
          <w:sz w:val="22"/>
          <w:szCs w:val="22"/>
        </w:rPr>
        <w:endnoteReference w:id="35"/>
      </w:r>
    </w:p>
    <w:p w14:paraId="66177FF4" w14:textId="2EC7E692" w:rsidR="00B160BA" w:rsidRPr="002F2C55" w:rsidRDefault="00B160BA" w:rsidP="00230154">
      <w:pPr>
        <w:pStyle w:val="ListParagraph"/>
        <w:numPr>
          <w:ilvl w:val="0"/>
          <w:numId w:val="16"/>
        </w:numPr>
        <w:rPr>
          <w:rFonts w:cs="Open Sans"/>
        </w:rPr>
      </w:pPr>
      <w:r w:rsidRPr="002F2C55">
        <w:rPr>
          <w:rFonts w:cs="Open Sans"/>
        </w:rPr>
        <w:t xml:space="preserve">According to the </w:t>
      </w:r>
      <w:r w:rsidR="008633E5" w:rsidRPr="002F2C55">
        <w:rPr>
          <w:rFonts w:cs="Open Sans"/>
        </w:rPr>
        <w:t>S</w:t>
      </w:r>
      <w:r w:rsidRPr="002F2C55">
        <w:rPr>
          <w:rFonts w:cs="Open Sans"/>
        </w:rPr>
        <w:t xml:space="preserve">tatement of </w:t>
      </w:r>
      <w:r w:rsidR="008633E5" w:rsidRPr="002F2C55">
        <w:rPr>
          <w:rFonts w:cs="Open Sans"/>
        </w:rPr>
        <w:t>C</w:t>
      </w:r>
      <w:r w:rsidRPr="002F2C55">
        <w:rPr>
          <w:rFonts w:cs="Open Sans"/>
        </w:rPr>
        <w:t xml:space="preserve">ompatibility with </w:t>
      </w:r>
      <w:r w:rsidR="008633E5" w:rsidRPr="002F2C55">
        <w:rPr>
          <w:rFonts w:cs="Open Sans"/>
        </w:rPr>
        <w:t>H</w:t>
      </w:r>
      <w:r w:rsidRPr="002F2C55">
        <w:rPr>
          <w:rFonts w:cs="Open Sans"/>
        </w:rPr>
        <w:t xml:space="preserve">uman </w:t>
      </w:r>
      <w:r w:rsidR="000A7077" w:rsidRPr="002F2C55">
        <w:rPr>
          <w:rFonts w:cs="Open Sans"/>
        </w:rPr>
        <w:t>R</w:t>
      </w:r>
      <w:r w:rsidRPr="002F2C55">
        <w:rPr>
          <w:rFonts w:cs="Open Sans"/>
        </w:rPr>
        <w:t>ights accompanying the Bill, the aims of the drug testing trial are as follows:</w:t>
      </w:r>
    </w:p>
    <w:p w14:paraId="2E949845" w14:textId="15076CE5" w:rsidR="00B160BA" w:rsidRPr="002F2C55" w:rsidRDefault="00B160BA" w:rsidP="00942644">
      <w:pPr>
        <w:pStyle w:val="SubmissionNormal"/>
        <w:numPr>
          <w:ilvl w:val="0"/>
          <w:numId w:val="18"/>
        </w:numPr>
        <w:spacing w:before="120" w:after="120"/>
        <w:ind w:left="1434" w:hanging="357"/>
        <w:rPr>
          <w:rFonts w:cs="Open Sans"/>
          <w:sz w:val="22"/>
          <w:szCs w:val="22"/>
        </w:rPr>
      </w:pPr>
      <w:r w:rsidRPr="002F2C55">
        <w:rPr>
          <w:rFonts w:cs="Open Sans"/>
          <w:sz w:val="22"/>
          <w:szCs w:val="22"/>
        </w:rPr>
        <w:t>to maintain the integrity of, and public confidence in, the social security system by ensuring that tax-payer funded welfare payments are not being used to purchase drugs or support substance abuse</w:t>
      </w:r>
      <w:r w:rsidR="009734A1" w:rsidRPr="002F2C55">
        <w:rPr>
          <w:rFonts w:cs="Open Sans"/>
          <w:sz w:val="22"/>
          <w:szCs w:val="22"/>
        </w:rPr>
        <w:t>;</w:t>
      </w:r>
    </w:p>
    <w:p w14:paraId="15A266BC" w14:textId="77777777" w:rsidR="00B160BA" w:rsidRPr="002F2C55" w:rsidRDefault="00B160BA" w:rsidP="00942644">
      <w:pPr>
        <w:pStyle w:val="SubmissionNormal"/>
        <w:numPr>
          <w:ilvl w:val="0"/>
          <w:numId w:val="18"/>
        </w:numPr>
        <w:spacing w:before="120" w:after="120"/>
        <w:ind w:left="1434" w:hanging="357"/>
        <w:rPr>
          <w:rFonts w:cs="Open Sans"/>
          <w:sz w:val="22"/>
          <w:szCs w:val="22"/>
        </w:rPr>
      </w:pPr>
      <w:r w:rsidRPr="002F2C55">
        <w:rPr>
          <w:rFonts w:cs="Open Sans"/>
          <w:sz w:val="22"/>
          <w:szCs w:val="22"/>
        </w:rPr>
        <w:t>to provide new pathways for identifying recipients with drug abuse issues and facilitating their referral to appropriate treatment where required.</w:t>
      </w:r>
      <w:r w:rsidRPr="002F2C55">
        <w:rPr>
          <w:rStyle w:val="EndnoteReference"/>
          <w:rFonts w:cs="Open Sans"/>
          <w:szCs w:val="22"/>
        </w:rPr>
        <w:endnoteReference w:id="36"/>
      </w:r>
    </w:p>
    <w:p w14:paraId="124C01B5" w14:textId="2E5B50CB" w:rsidR="00B160BA" w:rsidRPr="002F2C55" w:rsidRDefault="00B160BA" w:rsidP="00230154">
      <w:pPr>
        <w:pStyle w:val="ListParagraph"/>
        <w:numPr>
          <w:ilvl w:val="0"/>
          <w:numId w:val="16"/>
        </w:numPr>
        <w:rPr>
          <w:rFonts w:cs="Open Sans"/>
        </w:rPr>
      </w:pPr>
      <w:r w:rsidRPr="002F2C55">
        <w:rPr>
          <w:rFonts w:cs="Open Sans"/>
        </w:rPr>
        <w:t xml:space="preserve">In relation to the first stated aim, the Commission does not consider that the </w:t>
      </w:r>
      <w:r w:rsidR="009C2673" w:rsidRPr="002F2C55">
        <w:rPr>
          <w:rFonts w:cs="Open Sans"/>
        </w:rPr>
        <w:t>“</w:t>
      </w:r>
      <w:r w:rsidRPr="002F2C55">
        <w:rPr>
          <w:rFonts w:cs="Open Sans"/>
        </w:rPr>
        <w:t>integrity of, and public confidence in, the social security system</w:t>
      </w:r>
      <w:r w:rsidR="009C2673" w:rsidRPr="002F2C55">
        <w:rPr>
          <w:rFonts w:cs="Open Sans"/>
        </w:rPr>
        <w:t>”</w:t>
      </w:r>
      <w:r w:rsidRPr="002F2C55">
        <w:rPr>
          <w:rFonts w:cs="Open Sans"/>
        </w:rPr>
        <w:t xml:space="preserve"> has been</w:t>
      </w:r>
      <w:r w:rsidR="008C1E69" w:rsidRPr="002F2C55">
        <w:rPr>
          <w:rFonts w:cs="Open Sans"/>
        </w:rPr>
        <w:t xml:space="preserve"> shown to be</w:t>
      </w:r>
      <w:r w:rsidRPr="002F2C55">
        <w:rPr>
          <w:rFonts w:cs="Open Sans"/>
        </w:rPr>
        <w:t xml:space="preserve"> undermined to </w:t>
      </w:r>
      <w:r w:rsidR="008C1E69" w:rsidRPr="002F2C55">
        <w:rPr>
          <w:rFonts w:cs="Open Sans"/>
        </w:rPr>
        <w:t>any</w:t>
      </w:r>
      <w:r w:rsidRPr="002F2C55">
        <w:rPr>
          <w:rFonts w:cs="Open Sans"/>
        </w:rPr>
        <w:t xml:space="preserve"> extent that would warrant the imposition of </w:t>
      </w:r>
      <w:r w:rsidR="00715CF1" w:rsidRPr="002F2C55">
        <w:rPr>
          <w:rFonts w:cs="Open Sans"/>
        </w:rPr>
        <w:t xml:space="preserve">the </w:t>
      </w:r>
      <w:r w:rsidRPr="002F2C55">
        <w:rPr>
          <w:rFonts w:cs="Open Sans"/>
        </w:rPr>
        <w:t xml:space="preserve">mandatory drug test trial </w:t>
      </w:r>
      <w:r w:rsidR="00200687" w:rsidRPr="002F2C55">
        <w:rPr>
          <w:rFonts w:cs="Open Sans"/>
        </w:rPr>
        <w:t xml:space="preserve">scheme </w:t>
      </w:r>
      <w:r w:rsidRPr="002F2C55">
        <w:rPr>
          <w:rFonts w:cs="Open Sans"/>
        </w:rPr>
        <w:t xml:space="preserve">in the Bill. The Commission notes that the </w:t>
      </w:r>
      <w:r w:rsidR="00BF7907" w:rsidRPr="002F2C55">
        <w:rPr>
          <w:rFonts w:cs="Open Sans"/>
        </w:rPr>
        <w:t>S</w:t>
      </w:r>
      <w:r w:rsidRPr="002F2C55">
        <w:rPr>
          <w:rFonts w:cs="Open Sans"/>
        </w:rPr>
        <w:t xml:space="preserve">tatement of </w:t>
      </w:r>
      <w:r w:rsidR="00BF7907" w:rsidRPr="002F2C55">
        <w:rPr>
          <w:rFonts w:cs="Open Sans"/>
        </w:rPr>
        <w:t>C</w:t>
      </w:r>
      <w:r w:rsidRPr="002F2C55">
        <w:rPr>
          <w:rFonts w:cs="Open Sans"/>
        </w:rPr>
        <w:t xml:space="preserve">ompatibility does not provide evidence of any such undermining of the social security system. In the absence of any supporting evidence, the Commission considers that this aim has not been shown to be legitimate under international human rights law. </w:t>
      </w:r>
    </w:p>
    <w:p w14:paraId="0524BA8E" w14:textId="07DED5AC" w:rsidR="00425C6D" w:rsidRPr="002F2C55" w:rsidRDefault="00B160BA" w:rsidP="00230154">
      <w:pPr>
        <w:pStyle w:val="ListParagraph"/>
        <w:numPr>
          <w:ilvl w:val="0"/>
          <w:numId w:val="16"/>
        </w:numPr>
        <w:rPr>
          <w:rFonts w:cs="Open Sans"/>
        </w:rPr>
      </w:pPr>
      <w:r w:rsidRPr="002F2C55">
        <w:rPr>
          <w:rFonts w:cs="Open Sans"/>
        </w:rPr>
        <w:t>The Commission accepts that the second stated aim is legitimate. Aspects of the regime, such as the referral to medical treatment and</w:t>
      </w:r>
      <w:r w:rsidR="00425C6D" w:rsidRPr="002F2C55">
        <w:rPr>
          <w:rFonts w:cs="Open Sans"/>
        </w:rPr>
        <w:t xml:space="preserve"> the </w:t>
      </w:r>
      <w:r w:rsidR="00425C6D" w:rsidRPr="002F2C55">
        <w:rPr>
          <w:rFonts w:cs="Open Sans"/>
        </w:rPr>
        <w:lastRenderedPageBreak/>
        <w:t>use of</w:t>
      </w:r>
      <w:r w:rsidRPr="002F2C55">
        <w:rPr>
          <w:rFonts w:cs="Open Sans"/>
        </w:rPr>
        <w:t xml:space="preserve"> employment pathway plans, may be effective </w:t>
      </w:r>
      <w:r w:rsidR="008E6C28" w:rsidRPr="002F2C55">
        <w:rPr>
          <w:rFonts w:cs="Open Sans"/>
        </w:rPr>
        <w:t>and beneficial for some recipients</w:t>
      </w:r>
      <w:r w:rsidRPr="002F2C55">
        <w:rPr>
          <w:rFonts w:cs="Open Sans"/>
        </w:rPr>
        <w:t xml:space="preserve">. </w:t>
      </w:r>
      <w:r w:rsidR="00FC76BD" w:rsidRPr="002F2C55">
        <w:rPr>
          <w:rFonts w:cs="Open Sans"/>
        </w:rPr>
        <w:t xml:space="preserve">However, </w:t>
      </w:r>
      <w:r w:rsidR="00425C6D" w:rsidRPr="002F2C55">
        <w:rPr>
          <w:rFonts w:cs="Open Sans"/>
        </w:rPr>
        <w:t xml:space="preserve">to be compliant with international human rights law </w:t>
      </w:r>
      <w:r w:rsidR="00FC76BD" w:rsidRPr="002F2C55">
        <w:rPr>
          <w:rFonts w:cs="Open Sans"/>
        </w:rPr>
        <w:t xml:space="preserve">these measures must also be </w:t>
      </w:r>
      <w:r w:rsidR="00360599" w:rsidRPr="002F2C55">
        <w:rPr>
          <w:rFonts w:cs="Open Sans"/>
        </w:rPr>
        <w:t xml:space="preserve">necessary, </w:t>
      </w:r>
      <w:r w:rsidR="00FC76BD" w:rsidRPr="002F2C55">
        <w:rPr>
          <w:rFonts w:cs="Open Sans"/>
        </w:rPr>
        <w:t>proportionate</w:t>
      </w:r>
      <w:r w:rsidR="008E6C28" w:rsidRPr="002F2C55">
        <w:rPr>
          <w:rFonts w:cs="Open Sans"/>
        </w:rPr>
        <w:t xml:space="preserve"> and </w:t>
      </w:r>
      <w:r w:rsidR="00425C6D" w:rsidRPr="002F2C55">
        <w:rPr>
          <w:rFonts w:cs="Open Sans"/>
        </w:rPr>
        <w:t>use the</w:t>
      </w:r>
      <w:r w:rsidR="008E6C28" w:rsidRPr="002F2C55">
        <w:rPr>
          <w:rFonts w:cs="Open Sans"/>
        </w:rPr>
        <w:t xml:space="preserve"> least restrictive means</w:t>
      </w:r>
      <w:r w:rsidR="00FC76BD" w:rsidRPr="002F2C55">
        <w:rPr>
          <w:rFonts w:cs="Open Sans"/>
        </w:rPr>
        <w:t xml:space="preserve">. For example, undertaking medical treatment should require free, full and informed prior consent. </w:t>
      </w:r>
    </w:p>
    <w:p w14:paraId="2A688783" w14:textId="3C7622AC" w:rsidR="00BC1FA8" w:rsidRPr="002F2C55" w:rsidRDefault="00FC76BD" w:rsidP="00230154">
      <w:pPr>
        <w:pStyle w:val="ListParagraph"/>
        <w:numPr>
          <w:ilvl w:val="0"/>
          <w:numId w:val="16"/>
        </w:numPr>
        <w:rPr>
          <w:rFonts w:cs="Open Sans"/>
        </w:rPr>
      </w:pPr>
      <w:r w:rsidRPr="002F2C55">
        <w:rPr>
          <w:rFonts w:cs="Open Sans"/>
        </w:rPr>
        <w:t xml:space="preserve">Further, </w:t>
      </w:r>
      <w:r w:rsidR="00B160BA" w:rsidRPr="002F2C55">
        <w:rPr>
          <w:rFonts w:cs="Open Sans"/>
        </w:rPr>
        <w:t xml:space="preserve">the Commission does not consider that </w:t>
      </w:r>
      <w:r w:rsidR="00E52168" w:rsidRPr="002F2C55">
        <w:rPr>
          <w:rFonts w:cs="Open Sans"/>
        </w:rPr>
        <w:t>the</w:t>
      </w:r>
      <w:r w:rsidR="005704BA" w:rsidRPr="002F2C55">
        <w:rPr>
          <w:rFonts w:cs="Open Sans"/>
        </w:rPr>
        <w:t xml:space="preserve"> conditional and punitive compliance approach to welfare</w:t>
      </w:r>
      <w:r w:rsidR="00E52168" w:rsidRPr="002F2C55">
        <w:rPr>
          <w:rFonts w:cs="Open Sans"/>
        </w:rPr>
        <w:t xml:space="preserve"> set out in this Bill</w:t>
      </w:r>
      <w:r w:rsidR="005704BA" w:rsidRPr="002F2C55">
        <w:rPr>
          <w:rFonts w:cs="Open Sans"/>
        </w:rPr>
        <w:t xml:space="preserve">, including </w:t>
      </w:r>
      <w:r w:rsidR="00B160BA" w:rsidRPr="002F2C55">
        <w:rPr>
          <w:rFonts w:cs="Open Sans"/>
        </w:rPr>
        <w:t xml:space="preserve">compulsory income management, </w:t>
      </w:r>
      <w:r w:rsidR="005704BA" w:rsidRPr="002F2C55">
        <w:rPr>
          <w:rFonts w:cs="Open Sans"/>
        </w:rPr>
        <w:t>and</w:t>
      </w:r>
      <w:r w:rsidR="00E52168" w:rsidRPr="002F2C55">
        <w:rPr>
          <w:rFonts w:cs="Open Sans"/>
        </w:rPr>
        <w:t xml:space="preserve"> payment</w:t>
      </w:r>
      <w:r w:rsidR="005704BA" w:rsidRPr="002F2C55">
        <w:rPr>
          <w:rFonts w:cs="Open Sans"/>
        </w:rPr>
        <w:t xml:space="preserve"> </w:t>
      </w:r>
      <w:r w:rsidR="00B160BA" w:rsidRPr="002F2C55">
        <w:rPr>
          <w:rFonts w:cs="Open Sans"/>
        </w:rPr>
        <w:t>deduction</w:t>
      </w:r>
      <w:r w:rsidR="005704BA" w:rsidRPr="002F2C55">
        <w:rPr>
          <w:rFonts w:cs="Open Sans"/>
        </w:rPr>
        <w:t xml:space="preserve">s, </w:t>
      </w:r>
      <w:r w:rsidR="00B160BA" w:rsidRPr="002F2C55">
        <w:rPr>
          <w:rFonts w:cs="Open Sans"/>
        </w:rPr>
        <w:t xml:space="preserve">suspension </w:t>
      </w:r>
      <w:r w:rsidR="005704BA" w:rsidRPr="002F2C55">
        <w:rPr>
          <w:rFonts w:cs="Open Sans"/>
        </w:rPr>
        <w:t>and</w:t>
      </w:r>
      <w:r w:rsidR="00B160BA" w:rsidRPr="002F2C55">
        <w:rPr>
          <w:rFonts w:cs="Open Sans"/>
        </w:rPr>
        <w:t xml:space="preserve"> cancellation, </w:t>
      </w:r>
      <w:r w:rsidR="00B85CD0" w:rsidRPr="002F2C55">
        <w:rPr>
          <w:rFonts w:cs="Open Sans"/>
        </w:rPr>
        <w:t>has been shown to be</w:t>
      </w:r>
      <w:r w:rsidR="00B160BA" w:rsidRPr="002F2C55">
        <w:rPr>
          <w:rFonts w:cs="Open Sans"/>
        </w:rPr>
        <w:t xml:space="preserve"> effective </w:t>
      </w:r>
      <w:r w:rsidR="00521B78" w:rsidRPr="002F2C55">
        <w:rPr>
          <w:rFonts w:cs="Open Sans"/>
        </w:rPr>
        <w:t>in</w:t>
      </w:r>
      <w:r w:rsidR="00B160BA" w:rsidRPr="002F2C55">
        <w:rPr>
          <w:rFonts w:cs="Open Sans"/>
        </w:rPr>
        <w:t xml:space="preserve"> achiev</w:t>
      </w:r>
      <w:r w:rsidR="00266E1C" w:rsidRPr="002F2C55">
        <w:rPr>
          <w:rFonts w:cs="Open Sans"/>
        </w:rPr>
        <w:t>ing</w:t>
      </w:r>
      <w:r w:rsidR="00B160BA" w:rsidRPr="002F2C55">
        <w:rPr>
          <w:rFonts w:cs="Open Sans"/>
        </w:rPr>
        <w:t xml:space="preserve"> th</w:t>
      </w:r>
      <w:r w:rsidR="00266E1C" w:rsidRPr="002F2C55">
        <w:rPr>
          <w:rFonts w:cs="Open Sans"/>
        </w:rPr>
        <w:t>e</w:t>
      </w:r>
      <w:r w:rsidR="00062134" w:rsidRPr="002F2C55">
        <w:rPr>
          <w:rFonts w:cs="Open Sans"/>
        </w:rPr>
        <w:t xml:space="preserve"> stated aims</w:t>
      </w:r>
      <w:r w:rsidR="00474A86" w:rsidRPr="002F2C55">
        <w:rPr>
          <w:rFonts w:cs="Open Sans"/>
        </w:rPr>
        <w:t xml:space="preserve"> </w:t>
      </w:r>
      <w:r w:rsidR="00062134" w:rsidRPr="002F2C55">
        <w:rPr>
          <w:rFonts w:cs="Open Sans"/>
        </w:rPr>
        <w:t xml:space="preserve">of the trial. </w:t>
      </w:r>
    </w:p>
    <w:p w14:paraId="4A68724F" w14:textId="67C9C93B" w:rsidR="001F7757" w:rsidRPr="002F2C55" w:rsidRDefault="00062134" w:rsidP="001F7757">
      <w:pPr>
        <w:pStyle w:val="ListParagraph"/>
        <w:numPr>
          <w:ilvl w:val="0"/>
          <w:numId w:val="16"/>
        </w:numPr>
        <w:rPr>
          <w:rFonts w:cs="Open Sans"/>
        </w:rPr>
      </w:pPr>
      <w:r w:rsidRPr="002F2C55">
        <w:rPr>
          <w:rFonts w:cs="Open Sans"/>
        </w:rPr>
        <w:t>That is,</w:t>
      </w:r>
      <w:r w:rsidR="00B160BA" w:rsidRPr="002F2C55">
        <w:rPr>
          <w:rFonts w:cs="Open Sans"/>
        </w:rPr>
        <w:t xml:space="preserve"> </w:t>
      </w:r>
      <w:r w:rsidR="006848AD" w:rsidRPr="002F2C55">
        <w:rPr>
          <w:rFonts w:cs="Open Sans"/>
        </w:rPr>
        <w:t xml:space="preserve">it considers that </w:t>
      </w:r>
      <w:r w:rsidRPr="002F2C55">
        <w:rPr>
          <w:rFonts w:cs="Open Sans"/>
        </w:rPr>
        <w:t xml:space="preserve">no compelling evidence has been </w:t>
      </w:r>
      <w:r w:rsidR="001F7757" w:rsidRPr="002F2C55">
        <w:rPr>
          <w:rFonts w:cs="Open Sans"/>
        </w:rPr>
        <w:t xml:space="preserve">relied upon to demonstrate that </w:t>
      </w:r>
      <w:r w:rsidR="00E50017" w:rsidRPr="002F2C55">
        <w:rPr>
          <w:rFonts w:cs="Open Sans"/>
        </w:rPr>
        <w:t xml:space="preserve">mandatory </w:t>
      </w:r>
      <w:r w:rsidR="00DB686D" w:rsidRPr="002F2C55">
        <w:rPr>
          <w:rFonts w:cs="Open Sans"/>
        </w:rPr>
        <w:t xml:space="preserve">random drug testing, drug treatment, income management and punitive </w:t>
      </w:r>
      <w:r w:rsidR="00200687" w:rsidRPr="002F2C55">
        <w:rPr>
          <w:rFonts w:cs="Open Sans"/>
        </w:rPr>
        <w:t xml:space="preserve">compliance </w:t>
      </w:r>
      <w:r w:rsidR="00DB686D" w:rsidRPr="002F2C55">
        <w:rPr>
          <w:rFonts w:cs="Open Sans"/>
        </w:rPr>
        <w:t xml:space="preserve">measures </w:t>
      </w:r>
      <w:r w:rsidR="001F7757" w:rsidRPr="002F2C55">
        <w:rPr>
          <w:rFonts w:cs="Open Sans"/>
        </w:rPr>
        <w:t xml:space="preserve">will </w:t>
      </w:r>
      <w:r w:rsidR="00DB686D" w:rsidRPr="002F2C55">
        <w:rPr>
          <w:rFonts w:cs="Open Sans"/>
        </w:rPr>
        <w:t>effectively</w:t>
      </w:r>
      <w:r w:rsidR="00266E1C" w:rsidRPr="002F2C55">
        <w:rPr>
          <w:rFonts w:cs="Open Sans"/>
        </w:rPr>
        <w:t xml:space="preserve"> </w:t>
      </w:r>
      <w:r w:rsidR="00521B78" w:rsidRPr="002F2C55">
        <w:rPr>
          <w:rFonts w:cs="Open Sans"/>
        </w:rPr>
        <w:t>reduc</w:t>
      </w:r>
      <w:r w:rsidR="00DB686D" w:rsidRPr="002F2C55">
        <w:rPr>
          <w:rFonts w:cs="Open Sans"/>
        </w:rPr>
        <w:t>e</w:t>
      </w:r>
      <w:r w:rsidR="00266E1C" w:rsidRPr="002F2C55">
        <w:rPr>
          <w:rFonts w:cs="Open Sans"/>
        </w:rPr>
        <w:t xml:space="preserve"> drug dependence</w:t>
      </w:r>
      <w:r w:rsidR="00DB686D" w:rsidRPr="002F2C55">
        <w:rPr>
          <w:rFonts w:cs="Open Sans"/>
        </w:rPr>
        <w:t xml:space="preserve"> that interferes with obtaining employment,</w:t>
      </w:r>
      <w:r w:rsidR="00266E1C" w:rsidRPr="002F2C55">
        <w:rPr>
          <w:rFonts w:cs="Open Sans"/>
        </w:rPr>
        <w:t xml:space="preserve"> and </w:t>
      </w:r>
      <w:r w:rsidR="00B7317A" w:rsidRPr="002F2C55">
        <w:rPr>
          <w:rFonts w:cs="Open Sans"/>
        </w:rPr>
        <w:t>assist drug dependent or formerly drug dependent pe</w:t>
      </w:r>
      <w:r w:rsidR="00A563B0" w:rsidRPr="002F2C55">
        <w:rPr>
          <w:rFonts w:cs="Open Sans"/>
        </w:rPr>
        <w:t>rsons</w:t>
      </w:r>
      <w:r w:rsidR="00B7317A" w:rsidRPr="002F2C55">
        <w:rPr>
          <w:rFonts w:cs="Open Sans"/>
        </w:rPr>
        <w:t xml:space="preserve"> to obtain and maintain employment</w:t>
      </w:r>
      <w:r w:rsidR="00B160BA" w:rsidRPr="002F2C55">
        <w:rPr>
          <w:rFonts w:cs="Open Sans"/>
        </w:rPr>
        <w:t xml:space="preserve">. </w:t>
      </w:r>
    </w:p>
    <w:p w14:paraId="19EF97A3" w14:textId="77777777" w:rsidR="00605000" w:rsidRPr="002F2C55" w:rsidRDefault="00605000" w:rsidP="00605000">
      <w:pPr>
        <w:pStyle w:val="ListParagraph"/>
        <w:numPr>
          <w:ilvl w:val="0"/>
          <w:numId w:val="16"/>
        </w:numPr>
        <w:rPr>
          <w:rFonts w:cs="Open Sans"/>
        </w:rPr>
      </w:pPr>
      <w:r w:rsidRPr="002F2C55">
        <w:rPr>
          <w:rFonts w:cs="Open Sans"/>
        </w:rPr>
        <w:t xml:space="preserve">Also key to any potential effectiveness of this scheme, and therefore to its proportionality, is ensuring connection to available and appropriate rehabilitation or other treatment services. </w:t>
      </w:r>
    </w:p>
    <w:p w14:paraId="3BC8061B" w14:textId="7A73472C" w:rsidR="00BC1FA8" w:rsidRPr="002F2C55" w:rsidRDefault="001F7757" w:rsidP="001F7757">
      <w:pPr>
        <w:pStyle w:val="ListParagraph"/>
        <w:numPr>
          <w:ilvl w:val="0"/>
          <w:numId w:val="16"/>
        </w:numPr>
        <w:rPr>
          <w:rFonts w:cs="Open Sans"/>
        </w:rPr>
      </w:pPr>
      <w:r w:rsidRPr="002F2C55">
        <w:rPr>
          <w:rFonts w:cs="Open Sans"/>
        </w:rPr>
        <w:t>T</w:t>
      </w:r>
      <w:r w:rsidR="00BC1FA8" w:rsidRPr="002F2C55">
        <w:rPr>
          <w:rFonts w:cs="Open Sans"/>
        </w:rPr>
        <w:t xml:space="preserve">he Commission has previously expressed concerns about </w:t>
      </w:r>
      <w:r w:rsidRPr="002F2C55">
        <w:rPr>
          <w:rFonts w:cs="Open Sans"/>
        </w:rPr>
        <w:t xml:space="preserve">the </w:t>
      </w:r>
      <w:r w:rsidR="00E313B7" w:rsidRPr="002F2C55">
        <w:rPr>
          <w:rFonts w:cs="Open Sans"/>
        </w:rPr>
        <w:t xml:space="preserve">validity </w:t>
      </w:r>
      <w:r w:rsidRPr="002F2C55">
        <w:rPr>
          <w:rFonts w:cs="Open Sans"/>
        </w:rPr>
        <w:t>of data relied upon to conclude that punitive compliance measures, such as the</w:t>
      </w:r>
      <w:r w:rsidR="00BC1FA8" w:rsidRPr="002F2C55">
        <w:rPr>
          <w:rFonts w:cs="Open Sans"/>
        </w:rPr>
        <w:t xml:space="preserve"> cashless debit card</w:t>
      </w:r>
      <w:r w:rsidRPr="002F2C55">
        <w:rPr>
          <w:rFonts w:cs="Open Sans"/>
        </w:rPr>
        <w:t>,</w:t>
      </w:r>
      <w:r w:rsidR="00BC1FA8" w:rsidRPr="002F2C55">
        <w:rPr>
          <w:rFonts w:cs="Open Sans"/>
        </w:rPr>
        <w:t xml:space="preserve"> </w:t>
      </w:r>
      <w:r w:rsidR="00442130" w:rsidRPr="002F2C55">
        <w:rPr>
          <w:rFonts w:cs="Open Sans"/>
        </w:rPr>
        <w:t xml:space="preserve">will </w:t>
      </w:r>
      <w:r w:rsidR="00BC1FA8" w:rsidRPr="002F2C55">
        <w:rPr>
          <w:rFonts w:cs="Open Sans"/>
        </w:rPr>
        <w:t>achieve</w:t>
      </w:r>
      <w:r w:rsidR="00442130" w:rsidRPr="002F2C55">
        <w:rPr>
          <w:rFonts w:cs="Open Sans"/>
        </w:rPr>
        <w:t xml:space="preserve"> their</w:t>
      </w:r>
      <w:r w:rsidR="00BC1FA8" w:rsidRPr="002F2C55">
        <w:rPr>
          <w:rFonts w:cs="Open Sans"/>
        </w:rPr>
        <w:t xml:space="preserve"> stated goals.</w:t>
      </w:r>
      <w:r w:rsidR="00BC1FA8" w:rsidRPr="002F2C55">
        <w:rPr>
          <w:rStyle w:val="EndnoteReference"/>
          <w:rFonts w:cs="Open Sans"/>
        </w:rPr>
        <w:endnoteReference w:id="37"/>
      </w:r>
      <w:r w:rsidR="00BC1FA8" w:rsidRPr="002F2C55">
        <w:rPr>
          <w:rFonts w:cs="Open Sans"/>
        </w:rPr>
        <w:t xml:space="preserve"> It has similar concerns about the impacts of proposed s</w:t>
      </w:r>
      <w:r w:rsidR="00295B96" w:rsidRPr="002F2C55">
        <w:rPr>
          <w:rFonts w:cs="Open Sans"/>
        </w:rPr>
        <w:t> </w:t>
      </w:r>
      <w:r w:rsidR="00BC1FA8" w:rsidRPr="002F2C55">
        <w:rPr>
          <w:rFonts w:cs="Open Sans"/>
        </w:rPr>
        <w:t>123UFAA.</w:t>
      </w:r>
    </w:p>
    <w:p w14:paraId="71C89BD2" w14:textId="0F19E5C8" w:rsidR="00B42F7B" w:rsidRPr="002F2C55" w:rsidRDefault="008D6053" w:rsidP="00230154">
      <w:pPr>
        <w:pStyle w:val="ListParagraph"/>
        <w:numPr>
          <w:ilvl w:val="0"/>
          <w:numId w:val="16"/>
        </w:numPr>
        <w:rPr>
          <w:rFonts w:cs="Open Sans"/>
        </w:rPr>
      </w:pPr>
      <w:r w:rsidRPr="002F2C55">
        <w:rPr>
          <w:rFonts w:cs="Open Sans"/>
        </w:rPr>
        <w:t xml:space="preserve">The Commission considers that </w:t>
      </w:r>
      <w:r w:rsidR="00E50017" w:rsidRPr="002F2C55">
        <w:rPr>
          <w:rFonts w:cs="Open Sans"/>
        </w:rPr>
        <w:t>outcomes of the Bill would be</w:t>
      </w:r>
      <w:r w:rsidRPr="002F2C55">
        <w:rPr>
          <w:rFonts w:cs="Open Sans"/>
        </w:rPr>
        <w:t xml:space="preserve"> </w:t>
      </w:r>
      <w:r w:rsidR="00155577" w:rsidRPr="002F2C55">
        <w:rPr>
          <w:rFonts w:cs="Open Sans"/>
        </w:rPr>
        <w:t>“</w:t>
      </w:r>
      <w:r w:rsidRPr="002F2C55">
        <w:rPr>
          <w:rFonts w:cs="Open Sans"/>
        </w:rPr>
        <w:t>retrogressive</w:t>
      </w:r>
      <w:r w:rsidR="00155577" w:rsidRPr="002F2C55">
        <w:rPr>
          <w:rFonts w:cs="Open Sans"/>
        </w:rPr>
        <w:t>”</w:t>
      </w:r>
      <w:r w:rsidR="00E50017" w:rsidRPr="002F2C55">
        <w:rPr>
          <w:rFonts w:cs="Open Sans"/>
        </w:rPr>
        <w:t xml:space="preserve"> for the right to social security</w:t>
      </w:r>
      <w:r w:rsidR="00F94DD8" w:rsidRPr="002F2C55">
        <w:rPr>
          <w:rFonts w:cs="Open Sans"/>
        </w:rPr>
        <w:t>—as they could reduce the accessibility or amount of</w:t>
      </w:r>
      <w:r w:rsidR="00771CC8" w:rsidRPr="002F2C55">
        <w:rPr>
          <w:rFonts w:cs="Open Sans"/>
        </w:rPr>
        <w:t xml:space="preserve"> social security below</w:t>
      </w:r>
      <w:r w:rsidR="00F94DD8" w:rsidRPr="002F2C55">
        <w:rPr>
          <w:rFonts w:cs="Open Sans"/>
        </w:rPr>
        <w:t xml:space="preserve"> </w:t>
      </w:r>
      <w:r w:rsidR="00771CC8" w:rsidRPr="002F2C55">
        <w:rPr>
          <w:rFonts w:cs="Open Sans"/>
        </w:rPr>
        <w:t>minimum essential level</w:t>
      </w:r>
      <w:r w:rsidR="00F94DD8" w:rsidRPr="002F2C55">
        <w:rPr>
          <w:rFonts w:cs="Open Sans"/>
        </w:rPr>
        <w:t>s</w:t>
      </w:r>
      <w:r w:rsidR="00771CC8" w:rsidRPr="002F2C55">
        <w:rPr>
          <w:rFonts w:cs="Open Sans"/>
        </w:rPr>
        <w:t xml:space="preserve"> </w:t>
      </w:r>
      <w:r w:rsidR="00E50017" w:rsidRPr="002F2C55">
        <w:rPr>
          <w:rFonts w:cs="Open Sans"/>
        </w:rPr>
        <w:t>needed for a person to meet their</w:t>
      </w:r>
      <w:r w:rsidR="00771CC8" w:rsidRPr="002F2C55">
        <w:rPr>
          <w:rFonts w:cs="Open Sans"/>
        </w:rPr>
        <w:t xml:space="preserve"> basic</w:t>
      </w:r>
      <w:r w:rsidR="00955867" w:rsidRPr="002F2C55">
        <w:rPr>
          <w:rFonts w:cs="Open Sans"/>
        </w:rPr>
        <w:t xml:space="preserve"> financial</w:t>
      </w:r>
      <w:r w:rsidR="00771CC8" w:rsidRPr="002F2C55">
        <w:rPr>
          <w:rFonts w:cs="Open Sans"/>
        </w:rPr>
        <w:t xml:space="preserve"> needs</w:t>
      </w:r>
      <w:r w:rsidR="00E50017" w:rsidRPr="002F2C55">
        <w:rPr>
          <w:rFonts w:cs="Open Sans"/>
        </w:rPr>
        <w:t xml:space="preserve">. In the Commission’s view the relevant measures </w:t>
      </w:r>
      <w:r w:rsidR="00E35E55" w:rsidRPr="002F2C55">
        <w:rPr>
          <w:rFonts w:cs="Open Sans"/>
        </w:rPr>
        <w:t>have not been</w:t>
      </w:r>
      <w:r w:rsidR="00FE3727" w:rsidRPr="002F2C55">
        <w:rPr>
          <w:rFonts w:cs="Open Sans"/>
        </w:rPr>
        <w:t xml:space="preserve"> du</w:t>
      </w:r>
      <w:r w:rsidR="00E35E55" w:rsidRPr="002F2C55">
        <w:rPr>
          <w:rFonts w:cs="Open Sans"/>
        </w:rPr>
        <w:t>ly</w:t>
      </w:r>
      <w:r w:rsidR="00280DF3" w:rsidRPr="002F2C55">
        <w:rPr>
          <w:rFonts w:cs="Open Sans"/>
        </w:rPr>
        <w:t xml:space="preserve"> justifi</w:t>
      </w:r>
      <w:r w:rsidR="00E35E55" w:rsidRPr="002F2C55">
        <w:rPr>
          <w:rFonts w:cs="Open Sans"/>
        </w:rPr>
        <w:t>ed</w:t>
      </w:r>
      <w:r w:rsidR="00E50017" w:rsidRPr="002F2C55">
        <w:rPr>
          <w:rFonts w:cs="Open Sans"/>
        </w:rPr>
        <w:t>,</w:t>
      </w:r>
      <w:r w:rsidR="00FE3727" w:rsidRPr="002F2C55">
        <w:rPr>
          <w:rFonts w:cs="Open Sans"/>
        </w:rPr>
        <w:t xml:space="preserve"> </w:t>
      </w:r>
      <w:r w:rsidR="00E35E55" w:rsidRPr="002F2C55">
        <w:rPr>
          <w:rFonts w:cs="Open Sans"/>
        </w:rPr>
        <w:t>contraven</w:t>
      </w:r>
      <w:r w:rsidR="00E50017" w:rsidRPr="002F2C55">
        <w:rPr>
          <w:rFonts w:cs="Open Sans"/>
        </w:rPr>
        <w:t>ing</w:t>
      </w:r>
      <w:r w:rsidR="00FE3727" w:rsidRPr="002F2C55">
        <w:rPr>
          <w:rFonts w:cs="Open Sans"/>
        </w:rPr>
        <w:t xml:space="preserve"> Australia’s obligation of progressive realisation</w:t>
      </w:r>
      <w:r w:rsidR="00470470" w:rsidRPr="002F2C55">
        <w:rPr>
          <w:rFonts w:cs="Open Sans"/>
        </w:rPr>
        <w:t>.</w:t>
      </w:r>
      <w:r w:rsidR="00BB5C07" w:rsidRPr="002F2C55">
        <w:rPr>
          <w:rFonts w:cs="Open Sans"/>
        </w:rPr>
        <w:t xml:space="preserve"> </w:t>
      </w:r>
    </w:p>
    <w:p w14:paraId="08574FA1" w14:textId="337E4E35" w:rsidR="006C6ADC" w:rsidRPr="002F2C55" w:rsidRDefault="00BD4610" w:rsidP="00230154">
      <w:pPr>
        <w:pStyle w:val="ListParagraph"/>
        <w:numPr>
          <w:ilvl w:val="0"/>
          <w:numId w:val="16"/>
        </w:numPr>
        <w:rPr>
          <w:rFonts w:cs="Open Sans"/>
        </w:rPr>
      </w:pPr>
      <w:r w:rsidRPr="002F2C55">
        <w:rPr>
          <w:rFonts w:cs="Open Sans"/>
        </w:rPr>
        <w:t>Further, this scheme</w:t>
      </w:r>
      <w:r w:rsidR="00FE3727" w:rsidRPr="002F2C55">
        <w:rPr>
          <w:rFonts w:cs="Open Sans"/>
        </w:rPr>
        <w:t xml:space="preserve"> will</w:t>
      </w:r>
      <w:r w:rsidR="006C6ADC" w:rsidRPr="002F2C55">
        <w:rPr>
          <w:rFonts w:cs="Open Sans"/>
        </w:rPr>
        <w:t xml:space="preserve"> affect some of the most vulnerable </w:t>
      </w:r>
      <w:r w:rsidR="00301BEF" w:rsidRPr="002F2C55">
        <w:rPr>
          <w:rFonts w:cs="Open Sans"/>
        </w:rPr>
        <w:t>members of the</w:t>
      </w:r>
      <w:r w:rsidR="006C6ADC" w:rsidRPr="002F2C55">
        <w:rPr>
          <w:rFonts w:cs="Open Sans"/>
        </w:rPr>
        <w:t xml:space="preserve"> Australia</w:t>
      </w:r>
      <w:r w:rsidR="00301BEF" w:rsidRPr="002F2C55">
        <w:rPr>
          <w:rFonts w:cs="Open Sans"/>
        </w:rPr>
        <w:t>n community</w:t>
      </w:r>
      <w:r w:rsidR="006C6ADC" w:rsidRPr="002F2C55">
        <w:rPr>
          <w:rFonts w:cs="Open Sans"/>
        </w:rPr>
        <w:t>,</w:t>
      </w:r>
      <w:r w:rsidR="00F26038" w:rsidRPr="002F2C55">
        <w:rPr>
          <w:rFonts w:cs="Open Sans"/>
        </w:rPr>
        <w:t xml:space="preserve"> including </w:t>
      </w:r>
      <w:r w:rsidR="00605000" w:rsidRPr="002F2C55">
        <w:rPr>
          <w:rFonts w:cs="Open Sans"/>
        </w:rPr>
        <w:t>children</w:t>
      </w:r>
      <w:r w:rsidR="004B2AF7" w:rsidRPr="002F2C55">
        <w:rPr>
          <w:rFonts w:cs="Open Sans"/>
        </w:rPr>
        <w:t>,</w:t>
      </w:r>
      <w:r w:rsidR="00605000" w:rsidRPr="002F2C55">
        <w:rPr>
          <w:rFonts w:cs="Open Sans"/>
        </w:rPr>
        <w:t xml:space="preserve"> young people and </w:t>
      </w:r>
      <w:r w:rsidR="00F26038" w:rsidRPr="002F2C55">
        <w:rPr>
          <w:rFonts w:cs="Open Sans"/>
        </w:rPr>
        <w:t>Indigenous Australia</w:t>
      </w:r>
      <w:r w:rsidR="00605000" w:rsidRPr="002F2C55">
        <w:rPr>
          <w:rFonts w:cs="Open Sans"/>
        </w:rPr>
        <w:t>ns living with intersectional disadvantage</w:t>
      </w:r>
      <w:r w:rsidR="00F26038" w:rsidRPr="002F2C55">
        <w:rPr>
          <w:rFonts w:cs="Open Sans"/>
        </w:rPr>
        <w:t>. The</w:t>
      </w:r>
      <w:r w:rsidR="006C6ADC" w:rsidRPr="002F2C55">
        <w:rPr>
          <w:rFonts w:cs="Open Sans"/>
        </w:rPr>
        <w:t xml:space="preserve"> detrimental impacts on their financial security and human rights</w:t>
      </w:r>
      <w:r w:rsidR="00F26038" w:rsidRPr="002F2C55">
        <w:rPr>
          <w:rFonts w:cs="Open Sans"/>
        </w:rPr>
        <w:t xml:space="preserve"> are potentially severe</w:t>
      </w:r>
      <w:r w:rsidR="00BA0380" w:rsidRPr="002F2C55">
        <w:rPr>
          <w:rFonts w:cs="Open Sans"/>
        </w:rPr>
        <w:t>, and</w:t>
      </w:r>
      <w:r w:rsidR="006C6ADC" w:rsidRPr="002F2C55">
        <w:rPr>
          <w:rFonts w:cs="Open Sans"/>
        </w:rPr>
        <w:t xml:space="preserve"> risks entrenching and exacerbating poverty and inequality </w:t>
      </w:r>
      <w:r w:rsidR="00BA0380" w:rsidRPr="002F2C55">
        <w:rPr>
          <w:rFonts w:cs="Open Sans"/>
        </w:rPr>
        <w:t>for affected people</w:t>
      </w:r>
      <w:r w:rsidR="006C6ADC" w:rsidRPr="002F2C55">
        <w:rPr>
          <w:rFonts w:cs="Open Sans"/>
        </w:rPr>
        <w:t>.</w:t>
      </w:r>
    </w:p>
    <w:p w14:paraId="74934073" w14:textId="631A8A98" w:rsidR="004302C8" w:rsidRPr="002F2C55" w:rsidRDefault="004302C8" w:rsidP="00230154">
      <w:pPr>
        <w:pStyle w:val="ListParagraph"/>
        <w:numPr>
          <w:ilvl w:val="0"/>
          <w:numId w:val="16"/>
        </w:numPr>
        <w:rPr>
          <w:rFonts w:cs="Open Sans"/>
        </w:rPr>
      </w:pPr>
      <w:r w:rsidRPr="002F2C55">
        <w:rPr>
          <w:rFonts w:cs="Open Sans"/>
        </w:rPr>
        <w:lastRenderedPageBreak/>
        <w:t xml:space="preserve">The Commission notes that it has previously commented on the potential inadequacy of certain welfare payments, even before any reduction or suspension is applied, by reference to objective measures such as the median household income poverty line. </w:t>
      </w:r>
      <w:bookmarkStart w:id="26" w:name="_Hlk20830908"/>
      <w:r w:rsidRPr="002F2C55">
        <w:rPr>
          <w:rFonts w:cs="Open Sans"/>
        </w:rPr>
        <w:t>It continues to hold</w:t>
      </w:r>
      <w:r w:rsidR="00230154" w:rsidRPr="002F2C55">
        <w:rPr>
          <w:rFonts w:cs="Open Sans"/>
        </w:rPr>
        <w:t xml:space="preserve"> these</w:t>
      </w:r>
      <w:r w:rsidRPr="002F2C55">
        <w:rPr>
          <w:rFonts w:cs="Open Sans"/>
        </w:rPr>
        <w:t xml:space="preserve"> concerns and emphasis</w:t>
      </w:r>
      <w:r w:rsidR="00D577CB" w:rsidRPr="002F2C55">
        <w:rPr>
          <w:rFonts w:cs="Open Sans"/>
        </w:rPr>
        <w:t>es</w:t>
      </w:r>
      <w:r w:rsidRPr="002F2C55">
        <w:rPr>
          <w:rFonts w:cs="Open Sans"/>
        </w:rPr>
        <w:t xml:space="preserve"> the importance of ensuring access to</w:t>
      </w:r>
      <w:r w:rsidR="00363977" w:rsidRPr="002F2C55">
        <w:rPr>
          <w:rFonts w:cs="Open Sans"/>
        </w:rPr>
        <w:t xml:space="preserve"> a level of</w:t>
      </w:r>
      <w:r w:rsidRPr="002F2C55">
        <w:rPr>
          <w:rFonts w:cs="Open Sans"/>
        </w:rPr>
        <w:t xml:space="preserve"> income support that permit</w:t>
      </w:r>
      <w:r w:rsidR="00D577CB" w:rsidRPr="002F2C55">
        <w:rPr>
          <w:rFonts w:cs="Open Sans"/>
        </w:rPr>
        <w:t>s</w:t>
      </w:r>
      <w:r w:rsidRPr="002F2C55">
        <w:rPr>
          <w:rFonts w:cs="Open Sans"/>
        </w:rPr>
        <w:t xml:space="preserve"> an adequate standard of living</w:t>
      </w:r>
      <w:bookmarkEnd w:id="26"/>
      <w:r w:rsidRPr="002F2C55">
        <w:rPr>
          <w:rFonts w:cs="Open Sans"/>
        </w:rPr>
        <w:t>.</w:t>
      </w:r>
      <w:r w:rsidRPr="002F2C55">
        <w:rPr>
          <w:rStyle w:val="EndnoteReference"/>
          <w:rFonts w:cs="Open Sans"/>
        </w:rPr>
        <w:endnoteReference w:id="38"/>
      </w:r>
    </w:p>
    <w:p w14:paraId="644F6AFA" w14:textId="5B27D30B" w:rsidR="00B03ABC" w:rsidRPr="002F2C55" w:rsidRDefault="00B03ABC" w:rsidP="00723647">
      <w:pPr>
        <w:pStyle w:val="ListParagraph"/>
        <w:numPr>
          <w:ilvl w:val="0"/>
          <w:numId w:val="16"/>
        </w:numPr>
        <w:rPr>
          <w:rFonts w:cs="Open Sans"/>
        </w:rPr>
      </w:pPr>
      <w:r w:rsidRPr="002F2C55">
        <w:rPr>
          <w:rFonts w:cs="Open Sans"/>
        </w:rPr>
        <w:t xml:space="preserve">For </w:t>
      </w:r>
      <w:r w:rsidR="003C7775" w:rsidRPr="002F2C55">
        <w:rPr>
          <w:rFonts w:cs="Open Sans"/>
        </w:rPr>
        <w:t>these</w:t>
      </w:r>
      <w:r w:rsidRPr="002F2C55">
        <w:rPr>
          <w:rFonts w:cs="Open Sans"/>
        </w:rPr>
        <w:t xml:space="preserve"> reasons,</w:t>
      </w:r>
      <w:r w:rsidR="00977743" w:rsidRPr="002F2C55">
        <w:rPr>
          <w:rFonts w:cs="Open Sans"/>
        </w:rPr>
        <w:t xml:space="preserve"> and the additional </w:t>
      </w:r>
      <w:r w:rsidR="003C7775" w:rsidRPr="002F2C55">
        <w:rPr>
          <w:rFonts w:cs="Open Sans"/>
        </w:rPr>
        <w:t>reasons</w:t>
      </w:r>
      <w:r w:rsidR="00977743" w:rsidRPr="002F2C55">
        <w:rPr>
          <w:rFonts w:cs="Open Sans"/>
        </w:rPr>
        <w:t xml:space="preserve"> discussed below,</w:t>
      </w:r>
      <w:r w:rsidRPr="002F2C55">
        <w:rPr>
          <w:rFonts w:cs="Open Sans"/>
        </w:rPr>
        <w:t xml:space="preserve"> the Commission considers that the </w:t>
      </w:r>
      <w:r w:rsidR="00977743" w:rsidRPr="002F2C55">
        <w:rPr>
          <w:rFonts w:cs="Open Sans"/>
        </w:rPr>
        <w:t>Bill is not compliant with the right to social security</w:t>
      </w:r>
      <w:r w:rsidR="00C07860" w:rsidRPr="002F2C55">
        <w:rPr>
          <w:rFonts w:cs="Open Sans"/>
        </w:rPr>
        <w:t xml:space="preserve"> among other human rights</w:t>
      </w:r>
      <w:r w:rsidR="00A05E4F" w:rsidRPr="002F2C55">
        <w:rPr>
          <w:rFonts w:cs="Open Sans"/>
        </w:rPr>
        <w:t xml:space="preserve"> and should not be passed</w:t>
      </w:r>
      <w:r w:rsidR="00977743" w:rsidRPr="002F2C55">
        <w:rPr>
          <w:rFonts w:cs="Open Sans"/>
        </w:rPr>
        <w:t>.</w:t>
      </w:r>
      <w:r w:rsidR="00474A86" w:rsidRPr="002F2C55">
        <w:rPr>
          <w:rFonts w:cs="Open Sans"/>
        </w:rPr>
        <w:t xml:space="preserve"> </w:t>
      </w:r>
    </w:p>
    <w:p w14:paraId="1BE17241" w14:textId="0EA336FF" w:rsidR="00B160BA" w:rsidRPr="002F2C55" w:rsidRDefault="00B160BA" w:rsidP="00024CDA">
      <w:pPr>
        <w:pStyle w:val="SubmissionNormal"/>
        <w:numPr>
          <w:ilvl w:val="0"/>
          <w:numId w:val="43"/>
        </w:numPr>
        <w:rPr>
          <w:rFonts w:cs="Open Sans"/>
          <w:b/>
        </w:rPr>
      </w:pPr>
      <w:r w:rsidRPr="002F2C55">
        <w:rPr>
          <w:rFonts w:cs="Open Sans"/>
          <w:b/>
        </w:rPr>
        <w:t>That the Social Services Legislation Amendment (Drug Testing Trial) Bill 201</w:t>
      </w:r>
      <w:r w:rsidR="008F2D0B" w:rsidRPr="002F2C55">
        <w:rPr>
          <w:rFonts w:cs="Open Sans"/>
          <w:b/>
        </w:rPr>
        <w:t>9</w:t>
      </w:r>
      <w:r w:rsidRPr="002F2C55">
        <w:rPr>
          <w:rFonts w:cs="Open Sans"/>
          <w:b/>
        </w:rPr>
        <w:t xml:space="preserve"> </w:t>
      </w:r>
      <w:r w:rsidR="00C51DBB" w:rsidRPr="002F2C55">
        <w:rPr>
          <w:rFonts w:cs="Open Sans"/>
          <w:b/>
        </w:rPr>
        <w:t>(</w:t>
      </w:r>
      <w:proofErr w:type="spellStart"/>
      <w:r w:rsidR="00C51DBB" w:rsidRPr="002F2C55">
        <w:rPr>
          <w:rFonts w:cs="Open Sans"/>
          <w:b/>
        </w:rPr>
        <w:t>Cth</w:t>
      </w:r>
      <w:proofErr w:type="spellEnd"/>
      <w:r w:rsidR="00C51DBB" w:rsidRPr="002F2C55">
        <w:rPr>
          <w:rFonts w:cs="Open Sans"/>
          <w:b/>
        </w:rPr>
        <w:t xml:space="preserve">) </w:t>
      </w:r>
      <w:r w:rsidRPr="002F2C55">
        <w:rPr>
          <w:rFonts w:cs="Open Sans"/>
          <w:b/>
        </w:rPr>
        <w:t xml:space="preserve">not </w:t>
      </w:r>
      <w:r w:rsidR="008F2D0B" w:rsidRPr="002F2C55">
        <w:rPr>
          <w:rFonts w:cs="Open Sans"/>
          <w:b/>
        </w:rPr>
        <w:t>be passed</w:t>
      </w:r>
      <w:r w:rsidRPr="002F2C55">
        <w:rPr>
          <w:rFonts w:cs="Open Sans"/>
          <w:b/>
        </w:rPr>
        <w:t xml:space="preserve"> in its present form. </w:t>
      </w:r>
    </w:p>
    <w:p w14:paraId="32E8E668" w14:textId="2F0D2D2E" w:rsidR="00B160BA" w:rsidRPr="002F2C55" w:rsidRDefault="00846FA5" w:rsidP="00B160BA">
      <w:pPr>
        <w:pStyle w:val="Heading1"/>
        <w:rPr>
          <w:rFonts w:cs="Open Sans"/>
          <w:lang w:val="en-US"/>
        </w:rPr>
      </w:pPr>
      <w:bookmarkStart w:id="27" w:name="_Toc20838311"/>
      <w:r w:rsidRPr="002F2C55">
        <w:rPr>
          <w:rFonts w:cs="Open Sans"/>
          <w:lang w:val="en-US"/>
        </w:rPr>
        <w:t>Improving h</w:t>
      </w:r>
      <w:r w:rsidR="000F7CF8" w:rsidRPr="002F2C55">
        <w:rPr>
          <w:rFonts w:cs="Open Sans"/>
          <w:lang w:val="en-US"/>
        </w:rPr>
        <w:t xml:space="preserve">uman rights </w:t>
      </w:r>
      <w:r w:rsidR="004978A8" w:rsidRPr="002F2C55">
        <w:rPr>
          <w:rFonts w:cs="Open Sans"/>
          <w:lang w:val="en-US"/>
        </w:rPr>
        <w:t>compatibility</w:t>
      </w:r>
      <w:bookmarkEnd w:id="27"/>
    </w:p>
    <w:p w14:paraId="2D1A026D" w14:textId="33E48CE2" w:rsidR="00B160BA" w:rsidRPr="002F2C55" w:rsidRDefault="003A71AB" w:rsidP="00723647">
      <w:pPr>
        <w:pStyle w:val="ListParagraph"/>
        <w:numPr>
          <w:ilvl w:val="0"/>
          <w:numId w:val="16"/>
        </w:numPr>
        <w:rPr>
          <w:rFonts w:cs="Open Sans"/>
        </w:rPr>
      </w:pPr>
      <w:r w:rsidRPr="002F2C55">
        <w:rPr>
          <w:rFonts w:cs="Open Sans"/>
        </w:rPr>
        <w:t xml:space="preserve">As </w:t>
      </w:r>
      <w:r w:rsidR="003C7775" w:rsidRPr="002F2C55">
        <w:rPr>
          <w:rFonts w:cs="Open Sans"/>
        </w:rPr>
        <w:t xml:space="preserve">discussed </w:t>
      </w:r>
      <w:r w:rsidRPr="002F2C55">
        <w:rPr>
          <w:rFonts w:cs="Open Sans"/>
        </w:rPr>
        <w:t>above, t</w:t>
      </w:r>
      <w:r w:rsidR="00B160BA" w:rsidRPr="002F2C55">
        <w:rPr>
          <w:rFonts w:cs="Open Sans"/>
        </w:rPr>
        <w:t xml:space="preserve">he Commission’s primary position is that the Bill should not </w:t>
      </w:r>
      <w:r w:rsidR="00723647" w:rsidRPr="002F2C55">
        <w:rPr>
          <w:rFonts w:cs="Open Sans"/>
        </w:rPr>
        <w:t>be passed</w:t>
      </w:r>
      <w:r w:rsidR="00B160BA" w:rsidRPr="002F2C55">
        <w:rPr>
          <w:rFonts w:cs="Open Sans"/>
        </w:rPr>
        <w:t xml:space="preserve"> in its present form. If, however, the Bill does proceed, the Commission considers that substantial </w:t>
      </w:r>
      <w:r w:rsidR="006F2A2F" w:rsidRPr="002F2C55">
        <w:rPr>
          <w:rFonts w:cs="Open Sans"/>
        </w:rPr>
        <w:t xml:space="preserve">reforms are </w:t>
      </w:r>
      <w:r w:rsidR="00B160BA" w:rsidRPr="002F2C55">
        <w:rPr>
          <w:rFonts w:cs="Open Sans"/>
        </w:rPr>
        <w:t xml:space="preserve">necessary </w:t>
      </w:r>
      <w:r w:rsidR="00790ADA" w:rsidRPr="002F2C55">
        <w:rPr>
          <w:rFonts w:cs="Open Sans"/>
        </w:rPr>
        <w:t>that would</w:t>
      </w:r>
      <w:r w:rsidR="00B160BA" w:rsidRPr="002F2C55">
        <w:rPr>
          <w:rFonts w:cs="Open Sans"/>
        </w:rPr>
        <w:t xml:space="preserve"> improve</w:t>
      </w:r>
      <w:r w:rsidR="00C7791C" w:rsidRPr="002F2C55">
        <w:rPr>
          <w:rFonts w:cs="Open Sans"/>
        </w:rPr>
        <w:t xml:space="preserve"> but not resolve</w:t>
      </w:r>
      <w:r w:rsidR="00B160BA" w:rsidRPr="002F2C55">
        <w:rPr>
          <w:rFonts w:cs="Open Sans"/>
        </w:rPr>
        <w:t xml:space="preserve"> </w:t>
      </w:r>
      <w:r w:rsidR="00790ADA" w:rsidRPr="002F2C55">
        <w:rPr>
          <w:rFonts w:cs="Open Sans"/>
        </w:rPr>
        <w:t>the identified</w:t>
      </w:r>
      <w:r w:rsidR="00EB7131" w:rsidRPr="002F2C55">
        <w:rPr>
          <w:rFonts w:cs="Open Sans"/>
        </w:rPr>
        <w:t xml:space="preserve"> human rights</w:t>
      </w:r>
      <w:r w:rsidR="00790ADA" w:rsidRPr="002F2C55">
        <w:rPr>
          <w:rFonts w:cs="Open Sans"/>
        </w:rPr>
        <w:t xml:space="preserve"> issues</w:t>
      </w:r>
      <w:r w:rsidR="003B2407" w:rsidRPr="002F2C55">
        <w:rPr>
          <w:rFonts w:cs="Open Sans"/>
        </w:rPr>
        <w:t>, as discussed below.</w:t>
      </w:r>
      <w:r w:rsidR="00C7791C" w:rsidRPr="002F2C55">
        <w:rPr>
          <w:rFonts w:cs="Open Sans"/>
        </w:rPr>
        <w:t xml:space="preserve"> </w:t>
      </w:r>
    </w:p>
    <w:p w14:paraId="4193C0F9" w14:textId="77777777" w:rsidR="003A71AB" w:rsidRPr="002F2C55" w:rsidRDefault="003A71AB" w:rsidP="003A71AB">
      <w:pPr>
        <w:pStyle w:val="Heading2"/>
        <w:rPr>
          <w:rFonts w:cs="Open Sans"/>
        </w:rPr>
      </w:pPr>
      <w:bookmarkStart w:id="28" w:name="_Toc511221393"/>
      <w:bookmarkStart w:id="29" w:name="_Toc511221395"/>
      <w:bookmarkStart w:id="30" w:name="_Toc20838312"/>
      <w:r w:rsidRPr="002F2C55">
        <w:rPr>
          <w:rFonts w:cs="Open Sans"/>
        </w:rPr>
        <w:t>Conditionality and punitive compliance</w:t>
      </w:r>
      <w:bookmarkEnd w:id="30"/>
    </w:p>
    <w:p w14:paraId="41B966FD" w14:textId="749A9223" w:rsidR="003A71AB" w:rsidRPr="002F2C55" w:rsidRDefault="00723647" w:rsidP="00723647">
      <w:pPr>
        <w:pStyle w:val="ListParagraph"/>
        <w:numPr>
          <w:ilvl w:val="0"/>
          <w:numId w:val="16"/>
        </w:numPr>
        <w:rPr>
          <w:rFonts w:cs="Open Sans"/>
        </w:rPr>
      </w:pPr>
      <w:r w:rsidRPr="002F2C55">
        <w:rPr>
          <w:rFonts w:cs="Open Sans"/>
        </w:rPr>
        <w:t>Should the trial proceed, c</w:t>
      </w:r>
      <w:r w:rsidR="003A71AB" w:rsidRPr="002F2C55">
        <w:rPr>
          <w:rFonts w:cs="Open Sans"/>
        </w:rPr>
        <w:t xml:space="preserve">ompliance with the human right to social security could be enhanced by making participation voluntary rather than mandatory. </w:t>
      </w:r>
    </w:p>
    <w:p w14:paraId="00B0BCC6" w14:textId="199C938F" w:rsidR="003A71AB" w:rsidRPr="002F2C55" w:rsidRDefault="003A71AB" w:rsidP="00723647">
      <w:pPr>
        <w:pStyle w:val="ListParagraph"/>
        <w:numPr>
          <w:ilvl w:val="0"/>
          <w:numId w:val="16"/>
        </w:numPr>
        <w:rPr>
          <w:rFonts w:cs="Open Sans"/>
        </w:rPr>
      </w:pPr>
      <w:r w:rsidRPr="002F2C55">
        <w:rPr>
          <w:rFonts w:cs="Open Sans"/>
        </w:rPr>
        <w:t xml:space="preserve">The Commission is also concerned about the human rights implications of the </w:t>
      </w:r>
      <w:r w:rsidR="00F90979" w:rsidRPr="002F2C55">
        <w:rPr>
          <w:rFonts w:cs="Open Sans"/>
        </w:rPr>
        <w:t>“</w:t>
      </w:r>
      <w:r w:rsidRPr="002F2C55">
        <w:rPr>
          <w:rFonts w:cs="Open Sans"/>
        </w:rPr>
        <w:t>drug test refusal</w:t>
      </w:r>
      <w:r w:rsidR="00F90979" w:rsidRPr="002F2C55">
        <w:rPr>
          <w:rFonts w:cs="Open Sans"/>
        </w:rPr>
        <w:t>”</w:t>
      </w:r>
      <w:r w:rsidRPr="002F2C55">
        <w:rPr>
          <w:rFonts w:cs="Open Sans"/>
        </w:rPr>
        <w:t xml:space="preserve"> waiting period. If a person’s social security is cancelled for refusal to undergo a drug test, a 28 day waiting period will be imposed before their payments will resume on successful reapplication. The Commission considers that the waiting period constitutes a punitive measure, the legitimacy and purpose of which is not adequately justified in the explanatory materials. The Commission considers that this measure is an unjustified limit on the right to social security. </w:t>
      </w:r>
    </w:p>
    <w:p w14:paraId="1746A8A3" w14:textId="69627AB3" w:rsidR="003A71AB" w:rsidRPr="002F2C55" w:rsidRDefault="003A71AB" w:rsidP="00723647">
      <w:pPr>
        <w:pStyle w:val="ListParagraph"/>
        <w:numPr>
          <w:ilvl w:val="0"/>
          <w:numId w:val="16"/>
        </w:numPr>
        <w:rPr>
          <w:rFonts w:cs="Open Sans"/>
        </w:rPr>
      </w:pPr>
      <w:r w:rsidRPr="002F2C55">
        <w:rPr>
          <w:rFonts w:cs="Open Sans"/>
        </w:rPr>
        <w:t>The Commission is further concerned by the proposed provisions requiring repayment of drug re-testing costs where a result is positive</w:t>
      </w:r>
      <w:r w:rsidR="00F87C6B" w:rsidRPr="002F2C55">
        <w:rPr>
          <w:rFonts w:cs="Open Sans"/>
        </w:rPr>
        <w:t>,</w:t>
      </w:r>
      <w:r w:rsidRPr="002F2C55">
        <w:rPr>
          <w:rFonts w:cs="Open Sans"/>
        </w:rPr>
        <w:t xml:space="preserve"> by way of deduction from social security payments. The Commission </w:t>
      </w:r>
      <w:r w:rsidRPr="002F2C55">
        <w:rPr>
          <w:rFonts w:cs="Open Sans"/>
        </w:rPr>
        <w:lastRenderedPageBreak/>
        <w:t>considers that these deductions are effectively a punitive measure, and operate to reduce social security payments below minimum essential levels in a manner that limits the right to social security.</w:t>
      </w:r>
    </w:p>
    <w:p w14:paraId="0CC02B3E" w14:textId="6F53D33B" w:rsidR="003A71AB" w:rsidRPr="002F2C55" w:rsidRDefault="003A71AB" w:rsidP="00723647">
      <w:pPr>
        <w:pStyle w:val="ListParagraph"/>
        <w:numPr>
          <w:ilvl w:val="0"/>
          <w:numId w:val="16"/>
        </w:numPr>
        <w:rPr>
          <w:rFonts w:cs="Open Sans"/>
        </w:rPr>
      </w:pPr>
      <w:r w:rsidRPr="002F2C55">
        <w:rPr>
          <w:rFonts w:cs="Open Sans"/>
        </w:rPr>
        <w:t xml:space="preserve">The Commission welcomes the safeguard in proposed s 1206XD, allowing the Secretary to reduce the amount deducted from social security payments in cases of financial hardship. However, it considers this safeguard sets an unnecessarily high threshold — a person must have </w:t>
      </w:r>
      <w:r w:rsidR="00F90979" w:rsidRPr="002F2C55">
        <w:rPr>
          <w:rFonts w:cs="Open Sans"/>
        </w:rPr>
        <w:t>“</w:t>
      </w:r>
      <w:r w:rsidRPr="002F2C55">
        <w:rPr>
          <w:rFonts w:cs="Open Sans"/>
        </w:rPr>
        <w:t>exceptional circumstances</w:t>
      </w:r>
      <w:r w:rsidR="00F90979" w:rsidRPr="002F2C55">
        <w:rPr>
          <w:rFonts w:cs="Open Sans"/>
        </w:rPr>
        <w:t>”</w:t>
      </w:r>
      <w:r w:rsidRPr="002F2C55">
        <w:rPr>
          <w:rFonts w:cs="Open Sans"/>
        </w:rPr>
        <w:t xml:space="preserve"> and be in </w:t>
      </w:r>
      <w:r w:rsidR="00F90979" w:rsidRPr="002F2C55">
        <w:rPr>
          <w:rFonts w:cs="Open Sans"/>
        </w:rPr>
        <w:t>“</w:t>
      </w:r>
      <w:r w:rsidRPr="002F2C55">
        <w:rPr>
          <w:rFonts w:cs="Open Sans"/>
        </w:rPr>
        <w:t>severe</w:t>
      </w:r>
      <w:r w:rsidR="00F90979" w:rsidRPr="002F2C55">
        <w:rPr>
          <w:rFonts w:cs="Open Sans"/>
        </w:rPr>
        <w:t>”</w:t>
      </w:r>
      <w:r w:rsidRPr="002F2C55">
        <w:rPr>
          <w:rFonts w:cs="Open Sans"/>
        </w:rPr>
        <w:t xml:space="preserve"> financial hardship.</w:t>
      </w:r>
      <w:r w:rsidRPr="002F2C55">
        <w:rPr>
          <w:rStyle w:val="EndnoteReference"/>
          <w:rFonts w:cs="Open Sans"/>
        </w:rPr>
        <w:endnoteReference w:id="39"/>
      </w:r>
      <w:r w:rsidRPr="002F2C55">
        <w:rPr>
          <w:rFonts w:cs="Open Sans"/>
        </w:rPr>
        <w:t xml:space="preserve"> The human rights compatibility of the deduction measures could be enhanced by removing the requirement of </w:t>
      </w:r>
      <w:r w:rsidR="00F90979" w:rsidRPr="002F2C55">
        <w:rPr>
          <w:rFonts w:cs="Open Sans"/>
        </w:rPr>
        <w:t>“</w:t>
      </w:r>
      <w:r w:rsidRPr="002F2C55">
        <w:rPr>
          <w:rFonts w:cs="Open Sans"/>
        </w:rPr>
        <w:t>severity</w:t>
      </w:r>
      <w:r w:rsidR="00F90979" w:rsidRPr="002F2C55">
        <w:rPr>
          <w:rFonts w:cs="Open Sans"/>
        </w:rPr>
        <w:t>”</w:t>
      </w:r>
      <w:r w:rsidRPr="002F2C55">
        <w:rPr>
          <w:rFonts w:cs="Open Sans"/>
        </w:rPr>
        <w:t xml:space="preserve">. </w:t>
      </w:r>
    </w:p>
    <w:p w14:paraId="4347A714" w14:textId="07F66CBD" w:rsidR="003A71AB" w:rsidRPr="002F2C55" w:rsidRDefault="003A71AB" w:rsidP="00024CDA">
      <w:pPr>
        <w:pStyle w:val="SubmissionNormal"/>
        <w:numPr>
          <w:ilvl w:val="0"/>
          <w:numId w:val="43"/>
        </w:numPr>
        <w:rPr>
          <w:rFonts w:cs="Open Sans"/>
          <w:b/>
        </w:rPr>
      </w:pPr>
      <w:r w:rsidRPr="002F2C55">
        <w:rPr>
          <w:rFonts w:cs="Open Sans"/>
          <w:b/>
        </w:rPr>
        <w:t xml:space="preserve">In the event that the Social Services Legislation Amendment (Drug Testing Trial) Bill 2019 </w:t>
      </w:r>
      <w:r w:rsidR="00C51DBB" w:rsidRPr="002F2C55">
        <w:rPr>
          <w:rFonts w:cs="Open Sans"/>
          <w:b/>
        </w:rPr>
        <w:t>(</w:t>
      </w:r>
      <w:proofErr w:type="spellStart"/>
      <w:r w:rsidR="00C51DBB" w:rsidRPr="002F2C55">
        <w:rPr>
          <w:rFonts w:cs="Open Sans"/>
          <w:b/>
        </w:rPr>
        <w:t>Cth</w:t>
      </w:r>
      <w:proofErr w:type="spellEnd"/>
      <w:r w:rsidR="00C51DBB" w:rsidRPr="002F2C55">
        <w:rPr>
          <w:rFonts w:cs="Open Sans"/>
          <w:b/>
        </w:rPr>
        <w:t xml:space="preserve">) </w:t>
      </w:r>
      <w:r w:rsidRPr="002F2C55">
        <w:rPr>
          <w:rFonts w:cs="Open Sans"/>
          <w:b/>
        </w:rPr>
        <w:t xml:space="preserve">proceeds, participation in the trial should be voluntary. </w:t>
      </w:r>
    </w:p>
    <w:p w14:paraId="1AF67435" w14:textId="60166F0C" w:rsidR="003A71AB" w:rsidRPr="002F2C55" w:rsidRDefault="003A71AB" w:rsidP="00024CDA">
      <w:pPr>
        <w:pStyle w:val="SubmissionNormal"/>
        <w:numPr>
          <w:ilvl w:val="0"/>
          <w:numId w:val="43"/>
        </w:numPr>
        <w:rPr>
          <w:rFonts w:cs="Open Sans"/>
          <w:b/>
        </w:rPr>
      </w:pPr>
      <w:r w:rsidRPr="002F2C55">
        <w:rPr>
          <w:rFonts w:cs="Open Sans"/>
          <w:b/>
        </w:rPr>
        <w:t>In the event that the Social Services Legislation Amendment (Drug Testing Trial) Bill 2019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 the </w:t>
      </w:r>
      <w:r w:rsidR="00F90979" w:rsidRPr="002F2C55">
        <w:rPr>
          <w:rFonts w:cs="Open Sans"/>
          <w:b/>
        </w:rPr>
        <w:t>“</w:t>
      </w:r>
      <w:r w:rsidRPr="002F2C55">
        <w:rPr>
          <w:rFonts w:cs="Open Sans"/>
          <w:b/>
        </w:rPr>
        <w:t>drug test refusal waiting period</w:t>
      </w:r>
      <w:r w:rsidR="00F90979" w:rsidRPr="002F2C55">
        <w:rPr>
          <w:rFonts w:cs="Open Sans"/>
          <w:b/>
        </w:rPr>
        <w:t>”</w:t>
      </w:r>
      <w:r w:rsidRPr="002F2C55">
        <w:rPr>
          <w:rFonts w:cs="Open Sans"/>
          <w:b/>
        </w:rPr>
        <w:t xml:space="preserve">, which applies upon reapplication for social security after cancellation, should be removed. </w:t>
      </w:r>
    </w:p>
    <w:p w14:paraId="7BD4DFCE" w14:textId="02C1F41F" w:rsidR="003A71AB" w:rsidRPr="002F2C55" w:rsidRDefault="003A71AB" w:rsidP="00024CDA">
      <w:pPr>
        <w:pStyle w:val="SubmissionNormal"/>
        <w:numPr>
          <w:ilvl w:val="0"/>
          <w:numId w:val="43"/>
        </w:numPr>
        <w:rPr>
          <w:rFonts w:cs="Open Sans"/>
          <w:b/>
        </w:rPr>
      </w:pPr>
      <w:bookmarkStart w:id="31" w:name="_Hlk20492075"/>
      <w:r w:rsidRPr="002F2C55">
        <w:rPr>
          <w:rFonts w:cs="Open Sans"/>
          <w:b/>
        </w:rPr>
        <w:t>In the event that the Social Services Legislation Amendment (Drug Testing Trial) Bill 2019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 </w:t>
      </w:r>
      <w:bookmarkEnd w:id="31"/>
      <w:r w:rsidRPr="002F2C55">
        <w:rPr>
          <w:rFonts w:cs="Open Sans"/>
          <w:b/>
        </w:rPr>
        <w:t xml:space="preserve">a recipient should not be required to meet the high threshold of </w:t>
      </w:r>
      <w:r w:rsidR="00F90979" w:rsidRPr="002F2C55">
        <w:rPr>
          <w:rFonts w:cs="Open Sans"/>
          <w:b/>
        </w:rPr>
        <w:t>“</w:t>
      </w:r>
      <w:r w:rsidRPr="002F2C55">
        <w:rPr>
          <w:rFonts w:cs="Open Sans"/>
          <w:b/>
        </w:rPr>
        <w:t>severe</w:t>
      </w:r>
      <w:r w:rsidR="00F90979" w:rsidRPr="002F2C55">
        <w:rPr>
          <w:rFonts w:cs="Open Sans"/>
          <w:b/>
        </w:rPr>
        <w:t>”</w:t>
      </w:r>
      <w:r w:rsidRPr="002F2C55">
        <w:rPr>
          <w:rFonts w:cs="Open Sans"/>
          <w:b/>
        </w:rPr>
        <w:t xml:space="preserve"> financial hardship to warrant a reduction in the rate of social security deductions for the purposes of repaying the costs of positive drug re-testing.</w:t>
      </w:r>
    </w:p>
    <w:p w14:paraId="199E581A" w14:textId="77777777" w:rsidR="00BA6D4E" w:rsidRPr="002F2C55" w:rsidRDefault="00BA6D4E" w:rsidP="00BA6D4E">
      <w:pPr>
        <w:pStyle w:val="Heading2"/>
        <w:rPr>
          <w:rFonts w:cs="Open Sans"/>
          <w:lang w:val="en-US"/>
        </w:rPr>
      </w:pPr>
      <w:bookmarkStart w:id="32" w:name="_Toc20838313"/>
      <w:r w:rsidRPr="002F2C55">
        <w:rPr>
          <w:rFonts w:cs="Open Sans"/>
          <w:lang w:val="en-US"/>
        </w:rPr>
        <w:t>Overreach of measures to persons without drug dependency</w:t>
      </w:r>
      <w:bookmarkEnd w:id="28"/>
      <w:bookmarkEnd w:id="32"/>
    </w:p>
    <w:p w14:paraId="6AA6A18E" w14:textId="5565CF97" w:rsidR="00BA6D4E" w:rsidRPr="002F2C55" w:rsidRDefault="00BA6D4E" w:rsidP="00723647">
      <w:pPr>
        <w:pStyle w:val="ListParagraph"/>
        <w:numPr>
          <w:ilvl w:val="0"/>
          <w:numId w:val="16"/>
        </w:numPr>
        <w:rPr>
          <w:rFonts w:cs="Open Sans"/>
        </w:rPr>
      </w:pPr>
      <w:r w:rsidRPr="002F2C55">
        <w:rPr>
          <w:rFonts w:cs="Open Sans"/>
          <w:lang w:val="en-US"/>
        </w:rPr>
        <w:t xml:space="preserve">Selection of recipients for drug testing under the trial is not connected to any reasonable suspicion that a person has a drug dependency problem that </w:t>
      </w:r>
      <w:r w:rsidRPr="002F2C55">
        <w:rPr>
          <w:rFonts w:cs="Open Sans"/>
        </w:rPr>
        <w:t>interferes with their ability to obtain work. For example</w:t>
      </w:r>
      <w:r w:rsidR="004B2AF7" w:rsidRPr="002F2C55">
        <w:rPr>
          <w:rFonts w:cs="Open Sans"/>
        </w:rPr>
        <w:t>,</w:t>
      </w:r>
      <w:r w:rsidRPr="002F2C55">
        <w:rPr>
          <w:rFonts w:cs="Open Sans"/>
        </w:rPr>
        <w:t xml:space="preserve"> the regime </w:t>
      </w:r>
      <w:r w:rsidR="00295B96" w:rsidRPr="002F2C55">
        <w:rPr>
          <w:rFonts w:cs="Open Sans"/>
        </w:rPr>
        <w:t>could</w:t>
      </w:r>
      <w:r w:rsidRPr="002F2C55">
        <w:rPr>
          <w:rFonts w:cs="Open Sans"/>
        </w:rPr>
        <w:t xml:space="preserve"> capture occasional drug use </w:t>
      </w:r>
      <w:r w:rsidR="00295B96" w:rsidRPr="002F2C55">
        <w:rPr>
          <w:rFonts w:cs="Open Sans"/>
        </w:rPr>
        <w:t xml:space="preserve">that does not </w:t>
      </w:r>
      <w:r w:rsidRPr="002F2C55">
        <w:rPr>
          <w:rFonts w:cs="Open Sans"/>
        </w:rPr>
        <w:t xml:space="preserve">constitute a barrier to employment. </w:t>
      </w:r>
    </w:p>
    <w:p w14:paraId="1590A2B3" w14:textId="77777777" w:rsidR="00BA6D4E" w:rsidRPr="002F2C55" w:rsidRDefault="00BA6D4E" w:rsidP="00723647">
      <w:pPr>
        <w:pStyle w:val="ListParagraph"/>
        <w:numPr>
          <w:ilvl w:val="0"/>
          <w:numId w:val="16"/>
        </w:numPr>
        <w:rPr>
          <w:rFonts w:cs="Open Sans"/>
        </w:rPr>
      </w:pPr>
      <w:r w:rsidRPr="002F2C55">
        <w:rPr>
          <w:rFonts w:cs="Open Sans"/>
        </w:rPr>
        <w:t xml:space="preserve">The failure of the Bill’s measures to distinguish such recipients from those that it intends to identify, namely those with a drug dependence that interferes with the ability to obtain employment, is concerning. </w:t>
      </w:r>
    </w:p>
    <w:p w14:paraId="68BE65E5" w14:textId="77777777" w:rsidR="00BA6D4E" w:rsidRPr="002F2C55" w:rsidRDefault="00BA6D4E" w:rsidP="00723647">
      <w:pPr>
        <w:pStyle w:val="ListParagraph"/>
        <w:numPr>
          <w:ilvl w:val="0"/>
          <w:numId w:val="16"/>
        </w:numPr>
        <w:rPr>
          <w:rFonts w:cs="Open Sans"/>
        </w:rPr>
      </w:pPr>
      <w:r w:rsidRPr="002F2C55">
        <w:rPr>
          <w:rFonts w:cs="Open Sans"/>
        </w:rPr>
        <w:t>Ultimately, it means that the human rights of occasional drug-users, who are not the</w:t>
      </w:r>
      <w:r w:rsidRPr="002F2C55">
        <w:rPr>
          <w:rFonts w:cs="Open Sans"/>
          <w:lang w:val="en-US"/>
        </w:rPr>
        <w:t xml:space="preserve"> intended targets of the Bill,</w:t>
      </w:r>
      <w:r w:rsidRPr="002F2C55">
        <w:rPr>
          <w:rFonts w:cs="Open Sans"/>
        </w:rPr>
        <w:t xml:space="preserve"> may be affected by the Bill’s </w:t>
      </w:r>
      <w:r w:rsidRPr="002F2C55">
        <w:rPr>
          <w:rFonts w:cs="Open Sans"/>
        </w:rPr>
        <w:lastRenderedPageBreak/>
        <w:t xml:space="preserve">measures including drug tests, income management, and social security deduction, suspension and cancellation, since these measures flow from the initial positive drug test result. </w:t>
      </w:r>
    </w:p>
    <w:p w14:paraId="6B57FD39" w14:textId="77777777" w:rsidR="00BA6D4E" w:rsidRPr="002F2C55" w:rsidRDefault="00BA6D4E" w:rsidP="00723647">
      <w:pPr>
        <w:pStyle w:val="ListParagraph"/>
        <w:numPr>
          <w:ilvl w:val="0"/>
          <w:numId w:val="16"/>
        </w:numPr>
        <w:rPr>
          <w:rFonts w:cs="Open Sans"/>
        </w:rPr>
      </w:pPr>
      <w:r w:rsidRPr="002F2C55">
        <w:rPr>
          <w:rFonts w:cs="Open Sans"/>
        </w:rPr>
        <w:t>These measures are inappropriate to apply to a person who is not drug dependent in a manner that interferes with their ability to obtain employment. The Commission considers that this overreach of the Bill is disproportionate.</w:t>
      </w:r>
    </w:p>
    <w:p w14:paraId="299A574A" w14:textId="3DD9BE08" w:rsidR="00BA6D4E" w:rsidRPr="002F2C55" w:rsidRDefault="00BA6D4E" w:rsidP="00723647">
      <w:pPr>
        <w:pStyle w:val="ListParagraph"/>
        <w:numPr>
          <w:ilvl w:val="0"/>
          <w:numId w:val="16"/>
        </w:numPr>
        <w:rPr>
          <w:rFonts w:cs="Open Sans"/>
        </w:rPr>
      </w:pPr>
      <w:r w:rsidRPr="002F2C55">
        <w:rPr>
          <w:rFonts w:cs="Open Sans"/>
        </w:rPr>
        <w:t xml:space="preserve">The Commission acknowledges that there may be numerous practical difficulties in identifying persons with drug dependency issues, and targeting drug testing to this cohort. However, the Commission considers that the rights limitations imposed by measures which flow from an initial positive drug test </w:t>
      </w:r>
      <w:r w:rsidR="00F87C6B" w:rsidRPr="002F2C55">
        <w:rPr>
          <w:rFonts w:cs="Open Sans"/>
        </w:rPr>
        <w:t xml:space="preserve">are </w:t>
      </w:r>
      <w:r w:rsidRPr="002F2C55">
        <w:rPr>
          <w:rFonts w:cs="Open Sans"/>
        </w:rPr>
        <w:t xml:space="preserve">not reasonable, necessary or proportionate, Rather, these measures could be limited only to those recipients whose drug </w:t>
      </w:r>
      <w:r w:rsidR="001C07C6" w:rsidRPr="002F2C55">
        <w:rPr>
          <w:rFonts w:cs="Open Sans"/>
        </w:rPr>
        <w:t xml:space="preserve">use </w:t>
      </w:r>
      <w:r w:rsidRPr="002F2C55">
        <w:rPr>
          <w:rFonts w:cs="Open Sans"/>
        </w:rPr>
        <w:t>has been assessed by a qualified medical professional as requiring treatment, rather than all recipients who return a positive result after an initial drug test.</w:t>
      </w:r>
    </w:p>
    <w:p w14:paraId="211374CC" w14:textId="77777777" w:rsidR="00BA6D4E" w:rsidRPr="002F2C55" w:rsidRDefault="00BA6D4E" w:rsidP="00723647">
      <w:pPr>
        <w:pStyle w:val="ListParagraph"/>
        <w:numPr>
          <w:ilvl w:val="0"/>
          <w:numId w:val="16"/>
        </w:numPr>
        <w:rPr>
          <w:rFonts w:cs="Open Sans"/>
        </w:rPr>
      </w:pPr>
      <w:r w:rsidRPr="002F2C55">
        <w:rPr>
          <w:rFonts w:cs="Open Sans"/>
        </w:rPr>
        <w:t xml:space="preserve">Proposed s 544B(1AA) requires that a recipient undertake treatment following two or more positive drug tests, if a medical, psychiatric or psychological examination is conducted and the health professional makes a recommendation to that effect. This appears to be the point at which a person with problematic drug dependency has been identified. </w:t>
      </w:r>
    </w:p>
    <w:p w14:paraId="02747175" w14:textId="77777777" w:rsidR="00BA6D4E" w:rsidRPr="002F2C55" w:rsidRDefault="00BA6D4E" w:rsidP="00723647">
      <w:pPr>
        <w:pStyle w:val="ListParagraph"/>
        <w:numPr>
          <w:ilvl w:val="0"/>
          <w:numId w:val="16"/>
        </w:numPr>
        <w:rPr>
          <w:rFonts w:cs="Open Sans"/>
        </w:rPr>
      </w:pPr>
      <w:r w:rsidRPr="002F2C55">
        <w:rPr>
          <w:rFonts w:cs="Open Sans"/>
        </w:rPr>
        <w:t xml:space="preserve">To enhance proportionality, the Commission considers that measures negatively affecting the human rights, such as income management and social security deductions, suspensions and cancellations, should only apply to recipients in the trial from this point onwards. That will help safeguard against the imposition of restrictive measures where there has been no identified drug dependency. </w:t>
      </w:r>
    </w:p>
    <w:p w14:paraId="48314396" w14:textId="2321060C" w:rsidR="00BA6D4E" w:rsidRPr="002F2C55" w:rsidRDefault="00BA6D4E" w:rsidP="00024CDA">
      <w:pPr>
        <w:pStyle w:val="SubmissionNormal"/>
        <w:numPr>
          <w:ilvl w:val="0"/>
          <w:numId w:val="43"/>
        </w:numPr>
        <w:rPr>
          <w:rFonts w:cs="Open Sans"/>
          <w:b/>
        </w:rPr>
      </w:pPr>
      <w:r w:rsidRPr="002F2C55">
        <w:rPr>
          <w:rFonts w:cs="Open Sans"/>
          <w:b/>
        </w:rPr>
        <w:t>In the event that the Social Services Legislation Amendment (Drug Testing Trial) Bill 2019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 it should be amended so that measures: (a) </w:t>
      </w:r>
      <w:r w:rsidRPr="002F2C55">
        <w:rPr>
          <w:rFonts w:cs="Open Sans"/>
          <w:b/>
          <w:lang w:val="en-US"/>
        </w:rPr>
        <w:t xml:space="preserve">imposing income management, (b) deducting amounts from social security, and (c) suspending or cancelling social security, should </w:t>
      </w:r>
      <w:r w:rsidRPr="002F2C55">
        <w:rPr>
          <w:rFonts w:cs="Open Sans"/>
          <w:b/>
        </w:rPr>
        <w:t xml:space="preserve">only apply to a recipient who has been recommended by a medical professional to undertake treatment for their drug dependency. </w:t>
      </w:r>
    </w:p>
    <w:p w14:paraId="7A4C819A" w14:textId="77777777" w:rsidR="00651980" w:rsidRPr="002F2C55" w:rsidRDefault="00651980" w:rsidP="00651980">
      <w:pPr>
        <w:pStyle w:val="Heading2"/>
        <w:rPr>
          <w:rFonts w:cs="Open Sans"/>
        </w:rPr>
      </w:pPr>
      <w:bookmarkStart w:id="33" w:name="_Toc511221394"/>
      <w:bookmarkStart w:id="34" w:name="_Hlk20729881"/>
      <w:bookmarkStart w:id="35" w:name="_Toc20838314"/>
      <w:r w:rsidRPr="002F2C55">
        <w:rPr>
          <w:rFonts w:cs="Open Sans"/>
        </w:rPr>
        <w:lastRenderedPageBreak/>
        <w:t>Income management</w:t>
      </w:r>
      <w:bookmarkEnd w:id="33"/>
      <w:r w:rsidRPr="002F2C55">
        <w:rPr>
          <w:rFonts w:cs="Open Sans"/>
        </w:rPr>
        <w:t xml:space="preserve"> through cashless debit card</w:t>
      </w:r>
      <w:bookmarkEnd w:id="35"/>
    </w:p>
    <w:p w14:paraId="260E8F5E" w14:textId="24F40247" w:rsidR="00651980" w:rsidRPr="002F2C55" w:rsidRDefault="009D6039" w:rsidP="00BE65DE">
      <w:pPr>
        <w:pStyle w:val="ListParagraph"/>
        <w:numPr>
          <w:ilvl w:val="0"/>
          <w:numId w:val="16"/>
        </w:numPr>
        <w:rPr>
          <w:rFonts w:cs="Open Sans"/>
        </w:rPr>
      </w:pPr>
      <w:r w:rsidRPr="002F2C55">
        <w:rPr>
          <w:rFonts w:cs="Open Sans"/>
        </w:rPr>
        <w:t xml:space="preserve">Should </w:t>
      </w:r>
      <w:r w:rsidR="00651980" w:rsidRPr="002F2C55">
        <w:rPr>
          <w:rFonts w:cs="Open Sans"/>
        </w:rPr>
        <w:t>mandatory income management in relation to the Bill</w:t>
      </w:r>
      <w:r w:rsidRPr="002F2C55">
        <w:rPr>
          <w:rFonts w:cs="Open Sans"/>
        </w:rPr>
        <w:t xml:space="preserve"> proceed</w:t>
      </w:r>
      <w:r w:rsidR="00651980" w:rsidRPr="002F2C55">
        <w:rPr>
          <w:rFonts w:cs="Open Sans"/>
        </w:rPr>
        <w:t xml:space="preserve">, the Commission considers that </w:t>
      </w:r>
      <w:r w:rsidR="00553DA4" w:rsidRPr="002F2C55">
        <w:rPr>
          <w:rFonts w:cs="Open Sans"/>
        </w:rPr>
        <w:t xml:space="preserve">this measure could be made more proportionate by the </w:t>
      </w:r>
      <w:r w:rsidR="00EA6F51" w:rsidRPr="002F2C55">
        <w:rPr>
          <w:rFonts w:cs="Open Sans"/>
        </w:rPr>
        <w:t>following</w:t>
      </w:r>
      <w:r w:rsidR="00651980" w:rsidRPr="002F2C55">
        <w:rPr>
          <w:rFonts w:cs="Open Sans"/>
        </w:rPr>
        <w:t xml:space="preserve"> features:</w:t>
      </w:r>
    </w:p>
    <w:p w14:paraId="179EC578" w14:textId="77777777" w:rsidR="00651980" w:rsidRPr="002F2C55" w:rsidRDefault="00651980" w:rsidP="008F6FDA">
      <w:pPr>
        <w:pStyle w:val="SubmissionNormal"/>
        <w:numPr>
          <w:ilvl w:val="0"/>
          <w:numId w:val="34"/>
        </w:numPr>
        <w:rPr>
          <w:rFonts w:cs="Open Sans"/>
        </w:rPr>
      </w:pPr>
      <w:r w:rsidRPr="002F2C55">
        <w:rPr>
          <w:rFonts w:cs="Open Sans"/>
        </w:rPr>
        <w:t>income management is a measure of last resort, rather than being automatically applied</w:t>
      </w:r>
    </w:p>
    <w:p w14:paraId="410A4889" w14:textId="77777777" w:rsidR="00651980" w:rsidRPr="002F2C55" w:rsidRDefault="00651980" w:rsidP="008F6FDA">
      <w:pPr>
        <w:pStyle w:val="SubmissionNormal"/>
        <w:numPr>
          <w:ilvl w:val="0"/>
          <w:numId w:val="34"/>
        </w:numPr>
        <w:rPr>
          <w:rFonts w:cs="Open Sans"/>
        </w:rPr>
      </w:pPr>
      <w:r w:rsidRPr="002F2C55">
        <w:rPr>
          <w:rFonts w:cs="Open Sans"/>
        </w:rPr>
        <w:t>tailored and proportionate income management measures are considered in advance of application to each individual case</w:t>
      </w:r>
    </w:p>
    <w:p w14:paraId="428D9599" w14:textId="77777777" w:rsidR="00651980" w:rsidRPr="002F2C55" w:rsidRDefault="00651980" w:rsidP="008F6FDA">
      <w:pPr>
        <w:pStyle w:val="SubmissionNormal"/>
        <w:numPr>
          <w:ilvl w:val="0"/>
          <w:numId w:val="34"/>
        </w:numPr>
        <w:rPr>
          <w:rFonts w:cs="Open Sans"/>
        </w:rPr>
      </w:pPr>
      <w:r w:rsidRPr="002F2C55">
        <w:rPr>
          <w:rFonts w:cs="Open Sans"/>
        </w:rPr>
        <w:t xml:space="preserve">income management measures are imposed for a defined and reasonable period of time </w:t>
      </w:r>
    </w:p>
    <w:p w14:paraId="4CB0E2A7" w14:textId="77777777" w:rsidR="00651980" w:rsidRPr="002F2C55" w:rsidRDefault="00651980" w:rsidP="008F6FDA">
      <w:pPr>
        <w:pStyle w:val="SubmissionNormal"/>
        <w:numPr>
          <w:ilvl w:val="0"/>
          <w:numId w:val="34"/>
        </w:numPr>
        <w:rPr>
          <w:rFonts w:cs="Open Sans"/>
        </w:rPr>
      </w:pPr>
      <w:r w:rsidRPr="002F2C55">
        <w:rPr>
          <w:rFonts w:cs="Open Sans"/>
        </w:rPr>
        <w:t xml:space="preserve">review and appeal processes are permitted. </w:t>
      </w:r>
    </w:p>
    <w:p w14:paraId="01B8EC18" w14:textId="3494F4C6" w:rsidR="00651980" w:rsidRPr="002F2C55" w:rsidRDefault="00F8432E" w:rsidP="008F6FDA">
      <w:pPr>
        <w:pStyle w:val="ListParagraph"/>
        <w:numPr>
          <w:ilvl w:val="0"/>
          <w:numId w:val="16"/>
        </w:numPr>
        <w:rPr>
          <w:rFonts w:cs="Open Sans"/>
        </w:rPr>
      </w:pPr>
      <w:r w:rsidRPr="002F2C55">
        <w:rPr>
          <w:rFonts w:cs="Open Sans"/>
          <w:lang w:val="en-US" w:eastAsia="en-US" w:bidi="x-none"/>
        </w:rPr>
        <w:t>However, rather than being tailored and proportionate to each individual case, the</w:t>
      </w:r>
      <w:r w:rsidR="00651980" w:rsidRPr="002F2C55">
        <w:rPr>
          <w:rFonts w:cs="Open Sans"/>
          <w:lang w:val="en-US" w:eastAsia="en-US" w:bidi="x-none"/>
        </w:rPr>
        <w:t xml:space="preserve"> </w:t>
      </w:r>
      <w:r w:rsidRPr="002F2C55">
        <w:rPr>
          <w:rFonts w:cs="Open Sans"/>
          <w:lang w:val="en-US" w:eastAsia="en-US" w:bidi="x-none"/>
        </w:rPr>
        <w:t>scheme proposes an automatic,</w:t>
      </w:r>
      <w:r w:rsidR="00651980" w:rsidRPr="002F2C55">
        <w:rPr>
          <w:rFonts w:cs="Open Sans"/>
          <w:lang w:val="en-US"/>
        </w:rPr>
        <w:t xml:space="preserve"> blanket and </w:t>
      </w:r>
      <w:r w:rsidRPr="002F2C55">
        <w:rPr>
          <w:rFonts w:cs="Open Sans"/>
        </w:rPr>
        <w:t>extensive</w:t>
      </w:r>
      <w:r w:rsidR="00651980" w:rsidRPr="002F2C55">
        <w:rPr>
          <w:rFonts w:cs="Open Sans"/>
          <w:lang w:val="en-US"/>
        </w:rPr>
        <w:t xml:space="preserve"> time period </w:t>
      </w:r>
      <w:r w:rsidRPr="002F2C55">
        <w:rPr>
          <w:rFonts w:cs="Open Sans"/>
          <w:lang w:val="en-US"/>
        </w:rPr>
        <w:t xml:space="preserve">of 24 months of income management for any person that tests positive to a drug test on one occasion. This </w:t>
      </w:r>
      <w:r w:rsidR="00BC1FA8" w:rsidRPr="002F2C55">
        <w:rPr>
          <w:rFonts w:cs="Open Sans"/>
          <w:lang w:val="en-US"/>
        </w:rPr>
        <w:t xml:space="preserve">long period of time </w:t>
      </w:r>
      <w:r w:rsidRPr="002F2C55">
        <w:rPr>
          <w:rFonts w:cs="Open Sans"/>
          <w:lang w:val="en-US"/>
        </w:rPr>
        <w:t>may not be appropriate</w:t>
      </w:r>
      <w:r w:rsidR="00BC1FA8" w:rsidRPr="002F2C55">
        <w:rPr>
          <w:rFonts w:cs="Open Sans"/>
          <w:lang w:val="en-US"/>
        </w:rPr>
        <w:t xml:space="preserve"> for every person</w:t>
      </w:r>
      <w:r w:rsidRPr="002F2C55">
        <w:rPr>
          <w:rFonts w:cs="Open Sans"/>
          <w:lang w:val="en-US"/>
        </w:rPr>
        <w:t>,</w:t>
      </w:r>
      <w:r w:rsidR="00651980" w:rsidRPr="002F2C55">
        <w:rPr>
          <w:rFonts w:cs="Open Sans"/>
          <w:lang w:val="en-US"/>
        </w:rPr>
        <w:t xml:space="preserve"> </w:t>
      </w:r>
      <w:r w:rsidR="00BC1FA8" w:rsidRPr="002F2C55">
        <w:rPr>
          <w:rFonts w:cs="Open Sans"/>
          <w:lang w:val="en-US"/>
        </w:rPr>
        <w:t>for example if a person is</w:t>
      </w:r>
      <w:r w:rsidR="00651980" w:rsidRPr="002F2C55">
        <w:rPr>
          <w:rFonts w:cs="Open Sans"/>
          <w:lang w:val="en-US"/>
        </w:rPr>
        <w:t xml:space="preserve"> able to address their drug dependency within 24 months. </w:t>
      </w:r>
    </w:p>
    <w:p w14:paraId="2E460619" w14:textId="655BFB24" w:rsidR="00651980" w:rsidRPr="002F2C55" w:rsidRDefault="007D1273" w:rsidP="00DA52CC">
      <w:pPr>
        <w:pStyle w:val="ListParagraph"/>
        <w:numPr>
          <w:ilvl w:val="0"/>
          <w:numId w:val="16"/>
        </w:numPr>
        <w:rPr>
          <w:rFonts w:cs="Open Sans"/>
        </w:rPr>
      </w:pPr>
      <w:r w:rsidRPr="002F2C55">
        <w:rPr>
          <w:rFonts w:cs="Open Sans"/>
        </w:rPr>
        <w:t>Notably,</w:t>
      </w:r>
      <w:r w:rsidR="00651980" w:rsidRPr="002F2C55">
        <w:rPr>
          <w:rFonts w:cs="Open Sans"/>
        </w:rPr>
        <w:t xml:space="preserve"> pursuant to proposed s 123UFAA(1B), the Secretary may </w:t>
      </w:r>
      <w:r w:rsidR="00F8432E" w:rsidRPr="002F2C55">
        <w:rPr>
          <w:rFonts w:cs="Open Sans"/>
        </w:rPr>
        <w:t xml:space="preserve">also </w:t>
      </w:r>
      <w:r w:rsidR="00651980" w:rsidRPr="002F2C55">
        <w:rPr>
          <w:rFonts w:cs="Open Sans"/>
        </w:rPr>
        <w:t>determine</w:t>
      </w:r>
      <w:r w:rsidR="00F8432E" w:rsidRPr="002F2C55">
        <w:rPr>
          <w:rFonts w:cs="Open Sans"/>
        </w:rPr>
        <w:t xml:space="preserve"> to</w:t>
      </w:r>
      <w:r w:rsidR="00651980" w:rsidRPr="002F2C55">
        <w:rPr>
          <w:rFonts w:cs="Open Sans"/>
        </w:rPr>
        <w:t xml:space="preserve"> </w:t>
      </w:r>
      <w:r w:rsidR="00F8432E" w:rsidRPr="002F2C55">
        <w:rPr>
          <w:rFonts w:cs="Open Sans"/>
        </w:rPr>
        <w:t>extend income management for a period longer than</w:t>
      </w:r>
      <w:r w:rsidR="00651980" w:rsidRPr="002F2C55">
        <w:rPr>
          <w:rFonts w:cs="Open Sans"/>
        </w:rPr>
        <w:t xml:space="preserve"> 24 month</w:t>
      </w:r>
      <w:r w:rsidR="00F8432E" w:rsidRPr="002F2C55">
        <w:rPr>
          <w:rFonts w:cs="Open Sans"/>
        </w:rPr>
        <w:t>s</w:t>
      </w:r>
      <w:r w:rsidR="00651980" w:rsidRPr="002F2C55">
        <w:rPr>
          <w:rFonts w:cs="Open Sans"/>
        </w:rPr>
        <w:t xml:space="preserve">. The Explanatory Memorandum </w:t>
      </w:r>
      <w:r w:rsidR="00386AC5" w:rsidRPr="002F2C55">
        <w:rPr>
          <w:rFonts w:cs="Open Sans"/>
        </w:rPr>
        <w:t xml:space="preserve">states </w:t>
      </w:r>
      <w:r w:rsidR="00651980" w:rsidRPr="002F2C55">
        <w:rPr>
          <w:rFonts w:cs="Open Sans"/>
          <w:lang w:val="en-US"/>
        </w:rPr>
        <w:t>that</w:t>
      </w:r>
      <w:r w:rsidR="00651980" w:rsidRPr="002F2C55">
        <w:rPr>
          <w:rFonts w:cs="Open Sans"/>
        </w:rPr>
        <w:t xml:space="preserve"> </w:t>
      </w:r>
      <w:r w:rsidR="00F8432E" w:rsidRPr="002F2C55">
        <w:rPr>
          <w:rFonts w:cs="Open Sans"/>
        </w:rPr>
        <w:t xml:space="preserve">this </w:t>
      </w:r>
      <w:r w:rsidR="00651980" w:rsidRPr="002F2C55">
        <w:rPr>
          <w:rFonts w:cs="Open Sans"/>
        </w:rPr>
        <w:t xml:space="preserve">provision </w:t>
      </w:r>
      <w:r w:rsidR="00DA52CC" w:rsidRPr="002F2C55">
        <w:rPr>
          <w:rFonts w:cs="Open Sans"/>
        </w:rPr>
        <w:t>“</w:t>
      </w:r>
      <w:r w:rsidR="00651980" w:rsidRPr="002F2C55">
        <w:rPr>
          <w:rFonts w:cs="Open Sans"/>
        </w:rPr>
        <w:t>would be used where it is considered to be beneficial to a person’s drug rehabilitation outcome to remain on income management for a longer period of time</w:t>
      </w:r>
      <w:r w:rsidR="00DA52CC" w:rsidRPr="002F2C55">
        <w:rPr>
          <w:rFonts w:cs="Open Sans"/>
        </w:rPr>
        <w:t>”</w:t>
      </w:r>
      <w:r w:rsidR="00651980" w:rsidRPr="002F2C55">
        <w:rPr>
          <w:rFonts w:cs="Open Sans"/>
        </w:rPr>
        <w:t>.</w:t>
      </w:r>
      <w:r w:rsidR="00651980" w:rsidRPr="002F2C55">
        <w:rPr>
          <w:rStyle w:val="EndnoteReference"/>
          <w:rFonts w:cs="Open Sans"/>
        </w:rPr>
        <w:endnoteReference w:id="40"/>
      </w:r>
      <w:r w:rsidR="00651980" w:rsidRPr="002F2C55">
        <w:rPr>
          <w:rFonts w:cs="Open Sans"/>
        </w:rPr>
        <w:t xml:space="preserve"> </w:t>
      </w:r>
      <w:r w:rsidR="007F50AC" w:rsidRPr="002F2C55">
        <w:rPr>
          <w:rFonts w:cs="Open Sans"/>
        </w:rPr>
        <w:t>There is a risk that</w:t>
      </w:r>
      <w:r w:rsidR="00651980" w:rsidRPr="002F2C55">
        <w:rPr>
          <w:rFonts w:cs="Open Sans"/>
        </w:rPr>
        <w:t xml:space="preserve"> this discretion could </w:t>
      </w:r>
      <w:r w:rsidR="007F50AC" w:rsidRPr="002F2C55">
        <w:rPr>
          <w:rFonts w:cs="Open Sans"/>
        </w:rPr>
        <w:t xml:space="preserve">be exercised to </w:t>
      </w:r>
      <w:r w:rsidR="00651980" w:rsidRPr="002F2C55">
        <w:rPr>
          <w:rFonts w:cs="Open Sans"/>
        </w:rPr>
        <w:t xml:space="preserve">keep </w:t>
      </w:r>
      <w:r w:rsidR="00651980" w:rsidRPr="002F2C55">
        <w:rPr>
          <w:rFonts w:cs="Open Sans"/>
          <w:lang w:val="en-US"/>
        </w:rPr>
        <w:t>recipients</w:t>
      </w:r>
      <w:r w:rsidR="00651980" w:rsidRPr="002F2C55">
        <w:rPr>
          <w:rFonts w:cs="Open Sans"/>
        </w:rPr>
        <w:t xml:space="preserve"> on income management </w:t>
      </w:r>
      <w:r w:rsidR="00F87C6B" w:rsidRPr="002F2C55">
        <w:rPr>
          <w:rFonts w:cs="Open Sans"/>
        </w:rPr>
        <w:t xml:space="preserve">arbitrarily, </w:t>
      </w:r>
      <w:r w:rsidR="00651980" w:rsidRPr="002F2C55">
        <w:rPr>
          <w:rFonts w:cs="Open Sans"/>
        </w:rPr>
        <w:t>beyond</w:t>
      </w:r>
      <w:r w:rsidR="007F50AC" w:rsidRPr="002F2C55">
        <w:rPr>
          <w:rFonts w:cs="Open Sans"/>
        </w:rPr>
        <w:t xml:space="preserve"> a period that is proportionate to their individual case</w:t>
      </w:r>
      <w:r w:rsidR="00651980" w:rsidRPr="002F2C55">
        <w:rPr>
          <w:rFonts w:cs="Open Sans"/>
        </w:rPr>
        <w:t xml:space="preserve">. </w:t>
      </w:r>
    </w:p>
    <w:p w14:paraId="4853C91B" w14:textId="4D97A8F8" w:rsidR="007E023C" w:rsidRPr="002F2C55" w:rsidRDefault="00A5135A" w:rsidP="007E023C">
      <w:pPr>
        <w:pStyle w:val="ListParagraph"/>
        <w:numPr>
          <w:ilvl w:val="0"/>
          <w:numId w:val="16"/>
        </w:numPr>
        <w:rPr>
          <w:rFonts w:cs="Open Sans"/>
        </w:rPr>
      </w:pPr>
      <w:r w:rsidRPr="002F2C55">
        <w:rPr>
          <w:rFonts w:cs="Open Sans"/>
        </w:rPr>
        <w:t xml:space="preserve">A further concern is the inadequacy of the safeguard in </w:t>
      </w:r>
      <w:r w:rsidR="00651980" w:rsidRPr="002F2C55">
        <w:rPr>
          <w:rFonts w:cs="Open Sans"/>
        </w:rPr>
        <w:t>proposed s</w:t>
      </w:r>
      <w:r w:rsidRPr="002F2C55">
        <w:rPr>
          <w:rFonts w:cs="Open Sans"/>
        </w:rPr>
        <w:t> </w:t>
      </w:r>
      <w:r w:rsidR="00651980" w:rsidRPr="002F2C55">
        <w:rPr>
          <w:rFonts w:cs="Open Sans"/>
        </w:rPr>
        <w:t xml:space="preserve">123UFAA(1C). </w:t>
      </w:r>
      <w:r w:rsidRPr="002F2C55">
        <w:rPr>
          <w:rFonts w:cs="Open Sans"/>
        </w:rPr>
        <w:t>This provision</w:t>
      </w:r>
      <w:r w:rsidR="00651980" w:rsidRPr="002F2C55">
        <w:rPr>
          <w:rFonts w:cs="Open Sans"/>
        </w:rPr>
        <w:t xml:space="preserve"> requires that the Secretary must determine that a person not be subject to income management if it poses a serious risk to their mental, physical or emotional wellbeing, this consideration is not automatic.</w:t>
      </w:r>
      <w:r w:rsidR="00651980" w:rsidRPr="002F2C55">
        <w:rPr>
          <w:rStyle w:val="EndnoteReference"/>
          <w:rFonts w:cs="Open Sans"/>
        </w:rPr>
        <w:endnoteReference w:id="41"/>
      </w:r>
      <w:r w:rsidR="00651980" w:rsidRPr="002F2C55">
        <w:rPr>
          <w:rFonts w:cs="Open Sans"/>
        </w:rPr>
        <w:t xml:space="preserve"> </w:t>
      </w:r>
      <w:r w:rsidR="00553DA4" w:rsidRPr="002F2C55">
        <w:rPr>
          <w:rFonts w:cs="Open Sans"/>
        </w:rPr>
        <w:t>However,</w:t>
      </w:r>
      <w:r w:rsidR="00651980" w:rsidRPr="002F2C55">
        <w:rPr>
          <w:rFonts w:cs="Open Sans"/>
        </w:rPr>
        <w:t xml:space="preserve"> the Secretary is not required to actively take steps to assess every trial participant who is referred to income management under this test. Rather, the Secretary will consider this determination once </w:t>
      </w:r>
      <w:r w:rsidR="007A2CBB" w:rsidRPr="002F2C55">
        <w:rPr>
          <w:rFonts w:cs="Open Sans"/>
        </w:rPr>
        <w:t xml:space="preserve">made </w:t>
      </w:r>
      <w:r w:rsidR="00651980" w:rsidRPr="002F2C55">
        <w:rPr>
          <w:rFonts w:cs="Open Sans"/>
        </w:rPr>
        <w:t xml:space="preserve">aware of facts which indicate a relevant serious risk. </w:t>
      </w:r>
    </w:p>
    <w:p w14:paraId="34422732" w14:textId="14BE83CD" w:rsidR="00651980" w:rsidRPr="002F2C55" w:rsidRDefault="00651980" w:rsidP="007E023C">
      <w:pPr>
        <w:pStyle w:val="ListParagraph"/>
        <w:numPr>
          <w:ilvl w:val="0"/>
          <w:numId w:val="16"/>
        </w:numPr>
        <w:rPr>
          <w:rFonts w:cs="Open Sans"/>
        </w:rPr>
      </w:pPr>
      <w:r w:rsidRPr="002F2C55">
        <w:rPr>
          <w:rFonts w:cs="Open Sans"/>
        </w:rPr>
        <w:lastRenderedPageBreak/>
        <w:t xml:space="preserve">It is not clear how the Secretary would reach this awareness or be satisfied that the relevant risk is </w:t>
      </w:r>
      <w:r w:rsidR="00265A42" w:rsidRPr="002F2C55">
        <w:rPr>
          <w:rFonts w:cs="Open Sans"/>
        </w:rPr>
        <w:t>“</w:t>
      </w:r>
      <w:r w:rsidRPr="002F2C55">
        <w:rPr>
          <w:rFonts w:cs="Open Sans"/>
        </w:rPr>
        <w:t>serious</w:t>
      </w:r>
      <w:r w:rsidR="00265A42" w:rsidRPr="002F2C55">
        <w:rPr>
          <w:rFonts w:cs="Open Sans"/>
        </w:rPr>
        <w:t>”</w:t>
      </w:r>
      <w:r w:rsidRPr="002F2C55">
        <w:rPr>
          <w:rFonts w:cs="Open Sans"/>
        </w:rPr>
        <w:t xml:space="preserve">. In effect, it appears that the recipient themselves (or someone </w:t>
      </w:r>
      <w:r w:rsidR="007E023C" w:rsidRPr="002F2C55">
        <w:rPr>
          <w:rFonts w:cs="Open Sans"/>
        </w:rPr>
        <w:t xml:space="preserve">acting </w:t>
      </w:r>
      <w:r w:rsidRPr="002F2C55">
        <w:rPr>
          <w:rFonts w:cs="Open Sans"/>
        </w:rPr>
        <w:t xml:space="preserve">on their behalf) will be required to identify </w:t>
      </w:r>
      <w:r w:rsidR="007E023C" w:rsidRPr="002F2C55">
        <w:rPr>
          <w:rFonts w:cs="Open Sans"/>
        </w:rPr>
        <w:t xml:space="preserve">a risk and </w:t>
      </w:r>
      <w:r w:rsidRPr="002F2C55">
        <w:rPr>
          <w:rFonts w:cs="Open Sans"/>
        </w:rPr>
        <w:t>then make a case</w:t>
      </w:r>
      <w:r w:rsidR="007E023C" w:rsidRPr="002F2C55">
        <w:rPr>
          <w:rFonts w:cs="Open Sans"/>
        </w:rPr>
        <w:t xml:space="preserve">. This </w:t>
      </w:r>
      <w:r w:rsidRPr="002F2C55">
        <w:rPr>
          <w:rFonts w:cs="Open Sans"/>
        </w:rPr>
        <w:t>may in practice be very difficult for a person suffering serious mental, physical or emotional difficulties or complex circumstances</w:t>
      </w:r>
      <w:r w:rsidR="00652829" w:rsidRPr="002F2C55">
        <w:rPr>
          <w:rFonts w:cs="Open Sans"/>
        </w:rPr>
        <w:t xml:space="preserve">, </w:t>
      </w:r>
      <w:r w:rsidRPr="002F2C55">
        <w:rPr>
          <w:rFonts w:cs="Open Sans"/>
        </w:rPr>
        <w:t xml:space="preserve">or may not be identified by a relevant support person. </w:t>
      </w:r>
    </w:p>
    <w:p w14:paraId="68E68B9E" w14:textId="196C3594" w:rsidR="00651980" w:rsidRPr="002F2C55" w:rsidRDefault="00474A86" w:rsidP="00024CDA">
      <w:pPr>
        <w:pStyle w:val="SubmissionNormal"/>
        <w:numPr>
          <w:ilvl w:val="0"/>
          <w:numId w:val="43"/>
        </w:numPr>
        <w:rPr>
          <w:rFonts w:cs="Open Sans"/>
          <w:b/>
        </w:rPr>
      </w:pPr>
      <w:bookmarkStart w:id="36" w:name="_Hlk510746608"/>
      <w:r w:rsidRPr="002F2C55">
        <w:rPr>
          <w:rFonts w:cs="Open Sans"/>
          <w:b/>
        </w:rPr>
        <w:t>M</w:t>
      </w:r>
      <w:r w:rsidR="00651980" w:rsidRPr="002F2C55">
        <w:rPr>
          <w:rFonts w:cs="Open Sans"/>
          <w:b/>
        </w:rPr>
        <w:t xml:space="preserve">andatory income management for social security recipients should: </w:t>
      </w:r>
    </w:p>
    <w:bookmarkEnd w:id="36"/>
    <w:p w14:paraId="6F872029" w14:textId="6BD2FC47" w:rsidR="00651980" w:rsidRPr="002F2C55" w:rsidRDefault="00651980" w:rsidP="00651980">
      <w:pPr>
        <w:pStyle w:val="SubmissionNormal"/>
        <w:numPr>
          <w:ilvl w:val="0"/>
          <w:numId w:val="19"/>
        </w:numPr>
        <w:rPr>
          <w:rFonts w:cs="Open Sans"/>
          <w:b/>
        </w:rPr>
      </w:pPr>
      <w:r w:rsidRPr="002F2C55">
        <w:rPr>
          <w:rFonts w:cs="Open Sans"/>
          <w:b/>
          <w:lang w:val="en-US"/>
        </w:rPr>
        <w:t>be imposed for a defined period of time proportionate to the recipient’s circumstances such as the length of their medical treatment, with 24</w:t>
      </w:r>
      <w:r w:rsidR="00AA0271" w:rsidRPr="002F2C55">
        <w:rPr>
          <w:rFonts w:cs="Open Sans"/>
          <w:b/>
          <w:lang w:val="en-US"/>
        </w:rPr>
        <w:t xml:space="preserve"> </w:t>
      </w:r>
      <w:r w:rsidRPr="002F2C55">
        <w:rPr>
          <w:rFonts w:cs="Open Sans"/>
          <w:b/>
          <w:lang w:val="en-US"/>
        </w:rPr>
        <w:t>months being reserved for only the most severe of cases</w:t>
      </w:r>
    </w:p>
    <w:p w14:paraId="7A2199EF" w14:textId="77777777" w:rsidR="00651980" w:rsidRPr="002F2C55" w:rsidRDefault="00651980" w:rsidP="00651980">
      <w:pPr>
        <w:pStyle w:val="SubmissionNormal"/>
        <w:numPr>
          <w:ilvl w:val="0"/>
          <w:numId w:val="19"/>
        </w:numPr>
        <w:rPr>
          <w:rFonts w:cs="Open Sans"/>
          <w:b/>
        </w:rPr>
      </w:pPr>
      <w:r w:rsidRPr="002F2C55">
        <w:rPr>
          <w:rFonts w:cs="Open Sans"/>
          <w:b/>
          <w:lang w:val="en-US"/>
        </w:rPr>
        <w:t>only be permitted to be extended beyond a 24-month period under s 123UFAA if the extension is supported by the recommendation of an appropriate treating medical professional</w:t>
      </w:r>
    </w:p>
    <w:p w14:paraId="761B68F2" w14:textId="53F16DBA" w:rsidR="00651980" w:rsidRPr="002F2C55" w:rsidRDefault="00651980" w:rsidP="00651980">
      <w:pPr>
        <w:pStyle w:val="SubmissionNormal"/>
        <w:numPr>
          <w:ilvl w:val="0"/>
          <w:numId w:val="19"/>
        </w:numPr>
        <w:rPr>
          <w:rFonts w:cs="Open Sans"/>
          <w:b/>
        </w:rPr>
      </w:pPr>
      <w:r w:rsidRPr="002F2C55">
        <w:rPr>
          <w:rFonts w:cs="Open Sans"/>
          <w:b/>
        </w:rPr>
        <w:t>be subject to periodic review by the Department</w:t>
      </w:r>
      <w:r w:rsidR="0041413E" w:rsidRPr="002F2C55">
        <w:rPr>
          <w:rFonts w:cs="Open Sans"/>
          <w:b/>
        </w:rPr>
        <w:t>, with particular attention paid to any serious risk posed to a person’s mental, physical or emotional wellbeing</w:t>
      </w:r>
      <w:r w:rsidRPr="002F2C55">
        <w:rPr>
          <w:rFonts w:cs="Open Sans"/>
          <w:b/>
        </w:rPr>
        <w:t>.</w:t>
      </w:r>
    </w:p>
    <w:p w14:paraId="6B0B7E4C" w14:textId="2F0FBCC6" w:rsidR="00532CA7" w:rsidRPr="002F2C55" w:rsidRDefault="000925E6" w:rsidP="00532CA7">
      <w:pPr>
        <w:pStyle w:val="Heading2"/>
        <w:rPr>
          <w:rFonts w:cs="Open Sans"/>
        </w:rPr>
      </w:pPr>
      <w:bookmarkStart w:id="37" w:name="_Toc20838315"/>
      <w:bookmarkEnd w:id="34"/>
      <w:r w:rsidRPr="002F2C55">
        <w:rPr>
          <w:rFonts w:cs="Open Sans"/>
        </w:rPr>
        <w:t>Free, informed, prior consent to</w:t>
      </w:r>
      <w:r w:rsidR="00532CA7" w:rsidRPr="002F2C55">
        <w:rPr>
          <w:rFonts w:cs="Open Sans"/>
        </w:rPr>
        <w:t xml:space="preserve"> medical treatment</w:t>
      </w:r>
      <w:bookmarkEnd w:id="37"/>
    </w:p>
    <w:p w14:paraId="4E4F5E07" w14:textId="4412DB30" w:rsidR="00244385" w:rsidRPr="002F2C55" w:rsidRDefault="00452D86" w:rsidP="000925E6">
      <w:pPr>
        <w:pStyle w:val="ListParagraph"/>
        <w:numPr>
          <w:ilvl w:val="0"/>
          <w:numId w:val="16"/>
        </w:numPr>
        <w:rPr>
          <w:rFonts w:cs="Open Sans"/>
        </w:rPr>
      </w:pPr>
      <w:r w:rsidRPr="002F2C55">
        <w:rPr>
          <w:rFonts w:cs="Open Sans"/>
        </w:rPr>
        <w:t xml:space="preserve">The Commission holds concerns that one implication of the Bill could be </w:t>
      </w:r>
      <w:r w:rsidR="000925E6" w:rsidRPr="002F2C55">
        <w:rPr>
          <w:rFonts w:cs="Open Sans"/>
        </w:rPr>
        <w:t>participants feeling pressured to undertake medical treatment</w:t>
      </w:r>
      <w:r w:rsidR="008546C4" w:rsidRPr="002F2C55">
        <w:rPr>
          <w:rFonts w:cs="Open Sans"/>
        </w:rPr>
        <w:t xml:space="preserve"> for drug use</w:t>
      </w:r>
      <w:r w:rsidR="00E3727F" w:rsidRPr="002F2C55">
        <w:rPr>
          <w:rFonts w:cs="Open Sans"/>
        </w:rPr>
        <w:t xml:space="preserve"> under threat of suspension, reduction or cancellation of their welfare entitlements</w:t>
      </w:r>
      <w:r w:rsidRPr="002F2C55">
        <w:rPr>
          <w:rFonts w:cs="Open Sans"/>
        </w:rPr>
        <w:t xml:space="preserve">. </w:t>
      </w:r>
    </w:p>
    <w:p w14:paraId="27EB1D81" w14:textId="1661F06F" w:rsidR="00532CA7" w:rsidRPr="002F2C55" w:rsidRDefault="00452D86" w:rsidP="000925E6">
      <w:pPr>
        <w:pStyle w:val="ListParagraph"/>
        <w:numPr>
          <w:ilvl w:val="0"/>
          <w:numId w:val="16"/>
        </w:numPr>
        <w:rPr>
          <w:rFonts w:cs="Open Sans"/>
        </w:rPr>
      </w:pPr>
      <w:r w:rsidRPr="002F2C55">
        <w:rPr>
          <w:rFonts w:cs="Open Sans"/>
        </w:rPr>
        <w:t xml:space="preserve">That is, if a person tests positive for a relevant drug on more than one occasion, </w:t>
      </w:r>
      <w:r w:rsidR="006A6FCC" w:rsidRPr="002F2C55">
        <w:rPr>
          <w:rFonts w:cs="Open Sans"/>
        </w:rPr>
        <w:t xml:space="preserve">they will be referred to a medical professional for assessment. If that professional recommends treatment for drug dependence, such as counselling or rehabilitation, </w:t>
      </w:r>
      <w:r w:rsidR="00244385" w:rsidRPr="002F2C55">
        <w:rPr>
          <w:rFonts w:cs="Open Sans"/>
        </w:rPr>
        <w:t>the treatment will be incorporated into a person’s Job Plan.</w:t>
      </w:r>
      <w:r w:rsidR="00F83007" w:rsidRPr="002F2C55">
        <w:rPr>
          <w:rFonts w:cs="Open Sans"/>
        </w:rPr>
        <w:t xml:space="preserve"> This will have the effect of attaching punitive compliance obligations to </w:t>
      </w:r>
      <w:r w:rsidR="00C5201D" w:rsidRPr="002F2C55">
        <w:rPr>
          <w:rFonts w:cs="Open Sans"/>
        </w:rPr>
        <w:t xml:space="preserve">medical </w:t>
      </w:r>
      <w:r w:rsidR="00F83007" w:rsidRPr="002F2C55">
        <w:rPr>
          <w:rFonts w:cs="Open Sans"/>
        </w:rPr>
        <w:t xml:space="preserve">treatment. </w:t>
      </w:r>
    </w:p>
    <w:p w14:paraId="0D158C3A" w14:textId="3648F819" w:rsidR="0013128B" w:rsidRPr="002F2C55" w:rsidRDefault="00CB2FE3" w:rsidP="000925E6">
      <w:pPr>
        <w:pStyle w:val="ListParagraph"/>
        <w:numPr>
          <w:ilvl w:val="0"/>
          <w:numId w:val="16"/>
        </w:numPr>
        <w:rPr>
          <w:rFonts w:cs="Open Sans"/>
        </w:rPr>
      </w:pPr>
      <w:r w:rsidRPr="002F2C55">
        <w:rPr>
          <w:rFonts w:cs="Open Sans"/>
        </w:rPr>
        <w:t xml:space="preserve">As discussed above, the right to health </w:t>
      </w:r>
      <w:r w:rsidR="007376D5" w:rsidRPr="002F2C55">
        <w:rPr>
          <w:rFonts w:cs="Open Sans"/>
        </w:rPr>
        <w:t xml:space="preserve">under article 12 of the ICESCR protects the right to control one’s health and body, and the right to be free from non-consensual medical treatment. </w:t>
      </w:r>
      <w:r w:rsidR="008546C4" w:rsidRPr="002F2C55">
        <w:rPr>
          <w:rFonts w:cs="Open Sans"/>
        </w:rPr>
        <w:t xml:space="preserve">Article 25(d) of the </w:t>
      </w:r>
      <w:r w:rsidR="00E22F46" w:rsidRPr="002F2C55">
        <w:rPr>
          <w:rFonts w:cs="Open Sans"/>
          <w:i/>
          <w:iCs/>
        </w:rPr>
        <w:t>Convention on the Rights of Persons with Disabilities</w:t>
      </w:r>
      <w:r w:rsidR="00E22F46" w:rsidRPr="002F2C55">
        <w:rPr>
          <w:rFonts w:cs="Open Sans"/>
        </w:rPr>
        <w:t xml:space="preserve"> </w:t>
      </w:r>
      <w:r w:rsidR="008546C4" w:rsidRPr="002F2C55">
        <w:rPr>
          <w:rFonts w:cs="Open Sans"/>
        </w:rPr>
        <w:t xml:space="preserve">also specifically </w:t>
      </w:r>
      <w:r w:rsidR="008546C4" w:rsidRPr="002F2C55">
        <w:rPr>
          <w:rFonts w:cs="Open Sans"/>
        </w:rPr>
        <w:lastRenderedPageBreak/>
        <w:t>recognises the right to health for persons with disability, including requiring health professional</w:t>
      </w:r>
      <w:r w:rsidR="00AA0271" w:rsidRPr="002F2C55">
        <w:rPr>
          <w:rFonts w:cs="Open Sans"/>
        </w:rPr>
        <w:t>s</w:t>
      </w:r>
      <w:r w:rsidR="008546C4" w:rsidRPr="002F2C55">
        <w:rPr>
          <w:rFonts w:cs="Open Sans"/>
        </w:rPr>
        <w:t xml:space="preserve"> to “provide care of the same quality to persons with disabilities as to others, including on the basis of free and informed consent”.</w:t>
      </w:r>
      <w:r w:rsidR="00566573" w:rsidRPr="002F2C55">
        <w:rPr>
          <w:rStyle w:val="EndnoteReference"/>
          <w:rFonts w:cs="Open Sans"/>
        </w:rPr>
        <w:endnoteReference w:id="42"/>
      </w:r>
      <w:r w:rsidR="008546C4" w:rsidRPr="002F2C55">
        <w:rPr>
          <w:rFonts w:cs="Open Sans"/>
        </w:rPr>
        <w:t xml:space="preserve"> </w:t>
      </w:r>
    </w:p>
    <w:p w14:paraId="733EF400" w14:textId="14A0A7E9" w:rsidR="004B1410" w:rsidRPr="002F2C55" w:rsidRDefault="004B1410" w:rsidP="000925E6">
      <w:pPr>
        <w:pStyle w:val="ListParagraph"/>
        <w:numPr>
          <w:ilvl w:val="0"/>
          <w:numId w:val="16"/>
        </w:numPr>
        <w:rPr>
          <w:rFonts w:cs="Open Sans"/>
        </w:rPr>
      </w:pPr>
      <w:r w:rsidRPr="002F2C55">
        <w:rPr>
          <w:rFonts w:cs="Open Sans"/>
        </w:rPr>
        <w:t>The Commission acknowledges that treatment for drug dependency may be beneficial for certain recipients. However,</w:t>
      </w:r>
      <w:r w:rsidR="00415F69" w:rsidRPr="002F2C55">
        <w:rPr>
          <w:rFonts w:cs="Open Sans"/>
        </w:rPr>
        <w:t xml:space="preserve"> mandatory treatment under threat of financial penalty is a s</w:t>
      </w:r>
      <w:r w:rsidR="008546C4" w:rsidRPr="002F2C55">
        <w:rPr>
          <w:rFonts w:cs="Open Sans"/>
        </w:rPr>
        <w:t>ignificant</w:t>
      </w:r>
      <w:r w:rsidR="00944EBC" w:rsidRPr="002F2C55">
        <w:rPr>
          <w:rFonts w:cs="Open Sans"/>
        </w:rPr>
        <w:t xml:space="preserve"> limitation on a person’s right to health and </w:t>
      </w:r>
      <w:r w:rsidR="008546C4" w:rsidRPr="002F2C55">
        <w:rPr>
          <w:rFonts w:cs="Open Sans"/>
        </w:rPr>
        <w:t xml:space="preserve">to their </w:t>
      </w:r>
      <w:r w:rsidR="00944EBC" w:rsidRPr="002F2C55">
        <w:rPr>
          <w:rFonts w:cs="Open Sans"/>
        </w:rPr>
        <w:t>privacy.</w:t>
      </w:r>
      <w:r w:rsidRPr="002F2C55">
        <w:rPr>
          <w:rFonts w:cs="Open Sans"/>
        </w:rPr>
        <w:t xml:space="preserve"> </w:t>
      </w:r>
      <w:r w:rsidR="00944EBC" w:rsidRPr="002F2C55">
        <w:rPr>
          <w:rFonts w:cs="Open Sans"/>
        </w:rPr>
        <w:t>T</w:t>
      </w:r>
      <w:r w:rsidRPr="002F2C55">
        <w:rPr>
          <w:rFonts w:cs="Open Sans"/>
        </w:rPr>
        <w:t>he</w:t>
      </w:r>
      <w:r w:rsidR="00944EBC" w:rsidRPr="002F2C55">
        <w:rPr>
          <w:rFonts w:cs="Open Sans"/>
        </w:rPr>
        <w:t xml:space="preserve"> Commission considers that</w:t>
      </w:r>
      <w:r w:rsidRPr="002F2C55">
        <w:rPr>
          <w:rFonts w:cs="Open Sans"/>
        </w:rPr>
        <w:t xml:space="preserve"> reasonableness and proportionality </w:t>
      </w:r>
      <w:r w:rsidR="00415F69" w:rsidRPr="002F2C55">
        <w:rPr>
          <w:rFonts w:cs="Open Sans"/>
        </w:rPr>
        <w:t xml:space="preserve">could be enhanced by use of less restrictive means, </w:t>
      </w:r>
      <w:r w:rsidR="00EA791B" w:rsidRPr="002F2C55">
        <w:rPr>
          <w:rFonts w:cs="Open Sans"/>
        </w:rPr>
        <w:t>for example by</w:t>
      </w:r>
      <w:r w:rsidR="008546C4" w:rsidRPr="002F2C55">
        <w:rPr>
          <w:rFonts w:cs="Open Sans"/>
        </w:rPr>
        <w:t xml:space="preserve"> ensuring</w:t>
      </w:r>
      <w:r w:rsidR="007F4521" w:rsidRPr="002F2C55">
        <w:rPr>
          <w:rFonts w:cs="Open Sans"/>
        </w:rPr>
        <w:t xml:space="preserve"> that</w:t>
      </w:r>
      <w:r w:rsidR="008546C4" w:rsidRPr="002F2C55">
        <w:rPr>
          <w:rFonts w:cs="Open Sans"/>
        </w:rPr>
        <w:t xml:space="preserve"> appropriate </w:t>
      </w:r>
      <w:r w:rsidR="007F4521" w:rsidRPr="002F2C55">
        <w:rPr>
          <w:rFonts w:cs="Open Sans"/>
        </w:rPr>
        <w:t xml:space="preserve">consent is obtained and </w:t>
      </w:r>
      <w:r w:rsidR="008546C4" w:rsidRPr="002F2C55">
        <w:rPr>
          <w:rFonts w:cs="Open Sans"/>
        </w:rPr>
        <w:t>consultation</w:t>
      </w:r>
      <w:r w:rsidR="007F4521" w:rsidRPr="002F2C55">
        <w:rPr>
          <w:rFonts w:cs="Open Sans"/>
        </w:rPr>
        <w:t xml:space="preserve"> </w:t>
      </w:r>
      <w:r w:rsidR="00EA791B" w:rsidRPr="002F2C55">
        <w:rPr>
          <w:rFonts w:cs="Open Sans"/>
        </w:rPr>
        <w:t xml:space="preserve">with respect to treatment </w:t>
      </w:r>
      <w:r w:rsidR="007F4521" w:rsidRPr="002F2C55">
        <w:rPr>
          <w:rFonts w:cs="Open Sans"/>
        </w:rPr>
        <w:t>is undertaken</w:t>
      </w:r>
      <w:r w:rsidR="004D7948" w:rsidRPr="002F2C55">
        <w:rPr>
          <w:rFonts w:cs="Open Sans"/>
        </w:rPr>
        <w:t>.</w:t>
      </w:r>
    </w:p>
    <w:p w14:paraId="13A47BEE" w14:textId="44F1C510" w:rsidR="005403CE" w:rsidRPr="002F2C55" w:rsidRDefault="004C4E5A" w:rsidP="00024CDA">
      <w:pPr>
        <w:pStyle w:val="SubmissionNormal"/>
        <w:numPr>
          <w:ilvl w:val="0"/>
          <w:numId w:val="43"/>
        </w:numPr>
        <w:rPr>
          <w:rFonts w:cs="Open Sans"/>
          <w:b/>
        </w:rPr>
      </w:pPr>
      <w:r w:rsidRPr="002F2C55">
        <w:rPr>
          <w:rFonts w:cs="Open Sans"/>
          <w:b/>
        </w:rPr>
        <w:t>In the event that the Social Services Legislation Amendment (Drug Testing Trial) Bill 2019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w:t>
      </w:r>
      <w:r w:rsidR="005866D5" w:rsidRPr="002F2C55">
        <w:rPr>
          <w:rFonts w:cs="Open Sans"/>
          <w:b/>
        </w:rPr>
        <w:t>,</w:t>
      </w:r>
      <w:r w:rsidR="00CE7FED" w:rsidRPr="002F2C55">
        <w:rPr>
          <w:rFonts w:cs="Open Sans"/>
          <w:b/>
        </w:rPr>
        <w:t xml:space="preserve"> </w:t>
      </w:r>
      <w:r w:rsidR="005403CE" w:rsidRPr="002F2C55">
        <w:rPr>
          <w:rFonts w:cs="Open Sans"/>
          <w:b/>
        </w:rPr>
        <w:t>that the following measures</w:t>
      </w:r>
      <w:r w:rsidR="005866D5" w:rsidRPr="002F2C55">
        <w:rPr>
          <w:rFonts w:cs="Open Sans"/>
          <w:b/>
        </w:rPr>
        <w:t xml:space="preserve"> with respect to medical treatment</w:t>
      </w:r>
      <w:r w:rsidR="005403CE" w:rsidRPr="002F2C55">
        <w:rPr>
          <w:rFonts w:cs="Open Sans"/>
          <w:b/>
        </w:rPr>
        <w:t xml:space="preserve"> </w:t>
      </w:r>
      <w:r w:rsidR="00501ED3" w:rsidRPr="002F2C55">
        <w:rPr>
          <w:rFonts w:cs="Open Sans"/>
          <w:b/>
        </w:rPr>
        <w:t>be incorporated</w:t>
      </w:r>
      <w:r w:rsidR="00D00E4E" w:rsidRPr="002F2C55">
        <w:rPr>
          <w:rFonts w:cs="Open Sans"/>
          <w:b/>
        </w:rPr>
        <w:t>:</w:t>
      </w:r>
    </w:p>
    <w:p w14:paraId="77882754" w14:textId="34EF8DEC" w:rsidR="00D00E4E" w:rsidRPr="002F2C55" w:rsidRDefault="00202BC7" w:rsidP="00024CDA">
      <w:pPr>
        <w:pStyle w:val="SubmissionNormal"/>
        <w:numPr>
          <w:ilvl w:val="0"/>
          <w:numId w:val="44"/>
        </w:numPr>
        <w:spacing w:before="120" w:after="120"/>
        <w:rPr>
          <w:rFonts w:cs="Open Sans"/>
          <w:b/>
        </w:rPr>
      </w:pPr>
      <w:r w:rsidRPr="002F2C55">
        <w:rPr>
          <w:rFonts w:cs="Open Sans"/>
          <w:b/>
        </w:rPr>
        <w:t>r</w:t>
      </w:r>
      <w:r w:rsidR="00D00E4E" w:rsidRPr="002F2C55">
        <w:rPr>
          <w:rFonts w:cs="Open Sans"/>
          <w:b/>
        </w:rPr>
        <w:t>equiring</w:t>
      </w:r>
      <w:r w:rsidR="0016626B" w:rsidRPr="002F2C55">
        <w:rPr>
          <w:rFonts w:cs="Open Sans"/>
          <w:b/>
        </w:rPr>
        <w:t xml:space="preserve"> that</w:t>
      </w:r>
      <w:r w:rsidRPr="002F2C55">
        <w:rPr>
          <w:rFonts w:cs="Open Sans"/>
          <w:b/>
        </w:rPr>
        <w:t xml:space="preserve"> a </w:t>
      </w:r>
      <w:r w:rsidR="00D00E4E" w:rsidRPr="002F2C55">
        <w:rPr>
          <w:rFonts w:cs="Open Sans"/>
          <w:b/>
        </w:rPr>
        <w:t xml:space="preserve">person’s </w:t>
      </w:r>
      <w:r w:rsidRPr="002F2C55">
        <w:rPr>
          <w:rFonts w:cs="Open Sans"/>
          <w:b/>
        </w:rPr>
        <w:t xml:space="preserve">full, free and informed consent to </w:t>
      </w:r>
      <w:r w:rsidR="00501ED3" w:rsidRPr="002F2C55">
        <w:rPr>
          <w:rFonts w:cs="Open Sans"/>
          <w:b/>
        </w:rPr>
        <w:t xml:space="preserve">any medical </w:t>
      </w:r>
      <w:r w:rsidRPr="002F2C55">
        <w:rPr>
          <w:rFonts w:cs="Open Sans"/>
          <w:b/>
        </w:rPr>
        <w:t>treatment be obtained in advance</w:t>
      </w:r>
    </w:p>
    <w:p w14:paraId="1704EB2A" w14:textId="5E6CD340" w:rsidR="00202BC7" w:rsidRPr="002F2C55" w:rsidRDefault="00202BC7" w:rsidP="00024CDA">
      <w:pPr>
        <w:pStyle w:val="SubmissionNormal"/>
        <w:numPr>
          <w:ilvl w:val="0"/>
          <w:numId w:val="44"/>
        </w:numPr>
        <w:spacing w:before="120" w:after="120"/>
        <w:ind w:left="714" w:hanging="357"/>
        <w:rPr>
          <w:rFonts w:cs="Open Sans"/>
          <w:b/>
        </w:rPr>
      </w:pPr>
      <w:r w:rsidRPr="002F2C55">
        <w:rPr>
          <w:rFonts w:cs="Open Sans"/>
          <w:b/>
        </w:rPr>
        <w:t>ensuring that mechanisms are in place t</w:t>
      </w:r>
      <w:r w:rsidR="0016626B" w:rsidRPr="002F2C55">
        <w:rPr>
          <w:rFonts w:cs="Open Sans"/>
          <w:b/>
        </w:rPr>
        <w:t>o</w:t>
      </w:r>
      <w:r w:rsidRPr="002F2C55">
        <w:rPr>
          <w:rFonts w:cs="Open Sans"/>
          <w:b/>
        </w:rPr>
        <w:t xml:space="preserve"> allow recipients to have </w:t>
      </w:r>
      <w:r w:rsidR="0016626B" w:rsidRPr="002F2C55">
        <w:rPr>
          <w:rFonts w:cs="Open Sans"/>
          <w:b/>
        </w:rPr>
        <w:t xml:space="preserve">appropriate </w:t>
      </w:r>
      <w:r w:rsidR="00DD505B" w:rsidRPr="002F2C55">
        <w:rPr>
          <w:rFonts w:cs="Open Sans"/>
          <w:b/>
        </w:rPr>
        <w:t>decision-making input</w:t>
      </w:r>
      <w:r w:rsidRPr="002F2C55">
        <w:rPr>
          <w:rFonts w:cs="Open Sans"/>
          <w:b/>
        </w:rPr>
        <w:t xml:space="preserve"> </w:t>
      </w:r>
      <w:r w:rsidR="00584BB9" w:rsidRPr="002F2C55">
        <w:rPr>
          <w:rFonts w:cs="Open Sans"/>
          <w:b/>
        </w:rPr>
        <w:t>into the type, length</w:t>
      </w:r>
      <w:r w:rsidR="00DD505B" w:rsidRPr="002F2C55">
        <w:rPr>
          <w:rFonts w:cs="Open Sans"/>
          <w:b/>
        </w:rPr>
        <w:t>, location</w:t>
      </w:r>
      <w:r w:rsidR="00584BB9" w:rsidRPr="002F2C55">
        <w:rPr>
          <w:rFonts w:cs="Open Sans"/>
          <w:b/>
        </w:rPr>
        <w:t xml:space="preserve"> and other aspects of </w:t>
      </w:r>
      <w:r w:rsidR="00DD505B" w:rsidRPr="002F2C55">
        <w:rPr>
          <w:rFonts w:cs="Open Sans"/>
          <w:b/>
        </w:rPr>
        <w:t xml:space="preserve">their </w:t>
      </w:r>
      <w:r w:rsidR="004F3345" w:rsidRPr="002F2C55">
        <w:rPr>
          <w:rFonts w:cs="Open Sans"/>
          <w:b/>
        </w:rPr>
        <w:t xml:space="preserve">recommended </w:t>
      </w:r>
      <w:r w:rsidR="00584BB9" w:rsidRPr="002F2C55">
        <w:rPr>
          <w:rFonts w:cs="Open Sans"/>
          <w:b/>
        </w:rPr>
        <w:t xml:space="preserve">treatment </w:t>
      </w:r>
    </w:p>
    <w:p w14:paraId="283FCB10" w14:textId="2485F2D7" w:rsidR="00634CB9" w:rsidRPr="002F2C55" w:rsidRDefault="00634CB9" w:rsidP="00024CDA">
      <w:pPr>
        <w:pStyle w:val="SubmissionNormal"/>
        <w:numPr>
          <w:ilvl w:val="0"/>
          <w:numId w:val="44"/>
        </w:numPr>
        <w:spacing w:before="120" w:after="120"/>
        <w:ind w:left="714" w:hanging="357"/>
        <w:rPr>
          <w:rFonts w:cs="Open Sans"/>
          <w:b/>
        </w:rPr>
      </w:pPr>
      <w:r w:rsidRPr="002F2C55">
        <w:rPr>
          <w:rFonts w:cs="Open Sans"/>
          <w:b/>
        </w:rPr>
        <w:t>ensuring that incorporation of treatment</w:t>
      </w:r>
      <w:r w:rsidR="00092027" w:rsidRPr="002F2C55">
        <w:rPr>
          <w:rFonts w:cs="Open Sans"/>
          <w:b/>
        </w:rPr>
        <w:t xml:space="preserve"> obligations into a Job Plan </w:t>
      </w:r>
      <w:r w:rsidR="009A79D1" w:rsidRPr="002F2C55">
        <w:rPr>
          <w:rFonts w:cs="Open Sans"/>
          <w:b/>
        </w:rPr>
        <w:t>are</w:t>
      </w:r>
      <w:r w:rsidR="00692A72" w:rsidRPr="002F2C55">
        <w:rPr>
          <w:rFonts w:cs="Open Sans"/>
          <w:b/>
        </w:rPr>
        <w:t xml:space="preserve"> documented</w:t>
      </w:r>
      <w:r w:rsidR="009A79D1" w:rsidRPr="002F2C55">
        <w:rPr>
          <w:rFonts w:cs="Open Sans"/>
          <w:b/>
        </w:rPr>
        <w:t xml:space="preserve"> </w:t>
      </w:r>
      <w:r w:rsidR="005F55B1" w:rsidRPr="002F2C55">
        <w:rPr>
          <w:rFonts w:cs="Open Sans"/>
          <w:b/>
        </w:rPr>
        <w:t>in the least</w:t>
      </w:r>
      <w:r w:rsidR="009D3C4E" w:rsidRPr="002F2C55">
        <w:rPr>
          <w:rFonts w:cs="Open Sans"/>
          <w:b/>
        </w:rPr>
        <w:t xml:space="preserve"> </w:t>
      </w:r>
      <w:r w:rsidR="005F55B1" w:rsidRPr="002F2C55">
        <w:rPr>
          <w:rFonts w:cs="Open Sans"/>
          <w:b/>
        </w:rPr>
        <w:t>onerous</w:t>
      </w:r>
      <w:r w:rsidR="009D3C4E" w:rsidRPr="002F2C55">
        <w:rPr>
          <w:rFonts w:cs="Open Sans"/>
          <w:b/>
        </w:rPr>
        <w:t xml:space="preserve"> </w:t>
      </w:r>
      <w:r w:rsidR="005F55B1" w:rsidRPr="002F2C55">
        <w:rPr>
          <w:rFonts w:cs="Open Sans"/>
          <w:b/>
        </w:rPr>
        <w:t>form</w:t>
      </w:r>
      <w:r w:rsidR="009D3C4E" w:rsidRPr="002F2C55">
        <w:rPr>
          <w:rFonts w:cs="Open Sans"/>
          <w:b/>
        </w:rPr>
        <w:t xml:space="preserve"> possible</w:t>
      </w:r>
      <w:r w:rsidR="009A79D1" w:rsidRPr="002F2C55">
        <w:rPr>
          <w:rFonts w:cs="Open Sans"/>
          <w:b/>
        </w:rPr>
        <w:t xml:space="preserve"> </w:t>
      </w:r>
      <w:r w:rsidR="00692A72" w:rsidRPr="002F2C55">
        <w:rPr>
          <w:rFonts w:cs="Open Sans"/>
          <w:b/>
        </w:rPr>
        <w:t>with respect to potential punitive action for non-compliance</w:t>
      </w:r>
    </w:p>
    <w:p w14:paraId="2C5E2061" w14:textId="561D74D0" w:rsidR="00111184" w:rsidRPr="002F2C55" w:rsidRDefault="00111184" w:rsidP="00024CDA">
      <w:pPr>
        <w:pStyle w:val="SubmissionNormal"/>
        <w:numPr>
          <w:ilvl w:val="0"/>
          <w:numId w:val="44"/>
        </w:numPr>
        <w:spacing w:before="120" w:after="120"/>
        <w:ind w:left="714" w:hanging="357"/>
        <w:rPr>
          <w:rFonts w:cs="Open Sans"/>
          <w:b/>
        </w:rPr>
      </w:pPr>
      <w:r w:rsidRPr="002F2C55">
        <w:rPr>
          <w:rFonts w:cs="Open Sans"/>
          <w:b/>
        </w:rPr>
        <w:t xml:space="preserve">to the extent that the Bill applies to </w:t>
      </w:r>
      <w:r w:rsidR="00E571D2" w:rsidRPr="002F2C55">
        <w:rPr>
          <w:rFonts w:cs="Open Sans"/>
          <w:b/>
        </w:rPr>
        <w:t>persons</w:t>
      </w:r>
      <w:r w:rsidRPr="002F2C55">
        <w:rPr>
          <w:rFonts w:cs="Open Sans"/>
          <w:b/>
        </w:rPr>
        <w:t xml:space="preserve"> under the age of 18, </w:t>
      </w:r>
      <w:r w:rsidR="00E571D2" w:rsidRPr="002F2C55">
        <w:rPr>
          <w:rFonts w:cs="Open Sans"/>
          <w:b/>
        </w:rPr>
        <w:t>ensuring that</w:t>
      </w:r>
      <w:r w:rsidRPr="002F2C55">
        <w:rPr>
          <w:rFonts w:cs="Open Sans"/>
          <w:b/>
        </w:rPr>
        <w:t xml:space="preserve"> any medical examination and treatments </w:t>
      </w:r>
      <w:r w:rsidR="00E571D2" w:rsidRPr="002F2C55">
        <w:rPr>
          <w:rFonts w:cs="Open Sans"/>
          <w:b/>
        </w:rPr>
        <w:t xml:space="preserve">are </w:t>
      </w:r>
      <w:r w:rsidRPr="002F2C55">
        <w:rPr>
          <w:rFonts w:cs="Open Sans"/>
          <w:b/>
        </w:rPr>
        <w:t>carried out with regard to their developmental needs by appropriately qualified practitioners in child health.</w:t>
      </w:r>
    </w:p>
    <w:p w14:paraId="6D5DE6A9" w14:textId="77777777" w:rsidR="00B160BA" w:rsidRPr="002F2C55" w:rsidRDefault="00B160BA" w:rsidP="00B160BA">
      <w:pPr>
        <w:pStyle w:val="Heading2"/>
        <w:rPr>
          <w:rFonts w:cs="Open Sans"/>
        </w:rPr>
      </w:pPr>
      <w:bookmarkStart w:id="38" w:name="_Toc511221397"/>
      <w:bookmarkStart w:id="39" w:name="_Ref20497769"/>
      <w:bookmarkStart w:id="40" w:name="_Toc20838316"/>
      <w:bookmarkEnd w:id="29"/>
      <w:r w:rsidRPr="002F2C55">
        <w:rPr>
          <w:rFonts w:cs="Open Sans"/>
        </w:rPr>
        <w:t>Discriminatory operation</w:t>
      </w:r>
      <w:bookmarkEnd w:id="38"/>
      <w:bookmarkEnd w:id="39"/>
      <w:bookmarkEnd w:id="40"/>
      <w:r w:rsidRPr="002F2C55">
        <w:rPr>
          <w:rFonts w:cs="Open Sans"/>
        </w:rPr>
        <w:t xml:space="preserve"> </w:t>
      </w:r>
    </w:p>
    <w:p w14:paraId="4666D11D" w14:textId="548488F6" w:rsidR="00B160BA" w:rsidRPr="002F2C55" w:rsidRDefault="00B160BA" w:rsidP="00FB7861">
      <w:pPr>
        <w:pStyle w:val="Heading3"/>
        <w:rPr>
          <w:rFonts w:cs="Open Sans"/>
        </w:rPr>
      </w:pPr>
      <w:bookmarkStart w:id="41" w:name="_Toc511221398"/>
      <w:bookmarkStart w:id="42" w:name="_Toc20838317"/>
      <w:r w:rsidRPr="002F2C55">
        <w:rPr>
          <w:rFonts w:cs="Open Sans"/>
        </w:rPr>
        <w:t>Aboriginal and Torres Strait Islander peoples</w:t>
      </w:r>
      <w:bookmarkEnd w:id="41"/>
      <w:bookmarkEnd w:id="42"/>
    </w:p>
    <w:p w14:paraId="63F3D77E" w14:textId="60BF4E91" w:rsidR="000F1F7A" w:rsidRPr="002F2C55" w:rsidRDefault="000F1F7A" w:rsidP="00FC245C">
      <w:pPr>
        <w:pStyle w:val="ListParagraph"/>
        <w:numPr>
          <w:ilvl w:val="0"/>
          <w:numId w:val="16"/>
        </w:numPr>
        <w:rPr>
          <w:rFonts w:cs="Open Sans"/>
        </w:rPr>
      </w:pPr>
      <w:bookmarkStart w:id="43" w:name="_Toc162769292"/>
      <w:bookmarkStart w:id="44" w:name="_Toc207761833"/>
      <w:bookmarkStart w:id="45" w:name="_Toc209578269"/>
      <w:r w:rsidRPr="002F2C55">
        <w:rPr>
          <w:rFonts w:cs="Open Sans"/>
        </w:rPr>
        <w:t xml:space="preserve">The right of Indigenous peoples to social security is particularly recognised and protected by article 5(e)(iv) of the </w:t>
      </w:r>
      <w:r w:rsidRPr="002F2C55">
        <w:rPr>
          <w:rFonts w:cs="Open Sans"/>
          <w:i/>
        </w:rPr>
        <w:t>International Convention on the Elimination of All Forms of Racial Discrimination</w:t>
      </w:r>
      <w:r w:rsidRPr="002F2C55">
        <w:rPr>
          <w:rFonts w:cs="Open Sans"/>
        </w:rPr>
        <w:t xml:space="preserve">, articles 11(1)(e) and article 21(1) of the </w:t>
      </w:r>
      <w:r w:rsidRPr="002F2C55">
        <w:rPr>
          <w:rFonts w:cs="Open Sans"/>
          <w:i/>
        </w:rPr>
        <w:t>United Nations Declaration on the Rights of Indigenous Peoples</w:t>
      </w:r>
      <w:r w:rsidRPr="002F2C55">
        <w:rPr>
          <w:rFonts w:cs="Open Sans"/>
        </w:rPr>
        <w:t>.</w:t>
      </w:r>
      <w:r w:rsidRPr="002F2C55">
        <w:rPr>
          <w:rStyle w:val="EndnoteReference"/>
          <w:rFonts w:cs="Open Sans"/>
        </w:rPr>
        <w:endnoteReference w:id="43"/>
      </w:r>
      <w:r w:rsidRPr="002F2C55">
        <w:rPr>
          <w:rFonts w:cs="Open Sans"/>
        </w:rPr>
        <w:t xml:space="preserve"> </w:t>
      </w:r>
    </w:p>
    <w:p w14:paraId="042CAD84" w14:textId="50478CDD" w:rsidR="000F1F7A" w:rsidRPr="002F2C55" w:rsidRDefault="000F1F7A" w:rsidP="00FC245C">
      <w:pPr>
        <w:pStyle w:val="ListParagraph"/>
        <w:numPr>
          <w:ilvl w:val="0"/>
          <w:numId w:val="16"/>
        </w:numPr>
        <w:rPr>
          <w:rFonts w:cs="Open Sans"/>
        </w:rPr>
      </w:pPr>
      <w:r w:rsidRPr="002F2C55">
        <w:rPr>
          <w:rFonts w:cs="Open Sans"/>
        </w:rPr>
        <w:lastRenderedPageBreak/>
        <w:t>Further, the United Nations Human Rights Committee has stated:</w:t>
      </w:r>
    </w:p>
    <w:p w14:paraId="41094CB6" w14:textId="77777777" w:rsidR="000F1F7A" w:rsidRPr="002F2C55" w:rsidRDefault="000F1F7A" w:rsidP="000F1F7A">
      <w:pPr>
        <w:pStyle w:val="ListNumber"/>
        <w:numPr>
          <w:ilvl w:val="0"/>
          <w:numId w:val="0"/>
        </w:numPr>
        <w:ind w:left="1440"/>
        <w:rPr>
          <w:rFonts w:cs="Open Sans"/>
          <w:sz w:val="22"/>
          <w:szCs w:val="22"/>
        </w:rPr>
      </w:pPr>
      <w:r w:rsidRPr="002F2C55">
        <w:rPr>
          <w:rFonts w:cs="Open Sans"/>
          <w:sz w:val="22"/>
          <w:szCs w:val="22"/>
        </w:rPr>
        <w:t>Particular care should be taken to ensure that Indigenous peoples and ethnic and linguistic minorities are not excluded from access to social security through direct or indirect discrimination, particularly through the imposition of unreasonable eligibility conditions or lack of adequate access to information.</w:t>
      </w:r>
      <w:r w:rsidRPr="002F2C55">
        <w:rPr>
          <w:rStyle w:val="EndnoteReference"/>
          <w:rFonts w:cs="Open Sans"/>
          <w:sz w:val="22"/>
          <w:szCs w:val="22"/>
        </w:rPr>
        <w:endnoteReference w:id="44"/>
      </w:r>
    </w:p>
    <w:p w14:paraId="717118C7" w14:textId="592F9A4E" w:rsidR="00B160BA" w:rsidRPr="002F2C55" w:rsidRDefault="00B160BA" w:rsidP="00FC245C">
      <w:pPr>
        <w:pStyle w:val="ListParagraph"/>
        <w:numPr>
          <w:ilvl w:val="0"/>
          <w:numId w:val="16"/>
        </w:numPr>
        <w:rPr>
          <w:rFonts w:cs="Open Sans"/>
          <w:lang w:val="en-US"/>
        </w:rPr>
      </w:pPr>
      <w:r w:rsidRPr="002F2C55">
        <w:rPr>
          <w:rFonts w:cs="Open Sans"/>
        </w:rPr>
        <w:t>Although the trial locations are not in Community Development Program areas,</w:t>
      </w:r>
      <w:r w:rsidRPr="002F2C55">
        <w:rPr>
          <w:rStyle w:val="EndnoteReference"/>
          <w:rFonts w:cs="Open Sans"/>
        </w:rPr>
        <w:endnoteReference w:id="45"/>
      </w:r>
      <w:r w:rsidRPr="002F2C55">
        <w:rPr>
          <w:rFonts w:cs="Open Sans"/>
        </w:rPr>
        <w:t xml:space="preserve"> the </w:t>
      </w:r>
      <w:bookmarkEnd w:id="43"/>
      <w:bookmarkEnd w:id="44"/>
      <w:bookmarkEnd w:id="45"/>
      <w:r w:rsidRPr="002F2C55">
        <w:rPr>
          <w:rFonts w:cs="Open Sans"/>
        </w:rPr>
        <w:t xml:space="preserve">Commission is concerned </w:t>
      </w:r>
      <w:r w:rsidR="00145E01" w:rsidRPr="002F2C55">
        <w:rPr>
          <w:rFonts w:cs="Open Sans"/>
        </w:rPr>
        <w:t>about the</w:t>
      </w:r>
      <w:r w:rsidRPr="002F2C55">
        <w:rPr>
          <w:rFonts w:cs="Open Sans"/>
        </w:rPr>
        <w:t xml:space="preserve"> disproportionate </w:t>
      </w:r>
      <w:r w:rsidR="00E11F25" w:rsidRPr="002F2C55">
        <w:rPr>
          <w:rFonts w:cs="Open Sans"/>
        </w:rPr>
        <w:t>effect</w:t>
      </w:r>
      <w:r w:rsidR="00145E01" w:rsidRPr="002F2C55">
        <w:rPr>
          <w:rFonts w:cs="Open Sans"/>
        </w:rPr>
        <w:t xml:space="preserve"> of the Bill on</w:t>
      </w:r>
      <w:r w:rsidRPr="002F2C55">
        <w:rPr>
          <w:rFonts w:cs="Open Sans"/>
        </w:rPr>
        <w:t xml:space="preserve"> </w:t>
      </w:r>
      <w:r w:rsidR="0012074A" w:rsidRPr="002F2C55">
        <w:rPr>
          <w:rFonts w:cs="Open Sans"/>
        </w:rPr>
        <w:t xml:space="preserve">Indigenous </w:t>
      </w:r>
      <w:r w:rsidRPr="002F2C55">
        <w:rPr>
          <w:rFonts w:cs="Open Sans"/>
        </w:rPr>
        <w:t>and Torres Strait Islander people</w:t>
      </w:r>
      <w:r w:rsidR="00DE5F47" w:rsidRPr="002F2C55">
        <w:rPr>
          <w:rFonts w:cs="Open Sans"/>
        </w:rPr>
        <w:t xml:space="preserve"> in practice</w:t>
      </w:r>
      <w:r w:rsidRPr="002F2C55">
        <w:rPr>
          <w:rFonts w:cs="Open Sans"/>
        </w:rPr>
        <w:t xml:space="preserve">. </w:t>
      </w:r>
      <w:r w:rsidR="0012074A" w:rsidRPr="002F2C55">
        <w:rPr>
          <w:rFonts w:cs="Open Sans"/>
        </w:rPr>
        <w:t>G</w:t>
      </w:r>
      <w:r w:rsidRPr="002F2C55">
        <w:rPr>
          <w:rFonts w:cs="Open Sans"/>
        </w:rPr>
        <w:t xml:space="preserve">overnment pensions and allowances </w:t>
      </w:r>
      <w:r w:rsidR="0012074A" w:rsidRPr="002F2C55">
        <w:rPr>
          <w:rFonts w:cs="Open Sans"/>
        </w:rPr>
        <w:t>constitute the main</w:t>
      </w:r>
      <w:r w:rsidRPr="002F2C55">
        <w:rPr>
          <w:rFonts w:cs="Open Sans"/>
        </w:rPr>
        <w:t xml:space="preserve"> source of income for approximately 46.9% of </w:t>
      </w:r>
      <w:r w:rsidR="00E40B55" w:rsidRPr="002F2C55">
        <w:rPr>
          <w:rFonts w:cs="Open Sans"/>
        </w:rPr>
        <w:t>Indigenous Australians and Torres Strait Islander people</w:t>
      </w:r>
      <w:r w:rsidRPr="002F2C55">
        <w:rPr>
          <w:rFonts w:cs="Open Sans"/>
        </w:rPr>
        <w:t>.</w:t>
      </w:r>
      <w:r w:rsidRPr="002F2C55">
        <w:rPr>
          <w:rStyle w:val="EndnoteReference"/>
          <w:rFonts w:cs="Open Sans"/>
        </w:rPr>
        <w:endnoteReference w:id="46"/>
      </w:r>
      <w:r w:rsidR="00E40B55" w:rsidRPr="002F2C55">
        <w:rPr>
          <w:rFonts w:cs="Open Sans"/>
        </w:rPr>
        <w:t xml:space="preserve"> </w:t>
      </w:r>
      <w:r w:rsidR="00027E76" w:rsidRPr="002F2C55">
        <w:rPr>
          <w:rFonts w:cs="Open Sans"/>
        </w:rPr>
        <w:t>Therefore, w</w:t>
      </w:r>
      <w:r w:rsidR="00E40B55" w:rsidRPr="002F2C55">
        <w:rPr>
          <w:rFonts w:cs="Open Sans"/>
        </w:rPr>
        <w:t xml:space="preserve">hile the trial does not directly target </w:t>
      </w:r>
      <w:r w:rsidR="00137C5E" w:rsidRPr="002F2C55">
        <w:rPr>
          <w:rFonts w:cs="Open Sans"/>
        </w:rPr>
        <w:t>Aboriginal and Torres Strait Islander peoples</w:t>
      </w:r>
      <w:r w:rsidR="00E40B55" w:rsidRPr="002F2C55">
        <w:rPr>
          <w:rFonts w:cs="Open Sans"/>
        </w:rPr>
        <w:t xml:space="preserve">, </w:t>
      </w:r>
      <w:r w:rsidR="00137C5E" w:rsidRPr="002F2C55">
        <w:rPr>
          <w:rFonts w:cs="Open Sans"/>
        </w:rPr>
        <w:t>it is likely to have a disproportionate impact</w:t>
      </w:r>
      <w:r w:rsidR="001C7AF0" w:rsidRPr="002F2C55">
        <w:rPr>
          <w:rFonts w:cs="Open Sans"/>
        </w:rPr>
        <w:t>.</w:t>
      </w:r>
    </w:p>
    <w:p w14:paraId="1AD082EE" w14:textId="0C016AE0" w:rsidR="00B160BA" w:rsidRPr="002F2C55" w:rsidRDefault="00B160BA" w:rsidP="00FC245C">
      <w:pPr>
        <w:pStyle w:val="ListParagraph"/>
        <w:numPr>
          <w:ilvl w:val="0"/>
          <w:numId w:val="16"/>
        </w:numPr>
        <w:rPr>
          <w:rFonts w:cs="Open Sans"/>
        </w:rPr>
      </w:pPr>
      <w:r w:rsidRPr="002F2C55">
        <w:rPr>
          <w:rFonts w:cs="Open Sans"/>
        </w:rPr>
        <w:t xml:space="preserve">The Commission </w:t>
      </w:r>
      <w:r w:rsidR="000F3059" w:rsidRPr="002F2C55">
        <w:rPr>
          <w:rFonts w:cs="Open Sans"/>
        </w:rPr>
        <w:t>is</w:t>
      </w:r>
      <w:r w:rsidRPr="002F2C55">
        <w:rPr>
          <w:rFonts w:cs="Open Sans"/>
        </w:rPr>
        <w:t xml:space="preserve"> particularly concerned about the effects of income management measures, </w:t>
      </w:r>
      <w:r w:rsidR="001C7AF0" w:rsidRPr="002F2C55">
        <w:rPr>
          <w:rFonts w:cs="Open Sans"/>
        </w:rPr>
        <w:t>and notes that it has</w:t>
      </w:r>
      <w:r w:rsidRPr="002F2C55">
        <w:rPr>
          <w:rFonts w:cs="Open Sans"/>
        </w:rPr>
        <w:t xml:space="preserve"> previously identified </w:t>
      </w:r>
      <w:r w:rsidR="001C7AF0" w:rsidRPr="002F2C55">
        <w:rPr>
          <w:rFonts w:cs="Open Sans"/>
        </w:rPr>
        <w:t xml:space="preserve">that Indigenous and Torres Strait Islander people are a group </w:t>
      </w:r>
      <w:r w:rsidR="00DA78C8" w:rsidRPr="002F2C55">
        <w:rPr>
          <w:rFonts w:cs="Open Sans"/>
        </w:rPr>
        <w:t>that are</w:t>
      </w:r>
      <w:r w:rsidRPr="002F2C55">
        <w:rPr>
          <w:rFonts w:cs="Open Sans"/>
        </w:rPr>
        <w:t xml:space="preserve"> disproportionately affected by </w:t>
      </w:r>
      <w:r w:rsidR="000F3059" w:rsidRPr="002F2C55">
        <w:rPr>
          <w:rFonts w:cs="Open Sans"/>
        </w:rPr>
        <w:t>such measures</w:t>
      </w:r>
      <w:r w:rsidRPr="002F2C55">
        <w:rPr>
          <w:rFonts w:cs="Open Sans"/>
        </w:rPr>
        <w:t>.</w:t>
      </w:r>
      <w:r w:rsidRPr="002F2C55">
        <w:rPr>
          <w:rStyle w:val="EndnoteReference"/>
          <w:rFonts w:cs="Open Sans"/>
        </w:rPr>
        <w:endnoteReference w:id="47"/>
      </w:r>
      <w:r w:rsidRPr="002F2C55">
        <w:rPr>
          <w:rFonts w:cs="Open Sans"/>
        </w:rPr>
        <w:t xml:space="preserve"> This emphasises the need for an income management scheme that is </w:t>
      </w:r>
      <w:r w:rsidR="007461D1" w:rsidRPr="002F2C55">
        <w:rPr>
          <w:rFonts w:cs="Open Sans"/>
        </w:rPr>
        <w:t xml:space="preserve">reasonable, necessary and </w:t>
      </w:r>
      <w:r w:rsidRPr="002F2C55">
        <w:rPr>
          <w:rFonts w:cs="Open Sans"/>
        </w:rPr>
        <w:t>proportionate. In this regard, the Commission refers to Recommendation</w:t>
      </w:r>
      <w:r w:rsidR="007461D1" w:rsidRPr="002F2C55">
        <w:rPr>
          <w:rFonts w:cs="Open Sans"/>
        </w:rPr>
        <w:t> </w:t>
      </w:r>
      <w:r w:rsidR="00474A86" w:rsidRPr="002F2C55">
        <w:rPr>
          <w:rFonts w:cs="Open Sans"/>
        </w:rPr>
        <w:t>6</w:t>
      </w:r>
      <w:r w:rsidR="00601E4B" w:rsidRPr="002F2C55">
        <w:rPr>
          <w:rFonts w:cs="Open Sans"/>
        </w:rPr>
        <w:t xml:space="preserve"> of this submission</w:t>
      </w:r>
      <w:r w:rsidRPr="002F2C55">
        <w:rPr>
          <w:rFonts w:cs="Open Sans"/>
        </w:rPr>
        <w:t>.</w:t>
      </w:r>
    </w:p>
    <w:p w14:paraId="4C3BA905" w14:textId="77777777" w:rsidR="00B160BA" w:rsidRPr="002F2C55" w:rsidRDefault="00B160BA" w:rsidP="00FB7861">
      <w:pPr>
        <w:pStyle w:val="Heading3"/>
        <w:rPr>
          <w:rFonts w:cs="Open Sans"/>
          <w:lang w:val="en-US"/>
        </w:rPr>
      </w:pPr>
      <w:bookmarkStart w:id="46" w:name="_Toc511221399"/>
      <w:bookmarkStart w:id="47" w:name="_Toc20838318"/>
      <w:r w:rsidRPr="002F2C55">
        <w:rPr>
          <w:rFonts w:cs="Open Sans"/>
          <w:lang w:val="en-US"/>
        </w:rPr>
        <w:t>Persons with disabilities</w:t>
      </w:r>
      <w:bookmarkEnd w:id="46"/>
      <w:bookmarkEnd w:id="47"/>
    </w:p>
    <w:p w14:paraId="27D00660" w14:textId="36E3E215" w:rsidR="00B160BA" w:rsidRPr="002F2C55" w:rsidRDefault="00B160BA" w:rsidP="00FC245C">
      <w:pPr>
        <w:pStyle w:val="ListParagraph"/>
        <w:numPr>
          <w:ilvl w:val="0"/>
          <w:numId w:val="16"/>
        </w:numPr>
        <w:rPr>
          <w:rFonts w:cs="Open Sans"/>
        </w:rPr>
      </w:pPr>
      <w:r w:rsidRPr="002F2C55">
        <w:rPr>
          <w:rFonts w:cs="Open Sans"/>
        </w:rPr>
        <w:t>The Commission notes that the U</w:t>
      </w:r>
      <w:r w:rsidR="00FF612A" w:rsidRPr="002F2C55">
        <w:rPr>
          <w:rFonts w:cs="Open Sans"/>
        </w:rPr>
        <w:t xml:space="preserve">nited </w:t>
      </w:r>
      <w:r w:rsidRPr="002F2C55">
        <w:rPr>
          <w:rFonts w:cs="Open Sans"/>
        </w:rPr>
        <w:t>N</w:t>
      </w:r>
      <w:r w:rsidR="00FF612A" w:rsidRPr="002F2C55">
        <w:rPr>
          <w:rFonts w:cs="Open Sans"/>
        </w:rPr>
        <w:t>ations</w:t>
      </w:r>
      <w:r w:rsidRPr="002F2C55">
        <w:rPr>
          <w:rFonts w:cs="Open Sans"/>
        </w:rPr>
        <w:t xml:space="preserve"> Committee on the Rights of Persons with Disabilities has acknowledged that drug dependence or addiction may constitute a disability under international human rights law.</w:t>
      </w:r>
      <w:r w:rsidRPr="002F2C55">
        <w:rPr>
          <w:rStyle w:val="EndnoteReference"/>
          <w:rFonts w:cs="Open Sans"/>
        </w:rPr>
        <w:t xml:space="preserve"> </w:t>
      </w:r>
      <w:r w:rsidRPr="002F2C55">
        <w:rPr>
          <w:rStyle w:val="EndnoteReference"/>
          <w:rFonts w:cs="Open Sans"/>
        </w:rPr>
        <w:endnoteReference w:id="48"/>
      </w:r>
      <w:r w:rsidRPr="002F2C55">
        <w:rPr>
          <w:rFonts w:cs="Open Sans"/>
        </w:rPr>
        <w:t xml:space="preserve"> </w:t>
      </w:r>
    </w:p>
    <w:p w14:paraId="72915761" w14:textId="74ED9586" w:rsidR="00B160BA" w:rsidRPr="002F2C55" w:rsidRDefault="00B160BA" w:rsidP="00FC245C">
      <w:pPr>
        <w:pStyle w:val="ListParagraph"/>
        <w:numPr>
          <w:ilvl w:val="0"/>
          <w:numId w:val="16"/>
        </w:numPr>
        <w:rPr>
          <w:rFonts w:cs="Open Sans"/>
        </w:rPr>
      </w:pPr>
      <w:r w:rsidRPr="002F2C55">
        <w:rPr>
          <w:rFonts w:cs="Open Sans"/>
        </w:rPr>
        <w:t xml:space="preserve">If a drug dependence amounts to a disability, the right to social security must not be limited by way of discrimination due to that disability. The ESCR Committee has </w:t>
      </w:r>
      <w:r w:rsidR="00FF612A" w:rsidRPr="002F2C55">
        <w:rPr>
          <w:rFonts w:cs="Open Sans"/>
        </w:rPr>
        <w:t xml:space="preserve">also </w:t>
      </w:r>
      <w:r w:rsidRPr="002F2C55">
        <w:rPr>
          <w:rFonts w:cs="Open Sans"/>
        </w:rPr>
        <w:t>emphasised the importance of:</w:t>
      </w:r>
    </w:p>
    <w:p w14:paraId="4CD22185" w14:textId="77777777" w:rsidR="00B160BA" w:rsidRPr="002F2C55" w:rsidRDefault="00B160BA" w:rsidP="00B160BA">
      <w:pPr>
        <w:pStyle w:val="SubmissionNormal"/>
        <w:numPr>
          <w:ilvl w:val="0"/>
          <w:numId w:val="0"/>
        </w:numPr>
        <w:ind w:left="1440"/>
        <w:rPr>
          <w:rFonts w:cs="Open Sans"/>
        </w:rPr>
      </w:pPr>
      <w:r w:rsidRPr="002F2C55">
        <w:rPr>
          <w:rFonts w:cs="Open Sans"/>
          <w:sz w:val="22"/>
        </w:rPr>
        <w:t>…providing adequate income support to persons with disabilities who, owing to disability or disability-related factors, have temporarily lost, or received a reduction in, their income, have been denied employment opportunities or have a permanent disability.</w:t>
      </w:r>
      <w:r w:rsidRPr="002F2C55">
        <w:rPr>
          <w:rStyle w:val="EndnoteReference"/>
          <w:rFonts w:cs="Open Sans"/>
        </w:rPr>
        <w:endnoteReference w:id="49"/>
      </w:r>
    </w:p>
    <w:p w14:paraId="11CE0DC2" w14:textId="7B86358C" w:rsidR="00F479F3" w:rsidRPr="002F2C55" w:rsidRDefault="00F479F3" w:rsidP="00FC245C">
      <w:pPr>
        <w:pStyle w:val="ListParagraph"/>
        <w:numPr>
          <w:ilvl w:val="0"/>
          <w:numId w:val="16"/>
        </w:numPr>
        <w:rPr>
          <w:rFonts w:cs="Open Sans"/>
        </w:rPr>
      </w:pPr>
      <w:r w:rsidRPr="002F2C55">
        <w:rPr>
          <w:rFonts w:cs="Open Sans"/>
        </w:rPr>
        <w:t xml:space="preserve">The effect of the Bill is that drug treatment activities will form part of a person’s Job Plan, with punitive measures attaching to non-compliance. </w:t>
      </w:r>
      <w:r w:rsidRPr="002F2C55">
        <w:rPr>
          <w:rFonts w:cs="Open Sans"/>
        </w:rPr>
        <w:lastRenderedPageBreak/>
        <w:t>Further, recipients with a drug treatment activity in their Job Plan may still be required to undertake other mandatory activities, including job searches, depending on their circumstances.</w:t>
      </w:r>
    </w:p>
    <w:p w14:paraId="345CB9C4" w14:textId="6B196D98" w:rsidR="00B160BA" w:rsidRPr="002F2C55" w:rsidRDefault="00B160BA" w:rsidP="00FC245C">
      <w:pPr>
        <w:pStyle w:val="ListParagraph"/>
        <w:numPr>
          <w:ilvl w:val="0"/>
          <w:numId w:val="16"/>
        </w:numPr>
        <w:rPr>
          <w:rFonts w:cs="Open Sans"/>
        </w:rPr>
      </w:pPr>
      <w:r w:rsidRPr="002F2C55">
        <w:rPr>
          <w:rFonts w:cs="Open Sans"/>
        </w:rPr>
        <w:t xml:space="preserve"> </w:t>
      </w:r>
      <w:r w:rsidR="00EF079A" w:rsidRPr="002F2C55">
        <w:rPr>
          <w:rFonts w:cs="Open Sans"/>
        </w:rPr>
        <w:t>T</w:t>
      </w:r>
      <w:r w:rsidRPr="002F2C55">
        <w:rPr>
          <w:rFonts w:cs="Open Sans"/>
        </w:rPr>
        <w:t xml:space="preserve">he Commission </w:t>
      </w:r>
      <w:r w:rsidR="00257C2E" w:rsidRPr="002F2C55">
        <w:rPr>
          <w:rFonts w:cs="Open Sans"/>
        </w:rPr>
        <w:t>recommends</w:t>
      </w:r>
      <w:r w:rsidRPr="002F2C55">
        <w:rPr>
          <w:rFonts w:cs="Open Sans"/>
        </w:rPr>
        <w:t xml:space="preserve"> that drug dependency amounting to disability should be within the </w:t>
      </w:r>
      <w:r w:rsidR="00F90979" w:rsidRPr="002F2C55">
        <w:rPr>
          <w:rFonts w:cs="Open Sans"/>
        </w:rPr>
        <w:t>“</w:t>
      </w:r>
      <w:r w:rsidRPr="002F2C55">
        <w:rPr>
          <w:rFonts w:cs="Open Sans"/>
        </w:rPr>
        <w:t>reasonable excuse</w:t>
      </w:r>
      <w:r w:rsidR="00F90979" w:rsidRPr="002F2C55">
        <w:rPr>
          <w:rFonts w:cs="Open Sans"/>
        </w:rPr>
        <w:t>”</w:t>
      </w:r>
      <w:r w:rsidRPr="002F2C55">
        <w:rPr>
          <w:rFonts w:cs="Open Sans"/>
        </w:rPr>
        <w:t xml:space="preserve"> provisions.</w:t>
      </w:r>
      <w:r w:rsidR="00F479F3" w:rsidRPr="002F2C55">
        <w:rPr>
          <w:rFonts w:cs="Open Sans"/>
        </w:rPr>
        <w:t xml:space="preserve"> </w:t>
      </w:r>
    </w:p>
    <w:p w14:paraId="065F0A8B" w14:textId="0A21D454" w:rsidR="00B41ADB" w:rsidRPr="002F2C55" w:rsidRDefault="00B41ADB" w:rsidP="00024CDA">
      <w:pPr>
        <w:pStyle w:val="SubmissionNormal"/>
        <w:numPr>
          <w:ilvl w:val="0"/>
          <w:numId w:val="43"/>
        </w:numPr>
        <w:rPr>
          <w:rFonts w:cs="Open Sans"/>
        </w:rPr>
      </w:pPr>
      <w:bookmarkStart w:id="48" w:name="_Hlk20488077"/>
      <w:r w:rsidRPr="002F2C55">
        <w:rPr>
          <w:rFonts w:cs="Open Sans"/>
          <w:b/>
        </w:rPr>
        <w:t>In the event that the Social Services Legislation Amendment (Drug Testing Trial) Bill 201</w:t>
      </w:r>
      <w:r w:rsidR="00257C2E" w:rsidRPr="002F2C55">
        <w:rPr>
          <w:rFonts w:cs="Open Sans"/>
          <w:b/>
        </w:rPr>
        <w:t>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 the</w:t>
      </w:r>
      <w:r w:rsidR="00257C2E" w:rsidRPr="002F2C55">
        <w:rPr>
          <w:rFonts w:cs="Open Sans"/>
          <w:b/>
        </w:rPr>
        <w:t xml:space="preserve"> applicable</w:t>
      </w:r>
      <w:r w:rsidRPr="002F2C55">
        <w:rPr>
          <w:rFonts w:cs="Open Sans"/>
          <w:b/>
        </w:rPr>
        <w:t xml:space="preserve"> </w:t>
      </w:r>
      <w:r w:rsidR="00F90979" w:rsidRPr="002F2C55">
        <w:rPr>
          <w:rFonts w:cs="Open Sans"/>
          <w:b/>
        </w:rPr>
        <w:t>“</w:t>
      </w:r>
      <w:r w:rsidRPr="002F2C55">
        <w:rPr>
          <w:rFonts w:cs="Open Sans"/>
          <w:b/>
        </w:rPr>
        <w:t>reasonable excuse</w:t>
      </w:r>
      <w:r w:rsidR="00F90979" w:rsidRPr="002F2C55">
        <w:rPr>
          <w:rFonts w:cs="Open Sans"/>
          <w:b/>
        </w:rPr>
        <w:t>”</w:t>
      </w:r>
      <w:r w:rsidRPr="002F2C55">
        <w:rPr>
          <w:rFonts w:cs="Open Sans"/>
          <w:b/>
        </w:rPr>
        <w:t xml:space="preserve"> provisions should </w:t>
      </w:r>
      <w:r w:rsidR="005A057E" w:rsidRPr="002F2C55">
        <w:rPr>
          <w:rFonts w:cs="Open Sans"/>
          <w:b/>
        </w:rPr>
        <w:t>appropriately recognise</w:t>
      </w:r>
      <w:r w:rsidRPr="002F2C55">
        <w:rPr>
          <w:rFonts w:cs="Open Sans"/>
          <w:b/>
        </w:rPr>
        <w:t xml:space="preserve"> drug dependency that amounts to a disability under international human rights law. </w:t>
      </w:r>
    </w:p>
    <w:p w14:paraId="01C484F3" w14:textId="49A907AA" w:rsidR="00F811D0" w:rsidRPr="002F2C55" w:rsidRDefault="00F811D0" w:rsidP="00FB7861">
      <w:pPr>
        <w:pStyle w:val="Heading3"/>
        <w:rPr>
          <w:rFonts w:cs="Open Sans"/>
          <w:lang w:val="en-US"/>
        </w:rPr>
      </w:pPr>
      <w:bookmarkStart w:id="49" w:name="_Toc20838319"/>
      <w:bookmarkEnd w:id="48"/>
      <w:r w:rsidRPr="002F2C55">
        <w:rPr>
          <w:rFonts w:cs="Open Sans"/>
          <w:lang w:val="en-US"/>
        </w:rPr>
        <w:t>Young people and children</w:t>
      </w:r>
      <w:bookmarkEnd w:id="49"/>
    </w:p>
    <w:p w14:paraId="66B8CCBF" w14:textId="77777777" w:rsidR="008F6B81" w:rsidRPr="002F2C55" w:rsidRDefault="008F6B81" w:rsidP="00FC245C">
      <w:pPr>
        <w:pStyle w:val="ListParagraph"/>
        <w:numPr>
          <w:ilvl w:val="0"/>
          <w:numId w:val="16"/>
        </w:numPr>
        <w:rPr>
          <w:rFonts w:cs="Open Sans"/>
          <w:lang w:val="en-US"/>
        </w:rPr>
      </w:pPr>
      <w:r w:rsidRPr="002F2C55">
        <w:rPr>
          <w:rFonts w:cs="Open Sans"/>
          <w:lang w:val="en-US"/>
        </w:rPr>
        <w:t xml:space="preserve">The Commission notes that the trial targets recipients of Youth Allowance (other) payments (as well as Newstart recipients), limiting the right of children and young people to social security. </w:t>
      </w:r>
    </w:p>
    <w:p w14:paraId="693E4E2B" w14:textId="6A4B52EA" w:rsidR="008F6B81" w:rsidRPr="002F2C55" w:rsidRDefault="008F6B81" w:rsidP="00FC245C">
      <w:pPr>
        <w:pStyle w:val="ListParagraph"/>
        <w:numPr>
          <w:ilvl w:val="0"/>
          <w:numId w:val="16"/>
        </w:numPr>
        <w:rPr>
          <w:rFonts w:cs="Open Sans"/>
          <w:lang w:val="en-US"/>
        </w:rPr>
      </w:pPr>
      <w:r w:rsidRPr="002F2C55">
        <w:rPr>
          <w:rFonts w:cs="Open Sans"/>
          <w:lang w:val="en-US"/>
        </w:rPr>
        <w:t>Youth Allowance (other) is an income support payment for means tested jobseekers aged 16 to 21 years old, who are looking for work or undertaking other approved activities to improve their employment prospects.</w:t>
      </w:r>
      <w:r w:rsidRPr="002F2C55">
        <w:rPr>
          <w:rStyle w:val="EndnoteReference"/>
          <w:rFonts w:cs="Open Sans"/>
          <w:lang w:val="en-US"/>
        </w:rPr>
        <w:endnoteReference w:id="50"/>
      </w:r>
      <w:r w:rsidRPr="002F2C55">
        <w:rPr>
          <w:rFonts w:cs="Open Sans"/>
          <w:lang w:val="en-US"/>
        </w:rPr>
        <w:t xml:space="preserve"> Further, a 15 year old can qualify if they are independent and have reached minimum school leaver age in their state or territory.</w:t>
      </w:r>
    </w:p>
    <w:p w14:paraId="1649BFA9" w14:textId="526A76F2" w:rsidR="008F6B81" w:rsidRPr="002F2C55" w:rsidRDefault="008F6B81" w:rsidP="00FC245C">
      <w:pPr>
        <w:pStyle w:val="ListParagraph"/>
        <w:numPr>
          <w:ilvl w:val="0"/>
          <w:numId w:val="16"/>
        </w:numPr>
        <w:rPr>
          <w:rFonts w:cs="Open Sans"/>
          <w:lang w:val="en-US"/>
        </w:rPr>
      </w:pPr>
      <w:r w:rsidRPr="002F2C55">
        <w:rPr>
          <w:rFonts w:cs="Open Sans"/>
          <w:lang w:val="en-US"/>
        </w:rPr>
        <w:t xml:space="preserve">The Commission is particularly concerned about the targeting of this program to children as young as 15 years of age, and the adverse impacts of punitive conditional welfare on children and young people generally. These measures, where resulting in </w:t>
      </w:r>
      <w:r w:rsidR="00D9664B" w:rsidRPr="002F2C55">
        <w:rPr>
          <w:rFonts w:cs="Open Sans"/>
          <w:lang w:val="en-US"/>
        </w:rPr>
        <w:t xml:space="preserve">mandatory </w:t>
      </w:r>
      <w:r w:rsidRPr="002F2C55">
        <w:rPr>
          <w:rFonts w:cs="Open Sans"/>
          <w:lang w:val="en-US"/>
        </w:rPr>
        <w:t xml:space="preserve">drug testing, </w:t>
      </w:r>
      <w:r w:rsidR="00D9664B" w:rsidRPr="002F2C55">
        <w:rPr>
          <w:rFonts w:cs="Open Sans"/>
          <w:lang w:val="en-US"/>
        </w:rPr>
        <w:t xml:space="preserve">mandatory </w:t>
      </w:r>
      <w:r w:rsidRPr="002F2C55">
        <w:rPr>
          <w:rFonts w:cs="Open Sans"/>
          <w:lang w:val="en-US"/>
        </w:rPr>
        <w:t xml:space="preserve">medical treatment, and/or payment reductions, suspensions or cancellations, could seriously </w:t>
      </w:r>
      <w:r w:rsidR="00AA0271" w:rsidRPr="002F2C55">
        <w:rPr>
          <w:rFonts w:cs="Open Sans"/>
          <w:lang w:val="en-US"/>
        </w:rPr>
        <w:t xml:space="preserve">affect </w:t>
      </w:r>
      <w:r w:rsidRPr="002F2C55">
        <w:rPr>
          <w:rFonts w:cs="Open Sans"/>
          <w:lang w:val="en-US"/>
        </w:rPr>
        <w:t xml:space="preserve">a child’s best interests in a way that </w:t>
      </w:r>
      <w:r w:rsidR="00EA5417" w:rsidRPr="002F2C55">
        <w:rPr>
          <w:rFonts w:cs="Open Sans"/>
          <w:lang w:val="en-US"/>
        </w:rPr>
        <w:t>adversely impacts</w:t>
      </w:r>
      <w:r w:rsidRPr="002F2C55">
        <w:rPr>
          <w:rFonts w:cs="Open Sans"/>
          <w:lang w:val="en-US"/>
        </w:rPr>
        <w:t xml:space="preserve"> their human rights.</w:t>
      </w:r>
    </w:p>
    <w:p w14:paraId="264A696C" w14:textId="6783A998" w:rsidR="008F6B81" w:rsidRPr="002F2C55" w:rsidRDefault="008F6B81" w:rsidP="00FC245C">
      <w:pPr>
        <w:pStyle w:val="ListParagraph"/>
        <w:numPr>
          <w:ilvl w:val="0"/>
          <w:numId w:val="16"/>
        </w:numPr>
        <w:rPr>
          <w:rFonts w:cs="Open Sans"/>
          <w:lang w:val="en-US"/>
        </w:rPr>
      </w:pPr>
      <w:r w:rsidRPr="002F2C55">
        <w:rPr>
          <w:rFonts w:cs="Open Sans"/>
          <w:lang w:val="en-US"/>
        </w:rPr>
        <w:t>These concerns are compounded with respect to children and young people experiencing intersectional disadvantage or complex circumstances, such as children with disability (including where drug or alcohol dependency constitutes a disability), who are homeless, who are facing mental health challenges or experiencing domestic violence.</w:t>
      </w:r>
      <w:r w:rsidR="00474A86" w:rsidRPr="002F2C55">
        <w:rPr>
          <w:rFonts w:cs="Open Sans"/>
          <w:lang w:val="en-US"/>
        </w:rPr>
        <w:t xml:space="preserve"> </w:t>
      </w:r>
    </w:p>
    <w:p w14:paraId="0FBB2276" w14:textId="08402E96" w:rsidR="008F6B81" w:rsidRPr="002F2C55" w:rsidRDefault="008F6B81" w:rsidP="00FC245C">
      <w:pPr>
        <w:pStyle w:val="ListParagraph"/>
        <w:numPr>
          <w:ilvl w:val="0"/>
          <w:numId w:val="16"/>
        </w:numPr>
        <w:rPr>
          <w:rFonts w:cs="Open Sans"/>
          <w:lang w:val="en-US"/>
        </w:rPr>
      </w:pPr>
      <w:r w:rsidRPr="002F2C55">
        <w:rPr>
          <w:rFonts w:cs="Open Sans"/>
          <w:lang w:val="en-US"/>
        </w:rPr>
        <w:t xml:space="preserve">Further, children of recipients of Youth Allowance and Newstart may also be adversely </w:t>
      </w:r>
      <w:r w:rsidR="00AA0271" w:rsidRPr="002F2C55">
        <w:rPr>
          <w:rFonts w:cs="Open Sans"/>
          <w:lang w:val="en-US"/>
        </w:rPr>
        <w:t xml:space="preserve">affected </w:t>
      </w:r>
      <w:r w:rsidRPr="002F2C55">
        <w:rPr>
          <w:rFonts w:cs="Open Sans"/>
          <w:lang w:val="en-US"/>
        </w:rPr>
        <w:t xml:space="preserve">by the suspension or cancellation of their parent’s benefits, through no fault of their own. While these benefits comprise </w:t>
      </w:r>
      <w:r w:rsidRPr="002F2C55">
        <w:rPr>
          <w:rFonts w:cs="Open Sans"/>
          <w:lang w:val="en-US"/>
        </w:rPr>
        <w:lastRenderedPageBreak/>
        <w:t xml:space="preserve">income support for the relevant person, as a parent these benefits may be used to pay for rent, food, and utility bills, phone bills, and other basic needs of a family. The adverse impacts on a person’s standard of living will extend to their </w:t>
      </w:r>
      <w:proofErr w:type="spellStart"/>
      <w:r w:rsidR="00D76127" w:rsidRPr="002F2C55">
        <w:rPr>
          <w:rFonts w:cs="Open Sans"/>
          <w:lang w:val="en-US"/>
        </w:rPr>
        <w:t>dependant</w:t>
      </w:r>
      <w:proofErr w:type="spellEnd"/>
      <w:r w:rsidR="00D76127" w:rsidRPr="002F2C55">
        <w:rPr>
          <w:rFonts w:cs="Open Sans"/>
          <w:lang w:val="en-US"/>
        </w:rPr>
        <w:t xml:space="preserve"> </w:t>
      </w:r>
      <w:r w:rsidRPr="002F2C55">
        <w:rPr>
          <w:rFonts w:cs="Open Sans"/>
          <w:lang w:val="en-US"/>
        </w:rPr>
        <w:t xml:space="preserve">children or other </w:t>
      </w:r>
      <w:r w:rsidR="00AA0271" w:rsidRPr="002F2C55">
        <w:rPr>
          <w:rFonts w:cs="Open Sans"/>
          <w:lang w:val="en-US"/>
        </w:rPr>
        <w:t>dependants</w:t>
      </w:r>
      <w:r w:rsidRPr="002F2C55">
        <w:rPr>
          <w:rFonts w:cs="Open Sans"/>
          <w:lang w:val="en-US"/>
        </w:rPr>
        <w:t>.</w:t>
      </w:r>
    </w:p>
    <w:p w14:paraId="19FA4E03" w14:textId="7667063C" w:rsidR="004B2AF7" w:rsidRPr="002F2C55" w:rsidRDefault="00B91DD0" w:rsidP="00FC245C">
      <w:pPr>
        <w:pStyle w:val="ListParagraph"/>
        <w:numPr>
          <w:ilvl w:val="0"/>
          <w:numId w:val="16"/>
        </w:numPr>
        <w:rPr>
          <w:rFonts w:cs="Open Sans"/>
          <w:lang w:val="en-US"/>
        </w:rPr>
      </w:pPr>
      <w:bookmarkStart w:id="50" w:name="_Hlk20823311"/>
      <w:r w:rsidRPr="002F2C55">
        <w:rPr>
          <w:rFonts w:cs="Open Sans"/>
          <w:lang w:val="en-US"/>
        </w:rPr>
        <w:t xml:space="preserve">Given the </w:t>
      </w:r>
      <w:r w:rsidR="00AD2A3C" w:rsidRPr="002F2C55">
        <w:rPr>
          <w:rFonts w:cs="Open Sans"/>
        </w:rPr>
        <w:t>special needs of children for safeguards, care and protection, and the importance of the best interests of the child,</w:t>
      </w:r>
      <w:r w:rsidR="00AD2A3C" w:rsidRPr="002F2C55">
        <w:rPr>
          <w:rFonts w:cs="Open Sans"/>
          <w:lang w:val="en-US"/>
        </w:rPr>
        <w:t xml:space="preserve"> t</w:t>
      </w:r>
      <w:r w:rsidR="00C7159A" w:rsidRPr="002F2C55">
        <w:rPr>
          <w:rFonts w:cs="Open Sans"/>
          <w:lang w:val="en-US"/>
        </w:rPr>
        <w:t xml:space="preserve">he Commission </w:t>
      </w:r>
      <w:r w:rsidR="00AD2A3C" w:rsidRPr="002F2C55">
        <w:rPr>
          <w:rFonts w:cs="Open Sans"/>
          <w:lang w:val="en-US"/>
        </w:rPr>
        <w:t xml:space="preserve">recommends </w:t>
      </w:r>
      <w:r w:rsidR="00C7159A" w:rsidRPr="002F2C55">
        <w:rPr>
          <w:rFonts w:cs="Open Sans"/>
          <w:lang w:val="en-US"/>
        </w:rPr>
        <w:t xml:space="preserve">that the application of </w:t>
      </w:r>
      <w:r w:rsidR="0056289E" w:rsidRPr="002F2C55">
        <w:rPr>
          <w:rFonts w:cs="Open Sans"/>
          <w:lang w:val="en-US"/>
        </w:rPr>
        <w:t xml:space="preserve">the trial should only apply to </w:t>
      </w:r>
      <w:r w:rsidR="008849AB" w:rsidRPr="002F2C55">
        <w:rPr>
          <w:rFonts w:cs="Open Sans"/>
          <w:lang w:val="en-US"/>
        </w:rPr>
        <w:t>children with their consent</w:t>
      </w:r>
      <w:r w:rsidR="00AD2A3C" w:rsidRPr="002F2C55">
        <w:rPr>
          <w:rFonts w:cs="Open Sans"/>
          <w:lang w:val="en-US"/>
        </w:rPr>
        <w:t xml:space="preserve">. </w:t>
      </w:r>
      <w:r w:rsidR="004B2AF7" w:rsidRPr="002F2C55">
        <w:rPr>
          <w:rFonts w:cs="Open Sans"/>
          <w:lang w:val="en-US"/>
        </w:rPr>
        <w:t xml:space="preserve">For example, </w:t>
      </w:r>
      <w:r w:rsidR="00A4298B" w:rsidRPr="002F2C55">
        <w:rPr>
          <w:rFonts w:cs="Open Sans"/>
          <w:lang w:val="en-US"/>
        </w:rPr>
        <w:t xml:space="preserve">informed </w:t>
      </w:r>
      <w:r w:rsidR="004B2AF7" w:rsidRPr="002F2C55">
        <w:rPr>
          <w:rFonts w:cs="Open Sans"/>
          <w:lang w:val="en-US"/>
        </w:rPr>
        <w:t xml:space="preserve">consent from Gillick competent </w:t>
      </w:r>
      <w:r w:rsidR="00A4298B" w:rsidRPr="002F2C55">
        <w:rPr>
          <w:rFonts w:cs="Open Sans"/>
          <w:lang w:val="en-US"/>
        </w:rPr>
        <w:t>children and young people</w:t>
      </w:r>
      <w:r w:rsidR="004B2AF7" w:rsidRPr="002F2C55">
        <w:rPr>
          <w:rFonts w:cs="Open Sans"/>
          <w:lang w:val="en-US"/>
        </w:rPr>
        <w:t xml:space="preserve">, or consent on their behalf from </w:t>
      </w:r>
      <w:r w:rsidR="00A4298B" w:rsidRPr="002F2C55">
        <w:rPr>
          <w:rFonts w:cs="Open Sans"/>
          <w:lang w:val="en-US"/>
        </w:rPr>
        <w:t>a</w:t>
      </w:r>
      <w:r w:rsidR="004B2AF7" w:rsidRPr="002F2C55">
        <w:rPr>
          <w:rFonts w:cs="Open Sans"/>
          <w:lang w:val="en-US"/>
        </w:rPr>
        <w:t xml:space="preserve"> parent or guardian, </w:t>
      </w:r>
      <w:r w:rsidR="00A4298B" w:rsidRPr="002F2C55">
        <w:rPr>
          <w:rFonts w:cs="Open Sans"/>
          <w:lang w:val="en-US"/>
        </w:rPr>
        <w:t>as appropriate in</w:t>
      </w:r>
      <w:r w:rsidR="004B2AF7" w:rsidRPr="002F2C55">
        <w:rPr>
          <w:rFonts w:cs="Open Sans"/>
          <w:lang w:val="en-US"/>
        </w:rPr>
        <w:t xml:space="preserve"> the relevant circumstances. </w:t>
      </w:r>
    </w:p>
    <w:p w14:paraId="019BED18" w14:textId="1D2B1CBD" w:rsidR="00464222" w:rsidRPr="002F2C55" w:rsidRDefault="00AD2A3C" w:rsidP="00FC245C">
      <w:pPr>
        <w:pStyle w:val="ListParagraph"/>
        <w:numPr>
          <w:ilvl w:val="0"/>
          <w:numId w:val="16"/>
        </w:numPr>
        <w:rPr>
          <w:rFonts w:cs="Open Sans"/>
          <w:lang w:val="en-US"/>
        </w:rPr>
      </w:pPr>
      <w:r w:rsidRPr="002F2C55">
        <w:rPr>
          <w:rFonts w:cs="Open Sans"/>
          <w:lang w:val="en-US"/>
        </w:rPr>
        <w:t xml:space="preserve">If this recommendation is not accepted, Services Australia should be required to consider in advance whether or not to apply the trial </w:t>
      </w:r>
      <w:r w:rsidR="00B24BF7" w:rsidRPr="002F2C55">
        <w:rPr>
          <w:rFonts w:cs="Open Sans"/>
          <w:lang w:val="en-US"/>
        </w:rPr>
        <w:t xml:space="preserve">to </w:t>
      </w:r>
      <w:r w:rsidRPr="002F2C55">
        <w:rPr>
          <w:rFonts w:cs="Open Sans"/>
          <w:lang w:val="en-US"/>
        </w:rPr>
        <w:t>a relevant child or young person on a case-by-case basis, in particular with respect to relevant welfare recipients under the age of 18, with the best interests of the child constituting the primary consideration.</w:t>
      </w:r>
    </w:p>
    <w:bookmarkEnd w:id="50"/>
    <w:p w14:paraId="493CD917" w14:textId="69671212" w:rsidR="008C4001" w:rsidRPr="002F2C55" w:rsidRDefault="00144021" w:rsidP="00024CDA">
      <w:pPr>
        <w:pStyle w:val="SubmissionNormal"/>
        <w:numPr>
          <w:ilvl w:val="0"/>
          <w:numId w:val="43"/>
        </w:numPr>
        <w:rPr>
          <w:rFonts w:cs="Open Sans"/>
        </w:rPr>
      </w:pPr>
      <w:r w:rsidRPr="002F2C55">
        <w:rPr>
          <w:rFonts w:cs="Open Sans"/>
          <w:b/>
        </w:rPr>
        <w:t>Should Recommendation 2 not be accepted,</w:t>
      </w:r>
      <w:r w:rsidR="008C4001" w:rsidRPr="002F2C55">
        <w:rPr>
          <w:rFonts w:cs="Open Sans"/>
          <w:b/>
        </w:rPr>
        <w:t xml:space="preserve"> application of the trial with respect to welfare recipients under the age of 18 should only occur with their voluntary consent</w:t>
      </w:r>
      <w:r w:rsidR="00A92392" w:rsidRPr="002F2C55">
        <w:rPr>
          <w:rFonts w:cs="Open Sans"/>
          <w:b/>
        </w:rPr>
        <w:t>,</w:t>
      </w:r>
      <w:r w:rsidR="008C4001" w:rsidRPr="002F2C55">
        <w:rPr>
          <w:rFonts w:cs="Open Sans"/>
          <w:b/>
        </w:rPr>
        <w:t xml:space="preserve"> rather than being mandatory. </w:t>
      </w:r>
    </w:p>
    <w:p w14:paraId="0AD28326" w14:textId="3CB31B56" w:rsidR="0014019A" w:rsidRPr="002F2C55" w:rsidRDefault="00A92392" w:rsidP="00024CDA">
      <w:pPr>
        <w:pStyle w:val="SubmissionNormal"/>
        <w:numPr>
          <w:ilvl w:val="0"/>
          <w:numId w:val="43"/>
        </w:numPr>
        <w:rPr>
          <w:rFonts w:cs="Open Sans"/>
        </w:rPr>
      </w:pPr>
      <w:r w:rsidRPr="002F2C55">
        <w:rPr>
          <w:rFonts w:cs="Open Sans"/>
          <w:b/>
        </w:rPr>
        <w:t xml:space="preserve">Should </w:t>
      </w:r>
      <w:r w:rsidR="004944AD" w:rsidRPr="002F2C55">
        <w:rPr>
          <w:rFonts w:cs="Open Sans"/>
          <w:b/>
        </w:rPr>
        <w:t>R</w:t>
      </w:r>
      <w:r w:rsidRPr="002F2C55">
        <w:rPr>
          <w:rFonts w:cs="Open Sans"/>
          <w:b/>
        </w:rPr>
        <w:t xml:space="preserve">ecommendation </w:t>
      </w:r>
      <w:r w:rsidR="00EA5417" w:rsidRPr="002F2C55">
        <w:rPr>
          <w:rFonts w:cs="Open Sans"/>
          <w:b/>
        </w:rPr>
        <w:t>9</w:t>
      </w:r>
      <w:r w:rsidRPr="002F2C55">
        <w:rPr>
          <w:rFonts w:cs="Open Sans"/>
          <w:b/>
        </w:rPr>
        <w:t xml:space="preserve"> not be accepted</w:t>
      </w:r>
      <w:r w:rsidR="0014019A" w:rsidRPr="002F2C55">
        <w:rPr>
          <w:rFonts w:cs="Open Sans"/>
          <w:b/>
        </w:rPr>
        <w:t xml:space="preserve">, </w:t>
      </w:r>
      <w:bookmarkStart w:id="51" w:name="_Hlk20489095"/>
      <w:r w:rsidR="003E11B5" w:rsidRPr="002F2C55">
        <w:rPr>
          <w:rFonts w:cs="Open Sans"/>
          <w:b/>
        </w:rPr>
        <w:t>Services Australia should be required to consider in a</w:t>
      </w:r>
      <w:r w:rsidR="00D6477E" w:rsidRPr="002F2C55">
        <w:rPr>
          <w:rFonts w:cs="Open Sans"/>
          <w:b/>
        </w:rPr>
        <w:t>dvance whether or not to</w:t>
      </w:r>
      <w:r w:rsidR="00A047C1" w:rsidRPr="002F2C55">
        <w:rPr>
          <w:rFonts w:cs="Open Sans"/>
          <w:b/>
        </w:rPr>
        <w:t xml:space="preserve"> appl</w:t>
      </w:r>
      <w:r w:rsidR="00D6477E" w:rsidRPr="002F2C55">
        <w:rPr>
          <w:rFonts w:cs="Open Sans"/>
          <w:b/>
        </w:rPr>
        <w:t>y</w:t>
      </w:r>
      <w:r w:rsidR="00A047C1" w:rsidRPr="002F2C55">
        <w:rPr>
          <w:rFonts w:cs="Open Sans"/>
          <w:b/>
        </w:rPr>
        <w:t xml:space="preserve"> the trial</w:t>
      </w:r>
      <w:r w:rsidR="00D6477E" w:rsidRPr="002F2C55">
        <w:rPr>
          <w:rFonts w:cs="Open Sans"/>
          <w:b/>
        </w:rPr>
        <w:t xml:space="preserve"> </w:t>
      </w:r>
      <w:r w:rsidR="00B24BF7" w:rsidRPr="002F2C55">
        <w:rPr>
          <w:rFonts w:cs="Open Sans"/>
          <w:b/>
        </w:rPr>
        <w:t xml:space="preserve">to </w:t>
      </w:r>
      <w:r w:rsidR="00D6477E" w:rsidRPr="002F2C55">
        <w:rPr>
          <w:rFonts w:cs="Open Sans"/>
          <w:b/>
        </w:rPr>
        <w:t>a relevant</w:t>
      </w:r>
      <w:r w:rsidR="00A047C1" w:rsidRPr="002F2C55">
        <w:rPr>
          <w:rFonts w:cs="Open Sans"/>
          <w:b/>
        </w:rPr>
        <w:t xml:space="preserve"> </w:t>
      </w:r>
      <w:r w:rsidR="009A00E9" w:rsidRPr="002F2C55">
        <w:rPr>
          <w:rFonts w:cs="Open Sans"/>
          <w:b/>
        </w:rPr>
        <w:t>child</w:t>
      </w:r>
      <w:r w:rsidR="00D6477E" w:rsidRPr="002F2C55">
        <w:rPr>
          <w:rFonts w:cs="Open Sans"/>
          <w:b/>
        </w:rPr>
        <w:t xml:space="preserve"> or</w:t>
      </w:r>
      <w:r w:rsidR="009A00E9" w:rsidRPr="002F2C55">
        <w:rPr>
          <w:rFonts w:cs="Open Sans"/>
          <w:b/>
        </w:rPr>
        <w:t xml:space="preserve"> young pe</w:t>
      </w:r>
      <w:r w:rsidR="00D6477E" w:rsidRPr="002F2C55">
        <w:rPr>
          <w:rFonts w:cs="Open Sans"/>
          <w:b/>
        </w:rPr>
        <w:t>rson on a case-by-case basis</w:t>
      </w:r>
      <w:r w:rsidR="009A00E9" w:rsidRPr="002F2C55">
        <w:rPr>
          <w:rFonts w:cs="Open Sans"/>
          <w:b/>
        </w:rPr>
        <w:t>, in particular</w:t>
      </w:r>
      <w:r w:rsidR="00D6477E" w:rsidRPr="002F2C55">
        <w:rPr>
          <w:rFonts w:cs="Open Sans"/>
          <w:b/>
        </w:rPr>
        <w:t xml:space="preserve"> with respect to </w:t>
      </w:r>
      <w:r w:rsidR="009A00E9" w:rsidRPr="002F2C55">
        <w:rPr>
          <w:rFonts w:cs="Open Sans"/>
          <w:b/>
        </w:rPr>
        <w:t>welfare recipients under the age of 18</w:t>
      </w:r>
      <w:r w:rsidR="00C51DBB" w:rsidRPr="002F2C55">
        <w:rPr>
          <w:rFonts w:cs="Open Sans"/>
          <w:b/>
        </w:rPr>
        <w:t xml:space="preserve"> years old</w:t>
      </w:r>
      <w:r w:rsidR="009A00E9" w:rsidRPr="002F2C55">
        <w:rPr>
          <w:rFonts w:cs="Open Sans"/>
          <w:b/>
        </w:rPr>
        <w:t xml:space="preserve">, </w:t>
      </w:r>
      <w:r w:rsidR="00A76C9E" w:rsidRPr="002F2C55">
        <w:rPr>
          <w:rFonts w:cs="Open Sans"/>
          <w:b/>
        </w:rPr>
        <w:t xml:space="preserve">with the </w:t>
      </w:r>
      <w:r w:rsidR="00A047C1" w:rsidRPr="002F2C55">
        <w:rPr>
          <w:rFonts w:cs="Open Sans"/>
          <w:b/>
        </w:rPr>
        <w:t xml:space="preserve">best interests of the child </w:t>
      </w:r>
      <w:r w:rsidR="00A76C9E" w:rsidRPr="002F2C55">
        <w:rPr>
          <w:rFonts w:cs="Open Sans"/>
          <w:b/>
        </w:rPr>
        <w:t>constituting the primary consideration</w:t>
      </w:r>
      <w:r w:rsidR="0014019A" w:rsidRPr="002F2C55">
        <w:rPr>
          <w:rFonts w:cs="Open Sans"/>
          <w:b/>
        </w:rPr>
        <w:t xml:space="preserve">. </w:t>
      </w:r>
      <w:bookmarkEnd w:id="51"/>
    </w:p>
    <w:p w14:paraId="72B0B977" w14:textId="5BAB8B0E" w:rsidR="00B160BA" w:rsidRPr="002F2C55" w:rsidRDefault="00B160BA" w:rsidP="00B160BA">
      <w:pPr>
        <w:pStyle w:val="Heading2"/>
        <w:rPr>
          <w:rFonts w:cs="Open Sans"/>
        </w:rPr>
      </w:pPr>
      <w:bookmarkStart w:id="52" w:name="_Toc511058684"/>
      <w:bookmarkStart w:id="53" w:name="_Toc511221403"/>
      <w:bookmarkStart w:id="54" w:name="_Toc20838320"/>
      <w:bookmarkEnd w:id="52"/>
      <w:r w:rsidRPr="002F2C55">
        <w:rPr>
          <w:rFonts w:cs="Open Sans"/>
        </w:rPr>
        <w:t>Privacy and confidentiality</w:t>
      </w:r>
      <w:bookmarkEnd w:id="54"/>
    </w:p>
    <w:p w14:paraId="5CF24607" w14:textId="576B9DC5" w:rsidR="003616F8" w:rsidRPr="002F2C55" w:rsidRDefault="00E71B5B" w:rsidP="00FC245C">
      <w:pPr>
        <w:pStyle w:val="ListParagraph"/>
        <w:numPr>
          <w:ilvl w:val="0"/>
          <w:numId w:val="16"/>
        </w:numPr>
        <w:rPr>
          <w:rFonts w:cs="Open Sans"/>
          <w:lang w:val="en-US"/>
        </w:rPr>
      </w:pPr>
      <w:r w:rsidRPr="002F2C55">
        <w:rPr>
          <w:rFonts w:cs="Open Sans"/>
        </w:rPr>
        <w:t xml:space="preserve">The Commission notes that the Bill </w:t>
      </w:r>
      <w:r w:rsidR="00B43B0C" w:rsidRPr="002F2C55">
        <w:rPr>
          <w:rFonts w:cs="Open Sans"/>
        </w:rPr>
        <w:t xml:space="preserve">and the explanatory materials </w:t>
      </w:r>
      <w:r w:rsidRPr="002F2C55">
        <w:rPr>
          <w:rFonts w:cs="Open Sans"/>
        </w:rPr>
        <w:t xml:space="preserve">do not </w:t>
      </w:r>
      <w:r w:rsidRPr="002F2C55">
        <w:rPr>
          <w:rFonts w:cs="Open Sans"/>
          <w:lang w:val="en-US"/>
        </w:rPr>
        <w:t xml:space="preserve">specify how </w:t>
      </w:r>
      <w:r w:rsidR="00B43B0C" w:rsidRPr="002F2C55">
        <w:rPr>
          <w:rFonts w:cs="Open Sans"/>
          <w:lang w:val="en-US"/>
        </w:rPr>
        <w:t xml:space="preserve">sensitive </w:t>
      </w:r>
      <w:r w:rsidRPr="002F2C55">
        <w:rPr>
          <w:rFonts w:cs="Open Sans"/>
          <w:lang w:val="en-US"/>
        </w:rPr>
        <w:t xml:space="preserve">personal information </w:t>
      </w:r>
      <w:r w:rsidR="001D3CAB" w:rsidRPr="002F2C55">
        <w:rPr>
          <w:rFonts w:cs="Open Sans"/>
          <w:lang w:val="en-US"/>
        </w:rPr>
        <w:t>gathered in relation to the trial, including drug</w:t>
      </w:r>
      <w:r w:rsidRPr="002F2C55">
        <w:rPr>
          <w:rFonts w:cs="Open Sans"/>
          <w:lang w:val="en-US"/>
        </w:rPr>
        <w:t xml:space="preserve"> test results</w:t>
      </w:r>
      <w:r w:rsidR="001D3CAB" w:rsidRPr="002F2C55">
        <w:rPr>
          <w:rFonts w:cs="Open Sans"/>
          <w:lang w:val="en-US"/>
        </w:rPr>
        <w:t>,</w:t>
      </w:r>
      <w:r w:rsidRPr="002F2C55">
        <w:rPr>
          <w:rFonts w:cs="Open Sans"/>
          <w:lang w:val="en-US"/>
        </w:rPr>
        <w:t xml:space="preserve"> will be </w:t>
      </w:r>
      <w:r w:rsidR="00B43B0C" w:rsidRPr="002F2C55">
        <w:rPr>
          <w:rFonts w:cs="Open Sans"/>
          <w:lang w:val="en-US"/>
        </w:rPr>
        <w:t>able to be used or disclosed</w:t>
      </w:r>
      <w:r w:rsidR="00661305" w:rsidRPr="002F2C55">
        <w:rPr>
          <w:rFonts w:cs="Open Sans"/>
          <w:lang w:val="en-US"/>
        </w:rPr>
        <w:t>, or measures that will be applied to ensure confidentiality and the security of the information.</w:t>
      </w:r>
    </w:p>
    <w:p w14:paraId="6B6F293B" w14:textId="5F301FF8" w:rsidR="00E71B5B" w:rsidRPr="002F2C55" w:rsidRDefault="00E71B5B" w:rsidP="00FC245C">
      <w:pPr>
        <w:pStyle w:val="ListParagraph"/>
        <w:numPr>
          <w:ilvl w:val="0"/>
          <w:numId w:val="16"/>
        </w:numPr>
        <w:rPr>
          <w:rFonts w:cs="Open Sans"/>
        </w:rPr>
      </w:pPr>
      <w:r w:rsidRPr="002F2C55">
        <w:rPr>
          <w:rFonts w:cs="Open Sans"/>
          <w:lang w:val="en-US"/>
        </w:rPr>
        <w:t>The</w:t>
      </w:r>
      <w:r w:rsidRPr="002F2C55">
        <w:rPr>
          <w:rFonts w:cs="Open Sans"/>
        </w:rPr>
        <w:t xml:space="preserve"> Explanatory Memorandum states that the existing privacy laws will apply to information gathered as part of the trial:</w:t>
      </w:r>
    </w:p>
    <w:p w14:paraId="0A12D129" w14:textId="4B5C6969" w:rsidR="00E71B5B" w:rsidRPr="002F2C55" w:rsidRDefault="00E71B5B" w:rsidP="00616FED">
      <w:pPr>
        <w:pStyle w:val="SubmissionNormal"/>
        <w:numPr>
          <w:ilvl w:val="0"/>
          <w:numId w:val="0"/>
        </w:numPr>
        <w:ind w:left="1440"/>
        <w:rPr>
          <w:rFonts w:cs="Open Sans"/>
          <w:sz w:val="22"/>
          <w:szCs w:val="22"/>
        </w:rPr>
      </w:pPr>
      <w:r w:rsidRPr="002F2C55">
        <w:rPr>
          <w:rFonts w:cs="Open Sans"/>
          <w:sz w:val="22"/>
          <w:szCs w:val="22"/>
        </w:rPr>
        <w:lastRenderedPageBreak/>
        <w:t>With respect to privacy concerns, there are existing privacy safeguards in place under the Privacy Act 1988 and the confidentiality provisions in Division 3 of Part 5 of the Social Security Administration Act. These confidentiality provisions stipulate that protected information, including any personal information such as health information, can only be accessed, used or disclosed in limited circumstances. This includes for the purposes of administering the social security law; for research, statistical analysis or policy development; and where it has been certified as being in the public interest. These existing safeguards will apply to any information gathered as part of this trial, including that obtained or generated by the drug test provider. Any accessing, use or disclosure of this information, including test results, will only occur in accordance with these existing laws.</w:t>
      </w:r>
    </w:p>
    <w:p w14:paraId="30D76BC2" w14:textId="4779D392" w:rsidR="00E71B5B" w:rsidRPr="002F2C55" w:rsidRDefault="00661305" w:rsidP="00FC245C">
      <w:pPr>
        <w:pStyle w:val="ListParagraph"/>
        <w:numPr>
          <w:ilvl w:val="0"/>
          <w:numId w:val="16"/>
        </w:numPr>
        <w:rPr>
          <w:rFonts w:cs="Open Sans"/>
        </w:rPr>
      </w:pPr>
      <w:r w:rsidRPr="002F2C55">
        <w:rPr>
          <w:rFonts w:cs="Open Sans"/>
        </w:rPr>
        <w:t>I</w:t>
      </w:r>
      <w:r w:rsidR="00E71B5B" w:rsidRPr="002F2C55">
        <w:rPr>
          <w:rFonts w:cs="Open Sans"/>
        </w:rPr>
        <w:t xml:space="preserve">t is noted that the Drug Testing Rules </w:t>
      </w:r>
      <w:r w:rsidRPr="002F2C55">
        <w:rPr>
          <w:rFonts w:cs="Open Sans"/>
        </w:rPr>
        <w:t xml:space="preserve">will also </w:t>
      </w:r>
      <w:r w:rsidR="00E71B5B" w:rsidRPr="002F2C55">
        <w:rPr>
          <w:rFonts w:cs="Open Sans"/>
        </w:rPr>
        <w:t xml:space="preserve">permit the Minister to make </w:t>
      </w:r>
      <w:r w:rsidR="00E71B5B" w:rsidRPr="002F2C55">
        <w:rPr>
          <w:rFonts w:cs="Open Sans"/>
          <w:lang w:val="en-US"/>
        </w:rPr>
        <w:t>rules</w:t>
      </w:r>
      <w:r w:rsidR="00E71B5B" w:rsidRPr="002F2C55">
        <w:rPr>
          <w:rFonts w:cs="Open Sans"/>
        </w:rPr>
        <w:t xml:space="preserve"> with respect to confidentiality and disclosure of results of drug tests, and keeping and destroying records </w:t>
      </w:r>
      <w:r w:rsidR="00B32203" w:rsidRPr="002F2C55">
        <w:rPr>
          <w:rFonts w:cs="Open Sans"/>
        </w:rPr>
        <w:t xml:space="preserve">in </w:t>
      </w:r>
      <w:r w:rsidR="00E71B5B" w:rsidRPr="002F2C55">
        <w:rPr>
          <w:rFonts w:cs="Open Sans"/>
        </w:rPr>
        <w:t>relation to sample</w:t>
      </w:r>
      <w:r w:rsidR="00B32203" w:rsidRPr="002F2C55">
        <w:rPr>
          <w:rFonts w:cs="Open Sans"/>
        </w:rPr>
        <w:t>s</w:t>
      </w:r>
      <w:r w:rsidR="00E71B5B" w:rsidRPr="002F2C55">
        <w:rPr>
          <w:rFonts w:cs="Open Sans"/>
        </w:rPr>
        <w:t xml:space="preserve"> for use in drug tests or drug </w:t>
      </w:r>
      <w:r w:rsidR="00B32203" w:rsidRPr="002F2C55">
        <w:rPr>
          <w:rFonts w:cs="Open Sans"/>
        </w:rPr>
        <w:t>trials</w:t>
      </w:r>
      <w:r w:rsidR="00E71B5B" w:rsidRPr="002F2C55">
        <w:rPr>
          <w:rFonts w:cs="Open Sans"/>
        </w:rPr>
        <w:t xml:space="preserve">. </w:t>
      </w:r>
    </w:p>
    <w:p w14:paraId="63A1A3AC" w14:textId="3BA61842" w:rsidR="00027FEB" w:rsidRPr="002F2C55" w:rsidRDefault="004F3419" w:rsidP="00FC245C">
      <w:pPr>
        <w:pStyle w:val="ListParagraph"/>
        <w:numPr>
          <w:ilvl w:val="0"/>
          <w:numId w:val="16"/>
        </w:numPr>
        <w:rPr>
          <w:rFonts w:cs="Open Sans"/>
          <w:lang w:val="en-US"/>
        </w:rPr>
      </w:pPr>
      <w:r w:rsidRPr="002F2C55">
        <w:rPr>
          <w:rFonts w:cs="Open Sans"/>
          <w:lang w:val="en-US"/>
        </w:rPr>
        <w:t xml:space="preserve">The Commission </w:t>
      </w:r>
      <w:r w:rsidR="00661305" w:rsidRPr="002F2C55">
        <w:rPr>
          <w:rFonts w:cs="Open Sans"/>
          <w:lang w:val="en-US"/>
        </w:rPr>
        <w:t xml:space="preserve">is </w:t>
      </w:r>
      <w:r w:rsidRPr="002F2C55">
        <w:rPr>
          <w:rFonts w:cs="Open Sans"/>
          <w:lang w:val="en-US"/>
        </w:rPr>
        <w:t xml:space="preserve">concerned </w:t>
      </w:r>
      <w:r w:rsidR="009A18F1" w:rsidRPr="002F2C55">
        <w:rPr>
          <w:rFonts w:cs="Open Sans"/>
          <w:lang w:val="en-US"/>
        </w:rPr>
        <w:t>about</w:t>
      </w:r>
      <w:r w:rsidR="00661305" w:rsidRPr="002F2C55">
        <w:rPr>
          <w:rFonts w:cs="Open Sans"/>
          <w:lang w:val="en-US"/>
        </w:rPr>
        <w:t xml:space="preserve"> any</w:t>
      </w:r>
      <w:r w:rsidRPr="002F2C55">
        <w:rPr>
          <w:rFonts w:cs="Open Sans"/>
          <w:lang w:val="en-US"/>
        </w:rPr>
        <w:t xml:space="preserve"> potential </w:t>
      </w:r>
      <w:r w:rsidR="00661305" w:rsidRPr="002F2C55">
        <w:rPr>
          <w:rFonts w:cs="Open Sans"/>
          <w:lang w:val="en-US"/>
        </w:rPr>
        <w:t>to</w:t>
      </w:r>
      <w:r w:rsidRPr="002F2C55">
        <w:rPr>
          <w:rFonts w:cs="Open Sans"/>
          <w:lang w:val="en-US"/>
        </w:rPr>
        <w:t xml:space="preserve"> disclos</w:t>
      </w:r>
      <w:r w:rsidR="00661305" w:rsidRPr="002F2C55">
        <w:rPr>
          <w:rFonts w:cs="Open Sans"/>
          <w:lang w:val="en-US"/>
        </w:rPr>
        <w:t>e</w:t>
      </w:r>
      <w:r w:rsidRPr="002F2C55">
        <w:rPr>
          <w:rFonts w:cs="Open Sans"/>
          <w:lang w:val="en-US"/>
        </w:rPr>
        <w:t xml:space="preserve"> a person’s positive drug test to law enforcement </w:t>
      </w:r>
      <w:r w:rsidR="00661305" w:rsidRPr="002F2C55">
        <w:rPr>
          <w:rFonts w:cs="Open Sans"/>
          <w:lang w:val="en-US"/>
        </w:rPr>
        <w:t>or</w:t>
      </w:r>
      <w:r w:rsidRPr="002F2C55">
        <w:rPr>
          <w:rFonts w:cs="Open Sans"/>
          <w:lang w:val="en-US"/>
        </w:rPr>
        <w:t xml:space="preserve"> other government agencies or departments,</w:t>
      </w:r>
      <w:r w:rsidR="00661305" w:rsidRPr="002F2C55">
        <w:rPr>
          <w:rFonts w:cs="Open Sans"/>
          <w:lang w:val="en-US"/>
        </w:rPr>
        <w:t xml:space="preserve"> for purposes</w:t>
      </w:r>
      <w:r w:rsidR="00027FEB" w:rsidRPr="002F2C55">
        <w:rPr>
          <w:rFonts w:cs="Open Sans"/>
          <w:lang w:val="en-US"/>
        </w:rPr>
        <w:t xml:space="preserve"> other than those directly related to the payment of a Newstart of Youth Allowance entitlement. For example,</w:t>
      </w:r>
      <w:r w:rsidRPr="002F2C55">
        <w:rPr>
          <w:rFonts w:cs="Open Sans"/>
          <w:lang w:val="en-US"/>
        </w:rPr>
        <w:t xml:space="preserve"> any risk of </w:t>
      </w:r>
      <w:r w:rsidR="00027FEB" w:rsidRPr="002F2C55">
        <w:rPr>
          <w:rFonts w:cs="Open Sans"/>
          <w:lang w:val="en-US"/>
        </w:rPr>
        <w:t xml:space="preserve">criminal </w:t>
      </w:r>
      <w:r w:rsidRPr="002F2C55">
        <w:rPr>
          <w:rFonts w:cs="Open Sans"/>
          <w:lang w:val="en-US"/>
        </w:rPr>
        <w:t>prosecution, visa cancellation or removal of children</w:t>
      </w:r>
      <w:r w:rsidR="00027FEB" w:rsidRPr="002F2C55">
        <w:rPr>
          <w:rFonts w:cs="Open Sans"/>
          <w:lang w:val="en-US"/>
        </w:rPr>
        <w:t xml:space="preserve"> with respect to </w:t>
      </w:r>
      <w:r w:rsidR="00C2534F" w:rsidRPr="002F2C55">
        <w:rPr>
          <w:rFonts w:cs="Open Sans"/>
          <w:lang w:val="en-US"/>
        </w:rPr>
        <w:t xml:space="preserve">disclosure of information relating to </w:t>
      </w:r>
      <w:r w:rsidR="00027FEB" w:rsidRPr="002F2C55">
        <w:rPr>
          <w:rFonts w:cs="Open Sans"/>
          <w:lang w:val="en-US"/>
        </w:rPr>
        <w:t xml:space="preserve">drug test results. </w:t>
      </w:r>
      <w:r w:rsidR="002E106F" w:rsidRPr="002F2C55">
        <w:rPr>
          <w:rFonts w:cs="Open Sans"/>
          <w:lang w:val="en-US"/>
        </w:rPr>
        <w:t xml:space="preserve">These </w:t>
      </w:r>
      <w:r w:rsidR="00FA4E12" w:rsidRPr="002F2C55">
        <w:rPr>
          <w:rFonts w:cs="Open Sans"/>
          <w:lang w:val="en-US"/>
        </w:rPr>
        <w:t>issues</w:t>
      </w:r>
      <w:r w:rsidR="006761C5" w:rsidRPr="002F2C55">
        <w:rPr>
          <w:rFonts w:cs="Open Sans"/>
          <w:lang w:val="en-US"/>
        </w:rPr>
        <w:t xml:space="preserve"> are unrelated to the </w:t>
      </w:r>
      <w:r w:rsidR="008D7716" w:rsidRPr="002F2C55">
        <w:rPr>
          <w:rFonts w:cs="Open Sans"/>
          <w:lang w:val="en-US"/>
        </w:rPr>
        <w:t xml:space="preserve">stated </w:t>
      </w:r>
      <w:r w:rsidR="00814F2C" w:rsidRPr="002F2C55">
        <w:rPr>
          <w:rFonts w:cs="Open Sans"/>
          <w:lang w:val="en-US"/>
        </w:rPr>
        <w:t xml:space="preserve">goals </w:t>
      </w:r>
      <w:r w:rsidR="006761C5" w:rsidRPr="002F2C55">
        <w:rPr>
          <w:rFonts w:cs="Open Sans"/>
          <w:lang w:val="en-US"/>
        </w:rPr>
        <w:t>of the Bill</w:t>
      </w:r>
      <w:r w:rsidR="008D7716" w:rsidRPr="002F2C55">
        <w:rPr>
          <w:rFonts w:cs="Open Sans"/>
          <w:lang w:val="en-US"/>
        </w:rPr>
        <w:t>, and therefore use of this information in these regards is disproportionate</w:t>
      </w:r>
      <w:r w:rsidR="006761C5" w:rsidRPr="002F2C55">
        <w:rPr>
          <w:rFonts w:cs="Open Sans"/>
          <w:lang w:val="en-US"/>
        </w:rPr>
        <w:t xml:space="preserve">. </w:t>
      </w:r>
      <w:r w:rsidR="00027FEB" w:rsidRPr="002F2C55">
        <w:rPr>
          <w:rFonts w:cs="Open Sans"/>
          <w:lang w:val="en-US"/>
        </w:rPr>
        <w:t xml:space="preserve">Such </w:t>
      </w:r>
      <w:r w:rsidR="00C2534F" w:rsidRPr="002F2C55">
        <w:rPr>
          <w:rFonts w:cs="Open Sans"/>
          <w:lang w:val="en-US"/>
        </w:rPr>
        <w:t>outcomes</w:t>
      </w:r>
      <w:r w:rsidRPr="002F2C55">
        <w:rPr>
          <w:rFonts w:cs="Open Sans"/>
          <w:lang w:val="en-US"/>
        </w:rPr>
        <w:t xml:space="preserve"> could have a </w:t>
      </w:r>
      <w:r w:rsidR="00F90979" w:rsidRPr="002F2C55">
        <w:rPr>
          <w:rFonts w:cs="Open Sans"/>
          <w:lang w:val="en-US"/>
        </w:rPr>
        <w:t>“</w:t>
      </w:r>
      <w:r w:rsidRPr="002F2C55">
        <w:rPr>
          <w:rFonts w:cs="Open Sans"/>
          <w:lang w:val="en-US"/>
        </w:rPr>
        <w:t>chilling effect</w:t>
      </w:r>
      <w:r w:rsidR="00F90979" w:rsidRPr="002F2C55">
        <w:rPr>
          <w:rFonts w:cs="Open Sans"/>
          <w:lang w:val="en-US"/>
        </w:rPr>
        <w:t xml:space="preserve">” </w:t>
      </w:r>
      <w:r w:rsidRPr="002F2C55">
        <w:rPr>
          <w:rFonts w:cs="Open Sans"/>
          <w:lang w:val="en-US"/>
        </w:rPr>
        <w:t>on people applying for social security, further limiting the rights to social security and an adequate standard of living.</w:t>
      </w:r>
    </w:p>
    <w:p w14:paraId="40AB570B" w14:textId="16F531AD" w:rsidR="004F3419" w:rsidRPr="002F2C55" w:rsidRDefault="00027FEB" w:rsidP="00FC245C">
      <w:pPr>
        <w:pStyle w:val="ListParagraph"/>
        <w:numPr>
          <w:ilvl w:val="0"/>
          <w:numId w:val="16"/>
        </w:numPr>
        <w:rPr>
          <w:rFonts w:cs="Open Sans"/>
          <w:lang w:val="en-US"/>
        </w:rPr>
      </w:pPr>
      <w:r w:rsidRPr="002F2C55">
        <w:rPr>
          <w:rFonts w:cs="Open Sans"/>
          <w:lang w:val="en-US"/>
        </w:rPr>
        <w:t xml:space="preserve">Further, the Commission urges that appropriate measures be put in place to ensure that private contractors </w:t>
      </w:r>
      <w:r w:rsidR="00963293" w:rsidRPr="002F2C55">
        <w:rPr>
          <w:rFonts w:cs="Open Sans"/>
          <w:lang w:val="en-US"/>
        </w:rPr>
        <w:t xml:space="preserve">who are conducting the drug tests are adequately trained, and that robust procedures are put in place, to ensure the security and confidentiality of </w:t>
      </w:r>
      <w:r w:rsidR="009E58F8" w:rsidRPr="002F2C55">
        <w:rPr>
          <w:rFonts w:cs="Open Sans"/>
          <w:lang w:val="en-US"/>
        </w:rPr>
        <w:t xml:space="preserve">drug test result information. </w:t>
      </w:r>
      <w:r w:rsidR="00066C6F" w:rsidRPr="002F2C55">
        <w:rPr>
          <w:rFonts w:cs="Open Sans"/>
          <w:lang w:val="en-US"/>
        </w:rPr>
        <w:t xml:space="preserve">This includes ensuring that drug testers do not disclose the results to any </w:t>
      </w:r>
      <w:proofErr w:type="spellStart"/>
      <w:r w:rsidR="00942172" w:rsidRPr="002F2C55">
        <w:rPr>
          <w:rFonts w:cs="Open Sans"/>
          <w:lang w:val="en-US"/>
        </w:rPr>
        <w:t>unauthorised</w:t>
      </w:r>
      <w:proofErr w:type="spellEnd"/>
      <w:r w:rsidR="00942172" w:rsidRPr="002F2C55">
        <w:rPr>
          <w:rFonts w:cs="Open Sans"/>
          <w:lang w:val="en-US"/>
        </w:rPr>
        <w:t xml:space="preserve"> </w:t>
      </w:r>
      <w:r w:rsidR="00066C6F" w:rsidRPr="002F2C55">
        <w:rPr>
          <w:rFonts w:cs="Open Sans"/>
          <w:lang w:val="en-US"/>
        </w:rPr>
        <w:t xml:space="preserve">third parties, and that </w:t>
      </w:r>
      <w:r w:rsidR="00942172" w:rsidRPr="002F2C55">
        <w:rPr>
          <w:rFonts w:cs="Open Sans"/>
          <w:lang w:val="en-US"/>
        </w:rPr>
        <w:t xml:space="preserve">databases and hardcopy locations used to store health information are </w:t>
      </w:r>
      <w:r w:rsidR="00867C2D" w:rsidRPr="002F2C55">
        <w:rPr>
          <w:rFonts w:cs="Open Sans"/>
          <w:lang w:val="en-US"/>
        </w:rPr>
        <w:t xml:space="preserve">sufficiently protected against </w:t>
      </w:r>
      <w:proofErr w:type="spellStart"/>
      <w:r w:rsidR="00867C2D" w:rsidRPr="002F2C55">
        <w:rPr>
          <w:rFonts w:cs="Open Sans"/>
          <w:lang w:val="en-US"/>
        </w:rPr>
        <w:t>unauthorised</w:t>
      </w:r>
      <w:proofErr w:type="spellEnd"/>
      <w:r w:rsidR="00867C2D" w:rsidRPr="002F2C55">
        <w:rPr>
          <w:rFonts w:cs="Open Sans"/>
          <w:lang w:val="en-US"/>
        </w:rPr>
        <w:t xml:space="preserve"> access, to protect the privacy rights of recipients.</w:t>
      </w:r>
    </w:p>
    <w:p w14:paraId="3FB8C234" w14:textId="1965D6F7" w:rsidR="00E71B5B" w:rsidRPr="002F2C55" w:rsidRDefault="00E71B5B" w:rsidP="00FC245C">
      <w:pPr>
        <w:pStyle w:val="ListParagraph"/>
        <w:numPr>
          <w:ilvl w:val="0"/>
          <w:numId w:val="16"/>
        </w:numPr>
        <w:rPr>
          <w:rFonts w:cs="Open Sans"/>
        </w:rPr>
      </w:pPr>
      <w:r w:rsidRPr="002F2C55">
        <w:rPr>
          <w:rFonts w:cs="Open Sans"/>
        </w:rPr>
        <w:lastRenderedPageBreak/>
        <w:t xml:space="preserve">The Commission </w:t>
      </w:r>
      <w:r w:rsidR="00616FED" w:rsidRPr="002F2C55">
        <w:rPr>
          <w:rFonts w:cs="Open Sans"/>
        </w:rPr>
        <w:t>considers that</w:t>
      </w:r>
      <w:r w:rsidR="002D3371" w:rsidRPr="002F2C55">
        <w:rPr>
          <w:rFonts w:cs="Open Sans"/>
        </w:rPr>
        <w:t>,</w:t>
      </w:r>
      <w:r w:rsidR="00B30119" w:rsidRPr="002F2C55">
        <w:rPr>
          <w:rFonts w:cs="Open Sans"/>
        </w:rPr>
        <w:t xml:space="preserve"> </w:t>
      </w:r>
      <w:bookmarkStart w:id="55" w:name="_Hlk20486940"/>
      <w:r w:rsidR="00F94C4D" w:rsidRPr="002F2C55">
        <w:rPr>
          <w:rFonts w:cs="Open Sans"/>
        </w:rPr>
        <w:t xml:space="preserve">unless the relevant person consents, drug test </w:t>
      </w:r>
      <w:r w:rsidR="00F94C4D" w:rsidRPr="002F2C55">
        <w:rPr>
          <w:rFonts w:cs="Open Sans"/>
          <w:lang w:val="en-US"/>
        </w:rPr>
        <w:t>information</w:t>
      </w:r>
      <w:r w:rsidR="00F94C4D" w:rsidRPr="002F2C55">
        <w:rPr>
          <w:rFonts w:cs="Open Sans"/>
        </w:rPr>
        <w:t xml:space="preserve"> </w:t>
      </w:r>
      <w:r w:rsidR="00007881" w:rsidRPr="002F2C55">
        <w:rPr>
          <w:rFonts w:cs="Open Sans"/>
        </w:rPr>
        <w:t>should be unable</w:t>
      </w:r>
      <w:r w:rsidR="00F94C4D" w:rsidRPr="002F2C55">
        <w:rPr>
          <w:rFonts w:cs="Open Sans"/>
        </w:rPr>
        <w:t xml:space="preserve"> to be used or disclosed for purposes other than those </w:t>
      </w:r>
      <w:r w:rsidR="00F94C4D" w:rsidRPr="002F2C55">
        <w:rPr>
          <w:rFonts w:cs="Open Sans"/>
          <w:lang w:val="en-US"/>
        </w:rPr>
        <w:t xml:space="preserve">directly related to the payment of a </w:t>
      </w:r>
      <w:r w:rsidR="002E106F" w:rsidRPr="002F2C55">
        <w:rPr>
          <w:rFonts w:cs="Open Sans"/>
          <w:lang w:val="en-US"/>
        </w:rPr>
        <w:t xml:space="preserve">relevant </w:t>
      </w:r>
      <w:r w:rsidR="00F94C4D" w:rsidRPr="002F2C55">
        <w:rPr>
          <w:rFonts w:cs="Open Sans"/>
          <w:lang w:val="en-US"/>
        </w:rPr>
        <w:t xml:space="preserve">Newstart of Youth Allowance </w:t>
      </w:r>
      <w:r w:rsidR="002E106F" w:rsidRPr="002F2C55">
        <w:rPr>
          <w:rFonts w:cs="Open Sans"/>
          <w:lang w:val="en-US"/>
        </w:rPr>
        <w:t xml:space="preserve">(other) </w:t>
      </w:r>
      <w:r w:rsidR="00F94C4D" w:rsidRPr="002F2C55">
        <w:rPr>
          <w:rFonts w:cs="Open Sans"/>
          <w:lang w:val="en-US"/>
        </w:rPr>
        <w:t>entitlement</w:t>
      </w:r>
      <w:r w:rsidR="00881ABA" w:rsidRPr="002F2C55">
        <w:rPr>
          <w:rFonts w:cs="Open Sans"/>
          <w:lang w:val="en-US"/>
        </w:rPr>
        <w:t xml:space="preserve">. </w:t>
      </w:r>
      <w:r w:rsidR="000B56D0" w:rsidRPr="002F2C55">
        <w:rPr>
          <w:rFonts w:cs="Open Sans"/>
          <w:lang w:val="en-US"/>
        </w:rPr>
        <w:t>These privacy protections should be included in the</w:t>
      </w:r>
      <w:r w:rsidR="00881ABA" w:rsidRPr="002F2C55">
        <w:rPr>
          <w:rFonts w:cs="Open Sans"/>
        </w:rPr>
        <w:t xml:space="preserve"> Drug Testing Rules</w:t>
      </w:r>
      <w:r w:rsidR="000B56D0" w:rsidRPr="002F2C55">
        <w:rPr>
          <w:rFonts w:cs="Open Sans"/>
        </w:rPr>
        <w:t>.</w:t>
      </w:r>
    </w:p>
    <w:bookmarkEnd w:id="55"/>
    <w:p w14:paraId="797380A0" w14:textId="7F1B16BB" w:rsidR="00A468C0" w:rsidRPr="002F2C55" w:rsidRDefault="00A468C0" w:rsidP="00FC245C">
      <w:pPr>
        <w:pStyle w:val="ListParagraph"/>
        <w:numPr>
          <w:ilvl w:val="0"/>
          <w:numId w:val="16"/>
        </w:numPr>
        <w:rPr>
          <w:rFonts w:cs="Open Sans"/>
        </w:rPr>
      </w:pPr>
      <w:r w:rsidRPr="002F2C55">
        <w:rPr>
          <w:rFonts w:cs="Open Sans"/>
          <w:lang w:val="en-US"/>
        </w:rPr>
        <w:t>Further</w:t>
      </w:r>
      <w:r w:rsidRPr="002F2C55">
        <w:rPr>
          <w:rFonts w:cs="Open Sans"/>
        </w:rPr>
        <w:t xml:space="preserve">, </w:t>
      </w:r>
      <w:r w:rsidR="00E264CB" w:rsidRPr="002F2C55">
        <w:rPr>
          <w:rFonts w:cs="Open Sans"/>
        </w:rPr>
        <w:t xml:space="preserve">in accordance with the </w:t>
      </w:r>
      <w:r w:rsidR="00E264CB" w:rsidRPr="002F2C55">
        <w:rPr>
          <w:rFonts w:cs="Open Sans"/>
          <w:i/>
          <w:iCs/>
        </w:rPr>
        <w:t xml:space="preserve">Privacy Act 1998 </w:t>
      </w:r>
      <w:r w:rsidR="00E264CB" w:rsidRPr="002F2C55">
        <w:rPr>
          <w:rFonts w:cs="Open Sans"/>
        </w:rPr>
        <w:t>(</w:t>
      </w:r>
      <w:proofErr w:type="spellStart"/>
      <w:r w:rsidR="00E264CB" w:rsidRPr="002F2C55">
        <w:rPr>
          <w:rFonts w:cs="Open Sans"/>
        </w:rPr>
        <w:t>Cth</w:t>
      </w:r>
      <w:proofErr w:type="spellEnd"/>
      <w:r w:rsidR="00E264CB" w:rsidRPr="002F2C55">
        <w:rPr>
          <w:rFonts w:cs="Open Sans"/>
        </w:rPr>
        <w:t xml:space="preserve">), </w:t>
      </w:r>
      <w:bookmarkStart w:id="56" w:name="_Hlk20487131"/>
      <w:r w:rsidR="00F12FCE" w:rsidRPr="002F2C55">
        <w:rPr>
          <w:rFonts w:cs="Open Sans"/>
        </w:rPr>
        <w:t>mechanisms should be put in place to ensure that people are informed in advance of the purposes for which drug test result information can be used and disclosed, and full, informed and free consent obtained</w:t>
      </w:r>
      <w:r w:rsidR="00426A82" w:rsidRPr="002F2C55">
        <w:rPr>
          <w:rFonts w:cs="Open Sans"/>
        </w:rPr>
        <w:t xml:space="preserve"> to these uses and disclosures.</w:t>
      </w:r>
    </w:p>
    <w:bookmarkEnd w:id="56"/>
    <w:p w14:paraId="09CF7EF5" w14:textId="5B38404C" w:rsidR="000C7319" w:rsidRPr="002F2C55" w:rsidRDefault="000C7319" w:rsidP="00024CDA">
      <w:pPr>
        <w:pStyle w:val="SubmissionNormal"/>
        <w:numPr>
          <w:ilvl w:val="0"/>
          <w:numId w:val="43"/>
        </w:numPr>
        <w:rPr>
          <w:rFonts w:cs="Open Sans"/>
          <w:b/>
        </w:rPr>
      </w:pPr>
      <w:r w:rsidRPr="002F2C55">
        <w:rPr>
          <w:rFonts w:cs="Open Sans"/>
          <w:b/>
        </w:rPr>
        <w:t>In the event that the Social Services Legislation Amendment (Drug Testing Trial) Bill 2019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 </w:t>
      </w:r>
    </w:p>
    <w:p w14:paraId="7A3B60E8" w14:textId="61D00F28" w:rsidR="008D7716" w:rsidRPr="002F2C55" w:rsidRDefault="002E106F" w:rsidP="00024CDA">
      <w:pPr>
        <w:pStyle w:val="ListParagraph"/>
        <w:numPr>
          <w:ilvl w:val="0"/>
          <w:numId w:val="45"/>
        </w:numPr>
        <w:rPr>
          <w:rFonts w:eastAsia="Times New Roman" w:cs="Open Sans"/>
          <w:b/>
        </w:rPr>
      </w:pPr>
      <w:r w:rsidRPr="002F2C55">
        <w:rPr>
          <w:rFonts w:eastAsia="Times New Roman" w:cs="Open Sans"/>
          <w:b/>
        </w:rPr>
        <w:t xml:space="preserve">unless the relevant person consents, drug test information should be unable to be used or disclosed for purposes other than those directly related to the payment of a relevant Newstart of Youth Allowance (other) entitlement </w:t>
      </w:r>
    </w:p>
    <w:p w14:paraId="0D68A8A4" w14:textId="02660B7C" w:rsidR="002E106F" w:rsidRPr="002F2C55" w:rsidRDefault="002E106F" w:rsidP="00024CDA">
      <w:pPr>
        <w:pStyle w:val="ListParagraph"/>
        <w:numPr>
          <w:ilvl w:val="0"/>
          <w:numId w:val="45"/>
        </w:numPr>
        <w:rPr>
          <w:rFonts w:eastAsia="Times New Roman" w:cs="Open Sans"/>
          <w:b/>
        </w:rPr>
      </w:pPr>
      <w:r w:rsidRPr="002F2C55">
        <w:rPr>
          <w:rFonts w:eastAsia="Times New Roman" w:cs="Open Sans"/>
          <w:b/>
        </w:rPr>
        <w:t>privacy protections should be included in the Drug Testing Rules</w:t>
      </w:r>
    </w:p>
    <w:p w14:paraId="1372EA15" w14:textId="78F1122B" w:rsidR="00B160BA" w:rsidRPr="002F2C55" w:rsidRDefault="00B66B30" w:rsidP="00024CDA">
      <w:pPr>
        <w:pStyle w:val="ListParagraph"/>
        <w:numPr>
          <w:ilvl w:val="0"/>
          <w:numId w:val="45"/>
        </w:numPr>
        <w:rPr>
          <w:rFonts w:eastAsia="Times New Roman" w:cs="Open Sans"/>
          <w:b/>
        </w:rPr>
      </w:pPr>
      <w:r w:rsidRPr="002F2C55">
        <w:rPr>
          <w:rFonts w:eastAsia="Times New Roman" w:cs="Open Sans"/>
          <w:b/>
        </w:rPr>
        <w:t>appropriate measures should be put in place, for example in relevant contracts or the Drug Testing Rules, to ensure that contractors conducting drug tests treat</w:t>
      </w:r>
      <w:r w:rsidR="00A918E1" w:rsidRPr="002F2C55">
        <w:rPr>
          <w:rFonts w:eastAsia="Times New Roman" w:cs="Open Sans"/>
          <w:b/>
        </w:rPr>
        <w:t xml:space="preserve"> test results with an appropriate level of</w:t>
      </w:r>
      <w:r w:rsidRPr="002F2C55">
        <w:rPr>
          <w:rFonts w:eastAsia="Times New Roman" w:cs="Open Sans"/>
          <w:b/>
        </w:rPr>
        <w:t xml:space="preserve"> security and confidentiality </w:t>
      </w:r>
    </w:p>
    <w:p w14:paraId="44105772" w14:textId="28D199CB" w:rsidR="00A918E1" w:rsidRPr="002F2C55" w:rsidRDefault="00A918E1" w:rsidP="00024CDA">
      <w:pPr>
        <w:pStyle w:val="ListParagraph"/>
        <w:numPr>
          <w:ilvl w:val="0"/>
          <w:numId w:val="45"/>
        </w:numPr>
        <w:rPr>
          <w:rFonts w:eastAsia="Times New Roman" w:cs="Open Sans"/>
          <w:b/>
        </w:rPr>
      </w:pPr>
      <w:r w:rsidRPr="002F2C55">
        <w:rPr>
          <w:rFonts w:eastAsia="Times New Roman" w:cs="Open Sans"/>
          <w:b/>
        </w:rPr>
        <w:t xml:space="preserve">mechanisms should be put in place to ensure that people are informed in advance of the purposes for which drug test result information can be used and disclosed, and </w:t>
      </w:r>
      <w:r w:rsidR="00F040E6" w:rsidRPr="002F2C55">
        <w:rPr>
          <w:rFonts w:eastAsia="Times New Roman" w:cs="Open Sans"/>
          <w:b/>
        </w:rPr>
        <w:t xml:space="preserve">give their </w:t>
      </w:r>
      <w:r w:rsidRPr="002F2C55">
        <w:rPr>
          <w:rFonts w:eastAsia="Times New Roman" w:cs="Open Sans"/>
          <w:b/>
        </w:rPr>
        <w:t>full, informed and free consent to these uses and disclosures.</w:t>
      </w:r>
    </w:p>
    <w:p w14:paraId="121745FB" w14:textId="77777777" w:rsidR="00FF3902" w:rsidRPr="002F2C55" w:rsidRDefault="00FF3902" w:rsidP="00FF3902">
      <w:pPr>
        <w:pStyle w:val="Heading2"/>
        <w:rPr>
          <w:rFonts w:cs="Open Sans"/>
        </w:rPr>
      </w:pPr>
      <w:bookmarkStart w:id="57" w:name="_Toc511221401"/>
      <w:bookmarkStart w:id="58" w:name="_Toc20838321"/>
      <w:r w:rsidRPr="002F2C55">
        <w:rPr>
          <w:rFonts w:cs="Open Sans"/>
        </w:rPr>
        <w:t>Consultation on Drug Testing Rules</w:t>
      </w:r>
      <w:bookmarkEnd w:id="57"/>
      <w:bookmarkEnd w:id="58"/>
    </w:p>
    <w:p w14:paraId="21E46B7A" w14:textId="5CF7E031" w:rsidR="00FF3902" w:rsidRPr="002F2C55" w:rsidRDefault="00FF3902" w:rsidP="00BA6424">
      <w:pPr>
        <w:pStyle w:val="ListParagraph"/>
        <w:numPr>
          <w:ilvl w:val="0"/>
          <w:numId w:val="16"/>
        </w:numPr>
        <w:rPr>
          <w:rFonts w:cs="Open Sans"/>
        </w:rPr>
      </w:pPr>
      <w:r w:rsidRPr="002F2C55">
        <w:rPr>
          <w:rFonts w:cs="Open Sans"/>
        </w:rPr>
        <w:t xml:space="preserve">Proposed s 38FA also allows the Minister to make Drug Test Rules by way </w:t>
      </w:r>
      <w:r w:rsidRPr="002F2C55">
        <w:rPr>
          <w:rFonts w:cs="Open Sans"/>
          <w:lang w:val="en-US"/>
        </w:rPr>
        <w:t>of</w:t>
      </w:r>
      <w:r w:rsidRPr="002F2C55">
        <w:rPr>
          <w:rFonts w:cs="Open Sans"/>
        </w:rPr>
        <w:t xml:space="preserve"> a future legislative instrument that would govern the more practical aspects of drug testing, in relation to the following:</w:t>
      </w:r>
    </w:p>
    <w:p w14:paraId="52FBF120"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t>prescribing substances for the purposes of the definition of testable drug in s 23(1)</w:t>
      </w:r>
    </w:p>
    <w:p w14:paraId="265E2F3E"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t>giving and taking of samples of persons’ saliva, urine or hair for use in drug tests</w:t>
      </w:r>
    </w:p>
    <w:p w14:paraId="06473678"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lastRenderedPageBreak/>
        <w:t>dealing with such samples</w:t>
      </w:r>
    </w:p>
    <w:p w14:paraId="75013E02"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t>carrying out drug tests</w:t>
      </w:r>
    </w:p>
    <w:p w14:paraId="4BB4B734"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t>giving of results of drug tests in certificates or other documents and the evidentiary effect of those certificates or documents</w:t>
      </w:r>
    </w:p>
    <w:p w14:paraId="6EE5360E"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t>confidentiality and disclosure of results of drug tests</w:t>
      </w:r>
    </w:p>
    <w:p w14:paraId="6A57B410"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t>requirements relating to contracts entered into for the carrying out of drug tests</w:t>
      </w:r>
    </w:p>
    <w:p w14:paraId="41A3C91E" w14:textId="77777777" w:rsidR="00FF3902" w:rsidRPr="002F2C55" w:rsidRDefault="00FF3902" w:rsidP="00EC4C22">
      <w:pPr>
        <w:pStyle w:val="ListParagraph"/>
        <w:numPr>
          <w:ilvl w:val="1"/>
          <w:numId w:val="37"/>
        </w:numPr>
        <w:spacing w:before="120" w:after="120"/>
        <w:ind w:left="1434" w:hanging="357"/>
        <w:rPr>
          <w:rFonts w:cs="Open Sans"/>
        </w:rPr>
      </w:pPr>
      <w:r w:rsidRPr="002F2C55">
        <w:rPr>
          <w:rFonts w:cs="Open Sans"/>
        </w:rPr>
        <w:t>keeping and destroying records relating to samples for use in drug tests or drug tests.</w:t>
      </w:r>
    </w:p>
    <w:p w14:paraId="6FEF2D90" w14:textId="3B2C2858" w:rsidR="001F02CC" w:rsidRPr="002F2C55" w:rsidRDefault="001F02CC" w:rsidP="001F02CC">
      <w:pPr>
        <w:pStyle w:val="ListParagraph"/>
        <w:numPr>
          <w:ilvl w:val="0"/>
          <w:numId w:val="16"/>
        </w:numPr>
        <w:rPr>
          <w:rFonts w:cs="Open Sans"/>
        </w:rPr>
      </w:pPr>
      <w:r w:rsidRPr="002F2C55">
        <w:rPr>
          <w:rFonts w:cs="Open Sans"/>
        </w:rPr>
        <w:t>The Commission notes</w:t>
      </w:r>
      <w:r w:rsidR="004B09EC" w:rsidRPr="002F2C55">
        <w:rPr>
          <w:rFonts w:cs="Open Sans"/>
        </w:rPr>
        <w:t xml:space="preserve"> and shares the concerns of</w:t>
      </w:r>
      <w:r w:rsidRPr="002F2C55">
        <w:rPr>
          <w:rFonts w:cs="Open Sans"/>
        </w:rPr>
        <w:t xml:space="preserve"> the </w:t>
      </w:r>
      <w:r w:rsidR="00E44D80" w:rsidRPr="002F2C55">
        <w:rPr>
          <w:rFonts w:cs="Open Sans"/>
        </w:rPr>
        <w:t>Standing Committee for the Scrutiny of Bills</w:t>
      </w:r>
      <w:r w:rsidR="004B09EC" w:rsidRPr="002F2C55">
        <w:rPr>
          <w:rFonts w:cs="Open Sans"/>
        </w:rPr>
        <w:t xml:space="preserve">, </w:t>
      </w:r>
      <w:r w:rsidRPr="002F2C55">
        <w:rPr>
          <w:rFonts w:cs="Open Sans"/>
        </w:rPr>
        <w:t>about the appropriateness of</w:t>
      </w:r>
      <w:r w:rsidR="004B09EC" w:rsidRPr="002F2C55">
        <w:rPr>
          <w:rFonts w:cs="Open Sans"/>
        </w:rPr>
        <w:t xml:space="preserve"> including</w:t>
      </w:r>
      <w:r w:rsidRPr="002F2C55">
        <w:rPr>
          <w:rFonts w:cs="Open Sans"/>
        </w:rPr>
        <w:t xml:space="preserve"> </w:t>
      </w:r>
      <w:r w:rsidR="004B09EC" w:rsidRPr="002F2C55">
        <w:rPr>
          <w:rFonts w:cs="Open Sans"/>
        </w:rPr>
        <w:t>such</w:t>
      </w:r>
      <w:r w:rsidRPr="002F2C55">
        <w:rPr>
          <w:rFonts w:cs="Open Sans"/>
        </w:rPr>
        <w:t xml:space="preserve"> significant matters</w:t>
      </w:r>
      <w:r w:rsidR="004B09EC" w:rsidRPr="002F2C55">
        <w:rPr>
          <w:rFonts w:cs="Open Sans"/>
        </w:rPr>
        <w:t>, opposed to technical and administrative matters, in delegated legislation rather than primary legislation.</w:t>
      </w:r>
      <w:r w:rsidR="00A73158" w:rsidRPr="002F2C55">
        <w:rPr>
          <w:rStyle w:val="EndnoteReference"/>
          <w:rFonts w:cs="Open Sans"/>
        </w:rPr>
        <w:endnoteReference w:id="51"/>
      </w:r>
      <w:r w:rsidRPr="002F2C55">
        <w:rPr>
          <w:rFonts w:cs="Open Sans"/>
        </w:rPr>
        <w:t xml:space="preserve"> </w:t>
      </w:r>
    </w:p>
    <w:p w14:paraId="43674EAD" w14:textId="77777777" w:rsidR="00FF3902" w:rsidRPr="002F2C55" w:rsidRDefault="00FF3902" w:rsidP="00BA6424">
      <w:pPr>
        <w:pStyle w:val="ListParagraph"/>
        <w:numPr>
          <w:ilvl w:val="0"/>
          <w:numId w:val="16"/>
        </w:numPr>
        <w:rPr>
          <w:rFonts w:cs="Open Sans"/>
        </w:rPr>
      </w:pPr>
      <w:r w:rsidRPr="002F2C55">
        <w:rPr>
          <w:rFonts w:cs="Open Sans"/>
        </w:rPr>
        <w:t>The Explanatory Memorandum states that the Drug Testing Rules will provide a high level protocol for conducting drug testing and related issues:</w:t>
      </w:r>
    </w:p>
    <w:p w14:paraId="6D422753" w14:textId="6FC1CB7F" w:rsidR="00FF3902" w:rsidRPr="002F2C55" w:rsidRDefault="00FF3902" w:rsidP="00FF3902">
      <w:pPr>
        <w:pStyle w:val="SubmissionNormal"/>
        <w:numPr>
          <w:ilvl w:val="0"/>
          <w:numId w:val="0"/>
        </w:numPr>
        <w:ind w:left="1440"/>
        <w:rPr>
          <w:rFonts w:cs="Open Sans"/>
          <w:sz w:val="22"/>
          <w:szCs w:val="22"/>
        </w:rPr>
      </w:pPr>
      <w:r w:rsidRPr="002F2C55">
        <w:rPr>
          <w:rFonts w:cs="Open Sans"/>
          <w:sz w:val="22"/>
          <w:szCs w:val="22"/>
        </w:rPr>
        <w:t>The intention is that the drug test rules will set out high level protocols that will apply for conducting the drug tests, including in relation to the use and disclosure of test results.</w:t>
      </w:r>
      <w:r w:rsidR="00474A86" w:rsidRPr="002F2C55">
        <w:rPr>
          <w:rFonts w:cs="Open Sans"/>
          <w:sz w:val="22"/>
          <w:szCs w:val="22"/>
        </w:rPr>
        <w:t xml:space="preserve"> </w:t>
      </w:r>
      <w:r w:rsidRPr="002F2C55">
        <w:rPr>
          <w:rFonts w:cs="Open Sans"/>
          <w:sz w:val="22"/>
          <w:szCs w:val="22"/>
        </w:rPr>
        <w:t>This provides additional safeguards to ensure the operation of the drug testing is consistent with the requirements under the Privacy Act 1988 and the confidentiality provisions in the Social Security Administration Act.</w:t>
      </w:r>
      <w:r w:rsidR="00474A86" w:rsidRPr="002F2C55">
        <w:rPr>
          <w:rFonts w:cs="Open Sans"/>
          <w:sz w:val="22"/>
          <w:szCs w:val="22"/>
        </w:rPr>
        <w:t xml:space="preserve"> </w:t>
      </w:r>
      <w:r w:rsidRPr="002F2C55">
        <w:rPr>
          <w:rFonts w:cs="Open Sans"/>
          <w:sz w:val="22"/>
          <w:szCs w:val="22"/>
        </w:rPr>
        <w:t xml:space="preserve">In addition, the collection, use and disclosure of information for the purposes of the drug testing trial is regulated under the confidentiality provisions in Division 3 of Part 5 of the Social Security Administration Act. </w:t>
      </w:r>
    </w:p>
    <w:p w14:paraId="1DEB8B3F" w14:textId="7A0053DF" w:rsidR="00FF3902" w:rsidRPr="002F2C55" w:rsidRDefault="00FF3902" w:rsidP="00FF3902">
      <w:pPr>
        <w:pStyle w:val="SubmissionNormal"/>
        <w:numPr>
          <w:ilvl w:val="0"/>
          <w:numId w:val="0"/>
        </w:numPr>
        <w:ind w:left="1440"/>
        <w:rPr>
          <w:rFonts w:cs="Open Sans"/>
          <w:sz w:val="22"/>
          <w:szCs w:val="22"/>
        </w:rPr>
      </w:pPr>
      <w:r w:rsidRPr="002F2C55">
        <w:rPr>
          <w:rFonts w:cs="Open Sans"/>
          <w:sz w:val="22"/>
          <w:szCs w:val="22"/>
        </w:rPr>
        <w:t>The reason for the use of delegated legislation to set out the rules for conducting the tests is that these technical and more administrative details will rely, to an extent, on information provided by the preferred tenderer for the provision of drug testing trial services, as well as other stakeholders.</w:t>
      </w:r>
      <w:r w:rsidR="00474A86" w:rsidRPr="002F2C55">
        <w:rPr>
          <w:rFonts w:cs="Open Sans"/>
          <w:sz w:val="22"/>
          <w:szCs w:val="22"/>
        </w:rPr>
        <w:t xml:space="preserve"> </w:t>
      </w:r>
      <w:r w:rsidRPr="002F2C55">
        <w:rPr>
          <w:rFonts w:cs="Open Sans"/>
          <w:sz w:val="22"/>
          <w:szCs w:val="22"/>
        </w:rPr>
        <w:t>Use of a legislative instrument gives the necessary flexibility to ensure that the arrangements for the drug testing will meet the intention of the legislation but can accommodate practicalities that may be unknown.</w:t>
      </w:r>
    </w:p>
    <w:p w14:paraId="7049BF88" w14:textId="03BCD6D1" w:rsidR="00FF3902" w:rsidRPr="002F2C55" w:rsidRDefault="00FF3902" w:rsidP="00FF3902">
      <w:pPr>
        <w:pStyle w:val="SubmissionNormal"/>
        <w:numPr>
          <w:ilvl w:val="0"/>
          <w:numId w:val="0"/>
        </w:numPr>
        <w:ind w:left="1440"/>
        <w:rPr>
          <w:rFonts w:cs="Open Sans"/>
          <w:sz w:val="22"/>
          <w:szCs w:val="22"/>
        </w:rPr>
      </w:pPr>
      <w:r w:rsidRPr="002F2C55">
        <w:rPr>
          <w:rFonts w:cs="Open Sans"/>
          <w:sz w:val="22"/>
          <w:szCs w:val="22"/>
        </w:rPr>
        <w:t xml:space="preserve">The Department of Social Services (the department) has been engaging with stakeholders from the health, alcohol and other drug, and welfare </w:t>
      </w:r>
      <w:r w:rsidRPr="002F2C55">
        <w:rPr>
          <w:rFonts w:cs="Open Sans"/>
          <w:sz w:val="22"/>
          <w:szCs w:val="22"/>
        </w:rPr>
        <w:lastRenderedPageBreak/>
        <w:t>sectors and this consultation will be ongoing.</w:t>
      </w:r>
      <w:r w:rsidR="00474A86" w:rsidRPr="002F2C55">
        <w:rPr>
          <w:rFonts w:cs="Open Sans"/>
          <w:sz w:val="22"/>
          <w:szCs w:val="22"/>
        </w:rPr>
        <w:t xml:space="preserve"> </w:t>
      </w:r>
      <w:r w:rsidRPr="002F2C55">
        <w:rPr>
          <w:rFonts w:cs="Open Sans"/>
          <w:sz w:val="22"/>
          <w:szCs w:val="22"/>
        </w:rPr>
        <w:t>The department has spoken to all state and territory governments, as well as a range of drug and alcohol treatment providers and peak bodies, and related experts across the country, and in the trial sites.</w:t>
      </w:r>
      <w:r w:rsidR="00474A86" w:rsidRPr="002F2C55">
        <w:rPr>
          <w:rFonts w:cs="Open Sans"/>
          <w:sz w:val="22"/>
          <w:szCs w:val="22"/>
        </w:rPr>
        <w:t xml:space="preserve"> </w:t>
      </w:r>
      <w:r w:rsidRPr="002F2C55">
        <w:rPr>
          <w:rFonts w:cs="Open Sans"/>
          <w:sz w:val="22"/>
          <w:szCs w:val="22"/>
        </w:rPr>
        <w:t xml:space="preserve">The feedback of stakeholders will be considered in finalising the drug test rules. </w:t>
      </w:r>
    </w:p>
    <w:p w14:paraId="5845C7D4" w14:textId="2C879073" w:rsidR="00FF3902" w:rsidRPr="002F2C55" w:rsidRDefault="00FF3902" w:rsidP="00FF3902">
      <w:pPr>
        <w:pStyle w:val="SubmissionNormal"/>
        <w:numPr>
          <w:ilvl w:val="0"/>
          <w:numId w:val="0"/>
        </w:numPr>
        <w:ind w:left="1440"/>
        <w:rPr>
          <w:rFonts w:cs="Open Sans"/>
          <w:sz w:val="22"/>
          <w:szCs w:val="22"/>
        </w:rPr>
      </w:pPr>
      <w:r w:rsidRPr="002F2C55">
        <w:rPr>
          <w:rFonts w:cs="Open Sans"/>
          <w:sz w:val="22"/>
          <w:szCs w:val="22"/>
        </w:rPr>
        <w:t>The minimum requirements, including qualifications, of the drug test provider and its officers will also be set out in the drug test rules.</w:t>
      </w:r>
      <w:r w:rsidR="00474A86" w:rsidRPr="002F2C55">
        <w:rPr>
          <w:rFonts w:cs="Open Sans"/>
          <w:sz w:val="22"/>
          <w:szCs w:val="22"/>
        </w:rPr>
        <w:t xml:space="preserve"> </w:t>
      </w:r>
      <w:r w:rsidRPr="002F2C55">
        <w:rPr>
          <w:rFonts w:cs="Open Sans"/>
          <w:sz w:val="22"/>
          <w:szCs w:val="22"/>
        </w:rPr>
        <w:t>While the drug test rules have not been finalised at this stage, it is intended that the drug testing provider will need to deliver testing services in accordance with the relevant Australian Standards (where these exist.) These are the AS/NZS 4308:2008 Procedures for specimen collection and the detection and quantitation of drugs of abuse in urine and AS4760:2019 Procedures for specimen collection and the detection and quantitation of drugs in oral fluid.</w:t>
      </w:r>
      <w:r w:rsidR="00474A86" w:rsidRPr="002F2C55">
        <w:rPr>
          <w:rFonts w:cs="Open Sans"/>
          <w:sz w:val="22"/>
          <w:szCs w:val="22"/>
        </w:rPr>
        <w:t xml:space="preserve"> </w:t>
      </w:r>
      <w:r w:rsidRPr="002F2C55">
        <w:rPr>
          <w:rFonts w:cs="Open Sans"/>
          <w:sz w:val="22"/>
          <w:szCs w:val="22"/>
        </w:rPr>
        <w:t>These standards can be obtained, for a fee, from the Standards Australia website at www.standards.org.au.</w:t>
      </w:r>
      <w:r w:rsidR="00474A86" w:rsidRPr="002F2C55">
        <w:rPr>
          <w:rFonts w:cs="Open Sans"/>
          <w:sz w:val="22"/>
          <w:szCs w:val="22"/>
        </w:rPr>
        <w:t xml:space="preserve"> </w:t>
      </w:r>
      <w:r w:rsidRPr="002F2C55">
        <w:rPr>
          <w:rFonts w:cs="Open Sans"/>
          <w:sz w:val="22"/>
          <w:szCs w:val="22"/>
        </w:rPr>
        <w:t xml:space="preserve">Alternatively, copies of the Standards are available for viewing at the department on request. </w:t>
      </w:r>
    </w:p>
    <w:p w14:paraId="081000F0" w14:textId="677D353E" w:rsidR="00FF3902" w:rsidRPr="002F2C55" w:rsidRDefault="00FF3902" w:rsidP="00FF3902">
      <w:pPr>
        <w:pStyle w:val="SubmissionNormal"/>
        <w:numPr>
          <w:ilvl w:val="0"/>
          <w:numId w:val="0"/>
        </w:numPr>
        <w:ind w:left="1440"/>
        <w:rPr>
          <w:rFonts w:cs="Open Sans"/>
          <w:sz w:val="22"/>
          <w:szCs w:val="22"/>
        </w:rPr>
      </w:pPr>
      <w:r w:rsidRPr="002F2C55">
        <w:rPr>
          <w:rFonts w:cs="Open Sans"/>
          <w:sz w:val="22"/>
          <w:szCs w:val="22"/>
        </w:rPr>
        <w:t>It is also intended that the provider will be required by the drug test rules to utilise authorised laboratories (that is, those accredited by the National Association of Testing Authorities, Australia) and to use authorised analysts and collecting agencies for the purposes of analysing the results of samples taken for drug testing.</w:t>
      </w:r>
      <w:r w:rsidR="00474A86" w:rsidRPr="002F2C55">
        <w:rPr>
          <w:rFonts w:cs="Open Sans"/>
          <w:sz w:val="22"/>
          <w:szCs w:val="22"/>
        </w:rPr>
        <w:t xml:space="preserve"> </w:t>
      </w:r>
    </w:p>
    <w:p w14:paraId="6900A065" w14:textId="77777777" w:rsidR="00FF3902" w:rsidRPr="002F2C55" w:rsidRDefault="00FF3902" w:rsidP="00FF3902">
      <w:pPr>
        <w:pStyle w:val="SubmissionNormal"/>
        <w:numPr>
          <w:ilvl w:val="0"/>
          <w:numId w:val="0"/>
        </w:numPr>
        <w:ind w:left="1440"/>
        <w:rPr>
          <w:rFonts w:cs="Open Sans"/>
          <w:sz w:val="22"/>
          <w:szCs w:val="22"/>
        </w:rPr>
      </w:pPr>
      <w:r w:rsidRPr="002F2C55">
        <w:rPr>
          <w:rFonts w:cs="Open Sans"/>
          <w:sz w:val="22"/>
          <w:szCs w:val="22"/>
        </w:rPr>
        <w:t xml:space="preserve"> …</w:t>
      </w:r>
    </w:p>
    <w:p w14:paraId="58163F25" w14:textId="79911F92" w:rsidR="00FF3902" w:rsidRPr="002F2C55" w:rsidRDefault="00FF3902" w:rsidP="00FF3902">
      <w:pPr>
        <w:pStyle w:val="SubmissionNormal"/>
        <w:numPr>
          <w:ilvl w:val="0"/>
          <w:numId w:val="0"/>
        </w:numPr>
        <w:ind w:left="1440"/>
        <w:rPr>
          <w:rFonts w:cs="Open Sans"/>
          <w:sz w:val="22"/>
          <w:szCs w:val="22"/>
        </w:rPr>
      </w:pPr>
      <w:r w:rsidRPr="002F2C55">
        <w:rPr>
          <w:rFonts w:cs="Open Sans"/>
          <w:sz w:val="22"/>
          <w:szCs w:val="22"/>
        </w:rPr>
        <w:t xml:space="preserve"> An exposure draft copy of the Social Security (Drug Test) Rules was tabled by the department when it appeared at the hearings for the Senate Community Affairs Legislation Committee’s inquiry into the Social Services Legislation Amendment (Welfare Reform) Bill 2017 on 30 August 2017.</w:t>
      </w:r>
      <w:r w:rsidR="00474A86" w:rsidRPr="002F2C55">
        <w:rPr>
          <w:rFonts w:cs="Open Sans"/>
          <w:sz w:val="22"/>
          <w:szCs w:val="22"/>
        </w:rPr>
        <w:t xml:space="preserve"> </w:t>
      </w:r>
      <w:r w:rsidRPr="002F2C55">
        <w:rPr>
          <w:rFonts w:cs="Open Sans"/>
          <w:sz w:val="22"/>
          <w:szCs w:val="22"/>
        </w:rPr>
        <w:t xml:space="preserve">The drug test rules remain subject to change, including after consideration of any information obtained from the procured drug testing provider. </w:t>
      </w:r>
    </w:p>
    <w:p w14:paraId="68816354" w14:textId="142092AC" w:rsidR="00FF3902" w:rsidRPr="002F2C55" w:rsidRDefault="00FF3902" w:rsidP="00BA6424">
      <w:pPr>
        <w:pStyle w:val="ListParagraph"/>
        <w:numPr>
          <w:ilvl w:val="0"/>
          <w:numId w:val="16"/>
        </w:numPr>
        <w:rPr>
          <w:rFonts w:cs="Open Sans"/>
        </w:rPr>
      </w:pPr>
      <w:r w:rsidRPr="002F2C55">
        <w:rPr>
          <w:rFonts w:cs="Open Sans"/>
        </w:rPr>
        <w:t xml:space="preserve">Given the broad discretion afforded to the Minister to make relevant rules, the significant human rights issues associated with the Bill, and the fact that Executive-made rules may not be subject to the same level of scrutiny as legislative action by the Parliament, </w:t>
      </w:r>
      <w:r w:rsidR="00E44D80" w:rsidRPr="002F2C55">
        <w:rPr>
          <w:rFonts w:cs="Open Sans"/>
        </w:rPr>
        <w:t xml:space="preserve">at the very least </w:t>
      </w:r>
      <w:r w:rsidRPr="002F2C55">
        <w:rPr>
          <w:rFonts w:cs="Open Sans"/>
        </w:rPr>
        <w:t>the Commission recommends that broad consultation should take place in relation to the Drug Test Rules before they are finalised.</w:t>
      </w:r>
    </w:p>
    <w:p w14:paraId="46CC7524" w14:textId="18078F22" w:rsidR="00FF3902" w:rsidRPr="002F2C55" w:rsidRDefault="00FF3902" w:rsidP="00024CDA">
      <w:pPr>
        <w:pStyle w:val="SubmissionNormal"/>
        <w:numPr>
          <w:ilvl w:val="0"/>
          <w:numId w:val="43"/>
        </w:numPr>
        <w:rPr>
          <w:rFonts w:cs="Open Sans"/>
          <w:b/>
        </w:rPr>
      </w:pPr>
      <w:r w:rsidRPr="002F2C55">
        <w:rPr>
          <w:rFonts w:cs="Open Sans"/>
          <w:b/>
        </w:rPr>
        <w:t>In the event that the Social Services Legislation Amendment (Drug Testing Trial) Bill 2019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 the Australian </w:t>
      </w:r>
      <w:r w:rsidRPr="002F2C55">
        <w:rPr>
          <w:rFonts w:cs="Open Sans"/>
          <w:b/>
        </w:rPr>
        <w:lastRenderedPageBreak/>
        <w:t xml:space="preserve">Government should consult widely on the Drug Testing Rules including with human rights bodies. </w:t>
      </w:r>
    </w:p>
    <w:p w14:paraId="3CD596EF" w14:textId="0E39136A" w:rsidR="00B160BA" w:rsidRPr="002F2C55" w:rsidRDefault="00B160BA" w:rsidP="00B160BA">
      <w:pPr>
        <w:pStyle w:val="Heading2"/>
        <w:rPr>
          <w:rFonts w:cs="Open Sans"/>
        </w:rPr>
      </w:pPr>
      <w:bookmarkStart w:id="60" w:name="_Toc20838322"/>
      <w:r w:rsidRPr="002F2C55">
        <w:rPr>
          <w:rFonts w:cs="Open Sans"/>
        </w:rPr>
        <w:t>E</w:t>
      </w:r>
      <w:r w:rsidR="00BA490D" w:rsidRPr="002F2C55">
        <w:rPr>
          <w:rFonts w:cs="Open Sans"/>
        </w:rPr>
        <w:t>valuation</w:t>
      </w:r>
      <w:r w:rsidRPr="002F2C55">
        <w:rPr>
          <w:rFonts w:cs="Open Sans"/>
        </w:rPr>
        <w:t xml:space="preserve"> and ex</w:t>
      </w:r>
      <w:r w:rsidR="00BA490D" w:rsidRPr="002F2C55">
        <w:rPr>
          <w:rFonts w:cs="Open Sans"/>
        </w:rPr>
        <w:t>pansion</w:t>
      </w:r>
      <w:r w:rsidRPr="002F2C55">
        <w:rPr>
          <w:rFonts w:cs="Open Sans"/>
        </w:rPr>
        <w:t xml:space="preserve"> of trial</w:t>
      </w:r>
      <w:bookmarkEnd w:id="53"/>
      <w:bookmarkEnd w:id="60"/>
    </w:p>
    <w:p w14:paraId="3394870A" w14:textId="1CB9D2BD" w:rsidR="004A28D7" w:rsidRPr="002F2C55" w:rsidRDefault="00F17201" w:rsidP="00BA6424">
      <w:pPr>
        <w:pStyle w:val="ListParagraph"/>
        <w:numPr>
          <w:ilvl w:val="0"/>
          <w:numId w:val="16"/>
        </w:numPr>
        <w:rPr>
          <w:rFonts w:cs="Open Sans"/>
        </w:rPr>
      </w:pPr>
      <w:r w:rsidRPr="002F2C55">
        <w:rPr>
          <w:rFonts w:cs="Open Sans"/>
        </w:rPr>
        <w:t>T</w:t>
      </w:r>
      <w:r w:rsidR="00B160BA" w:rsidRPr="002F2C55">
        <w:rPr>
          <w:rFonts w:cs="Open Sans"/>
        </w:rPr>
        <w:t>he Bill proposes a trial</w:t>
      </w:r>
      <w:r w:rsidRPr="002F2C55">
        <w:rPr>
          <w:rFonts w:cs="Open Sans"/>
        </w:rPr>
        <w:t xml:space="preserve"> of the proposed drug testing scheme.</w:t>
      </w:r>
      <w:r w:rsidR="00B160BA" w:rsidRPr="002F2C55">
        <w:rPr>
          <w:rFonts w:cs="Open Sans"/>
        </w:rPr>
        <w:t xml:space="preserve"> </w:t>
      </w:r>
      <w:r w:rsidRPr="002F2C55">
        <w:rPr>
          <w:rFonts w:cs="Open Sans"/>
        </w:rPr>
        <w:t>T</w:t>
      </w:r>
      <w:r w:rsidR="00B160BA" w:rsidRPr="002F2C55">
        <w:rPr>
          <w:rFonts w:cs="Open Sans"/>
        </w:rPr>
        <w:t xml:space="preserve">he Commission considers it critical that </w:t>
      </w:r>
      <w:r w:rsidR="0083599F" w:rsidRPr="002F2C55">
        <w:rPr>
          <w:rFonts w:cs="Open Sans"/>
        </w:rPr>
        <w:t>an evaluation</w:t>
      </w:r>
      <w:r w:rsidR="00B160BA" w:rsidRPr="002F2C55">
        <w:rPr>
          <w:rFonts w:cs="Open Sans"/>
        </w:rPr>
        <w:t xml:space="preserve"> of the effectiveness </w:t>
      </w:r>
      <w:r w:rsidR="0083599F" w:rsidRPr="002F2C55">
        <w:rPr>
          <w:rFonts w:cs="Open Sans"/>
        </w:rPr>
        <w:t xml:space="preserve">and impacts </w:t>
      </w:r>
      <w:r w:rsidR="00B160BA" w:rsidRPr="002F2C55">
        <w:rPr>
          <w:rFonts w:cs="Open Sans"/>
        </w:rPr>
        <w:t xml:space="preserve">of the trial be </w:t>
      </w:r>
      <w:r w:rsidR="008E3E4B" w:rsidRPr="002F2C55">
        <w:rPr>
          <w:rFonts w:cs="Open Sans"/>
        </w:rPr>
        <w:t xml:space="preserve">conducted by an independent, appropriately qualified </w:t>
      </w:r>
      <w:r w:rsidR="0083599F" w:rsidRPr="002F2C55">
        <w:rPr>
          <w:rFonts w:cs="Open Sans"/>
        </w:rPr>
        <w:t>expert</w:t>
      </w:r>
      <w:r w:rsidR="0040421F" w:rsidRPr="002F2C55">
        <w:rPr>
          <w:rFonts w:cs="Open Sans"/>
        </w:rPr>
        <w:t xml:space="preserve"> research</w:t>
      </w:r>
      <w:r w:rsidR="0083599F" w:rsidRPr="002F2C55">
        <w:rPr>
          <w:rFonts w:cs="Open Sans"/>
        </w:rPr>
        <w:t xml:space="preserve"> </w:t>
      </w:r>
      <w:r w:rsidR="004A28D7" w:rsidRPr="002F2C55">
        <w:rPr>
          <w:rFonts w:cs="Open Sans"/>
        </w:rPr>
        <w:t>body</w:t>
      </w:r>
      <w:r w:rsidR="008E662E" w:rsidRPr="002F2C55">
        <w:rPr>
          <w:rFonts w:cs="Open Sans"/>
        </w:rPr>
        <w:t xml:space="preserve"> </w:t>
      </w:r>
      <w:bookmarkStart w:id="61" w:name="_Hlk20482249"/>
      <w:r w:rsidR="0040421F" w:rsidRPr="002F2C55">
        <w:rPr>
          <w:rFonts w:cs="Open Sans"/>
        </w:rPr>
        <w:t>on the basis of</w:t>
      </w:r>
      <w:r w:rsidR="008E662E" w:rsidRPr="002F2C55">
        <w:rPr>
          <w:rFonts w:cs="Open Sans"/>
        </w:rPr>
        <w:t xml:space="preserve"> both quantitative and qualitative </w:t>
      </w:r>
      <w:r w:rsidR="0040421F" w:rsidRPr="002F2C55">
        <w:rPr>
          <w:rFonts w:cs="Open Sans"/>
        </w:rPr>
        <w:t>indicators</w:t>
      </w:r>
      <w:r w:rsidR="00283C0A" w:rsidRPr="002F2C55">
        <w:rPr>
          <w:rFonts w:cs="Open Sans"/>
        </w:rPr>
        <w:t>.</w:t>
      </w:r>
      <w:r w:rsidR="008E3E4B" w:rsidRPr="002F2C55">
        <w:rPr>
          <w:rFonts w:cs="Open Sans"/>
        </w:rPr>
        <w:t xml:space="preserve"> </w:t>
      </w:r>
    </w:p>
    <w:bookmarkEnd w:id="61"/>
    <w:p w14:paraId="690C1687" w14:textId="627C9824" w:rsidR="00B160BA" w:rsidRPr="002F2C55" w:rsidRDefault="008E3E4B" w:rsidP="00BA6424">
      <w:pPr>
        <w:pStyle w:val="ListParagraph"/>
        <w:numPr>
          <w:ilvl w:val="0"/>
          <w:numId w:val="16"/>
        </w:numPr>
        <w:rPr>
          <w:rFonts w:cs="Open Sans"/>
        </w:rPr>
      </w:pPr>
      <w:r w:rsidRPr="002F2C55">
        <w:rPr>
          <w:rFonts w:cs="Open Sans"/>
        </w:rPr>
        <w:t xml:space="preserve">The Commission considers that the </w:t>
      </w:r>
      <w:r w:rsidR="004A28D7" w:rsidRPr="002F2C55">
        <w:rPr>
          <w:rFonts w:cs="Open Sans"/>
        </w:rPr>
        <w:t xml:space="preserve">evaluation </w:t>
      </w:r>
      <w:r w:rsidRPr="002F2C55">
        <w:rPr>
          <w:rFonts w:cs="Open Sans"/>
        </w:rPr>
        <w:t>body should consider</w:t>
      </w:r>
      <w:r w:rsidR="00B160BA" w:rsidRPr="002F2C55">
        <w:rPr>
          <w:rFonts w:cs="Open Sans"/>
        </w:rPr>
        <w:t xml:space="preserve"> </w:t>
      </w:r>
      <w:r w:rsidR="004A28D7" w:rsidRPr="002F2C55">
        <w:rPr>
          <w:rFonts w:cs="Open Sans"/>
        </w:rPr>
        <w:t xml:space="preserve">the </w:t>
      </w:r>
      <w:r w:rsidRPr="002F2C55">
        <w:rPr>
          <w:rFonts w:cs="Open Sans"/>
        </w:rPr>
        <w:t xml:space="preserve">impacts on and </w:t>
      </w:r>
      <w:r w:rsidR="00B160BA" w:rsidRPr="002F2C55">
        <w:rPr>
          <w:rFonts w:cs="Open Sans"/>
        </w:rPr>
        <w:t xml:space="preserve">compliance with </w:t>
      </w:r>
      <w:r w:rsidRPr="002F2C55">
        <w:rPr>
          <w:rFonts w:cs="Open Sans"/>
        </w:rPr>
        <w:t xml:space="preserve">Australia’s </w:t>
      </w:r>
      <w:r w:rsidR="00B160BA" w:rsidRPr="002F2C55">
        <w:rPr>
          <w:rFonts w:cs="Open Sans"/>
        </w:rPr>
        <w:t>human rights</w:t>
      </w:r>
      <w:r w:rsidRPr="002F2C55">
        <w:rPr>
          <w:rFonts w:cs="Open Sans"/>
        </w:rPr>
        <w:t xml:space="preserve"> obligations, as part of the assessment of the effectiveness of the program</w:t>
      </w:r>
      <w:r w:rsidR="00B160BA" w:rsidRPr="002F2C55">
        <w:rPr>
          <w:rFonts w:cs="Open Sans"/>
        </w:rPr>
        <w:t xml:space="preserve">. </w:t>
      </w:r>
      <w:r w:rsidR="004A28D7" w:rsidRPr="002F2C55">
        <w:rPr>
          <w:rFonts w:cs="Open Sans"/>
        </w:rPr>
        <w:t>The evaluation report should be made publicly available for review</w:t>
      </w:r>
      <w:r w:rsidR="008064D5" w:rsidRPr="002F2C55">
        <w:rPr>
          <w:rFonts w:cs="Open Sans"/>
        </w:rPr>
        <w:t xml:space="preserve"> by stakeholders</w:t>
      </w:r>
      <w:r w:rsidR="004A28D7" w:rsidRPr="002F2C55">
        <w:rPr>
          <w:rFonts w:cs="Open Sans"/>
        </w:rPr>
        <w:t>.</w:t>
      </w:r>
      <w:r w:rsidR="00A5797A" w:rsidRPr="002F2C55">
        <w:rPr>
          <w:rFonts w:cs="Open Sans"/>
        </w:rPr>
        <w:t xml:space="preserve"> These views align with recommendations previously made by the Committee with respect to the evaluation strategy for the trial and need for public reporting of the results of the trial.</w:t>
      </w:r>
      <w:r w:rsidR="00A5797A" w:rsidRPr="002F2C55">
        <w:rPr>
          <w:rStyle w:val="EndnoteReference"/>
          <w:rFonts w:cs="Open Sans"/>
        </w:rPr>
        <w:endnoteReference w:id="52"/>
      </w:r>
    </w:p>
    <w:p w14:paraId="0FC932BB" w14:textId="0CD97F55" w:rsidR="00B160BA" w:rsidRPr="002F2C55" w:rsidRDefault="008064D5" w:rsidP="00BA6424">
      <w:pPr>
        <w:pStyle w:val="ListParagraph"/>
        <w:numPr>
          <w:ilvl w:val="0"/>
          <w:numId w:val="16"/>
        </w:numPr>
        <w:rPr>
          <w:rFonts w:cs="Open Sans"/>
        </w:rPr>
      </w:pPr>
      <w:r w:rsidRPr="002F2C55">
        <w:rPr>
          <w:rFonts w:cs="Open Sans"/>
        </w:rPr>
        <w:t>T</w:t>
      </w:r>
      <w:r w:rsidR="00B160BA" w:rsidRPr="002F2C55">
        <w:rPr>
          <w:rFonts w:cs="Open Sans"/>
        </w:rPr>
        <w:t xml:space="preserve">he Commission </w:t>
      </w:r>
      <w:r w:rsidRPr="002F2C55">
        <w:rPr>
          <w:rFonts w:cs="Open Sans"/>
        </w:rPr>
        <w:t xml:space="preserve">would welcome a public consultation process to inform any </w:t>
      </w:r>
      <w:r w:rsidR="00B160BA" w:rsidRPr="002F2C55">
        <w:rPr>
          <w:rFonts w:cs="Open Sans"/>
        </w:rPr>
        <w:t>consider</w:t>
      </w:r>
      <w:r w:rsidRPr="002F2C55">
        <w:rPr>
          <w:rFonts w:cs="Open Sans"/>
        </w:rPr>
        <w:t xml:space="preserve">ation of an </w:t>
      </w:r>
      <w:r w:rsidR="00B160BA" w:rsidRPr="002F2C55">
        <w:rPr>
          <w:rFonts w:cs="Open Sans"/>
        </w:rPr>
        <w:t>expansion of the trial or extension of its duration.</w:t>
      </w:r>
      <w:r w:rsidRPr="002F2C55">
        <w:rPr>
          <w:rFonts w:cs="Open Sans"/>
        </w:rPr>
        <w:t xml:space="preserve"> </w:t>
      </w:r>
      <w:r w:rsidR="008E338B" w:rsidRPr="002F2C55">
        <w:rPr>
          <w:rFonts w:cs="Open Sans"/>
        </w:rPr>
        <w:t xml:space="preserve">It considers that any expansion or extension of the trial should only occur following </w:t>
      </w:r>
      <w:r w:rsidR="009D526B" w:rsidRPr="002F2C55">
        <w:rPr>
          <w:rFonts w:cs="Open Sans"/>
        </w:rPr>
        <w:t xml:space="preserve">a positive report on the effectiveness of the trial and improved human rights outcomes, and with the support of key </w:t>
      </w:r>
      <w:r w:rsidR="00716ED4" w:rsidRPr="002F2C55">
        <w:rPr>
          <w:rFonts w:cs="Open Sans"/>
        </w:rPr>
        <w:t>stakeholders after public consultation.</w:t>
      </w:r>
    </w:p>
    <w:p w14:paraId="0EF6A198" w14:textId="7265B3AE" w:rsidR="00CA1F90" w:rsidRPr="002F2C55" w:rsidRDefault="00CA1F90" w:rsidP="00BA6424">
      <w:pPr>
        <w:pStyle w:val="ListParagraph"/>
        <w:numPr>
          <w:ilvl w:val="0"/>
          <w:numId w:val="16"/>
        </w:numPr>
        <w:rPr>
          <w:rFonts w:cs="Open Sans"/>
        </w:rPr>
      </w:pPr>
      <w:r w:rsidRPr="002F2C55">
        <w:rPr>
          <w:rFonts w:cs="Open Sans"/>
        </w:rPr>
        <w:t xml:space="preserve">To help ensure that the human rights of affected persons are being adequately protected and realised throughout the trial, the Commission would also </w:t>
      </w:r>
      <w:r w:rsidR="004E7F6D" w:rsidRPr="002F2C55">
        <w:rPr>
          <w:rFonts w:cs="Open Sans"/>
        </w:rPr>
        <w:t>support a review of the trial for compliance with Australia’s international human rights obligations one year after commencement.</w:t>
      </w:r>
    </w:p>
    <w:p w14:paraId="34ABE2D0" w14:textId="750AD7ED" w:rsidR="00B160BA" w:rsidRPr="002F2C55" w:rsidRDefault="00B160BA" w:rsidP="00024CDA">
      <w:pPr>
        <w:pStyle w:val="SubmissionNormal"/>
        <w:numPr>
          <w:ilvl w:val="0"/>
          <w:numId w:val="43"/>
        </w:numPr>
        <w:rPr>
          <w:rFonts w:cs="Open Sans"/>
          <w:b/>
        </w:rPr>
      </w:pPr>
      <w:bookmarkStart w:id="62" w:name="_Hlk20486803"/>
      <w:r w:rsidRPr="002F2C55">
        <w:rPr>
          <w:rFonts w:cs="Open Sans"/>
          <w:b/>
        </w:rPr>
        <w:t>In the event that the Social Services Legislation Amendment (Drug Testing Trial) Bill 201</w:t>
      </w:r>
      <w:r w:rsidR="0040421F" w:rsidRPr="002F2C55">
        <w:rPr>
          <w:rFonts w:cs="Open Sans"/>
          <w:b/>
        </w:rPr>
        <w:t>9</w:t>
      </w:r>
      <w:r w:rsidR="00C51DBB" w:rsidRPr="002F2C55">
        <w:rPr>
          <w:rFonts w:cs="Open Sans"/>
          <w:b/>
        </w:rPr>
        <w:t xml:space="preserve"> (</w:t>
      </w:r>
      <w:proofErr w:type="spellStart"/>
      <w:r w:rsidR="00C51DBB" w:rsidRPr="002F2C55">
        <w:rPr>
          <w:rFonts w:cs="Open Sans"/>
          <w:b/>
        </w:rPr>
        <w:t>Cth</w:t>
      </w:r>
      <w:proofErr w:type="spellEnd"/>
      <w:r w:rsidR="00C51DBB" w:rsidRPr="002F2C55">
        <w:rPr>
          <w:rFonts w:cs="Open Sans"/>
          <w:b/>
        </w:rPr>
        <w:t>)</w:t>
      </w:r>
      <w:r w:rsidRPr="002F2C55">
        <w:rPr>
          <w:rFonts w:cs="Open Sans"/>
          <w:b/>
        </w:rPr>
        <w:t xml:space="preserve"> proceeds: </w:t>
      </w:r>
    </w:p>
    <w:bookmarkEnd w:id="62"/>
    <w:p w14:paraId="135E097B" w14:textId="2620000E" w:rsidR="0040421F" w:rsidRPr="002F2C55" w:rsidRDefault="0040421F" w:rsidP="00024CDA">
      <w:pPr>
        <w:pStyle w:val="ListParagraph"/>
        <w:numPr>
          <w:ilvl w:val="0"/>
          <w:numId w:val="46"/>
        </w:numPr>
        <w:rPr>
          <w:rFonts w:eastAsia="Times New Roman" w:cs="Open Sans"/>
          <w:b/>
        </w:rPr>
      </w:pPr>
      <w:r w:rsidRPr="002F2C55">
        <w:rPr>
          <w:rFonts w:cs="Open Sans"/>
          <w:b/>
        </w:rPr>
        <w:t>an evaluation of the</w:t>
      </w:r>
      <w:r w:rsidRPr="002F2C55">
        <w:rPr>
          <w:rFonts w:eastAsia="Times New Roman" w:cs="Open Sans"/>
          <w:b/>
        </w:rPr>
        <w:t xml:space="preserve"> effectiveness and impacts of the trial should be conducted by an independent, appropriately qualified expert research body on the basis of both quantitative and qualitative indicators</w:t>
      </w:r>
    </w:p>
    <w:p w14:paraId="10348947" w14:textId="4D5823BF" w:rsidR="0040421F" w:rsidRPr="002F2C55" w:rsidRDefault="00070D03" w:rsidP="00024CDA">
      <w:pPr>
        <w:pStyle w:val="ListParagraph"/>
        <w:numPr>
          <w:ilvl w:val="0"/>
          <w:numId w:val="46"/>
        </w:numPr>
        <w:rPr>
          <w:rFonts w:eastAsia="Times New Roman" w:cs="Open Sans"/>
          <w:b/>
        </w:rPr>
      </w:pPr>
      <w:r w:rsidRPr="002F2C55">
        <w:rPr>
          <w:rFonts w:eastAsia="Times New Roman" w:cs="Open Sans"/>
          <w:b/>
        </w:rPr>
        <w:t>the evaluation body should consider the impacts on and compliance with Australia’s human rights obligations, as part of the assessment of the effectiveness of the program</w:t>
      </w:r>
    </w:p>
    <w:p w14:paraId="49604641" w14:textId="01A994DA" w:rsidR="00070D03" w:rsidRPr="002F2C55" w:rsidRDefault="00070D03" w:rsidP="00024CDA">
      <w:pPr>
        <w:pStyle w:val="ListParagraph"/>
        <w:numPr>
          <w:ilvl w:val="0"/>
          <w:numId w:val="46"/>
        </w:numPr>
        <w:rPr>
          <w:rFonts w:eastAsia="Times New Roman" w:cs="Open Sans"/>
          <w:b/>
        </w:rPr>
      </w:pPr>
      <w:r w:rsidRPr="002F2C55">
        <w:rPr>
          <w:rFonts w:eastAsia="Times New Roman" w:cs="Open Sans"/>
          <w:b/>
        </w:rPr>
        <w:lastRenderedPageBreak/>
        <w:t>the evaluation report should be made publicly available for review by stakeholders</w:t>
      </w:r>
    </w:p>
    <w:p w14:paraId="1782F8E1" w14:textId="77777777" w:rsidR="009867F4" w:rsidRPr="002F2C55" w:rsidRDefault="009867F4" w:rsidP="00024CDA">
      <w:pPr>
        <w:pStyle w:val="ListParagraph"/>
        <w:numPr>
          <w:ilvl w:val="0"/>
          <w:numId w:val="46"/>
        </w:numPr>
        <w:rPr>
          <w:rFonts w:eastAsia="Times New Roman" w:cs="Open Sans"/>
          <w:b/>
        </w:rPr>
      </w:pPr>
      <w:r w:rsidRPr="002F2C55">
        <w:rPr>
          <w:rFonts w:eastAsia="Times New Roman" w:cs="Open Sans"/>
          <w:b/>
        </w:rPr>
        <w:t>a public consultation process should inform any consideration of an expansion of the trial or extension of its duration</w:t>
      </w:r>
    </w:p>
    <w:p w14:paraId="75AF5CEE" w14:textId="114F23F7" w:rsidR="0040421F" w:rsidRPr="002F2C55" w:rsidRDefault="009867F4" w:rsidP="00024CDA">
      <w:pPr>
        <w:pStyle w:val="ListParagraph"/>
        <w:numPr>
          <w:ilvl w:val="0"/>
          <w:numId w:val="46"/>
        </w:numPr>
        <w:rPr>
          <w:rFonts w:eastAsia="Times New Roman" w:cs="Open Sans"/>
          <w:b/>
        </w:rPr>
      </w:pPr>
      <w:r w:rsidRPr="002F2C55">
        <w:rPr>
          <w:rFonts w:eastAsia="Times New Roman" w:cs="Open Sans"/>
          <w:b/>
        </w:rPr>
        <w:t>any expansion or extension of the trial should only occur following a positive report on the effectiveness of the trial and improved human rights outcomes, and with the support of key stakeholders</w:t>
      </w:r>
    </w:p>
    <w:p w14:paraId="15F54AE9" w14:textId="683F1AA3" w:rsidR="00C86324" w:rsidRPr="002F2C55" w:rsidRDefault="00493C78" w:rsidP="00024CDA">
      <w:pPr>
        <w:pStyle w:val="SubmissionNormal"/>
        <w:numPr>
          <w:ilvl w:val="0"/>
          <w:numId w:val="46"/>
        </w:numPr>
        <w:rPr>
          <w:rFonts w:cs="Open Sans"/>
          <w:b/>
        </w:rPr>
      </w:pPr>
      <w:r w:rsidRPr="002F2C55">
        <w:rPr>
          <w:rFonts w:cs="Open Sans"/>
          <w:b/>
        </w:rPr>
        <w:t xml:space="preserve">the trial should </w:t>
      </w:r>
      <w:r w:rsidR="00B160BA" w:rsidRPr="002F2C55">
        <w:rPr>
          <w:rFonts w:cs="Open Sans"/>
          <w:b/>
        </w:rPr>
        <w:t xml:space="preserve">be reviewed for </w:t>
      </w:r>
      <w:bookmarkStart w:id="63" w:name="_Hlk20482459"/>
      <w:r w:rsidR="00B160BA" w:rsidRPr="002F2C55">
        <w:rPr>
          <w:rFonts w:cs="Open Sans"/>
          <w:b/>
        </w:rPr>
        <w:t>compliance with Australia’s international human rights obligations one year after commencement</w:t>
      </w:r>
      <w:bookmarkEnd w:id="63"/>
      <w:r w:rsidR="00701D33" w:rsidRPr="002F2C55">
        <w:rPr>
          <w:rFonts w:cs="Open Sans"/>
          <w:b/>
        </w:rPr>
        <w:t>.</w:t>
      </w:r>
    </w:p>
    <w:sectPr w:rsidR="00C86324" w:rsidRPr="002F2C55"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BF83" w14:textId="77777777" w:rsidR="004E3469" w:rsidRDefault="004E3469" w:rsidP="00F14C6D">
      <w:r>
        <w:separator/>
      </w:r>
    </w:p>
  </w:endnote>
  <w:endnote w:type="continuationSeparator" w:id="0">
    <w:p w14:paraId="75A97960" w14:textId="77777777" w:rsidR="004E3469" w:rsidRDefault="004E3469" w:rsidP="00F14C6D">
      <w:r>
        <w:continuationSeparator/>
      </w:r>
    </w:p>
  </w:endnote>
  <w:endnote w:id="1">
    <w:p w14:paraId="00029838" w14:textId="71557597" w:rsidR="004E3469" w:rsidRDefault="004E3469">
      <w:pPr>
        <w:pStyle w:val="EndnoteText"/>
      </w:pPr>
      <w:r>
        <w:rPr>
          <w:rStyle w:val="EndnoteReference"/>
        </w:rPr>
        <w:endnoteRef/>
      </w:r>
      <w:r>
        <w:rPr>
          <w:rFonts w:cs="Open Sans"/>
        </w:rPr>
        <w:t xml:space="preserve"> </w:t>
      </w:r>
      <w:r>
        <w:rPr>
          <w:rFonts w:cs="Open Sans"/>
        </w:rPr>
        <w:tab/>
      </w:r>
      <w:r w:rsidRPr="00AE4E64">
        <w:rPr>
          <w:rFonts w:cs="Open Sans"/>
        </w:rPr>
        <w:t xml:space="preserve">Explanatory </w:t>
      </w:r>
      <w:r>
        <w:rPr>
          <w:rFonts w:cs="Open Sans"/>
        </w:rPr>
        <w:t>Memorandum</w:t>
      </w:r>
      <w:r w:rsidRPr="00AE4E64">
        <w:rPr>
          <w:rFonts w:cs="Open Sans"/>
        </w:rPr>
        <w:t xml:space="preserve">, </w:t>
      </w:r>
      <w:r w:rsidRPr="00252DAD">
        <w:t>Social Services Legislation Amendment (Drug Testing Trial) Bill 201</w:t>
      </w:r>
      <w:r>
        <w:t>9</w:t>
      </w:r>
      <w:r w:rsidRPr="00AE4E64">
        <w:rPr>
          <w:rFonts w:cs="Open Sans"/>
        </w:rPr>
        <w:t xml:space="preserve"> (</w:t>
      </w:r>
      <w:proofErr w:type="spellStart"/>
      <w:r w:rsidRPr="00AE4E64">
        <w:rPr>
          <w:rFonts w:cs="Open Sans"/>
        </w:rPr>
        <w:t>Cth</w:t>
      </w:r>
      <w:proofErr w:type="spellEnd"/>
      <w:r w:rsidRPr="00AE4E64">
        <w:rPr>
          <w:rFonts w:cs="Open Sans"/>
        </w:rPr>
        <w:t xml:space="preserve">) </w:t>
      </w:r>
      <w:r>
        <w:rPr>
          <w:rFonts w:cs="Open Sans"/>
        </w:rPr>
        <w:t>3</w:t>
      </w:r>
      <w:r w:rsidRPr="00AE4E64">
        <w:rPr>
          <w:rFonts w:cs="Open Sans"/>
        </w:rPr>
        <w:t>.</w:t>
      </w:r>
    </w:p>
  </w:endnote>
  <w:endnote w:id="2">
    <w:p w14:paraId="57F65438" w14:textId="1FF63E9F" w:rsidR="004E3469" w:rsidRDefault="004E3469">
      <w:pPr>
        <w:pStyle w:val="EndnoteText"/>
      </w:pPr>
      <w:r>
        <w:rPr>
          <w:rStyle w:val="EndnoteReference"/>
        </w:rPr>
        <w:endnoteRef/>
      </w:r>
      <w:r>
        <w:t xml:space="preserve"> Australian Human Rights Commission, </w:t>
      </w:r>
      <w:r w:rsidRPr="00AE4E64">
        <w:rPr>
          <w:rFonts w:cs="Open Sans"/>
          <w:lang w:val="en-US"/>
        </w:rPr>
        <w:t xml:space="preserve">Submission to </w:t>
      </w:r>
      <w:r>
        <w:rPr>
          <w:rFonts w:cs="Open Sans"/>
          <w:lang w:val="en-US"/>
        </w:rPr>
        <w:t xml:space="preserve">the </w:t>
      </w:r>
      <w:r w:rsidRPr="00AE4E64">
        <w:rPr>
          <w:rFonts w:cs="Open Sans"/>
          <w:lang w:val="en-US"/>
        </w:rPr>
        <w:t xml:space="preserve">Senate Community Affairs Legislation Committee, </w:t>
      </w:r>
      <w:r w:rsidRPr="00252DAD">
        <w:t>Social Services Legislation Amendment (Drug Testing Trial) Bill 201</w:t>
      </w:r>
      <w:r>
        <w:t>8</w:t>
      </w:r>
      <w:r w:rsidRPr="00AE4E64">
        <w:rPr>
          <w:rFonts w:cs="Open Sans"/>
        </w:rPr>
        <w:t xml:space="preserve"> </w:t>
      </w:r>
      <w:r w:rsidRPr="00AE4E64">
        <w:rPr>
          <w:rFonts w:cs="Open Sans"/>
          <w:lang w:val="en-US"/>
        </w:rPr>
        <w:t>(</w:t>
      </w:r>
      <w:proofErr w:type="spellStart"/>
      <w:r w:rsidRPr="00AE4E64">
        <w:rPr>
          <w:rFonts w:cs="Open Sans"/>
          <w:lang w:val="en-US"/>
        </w:rPr>
        <w:t>Cth</w:t>
      </w:r>
      <w:proofErr w:type="spellEnd"/>
      <w:r w:rsidRPr="00AE4E64">
        <w:rPr>
          <w:rFonts w:cs="Open Sans"/>
          <w:lang w:val="en-US"/>
        </w:rPr>
        <w:t>)</w:t>
      </w:r>
      <w:r>
        <w:rPr>
          <w:rFonts w:cs="Open Sans"/>
          <w:lang w:val="en-US"/>
        </w:rPr>
        <w:t xml:space="preserve"> (11 April</w:t>
      </w:r>
      <w:r w:rsidRPr="00AE4E64">
        <w:rPr>
          <w:rFonts w:cs="Open Sans"/>
          <w:lang w:val="en-US"/>
        </w:rPr>
        <w:t xml:space="preserve"> 2018</w:t>
      </w:r>
      <w:r>
        <w:rPr>
          <w:rFonts w:cs="Open Sans"/>
          <w:lang w:val="en-US"/>
        </w:rPr>
        <w:t>).</w:t>
      </w:r>
    </w:p>
  </w:endnote>
  <w:endnote w:id="3">
    <w:p w14:paraId="2C5BD646" w14:textId="0ABF923E" w:rsidR="004E3469" w:rsidRDefault="004E3469">
      <w:pPr>
        <w:pStyle w:val="EndnoteText"/>
      </w:pPr>
      <w:r>
        <w:rPr>
          <w:rStyle w:val="EndnoteReference"/>
        </w:rPr>
        <w:endnoteRef/>
      </w:r>
      <w:r>
        <w:t xml:space="preserve"> </w:t>
      </w:r>
      <w:r>
        <w:tab/>
        <w:t>The Commission also notes that a</w:t>
      </w:r>
      <w:r w:rsidRPr="0063612A">
        <w:t xml:space="preserve"> mandatory drug testing trial was previously proposed in Schedule 12 of the Social Services Legislation Amendment (Welfare Reform) Bill 2017 (</w:t>
      </w:r>
      <w:proofErr w:type="spellStart"/>
      <w:r w:rsidRPr="0063612A">
        <w:t>Cth</w:t>
      </w:r>
      <w:proofErr w:type="spellEnd"/>
      <w:r w:rsidRPr="0063612A">
        <w:t xml:space="preserve">). That </w:t>
      </w:r>
      <w:r>
        <w:t>B</w:t>
      </w:r>
      <w:r w:rsidRPr="0063612A">
        <w:t xml:space="preserve">ill underwent parliamentary inquiry and many concerns were raised. Schedule 12 was omitted from the Welfare Reform Bill before it passed both houses of Parliament in March 2018. </w:t>
      </w:r>
    </w:p>
  </w:endnote>
  <w:endnote w:id="4">
    <w:p w14:paraId="60BA703A" w14:textId="0AA65331" w:rsidR="004E3469" w:rsidRDefault="004E3469">
      <w:pPr>
        <w:pStyle w:val="EndnoteText"/>
      </w:pPr>
      <w:r>
        <w:rPr>
          <w:rStyle w:val="EndnoteReference"/>
        </w:rPr>
        <w:endnoteRef/>
      </w:r>
      <w:r>
        <w:t xml:space="preserve"> </w:t>
      </w:r>
      <w:r w:rsidRPr="004C3654">
        <w:rPr>
          <w:rFonts w:cs="Arial"/>
        </w:rPr>
        <w:t xml:space="preserve">Parliamentary Joint Committee on Human Rights, Parliament of Australia, </w:t>
      </w:r>
      <w:r w:rsidRPr="004C3654">
        <w:rPr>
          <w:rFonts w:cs="Arial"/>
          <w:i/>
        </w:rPr>
        <w:t xml:space="preserve">Report </w:t>
      </w:r>
      <w:r>
        <w:rPr>
          <w:rFonts w:cs="Arial"/>
          <w:i/>
        </w:rPr>
        <w:t>3 of 2018</w:t>
      </w:r>
      <w:r w:rsidRPr="004C3654">
        <w:rPr>
          <w:rFonts w:cs="Arial"/>
          <w:i/>
        </w:rPr>
        <w:t xml:space="preserve">: Human rights scrutiny report </w:t>
      </w:r>
      <w:r w:rsidRPr="004C3654">
        <w:rPr>
          <w:rFonts w:cs="Arial"/>
        </w:rPr>
        <w:t>(201</w:t>
      </w:r>
      <w:r>
        <w:rPr>
          <w:rFonts w:cs="Arial"/>
        </w:rPr>
        <w:t>8</w:t>
      </w:r>
      <w:r w:rsidRPr="004C3654">
        <w:rPr>
          <w:rFonts w:cs="Arial"/>
        </w:rPr>
        <w:t>)</w:t>
      </w:r>
      <w:r>
        <w:rPr>
          <w:rFonts w:cs="Arial"/>
        </w:rPr>
        <w:t xml:space="preserve"> 128</w:t>
      </w:r>
      <w:r w:rsidRPr="004C3654">
        <w:rPr>
          <w:rFonts w:cs="Arial"/>
        </w:rPr>
        <w:t>.</w:t>
      </w:r>
    </w:p>
  </w:endnote>
  <w:endnote w:id="5">
    <w:p w14:paraId="130E10AE" w14:textId="451FA54F" w:rsidR="004E3469" w:rsidRDefault="004E3469">
      <w:pPr>
        <w:pStyle w:val="EndnoteText"/>
      </w:pPr>
      <w:r>
        <w:rPr>
          <w:rStyle w:val="EndnoteReference"/>
        </w:rPr>
        <w:endnoteRef/>
      </w:r>
      <w:r>
        <w:t xml:space="preserve"> </w:t>
      </w:r>
      <w:r w:rsidRPr="00A5797A">
        <w:t>Senate Community Affairs Legislation Committee</w:t>
      </w:r>
      <w:r w:rsidRPr="004C3654">
        <w:rPr>
          <w:rFonts w:cs="Arial"/>
        </w:rPr>
        <w:t xml:space="preserve">, Parliament of Australia, </w:t>
      </w:r>
      <w:r w:rsidRPr="00C420A9">
        <w:rPr>
          <w:rFonts w:cs="Arial"/>
          <w:i/>
          <w:iCs/>
        </w:rPr>
        <w:t>Report of</w:t>
      </w:r>
      <w:r w:rsidRPr="00C420A9">
        <w:rPr>
          <w:i/>
          <w:iCs/>
        </w:rPr>
        <w:t xml:space="preserve"> inquiry into the Social Services Legislation Amendment (Drug Testing Trial) Bill 2018 (</w:t>
      </w:r>
      <w:proofErr w:type="spellStart"/>
      <w:r w:rsidRPr="00C420A9">
        <w:rPr>
          <w:i/>
          <w:iCs/>
        </w:rPr>
        <w:t>Cth</w:t>
      </w:r>
      <w:proofErr w:type="spellEnd"/>
      <w:r w:rsidRPr="00C420A9">
        <w:rPr>
          <w:i/>
          <w:iCs/>
        </w:rPr>
        <w:t>)</w:t>
      </w:r>
      <w:r>
        <w:t xml:space="preserve"> (May 2018), Dissenting Report by </w:t>
      </w:r>
      <w:proofErr w:type="spellStart"/>
      <w:r>
        <w:t>Labor</w:t>
      </w:r>
      <w:proofErr w:type="spellEnd"/>
      <w:r>
        <w:t xml:space="preserve"> Party Senators, 30.</w:t>
      </w:r>
    </w:p>
  </w:endnote>
  <w:endnote w:id="6">
    <w:p w14:paraId="78D714B4" w14:textId="5836F296" w:rsidR="004E3469" w:rsidRDefault="004E3469">
      <w:pPr>
        <w:pStyle w:val="EndnoteText"/>
      </w:pPr>
      <w:r>
        <w:rPr>
          <w:rStyle w:val="EndnoteReference"/>
        </w:rPr>
        <w:endnoteRef/>
      </w:r>
      <w:r>
        <w:t xml:space="preserve"> </w:t>
      </w:r>
      <w:r w:rsidRPr="00A5797A">
        <w:t>Senate Community Affairs Legislation Committee</w:t>
      </w:r>
      <w:r w:rsidRPr="004C3654">
        <w:rPr>
          <w:rFonts w:cs="Arial"/>
        </w:rPr>
        <w:t xml:space="preserve">, Parliament of Australia, </w:t>
      </w:r>
      <w:r w:rsidRPr="00C420A9">
        <w:rPr>
          <w:rFonts w:cs="Arial"/>
          <w:i/>
          <w:iCs/>
        </w:rPr>
        <w:t>Report of</w:t>
      </w:r>
      <w:r w:rsidRPr="00C420A9">
        <w:rPr>
          <w:i/>
          <w:iCs/>
        </w:rPr>
        <w:t xml:space="preserve"> inquiry into the Social Services Legislation Amendment (Drug Testing Trial) Bill 2018 (</w:t>
      </w:r>
      <w:proofErr w:type="spellStart"/>
      <w:r w:rsidRPr="00C420A9">
        <w:rPr>
          <w:i/>
          <w:iCs/>
        </w:rPr>
        <w:t>Cth</w:t>
      </w:r>
      <w:proofErr w:type="spellEnd"/>
      <w:r w:rsidRPr="00C420A9">
        <w:rPr>
          <w:i/>
          <w:iCs/>
        </w:rPr>
        <w:t>)</w:t>
      </w:r>
      <w:r>
        <w:t xml:space="preserve"> (May 2018), Dissenting Report by </w:t>
      </w:r>
      <w:proofErr w:type="spellStart"/>
      <w:r>
        <w:t>Labor</w:t>
      </w:r>
      <w:proofErr w:type="spellEnd"/>
      <w:r>
        <w:t xml:space="preserve"> Party Senators, 19.</w:t>
      </w:r>
    </w:p>
  </w:endnote>
  <w:endnote w:id="7">
    <w:p w14:paraId="051A9D37" w14:textId="1A49BA23" w:rsidR="004E3469" w:rsidRDefault="004E3469">
      <w:pPr>
        <w:pStyle w:val="EndnoteText"/>
      </w:pPr>
      <w:r>
        <w:rPr>
          <w:rStyle w:val="EndnoteReference"/>
        </w:rPr>
        <w:endnoteRef/>
      </w:r>
      <w:r>
        <w:t xml:space="preserve"> </w:t>
      </w:r>
      <w:r w:rsidRPr="00A5797A">
        <w:t>Senate Community Affairs Legislation Committee</w:t>
      </w:r>
      <w:r w:rsidRPr="004C3654">
        <w:rPr>
          <w:rFonts w:cs="Arial"/>
        </w:rPr>
        <w:t xml:space="preserve">, Parliament of Australia, </w:t>
      </w:r>
      <w:r w:rsidRPr="00C420A9">
        <w:rPr>
          <w:rFonts w:cs="Arial"/>
          <w:i/>
          <w:iCs/>
        </w:rPr>
        <w:t>Report of</w:t>
      </w:r>
      <w:r w:rsidRPr="00C420A9">
        <w:rPr>
          <w:i/>
          <w:iCs/>
        </w:rPr>
        <w:t xml:space="preserve"> inquiry into the Social Services Legislation Amendment (Drug Testing Trial) Bill 2018 (</w:t>
      </w:r>
      <w:proofErr w:type="spellStart"/>
      <w:r w:rsidRPr="00C420A9">
        <w:rPr>
          <w:i/>
          <w:iCs/>
        </w:rPr>
        <w:t>Cth</w:t>
      </w:r>
      <w:proofErr w:type="spellEnd"/>
      <w:r w:rsidRPr="00C420A9">
        <w:rPr>
          <w:i/>
          <w:iCs/>
        </w:rPr>
        <w:t>)</w:t>
      </w:r>
      <w:r>
        <w:t xml:space="preserve"> (May 2018), Dissenting Report by the Australian Greens, 31.</w:t>
      </w:r>
    </w:p>
  </w:endnote>
  <w:endnote w:id="8">
    <w:p w14:paraId="39801DAA" w14:textId="7433DC48" w:rsidR="004E3469" w:rsidRPr="00B272F7" w:rsidRDefault="004E3469" w:rsidP="00233C77">
      <w:pPr>
        <w:pStyle w:val="EndnoteText"/>
        <w:rPr>
          <w:rFonts w:cs="Arial"/>
        </w:rPr>
      </w:pPr>
      <w:r w:rsidRPr="00B272F7">
        <w:rPr>
          <w:rStyle w:val="EndnoteReference"/>
          <w:rFonts w:cs="Arial"/>
        </w:rPr>
        <w:endnoteRef/>
      </w:r>
      <w:r w:rsidRPr="00B272F7">
        <w:rPr>
          <w:rFonts w:cs="Arial"/>
        </w:rPr>
        <w:t xml:space="preserve"> Explanatory Memorandum, Social Services Legislation Amendment (Drug Testing Trial) Bill 201</w:t>
      </w:r>
      <w:r>
        <w:rPr>
          <w:rFonts w:cs="Arial"/>
        </w:rPr>
        <w:t>9</w:t>
      </w:r>
      <w:r w:rsidRPr="00B272F7">
        <w:rPr>
          <w:rFonts w:cs="Arial"/>
        </w:rPr>
        <w:t xml:space="preserve">, </w:t>
      </w:r>
      <w:r>
        <w:rPr>
          <w:rFonts w:cs="Arial"/>
        </w:rPr>
        <w:t>3–5</w:t>
      </w:r>
      <w:r w:rsidRPr="00B272F7">
        <w:rPr>
          <w:rFonts w:cs="Arial"/>
        </w:rPr>
        <w:t>.</w:t>
      </w:r>
    </w:p>
  </w:endnote>
  <w:endnote w:id="9">
    <w:p w14:paraId="55AC68BD" w14:textId="174CE566" w:rsidR="004E3469" w:rsidRPr="00B272F7" w:rsidRDefault="004E3469" w:rsidP="001D2D76">
      <w:pPr>
        <w:pStyle w:val="EndnoteText"/>
        <w:rPr>
          <w:rFonts w:cs="Arial"/>
        </w:rPr>
      </w:pPr>
      <w:r w:rsidRPr="00B272F7">
        <w:rPr>
          <w:rStyle w:val="EndnoteReference"/>
          <w:rFonts w:cs="Arial"/>
        </w:rPr>
        <w:endnoteRef/>
      </w:r>
      <w:r w:rsidRPr="00B272F7">
        <w:rPr>
          <w:rFonts w:cs="Arial"/>
        </w:rPr>
        <w:t xml:space="preserve"> Proposed s </w:t>
      </w:r>
      <w:r>
        <w:rPr>
          <w:rFonts w:cs="Arial"/>
        </w:rPr>
        <w:t>123UFAA</w:t>
      </w:r>
      <w:r w:rsidRPr="00B272F7">
        <w:rPr>
          <w:rFonts w:cs="Arial"/>
        </w:rPr>
        <w:t>(1C), Social Services Legislation Amendment (Drug Testing Trial) Bill 201</w:t>
      </w:r>
      <w:r>
        <w:rPr>
          <w:rFonts w:cs="Arial"/>
        </w:rPr>
        <w:t>9</w:t>
      </w:r>
      <w:r w:rsidRPr="00B272F7">
        <w:rPr>
          <w:rFonts w:cs="Arial"/>
        </w:rPr>
        <w:t xml:space="preserve">. </w:t>
      </w:r>
    </w:p>
  </w:endnote>
  <w:endnote w:id="10">
    <w:p w14:paraId="5296858E" w14:textId="77777777" w:rsidR="004E3469" w:rsidRPr="00B272F7" w:rsidRDefault="004E3469" w:rsidP="00AA7BA7">
      <w:pPr>
        <w:pStyle w:val="EndnoteText"/>
        <w:rPr>
          <w:rFonts w:cs="Arial"/>
        </w:rPr>
      </w:pPr>
      <w:r w:rsidRPr="00B272F7">
        <w:rPr>
          <w:rStyle w:val="EndnoteReference"/>
          <w:rFonts w:cs="Arial"/>
        </w:rPr>
        <w:endnoteRef/>
      </w:r>
      <w:r w:rsidRPr="00B272F7">
        <w:rPr>
          <w:rFonts w:cs="Arial"/>
        </w:rPr>
        <w:t xml:space="preserve"> </w:t>
      </w:r>
      <w:r w:rsidRPr="00B272F7">
        <w:rPr>
          <w:rFonts w:cs="Arial"/>
          <w:i/>
        </w:rPr>
        <w:t>International Covenant on Economic, Social and Cultural Rights</w:t>
      </w:r>
      <w:r w:rsidRPr="00B272F7">
        <w:rPr>
          <w:rFonts w:cs="Arial"/>
        </w:rPr>
        <w:t xml:space="preserve">, opened for signature 16 December 1966, 993 UNTS 3 (entered into force 3 January 1976) art 9. </w:t>
      </w:r>
      <w:r w:rsidRPr="00B272F7">
        <w:rPr>
          <w:rFonts w:cs="Arial"/>
          <w:i/>
        </w:rPr>
        <w:t>International Convention on the Elimination of All Forms of Racial Discrimination</w:t>
      </w:r>
      <w:r w:rsidRPr="00B272F7">
        <w:rPr>
          <w:rFonts w:cs="Arial"/>
        </w:rPr>
        <w:t xml:space="preserve">, opened for signature 21 December 1965, 660 UNTS 195 (entered into force 4 January 1969) art 5(e)(iv), </w:t>
      </w:r>
      <w:r w:rsidRPr="00B272F7">
        <w:rPr>
          <w:i/>
          <w:iCs/>
        </w:rPr>
        <w:t>Convention on the Elimination of All Forms of Discrimination against Women</w:t>
      </w:r>
      <w:r w:rsidRPr="00B272F7">
        <w:t xml:space="preserve">, opened for signature 18 December 1979, 1249 UNTS 13 (entered into force 3 August 1981) arts </w:t>
      </w:r>
      <w:r w:rsidRPr="00B272F7">
        <w:rPr>
          <w:rFonts w:cs="Arial"/>
        </w:rPr>
        <w:t xml:space="preserve">11(1)(e), 14(2)(c); </w:t>
      </w:r>
      <w:r w:rsidRPr="00B272F7">
        <w:rPr>
          <w:i/>
          <w:iCs/>
        </w:rPr>
        <w:t>Convention on the Rights of the Child</w:t>
      </w:r>
      <w:r w:rsidRPr="00B272F7">
        <w:t xml:space="preserve">, opened for signature 20 November 1989, 1577 UNTS 3 (entered into force 2 September 1990) art 26; </w:t>
      </w:r>
      <w:r w:rsidRPr="00B272F7">
        <w:rPr>
          <w:rFonts w:cs="Arial"/>
          <w:i/>
          <w:color w:val="000000" w:themeColor="text1"/>
        </w:rPr>
        <w:t xml:space="preserve">Convention on the Rights of Persons with Disabilities (Disability Convention), </w:t>
      </w:r>
      <w:r w:rsidRPr="00B272F7">
        <w:rPr>
          <w:rFonts w:cs="Arial"/>
          <w:color w:val="000000" w:themeColor="text1"/>
        </w:rPr>
        <w:t>opened for signature 13 December 2006, 2515 UNTS 3 (entered into force 3 May 2008)</w:t>
      </w:r>
      <w:r w:rsidRPr="00B272F7">
        <w:rPr>
          <w:rFonts w:cs="Arial"/>
        </w:rPr>
        <w:t xml:space="preserve"> art 28.</w:t>
      </w:r>
    </w:p>
  </w:endnote>
  <w:endnote w:id="11">
    <w:p w14:paraId="6BE60A0E" w14:textId="77777777" w:rsidR="004E3469" w:rsidRPr="00B272F7" w:rsidRDefault="004E3469" w:rsidP="00807235">
      <w:pPr>
        <w:pStyle w:val="EndnoteText"/>
        <w:rPr>
          <w:rFonts w:cs="Arial"/>
        </w:rPr>
      </w:pPr>
      <w:r w:rsidRPr="00B272F7">
        <w:rPr>
          <w:rStyle w:val="EndnoteReference"/>
          <w:rFonts w:cs="Arial"/>
        </w:rPr>
        <w:endnoteRef/>
      </w:r>
      <w:r w:rsidRPr="00B272F7">
        <w:rPr>
          <w:rFonts w:cs="Arial"/>
        </w:rPr>
        <w:t xml:space="preserve"> Committee on Economic, Social and Cultural Rights, </w:t>
      </w:r>
      <w:r w:rsidRPr="00B272F7">
        <w:rPr>
          <w:rFonts w:cs="Arial"/>
          <w:i/>
        </w:rPr>
        <w:t>General Comment No 19: The Right to Social Security (art 9 of the Covenant)</w:t>
      </w:r>
      <w:r w:rsidRPr="00B272F7">
        <w:rPr>
          <w:rFonts w:cs="Arial"/>
        </w:rPr>
        <w:t>, UN ESCOR, 39</w:t>
      </w:r>
      <w:r w:rsidRPr="00B272F7">
        <w:rPr>
          <w:rFonts w:cs="Arial"/>
          <w:vertAlign w:val="superscript"/>
        </w:rPr>
        <w:t>th</w:t>
      </w:r>
      <w:r w:rsidRPr="00B272F7">
        <w:rPr>
          <w:rFonts w:cs="Arial"/>
        </w:rPr>
        <w:t xml:space="preserve"> </w:t>
      </w:r>
      <w:proofErr w:type="spellStart"/>
      <w:r w:rsidRPr="00B272F7">
        <w:rPr>
          <w:rFonts w:cs="Arial"/>
        </w:rPr>
        <w:t>sess</w:t>
      </w:r>
      <w:proofErr w:type="spellEnd"/>
      <w:r w:rsidRPr="00B272F7">
        <w:rPr>
          <w:rFonts w:cs="Arial"/>
        </w:rPr>
        <w:t>, UN Doc E/C.12/GC/19 (4 February 2008) [2].</w:t>
      </w:r>
    </w:p>
  </w:endnote>
  <w:endnote w:id="12">
    <w:p w14:paraId="18C586A5" w14:textId="77777777" w:rsidR="004E3469" w:rsidRPr="004C3654" w:rsidRDefault="004E3469" w:rsidP="00CE601E">
      <w:pPr>
        <w:pStyle w:val="EndnoteText"/>
        <w:rPr>
          <w:rFonts w:cs="Arial"/>
        </w:rPr>
      </w:pPr>
      <w:r w:rsidRPr="004C3654">
        <w:rPr>
          <w:rStyle w:val="EndnoteReference"/>
          <w:rFonts w:cs="Arial"/>
        </w:rPr>
        <w:endnoteRef/>
      </w:r>
      <w:r w:rsidRPr="004C3654">
        <w:rPr>
          <w:rFonts w:cs="Arial"/>
        </w:rPr>
        <w:t xml:space="preserve"> Committee on Economic, Social and Cultural Rights, </w:t>
      </w:r>
      <w:r w:rsidRPr="004C3654">
        <w:rPr>
          <w:rFonts w:cs="Arial"/>
          <w:i/>
        </w:rPr>
        <w:t>General Comment No 19: The Right to Social Security (art 9 of the Covenant)</w:t>
      </w:r>
      <w:r w:rsidRPr="004C3654">
        <w:rPr>
          <w:rFonts w:cs="Arial"/>
        </w:rPr>
        <w:t>, UN ESCOR, 39</w:t>
      </w:r>
      <w:r w:rsidRPr="004C3654">
        <w:rPr>
          <w:rFonts w:cs="Arial"/>
          <w:vertAlign w:val="superscript"/>
        </w:rPr>
        <w:t>th</w:t>
      </w:r>
      <w:r w:rsidRPr="004C3654">
        <w:rPr>
          <w:rFonts w:cs="Arial"/>
        </w:rPr>
        <w:t xml:space="preserve"> </w:t>
      </w:r>
      <w:proofErr w:type="spellStart"/>
      <w:r w:rsidRPr="004C3654">
        <w:rPr>
          <w:rFonts w:cs="Arial"/>
        </w:rPr>
        <w:t>sess</w:t>
      </w:r>
      <w:proofErr w:type="spellEnd"/>
      <w:r w:rsidRPr="004C3654">
        <w:rPr>
          <w:rFonts w:cs="Arial"/>
        </w:rPr>
        <w:t>, UN Doc E</w:t>
      </w:r>
      <w:r>
        <w:rPr>
          <w:rFonts w:cs="Arial"/>
        </w:rPr>
        <w:t>/C.12/GC/19 (4 February 2008) [9</w:t>
      </w:r>
      <w:r w:rsidRPr="004C3654">
        <w:rPr>
          <w:rFonts w:cs="Arial"/>
        </w:rPr>
        <w:t>].</w:t>
      </w:r>
    </w:p>
  </w:endnote>
  <w:endnote w:id="13">
    <w:p w14:paraId="092B2D4B" w14:textId="77777777" w:rsidR="004E3469" w:rsidRPr="00B272F7" w:rsidRDefault="004E3469" w:rsidP="00807235">
      <w:pPr>
        <w:pStyle w:val="EndnoteText"/>
        <w:rPr>
          <w:rFonts w:cs="Arial"/>
        </w:rPr>
      </w:pPr>
      <w:r w:rsidRPr="00B272F7">
        <w:rPr>
          <w:rStyle w:val="EndnoteReference"/>
          <w:rFonts w:cs="Arial"/>
        </w:rPr>
        <w:endnoteRef/>
      </w:r>
      <w:r w:rsidRPr="00B272F7">
        <w:rPr>
          <w:rFonts w:cs="Arial"/>
        </w:rPr>
        <w:t xml:space="preserve"> Committee on Economic, Social and Cultural Rights, </w:t>
      </w:r>
      <w:r w:rsidRPr="00B272F7">
        <w:rPr>
          <w:rFonts w:cs="Arial"/>
          <w:i/>
        </w:rPr>
        <w:t>General Comment No 19: The Right to Social Security (art 9 of the Covenant)</w:t>
      </w:r>
      <w:r w:rsidRPr="00B272F7">
        <w:rPr>
          <w:rFonts w:cs="Arial"/>
        </w:rPr>
        <w:t>, UN ESCOR, 39</w:t>
      </w:r>
      <w:r w:rsidRPr="00B272F7">
        <w:rPr>
          <w:rFonts w:cs="Arial"/>
          <w:vertAlign w:val="superscript"/>
        </w:rPr>
        <w:t>th</w:t>
      </w:r>
      <w:r w:rsidRPr="00B272F7">
        <w:rPr>
          <w:rFonts w:cs="Arial"/>
        </w:rPr>
        <w:t xml:space="preserve"> </w:t>
      </w:r>
      <w:proofErr w:type="spellStart"/>
      <w:r w:rsidRPr="00B272F7">
        <w:rPr>
          <w:rFonts w:cs="Arial"/>
        </w:rPr>
        <w:t>sess</w:t>
      </w:r>
      <w:proofErr w:type="spellEnd"/>
      <w:r w:rsidRPr="00B272F7">
        <w:rPr>
          <w:rFonts w:cs="Arial"/>
        </w:rPr>
        <w:t>, UN Doc E/C.12/GC/19 (4 February 2008) [1].</w:t>
      </w:r>
    </w:p>
  </w:endnote>
  <w:endnote w:id="14">
    <w:p w14:paraId="72488C43" w14:textId="77777777" w:rsidR="004E3469" w:rsidRPr="00B272F7" w:rsidRDefault="004E3469" w:rsidP="00B160BA">
      <w:pPr>
        <w:pStyle w:val="EndnoteText"/>
        <w:rPr>
          <w:rFonts w:cs="Arial"/>
        </w:rPr>
      </w:pPr>
      <w:r w:rsidRPr="00B272F7">
        <w:rPr>
          <w:rStyle w:val="EndnoteReference"/>
          <w:rFonts w:cs="Arial"/>
        </w:rPr>
        <w:endnoteRef/>
      </w:r>
      <w:r w:rsidRPr="00B272F7">
        <w:rPr>
          <w:rFonts w:cs="Arial"/>
        </w:rPr>
        <w:t xml:space="preserve"> McBeth, Nolan and Rice, </w:t>
      </w:r>
      <w:r w:rsidRPr="00B272F7">
        <w:rPr>
          <w:rFonts w:cs="Arial"/>
          <w:i/>
        </w:rPr>
        <w:t>The International Law of Human Rights</w:t>
      </w:r>
      <w:r w:rsidRPr="00B272F7">
        <w:rPr>
          <w:rFonts w:cs="Arial"/>
        </w:rPr>
        <w:t xml:space="preserve"> (Oxford University Press, 2011), 142.</w:t>
      </w:r>
    </w:p>
  </w:endnote>
  <w:endnote w:id="15">
    <w:p w14:paraId="6439D4A2" w14:textId="77777777" w:rsidR="004E3469" w:rsidRPr="004C3654" w:rsidRDefault="004E3469" w:rsidP="00B160BA">
      <w:pPr>
        <w:pStyle w:val="EndnoteText"/>
        <w:rPr>
          <w:rFonts w:cs="Arial"/>
        </w:rPr>
      </w:pPr>
      <w:r w:rsidRPr="00B272F7">
        <w:rPr>
          <w:rStyle w:val="EndnoteReference"/>
          <w:rFonts w:cs="Arial"/>
        </w:rPr>
        <w:endnoteRef/>
      </w:r>
      <w:r w:rsidRPr="00B272F7">
        <w:rPr>
          <w:rFonts w:cs="Arial"/>
        </w:rPr>
        <w:t xml:space="preserve"> </w:t>
      </w:r>
      <w:r w:rsidRPr="00C97609">
        <w:rPr>
          <w:rFonts w:cs="Open Sans"/>
        </w:rPr>
        <w:t>International</w:t>
      </w:r>
      <w:r w:rsidRPr="00B272F7">
        <w:rPr>
          <w:rFonts w:cs="Arial"/>
        </w:rPr>
        <w:t xml:space="preserve"> Covenant on Economic, Social and Cultural Rights,</w:t>
      </w:r>
      <w:bookmarkStart w:id="18" w:name="_GoBack"/>
      <w:bookmarkEnd w:id="18"/>
      <w:r w:rsidRPr="00B272F7">
        <w:rPr>
          <w:rFonts w:cs="Arial"/>
        </w:rPr>
        <w:t xml:space="preserve"> opened for signature</w:t>
      </w:r>
      <w:r w:rsidRPr="004C3654">
        <w:rPr>
          <w:rFonts w:cs="Arial"/>
        </w:rPr>
        <w:t xml:space="preserve"> 16 December 1966, 993 UNTS 3 (entered into force 3 January 1976) art 11.</w:t>
      </w:r>
    </w:p>
  </w:endnote>
  <w:endnote w:id="16">
    <w:p w14:paraId="199F3314"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Committee on Economic, Social and Cultural Rights, General Comment No 19: The right to social security, 39th </w:t>
      </w:r>
      <w:proofErr w:type="spellStart"/>
      <w:r w:rsidRPr="004C3654">
        <w:rPr>
          <w:rFonts w:cs="Arial"/>
        </w:rPr>
        <w:t>sess</w:t>
      </w:r>
      <w:proofErr w:type="spellEnd"/>
      <w:r w:rsidRPr="004C3654">
        <w:rPr>
          <w:rFonts w:cs="Arial"/>
        </w:rPr>
        <w:t>, UN Doc E/C.12/GC/19 (4 February 2008) [22].</w:t>
      </w:r>
    </w:p>
  </w:endnote>
  <w:endnote w:id="17">
    <w:p w14:paraId="0B775325"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w:t>
      </w:r>
      <w:r w:rsidRPr="004C3654">
        <w:rPr>
          <w:rFonts w:cs="Arial"/>
          <w:i/>
        </w:rPr>
        <w:t>International Covenant on Economic, Social and Cultural Rights</w:t>
      </w:r>
      <w:r w:rsidRPr="004C3654">
        <w:rPr>
          <w:rFonts w:cs="Arial"/>
        </w:rPr>
        <w:t>, opened for signature 16 December 1966, 993 UNTS 3 (entered into force 3 January 1976) art 2.1: ‘Each State Party to the present Covenant undertakes to take steps … with a view to achieving progressively the full realization of the rights recognized in the present Covenant by all appropriate means …’</w:t>
      </w:r>
    </w:p>
  </w:endnote>
  <w:endnote w:id="18">
    <w:p w14:paraId="7BBD73DA"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Committee on Economic, Social and Cultural Rights, </w:t>
      </w:r>
      <w:r w:rsidRPr="004C3654">
        <w:rPr>
          <w:rFonts w:cs="Arial"/>
          <w:i/>
        </w:rPr>
        <w:t>General Comment No 19: The Right to Social Security (art 9 of the Covenant)</w:t>
      </w:r>
      <w:r w:rsidRPr="004C3654">
        <w:rPr>
          <w:rFonts w:cs="Arial"/>
        </w:rPr>
        <w:t>, UN ESCOR, 39</w:t>
      </w:r>
      <w:r w:rsidRPr="004C3654">
        <w:rPr>
          <w:rFonts w:cs="Arial"/>
          <w:vertAlign w:val="superscript"/>
        </w:rPr>
        <w:t>th</w:t>
      </w:r>
      <w:r w:rsidRPr="004C3654">
        <w:rPr>
          <w:rFonts w:cs="Arial"/>
        </w:rPr>
        <w:t xml:space="preserve"> </w:t>
      </w:r>
      <w:proofErr w:type="spellStart"/>
      <w:r w:rsidRPr="004C3654">
        <w:rPr>
          <w:rFonts w:cs="Arial"/>
        </w:rPr>
        <w:t>sess</w:t>
      </w:r>
      <w:proofErr w:type="spellEnd"/>
      <w:r w:rsidRPr="004C3654">
        <w:rPr>
          <w:rFonts w:cs="Arial"/>
        </w:rPr>
        <w:t>, UN Doc E/C.12/GC/19 (4 February 2008) [4].</w:t>
      </w:r>
    </w:p>
  </w:endnote>
  <w:endnote w:id="19">
    <w:p w14:paraId="2E1261FD"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Committee on Economic, Social and Cultural Rights, </w:t>
      </w:r>
      <w:r w:rsidRPr="004C3654">
        <w:rPr>
          <w:rFonts w:cs="Arial"/>
          <w:i/>
        </w:rPr>
        <w:t>General Comment No 19: The Right to Social Security (art 9 of the Covenant)</w:t>
      </w:r>
      <w:r w:rsidRPr="004C3654">
        <w:rPr>
          <w:rFonts w:cs="Arial"/>
        </w:rPr>
        <w:t>, UN ESCOR, 39</w:t>
      </w:r>
      <w:r w:rsidRPr="004C3654">
        <w:rPr>
          <w:rFonts w:cs="Arial"/>
          <w:vertAlign w:val="superscript"/>
        </w:rPr>
        <w:t>th</w:t>
      </w:r>
      <w:r w:rsidRPr="004C3654">
        <w:rPr>
          <w:rFonts w:cs="Arial"/>
        </w:rPr>
        <w:t xml:space="preserve"> </w:t>
      </w:r>
      <w:proofErr w:type="spellStart"/>
      <w:r w:rsidRPr="004C3654">
        <w:rPr>
          <w:rFonts w:cs="Arial"/>
        </w:rPr>
        <w:t>sess</w:t>
      </w:r>
      <w:proofErr w:type="spellEnd"/>
      <w:r w:rsidRPr="004C3654">
        <w:rPr>
          <w:rFonts w:cs="Arial"/>
        </w:rPr>
        <w:t>, UN Doc E/C.12/GC/19 (4 February 2008) [9].</w:t>
      </w:r>
    </w:p>
  </w:endnote>
  <w:endnote w:id="20">
    <w:p w14:paraId="7EB7DB8D" w14:textId="2518ADE1" w:rsidR="004E3469" w:rsidRPr="00AE4E64" w:rsidRDefault="004E3469" w:rsidP="00C97609">
      <w:pPr>
        <w:pStyle w:val="EndnoteText"/>
        <w:rPr>
          <w:rFonts w:cs="Open Sans"/>
        </w:rPr>
      </w:pPr>
      <w:r w:rsidRPr="00AE4E64">
        <w:rPr>
          <w:rStyle w:val="EndnoteReference"/>
          <w:rFonts w:cs="Open Sans"/>
        </w:rPr>
        <w:endnoteRef/>
      </w:r>
      <w:r w:rsidRPr="00AE4E64">
        <w:rPr>
          <w:rFonts w:cs="Open Sans"/>
        </w:rPr>
        <w:t xml:space="preserve"> UN Committee on Economic, Social and Cultural Rights, </w:t>
      </w:r>
      <w:r w:rsidRPr="00AE4E64">
        <w:rPr>
          <w:rFonts w:cs="Open Sans"/>
          <w:i/>
        </w:rPr>
        <w:t xml:space="preserve">General Comment No 19: The right to </w:t>
      </w:r>
      <w:r w:rsidRPr="00C97609">
        <w:rPr>
          <w:rFonts w:cs="Open Sans"/>
        </w:rPr>
        <w:t>social</w:t>
      </w:r>
      <w:r w:rsidRPr="00AE4E64">
        <w:rPr>
          <w:rFonts w:cs="Open Sans"/>
          <w:i/>
        </w:rPr>
        <w:t xml:space="preserve"> security (article 9)</w:t>
      </w:r>
      <w:r w:rsidRPr="00AE4E64">
        <w:rPr>
          <w:rFonts w:cs="Open Sans"/>
        </w:rPr>
        <w:t>, 39</w:t>
      </w:r>
      <w:r w:rsidRPr="00AE4E64">
        <w:rPr>
          <w:rFonts w:cs="Open Sans"/>
          <w:vertAlign w:val="superscript"/>
        </w:rPr>
        <w:t>th</w:t>
      </w:r>
      <w:r w:rsidRPr="00AE4E64">
        <w:rPr>
          <w:rFonts w:cs="Open Sans"/>
        </w:rPr>
        <w:t xml:space="preserve"> </w:t>
      </w:r>
      <w:proofErr w:type="spellStart"/>
      <w:r w:rsidRPr="00AE4E64">
        <w:rPr>
          <w:rFonts w:cs="Open Sans"/>
        </w:rPr>
        <w:t>sess</w:t>
      </w:r>
      <w:proofErr w:type="spellEnd"/>
      <w:r w:rsidRPr="00AE4E64">
        <w:rPr>
          <w:rFonts w:cs="Open Sans"/>
        </w:rPr>
        <w:t>, UN Doc E/C.12/GC/19 (4 February 2008) 12 [40].</w:t>
      </w:r>
    </w:p>
  </w:endnote>
  <w:endnote w:id="21">
    <w:p w14:paraId="65B28B2F"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McBeth, Nolan and Rice, </w:t>
      </w:r>
      <w:r w:rsidRPr="004C3654">
        <w:rPr>
          <w:rFonts w:cs="Arial"/>
          <w:i/>
        </w:rPr>
        <w:t>The International Law of Human Rights</w:t>
      </w:r>
      <w:r w:rsidRPr="004C3654">
        <w:rPr>
          <w:rFonts w:cs="Arial"/>
        </w:rPr>
        <w:t xml:space="preserve"> (Oxford University Press, 2011), 96.</w:t>
      </w:r>
    </w:p>
  </w:endnote>
  <w:endnote w:id="22">
    <w:p w14:paraId="0D92802A" w14:textId="77777777" w:rsidR="004E3469" w:rsidRPr="004C3654" w:rsidRDefault="004E3469" w:rsidP="00B160BA">
      <w:pPr>
        <w:pStyle w:val="EndnoteText"/>
        <w:rPr>
          <w:rFonts w:cs="Arial"/>
          <w:i/>
          <w:iCs/>
        </w:rPr>
      </w:pPr>
      <w:r w:rsidRPr="004C3654">
        <w:rPr>
          <w:rStyle w:val="EndnoteReference"/>
          <w:rFonts w:cs="Arial"/>
        </w:rPr>
        <w:endnoteRef/>
      </w:r>
      <w:r w:rsidRPr="004C3654">
        <w:rPr>
          <w:rFonts w:cs="Arial"/>
        </w:rPr>
        <w:t xml:space="preserve"> McBeth, Nolan and Rice, </w:t>
      </w:r>
      <w:r w:rsidRPr="004C3654">
        <w:rPr>
          <w:rFonts w:cs="Arial"/>
          <w:i/>
        </w:rPr>
        <w:t>The International Law of Human Rights</w:t>
      </w:r>
      <w:r w:rsidRPr="004C3654">
        <w:rPr>
          <w:rFonts w:cs="Arial"/>
        </w:rPr>
        <w:t xml:space="preserve"> (Oxford University Press, 2011), 96–97. Such information should not ‘reach the hands of persons who are not authorized by law to receive, process and use it, and is never used for purposes incompatible with the [ICCPR]’. See UN Human Rights Committee, </w:t>
      </w:r>
      <w:r w:rsidRPr="004C3654">
        <w:rPr>
          <w:rFonts w:cs="Arial"/>
          <w:i/>
          <w:iCs/>
        </w:rPr>
        <w:t>General Comment 16: Article 17 (Right to Privacy)</w:t>
      </w:r>
    </w:p>
    <w:p w14:paraId="484B88EC" w14:textId="38930FB0" w:rsidR="004E3469" w:rsidRPr="004C3654" w:rsidRDefault="004E3469" w:rsidP="00652829">
      <w:pPr>
        <w:pStyle w:val="EndnoteText"/>
        <w:ind w:firstLine="0"/>
        <w:rPr>
          <w:rFonts w:cs="Arial"/>
        </w:rPr>
      </w:pPr>
      <w:r w:rsidRPr="004C3654">
        <w:rPr>
          <w:rFonts w:cs="Arial"/>
          <w:i/>
          <w:iCs/>
        </w:rPr>
        <w:t>The Right to Respect of Privacy, Family, Home and Correspondence, and Protection of Honour and Reputation</w:t>
      </w:r>
      <w:r w:rsidRPr="004C3654">
        <w:rPr>
          <w:rFonts w:cs="Arial"/>
        </w:rPr>
        <w:t>, 32</w:t>
      </w:r>
      <w:r w:rsidRPr="004C3654">
        <w:rPr>
          <w:rFonts w:cs="Arial"/>
          <w:vertAlign w:val="superscript"/>
        </w:rPr>
        <w:t>nd</w:t>
      </w:r>
      <w:r w:rsidRPr="004C3654">
        <w:rPr>
          <w:rFonts w:cs="Arial"/>
        </w:rPr>
        <w:t xml:space="preserve"> </w:t>
      </w:r>
      <w:proofErr w:type="spellStart"/>
      <w:r w:rsidRPr="004C3654">
        <w:rPr>
          <w:rFonts w:cs="Arial"/>
        </w:rPr>
        <w:t>sess</w:t>
      </w:r>
      <w:proofErr w:type="spellEnd"/>
      <w:r w:rsidRPr="004C3654">
        <w:rPr>
          <w:rFonts w:cs="Arial"/>
        </w:rPr>
        <w:t xml:space="preserve"> (1988), [10]. At </w:t>
      </w:r>
      <w:hyperlink r:id="rId1" w:history="1">
        <w:r w:rsidRPr="004C3654">
          <w:rPr>
            <w:rStyle w:val="Hyperlink"/>
            <w:rFonts w:cs="Arial"/>
          </w:rPr>
          <w:t>http://tbinternet.ohchr.org/_layouts/treatybodyexternal/Download.aspx?symbolno=INT%2fCCPR%2fGEC%2f6624&amp;Lang=en</w:t>
        </w:r>
      </w:hyperlink>
      <w:r w:rsidRPr="004C3654">
        <w:rPr>
          <w:rFonts w:cs="Arial"/>
        </w:rPr>
        <w:t>.</w:t>
      </w:r>
    </w:p>
  </w:endnote>
  <w:endnote w:id="23">
    <w:p w14:paraId="25581B9E" w14:textId="2CF4DB63" w:rsidR="004E3469" w:rsidRPr="00C97609" w:rsidRDefault="004E3469" w:rsidP="00C97609">
      <w:pPr>
        <w:pStyle w:val="EndnoteText"/>
        <w:rPr>
          <w:rFonts w:cs="Arial"/>
          <w:i/>
          <w:iCs/>
        </w:rPr>
      </w:pPr>
      <w:r w:rsidRPr="004C3654">
        <w:rPr>
          <w:rStyle w:val="EndnoteReference"/>
          <w:rFonts w:cs="Arial"/>
        </w:rPr>
        <w:endnoteRef/>
      </w:r>
      <w:r w:rsidRPr="004C3654">
        <w:rPr>
          <w:rFonts w:cs="Arial"/>
        </w:rPr>
        <w:t xml:space="preserve"> McBeth, Nolan and Rice, </w:t>
      </w:r>
      <w:r w:rsidRPr="004C3654">
        <w:rPr>
          <w:rFonts w:cs="Arial"/>
          <w:i/>
        </w:rPr>
        <w:t>The International Law of Human Rights</w:t>
      </w:r>
      <w:r w:rsidRPr="004C3654">
        <w:rPr>
          <w:rFonts w:cs="Arial"/>
        </w:rPr>
        <w:t xml:space="preserve"> (Oxford University Press, 2011), 96–97. See also UN Human Rights Committee, </w:t>
      </w:r>
      <w:r w:rsidRPr="004C3654">
        <w:rPr>
          <w:rFonts w:cs="Arial"/>
          <w:i/>
          <w:iCs/>
        </w:rPr>
        <w:t>General Comment 16: Article 17 (Right to Privacy)</w:t>
      </w:r>
      <w:r>
        <w:rPr>
          <w:rFonts w:cs="Arial"/>
          <w:i/>
          <w:iCs/>
        </w:rPr>
        <w:t xml:space="preserve"> </w:t>
      </w:r>
      <w:r w:rsidRPr="004C3654">
        <w:rPr>
          <w:rFonts w:cs="Arial"/>
          <w:i/>
          <w:iCs/>
        </w:rPr>
        <w:t>The Right to Respect of Privacy, Family, Home and Correspondence, and Protection of Honour and Reputation</w:t>
      </w:r>
      <w:r w:rsidRPr="004C3654">
        <w:rPr>
          <w:rFonts w:cs="Arial"/>
        </w:rPr>
        <w:t>, 32</w:t>
      </w:r>
      <w:r w:rsidRPr="004C3654">
        <w:rPr>
          <w:rFonts w:cs="Arial"/>
          <w:vertAlign w:val="superscript"/>
        </w:rPr>
        <w:t>nd</w:t>
      </w:r>
      <w:r w:rsidRPr="004C3654">
        <w:rPr>
          <w:rFonts w:cs="Arial"/>
        </w:rPr>
        <w:t xml:space="preserve"> </w:t>
      </w:r>
      <w:proofErr w:type="spellStart"/>
      <w:r w:rsidRPr="004C3654">
        <w:rPr>
          <w:rFonts w:cs="Arial"/>
        </w:rPr>
        <w:t>sess</w:t>
      </w:r>
      <w:proofErr w:type="spellEnd"/>
      <w:r w:rsidRPr="004C3654">
        <w:rPr>
          <w:rFonts w:cs="Arial"/>
        </w:rPr>
        <w:t xml:space="preserve"> (1988), [8]. At </w:t>
      </w:r>
      <w:hyperlink r:id="rId2" w:history="1">
        <w:r w:rsidRPr="002A2924">
          <w:rPr>
            <w:rStyle w:val="Hyperlink"/>
            <w:rFonts w:cs="Arial"/>
          </w:rPr>
          <w:t>http://tbinternet.ohchr.org/_layouts/treatybodyexternal/Download.aspx?symbolno=INT%2fCCP%2fGEC%2f6624&amp;Lang=en</w:t>
        </w:r>
      </w:hyperlink>
      <w:r w:rsidRPr="004C3654">
        <w:rPr>
          <w:rFonts w:cs="Arial"/>
        </w:rPr>
        <w:t xml:space="preserve">. The Human Rights Committee said at [8]: ‘So far as personal and body search is concerned, effective measures should ensure that such searches are carried out in a manner consistent with the dignity of the person who is being searched. Persons being subjected to body search by State officials, or medical personnel acting at the request of the State, should be only examined by persons of the same sex. </w:t>
      </w:r>
    </w:p>
  </w:endnote>
  <w:endnote w:id="24">
    <w:p w14:paraId="1297CB8D" w14:textId="229AEE56" w:rsidR="004E3469" w:rsidRDefault="004E3469">
      <w:pPr>
        <w:pStyle w:val="EndnoteText"/>
      </w:pPr>
      <w:r>
        <w:rPr>
          <w:rStyle w:val="EndnoteReference"/>
        </w:rPr>
        <w:endnoteRef/>
      </w:r>
      <w:r>
        <w:t xml:space="preserve"> </w:t>
      </w:r>
      <w:r w:rsidRPr="00AE4E64">
        <w:rPr>
          <w:rFonts w:cs="Open Sans"/>
        </w:rPr>
        <w:t xml:space="preserve">UN Committee on Economic, Social and Cultural Rights, </w:t>
      </w:r>
      <w:r w:rsidRPr="00AE4E64">
        <w:rPr>
          <w:rFonts w:cs="Open Sans"/>
          <w:i/>
        </w:rPr>
        <w:t>General Comment No 1</w:t>
      </w:r>
      <w:r>
        <w:rPr>
          <w:rFonts w:cs="Open Sans"/>
          <w:i/>
        </w:rPr>
        <w:t>4</w:t>
      </w:r>
      <w:r w:rsidRPr="00AE4E64">
        <w:rPr>
          <w:rFonts w:cs="Open Sans"/>
          <w:i/>
        </w:rPr>
        <w:t xml:space="preserve">: The right to </w:t>
      </w:r>
      <w:r>
        <w:rPr>
          <w:rFonts w:cs="Open Sans"/>
          <w:i/>
        </w:rPr>
        <w:t>health</w:t>
      </w:r>
      <w:r w:rsidRPr="00AE4E64">
        <w:rPr>
          <w:rFonts w:cs="Open Sans"/>
          <w:i/>
        </w:rPr>
        <w:t xml:space="preserve"> (article </w:t>
      </w:r>
      <w:r>
        <w:rPr>
          <w:rFonts w:cs="Open Sans"/>
          <w:i/>
        </w:rPr>
        <w:t>12</w:t>
      </w:r>
      <w:r w:rsidRPr="00AE4E64">
        <w:rPr>
          <w:rFonts w:cs="Open Sans"/>
          <w:i/>
        </w:rPr>
        <w:t>)</w:t>
      </w:r>
      <w:r w:rsidRPr="00AE4E64">
        <w:rPr>
          <w:rFonts w:cs="Open Sans"/>
        </w:rPr>
        <w:t xml:space="preserve">, </w:t>
      </w:r>
      <w:r>
        <w:rPr>
          <w:rFonts w:cs="Open Sans"/>
        </w:rPr>
        <w:t>22</w:t>
      </w:r>
      <w:r w:rsidRPr="00143BF2">
        <w:rPr>
          <w:rFonts w:cs="Open Sans"/>
          <w:vertAlign w:val="superscript"/>
        </w:rPr>
        <w:t>nd</w:t>
      </w:r>
      <w:r>
        <w:rPr>
          <w:rFonts w:cs="Open Sans"/>
        </w:rPr>
        <w:t xml:space="preserve"> </w:t>
      </w:r>
      <w:proofErr w:type="spellStart"/>
      <w:r w:rsidRPr="00AE4E64">
        <w:rPr>
          <w:rFonts w:cs="Open Sans"/>
        </w:rPr>
        <w:t>sess</w:t>
      </w:r>
      <w:proofErr w:type="spellEnd"/>
      <w:r w:rsidRPr="00AE4E64">
        <w:rPr>
          <w:rFonts w:cs="Open Sans"/>
        </w:rPr>
        <w:t xml:space="preserve">, UN Doc </w:t>
      </w:r>
      <w:r w:rsidRPr="00936E7B">
        <w:rPr>
          <w:rFonts w:cs="Open Sans"/>
        </w:rPr>
        <w:t xml:space="preserve">E/C.12/2000/4 </w:t>
      </w:r>
      <w:r w:rsidRPr="00AE4E64">
        <w:rPr>
          <w:rFonts w:cs="Open Sans"/>
        </w:rPr>
        <w:t>(</w:t>
      </w:r>
      <w:r>
        <w:rPr>
          <w:rFonts w:cs="Open Sans"/>
        </w:rPr>
        <w:t>11 August 2000</w:t>
      </w:r>
      <w:r w:rsidRPr="00AE4E64">
        <w:rPr>
          <w:rFonts w:cs="Open Sans"/>
        </w:rPr>
        <w:t>) [</w:t>
      </w:r>
      <w:r>
        <w:rPr>
          <w:rFonts w:cs="Open Sans"/>
        </w:rPr>
        <w:t>8</w:t>
      </w:r>
      <w:r w:rsidRPr="00AE4E64">
        <w:rPr>
          <w:rFonts w:cs="Open Sans"/>
        </w:rPr>
        <w:t>].</w:t>
      </w:r>
    </w:p>
  </w:endnote>
  <w:endnote w:id="25">
    <w:p w14:paraId="60E6D45D"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See, </w:t>
      </w:r>
      <w:proofErr w:type="spellStart"/>
      <w:r w:rsidRPr="004C3654">
        <w:rPr>
          <w:rFonts w:cs="Arial"/>
        </w:rPr>
        <w:t>eg</w:t>
      </w:r>
      <w:proofErr w:type="spellEnd"/>
      <w:r w:rsidRPr="004C3654">
        <w:rPr>
          <w:rFonts w:cs="Arial"/>
        </w:rPr>
        <w:t xml:space="preserve">, </w:t>
      </w:r>
      <w:r w:rsidRPr="004C3654">
        <w:rPr>
          <w:rFonts w:cs="Arial"/>
          <w:i/>
        </w:rPr>
        <w:t>International Covenant on Civil and Political Rights</w:t>
      </w:r>
      <w:r w:rsidRPr="004C3654">
        <w:rPr>
          <w:rFonts w:cs="Arial"/>
        </w:rPr>
        <w:t xml:space="preserve">, opened for signature 16 December 1966, 999 UNTS 171 (entered into force 23 March 1976) art 2(1), 26; </w:t>
      </w:r>
      <w:r w:rsidRPr="004C3654">
        <w:rPr>
          <w:rFonts w:cs="Arial"/>
          <w:i/>
        </w:rPr>
        <w:t>International Covenant on Economic, Social and Cultural Rights</w:t>
      </w:r>
      <w:r w:rsidRPr="004C3654">
        <w:rPr>
          <w:rFonts w:cs="Arial"/>
        </w:rPr>
        <w:t>, opened for signature 16 December 1966, 993 UNTS 3 (entered into force 3 January 1976) art 2</w:t>
      </w:r>
      <w:r>
        <w:rPr>
          <w:rFonts w:cs="Arial"/>
        </w:rPr>
        <w:t>;</w:t>
      </w:r>
      <w:r w:rsidRPr="004C3654">
        <w:rPr>
          <w:rFonts w:cs="Arial"/>
        </w:rPr>
        <w:t xml:space="preserve"> </w:t>
      </w:r>
      <w:r w:rsidRPr="00FB7A67">
        <w:rPr>
          <w:rFonts w:cs="Arial"/>
          <w:i/>
          <w:color w:val="000000" w:themeColor="text1"/>
        </w:rPr>
        <w:t xml:space="preserve">Convention on the Rights of Persons with Disabilities (Disability Convention), </w:t>
      </w:r>
      <w:r w:rsidRPr="00FB7A67">
        <w:rPr>
          <w:rFonts w:cs="Arial"/>
          <w:color w:val="000000" w:themeColor="text1"/>
        </w:rPr>
        <w:t>opened for signature 13 December 2006, 2515 UNTS 3 (entered into force 3 May 2008)</w:t>
      </w:r>
      <w:r>
        <w:rPr>
          <w:rFonts w:cs="Arial"/>
        </w:rPr>
        <w:t>.</w:t>
      </w:r>
    </w:p>
  </w:endnote>
  <w:endnote w:id="26">
    <w:p w14:paraId="1AFF9009" w14:textId="2B14F293" w:rsidR="004E3469" w:rsidRDefault="004E3469">
      <w:pPr>
        <w:pStyle w:val="EndnoteText"/>
      </w:pPr>
      <w:r>
        <w:rPr>
          <w:rStyle w:val="EndnoteReference"/>
        </w:rPr>
        <w:endnoteRef/>
      </w:r>
      <w:r>
        <w:t xml:space="preserve"> For example, the </w:t>
      </w:r>
      <w:r w:rsidRPr="00DC0C67">
        <w:rPr>
          <w:i/>
          <w:iCs/>
        </w:rPr>
        <w:t>Racial Discrimination Act 1975</w:t>
      </w:r>
      <w:r w:rsidRPr="00DC0C67">
        <w:t xml:space="preserve"> (</w:t>
      </w:r>
      <w:proofErr w:type="spellStart"/>
      <w:r w:rsidRPr="00DC0C67">
        <w:t>Cth</w:t>
      </w:r>
      <w:proofErr w:type="spellEnd"/>
      <w:r w:rsidRPr="00DC0C67">
        <w:t>)</w:t>
      </w:r>
      <w:r>
        <w:t xml:space="preserve"> and </w:t>
      </w:r>
      <w:r w:rsidRPr="00DC0C67">
        <w:rPr>
          <w:i/>
          <w:iCs/>
        </w:rPr>
        <w:t>Disability Discrimination Act 1992</w:t>
      </w:r>
      <w:r>
        <w:t xml:space="preserve"> (</w:t>
      </w:r>
      <w:proofErr w:type="spellStart"/>
      <w:r>
        <w:t>Cth</w:t>
      </w:r>
      <w:proofErr w:type="spellEnd"/>
      <w:r>
        <w:t>).</w:t>
      </w:r>
    </w:p>
  </w:endnote>
  <w:endnote w:id="27">
    <w:p w14:paraId="126DE455"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w:t>
      </w:r>
      <w:r w:rsidRPr="004C3654">
        <w:rPr>
          <w:rFonts w:cs="Arial"/>
          <w:i/>
        </w:rPr>
        <w:t>International Covenant on Civil and Political Rights</w:t>
      </w:r>
      <w:r w:rsidRPr="004C3654">
        <w:rPr>
          <w:rFonts w:cs="Arial"/>
        </w:rPr>
        <w:t>, opened for signature 16 December 1966, 999 UNTS 171 (entered into force 23 March 1976) art 26.</w:t>
      </w:r>
    </w:p>
  </w:endnote>
  <w:endnote w:id="28">
    <w:p w14:paraId="28832ED3" w14:textId="0811CDDC" w:rsidR="004E3469" w:rsidRDefault="004E3469" w:rsidP="00982C45">
      <w:pPr>
        <w:pStyle w:val="EndnoteText"/>
      </w:pPr>
      <w:r>
        <w:rPr>
          <w:rStyle w:val="EndnoteReference"/>
        </w:rPr>
        <w:endnoteRef/>
      </w:r>
      <w:r>
        <w:t xml:space="preserve"> </w:t>
      </w:r>
      <w:r w:rsidRPr="00AE4E64">
        <w:rPr>
          <w:rFonts w:cs="Open Sans"/>
        </w:rPr>
        <w:t xml:space="preserve">Explanatory </w:t>
      </w:r>
      <w:r>
        <w:rPr>
          <w:rFonts w:cs="Open Sans"/>
        </w:rPr>
        <w:t>Memorandum</w:t>
      </w:r>
      <w:r w:rsidRPr="00AE4E64">
        <w:rPr>
          <w:rFonts w:cs="Open Sans"/>
        </w:rPr>
        <w:t xml:space="preserve">, </w:t>
      </w:r>
      <w:r w:rsidRPr="00252DAD">
        <w:t>Social Services Legislation Amendment (Drug Testing Trial) Bill 201</w:t>
      </w:r>
      <w:r>
        <w:t>9</w:t>
      </w:r>
      <w:r w:rsidRPr="00AE4E64">
        <w:rPr>
          <w:rFonts w:cs="Open Sans"/>
        </w:rPr>
        <w:t xml:space="preserve"> (</w:t>
      </w:r>
      <w:proofErr w:type="spellStart"/>
      <w:r w:rsidRPr="00AE4E64">
        <w:rPr>
          <w:rFonts w:cs="Open Sans"/>
        </w:rPr>
        <w:t>Cth</w:t>
      </w:r>
      <w:proofErr w:type="spellEnd"/>
      <w:r w:rsidRPr="00AE4E64">
        <w:rPr>
          <w:rFonts w:cs="Open Sans"/>
        </w:rPr>
        <w:t xml:space="preserve">) </w:t>
      </w:r>
      <w:r>
        <w:rPr>
          <w:rFonts w:cs="Open Sans"/>
        </w:rPr>
        <w:t>31</w:t>
      </w:r>
      <w:r w:rsidRPr="00AE4E64">
        <w:rPr>
          <w:rFonts w:cs="Open Sans"/>
        </w:rPr>
        <w:t>.</w:t>
      </w:r>
    </w:p>
  </w:endnote>
  <w:endnote w:id="29">
    <w:p w14:paraId="0591AADC" w14:textId="2E7B9CC6" w:rsidR="004E3469" w:rsidRDefault="004E3469" w:rsidP="00C97609">
      <w:pPr>
        <w:pStyle w:val="EndnoteText"/>
        <w:rPr>
          <w:rFonts w:cs="Open Sans"/>
        </w:rPr>
      </w:pPr>
      <w:r>
        <w:rPr>
          <w:rStyle w:val="EndnoteReference"/>
        </w:rPr>
        <w:endnoteRef/>
      </w:r>
      <w:r>
        <w:rPr>
          <w:rFonts w:cs="Open Sans"/>
          <w:i/>
          <w:iCs/>
        </w:rPr>
        <w:t xml:space="preserve"> Convention on the Rights of the Child</w:t>
      </w:r>
      <w:r>
        <w:rPr>
          <w:rFonts w:cs="Open Sans"/>
          <w:iCs/>
        </w:rPr>
        <w:t>, opened for signature 20 November 1989,</w:t>
      </w:r>
      <w:r>
        <w:rPr>
          <w:rFonts w:cs="Open Sans"/>
        </w:rPr>
        <w:t xml:space="preserve"> [1991] ATS 4 (entered into force 2 September 1990) arts 3, 8(1). </w:t>
      </w:r>
    </w:p>
  </w:endnote>
  <w:endnote w:id="30">
    <w:p w14:paraId="497B1B99" w14:textId="7F141679" w:rsidR="004E3469" w:rsidRDefault="004E3469" w:rsidP="00C97609">
      <w:pPr>
        <w:pStyle w:val="EndnoteText"/>
        <w:rPr>
          <w:rFonts w:cs="Open Sans"/>
        </w:rPr>
      </w:pPr>
      <w:r>
        <w:rPr>
          <w:rStyle w:val="EndnoteReference"/>
        </w:rPr>
        <w:endnoteRef/>
      </w:r>
      <w:r>
        <w:rPr>
          <w:rFonts w:cs="Open Sans"/>
          <w:i/>
          <w:iCs/>
        </w:rPr>
        <w:t>Convention on the Rights of the Child</w:t>
      </w:r>
      <w:r>
        <w:rPr>
          <w:rFonts w:cs="Open Sans"/>
          <w:iCs/>
        </w:rPr>
        <w:t>, opened for signature 20 November 1989,</w:t>
      </w:r>
      <w:r>
        <w:rPr>
          <w:rFonts w:cs="Open Sans"/>
        </w:rPr>
        <w:t xml:space="preserve"> [1991] ATS 4 (entered into force 2 September 1990) preamble; </w:t>
      </w:r>
      <w:r>
        <w:rPr>
          <w:rFonts w:cs="Open Sans"/>
          <w:i/>
        </w:rPr>
        <w:t>Universal Declaration of Human Right</w:t>
      </w:r>
      <w:r>
        <w:rPr>
          <w:rFonts w:cs="Open Sans"/>
        </w:rPr>
        <w:t xml:space="preserve">s, GA Res 217A (III), UN GAOR, 3rd </w:t>
      </w:r>
      <w:proofErr w:type="spellStart"/>
      <w:r>
        <w:rPr>
          <w:rFonts w:cs="Open Sans"/>
        </w:rPr>
        <w:t>sess</w:t>
      </w:r>
      <w:proofErr w:type="spellEnd"/>
      <w:r>
        <w:rPr>
          <w:rFonts w:cs="Open Sans"/>
        </w:rPr>
        <w:t xml:space="preserve">, 183rd </w:t>
      </w:r>
      <w:proofErr w:type="spellStart"/>
      <w:r>
        <w:rPr>
          <w:rFonts w:cs="Open Sans"/>
        </w:rPr>
        <w:t>plen</w:t>
      </w:r>
      <w:proofErr w:type="spellEnd"/>
      <w:r>
        <w:rPr>
          <w:rFonts w:cs="Open Sans"/>
        </w:rPr>
        <w:t xml:space="preserve"> mtg UN Doc A/810 (10 December 1948) article 25(2). </w:t>
      </w:r>
    </w:p>
  </w:endnote>
  <w:endnote w:id="31">
    <w:p w14:paraId="64D4C24E" w14:textId="1AA0D549" w:rsidR="004E3469" w:rsidRPr="00AE4E64" w:rsidRDefault="004E3469" w:rsidP="007A6C98">
      <w:pPr>
        <w:pStyle w:val="EndnoteText"/>
        <w:ind w:hanging="284"/>
        <w:rPr>
          <w:rFonts w:cs="Open Sans"/>
        </w:rPr>
      </w:pPr>
      <w:r w:rsidRPr="00AE4E64">
        <w:rPr>
          <w:rStyle w:val="EndnoteReference"/>
          <w:rFonts w:cs="Open Sans"/>
        </w:rPr>
        <w:endnoteRef/>
      </w:r>
      <w:r w:rsidRPr="00AE4E64">
        <w:rPr>
          <w:rFonts w:cs="Open Sans"/>
        </w:rPr>
        <w:t xml:space="preserve"> </w:t>
      </w:r>
      <w:r w:rsidRPr="00AE4E64">
        <w:rPr>
          <w:rFonts w:cs="Open Sans"/>
          <w:i/>
          <w:lang w:val="en-US"/>
        </w:rPr>
        <w:t>Convention on the Rights of the Child</w:t>
      </w:r>
      <w:r w:rsidRPr="00AE4E64">
        <w:rPr>
          <w:rFonts w:cs="Open Sans"/>
          <w:lang w:val="en-US"/>
        </w:rPr>
        <w:t xml:space="preserve">, opened for signature 20 November 1989, 1577 UNTS 3 (entered into force 2 September 1990) </w:t>
      </w:r>
      <w:r w:rsidRPr="00AE4E64">
        <w:rPr>
          <w:rFonts w:cs="Open Sans"/>
        </w:rPr>
        <w:t xml:space="preserve">articles 3, </w:t>
      </w:r>
      <w:r>
        <w:rPr>
          <w:rFonts w:cs="Open Sans"/>
        </w:rPr>
        <w:t xml:space="preserve">16(1), </w:t>
      </w:r>
      <w:r w:rsidRPr="00AE4E64">
        <w:rPr>
          <w:rFonts w:cs="Open Sans"/>
        </w:rPr>
        <w:t xml:space="preserve">28, 24, 27, 18(1); </w:t>
      </w:r>
      <w:r w:rsidRPr="00AE4E64">
        <w:rPr>
          <w:rFonts w:cs="Open Sans"/>
          <w:i/>
          <w:iCs/>
        </w:rPr>
        <w:t xml:space="preserve">International Covenant on Economic, Social and Cultural Rights, </w:t>
      </w:r>
      <w:r w:rsidRPr="00AE4E64">
        <w:rPr>
          <w:rFonts w:cs="Open Sans"/>
        </w:rPr>
        <w:t>opened for signature 16 December 1966, 993 UNTS 3 (entered into force 3 January 1976) articles 10(1), 11, 12.</w:t>
      </w:r>
    </w:p>
  </w:endnote>
  <w:endnote w:id="32">
    <w:p w14:paraId="6E91745E"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See, generally, United Nations Economic and Social Council, </w:t>
      </w:r>
      <w:proofErr w:type="spellStart"/>
      <w:r w:rsidRPr="004C3654">
        <w:rPr>
          <w:rFonts w:cs="Arial"/>
          <w:i/>
        </w:rPr>
        <w:t>Siracusa</w:t>
      </w:r>
      <w:proofErr w:type="spellEnd"/>
      <w:r w:rsidRPr="004C3654">
        <w:rPr>
          <w:rFonts w:cs="Arial"/>
          <w:i/>
        </w:rPr>
        <w:t xml:space="preserve"> Principles on the Limitation and Derogation Provisions in the International Covenant on Civil and Political Rights</w:t>
      </w:r>
      <w:r w:rsidRPr="004C3654">
        <w:rPr>
          <w:rFonts w:cs="Arial"/>
        </w:rPr>
        <w:t xml:space="preserve">, UN Doc E/CN.4/1985/4, Annex (28 September 1984). See also McBeth, Nolan and Rice, </w:t>
      </w:r>
      <w:r w:rsidRPr="004C3654">
        <w:rPr>
          <w:rFonts w:cs="Arial"/>
          <w:i/>
        </w:rPr>
        <w:t>The International Law of Human Rights</w:t>
      </w:r>
      <w:r w:rsidRPr="004C3654">
        <w:rPr>
          <w:rFonts w:cs="Arial"/>
        </w:rPr>
        <w:t xml:space="preserve"> (Oxford University Press, 2011), 116–117.</w:t>
      </w:r>
    </w:p>
  </w:endnote>
  <w:endnote w:id="33">
    <w:p w14:paraId="1D044845" w14:textId="77777777" w:rsidR="004E3469" w:rsidRPr="00AE4E64" w:rsidRDefault="004E3469" w:rsidP="0006701B">
      <w:pPr>
        <w:pStyle w:val="EndnoteText"/>
        <w:ind w:hanging="284"/>
        <w:rPr>
          <w:rFonts w:cs="Open Sans"/>
        </w:rPr>
      </w:pPr>
      <w:r w:rsidRPr="00AE4E64">
        <w:rPr>
          <w:rStyle w:val="EndnoteReference"/>
          <w:rFonts w:cs="Open Sans"/>
        </w:rPr>
        <w:endnoteRef/>
      </w:r>
      <w:r w:rsidRPr="00AE4E64">
        <w:rPr>
          <w:rFonts w:cs="Open Sans"/>
        </w:rPr>
        <w:t xml:space="preserve"> </w:t>
      </w:r>
      <w:r w:rsidRPr="00AE4E64">
        <w:rPr>
          <w:rStyle w:val="EndnoteReference"/>
          <w:rFonts w:cs="Open Sans"/>
          <w:vertAlign w:val="baseline"/>
        </w:rPr>
        <w:tab/>
      </w:r>
      <w:r w:rsidRPr="00AE4E64">
        <w:rPr>
          <w:rFonts w:cs="Open Sans"/>
          <w:i/>
        </w:rPr>
        <w:t>International Covenant on Economic, Social and Cultural Rights</w:t>
      </w:r>
      <w:r w:rsidRPr="00AE4E64">
        <w:rPr>
          <w:rFonts w:cs="Open Sans"/>
        </w:rPr>
        <w:t>, opened for signature 16 December 1966, 993 UNTS 3 (entered into force 3 January 1976) article 4.</w:t>
      </w:r>
    </w:p>
  </w:endnote>
  <w:endnote w:id="34">
    <w:p w14:paraId="05F125A8" w14:textId="77777777" w:rsidR="004E3469" w:rsidRPr="00AE4E64" w:rsidRDefault="004E3469" w:rsidP="0046390B">
      <w:pPr>
        <w:pStyle w:val="EndnoteText"/>
        <w:ind w:hanging="284"/>
        <w:rPr>
          <w:rFonts w:cs="Open Sans"/>
        </w:rPr>
      </w:pPr>
      <w:r w:rsidRPr="00AE4E64">
        <w:rPr>
          <w:rStyle w:val="EndnoteReference"/>
          <w:rFonts w:cs="Open Sans"/>
        </w:rPr>
        <w:endnoteRef/>
      </w:r>
      <w:r w:rsidRPr="00AE4E64">
        <w:rPr>
          <w:rFonts w:cs="Open Sans"/>
        </w:rPr>
        <w:t xml:space="preserve"> </w:t>
      </w:r>
      <w:r w:rsidRPr="00AE4E64">
        <w:rPr>
          <w:rStyle w:val="EndnoteReference"/>
          <w:rFonts w:cs="Open Sans"/>
          <w:vertAlign w:val="baseline"/>
        </w:rPr>
        <w:tab/>
      </w:r>
      <w:r w:rsidRPr="00AE4E64">
        <w:rPr>
          <w:rFonts w:cs="Open Sans"/>
        </w:rPr>
        <w:t xml:space="preserve">UN Committee on Economic, Social and Cultural Rights, </w:t>
      </w:r>
      <w:r w:rsidRPr="00AE4E64">
        <w:rPr>
          <w:rFonts w:cs="Open Sans"/>
          <w:i/>
        </w:rPr>
        <w:t>General Comment No 19: The right to social security (article 9)</w:t>
      </w:r>
      <w:r w:rsidRPr="00AE4E64">
        <w:rPr>
          <w:rFonts w:cs="Open Sans"/>
        </w:rPr>
        <w:t>, 39</w:t>
      </w:r>
      <w:r w:rsidRPr="00AE4E64">
        <w:rPr>
          <w:rFonts w:cs="Open Sans"/>
          <w:vertAlign w:val="superscript"/>
        </w:rPr>
        <w:t>th</w:t>
      </w:r>
      <w:r w:rsidRPr="00AE4E64">
        <w:rPr>
          <w:rFonts w:cs="Open Sans"/>
        </w:rPr>
        <w:t xml:space="preserve"> </w:t>
      </w:r>
      <w:proofErr w:type="spellStart"/>
      <w:r w:rsidRPr="00AE4E64">
        <w:rPr>
          <w:rFonts w:cs="Open Sans"/>
        </w:rPr>
        <w:t>sess</w:t>
      </w:r>
      <w:proofErr w:type="spellEnd"/>
      <w:r w:rsidRPr="00AE4E64">
        <w:rPr>
          <w:rFonts w:cs="Open Sans"/>
        </w:rPr>
        <w:t>, UN Doc E/C.12/GC/19 (4 February 2008) 13 [42].</w:t>
      </w:r>
    </w:p>
  </w:endnote>
  <w:endnote w:id="35">
    <w:p w14:paraId="0F3E417A" w14:textId="77777777" w:rsidR="004E3469" w:rsidRPr="00AE4E64" w:rsidRDefault="004E3469" w:rsidP="0046390B">
      <w:pPr>
        <w:pStyle w:val="EndnoteText"/>
        <w:ind w:hanging="284"/>
        <w:rPr>
          <w:rFonts w:cs="Open Sans"/>
        </w:rPr>
      </w:pPr>
      <w:r w:rsidRPr="00AE4E64">
        <w:rPr>
          <w:rStyle w:val="EndnoteReference"/>
          <w:rFonts w:cs="Open Sans"/>
        </w:rPr>
        <w:endnoteRef/>
      </w:r>
      <w:r w:rsidRPr="00AE4E64">
        <w:rPr>
          <w:rFonts w:cs="Open Sans"/>
        </w:rPr>
        <w:t xml:space="preserve"> </w:t>
      </w:r>
      <w:r w:rsidRPr="00AE4E64">
        <w:rPr>
          <w:rStyle w:val="EndnoteReference"/>
          <w:rFonts w:cs="Open Sans"/>
          <w:vertAlign w:val="baseline"/>
        </w:rPr>
        <w:tab/>
      </w:r>
      <w:r w:rsidRPr="00AE4E64">
        <w:rPr>
          <w:rFonts w:cs="Open Sans"/>
        </w:rPr>
        <w:t xml:space="preserve">UN Committee on Economic, Social and Cultural Rights, </w:t>
      </w:r>
      <w:r w:rsidRPr="00AE4E64">
        <w:rPr>
          <w:rFonts w:cs="Open Sans"/>
          <w:i/>
        </w:rPr>
        <w:t>General Comment No 19: The right to social security (article 9)</w:t>
      </w:r>
      <w:r w:rsidRPr="00AE4E64">
        <w:rPr>
          <w:rFonts w:cs="Open Sans"/>
        </w:rPr>
        <w:t>, 39</w:t>
      </w:r>
      <w:r w:rsidRPr="00AE4E64">
        <w:rPr>
          <w:rFonts w:cs="Open Sans"/>
          <w:vertAlign w:val="superscript"/>
        </w:rPr>
        <w:t>th</w:t>
      </w:r>
      <w:r w:rsidRPr="00AE4E64">
        <w:rPr>
          <w:rFonts w:cs="Open Sans"/>
        </w:rPr>
        <w:t xml:space="preserve"> </w:t>
      </w:r>
      <w:proofErr w:type="spellStart"/>
      <w:r w:rsidRPr="00AE4E64">
        <w:rPr>
          <w:rFonts w:cs="Open Sans"/>
        </w:rPr>
        <w:t>sess</w:t>
      </w:r>
      <w:proofErr w:type="spellEnd"/>
      <w:r w:rsidRPr="00AE4E64">
        <w:rPr>
          <w:rFonts w:cs="Open Sans"/>
        </w:rPr>
        <w:t>, UN Doc E/C.12/GC/19 (4 February 2008) 13 [42].</w:t>
      </w:r>
    </w:p>
  </w:endnote>
  <w:endnote w:id="36">
    <w:p w14:paraId="36137734" w14:textId="01EB9583"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Explanatory Memorandum, Social Services Legislation Amendment (Drug Testing Trial) Bill 201</w:t>
      </w:r>
      <w:r>
        <w:rPr>
          <w:rFonts w:cs="Arial"/>
        </w:rPr>
        <w:t>9</w:t>
      </w:r>
      <w:r w:rsidRPr="004C3654">
        <w:rPr>
          <w:rFonts w:cs="Arial"/>
        </w:rPr>
        <w:t xml:space="preserve">, Statement of Compatibility with Human Rights, </w:t>
      </w:r>
      <w:r>
        <w:rPr>
          <w:rFonts w:cs="Arial"/>
        </w:rPr>
        <w:t>27</w:t>
      </w:r>
      <w:r w:rsidRPr="004C3654">
        <w:rPr>
          <w:rFonts w:cs="Arial"/>
        </w:rPr>
        <w:t>.</w:t>
      </w:r>
    </w:p>
  </w:endnote>
  <w:endnote w:id="37">
    <w:p w14:paraId="21402B6B" w14:textId="299F0ABD" w:rsidR="004E3469" w:rsidRDefault="004E3469" w:rsidP="00BC1FA8">
      <w:pPr>
        <w:pStyle w:val="EndnoteText"/>
      </w:pPr>
      <w:r>
        <w:rPr>
          <w:rStyle w:val="EndnoteReference"/>
        </w:rPr>
        <w:endnoteRef/>
      </w:r>
      <w:r>
        <w:t xml:space="preserve"> </w:t>
      </w:r>
      <w:r>
        <w:rPr>
          <w:rFonts w:cs="Arial"/>
        </w:rPr>
        <w:t xml:space="preserve">See for example Australian Human Rights Commission, Submission to the Senate Affairs Legislation Committee, </w:t>
      </w:r>
      <w:r w:rsidRPr="00E241D1">
        <w:rPr>
          <w:rFonts w:cs="Arial"/>
        </w:rPr>
        <w:t>Social Services Legislation Amendment (Cashless Debit Card Trial Expansion) Bill 2018</w:t>
      </w:r>
      <w:r>
        <w:rPr>
          <w:rFonts w:cs="Arial"/>
        </w:rPr>
        <w:t xml:space="preserve"> (</w:t>
      </w:r>
      <w:proofErr w:type="spellStart"/>
      <w:r>
        <w:rPr>
          <w:rFonts w:cs="Arial"/>
        </w:rPr>
        <w:t>Cth</w:t>
      </w:r>
      <w:proofErr w:type="spellEnd"/>
      <w:r>
        <w:rPr>
          <w:rFonts w:cs="Arial"/>
        </w:rPr>
        <w:t xml:space="preserve">) (20 July 2018); Australian Human Rights Commission, </w:t>
      </w:r>
      <w:r w:rsidRPr="006D6540">
        <w:rPr>
          <w:rFonts w:cs="Arial"/>
        </w:rPr>
        <w:t>Senate Standing Committees on Community Affairs</w:t>
      </w:r>
      <w:r>
        <w:rPr>
          <w:rFonts w:cs="Arial"/>
        </w:rPr>
        <w:t xml:space="preserve">, </w:t>
      </w:r>
      <w:r w:rsidRPr="006D6540">
        <w:rPr>
          <w:rFonts w:cs="Arial"/>
        </w:rPr>
        <w:t xml:space="preserve">Social Security (Administration) Amendment (Income Management to Cashless Debit Card Transition) Bill 2019 </w:t>
      </w:r>
      <w:r>
        <w:rPr>
          <w:rFonts w:cs="Arial"/>
        </w:rPr>
        <w:t>(</w:t>
      </w:r>
      <w:proofErr w:type="spellStart"/>
      <w:r>
        <w:rPr>
          <w:rFonts w:cs="Arial"/>
        </w:rPr>
        <w:t>Cth</w:t>
      </w:r>
      <w:proofErr w:type="spellEnd"/>
      <w:r>
        <w:rPr>
          <w:rFonts w:cs="Arial"/>
        </w:rPr>
        <w:t>) (forthcoming).</w:t>
      </w:r>
    </w:p>
  </w:endnote>
  <w:endnote w:id="38">
    <w:p w14:paraId="42C8345F" w14:textId="2A7FE147" w:rsidR="004E3469" w:rsidRPr="00007881" w:rsidRDefault="004E3469" w:rsidP="00007881">
      <w:pPr>
        <w:pStyle w:val="EndnoteText"/>
        <w:rPr>
          <w:rFonts w:cs="Open Sans"/>
          <w:lang w:val="en-US"/>
        </w:rPr>
      </w:pPr>
      <w:r>
        <w:rPr>
          <w:rStyle w:val="EndnoteReference"/>
        </w:rPr>
        <w:endnoteRef/>
      </w:r>
      <w:r>
        <w:t xml:space="preserve"> See for example Australian Human Rights Commission, </w:t>
      </w:r>
      <w:r w:rsidRPr="00AE4E64">
        <w:rPr>
          <w:rFonts w:cs="Open Sans"/>
          <w:lang w:val="en-US"/>
        </w:rPr>
        <w:t xml:space="preserve">Submission to </w:t>
      </w:r>
      <w:r>
        <w:rPr>
          <w:rFonts w:cs="Open Sans"/>
          <w:lang w:val="en-US"/>
        </w:rPr>
        <w:t xml:space="preserve">the </w:t>
      </w:r>
      <w:r w:rsidRPr="00AE4E64">
        <w:rPr>
          <w:rFonts w:cs="Open Sans"/>
          <w:lang w:val="en-US"/>
        </w:rPr>
        <w:t xml:space="preserve">Senate Community Affairs </w:t>
      </w:r>
      <w:r>
        <w:rPr>
          <w:rFonts w:cs="Open Sans"/>
          <w:lang w:val="en-US"/>
        </w:rPr>
        <w:t>References</w:t>
      </w:r>
      <w:r w:rsidRPr="00AE4E64">
        <w:rPr>
          <w:rFonts w:cs="Open Sans"/>
          <w:lang w:val="en-US"/>
        </w:rPr>
        <w:t xml:space="preserve"> Committee</w:t>
      </w:r>
      <w:r>
        <w:rPr>
          <w:rFonts w:cs="Open Sans"/>
          <w:lang w:val="en-US"/>
        </w:rPr>
        <w:t>,</w:t>
      </w:r>
      <w:r w:rsidRPr="000202C5">
        <w:t xml:space="preserve"> </w:t>
      </w:r>
      <w:proofErr w:type="spellStart"/>
      <w:r w:rsidRPr="000202C5">
        <w:rPr>
          <w:rFonts w:cs="Open Sans"/>
          <w:lang w:val="en-US"/>
        </w:rPr>
        <w:t>ParentsNext</w:t>
      </w:r>
      <w:proofErr w:type="spellEnd"/>
      <w:r w:rsidRPr="000202C5">
        <w:rPr>
          <w:rFonts w:cs="Open Sans"/>
          <w:lang w:val="en-US"/>
        </w:rPr>
        <w:t xml:space="preserve">, including its trial and subsequent broader rollout </w:t>
      </w:r>
      <w:r>
        <w:rPr>
          <w:rFonts w:cs="Open Sans"/>
          <w:lang w:val="en-US"/>
        </w:rPr>
        <w:t xml:space="preserve">(1 February 2019); </w:t>
      </w:r>
      <w:r>
        <w:t xml:space="preserve">Australian Human Rights Commission, </w:t>
      </w:r>
      <w:r w:rsidRPr="00AE4E64">
        <w:rPr>
          <w:rFonts w:cs="Open Sans"/>
          <w:lang w:val="en-US"/>
        </w:rPr>
        <w:t xml:space="preserve">Submission to </w:t>
      </w:r>
      <w:r>
        <w:rPr>
          <w:rFonts w:cs="Open Sans"/>
          <w:lang w:val="en-US"/>
        </w:rPr>
        <w:t xml:space="preserve">the </w:t>
      </w:r>
      <w:r w:rsidRPr="00AE4E64">
        <w:rPr>
          <w:rFonts w:cs="Open Sans"/>
          <w:lang w:val="en-US"/>
        </w:rPr>
        <w:t xml:space="preserve">Senate Community Affairs </w:t>
      </w:r>
      <w:r>
        <w:rPr>
          <w:rFonts w:cs="Open Sans"/>
          <w:lang w:val="en-US"/>
        </w:rPr>
        <w:t>References</w:t>
      </w:r>
      <w:r w:rsidRPr="00AE4E64">
        <w:rPr>
          <w:rFonts w:cs="Open Sans"/>
          <w:lang w:val="en-US"/>
        </w:rPr>
        <w:t xml:space="preserve"> Committee</w:t>
      </w:r>
      <w:r w:rsidRPr="00007881">
        <w:t xml:space="preserve"> </w:t>
      </w:r>
      <w:r w:rsidRPr="00007881">
        <w:rPr>
          <w:rFonts w:cs="Open Sans"/>
          <w:lang w:val="en-US"/>
        </w:rPr>
        <w:t>Adequacy of Newstart and</w:t>
      </w:r>
      <w:r>
        <w:rPr>
          <w:rFonts w:cs="Open Sans"/>
          <w:lang w:val="en-US"/>
        </w:rPr>
        <w:t xml:space="preserve"> </w:t>
      </w:r>
      <w:r w:rsidRPr="00007881">
        <w:rPr>
          <w:rFonts w:cs="Open Sans"/>
          <w:lang w:val="en-US"/>
        </w:rPr>
        <w:t>related payments and alternative</w:t>
      </w:r>
      <w:r>
        <w:rPr>
          <w:rFonts w:cs="Open Sans"/>
          <w:lang w:val="en-US"/>
        </w:rPr>
        <w:t xml:space="preserve"> </w:t>
      </w:r>
      <w:r w:rsidRPr="00007881">
        <w:rPr>
          <w:rFonts w:cs="Open Sans"/>
          <w:lang w:val="en-US"/>
        </w:rPr>
        <w:t>mechanisms to determine the</w:t>
      </w:r>
      <w:r>
        <w:rPr>
          <w:rFonts w:cs="Open Sans"/>
          <w:lang w:val="en-US"/>
        </w:rPr>
        <w:t xml:space="preserve"> </w:t>
      </w:r>
      <w:r w:rsidRPr="00007881">
        <w:rPr>
          <w:rFonts w:cs="Open Sans"/>
          <w:lang w:val="en-US"/>
        </w:rPr>
        <w:t>level of income support</w:t>
      </w:r>
      <w:r>
        <w:rPr>
          <w:rFonts w:cs="Open Sans"/>
          <w:lang w:val="en-US"/>
        </w:rPr>
        <w:t xml:space="preserve"> </w:t>
      </w:r>
      <w:r w:rsidRPr="00007881">
        <w:rPr>
          <w:rFonts w:cs="Open Sans"/>
          <w:lang w:val="en-US"/>
        </w:rPr>
        <w:t xml:space="preserve">payments in Australia </w:t>
      </w:r>
      <w:r>
        <w:rPr>
          <w:rFonts w:cs="Open Sans"/>
          <w:lang w:val="en-US"/>
        </w:rPr>
        <w:t xml:space="preserve">(25 September 2019). </w:t>
      </w:r>
    </w:p>
  </w:endnote>
  <w:endnote w:id="39">
    <w:p w14:paraId="309AD7C6" w14:textId="0235747C" w:rsidR="004E3469" w:rsidRDefault="004E3469" w:rsidP="003A71AB">
      <w:pPr>
        <w:pStyle w:val="EndnoteText"/>
      </w:pPr>
      <w:r>
        <w:rPr>
          <w:rStyle w:val="EndnoteReference"/>
        </w:rPr>
        <w:endnoteRef/>
      </w:r>
      <w:r>
        <w:t xml:space="preserve"> Proposed s 1206XD, </w:t>
      </w:r>
      <w:r w:rsidRPr="004C3654">
        <w:rPr>
          <w:rFonts w:cs="Arial"/>
        </w:rPr>
        <w:t>Social Services Legislation Amendment (Drug Testing Trial) Bill 201</w:t>
      </w:r>
      <w:r>
        <w:rPr>
          <w:rFonts w:cs="Arial"/>
        </w:rPr>
        <w:t>9</w:t>
      </w:r>
      <w:r w:rsidRPr="004C3654">
        <w:rPr>
          <w:rFonts w:cs="Arial"/>
        </w:rPr>
        <w:t>.</w:t>
      </w:r>
    </w:p>
  </w:endnote>
  <w:endnote w:id="40">
    <w:p w14:paraId="0B8ABDC8" w14:textId="5B4E0562" w:rsidR="004E3469" w:rsidRPr="00EE33ED" w:rsidRDefault="004E3469" w:rsidP="00651980">
      <w:pPr>
        <w:pStyle w:val="EndnoteText"/>
        <w:rPr>
          <w:rFonts w:cs="Arial"/>
        </w:rPr>
      </w:pPr>
      <w:r w:rsidRPr="004C3654">
        <w:rPr>
          <w:rStyle w:val="EndnoteReference"/>
          <w:rFonts w:cs="Arial"/>
        </w:rPr>
        <w:endnoteRef/>
      </w:r>
      <w:r w:rsidRPr="004C3654">
        <w:rPr>
          <w:rFonts w:cs="Arial"/>
        </w:rPr>
        <w:t xml:space="preserve"> Explanatory Memorandum, Social Services Legislation Amendment (Drug Testing Trial) Bill 201</w:t>
      </w:r>
      <w:r>
        <w:rPr>
          <w:rFonts w:cs="Arial"/>
        </w:rPr>
        <w:t>9</w:t>
      </w:r>
      <w:r w:rsidRPr="00EE33ED">
        <w:rPr>
          <w:rFonts w:cs="Arial"/>
        </w:rPr>
        <w:t>, 20.</w:t>
      </w:r>
    </w:p>
  </w:endnote>
  <w:endnote w:id="41">
    <w:p w14:paraId="649F5222" w14:textId="126CAFF0" w:rsidR="004E3469" w:rsidRPr="00EE33ED" w:rsidRDefault="004E3469" w:rsidP="00651980">
      <w:pPr>
        <w:pStyle w:val="EndnoteText"/>
        <w:rPr>
          <w:rFonts w:cs="Arial"/>
        </w:rPr>
      </w:pPr>
      <w:r w:rsidRPr="00EE33ED">
        <w:rPr>
          <w:rStyle w:val="EndnoteReference"/>
          <w:rFonts w:cs="Arial"/>
        </w:rPr>
        <w:endnoteRef/>
      </w:r>
      <w:r w:rsidRPr="00EE33ED">
        <w:rPr>
          <w:rFonts w:cs="Arial"/>
        </w:rPr>
        <w:t xml:space="preserve"> Explanatory Memorandum, Social Services Legislation Amendment (Drug Testing Trial) Bill 201</w:t>
      </w:r>
      <w:r>
        <w:rPr>
          <w:rFonts w:cs="Arial"/>
        </w:rPr>
        <w:t>9</w:t>
      </w:r>
      <w:r w:rsidRPr="00EE33ED">
        <w:rPr>
          <w:rFonts w:cs="Arial"/>
        </w:rPr>
        <w:t>, 20.</w:t>
      </w:r>
    </w:p>
  </w:endnote>
  <w:endnote w:id="42">
    <w:p w14:paraId="19046B4F" w14:textId="427C1A9D" w:rsidR="004E3469" w:rsidRPr="00450561" w:rsidRDefault="004E3469">
      <w:pPr>
        <w:pStyle w:val="EndnoteText"/>
        <w:rPr>
          <w:rFonts w:cs="Arial"/>
        </w:rPr>
      </w:pPr>
      <w:r w:rsidRPr="00450561">
        <w:rPr>
          <w:rFonts w:cs="Arial"/>
        </w:rPr>
        <w:endnoteRef/>
      </w:r>
      <w:r w:rsidRPr="00450561">
        <w:rPr>
          <w:rFonts w:cs="Arial"/>
        </w:rPr>
        <w:t xml:space="preserve"> </w:t>
      </w:r>
      <w:r w:rsidRPr="00450561">
        <w:rPr>
          <w:rFonts w:cs="Arial"/>
          <w:i/>
          <w:iCs/>
        </w:rPr>
        <w:t>Convention on the Rights of Persons with Disabilities</w:t>
      </w:r>
      <w:r w:rsidRPr="00450561">
        <w:rPr>
          <w:rFonts w:cs="Arial"/>
        </w:rPr>
        <w:t xml:space="preserve">, GA61/106, 61st </w:t>
      </w:r>
      <w:proofErr w:type="spellStart"/>
      <w:r w:rsidRPr="00450561">
        <w:rPr>
          <w:rFonts w:cs="Arial"/>
        </w:rPr>
        <w:t>sess</w:t>
      </w:r>
      <w:proofErr w:type="spellEnd"/>
      <w:r w:rsidRPr="00450561">
        <w:rPr>
          <w:rFonts w:cs="Arial"/>
        </w:rPr>
        <w:t>, 106th plenary meeting, A/RES/61/106 (24 January 2007) Art 2</w:t>
      </w:r>
      <w:r>
        <w:rPr>
          <w:rFonts w:cs="Arial"/>
        </w:rPr>
        <w:t>5(d)</w:t>
      </w:r>
      <w:r w:rsidRPr="00450561">
        <w:rPr>
          <w:rFonts w:cs="Arial"/>
        </w:rPr>
        <w:t>.</w:t>
      </w:r>
    </w:p>
  </w:endnote>
  <w:endnote w:id="43">
    <w:p w14:paraId="1CD0BEF5" w14:textId="627A0601" w:rsidR="004E3469" w:rsidRPr="00AE4E64" w:rsidRDefault="004E3469" w:rsidP="00C97609">
      <w:pPr>
        <w:pStyle w:val="EndnoteText"/>
        <w:rPr>
          <w:rFonts w:cs="Open Sans"/>
        </w:rPr>
      </w:pPr>
      <w:r w:rsidRPr="00450561">
        <w:rPr>
          <w:rFonts w:cs="Arial"/>
        </w:rPr>
        <w:endnoteRef/>
      </w:r>
      <w:r w:rsidRPr="00450561">
        <w:rPr>
          <w:rFonts w:cs="Arial"/>
        </w:rPr>
        <w:t xml:space="preserve"> International Convention on the Elimination of All Forms of Racial Discrimination, opened for signature 21 December 1965, 660 UNTS 195 (entered into force 4 January</w:t>
      </w:r>
      <w:r w:rsidRPr="00EE33ED">
        <w:rPr>
          <w:rFonts w:cs="Open Sans"/>
        </w:rPr>
        <w:t xml:space="preserve"> 1969) article 5(e)(iv); </w:t>
      </w:r>
      <w:r w:rsidRPr="00EE33ED">
        <w:rPr>
          <w:rFonts w:cs="Open Sans"/>
          <w:i/>
        </w:rPr>
        <w:t>Conventi</w:t>
      </w:r>
      <w:r w:rsidRPr="00AE4E64">
        <w:rPr>
          <w:rFonts w:cs="Open Sans"/>
          <w:i/>
        </w:rPr>
        <w:t>on on the Elimination of All Forms of Discrimination against Women</w:t>
      </w:r>
      <w:r w:rsidRPr="00AE4E64">
        <w:rPr>
          <w:rFonts w:cs="Open Sans"/>
        </w:rPr>
        <w:t xml:space="preserve">, opened for signature 18 December 1979, 1249 UNTS 13 (entered into force 3 September 1981) articles 11(1)(e), 14(2)(c); </w:t>
      </w:r>
      <w:r w:rsidRPr="00AE4E64">
        <w:rPr>
          <w:rFonts w:cs="Open Sans"/>
          <w:i/>
        </w:rPr>
        <w:t>United Nations Declaration on the Rights of Indigenous Peoples</w:t>
      </w:r>
      <w:r w:rsidRPr="00AE4E64">
        <w:rPr>
          <w:rFonts w:cs="Open Sans"/>
        </w:rPr>
        <w:t>, GA Res 61/295, UN GAOR, 61</w:t>
      </w:r>
      <w:r w:rsidRPr="00AE4E64">
        <w:rPr>
          <w:rFonts w:cs="Open Sans"/>
          <w:vertAlign w:val="superscript"/>
        </w:rPr>
        <w:t>st</w:t>
      </w:r>
      <w:r w:rsidRPr="00AE4E64">
        <w:rPr>
          <w:rFonts w:cs="Open Sans"/>
        </w:rPr>
        <w:t xml:space="preserve"> </w:t>
      </w:r>
      <w:proofErr w:type="spellStart"/>
      <w:r w:rsidRPr="00AE4E64">
        <w:rPr>
          <w:rFonts w:cs="Open Sans"/>
        </w:rPr>
        <w:t>sess</w:t>
      </w:r>
      <w:proofErr w:type="spellEnd"/>
      <w:r w:rsidRPr="00AE4E64">
        <w:rPr>
          <w:rFonts w:cs="Open Sans"/>
        </w:rPr>
        <w:t>, 107</w:t>
      </w:r>
      <w:r w:rsidRPr="00AE4E64">
        <w:rPr>
          <w:rFonts w:cs="Open Sans"/>
          <w:vertAlign w:val="superscript"/>
        </w:rPr>
        <w:t>th</w:t>
      </w:r>
      <w:r w:rsidRPr="00AE4E64">
        <w:rPr>
          <w:rFonts w:cs="Open Sans"/>
        </w:rPr>
        <w:t xml:space="preserve"> </w:t>
      </w:r>
      <w:proofErr w:type="spellStart"/>
      <w:r w:rsidRPr="00AE4E64">
        <w:rPr>
          <w:rFonts w:cs="Open Sans"/>
        </w:rPr>
        <w:t>plen</w:t>
      </w:r>
      <w:proofErr w:type="spellEnd"/>
      <w:r w:rsidRPr="00AE4E64">
        <w:rPr>
          <w:rFonts w:cs="Open Sans"/>
        </w:rPr>
        <w:t xml:space="preserve"> mtg, Supp No</w:t>
      </w:r>
      <w:r w:rsidRPr="00AE4E64">
        <w:rPr>
          <w:rFonts w:cs="Open Sans"/>
          <w:i/>
        </w:rPr>
        <w:t xml:space="preserve"> </w:t>
      </w:r>
      <w:r w:rsidRPr="00AE4E64">
        <w:rPr>
          <w:rFonts w:cs="Open Sans"/>
        </w:rPr>
        <w:t>49, UN Doc A/RES/61/295 (13 September 2007) article 21(1).</w:t>
      </w:r>
    </w:p>
  </w:endnote>
  <w:endnote w:id="44">
    <w:p w14:paraId="0F3A7282" w14:textId="0FE20114" w:rsidR="004E3469" w:rsidRPr="00AE4E64" w:rsidRDefault="004E3469" w:rsidP="00C97609">
      <w:pPr>
        <w:pStyle w:val="EndnoteText"/>
        <w:rPr>
          <w:rFonts w:cs="Open Sans"/>
        </w:rPr>
      </w:pPr>
      <w:r w:rsidRPr="00AE4E64">
        <w:rPr>
          <w:rStyle w:val="EndnoteReference"/>
          <w:rFonts w:cs="Open Sans"/>
        </w:rPr>
        <w:endnoteRef/>
      </w:r>
      <w:r w:rsidRPr="00AE4E64">
        <w:rPr>
          <w:rFonts w:cs="Open Sans"/>
        </w:rPr>
        <w:t xml:space="preserve"> UN Committee on Economic, Social and Cultural Rights, </w:t>
      </w:r>
      <w:r w:rsidRPr="00AE4E64">
        <w:rPr>
          <w:rFonts w:cs="Open Sans"/>
          <w:i/>
        </w:rPr>
        <w:t>General Comment No 19: The right to social security (article 9)</w:t>
      </w:r>
      <w:r w:rsidRPr="00AE4E64">
        <w:rPr>
          <w:rFonts w:cs="Open Sans"/>
        </w:rPr>
        <w:t>, 39</w:t>
      </w:r>
      <w:r w:rsidRPr="00AE4E64">
        <w:rPr>
          <w:rFonts w:cs="Open Sans"/>
          <w:vertAlign w:val="superscript"/>
        </w:rPr>
        <w:t>th</w:t>
      </w:r>
      <w:r w:rsidRPr="00AE4E64">
        <w:rPr>
          <w:rFonts w:cs="Open Sans"/>
        </w:rPr>
        <w:t xml:space="preserve"> </w:t>
      </w:r>
      <w:proofErr w:type="spellStart"/>
      <w:r w:rsidRPr="00AE4E64">
        <w:rPr>
          <w:rFonts w:cs="Open Sans"/>
        </w:rPr>
        <w:t>sess</w:t>
      </w:r>
      <w:proofErr w:type="spellEnd"/>
      <w:r w:rsidRPr="00AE4E64">
        <w:rPr>
          <w:rFonts w:cs="Open Sans"/>
        </w:rPr>
        <w:t>, UN Doc E/C.12/GC/19 (4 February 2008) 11 [35].</w:t>
      </w:r>
    </w:p>
  </w:endnote>
  <w:endnote w:id="45">
    <w:p w14:paraId="7DB69A79" w14:textId="45BCD965"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Explanatory Memorandum, Social Services Legislation Amendment (Drug Testing Trial) Bill 201</w:t>
      </w:r>
      <w:r>
        <w:rPr>
          <w:rFonts w:cs="Arial"/>
        </w:rPr>
        <w:t>9</w:t>
      </w:r>
      <w:r w:rsidRPr="004C3654">
        <w:rPr>
          <w:rFonts w:cs="Arial"/>
        </w:rPr>
        <w:t xml:space="preserve">, </w:t>
      </w:r>
      <w:r>
        <w:rPr>
          <w:rFonts w:cs="Arial"/>
        </w:rPr>
        <w:t>3</w:t>
      </w:r>
      <w:r w:rsidRPr="004C3654">
        <w:rPr>
          <w:rFonts w:cs="Arial"/>
        </w:rPr>
        <w:t>.</w:t>
      </w:r>
    </w:p>
  </w:endnote>
  <w:endnote w:id="46">
    <w:p w14:paraId="61511788" w14:textId="4C2515AF"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Productivity Commission, </w:t>
      </w:r>
      <w:r w:rsidRPr="004C3654">
        <w:rPr>
          <w:rFonts w:cs="Arial"/>
          <w:i/>
        </w:rPr>
        <w:t>Overcoming Indigenous Disadvantage Report 2016</w:t>
      </w:r>
      <w:r w:rsidRPr="004C3654">
        <w:rPr>
          <w:rFonts w:cs="Arial"/>
        </w:rPr>
        <w:t xml:space="preserve">, 9.31. At </w:t>
      </w:r>
      <w:hyperlink r:id="rId3" w:history="1">
        <w:r w:rsidRPr="004C3654">
          <w:rPr>
            <w:rStyle w:val="Hyperlink"/>
            <w:rFonts w:cs="Arial"/>
          </w:rPr>
          <w:t>https://www.pc.gov.au/research/ongoing/overcoming-indigenous-disadvantage/2016/report-documents/oid-2016-chapter9-economic-participation.pdf</w:t>
        </w:r>
      </w:hyperlink>
      <w:r w:rsidRPr="00B12F6F">
        <w:rPr>
          <w:rFonts w:cs="Arial"/>
        </w:rPr>
        <w:t>.</w:t>
      </w:r>
    </w:p>
  </w:endnote>
  <w:endnote w:id="47">
    <w:p w14:paraId="7F0094BE" w14:textId="28985CCB"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w:t>
      </w:r>
      <w:r>
        <w:rPr>
          <w:rFonts w:cs="Arial"/>
        </w:rPr>
        <w:t xml:space="preserve">See for example Australian Human Rights Commission, Submission to the Senate Affairs Legislation Committee, </w:t>
      </w:r>
      <w:r w:rsidRPr="00E241D1">
        <w:rPr>
          <w:rFonts w:cs="Arial"/>
        </w:rPr>
        <w:t>Social Services Legislation Amendment (Cashless Debit Card Trial Expansion) Bill 2018</w:t>
      </w:r>
      <w:r>
        <w:rPr>
          <w:rFonts w:cs="Arial"/>
        </w:rPr>
        <w:t xml:space="preserve"> (</w:t>
      </w:r>
      <w:proofErr w:type="spellStart"/>
      <w:r>
        <w:rPr>
          <w:rFonts w:cs="Arial"/>
        </w:rPr>
        <w:t>Cth</w:t>
      </w:r>
      <w:proofErr w:type="spellEnd"/>
      <w:r>
        <w:rPr>
          <w:rFonts w:cs="Arial"/>
        </w:rPr>
        <w:t>) (20 July 2018)</w:t>
      </w:r>
      <w:r w:rsidRPr="004C3654">
        <w:rPr>
          <w:rFonts w:cs="Arial"/>
        </w:rPr>
        <w:t>.</w:t>
      </w:r>
    </w:p>
  </w:endnote>
  <w:endnote w:id="48">
    <w:p w14:paraId="54574325" w14:textId="0D70758C" w:rsidR="004E3469" w:rsidRPr="00435B5E" w:rsidRDefault="004E3469" w:rsidP="00B160BA">
      <w:pPr>
        <w:pStyle w:val="EndnoteText"/>
      </w:pPr>
      <w:r>
        <w:rPr>
          <w:rStyle w:val="EndnoteReference"/>
        </w:rPr>
        <w:endnoteRef/>
      </w:r>
      <w:r>
        <w:t xml:space="preserve"> Committee on the Rights of Persons with Disabilities, </w:t>
      </w:r>
      <w:r>
        <w:rPr>
          <w:i/>
        </w:rPr>
        <w:t>Concluding Observations on Ireland</w:t>
      </w:r>
      <w:r>
        <w:t xml:space="preserve"> (2000), UN Doc A/55/40, [422]</w:t>
      </w:r>
      <w:proofErr w:type="gramStart"/>
      <w:r>
        <w:t>–[</w:t>
      </w:r>
      <w:proofErr w:type="gramEnd"/>
      <w:r>
        <w:t xml:space="preserve">451], [29e]; </w:t>
      </w:r>
      <w:r w:rsidRPr="004C3654">
        <w:rPr>
          <w:rFonts w:cs="Arial"/>
        </w:rPr>
        <w:t xml:space="preserve">Parliamentary Joint Committee on Human Rights, Parliament of Australia, </w:t>
      </w:r>
      <w:r w:rsidRPr="004C3654">
        <w:rPr>
          <w:rFonts w:cs="Arial"/>
          <w:i/>
        </w:rPr>
        <w:t xml:space="preserve">Report </w:t>
      </w:r>
      <w:r>
        <w:rPr>
          <w:rFonts w:cs="Arial"/>
          <w:i/>
        </w:rPr>
        <w:t>3 of 2018</w:t>
      </w:r>
      <w:r w:rsidRPr="004C3654">
        <w:rPr>
          <w:rFonts w:cs="Arial"/>
          <w:i/>
        </w:rPr>
        <w:t xml:space="preserve">: Human rights scrutiny report </w:t>
      </w:r>
      <w:r w:rsidRPr="004C3654">
        <w:rPr>
          <w:rFonts w:cs="Arial"/>
        </w:rPr>
        <w:t>(201</w:t>
      </w:r>
      <w:r>
        <w:rPr>
          <w:rFonts w:cs="Arial"/>
        </w:rPr>
        <w:t>8</w:t>
      </w:r>
      <w:r w:rsidRPr="004C3654">
        <w:rPr>
          <w:rFonts w:cs="Arial"/>
        </w:rPr>
        <w:t>)</w:t>
      </w:r>
      <w:r>
        <w:rPr>
          <w:rFonts w:cs="Arial"/>
        </w:rPr>
        <w:t xml:space="preserve"> 125</w:t>
      </w:r>
      <w:r w:rsidRPr="004C3654">
        <w:rPr>
          <w:rFonts w:cs="Arial"/>
        </w:rPr>
        <w:t>.</w:t>
      </w:r>
    </w:p>
  </w:endnote>
  <w:endnote w:id="49">
    <w:p w14:paraId="32B7C1AD" w14:textId="77777777" w:rsidR="004E3469" w:rsidRPr="004C3654" w:rsidRDefault="004E3469" w:rsidP="00B160BA">
      <w:pPr>
        <w:pStyle w:val="EndnoteText"/>
        <w:rPr>
          <w:rFonts w:cs="Arial"/>
        </w:rPr>
      </w:pPr>
      <w:r w:rsidRPr="004C3654">
        <w:rPr>
          <w:rStyle w:val="EndnoteReference"/>
          <w:rFonts w:cs="Arial"/>
        </w:rPr>
        <w:endnoteRef/>
      </w:r>
      <w:r w:rsidRPr="004C3654">
        <w:rPr>
          <w:rFonts w:cs="Arial"/>
        </w:rPr>
        <w:t xml:space="preserve"> Committee on Economic, Social and Cultural Rights, </w:t>
      </w:r>
      <w:r w:rsidRPr="004C3654">
        <w:rPr>
          <w:rFonts w:cs="Arial"/>
          <w:i/>
        </w:rPr>
        <w:t>General Comment No 19: The Right to Social Security (art 9 of the Covenant)</w:t>
      </w:r>
      <w:r w:rsidRPr="004C3654">
        <w:rPr>
          <w:rFonts w:cs="Arial"/>
        </w:rPr>
        <w:t>, UN ESCOR, 39</w:t>
      </w:r>
      <w:r w:rsidRPr="004C3654">
        <w:rPr>
          <w:rFonts w:cs="Arial"/>
          <w:vertAlign w:val="superscript"/>
        </w:rPr>
        <w:t>th</w:t>
      </w:r>
      <w:r w:rsidRPr="004C3654">
        <w:rPr>
          <w:rFonts w:cs="Arial"/>
        </w:rPr>
        <w:t xml:space="preserve"> </w:t>
      </w:r>
      <w:proofErr w:type="spellStart"/>
      <w:r w:rsidRPr="004C3654">
        <w:rPr>
          <w:rFonts w:cs="Arial"/>
        </w:rPr>
        <w:t>sess</w:t>
      </w:r>
      <w:proofErr w:type="spellEnd"/>
      <w:r w:rsidRPr="004C3654">
        <w:rPr>
          <w:rFonts w:cs="Arial"/>
        </w:rPr>
        <w:t>, UN Doc E/C.12/GC/19 (4 February 2008) [20].</w:t>
      </w:r>
    </w:p>
  </w:endnote>
  <w:endnote w:id="50">
    <w:p w14:paraId="5B5AA3BD" w14:textId="4F2DBC29" w:rsidR="004E3469" w:rsidRDefault="004E3469" w:rsidP="008F6B81">
      <w:pPr>
        <w:pStyle w:val="EndnoteText"/>
      </w:pPr>
      <w:r>
        <w:rPr>
          <w:rStyle w:val="EndnoteReference"/>
        </w:rPr>
        <w:endnoteRef/>
      </w:r>
      <w:r>
        <w:t xml:space="preserve"> Australian Government, </w:t>
      </w:r>
      <w:r w:rsidRPr="00B55202">
        <w:rPr>
          <w:i/>
          <w:iCs/>
        </w:rPr>
        <w:t>Social Security Guide</w:t>
      </w:r>
      <w:r>
        <w:t xml:space="preserve"> (20 September 2019) [1.2.1.20] available at </w:t>
      </w:r>
      <w:hyperlink r:id="rId4" w:history="1">
        <w:r>
          <w:rPr>
            <w:rStyle w:val="Hyperlink"/>
          </w:rPr>
          <w:t>https://guides.dss.gov.au/guide-social-security-law/1/2/1/20</w:t>
        </w:r>
      </w:hyperlink>
      <w:r>
        <w:rPr>
          <w:rStyle w:val="Hyperlink"/>
        </w:rPr>
        <w:t>.</w:t>
      </w:r>
      <w:r>
        <w:t xml:space="preserve"> </w:t>
      </w:r>
    </w:p>
  </w:endnote>
  <w:endnote w:id="51">
    <w:p w14:paraId="1691BACA" w14:textId="2A6C3FE3" w:rsidR="004E3469" w:rsidRDefault="004E3469">
      <w:pPr>
        <w:pStyle w:val="EndnoteText"/>
      </w:pPr>
      <w:r>
        <w:rPr>
          <w:rStyle w:val="EndnoteReference"/>
        </w:rPr>
        <w:endnoteRef/>
      </w:r>
      <w:r>
        <w:t xml:space="preserve"> </w:t>
      </w:r>
      <w:bookmarkStart w:id="59" w:name="_Hlk20740447"/>
      <w:r>
        <w:rPr>
          <w:rFonts w:cs="Arial"/>
        </w:rPr>
        <w:t>Standing Committee for the Scrutiny of Bills</w:t>
      </w:r>
      <w:bookmarkEnd w:id="59"/>
      <w:r w:rsidRPr="004C3654">
        <w:rPr>
          <w:rFonts w:cs="Arial"/>
        </w:rPr>
        <w:t xml:space="preserve">, Parliament of Australia, </w:t>
      </w:r>
      <w:r>
        <w:rPr>
          <w:rFonts w:cs="Arial"/>
          <w:i/>
        </w:rPr>
        <w:t>Scrutiny Digest No 3 of 2018</w:t>
      </w:r>
      <w:r w:rsidRPr="004C3654">
        <w:rPr>
          <w:rFonts w:cs="Arial"/>
          <w:i/>
        </w:rPr>
        <w:t xml:space="preserve"> </w:t>
      </w:r>
      <w:r w:rsidRPr="004C3654">
        <w:rPr>
          <w:rFonts w:cs="Arial"/>
        </w:rPr>
        <w:t>(201</w:t>
      </w:r>
      <w:r>
        <w:rPr>
          <w:rFonts w:cs="Arial"/>
        </w:rPr>
        <w:t>8</w:t>
      </w:r>
      <w:r w:rsidRPr="004C3654">
        <w:rPr>
          <w:rFonts w:cs="Arial"/>
        </w:rPr>
        <w:t>)</w:t>
      </w:r>
      <w:r>
        <w:rPr>
          <w:rFonts w:cs="Arial"/>
        </w:rPr>
        <w:t xml:space="preserve"> 37</w:t>
      </w:r>
      <w:r w:rsidRPr="004C3654">
        <w:rPr>
          <w:rFonts w:cs="Arial"/>
        </w:rPr>
        <w:t>.</w:t>
      </w:r>
    </w:p>
  </w:endnote>
  <w:endnote w:id="52">
    <w:p w14:paraId="60E57C89" w14:textId="2DDD0460" w:rsidR="004E3469" w:rsidRDefault="004E3469">
      <w:pPr>
        <w:pStyle w:val="EndnoteText"/>
      </w:pPr>
      <w:r>
        <w:rPr>
          <w:rStyle w:val="EndnoteReference"/>
        </w:rPr>
        <w:endnoteRef/>
      </w:r>
      <w:r>
        <w:t xml:space="preserve"> </w:t>
      </w:r>
      <w:r w:rsidRPr="00A5797A">
        <w:t>Senate Community Affairs Legislation Committee</w:t>
      </w:r>
      <w:r w:rsidRPr="004C3654">
        <w:rPr>
          <w:rFonts w:cs="Arial"/>
        </w:rPr>
        <w:t xml:space="preserve">, Parliament of Australia, </w:t>
      </w:r>
      <w:r w:rsidRPr="00C420A9">
        <w:rPr>
          <w:rFonts w:cs="Arial"/>
          <w:i/>
          <w:iCs/>
        </w:rPr>
        <w:t>Report of</w:t>
      </w:r>
      <w:r w:rsidRPr="00C420A9">
        <w:rPr>
          <w:i/>
          <w:iCs/>
        </w:rPr>
        <w:t xml:space="preserve"> inquiry into the Social Services Legislation Amendment (Drug Testing Trial) Bill 2018 (</w:t>
      </w:r>
      <w:proofErr w:type="spellStart"/>
      <w:r w:rsidRPr="00C420A9">
        <w:rPr>
          <w:i/>
          <w:iCs/>
        </w:rPr>
        <w:t>Cth</w:t>
      </w:r>
      <w:proofErr w:type="spellEnd"/>
      <w:r w:rsidRPr="00C420A9">
        <w:rPr>
          <w:i/>
          <w:iCs/>
        </w:rPr>
        <w:t>)</w:t>
      </w:r>
      <w:r>
        <w:t xml:space="preserve"> (May 2018), 11 (Recommendations 1 and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2FED" w14:textId="77777777" w:rsidR="004E3469" w:rsidRPr="000465F1" w:rsidRDefault="004E3469" w:rsidP="000465F1">
    <w:pPr>
      <w:pStyle w:val="Footer"/>
    </w:pPr>
    <w:r w:rsidRPr="000465F1">
      <w:t>ABN 47 996 232 602</w:t>
    </w:r>
  </w:p>
  <w:p w14:paraId="0E324362" w14:textId="77777777" w:rsidR="004E3469" w:rsidRPr="000465F1" w:rsidRDefault="004E3469" w:rsidP="000465F1">
    <w:pPr>
      <w:pStyle w:val="Footer"/>
    </w:pPr>
    <w:r w:rsidRPr="000465F1">
      <w:t>Level 3, 175 Pitt Street, Sydney NSW 2000</w:t>
    </w:r>
  </w:p>
  <w:p w14:paraId="394FC77D" w14:textId="77777777" w:rsidR="004E3469" w:rsidRPr="000465F1" w:rsidRDefault="004E3469" w:rsidP="000465F1">
    <w:pPr>
      <w:pStyle w:val="Footer"/>
    </w:pPr>
    <w:r w:rsidRPr="000465F1">
      <w:t>GPO Box 5218, Sydney NSW 2001</w:t>
    </w:r>
  </w:p>
  <w:p w14:paraId="44A4EBCA" w14:textId="77777777" w:rsidR="004E3469" w:rsidRPr="000465F1" w:rsidRDefault="004E3469" w:rsidP="000465F1">
    <w:pPr>
      <w:pStyle w:val="Footer"/>
    </w:pPr>
    <w:r w:rsidRPr="000465F1">
      <w:t>General enquiries 1300 369 711</w:t>
    </w:r>
  </w:p>
  <w:p w14:paraId="05F67502" w14:textId="77777777" w:rsidR="004E3469" w:rsidRPr="000465F1" w:rsidRDefault="004E3469" w:rsidP="000465F1">
    <w:pPr>
      <w:pStyle w:val="Footer"/>
    </w:pPr>
    <w:r>
      <w:t xml:space="preserve">National Information Service </w:t>
    </w:r>
    <w:r w:rsidRPr="000465F1">
      <w:t>1300 656 419</w:t>
    </w:r>
  </w:p>
  <w:p w14:paraId="5AF39249" w14:textId="77777777" w:rsidR="004E3469" w:rsidRPr="000465F1" w:rsidRDefault="004E3469"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9009" w14:textId="77777777" w:rsidR="004E3469" w:rsidRDefault="004E3469">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EA92" w14:textId="77777777" w:rsidR="004E3469" w:rsidRDefault="004E3469"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9FB1" w14:textId="77777777" w:rsidR="004E3469" w:rsidRDefault="004E3469"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EB56" w14:textId="77777777" w:rsidR="004E3469" w:rsidRDefault="004E3469" w:rsidP="00F14C6D">
      <w:r>
        <w:separator/>
      </w:r>
    </w:p>
  </w:footnote>
  <w:footnote w:type="continuationSeparator" w:id="0">
    <w:p w14:paraId="49650663" w14:textId="77777777" w:rsidR="004E3469" w:rsidRDefault="004E3469"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6BD4" w14:textId="77777777" w:rsidR="004E3469" w:rsidRPr="000465F1" w:rsidRDefault="004E3469" w:rsidP="000465F1">
    <w:pPr>
      <w:pStyle w:val="Header"/>
    </w:pPr>
    <w:r>
      <w:pict w14:anchorId="00D38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67" type="#_x0000_t75" style="position:absolute;left:0;text-align:left;margin-left:0;margin-top:0;width:930.9pt;height:1359.95pt;z-index:-251658752;mso-position-horizontal:center;mso-position-horizontal-relative:margin;mso-position-vertical:center;mso-position-vertical-relative:margin" o:allowincell="f">
          <v:imagedata r:id="rId1" o:title="report watermark"/>
          <w10:wrap anchorx="margin" anchory="margin"/>
        </v:shape>
      </w:pict>
    </w:r>
    <w:r w:rsidRPr="000465F1">
      <w:t>Australian Human Rights Commission</w:t>
    </w:r>
  </w:p>
  <w:p w14:paraId="26A19575" w14:textId="77777777" w:rsidR="004E3469" w:rsidRPr="00622508" w:rsidRDefault="004E3469"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5862" w14:textId="77777777" w:rsidR="004E3469" w:rsidRPr="000465F1" w:rsidRDefault="004E3469" w:rsidP="000465F1">
    <w:r>
      <w:pict w14:anchorId="4ED46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68" type="#_x0000_t75" style="position:absolute;margin-left:0;margin-top:0;width:930.9pt;height:1359.95pt;z-index:-251657728;mso-position-horizontal:center;mso-position-horizontal-relative:margin;mso-position-vertical:center;mso-position-vertical-relative:margin" o:allowincell="f">
          <v:imagedata r:id="rId1" o:title="report watermark"/>
          <w10:wrap anchorx="margin" anchory="margin"/>
        </v:shape>
      </w:pict>
    </w:r>
    <w:r w:rsidRPr="000465F1">
      <w:t>Australian Human Rights Commission</w:t>
    </w:r>
  </w:p>
  <w:p w14:paraId="500F78C0" w14:textId="77777777" w:rsidR="004E3469" w:rsidRPr="000465F1" w:rsidRDefault="004E3469"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A047" w14:textId="77777777" w:rsidR="004E3469" w:rsidRDefault="004E3469" w:rsidP="002012F7">
    <w:pPr>
      <w:pStyle w:val="Header"/>
    </w:pPr>
    <w:r>
      <w:pict w14:anchorId="46B4E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71" type="#_x0000_t75" style="position:absolute;left:0;text-align:left;margin-left:-71.05pt;margin-top:-108.5pt;width:595.65pt;height:870.15pt;z-index:-251656704;mso-position-horizontal-relative:margin;mso-position-vertical-relative:margin" o:allowincell="f">
          <v:imagedata r:id="rId1" o:title="MS word cover1"/>
          <w10:wrap anchorx="margin" anchory="margin"/>
        </v:shape>
      </w:pict>
    </w:r>
    <w:r>
      <w:pict w14:anchorId="262DE929">
        <v:shape id="WordPictureWatermark1034832" o:spid="_x0000_s2066" type="#_x0000_t75" style="position:absolute;left:0;text-align:left;margin-left:-70.9pt;margin-top:-109.05pt;width:595.1pt;height:869.4pt;z-index:-251659776;mso-position-horizontal-relative:margin;mso-position-vertical-relative:margin" o:allowincell="f">
          <v:imagedata r:id="rId2" o:title="report watermark"/>
          <w10:wrap anchorx="margin" anchory="margin"/>
        </v:shape>
      </w:pict>
    </w:r>
  </w:p>
  <w:p w14:paraId="0129B35E" w14:textId="77777777" w:rsidR="004E3469" w:rsidRDefault="004E3469" w:rsidP="002012F7">
    <w:pPr>
      <w:pStyle w:val="Header"/>
    </w:pPr>
  </w:p>
  <w:p w14:paraId="37D2BC18" w14:textId="77777777" w:rsidR="004E3469" w:rsidRDefault="004E346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B1C6" w14:textId="77777777" w:rsidR="004E3469" w:rsidRPr="000465F1" w:rsidRDefault="004E3469" w:rsidP="0015239E">
    <w:pPr>
      <w:pStyle w:val="Header"/>
    </w:pPr>
    <w:r w:rsidRPr="000465F1">
      <w:t>Australian Human Rights Commission</w:t>
    </w:r>
  </w:p>
  <w:p w14:paraId="37B2CFD9" w14:textId="77777777" w:rsidR="004E3469" w:rsidRPr="000465F1" w:rsidRDefault="004E3469"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58D0" w14:textId="77777777" w:rsidR="004E3469" w:rsidRPr="000465F1" w:rsidRDefault="004E3469" w:rsidP="00CA5D90">
    <w:pPr>
      <w:pStyle w:val="Header"/>
    </w:pPr>
    <w:bookmarkStart w:id="64" w:name="_Hlk514672172"/>
    <w:bookmarkStart w:id="65" w:name="_Hlk514672173"/>
    <w:r w:rsidRPr="000465F1">
      <w:t>Australian Human Rights Commission</w:t>
    </w:r>
  </w:p>
  <w:p w14:paraId="2B2C481F" w14:textId="343CB310" w:rsidR="004E3469" w:rsidRPr="000465F1" w:rsidRDefault="004E3469" w:rsidP="00252DAD">
    <w:pPr>
      <w:pStyle w:val="HeaderDocumentDate"/>
    </w:pPr>
    <w:bookmarkStart w:id="66" w:name="_Hlk20729930"/>
    <w:bookmarkEnd w:id="64"/>
    <w:bookmarkEnd w:id="65"/>
    <w:r w:rsidRPr="00252DAD">
      <w:rPr>
        <w:rStyle w:val="HeaderDocumentTitle"/>
      </w:rPr>
      <w:t>Social Services Legislation Amendment (Drug Testing Trial) Bill 2019</w:t>
    </w:r>
    <w:bookmarkEnd w:id="66"/>
    <w:r w:rsidRPr="001F62CC">
      <w:rPr>
        <w:rStyle w:val="HeaderDocumentTitle"/>
      </w:rPr>
      <w:t>,</w:t>
    </w:r>
    <w:r>
      <w:t xml:space="preserve"> </w:t>
    </w:r>
    <w:r w:rsidR="00475E3A">
      <w:t>1</w:t>
    </w:r>
    <w:r>
      <w:t xml:space="preserve"> October 2019</w:t>
    </w:r>
  </w:p>
  <w:p w14:paraId="1514098B" w14:textId="25BEFE3E" w:rsidR="004E3469" w:rsidRPr="000465F1" w:rsidRDefault="004E3469" w:rsidP="00252DAD">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6878" w14:textId="77777777" w:rsidR="004E3469" w:rsidRPr="000465F1" w:rsidRDefault="004E3469" w:rsidP="0063009F">
    <w:pPr>
      <w:pStyle w:val="Header"/>
    </w:pPr>
    <w:r w:rsidRPr="000465F1">
      <w:t>Australian Human Rights Commission</w:t>
    </w:r>
  </w:p>
  <w:p w14:paraId="6BF17E2F" w14:textId="14C21BDE" w:rsidR="004E3469" w:rsidRPr="000465F1" w:rsidRDefault="004E3469" w:rsidP="0063009F">
    <w:pPr>
      <w:pStyle w:val="HeaderDocumentDate"/>
    </w:pPr>
    <w:r w:rsidRPr="00252DAD">
      <w:rPr>
        <w:rStyle w:val="HeaderDocumentTitle"/>
      </w:rPr>
      <w:t>Social Services Legislation Amendment (Drug Testing Trial) Bill 2019</w:t>
    </w:r>
    <w:r w:rsidRPr="001F62CC">
      <w:rPr>
        <w:rStyle w:val="HeaderDocumentTitle"/>
      </w:rPr>
      <w:t>,</w:t>
    </w:r>
    <w:r>
      <w:t xml:space="preserve"> </w:t>
    </w:r>
    <w:r w:rsidR="00475E3A">
      <w:t>1</w:t>
    </w:r>
    <w:r>
      <w:t xml:space="preserve">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144D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D5E7BEE"/>
    <w:multiLevelType w:val="hybridMultilevel"/>
    <w:tmpl w:val="E88CEF20"/>
    <w:lvl w:ilvl="0" w:tplc="9F480DE2">
      <w:start w:val="1"/>
      <w:numFmt w:val="decimal"/>
      <w:lvlText w:val="%1."/>
      <w:lvlJc w:val="left"/>
      <w:pPr>
        <w:ind w:left="907" w:hanging="547"/>
      </w:pPr>
      <w:rPr>
        <w:rFonts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1C48CE"/>
    <w:multiLevelType w:val="multilevel"/>
    <w:tmpl w:val="C58C2C96"/>
    <w:lvl w:ilvl="0">
      <w:start w:val="1"/>
      <w:numFmt w:val="decimal"/>
      <w:suff w:val="space"/>
      <w:lvlText w:val="Recommendation %1:"/>
      <w:lvlJc w:val="left"/>
      <w:pPr>
        <w:ind w:left="0" w:firstLine="0"/>
      </w:pPr>
      <w:rPr>
        <w:rFonts w:ascii="Open Sans" w:hAnsi="Open Sans" w:cs="Open Sans" w:hint="default"/>
        <w:b/>
        <w:i w:val="0"/>
        <w:color w:val="auto"/>
        <w:sz w:val="24"/>
      </w:rPr>
    </w:lvl>
    <w:lvl w:ilvl="1">
      <w:start w:val="1"/>
      <w:numFmt w:val="lowerLetter"/>
      <w:lvlText w:val="%2)"/>
      <w:lvlJc w:val="left"/>
      <w:pPr>
        <w:ind w:left="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2" w15:restartNumberingAfterBreak="0">
    <w:nsid w:val="178F091A"/>
    <w:multiLevelType w:val="hybridMultilevel"/>
    <w:tmpl w:val="91481DDC"/>
    <w:lvl w:ilvl="0" w:tplc="0C090019">
      <w:start w:val="1"/>
      <w:numFmt w:val="lowerLetter"/>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3" w15:restartNumberingAfterBreak="0">
    <w:nsid w:val="195A5889"/>
    <w:multiLevelType w:val="multilevel"/>
    <w:tmpl w:val="C58C2C96"/>
    <w:lvl w:ilvl="0">
      <w:start w:val="1"/>
      <w:numFmt w:val="decimal"/>
      <w:suff w:val="space"/>
      <w:lvlText w:val="Recommendation %1:"/>
      <w:lvlJc w:val="left"/>
      <w:pPr>
        <w:ind w:left="0" w:firstLine="0"/>
      </w:pPr>
      <w:rPr>
        <w:rFonts w:ascii="Open Sans" w:hAnsi="Open Sans" w:cs="Open Sans" w:hint="default"/>
        <w:b/>
        <w:i w:val="0"/>
        <w:color w:val="auto"/>
        <w:sz w:val="24"/>
      </w:rPr>
    </w:lvl>
    <w:lvl w:ilvl="1">
      <w:start w:val="1"/>
      <w:numFmt w:val="lowerLetter"/>
      <w:lvlText w:val="%2)"/>
      <w:lvlJc w:val="left"/>
      <w:pPr>
        <w:ind w:left="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4" w15:restartNumberingAfterBreak="0">
    <w:nsid w:val="1CBC1478"/>
    <w:multiLevelType w:val="hybridMultilevel"/>
    <w:tmpl w:val="F35A599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F87304C"/>
    <w:multiLevelType w:val="multilevel"/>
    <w:tmpl w:val="36AA6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B627BC1"/>
    <w:multiLevelType w:val="hybridMultilevel"/>
    <w:tmpl w:val="BE425DE4"/>
    <w:lvl w:ilvl="0" w:tplc="2E4C80B8">
      <w:start w:val="1"/>
      <w:numFmt w:val="decimal"/>
      <w:pStyle w:val="Subnumbered"/>
      <w:lvlText w:val="%1."/>
      <w:lvlJc w:val="left"/>
      <w:pPr>
        <w:ind w:left="360" w:hanging="360"/>
      </w:pPr>
      <w:rPr>
        <w:color w:val="auto"/>
      </w:rPr>
    </w:lvl>
    <w:lvl w:ilvl="1" w:tplc="0C090019">
      <w:start w:val="1"/>
      <w:numFmt w:val="lowerLetter"/>
      <w:lvlText w:val="%2."/>
      <w:lvlJc w:val="left"/>
      <w:pPr>
        <w:ind w:left="-4307" w:hanging="360"/>
      </w:pPr>
    </w:lvl>
    <w:lvl w:ilvl="2" w:tplc="0C090019">
      <w:start w:val="1"/>
      <w:numFmt w:val="lowerLetter"/>
      <w:lvlText w:val="%3."/>
      <w:lvlJc w:val="left"/>
      <w:pPr>
        <w:ind w:left="-3587" w:hanging="180"/>
      </w:pPr>
    </w:lvl>
    <w:lvl w:ilvl="3" w:tplc="0C09001B">
      <w:start w:val="1"/>
      <w:numFmt w:val="lowerRoman"/>
      <w:lvlText w:val="%4."/>
      <w:lvlJc w:val="right"/>
      <w:pPr>
        <w:ind w:left="-2867" w:hanging="360"/>
      </w:pPr>
    </w:lvl>
    <w:lvl w:ilvl="4" w:tplc="0C09001B">
      <w:start w:val="1"/>
      <w:numFmt w:val="lowerRoman"/>
      <w:lvlText w:val="%5."/>
      <w:lvlJc w:val="right"/>
      <w:pPr>
        <w:ind w:left="-2147" w:hanging="360"/>
      </w:pPr>
    </w:lvl>
    <w:lvl w:ilvl="5" w:tplc="0C09001B">
      <w:start w:val="1"/>
      <w:numFmt w:val="lowerRoman"/>
      <w:lvlText w:val="%6."/>
      <w:lvlJc w:val="right"/>
      <w:pPr>
        <w:ind w:left="-1427" w:hanging="180"/>
      </w:pPr>
    </w:lvl>
    <w:lvl w:ilvl="6" w:tplc="0C09000F">
      <w:start w:val="1"/>
      <w:numFmt w:val="decimal"/>
      <w:lvlText w:val="%7."/>
      <w:lvlJc w:val="left"/>
      <w:pPr>
        <w:ind w:left="-707" w:hanging="360"/>
      </w:pPr>
    </w:lvl>
    <w:lvl w:ilvl="7" w:tplc="0C090019">
      <w:start w:val="1"/>
      <w:numFmt w:val="lowerLetter"/>
      <w:lvlText w:val="%8."/>
      <w:lvlJc w:val="left"/>
      <w:pPr>
        <w:ind w:left="13" w:hanging="360"/>
      </w:pPr>
    </w:lvl>
    <w:lvl w:ilvl="8" w:tplc="0C09001B">
      <w:start w:val="1"/>
      <w:numFmt w:val="lowerRoman"/>
      <w:lvlText w:val="%9."/>
      <w:lvlJc w:val="right"/>
      <w:pPr>
        <w:ind w:left="733" w:hanging="180"/>
      </w:pPr>
    </w:lvl>
  </w:abstractNum>
  <w:abstractNum w:abstractNumId="19" w15:restartNumberingAfterBreak="0">
    <w:nsid w:val="30480080"/>
    <w:multiLevelType w:val="hybridMultilevel"/>
    <w:tmpl w:val="FC12F24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3A21253"/>
    <w:multiLevelType w:val="hybridMultilevel"/>
    <w:tmpl w:val="6808929A"/>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3DD5303"/>
    <w:multiLevelType w:val="hybridMultilevel"/>
    <w:tmpl w:val="694E3C2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64425"/>
    <w:multiLevelType w:val="hybridMultilevel"/>
    <w:tmpl w:val="FC12F24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85C70D4"/>
    <w:multiLevelType w:val="hybridMultilevel"/>
    <w:tmpl w:val="81D2BD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64AC7"/>
    <w:multiLevelType w:val="hybridMultilevel"/>
    <w:tmpl w:val="2A22CA8C"/>
    <w:lvl w:ilvl="0" w:tplc="10421D1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B13A81"/>
    <w:multiLevelType w:val="hybridMultilevel"/>
    <w:tmpl w:val="FEAA73BC"/>
    <w:lvl w:ilvl="0" w:tplc="4B80DF1E">
      <w:start w:val="1"/>
      <w:numFmt w:val="bullet"/>
      <w:lvlText w:val=""/>
      <w:lvlJc w:val="left"/>
      <w:pPr>
        <w:ind w:left="1440" w:hanging="360"/>
      </w:pPr>
      <w:rPr>
        <w:rFonts w:ascii="Symbol" w:eastAsia="Times New Roman"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7320519"/>
    <w:multiLevelType w:val="hybridMultilevel"/>
    <w:tmpl w:val="81D2BD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FF7A73"/>
    <w:multiLevelType w:val="multilevel"/>
    <w:tmpl w:val="DC846B1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9" w15:restartNumberingAfterBreak="0">
    <w:nsid w:val="4CC02378"/>
    <w:multiLevelType w:val="hybridMultilevel"/>
    <w:tmpl w:val="B63A489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4CE76ECD"/>
    <w:multiLevelType w:val="hybridMultilevel"/>
    <w:tmpl w:val="B03C89E2"/>
    <w:lvl w:ilvl="0" w:tplc="DDD84B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21950EF"/>
    <w:multiLevelType w:val="hybridMultilevel"/>
    <w:tmpl w:val="37EA53B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5101607"/>
    <w:multiLevelType w:val="hybridMultilevel"/>
    <w:tmpl w:val="694E3C2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F42460"/>
    <w:multiLevelType w:val="hybridMultilevel"/>
    <w:tmpl w:val="84926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E00415"/>
    <w:multiLevelType w:val="hybridMultilevel"/>
    <w:tmpl w:val="694E3C2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516B14"/>
    <w:multiLevelType w:val="hybridMultilevel"/>
    <w:tmpl w:val="694E3C2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BF010C"/>
    <w:multiLevelType w:val="hybridMultilevel"/>
    <w:tmpl w:val="81D2BD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C5642E"/>
    <w:multiLevelType w:val="hybridMultilevel"/>
    <w:tmpl w:val="E88CEF20"/>
    <w:lvl w:ilvl="0" w:tplc="9F480DE2">
      <w:start w:val="1"/>
      <w:numFmt w:val="decimal"/>
      <w:lvlText w:val="%1."/>
      <w:lvlJc w:val="left"/>
      <w:pPr>
        <w:ind w:left="907" w:hanging="547"/>
      </w:pPr>
      <w:rPr>
        <w:rFonts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3E5F72"/>
    <w:multiLevelType w:val="hybridMultilevel"/>
    <w:tmpl w:val="E496F2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1"/>
  </w:num>
  <w:num w:numId="13">
    <w:abstractNumId w:val="25"/>
  </w:num>
  <w:num w:numId="14">
    <w:abstractNumId w:val="17"/>
  </w:num>
  <w:num w:numId="15">
    <w:abstractNumId w:val="15"/>
  </w:num>
  <w:num w:numId="16">
    <w:abstractNumId w:val="38"/>
  </w:num>
  <w:num w:numId="17">
    <w:abstractNumId w:val="39"/>
  </w:num>
  <w:num w:numId="18">
    <w:abstractNumId w:val="26"/>
  </w:num>
  <w:num w:numId="19">
    <w:abstractNumId w:val="14"/>
  </w:num>
  <w:num w:numId="20">
    <w:abstractNumId w:val="35"/>
  </w:num>
  <w:num w:numId="21">
    <w:abstractNumId w:val="13"/>
  </w:num>
  <w:num w:numId="22">
    <w:abstractNumId w:val="2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9"/>
  </w:num>
  <w:num w:numId="26">
    <w:abstractNumId w:val="23"/>
  </w:num>
  <w:num w:numId="27">
    <w:abstractNumId w:val="34"/>
  </w:num>
  <w:num w:numId="28">
    <w:abstractNumId w:val="30"/>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5"/>
  </w:num>
  <w:num w:numId="33">
    <w:abstractNumId w:val="15"/>
  </w:num>
  <w:num w:numId="34">
    <w:abstractNumId w:val="32"/>
  </w:num>
  <w:num w:numId="35">
    <w:abstractNumId w:val="22"/>
  </w:num>
  <w:num w:numId="36">
    <w:abstractNumId w:val="19"/>
  </w:num>
  <w:num w:numId="37">
    <w:abstractNumId w:val="10"/>
  </w:num>
  <w:num w:numId="38">
    <w:abstractNumId w:val="21"/>
  </w:num>
  <w:num w:numId="39">
    <w:abstractNumId w:val="15"/>
  </w:num>
  <w:num w:numId="40">
    <w:abstractNumId w:val="15"/>
  </w:num>
  <w:num w:numId="41">
    <w:abstractNumId w:val="37"/>
  </w:num>
  <w:num w:numId="42">
    <w:abstractNumId w:val="15"/>
  </w:num>
  <w:num w:numId="43">
    <w:abstractNumId w:val="11"/>
  </w:num>
  <w:num w:numId="44">
    <w:abstractNumId w:val="27"/>
  </w:num>
  <w:num w:numId="45">
    <w:abstractNumId w:val="36"/>
  </w:num>
  <w:num w:numId="4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AD"/>
    <w:rsid w:val="000015EC"/>
    <w:rsid w:val="00001DFA"/>
    <w:rsid w:val="00003446"/>
    <w:rsid w:val="00003EA5"/>
    <w:rsid w:val="00007881"/>
    <w:rsid w:val="00014A26"/>
    <w:rsid w:val="00015882"/>
    <w:rsid w:val="000161C2"/>
    <w:rsid w:val="000202C5"/>
    <w:rsid w:val="000202F6"/>
    <w:rsid w:val="0002476A"/>
    <w:rsid w:val="00024CDA"/>
    <w:rsid w:val="00025565"/>
    <w:rsid w:val="00027E76"/>
    <w:rsid w:val="00027FEB"/>
    <w:rsid w:val="000302CB"/>
    <w:rsid w:val="00031E77"/>
    <w:rsid w:val="00033658"/>
    <w:rsid w:val="0003579B"/>
    <w:rsid w:val="00036BE4"/>
    <w:rsid w:val="00036E96"/>
    <w:rsid w:val="000376BD"/>
    <w:rsid w:val="000418BB"/>
    <w:rsid w:val="00042FB8"/>
    <w:rsid w:val="000430B8"/>
    <w:rsid w:val="00043120"/>
    <w:rsid w:val="00045712"/>
    <w:rsid w:val="00045C4B"/>
    <w:rsid w:val="000465F1"/>
    <w:rsid w:val="00046B01"/>
    <w:rsid w:val="00047AB1"/>
    <w:rsid w:val="000535F4"/>
    <w:rsid w:val="00057632"/>
    <w:rsid w:val="000579B1"/>
    <w:rsid w:val="00061C6C"/>
    <w:rsid w:val="00062134"/>
    <w:rsid w:val="00066C6F"/>
    <w:rsid w:val="0006701B"/>
    <w:rsid w:val="00067B60"/>
    <w:rsid w:val="000705F2"/>
    <w:rsid w:val="00070D03"/>
    <w:rsid w:val="00072867"/>
    <w:rsid w:val="00072EDA"/>
    <w:rsid w:val="000749A9"/>
    <w:rsid w:val="000851FC"/>
    <w:rsid w:val="00085278"/>
    <w:rsid w:val="00092027"/>
    <w:rsid w:val="000925E6"/>
    <w:rsid w:val="00093AE7"/>
    <w:rsid w:val="0009594E"/>
    <w:rsid w:val="00095D59"/>
    <w:rsid w:val="000A1DB8"/>
    <w:rsid w:val="000A48AC"/>
    <w:rsid w:val="000A5143"/>
    <w:rsid w:val="000A520E"/>
    <w:rsid w:val="000A5E64"/>
    <w:rsid w:val="000A7077"/>
    <w:rsid w:val="000A769C"/>
    <w:rsid w:val="000A7A2E"/>
    <w:rsid w:val="000B01E7"/>
    <w:rsid w:val="000B0603"/>
    <w:rsid w:val="000B0A5D"/>
    <w:rsid w:val="000B1F38"/>
    <w:rsid w:val="000B56D0"/>
    <w:rsid w:val="000B5B68"/>
    <w:rsid w:val="000B7BA2"/>
    <w:rsid w:val="000C0B76"/>
    <w:rsid w:val="000C54B9"/>
    <w:rsid w:val="000C5608"/>
    <w:rsid w:val="000C5DA6"/>
    <w:rsid w:val="000C72DA"/>
    <w:rsid w:val="000C7319"/>
    <w:rsid w:val="000D11DB"/>
    <w:rsid w:val="000D2AA9"/>
    <w:rsid w:val="000D3C0E"/>
    <w:rsid w:val="000D52F9"/>
    <w:rsid w:val="000E05EC"/>
    <w:rsid w:val="000E130A"/>
    <w:rsid w:val="000E4837"/>
    <w:rsid w:val="000E51C2"/>
    <w:rsid w:val="000F1F7A"/>
    <w:rsid w:val="000F3059"/>
    <w:rsid w:val="000F7CF8"/>
    <w:rsid w:val="001062DA"/>
    <w:rsid w:val="001071C8"/>
    <w:rsid w:val="001108A3"/>
    <w:rsid w:val="00111184"/>
    <w:rsid w:val="0011427E"/>
    <w:rsid w:val="0011445E"/>
    <w:rsid w:val="0012074A"/>
    <w:rsid w:val="00123298"/>
    <w:rsid w:val="00126469"/>
    <w:rsid w:val="0013128B"/>
    <w:rsid w:val="00133891"/>
    <w:rsid w:val="00134774"/>
    <w:rsid w:val="00134C0B"/>
    <w:rsid w:val="00137C5E"/>
    <w:rsid w:val="0014019A"/>
    <w:rsid w:val="00140274"/>
    <w:rsid w:val="00142B7B"/>
    <w:rsid w:val="00143BF2"/>
    <w:rsid w:val="00144021"/>
    <w:rsid w:val="00145E01"/>
    <w:rsid w:val="00147E2D"/>
    <w:rsid w:val="00151263"/>
    <w:rsid w:val="00151532"/>
    <w:rsid w:val="0015239E"/>
    <w:rsid w:val="001527E4"/>
    <w:rsid w:val="00154A74"/>
    <w:rsid w:val="00155577"/>
    <w:rsid w:val="00155601"/>
    <w:rsid w:val="00155721"/>
    <w:rsid w:val="0016018E"/>
    <w:rsid w:val="0016266F"/>
    <w:rsid w:val="00162A4A"/>
    <w:rsid w:val="00162A8D"/>
    <w:rsid w:val="0016341E"/>
    <w:rsid w:val="001648FD"/>
    <w:rsid w:val="00165E2A"/>
    <w:rsid w:val="00165E3C"/>
    <w:rsid w:val="0016626B"/>
    <w:rsid w:val="00173D48"/>
    <w:rsid w:val="00173FB5"/>
    <w:rsid w:val="00174D9A"/>
    <w:rsid w:val="001755A9"/>
    <w:rsid w:val="001764DB"/>
    <w:rsid w:val="0018238F"/>
    <w:rsid w:val="00183756"/>
    <w:rsid w:val="00183944"/>
    <w:rsid w:val="00183F41"/>
    <w:rsid w:val="001941DC"/>
    <w:rsid w:val="00195EDE"/>
    <w:rsid w:val="001A2A1B"/>
    <w:rsid w:val="001A3D60"/>
    <w:rsid w:val="001A6473"/>
    <w:rsid w:val="001B0353"/>
    <w:rsid w:val="001B37F9"/>
    <w:rsid w:val="001B3FE4"/>
    <w:rsid w:val="001B6058"/>
    <w:rsid w:val="001B60DD"/>
    <w:rsid w:val="001B77E9"/>
    <w:rsid w:val="001C04F6"/>
    <w:rsid w:val="001C07C6"/>
    <w:rsid w:val="001C169C"/>
    <w:rsid w:val="001C1F8B"/>
    <w:rsid w:val="001C3F11"/>
    <w:rsid w:val="001C7AF0"/>
    <w:rsid w:val="001C7E83"/>
    <w:rsid w:val="001D0DFD"/>
    <w:rsid w:val="001D2885"/>
    <w:rsid w:val="001D2D76"/>
    <w:rsid w:val="001D3CAB"/>
    <w:rsid w:val="001D5D3C"/>
    <w:rsid w:val="001E3371"/>
    <w:rsid w:val="001E5676"/>
    <w:rsid w:val="001F02CC"/>
    <w:rsid w:val="001F2BBB"/>
    <w:rsid w:val="001F52FD"/>
    <w:rsid w:val="001F62CC"/>
    <w:rsid w:val="001F7757"/>
    <w:rsid w:val="002005E0"/>
    <w:rsid w:val="00200655"/>
    <w:rsid w:val="00200677"/>
    <w:rsid w:val="00200687"/>
    <w:rsid w:val="002012F7"/>
    <w:rsid w:val="002027F6"/>
    <w:rsid w:val="00202BC7"/>
    <w:rsid w:val="00203FD9"/>
    <w:rsid w:val="002068EB"/>
    <w:rsid w:val="00206CFE"/>
    <w:rsid w:val="00212CE8"/>
    <w:rsid w:val="002146BC"/>
    <w:rsid w:val="00215BFA"/>
    <w:rsid w:val="00220443"/>
    <w:rsid w:val="0022081D"/>
    <w:rsid w:val="002232DD"/>
    <w:rsid w:val="00230154"/>
    <w:rsid w:val="00231ED1"/>
    <w:rsid w:val="00233C77"/>
    <w:rsid w:val="00235ED1"/>
    <w:rsid w:val="00237899"/>
    <w:rsid w:val="00237F6C"/>
    <w:rsid w:val="00241523"/>
    <w:rsid w:val="002419A8"/>
    <w:rsid w:val="00242624"/>
    <w:rsid w:val="00243113"/>
    <w:rsid w:val="00244385"/>
    <w:rsid w:val="0024557E"/>
    <w:rsid w:val="002471FD"/>
    <w:rsid w:val="002475FF"/>
    <w:rsid w:val="002477AB"/>
    <w:rsid w:val="002505DD"/>
    <w:rsid w:val="00250D1F"/>
    <w:rsid w:val="00252DAD"/>
    <w:rsid w:val="0025467A"/>
    <w:rsid w:val="00256362"/>
    <w:rsid w:val="0025732F"/>
    <w:rsid w:val="00257C2E"/>
    <w:rsid w:val="00261827"/>
    <w:rsid w:val="00262BD7"/>
    <w:rsid w:val="002632EA"/>
    <w:rsid w:val="00265A42"/>
    <w:rsid w:val="002669DC"/>
    <w:rsid w:val="00266E1C"/>
    <w:rsid w:val="00274204"/>
    <w:rsid w:val="00275DA8"/>
    <w:rsid w:val="0027673D"/>
    <w:rsid w:val="002775C2"/>
    <w:rsid w:val="00280DF3"/>
    <w:rsid w:val="00283C0A"/>
    <w:rsid w:val="00283C1E"/>
    <w:rsid w:val="00284CD3"/>
    <w:rsid w:val="0028506A"/>
    <w:rsid w:val="002850B0"/>
    <w:rsid w:val="002863D7"/>
    <w:rsid w:val="002864AA"/>
    <w:rsid w:val="002873B4"/>
    <w:rsid w:val="0029078E"/>
    <w:rsid w:val="0029245F"/>
    <w:rsid w:val="00292A16"/>
    <w:rsid w:val="00292AB5"/>
    <w:rsid w:val="00293EA9"/>
    <w:rsid w:val="00294D8E"/>
    <w:rsid w:val="00295B96"/>
    <w:rsid w:val="00296E35"/>
    <w:rsid w:val="002A43C2"/>
    <w:rsid w:val="002B0D0A"/>
    <w:rsid w:val="002B1B65"/>
    <w:rsid w:val="002B40AA"/>
    <w:rsid w:val="002C02DB"/>
    <w:rsid w:val="002C1866"/>
    <w:rsid w:val="002C38D0"/>
    <w:rsid w:val="002C54AF"/>
    <w:rsid w:val="002C74F4"/>
    <w:rsid w:val="002D0BB0"/>
    <w:rsid w:val="002D136A"/>
    <w:rsid w:val="002D3371"/>
    <w:rsid w:val="002D52C8"/>
    <w:rsid w:val="002E106F"/>
    <w:rsid w:val="002E38E6"/>
    <w:rsid w:val="002E3B43"/>
    <w:rsid w:val="002E5A1B"/>
    <w:rsid w:val="002F2C55"/>
    <w:rsid w:val="002F44C2"/>
    <w:rsid w:val="002F4CE1"/>
    <w:rsid w:val="002F5E96"/>
    <w:rsid w:val="002F5F6F"/>
    <w:rsid w:val="0030053D"/>
    <w:rsid w:val="00300F22"/>
    <w:rsid w:val="00301BEF"/>
    <w:rsid w:val="00303E57"/>
    <w:rsid w:val="0030454A"/>
    <w:rsid w:val="00304A37"/>
    <w:rsid w:val="003072EC"/>
    <w:rsid w:val="0031040E"/>
    <w:rsid w:val="003108F5"/>
    <w:rsid w:val="00310ED4"/>
    <w:rsid w:val="00312301"/>
    <w:rsid w:val="00312BEC"/>
    <w:rsid w:val="0031346B"/>
    <w:rsid w:val="00313F11"/>
    <w:rsid w:val="00314375"/>
    <w:rsid w:val="0031492A"/>
    <w:rsid w:val="00316025"/>
    <w:rsid w:val="00316C1A"/>
    <w:rsid w:val="00323C73"/>
    <w:rsid w:val="00324339"/>
    <w:rsid w:val="00325203"/>
    <w:rsid w:val="00331141"/>
    <w:rsid w:val="00333EAD"/>
    <w:rsid w:val="003367AE"/>
    <w:rsid w:val="00337152"/>
    <w:rsid w:val="00340619"/>
    <w:rsid w:val="00341E44"/>
    <w:rsid w:val="003423F4"/>
    <w:rsid w:val="00344529"/>
    <w:rsid w:val="00344758"/>
    <w:rsid w:val="0034507D"/>
    <w:rsid w:val="00347142"/>
    <w:rsid w:val="003479AF"/>
    <w:rsid w:val="00350D1B"/>
    <w:rsid w:val="00353060"/>
    <w:rsid w:val="003565A8"/>
    <w:rsid w:val="003566EA"/>
    <w:rsid w:val="00356E9D"/>
    <w:rsid w:val="00357F0D"/>
    <w:rsid w:val="003603CB"/>
    <w:rsid w:val="00360599"/>
    <w:rsid w:val="003616F8"/>
    <w:rsid w:val="00363977"/>
    <w:rsid w:val="00364C8F"/>
    <w:rsid w:val="00372C79"/>
    <w:rsid w:val="00376F9F"/>
    <w:rsid w:val="00377CD4"/>
    <w:rsid w:val="00381B7E"/>
    <w:rsid w:val="003839DB"/>
    <w:rsid w:val="00385C91"/>
    <w:rsid w:val="00386AC5"/>
    <w:rsid w:val="00392D1B"/>
    <w:rsid w:val="003A168E"/>
    <w:rsid w:val="003A1791"/>
    <w:rsid w:val="003A48B7"/>
    <w:rsid w:val="003A71AB"/>
    <w:rsid w:val="003B2407"/>
    <w:rsid w:val="003B3E8A"/>
    <w:rsid w:val="003B56C1"/>
    <w:rsid w:val="003B721F"/>
    <w:rsid w:val="003C0008"/>
    <w:rsid w:val="003C0692"/>
    <w:rsid w:val="003C23E3"/>
    <w:rsid w:val="003C2A11"/>
    <w:rsid w:val="003C7775"/>
    <w:rsid w:val="003D08A1"/>
    <w:rsid w:val="003D2588"/>
    <w:rsid w:val="003D723E"/>
    <w:rsid w:val="003E11B5"/>
    <w:rsid w:val="003E1A8A"/>
    <w:rsid w:val="003E1B4C"/>
    <w:rsid w:val="003E1EF0"/>
    <w:rsid w:val="003E5DEF"/>
    <w:rsid w:val="003E68FE"/>
    <w:rsid w:val="003E6DFE"/>
    <w:rsid w:val="003E7190"/>
    <w:rsid w:val="003F06CF"/>
    <w:rsid w:val="003F0FF1"/>
    <w:rsid w:val="003F121B"/>
    <w:rsid w:val="0040421F"/>
    <w:rsid w:val="0040497E"/>
    <w:rsid w:val="00404D7A"/>
    <w:rsid w:val="0041413E"/>
    <w:rsid w:val="00415634"/>
    <w:rsid w:val="00415F69"/>
    <w:rsid w:val="00422417"/>
    <w:rsid w:val="00422614"/>
    <w:rsid w:val="00423AC5"/>
    <w:rsid w:val="00424233"/>
    <w:rsid w:val="00424299"/>
    <w:rsid w:val="00424A6E"/>
    <w:rsid w:val="00425C6D"/>
    <w:rsid w:val="004269E5"/>
    <w:rsid w:val="00426A82"/>
    <w:rsid w:val="004302C8"/>
    <w:rsid w:val="00434988"/>
    <w:rsid w:val="00434AF7"/>
    <w:rsid w:val="0043595D"/>
    <w:rsid w:val="00440703"/>
    <w:rsid w:val="0044089B"/>
    <w:rsid w:val="00442130"/>
    <w:rsid w:val="00442EB3"/>
    <w:rsid w:val="004433A5"/>
    <w:rsid w:val="00443775"/>
    <w:rsid w:val="00445CB5"/>
    <w:rsid w:val="00450561"/>
    <w:rsid w:val="00452D86"/>
    <w:rsid w:val="00460EE0"/>
    <w:rsid w:val="00461E45"/>
    <w:rsid w:val="00462072"/>
    <w:rsid w:val="00462F1E"/>
    <w:rsid w:val="00463412"/>
    <w:rsid w:val="0046390B"/>
    <w:rsid w:val="00464222"/>
    <w:rsid w:val="004651AA"/>
    <w:rsid w:val="00465627"/>
    <w:rsid w:val="00470470"/>
    <w:rsid w:val="00471081"/>
    <w:rsid w:val="004712FB"/>
    <w:rsid w:val="00471BB7"/>
    <w:rsid w:val="00472D7E"/>
    <w:rsid w:val="00472EFF"/>
    <w:rsid w:val="00473759"/>
    <w:rsid w:val="00474063"/>
    <w:rsid w:val="00474A86"/>
    <w:rsid w:val="00475E3A"/>
    <w:rsid w:val="0047603E"/>
    <w:rsid w:val="00476793"/>
    <w:rsid w:val="00481B2A"/>
    <w:rsid w:val="00482091"/>
    <w:rsid w:val="00483B01"/>
    <w:rsid w:val="004903CF"/>
    <w:rsid w:val="0049184F"/>
    <w:rsid w:val="00493C78"/>
    <w:rsid w:val="004941B4"/>
    <w:rsid w:val="004944AD"/>
    <w:rsid w:val="00494D84"/>
    <w:rsid w:val="004978A8"/>
    <w:rsid w:val="004A100C"/>
    <w:rsid w:val="004A187B"/>
    <w:rsid w:val="004A28D7"/>
    <w:rsid w:val="004A2D3C"/>
    <w:rsid w:val="004A351F"/>
    <w:rsid w:val="004B0318"/>
    <w:rsid w:val="004B09EC"/>
    <w:rsid w:val="004B1410"/>
    <w:rsid w:val="004B2AF7"/>
    <w:rsid w:val="004B7496"/>
    <w:rsid w:val="004C0328"/>
    <w:rsid w:val="004C3D3E"/>
    <w:rsid w:val="004C46AF"/>
    <w:rsid w:val="004C4E5A"/>
    <w:rsid w:val="004C7412"/>
    <w:rsid w:val="004D04BF"/>
    <w:rsid w:val="004D0D4F"/>
    <w:rsid w:val="004D7948"/>
    <w:rsid w:val="004D7BE1"/>
    <w:rsid w:val="004E04DA"/>
    <w:rsid w:val="004E0DFF"/>
    <w:rsid w:val="004E3469"/>
    <w:rsid w:val="004E6DD2"/>
    <w:rsid w:val="004E75EF"/>
    <w:rsid w:val="004E7DBD"/>
    <w:rsid w:val="004E7F6D"/>
    <w:rsid w:val="004F028D"/>
    <w:rsid w:val="004F1C7C"/>
    <w:rsid w:val="004F24A7"/>
    <w:rsid w:val="004F30FE"/>
    <w:rsid w:val="004F3345"/>
    <w:rsid w:val="004F3419"/>
    <w:rsid w:val="005006E8"/>
    <w:rsid w:val="00501ED3"/>
    <w:rsid w:val="00504673"/>
    <w:rsid w:val="0050495F"/>
    <w:rsid w:val="00506109"/>
    <w:rsid w:val="00507381"/>
    <w:rsid w:val="00507D7D"/>
    <w:rsid w:val="00510390"/>
    <w:rsid w:val="00511C31"/>
    <w:rsid w:val="00511D5B"/>
    <w:rsid w:val="005123F0"/>
    <w:rsid w:val="00513540"/>
    <w:rsid w:val="00513941"/>
    <w:rsid w:val="00515E6B"/>
    <w:rsid w:val="00521B78"/>
    <w:rsid w:val="00521E5B"/>
    <w:rsid w:val="0052474E"/>
    <w:rsid w:val="005260E0"/>
    <w:rsid w:val="00530140"/>
    <w:rsid w:val="0053051D"/>
    <w:rsid w:val="00532CA7"/>
    <w:rsid w:val="0053650A"/>
    <w:rsid w:val="00537885"/>
    <w:rsid w:val="005403CE"/>
    <w:rsid w:val="005409E7"/>
    <w:rsid w:val="00540F85"/>
    <w:rsid w:val="00543516"/>
    <w:rsid w:val="00546DB9"/>
    <w:rsid w:val="00553774"/>
    <w:rsid w:val="00553DA4"/>
    <w:rsid w:val="0056289E"/>
    <w:rsid w:val="00564208"/>
    <w:rsid w:val="00566573"/>
    <w:rsid w:val="0056657D"/>
    <w:rsid w:val="005704BA"/>
    <w:rsid w:val="0057156E"/>
    <w:rsid w:val="00571CEB"/>
    <w:rsid w:val="00575032"/>
    <w:rsid w:val="00576417"/>
    <w:rsid w:val="00577156"/>
    <w:rsid w:val="00581973"/>
    <w:rsid w:val="00581B93"/>
    <w:rsid w:val="00584BB9"/>
    <w:rsid w:val="005866D5"/>
    <w:rsid w:val="00587243"/>
    <w:rsid w:val="00587868"/>
    <w:rsid w:val="0059069E"/>
    <w:rsid w:val="0059096A"/>
    <w:rsid w:val="00591951"/>
    <w:rsid w:val="0059313A"/>
    <w:rsid w:val="00597A7A"/>
    <w:rsid w:val="005A057E"/>
    <w:rsid w:val="005A0964"/>
    <w:rsid w:val="005A18E5"/>
    <w:rsid w:val="005B04CE"/>
    <w:rsid w:val="005B1626"/>
    <w:rsid w:val="005B36F6"/>
    <w:rsid w:val="005B6888"/>
    <w:rsid w:val="005B6DDD"/>
    <w:rsid w:val="005C2ECF"/>
    <w:rsid w:val="005C5D41"/>
    <w:rsid w:val="005C6E47"/>
    <w:rsid w:val="005C736B"/>
    <w:rsid w:val="005D077F"/>
    <w:rsid w:val="005D1F34"/>
    <w:rsid w:val="005D2435"/>
    <w:rsid w:val="005D3719"/>
    <w:rsid w:val="005D383D"/>
    <w:rsid w:val="005E1941"/>
    <w:rsid w:val="005E3214"/>
    <w:rsid w:val="005E4D06"/>
    <w:rsid w:val="005E5C6C"/>
    <w:rsid w:val="005F0448"/>
    <w:rsid w:val="005F09A2"/>
    <w:rsid w:val="005F0C26"/>
    <w:rsid w:val="005F0CEE"/>
    <w:rsid w:val="005F55B1"/>
    <w:rsid w:val="005F57AE"/>
    <w:rsid w:val="005F62D1"/>
    <w:rsid w:val="00601E4B"/>
    <w:rsid w:val="00605000"/>
    <w:rsid w:val="0060558A"/>
    <w:rsid w:val="00606DF4"/>
    <w:rsid w:val="00607030"/>
    <w:rsid w:val="006143AC"/>
    <w:rsid w:val="00616B91"/>
    <w:rsid w:val="00616F88"/>
    <w:rsid w:val="00616FED"/>
    <w:rsid w:val="00617303"/>
    <w:rsid w:val="00622508"/>
    <w:rsid w:val="0063009F"/>
    <w:rsid w:val="0063093B"/>
    <w:rsid w:val="006315BB"/>
    <w:rsid w:val="00632C7C"/>
    <w:rsid w:val="00634CB9"/>
    <w:rsid w:val="006356C5"/>
    <w:rsid w:val="0063612A"/>
    <w:rsid w:val="00645CC0"/>
    <w:rsid w:val="00650933"/>
    <w:rsid w:val="00650E26"/>
    <w:rsid w:val="00651980"/>
    <w:rsid w:val="00651F26"/>
    <w:rsid w:val="00652829"/>
    <w:rsid w:val="00654793"/>
    <w:rsid w:val="006558F1"/>
    <w:rsid w:val="00657876"/>
    <w:rsid w:val="00661148"/>
    <w:rsid w:val="00661305"/>
    <w:rsid w:val="00661E18"/>
    <w:rsid w:val="00662BDF"/>
    <w:rsid w:val="00663E08"/>
    <w:rsid w:val="006737E3"/>
    <w:rsid w:val="006761C5"/>
    <w:rsid w:val="006771ED"/>
    <w:rsid w:val="00680F2F"/>
    <w:rsid w:val="00682E2D"/>
    <w:rsid w:val="006848AD"/>
    <w:rsid w:val="00684EAA"/>
    <w:rsid w:val="00692A72"/>
    <w:rsid w:val="00692B54"/>
    <w:rsid w:val="006930CD"/>
    <w:rsid w:val="006A0539"/>
    <w:rsid w:val="006A1979"/>
    <w:rsid w:val="006A1DC3"/>
    <w:rsid w:val="006A1EE9"/>
    <w:rsid w:val="006A22E3"/>
    <w:rsid w:val="006A6BB3"/>
    <w:rsid w:val="006A6FCC"/>
    <w:rsid w:val="006A7665"/>
    <w:rsid w:val="006B3DE1"/>
    <w:rsid w:val="006B7172"/>
    <w:rsid w:val="006C0642"/>
    <w:rsid w:val="006C40A9"/>
    <w:rsid w:val="006C6ADC"/>
    <w:rsid w:val="006D0407"/>
    <w:rsid w:val="006D1F88"/>
    <w:rsid w:val="006D2D8D"/>
    <w:rsid w:val="006D5EE5"/>
    <w:rsid w:val="006D62D0"/>
    <w:rsid w:val="006D6540"/>
    <w:rsid w:val="006E088C"/>
    <w:rsid w:val="006E0CDF"/>
    <w:rsid w:val="006E1BC3"/>
    <w:rsid w:val="006E3DFB"/>
    <w:rsid w:val="006E67ED"/>
    <w:rsid w:val="006E6CDD"/>
    <w:rsid w:val="006E6D3B"/>
    <w:rsid w:val="006F2A2F"/>
    <w:rsid w:val="00701D33"/>
    <w:rsid w:val="007058CC"/>
    <w:rsid w:val="00713150"/>
    <w:rsid w:val="00714FF5"/>
    <w:rsid w:val="00715CF1"/>
    <w:rsid w:val="00716ED4"/>
    <w:rsid w:val="007222E3"/>
    <w:rsid w:val="00723647"/>
    <w:rsid w:val="00730BD2"/>
    <w:rsid w:val="00730F55"/>
    <w:rsid w:val="007340FD"/>
    <w:rsid w:val="007376D5"/>
    <w:rsid w:val="00743F5B"/>
    <w:rsid w:val="007461D1"/>
    <w:rsid w:val="00746459"/>
    <w:rsid w:val="007540BF"/>
    <w:rsid w:val="00755E9E"/>
    <w:rsid w:val="00760260"/>
    <w:rsid w:val="007623F9"/>
    <w:rsid w:val="007637A8"/>
    <w:rsid w:val="00765B58"/>
    <w:rsid w:val="00765BCE"/>
    <w:rsid w:val="00767D56"/>
    <w:rsid w:val="00770DCB"/>
    <w:rsid w:val="00770FB2"/>
    <w:rsid w:val="00771CC8"/>
    <w:rsid w:val="00772AAE"/>
    <w:rsid w:val="00775485"/>
    <w:rsid w:val="00783532"/>
    <w:rsid w:val="007846B5"/>
    <w:rsid w:val="007866B9"/>
    <w:rsid w:val="007874F7"/>
    <w:rsid w:val="00790ADA"/>
    <w:rsid w:val="00791BEF"/>
    <w:rsid w:val="00792843"/>
    <w:rsid w:val="007931C8"/>
    <w:rsid w:val="00793203"/>
    <w:rsid w:val="007942B3"/>
    <w:rsid w:val="007A1639"/>
    <w:rsid w:val="007A2CBB"/>
    <w:rsid w:val="007A6C98"/>
    <w:rsid w:val="007A76F4"/>
    <w:rsid w:val="007B06EA"/>
    <w:rsid w:val="007B27FE"/>
    <w:rsid w:val="007B438F"/>
    <w:rsid w:val="007B47E0"/>
    <w:rsid w:val="007C2B22"/>
    <w:rsid w:val="007C39A9"/>
    <w:rsid w:val="007C430B"/>
    <w:rsid w:val="007D013E"/>
    <w:rsid w:val="007D1273"/>
    <w:rsid w:val="007D2430"/>
    <w:rsid w:val="007D2F00"/>
    <w:rsid w:val="007D3AF0"/>
    <w:rsid w:val="007D7EC5"/>
    <w:rsid w:val="007E023C"/>
    <w:rsid w:val="007E109A"/>
    <w:rsid w:val="007E1EBF"/>
    <w:rsid w:val="007E5B88"/>
    <w:rsid w:val="007E73C9"/>
    <w:rsid w:val="007E7A2F"/>
    <w:rsid w:val="007F0D0B"/>
    <w:rsid w:val="007F4521"/>
    <w:rsid w:val="007F50AC"/>
    <w:rsid w:val="007F5799"/>
    <w:rsid w:val="007F6E03"/>
    <w:rsid w:val="008007A8"/>
    <w:rsid w:val="00803A54"/>
    <w:rsid w:val="008042D9"/>
    <w:rsid w:val="008064D5"/>
    <w:rsid w:val="00807235"/>
    <w:rsid w:val="008107F8"/>
    <w:rsid w:val="00811297"/>
    <w:rsid w:val="008116B7"/>
    <w:rsid w:val="008118EC"/>
    <w:rsid w:val="00814F2C"/>
    <w:rsid w:val="00814FC0"/>
    <w:rsid w:val="008178F7"/>
    <w:rsid w:val="00817C73"/>
    <w:rsid w:val="00820B67"/>
    <w:rsid w:val="00820B6B"/>
    <w:rsid w:val="00821D9B"/>
    <w:rsid w:val="00822EB4"/>
    <w:rsid w:val="00823005"/>
    <w:rsid w:val="00824EC0"/>
    <w:rsid w:val="00826DB0"/>
    <w:rsid w:val="00826F19"/>
    <w:rsid w:val="008304CD"/>
    <w:rsid w:val="00833E8C"/>
    <w:rsid w:val="0083599F"/>
    <w:rsid w:val="00836279"/>
    <w:rsid w:val="008449B9"/>
    <w:rsid w:val="00846FA5"/>
    <w:rsid w:val="00847191"/>
    <w:rsid w:val="00847547"/>
    <w:rsid w:val="008528BE"/>
    <w:rsid w:val="008546C4"/>
    <w:rsid w:val="00856E03"/>
    <w:rsid w:val="00860E9D"/>
    <w:rsid w:val="0086254F"/>
    <w:rsid w:val="008633E5"/>
    <w:rsid w:val="0086382D"/>
    <w:rsid w:val="00867C2D"/>
    <w:rsid w:val="0087116D"/>
    <w:rsid w:val="0087246A"/>
    <w:rsid w:val="008724DE"/>
    <w:rsid w:val="008758D9"/>
    <w:rsid w:val="00877376"/>
    <w:rsid w:val="008805C7"/>
    <w:rsid w:val="00881ABA"/>
    <w:rsid w:val="00882B0A"/>
    <w:rsid w:val="00882CBB"/>
    <w:rsid w:val="008849AB"/>
    <w:rsid w:val="00890A61"/>
    <w:rsid w:val="00895948"/>
    <w:rsid w:val="00896727"/>
    <w:rsid w:val="008975C3"/>
    <w:rsid w:val="008A2617"/>
    <w:rsid w:val="008A380E"/>
    <w:rsid w:val="008A3D57"/>
    <w:rsid w:val="008A6495"/>
    <w:rsid w:val="008B1383"/>
    <w:rsid w:val="008B1D66"/>
    <w:rsid w:val="008B23BC"/>
    <w:rsid w:val="008B3899"/>
    <w:rsid w:val="008B68D9"/>
    <w:rsid w:val="008C0040"/>
    <w:rsid w:val="008C1E69"/>
    <w:rsid w:val="008C2A4C"/>
    <w:rsid w:val="008C2D3C"/>
    <w:rsid w:val="008C4001"/>
    <w:rsid w:val="008D0880"/>
    <w:rsid w:val="008D0F7E"/>
    <w:rsid w:val="008D1047"/>
    <w:rsid w:val="008D20F6"/>
    <w:rsid w:val="008D3DA1"/>
    <w:rsid w:val="008D3F5D"/>
    <w:rsid w:val="008D4D10"/>
    <w:rsid w:val="008D4DC3"/>
    <w:rsid w:val="008D6053"/>
    <w:rsid w:val="008D7716"/>
    <w:rsid w:val="008E328C"/>
    <w:rsid w:val="008E338B"/>
    <w:rsid w:val="008E3D60"/>
    <w:rsid w:val="008E3E4B"/>
    <w:rsid w:val="008E3F4C"/>
    <w:rsid w:val="008E662E"/>
    <w:rsid w:val="008E6C28"/>
    <w:rsid w:val="008F062E"/>
    <w:rsid w:val="008F2D0B"/>
    <w:rsid w:val="008F6B81"/>
    <w:rsid w:val="008F6FDA"/>
    <w:rsid w:val="0090165F"/>
    <w:rsid w:val="00901B82"/>
    <w:rsid w:val="00906154"/>
    <w:rsid w:val="00912B09"/>
    <w:rsid w:val="00914F0F"/>
    <w:rsid w:val="00915E5A"/>
    <w:rsid w:val="00917E0F"/>
    <w:rsid w:val="00920541"/>
    <w:rsid w:val="00926C43"/>
    <w:rsid w:val="00927C97"/>
    <w:rsid w:val="009341BD"/>
    <w:rsid w:val="00935646"/>
    <w:rsid w:val="0093589F"/>
    <w:rsid w:val="00936E7B"/>
    <w:rsid w:val="0094155C"/>
    <w:rsid w:val="00942172"/>
    <w:rsid w:val="00942644"/>
    <w:rsid w:val="009432CF"/>
    <w:rsid w:val="0094391E"/>
    <w:rsid w:val="00944EBC"/>
    <w:rsid w:val="0094517E"/>
    <w:rsid w:val="00952DDB"/>
    <w:rsid w:val="00955867"/>
    <w:rsid w:val="00962F6B"/>
    <w:rsid w:val="00963293"/>
    <w:rsid w:val="009668B2"/>
    <w:rsid w:val="00966C2F"/>
    <w:rsid w:val="0096742A"/>
    <w:rsid w:val="0097267D"/>
    <w:rsid w:val="009734A1"/>
    <w:rsid w:val="0097512B"/>
    <w:rsid w:val="00977743"/>
    <w:rsid w:val="009802BA"/>
    <w:rsid w:val="00982404"/>
    <w:rsid w:val="00982C45"/>
    <w:rsid w:val="00985A76"/>
    <w:rsid w:val="009865BE"/>
    <w:rsid w:val="009867F4"/>
    <w:rsid w:val="00992E0A"/>
    <w:rsid w:val="0099687B"/>
    <w:rsid w:val="009971E2"/>
    <w:rsid w:val="00997633"/>
    <w:rsid w:val="009979D8"/>
    <w:rsid w:val="009A00E9"/>
    <w:rsid w:val="009A1259"/>
    <w:rsid w:val="009A18F1"/>
    <w:rsid w:val="009A79D1"/>
    <w:rsid w:val="009B5C10"/>
    <w:rsid w:val="009B5E24"/>
    <w:rsid w:val="009C0A71"/>
    <w:rsid w:val="009C2673"/>
    <w:rsid w:val="009D3C4E"/>
    <w:rsid w:val="009D3E58"/>
    <w:rsid w:val="009D526B"/>
    <w:rsid w:val="009D6039"/>
    <w:rsid w:val="009D67F6"/>
    <w:rsid w:val="009D715E"/>
    <w:rsid w:val="009E08D1"/>
    <w:rsid w:val="009E0FE1"/>
    <w:rsid w:val="009E2FB1"/>
    <w:rsid w:val="009E446A"/>
    <w:rsid w:val="009E4BD0"/>
    <w:rsid w:val="009E58F8"/>
    <w:rsid w:val="009E78A4"/>
    <w:rsid w:val="009F06C9"/>
    <w:rsid w:val="009F08B0"/>
    <w:rsid w:val="009F2764"/>
    <w:rsid w:val="009F2A52"/>
    <w:rsid w:val="00A006EA"/>
    <w:rsid w:val="00A0406E"/>
    <w:rsid w:val="00A047C1"/>
    <w:rsid w:val="00A05E4F"/>
    <w:rsid w:val="00A1122C"/>
    <w:rsid w:val="00A11254"/>
    <w:rsid w:val="00A11307"/>
    <w:rsid w:val="00A13338"/>
    <w:rsid w:val="00A13AF3"/>
    <w:rsid w:val="00A14B2D"/>
    <w:rsid w:val="00A21388"/>
    <w:rsid w:val="00A219F5"/>
    <w:rsid w:val="00A22FBD"/>
    <w:rsid w:val="00A27791"/>
    <w:rsid w:val="00A277F5"/>
    <w:rsid w:val="00A27ABE"/>
    <w:rsid w:val="00A32841"/>
    <w:rsid w:val="00A355DE"/>
    <w:rsid w:val="00A355F9"/>
    <w:rsid w:val="00A3701F"/>
    <w:rsid w:val="00A37539"/>
    <w:rsid w:val="00A37F16"/>
    <w:rsid w:val="00A41355"/>
    <w:rsid w:val="00A4298B"/>
    <w:rsid w:val="00A42F1B"/>
    <w:rsid w:val="00A437B6"/>
    <w:rsid w:val="00A438BB"/>
    <w:rsid w:val="00A43B92"/>
    <w:rsid w:val="00A45308"/>
    <w:rsid w:val="00A468C0"/>
    <w:rsid w:val="00A46B90"/>
    <w:rsid w:val="00A5135A"/>
    <w:rsid w:val="00A5383E"/>
    <w:rsid w:val="00A54251"/>
    <w:rsid w:val="00A555C2"/>
    <w:rsid w:val="00A563B0"/>
    <w:rsid w:val="00A57747"/>
    <w:rsid w:val="00A5797A"/>
    <w:rsid w:val="00A6179E"/>
    <w:rsid w:val="00A62EE9"/>
    <w:rsid w:val="00A64316"/>
    <w:rsid w:val="00A704BF"/>
    <w:rsid w:val="00A73158"/>
    <w:rsid w:val="00A73906"/>
    <w:rsid w:val="00A74A9D"/>
    <w:rsid w:val="00A75807"/>
    <w:rsid w:val="00A7615D"/>
    <w:rsid w:val="00A76C9E"/>
    <w:rsid w:val="00A804D9"/>
    <w:rsid w:val="00A83562"/>
    <w:rsid w:val="00A838C0"/>
    <w:rsid w:val="00A8573B"/>
    <w:rsid w:val="00A874E1"/>
    <w:rsid w:val="00A9113D"/>
    <w:rsid w:val="00A918E1"/>
    <w:rsid w:val="00A92392"/>
    <w:rsid w:val="00A92915"/>
    <w:rsid w:val="00A92F92"/>
    <w:rsid w:val="00A95262"/>
    <w:rsid w:val="00A96892"/>
    <w:rsid w:val="00AA0271"/>
    <w:rsid w:val="00AA04C7"/>
    <w:rsid w:val="00AA2051"/>
    <w:rsid w:val="00AA21EF"/>
    <w:rsid w:val="00AA70C4"/>
    <w:rsid w:val="00AA7BA7"/>
    <w:rsid w:val="00AB7C8F"/>
    <w:rsid w:val="00AB7D3C"/>
    <w:rsid w:val="00AC2192"/>
    <w:rsid w:val="00AC2693"/>
    <w:rsid w:val="00AC2AEA"/>
    <w:rsid w:val="00AC58BB"/>
    <w:rsid w:val="00AC636D"/>
    <w:rsid w:val="00AC7E57"/>
    <w:rsid w:val="00AD2A3C"/>
    <w:rsid w:val="00AE3113"/>
    <w:rsid w:val="00AE42B2"/>
    <w:rsid w:val="00AE73EF"/>
    <w:rsid w:val="00AF3E21"/>
    <w:rsid w:val="00B00778"/>
    <w:rsid w:val="00B00F61"/>
    <w:rsid w:val="00B03ABC"/>
    <w:rsid w:val="00B03EB5"/>
    <w:rsid w:val="00B04C3D"/>
    <w:rsid w:val="00B05F13"/>
    <w:rsid w:val="00B12DA3"/>
    <w:rsid w:val="00B160BA"/>
    <w:rsid w:val="00B1618C"/>
    <w:rsid w:val="00B17DB0"/>
    <w:rsid w:val="00B207DD"/>
    <w:rsid w:val="00B20953"/>
    <w:rsid w:val="00B20BD0"/>
    <w:rsid w:val="00B20CC7"/>
    <w:rsid w:val="00B237FB"/>
    <w:rsid w:val="00B23929"/>
    <w:rsid w:val="00B24B1D"/>
    <w:rsid w:val="00B24BF7"/>
    <w:rsid w:val="00B26C33"/>
    <w:rsid w:val="00B277E0"/>
    <w:rsid w:val="00B27B26"/>
    <w:rsid w:val="00B30119"/>
    <w:rsid w:val="00B32203"/>
    <w:rsid w:val="00B33A12"/>
    <w:rsid w:val="00B34946"/>
    <w:rsid w:val="00B35A06"/>
    <w:rsid w:val="00B37558"/>
    <w:rsid w:val="00B41ADB"/>
    <w:rsid w:val="00B42F7B"/>
    <w:rsid w:val="00B43B0C"/>
    <w:rsid w:val="00B44F0F"/>
    <w:rsid w:val="00B45552"/>
    <w:rsid w:val="00B46D4C"/>
    <w:rsid w:val="00B519FD"/>
    <w:rsid w:val="00B520BC"/>
    <w:rsid w:val="00B539CC"/>
    <w:rsid w:val="00B55202"/>
    <w:rsid w:val="00B55209"/>
    <w:rsid w:val="00B57985"/>
    <w:rsid w:val="00B61B98"/>
    <w:rsid w:val="00B62363"/>
    <w:rsid w:val="00B62778"/>
    <w:rsid w:val="00B637A2"/>
    <w:rsid w:val="00B63D24"/>
    <w:rsid w:val="00B643B9"/>
    <w:rsid w:val="00B66B30"/>
    <w:rsid w:val="00B67C0D"/>
    <w:rsid w:val="00B67E41"/>
    <w:rsid w:val="00B701B4"/>
    <w:rsid w:val="00B7317A"/>
    <w:rsid w:val="00B74FBF"/>
    <w:rsid w:val="00B757BD"/>
    <w:rsid w:val="00B80DF1"/>
    <w:rsid w:val="00B8583E"/>
    <w:rsid w:val="00B85AD9"/>
    <w:rsid w:val="00B85CD0"/>
    <w:rsid w:val="00B87274"/>
    <w:rsid w:val="00B91DD0"/>
    <w:rsid w:val="00B924E6"/>
    <w:rsid w:val="00B940F9"/>
    <w:rsid w:val="00B94173"/>
    <w:rsid w:val="00B954B3"/>
    <w:rsid w:val="00B9636B"/>
    <w:rsid w:val="00BA0238"/>
    <w:rsid w:val="00BA0380"/>
    <w:rsid w:val="00BA0D4F"/>
    <w:rsid w:val="00BA21D7"/>
    <w:rsid w:val="00BA2223"/>
    <w:rsid w:val="00BA262D"/>
    <w:rsid w:val="00BA41ED"/>
    <w:rsid w:val="00BA490D"/>
    <w:rsid w:val="00BA5698"/>
    <w:rsid w:val="00BA63B1"/>
    <w:rsid w:val="00BA6424"/>
    <w:rsid w:val="00BA6D4E"/>
    <w:rsid w:val="00BA70BF"/>
    <w:rsid w:val="00BA7AFE"/>
    <w:rsid w:val="00BB0025"/>
    <w:rsid w:val="00BB2016"/>
    <w:rsid w:val="00BB3A8E"/>
    <w:rsid w:val="00BB5C07"/>
    <w:rsid w:val="00BC0981"/>
    <w:rsid w:val="00BC1FA8"/>
    <w:rsid w:val="00BC29E1"/>
    <w:rsid w:val="00BC79EB"/>
    <w:rsid w:val="00BD3A60"/>
    <w:rsid w:val="00BD4610"/>
    <w:rsid w:val="00BD461C"/>
    <w:rsid w:val="00BD4C76"/>
    <w:rsid w:val="00BD7FCF"/>
    <w:rsid w:val="00BE3180"/>
    <w:rsid w:val="00BE65DA"/>
    <w:rsid w:val="00BE65DE"/>
    <w:rsid w:val="00BE66B6"/>
    <w:rsid w:val="00BF0630"/>
    <w:rsid w:val="00BF2EE4"/>
    <w:rsid w:val="00BF3AA7"/>
    <w:rsid w:val="00BF3EAD"/>
    <w:rsid w:val="00BF6406"/>
    <w:rsid w:val="00BF7626"/>
    <w:rsid w:val="00BF7907"/>
    <w:rsid w:val="00C039F1"/>
    <w:rsid w:val="00C040AE"/>
    <w:rsid w:val="00C064DC"/>
    <w:rsid w:val="00C0715D"/>
    <w:rsid w:val="00C07860"/>
    <w:rsid w:val="00C149BD"/>
    <w:rsid w:val="00C14B9C"/>
    <w:rsid w:val="00C14D7A"/>
    <w:rsid w:val="00C15D3C"/>
    <w:rsid w:val="00C16CBF"/>
    <w:rsid w:val="00C22AE3"/>
    <w:rsid w:val="00C24D99"/>
    <w:rsid w:val="00C2534F"/>
    <w:rsid w:val="00C25BDA"/>
    <w:rsid w:val="00C30A8C"/>
    <w:rsid w:val="00C31959"/>
    <w:rsid w:val="00C326A2"/>
    <w:rsid w:val="00C32733"/>
    <w:rsid w:val="00C3287D"/>
    <w:rsid w:val="00C32A5E"/>
    <w:rsid w:val="00C33104"/>
    <w:rsid w:val="00C332D4"/>
    <w:rsid w:val="00C33B59"/>
    <w:rsid w:val="00C4056C"/>
    <w:rsid w:val="00C40F44"/>
    <w:rsid w:val="00C420A9"/>
    <w:rsid w:val="00C46EB7"/>
    <w:rsid w:val="00C51011"/>
    <w:rsid w:val="00C51DBB"/>
    <w:rsid w:val="00C5201D"/>
    <w:rsid w:val="00C5242E"/>
    <w:rsid w:val="00C526CA"/>
    <w:rsid w:val="00C52F26"/>
    <w:rsid w:val="00C54383"/>
    <w:rsid w:val="00C560AC"/>
    <w:rsid w:val="00C56958"/>
    <w:rsid w:val="00C5781C"/>
    <w:rsid w:val="00C6019D"/>
    <w:rsid w:val="00C60343"/>
    <w:rsid w:val="00C62597"/>
    <w:rsid w:val="00C625D2"/>
    <w:rsid w:val="00C627CE"/>
    <w:rsid w:val="00C7159A"/>
    <w:rsid w:val="00C7273F"/>
    <w:rsid w:val="00C72F6D"/>
    <w:rsid w:val="00C7791C"/>
    <w:rsid w:val="00C80802"/>
    <w:rsid w:val="00C844EC"/>
    <w:rsid w:val="00C854D4"/>
    <w:rsid w:val="00C86324"/>
    <w:rsid w:val="00C87752"/>
    <w:rsid w:val="00C90556"/>
    <w:rsid w:val="00C937F9"/>
    <w:rsid w:val="00C96EB3"/>
    <w:rsid w:val="00C97609"/>
    <w:rsid w:val="00CA0D78"/>
    <w:rsid w:val="00CA1F90"/>
    <w:rsid w:val="00CA29A1"/>
    <w:rsid w:val="00CA2B0F"/>
    <w:rsid w:val="00CA3B6A"/>
    <w:rsid w:val="00CA4855"/>
    <w:rsid w:val="00CA5D90"/>
    <w:rsid w:val="00CB2170"/>
    <w:rsid w:val="00CB24FE"/>
    <w:rsid w:val="00CB2FE3"/>
    <w:rsid w:val="00CB3100"/>
    <w:rsid w:val="00CB5B77"/>
    <w:rsid w:val="00CB778F"/>
    <w:rsid w:val="00CC2AA0"/>
    <w:rsid w:val="00CC53DA"/>
    <w:rsid w:val="00CC6AF7"/>
    <w:rsid w:val="00CD0230"/>
    <w:rsid w:val="00CD1F57"/>
    <w:rsid w:val="00CD4775"/>
    <w:rsid w:val="00CD5445"/>
    <w:rsid w:val="00CD58FD"/>
    <w:rsid w:val="00CD68D1"/>
    <w:rsid w:val="00CE3CB3"/>
    <w:rsid w:val="00CE601E"/>
    <w:rsid w:val="00CE6B77"/>
    <w:rsid w:val="00CE7FED"/>
    <w:rsid w:val="00CF1918"/>
    <w:rsid w:val="00CF2051"/>
    <w:rsid w:val="00CF5346"/>
    <w:rsid w:val="00CF717C"/>
    <w:rsid w:val="00D00E4E"/>
    <w:rsid w:val="00D013A1"/>
    <w:rsid w:val="00D02074"/>
    <w:rsid w:val="00D03307"/>
    <w:rsid w:val="00D06D1F"/>
    <w:rsid w:val="00D0724C"/>
    <w:rsid w:val="00D13E80"/>
    <w:rsid w:val="00D274B6"/>
    <w:rsid w:val="00D27C30"/>
    <w:rsid w:val="00D32295"/>
    <w:rsid w:val="00D3267E"/>
    <w:rsid w:val="00D336A8"/>
    <w:rsid w:val="00D343FA"/>
    <w:rsid w:val="00D418FF"/>
    <w:rsid w:val="00D4225D"/>
    <w:rsid w:val="00D4252D"/>
    <w:rsid w:val="00D43AA1"/>
    <w:rsid w:val="00D447F2"/>
    <w:rsid w:val="00D47CB4"/>
    <w:rsid w:val="00D577CB"/>
    <w:rsid w:val="00D62D13"/>
    <w:rsid w:val="00D6477E"/>
    <w:rsid w:val="00D65C76"/>
    <w:rsid w:val="00D66450"/>
    <w:rsid w:val="00D67773"/>
    <w:rsid w:val="00D734C7"/>
    <w:rsid w:val="00D7542B"/>
    <w:rsid w:val="00D76127"/>
    <w:rsid w:val="00D76D30"/>
    <w:rsid w:val="00D8269B"/>
    <w:rsid w:val="00D8351F"/>
    <w:rsid w:val="00D84828"/>
    <w:rsid w:val="00D87330"/>
    <w:rsid w:val="00D8757A"/>
    <w:rsid w:val="00D91F49"/>
    <w:rsid w:val="00D94243"/>
    <w:rsid w:val="00D9664B"/>
    <w:rsid w:val="00D968CA"/>
    <w:rsid w:val="00DA1D32"/>
    <w:rsid w:val="00DA2F73"/>
    <w:rsid w:val="00DA52CC"/>
    <w:rsid w:val="00DA64DD"/>
    <w:rsid w:val="00DA78C8"/>
    <w:rsid w:val="00DA7A55"/>
    <w:rsid w:val="00DB04C1"/>
    <w:rsid w:val="00DB0B7F"/>
    <w:rsid w:val="00DB164F"/>
    <w:rsid w:val="00DB2073"/>
    <w:rsid w:val="00DB686D"/>
    <w:rsid w:val="00DB705D"/>
    <w:rsid w:val="00DB751A"/>
    <w:rsid w:val="00DC0C67"/>
    <w:rsid w:val="00DC0DF1"/>
    <w:rsid w:val="00DC307B"/>
    <w:rsid w:val="00DC343B"/>
    <w:rsid w:val="00DC3A92"/>
    <w:rsid w:val="00DC462F"/>
    <w:rsid w:val="00DC499A"/>
    <w:rsid w:val="00DC587D"/>
    <w:rsid w:val="00DD0C97"/>
    <w:rsid w:val="00DD1067"/>
    <w:rsid w:val="00DD31D1"/>
    <w:rsid w:val="00DD41A1"/>
    <w:rsid w:val="00DD41C6"/>
    <w:rsid w:val="00DD505B"/>
    <w:rsid w:val="00DD6A21"/>
    <w:rsid w:val="00DE0917"/>
    <w:rsid w:val="00DE18A7"/>
    <w:rsid w:val="00DE2EFB"/>
    <w:rsid w:val="00DE5F47"/>
    <w:rsid w:val="00DE60CA"/>
    <w:rsid w:val="00DE6FC2"/>
    <w:rsid w:val="00DF0BB6"/>
    <w:rsid w:val="00E02517"/>
    <w:rsid w:val="00E053CE"/>
    <w:rsid w:val="00E11F25"/>
    <w:rsid w:val="00E131B3"/>
    <w:rsid w:val="00E14833"/>
    <w:rsid w:val="00E1675F"/>
    <w:rsid w:val="00E169EA"/>
    <w:rsid w:val="00E21BD8"/>
    <w:rsid w:val="00E21D80"/>
    <w:rsid w:val="00E22F46"/>
    <w:rsid w:val="00E241D1"/>
    <w:rsid w:val="00E24FA3"/>
    <w:rsid w:val="00E264CB"/>
    <w:rsid w:val="00E26B28"/>
    <w:rsid w:val="00E313B7"/>
    <w:rsid w:val="00E31465"/>
    <w:rsid w:val="00E328CD"/>
    <w:rsid w:val="00E3489E"/>
    <w:rsid w:val="00E35E55"/>
    <w:rsid w:val="00E362F0"/>
    <w:rsid w:val="00E363E4"/>
    <w:rsid w:val="00E36B95"/>
    <w:rsid w:val="00E3727F"/>
    <w:rsid w:val="00E37559"/>
    <w:rsid w:val="00E378D1"/>
    <w:rsid w:val="00E4003F"/>
    <w:rsid w:val="00E40B55"/>
    <w:rsid w:val="00E44D80"/>
    <w:rsid w:val="00E458F6"/>
    <w:rsid w:val="00E45954"/>
    <w:rsid w:val="00E46704"/>
    <w:rsid w:val="00E4749C"/>
    <w:rsid w:val="00E50017"/>
    <w:rsid w:val="00E51831"/>
    <w:rsid w:val="00E52168"/>
    <w:rsid w:val="00E52178"/>
    <w:rsid w:val="00E53546"/>
    <w:rsid w:val="00E55417"/>
    <w:rsid w:val="00E55F24"/>
    <w:rsid w:val="00E571D2"/>
    <w:rsid w:val="00E57DDE"/>
    <w:rsid w:val="00E6078D"/>
    <w:rsid w:val="00E60AD4"/>
    <w:rsid w:val="00E655C7"/>
    <w:rsid w:val="00E658A0"/>
    <w:rsid w:val="00E71B5B"/>
    <w:rsid w:val="00E728C0"/>
    <w:rsid w:val="00E767E7"/>
    <w:rsid w:val="00E81B8A"/>
    <w:rsid w:val="00E87016"/>
    <w:rsid w:val="00E902FF"/>
    <w:rsid w:val="00E91955"/>
    <w:rsid w:val="00E92B02"/>
    <w:rsid w:val="00E93808"/>
    <w:rsid w:val="00E94EE3"/>
    <w:rsid w:val="00EA1266"/>
    <w:rsid w:val="00EA44D9"/>
    <w:rsid w:val="00EA5417"/>
    <w:rsid w:val="00EA6674"/>
    <w:rsid w:val="00EA6F51"/>
    <w:rsid w:val="00EA791B"/>
    <w:rsid w:val="00EB59F1"/>
    <w:rsid w:val="00EB6A76"/>
    <w:rsid w:val="00EB7131"/>
    <w:rsid w:val="00EC0FE5"/>
    <w:rsid w:val="00EC15AD"/>
    <w:rsid w:val="00EC4C22"/>
    <w:rsid w:val="00ED1629"/>
    <w:rsid w:val="00ED238B"/>
    <w:rsid w:val="00ED2708"/>
    <w:rsid w:val="00ED4415"/>
    <w:rsid w:val="00ED7654"/>
    <w:rsid w:val="00EE0CFE"/>
    <w:rsid w:val="00EE2A03"/>
    <w:rsid w:val="00EE33ED"/>
    <w:rsid w:val="00EE3C33"/>
    <w:rsid w:val="00EE48A1"/>
    <w:rsid w:val="00EE4B5B"/>
    <w:rsid w:val="00EE52AA"/>
    <w:rsid w:val="00EF079A"/>
    <w:rsid w:val="00EF663F"/>
    <w:rsid w:val="00EF7376"/>
    <w:rsid w:val="00F024EA"/>
    <w:rsid w:val="00F040E6"/>
    <w:rsid w:val="00F06008"/>
    <w:rsid w:val="00F0799D"/>
    <w:rsid w:val="00F107A0"/>
    <w:rsid w:val="00F127A8"/>
    <w:rsid w:val="00F12FCE"/>
    <w:rsid w:val="00F13C5A"/>
    <w:rsid w:val="00F13C5B"/>
    <w:rsid w:val="00F14C6D"/>
    <w:rsid w:val="00F17201"/>
    <w:rsid w:val="00F21370"/>
    <w:rsid w:val="00F220A5"/>
    <w:rsid w:val="00F23A0A"/>
    <w:rsid w:val="00F24ED4"/>
    <w:rsid w:val="00F2544B"/>
    <w:rsid w:val="00F25E5E"/>
    <w:rsid w:val="00F26038"/>
    <w:rsid w:val="00F34362"/>
    <w:rsid w:val="00F34BC9"/>
    <w:rsid w:val="00F41F3C"/>
    <w:rsid w:val="00F4259F"/>
    <w:rsid w:val="00F45F11"/>
    <w:rsid w:val="00F45FF1"/>
    <w:rsid w:val="00F479F3"/>
    <w:rsid w:val="00F513AE"/>
    <w:rsid w:val="00F52626"/>
    <w:rsid w:val="00F54EE7"/>
    <w:rsid w:val="00F56339"/>
    <w:rsid w:val="00F56A9D"/>
    <w:rsid w:val="00F6684C"/>
    <w:rsid w:val="00F67E5F"/>
    <w:rsid w:val="00F67FD2"/>
    <w:rsid w:val="00F70B47"/>
    <w:rsid w:val="00F72080"/>
    <w:rsid w:val="00F802BA"/>
    <w:rsid w:val="00F811D0"/>
    <w:rsid w:val="00F83007"/>
    <w:rsid w:val="00F8302E"/>
    <w:rsid w:val="00F83DAA"/>
    <w:rsid w:val="00F8432E"/>
    <w:rsid w:val="00F86DAB"/>
    <w:rsid w:val="00F87C6B"/>
    <w:rsid w:val="00F90979"/>
    <w:rsid w:val="00F94C4D"/>
    <w:rsid w:val="00F94DD8"/>
    <w:rsid w:val="00F95267"/>
    <w:rsid w:val="00F97626"/>
    <w:rsid w:val="00FA01AF"/>
    <w:rsid w:val="00FA0ED0"/>
    <w:rsid w:val="00FA4916"/>
    <w:rsid w:val="00FA4E12"/>
    <w:rsid w:val="00FA7E5C"/>
    <w:rsid w:val="00FA7ED8"/>
    <w:rsid w:val="00FB193D"/>
    <w:rsid w:val="00FB3422"/>
    <w:rsid w:val="00FB4EA7"/>
    <w:rsid w:val="00FB7861"/>
    <w:rsid w:val="00FC22BB"/>
    <w:rsid w:val="00FC245C"/>
    <w:rsid w:val="00FC546F"/>
    <w:rsid w:val="00FC76BD"/>
    <w:rsid w:val="00FD01B5"/>
    <w:rsid w:val="00FD1D0F"/>
    <w:rsid w:val="00FD5629"/>
    <w:rsid w:val="00FD5BF0"/>
    <w:rsid w:val="00FD66FC"/>
    <w:rsid w:val="00FD66FE"/>
    <w:rsid w:val="00FE2EDB"/>
    <w:rsid w:val="00FE3727"/>
    <w:rsid w:val="00FE6124"/>
    <w:rsid w:val="00FF2651"/>
    <w:rsid w:val="00FF2F27"/>
    <w:rsid w:val="00FF32C5"/>
    <w:rsid w:val="00FF3902"/>
    <w:rsid w:val="00FF6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73E36DDF"/>
  <w15:chartTrackingRefBased/>
  <w15:docId w15:val="{AB547E99-6C85-4494-A1D5-8FEBB1A0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Emphasis" w:uiPriority="20" w:qFormat="1"/>
    <w:lsdException w:name="HTML Top of Form" w:locked="0"/>
    <w:lsdException w:name="HTML Bottom of Form" w:locked="0"/>
    <w:lsdException w:name="HTML Definition"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FB7861"/>
    <w:pPr>
      <w:numPr>
        <w:ilvl w:val="2"/>
      </w:numPr>
      <w:outlineLvl w:val="2"/>
    </w:pPr>
    <w:rPr>
      <w:i/>
      <w:iCs/>
      <w:sz w:val="24"/>
    </w:rPr>
  </w:style>
  <w:style w:type="paragraph" w:styleId="Heading4">
    <w:name w:val="heading 4"/>
    <w:basedOn w:val="Heading3"/>
    <w:next w:val="Normal"/>
    <w:link w:val="Heading4Char"/>
    <w:locked/>
    <w:rsid w:val="008007A8"/>
    <w:pPr>
      <w:numPr>
        <w:ilvl w:val="3"/>
      </w:numPr>
      <w:outlineLvl w:val="3"/>
    </w:pPr>
    <w:rPr>
      <w:bCs/>
      <w:i w:val="0"/>
      <w:iCs w:val="0"/>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FB7861"/>
    <w:rPr>
      <w:rFonts w:ascii="Open Sans" w:eastAsia="MS Mincho" w:hAnsi="Open Sans"/>
      <w:b/>
      <w:i/>
      <w:iCs/>
      <w:sz w:val="24"/>
      <w:szCs w:val="26"/>
    </w:rPr>
  </w:style>
  <w:style w:type="character" w:customStyle="1" w:styleId="Heading4Char">
    <w:name w:val="Heading 4 Char"/>
    <w:link w:val="Heading4"/>
    <w:rsid w:val="008007A8"/>
    <w:rPr>
      <w:rFonts w:ascii="Open Sans" w:eastAsia="MS Mincho" w:hAnsi="Open Sans"/>
      <w:b/>
      <w:b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aliases w:val="No Spacing1,No Spacing11"/>
    <w:basedOn w:val="Normal"/>
    <w:link w:val="SubmissionNormalChar"/>
    <w:qFormat/>
    <w:locked/>
    <w:rsid w:val="00B34946"/>
    <w:pPr>
      <w:numPr>
        <w:numId w:val="15"/>
      </w:numPr>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1,List Paragraph11,Bullet point,Recommendation,List Paragraph Number"/>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customStyle="1" w:styleId="ListParagraphChar">
    <w:name w:val="List Paragraph Char"/>
    <w:aliases w:val="List Paragraph1 Char,List Paragraph11 Char,Bullet point Char,Recommendation Char,List Paragraph Number Char"/>
    <w:link w:val="ListParagraph"/>
    <w:uiPriority w:val="34"/>
    <w:rsid w:val="00233C77"/>
    <w:rPr>
      <w:rFonts w:ascii="Open Sans" w:eastAsia="MS Mincho" w:hAnsi="Open Sans"/>
      <w:sz w:val="24"/>
      <w:szCs w:val="24"/>
    </w:rPr>
  </w:style>
  <w:style w:type="paragraph" w:customStyle="1" w:styleId="Subnumbered">
    <w:name w:val="Sub numbered"/>
    <w:basedOn w:val="ListNumber"/>
    <w:qFormat/>
    <w:rsid w:val="00B00778"/>
    <w:pPr>
      <w:numPr>
        <w:numId w:val="23"/>
      </w:numPr>
      <w:tabs>
        <w:tab w:val="left" w:pos="1418"/>
      </w:tabs>
      <w:spacing w:after="240"/>
    </w:pPr>
  </w:style>
  <w:style w:type="character" w:customStyle="1" w:styleId="QuotesubChar">
    <w:name w:val="Quote sub Char"/>
    <w:basedOn w:val="DefaultParagraphFont"/>
    <w:link w:val="Quotesub"/>
    <w:locked/>
    <w:rsid w:val="002C54AF"/>
    <w:rPr>
      <w:rFonts w:ascii="Open Sans" w:eastAsia="MS Mincho" w:hAnsi="Open Sans" w:cs="Open Sans"/>
      <w:sz w:val="22"/>
      <w:szCs w:val="22"/>
    </w:rPr>
  </w:style>
  <w:style w:type="paragraph" w:customStyle="1" w:styleId="Quotesub">
    <w:name w:val="Quote sub"/>
    <w:basedOn w:val="EndnoteText"/>
    <w:link w:val="QuotesubChar"/>
    <w:qFormat/>
    <w:rsid w:val="002C54AF"/>
    <w:pPr>
      <w:spacing w:before="120" w:after="120"/>
      <w:ind w:left="1134" w:firstLine="0"/>
    </w:pPr>
    <w:rPr>
      <w:rFonts w:cs="Open Sans"/>
      <w:sz w:val="22"/>
      <w:szCs w:val="22"/>
    </w:rPr>
  </w:style>
  <w:style w:type="character" w:styleId="UnresolvedMention">
    <w:name w:val="Unresolved Mention"/>
    <w:basedOn w:val="DefaultParagraphFont"/>
    <w:uiPriority w:val="99"/>
    <w:semiHidden/>
    <w:unhideWhenUsed/>
    <w:rsid w:val="006E0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5583248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3691039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22905192">
      <w:bodyDiv w:val="1"/>
      <w:marLeft w:val="0"/>
      <w:marRight w:val="0"/>
      <w:marTop w:val="0"/>
      <w:marBottom w:val="0"/>
      <w:divBdr>
        <w:top w:val="none" w:sz="0" w:space="0" w:color="auto"/>
        <w:left w:val="none" w:sz="0" w:space="0" w:color="auto"/>
        <w:bottom w:val="none" w:sz="0" w:space="0" w:color="auto"/>
        <w:right w:val="none" w:sz="0" w:space="0" w:color="auto"/>
      </w:divBdr>
    </w:div>
    <w:div w:id="1524631517">
      <w:bodyDiv w:val="1"/>
      <w:marLeft w:val="0"/>
      <w:marRight w:val="0"/>
      <w:marTop w:val="0"/>
      <w:marBottom w:val="0"/>
      <w:divBdr>
        <w:top w:val="none" w:sz="0" w:space="0" w:color="auto"/>
        <w:left w:val="none" w:sz="0" w:space="0" w:color="auto"/>
        <w:bottom w:val="none" w:sz="0" w:space="0" w:color="auto"/>
        <w:right w:val="none" w:sz="0" w:space="0" w:color="auto"/>
      </w:divBdr>
    </w:div>
    <w:div w:id="18019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3" Type="http://schemas.openxmlformats.org/officeDocument/2006/relationships/hyperlink" Target="https://www.pc.gov.au/research/ongoing/overcoming-indigenous-disadvantage/2016/report-documents/oid-2016-chapter9-economic-participation.pdf" TargetMode="External"/><Relationship Id="rId2" Type="http://schemas.openxmlformats.org/officeDocument/2006/relationships/hyperlink" Target="http://tbinternet.ohchr.org/_layouts/treatybodyexternal/Download.aspx?symbolno=INT%2fCCP%2fGEC%2f6624&amp;Lang=en" TargetMode="External"/><Relationship Id="rId1" Type="http://schemas.openxmlformats.org/officeDocument/2006/relationships/hyperlink" Target="http://tbinternet.ohchr.org/_layouts/treatybodyexternal/Download.aspx?symbolno=INT%2fCCPR%2fGEC%2f6624&amp;Lang=en" TargetMode="External"/><Relationship Id="rId4" Type="http://schemas.openxmlformats.org/officeDocument/2006/relationships/hyperlink" Target="https://guides.dss.gov.au/guide-social-security-law/1/2/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35" ma:contentTypeDescription="Create a new document." ma:contentTypeScope="" ma:versionID="49c99dfac38e06e9a4a0c74016204dd9">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8de27695f72384fb2ba95bdc5d4c9f87"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To" minOccurs="0"/>
                <xsd:element ref="ns2:From1" minOccurs="0"/>
                <xsd:element ref="ns2:Received_x002f_Sent" minOccurs="0"/>
                <xsd:element ref="ns2:Has_x0020_Attachments" minOccurs="0"/>
                <xsd:element ref="ns4:EmailasAttachmen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To" ma:index="27" nillable="true" ma:displayName="To" ma:internalName="To">
      <xsd:simpleType>
        <xsd:restriction base="dms:Text">
          <xsd:maxLength value="255"/>
        </xsd:restriction>
      </xsd:simpleType>
    </xsd:element>
    <xsd:element name="From1" ma:index="28" nillable="true" ma:displayName="From" ma:internalName="From">
      <xsd:simpleType>
        <xsd:restriction base="dms:Text">
          <xsd:maxLength value="255"/>
        </xsd:restriction>
      </xsd:simpleType>
    </xsd:element>
    <xsd:element name="Received_x002f_Sent" ma:index="29" nillable="true" ma:displayName="Received/Sent" ma:internalName="Received_x002f_Sent">
      <xsd:simpleType>
        <xsd:restriction base="dms:Text">
          <xsd:maxLength value="255"/>
        </xsd:restriction>
      </xsd:simpleType>
    </xsd:element>
    <xsd:element name="Has_x0020_Attachments" ma:index="30" nillable="true" ma:displayName="Has Attachments" ma:internalName="Has_x0020_Attachments">
      <xsd:simpleType>
        <xsd:restriction base="dms:Text">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2"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 xsi:nil="true"/>
    <TaxCatchAll xmlns="6500fe01-343b-4fb9-a1b0-68ac19d62e01"/>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Has_x0020_Attachments xmlns="57f1fb52-79b9-4278-9d54-1e5db41bfcda" xsi:nil="true"/>
    <To xmlns="57f1fb52-79b9-4278-9d54-1e5db41bfcda" xsi:nil="true"/>
    <From1 xmlns="57f1fb52-79b9-4278-9d54-1e5db41bfcda" xsi:nil="true"/>
    <Subdivider xmlns="57f1fb52-79b9-4278-9d54-1e5db41bfcda" xsi:nil="true"/>
    <_dlc_DocId xmlns="6500fe01-343b-4fb9-a1b0-68ac19d62e01">AHRC-31920988-7208</_dlc_DocId>
    <_dlc_DocIdUrl xmlns="6500fe01-343b-4fb9-a1b0-68ac19d62e01">
      <Url>https://australianhrc.sharepoint.com/sites/LegalServicesWorkspace/_layouts/15/DocIdRedir.aspx?ID=AHRC-31920988-7208</Url>
      <Description>AHRC-31920988-7208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FA9C5-9B41-4B0C-BBDE-A45F1D0F0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7D49D-1EAB-4465-9E7C-DE61856F6BB7}">
  <ds:schemaRefs>
    <ds:schemaRef ds:uri="6500fe01-343b-4fb9-a1b0-68ac19d62e01"/>
    <ds:schemaRef ds:uri="http://purl.org/dc/elements/1.1/"/>
    <ds:schemaRef ds:uri="http://www.w3.org/XML/1998/namespace"/>
    <ds:schemaRef ds:uri="1a69bdef-c635-48ac-9cf9-b687dab64bb7"/>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57f1fb52-79b9-4278-9d54-1e5db41bfcda"/>
    <ds:schemaRef ds:uri="http://purl.org/dc/dcmitype/"/>
  </ds:schemaRefs>
</ds:datastoreItem>
</file>

<file path=customXml/itemProps3.xml><?xml version="1.0" encoding="utf-8"?>
<ds:datastoreItem xmlns:ds="http://schemas.openxmlformats.org/officeDocument/2006/customXml" ds:itemID="{F7605DDA-1331-4D6F-A3C2-462BF3E4C185}">
  <ds:schemaRefs>
    <ds:schemaRef ds:uri="http://schemas.microsoft.com/sharepoint/v3/contenttype/forms"/>
  </ds:schemaRefs>
</ds:datastoreItem>
</file>

<file path=customXml/itemProps4.xml><?xml version="1.0" encoding="utf-8"?>
<ds:datastoreItem xmlns:ds="http://schemas.openxmlformats.org/officeDocument/2006/customXml" ds:itemID="{791B6FDD-AA9E-4F0C-8A09-472BAACEFEE6}">
  <ds:schemaRefs>
    <ds:schemaRef ds:uri="http://schemas.microsoft.com/sharepoint/events"/>
  </ds:schemaRefs>
</ds:datastoreItem>
</file>

<file path=customXml/itemProps5.xml><?xml version="1.0" encoding="utf-8"?>
<ds:datastoreItem xmlns:ds="http://schemas.openxmlformats.org/officeDocument/2006/customXml" ds:itemID="{B78E2F0E-484F-45F9-B5D0-573E7812CD64}">
  <ds:schemaRefs>
    <ds:schemaRef ds:uri="Microsoft.SharePoint.Taxonomy.ContentTypeSync"/>
  </ds:schemaRefs>
</ds:datastoreItem>
</file>

<file path=customXml/itemProps6.xml><?xml version="1.0" encoding="utf-8"?>
<ds:datastoreItem xmlns:ds="http://schemas.openxmlformats.org/officeDocument/2006/customXml" ds:itemID="{DC5B3064-BB66-408E-B745-874C00448E5B}">
  <ds:schemaRefs>
    <ds:schemaRef ds:uri="http://schemas.microsoft.com/office/2006/metadata/customXsn"/>
  </ds:schemaRefs>
</ds:datastoreItem>
</file>

<file path=customXml/itemProps7.xml><?xml version="1.0" encoding="utf-8"?>
<ds:datastoreItem xmlns:ds="http://schemas.openxmlformats.org/officeDocument/2006/customXml" ds:itemID="{2870014F-D2C8-4DA6-9393-C564B3A2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Submission_New.dotx</Template>
  <TotalTime>48</TotalTime>
  <Pages>35</Pages>
  <Words>9580</Words>
  <Characters>53143</Characters>
  <Application>Microsoft Office Word</Application>
  <DocSecurity>0</DocSecurity>
  <Lines>442</Lines>
  <Paragraphs>125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62598</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Lim</dc:creator>
  <cp:keywords/>
  <cp:lastModifiedBy>Jennifer Lim</cp:lastModifiedBy>
  <cp:revision>9</cp:revision>
  <cp:lastPrinted>2019-10-01T06:06:00Z</cp:lastPrinted>
  <dcterms:created xsi:type="dcterms:W3CDTF">2019-10-01T04:19:00Z</dcterms:created>
  <dcterms:modified xsi:type="dcterms:W3CDTF">2019-10-01T06:12:00Z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dc08f3ad-84b0-4d63-8075-143ead9ccdd1</vt:lpwstr>
  </property>
</Properties>
</file>