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F7AE9" w14:textId="483B61C2" w:rsidR="00A355F9" w:rsidRDefault="00EA31A7" w:rsidP="00EA31A7">
      <w:pPr>
        <w:pStyle w:val="MainTitle"/>
      </w:pPr>
      <w:r>
        <w:t>Education in Remote and Complex Environments</w:t>
      </w:r>
    </w:p>
    <w:p w14:paraId="278DA6F9" w14:textId="77777777" w:rsidR="000F6BB3" w:rsidRDefault="00C86324" w:rsidP="004A351F">
      <w:pPr>
        <w:pStyle w:val="Date"/>
        <w:rPr>
          <w:color w:val="2E74B5" w:themeColor="accent1" w:themeShade="BF"/>
          <w:sz w:val="28"/>
        </w:rPr>
      </w:pPr>
      <w:bookmarkStart w:id="0" w:name="_Toc525894097"/>
      <w:r w:rsidRPr="004A351F">
        <w:rPr>
          <w:color w:val="2E74B5" w:themeColor="accent1" w:themeShade="BF"/>
          <w:sz w:val="28"/>
        </w:rPr>
        <w:t xml:space="preserve">Submission to the </w:t>
      </w:r>
      <w:bookmarkEnd w:id="0"/>
      <w:r w:rsidR="00EA31A7">
        <w:rPr>
          <w:color w:val="2E74B5" w:themeColor="accent1" w:themeShade="BF"/>
          <w:sz w:val="28"/>
        </w:rPr>
        <w:t>House Standing Committee</w:t>
      </w:r>
    </w:p>
    <w:p w14:paraId="6A4B282A" w14:textId="6F624212" w:rsidR="00817C73" w:rsidRPr="004A351F" w:rsidRDefault="00EA31A7" w:rsidP="004A351F">
      <w:pPr>
        <w:pStyle w:val="Date"/>
        <w:rPr>
          <w:color w:val="2E74B5" w:themeColor="accent1" w:themeShade="BF"/>
          <w:sz w:val="28"/>
        </w:rPr>
      </w:pPr>
      <w:r>
        <w:rPr>
          <w:color w:val="2E74B5" w:themeColor="accent1" w:themeShade="BF"/>
          <w:sz w:val="28"/>
        </w:rPr>
        <w:t>on Employment, Education and Training</w:t>
      </w:r>
    </w:p>
    <w:p w14:paraId="6050C632" w14:textId="3EBF666D" w:rsidR="00F220A5" w:rsidRPr="00817C73" w:rsidRDefault="00EA31A7" w:rsidP="00F220A5">
      <w:pPr>
        <w:pStyle w:val="Date"/>
      </w:pPr>
      <w:r>
        <w:t>1</w:t>
      </w:r>
      <w:r w:rsidR="00104B4F">
        <w:t>3</w:t>
      </w:r>
      <w:r>
        <w:t xml:space="preserve"> February 2020</w:t>
      </w:r>
    </w:p>
    <w:p w14:paraId="15D05E6F" w14:textId="77777777" w:rsidR="00AC636D" w:rsidRDefault="00AC636D" w:rsidP="00AC636D"/>
    <w:p w14:paraId="75C37BDF" w14:textId="77777777" w:rsidR="009E4BD0" w:rsidRPr="00AC636D" w:rsidRDefault="009E4BD0" w:rsidP="000E4837">
      <w:pPr>
        <w:pStyle w:val="Subtitle"/>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53BE8824" w14:textId="02EFF625" w:rsidR="00104B4F" w:rsidRDefault="000E4837">
      <w:pPr>
        <w:pStyle w:val="TOC1"/>
        <w:rPr>
          <w:rFonts w:asciiTheme="minorHAnsi" w:eastAsiaTheme="minorEastAsia" w:hAnsiTheme="minorHAnsi" w:cstheme="minorBidi"/>
          <w:b w:val="0"/>
          <w:sz w:val="22"/>
          <w:szCs w:val="22"/>
        </w:rPr>
      </w:pPr>
      <w:r>
        <w:rPr>
          <w:b w:val="0"/>
        </w:rPr>
        <w:lastRenderedPageBreak/>
        <w:fldChar w:fldCharType="begin"/>
      </w:r>
      <w:r>
        <w:rPr>
          <w:b w:val="0"/>
        </w:rPr>
        <w:instrText xml:space="preserve"> TOC \o "1-3" \h \z \u </w:instrText>
      </w:r>
      <w:r>
        <w:rPr>
          <w:b w:val="0"/>
        </w:rPr>
        <w:fldChar w:fldCharType="separate"/>
      </w:r>
      <w:hyperlink w:anchor="_Toc32497874" w:history="1">
        <w:r w:rsidR="00104B4F" w:rsidRPr="00C0592C">
          <w:rPr>
            <w:rStyle w:val="Hyperlink"/>
          </w:rPr>
          <w:t>1</w:t>
        </w:r>
        <w:r w:rsidR="00104B4F">
          <w:rPr>
            <w:rFonts w:asciiTheme="minorHAnsi" w:eastAsiaTheme="minorEastAsia" w:hAnsiTheme="minorHAnsi" w:cstheme="minorBidi"/>
            <w:b w:val="0"/>
            <w:sz w:val="22"/>
            <w:szCs w:val="22"/>
          </w:rPr>
          <w:tab/>
        </w:r>
        <w:r w:rsidR="00104B4F" w:rsidRPr="00C0592C">
          <w:rPr>
            <w:rStyle w:val="Hyperlink"/>
          </w:rPr>
          <w:t>Introduction</w:t>
        </w:r>
        <w:r w:rsidR="00104B4F">
          <w:rPr>
            <w:webHidden/>
          </w:rPr>
          <w:tab/>
        </w:r>
        <w:r w:rsidR="00104B4F">
          <w:rPr>
            <w:webHidden/>
          </w:rPr>
          <w:fldChar w:fldCharType="begin"/>
        </w:r>
        <w:r w:rsidR="00104B4F">
          <w:rPr>
            <w:webHidden/>
          </w:rPr>
          <w:instrText xml:space="preserve"> PAGEREF _Toc32497874 \h </w:instrText>
        </w:r>
        <w:r w:rsidR="00104B4F">
          <w:rPr>
            <w:webHidden/>
          </w:rPr>
        </w:r>
        <w:r w:rsidR="00104B4F">
          <w:rPr>
            <w:webHidden/>
          </w:rPr>
          <w:fldChar w:fldCharType="separate"/>
        </w:r>
        <w:r w:rsidR="00F6263B">
          <w:rPr>
            <w:webHidden/>
          </w:rPr>
          <w:t>3</w:t>
        </w:r>
        <w:r w:rsidR="00104B4F">
          <w:rPr>
            <w:webHidden/>
          </w:rPr>
          <w:fldChar w:fldCharType="end"/>
        </w:r>
      </w:hyperlink>
    </w:p>
    <w:p w14:paraId="4F79B24E" w14:textId="158850E3" w:rsidR="00104B4F" w:rsidRDefault="00104B4F">
      <w:pPr>
        <w:pStyle w:val="TOC1"/>
        <w:rPr>
          <w:rFonts w:asciiTheme="minorHAnsi" w:eastAsiaTheme="minorEastAsia" w:hAnsiTheme="minorHAnsi" w:cstheme="minorBidi"/>
          <w:b w:val="0"/>
          <w:sz w:val="22"/>
          <w:szCs w:val="22"/>
        </w:rPr>
      </w:pPr>
      <w:hyperlink w:anchor="_Toc32497875" w:history="1">
        <w:r w:rsidRPr="00C0592C">
          <w:rPr>
            <w:rStyle w:val="Hyperlink"/>
          </w:rPr>
          <w:t>2</w:t>
        </w:r>
        <w:r>
          <w:rPr>
            <w:rFonts w:asciiTheme="minorHAnsi" w:eastAsiaTheme="minorEastAsia" w:hAnsiTheme="minorHAnsi" w:cstheme="minorBidi"/>
            <w:b w:val="0"/>
            <w:sz w:val="22"/>
            <w:szCs w:val="22"/>
          </w:rPr>
          <w:tab/>
        </w:r>
        <w:r w:rsidRPr="00C0592C">
          <w:rPr>
            <w:rStyle w:val="Hyperlink"/>
          </w:rPr>
          <w:t>Recommendations</w:t>
        </w:r>
        <w:r>
          <w:rPr>
            <w:webHidden/>
          </w:rPr>
          <w:tab/>
        </w:r>
        <w:r>
          <w:rPr>
            <w:webHidden/>
          </w:rPr>
          <w:fldChar w:fldCharType="begin"/>
        </w:r>
        <w:r>
          <w:rPr>
            <w:webHidden/>
          </w:rPr>
          <w:instrText xml:space="preserve"> PAGEREF _Toc32497875 \h </w:instrText>
        </w:r>
        <w:r>
          <w:rPr>
            <w:webHidden/>
          </w:rPr>
        </w:r>
        <w:r>
          <w:rPr>
            <w:webHidden/>
          </w:rPr>
          <w:fldChar w:fldCharType="separate"/>
        </w:r>
        <w:r w:rsidR="00F6263B">
          <w:rPr>
            <w:webHidden/>
          </w:rPr>
          <w:t>4</w:t>
        </w:r>
        <w:r>
          <w:rPr>
            <w:webHidden/>
          </w:rPr>
          <w:fldChar w:fldCharType="end"/>
        </w:r>
      </w:hyperlink>
    </w:p>
    <w:p w14:paraId="0ABA4364" w14:textId="253F1C2A" w:rsidR="00104B4F" w:rsidRDefault="00104B4F">
      <w:pPr>
        <w:pStyle w:val="TOC1"/>
        <w:rPr>
          <w:rFonts w:asciiTheme="minorHAnsi" w:eastAsiaTheme="minorEastAsia" w:hAnsiTheme="minorHAnsi" w:cstheme="minorBidi"/>
          <w:b w:val="0"/>
          <w:sz w:val="22"/>
          <w:szCs w:val="22"/>
        </w:rPr>
      </w:pPr>
      <w:hyperlink w:anchor="_Toc32497876" w:history="1">
        <w:r w:rsidRPr="00C0592C">
          <w:rPr>
            <w:rStyle w:val="Hyperlink"/>
          </w:rPr>
          <w:t>3</w:t>
        </w:r>
        <w:r>
          <w:rPr>
            <w:rFonts w:asciiTheme="minorHAnsi" w:eastAsiaTheme="minorEastAsia" w:hAnsiTheme="minorHAnsi" w:cstheme="minorBidi"/>
            <w:b w:val="0"/>
            <w:sz w:val="22"/>
            <w:szCs w:val="22"/>
          </w:rPr>
          <w:tab/>
        </w:r>
        <w:r w:rsidRPr="00C0592C">
          <w:rPr>
            <w:rStyle w:val="Hyperlink"/>
          </w:rPr>
          <w:t>International human rights law</w:t>
        </w:r>
        <w:r>
          <w:rPr>
            <w:webHidden/>
          </w:rPr>
          <w:tab/>
        </w:r>
        <w:r>
          <w:rPr>
            <w:webHidden/>
          </w:rPr>
          <w:fldChar w:fldCharType="begin"/>
        </w:r>
        <w:r>
          <w:rPr>
            <w:webHidden/>
          </w:rPr>
          <w:instrText xml:space="preserve"> PAGEREF _Toc32497876 \h </w:instrText>
        </w:r>
        <w:r>
          <w:rPr>
            <w:webHidden/>
          </w:rPr>
        </w:r>
        <w:r>
          <w:rPr>
            <w:webHidden/>
          </w:rPr>
          <w:fldChar w:fldCharType="separate"/>
        </w:r>
        <w:r w:rsidR="00F6263B">
          <w:rPr>
            <w:webHidden/>
          </w:rPr>
          <w:t>5</w:t>
        </w:r>
        <w:r>
          <w:rPr>
            <w:webHidden/>
          </w:rPr>
          <w:fldChar w:fldCharType="end"/>
        </w:r>
      </w:hyperlink>
    </w:p>
    <w:p w14:paraId="26B7F9C5" w14:textId="006EB845" w:rsidR="00104B4F" w:rsidRDefault="00104B4F">
      <w:pPr>
        <w:pStyle w:val="TOC2"/>
        <w:rPr>
          <w:rFonts w:asciiTheme="minorHAnsi" w:eastAsiaTheme="minorEastAsia" w:hAnsiTheme="minorHAnsi" w:cstheme="minorBidi"/>
          <w:b w:val="0"/>
          <w:i w:val="0"/>
          <w:sz w:val="22"/>
          <w:szCs w:val="22"/>
        </w:rPr>
      </w:pPr>
      <w:hyperlink w:anchor="_Toc32497877" w:history="1">
        <w:r w:rsidRPr="00C0592C">
          <w:rPr>
            <w:rStyle w:val="Hyperlink"/>
          </w:rPr>
          <w:t>3.1</w:t>
        </w:r>
        <w:r>
          <w:rPr>
            <w:rFonts w:asciiTheme="minorHAnsi" w:eastAsiaTheme="minorEastAsia" w:hAnsiTheme="minorHAnsi" w:cstheme="minorBidi"/>
            <w:b w:val="0"/>
            <w:i w:val="0"/>
            <w:sz w:val="22"/>
            <w:szCs w:val="22"/>
          </w:rPr>
          <w:tab/>
        </w:r>
        <w:r w:rsidRPr="00C0592C">
          <w:rPr>
            <w:rStyle w:val="Hyperlink"/>
          </w:rPr>
          <w:t>The right to education</w:t>
        </w:r>
        <w:r>
          <w:rPr>
            <w:webHidden/>
          </w:rPr>
          <w:tab/>
        </w:r>
        <w:r>
          <w:rPr>
            <w:webHidden/>
          </w:rPr>
          <w:fldChar w:fldCharType="begin"/>
        </w:r>
        <w:r>
          <w:rPr>
            <w:webHidden/>
          </w:rPr>
          <w:instrText xml:space="preserve"> PAGEREF _Toc32497877 \h </w:instrText>
        </w:r>
        <w:r>
          <w:rPr>
            <w:webHidden/>
          </w:rPr>
        </w:r>
        <w:r>
          <w:rPr>
            <w:webHidden/>
          </w:rPr>
          <w:fldChar w:fldCharType="separate"/>
        </w:r>
        <w:r w:rsidR="00F6263B">
          <w:rPr>
            <w:webHidden/>
          </w:rPr>
          <w:t>5</w:t>
        </w:r>
        <w:r>
          <w:rPr>
            <w:webHidden/>
          </w:rPr>
          <w:fldChar w:fldCharType="end"/>
        </w:r>
      </w:hyperlink>
    </w:p>
    <w:p w14:paraId="7AF5B502" w14:textId="3AD12B05" w:rsidR="00104B4F" w:rsidRDefault="00104B4F">
      <w:pPr>
        <w:pStyle w:val="TOC2"/>
        <w:rPr>
          <w:rFonts w:asciiTheme="minorHAnsi" w:eastAsiaTheme="minorEastAsia" w:hAnsiTheme="minorHAnsi" w:cstheme="minorBidi"/>
          <w:b w:val="0"/>
          <w:i w:val="0"/>
          <w:sz w:val="22"/>
          <w:szCs w:val="22"/>
        </w:rPr>
      </w:pPr>
      <w:hyperlink w:anchor="_Toc32497878" w:history="1">
        <w:r w:rsidRPr="00C0592C">
          <w:rPr>
            <w:rStyle w:val="Hyperlink"/>
          </w:rPr>
          <w:t>3.2</w:t>
        </w:r>
        <w:r>
          <w:rPr>
            <w:rFonts w:asciiTheme="minorHAnsi" w:eastAsiaTheme="minorEastAsia" w:hAnsiTheme="minorHAnsi" w:cstheme="minorBidi"/>
            <w:b w:val="0"/>
            <w:i w:val="0"/>
            <w:sz w:val="22"/>
            <w:szCs w:val="22"/>
          </w:rPr>
          <w:tab/>
        </w:r>
        <w:r w:rsidRPr="00C0592C">
          <w:rPr>
            <w:rStyle w:val="Hyperlink"/>
          </w:rPr>
          <w:t>The rights of Aboriginal and Torres Strait Islander peoples</w:t>
        </w:r>
        <w:r>
          <w:rPr>
            <w:webHidden/>
          </w:rPr>
          <w:tab/>
        </w:r>
        <w:r>
          <w:rPr>
            <w:webHidden/>
          </w:rPr>
          <w:fldChar w:fldCharType="begin"/>
        </w:r>
        <w:r>
          <w:rPr>
            <w:webHidden/>
          </w:rPr>
          <w:instrText xml:space="preserve"> PAGEREF _Toc32497878 \h </w:instrText>
        </w:r>
        <w:r>
          <w:rPr>
            <w:webHidden/>
          </w:rPr>
        </w:r>
        <w:r>
          <w:rPr>
            <w:webHidden/>
          </w:rPr>
          <w:fldChar w:fldCharType="separate"/>
        </w:r>
        <w:r w:rsidR="00F6263B">
          <w:rPr>
            <w:webHidden/>
          </w:rPr>
          <w:t>8</w:t>
        </w:r>
        <w:r>
          <w:rPr>
            <w:webHidden/>
          </w:rPr>
          <w:fldChar w:fldCharType="end"/>
        </w:r>
      </w:hyperlink>
    </w:p>
    <w:p w14:paraId="3F2E01A4" w14:textId="251DD74A" w:rsidR="00104B4F" w:rsidRDefault="00104B4F">
      <w:pPr>
        <w:pStyle w:val="TOC2"/>
        <w:rPr>
          <w:rFonts w:asciiTheme="minorHAnsi" w:eastAsiaTheme="minorEastAsia" w:hAnsiTheme="minorHAnsi" w:cstheme="minorBidi"/>
          <w:b w:val="0"/>
          <w:i w:val="0"/>
          <w:sz w:val="22"/>
          <w:szCs w:val="22"/>
        </w:rPr>
      </w:pPr>
      <w:hyperlink w:anchor="_Toc32497879" w:history="1">
        <w:r w:rsidRPr="00C0592C">
          <w:rPr>
            <w:rStyle w:val="Hyperlink"/>
          </w:rPr>
          <w:t>3.3</w:t>
        </w:r>
        <w:r>
          <w:rPr>
            <w:rFonts w:asciiTheme="minorHAnsi" w:eastAsiaTheme="minorEastAsia" w:hAnsiTheme="minorHAnsi" w:cstheme="minorBidi"/>
            <w:b w:val="0"/>
            <w:i w:val="0"/>
            <w:sz w:val="22"/>
            <w:szCs w:val="22"/>
          </w:rPr>
          <w:tab/>
        </w:r>
        <w:r w:rsidRPr="00C0592C">
          <w:rPr>
            <w:rStyle w:val="Hyperlink"/>
          </w:rPr>
          <w:t>The rights of persons with disability</w:t>
        </w:r>
        <w:r>
          <w:rPr>
            <w:webHidden/>
          </w:rPr>
          <w:tab/>
        </w:r>
        <w:r>
          <w:rPr>
            <w:webHidden/>
          </w:rPr>
          <w:fldChar w:fldCharType="begin"/>
        </w:r>
        <w:r>
          <w:rPr>
            <w:webHidden/>
          </w:rPr>
          <w:instrText xml:space="preserve"> PAGEREF _Toc32497879 \h </w:instrText>
        </w:r>
        <w:r>
          <w:rPr>
            <w:webHidden/>
          </w:rPr>
        </w:r>
        <w:r>
          <w:rPr>
            <w:webHidden/>
          </w:rPr>
          <w:fldChar w:fldCharType="separate"/>
        </w:r>
        <w:r w:rsidR="00F6263B">
          <w:rPr>
            <w:webHidden/>
          </w:rPr>
          <w:t>9</w:t>
        </w:r>
        <w:r>
          <w:rPr>
            <w:webHidden/>
          </w:rPr>
          <w:fldChar w:fldCharType="end"/>
        </w:r>
      </w:hyperlink>
    </w:p>
    <w:p w14:paraId="6301CA6A" w14:textId="11483C0F" w:rsidR="00104B4F" w:rsidRDefault="00104B4F">
      <w:pPr>
        <w:pStyle w:val="TOC1"/>
        <w:rPr>
          <w:rFonts w:asciiTheme="minorHAnsi" w:eastAsiaTheme="minorEastAsia" w:hAnsiTheme="minorHAnsi" w:cstheme="minorBidi"/>
          <w:b w:val="0"/>
          <w:sz w:val="22"/>
          <w:szCs w:val="22"/>
        </w:rPr>
      </w:pPr>
      <w:hyperlink w:anchor="_Toc32497880" w:history="1">
        <w:r w:rsidRPr="00C0592C">
          <w:rPr>
            <w:rStyle w:val="Hyperlink"/>
          </w:rPr>
          <w:t>4</w:t>
        </w:r>
        <w:r>
          <w:rPr>
            <w:rFonts w:asciiTheme="minorHAnsi" w:eastAsiaTheme="minorEastAsia" w:hAnsiTheme="minorHAnsi" w:cstheme="minorBidi"/>
            <w:b w:val="0"/>
            <w:sz w:val="22"/>
            <w:szCs w:val="22"/>
          </w:rPr>
          <w:tab/>
        </w:r>
        <w:r w:rsidRPr="00C0592C">
          <w:rPr>
            <w:rStyle w:val="Hyperlink"/>
          </w:rPr>
          <w:t>Educational disadvantage and remoteness</w:t>
        </w:r>
        <w:r>
          <w:rPr>
            <w:webHidden/>
          </w:rPr>
          <w:tab/>
        </w:r>
        <w:r>
          <w:rPr>
            <w:webHidden/>
          </w:rPr>
          <w:fldChar w:fldCharType="begin"/>
        </w:r>
        <w:r>
          <w:rPr>
            <w:webHidden/>
          </w:rPr>
          <w:instrText xml:space="preserve"> PAGEREF _Toc32497880 \h </w:instrText>
        </w:r>
        <w:r>
          <w:rPr>
            <w:webHidden/>
          </w:rPr>
        </w:r>
        <w:r>
          <w:rPr>
            <w:webHidden/>
          </w:rPr>
          <w:fldChar w:fldCharType="separate"/>
        </w:r>
        <w:r w:rsidR="00F6263B">
          <w:rPr>
            <w:webHidden/>
          </w:rPr>
          <w:t>10</w:t>
        </w:r>
        <w:r>
          <w:rPr>
            <w:webHidden/>
          </w:rPr>
          <w:fldChar w:fldCharType="end"/>
        </w:r>
      </w:hyperlink>
    </w:p>
    <w:p w14:paraId="56BF3C8B" w14:textId="55646F8A" w:rsidR="00104B4F" w:rsidRDefault="00104B4F">
      <w:pPr>
        <w:pStyle w:val="TOC1"/>
        <w:rPr>
          <w:rFonts w:asciiTheme="minorHAnsi" w:eastAsiaTheme="minorEastAsia" w:hAnsiTheme="minorHAnsi" w:cstheme="minorBidi"/>
          <w:b w:val="0"/>
          <w:sz w:val="22"/>
          <w:szCs w:val="22"/>
        </w:rPr>
      </w:pPr>
      <w:hyperlink w:anchor="_Toc32497881" w:history="1">
        <w:r w:rsidRPr="00C0592C">
          <w:rPr>
            <w:rStyle w:val="Hyperlink"/>
          </w:rPr>
          <w:t>5</w:t>
        </w:r>
        <w:r>
          <w:rPr>
            <w:rFonts w:asciiTheme="minorHAnsi" w:eastAsiaTheme="minorEastAsia" w:hAnsiTheme="minorHAnsi" w:cstheme="minorBidi"/>
            <w:b w:val="0"/>
            <w:sz w:val="22"/>
            <w:szCs w:val="22"/>
          </w:rPr>
          <w:tab/>
        </w:r>
        <w:r w:rsidRPr="00C0592C">
          <w:rPr>
            <w:rStyle w:val="Hyperlink"/>
          </w:rPr>
          <w:t>Importance of early childhood education</w:t>
        </w:r>
        <w:r>
          <w:rPr>
            <w:webHidden/>
          </w:rPr>
          <w:tab/>
        </w:r>
        <w:r>
          <w:rPr>
            <w:webHidden/>
          </w:rPr>
          <w:fldChar w:fldCharType="begin"/>
        </w:r>
        <w:r>
          <w:rPr>
            <w:webHidden/>
          </w:rPr>
          <w:instrText xml:space="preserve"> PAGEREF _Toc32497881 \h </w:instrText>
        </w:r>
        <w:r>
          <w:rPr>
            <w:webHidden/>
          </w:rPr>
        </w:r>
        <w:r>
          <w:rPr>
            <w:webHidden/>
          </w:rPr>
          <w:fldChar w:fldCharType="separate"/>
        </w:r>
        <w:r w:rsidR="00F6263B">
          <w:rPr>
            <w:webHidden/>
          </w:rPr>
          <w:t>12</w:t>
        </w:r>
        <w:r>
          <w:rPr>
            <w:webHidden/>
          </w:rPr>
          <w:fldChar w:fldCharType="end"/>
        </w:r>
      </w:hyperlink>
    </w:p>
    <w:p w14:paraId="018279E4" w14:textId="74A84393" w:rsidR="00104B4F" w:rsidRDefault="00104B4F">
      <w:pPr>
        <w:pStyle w:val="TOC1"/>
        <w:rPr>
          <w:rFonts w:asciiTheme="minorHAnsi" w:eastAsiaTheme="minorEastAsia" w:hAnsiTheme="minorHAnsi" w:cstheme="minorBidi"/>
          <w:b w:val="0"/>
          <w:sz w:val="22"/>
          <w:szCs w:val="22"/>
        </w:rPr>
      </w:pPr>
      <w:hyperlink w:anchor="_Toc32497882" w:history="1">
        <w:r w:rsidRPr="00C0592C">
          <w:rPr>
            <w:rStyle w:val="Hyperlink"/>
          </w:rPr>
          <w:t>6</w:t>
        </w:r>
        <w:r>
          <w:rPr>
            <w:rFonts w:asciiTheme="minorHAnsi" w:eastAsiaTheme="minorEastAsia" w:hAnsiTheme="minorHAnsi" w:cstheme="minorBidi"/>
            <w:b w:val="0"/>
            <w:sz w:val="22"/>
            <w:szCs w:val="22"/>
          </w:rPr>
          <w:tab/>
        </w:r>
        <w:r w:rsidRPr="00C0592C">
          <w:rPr>
            <w:rStyle w:val="Hyperlink"/>
          </w:rPr>
          <w:t>Barriers facing specific groups of children in remote areas</w:t>
        </w:r>
        <w:r>
          <w:rPr>
            <w:webHidden/>
          </w:rPr>
          <w:tab/>
        </w:r>
        <w:r>
          <w:rPr>
            <w:webHidden/>
          </w:rPr>
          <w:fldChar w:fldCharType="begin"/>
        </w:r>
        <w:r>
          <w:rPr>
            <w:webHidden/>
          </w:rPr>
          <w:instrText xml:space="preserve"> PAGEREF _Toc32497882 \h </w:instrText>
        </w:r>
        <w:r>
          <w:rPr>
            <w:webHidden/>
          </w:rPr>
        </w:r>
        <w:r>
          <w:rPr>
            <w:webHidden/>
          </w:rPr>
          <w:fldChar w:fldCharType="separate"/>
        </w:r>
        <w:r w:rsidR="00F6263B">
          <w:rPr>
            <w:webHidden/>
          </w:rPr>
          <w:t>14</w:t>
        </w:r>
        <w:r>
          <w:rPr>
            <w:webHidden/>
          </w:rPr>
          <w:fldChar w:fldCharType="end"/>
        </w:r>
      </w:hyperlink>
    </w:p>
    <w:p w14:paraId="058AC7B2" w14:textId="741A247D" w:rsidR="00104B4F" w:rsidRDefault="00104B4F">
      <w:pPr>
        <w:pStyle w:val="TOC2"/>
        <w:rPr>
          <w:rFonts w:asciiTheme="minorHAnsi" w:eastAsiaTheme="minorEastAsia" w:hAnsiTheme="minorHAnsi" w:cstheme="minorBidi"/>
          <w:b w:val="0"/>
          <w:i w:val="0"/>
          <w:sz w:val="22"/>
          <w:szCs w:val="22"/>
        </w:rPr>
      </w:pPr>
      <w:hyperlink w:anchor="_Toc32497883" w:history="1">
        <w:r w:rsidRPr="00C0592C">
          <w:rPr>
            <w:rStyle w:val="Hyperlink"/>
          </w:rPr>
          <w:t>6.1</w:t>
        </w:r>
        <w:r>
          <w:rPr>
            <w:rFonts w:asciiTheme="minorHAnsi" w:eastAsiaTheme="minorEastAsia" w:hAnsiTheme="minorHAnsi" w:cstheme="minorBidi"/>
            <w:b w:val="0"/>
            <w:i w:val="0"/>
            <w:sz w:val="22"/>
            <w:szCs w:val="22"/>
          </w:rPr>
          <w:tab/>
        </w:r>
        <w:r w:rsidRPr="00C0592C">
          <w:rPr>
            <w:rStyle w:val="Hyperlink"/>
          </w:rPr>
          <w:t>Children who are developmentally vulnerable</w:t>
        </w:r>
        <w:r>
          <w:rPr>
            <w:webHidden/>
          </w:rPr>
          <w:tab/>
        </w:r>
        <w:r>
          <w:rPr>
            <w:webHidden/>
          </w:rPr>
          <w:fldChar w:fldCharType="begin"/>
        </w:r>
        <w:r>
          <w:rPr>
            <w:webHidden/>
          </w:rPr>
          <w:instrText xml:space="preserve"> PAGEREF _Toc32497883 \h </w:instrText>
        </w:r>
        <w:r>
          <w:rPr>
            <w:webHidden/>
          </w:rPr>
        </w:r>
        <w:r>
          <w:rPr>
            <w:webHidden/>
          </w:rPr>
          <w:fldChar w:fldCharType="separate"/>
        </w:r>
        <w:r w:rsidR="00F6263B">
          <w:rPr>
            <w:webHidden/>
          </w:rPr>
          <w:t>14</w:t>
        </w:r>
        <w:r>
          <w:rPr>
            <w:webHidden/>
          </w:rPr>
          <w:fldChar w:fldCharType="end"/>
        </w:r>
      </w:hyperlink>
    </w:p>
    <w:p w14:paraId="381B9D0E" w14:textId="7CE94762" w:rsidR="00104B4F" w:rsidRDefault="00104B4F">
      <w:pPr>
        <w:pStyle w:val="TOC2"/>
        <w:rPr>
          <w:rFonts w:asciiTheme="minorHAnsi" w:eastAsiaTheme="minorEastAsia" w:hAnsiTheme="minorHAnsi" w:cstheme="minorBidi"/>
          <w:b w:val="0"/>
          <w:i w:val="0"/>
          <w:sz w:val="22"/>
          <w:szCs w:val="22"/>
        </w:rPr>
      </w:pPr>
      <w:hyperlink w:anchor="_Toc32497884" w:history="1">
        <w:r w:rsidRPr="00C0592C">
          <w:rPr>
            <w:rStyle w:val="Hyperlink"/>
          </w:rPr>
          <w:t>6.2</w:t>
        </w:r>
        <w:r>
          <w:rPr>
            <w:rFonts w:asciiTheme="minorHAnsi" w:eastAsiaTheme="minorEastAsia" w:hAnsiTheme="minorHAnsi" w:cstheme="minorBidi"/>
            <w:b w:val="0"/>
            <w:i w:val="0"/>
            <w:sz w:val="22"/>
            <w:szCs w:val="22"/>
          </w:rPr>
          <w:tab/>
        </w:r>
        <w:r w:rsidRPr="00C0592C">
          <w:rPr>
            <w:rStyle w:val="Hyperlink"/>
          </w:rPr>
          <w:t>Children with disability</w:t>
        </w:r>
        <w:r>
          <w:rPr>
            <w:webHidden/>
          </w:rPr>
          <w:tab/>
        </w:r>
        <w:r>
          <w:rPr>
            <w:webHidden/>
          </w:rPr>
          <w:fldChar w:fldCharType="begin"/>
        </w:r>
        <w:r>
          <w:rPr>
            <w:webHidden/>
          </w:rPr>
          <w:instrText xml:space="preserve"> PAGEREF _Toc32497884 \h </w:instrText>
        </w:r>
        <w:r>
          <w:rPr>
            <w:webHidden/>
          </w:rPr>
        </w:r>
        <w:r>
          <w:rPr>
            <w:webHidden/>
          </w:rPr>
          <w:fldChar w:fldCharType="separate"/>
        </w:r>
        <w:r w:rsidR="00F6263B">
          <w:rPr>
            <w:webHidden/>
          </w:rPr>
          <w:t>15</w:t>
        </w:r>
        <w:r>
          <w:rPr>
            <w:webHidden/>
          </w:rPr>
          <w:fldChar w:fldCharType="end"/>
        </w:r>
      </w:hyperlink>
    </w:p>
    <w:p w14:paraId="1664F990" w14:textId="53020273" w:rsidR="00104B4F" w:rsidRDefault="00104B4F">
      <w:pPr>
        <w:pStyle w:val="TOC2"/>
        <w:rPr>
          <w:rFonts w:asciiTheme="minorHAnsi" w:eastAsiaTheme="minorEastAsia" w:hAnsiTheme="minorHAnsi" w:cstheme="minorBidi"/>
          <w:b w:val="0"/>
          <w:i w:val="0"/>
          <w:sz w:val="22"/>
          <w:szCs w:val="22"/>
        </w:rPr>
      </w:pPr>
      <w:hyperlink w:anchor="_Toc32497885" w:history="1">
        <w:r w:rsidRPr="00C0592C">
          <w:rPr>
            <w:rStyle w:val="Hyperlink"/>
          </w:rPr>
          <w:t>6.3</w:t>
        </w:r>
        <w:r>
          <w:rPr>
            <w:rFonts w:asciiTheme="minorHAnsi" w:eastAsiaTheme="minorEastAsia" w:hAnsiTheme="minorHAnsi" w:cstheme="minorBidi"/>
            <w:b w:val="0"/>
            <w:i w:val="0"/>
            <w:sz w:val="22"/>
            <w:szCs w:val="22"/>
          </w:rPr>
          <w:tab/>
        </w:r>
        <w:r w:rsidRPr="00C0592C">
          <w:rPr>
            <w:rStyle w:val="Hyperlink"/>
          </w:rPr>
          <w:t>Aboriginal and Torres Strait Islander children</w:t>
        </w:r>
        <w:r>
          <w:rPr>
            <w:webHidden/>
          </w:rPr>
          <w:tab/>
        </w:r>
        <w:r>
          <w:rPr>
            <w:webHidden/>
          </w:rPr>
          <w:fldChar w:fldCharType="begin"/>
        </w:r>
        <w:r>
          <w:rPr>
            <w:webHidden/>
          </w:rPr>
          <w:instrText xml:space="preserve"> PAGEREF _Toc32497885 \h </w:instrText>
        </w:r>
        <w:r>
          <w:rPr>
            <w:webHidden/>
          </w:rPr>
        </w:r>
        <w:r>
          <w:rPr>
            <w:webHidden/>
          </w:rPr>
          <w:fldChar w:fldCharType="separate"/>
        </w:r>
        <w:r w:rsidR="00F6263B">
          <w:rPr>
            <w:webHidden/>
          </w:rPr>
          <w:t>17</w:t>
        </w:r>
        <w:r>
          <w:rPr>
            <w:webHidden/>
          </w:rPr>
          <w:fldChar w:fldCharType="end"/>
        </w:r>
      </w:hyperlink>
    </w:p>
    <w:p w14:paraId="3AC6CAE0" w14:textId="153D2F8B" w:rsidR="00104B4F" w:rsidRDefault="00104B4F">
      <w:pPr>
        <w:pStyle w:val="TOC2"/>
        <w:rPr>
          <w:rFonts w:asciiTheme="minorHAnsi" w:eastAsiaTheme="minorEastAsia" w:hAnsiTheme="minorHAnsi" w:cstheme="minorBidi"/>
          <w:b w:val="0"/>
          <w:i w:val="0"/>
          <w:sz w:val="22"/>
          <w:szCs w:val="22"/>
        </w:rPr>
      </w:pPr>
      <w:hyperlink w:anchor="_Toc32497886" w:history="1">
        <w:r w:rsidRPr="00C0592C">
          <w:rPr>
            <w:rStyle w:val="Hyperlink"/>
          </w:rPr>
          <w:t>6.4</w:t>
        </w:r>
        <w:r>
          <w:rPr>
            <w:rFonts w:asciiTheme="minorHAnsi" w:eastAsiaTheme="minorEastAsia" w:hAnsiTheme="minorHAnsi" w:cstheme="minorBidi"/>
            <w:b w:val="0"/>
            <w:i w:val="0"/>
            <w:sz w:val="22"/>
            <w:szCs w:val="22"/>
          </w:rPr>
          <w:tab/>
        </w:r>
        <w:r w:rsidRPr="00C0592C">
          <w:rPr>
            <w:rStyle w:val="Hyperlink"/>
          </w:rPr>
          <w:t>Young parents</w:t>
        </w:r>
        <w:r>
          <w:rPr>
            <w:webHidden/>
          </w:rPr>
          <w:tab/>
        </w:r>
        <w:r>
          <w:rPr>
            <w:webHidden/>
          </w:rPr>
          <w:fldChar w:fldCharType="begin"/>
        </w:r>
        <w:r>
          <w:rPr>
            <w:webHidden/>
          </w:rPr>
          <w:instrText xml:space="preserve"> PAGEREF _Toc32497886 \h </w:instrText>
        </w:r>
        <w:r>
          <w:rPr>
            <w:webHidden/>
          </w:rPr>
        </w:r>
        <w:r>
          <w:rPr>
            <w:webHidden/>
          </w:rPr>
          <w:fldChar w:fldCharType="separate"/>
        </w:r>
        <w:r w:rsidR="00F6263B">
          <w:rPr>
            <w:webHidden/>
          </w:rPr>
          <w:t>17</w:t>
        </w:r>
        <w:r>
          <w:rPr>
            <w:webHidden/>
          </w:rPr>
          <w:fldChar w:fldCharType="end"/>
        </w:r>
      </w:hyperlink>
    </w:p>
    <w:p w14:paraId="7761CABD" w14:textId="5BEA5FD3" w:rsidR="00104B4F" w:rsidRDefault="00104B4F">
      <w:pPr>
        <w:pStyle w:val="TOC2"/>
        <w:rPr>
          <w:rFonts w:asciiTheme="minorHAnsi" w:eastAsiaTheme="minorEastAsia" w:hAnsiTheme="minorHAnsi" w:cstheme="minorBidi"/>
          <w:b w:val="0"/>
          <w:i w:val="0"/>
          <w:sz w:val="22"/>
          <w:szCs w:val="22"/>
        </w:rPr>
      </w:pPr>
      <w:hyperlink w:anchor="_Toc32497887" w:history="1">
        <w:r w:rsidRPr="00C0592C">
          <w:rPr>
            <w:rStyle w:val="Hyperlink"/>
          </w:rPr>
          <w:t>6.5</w:t>
        </w:r>
        <w:r>
          <w:rPr>
            <w:rFonts w:asciiTheme="minorHAnsi" w:eastAsiaTheme="minorEastAsia" w:hAnsiTheme="minorHAnsi" w:cstheme="minorBidi"/>
            <w:b w:val="0"/>
            <w:i w:val="0"/>
            <w:sz w:val="22"/>
            <w:szCs w:val="22"/>
          </w:rPr>
          <w:tab/>
        </w:r>
        <w:r w:rsidRPr="00C0592C">
          <w:rPr>
            <w:rStyle w:val="Hyperlink"/>
          </w:rPr>
          <w:t>Children affected by natural disasters</w:t>
        </w:r>
        <w:r>
          <w:rPr>
            <w:webHidden/>
          </w:rPr>
          <w:tab/>
        </w:r>
        <w:r>
          <w:rPr>
            <w:webHidden/>
          </w:rPr>
          <w:fldChar w:fldCharType="begin"/>
        </w:r>
        <w:r>
          <w:rPr>
            <w:webHidden/>
          </w:rPr>
          <w:instrText xml:space="preserve"> PAGEREF _Toc32497887 \h </w:instrText>
        </w:r>
        <w:r>
          <w:rPr>
            <w:webHidden/>
          </w:rPr>
        </w:r>
        <w:r>
          <w:rPr>
            <w:webHidden/>
          </w:rPr>
          <w:fldChar w:fldCharType="separate"/>
        </w:r>
        <w:r w:rsidR="00F6263B">
          <w:rPr>
            <w:webHidden/>
          </w:rPr>
          <w:t>20</w:t>
        </w:r>
        <w:r>
          <w:rPr>
            <w:webHidden/>
          </w:rPr>
          <w:fldChar w:fldCharType="end"/>
        </w:r>
      </w:hyperlink>
    </w:p>
    <w:p w14:paraId="7DABACEB" w14:textId="28F3FA4D" w:rsidR="00104B4F" w:rsidRDefault="00104B4F">
      <w:pPr>
        <w:pStyle w:val="TOC1"/>
        <w:rPr>
          <w:rFonts w:asciiTheme="minorHAnsi" w:eastAsiaTheme="minorEastAsia" w:hAnsiTheme="minorHAnsi" w:cstheme="minorBidi"/>
          <w:b w:val="0"/>
          <w:sz w:val="22"/>
          <w:szCs w:val="22"/>
        </w:rPr>
      </w:pPr>
      <w:hyperlink w:anchor="_Toc32497888" w:history="1">
        <w:r w:rsidRPr="00C0592C">
          <w:rPr>
            <w:rStyle w:val="Hyperlink"/>
          </w:rPr>
          <w:t>7</w:t>
        </w:r>
        <w:r>
          <w:rPr>
            <w:rFonts w:asciiTheme="minorHAnsi" w:eastAsiaTheme="minorEastAsia" w:hAnsiTheme="minorHAnsi" w:cstheme="minorBidi"/>
            <w:b w:val="0"/>
            <w:sz w:val="22"/>
            <w:szCs w:val="22"/>
          </w:rPr>
          <w:tab/>
        </w:r>
        <w:r w:rsidRPr="00C0592C">
          <w:rPr>
            <w:rStyle w:val="Hyperlink"/>
          </w:rPr>
          <w:t>Wiyi Yani U Thangani (Women’s Voices) Project</w:t>
        </w:r>
        <w:r>
          <w:rPr>
            <w:webHidden/>
          </w:rPr>
          <w:tab/>
        </w:r>
        <w:r>
          <w:rPr>
            <w:webHidden/>
          </w:rPr>
          <w:fldChar w:fldCharType="begin"/>
        </w:r>
        <w:r>
          <w:rPr>
            <w:webHidden/>
          </w:rPr>
          <w:instrText xml:space="preserve"> PAGEREF _Toc32497888 \h </w:instrText>
        </w:r>
        <w:r>
          <w:rPr>
            <w:webHidden/>
          </w:rPr>
        </w:r>
        <w:r>
          <w:rPr>
            <w:webHidden/>
          </w:rPr>
          <w:fldChar w:fldCharType="separate"/>
        </w:r>
        <w:r w:rsidR="00F6263B">
          <w:rPr>
            <w:webHidden/>
          </w:rPr>
          <w:t>22</w:t>
        </w:r>
        <w:r>
          <w:rPr>
            <w:webHidden/>
          </w:rPr>
          <w:fldChar w:fldCharType="end"/>
        </w:r>
      </w:hyperlink>
    </w:p>
    <w:p w14:paraId="3E15A1BE" w14:textId="5A6051D6" w:rsidR="00104B4F" w:rsidRDefault="00104B4F">
      <w:pPr>
        <w:pStyle w:val="TOC2"/>
        <w:rPr>
          <w:rFonts w:asciiTheme="minorHAnsi" w:eastAsiaTheme="minorEastAsia" w:hAnsiTheme="minorHAnsi" w:cstheme="minorBidi"/>
          <w:b w:val="0"/>
          <w:i w:val="0"/>
          <w:sz w:val="22"/>
          <w:szCs w:val="22"/>
        </w:rPr>
      </w:pPr>
      <w:hyperlink w:anchor="_Toc32497889" w:history="1">
        <w:r w:rsidRPr="00C0592C">
          <w:rPr>
            <w:rStyle w:val="Hyperlink"/>
          </w:rPr>
          <w:t>7.1</w:t>
        </w:r>
        <w:r>
          <w:rPr>
            <w:rFonts w:asciiTheme="minorHAnsi" w:eastAsiaTheme="minorEastAsia" w:hAnsiTheme="minorHAnsi" w:cstheme="minorBidi"/>
            <w:b w:val="0"/>
            <w:i w:val="0"/>
            <w:sz w:val="22"/>
            <w:szCs w:val="22"/>
          </w:rPr>
          <w:tab/>
        </w:r>
        <w:r w:rsidRPr="00C0592C">
          <w:rPr>
            <w:rStyle w:val="Hyperlink"/>
          </w:rPr>
          <w:t>The role of culture and country</w:t>
        </w:r>
        <w:r>
          <w:rPr>
            <w:webHidden/>
          </w:rPr>
          <w:tab/>
        </w:r>
        <w:r>
          <w:rPr>
            <w:webHidden/>
          </w:rPr>
          <w:fldChar w:fldCharType="begin"/>
        </w:r>
        <w:r>
          <w:rPr>
            <w:webHidden/>
          </w:rPr>
          <w:instrText xml:space="preserve"> PAGEREF _Toc32497889 \h </w:instrText>
        </w:r>
        <w:r>
          <w:rPr>
            <w:webHidden/>
          </w:rPr>
        </w:r>
        <w:r>
          <w:rPr>
            <w:webHidden/>
          </w:rPr>
          <w:fldChar w:fldCharType="separate"/>
        </w:r>
        <w:r w:rsidR="00F6263B">
          <w:rPr>
            <w:webHidden/>
          </w:rPr>
          <w:t>23</w:t>
        </w:r>
        <w:r>
          <w:rPr>
            <w:webHidden/>
          </w:rPr>
          <w:fldChar w:fldCharType="end"/>
        </w:r>
      </w:hyperlink>
    </w:p>
    <w:p w14:paraId="5EEABEED" w14:textId="24E5C7C3" w:rsidR="00104B4F" w:rsidRDefault="00104B4F">
      <w:pPr>
        <w:pStyle w:val="TOC2"/>
        <w:rPr>
          <w:rFonts w:asciiTheme="minorHAnsi" w:eastAsiaTheme="minorEastAsia" w:hAnsiTheme="minorHAnsi" w:cstheme="minorBidi"/>
          <w:b w:val="0"/>
          <w:i w:val="0"/>
          <w:sz w:val="22"/>
          <w:szCs w:val="22"/>
        </w:rPr>
      </w:pPr>
      <w:hyperlink w:anchor="_Toc32497890" w:history="1">
        <w:r w:rsidRPr="00C0592C">
          <w:rPr>
            <w:rStyle w:val="Hyperlink"/>
          </w:rPr>
          <w:t>7.2</w:t>
        </w:r>
        <w:r>
          <w:rPr>
            <w:rFonts w:asciiTheme="minorHAnsi" w:eastAsiaTheme="minorEastAsia" w:hAnsiTheme="minorHAnsi" w:cstheme="minorBidi"/>
            <w:b w:val="0"/>
            <w:i w:val="0"/>
            <w:sz w:val="22"/>
            <w:szCs w:val="22"/>
          </w:rPr>
          <w:tab/>
        </w:r>
        <w:r w:rsidRPr="00C0592C">
          <w:rPr>
            <w:rStyle w:val="Hyperlink"/>
          </w:rPr>
          <w:t>Barriers to the education journey</w:t>
        </w:r>
        <w:r>
          <w:rPr>
            <w:webHidden/>
          </w:rPr>
          <w:tab/>
        </w:r>
        <w:r>
          <w:rPr>
            <w:webHidden/>
          </w:rPr>
          <w:fldChar w:fldCharType="begin"/>
        </w:r>
        <w:r>
          <w:rPr>
            <w:webHidden/>
          </w:rPr>
          <w:instrText xml:space="preserve"> PAGEREF _Toc32497890 \h </w:instrText>
        </w:r>
        <w:r>
          <w:rPr>
            <w:webHidden/>
          </w:rPr>
        </w:r>
        <w:r>
          <w:rPr>
            <w:webHidden/>
          </w:rPr>
          <w:fldChar w:fldCharType="separate"/>
        </w:r>
        <w:r w:rsidR="00F6263B">
          <w:rPr>
            <w:webHidden/>
          </w:rPr>
          <w:t>25</w:t>
        </w:r>
        <w:r>
          <w:rPr>
            <w:webHidden/>
          </w:rPr>
          <w:fldChar w:fldCharType="end"/>
        </w:r>
      </w:hyperlink>
    </w:p>
    <w:p w14:paraId="6EAB802F" w14:textId="492E3EE6" w:rsidR="00104B4F" w:rsidRDefault="00104B4F">
      <w:pPr>
        <w:pStyle w:val="TOC3"/>
        <w:rPr>
          <w:rFonts w:asciiTheme="minorHAnsi" w:eastAsiaTheme="minorEastAsia" w:hAnsiTheme="minorHAnsi" w:cstheme="minorBidi"/>
          <w:i w:val="0"/>
          <w:sz w:val="22"/>
          <w:szCs w:val="22"/>
        </w:rPr>
      </w:pPr>
      <w:hyperlink w:anchor="_Toc32497891" w:history="1">
        <w:r w:rsidRPr="00C0592C">
          <w:rPr>
            <w:rStyle w:val="Hyperlink"/>
          </w:rPr>
          <w:t>(a)</w:t>
        </w:r>
        <w:r>
          <w:rPr>
            <w:rFonts w:asciiTheme="minorHAnsi" w:eastAsiaTheme="minorEastAsia" w:hAnsiTheme="minorHAnsi" w:cstheme="minorBidi"/>
            <w:i w:val="0"/>
            <w:sz w:val="22"/>
            <w:szCs w:val="22"/>
          </w:rPr>
          <w:tab/>
        </w:r>
        <w:r w:rsidRPr="00C0592C">
          <w:rPr>
            <w:rStyle w:val="Hyperlink"/>
          </w:rPr>
          <w:t>Failure to recognise and value Aboriginal and Torres Strait Islander cultures, languages and histories</w:t>
        </w:r>
        <w:r>
          <w:rPr>
            <w:webHidden/>
          </w:rPr>
          <w:tab/>
        </w:r>
        <w:r>
          <w:rPr>
            <w:webHidden/>
          </w:rPr>
          <w:fldChar w:fldCharType="begin"/>
        </w:r>
        <w:r>
          <w:rPr>
            <w:webHidden/>
          </w:rPr>
          <w:instrText xml:space="preserve"> PAGEREF _Toc32497891 \h </w:instrText>
        </w:r>
        <w:r>
          <w:rPr>
            <w:webHidden/>
          </w:rPr>
        </w:r>
        <w:r>
          <w:rPr>
            <w:webHidden/>
          </w:rPr>
          <w:fldChar w:fldCharType="separate"/>
        </w:r>
        <w:r w:rsidR="00F6263B">
          <w:rPr>
            <w:webHidden/>
          </w:rPr>
          <w:t>25</w:t>
        </w:r>
        <w:r>
          <w:rPr>
            <w:webHidden/>
          </w:rPr>
          <w:fldChar w:fldCharType="end"/>
        </w:r>
      </w:hyperlink>
    </w:p>
    <w:p w14:paraId="44616F1B" w14:textId="5AAF4326" w:rsidR="00104B4F" w:rsidRDefault="00104B4F">
      <w:pPr>
        <w:pStyle w:val="TOC3"/>
        <w:rPr>
          <w:rFonts w:asciiTheme="minorHAnsi" w:eastAsiaTheme="minorEastAsia" w:hAnsiTheme="minorHAnsi" w:cstheme="minorBidi"/>
          <w:i w:val="0"/>
          <w:sz w:val="22"/>
          <w:szCs w:val="22"/>
        </w:rPr>
      </w:pPr>
      <w:hyperlink w:anchor="_Toc32497892" w:history="1">
        <w:r w:rsidRPr="00C0592C">
          <w:rPr>
            <w:rStyle w:val="Hyperlink"/>
          </w:rPr>
          <w:t>(b)</w:t>
        </w:r>
        <w:r>
          <w:rPr>
            <w:rFonts w:asciiTheme="minorHAnsi" w:eastAsiaTheme="minorEastAsia" w:hAnsiTheme="minorHAnsi" w:cstheme="minorBidi"/>
            <w:i w:val="0"/>
            <w:sz w:val="22"/>
            <w:szCs w:val="22"/>
          </w:rPr>
          <w:tab/>
        </w:r>
        <w:r w:rsidRPr="00C0592C">
          <w:rPr>
            <w:rStyle w:val="Hyperlink"/>
          </w:rPr>
          <w:t>Racism and discrimination</w:t>
        </w:r>
        <w:r>
          <w:rPr>
            <w:webHidden/>
          </w:rPr>
          <w:tab/>
        </w:r>
        <w:r>
          <w:rPr>
            <w:webHidden/>
          </w:rPr>
          <w:fldChar w:fldCharType="begin"/>
        </w:r>
        <w:r>
          <w:rPr>
            <w:webHidden/>
          </w:rPr>
          <w:instrText xml:space="preserve"> PAGEREF _Toc32497892 \h </w:instrText>
        </w:r>
        <w:r>
          <w:rPr>
            <w:webHidden/>
          </w:rPr>
        </w:r>
        <w:r>
          <w:rPr>
            <w:webHidden/>
          </w:rPr>
          <w:fldChar w:fldCharType="separate"/>
        </w:r>
        <w:r w:rsidR="00F6263B">
          <w:rPr>
            <w:webHidden/>
          </w:rPr>
          <w:t>27</w:t>
        </w:r>
        <w:r>
          <w:rPr>
            <w:webHidden/>
          </w:rPr>
          <w:fldChar w:fldCharType="end"/>
        </w:r>
      </w:hyperlink>
    </w:p>
    <w:p w14:paraId="68F0252A" w14:textId="4906698D" w:rsidR="00104B4F" w:rsidRDefault="00104B4F">
      <w:pPr>
        <w:pStyle w:val="TOC3"/>
        <w:rPr>
          <w:rFonts w:asciiTheme="minorHAnsi" w:eastAsiaTheme="minorEastAsia" w:hAnsiTheme="minorHAnsi" w:cstheme="minorBidi"/>
          <w:i w:val="0"/>
          <w:sz w:val="22"/>
          <w:szCs w:val="22"/>
        </w:rPr>
      </w:pPr>
      <w:hyperlink w:anchor="_Toc32497893" w:history="1">
        <w:r w:rsidRPr="00C0592C">
          <w:rPr>
            <w:rStyle w:val="Hyperlink"/>
          </w:rPr>
          <w:t>(c)</w:t>
        </w:r>
        <w:r>
          <w:rPr>
            <w:rFonts w:asciiTheme="minorHAnsi" w:eastAsiaTheme="minorEastAsia" w:hAnsiTheme="minorHAnsi" w:cstheme="minorBidi"/>
            <w:i w:val="0"/>
            <w:sz w:val="22"/>
            <w:szCs w:val="22"/>
          </w:rPr>
          <w:tab/>
        </w:r>
        <w:r w:rsidRPr="00C0592C">
          <w:rPr>
            <w:rStyle w:val="Hyperlink"/>
          </w:rPr>
          <w:t>Accessibility and quality of education</w:t>
        </w:r>
        <w:r>
          <w:rPr>
            <w:webHidden/>
          </w:rPr>
          <w:tab/>
        </w:r>
        <w:r>
          <w:rPr>
            <w:webHidden/>
          </w:rPr>
          <w:fldChar w:fldCharType="begin"/>
        </w:r>
        <w:r>
          <w:rPr>
            <w:webHidden/>
          </w:rPr>
          <w:instrText xml:space="preserve"> PAGEREF _Toc32497893 \h </w:instrText>
        </w:r>
        <w:r>
          <w:rPr>
            <w:webHidden/>
          </w:rPr>
        </w:r>
        <w:r>
          <w:rPr>
            <w:webHidden/>
          </w:rPr>
          <w:fldChar w:fldCharType="separate"/>
        </w:r>
        <w:r w:rsidR="00F6263B">
          <w:rPr>
            <w:webHidden/>
          </w:rPr>
          <w:t>27</w:t>
        </w:r>
        <w:r>
          <w:rPr>
            <w:webHidden/>
          </w:rPr>
          <w:fldChar w:fldCharType="end"/>
        </w:r>
      </w:hyperlink>
    </w:p>
    <w:p w14:paraId="5FCEAB9A" w14:textId="685C8CD2" w:rsidR="00104B4F" w:rsidRDefault="00104B4F">
      <w:pPr>
        <w:pStyle w:val="TOC3"/>
        <w:rPr>
          <w:rFonts w:asciiTheme="minorHAnsi" w:eastAsiaTheme="minorEastAsia" w:hAnsiTheme="minorHAnsi" w:cstheme="minorBidi"/>
          <w:i w:val="0"/>
          <w:sz w:val="22"/>
          <w:szCs w:val="22"/>
        </w:rPr>
      </w:pPr>
      <w:hyperlink w:anchor="_Toc32497894" w:history="1">
        <w:r w:rsidRPr="00C0592C">
          <w:rPr>
            <w:rStyle w:val="Hyperlink"/>
          </w:rPr>
          <w:t>(d)</w:t>
        </w:r>
        <w:r>
          <w:rPr>
            <w:rFonts w:asciiTheme="minorHAnsi" w:eastAsiaTheme="minorEastAsia" w:hAnsiTheme="minorHAnsi" w:cstheme="minorBidi"/>
            <w:i w:val="0"/>
            <w:sz w:val="22"/>
            <w:szCs w:val="22"/>
          </w:rPr>
          <w:tab/>
        </w:r>
        <w:r w:rsidRPr="00C0592C">
          <w:rPr>
            <w:rStyle w:val="Hyperlink"/>
          </w:rPr>
          <w:t>Environmental distress</w:t>
        </w:r>
        <w:r>
          <w:rPr>
            <w:webHidden/>
          </w:rPr>
          <w:tab/>
        </w:r>
        <w:r>
          <w:rPr>
            <w:webHidden/>
          </w:rPr>
          <w:fldChar w:fldCharType="begin"/>
        </w:r>
        <w:r>
          <w:rPr>
            <w:webHidden/>
          </w:rPr>
          <w:instrText xml:space="preserve"> PAGEREF _Toc32497894 \h </w:instrText>
        </w:r>
        <w:r>
          <w:rPr>
            <w:webHidden/>
          </w:rPr>
        </w:r>
        <w:r>
          <w:rPr>
            <w:webHidden/>
          </w:rPr>
          <w:fldChar w:fldCharType="separate"/>
        </w:r>
        <w:r w:rsidR="00F6263B">
          <w:rPr>
            <w:webHidden/>
          </w:rPr>
          <w:t>29</w:t>
        </w:r>
        <w:r>
          <w:rPr>
            <w:webHidden/>
          </w:rPr>
          <w:fldChar w:fldCharType="end"/>
        </w:r>
      </w:hyperlink>
    </w:p>
    <w:p w14:paraId="169A09A4" w14:textId="4A76AA75" w:rsidR="00104B4F" w:rsidRDefault="00104B4F">
      <w:pPr>
        <w:pStyle w:val="TOC3"/>
        <w:rPr>
          <w:rFonts w:asciiTheme="minorHAnsi" w:eastAsiaTheme="minorEastAsia" w:hAnsiTheme="minorHAnsi" w:cstheme="minorBidi"/>
          <w:i w:val="0"/>
          <w:sz w:val="22"/>
          <w:szCs w:val="22"/>
        </w:rPr>
      </w:pPr>
      <w:hyperlink w:anchor="_Toc32497895" w:history="1">
        <w:r w:rsidRPr="00C0592C">
          <w:rPr>
            <w:rStyle w:val="Hyperlink"/>
          </w:rPr>
          <w:t>(e)</w:t>
        </w:r>
        <w:r>
          <w:rPr>
            <w:rFonts w:asciiTheme="minorHAnsi" w:eastAsiaTheme="minorEastAsia" w:hAnsiTheme="minorHAnsi" w:cstheme="minorBidi"/>
            <w:i w:val="0"/>
            <w:sz w:val="22"/>
            <w:szCs w:val="22"/>
          </w:rPr>
          <w:tab/>
        </w:r>
        <w:r w:rsidRPr="00C0592C">
          <w:rPr>
            <w:rStyle w:val="Hyperlink"/>
          </w:rPr>
          <w:t>Social, cultural and economic determinants</w:t>
        </w:r>
        <w:r>
          <w:rPr>
            <w:webHidden/>
          </w:rPr>
          <w:tab/>
        </w:r>
        <w:r>
          <w:rPr>
            <w:webHidden/>
          </w:rPr>
          <w:fldChar w:fldCharType="begin"/>
        </w:r>
        <w:r>
          <w:rPr>
            <w:webHidden/>
          </w:rPr>
          <w:instrText xml:space="preserve"> PAGEREF _Toc32497895 \h </w:instrText>
        </w:r>
        <w:r>
          <w:rPr>
            <w:webHidden/>
          </w:rPr>
        </w:r>
        <w:r>
          <w:rPr>
            <w:webHidden/>
          </w:rPr>
          <w:fldChar w:fldCharType="separate"/>
        </w:r>
        <w:r w:rsidR="00F6263B">
          <w:rPr>
            <w:webHidden/>
          </w:rPr>
          <w:t>29</w:t>
        </w:r>
        <w:r>
          <w:rPr>
            <w:webHidden/>
          </w:rPr>
          <w:fldChar w:fldCharType="end"/>
        </w:r>
      </w:hyperlink>
    </w:p>
    <w:p w14:paraId="2E709220" w14:textId="5F184441" w:rsidR="00104B4F" w:rsidRDefault="00104B4F">
      <w:pPr>
        <w:pStyle w:val="TOC2"/>
        <w:rPr>
          <w:rFonts w:asciiTheme="minorHAnsi" w:eastAsiaTheme="minorEastAsia" w:hAnsiTheme="minorHAnsi" w:cstheme="minorBidi"/>
          <w:b w:val="0"/>
          <w:i w:val="0"/>
          <w:sz w:val="22"/>
          <w:szCs w:val="22"/>
        </w:rPr>
      </w:pPr>
      <w:hyperlink w:anchor="_Toc32497896" w:history="1">
        <w:r w:rsidRPr="00C0592C">
          <w:rPr>
            <w:rStyle w:val="Hyperlink"/>
          </w:rPr>
          <w:t>7.3</w:t>
        </w:r>
        <w:r>
          <w:rPr>
            <w:rFonts w:asciiTheme="minorHAnsi" w:eastAsiaTheme="minorEastAsia" w:hAnsiTheme="minorHAnsi" w:cstheme="minorBidi"/>
            <w:b w:val="0"/>
            <w:i w:val="0"/>
            <w:sz w:val="22"/>
            <w:szCs w:val="22"/>
          </w:rPr>
          <w:tab/>
        </w:r>
        <w:r w:rsidRPr="00C0592C">
          <w:rPr>
            <w:rStyle w:val="Hyperlink"/>
          </w:rPr>
          <w:t>Innovative approaches</w:t>
        </w:r>
        <w:r>
          <w:rPr>
            <w:webHidden/>
          </w:rPr>
          <w:tab/>
        </w:r>
        <w:r>
          <w:rPr>
            <w:webHidden/>
          </w:rPr>
          <w:fldChar w:fldCharType="begin"/>
        </w:r>
        <w:r>
          <w:rPr>
            <w:webHidden/>
          </w:rPr>
          <w:instrText xml:space="preserve"> PAGEREF _Toc32497896 \h </w:instrText>
        </w:r>
        <w:r>
          <w:rPr>
            <w:webHidden/>
          </w:rPr>
        </w:r>
        <w:r>
          <w:rPr>
            <w:webHidden/>
          </w:rPr>
          <w:fldChar w:fldCharType="separate"/>
        </w:r>
        <w:r w:rsidR="00F6263B">
          <w:rPr>
            <w:webHidden/>
          </w:rPr>
          <w:t>30</w:t>
        </w:r>
        <w:r>
          <w:rPr>
            <w:webHidden/>
          </w:rPr>
          <w:fldChar w:fldCharType="end"/>
        </w:r>
      </w:hyperlink>
    </w:p>
    <w:p w14:paraId="2FA29C49" w14:textId="1DB94A69" w:rsidR="00104B4F" w:rsidRDefault="00104B4F">
      <w:pPr>
        <w:pStyle w:val="TOC3"/>
        <w:rPr>
          <w:rFonts w:asciiTheme="minorHAnsi" w:eastAsiaTheme="minorEastAsia" w:hAnsiTheme="minorHAnsi" w:cstheme="minorBidi"/>
          <w:i w:val="0"/>
          <w:sz w:val="22"/>
          <w:szCs w:val="22"/>
        </w:rPr>
      </w:pPr>
      <w:hyperlink w:anchor="_Toc32497897" w:history="1">
        <w:r w:rsidRPr="00C0592C">
          <w:rPr>
            <w:rStyle w:val="Hyperlink"/>
          </w:rPr>
          <w:t>(a)</w:t>
        </w:r>
        <w:r>
          <w:rPr>
            <w:rFonts w:asciiTheme="minorHAnsi" w:eastAsiaTheme="minorEastAsia" w:hAnsiTheme="minorHAnsi" w:cstheme="minorBidi"/>
            <w:i w:val="0"/>
            <w:sz w:val="22"/>
            <w:szCs w:val="22"/>
          </w:rPr>
          <w:tab/>
        </w:r>
        <w:r w:rsidRPr="00C0592C">
          <w:rPr>
            <w:rStyle w:val="Hyperlink"/>
          </w:rPr>
          <w:t>Workforce development</w:t>
        </w:r>
        <w:r>
          <w:rPr>
            <w:webHidden/>
          </w:rPr>
          <w:tab/>
        </w:r>
        <w:r>
          <w:rPr>
            <w:webHidden/>
          </w:rPr>
          <w:fldChar w:fldCharType="begin"/>
        </w:r>
        <w:r>
          <w:rPr>
            <w:webHidden/>
          </w:rPr>
          <w:instrText xml:space="preserve"> PAGEREF _Toc32497897 \h </w:instrText>
        </w:r>
        <w:r>
          <w:rPr>
            <w:webHidden/>
          </w:rPr>
        </w:r>
        <w:r>
          <w:rPr>
            <w:webHidden/>
          </w:rPr>
          <w:fldChar w:fldCharType="separate"/>
        </w:r>
        <w:r w:rsidR="00F6263B">
          <w:rPr>
            <w:webHidden/>
          </w:rPr>
          <w:t>31</w:t>
        </w:r>
        <w:r>
          <w:rPr>
            <w:webHidden/>
          </w:rPr>
          <w:fldChar w:fldCharType="end"/>
        </w:r>
      </w:hyperlink>
    </w:p>
    <w:p w14:paraId="0C525B03" w14:textId="0518B20D" w:rsidR="00104B4F" w:rsidRDefault="00104B4F">
      <w:pPr>
        <w:pStyle w:val="TOC3"/>
        <w:rPr>
          <w:rFonts w:asciiTheme="minorHAnsi" w:eastAsiaTheme="minorEastAsia" w:hAnsiTheme="minorHAnsi" w:cstheme="minorBidi"/>
          <w:i w:val="0"/>
          <w:sz w:val="22"/>
          <w:szCs w:val="22"/>
        </w:rPr>
      </w:pPr>
      <w:hyperlink w:anchor="_Toc32497898" w:history="1">
        <w:r w:rsidRPr="00C0592C">
          <w:rPr>
            <w:rStyle w:val="Hyperlink"/>
          </w:rPr>
          <w:t>(b)</w:t>
        </w:r>
        <w:r>
          <w:rPr>
            <w:rFonts w:asciiTheme="minorHAnsi" w:eastAsiaTheme="minorEastAsia" w:hAnsiTheme="minorHAnsi" w:cstheme="minorBidi"/>
            <w:i w:val="0"/>
            <w:sz w:val="22"/>
            <w:szCs w:val="22"/>
          </w:rPr>
          <w:tab/>
        </w:r>
        <w:r w:rsidRPr="00C0592C">
          <w:rPr>
            <w:rStyle w:val="Hyperlink"/>
          </w:rPr>
          <w:t>Locally relevant training and certification opportunities</w:t>
        </w:r>
        <w:r>
          <w:rPr>
            <w:webHidden/>
          </w:rPr>
          <w:tab/>
        </w:r>
        <w:r>
          <w:rPr>
            <w:webHidden/>
          </w:rPr>
          <w:fldChar w:fldCharType="begin"/>
        </w:r>
        <w:r>
          <w:rPr>
            <w:webHidden/>
          </w:rPr>
          <w:instrText xml:space="preserve"> PAGEREF _Toc32497898 \h </w:instrText>
        </w:r>
        <w:r>
          <w:rPr>
            <w:webHidden/>
          </w:rPr>
        </w:r>
        <w:r>
          <w:rPr>
            <w:webHidden/>
          </w:rPr>
          <w:fldChar w:fldCharType="separate"/>
        </w:r>
        <w:r w:rsidR="00F6263B">
          <w:rPr>
            <w:webHidden/>
          </w:rPr>
          <w:t>33</w:t>
        </w:r>
        <w:r>
          <w:rPr>
            <w:webHidden/>
          </w:rPr>
          <w:fldChar w:fldCharType="end"/>
        </w:r>
      </w:hyperlink>
    </w:p>
    <w:p w14:paraId="4E7A484C" w14:textId="23ECFC51" w:rsidR="00104B4F" w:rsidRDefault="00104B4F">
      <w:pPr>
        <w:pStyle w:val="TOC3"/>
        <w:rPr>
          <w:rFonts w:asciiTheme="minorHAnsi" w:eastAsiaTheme="minorEastAsia" w:hAnsiTheme="minorHAnsi" w:cstheme="minorBidi"/>
          <w:i w:val="0"/>
          <w:sz w:val="22"/>
          <w:szCs w:val="22"/>
        </w:rPr>
      </w:pPr>
      <w:hyperlink w:anchor="_Toc32497899" w:history="1">
        <w:r w:rsidRPr="00C0592C">
          <w:rPr>
            <w:rStyle w:val="Hyperlink"/>
          </w:rPr>
          <w:t>(c)</w:t>
        </w:r>
        <w:r>
          <w:rPr>
            <w:rFonts w:asciiTheme="minorHAnsi" w:eastAsiaTheme="minorEastAsia" w:hAnsiTheme="minorHAnsi" w:cstheme="minorBidi"/>
            <w:i w:val="0"/>
            <w:sz w:val="22"/>
            <w:szCs w:val="22"/>
          </w:rPr>
          <w:tab/>
        </w:r>
        <w:r w:rsidRPr="00C0592C">
          <w:rPr>
            <w:rStyle w:val="Hyperlink"/>
          </w:rPr>
          <w:t>Adult literacy skillsets</w:t>
        </w:r>
        <w:r>
          <w:rPr>
            <w:webHidden/>
          </w:rPr>
          <w:tab/>
        </w:r>
        <w:r>
          <w:rPr>
            <w:webHidden/>
          </w:rPr>
          <w:fldChar w:fldCharType="begin"/>
        </w:r>
        <w:r>
          <w:rPr>
            <w:webHidden/>
          </w:rPr>
          <w:instrText xml:space="preserve"> PAGEREF _Toc32497899 \h </w:instrText>
        </w:r>
        <w:r>
          <w:rPr>
            <w:webHidden/>
          </w:rPr>
        </w:r>
        <w:r>
          <w:rPr>
            <w:webHidden/>
          </w:rPr>
          <w:fldChar w:fldCharType="separate"/>
        </w:r>
        <w:r w:rsidR="00F6263B">
          <w:rPr>
            <w:webHidden/>
          </w:rPr>
          <w:t>34</w:t>
        </w:r>
        <w:r>
          <w:rPr>
            <w:webHidden/>
          </w:rPr>
          <w:fldChar w:fldCharType="end"/>
        </w:r>
      </w:hyperlink>
    </w:p>
    <w:p w14:paraId="44346D04" w14:textId="542511EC" w:rsidR="00104B4F" w:rsidRDefault="00104B4F">
      <w:pPr>
        <w:pStyle w:val="TOC3"/>
        <w:rPr>
          <w:rFonts w:asciiTheme="minorHAnsi" w:eastAsiaTheme="minorEastAsia" w:hAnsiTheme="minorHAnsi" w:cstheme="minorBidi"/>
          <w:i w:val="0"/>
          <w:sz w:val="22"/>
          <w:szCs w:val="22"/>
        </w:rPr>
      </w:pPr>
      <w:hyperlink w:anchor="_Toc32497900" w:history="1">
        <w:r w:rsidRPr="00C0592C">
          <w:rPr>
            <w:rStyle w:val="Hyperlink"/>
          </w:rPr>
          <w:t>(d)</w:t>
        </w:r>
        <w:r>
          <w:rPr>
            <w:rFonts w:asciiTheme="minorHAnsi" w:eastAsiaTheme="minorEastAsia" w:hAnsiTheme="minorHAnsi" w:cstheme="minorBidi"/>
            <w:i w:val="0"/>
            <w:sz w:val="22"/>
            <w:szCs w:val="22"/>
          </w:rPr>
          <w:tab/>
        </w:r>
        <w:r w:rsidRPr="00C0592C">
          <w:rPr>
            <w:rStyle w:val="Hyperlink"/>
          </w:rPr>
          <w:t>Flexible application of the Australian Curriculum</w:t>
        </w:r>
        <w:r>
          <w:rPr>
            <w:webHidden/>
          </w:rPr>
          <w:tab/>
        </w:r>
        <w:r>
          <w:rPr>
            <w:webHidden/>
          </w:rPr>
          <w:fldChar w:fldCharType="begin"/>
        </w:r>
        <w:r>
          <w:rPr>
            <w:webHidden/>
          </w:rPr>
          <w:instrText xml:space="preserve"> PAGEREF _Toc32497900 \h </w:instrText>
        </w:r>
        <w:r>
          <w:rPr>
            <w:webHidden/>
          </w:rPr>
        </w:r>
        <w:r>
          <w:rPr>
            <w:webHidden/>
          </w:rPr>
          <w:fldChar w:fldCharType="separate"/>
        </w:r>
        <w:r w:rsidR="00F6263B">
          <w:rPr>
            <w:webHidden/>
          </w:rPr>
          <w:t>35</w:t>
        </w:r>
        <w:r>
          <w:rPr>
            <w:webHidden/>
          </w:rPr>
          <w:fldChar w:fldCharType="end"/>
        </w:r>
      </w:hyperlink>
    </w:p>
    <w:p w14:paraId="0C441AB9" w14:textId="2A471164" w:rsidR="00C86324" w:rsidRDefault="000E4837">
      <w:pPr>
        <w:spacing w:before="0" w:after="0"/>
        <w:rPr>
          <w:b/>
          <w:noProof/>
        </w:rPr>
      </w:pPr>
      <w:r>
        <w:rPr>
          <w:b/>
          <w:noProof/>
        </w:rPr>
        <w:fldChar w:fldCharType="end"/>
      </w:r>
      <w:r w:rsidR="00C86324">
        <w:br w:type="page"/>
      </w:r>
    </w:p>
    <w:p w14:paraId="2BC1E846" w14:textId="423B278D" w:rsidR="00510390" w:rsidRDefault="009F2764" w:rsidP="00A27ABE">
      <w:pPr>
        <w:pStyle w:val="Heading1"/>
      </w:pPr>
      <w:bookmarkStart w:id="2" w:name="_Toc207761830"/>
      <w:bookmarkStart w:id="3" w:name="_Toc209578266"/>
      <w:bookmarkStart w:id="4" w:name="_Toc209941766"/>
      <w:bookmarkStart w:id="5" w:name="_Toc525894098"/>
      <w:bookmarkStart w:id="6" w:name="_Toc32497874"/>
      <w:r w:rsidRPr="009E08D1">
        <w:lastRenderedPageBreak/>
        <w:t>Introduction</w:t>
      </w:r>
      <w:bookmarkEnd w:id="2"/>
      <w:bookmarkEnd w:id="3"/>
      <w:bookmarkEnd w:id="4"/>
      <w:bookmarkEnd w:id="5"/>
      <w:bookmarkEnd w:id="6"/>
    </w:p>
    <w:p w14:paraId="60CDE27A" w14:textId="09EB18B6" w:rsidR="000055BD" w:rsidRDefault="000055BD" w:rsidP="00E24119">
      <w:r>
        <w:t xml:space="preserve">The Australian Human Rights Commission (the Commission) welcomes the opportunity to make this submission to the House Standing Committee on Employment, Education and Training inquiry into Education in Remote and Complex Environments. </w:t>
      </w:r>
    </w:p>
    <w:p w14:paraId="6849D8C8" w14:textId="6CA9061D" w:rsidR="004509E9" w:rsidRDefault="000C4296" w:rsidP="000055BD">
      <w:r>
        <w:t>T</w:t>
      </w:r>
      <w:r w:rsidR="000055BD">
        <w:t xml:space="preserve">he Commission </w:t>
      </w:r>
      <w:r w:rsidR="004509E9">
        <w:t xml:space="preserve">has </w:t>
      </w:r>
      <w:r>
        <w:t xml:space="preserve">for many years </w:t>
      </w:r>
      <w:r w:rsidR="004509E9">
        <w:t xml:space="preserve">highlighted concerns </w:t>
      </w:r>
      <w:r w:rsidR="000055BD">
        <w:t xml:space="preserve">that geographical </w:t>
      </w:r>
      <w:r w:rsidR="000055BD" w:rsidRPr="002F29F0">
        <w:t xml:space="preserve">location can impact </w:t>
      </w:r>
      <w:r w:rsidR="00096081">
        <w:t xml:space="preserve">negatively </w:t>
      </w:r>
      <w:r w:rsidR="000055BD" w:rsidRPr="002F29F0">
        <w:t>on the ability of people to have their rights realised</w:t>
      </w:r>
      <w:r w:rsidR="004509E9">
        <w:t>, including the right to education.</w:t>
      </w:r>
      <w:r w:rsidR="008F0B2F" w:rsidRPr="002F29F0">
        <w:rPr>
          <w:rStyle w:val="EndnoteReference"/>
        </w:rPr>
        <w:endnoteReference w:id="2"/>
      </w:r>
      <w:r w:rsidR="000055BD" w:rsidRPr="002F29F0">
        <w:t xml:space="preserve"> </w:t>
      </w:r>
      <w:r w:rsidR="004509E9">
        <w:t>For example:</w:t>
      </w:r>
    </w:p>
    <w:p w14:paraId="36DF8D16" w14:textId="16DB2CCE" w:rsidR="004509E9" w:rsidRDefault="007F0BF0" w:rsidP="00CA74FE">
      <w:pPr>
        <w:pStyle w:val="ListParagraph"/>
        <w:numPr>
          <w:ilvl w:val="0"/>
          <w:numId w:val="22"/>
        </w:numPr>
      </w:pPr>
      <w:r>
        <w:t>In 1999</w:t>
      </w:r>
      <w:r w:rsidR="000E7877">
        <w:t>–2002</w:t>
      </w:r>
      <w:r>
        <w:t xml:space="preserve"> the Commission (formerly the Human Rights and Equal Opportunity Commission) conducted the National Inquiry into Rural and Remote Education. The inquiry revealed both disparity in educational outcomes between city and country children, and significant concern about access to education of an appropriate standard and quality in rural and remote areas across Australia.</w:t>
      </w:r>
      <w:r w:rsidR="000E7877">
        <w:rPr>
          <w:rStyle w:val="EndnoteReference"/>
        </w:rPr>
        <w:endnoteReference w:id="3"/>
      </w:r>
    </w:p>
    <w:p w14:paraId="297FFF0B" w14:textId="6802CE72" w:rsidR="004509E9" w:rsidRDefault="007F0BF0" w:rsidP="00CA74FE">
      <w:pPr>
        <w:pStyle w:val="ListParagraph"/>
        <w:numPr>
          <w:ilvl w:val="0"/>
          <w:numId w:val="22"/>
        </w:numPr>
      </w:pPr>
      <w:r>
        <w:t xml:space="preserve">In </w:t>
      </w:r>
      <w:r w:rsidRPr="002F29F0">
        <w:t xml:space="preserve">2018, the Commission made a submission to the Senate Economic References Committee inquiry into </w:t>
      </w:r>
      <w:r>
        <w:t>t</w:t>
      </w:r>
      <w:r w:rsidRPr="002F29F0">
        <w:t>he indicators of, and impact of, regional inequality in Australia</w:t>
      </w:r>
      <w:r w:rsidR="000E7877">
        <w:t xml:space="preserve">. The Commission </w:t>
      </w:r>
      <w:r w:rsidRPr="002F29F0">
        <w:t xml:space="preserve">recommended that the Committee apply a human rights framework to its analysis of regional inequality, and highlighted barriers to human rights for </w:t>
      </w:r>
      <w:r>
        <w:t xml:space="preserve">vulnerable population groups </w:t>
      </w:r>
      <w:r w:rsidRPr="002F29F0">
        <w:t>who live in rural, regional and remote Australia.</w:t>
      </w:r>
      <w:r w:rsidRPr="002F29F0">
        <w:rPr>
          <w:rStyle w:val="EndnoteReference"/>
        </w:rPr>
        <w:endnoteReference w:id="4"/>
      </w:r>
      <w:r>
        <w:t xml:space="preserve"> </w:t>
      </w:r>
    </w:p>
    <w:p w14:paraId="6A16340B" w14:textId="4EB5F914" w:rsidR="004509E9" w:rsidRPr="001A54D9" w:rsidRDefault="0054111A" w:rsidP="00CA74FE">
      <w:pPr>
        <w:pStyle w:val="ListParagraph"/>
        <w:numPr>
          <w:ilvl w:val="0"/>
          <w:numId w:val="22"/>
        </w:numPr>
      </w:pPr>
      <w:r>
        <w:t xml:space="preserve">The National Children’s Commissioner reports </w:t>
      </w:r>
      <w:r w:rsidR="007F0BF0">
        <w:t xml:space="preserve">since 2013 </w:t>
      </w:r>
      <w:r>
        <w:t xml:space="preserve">have highlighted concerns about rural and remote disadvantage in relation to specific </w:t>
      </w:r>
      <w:r w:rsidRPr="001A54D9">
        <w:t>children’s rights</w:t>
      </w:r>
      <w:r w:rsidR="007F0BF0" w:rsidRPr="001A54D9">
        <w:t>, including the most recent Children’s Rights Report 2019.</w:t>
      </w:r>
      <w:r w:rsidR="000E7877" w:rsidRPr="001A54D9">
        <w:rPr>
          <w:rStyle w:val="EndnoteReference"/>
        </w:rPr>
        <w:endnoteReference w:id="5"/>
      </w:r>
      <w:r w:rsidR="007F0BF0" w:rsidRPr="001A54D9">
        <w:t xml:space="preserve"> </w:t>
      </w:r>
    </w:p>
    <w:p w14:paraId="6EA07CE1" w14:textId="379A19C6" w:rsidR="000A42FB" w:rsidRDefault="00A47E3F" w:rsidP="00A47E3F">
      <w:r w:rsidRPr="001A54D9">
        <w:t xml:space="preserve">Most recently, </w:t>
      </w:r>
      <w:proofErr w:type="spellStart"/>
      <w:r w:rsidR="007F0BF0" w:rsidRPr="001A54D9">
        <w:t>Wiyi</w:t>
      </w:r>
      <w:proofErr w:type="spellEnd"/>
      <w:r w:rsidR="007F0BF0" w:rsidRPr="001A54D9">
        <w:t xml:space="preserve"> </w:t>
      </w:r>
      <w:proofErr w:type="spellStart"/>
      <w:r w:rsidR="007F0BF0" w:rsidRPr="001A54D9">
        <w:t>Yani</w:t>
      </w:r>
      <w:proofErr w:type="spellEnd"/>
      <w:r w:rsidR="007F0BF0" w:rsidRPr="001A54D9">
        <w:t xml:space="preserve"> U </w:t>
      </w:r>
      <w:proofErr w:type="spellStart"/>
      <w:r w:rsidR="007F0BF0" w:rsidRPr="001A54D9">
        <w:t>Thangani</w:t>
      </w:r>
      <w:proofErr w:type="spellEnd"/>
      <w:r w:rsidR="007F0BF0" w:rsidRPr="001A54D9">
        <w:t xml:space="preserve"> (Women’s Voices)</w:t>
      </w:r>
      <w:r w:rsidR="004509E9" w:rsidRPr="001A54D9">
        <w:t>,</w:t>
      </w:r>
      <w:r w:rsidR="0051740C" w:rsidRPr="001A54D9">
        <w:rPr>
          <w:rStyle w:val="EndnoteReference"/>
        </w:rPr>
        <w:endnoteReference w:id="6"/>
      </w:r>
      <w:r w:rsidR="004509E9" w:rsidRPr="001A54D9">
        <w:t xml:space="preserve"> a major project conducted by the Aboriginal and Torres Strait Islander Social Justice Commissioner, includes </w:t>
      </w:r>
      <w:r w:rsidR="007F0BF0" w:rsidRPr="001A54D9">
        <w:t xml:space="preserve">some of the key concerns </w:t>
      </w:r>
      <w:r w:rsidR="0051740C" w:rsidRPr="001A54D9">
        <w:t>raised by</w:t>
      </w:r>
      <w:r w:rsidR="007F0BF0" w:rsidRPr="001A54D9">
        <w:t xml:space="preserve"> Aboriginal and Torres Strait Islander women and girls in remote communities about their right to education.</w:t>
      </w:r>
      <w:r w:rsidR="004509E9" w:rsidRPr="001A54D9">
        <w:t xml:space="preserve"> </w:t>
      </w:r>
      <w:r w:rsidR="00480B23" w:rsidRPr="7F4DAE59">
        <w:rPr>
          <w:rFonts w:eastAsia="Open Sans" w:cs="Open Sans"/>
        </w:rPr>
        <w:t xml:space="preserve">The Project will culminate in a report to be finalised in 2020. </w:t>
      </w:r>
    </w:p>
    <w:p w14:paraId="3D7BE965" w14:textId="23E69091" w:rsidR="009E6DE8" w:rsidRPr="00711ED4" w:rsidRDefault="00C92287" w:rsidP="00F95AD7">
      <w:r>
        <w:t>T</w:t>
      </w:r>
      <w:r w:rsidR="00E24119">
        <w:t xml:space="preserve">his submission </w:t>
      </w:r>
      <w:r w:rsidR="002018D1">
        <w:t xml:space="preserve">focuses </w:t>
      </w:r>
      <w:r w:rsidR="00E24119">
        <w:t xml:space="preserve">on </w:t>
      </w:r>
      <w:r w:rsidR="00DF2F0D">
        <w:t xml:space="preserve">human rights concerns related to education </w:t>
      </w:r>
      <w:r w:rsidR="00C711D7">
        <w:t xml:space="preserve">which have arisen </w:t>
      </w:r>
      <w:r w:rsidR="00E24119">
        <w:t xml:space="preserve">in </w:t>
      </w:r>
      <w:r w:rsidR="004509E9">
        <w:t xml:space="preserve">this </w:t>
      </w:r>
      <w:r w:rsidR="00E24119" w:rsidRPr="00711ED4">
        <w:t>Commission work</w:t>
      </w:r>
      <w:r w:rsidR="00F95AD7">
        <w:t>.</w:t>
      </w:r>
    </w:p>
    <w:p w14:paraId="48F8A0B1" w14:textId="18F27AA7" w:rsidR="009F2764" w:rsidRDefault="00D72E28" w:rsidP="00BB6812">
      <w:pPr>
        <w:pStyle w:val="Heading1"/>
      </w:pPr>
      <w:bookmarkStart w:id="7" w:name="_Toc32497875"/>
      <w:r>
        <w:lastRenderedPageBreak/>
        <w:t>Recommendations</w:t>
      </w:r>
      <w:bookmarkEnd w:id="7"/>
    </w:p>
    <w:p w14:paraId="2D492940" w14:textId="77777777" w:rsidR="0043123E" w:rsidRPr="00770356" w:rsidRDefault="0043123E" w:rsidP="0043123E">
      <w:pPr>
        <w:rPr>
          <w:b/>
          <w:bCs/>
        </w:rPr>
      </w:pPr>
      <w:r w:rsidRPr="003D754B">
        <w:rPr>
          <w:b/>
          <w:bCs/>
        </w:rPr>
        <w:t xml:space="preserve">Recommendation </w:t>
      </w:r>
      <w:r w:rsidRPr="007955A9">
        <w:rPr>
          <w:b/>
          <w:bCs/>
        </w:rPr>
        <w:t>1</w:t>
      </w:r>
      <w:r>
        <w:rPr>
          <w:b/>
          <w:bCs/>
        </w:rPr>
        <w:t xml:space="preserve">: </w:t>
      </w:r>
      <w:r>
        <w:t>T</w:t>
      </w:r>
      <w:r w:rsidRPr="00EB55A5">
        <w:t xml:space="preserve">he Committee analyse the extent to which Australian Governments are meeting their obligations to respect and ensure the right to education in remote areas, including </w:t>
      </w:r>
      <w:r>
        <w:t xml:space="preserve">whether </w:t>
      </w:r>
      <w:r w:rsidRPr="00EB55A5">
        <w:t>education</w:t>
      </w:r>
      <w:r>
        <w:t xml:space="preserve"> is</w:t>
      </w:r>
      <w:r w:rsidRPr="00EB55A5">
        <w:t>:</w:t>
      </w:r>
    </w:p>
    <w:p w14:paraId="6AC04334" w14:textId="77777777" w:rsidR="0043123E" w:rsidRPr="00EB55A5" w:rsidRDefault="0043123E" w:rsidP="0043123E">
      <w:pPr>
        <w:pStyle w:val="ListParagraph"/>
        <w:numPr>
          <w:ilvl w:val="0"/>
          <w:numId w:val="58"/>
        </w:numPr>
      </w:pPr>
      <w:r w:rsidRPr="00EB55A5">
        <w:t>available</w:t>
      </w:r>
    </w:p>
    <w:p w14:paraId="6CDF229D" w14:textId="77777777" w:rsidR="0043123E" w:rsidRPr="00EB55A5" w:rsidRDefault="0043123E" w:rsidP="0043123E">
      <w:pPr>
        <w:pStyle w:val="ListParagraph"/>
        <w:numPr>
          <w:ilvl w:val="0"/>
          <w:numId w:val="58"/>
        </w:numPr>
      </w:pPr>
      <w:r w:rsidRPr="00EB55A5">
        <w:t>accessible</w:t>
      </w:r>
    </w:p>
    <w:p w14:paraId="473FE37C" w14:textId="77777777" w:rsidR="0043123E" w:rsidRPr="00EB55A5" w:rsidRDefault="0043123E" w:rsidP="0043123E">
      <w:pPr>
        <w:pStyle w:val="ListParagraph"/>
        <w:numPr>
          <w:ilvl w:val="0"/>
          <w:numId w:val="58"/>
        </w:numPr>
      </w:pPr>
      <w:r w:rsidRPr="00EB55A5">
        <w:t>affordable</w:t>
      </w:r>
    </w:p>
    <w:p w14:paraId="7906EF06" w14:textId="77777777" w:rsidR="0043123E" w:rsidRDefault="0043123E" w:rsidP="0043123E">
      <w:pPr>
        <w:pStyle w:val="ListParagraph"/>
        <w:numPr>
          <w:ilvl w:val="0"/>
          <w:numId w:val="58"/>
        </w:numPr>
      </w:pPr>
      <w:r w:rsidRPr="00EB55A5">
        <w:t>acceptable</w:t>
      </w:r>
    </w:p>
    <w:p w14:paraId="1A0CB75D" w14:textId="77777777" w:rsidR="0043123E" w:rsidRDefault="0043123E" w:rsidP="0043123E">
      <w:pPr>
        <w:pStyle w:val="ListParagraph"/>
        <w:numPr>
          <w:ilvl w:val="0"/>
          <w:numId w:val="58"/>
        </w:numPr>
      </w:pPr>
      <w:r w:rsidRPr="00EB55A5">
        <w:t>adaptable.</w:t>
      </w:r>
    </w:p>
    <w:p w14:paraId="74E319C3" w14:textId="77777777" w:rsidR="0043123E" w:rsidRDefault="0043123E" w:rsidP="0043123E">
      <w:pPr>
        <w:tabs>
          <w:tab w:val="num" w:pos="7383"/>
        </w:tabs>
        <w:rPr>
          <w:bCs/>
          <w:lang w:val="en-US"/>
        </w:rPr>
      </w:pPr>
      <w:r w:rsidRPr="00947568">
        <w:rPr>
          <w:b/>
          <w:lang w:val="en-US"/>
        </w:rPr>
        <w:t>Recommendation</w:t>
      </w:r>
      <w:r>
        <w:rPr>
          <w:b/>
          <w:lang w:val="en-US"/>
        </w:rPr>
        <w:t xml:space="preserve"> </w:t>
      </w:r>
      <w:r w:rsidRPr="00980E01">
        <w:rPr>
          <w:b/>
          <w:lang w:val="en-US"/>
        </w:rPr>
        <w:t>2</w:t>
      </w:r>
      <w:r>
        <w:rPr>
          <w:b/>
          <w:lang w:val="en-US"/>
        </w:rPr>
        <w:t>:</w:t>
      </w:r>
      <w:r w:rsidRPr="00EB55A5">
        <w:rPr>
          <w:bCs/>
          <w:lang w:val="en-US"/>
        </w:rPr>
        <w:t xml:space="preserve"> Australian Governments adopt targeted, additional measures to remediate the inequality experienced by children living in remote Australia.</w:t>
      </w:r>
    </w:p>
    <w:p w14:paraId="476049C5" w14:textId="602B7EC8" w:rsidR="0043123E" w:rsidRPr="00EB55A5" w:rsidRDefault="0043123E" w:rsidP="0043123E">
      <w:pPr>
        <w:rPr>
          <w:rFonts w:cs="Open Sans"/>
        </w:rPr>
      </w:pPr>
      <w:r w:rsidRPr="00947568">
        <w:rPr>
          <w:rFonts w:cs="Open Sans"/>
          <w:b/>
          <w:bCs/>
        </w:rPr>
        <w:t>Recommendation</w:t>
      </w:r>
      <w:r>
        <w:rPr>
          <w:rFonts w:cs="Open Sans"/>
          <w:b/>
          <w:bCs/>
        </w:rPr>
        <w:t xml:space="preserve"> </w:t>
      </w:r>
      <w:r w:rsidRPr="00980E01">
        <w:rPr>
          <w:rFonts w:cs="Open Sans"/>
          <w:b/>
          <w:bCs/>
        </w:rPr>
        <w:t>3</w:t>
      </w:r>
      <w:r>
        <w:rPr>
          <w:rFonts w:cs="Open Sans"/>
          <w:b/>
          <w:bCs/>
        </w:rPr>
        <w:t xml:space="preserve">: </w:t>
      </w:r>
      <w:r w:rsidRPr="00EB55A5">
        <w:rPr>
          <w:rFonts w:cs="Open Sans"/>
        </w:rPr>
        <w:t>As part of the</w:t>
      </w:r>
      <w:r>
        <w:rPr>
          <w:rFonts w:cs="Open Sans"/>
        </w:rPr>
        <w:t>ir</w:t>
      </w:r>
      <w:r w:rsidRPr="00EB55A5">
        <w:rPr>
          <w:rFonts w:cs="Open Sans"/>
        </w:rPr>
        <w:t xml:space="preserve"> commitment to universal access to early childhood education, Australian Governments:</w:t>
      </w:r>
    </w:p>
    <w:p w14:paraId="53FAF530" w14:textId="77777777" w:rsidR="0043123E" w:rsidRPr="00EB55A5" w:rsidRDefault="0043123E" w:rsidP="0043123E">
      <w:pPr>
        <w:pStyle w:val="ListParagraph"/>
        <w:numPr>
          <w:ilvl w:val="0"/>
          <w:numId w:val="34"/>
        </w:numPr>
      </w:pPr>
      <w:r w:rsidRPr="00EB55A5">
        <w:rPr>
          <w:rFonts w:cs="Open Sans"/>
        </w:rPr>
        <w:t xml:space="preserve">enhance access to </w:t>
      </w:r>
      <w:r w:rsidRPr="00EB55A5">
        <w:t>quality early childhood education and care services in remote areas</w:t>
      </w:r>
    </w:p>
    <w:p w14:paraId="5D9D1E7C" w14:textId="77777777" w:rsidR="0043123E" w:rsidRPr="00EB55A5" w:rsidRDefault="0043123E" w:rsidP="0043123E">
      <w:pPr>
        <w:pStyle w:val="ListParagraph"/>
        <w:numPr>
          <w:ilvl w:val="0"/>
          <w:numId w:val="34"/>
        </w:numPr>
      </w:pPr>
      <w:r w:rsidRPr="00EB55A5">
        <w:rPr>
          <w:rFonts w:cs="Open Sans"/>
          <w:color w:val="1E1E1E"/>
          <w:spacing w:val="4"/>
        </w:rPr>
        <w:t>prioritise community-controlled integrated early years services for Aboriginal and Torres Strait Islander children.</w:t>
      </w:r>
    </w:p>
    <w:p w14:paraId="6FA75209" w14:textId="77777777" w:rsidR="0043123E" w:rsidRPr="00EB55A5" w:rsidRDefault="0043123E" w:rsidP="0043123E">
      <w:r w:rsidRPr="00834C4D">
        <w:rPr>
          <w:b/>
          <w:bCs/>
        </w:rPr>
        <w:t>Recommendation</w:t>
      </w:r>
      <w:r>
        <w:rPr>
          <w:b/>
          <w:bCs/>
        </w:rPr>
        <w:t xml:space="preserve"> </w:t>
      </w:r>
      <w:r w:rsidRPr="00980E01">
        <w:rPr>
          <w:b/>
          <w:bCs/>
        </w:rPr>
        <w:t>4</w:t>
      </w:r>
      <w:r>
        <w:rPr>
          <w:b/>
          <w:bCs/>
        </w:rPr>
        <w:t xml:space="preserve">: </w:t>
      </w:r>
      <w:r w:rsidRPr="00EB55A5">
        <w:t>The Australian Government, through the Council of Australian Governments’ Education Council, work with states and territories to review their laws, policies and practices to ensure that:</w:t>
      </w:r>
    </w:p>
    <w:p w14:paraId="01031F0E" w14:textId="77777777" w:rsidR="0043123E" w:rsidRPr="00EB55A5" w:rsidRDefault="0043123E" w:rsidP="0043123E">
      <w:pPr>
        <w:pStyle w:val="ListParagraph"/>
        <w:numPr>
          <w:ilvl w:val="0"/>
          <w:numId w:val="26"/>
        </w:numPr>
      </w:pPr>
      <w:r w:rsidRPr="00EB55A5">
        <w:t>access to education for all children is guaranteed</w:t>
      </w:r>
    </w:p>
    <w:p w14:paraId="6FCB1242" w14:textId="77777777" w:rsidR="0043123E" w:rsidRPr="00EB55A5" w:rsidRDefault="0043123E" w:rsidP="0043123E">
      <w:pPr>
        <w:pStyle w:val="ListParagraph"/>
        <w:numPr>
          <w:ilvl w:val="0"/>
          <w:numId w:val="26"/>
        </w:numPr>
      </w:pPr>
      <w:r w:rsidRPr="00EB55A5">
        <w:t>educational authorities and educational institutions – both public and private – are required to make all necessary adjustments and provide all necessary support to facilitate and ensure access to education for children and young people who are pregnant or are parents</w:t>
      </w:r>
    </w:p>
    <w:p w14:paraId="5C885454" w14:textId="77777777" w:rsidR="0043123E" w:rsidRDefault="0043123E" w:rsidP="0043123E">
      <w:pPr>
        <w:pStyle w:val="ListParagraph"/>
        <w:numPr>
          <w:ilvl w:val="0"/>
          <w:numId w:val="26"/>
        </w:numPr>
      </w:pPr>
      <w:r w:rsidRPr="00EB55A5">
        <w:t>regular publication of information on adjustments made to support children and young people who are pregnant or are parents is required</w:t>
      </w:r>
    </w:p>
    <w:p w14:paraId="75180489" w14:textId="77777777" w:rsidR="0043123E" w:rsidRPr="00713FC2" w:rsidRDefault="0043123E" w:rsidP="0043123E">
      <w:pPr>
        <w:pStyle w:val="ListParagraph"/>
        <w:numPr>
          <w:ilvl w:val="0"/>
          <w:numId w:val="26"/>
        </w:numPr>
      </w:pPr>
      <w:r w:rsidRPr="00EB55A5">
        <w:t>suspension, expulsion or denial of education of a child or young person on the ground of their being pregnant or a parent is prohibited.</w:t>
      </w:r>
    </w:p>
    <w:p w14:paraId="3572FCCC" w14:textId="73AA7208" w:rsidR="0043123E" w:rsidRPr="00EB55A5" w:rsidRDefault="0043123E" w:rsidP="00B14F8D">
      <w:pPr>
        <w:pStyle w:val="ListNumber"/>
        <w:numPr>
          <w:ilvl w:val="0"/>
          <w:numId w:val="0"/>
        </w:numPr>
      </w:pPr>
      <w:r w:rsidRPr="00EB55A5">
        <w:rPr>
          <w:b/>
          <w:bCs/>
        </w:rPr>
        <w:lastRenderedPageBreak/>
        <w:t>Recommendation 5:</w:t>
      </w:r>
      <w:r>
        <w:rPr>
          <w:b/>
          <w:bCs/>
        </w:rPr>
        <w:t xml:space="preserve"> </w:t>
      </w:r>
      <w:r w:rsidRPr="00EB55A5">
        <w:t xml:space="preserve">Australian Governments ensure that children’s views </w:t>
      </w:r>
      <w:r w:rsidR="00E14242">
        <w:t xml:space="preserve">and experiences </w:t>
      </w:r>
      <w:r w:rsidRPr="00EB55A5">
        <w:t>are taken into account in developing policies and programs addressing disaster risk management.</w:t>
      </w:r>
    </w:p>
    <w:p w14:paraId="1758EFDC" w14:textId="77777777" w:rsidR="0043123E" w:rsidRPr="00EB55A5" w:rsidRDefault="0043123E" w:rsidP="0043123E">
      <w:pPr>
        <w:rPr>
          <w:rFonts w:cs="Open Sans"/>
          <w:b/>
          <w:bCs/>
        </w:rPr>
      </w:pPr>
      <w:r w:rsidRPr="00834C4D">
        <w:rPr>
          <w:rFonts w:cs="Open Sans"/>
          <w:b/>
          <w:bCs/>
        </w:rPr>
        <w:t>Recommendation</w:t>
      </w:r>
      <w:r>
        <w:rPr>
          <w:rFonts w:cs="Open Sans"/>
          <w:b/>
          <w:bCs/>
        </w:rPr>
        <w:t xml:space="preserve"> </w:t>
      </w:r>
      <w:r w:rsidRPr="00980E01">
        <w:rPr>
          <w:rFonts w:cs="Open Sans"/>
          <w:b/>
          <w:bCs/>
        </w:rPr>
        <w:t>6</w:t>
      </w:r>
      <w:r>
        <w:rPr>
          <w:rFonts w:cs="Open Sans"/>
          <w:b/>
          <w:bCs/>
        </w:rPr>
        <w:t xml:space="preserve">: </w:t>
      </w:r>
      <w:r w:rsidRPr="00C711C3">
        <w:rPr>
          <w:rFonts w:cs="Open Sans"/>
        </w:rPr>
        <w:t>Australian Governments invest in the teaching and maintenance of Indigenous language</w:t>
      </w:r>
      <w:r>
        <w:rPr>
          <w:rFonts w:cs="Open Sans"/>
        </w:rPr>
        <w:t>s</w:t>
      </w:r>
      <w:r w:rsidRPr="00C711C3">
        <w:rPr>
          <w:rFonts w:cs="Open Sans"/>
        </w:rPr>
        <w:t xml:space="preserve"> in </w:t>
      </w:r>
      <w:r>
        <w:rPr>
          <w:rFonts w:cs="Open Sans"/>
        </w:rPr>
        <w:t xml:space="preserve">Australian </w:t>
      </w:r>
      <w:r w:rsidRPr="00C711C3">
        <w:rPr>
          <w:rFonts w:cs="Open Sans"/>
        </w:rPr>
        <w:t>schools</w:t>
      </w:r>
      <w:r>
        <w:rPr>
          <w:rFonts w:cs="Open Sans"/>
        </w:rPr>
        <w:t xml:space="preserve"> and provide access to bi-lingual education in remote Aboriginal and Torres Strait Islander communities.</w:t>
      </w:r>
    </w:p>
    <w:p w14:paraId="49F684EB" w14:textId="77777777" w:rsidR="0043123E" w:rsidRPr="00EB55A5" w:rsidRDefault="0043123E" w:rsidP="0043123E">
      <w:pPr>
        <w:rPr>
          <w:rFonts w:cs="Open Sans"/>
          <w:b/>
          <w:bCs/>
        </w:rPr>
      </w:pPr>
      <w:r w:rsidRPr="00834C4D">
        <w:rPr>
          <w:rFonts w:cs="Open Sans"/>
          <w:b/>
          <w:bCs/>
        </w:rPr>
        <w:t>Recommendation</w:t>
      </w:r>
      <w:r>
        <w:rPr>
          <w:rFonts w:cs="Open Sans"/>
          <w:b/>
          <w:bCs/>
        </w:rPr>
        <w:t xml:space="preserve"> </w:t>
      </w:r>
      <w:r w:rsidRPr="00980E01">
        <w:rPr>
          <w:rFonts w:cs="Open Sans"/>
          <w:b/>
          <w:bCs/>
        </w:rPr>
        <w:t>7</w:t>
      </w:r>
      <w:r>
        <w:rPr>
          <w:rFonts w:cs="Open Sans"/>
          <w:b/>
          <w:bCs/>
        </w:rPr>
        <w:t xml:space="preserve">: </w:t>
      </w:r>
      <w:r>
        <w:rPr>
          <w:rFonts w:eastAsia="Open Sans" w:cs="Open Sans"/>
        </w:rPr>
        <w:t>State and territory</w:t>
      </w:r>
      <w:r w:rsidRPr="00C711C3">
        <w:rPr>
          <w:rFonts w:eastAsia="Open Sans" w:cs="Open Sans"/>
        </w:rPr>
        <w:t xml:space="preserve"> education system</w:t>
      </w:r>
      <w:r>
        <w:rPr>
          <w:rFonts w:eastAsia="Open Sans" w:cs="Open Sans"/>
        </w:rPr>
        <w:t>s</w:t>
      </w:r>
      <w:r w:rsidRPr="00C711C3">
        <w:rPr>
          <w:rFonts w:eastAsia="Open Sans" w:cs="Open Sans"/>
        </w:rPr>
        <w:t xml:space="preserve"> promote a two-way learning process for Aboriginal and Torres Strait Islander students that adequately recognises and values Aboriginal and Torres Strait Islander cultures and histories.</w:t>
      </w:r>
    </w:p>
    <w:p w14:paraId="1155F57A" w14:textId="77777777" w:rsidR="0043123E" w:rsidRDefault="0043123E" w:rsidP="0043123E">
      <w:r w:rsidRPr="00834C4D">
        <w:rPr>
          <w:rFonts w:cs="Open Sans"/>
          <w:b/>
          <w:bCs/>
        </w:rPr>
        <w:t>Recommendation</w:t>
      </w:r>
      <w:r>
        <w:rPr>
          <w:rFonts w:cs="Open Sans"/>
          <w:b/>
          <w:bCs/>
        </w:rPr>
        <w:t xml:space="preserve"> </w:t>
      </w:r>
      <w:r w:rsidRPr="00980E01">
        <w:rPr>
          <w:rFonts w:cs="Open Sans"/>
          <w:b/>
          <w:bCs/>
        </w:rPr>
        <w:t>8</w:t>
      </w:r>
      <w:r>
        <w:rPr>
          <w:rFonts w:cs="Open Sans"/>
          <w:b/>
          <w:bCs/>
        </w:rPr>
        <w:t xml:space="preserve">: </w:t>
      </w:r>
      <w:r w:rsidRPr="00C711C3">
        <w:t>Remote schools prioritise local engagement with Aboriginal and Torres Strait Islander communities.</w:t>
      </w:r>
    </w:p>
    <w:p w14:paraId="29B71573" w14:textId="6299C449" w:rsidR="0043123E" w:rsidRDefault="0043123E" w:rsidP="0043123E">
      <w:r w:rsidRPr="00834C4D">
        <w:rPr>
          <w:b/>
          <w:bCs/>
        </w:rPr>
        <w:t>Recommendation</w:t>
      </w:r>
      <w:r>
        <w:rPr>
          <w:b/>
          <w:bCs/>
        </w:rPr>
        <w:t xml:space="preserve"> </w:t>
      </w:r>
      <w:r w:rsidRPr="00980E01">
        <w:rPr>
          <w:b/>
          <w:bCs/>
        </w:rPr>
        <w:t>9</w:t>
      </w:r>
      <w:r>
        <w:rPr>
          <w:b/>
          <w:bCs/>
        </w:rPr>
        <w:t xml:space="preserve">: </w:t>
      </w:r>
      <w:r w:rsidRPr="00980E01">
        <w:t>Australian Government</w:t>
      </w:r>
      <w:r>
        <w:t>s</w:t>
      </w:r>
      <w:r w:rsidRPr="00980E01">
        <w:t xml:space="preserve"> resource quality educational options in remote areas that allow students to </w:t>
      </w:r>
      <w:r>
        <w:t>learn</w:t>
      </w:r>
      <w:r w:rsidRPr="00980E01">
        <w:t xml:space="preserve"> on</w:t>
      </w:r>
      <w:r w:rsidR="009516CC">
        <w:t>-</w:t>
      </w:r>
      <w:r w:rsidRPr="00980E01">
        <w:t>country.</w:t>
      </w:r>
    </w:p>
    <w:p w14:paraId="6FBEA53B" w14:textId="68F6E41B" w:rsidR="0043123E" w:rsidRDefault="0043123E" w:rsidP="0043123E">
      <w:r w:rsidRPr="00834C4D">
        <w:rPr>
          <w:b/>
          <w:bCs/>
        </w:rPr>
        <w:t>Recommendation</w:t>
      </w:r>
      <w:r>
        <w:rPr>
          <w:b/>
          <w:bCs/>
        </w:rPr>
        <w:t xml:space="preserve"> </w:t>
      </w:r>
      <w:r w:rsidRPr="00980E01">
        <w:rPr>
          <w:b/>
          <w:bCs/>
        </w:rPr>
        <w:t>10</w:t>
      </w:r>
      <w:r>
        <w:rPr>
          <w:b/>
          <w:bCs/>
        </w:rPr>
        <w:t xml:space="preserve">: </w:t>
      </w:r>
      <w:r w:rsidR="007B41F0" w:rsidRPr="000C29C0">
        <w:t>Australian Governments</w:t>
      </w:r>
      <w:r w:rsidR="007B41F0" w:rsidRPr="007B41F0">
        <w:t xml:space="preserve"> prioritise and resource models of schooling that provide wrap around supports for students and families in order to promote students’ overall wellbeing. </w:t>
      </w:r>
    </w:p>
    <w:p w14:paraId="7FD5BB12" w14:textId="77777777" w:rsidR="0043123E" w:rsidRDefault="0043123E" w:rsidP="0043123E">
      <w:pPr>
        <w:rPr>
          <w:shd w:val="clear" w:color="auto" w:fill="F2F2F2" w:themeFill="background1" w:themeFillShade="F2"/>
        </w:rPr>
      </w:pPr>
      <w:r w:rsidRPr="00834C4D">
        <w:rPr>
          <w:b/>
          <w:bCs/>
        </w:rPr>
        <w:t>Recommendation</w:t>
      </w:r>
      <w:r>
        <w:rPr>
          <w:b/>
          <w:bCs/>
        </w:rPr>
        <w:t xml:space="preserve"> </w:t>
      </w:r>
      <w:r w:rsidRPr="00980E01">
        <w:rPr>
          <w:b/>
          <w:bCs/>
        </w:rPr>
        <w:t>11</w:t>
      </w:r>
      <w:r>
        <w:rPr>
          <w:b/>
          <w:bCs/>
        </w:rPr>
        <w:t xml:space="preserve">: </w:t>
      </w:r>
      <w:r w:rsidRPr="00C77D38">
        <w:t>Australian Governments work with Aboriginal and Torres Strait Islander communities to design and implement strategies to increase the Aboriginal and Torres Strait Islander education workforce in remote areas.</w:t>
      </w:r>
    </w:p>
    <w:p w14:paraId="45769E72" w14:textId="77777777" w:rsidR="0043123E" w:rsidRDefault="0043123E" w:rsidP="0043123E">
      <w:r w:rsidRPr="00834C4D">
        <w:rPr>
          <w:b/>
          <w:bCs/>
        </w:rPr>
        <w:t>Recommendation</w:t>
      </w:r>
      <w:r>
        <w:rPr>
          <w:b/>
          <w:bCs/>
        </w:rPr>
        <w:t xml:space="preserve"> </w:t>
      </w:r>
      <w:r w:rsidRPr="00980E01">
        <w:rPr>
          <w:b/>
          <w:bCs/>
        </w:rPr>
        <w:t>12</w:t>
      </w:r>
      <w:r>
        <w:rPr>
          <w:b/>
          <w:bCs/>
        </w:rPr>
        <w:t xml:space="preserve">: </w:t>
      </w:r>
      <w:r w:rsidRPr="00C77D38">
        <w:t>Australian Governments promote locally available traineeships and training courses that are relevant to local industries and local employment prospects in remote areas.</w:t>
      </w:r>
    </w:p>
    <w:p w14:paraId="72A94D75" w14:textId="77777777" w:rsidR="0043123E" w:rsidRPr="005479AD" w:rsidRDefault="0043123E" w:rsidP="0043123E">
      <w:r w:rsidRPr="00C8594F">
        <w:rPr>
          <w:b/>
          <w:bCs/>
        </w:rPr>
        <w:t>Recommendation</w:t>
      </w:r>
      <w:r w:rsidRPr="00961B69">
        <w:rPr>
          <w:b/>
          <w:bCs/>
        </w:rPr>
        <w:t xml:space="preserve"> </w:t>
      </w:r>
      <w:r w:rsidRPr="00980E01">
        <w:rPr>
          <w:b/>
          <w:bCs/>
        </w:rPr>
        <w:t>13</w:t>
      </w:r>
      <w:r>
        <w:rPr>
          <w:b/>
          <w:bCs/>
        </w:rPr>
        <w:t xml:space="preserve">: </w:t>
      </w:r>
      <w:r w:rsidRPr="00980E01">
        <w:t>Australian Governments support schools to embed local culture, history and language into the school curriculum</w:t>
      </w:r>
      <w:r>
        <w:t>, including learning about the process of colonisation and its impact on Aboriginal and Torres Strait Islander peoples.</w:t>
      </w:r>
    </w:p>
    <w:p w14:paraId="57E82A2E" w14:textId="20984A30" w:rsidR="00DB6A58" w:rsidRDefault="00DB6A58" w:rsidP="00AC57E0">
      <w:pPr>
        <w:pStyle w:val="Heading1"/>
      </w:pPr>
      <w:bookmarkStart w:id="8" w:name="_Toc525894100"/>
      <w:bookmarkStart w:id="9" w:name="_Toc32497876"/>
      <w:r>
        <w:t>International human rights law</w:t>
      </w:r>
      <w:bookmarkEnd w:id="9"/>
    </w:p>
    <w:p w14:paraId="708BB045" w14:textId="496130B8" w:rsidR="00C4697C" w:rsidRDefault="00C4697C" w:rsidP="00C4697C">
      <w:pPr>
        <w:pStyle w:val="Heading2"/>
      </w:pPr>
      <w:bookmarkStart w:id="10" w:name="_Toc32497877"/>
      <w:r>
        <w:t>The right to education</w:t>
      </w:r>
      <w:bookmarkEnd w:id="10"/>
      <w:r>
        <w:t xml:space="preserve"> </w:t>
      </w:r>
    </w:p>
    <w:p w14:paraId="6A6EE37C" w14:textId="23D06299" w:rsidR="00E6572E" w:rsidRDefault="00E6572E" w:rsidP="00802D54">
      <w:r>
        <w:t xml:space="preserve">The </w:t>
      </w:r>
      <w:r w:rsidR="0027420A">
        <w:t xml:space="preserve">human </w:t>
      </w:r>
      <w:r>
        <w:t xml:space="preserve">right to education is set out in </w:t>
      </w:r>
      <w:r w:rsidR="00C4697C">
        <w:t xml:space="preserve">two key </w:t>
      </w:r>
      <w:r>
        <w:t>international human rights treaties:</w:t>
      </w:r>
    </w:p>
    <w:p w14:paraId="5E892F94" w14:textId="3CE8F5A8" w:rsidR="00E6572E" w:rsidRDefault="00E6572E" w:rsidP="00CA74FE">
      <w:pPr>
        <w:pStyle w:val="ListParagraph"/>
        <w:numPr>
          <w:ilvl w:val="0"/>
          <w:numId w:val="19"/>
        </w:numPr>
      </w:pPr>
      <w:r>
        <w:lastRenderedPageBreak/>
        <w:t xml:space="preserve">United Nations </w:t>
      </w:r>
      <w:r w:rsidRPr="00286BFA">
        <w:rPr>
          <w:i/>
          <w:iCs/>
        </w:rPr>
        <w:t>Convention on the Rights of the Child</w:t>
      </w:r>
      <w:r>
        <w:t xml:space="preserve"> (CRC)(1989), ratified by Australia in 1990</w:t>
      </w:r>
    </w:p>
    <w:p w14:paraId="2737F186" w14:textId="633C0A24" w:rsidR="003E76B8" w:rsidRDefault="003E76B8" w:rsidP="00CA74FE">
      <w:pPr>
        <w:pStyle w:val="ListParagraph"/>
        <w:numPr>
          <w:ilvl w:val="0"/>
          <w:numId w:val="19"/>
        </w:numPr>
      </w:pPr>
      <w:r w:rsidRPr="00E6572E">
        <w:rPr>
          <w:i/>
          <w:iCs/>
        </w:rPr>
        <w:t>International Covenant on Economic, Social and Cultural Rights</w:t>
      </w:r>
      <w:r w:rsidRPr="00286BFA">
        <w:t xml:space="preserve"> (ICESCR)</w:t>
      </w:r>
      <w:r>
        <w:t>(1966), ratified by Australia in 1975</w:t>
      </w:r>
      <w:r w:rsidR="0059027F">
        <w:t>.</w:t>
      </w:r>
    </w:p>
    <w:p w14:paraId="458F7B19" w14:textId="716D4859" w:rsidR="00FB4E03" w:rsidRPr="00694D92" w:rsidRDefault="005E7F68" w:rsidP="00694D92">
      <w:r w:rsidRPr="00694D92">
        <w:t>Article 28</w:t>
      </w:r>
      <w:r w:rsidR="00694D92" w:rsidRPr="00694D92">
        <w:t>.1</w:t>
      </w:r>
      <w:r w:rsidRPr="00694D92">
        <w:t xml:space="preserve"> </w:t>
      </w:r>
      <w:r w:rsidR="00694D92" w:rsidRPr="00694D92">
        <w:t xml:space="preserve">of the CRC requires Australia to </w:t>
      </w:r>
      <w:r w:rsidRPr="00694D92">
        <w:t>recogni</w:t>
      </w:r>
      <w:r w:rsidR="00694D92" w:rsidRPr="00694D92">
        <w:t>s</w:t>
      </w:r>
      <w:r w:rsidRPr="00694D92">
        <w:t>e the right of the child to education, with a view to achieving this right progressively and on the basis of equal opportunity</w:t>
      </w:r>
      <w:r w:rsidR="00694D92" w:rsidRPr="00694D92">
        <w:t>. In particular, Australia must</w:t>
      </w:r>
      <w:r w:rsidRPr="00694D92">
        <w:t xml:space="preserve">: </w:t>
      </w:r>
    </w:p>
    <w:p w14:paraId="555D7306" w14:textId="77777777" w:rsidR="00FB4E03" w:rsidRDefault="005E7F68" w:rsidP="005E7F68">
      <w:pPr>
        <w:ind w:left="720"/>
        <w:rPr>
          <w:sz w:val="22"/>
          <w:szCs w:val="22"/>
        </w:rPr>
      </w:pPr>
      <w:r w:rsidRPr="005E7F68">
        <w:rPr>
          <w:sz w:val="22"/>
          <w:szCs w:val="22"/>
        </w:rPr>
        <w:t>(a) Make primary education compulsory and available free to all</w:t>
      </w:r>
    </w:p>
    <w:p w14:paraId="6AE6F7E9" w14:textId="77777777" w:rsidR="00FB4E03" w:rsidRDefault="005E7F68" w:rsidP="005E7F68">
      <w:pPr>
        <w:ind w:left="720"/>
        <w:rPr>
          <w:sz w:val="22"/>
          <w:szCs w:val="22"/>
        </w:rPr>
      </w:pPr>
      <w:r w:rsidRPr="005E7F68">
        <w:rPr>
          <w:sz w:val="22"/>
          <w:szCs w:val="22"/>
        </w:rPr>
        <w:t>(b) Encourage the development of different forms of secondary education, including general and vocational education, make them available and accessible to every child, and take appropriate measures such as the introduction of free education and offering financial assistance in case of need</w:t>
      </w:r>
    </w:p>
    <w:p w14:paraId="2DA38CC2" w14:textId="77777777" w:rsidR="00FB4E03" w:rsidRDefault="005E7F68" w:rsidP="005E7F68">
      <w:pPr>
        <w:ind w:left="720"/>
        <w:rPr>
          <w:sz w:val="22"/>
          <w:szCs w:val="22"/>
        </w:rPr>
      </w:pPr>
      <w:r w:rsidRPr="005E7F68">
        <w:rPr>
          <w:sz w:val="22"/>
          <w:szCs w:val="22"/>
        </w:rPr>
        <w:t>(c) Make higher education accessible to all on the basis of capacity by every appropriate means</w:t>
      </w:r>
    </w:p>
    <w:p w14:paraId="73845089" w14:textId="77777777" w:rsidR="00FB4E03" w:rsidRDefault="005E7F68" w:rsidP="005E7F68">
      <w:pPr>
        <w:ind w:left="720"/>
        <w:rPr>
          <w:sz w:val="22"/>
          <w:szCs w:val="22"/>
        </w:rPr>
      </w:pPr>
      <w:r w:rsidRPr="005E7F68">
        <w:rPr>
          <w:sz w:val="22"/>
          <w:szCs w:val="22"/>
        </w:rPr>
        <w:t>(d) Make education and vocational information and guidance available and accessible to all children</w:t>
      </w:r>
    </w:p>
    <w:p w14:paraId="0C960DCC" w14:textId="41B5B8EE" w:rsidR="005E7F68" w:rsidRPr="005E7F68" w:rsidRDefault="005E7F68" w:rsidP="005E7F68">
      <w:pPr>
        <w:ind w:left="720"/>
        <w:rPr>
          <w:sz w:val="22"/>
          <w:szCs w:val="22"/>
        </w:rPr>
      </w:pPr>
      <w:r w:rsidRPr="005E7F68">
        <w:rPr>
          <w:sz w:val="22"/>
          <w:szCs w:val="22"/>
        </w:rPr>
        <w:t xml:space="preserve">(e) Take measures to encourage regular attendance at schools and the reduction of </w:t>
      </w:r>
      <w:proofErr w:type="spellStart"/>
      <w:r w:rsidRPr="005E7F68">
        <w:rPr>
          <w:sz w:val="22"/>
          <w:szCs w:val="22"/>
        </w:rPr>
        <w:t>drop out</w:t>
      </w:r>
      <w:proofErr w:type="spellEnd"/>
      <w:r w:rsidRPr="005E7F68">
        <w:rPr>
          <w:sz w:val="22"/>
          <w:szCs w:val="22"/>
        </w:rPr>
        <w:t xml:space="preserve"> rates.</w:t>
      </w:r>
      <w:r>
        <w:rPr>
          <w:rStyle w:val="EndnoteReference"/>
        </w:rPr>
        <w:endnoteReference w:id="7"/>
      </w:r>
      <w:r>
        <w:t xml:space="preserve"> </w:t>
      </w:r>
      <w:r w:rsidRPr="005E7F68">
        <w:rPr>
          <w:sz w:val="22"/>
          <w:szCs w:val="22"/>
        </w:rPr>
        <w:t xml:space="preserve"> </w:t>
      </w:r>
    </w:p>
    <w:p w14:paraId="7CDD3730" w14:textId="7D39D2F2" w:rsidR="00694D92" w:rsidRDefault="00694D92" w:rsidP="00694D92">
      <w:r>
        <w:t>Australia has undertaken to ‘respect and ensure’ the</w:t>
      </w:r>
      <w:r w:rsidR="0036783A">
        <w:t>se</w:t>
      </w:r>
      <w:r>
        <w:t xml:space="preserve"> rights to </w:t>
      </w:r>
      <w:r w:rsidR="0036783A">
        <w:t>every child,</w:t>
      </w:r>
      <w:r>
        <w:t xml:space="preserve"> without discrimination of any kind (article 2.1). Geography, remoteness, distance, language, culture, religion, disability and sex cannot be used as excuses when a child’s right to education is at stake.</w:t>
      </w:r>
    </w:p>
    <w:p w14:paraId="7B70B2CC" w14:textId="4EBB8DE6" w:rsidR="00937D9E" w:rsidRDefault="00937D9E" w:rsidP="00937D9E">
      <w:r>
        <w:t>According to article 29.1 of the CRC, education of children should be directed to:</w:t>
      </w:r>
    </w:p>
    <w:p w14:paraId="2D884694" w14:textId="77777777" w:rsidR="00937D9E" w:rsidRDefault="00937D9E" w:rsidP="00937D9E">
      <w:pPr>
        <w:ind w:left="720"/>
        <w:rPr>
          <w:sz w:val="22"/>
          <w:szCs w:val="22"/>
        </w:rPr>
      </w:pPr>
      <w:r w:rsidRPr="005E7F68">
        <w:rPr>
          <w:sz w:val="22"/>
          <w:szCs w:val="22"/>
        </w:rPr>
        <w:t xml:space="preserve"> (a) The development of the child’s personality, talents and mental and physical abilities to their fullest potential</w:t>
      </w:r>
    </w:p>
    <w:p w14:paraId="60086904" w14:textId="77777777" w:rsidR="00937D9E" w:rsidRDefault="00937D9E" w:rsidP="00937D9E">
      <w:pPr>
        <w:ind w:left="720"/>
        <w:rPr>
          <w:sz w:val="22"/>
          <w:szCs w:val="22"/>
        </w:rPr>
      </w:pPr>
      <w:r w:rsidRPr="005E7F68">
        <w:rPr>
          <w:sz w:val="22"/>
          <w:szCs w:val="22"/>
        </w:rPr>
        <w:t>(b) The development of respect for human rights and fundamental freedoms, and for the principles enshrined in the Charter of the United Nations</w:t>
      </w:r>
    </w:p>
    <w:p w14:paraId="3DB1A2B5" w14:textId="77777777" w:rsidR="00937D9E" w:rsidRDefault="00937D9E" w:rsidP="00937D9E">
      <w:pPr>
        <w:ind w:left="720"/>
        <w:rPr>
          <w:sz w:val="22"/>
          <w:szCs w:val="22"/>
        </w:rPr>
      </w:pPr>
      <w:r w:rsidRPr="005E7F68">
        <w:rPr>
          <w:sz w:val="22"/>
          <w:szCs w:val="22"/>
        </w:rPr>
        <w:t>(c) The development of respect for the child’s parents, his or her own cultural identity, language and values, the country from which he or she may originate and for civilizations different from his or her ow</w:t>
      </w:r>
      <w:r>
        <w:rPr>
          <w:sz w:val="22"/>
          <w:szCs w:val="22"/>
        </w:rPr>
        <w:t>n</w:t>
      </w:r>
    </w:p>
    <w:p w14:paraId="62BBD4F1" w14:textId="77777777" w:rsidR="00937D9E" w:rsidRDefault="00937D9E" w:rsidP="00937D9E">
      <w:pPr>
        <w:ind w:left="720"/>
        <w:rPr>
          <w:sz w:val="22"/>
          <w:szCs w:val="22"/>
        </w:rPr>
      </w:pPr>
      <w:r w:rsidRPr="005E7F68">
        <w:rPr>
          <w:sz w:val="22"/>
          <w:szCs w:val="22"/>
        </w:rPr>
        <w:t xml:space="preserve">(d) The preparation of the child for responsible life in a free society, in the spirit of understanding, peace, tolerance, equality of sexes, and friendship among all peoples, ethnic, national and religious groups and persons of Indigenous origin </w:t>
      </w:r>
    </w:p>
    <w:p w14:paraId="5AE4FD90" w14:textId="77777777" w:rsidR="00937D9E" w:rsidRPr="005E7F68" w:rsidRDefault="00937D9E" w:rsidP="00937D9E">
      <w:pPr>
        <w:ind w:left="720"/>
        <w:rPr>
          <w:sz w:val="22"/>
          <w:szCs w:val="22"/>
        </w:rPr>
      </w:pPr>
      <w:r w:rsidRPr="005E7F68">
        <w:rPr>
          <w:sz w:val="22"/>
          <w:szCs w:val="22"/>
        </w:rPr>
        <w:lastRenderedPageBreak/>
        <w:t>(e) The development of respect for the natural environment.</w:t>
      </w:r>
      <w:r w:rsidRPr="005E7F68">
        <w:rPr>
          <w:rStyle w:val="EndnoteReference"/>
        </w:rPr>
        <w:t xml:space="preserve"> </w:t>
      </w:r>
      <w:r>
        <w:rPr>
          <w:rStyle w:val="EndnoteReference"/>
        </w:rPr>
        <w:endnoteReference w:id="8"/>
      </w:r>
      <w:r>
        <w:t xml:space="preserve"> </w:t>
      </w:r>
      <w:r w:rsidRPr="005E7F68">
        <w:rPr>
          <w:sz w:val="22"/>
          <w:szCs w:val="22"/>
        </w:rPr>
        <w:t xml:space="preserve"> </w:t>
      </w:r>
    </w:p>
    <w:p w14:paraId="63FE23BB" w14:textId="5F30396F" w:rsidR="00557C40" w:rsidRDefault="00937D9E" w:rsidP="00B66DA0">
      <w:r>
        <w:t>T</w:t>
      </w:r>
      <w:r w:rsidR="009E6DE8">
        <w:t xml:space="preserve">he </w:t>
      </w:r>
      <w:r w:rsidR="009E6DE8" w:rsidRPr="00E6572E">
        <w:rPr>
          <w:i/>
          <w:iCs/>
        </w:rPr>
        <w:t>International Covenant on Economic, Social and Cultural Rights</w:t>
      </w:r>
      <w:r w:rsidR="009E6DE8" w:rsidRPr="00286BFA">
        <w:t xml:space="preserve"> (ICESCR)</w:t>
      </w:r>
      <w:r w:rsidR="00CD1DEC">
        <w:t>, which predates the CRC,</w:t>
      </w:r>
      <w:r w:rsidR="00694D92">
        <w:t xml:space="preserve"> </w:t>
      </w:r>
      <w:r w:rsidR="00D807DA">
        <w:t xml:space="preserve">also </w:t>
      </w:r>
      <w:r w:rsidR="004358EE">
        <w:t xml:space="preserve">recognises the right of everyone to education (article 13). Similar to the CRC, ICESCR </w:t>
      </w:r>
      <w:r w:rsidR="00694D92">
        <w:t>requires Australia to</w:t>
      </w:r>
      <w:r w:rsidR="00CD1DEC">
        <w:t xml:space="preserve"> </w:t>
      </w:r>
      <w:r w:rsidR="00694D92">
        <w:t>guarantee primary and secondary education to</w:t>
      </w:r>
      <w:r w:rsidR="00DB35DF">
        <w:t xml:space="preserve"> all children</w:t>
      </w:r>
      <w:r w:rsidR="00F96816">
        <w:t xml:space="preserve"> without discrimination</w:t>
      </w:r>
      <w:r w:rsidR="004358EE">
        <w:t>,</w:t>
      </w:r>
      <w:r w:rsidR="00DB35DF">
        <w:rPr>
          <w:rStyle w:val="EndnoteReference"/>
        </w:rPr>
        <w:endnoteReference w:id="9"/>
      </w:r>
      <w:r w:rsidR="00D618EA">
        <w:t xml:space="preserve"> </w:t>
      </w:r>
      <w:r w:rsidR="008C703E">
        <w:t xml:space="preserve">although ICESCR </w:t>
      </w:r>
      <w:r w:rsidR="00D807DA">
        <w:t xml:space="preserve">also </w:t>
      </w:r>
      <w:r w:rsidR="005578E2">
        <w:t xml:space="preserve">requires the </w:t>
      </w:r>
      <w:r w:rsidR="00350A5E">
        <w:t>progressive</w:t>
      </w:r>
      <w:r w:rsidR="005578E2">
        <w:t xml:space="preserve"> introduction of</w:t>
      </w:r>
      <w:r w:rsidR="00350A5E">
        <w:t xml:space="preserve"> </w:t>
      </w:r>
      <w:r w:rsidR="005578E2" w:rsidRPr="005578E2">
        <w:rPr>
          <w:b/>
          <w:bCs/>
        </w:rPr>
        <w:t>free</w:t>
      </w:r>
      <w:r w:rsidR="005578E2">
        <w:t xml:space="preserve"> </w:t>
      </w:r>
      <w:r w:rsidR="00350A5E">
        <w:t xml:space="preserve">secondary education. </w:t>
      </w:r>
      <w:r w:rsidR="004358EE">
        <w:t xml:space="preserve">ICESCR also </w:t>
      </w:r>
      <w:r w:rsidR="00D807DA">
        <w:t xml:space="preserve">requires that </w:t>
      </w:r>
      <w:r w:rsidR="004358EE">
        <w:t>higher education be made equally accessible by all, on the basis of capacity, in particular by the progressive introduction of free education, and that fundamental education shall be encouraged or intensified for those persons who have not re</w:t>
      </w:r>
      <w:r w:rsidR="004A58EC">
        <w:t>cei</w:t>
      </w:r>
      <w:r w:rsidR="004358EE">
        <w:t xml:space="preserve">ved or completed their primary education. </w:t>
      </w:r>
    </w:p>
    <w:p w14:paraId="178EE8F8" w14:textId="6D2DD87E" w:rsidR="00B66DA0" w:rsidRDefault="00350A5E" w:rsidP="00B66DA0">
      <w:r>
        <w:t xml:space="preserve">The jurisprudence of the Committee on Economic, Social and Cultural Rights, especially </w:t>
      </w:r>
      <w:r w:rsidR="008C703E">
        <w:t xml:space="preserve">the Committee’s </w:t>
      </w:r>
      <w:r>
        <w:t>General Comment No 13 (1999)</w:t>
      </w:r>
      <w:r w:rsidR="008C703E">
        <w:t>,</w:t>
      </w:r>
      <w:r>
        <w:t xml:space="preserve"> is an important aid to the interpretation of the CRC </w:t>
      </w:r>
      <w:r w:rsidR="004A58EC">
        <w:t xml:space="preserve">and ICESCR </w:t>
      </w:r>
      <w:r>
        <w:t>provisions</w:t>
      </w:r>
      <w:r w:rsidR="00D618EA">
        <w:t xml:space="preserve"> on education</w:t>
      </w:r>
      <w:r>
        <w:t xml:space="preserve">. </w:t>
      </w:r>
      <w:r w:rsidR="00557C40">
        <w:t xml:space="preserve">The Commission, in its </w:t>
      </w:r>
      <w:r w:rsidR="00B66DA0">
        <w:t>Rural and Remote Education Inquiry, used</w:t>
      </w:r>
      <w:r w:rsidR="00E6572E">
        <w:t xml:space="preserve"> </w:t>
      </w:r>
      <w:r w:rsidR="00092AAB">
        <w:t xml:space="preserve">the Committee’s </w:t>
      </w:r>
      <w:r w:rsidR="00E6572E">
        <w:t xml:space="preserve">jurisprudence to </w:t>
      </w:r>
      <w:r w:rsidR="005039A5">
        <w:t xml:space="preserve">create an </w:t>
      </w:r>
      <w:r w:rsidR="00B66DA0">
        <w:t>analytical framework to evaluate Australia’s performance and identify what action is further needed</w:t>
      </w:r>
      <w:r w:rsidR="004A58EC">
        <w:t xml:space="preserve"> to ensure children’s right to education</w:t>
      </w:r>
      <w:r w:rsidR="00557C40">
        <w:t>.</w:t>
      </w:r>
      <w:r w:rsidR="00BD74F4">
        <w:rPr>
          <w:rStyle w:val="EndnoteReference"/>
        </w:rPr>
        <w:endnoteReference w:id="10"/>
      </w:r>
      <w:r w:rsidR="00B66DA0">
        <w:t xml:space="preserve"> </w:t>
      </w:r>
      <w:r w:rsidR="00073159">
        <w:t>According to this</w:t>
      </w:r>
      <w:r w:rsidR="005F4FCC">
        <w:t xml:space="preserve"> jurisprudence</w:t>
      </w:r>
      <w:r w:rsidR="00073159">
        <w:t xml:space="preserve">, </w:t>
      </w:r>
      <w:r w:rsidR="00557C40">
        <w:t>education needs to be:</w:t>
      </w:r>
    </w:p>
    <w:p w14:paraId="608C3A53" w14:textId="35F57ECB" w:rsidR="00B66DA0" w:rsidRDefault="00B66DA0" w:rsidP="00CA74FE">
      <w:pPr>
        <w:pStyle w:val="ListParagraph"/>
        <w:numPr>
          <w:ilvl w:val="0"/>
          <w:numId w:val="16"/>
        </w:numPr>
      </w:pPr>
      <w:r w:rsidRPr="00BD74F4">
        <w:rPr>
          <w:b/>
          <w:bCs/>
        </w:rPr>
        <w:t>Available</w:t>
      </w:r>
      <w:r>
        <w:t>. This means that ‘functioning educational institutions and programmes have to be available in sufficient quantity’.</w:t>
      </w:r>
      <w:r>
        <w:rPr>
          <w:rStyle w:val="EndnoteReference"/>
        </w:rPr>
        <w:endnoteReference w:id="11"/>
      </w:r>
      <w:r w:rsidR="005039A5">
        <w:t xml:space="preserve"> This availability is conditioned by other obligations, including the requirement that education must be available without discrimination of any kind. </w:t>
      </w:r>
    </w:p>
    <w:p w14:paraId="7EA65FE2" w14:textId="34F40FEF" w:rsidR="00B66DA0" w:rsidRDefault="005039A5" w:rsidP="00CA74FE">
      <w:pPr>
        <w:pStyle w:val="ListParagraph"/>
        <w:numPr>
          <w:ilvl w:val="0"/>
          <w:numId w:val="16"/>
        </w:numPr>
      </w:pPr>
      <w:r w:rsidRPr="00BD74F4">
        <w:rPr>
          <w:b/>
          <w:bCs/>
        </w:rPr>
        <w:t>A</w:t>
      </w:r>
      <w:r w:rsidR="00B66DA0" w:rsidRPr="00BD74F4">
        <w:rPr>
          <w:b/>
          <w:bCs/>
        </w:rPr>
        <w:t>ccessible</w:t>
      </w:r>
      <w:r>
        <w:t>. Educatio</w:t>
      </w:r>
      <w:r w:rsidR="005473B6">
        <w:t>n</w:t>
      </w:r>
      <w:r>
        <w:t xml:space="preserve"> must be within safe physical r</w:t>
      </w:r>
      <w:r w:rsidR="005473B6">
        <w:t>e</w:t>
      </w:r>
      <w:r>
        <w:t>ach, either by attendance at a reasonably convenient location or via modern technology. Chi</w:t>
      </w:r>
      <w:r w:rsidR="005473B6">
        <w:t>ld</w:t>
      </w:r>
      <w:r>
        <w:t xml:space="preserve">ren with disability have the right to all the support necessary to </w:t>
      </w:r>
      <w:r w:rsidR="005473B6">
        <w:t>access education.</w:t>
      </w:r>
      <w:r w:rsidR="005473B6">
        <w:rPr>
          <w:rStyle w:val="EndnoteReference"/>
        </w:rPr>
        <w:endnoteReference w:id="12"/>
      </w:r>
    </w:p>
    <w:p w14:paraId="4FB96A38" w14:textId="725D5F50" w:rsidR="00B66DA0" w:rsidRDefault="005473B6" w:rsidP="00CA74FE">
      <w:pPr>
        <w:pStyle w:val="ListParagraph"/>
        <w:numPr>
          <w:ilvl w:val="0"/>
          <w:numId w:val="16"/>
        </w:numPr>
      </w:pPr>
      <w:r w:rsidRPr="00BD74F4">
        <w:rPr>
          <w:b/>
          <w:bCs/>
        </w:rPr>
        <w:t>A</w:t>
      </w:r>
      <w:r w:rsidR="00B66DA0" w:rsidRPr="00BD74F4">
        <w:rPr>
          <w:b/>
          <w:bCs/>
        </w:rPr>
        <w:t>ffordable</w:t>
      </w:r>
      <w:r>
        <w:t>. Primary education must be free of charge and free secondary education must be progressively introduced.</w:t>
      </w:r>
      <w:r>
        <w:rPr>
          <w:rStyle w:val="EndnoteReference"/>
        </w:rPr>
        <w:endnoteReference w:id="13"/>
      </w:r>
    </w:p>
    <w:p w14:paraId="172CCFC5" w14:textId="1A145A38" w:rsidR="00B66DA0" w:rsidRDefault="005473B6" w:rsidP="00CA74FE">
      <w:pPr>
        <w:pStyle w:val="ListParagraph"/>
        <w:numPr>
          <w:ilvl w:val="0"/>
          <w:numId w:val="16"/>
        </w:numPr>
      </w:pPr>
      <w:r w:rsidRPr="00BD74F4">
        <w:rPr>
          <w:b/>
          <w:bCs/>
        </w:rPr>
        <w:t>A</w:t>
      </w:r>
      <w:r w:rsidR="00B66DA0" w:rsidRPr="00BD74F4">
        <w:rPr>
          <w:b/>
          <w:bCs/>
        </w:rPr>
        <w:t>cceptable</w:t>
      </w:r>
      <w:r>
        <w:t xml:space="preserve">. The </w:t>
      </w:r>
      <w:r w:rsidR="004F4B20">
        <w:t>‘</w:t>
      </w:r>
      <w:r>
        <w:t xml:space="preserve">form and substance </w:t>
      </w:r>
      <w:r w:rsidR="004F4B20">
        <w:t>of education, including curricula and teaching methods, have to be acceptable (</w:t>
      </w:r>
      <w:proofErr w:type="spellStart"/>
      <w:r w:rsidR="004F4B20">
        <w:t>eg</w:t>
      </w:r>
      <w:proofErr w:type="spellEnd"/>
      <w:r w:rsidR="004F4B20">
        <w:t xml:space="preserve"> relevant, culturall</w:t>
      </w:r>
      <w:r w:rsidR="00BD74F4">
        <w:t>y</w:t>
      </w:r>
      <w:r w:rsidR="004F4B20">
        <w:t xml:space="preserve"> appropriate and of good quality) to students and, in appropriate cases, </w:t>
      </w:r>
      <w:r w:rsidR="00BD74F4">
        <w:t>pa</w:t>
      </w:r>
      <w:r w:rsidR="004F4B20">
        <w:t>rents’</w:t>
      </w:r>
      <w:r w:rsidR="00BD74F4">
        <w:t>.</w:t>
      </w:r>
      <w:r w:rsidR="00BD74F4">
        <w:rPr>
          <w:rStyle w:val="EndnoteReference"/>
        </w:rPr>
        <w:endnoteReference w:id="14"/>
      </w:r>
    </w:p>
    <w:p w14:paraId="2D2B81D9" w14:textId="3C19622F" w:rsidR="00B66DA0" w:rsidRDefault="00BD74F4" w:rsidP="00CA74FE">
      <w:pPr>
        <w:pStyle w:val="ListParagraph"/>
        <w:numPr>
          <w:ilvl w:val="0"/>
          <w:numId w:val="16"/>
        </w:numPr>
      </w:pPr>
      <w:r w:rsidRPr="00BD74F4">
        <w:rPr>
          <w:b/>
          <w:bCs/>
        </w:rPr>
        <w:t>A</w:t>
      </w:r>
      <w:r w:rsidR="00B66DA0" w:rsidRPr="00BD74F4">
        <w:rPr>
          <w:b/>
          <w:bCs/>
        </w:rPr>
        <w:t>daptable</w:t>
      </w:r>
      <w:r w:rsidR="00B66DA0" w:rsidRPr="00BD74F4">
        <w:t>.</w:t>
      </w:r>
      <w:r w:rsidRPr="00BD74F4">
        <w:t xml:space="preserve"> </w:t>
      </w:r>
      <w:r w:rsidR="00557C40">
        <w:t>This ‘</w:t>
      </w:r>
      <w:r w:rsidRPr="00BD74F4">
        <w:t>education has to be flexible so it can adapt to the needs of changing societies and communities and respond to the needs of students within their diverse social and cultural settings’</w:t>
      </w:r>
      <w:r w:rsidR="00557C40">
        <w:t>.</w:t>
      </w:r>
      <w:r>
        <w:rPr>
          <w:rStyle w:val="EndnoteReference"/>
        </w:rPr>
        <w:endnoteReference w:id="15"/>
      </w:r>
    </w:p>
    <w:p w14:paraId="34D876BF" w14:textId="36A90A6C" w:rsidR="000C4296" w:rsidRPr="00BD74F4" w:rsidRDefault="000C4296" w:rsidP="000C4296">
      <w:r>
        <w:t xml:space="preserve">While school education is a state and territory responsibility under Australia’s constitution, international treaties hold the Commonwealth ultimately responsible for ensuring respect for the right to education, including the right for all children, </w:t>
      </w:r>
      <w:r>
        <w:lastRenderedPageBreak/>
        <w:t>regardless of where they live, to receive an education that meets the requirements of these international agreements.</w:t>
      </w:r>
    </w:p>
    <w:p w14:paraId="04E7AE3A" w14:textId="0C634A92" w:rsidR="00C4697C" w:rsidRDefault="00C4697C" w:rsidP="00C4697C">
      <w:pPr>
        <w:pStyle w:val="Heading2"/>
      </w:pPr>
      <w:bookmarkStart w:id="11" w:name="_Toc32497878"/>
      <w:r>
        <w:t xml:space="preserve">The rights of </w:t>
      </w:r>
      <w:r w:rsidR="00B746CB">
        <w:t>Aboriginal and Torres Strait Islander</w:t>
      </w:r>
      <w:r>
        <w:t xml:space="preserve"> </w:t>
      </w:r>
      <w:r w:rsidR="00194413">
        <w:t>peoples</w:t>
      </w:r>
      <w:bookmarkEnd w:id="11"/>
    </w:p>
    <w:p w14:paraId="7C9EC378" w14:textId="5E45C8E3" w:rsidR="00AE751D" w:rsidRDefault="00B746CB" w:rsidP="00AE751D">
      <w:r>
        <w:t>Indigenous</w:t>
      </w:r>
      <w:r w:rsidR="006666A8">
        <w:t xml:space="preserve"> peoples have specific rights </w:t>
      </w:r>
      <w:r w:rsidR="00012FCF">
        <w:t>relevant to education</w:t>
      </w:r>
      <w:r w:rsidR="006666A8">
        <w:t>, in addition to the</w:t>
      </w:r>
      <w:r w:rsidR="00012FCF">
        <w:t>ir</w:t>
      </w:r>
      <w:r w:rsidR="006666A8">
        <w:t xml:space="preserve"> </w:t>
      </w:r>
      <w:r w:rsidR="007460A7">
        <w:t xml:space="preserve">general </w:t>
      </w:r>
      <w:r w:rsidR="006666A8">
        <w:t>right to freedom from discrimination.</w:t>
      </w:r>
      <w:r w:rsidR="008B6E31">
        <w:t xml:space="preserve"> </w:t>
      </w:r>
    </w:p>
    <w:p w14:paraId="61C1D537" w14:textId="66041AE2" w:rsidR="0014795F" w:rsidRDefault="00B16CBA" w:rsidP="00AE751D">
      <w:r>
        <w:t xml:space="preserve">As stated above, </w:t>
      </w:r>
      <w:r w:rsidR="009E3675">
        <w:t>article 29.1</w:t>
      </w:r>
      <w:r>
        <w:t xml:space="preserve"> of the CRC </w:t>
      </w:r>
      <w:r w:rsidR="002961BA">
        <w:t xml:space="preserve">stipulates that the education of </w:t>
      </w:r>
      <w:r w:rsidR="00367DC1">
        <w:t>t</w:t>
      </w:r>
      <w:r w:rsidR="002961BA">
        <w:t>he child should be directed to development of respect for a child’s own cultural identity, languages and values</w:t>
      </w:r>
      <w:r>
        <w:t xml:space="preserve">. </w:t>
      </w:r>
      <w:r w:rsidR="009D26C5">
        <w:t>This should be adequately reflected in educational curricula, content of materials, teaching methods and policies.</w:t>
      </w:r>
      <w:r w:rsidR="009D26C5">
        <w:rPr>
          <w:rStyle w:val="EndnoteReference"/>
        </w:rPr>
        <w:endnoteReference w:id="16"/>
      </w:r>
      <w:r w:rsidR="009D26C5">
        <w:t xml:space="preserve"> </w:t>
      </w:r>
      <w:r>
        <w:t>In addition, a</w:t>
      </w:r>
      <w:r w:rsidR="009E3675">
        <w:t xml:space="preserve">rticle 30 </w:t>
      </w:r>
      <w:r w:rsidR="002961BA">
        <w:t xml:space="preserve">requires </w:t>
      </w:r>
      <w:r w:rsidR="005F4FCC">
        <w:t>Australia</w:t>
      </w:r>
      <w:r w:rsidR="002961BA">
        <w:t xml:space="preserve"> to ensure that</w:t>
      </w:r>
      <w:r w:rsidR="0014795F">
        <w:t>:</w:t>
      </w:r>
    </w:p>
    <w:p w14:paraId="02FC5A11" w14:textId="23972C1C" w:rsidR="009E3675" w:rsidRPr="0014795F" w:rsidRDefault="009E3675" w:rsidP="0014795F">
      <w:pPr>
        <w:ind w:left="720"/>
        <w:rPr>
          <w:sz w:val="22"/>
          <w:szCs w:val="22"/>
        </w:rPr>
      </w:pPr>
      <w:r w:rsidRPr="0014795F">
        <w:rPr>
          <w:sz w:val="22"/>
          <w:szCs w:val="22"/>
        </w:rPr>
        <w:t>a child belonging to such a minority or who is indigenous shall not be denied the right, in community with other members of his or her group, to enjoy his or her own culture, to profess and practise his or her own religion, or use his or her own language.</w:t>
      </w:r>
      <w:r w:rsidR="00975417">
        <w:rPr>
          <w:rStyle w:val="EndnoteReference"/>
          <w:szCs w:val="22"/>
        </w:rPr>
        <w:endnoteReference w:id="17"/>
      </w:r>
      <w:r w:rsidRPr="0014795F">
        <w:rPr>
          <w:sz w:val="22"/>
          <w:szCs w:val="22"/>
        </w:rPr>
        <w:t xml:space="preserve"> </w:t>
      </w:r>
    </w:p>
    <w:p w14:paraId="3F6684A7" w14:textId="737A533F" w:rsidR="00367DC1" w:rsidRDefault="00367DC1" w:rsidP="002961BA">
      <w:r>
        <w:t>While this is expressed as a negative right (‘shall not be denied’), the Committee on the Rights of the Child consider</w:t>
      </w:r>
      <w:r w:rsidR="00012FCF">
        <w:t>s</w:t>
      </w:r>
      <w:r>
        <w:t xml:space="preserve"> </w:t>
      </w:r>
      <w:r w:rsidR="00124DC6">
        <w:t xml:space="preserve">that </w:t>
      </w:r>
      <w:r>
        <w:t xml:space="preserve">positive measures </w:t>
      </w:r>
      <w:r w:rsidR="00D807DA">
        <w:t>to protect</w:t>
      </w:r>
      <w:r w:rsidR="005D7D99">
        <w:t xml:space="preserve"> children’s cultural rights </w:t>
      </w:r>
      <w:r>
        <w:t>are required.</w:t>
      </w:r>
      <w:r>
        <w:rPr>
          <w:rStyle w:val="EndnoteReference"/>
        </w:rPr>
        <w:endnoteReference w:id="18"/>
      </w:r>
      <w:r>
        <w:t xml:space="preserve"> </w:t>
      </w:r>
    </w:p>
    <w:p w14:paraId="3FDB4660" w14:textId="12923220" w:rsidR="00671B5D" w:rsidRPr="005D7D99" w:rsidRDefault="00671B5D" w:rsidP="005D7D99">
      <w:r w:rsidRPr="005D7D99">
        <w:t xml:space="preserve">The Committee also </w:t>
      </w:r>
      <w:r w:rsidR="005D7D99" w:rsidRPr="005D7D99">
        <w:t>considers that ‘</w:t>
      </w:r>
      <w:r w:rsidRPr="005D7D99">
        <w:t>education programmes and services should be developed and implemented in cooperation with the peoples concerned to address their specific needs</w:t>
      </w:r>
      <w:r w:rsidR="005D7D99" w:rsidRPr="005D7D99">
        <w:t>’</w:t>
      </w:r>
      <w:r w:rsidRPr="005D7D99">
        <w:t>. Furthermore,</w:t>
      </w:r>
      <w:r w:rsidR="005D7D99">
        <w:t xml:space="preserve"> ‘</w:t>
      </w:r>
      <w:r w:rsidRPr="005D7D99">
        <w:t>governments should recognize the right of indigenous peoples to establish their own educational institutions and facilities, provided that such institutions meet minimum standards established by the competent authority in consultation with these peoples</w:t>
      </w:r>
      <w:r w:rsidR="005D7D99">
        <w:t>’</w:t>
      </w:r>
      <w:r w:rsidRPr="005D7D99">
        <w:t>.</w:t>
      </w:r>
      <w:r w:rsidR="00012FCF" w:rsidRPr="005D7D99">
        <w:rPr>
          <w:rStyle w:val="EndnoteReference"/>
          <w:sz w:val="24"/>
        </w:rPr>
        <w:endnoteReference w:id="19"/>
      </w:r>
    </w:p>
    <w:p w14:paraId="24CAFD11" w14:textId="260DF7CE" w:rsidR="00333BFF" w:rsidRPr="002961BA" w:rsidRDefault="00333BFF" w:rsidP="002961BA">
      <w:r>
        <w:t xml:space="preserve">The United Nations Declaration on the Rights of Indigenous Peoples, adopted by </w:t>
      </w:r>
      <w:r w:rsidR="004A58EC">
        <w:t>Australia in 2009</w:t>
      </w:r>
      <w:r>
        <w:t xml:space="preserve">, </w:t>
      </w:r>
      <w:r w:rsidR="002961BA">
        <w:t xml:space="preserve">also </w:t>
      </w:r>
      <w:r>
        <w:t xml:space="preserve">affirms </w:t>
      </w:r>
      <w:r w:rsidR="002961BA">
        <w:t xml:space="preserve">the rights of Indigenous peoples to access education in their own culture and language. </w:t>
      </w:r>
      <w:r w:rsidR="0019035B">
        <w:t>T</w:t>
      </w:r>
      <w:r w:rsidR="00975417">
        <w:t>he Declaration</w:t>
      </w:r>
      <w:r w:rsidR="009E3675">
        <w:t xml:space="preserve"> </w:t>
      </w:r>
      <w:r w:rsidR="00EA2CA7">
        <w:t xml:space="preserve">provides guidance to States Parties </w:t>
      </w:r>
      <w:r w:rsidR="00770A0E">
        <w:t xml:space="preserve">on </w:t>
      </w:r>
      <w:r w:rsidR="009E3675">
        <w:t xml:space="preserve">Indigenous </w:t>
      </w:r>
      <w:r w:rsidR="00770A0E">
        <w:t>peoples’</w:t>
      </w:r>
      <w:r w:rsidR="00975417">
        <w:t xml:space="preserve"> </w:t>
      </w:r>
      <w:r w:rsidR="009E3675">
        <w:t>rights</w:t>
      </w:r>
      <w:r w:rsidR="0008644D">
        <w:t xml:space="preserve"> and </w:t>
      </w:r>
      <w:r w:rsidR="0057151B">
        <w:t xml:space="preserve">has </w:t>
      </w:r>
      <w:r w:rsidR="00841563">
        <w:t xml:space="preserve">legal significance and </w:t>
      </w:r>
      <w:r w:rsidR="0057151B">
        <w:t>normative weight under</w:t>
      </w:r>
      <w:r w:rsidR="009E3675">
        <w:t xml:space="preserve"> international law.</w:t>
      </w:r>
      <w:r w:rsidR="0057151B">
        <w:rPr>
          <w:rStyle w:val="EndnoteReference"/>
        </w:rPr>
        <w:endnoteReference w:id="20"/>
      </w:r>
      <w:r w:rsidR="009E3675">
        <w:t xml:space="preserve"> </w:t>
      </w:r>
      <w:r w:rsidR="002961BA">
        <w:t>Under article 14:</w:t>
      </w:r>
    </w:p>
    <w:p w14:paraId="1A5B45F3" w14:textId="77777777" w:rsidR="00333BFF" w:rsidRPr="002961BA" w:rsidRDefault="00333BFF" w:rsidP="002961BA">
      <w:pPr>
        <w:ind w:left="720"/>
        <w:rPr>
          <w:sz w:val="22"/>
          <w:szCs w:val="22"/>
        </w:rPr>
      </w:pPr>
      <w:r w:rsidRPr="002961BA">
        <w:rPr>
          <w:sz w:val="22"/>
          <w:szCs w:val="22"/>
        </w:rPr>
        <w:t>1. Indigenous peoples have the right to establish and control their educational systems and institutions providing education in their own languages, in a manner appropriate to their cultural methods of teaching and learning.</w:t>
      </w:r>
    </w:p>
    <w:p w14:paraId="3A974DC6" w14:textId="77777777" w:rsidR="00333BFF" w:rsidRPr="002961BA" w:rsidRDefault="00333BFF" w:rsidP="002961BA">
      <w:pPr>
        <w:ind w:left="720"/>
        <w:rPr>
          <w:sz w:val="22"/>
          <w:szCs w:val="22"/>
        </w:rPr>
      </w:pPr>
      <w:r w:rsidRPr="002961BA">
        <w:rPr>
          <w:sz w:val="22"/>
          <w:szCs w:val="22"/>
        </w:rPr>
        <w:t>2. Indigenous individuals, particularly children, have the right to all levels and forms of education of the State without discrimination.</w:t>
      </w:r>
    </w:p>
    <w:p w14:paraId="32C132C6" w14:textId="6B700F28" w:rsidR="00C4697C" w:rsidRPr="002961BA" w:rsidRDefault="00333BFF" w:rsidP="002961BA">
      <w:pPr>
        <w:ind w:left="720"/>
        <w:rPr>
          <w:sz w:val="22"/>
          <w:szCs w:val="22"/>
        </w:rPr>
      </w:pPr>
      <w:r w:rsidRPr="002961BA">
        <w:rPr>
          <w:sz w:val="22"/>
          <w:szCs w:val="22"/>
        </w:rPr>
        <w:lastRenderedPageBreak/>
        <w:t>3. States shall, in conjunction with indigenous peoples, take effective measures, in order for indigenous individuals, particularly children, including those living outside their communities, to have access, when possible, to an education in their own culture and provided in their own language.</w:t>
      </w:r>
    </w:p>
    <w:p w14:paraId="53AE0D57" w14:textId="58789E04" w:rsidR="00B827A8" w:rsidRDefault="00C4697C" w:rsidP="00460EE8">
      <w:pPr>
        <w:pStyle w:val="Heading2"/>
      </w:pPr>
      <w:bookmarkStart w:id="12" w:name="_Toc32497879"/>
      <w:r>
        <w:t xml:space="preserve">The rights of </w:t>
      </w:r>
      <w:r w:rsidR="00E17929">
        <w:t>persons</w:t>
      </w:r>
      <w:r w:rsidR="006F009D">
        <w:t xml:space="preserve"> with disability</w:t>
      </w:r>
      <w:bookmarkEnd w:id="12"/>
      <w:r w:rsidR="001D02B0">
        <w:t xml:space="preserve"> </w:t>
      </w:r>
    </w:p>
    <w:p w14:paraId="20341D5C" w14:textId="1CB3396F" w:rsidR="00547024" w:rsidRPr="005F4FCC" w:rsidRDefault="007644CA" w:rsidP="005F4FCC">
      <w:r>
        <w:t xml:space="preserve">According to </w:t>
      </w:r>
      <w:r w:rsidR="009661EF">
        <w:t xml:space="preserve">the </w:t>
      </w:r>
      <w:r>
        <w:t>CRC, c</w:t>
      </w:r>
      <w:r w:rsidR="00547024" w:rsidRPr="00547024">
        <w:t>hildren with disabilities</w:t>
      </w:r>
      <w:r w:rsidR="00547024">
        <w:t xml:space="preserve"> </w:t>
      </w:r>
      <w:r w:rsidR="00547024" w:rsidRPr="00547024">
        <w:t>have the right to all the support necessary to become as self-reliant</w:t>
      </w:r>
      <w:r w:rsidR="00547024">
        <w:t xml:space="preserve"> </w:t>
      </w:r>
      <w:r w:rsidR="00547024" w:rsidRPr="00547024">
        <w:t>as possible</w:t>
      </w:r>
      <w:r w:rsidR="00140F09">
        <w:t xml:space="preserve"> (article 23)</w:t>
      </w:r>
      <w:r w:rsidR="00CE4D5D">
        <w:t xml:space="preserve">. </w:t>
      </w:r>
      <w:r w:rsidR="005F4FCC" w:rsidRPr="005F4FCC">
        <w:t>S</w:t>
      </w:r>
      <w:r w:rsidR="00547024" w:rsidRPr="005F4FCC">
        <w:t>tates Parties</w:t>
      </w:r>
      <w:r w:rsidR="009603FA" w:rsidRPr="005F4FCC">
        <w:t xml:space="preserve"> </w:t>
      </w:r>
      <w:r>
        <w:t>to the CRC</w:t>
      </w:r>
      <w:r w:rsidR="005F4FCC" w:rsidRPr="005F4FCC">
        <w:t xml:space="preserve"> </w:t>
      </w:r>
      <w:r w:rsidR="00547024" w:rsidRPr="005F4FCC">
        <w:t>recogni</w:t>
      </w:r>
      <w:r w:rsidR="005F4FCC" w:rsidRPr="005F4FCC">
        <w:t>s</w:t>
      </w:r>
      <w:r w:rsidR="00547024" w:rsidRPr="005F4FCC">
        <w:t>e that</w:t>
      </w:r>
      <w:r w:rsidR="005F4FCC" w:rsidRPr="005F4FCC">
        <w:t xml:space="preserve"> ‘</w:t>
      </w:r>
      <w:r w:rsidR="00547024" w:rsidRPr="005F4FCC">
        <w:t>a mentally or physically disabled child should enjoy</w:t>
      </w:r>
      <w:r w:rsidR="009603FA" w:rsidRPr="005F4FCC">
        <w:t xml:space="preserve"> </w:t>
      </w:r>
      <w:r w:rsidR="00547024" w:rsidRPr="005F4FCC">
        <w:t>a full and decent life, in conditions which ensure dignity, promo</w:t>
      </w:r>
      <w:r w:rsidR="009603FA" w:rsidRPr="005F4FCC">
        <w:t xml:space="preserve">te </w:t>
      </w:r>
      <w:r w:rsidR="00547024" w:rsidRPr="005F4FCC">
        <w:t>self-reliance and facilitate the child's active participation in the</w:t>
      </w:r>
      <w:r w:rsidR="009603FA" w:rsidRPr="005F4FCC">
        <w:t xml:space="preserve"> </w:t>
      </w:r>
      <w:r w:rsidR="00547024" w:rsidRPr="005F4FCC">
        <w:t>community</w:t>
      </w:r>
      <w:r w:rsidR="005F4FCC" w:rsidRPr="005F4FCC">
        <w:t>’</w:t>
      </w:r>
      <w:r w:rsidR="00547024" w:rsidRPr="005F4FCC">
        <w:t>.</w:t>
      </w:r>
      <w:r>
        <w:rPr>
          <w:rStyle w:val="EndnoteReference"/>
        </w:rPr>
        <w:endnoteReference w:id="21"/>
      </w:r>
    </w:p>
    <w:p w14:paraId="57AE2F8F" w14:textId="0961A576" w:rsidR="009603FA" w:rsidRPr="009603FA" w:rsidRDefault="009603FA" w:rsidP="009603FA">
      <w:r>
        <w:t>Article 23</w:t>
      </w:r>
      <w:r w:rsidR="007644CA">
        <w:t xml:space="preserve"> </w:t>
      </w:r>
      <w:r w:rsidR="00140F09">
        <w:t xml:space="preserve">also </w:t>
      </w:r>
      <w:r w:rsidR="007644CA">
        <w:t xml:space="preserve">requires Australia to ensure that </w:t>
      </w:r>
      <w:r w:rsidRPr="009603FA">
        <w:t>children</w:t>
      </w:r>
      <w:r>
        <w:t xml:space="preserve"> </w:t>
      </w:r>
      <w:r w:rsidRPr="009603FA">
        <w:t xml:space="preserve">with disabilities </w:t>
      </w:r>
      <w:r w:rsidR="007644CA">
        <w:t xml:space="preserve">have </w:t>
      </w:r>
      <w:r w:rsidR="00947568">
        <w:t xml:space="preserve">the </w:t>
      </w:r>
      <w:r>
        <w:t>support</w:t>
      </w:r>
      <w:r w:rsidR="00947568">
        <w:t xml:space="preserve"> they need for education</w:t>
      </w:r>
      <w:r w:rsidR="0008680E">
        <w:t>. Assistance shall be</w:t>
      </w:r>
      <w:r w:rsidR="007644CA">
        <w:t>:</w:t>
      </w:r>
    </w:p>
    <w:p w14:paraId="32530942" w14:textId="191E59C2" w:rsidR="00B827A8" w:rsidRDefault="009603FA" w:rsidP="0080015F">
      <w:pPr>
        <w:ind w:left="720"/>
        <w:rPr>
          <w:sz w:val="22"/>
          <w:szCs w:val="22"/>
        </w:rPr>
      </w:pPr>
      <w:r w:rsidRPr="00CE4D5D">
        <w:rPr>
          <w:sz w:val="22"/>
          <w:szCs w:val="22"/>
        </w:rPr>
        <w:t>designed to ensure that the disabled child has effective access to and receives education, training, health care services, rehabilitation services, preparation for employment and recreation opportunities in a manner conducive to the child's achieving the fullest possible social integration and individual development, including his or her cultural and spiritual development.</w:t>
      </w:r>
      <w:r w:rsidR="007644CA">
        <w:rPr>
          <w:rStyle w:val="EndnoteReference"/>
          <w:szCs w:val="22"/>
        </w:rPr>
        <w:endnoteReference w:id="22"/>
      </w:r>
    </w:p>
    <w:p w14:paraId="666B5D17" w14:textId="213D14DC" w:rsidR="00854E7A" w:rsidRDefault="0024159C" w:rsidP="00854E7A">
      <w:r w:rsidRPr="00027407">
        <w:t xml:space="preserve">The </w:t>
      </w:r>
      <w:r w:rsidR="00027407" w:rsidRPr="00027407">
        <w:t xml:space="preserve">right to education </w:t>
      </w:r>
      <w:r w:rsidR="007644CA">
        <w:t xml:space="preserve">for persons with disability </w:t>
      </w:r>
      <w:r w:rsidR="00027407" w:rsidRPr="00027407">
        <w:t xml:space="preserve">is </w:t>
      </w:r>
      <w:r w:rsidR="00140F09">
        <w:t xml:space="preserve">also </w:t>
      </w:r>
      <w:r w:rsidR="00027407" w:rsidRPr="00027407">
        <w:t xml:space="preserve">guaranteed in the </w:t>
      </w:r>
      <w:r w:rsidRPr="004C1285">
        <w:rPr>
          <w:i/>
          <w:iCs/>
        </w:rPr>
        <w:t>Convention on the Rights of Persons with Disabilit</w:t>
      </w:r>
      <w:r w:rsidR="00027407" w:rsidRPr="004C1285">
        <w:rPr>
          <w:i/>
          <w:iCs/>
        </w:rPr>
        <w:t>ies</w:t>
      </w:r>
      <w:r w:rsidR="00027407" w:rsidRPr="00027407">
        <w:t xml:space="preserve"> (CRPD), ratified by Australia in 2008.  </w:t>
      </w:r>
      <w:r w:rsidR="00854E7A">
        <w:t xml:space="preserve">Article 24 of the </w:t>
      </w:r>
      <w:r w:rsidR="00027407" w:rsidRPr="00854E7A">
        <w:t>CRPD</w:t>
      </w:r>
      <w:r w:rsidR="00854E7A" w:rsidRPr="00854E7A">
        <w:t xml:space="preserve"> re</w:t>
      </w:r>
      <w:r w:rsidR="00854E7A">
        <w:t xml:space="preserve">cognises the right of </w:t>
      </w:r>
      <w:r w:rsidR="007A6D84">
        <w:t xml:space="preserve">all </w:t>
      </w:r>
      <w:r w:rsidR="00854E7A">
        <w:t>persons with disabilities to education</w:t>
      </w:r>
      <w:r w:rsidR="007A6D84">
        <w:t xml:space="preserve">. </w:t>
      </w:r>
      <w:r w:rsidR="00854E7A">
        <w:t>Persons with disabilities are not to be excluded from the general education system on the basis of disability, and children with disabilities</w:t>
      </w:r>
      <w:r w:rsidR="007A6D84">
        <w:t xml:space="preserve"> a</w:t>
      </w:r>
      <w:r w:rsidR="00854E7A">
        <w:t>re not to be excluded from free an</w:t>
      </w:r>
      <w:r w:rsidR="001B31C5">
        <w:t>d</w:t>
      </w:r>
      <w:r w:rsidR="00854E7A">
        <w:t xml:space="preserve"> compulsory primary education</w:t>
      </w:r>
      <w:r w:rsidR="00E01A02">
        <w:t xml:space="preserve"> or from </w:t>
      </w:r>
      <w:r w:rsidR="00854E7A">
        <w:t>secondary education on the basis of disability</w:t>
      </w:r>
      <w:r w:rsidR="00124DC6">
        <w:t>. T</w:t>
      </w:r>
      <w:r w:rsidR="00E01A02">
        <w:t xml:space="preserve">hey </w:t>
      </w:r>
      <w:r w:rsidR="004A58EC">
        <w:t xml:space="preserve">shall be </w:t>
      </w:r>
      <w:r w:rsidR="00854E7A">
        <w:t>able to access t</w:t>
      </w:r>
      <w:r w:rsidR="001B31C5">
        <w:t>h</w:t>
      </w:r>
      <w:r w:rsidR="00854E7A">
        <w:t>is education on an equal basis with others in the community in which they live.</w:t>
      </w:r>
      <w:r w:rsidR="001B31C5">
        <w:t xml:space="preserve"> Persons </w:t>
      </w:r>
      <w:r w:rsidR="007A6D84">
        <w:t>with disabilities</w:t>
      </w:r>
      <w:r w:rsidR="001B31C5">
        <w:t xml:space="preserve"> should</w:t>
      </w:r>
      <w:r w:rsidR="007A6D84">
        <w:t xml:space="preserve"> receive the support they need to facilitate their effective education</w:t>
      </w:r>
      <w:r w:rsidR="001B31C5">
        <w:t xml:space="preserve"> </w:t>
      </w:r>
      <w:r w:rsidR="007A6D84">
        <w:t>(article 24(2)</w:t>
      </w:r>
      <w:r w:rsidR="00FF0E16">
        <w:t>)</w:t>
      </w:r>
      <w:r w:rsidR="007A6D84">
        <w:t>.</w:t>
      </w:r>
    </w:p>
    <w:tbl>
      <w:tblPr>
        <w:tblStyle w:val="TableGrid"/>
        <w:tblW w:w="0" w:type="auto"/>
        <w:tblLook w:val="04A0" w:firstRow="1" w:lastRow="0" w:firstColumn="1" w:lastColumn="0" w:noHBand="0" w:noVBand="1"/>
      </w:tblPr>
      <w:tblGrid>
        <w:gridCol w:w="9060"/>
      </w:tblGrid>
      <w:tr w:rsidR="002B4B34" w14:paraId="29CE76E6" w14:textId="77777777" w:rsidTr="00AB3F94">
        <w:tc>
          <w:tcPr>
            <w:tcW w:w="9060" w:type="dxa"/>
            <w:shd w:val="clear" w:color="auto" w:fill="F2F2F2" w:themeFill="background1" w:themeFillShade="F2"/>
          </w:tcPr>
          <w:p w14:paraId="743569BC" w14:textId="1BDA8F6A" w:rsidR="00A917AB" w:rsidRPr="003D754B" w:rsidRDefault="00A917AB" w:rsidP="002B4B34">
            <w:pPr>
              <w:rPr>
                <w:b/>
                <w:bCs/>
              </w:rPr>
            </w:pPr>
            <w:r w:rsidRPr="003D754B">
              <w:rPr>
                <w:b/>
                <w:bCs/>
              </w:rPr>
              <w:t xml:space="preserve">Recommendation </w:t>
            </w:r>
            <w:r w:rsidR="004A6B36" w:rsidRPr="007955A9">
              <w:rPr>
                <w:b/>
                <w:bCs/>
              </w:rPr>
              <w:t>1</w:t>
            </w:r>
          </w:p>
          <w:p w14:paraId="70B415C4" w14:textId="69605CC8" w:rsidR="002B4B34" w:rsidRPr="00BA3DFF" w:rsidRDefault="002D6B40" w:rsidP="002B4B34">
            <w:pPr>
              <w:rPr>
                <w:b/>
              </w:rPr>
            </w:pPr>
            <w:r>
              <w:rPr>
                <w:b/>
                <w:bCs/>
              </w:rPr>
              <w:t>T</w:t>
            </w:r>
            <w:r w:rsidR="00BA6273" w:rsidRPr="00BA3DFF">
              <w:rPr>
                <w:b/>
                <w:bCs/>
              </w:rPr>
              <w:t>he</w:t>
            </w:r>
            <w:r w:rsidR="00BA6273" w:rsidRPr="00BA3DFF">
              <w:rPr>
                <w:b/>
              </w:rPr>
              <w:t xml:space="preserve"> Committee analyse the extent to which </w:t>
            </w:r>
            <w:r w:rsidR="002B4B34" w:rsidRPr="00BA3DFF">
              <w:rPr>
                <w:b/>
              </w:rPr>
              <w:t xml:space="preserve">Australian Governments </w:t>
            </w:r>
            <w:r w:rsidR="00BA6273" w:rsidRPr="00BA3DFF">
              <w:rPr>
                <w:b/>
              </w:rPr>
              <w:t xml:space="preserve">are meeting their obligations to </w:t>
            </w:r>
            <w:r w:rsidR="00A4072F">
              <w:rPr>
                <w:b/>
                <w:bCs/>
              </w:rPr>
              <w:t xml:space="preserve">respect and </w:t>
            </w:r>
            <w:r w:rsidR="003825AF">
              <w:rPr>
                <w:b/>
                <w:bCs/>
              </w:rPr>
              <w:t xml:space="preserve">ensure </w:t>
            </w:r>
            <w:r w:rsidR="000141DC">
              <w:rPr>
                <w:b/>
                <w:bCs/>
              </w:rPr>
              <w:t>the</w:t>
            </w:r>
            <w:r w:rsidR="003A36DD">
              <w:rPr>
                <w:b/>
              </w:rPr>
              <w:t xml:space="preserve"> right to education</w:t>
            </w:r>
            <w:r w:rsidR="003825AF">
              <w:rPr>
                <w:b/>
                <w:bCs/>
              </w:rPr>
              <w:t xml:space="preserve"> </w:t>
            </w:r>
            <w:r w:rsidR="000141DC">
              <w:rPr>
                <w:b/>
                <w:bCs/>
              </w:rPr>
              <w:t>in remote areas</w:t>
            </w:r>
            <w:r w:rsidR="000958A6">
              <w:rPr>
                <w:b/>
                <w:bCs/>
              </w:rPr>
              <w:t>,</w:t>
            </w:r>
            <w:r w:rsidR="00F76DBC">
              <w:rPr>
                <w:b/>
                <w:bCs/>
              </w:rPr>
              <w:t xml:space="preserve"> including</w:t>
            </w:r>
            <w:r w:rsidR="00F219D8">
              <w:rPr>
                <w:b/>
              </w:rPr>
              <w:t xml:space="preserve"> </w:t>
            </w:r>
            <w:r w:rsidR="00B061D6">
              <w:rPr>
                <w:b/>
                <w:bCs/>
              </w:rPr>
              <w:t>whether</w:t>
            </w:r>
            <w:r w:rsidR="0068247B">
              <w:rPr>
                <w:b/>
              </w:rPr>
              <w:t xml:space="preserve"> </w:t>
            </w:r>
            <w:r w:rsidR="00313A27" w:rsidRPr="00BA3DFF">
              <w:rPr>
                <w:b/>
              </w:rPr>
              <w:t>educatio</w:t>
            </w:r>
            <w:r w:rsidR="003A6FCE" w:rsidRPr="00BA3DFF">
              <w:rPr>
                <w:b/>
              </w:rPr>
              <w:t>n</w:t>
            </w:r>
            <w:r w:rsidR="00B061D6">
              <w:rPr>
                <w:b/>
                <w:bCs/>
              </w:rPr>
              <w:t xml:space="preserve"> is</w:t>
            </w:r>
            <w:r w:rsidR="00A34E9A" w:rsidRPr="00BA3DFF">
              <w:rPr>
                <w:b/>
              </w:rPr>
              <w:t>:</w:t>
            </w:r>
          </w:p>
          <w:p w14:paraId="47B3F398" w14:textId="131BBC2F" w:rsidR="002B4B34" w:rsidRPr="00BA3DFF" w:rsidRDefault="00A34E9A" w:rsidP="00EF6A9E">
            <w:pPr>
              <w:pStyle w:val="ListParagraph"/>
              <w:numPr>
                <w:ilvl w:val="0"/>
                <w:numId w:val="59"/>
              </w:numPr>
              <w:rPr>
                <w:b/>
              </w:rPr>
            </w:pPr>
            <w:r w:rsidRPr="00BA3DFF">
              <w:rPr>
                <w:b/>
              </w:rPr>
              <w:t>a</w:t>
            </w:r>
            <w:r w:rsidR="002B4B34" w:rsidRPr="00BA3DFF">
              <w:rPr>
                <w:b/>
              </w:rPr>
              <w:t>vailable</w:t>
            </w:r>
          </w:p>
          <w:p w14:paraId="5D94DD91" w14:textId="40F86E98" w:rsidR="002B4B34" w:rsidRPr="00BA3DFF" w:rsidRDefault="00A34E9A" w:rsidP="00EF6A9E">
            <w:pPr>
              <w:pStyle w:val="ListParagraph"/>
              <w:numPr>
                <w:ilvl w:val="0"/>
                <w:numId w:val="59"/>
              </w:numPr>
              <w:rPr>
                <w:b/>
              </w:rPr>
            </w:pPr>
            <w:r w:rsidRPr="00BA3DFF">
              <w:rPr>
                <w:b/>
              </w:rPr>
              <w:t>a</w:t>
            </w:r>
            <w:r w:rsidR="002B4B34" w:rsidRPr="00BA3DFF">
              <w:rPr>
                <w:b/>
              </w:rPr>
              <w:t>ccessible</w:t>
            </w:r>
          </w:p>
          <w:p w14:paraId="3304EB3A" w14:textId="0EF3F09D" w:rsidR="002B4B34" w:rsidRPr="00BA3DFF" w:rsidRDefault="00A34E9A" w:rsidP="00EF6A9E">
            <w:pPr>
              <w:pStyle w:val="ListParagraph"/>
              <w:numPr>
                <w:ilvl w:val="0"/>
                <w:numId w:val="59"/>
              </w:numPr>
              <w:rPr>
                <w:b/>
              </w:rPr>
            </w:pPr>
            <w:r w:rsidRPr="00BA3DFF">
              <w:rPr>
                <w:b/>
              </w:rPr>
              <w:lastRenderedPageBreak/>
              <w:t>a</w:t>
            </w:r>
            <w:r w:rsidR="002B4B34" w:rsidRPr="00BA3DFF">
              <w:rPr>
                <w:b/>
              </w:rPr>
              <w:t>ffordable</w:t>
            </w:r>
          </w:p>
          <w:p w14:paraId="5EC0EAF5" w14:textId="092AE950" w:rsidR="002B4B34" w:rsidRPr="00BA3DFF" w:rsidRDefault="00A34E9A" w:rsidP="00EF6A9E">
            <w:pPr>
              <w:pStyle w:val="ListParagraph"/>
              <w:numPr>
                <w:ilvl w:val="0"/>
                <w:numId w:val="59"/>
              </w:numPr>
              <w:rPr>
                <w:b/>
              </w:rPr>
            </w:pPr>
            <w:r w:rsidRPr="00BA3DFF">
              <w:rPr>
                <w:b/>
              </w:rPr>
              <w:t>a</w:t>
            </w:r>
            <w:r w:rsidR="002B4B34" w:rsidRPr="00BA3DFF">
              <w:rPr>
                <w:b/>
              </w:rPr>
              <w:t>cceptable</w:t>
            </w:r>
          </w:p>
          <w:p w14:paraId="29E3F8D9" w14:textId="770F3282" w:rsidR="002B4B34" w:rsidRDefault="00A34E9A" w:rsidP="00EF6A9E">
            <w:pPr>
              <w:pStyle w:val="ListParagraph"/>
              <w:numPr>
                <w:ilvl w:val="0"/>
                <w:numId w:val="59"/>
              </w:numPr>
            </w:pPr>
            <w:r w:rsidRPr="00BA3DFF">
              <w:rPr>
                <w:b/>
              </w:rPr>
              <w:t>a</w:t>
            </w:r>
            <w:r w:rsidR="002B4B34" w:rsidRPr="00BA3DFF">
              <w:rPr>
                <w:b/>
              </w:rPr>
              <w:t>daptabl</w:t>
            </w:r>
            <w:r w:rsidR="002B4B34">
              <w:rPr>
                <w:b/>
              </w:rPr>
              <w:t>e.</w:t>
            </w:r>
          </w:p>
        </w:tc>
      </w:tr>
    </w:tbl>
    <w:p w14:paraId="6DAF1E36" w14:textId="6B9B7A02" w:rsidR="0084085A" w:rsidRDefault="005B6D89" w:rsidP="005928F7">
      <w:pPr>
        <w:pStyle w:val="Heading1"/>
      </w:pPr>
      <w:bookmarkStart w:id="13" w:name="_Toc32497880"/>
      <w:r>
        <w:lastRenderedPageBreak/>
        <w:t>E</w:t>
      </w:r>
      <w:r w:rsidR="002F6202">
        <w:t xml:space="preserve">ducational </w:t>
      </w:r>
      <w:r w:rsidR="00860A89">
        <w:t>disadvantage</w:t>
      </w:r>
      <w:r w:rsidR="002F6202">
        <w:t xml:space="preserve"> </w:t>
      </w:r>
      <w:r w:rsidR="00B53F03">
        <w:t>and remoteness</w:t>
      </w:r>
      <w:bookmarkEnd w:id="13"/>
    </w:p>
    <w:p w14:paraId="6480DB1C" w14:textId="77777777" w:rsidR="00242DB6" w:rsidRDefault="00242DB6" w:rsidP="00242DB6">
      <w:r>
        <w:t>The National Children’s Commissioner’s most recent Children’s Rights Report highlights educational disadvantage faced by children in remote areas:</w:t>
      </w:r>
    </w:p>
    <w:p w14:paraId="3E62A859" w14:textId="77777777" w:rsidR="00242DB6" w:rsidRDefault="00242DB6" w:rsidP="00242DB6">
      <w:pPr>
        <w:pStyle w:val="ListParagraph"/>
        <w:numPr>
          <w:ilvl w:val="0"/>
          <w:numId w:val="18"/>
        </w:numPr>
      </w:pPr>
      <w:r>
        <w:t>Four-year-old c</w:t>
      </w:r>
      <w:r w:rsidRPr="00E66A14">
        <w:t>hildren living in very remote areas of Australia are more than twice as likely as those from major cities to be developmentally vulnerable (45.5% and 20.8% respectively)</w:t>
      </w:r>
      <w:r>
        <w:t xml:space="preserve"> against Australian Early Childhood Development Index domains.</w:t>
      </w:r>
      <w:r>
        <w:rPr>
          <w:rStyle w:val="EndnoteReference"/>
        </w:rPr>
        <w:endnoteReference w:id="23"/>
      </w:r>
      <w:r>
        <w:t xml:space="preserve"> </w:t>
      </w:r>
    </w:p>
    <w:p w14:paraId="69E13CBD" w14:textId="77777777" w:rsidR="00242DB6" w:rsidRDefault="00242DB6" w:rsidP="00242DB6">
      <w:pPr>
        <w:pStyle w:val="ListParagraph"/>
        <w:numPr>
          <w:ilvl w:val="0"/>
          <w:numId w:val="18"/>
        </w:numPr>
      </w:pPr>
      <w:r>
        <w:t>School attendance across years one to ten decreases as remoteness increases.</w:t>
      </w:r>
      <w:r>
        <w:rPr>
          <w:rStyle w:val="EndnoteReference"/>
        </w:rPr>
        <w:endnoteReference w:id="24"/>
      </w:r>
      <w:r>
        <w:t xml:space="preserve"> </w:t>
      </w:r>
    </w:p>
    <w:p w14:paraId="00E419C6" w14:textId="77777777" w:rsidR="00242DB6" w:rsidRDefault="00242DB6" w:rsidP="00242DB6">
      <w:pPr>
        <w:pStyle w:val="ListParagraph"/>
        <w:numPr>
          <w:ilvl w:val="0"/>
          <w:numId w:val="18"/>
        </w:numPr>
      </w:pPr>
      <w:r>
        <w:t>National reading and numeracy outcomes decline with remoteness. For example, in 2017 the proportion of year five students that achieved at or above the national minimum standard in reading was 95% in major city areas compared to 52.7% in very remote areas,</w:t>
      </w:r>
      <w:r>
        <w:rPr>
          <w:rStyle w:val="EndnoteReference"/>
        </w:rPr>
        <w:endnoteReference w:id="25"/>
      </w:r>
      <w:r>
        <w:t xml:space="preserve"> and in numeracy was 96.2% in major cities compared to 60.7% in very remote areas.</w:t>
      </w:r>
      <w:r>
        <w:rPr>
          <w:rStyle w:val="EndnoteReference"/>
        </w:rPr>
        <w:endnoteReference w:id="26"/>
      </w:r>
    </w:p>
    <w:p w14:paraId="49BD5EC0" w14:textId="50571048" w:rsidR="00242DB6" w:rsidRPr="009A7738" w:rsidRDefault="00242DB6" w:rsidP="00242DB6">
      <w:pPr>
        <w:pStyle w:val="BodyText"/>
      </w:pPr>
      <w:r>
        <w:t xml:space="preserve">Further, </w:t>
      </w:r>
      <w:r w:rsidR="001E2282">
        <w:t>Y</w:t>
      </w:r>
      <w:r>
        <w:t>ear 12 certificate attainment rates decline with remoteness, from 80</w:t>
      </w:r>
      <w:r w:rsidR="001E2282">
        <w:t>%</w:t>
      </w:r>
      <w:r>
        <w:t xml:space="preserve"> in major cities to 74</w:t>
      </w:r>
      <w:r w:rsidR="001E2282">
        <w:t>%</w:t>
      </w:r>
      <w:r>
        <w:t xml:space="preserve"> in remote areas, and 43</w:t>
      </w:r>
      <w:r w:rsidR="001E2282">
        <w:t>%</w:t>
      </w:r>
      <w:r>
        <w:t xml:space="preserve"> in very remote areas.</w:t>
      </w:r>
      <w:r>
        <w:rPr>
          <w:rStyle w:val="EndnoteReference"/>
        </w:rPr>
        <w:endnoteReference w:id="27"/>
      </w:r>
      <w:r>
        <w:t xml:space="preserve"> There is also a decreasing trend with increasing remoteness for tertiary education.</w:t>
      </w:r>
      <w:r>
        <w:rPr>
          <w:rStyle w:val="EndnoteReference"/>
        </w:rPr>
        <w:endnoteReference w:id="28"/>
      </w:r>
    </w:p>
    <w:p w14:paraId="74F26F71" w14:textId="2C778AD4" w:rsidR="00251002" w:rsidRDefault="00AB3F94" w:rsidP="00242DB6">
      <w:r>
        <w:t>C</w:t>
      </w:r>
      <w:r w:rsidR="00242DB6">
        <w:t xml:space="preserve">hildren in remote areas </w:t>
      </w:r>
      <w:r>
        <w:t xml:space="preserve">face a number of </w:t>
      </w:r>
      <w:r w:rsidR="00BF3DB0">
        <w:t xml:space="preserve">challenges </w:t>
      </w:r>
      <w:r w:rsidR="00242DB6">
        <w:t>that impact heavily on the</w:t>
      </w:r>
      <w:r w:rsidR="00BF3DB0">
        <w:t>ir</w:t>
      </w:r>
      <w:r w:rsidR="00242DB6">
        <w:t xml:space="preserve"> </w:t>
      </w:r>
      <w:r w:rsidR="00BF3DB0">
        <w:t xml:space="preserve">ability to access and engage with </w:t>
      </w:r>
      <w:r w:rsidR="00242DB6">
        <w:t>education.</w:t>
      </w:r>
      <w:r w:rsidR="00251002">
        <w:t xml:space="preserve"> </w:t>
      </w:r>
    </w:p>
    <w:p w14:paraId="00E8D0D5" w14:textId="52F3FB09" w:rsidR="00242DB6" w:rsidRDefault="00242DB6" w:rsidP="00242DB6">
      <w:r>
        <w:t>A review of children’s developmental health in rural and remote Australia, commissioned by Royal Far West in 2017, showed that children in rural and remote areas share the following common characteristics:</w:t>
      </w:r>
    </w:p>
    <w:p w14:paraId="7EA03B97" w14:textId="77777777" w:rsidR="00242DB6" w:rsidRDefault="00242DB6" w:rsidP="00242DB6">
      <w:pPr>
        <w:pStyle w:val="ListParagraph"/>
        <w:numPr>
          <w:ilvl w:val="0"/>
          <w:numId w:val="20"/>
        </w:numPr>
      </w:pPr>
      <w:r>
        <w:t>They experience poverty at disproportionately higher rates.</w:t>
      </w:r>
    </w:p>
    <w:p w14:paraId="641B033F" w14:textId="77777777" w:rsidR="00242DB6" w:rsidRDefault="00242DB6" w:rsidP="00242DB6">
      <w:pPr>
        <w:pStyle w:val="ListParagraph"/>
        <w:numPr>
          <w:ilvl w:val="0"/>
          <w:numId w:val="20"/>
        </w:numPr>
      </w:pPr>
      <w:r>
        <w:t>They are more likely to live in unemployed households, with single parent families and in families where the mother has a low educational attainment.</w:t>
      </w:r>
    </w:p>
    <w:p w14:paraId="7B5862C5" w14:textId="77777777" w:rsidR="00242DB6" w:rsidRDefault="00242DB6" w:rsidP="00242DB6">
      <w:pPr>
        <w:pStyle w:val="ListParagraph"/>
        <w:numPr>
          <w:ilvl w:val="0"/>
          <w:numId w:val="20"/>
        </w:numPr>
      </w:pPr>
      <w:r>
        <w:t>They are more likely to be Indigenous.</w:t>
      </w:r>
    </w:p>
    <w:p w14:paraId="08D22C6F" w14:textId="77777777" w:rsidR="00242DB6" w:rsidRDefault="00242DB6" w:rsidP="00242DB6">
      <w:pPr>
        <w:pStyle w:val="ListParagraph"/>
        <w:numPr>
          <w:ilvl w:val="0"/>
          <w:numId w:val="20"/>
        </w:numPr>
      </w:pPr>
      <w:r>
        <w:lastRenderedPageBreak/>
        <w:t>They are more likely to be socially isolated.</w:t>
      </w:r>
    </w:p>
    <w:p w14:paraId="01FF6463" w14:textId="77777777" w:rsidR="00242DB6" w:rsidRDefault="00242DB6" w:rsidP="00242DB6">
      <w:pPr>
        <w:pStyle w:val="ListParagraph"/>
        <w:numPr>
          <w:ilvl w:val="0"/>
          <w:numId w:val="20"/>
        </w:numPr>
      </w:pPr>
      <w:r>
        <w:t>They are more likely to be exposed to family and domestic violence and have contact with child protection services.</w:t>
      </w:r>
    </w:p>
    <w:p w14:paraId="3DBAD712" w14:textId="77777777" w:rsidR="00242DB6" w:rsidRDefault="00242DB6" w:rsidP="00242DB6">
      <w:pPr>
        <w:pStyle w:val="ListParagraph"/>
        <w:numPr>
          <w:ilvl w:val="0"/>
          <w:numId w:val="20"/>
        </w:numPr>
      </w:pPr>
      <w:r>
        <w:t>They are less likely to engage in Early Childhood Education and Care.</w:t>
      </w:r>
      <w:r>
        <w:rPr>
          <w:rStyle w:val="EndnoteReference"/>
        </w:rPr>
        <w:endnoteReference w:id="29"/>
      </w:r>
    </w:p>
    <w:p w14:paraId="43D9B4B8" w14:textId="142B3CD1" w:rsidR="00242DB6" w:rsidRDefault="00242DB6" w:rsidP="00242DB6">
      <w:pPr>
        <w:spacing w:before="0" w:after="0"/>
      </w:pPr>
      <w:r>
        <w:t>Mental health concerns can impact significantly on children’s access to education. In outer regional areas, close to one in five children have mental health concerns.</w:t>
      </w:r>
      <w:r>
        <w:rPr>
          <w:rStyle w:val="EndnoteReference"/>
        </w:rPr>
        <w:endnoteReference w:id="30"/>
      </w:r>
      <w:r>
        <w:t xml:space="preserve"> </w:t>
      </w:r>
      <w:r w:rsidR="001E2282">
        <w:t>In 2014, the National Children’s Commissioner examined the extent of</w:t>
      </w:r>
      <w:r>
        <w:t xml:space="preserve"> intentional self-harm (with or without suicidal intent) by </w:t>
      </w:r>
      <w:r w:rsidR="001E2282">
        <w:t xml:space="preserve">children and young people. Her examination showed that </w:t>
      </w:r>
      <w:r w:rsidRPr="008A578A">
        <w:t>children and young p</w:t>
      </w:r>
      <w:r>
        <w:t>eople who live</w:t>
      </w:r>
      <w:r w:rsidRPr="008A578A">
        <w:t xml:space="preserve"> in remote areas </w:t>
      </w:r>
      <w:r>
        <w:t>are</w:t>
      </w:r>
      <w:r w:rsidRPr="008A578A">
        <w:t xml:space="preserve"> significantly more likely to die due to intentional self-harm than by other external causes, compared to children and young people </w:t>
      </w:r>
      <w:r>
        <w:t>who live</w:t>
      </w:r>
      <w:r w:rsidRPr="008A578A">
        <w:t xml:space="preserve"> in metropolitan areas.</w:t>
      </w:r>
      <w:r w:rsidRPr="008A578A">
        <w:rPr>
          <w:vertAlign w:val="superscript"/>
        </w:rPr>
        <w:endnoteReference w:id="31"/>
      </w:r>
      <w:r w:rsidRPr="008A578A">
        <w:t xml:space="preserve"> </w:t>
      </w:r>
      <w:r>
        <w:t xml:space="preserve">Submissions described a lack </w:t>
      </w:r>
      <w:r w:rsidRPr="008A578A">
        <w:t xml:space="preserve">of access to information and available </w:t>
      </w:r>
      <w:r>
        <w:t xml:space="preserve">mental health </w:t>
      </w:r>
      <w:r w:rsidRPr="008A578A">
        <w:t>support services i</w:t>
      </w:r>
      <w:r>
        <w:t xml:space="preserve">n rural and remote communities. The </w:t>
      </w:r>
      <w:r w:rsidRPr="00874093">
        <w:rPr>
          <w:rFonts w:cs="Arial"/>
        </w:rPr>
        <w:t>Menzies School of Health Research highlighted</w:t>
      </w:r>
      <w:r>
        <w:rPr>
          <w:rFonts w:cs="Arial"/>
        </w:rPr>
        <w:t>,</w:t>
      </w:r>
      <w:r w:rsidRPr="00874093">
        <w:rPr>
          <w:rFonts w:cs="Arial"/>
        </w:rPr>
        <w:t xml:space="preserve"> in particular</w:t>
      </w:r>
      <w:r>
        <w:rPr>
          <w:rFonts w:cs="Arial"/>
        </w:rPr>
        <w:t xml:space="preserve">, </w:t>
      </w:r>
      <w:r w:rsidRPr="00874093">
        <w:rPr>
          <w:rFonts w:cs="Arial"/>
        </w:rPr>
        <w:t>the lack of social and emotional wellbeing services available to children and young people in remote Northern Territory communities, with few or no follow-up services available to them.</w:t>
      </w:r>
      <w:r w:rsidRPr="001054DC">
        <w:rPr>
          <w:rFonts w:cs="Arial"/>
          <w:vertAlign w:val="superscript"/>
        </w:rPr>
        <w:endnoteReference w:id="32"/>
      </w:r>
      <w:r w:rsidRPr="00874093">
        <w:rPr>
          <w:rFonts w:cs="Arial"/>
          <w:sz w:val="32"/>
        </w:rPr>
        <w:t xml:space="preserve"> </w:t>
      </w:r>
    </w:p>
    <w:p w14:paraId="11F6C5E5" w14:textId="2CAA10FE" w:rsidR="00242DB6" w:rsidRDefault="00BF3DB0" w:rsidP="00242DB6">
      <w:r>
        <w:t>Further, c</w:t>
      </w:r>
      <w:r w:rsidR="00242DB6" w:rsidRPr="00460EE8">
        <w:t xml:space="preserve">hildren </w:t>
      </w:r>
      <w:r w:rsidR="00242DB6">
        <w:t xml:space="preserve">in remote areas </w:t>
      </w:r>
      <w:r w:rsidR="00242DB6" w:rsidRPr="00460EE8">
        <w:t>also experience negative impacts from natural disasters not experienced by children living in major cities</w:t>
      </w:r>
      <w:r w:rsidR="00242DB6">
        <w:t xml:space="preserve"> (see </w:t>
      </w:r>
      <w:r w:rsidR="00F34D66">
        <w:t xml:space="preserve">Section 6.5 </w:t>
      </w:r>
      <w:r w:rsidR="00242DB6">
        <w:t>below)</w:t>
      </w:r>
      <w:r w:rsidR="00242DB6" w:rsidRPr="00460EE8">
        <w:t>.</w:t>
      </w:r>
      <w:r w:rsidR="00242DB6">
        <w:t xml:space="preserve"> </w:t>
      </w:r>
    </w:p>
    <w:p w14:paraId="037698C3" w14:textId="0BF3019B" w:rsidR="00A32837" w:rsidRDefault="00CC3FFC" w:rsidP="00242DB6">
      <w:r>
        <w:t>Children’s right to education will not be realised in remote areas, or indeed elsewhere in Australia, without addressing</w:t>
      </w:r>
      <w:r w:rsidR="009767C1">
        <w:t xml:space="preserve"> inequalities </w:t>
      </w:r>
      <w:r w:rsidR="00B66C84">
        <w:t xml:space="preserve">and </w:t>
      </w:r>
      <w:r w:rsidR="00C930A2">
        <w:t>disadvantage</w:t>
      </w:r>
      <w:r w:rsidR="00F34D66">
        <w:t xml:space="preserve"> more broadly</w:t>
      </w:r>
      <w:r>
        <w:t xml:space="preserve">, including </w:t>
      </w:r>
      <w:r w:rsidR="00EE2323">
        <w:t>lack</w:t>
      </w:r>
      <w:r w:rsidR="00C930A2">
        <w:t xml:space="preserve"> of </w:t>
      </w:r>
      <w:r>
        <w:t xml:space="preserve">cultural rights, health rights and right to be protected from violence and abuse. </w:t>
      </w:r>
      <w:r w:rsidR="008C2119">
        <w:t xml:space="preserve">Any strategies to address educational disadvantage </w:t>
      </w:r>
      <w:r w:rsidR="00A92030">
        <w:t xml:space="preserve">must </w:t>
      </w:r>
      <w:r w:rsidR="00820416">
        <w:t>be holistic and recognise these broader concerns</w:t>
      </w:r>
      <w:r w:rsidR="00297A02">
        <w:t xml:space="preserve">, while at the same time </w:t>
      </w:r>
      <w:r w:rsidR="00DC351B">
        <w:t>responding to local needs.</w:t>
      </w:r>
    </w:p>
    <w:p w14:paraId="2A384F8B" w14:textId="19FD86DC" w:rsidR="00746938" w:rsidRPr="00460EE8" w:rsidRDefault="00746938" w:rsidP="00242DB6">
      <w:r>
        <w:t>In her Children’s Rights Report</w:t>
      </w:r>
      <w:r w:rsidR="000F55E9">
        <w:t xml:space="preserve"> 2019, the National Childr</w:t>
      </w:r>
      <w:r w:rsidR="00B44AF1">
        <w:t>en</w:t>
      </w:r>
      <w:r w:rsidR="000F55E9">
        <w:t>’s Commissioner recommended that the Austr</w:t>
      </w:r>
      <w:r w:rsidR="00B44AF1">
        <w:t>al</w:t>
      </w:r>
      <w:r w:rsidR="000F55E9">
        <w:t>ian Government address inequality experienced by chi</w:t>
      </w:r>
      <w:r w:rsidR="00B44AF1">
        <w:t>ld</w:t>
      </w:r>
      <w:r w:rsidR="000F55E9">
        <w:t>ren living in regional and remote Australia through targeted measures.</w:t>
      </w:r>
      <w:r w:rsidR="003D754B">
        <w:rPr>
          <w:rStyle w:val="EndnoteReference"/>
        </w:rPr>
        <w:endnoteReference w:id="33"/>
      </w:r>
      <w:r w:rsidR="000F55E9">
        <w:t xml:space="preserve"> </w:t>
      </w:r>
    </w:p>
    <w:tbl>
      <w:tblPr>
        <w:tblStyle w:val="TableGrid"/>
        <w:tblW w:w="0" w:type="auto"/>
        <w:shd w:val="clear" w:color="auto" w:fill="EDEDED" w:themeFill="accent3" w:themeFillTint="33"/>
        <w:tblLook w:val="04A0" w:firstRow="1" w:lastRow="0" w:firstColumn="1" w:lastColumn="0" w:noHBand="0" w:noVBand="1"/>
      </w:tblPr>
      <w:tblGrid>
        <w:gridCol w:w="9060"/>
      </w:tblGrid>
      <w:tr w:rsidR="00242DB6" w14:paraId="33B1F16F" w14:textId="77777777" w:rsidTr="00A856F3">
        <w:tc>
          <w:tcPr>
            <w:tcW w:w="9060" w:type="dxa"/>
            <w:shd w:val="clear" w:color="auto" w:fill="F2F2F2" w:themeFill="background1" w:themeFillShade="F2"/>
          </w:tcPr>
          <w:p w14:paraId="4312ADDE" w14:textId="5788B453" w:rsidR="00242DB6" w:rsidRPr="00947568" w:rsidRDefault="00242DB6" w:rsidP="00B76242">
            <w:pPr>
              <w:tabs>
                <w:tab w:val="num" w:pos="7383"/>
              </w:tabs>
              <w:rPr>
                <w:b/>
                <w:lang w:val="en-US"/>
              </w:rPr>
            </w:pPr>
            <w:r w:rsidRPr="00947568">
              <w:rPr>
                <w:b/>
                <w:lang w:val="en-US"/>
              </w:rPr>
              <w:t>Recommendation</w:t>
            </w:r>
            <w:r w:rsidR="003D754B">
              <w:rPr>
                <w:b/>
                <w:lang w:val="en-US"/>
              </w:rPr>
              <w:t xml:space="preserve"> </w:t>
            </w:r>
            <w:r w:rsidR="00D44A2F" w:rsidRPr="00980E01">
              <w:rPr>
                <w:b/>
                <w:lang w:val="en-US"/>
              </w:rPr>
              <w:t>2</w:t>
            </w:r>
          </w:p>
          <w:p w14:paraId="5C57E9D1" w14:textId="151CEA11" w:rsidR="008A0DF7" w:rsidRPr="009C78B4" w:rsidRDefault="00242DB6" w:rsidP="00B76242">
            <w:pPr>
              <w:tabs>
                <w:tab w:val="num" w:pos="7383"/>
              </w:tabs>
              <w:rPr>
                <w:bCs/>
                <w:lang w:val="en-US"/>
              </w:rPr>
            </w:pPr>
            <w:r w:rsidRPr="00947568">
              <w:rPr>
                <w:b/>
                <w:lang w:val="en-US"/>
              </w:rPr>
              <w:t>Australian Government</w:t>
            </w:r>
            <w:r w:rsidR="00D44A2F">
              <w:rPr>
                <w:b/>
                <w:lang w:val="en-US"/>
              </w:rPr>
              <w:t>s</w:t>
            </w:r>
            <w:r w:rsidRPr="00947568">
              <w:rPr>
                <w:b/>
                <w:lang w:val="en-US"/>
              </w:rPr>
              <w:t xml:space="preserve"> </w:t>
            </w:r>
            <w:r w:rsidR="00D44A2F">
              <w:rPr>
                <w:b/>
                <w:lang w:val="en-US"/>
              </w:rPr>
              <w:t xml:space="preserve">adopt targeted, additional measures to </w:t>
            </w:r>
            <w:r w:rsidR="00295A6F">
              <w:rPr>
                <w:b/>
                <w:lang w:val="en-US"/>
              </w:rPr>
              <w:t xml:space="preserve">remediate the </w:t>
            </w:r>
            <w:r w:rsidRPr="00947568">
              <w:rPr>
                <w:b/>
                <w:lang w:val="en-US"/>
              </w:rPr>
              <w:t>inequality experienced by children living in remote Australia.</w:t>
            </w:r>
            <w:r>
              <w:rPr>
                <w:bCs/>
                <w:lang w:val="en-US"/>
              </w:rPr>
              <w:t xml:space="preserve"> </w:t>
            </w:r>
          </w:p>
        </w:tc>
      </w:tr>
    </w:tbl>
    <w:p w14:paraId="5F540CB7" w14:textId="41DA424F" w:rsidR="00344683" w:rsidRDefault="007D79C2" w:rsidP="00344683">
      <w:pPr>
        <w:pStyle w:val="Heading1"/>
      </w:pPr>
      <w:bookmarkStart w:id="14" w:name="_Toc32497881"/>
      <w:r>
        <w:lastRenderedPageBreak/>
        <w:t>Importance of e</w:t>
      </w:r>
      <w:r w:rsidR="00344683">
        <w:t>arly childhood education</w:t>
      </w:r>
      <w:bookmarkEnd w:id="14"/>
    </w:p>
    <w:p w14:paraId="3678AE62" w14:textId="71ED8D31" w:rsidR="00344683" w:rsidRPr="00B07E56" w:rsidRDefault="00984624" w:rsidP="00344683">
      <w:pPr>
        <w:rPr>
          <w:sz w:val="22"/>
          <w:szCs w:val="22"/>
        </w:rPr>
      </w:pPr>
      <w:r>
        <w:t>T</w:t>
      </w:r>
      <w:r w:rsidR="00344683">
        <w:rPr>
          <w:lang w:eastAsia="ja-JP"/>
        </w:rPr>
        <w:t>he UN Committee interprets the right to education during early childhood as beginning at birth and closely linked to young children’s right to maximum development (article 6(2)).</w:t>
      </w:r>
      <w:r w:rsidR="00344683">
        <w:rPr>
          <w:rStyle w:val="EndnoteReference"/>
          <w:lang w:eastAsia="ja-JP"/>
        </w:rPr>
        <w:endnoteReference w:id="34"/>
      </w:r>
      <w:r w:rsidR="00344683">
        <w:rPr>
          <w:lang w:eastAsia="ja-JP"/>
        </w:rPr>
        <w:t xml:space="preserve"> </w:t>
      </w:r>
      <w:r w:rsidR="00344683">
        <w:t>P</w:t>
      </w:r>
      <w:r w:rsidR="00344683" w:rsidRPr="001C057C">
        <w:t>articular attention should be paid to the most vulnerable groups of young children and to those who are at risk of discrimination</w:t>
      </w:r>
      <w:r w:rsidR="00344683">
        <w:t>.</w:t>
      </w:r>
      <w:r w:rsidR="00344683" w:rsidRPr="001C057C">
        <w:rPr>
          <w:rStyle w:val="EndnoteReference"/>
          <w:sz w:val="24"/>
        </w:rPr>
        <w:endnoteReference w:id="35"/>
      </w:r>
      <w:r w:rsidR="00344683" w:rsidRPr="001C057C">
        <w:rPr>
          <w:lang w:eastAsia="ja-JP"/>
        </w:rPr>
        <w:t xml:space="preserve"> </w:t>
      </w:r>
    </w:p>
    <w:p w14:paraId="4EC6C0A4" w14:textId="6C897F82" w:rsidR="00344683" w:rsidRPr="00A755F3" w:rsidRDefault="00344683" w:rsidP="00344683">
      <w:pPr>
        <w:rPr>
          <w:rFonts w:ascii="Calibri" w:eastAsia="Calibri" w:hAnsi="Calibri"/>
          <w:sz w:val="22"/>
          <w:szCs w:val="22"/>
        </w:rPr>
      </w:pPr>
      <w:r>
        <w:t>Quality early childhood programs have a significant impact on school readiness</w:t>
      </w:r>
      <w:r w:rsidR="00984624">
        <w:t xml:space="preserve">, child safety </w:t>
      </w:r>
      <w:r>
        <w:t xml:space="preserve">and child development, leading to longer term educational outcomes. </w:t>
      </w:r>
      <w:r>
        <w:rPr>
          <w:rFonts w:cs="Open Sans"/>
        </w:rPr>
        <w:t xml:space="preserve">They </w:t>
      </w:r>
      <w:r w:rsidRPr="009E544A">
        <w:rPr>
          <w:rFonts w:cs="Open Sans"/>
        </w:rPr>
        <w:t xml:space="preserve">play </w:t>
      </w:r>
      <w:r>
        <w:rPr>
          <w:rFonts w:cs="Open Sans"/>
        </w:rPr>
        <w:t xml:space="preserve">a key role </w:t>
      </w:r>
      <w:r w:rsidRPr="009E544A">
        <w:rPr>
          <w:rFonts w:cs="Open Sans"/>
        </w:rPr>
        <w:t>in preparing children for school and assisting in the development of</w:t>
      </w:r>
      <w:r>
        <w:rPr>
          <w:rFonts w:cs="Open Sans"/>
        </w:rPr>
        <w:t xml:space="preserve"> </w:t>
      </w:r>
      <w:r w:rsidRPr="009E544A">
        <w:rPr>
          <w:rFonts w:cs="Open Sans"/>
        </w:rPr>
        <w:t xml:space="preserve">language, literacy and numeracy skills. </w:t>
      </w:r>
      <w:r w:rsidR="00B41FD9">
        <w:rPr>
          <w:rFonts w:cs="Open Sans"/>
        </w:rPr>
        <w:t xml:space="preserve">They </w:t>
      </w:r>
      <w:r w:rsidRPr="009E544A">
        <w:rPr>
          <w:rFonts w:cs="Open Sans"/>
        </w:rPr>
        <w:t xml:space="preserve">also facilitate the early assessment of </w:t>
      </w:r>
      <w:r>
        <w:rPr>
          <w:rFonts w:cs="Open Sans"/>
        </w:rPr>
        <w:t xml:space="preserve">health concerns or disabilities </w:t>
      </w:r>
      <w:r w:rsidRPr="009E544A">
        <w:rPr>
          <w:rFonts w:cs="Open Sans"/>
        </w:rPr>
        <w:t xml:space="preserve">which, if left </w:t>
      </w:r>
      <w:r>
        <w:rPr>
          <w:rFonts w:cs="Open Sans"/>
        </w:rPr>
        <w:t>unidentified</w:t>
      </w:r>
      <w:r w:rsidRPr="009E544A">
        <w:rPr>
          <w:rFonts w:cs="Open Sans"/>
        </w:rPr>
        <w:t>, can severely inhibit learning.</w:t>
      </w:r>
    </w:p>
    <w:p w14:paraId="39D921A7" w14:textId="7963B5BB" w:rsidR="000A1A49" w:rsidRDefault="000A1A49" w:rsidP="000A1A49">
      <w:pPr>
        <w:rPr>
          <w:rFonts w:cs="Open Sans"/>
          <w:color w:val="000000"/>
        </w:rPr>
      </w:pPr>
      <w:r>
        <w:rPr>
          <w:rFonts w:cs="Open Sans"/>
        </w:rPr>
        <w:t xml:space="preserve">However, families in remote areas </w:t>
      </w:r>
      <w:r w:rsidR="00105988">
        <w:rPr>
          <w:rFonts w:cs="Open Sans"/>
        </w:rPr>
        <w:t xml:space="preserve">can </w:t>
      </w:r>
      <w:r>
        <w:rPr>
          <w:rFonts w:cs="Open Sans"/>
        </w:rPr>
        <w:t xml:space="preserve">have difficulty accessing high quality education and care </w:t>
      </w:r>
      <w:r w:rsidR="00344683">
        <w:rPr>
          <w:rFonts w:cs="Open Sans"/>
        </w:rPr>
        <w:t xml:space="preserve">services </w:t>
      </w:r>
      <w:r>
        <w:rPr>
          <w:rFonts w:cs="Open Sans"/>
        </w:rPr>
        <w:t xml:space="preserve">within a reasonable distance from their home. While </w:t>
      </w:r>
      <w:r>
        <w:t xml:space="preserve">this access can vary across states/territories, data examined by the </w:t>
      </w:r>
      <w:r w:rsidR="00344683">
        <w:t>Australian Institute of Family Studies</w:t>
      </w:r>
      <w:r>
        <w:t xml:space="preserve"> in 2013 indicated that as remoteness increased, generally children in remote areas of Australia were less likely to be in education and care prior to starting school.</w:t>
      </w:r>
      <w:r>
        <w:rPr>
          <w:rStyle w:val="EndnoteReference"/>
        </w:rPr>
        <w:endnoteReference w:id="36"/>
      </w:r>
      <w:r>
        <w:t xml:space="preserve"> </w:t>
      </w:r>
      <w:r>
        <w:rPr>
          <w:rFonts w:cs="Open Sans"/>
        </w:rPr>
        <w:t xml:space="preserve">They are also more likely to be developmentally vulnerable and face other disadvantages at an early age. </w:t>
      </w:r>
    </w:p>
    <w:p w14:paraId="59ECE7D9" w14:textId="0820F0D2" w:rsidR="000A1A49" w:rsidRDefault="000A1A49" w:rsidP="000A1A49">
      <w:pPr>
        <w:rPr>
          <w:rFonts w:cs="Open Sans"/>
        </w:rPr>
      </w:pPr>
      <w:r>
        <w:rPr>
          <w:rFonts w:cs="Open Sans"/>
        </w:rPr>
        <w:t>The Commission notes that a</w:t>
      </w:r>
      <w:r w:rsidRPr="00E51619">
        <w:rPr>
          <w:rFonts w:cs="Open Sans"/>
        </w:rPr>
        <w:t>ll states and territories have committed to provide universal access to quality early childhood education programs under the National Partnership Agreement on Universal Access to Early Childhood Education.</w:t>
      </w:r>
      <w:r w:rsidRPr="00A76B48">
        <w:rPr>
          <w:sz w:val="20"/>
          <w:szCs w:val="20"/>
          <w:vertAlign w:val="superscript"/>
        </w:rPr>
        <w:endnoteReference w:id="37"/>
      </w:r>
      <w:r>
        <w:rPr>
          <w:rFonts w:cs="Open Sans"/>
        </w:rPr>
        <w:t xml:space="preserve"> </w:t>
      </w:r>
    </w:p>
    <w:p w14:paraId="7A57BE80" w14:textId="6604502B" w:rsidR="003039E4" w:rsidRPr="003039E4" w:rsidRDefault="00C845AD" w:rsidP="000A1A49">
      <w:r w:rsidRPr="000946F3">
        <w:rPr>
          <w:rFonts w:cs="Open Sans"/>
        </w:rPr>
        <w:t>The national peak body for Aboriginal and Torres Strait Islander children has also recommended universal access to high quality early education for all 3 and 4 year-olds and greater investment in community-controlled integrated early years services.</w:t>
      </w:r>
      <w:r w:rsidR="00DE3FAA" w:rsidRPr="000946F3">
        <w:rPr>
          <w:vertAlign w:val="superscript"/>
        </w:rPr>
        <w:endnoteReference w:id="38"/>
      </w:r>
      <w:r w:rsidR="00F471F7" w:rsidRPr="000946F3">
        <w:rPr>
          <w:rFonts w:cs="Open Sans"/>
        </w:rPr>
        <w:t xml:space="preserve"> </w:t>
      </w:r>
      <w:r w:rsidR="009E1BC4" w:rsidRPr="000946F3">
        <w:rPr>
          <w:rFonts w:cs="Open Sans"/>
        </w:rPr>
        <w:t xml:space="preserve"> </w:t>
      </w:r>
      <w:r w:rsidR="003039E4">
        <w:t xml:space="preserve">The most successful and appropriate early childhood learning models identified during the </w:t>
      </w:r>
      <w:proofErr w:type="spellStart"/>
      <w:r w:rsidR="003039E4">
        <w:t>Wiyi</w:t>
      </w:r>
      <w:proofErr w:type="spellEnd"/>
      <w:r w:rsidR="003039E4">
        <w:t xml:space="preserve"> </w:t>
      </w:r>
      <w:proofErr w:type="spellStart"/>
      <w:r w:rsidR="003039E4">
        <w:t>Yani</w:t>
      </w:r>
      <w:proofErr w:type="spellEnd"/>
      <w:r w:rsidR="003039E4">
        <w:t xml:space="preserve"> U </w:t>
      </w:r>
      <w:proofErr w:type="spellStart"/>
      <w:r w:rsidR="003039E4">
        <w:t>Thangani</w:t>
      </w:r>
      <w:proofErr w:type="spellEnd"/>
      <w:r w:rsidR="003039E4">
        <w:t xml:space="preserve"> Project were community owned and controlled, employed Aboriginal and Torres Strait Islander personnel, were holistic, included whole of family support and worked within an integrated western and cultural learning framework.</w:t>
      </w:r>
    </w:p>
    <w:p w14:paraId="5C62D157" w14:textId="414E9174" w:rsidR="00520A9C" w:rsidRPr="003039E4" w:rsidRDefault="00520A9C" w:rsidP="000946F3">
      <w:r w:rsidRPr="000946F3">
        <w:rPr>
          <w:rFonts w:cs="Open Sans"/>
        </w:rPr>
        <w:t xml:space="preserve">The Family Matters report </w:t>
      </w:r>
      <w:r w:rsidR="003205D4">
        <w:rPr>
          <w:rFonts w:cs="Open Sans"/>
        </w:rPr>
        <w:t xml:space="preserve">2019 </w:t>
      </w:r>
      <w:r w:rsidRPr="000946F3">
        <w:rPr>
          <w:rFonts w:cs="Open Sans"/>
        </w:rPr>
        <w:t>also recommended investment in quality Aboriginal and Torres Strait Islander community-controlled integrated early years services through a specific program</w:t>
      </w:r>
      <w:r w:rsidR="006B7DBF" w:rsidRPr="000946F3">
        <w:rPr>
          <w:rFonts w:cs="Open Sans"/>
        </w:rPr>
        <w:t>,</w:t>
      </w:r>
      <w:r w:rsidRPr="000946F3">
        <w:rPr>
          <w:rFonts w:cs="Open Sans"/>
        </w:rPr>
        <w:t xml:space="preserve"> with targets to increase coverage in areas of high Aboriginal and Torres Strait Islander population and high levels of disadvantage.</w:t>
      </w:r>
      <w:r w:rsidRPr="000946F3">
        <w:rPr>
          <w:vertAlign w:val="superscript"/>
        </w:rPr>
        <w:endnoteReference w:id="39"/>
      </w:r>
    </w:p>
    <w:p w14:paraId="7087440C" w14:textId="0E4957BE" w:rsidR="000A1A49" w:rsidRPr="003039E4" w:rsidRDefault="000A1A49" w:rsidP="000A1A49">
      <w:pPr>
        <w:rPr>
          <w:rFonts w:cs="Open Sans"/>
          <w:color w:val="1E1E1E"/>
          <w:spacing w:val="4"/>
        </w:rPr>
      </w:pPr>
      <w:r>
        <w:rPr>
          <w:rFonts w:cs="Open Sans"/>
          <w:color w:val="000000"/>
        </w:rPr>
        <w:t xml:space="preserve">Given the limited or </w:t>
      </w:r>
      <w:r w:rsidR="00EE6AA5">
        <w:rPr>
          <w:rFonts w:cs="Open Sans"/>
          <w:color w:val="000000"/>
        </w:rPr>
        <w:t>lack of</w:t>
      </w:r>
      <w:r>
        <w:rPr>
          <w:rFonts w:cs="Open Sans"/>
          <w:color w:val="000000"/>
        </w:rPr>
        <w:t xml:space="preserve"> services available in many remote areas, providing universal access </w:t>
      </w:r>
      <w:r w:rsidRPr="009E544A">
        <w:rPr>
          <w:rFonts w:cs="Open Sans"/>
          <w:color w:val="000000"/>
        </w:rPr>
        <w:t>may require</w:t>
      </w:r>
      <w:r>
        <w:rPr>
          <w:rFonts w:cs="Open Sans"/>
          <w:color w:val="000000"/>
        </w:rPr>
        <w:t xml:space="preserve"> </w:t>
      </w:r>
      <w:r w:rsidRPr="009E544A">
        <w:rPr>
          <w:rFonts w:cs="Open Sans"/>
          <w:color w:val="000000"/>
        </w:rPr>
        <w:t>mobile and other support and resources for children</w:t>
      </w:r>
      <w:r>
        <w:rPr>
          <w:rFonts w:cs="Open Sans"/>
          <w:color w:val="000000"/>
        </w:rPr>
        <w:t xml:space="preserve"> in remote communities. </w:t>
      </w:r>
      <w:r w:rsidR="00344683">
        <w:rPr>
          <w:rFonts w:cs="Open Sans"/>
          <w:color w:val="000000"/>
        </w:rPr>
        <w:t xml:space="preserve">For example, Contact Children’s Mobile (CCM) service, </w:t>
      </w:r>
      <w:r w:rsidR="00344683">
        <w:rPr>
          <w:rFonts w:cs="Open Sans"/>
          <w:color w:val="000000"/>
        </w:rPr>
        <w:lastRenderedPageBreak/>
        <w:t>developed by Contact Inc</w:t>
      </w:r>
      <w:r w:rsidR="00344683">
        <w:rPr>
          <w:rStyle w:val="EndnoteReference"/>
          <w:rFonts w:cs="Open Sans"/>
          <w:color w:val="000000"/>
        </w:rPr>
        <w:endnoteReference w:id="40"/>
      </w:r>
      <w:r w:rsidR="00344683">
        <w:rPr>
          <w:rFonts w:cs="Open Sans"/>
          <w:color w:val="000000"/>
        </w:rPr>
        <w:t xml:space="preserve"> with philanthropic funding in 2010</w:t>
      </w:r>
      <w:r w:rsidR="003205D4">
        <w:rPr>
          <w:rFonts w:cs="Open Sans"/>
          <w:color w:val="000000"/>
        </w:rPr>
        <w:t>–</w:t>
      </w:r>
      <w:r w:rsidR="00344683">
        <w:rPr>
          <w:rFonts w:cs="Open Sans"/>
          <w:color w:val="000000"/>
        </w:rPr>
        <w:t xml:space="preserve">2014, provided early childhood services to </w:t>
      </w:r>
      <w:r w:rsidR="00344683">
        <w:rPr>
          <w:rFonts w:cs="Open Sans"/>
        </w:rPr>
        <w:t xml:space="preserve">the </w:t>
      </w:r>
      <w:proofErr w:type="spellStart"/>
      <w:r w:rsidR="00344683">
        <w:rPr>
          <w:rFonts w:cs="Open Sans"/>
        </w:rPr>
        <w:t>Ti</w:t>
      </w:r>
      <w:proofErr w:type="spellEnd"/>
      <w:r w:rsidR="00344683">
        <w:rPr>
          <w:rFonts w:cs="Open Sans"/>
        </w:rPr>
        <w:t xml:space="preserve"> Tree and Utopia Homelands regions for many years, working in a partnership approach with Aboriginal-controlled organisations and representatives. </w:t>
      </w:r>
      <w:r w:rsidR="00B01FCF">
        <w:rPr>
          <w:rFonts w:cs="Open Sans"/>
        </w:rPr>
        <w:t>This has included</w:t>
      </w:r>
      <w:r w:rsidR="00344683">
        <w:rPr>
          <w:rFonts w:cs="Open Sans"/>
        </w:rPr>
        <w:t xml:space="preserve"> targeted services for children aged 0–5, such as mobile play-based programs and adjunct care, and children aged 6–8 years, such as school holiday play-based programs and recreational programs, in </w:t>
      </w:r>
      <w:r w:rsidR="00984624">
        <w:rPr>
          <w:rFonts w:cs="Open Sans"/>
        </w:rPr>
        <w:t xml:space="preserve">remote </w:t>
      </w:r>
      <w:r w:rsidR="00344683">
        <w:rPr>
          <w:rFonts w:cs="Open Sans"/>
        </w:rPr>
        <w:t>communities.</w:t>
      </w:r>
      <w:r w:rsidR="00344683">
        <w:rPr>
          <w:rStyle w:val="EndnoteReference"/>
          <w:rFonts w:cs="Open Sans"/>
        </w:rPr>
        <w:endnoteReference w:id="41"/>
      </w:r>
    </w:p>
    <w:p w14:paraId="7BCCE333" w14:textId="3802335D" w:rsidR="00A66CC5" w:rsidRPr="007842BB" w:rsidRDefault="00A66CC5" w:rsidP="000A1A49">
      <w:pPr>
        <w:rPr>
          <w:rFonts w:cs="Open Sans"/>
          <w:color w:val="000000"/>
        </w:rPr>
      </w:pPr>
      <w:r w:rsidRPr="000946F3">
        <w:rPr>
          <w:rFonts w:cs="Open Sans"/>
        </w:rPr>
        <w:t xml:space="preserve">Another example is Children’s Ground, an innovative model providing integrated community support to address social, cultural and economic inequalities experienced by </w:t>
      </w:r>
      <w:r w:rsidR="000459B0" w:rsidRPr="000946F3">
        <w:rPr>
          <w:rFonts w:cs="Open Sans"/>
        </w:rPr>
        <w:t xml:space="preserve">Aboriginal </w:t>
      </w:r>
      <w:r w:rsidRPr="000946F3">
        <w:rPr>
          <w:rFonts w:cs="Open Sans"/>
        </w:rPr>
        <w:t>communities in central and northern Australia. Focusing on family-led early years learning and empowering a community-led workforce, Children’s Ground works with communities in all areas relevant to the wellbeing of children and the entire community including learning, family health and economic, cultural, creative and community development</w:t>
      </w:r>
      <w:r>
        <w:rPr>
          <w:rFonts w:cs="Open Sans"/>
          <w:color w:val="1E1E1E"/>
          <w:spacing w:val="4"/>
        </w:rPr>
        <w:t>.</w:t>
      </w:r>
      <w:r>
        <w:rPr>
          <w:rStyle w:val="EndnoteReference"/>
          <w:rFonts w:cs="Open Sans"/>
          <w:color w:val="1E1E1E"/>
          <w:spacing w:val="4"/>
        </w:rPr>
        <w:endnoteReference w:id="42"/>
      </w:r>
    </w:p>
    <w:p w14:paraId="104A86DC" w14:textId="5B170F0D" w:rsidR="00344683" w:rsidRPr="00484002" w:rsidRDefault="00344683" w:rsidP="00344683">
      <w:pPr>
        <w:rPr>
          <w:rFonts w:eastAsia="Times New Roman" w:cs="Open Sans"/>
          <w:szCs w:val="20"/>
        </w:rPr>
      </w:pPr>
      <w:r>
        <w:rPr>
          <w:rFonts w:cs="Open Sans"/>
          <w:color w:val="000000"/>
        </w:rPr>
        <w:t>The provision of early childhood education and care in remote areas require</w:t>
      </w:r>
      <w:r w:rsidR="00984624">
        <w:rPr>
          <w:rFonts w:cs="Open Sans"/>
          <w:color w:val="000000"/>
        </w:rPr>
        <w:t>s</w:t>
      </w:r>
      <w:r>
        <w:rPr>
          <w:rFonts w:cs="Open Sans"/>
          <w:color w:val="000000"/>
        </w:rPr>
        <w:t xml:space="preserve"> </w:t>
      </w:r>
      <w:r w:rsidRPr="009E544A">
        <w:rPr>
          <w:rFonts w:cs="Open Sans"/>
          <w:color w:val="000000"/>
        </w:rPr>
        <w:t>specific fund</w:t>
      </w:r>
      <w:r w:rsidR="00984624">
        <w:rPr>
          <w:rFonts w:cs="Open Sans"/>
          <w:color w:val="000000"/>
        </w:rPr>
        <w:t>ing</w:t>
      </w:r>
      <w:r w:rsidRPr="009E544A">
        <w:rPr>
          <w:rFonts w:cs="Open Sans"/>
          <w:color w:val="000000"/>
        </w:rPr>
        <w:t xml:space="preserve"> for the training </w:t>
      </w:r>
      <w:r>
        <w:rPr>
          <w:rFonts w:cs="Open Sans"/>
          <w:color w:val="000000"/>
        </w:rPr>
        <w:t>of, and support for,</w:t>
      </w:r>
      <w:r w:rsidRPr="009E544A">
        <w:rPr>
          <w:rFonts w:cs="Open Sans"/>
          <w:color w:val="000000"/>
        </w:rPr>
        <w:t xml:space="preserve"> remote community members in early childhood development. In remote communities with many </w:t>
      </w:r>
      <w:r>
        <w:rPr>
          <w:rFonts w:cs="Open Sans"/>
          <w:color w:val="000000"/>
        </w:rPr>
        <w:t>Aboriginal and Torres Strait Islander</w:t>
      </w:r>
      <w:r w:rsidRPr="009E544A">
        <w:rPr>
          <w:rFonts w:cs="Open Sans"/>
          <w:color w:val="000000"/>
        </w:rPr>
        <w:t xml:space="preserve"> children, local Indigenous community members are the most appropriate people to provide an early childhood education which reinforces culture and the child’s first language</w:t>
      </w:r>
      <w:r>
        <w:rPr>
          <w:rFonts w:cs="Open Sans"/>
          <w:color w:val="000000"/>
        </w:rPr>
        <w:t>,</w:t>
      </w:r>
      <w:r w:rsidRPr="009E544A">
        <w:rPr>
          <w:rFonts w:cs="Open Sans"/>
          <w:color w:val="000000"/>
        </w:rPr>
        <w:t xml:space="preserve"> while introducing English where necessary</w:t>
      </w:r>
      <w:r w:rsidR="00FA5182">
        <w:rPr>
          <w:rFonts w:cs="Open Sans"/>
          <w:color w:val="000000"/>
        </w:rPr>
        <w:t xml:space="preserve"> </w:t>
      </w:r>
      <w:r w:rsidR="00FA5182" w:rsidRPr="00CF39E4">
        <w:rPr>
          <w:rFonts w:cs="Open Sans"/>
          <w:color w:val="000000"/>
        </w:rPr>
        <w:t xml:space="preserve">(see </w:t>
      </w:r>
      <w:r w:rsidR="00CF39E4" w:rsidRPr="00CF39E4">
        <w:rPr>
          <w:rFonts w:cs="Open Sans"/>
          <w:color w:val="000000"/>
        </w:rPr>
        <w:t xml:space="preserve">further </w:t>
      </w:r>
      <w:r w:rsidR="00CF39E4" w:rsidRPr="00980E01">
        <w:rPr>
          <w:rFonts w:cs="Open Sans"/>
          <w:color w:val="000000"/>
        </w:rPr>
        <w:t xml:space="preserve">Section 7 </w:t>
      </w:r>
      <w:r w:rsidR="00CF39E4" w:rsidRPr="00CF39E4">
        <w:rPr>
          <w:rFonts w:cs="Open Sans"/>
          <w:color w:val="000000"/>
        </w:rPr>
        <w:t>below).</w:t>
      </w:r>
    </w:p>
    <w:tbl>
      <w:tblPr>
        <w:tblStyle w:val="TableGrid"/>
        <w:tblW w:w="0" w:type="auto"/>
        <w:shd w:val="clear" w:color="auto" w:fill="EDEDED" w:themeFill="accent3" w:themeFillTint="33"/>
        <w:tblLook w:val="04A0" w:firstRow="1" w:lastRow="0" w:firstColumn="1" w:lastColumn="0" w:noHBand="0" w:noVBand="1"/>
      </w:tblPr>
      <w:tblGrid>
        <w:gridCol w:w="9060"/>
      </w:tblGrid>
      <w:tr w:rsidR="000A1A49" w14:paraId="70F42F75" w14:textId="77777777" w:rsidTr="000A1A49">
        <w:tc>
          <w:tcPr>
            <w:tcW w:w="9060" w:type="dxa"/>
            <w:shd w:val="clear" w:color="auto" w:fill="EDEDED" w:themeFill="accent3" w:themeFillTint="33"/>
          </w:tcPr>
          <w:p w14:paraId="16245B33" w14:textId="3784DE10" w:rsidR="000A1A49" w:rsidRPr="00947568" w:rsidRDefault="000A1A49" w:rsidP="00A00BE5">
            <w:pPr>
              <w:rPr>
                <w:rFonts w:cs="Open Sans"/>
                <w:b/>
                <w:bCs/>
              </w:rPr>
            </w:pPr>
            <w:r w:rsidRPr="00947568">
              <w:rPr>
                <w:rFonts w:cs="Open Sans"/>
                <w:b/>
                <w:bCs/>
              </w:rPr>
              <w:t>Recommendation</w:t>
            </w:r>
            <w:r w:rsidR="00311E12">
              <w:rPr>
                <w:rFonts w:cs="Open Sans"/>
                <w:b/>
                <w:bCs/>
              </w:rPr>
              <w:t xml:space="preserve"> </w:t>
            </w:r>
            <w:r w:rsidR="00AC57BC" w:rsidRPr="00980E01">
              <w:rPr>
                <w:rFonts w:cs="Open Sans"/>
                <w:b/>
                <w:bCs/>
              </w:rPr>
              <w:t>3</w:t>
            </w:r>
          </w:p>
          <w:p w14:paraId="2983C867" w14:textId="66CA3450" w:rsidR="00E37FE9" w:rsidRDefault="007442D9" w:rsidP="00A00BE5">
            <w:pPr>
              <w:rPr>
                <w:rFonts w:cs="Open Sans"/>
                <w:b/>
                <w:bCs/>
              </w:rPr>
            </w:pPr>
            <w:r>
              <w:rPr>
                <w:rFonts w:cs="Open Sans"/>
                <w:b/>
                <w:bCs/>
              </w:rPr>
              <w:t xml:space="preserve">As </w:t>
            </w:r>
            <w:r w:rsidR="00227EE3">
              <w:rPr>
                <w:rFonts w:cs="Open Sans"/>
                <w:b/>
                <w:bCs/>
              </w:rPr>
              <w:t>part of the</w:t>
            </w:r>
            <w:r w:rsidR="00713FC2">
              <w:rPr>
                <w:rFonts w:cs="Open Sans"/>
                <w:b/>
                <w:bCs/>
              </w:rPr>
              <w:t>ir</w:t>
            </w:r>
            <w:r w:rsidR="00227EE3">
              <w:rPr>
                <w:rFonts w:cs="Open Sans"/>
                <w:b/>
                <w:bCs/>
              </w:rPr>
              <w:t xml:space="preserve"> commitment to universal access</w:t>
            </w:r>
            <w:r w:rsidR="00D84884">
              <w:rPr>
                <w:rFonts w:cs="Open Sans"/>
                <w:b/>
                <w:bCs/>
              </w:rPr>
              <w:t xml:space="preserve"> to early childhood education</w:t>
            </w:r>
            <w:r w:rsidR="009646FE">
              <w:rPr>
                <w:rFonts w:cs="Open Sans"/>
                <w:b/>
                <w:bCs/>
              </w:rPr>
              <w:t xml:space="preserve">, </w:t>
            </w:r>
            <w:r w:rsidR="000A1A49" w:rsidRPr="00947568">
              <w:rPr>
                <w:rFonts w:cs="Open Sans"/>
                <w:b/>
                <w:bCs/>
              </w:rPr>
              <w:t>Australian Governments</w:t>
            </w:r>
            <w:r w:rsidR="00E37FE9">
              <w:rPr>
                <w:rFonts w:cs="Open Sans"/>
                <w:b/>
                <w:bCs/>
              </w:rPr>
              <w:t>:</w:t>
            </w:r>
          </w:p>
          <w:p w14:paraId="6356B72B" w14:textId="3CE9EB45" w:rsidR="00E37FE9" w:rsidRPr="00311E12" w:rsidRDefault="000A1A49" w:rsidP="00A00BE5">
            <w:pPr>
              <w:pStyle w:val="ListParagraph"/>
              <w:numPr>
                <w:ilvl w:val="0"/>
                <w:numId w:val="34"/>
              </w:numPr>
              <w:rPr>
                <w:b/>
                <w:bCs/>
              </w:rPr>
            </w:pPr>
            <w:r w:rsidRPr="00E37FE9">
              <w:rPr>
                <w:rFonts w:cs="Open Sans"/>
                <w:b/>
                <w:bCs/>
              </w:rPr>
              <w:t>enhanc</w:t>
            </w:r>
            <w:r w:rsidR="003D13A1">
              <w:rPr>
                <w:rFonts w:cs="Open Sans"/>
                <w:b/>
                <w:bCs/>
              </w:rPr>
              <w:t>e</w:t>
            </w:r>
            <w:r w:rsidRPr="00E37FE9" w:rsidDel="00EC2F82">
              <w:rPr>
                <w:rFonts w:cs="Open Sans"/>
                <w:b/>
                <w:bCs/>
              </w:rPr>
              <w:t xml:space="preserve"> </w:t>
            </w:r>
            <w:r w:rsidRPr="00E37FE9">
              <w:rPr>
                <w:rFonts w:cs="Open Sans"/>
                <w:b/>
                <w:bCs/>
              </w:rPr>
              <w:t xml:space="preserve">access to </w:t>
            </w:r>
            <w:r w:rsidRPr="00E37FE9">
              <w:rPr>
                <w:b/>
                <w:bCs/>
              </w:rPr>
              <w:t xml:space="preserve">quality early childhood </w:t>
            </w:r>
            <w:r w:rsidRPr="00311E12">
              <w:rPr>
                <w:b/>
                <w:bCs/>
              </w:rPr>
              <w:t>education and care services</w:t>
            </w:r>
            <w:r w:rsidR="00EC2F82">
              <w:rPr>
                <w:b/>
                <w:bCs/>
              </w:rPr>
              <w:t xml:space="preserve"> in remote areas</w:t>
            </w:r>
          </w:p>
          <w:p w14:paraId="1612F957" w14:textId="7A8D5DEB" w:rsidR="000A1A49" w:rsidRPr="00311E12" w:rsidRDefault="00D90C87" w:rsidP="00A00BE5">
            <w:pPr>
              <w:pStyle w:val="ListParagraph"/>
              <w:numPr>
                <w:ilvl w:val="0"/>
                <w:numId w:val="34"/>
              </w:numPr>
            </w:pPr>
            <w:r>
              <w:rPr>
                <w:rFonts w:cs="Open Sans"/>
                <w:b/>
                <w:bCs/>
                <w:color w:val="1E1E1E"/>
                <w:spacing w:val="4"/>
              </w:rPr>
              <w:t>prioritise</w:t>
            </w:r>
            <w:r w:rsidR="00E37FE9" w:rsidRPr="00311E12">
              <w:rPr>
                <w:rFonts w:cs="Open Sans"/>
                <w:b/>
                <w:bCs/>
                <w:color w:val="1E1E1E"/>
                <w:spacing w:val="4"/>
              </w:rPr>
              <w:t xml:space="preserve"> community-controlled integrated early years services</w:t>
            </w:r>
            <w:r w:rsidR="00640DF9">
              <w:rPr>
                <w:rFonts w:cs="Open Sans"/>
                <w:b/>
                <w:bCs/>
                <w:color w:val="1E1E1E"/>
                <w:spacing w:val="4"/>
              </w:rPr>
              <w:t xml:space="preserve"> for Aboriginal and Torres Strait Islander children</w:t>
            </w:r>
            <w:r w:rsidR="00311E12" w:rsidRPr="00311E12">
              <w:rPr>
                <w:rFonts w:cs="Open Sans"/>
                <w:b/>
                <w:bCs/>
                <w:color w:val="1E1E1E"/>
                <w:spacing w:val="4"/>
              </w:rPr>
              <w:t>.</w:t>
            </w:r>
          </w:p>
        </w:tc>
      </w:tr>
    </w:tbl>
    <w:p w14:paraId="312E1E22" w14:textId="417F0B1E" w:rsidR="00532D65" w:rsidRDefault="002F07FC" w:rsidP="00844E8F">
      <w:pPr>
        <w:pStyle w:val="Heading1"/>
      </w:pPr>
      <w:bookmarkStart w:id="15" w:name="_Toc32497882"/>
      <w:r>
        <w:lastRenderedPageBreak/>
        <w:t>Barriers facing s</w:t>
      </w:r>
      <w:r w:rsidR="00884281">
        <w:t xml:space="preserve">pecific groups of children </w:t>
      </w:r>
      <w:r w:rsidR="00233C21">
        <w:t>in remote areas</w:t>
      </w:r>
      <w:bookmarkEnd w:id="15"/>
    </w:p>
    <w:p w14:paraId="64E31BA7" w14:textId="3A48328A" w:rsidR="00D671AA" w:rsidRDefault="00B90367" w:rsidP="00D671AA">
      <w:pPr>
        <w:pStyle w:val="Heading2"/>
      </w:pPr>
      <w:bookmarkStart w:id="16" w:name="_Toc32497883"/>
      <w:r>
        <w:t>Children who are d</w:t>
      </w:r>
      <w:r w:rsidR="007153EF">
        <w:t>evelopmental</w:t>
      </w:r>
      <w:r>
        <w:t>ly</w:t>
      </w:r>
      <w:r w:rsidR="007153EF">
        <w:t xml:space="preserve"> vul</w:t>
      </w:r>
      <w:r w:rsidR="004758F4">
        <w:t>nerab</w:t>
      </w:r>
      <w:r w:rsidR="00270F1A">
        <w:t>l</w:t>
      </w:r>
      <w:r>
        <w:t>e</w:t>
      </w:r>
      <w:bookmarkEnd w:id="16"/>
    </w:p>
    <w:p w14:paraId="6C60DEA1" w14:textId="13459483" w:rsidR="00CD221C" w:rsidRPr="00A149D9" w:rsidRDefault="002A2216" w:rsidP="002A2216">
      <w:pPr>
        <w:rPr>
          <w:rFonts w:cs="Open Sans"/>
        </w:rPr>
      </w:pPr>
      <w:r>
        <w:rPr>
          <w:rFonts w:cs="Open Sans"/>
        </w:rPr>
        <w:t>As discussed above, t</w:t>
      </w:r>
      <w:r w:rsidR="002D2FF8">
        <w:rPr>
          <w:rFonts w:cs="Open Sans"/>
        </w:rPr>
        <w:t>he 2018 A</w:t>
      </w:r>
      <w:r w:rsidR="00B83E22">
        <w:rPr>
          <w:rFonts w:cs="Open Sans"/>
        </w:rPr>
        <w:t xml:space="preserve">ustralian Early Childhood Development Index </w:t>
      </w:r>
      <w:r w:rsidR="002D2FF8">
        <w:rPr>
          <w:rFonts w:cs="Open Sans"/>
        </w:rPr>
        <w:t>showed that</w:t>
      </w:r>
      <w:r w:rsidR="00A90FA3">
        <w:rPr>
          <w:rFonts w:cs="Open Sans"/>
        </w:rPr>
        <w:t xml:space="preserve"> </w:t>
      </w:r>
      <w:r w:rsidR="00CD221C">
        <w:rPr>
          <w:rFonts w:cs="Open Sans"/>
        </w:rPr>
        <w:t>children living in very remote areas of Australia</w:t>
      </w:r>
      <w:r w:rsidR="002D2FF8">
        <w:rPr>
          <w:rFonts w:cs="Open Sans"/>
        </w:rPr>
        <w:t xml:space="preserve"> </w:t>
      </w:r>
      <w:r w:rsidR="00CD221C">
        <w:rPr>
          <w:rFonts w:cs="Open Sans"/>
        </w:rPr>
        <w:t>are more than twice as likely as those from major cities to be developmentally vulnerable (45.5% and 20.8% respectively).</w:t>
      </w:r>
      <w:r w:rsidR="00CD221C" w:rsidRPr="00A149D9">
        <w:rPr>
          <w:rFonts w:cs="Open Sans"/>
        </w:rPr>
        <w:t xml:space="preserve"> </w:t>
      </w:r>
    </w:p>
    <w:p w14:paraId="11061D19" w14:textId="1EC97121" w:rsidR="00D56F3A" w:rsidRDefault="007153EF" w:rsidP="00447FA4">
      <w:r>
        <w:t>There is increasing evidence that intervening early</w:t>
      </w:r>
      <w:r w:rsidR="00B14F8D">
        <w:t>,</w:t>
      </w:r>
      <w:r>
        <w:t xml:space="preserve"> both </w:t>
      </w:r>
      <w:r w:rsidR="00BE6A24">
        <w:t xml:space="preserve">to </w:t>
      </w:r>
      <w:r>
        <w:t xml:space="preserve">identify and </w:t>
      </w:r>
      <w:r w:rsidR="00BE6A24">
        <w:t xml:space="preserve">to </w:t>
      </w:r>
      <w:r>
        <w:t>support children who are facing developmental challenges</w:t>
      </w:r>
      <w:r w:rsidR="00B14F8D">
        <w:t>,</w:t>
      </w:r>
      <w:r>
        <w:t xml:space="preserve"> is critical to successful educational outcomes. </w:t>
      </w:r>
    </w:p>
    <w:p w14:paraId="6700BA51" w14:textId="77777777" w:rsidR="00D56F3A" w:rsidRDefault="008A2E2A" w:rsidP="00447FA4">
      <w:r>
        <w:t xml:space="preserve">Many children will also need appropriate tailored support and treatment throughout their schooling years. However, in remote areas </w:t>
      </w:r>
      <w:r w:rsidR="000B4A12">
        <w:t>obtaining timely, appropriate and affordable early identification of potential learning difficulties and disabilities</w:t>
      </w:r>
      <w:r w:rsidR="008D312D">
        <w:t xml:space="preserve"> continues to be problematic</w:t>
      </w:r>
      <w:r w:rsidR="000B4A12">
        <w:t>.</w:t>
      </w:r>
      <w:r w:rsidR="000B4A12">
        <w:rPr>
          <w:rStyle w:val="EndnoteReference"/>
        </w:rPr>
        <w:endnoteReference w:id="43"/>
      </w:r>
      <w:r w:rsidR="000A09CD">
        <w:t xml:space="preserve"> </w:t>
      </w:r>
    </w:p>
    <w:p w14:paraId="1BB615BE" w14:textId="02DCF54D" w:rsidR="00447FA4" w:rsidRDefault="000A09CD" w:rsidP="00447FA4">
      <w:r>
        <w:t>A systematic review of the health and development of children in rural and remote Australia</w:t>
      </w:r>
      <w:r w:rsidR="00C25C33">
        <w:t>,</w:t>
      </w:r>
      <w:r>
        <w:t xml:space="preserve"> prepared for Royal Far West </w:t>
      </w:r>
      <w:r w:rsidR="00C25C33">
        <w:t xml:space="preserve">by the Murdoch Children’s Research Institute Centre for Community Child Health </w:t>
      </w:r>
      <w:r>
        <w:t>in 2017</w:t>
      </w:r>
      <w:r w:rsidR="00C25C33">
        <w:t>,</w:t>
      </w:r>
      <w:r>
        <w:t xml:space="preserve"> reported gaps in the provision of early childhood intervention services and allied health services</w:t>
      </w:r>
      <w:r w:rsidR="00523135">
        <w:t xml:space="preserve"> for children with developmental vulnerabilities.</w:t>
      </w:r>
      <w:r w:rsidR="00523135">
        <w:rPr>
          <w:rStyle w:val="EndnoteReference"/>
        </w:rPr>
        <w:endnoteReference w:id="44"/>
      </w:r>
      <w:r w:rsidR="00523135">
        <w:t xml:space="preserve"> </w:t>
      </w:r>
      <w:r w:rsidR="00447FA4">
        <w:t xml:space="preserve">Access to paediatricians and mental health services for children aged 0–12 </w:t>
      </w:r>
      <w:r w:rsidR="00BE6A24">
        <w:t xml:space="preserve">years </w:t>
      </w:r>
      <w:r w:rsidR="00447FA4">
        <w:t>are also particularly difficult to source.</w:t>
      </w:r>
    </w:p>
    <w:p w14:paraId="5AC5C377" w14:textId="71BB4976" w:rsidR="002D2FF8" w:rsidRDefault="008D312D" w:rsidP="006C4401">
      <w:r>
        <w:t xml:space="preserve">The report </w:t>
      </w:r>
      <w:r w:rsidR="00A90583">
        <w:t xml:space="preserve">showed </w:t>
      </w:r>
      <w:r>
        <w:t>that w</w:t>
      </w:r>
      <w:r w:rsidR="00523135">
        <w:t xml:space="preserve">hile lack of access to allied health professionals impacts all children, </w:t>
      </w:r>
      <w:r w:rsidR="00523B24">
        <w:t>Aboriginal and Torres Strait Islander</w:t>
      </w:r>
      <w:r w:rsidR="00523135">
        <w:t xml:space="preserve"> children are particularly affected</w:t>
      </w:r>
      <w:r w:rsidR="00BE6A24">
        <w:t>,</w:t>
      </w:r>
      <w:r w:rsidR="00523135">
        <w:t xml:space="preserve"> because they: </w:t>
      </w:r>
    </w:p>
    <w:p w14:paraId="46351212" w14:textId="77777777" w:rsidR="002D2FF8" w:rsidRDefault="00523135" w:rsidP="00CA74FE">
      <w:pPr>
        <w:pStyle w:val="ListParagraph"/>
        <w:numPr>
          <w:ilvl w:val="0"/>
          <w:numId w:val="23"/>
        </w:numPr>
      </w:pPr>
      <w:r>
        <w:t>are significantly more likely to reside in rural and remote settings</w:t>
      </w:r>
    </w:p>
    <w:p w14:paraId="730A3901" w14:textId="77777777" w:rsidR="002D2FF8" w:rsidRDefault="00523135" w:rsidP="00CA74FE">
      <w:pPr>
        <w:pStyle w:val="ListParagraph"/>
        <w:numPr>
          <w:ilvl w:val="0"/>
          <w:numId w:val="23"/>
        </w:numPr>
      </w:pPr>
      <w:r>
        <w:t>experience higher prevalence of developmental delay(s)</w:t>
      </w:r>
    </w:p>
    <w:p w14:paraId="045E6439" w14:textId="77777777" w:rsidR="002D2FF8" w:rsidRDefault="00523135" w:rsidP="00CA74FE">
      <w:pPr>
        <w:pStyle w:val="ListParagraph"/>
        <w:numPr>
          <w:ilvl w:val="0"/>
          <w:numId w:val="23"/>
        </w:numPr>
      </w:pPr>
      <w:r>
        <w:t>are 4 to 5 times more likely to have intellectual disability than the general population</w:t>
      </w:r>
    </w:p>
    <w:p w14:paraId="5403DA54" w14:textId="288248D6" w:rsidR="002D2FF8" w:rsidRDefault="00523135" w:rsidP="00CA74FE">
      <w:pPr>
        <w:pStyle w:val="ListParagraph"/>
        <w:numPr>
          <w:ilvl w:val="0"/>
          <w:numId w:val="23"/>
        </w:numPr>
      </w:pPr>
      <w:r>
        <w:t>are significantly more likely to suffer from middle ear disease.</w:t>
      </w:r>
      <w:r w:rsidR="008D312D">
        <w:rPr>
          <w:rStyle w:val="EndnoteReference"/>
        </w:rPr>
        <w:endnoteReference w:id="45"/>
      </w:r>
      <w:r>
        <w:t xml:space="preserve"> </w:t>
      </w:r>
    </w:p>
    <w:p w14:paraId="1A31750E" w14:textId="3105CF50" w:rsidR="007F2FE1" w:rsidRPr="007F2FE1" w:rsidRDefault="00E40A38" w:rsidP="00844E8F">
      <w:r>
        <w:t xml:space="preserve">Building on this research, Royal Far West </w:t>
      </w:r>
      <w:r w:rsidR="00933B99">
        <w:t>ma</w:t>
      </w:r>
      <w:r w:rsidR="00DA0CA6">
        <w:t>de</w:t>
      </w:r>
      <w:r w:rsidR="00933B99">
        <w:t xml:space="preserve"> a series </w:t>
      </w:r>
      <w:r w:rsidR="00401A00">
        <w:t xml:space="preserve">of </w:t>
      </w:r>
      <w:r w:rsidR="001523E8" w:rsidRPr="007F2FE1">
        <w:t>recommendations to tackle the</w:t>
      </w:r>
      <w:r w:rsidR="00836CE5">
        <w:t>se</w:t>
      </w:r>
      <w:r w:rsidR="001523E8" w:rsidRPr="007F2FE1">
        <w:t xml:space="preserve"> </w:t>
      </w:r>
      <w:r w:rsidR="00106E92" w:rsidRPr="007F2FE1">
        <w:t>growing developmental challenges</w:t>
      </w:r>
      <w:r w:rsidR="00211D3B">
        <w:t>:</w:t>
      </w:r>
    </w:p>
    <w:p w14:paraId="4515CE8C" w14:textId="730224B1" w:rsidR="00844E8F" w:rsidRPr="006B3854" w:rsidRDefault="008A09B6" w:rsidP="00DE3487">
      <w:pPr>
        <w:pStyle w:val="ListParagraph"/>
        <w:numPr>
          <w:ilvl w:val="0"/>
          <w:numId w:val="24"/>
        </w:numPr>
      </w:pPr>
      <w:r>
        <w:lastRenderedPageBreak/>
        <w:t>National leadership and stewardship</w:t>
      </w:r>
      <w:r w:rsidR="00321B54">
        <w:t xml:space="preserve">, </w:t>
      </w:r>
      <w:r w:rsidR="00AD698B">
        <w:t>by creating a</w:t>
      </w:r>
      <w:r w:rsidR="009F070E">
        <w:t xml:space="preserve"> </w:t>
      </w:r>
      <w:r w:rsidR="00844E8F" w:rsidRPr="006B3854">
        <w:t xml:space="preserve">national target to reduce developmental vulnerability in rural and remote Australia </w:t>
      </w:r>
    </w:p>
    <w:p w14:paraId="70A1AAFF" w14:textId="77777777" w:rsidR="00844E8F" w:rsidRPr="006B3854" w:rsidRDefault="00844E8F" w:rsidP="00844E8F">
      <w:pPr>
        <w:pStyle w:val="ListParagraph"/>
        <w:numPr>
          <w:ilvl w:val="0"/>
          <w:numId w:val="24"/>
        </w:numPr>
      </w:pPr>
      <w:r w:rsidRPr="006B3854">
        <w:t>Early identification and intervention</w:t>
      </w:r>
    </w:p>
    <w:p w14:paraId="0529E630" w14:textId="77777777" w:rsidR="00844E8F" w:rsidRPr="006B3854" w:rsidRDefault="00844E8F" w:rsidP="00844E8F">
      <w:pPr>
        <w:pStyle w:val="ListParagraph"/>
        <w:numPr>
          <w:ilvl w:val="0"/>
          <w:numId w:val="24"/>
        </w:numPr>
      </w:pPr>
      <w:r w:rsidRPr="006B3854">
        <w:t>Fund and scale innovative service models</w:t>
      </w:r>
    </w:p>
    <w:p w14:paraId="33706221" w14:textId="77777777" w:rsidR="00844E8F" w:rsidRPr="006B3854" w:rsidRDefault="00844E8F" w:rsidP="00844E8F">
      <w:pPr>
        <w:pStyle w:val="ListParagraph"/>
        <w:numPr>
          <w:ilvl w:val="0"/>
          <w:numId w:val="24"/>
        </w:numPr>
      </w:pPr>
      <w:r w:rsidRPr="006B3854">
        <w:t>Integrate health and disability services for children</w:t>
      </w:r>
    </w:p>
    <w:p w14:paraId="797169A5" w14:textId="77777777" w:rsidR="00844E8F" w:rsidRPr="006B3854" w:rsidRDefault="00844E8F" w:rsidP="00844E8F">
      <w:pPr>
        <w:pStyle w:val="ListParagraph"/>
        <w:numPr>
          <w:ilvl w:val="0"/>
          <w:numId w:val="24"/>
        </w:numPr>
      </w:pPr>
      <w:r w:rsidRPr="006B3854">
        <w:t>Adopt a broader approach to children’s mental health</w:t>
      </w:r>
    </w:p>
    <w:p w14:paraId="0EEEE118" w14:textId="77777777" w:rsidR="00844E8F" w:rsidRPr="006B3854" w:rsidRDefault="00844E8F" w:rsidP="00844E8F">
      <w:pPr>
        <w:pStyle w:val="ListParagraph"/>
        <w:numPr>
          <w:ilvl w:val="0"/>
          <w:numId w:val="24"/>
        </w:numPr>
      </w:pPr>
      <w:r w:rsidRPr="006B3854">
        <w:t>Promote school-based models that support transitions</w:t>
      </w:r>
    </w:p>
    <w:p w14:paraId="7D3E1CD3" w14:textId="77777777" w:rsidR="00844E8F" w:rsidRPr="006B3854" w:rsidRDefault="00844E8F" w:rsidP="00844E8F">
      <w:pPr>
        <w:pStyle w:val="ListParagraph"/>
        <w:numPr>
          <w:ilvl w:val="0"/>
          <w:numId w:val="24"/>
        </w:numPr>
      </w:pPr>
      <w:r w:rsidRPr="006B3854">
        <w:t>Teacher capacity building and support</w:t>
      </w:r>
    </w:p>
    <w:p w14:paraId="52E4B2F4" w14:textId="77777777" w:rsidR="00844E8F" w:rsidRPr="006B3854" w:rsidRDefault="00844E8F" w:rsidP="00844E8F">
      <w:pPr>
        <w:pStyle w:val="ListParagraph"/>
        <w:numPr>
          <w:ilvl w:val="0"/>
          <w:numId w:val="24"/>
        </w:numPr>
      </w:pPr>
      <w:r w:rsidRPr="006B3854">
        <w:t>Increase the health literacy of parents and carers</w:t>
      </w:r>
    </w:p>
    <w:p w14:paraId="2AB20E7D" w14:textId="77777777" w:rsidR="00844E8F" w:rsidRPr="006B3854" w:rsidRDefault="00844E8F" w:rsidP="00844E8F">
      <w:pPr>
        <w:pStyle w:val="ListParagraph"/>
        <w:numPr>
          <w:ilvl w:val="0"/>
          <w:numId w:val="24"/>
        </w:numPr>
      </w:pPr>
      <w:r w:rsidRPr="006B3854">
        <w:t>Improve access to data</w:t>
      </w:r>
    </w:p>
    <w:p w14:paraId="0BE28EB4" w14:textId="77777777" w:rsidR="00844E8F" w:rsidRPr="006B3854" w:rsidRDefault="00844E8F" w:rsidP="00844E8F">
      <w:pPr>
        <w:pStyle w:val="ListParagraph"/>
        <w:numPr>
          <w:ilvl w:val="0"/>
          <w:numId w:val="24"/>
        </w:numPr>
      </w:pPr>
      <w:r w:rsidRPr="006B3854">
        <w:t>Increase use of telehealth models</w:t>
      </w:r>
    </w:p>
    <w:p w14:paraId="0D895933" w14:textId="1D0349D3" w:rsidR="00844E8F" w:rsidRPr="006B3854" w:rsidRDefault="00844E8F" w:rsidP="00844E8F">
      <w:pPr>
        <w:pStyle w:val="ListParagraph"/>
        <w:numPr>
          <w:ilvl w:val="0"/>
          <w:numId w:val="24"/>
        </w:numPr>
      </w:pPr>
      <w:r w:rsidRPr="006B3854">
        <w:t>Prioritise models for providing culturally-appropriate services for Indigenous children</w:t>
      </w:r>
      <w:r w:rsidR="00D84EB4">
        <w:t>.</w:t>
      </w:r>
      <w:r w:rsidR="00211D3B">
        <w:rPr>
          <w:rStyle w:val="EndnoteReference"/>
        </w:rPr>
        <w:endnoteReference w:id="46"/>
      </w:r>
    </w:p>
    <w:p w14:paraId="31ABEE11" w14:textId="77777777" w:rsidR="00703DC8" w:rsidRDefault="00703DC8" w:rsidP="00703DC8">
      <w:pPr>
        <w:pStyle w:val="Heading2"/>
      </w:pPr>
      <w:bookmarkStart w:id="17" w:name="_Toc32497884"/>
      <w:r>
        <w:t>Children with disability</w:t>
      </w:r>
      <w:bookmarkEnd w:id="17"/>
    </w:p>
    <w:p w14:paraId="3FC4C318" w14:textId="1B0CC7EB" w:rsidR="004C7F09" w:rsidRDefault="00703DC8" w:rsidP="00703DC8">
      <w:r>
        <w:t xml:space="preserve">The lack of medical and allied services for children in remote areas can particularly </w:t>
      </w:r>
      <w:r w:rsidR="00BE6A24">
        <w:t>a</w:t>
      </w:r>
      <w:r>
        <w:t xml:space="preserve">ffect access to education for children with disability. </w:t>
      </w:r>
      <w:r w:rsidRPr="004B3585">
        <w:t xml:space="preserve">Physiotherapy, occupational therapy, speech pathology, and early intervention services are examples of services that are not readily available in regional and remote areas, yet these play an important role in supporting </w:t>
      </w:r>
      <w:r>
        <w:t xml:space="preserve">children with </w:t>
      </w:r>
      <w:r w:rsidRPr="004B3585">
        <w:t xml:space="preserve">disability to participate in </w:t>
      </w:r>
      <w:r>
        <w:t xml:space="preserve">education </w:t>
      </w:r>
      <w:r w:rsidRPr="004B3585">
        <w:t xml:space="preserve">on an equal basis with others. </w:t>
      </w:r>
    </w:p>
    <w:p w14:paraId="2BD8DDAA" w14:textId="575A56E7" w:rsidR="00703DC8" w:rsidRDefault="00703DC8" w:rsidP="00703DC8">
      <w:r>
        <w:t xml:space="preserve">As many as </w:t>
      </w:r>
      <w:r w:rsidRPr="004B3585">
        <w:t>32% of children living in rural or remote NSW are unable to access the health services they need.</w:t>
      </w:r>
      <w:r>
        <w:rPr>
          <w:rStyle w:val="EndnoteReference"/>
        </w:rPr>
        <w:endnoteReference w:id="47"/>
      </w:r>
      <w:r>
        <w:t xml:space="preserve"> Lack of accessible transport in remote areas may also be a critical factor limiting access to schooling for children with disability. </w:t>
      </w:r>
    </w:p>
    <w:p w14:paraId="39BC9448" w14:textId="3E210BE0" w:rsidR="00703DC8" w:rsidRDefault="00703DC8" w:rsidP="00703DC8">
      <w:r w:rsidRPr="004B3585">
        <w:t>The lack of services in regional areas not only restricts choice, but sometimes results in people with disability being forced to leave their communities in order to access specialist disability services and support.</w:t>
      </w:r>
      <w:r>
        <w:rPr>
          <w:rStyle w:val="EndnoteReference"/>
        </w:rPr>
        <w:endnoteReference w:id="48"/>
      </w:r>
      <w:r w:rsidRPr="004B3585">
        <w:t xml:space="preserve"> According to a study by the University of Sydney, rural families in </w:t>
      </w:r>
      <w:r w:rsidR="00EE7D68">
        <w:t>w</w:t>
      </w:r>
      <w:r w:rsidRPr="004B3585">
        <w:t>estern NSW that have a child with a disability often face the difficult decision about whether to stay in their communities or move to a larger metropolitan centre to improve their access to, and choice of, support services.</w:t>
      </w:r>
      <w:r>
        <w:rPr>
          <w:rStyle w:val="EndnoteReference"/>
        </w:rPr>
        <w:endnoteReference w:id="49"/>
      </w:r>
    </w:p>
    <w:p w14:paraId="1291599D" w14:textId="77777777" w:rsidR="00703DC8" w:rsidRDefault="00703DC8" w:rsidP="00703DC8">
      <w:r w:rsidRPr="005A2ACA">
        <w:lastRenderedPageBreak/>
        <w:t xml:space="preserve">People with disability in rural </w:t>
      </w:r>
      <w:r>
        <w:t xml:space="preserve">and remote </w:t>
      </w:r>
      <w:r w:rsidRPr="005A2ACA">
        <w:t>areas also face difficulties in finding inclusive mainstream services. The Disability Discrimination Commissioner’s national consultations held in 2016–2017 highlight</w:t>
      </w:r>
      <w:r>
        <w:t>ed</w:t>
      </w:r>
      <w:r w:rsidRPr="005A2ACA">
        <w:t xml:space="preserve"> the ongoing challenges people with disability have accessing mainstream services, including education:</w:t>
      </w:r>
      <w:r>
        <w:t xml:space="preserve"> </w:t>
      </w:r>
    </w:p>
    <w:p w14:paraId="6D278C23" w14:textId="77777777" w:rsidR="00703DC8" w:rsidRPr="00BC492C" w:rsidRDefault="00703DC8" w:rsidP="00703DC8">
      <w:pPr>
        <w:ind w:left="720"/>
        <w:rPr>
          <w:sz w:val="22"/>
          <w:szCs w:val="22"/>
        </w:rPr>
      </w:pPr>
      <w:r w:rsidRPr="00BC492C">
        <w:rPr>
          <w:sz w:val="22"/>
          <w:szCs w:val="22"/>
        </w:rPr>
        <w:t>Sophie has Down syndrome and trauma from past medical operations and experiences. She lived on an isolated rural property in NSW. The local high school informed Sophie’s mum that they were establishing specialist support classes and, if Sophie chose to go to school there, she would have to be in one of these classes. During primary school, Sophie enjoyed an inclusive education, participating in classes with other students and receiving support from a teacher’s aide to assist her to build her literacy and numeracy skills. Sophie’s parents decided to move to a regional coastal town to give Sophie better opportunities and an inclusive education. They chose a new school that they thought would offer Sophie an inclusive education. However, after a few months, the school advised they would be starting a specialist support class and Sophie would be placed in this class. Sophie’s mum did not want her to move to the specialist support class, and is currently looking for other schools, but is finding that all of the Principals she has met have very low expectations of Sophie and her ability to succeed at school. Sophie’s family have already moved once to try to offer her better educational opportunities, but now it looks like they will have to move again until they find a school that will offer her an inclusive education.</w:t>
      </w:r>
      <w:r>
        <w:rPr>
          <w:rStyle w:val="EndnoteReference"/>
          <w:szCs w:val="22"/>
        </w:rPr>
        <w:endnoteReference w:id="50"/>
      </w:r>
    </w:p>
    <w:p w14:paraId="0FE7E7C4" w14:textId="77777777" w:rsidR="00494DDE" w:rsidRDefault="00703DC8" w:rsidP="00703DC8">
      <w:r>
        <w:t>While the National Disability Insurance Scheme (NDIS) should enable children with disability to be better supported to access schooling, the transformation to a market-driven system presents challenges for people with disabilities in rural and remote communities where there are ‘thin’ markets (areas with very few providers and limited demand).</w:t>
      </w:r>
      <w:r>
        <w:rPr>
          <w:rStyle w:val="EndnoteReference"/>
        </w:rPr>
        <w:endnoteReference w:id="51"/>
      </w:r>
      <w:r>
        <w:t xml:space="preserve"> </w:t>
      </w:r>
    </w:p>
    <w:p w14:paraId="21380C15" w14:textId="0EE8B156" w:rsidR="00703DC8" w:rsidRDefault="00703DC8" w:rsidP="00703DC8">
      <w:r>
        <w:t>A 2018 Senate inquiry into the NDIS found that there were often too few providers equipped to deliver the necessary services.</w:t>
      </w:r>
      <w:r>
        <w:rPr>
          <w:rStyle w:val="EndnoteReference"/>
        </w:rPr>
        <w:endnoteReference w:id="52"/>
      </w:r>
      <w:r>
        <w:t xml:space="preserve"> To be effective in rural and remote Australia, the NDIS will need to be designed, funded and operated to meet the specific requirements of people in regional areas.</w:t>
      </w:r>
    </w:p>
    <w:p w14:paraId="7E3454B9" w14:textId="77777777" w:rsidR="00703DC8" w:rsidRDefault="00703DC8" w:rsidP="00703DC8">
      <w:r>
        <w:t>The negative experience of many Aboriginal and Torres Strait Islander people with disabilities living in regional and remote Australia is particularly acute. The lack of accessible transport has a significant impact on Aboriginal and Torres Strait Islander people with disability, particularly physical disability, in regional and remote areas. This lack of access affects their ability to access education, employment and, critically, health services.</w:t>
      </w:r>
      <w:r>
        <w:rPr>
          <w:rStyle w:val="EndnoteReference"/>
        </w:rPr>
        <w:endnoteReference w:id="53"/>
      </w:r>
    </w:p>
    <w:p w14:paraId="2E617308" w14:textId="23CE8EF8" w:rsidR="009A7738" w:rsidRDefault="009A7738" w:rsidP="009A7738">
      <w:pPr>
        <w:pStyle w:val="Heading2"/>
      </w:pPr>
      <w:bookmarkStart w:id="18" w:name="_Toc32497885"/>
      <w:r>
        <w:lastRenderedPageBreak/>
        <w:t>Aboriginal and Torres Strait Islander children</w:t>
      </w:r>
      <w:bookmarkEnd w:id="18"/>
      <w:r>
        <w:t xml:space="preserve"> </w:t>
      </w:r>
    </w:p>
    <w:p w14:paraId="18B7AFCC" w14:textId="77777777" w:rsidR="00783FE4" w:rsidRDefault="009A7738" w:rsidP="002F0F93">
      <w:r w:rsidRPr="007F5263">
        <w:t xml:space="preserve">Aboriginal and Torres Strait Islander children account for </w:t>
      </w:r>
      <w:r>
        <w:t xml:space="preserve">a sizable proportion of children in remote areas of Australia. </w:t>
      </w:r>
    </w:p>
    <w:p w14:paraId="7263C802" w14:textId="2A6C2790" w:rsidR="002F0F93" w:rsidRDefault="00783FE4" w:rsidP="002F0F93">
      <w:pPr>
        <w:rPr>
          <w:shd w:val="clear" w:color="auto" w:fill="FFFFFF"/>
        </w:rPr>
      </w:pPr>
      <w:r>
        <w:t>While comprising</w:t>
      </w:r>
      <w:r w:rsidR="009A7738">
        <w:t xml:space="preserve"> </w:t>
      </w:r>
      <w:r w:rsidR="009A7738" w:rsidRPr="007F5263">
        <w:t>around 6% of all children in Australia</w:t>
      </w:r>
      <w:r w:rsidR="009A35C5">
        <w:t>,</w:t>
      </w:r>
      <w:r w:rsidR="00690F74">
        <w:rPr>
          <w:rStyle w:val="EndnoteReference"/>
        </w:rPr>
        <w:endnoteReference w:id="54"/>
      </w:r>
      <w:r w:rsidR="009A7738" w:rsidRPr="007F5263">
        <w:t xml:space="preserve"> </w:t>
      </w:r>
      <w:r w:rsidR="002F0F93" w:rsidRPr="000C4E5B">
        <w:rPr>
          <w:shd w:val="clear" w:color="auto" w:fill="FFFFFF"/>
        </w:rPr>
        <w:t>Aboriginal and Torres Strait Islander children</w:t>
      </w:r>
      <w:r w:rsidR="002F0F93">
        <w:rPr>
          <w:shd w:val="clear" w:color="auto" w:fill="FFFFFF"/>
        </w:rPr>
        <w:t xml:space="preserve"> </w:t>
      </w:r>
      <w:r w:rsidR="002F0F93" w:rsidRPr="000C4E5B">
        <w:rPr>
          <w:shd w:val="clear" w:color="auto" w:fill="FFFFFF"/>
        </w:rPr>
        <w:t xml:space="preserve">represent </w:t>
      </w:r>
      <w:r w:rsidR="002F0F93">
        <w:rPr>
          <w:shd w:val="clear" w:color="auto" w:fill="FFFFFF"/>
        </w:rPr>
        <w:t>43.7</w:t>
      </w:r>
      <w:r w:rsidR="002F0F93" w:rsidRPr="000C4E5B">
        <w:rPr>
          <w:shd w:val="clear" w:color="auto" w:fill="FFFFFF"/>
        </w:rPr>
        <w:t xml:space="preserve">% </w:t>
      </w:r>
      <w:r w:rsidR="009A35C5">
        <w:rPr>
          <w:shd w:val="clear" w:color="auto" w:fill="FFFFFF"/>
        </w:rPr>
        <w:t xml:space="preserve">of children </w:t>
      </w:r>
      <w:r w:rsidR="002F0F93" w:rsidRPr="000C4E5B">
        <w:rPr>
          <w:shd w:val="clear" w:color="auto" w:fill="FFFFFF"/>
        </w:rPr>
        <w:t>in remote areas.</w:t>
      </w:r>
      <w:r w:rsidR="002F0F93">
        <w:rPr>
          <w:rStyle w:val="EndnoteReference"/>
          <w:shd w:val="clear" w:color="auto" w:fill="FFFFFF"/>
        </w:rPr>
        <w:endnoteReference w:id="55"/>
      </w:r>
    </w:p>
    <w:p w14:paraId="43121BBE" w14:textId="3B189994" w:rsidR="008B4C11" w:rsidRDefault="00233CF5" w:rsidP="009A7738">
      <w:pPr>
        <w:rPr>
          <w:rFonts w:cs="Open Sans"/>
        </w:rPr>
      </w:pPr>
      <w:r>
        <w:rPr>
          <w:rFonts w:cs="Open Sans"/>
        </w:rPr>
        <w:t>Aboriginal and Torres Strait Islander</w:t>
      </w:r>
      <w:r w:rsidR="00CF50E0">
        <w:rPr>
          <w:rFonts w:cs="Open Sans"/>
        </w:rPr>
        <w:t xml:space="preserve"> children</w:t>
      </w:r>
      <w:r w:rsidR="0018323B">
        <w:rPr>
          <w:rFonts w:cs="Open Sans"/>
        </w:rPr>
        <w:t xml:space="preserve"> </w:t>
      </w:r>
      <w:r w:rsidR="003A52A2" w:rsidRPr="002A2216">
        <w:rPr>
          <w:rFonts w:cs="Open Sans"/>
        </w:rPr>
        <w:t>are twice as likely as non-Indigenous children to be developmentally vulnerable (41.3% and 20.4% respectively).</w:t>
      </w:r>
      <w:r w:rsidR="003A52A2" w:rsidRPr="005747DB">
        <w:rPr>
          <w:rStyle w:val="EndnoteReference"/>
        </w:rPr>
        <w:endnoteReference w:id="56"/>
      </w:r>
      <w:r w:rsidR="003A52A2" w:rsidRPr="002A2216">
        <w:rPr>
          <w:rFonts w:cs="Open Sans"/>
        </w:rPr>
        <w:t xml:space="preserve"> </w:t>
      </w:r>
      <w:r w:rsidR="009A7738" w:rsidRPr="007F5263">
        <w:rPr>
          <w:rFonts w:cs="Open Sans"/>
        </w:rPr>
        <w:t>Educational outcomes for Aboriginal and Torres Strait Islander children</w:t>
      </w:r>
      <w:r w:rsidR="009A7738">
        <w:rPr>
          <w:rFonts w:cs="Open Sans"/>
        </w:rPr>
        <w:t xml:space="preserve"> generally </w:t>
      </w:r>
      <w:r w:rsidR="009A7738" w:rsidRPr="001E5ED1">
        <w:rPr>
          <w:rFonts w:cs="Open Sans"/>
        </w:rPr>
        <w:t xml:space="preserve">are poor compared with their non-Indigenous peers. School attendance, literacy and numeracy targets </w:t>
      </w:r>
      <w:r w:rsidR="009A7738">
        <w:rPr>
          <w:rFonts w:cs="Open Sans"/>
        </w:rPr>
        <w:t xml:space="preserve">did not </w:t>
      </w:r>
      <w:r w:rsidR="009A7738" w:rsidRPr="001E5ED1">
        <w:rPr>
          <w:rFonts w:cs="Open Sans"/>
        </w:rPr>
        <w:t>meet the Closing the Gap goals set by the Australian Government for 2018</w:t>
      </w:r>
      <w:r w:rsidR="00243898">
        <w:rPr>
          <w:rFonts w:cs="Open Sans"/>
        </w:rPr>
        <w:t xml:space="preserve">, although targets on early childhood education enrolment </w:t>
      </w:r>
      <w:r w:rsidR="001D7577">
        <w:rPr>
          <w:rFonts w:cs="Open Sans"/>
        </w:rPr>
        <w:t>are</w:t>
      </w:r>
      <w:r w:rsidR="00243898">
        <w:rPr>
          <w:rFonts w:cs="Open Sans"/>
        </w:rPr>
        <w:t xml:space="preserve"> on track.</w:t>
      </w:r>
      <w:r w:rsidR="009A7738" w:rsidRPr="001E5ED1">
        <w:rPr>
          <w:rStyle w:val="EndnoteReference"/>
        </w:rPr>
        <w:endnoteReference w:id="57"/>
      </w:r>
      <w:r w:rsidR="00124478">
        <w:rPr>
          <w:rFonts w:ascii="Arial" w:hAnsi="Arial" w:cs="Arial"/>
          <w:color w:val="000000"/>
          <w:sz w:val="25"/>
          <w:szCs w:val="25"/>
        </w:rPr>
        <w:t xml:space="preserve"> </w:t>
      </w:r>
      <w:r w:rsidR="004259B5">
        <w:rPr>
          <w:rFonts w:cs="Open Sans"/>
          <w:color w:val="000000"/>
        </w:rPr>
        <w:t>T</w:t>
      </w:r>
      <w:r w:rsidR="00124478" w:rsidRPr="004259B5">
        <w:rPr>
          <w:rFonts w:cs="Open Sans"/>
          <w:color w:val="000000"/>
        </w:rPr>
        <w:t xml:space="preserve">he </w:t>
      </w:r>
      <w:r w:rsidR="001D7577">
        <w:rPr>
          <w:rFonts w:cs="Open Sans"/>
        </w:rPr>
        <w:t>most recent C</w:t>
      </w:r>
      <w:r w:rsidR="00243898">
        <w:rPr>
          <w:rFonts w:cs="Open Sans"/>
        </w:rPr>
        <w:t xml:space="preserve">losing the Gap </w:t>
      </w:r>
      <w:r w:rsidR="001D7577">
        <w:rPr>
          <w:rFonts w:cs="Open Sans"/>
        </w:rPr>
        <w:t xml:space="preserve">Report </w:t>
      </w:r>
      <w:r w:rsidR="00243898">
        <w:rPr>
          <w:rFonts w:cs="Open Sans"/>
        </w:rPr>
        <w:t xml:space="preserve">2020 shows </w:t>
      </w:r>
      <w:r w:rsidR="00124478">
        <w:rPr>
          <w:rFonts w:cs="Open Sans"/>
        </w:rPr>
        <w:t xml:space="preserve">that early childhood education and school attendance rates, reading and literacy outcomes, and Year 12 attainment rates for </w:t>
      </w:r>
      <w:r w:rsidR="00243898">
        <w:rPr>
          <w:rFonts w:cs="Open Sans"/>
        </w:rPr>
        <w:t xml:space="preserve">Aboriginal and Torres Strait Islander children </w:t>
      </w:r>
      <w:r w:rsidR="004259B5">
        <w:rPr>
          <w:rFonts w:cs="Open Sans"/>
        </w:rPr>
        <w:t xml:space="preserve">tend to </w:t>
      </w:r>
      <w:r w:rsidR="001D7577">
        <w:rPr>
          <w:rFonts w:cs="Open Sans"/>
        </w:rPr>
        <w:t>decrease by remoteness.</w:t>
      </w:r>
      <w:r w:rsidR="00124478" w:rsidRPr="00124478">
        <w:rPr>
          <w:rStyle w:val="EndnoteReference"/>
          <w:rFonts w:cs="Arial"/>
          <w:color w:val="000000"/>
          <w:szCs w:val="25"/>
        </w:rPr>
        <w:t xml:space="preserve"> </w:t>
      </w:r>
      <w:r w:rsidR="00124478">
        <w:rPr>
          <w:rStyle w:val="EndnoteReference"/>
          <w:rFonts w:cs="Arial"/>
          <w:color w:val="000000"/>
          <w:szCs w:val="25"/>
        </w:rPr>
        <w:endnoteReference w:id="58"/>
      </w:r>
      <w:r w:rsidR="00124478">
        <w:rPr>
          <w:rFonts w:ascii="Arial" w:hAnsi="Arial" w:cs="Arial"/>
          <w:color w:val="000000"/>
          <w:sz w:val="25"/>
          <w:szCs w:val="25"/>
        </w:rPr>
        <w:t xml:space="preserve"> </w:t>
      </w:r>
      <w:r w:rsidR="001D7577">
        <w:rPr>
          <w:rFonts w:cs="Open Sans"/>
        </w:rPr>
        <w:t xml:space="preserve">  </w:t>
      </w:r>
    </w:p>
    <w:p w14:paraId="11AFD91D" w14:textId="05E63908" w:rsidR="009A7738" w:rsidRDefault="009A7738" w:rsidP="009A7738">
      <w:r>
        <w:t xml:space="preserve">While data </w:t>
      </w:r>
      <w:r w:rsidR="004259B5">
        <w:t xml:space="preserve">on </w:t>
      </w:r>
      <w:r>
        <w:t xml:space="preserve">children with a disability is </w:t>
      </w:r>
      <w:r w:rsidR="004259B5">
        <w:t xml:space="preserve">generally </w:t>
      </w:r>
      <w:r>
        <w:t>poor,</w:t>
      </w:r>
      <w:r w:rsidR="00F474C1">
        <w:rPr>
          <w:rStyle w:val="EndnoteReference"/>
        </w:rPr>
        <w:endnoteReference w:id="59"/>
      </w:r>
      <w:r>
        <w:t xml:space="preserve"> some research shows that </w:t>
      </w:r>
      <w:r w:rsidR="004259B5">
        <w:t>Aboriginal and Torres Strait Islander</w:t>
      </w:r>
      <w:r>
        <w:t xml:space="preserve"> people have substantially higher disability rates at younger ages than non-Indigenous Australians</w:t>
      </w:r>
      <w:r w:rsidR="006D1254">
        <w:t xml:space="preserve">. </w:t>
      </w:r>
      <w:r>
        <w:t xml:space="preserve">Research </w:t>
      </w:r>
      <w:r w:rsidR="001443D0">
        <w:t xml:space="preserve">shows </w:t>
      </w:r>
      <w:r>
        <w:t xml:space="preserve">that </w:t>
      </w:r>
      <w:r w:rsidR="006D1254">
        <w:t>Aboriginal and Torres Strait Islander</w:t>
      </w:r>
      <w:r>
        <w:t xml:space="preserve"> children with a disability living in rural and remote Australia often face, in addition to geographical isolation, cultural and linguistic barriers</w:t>
      </w:r>
      <w:r w:rsidR="000B6A0C">
        <w:t>.</w:t>
      </w:r>
      <w:r w:rsidR="000B6A0C">
        <w:rPr>
          <w:rStyle w:val="EndnoteReference"/>
        </w:rPr>
        <w:endnoteReference w:id="60"/>
      </w:r>
      <w:r>
        <w:t xml:space="preserve"> </w:t>
      </w:r>
    </w:p>
    <w:p w14:paraId="3675E33F" w14:textId="1236867F" w:rsidR="00456692" w:rsidRDefault="00233CF5" w:rsidP="009A7738">
      <w:r w:rsidRPr="007F5263">
        <w:t xml:space="preserve">Aboriginal and Torres Strait Islander children in remote areas face </w:t>
      </w:r>
      <w:r>
        <w:t xml:space="preserve">additional barriers to </w:t>
      </w:r>
      <w:r w:rsidRPr="007F5263">
        <w:t>education</w:t>
      </w:r>
      <w:r>
        <w:t xml:space="preserve"> than those experienced by their non-Indigenous counterparts in remote areas</w:t>
      </w:r>
      <w:r w:rsidRPr="007F5263">
        <w:t xml:space="preserve">. </w:t>
      </w:r>
      <w:r w:rsidR="00CF50E0">
        <w:t xml:space="preserve">This is </w:t>
      </w:r>
      <w:r w:rsidR="00BC685E">
        <w:t xml:space="preserve">discussed </w:t>
      </w:r>
      <w:r w:rsidR="00B3107F">
        <w:t xml:space="preserve">further </w:t>
      </w:r>
      <w:r w:rsidR="00696F3F" w:rsidRPr="00980E01">
        <w:t>in Section 7</w:t>
      </w:r>
      <w:r w:rsidR="00285B84" w:rsidRPr="00980E01">
        <w:t>.</w:t>
      </w:r>
    </w:p>
    <w:p w14:paraId="2F347935" w14:textId="73784023" w:rsidR="00D671AA" w:rsidRDefault="00895D3D" w:rsidP="00D671AA">
      <w:pPr>
        <w:pStyle w:val="Heading2"/>
      </w:pPr>
      <w:bookmarkStart w:id="19" w:name="_Toc32497886"/>
      <w:r>
        <w:t>Y</w:t>
      </w:r>
      <w:r w:rsidR="00842850">
        <w:t>oung parents</w:t>
      </w:r>
      <w:bookmarkEnd w:id="19"/>
    </w:p>
    <w:p w14:paraId="0C1C3454" w14:textId="0CC4173F" w:rsidR="001A4E7F" w:rsidRDefault="001A4E7F" w:rsidP="00245B86">
      <w:r>
        <w:t>In 2017, the National Children’s Commissioner undertook a project focusing on the human rights of teenage parents</w:t>
      </w:r>
      <w:r w:rsidR="00CE08BF">
        <w:t xml:space="preserve"> and their children</w:t>
      </w:r>
      <w:r>
        <w:t>.</w:t>
      </w:r>
      <w:r w:rsidR="00575A70">
        <w:rPr>
          <w:rStyle w:val="EndnoteReference"/>
        </w:rPr>
        <w:endnoteReference w:id="61"/>
      </w:r>
      <w:r>
        <w:t xml:space="preserve"> Her report showed that teenage mothers have significantly lower levels of educational attainment than other mothers and women</w:t>
      </w:r>
      <w:r w:rsidR="001443D0">
        <w:t xml:space="preserve"> without children</w:t>
      </w:r>
      <w:r>
        <w:t>, resulting in lower levels of labour market participation and employment outcomes.</w:t>
      </w:r>
      <w:r>
        <w:rPr>
          <w:rStyle w:val="EndnoteReference"/>
        </w:rPr>
        <w:endnoteReference w:id="62"/>
      </w:r>
      <w:r>
        <w:t xml:space="preserve"> Moreover, a high percentage of teenage mothers had either left school or disengaged from school prior to becoming pregnant.</w:t>
      </w:r>
      <w:r>
        <w:rPr>
          <w:rStyle w:val="EndnoteReference"/>
        </w:rPr>
        <w:endnoteReference w:id="63"/>
      </w:r>
      <w:r>
        <w:t xml:space="preserve"> </w:t>
      </w:r>
    </w:p>
    <w:p w14:paraId="1BD13FD2" w14:textId="2297ED3B" w:rsidR="003D419C" w:rsidRDefault="001A4E7F" w:rsidP="003D419C">
      <w:pPr>
        <w:rPr>
          <w:rFonts w:ascii="Arial" w:hAnsi="Arial"/>
        </w:rPr>
      </w:pPr>
      <w:r>
        <w:t>While the teenage birth rate in Australia overall is at a</w:t>
      </w:r>
      <w:r w:rsidR="003D419C">
        <w:t>n</w:t>
      </w:r>
      <w:r>
        <w:t xml:space="preserve"> historic low, teenage parenthood is experienced more frequently by people in remote or rural locations</w:t>
      </w:r>
      <w:r w:rsidR="00586DBF">
        <w:t>,</w:t>
      </w:r>
      <w:r w:rsidR="00586DBF" w:rsidRPr="00586DBF">
        <w:t xml:space="preserve"> </w:t>
      </w:r>
      <w:r w:rsidR="00586DBF">
        <w:t>lower socio-economic circumstances, and Aboriginal or Torres Strait Islander peoples</w:t>
      </w:r>
      <w:r w:rsidR="003D419C">
        <w:t>:</w:t>
      </w:r>
      <w:r>
        <w:rPr>
          <w:vertAlign w:val="superscript"/>
        </w:rPr>
        <w:endnoteReference w:id="64"/>
      </w:r>
      <w:r>
        <w:t xml:space="preserve"> </w:t>
      </w:r>
    </w:p>
    <w:p w14:paraId="6DCE6690" w14:textId="588E74CD" w:rsidR="001A4E7F" w:rsidRPr="003D419C" w:rsidRDefault="001A4E7F" w:rsidP="00CA74FE">
      <w:pPr>
        <w:pStyle w:val="ListParagraph"/>
        <w:numPr>
          <w:ilvl w:val="0"/>
          <w:numId w:val="25"/>
        </w:numPr>
        <w:rPr>
          <w:rFonts w:ascii="Arial" w:hAnsi="Arial"/>
        </w:rPr>
      </w:pPr>
      <w:r w:rsidRPr="003D419C">
        <w:lastRenderedPageBreak/>
        <w:t>Teenagers in rural and remote Australia experience young parenthood at a rate of 57 births per 1000, which is more than four times that of the general population.</w:t>
      </w:r>
      <w:r>
        <w:rPr>
          <w:vertAlign w:val="superscript"/>
        </w:rPr>
        <w:endnoteReference w:id="65"/>
      </w:r>
      <w:r>
        <w:t xml:space="preserve"> </w:t>
      </w:r>
    </w:p>
    <w:p w14:paraId="43FCF407" w14:textId="545E3027" w:rsidR="001A4E7F" w:rsidRPr="001A4E7F" w:rsidRDefault="001A4E7F" w:rsidP="00CA74FE">
      <w:pPr>
        <w:pStyle w:val="ListParagraph"/>
        <w:numPr>
          <w:ilvl w:val="0"/>
          <w:numId w:val="25"/>
        </w:numPr>
      </w:pPr>
      <w:r w:rsidRPr="003D419C">
        <w:t>In 2015, births to Aboriginal and Torres Strait Islander young mothers aged 15–19 was at a rate of 59.3 births per 1000.</w:t>
      </w:r>
      <w:r w:rsidRPr="00B14F8D">
        <w:rPr>
          <w:vertAlign w:val="superscript"/>
        </w:rPr>
        <w:endnoteReference w:id="66"/>
      </w:r>
      <w:r w:rsidR="003D419C" w:rsidRPr="003D419C">
        <w:t xml:space="preserve"> </w:t>
      </w:r>
      <w:r w:rsidRPr="003D419C">
        <w:t>That is, 2,203 out of 8,574 total births to all Australian mothers aged 15–19 years (25.7% of total births for this age group).</w:t>
      </w:r>
      <w:r w:rsidR="003D419C">
        <w:rPr>
          <w:rStyle w:val="EndnoteReference"/>
        </w:rPr>
        <w:endnoteReference w:id="67"/>
      </w:r>
      <w:r w:rsidRPr="001A4E7F">
        <w:t xml:space="preserve"> </w:t>
      </w:r>
    </w:p>
    <w:p w14:paraId="5BB2CE4E" w14:textId="654F1979" w:rsidR="00FC368F" w:rsidRPr="003D419C" w:rsidRDefault="00FA6206" w:rsidP="00FC368F">
      <w:pPr>
        <w:rPr>
          <w:rFonts w:ascii="Arial" w:hAnsi="Arial"/>
        </w:rPr>
      </w:pPr>
      <w:r>
        <w:t xml:space="preserve">Young parents, especially young mothers, face </w:t>
      </w:r>
      <w:r w:rsidR="00CE08BF">
        <w:t xml:space="preserve">significant </w:t>
      </w:r>
      <w:r>
        <w:t>barriers to remaining in mainstream schooling,</w:t>
      </w:r>
      <w:r>
        <w:rPr>
          <w:sz w:val="20"/>
          <w:vertAlign w:val="superscript"/>
        </w:rPr>
        <w:endnoteReference w:id="68"/>
      </w:r>
      <w:r>
        <w:t xml:space="preserve"> which are likely to be amplified in remote areas</w:t>
      </w:r>
      <w:r w:rsidR="00FB7D61">
        <w:t xml:space="preserve"> where there are few services and supports, including lack of early childhood education and care services</w:t>
      </w:r>
      <w:r>
        <w:t xml:space="preserve">. </w:t>
      </w:r>
      <w:r w:rsidR="009D5CF4">
        <w:t>R</w:t>
      </w:r>
      <w:r w:rsidR="00FC368F">
        <w:t xml:space="preserve">esearch has </w:t>
      </w:r>
      <w:r w:rsidR="009D5CF4">
        <w:t xml:space="preserve">also </w:t>
      </w:r>
      <w:r w:rsidR="00FC368F">
        <w:t>found that students who remain in school and become pregnant frequently feel discriminated against within the secondary education system and may leave school early as a result.</w:t>
      </w:r>
      <w:r w:rsidR="00FC368F">
        <w:rPr>
          <w:rStyle w:val="EndnoteReference"/>
        </w:rPr>
        <w:endnoteReference w:id="69"/>
      </w:r>
      <w:r w:rsidR="00FC368F">
        <w:t xml:space="preserve"> </w:t>
      </w:r>
    </w:p>
    <w:p w14:paraId="21DF8367" w14:textId="4E8528D6" w:rsidR="00FA6206" w:rsidRDefault="00FA6206" w:rsidP="00FB7D61">
      <w:r>
        <w:t xml:space="preserve">Even when </w:t>
      </w:r>
      <w:r w:rsidR="00FC368F">
        <w:t xml:space="preserve">local </w:t>
      </w:r>
      <w:r>
        <w:t>schools implement an education policy to support pregnancy and parenting, it may be unrealistic to get parenting students back into the mainstream classroom.</w:t>
      </w:r>
      <w:r>
        <w:rPr>
          <w:sz w:val="20"/>
          <w:vertAlign w:val="superscript"/>
        </w:rPr>
        <w:endnoteReference w:id="70"/>
      </w:r>
      <w:r>
        <w:t xml:space="preserve"> </w:t>
      </w:r>
      <w:r w:rsidR="008B5623">
        <w:t>Y</w:t>
      </w:r>
      <w:r>
        <w:t>oung parents have many ‘competing drivers’ (including, but not limited, to parenting, education, housing and employment) that make it hard for them to fit into the mainstream education environment.</w:t>
      </w:r>
      <w:r>
        <w:rPr>
          <w:sz w:val="20"/>
          <w:vertAlign w:val="superscript"/>
        </w:rPr>
        <w:endnoteReference w:id="71"/>
      </w:r>
    </w:p>
    <w:p w14:paraId="5011332F" w14:textId="41BF8CEF" w:rsidR="00FB7D61" w:rsidRDefault="00C23F5D" w:rsidP="00FB7D61">
      <w:r>
        <w:t>D</w:t>
      </w:r>
      <w:r w:rsidR="00FC368F">
        <w:t xml:space="preserve">espite these barriers, </w:t>
      </w:r>
      <w:r w:rsidR="008B5623">
        <w:t>s</w:t>
      </w:r>
      <w:r w:rsidR="00FB7D61">
        <w:t xml:space="preserve">ome young parents </w:t>
      </w:r>
      <w:r>
        <w:t xml:space="preserve">told </w:t>
      </w:r>
      <w:r w:rsidR="008B5623">
        <w:t xml:space="preserve">the National Children’s Commissioner </w:t>
      </w:r>
      <w:r w:rsidR="00FB7D61">
        <w:t>they were supported by their school</w:t>
      </w:r>
      <w:r>
        <w:t>, saying</w:t>
      </w:r>
      <w:r w:rsidR="00FB7D61">
        <w:t xml:space="preserve"> that their school:</w:t>
      </w:r>
    </w:p>
    <w:p w14:paraId="3EE57880" w14:textId="01EE94C2" w:rsidR="00FB7D61" w:rsidRDefault="00FB7D61" w:rsidP="00CA74FE">
      <w:pPr>
        <w:pStyle w:val="ListParagraph"/>
        <w:keepLines/>
        <w:numPr>
          <w:ilvl w:val="0"/>
          <w:numId w:val="29"/>
        </w:numPr>
        <w:spacing w:before="0" w:after="0"/>
        <w:contextualSpacing/>
      </w:pPr>
      <w:r>
        <w:t>was flexible with schedules, breaks (including for feeding), appointments, homework, and exams</w:t>
      </w:r>
    </w:p>
    <w:p w14:paraId="044CABF5" w14:textId="77777777" w:rsidR="00FB7D61" w:rsidRDefault="00FB7D61" w:rsidP="00CA74FE">
      <w:pPr>
        <w:pStyle w:val="ListParagraph"/>
        <w:keepLines/>
        <w:numPr>
          <w:ilvl w:val="0"/>
          <w:numId w:val="29"/>
        </w:numPr>
        <w:spacing w:before="0" w:after="0"/>
        <w:contextualSpacing/>
      </w:pPr>
      <w:r>
        <w:t>provided out of school support such as a home visit from a teacher</w:t>
      </w:r>
    </w:p>
    <w:p w14:paraId="0C6D873C" w14:textId="77777777" w:rsidR="00FB7D61" w:rsidRDefault="00FB7D61" w:rsidP="00CA74FE">
      <w:pPr>
        <w:pStyle w:val="ListParagraph"/>
        <w:keepLines/>
        <w:numPr>
          <w:ilvl w:val="0"/>
          <w:numId w:val="29"/>
        </w:numPr>
        <w:spacing w:before="0" w:after="0"/>
        <w:contextualSpacing/>
      </w:pPr>
      <w:r>
        <w:t xml:space="preserve">had </w:t>
      </w:r>
      <w:bookmarkStart w:id="20" w:name="_GoBack"/>
      <w:bookmarkEnd w:id="20"/>
      <w:r>
        <w:t>a crèche on site, allowed children in the school, or helped to access external early childhood education and care services</w:t>
      </w:r>
    </w:p>
    <w:p w14:paraId="60E9C93C" w14:textId="77777777" w:rsidR="00FB7D61" w:rsidRDefault="00FB7D61" w:rsidP="00CA74FE">
      <w:pPr>
        <w:pStyle w:val="ListParagraph"/>
        <w:keepLines/>
        <w:numPr>
          <w:ilvl w:val="0"/>
          <w:numId w:val="29"/>
        </w:numPr>
        <w:spacing w:before="0" w:after="0"/>
        <w:contextualSpacing/>
      </w:pPr>
      <w:r>
        <w:t>supplied larger uniforms for when they were pregnant</w:t>
      </w:r>
    </w:p>
    <w:p w14:paraId="03D9E4BB" w14:textId="77777777" w:rsidR="00FB7D61" w:rsidRDefault="00FB7D61" w:rsidP="00CA74FE">
      <w:pPr>
        <w:pStyle w:val="ListParagraph"/>
        <w:keepLines/>
        <w:numPr>
          <w:ilvl w:val="0"/>
          <w:numId w:val="29"/>
        </w:numPr>
        <w:spacing w:before="0"/>
        <w:contextualSpacing/>
      </w:pPr>
      <w:r>
        <w:t>provided keys to an accessible lift.</w:t>
      </w:r>
    </w:p>
    <w:p w14:paraId="59289CEB" w14:textId="0617B4B0" w:rsidR="00FB7D61" w:rsidRDefault="00715A49" w:rsidP="00FB7D61">
      <w:r>
        <w:t xml:space="preserve">They also gave ideas on how </w:t>
      </w:r>
      <w:r w:rsidR="00FB7D61">
        <w:t>school</w:t>
      </w:r>
      <w:r>
        <w:t>s</w:t>
      </w:r>
      <w:r w:rsidR="00FB7D61">
        <w:t xml:space="preserve"> could help more</w:t>
      </w:r>
      <w:r>
        <w:t>, including</w:t>
      </w:r>
      <w:r w:rsidR="00FB7D61">
        <w:t>:</w:t>
      </w:r>
    </w:p>
    <w:p w14:paraId="0618CC0D" w14:textId="77777777" w:rsidR="00FB7D61" w:rsidRDefault="00FB7D61" w:rsidP="00CA74FE">
      <w:pPr>
        <w:pStyle w:val="ListParagraph"/>
        <w:keepLines/>
        <w:numPr>
          <w:ilvl w:val="0"/>
          <w:numId w:val="27"/>
        </w:numPr>
        <w:spacing w:before="0" w:after="0"/>
        <w:contextualSpacing/>
      </w:pPr>
      <w:r>
        <w:t>giving information about distance education options</w:t>
      </w:r>
    </w:p>
    <w:p w14:paraId="0058B8B0" w14:textId="77777777" w:rsidR="00FB7D61" w:rsidRDefault="00FB7D61" w:rsidP="00CA74FE">
      <w:pPr>
        <w:pStyle w:val="ListParagraph"/>
        <w:keepLines/>
        <w:numPr>
          <w:ilvl w:val="0"/>
          <w:numId w:val="27"/>
        </w:numPr>
        <w:spacing w:before="0" w:after="0"/>
        <w:contextualSpacing/>
      </w:pPr>
      <w:r>
        <w:t>proactively addressing bullying of pregnant students</w:t>
      </w:r>
    </w:p>
    <w:p w14:paraId="66B1E09F" w14:textId="77777777" w:rsidR="00FB7D61" w:rsidRDefault="00FB7D61" w:rsidP="00CA74FE">
      <w:pPr>
        <w:pStyle w:val="ListParagraph"/>
        <w:keepLines/>
        <w:numPr>
          <w:ilvl w:val="0"/>
          <w:numId w:val="27"/>
        </w:numPr>
        <w:spacing w:before="0" w:after="0"/>
        <w:contextualSpacing/>
      </w:pPr>
      <w:r>
        <w:t>being flexible about child minding and breast feeding after giving birth</w:t>
      </w:r>
    </w:p>
    <w:p w14:paraId="510325CE" w14:textId="38CD7A4B" w:rsidR="00FB7D61" w:rsidRDefault="00FB7D61" w:rsidP="00CA74FE">
      <w:pPr>
        <w:pStyle w:val="ListParagraph"/>
        <w:keepLines/>
        <w:numPr>
          <w:ilvl w:val="0"/>
          <w:numId w:val="27"/>
        </w:numPr>
        <w:spacing w:before="0" w:after="0"/>
        <w:contextualSpacing/>
      </w:pPr>
      <w:r>
        <w:t>helping young people handle the dual pressures of pregnancy and schoolwork</w:t>
      </w:r>
    </w:p>
    <w:p w14:paraId="00CE233C" w14:textId="44CECE4D" w:rsidR="00FB7D61" w:rsidRDefault="00FB7D61" w:rsidP="00CA74FE">
      <w:pPr>
        <w:pStyle w:val="ListParagraph"/>
        <w:keepLines/>
        <w:numPr>
          <w:ilvl w:val="0"/>
          <w:numId w:val="27"/>
        </w:numPr>
        <w:spacing w:before="0" w:after="0"/>
        <w:contextualSpacing/>
      </w:pPr>
      <w:r>
        <w:t>allowing the option of taking schoolwork home when unwell.</w:t>
      </w:r>
    </w:p>
    <w:p w14:paraId="600066E6" w14:textId="206DADCD" w:rsidR="00A52DF1" w:rsidRDefault="008B5623" w:rsidP="00CC0FF8">
      <w:r>
        <w:lastRenderedPageBreak/>
        <w:t>In her report, t</w:t>
      </w:r>
      <w:r w:rsidR="00245B86">
        <w:t>he National Children’s Commissioner’s project highlighted several strategies for increasing the engagement of teenage parents in education</w:t>
      </w:r>
      <w:r w:rsidR="00BB793E">
        <w:t>:</w:t>
      </w:r>
      <w:r w:rsidR="00245B86">
        <w:t xml:space="preserve"> </w:t>
      </w:r>
    </w:p>
    <w:p w14:paraId="367C4E92" w14:textId="34ADE743" w:rsidR="00A52DF1" w:rsidRDefault="00595DAC" w:rsidP="00CA74FE">
      <w:pPr>
        <w:pStyle w:val="ListParagraph"/>
        <w:numPr>
          <w:ilvl w:val="0"/>
          <w:numId w:val="28"/>
        </w:numPr>
      </w:pPr>
      <w:r>
        <w:t>Re-connecting young mothers with education following the birth of their baby.</w:t>
      </w:r>
      <w:r>
        <w:rPr>
          <w:rStyle w:val="EndnoteReference"/>
        </w:rPr>
        <w:endnoteReference w:id="72"/>
      </w:r>
      <w:r>
        <w:t xml:space="preserve"> </w:t>
      </w:r>
    </w:p>
    <w:p w14:paraId="22DF2015" w14:textId="598C8055" w:rsidR="008B5623" w:rsidRDefault="00A52DF1" w:rsidP="00CA74FE">
      <w:pPr>
        <w:pStyle w:val="ListParagraph"/>
        <w:numPr>
          <w:ilvl w:val="0"/>
          <w:numId w:val="28"/>
        </w:numPr>
      </w:pPr>
      <w:r>
        <w:t>Access to affordable quality early childhood education and care</w:t>
      </w:r>
      <w:r w:rsidR="009A624D">
        <w:t>, which benefits both parents and children</w:t>
      </w:r>
      <w:r w:rsidR="003867F3">
        <w:t>.</w:t>
      </w:r>
    </w:p>
    <w:p w14:paraId="08BD68BC" w14:textId="77777777" w:rsidR="00434617" w:rsidRDefault="00595DAC" w:rsidP="00431E0C">
      <w:pPr>
        <w:pStyle w:val="ListParagraph"/>
        <w:numPr>
          <w:ilvl w:val="0"/>
          <w:numId w:val="28"/>
        </w:numPr>
      </w:pPr>
      <w:r>
        <w:t>‘</w:t>
      </w:r>
      <w:r w:rsidR="003867F3">
        <w:t>I</w:t>
      </w:r>
      <w:r>
        <w:t>ntegrated childcare’— a wrap-around model that allows young people to be close to their children by learning, volunteering, working or engaging in other activities in the same premises.</w:t>
      </w:r>
      <w:r>
        <w:rPr>
          <w:sz w:val="20"/>
          <w:vertAlign w:val="superscript"/>
        </w:rPr>
        <w:endnoteReference w:id="73"/>
      </w:r>
      <w:r>
        <w:t xml:space="preserve"> </w:t>
      </w:r>
    </w:p>
    <w:p w14:paraId="1C02D19D" w14:textId="1D591AB4" w:rsidR="007F34B2" w:rsidRDefault="004259B5" w:rsidP="00434617">
      <w:r>
        <w:t xml:space="preserve">There are some </w:t>
      </w:r>
      <w:r w:rsidR="007F34B2">
        <w:t xml:space="preserve">examples of </w:t>
      </w:r>
      <w:r w:rsidR="00B14F8D">
        <w:t>wrap-around models of schooling for young parents</w:t>
      </w:r>
      <w:r w:rsidR="007F34B2">
        <w:t>:</w:t>
      </w:r>
    </w:p>
    <w:p w14:paraId="55D7EE6F" w14:textId="3DB151F8" w:rsidR="007F34B2" w:rsidRDefault="00604919" w:rsidP="007F34B2">
      <w:pPr>
        <w:pStyle w:val="ListParagraph"/>
        <w:numPr>
          <w:ilvl w:val="0"/>
          <w:numId w:val="61"/>
        </w:numPr>
      </w:pPr>
      <w:r w:rsidRPr="00947029">
        <w:t>Supporting Teenagers with Education, Mothering and Mentoring (STEMM)</w:t>
      </w:r>
      <w:r w:rsidRPr="00947029">
        <w:rPr>
          <w:rStyle w:val="EndnoteReference"/>
          <w:sz w:val="24"/>
        </w:rPr>
        <w:endnoteReference w:id="74"/>
      </w:r>
      <w:r w:rsidR="00FC78AD" w:rsidRPr="00947029">
        <w:t xml:space="preserve"> </w:t>
      </w:r>
      <w:r w:rsidR="00AC17D0">
        <w:t>b</w:t>
      </w:r>
      <w:r w:rsidRPr="00947029">
        <w:t xml:space="preserve">ased on the Sunshine Coast, </w:t>
      </w:r>
      <w:r w:rsidRPr="0059518E">
        <w:t>re-engages pregnant girls and young mothers with education in a safe and non-judgemental environment.</w:t>
      </w:r>
      <w:r w:rsidR="00126D34" w:rsidRPr="0059518E">
        <w:t xml:space="preserve"> </w:t>
      </w:r>
      <w:r w:rsidRPr="0059518E">
        <w:t xml:space="preserve">Pregnant students from 12 weeks of pregnancy and young mothers under 24 years old </w:t>
      </w:r>
      <w:r w:rsidR="005C22AB">
        <w:t xml:space="preserve">are </w:t>
      </w:r>
      <w:r w:rsidRPr="0059518E">
        <w:t xml:space="preserve">given the opportunity to develop life skills, parenting skills, healthy relationship skills and pre- and post-birthing knowledge, as well as vocational education and tertiary pathways programs. </w:t>
      </w:r>
      <w:r w:rsidR="002C24F1" w:rsidRPr="00595603">
        <w:t>STEMM reports that there has been</w:t>
      </w:r>
      <w:r w:rsidR="002C24F1" w:rsidRPr="007F34B2">
        <w:rPr>
          <w:b/>
          <w:bCs/>
        </w:rPr>
        <w:t xml:space="preserve"> </w:t>
      </w:r>
      <w:r w:rsidR="0059518E" w:rsidRPr="00692890">
        <w:t>a significant increase in the participation rate of pregnant or parenting students in education</w:t>
      </w:r>
      <w:r w:rsidR="002C24F1">
        <w:t xml:space="preserve"> following the program.</w:t>
      </w:r>
      <w:r w:rsidR="00595603" w:rsidRPr="00947029">
        <w:rPr>
          <w:rStyle w:val="EndnoteReference"/>
          <w:sz w:val="24"/>
        </w:rPr>
        <w:endnoteReference w:id="75"/>
      </w:r>
    </w:p>
    <w:p w14:paraId="2D968652" w14:textId="77777777" w:rsidR="00A92C8D" w:rsidRPr="00A92C8D" w:rsidRDefault="009A624D" w:rsidP="00B14F8D">
      <w:pPr>
        <w:pStyle w:val="ListParagraph"/>
        <w:numPr>
          <w:ilvl w:val="0"/>
          <w:numId w:val="61"/>
        </w:numPr>
        <w:rPr>
          <w:rFonts w:ascii="Calibri" w:eastAsiaTheme="minorHAnsi" w:hAnsi="Calibri"/>
          <w:sz w:val="22"/>
          <w:szCs w:val="22"/>
        </w:rPr>
      </w:pPr>
      <w:r>
        <w:t xml:space="preserve">Port School in the </w:t>
      </w:r>
      <w:r w:rsidR="00361DBA">
        <w:t xml:space="preserve">regional area of </w:t>
      </w:r>
      <w:r>
        <w:t>Fremantle</w:t>
      </w:r>
      <w:r w:rsidR="00361DBA">
        <w:t xml:space="preserve">, </w:t>
      </w:r>
      <w:r>
        <w:t>WA</w:t>
      </w:r>
      <w:r w:rsidR="00361DBA">
        <w:t xml:space="preserve">, </w:t>
      </w:r>
      <w:r>
        <w:t xml:space="preserve">has a young parent centre where teenage parents are provided with parenting support and training to achieve their educational outcomes. They offer a variety of supportive holistic parenting and healthy lifestyle programs, </w:t>
      </w:r>
      <w:r w:rsidR="00D94ADB">
        <w:t xml:space="preserve">as well as their academic and vocational education, </w:t>
      </w:r>
      <w:r>
        <w:t>while their child is close by in accredited childcare.</w:t>
      </w:r>
      <w:r>
        <w:rPr>
          <w:rStyle w:val="EndnoteReference"/>
        </w:rPr>
        <w:endnoteReference w:id="76"/>
      </w:r>
    </w:p>
    <w:p w14:paraId="0440CB26" w14:textId="58B83357" w:rsidR="001F3E83" w:rsidRPr="00B14F8D" w:rsidRDefault="00C9641B" w:rsidP="00B14F8D">
      <w:pPr>
        <w:pStyle w:val="ListParagraph"/>
        <w:numPr>
          <w:ilvl w:val="0"/>
          <w:numId w:val="61"/>
        </w:numPr>
        <w:rPr>
          <w:rFonts w:ascii="Calibri" w:eastAsiaTheme="minorHAnsi" w:hAnsi="Calibri"/>
          <w:sz w:val="22"/>
          <w:szCs w:val="22"/>
        </w:rPr>
      </w:pPr>
      <w:r>
        <w:t xml:space="preserve">The Cape York Girl Academy is </w:t>
      </w:r>
      <w:r w:rsidR="00B67F6A">
        <w:t xml:space="preserve">a boarding school designed and dedicated to the education of young Aboriginal and Torres Strait </w:t>
      </w:r>
      <w:r w:rsidR="00B27BF2">
        <w:t xml:space="preserve">Islander </w:t>
      </w:r>
      <w:r w:rsidR="00037514">
        <w:t>women</w:t>
      </w:r>
      <w:r w:rsidR="00F86A69">
        <w:t xml:space="preserve"> with </w:t>
      </w:r>
      <w:r w:rsidR="00037514">
        <w:t>babies.</w:t>
      </w:r>
      <w:r w:rsidR="00B85F2C">
        <w:rPr>
          <w:rStyle w:val="EndnoteReference"/>
        </w:rPr>
        <w:endnoteReference w:id="77"/>
      </w:r>
      <w:r w:rsidR="00037514">
        <w:t xml:space="preserve"> This model is </w:t>
      </w:r>
      <w:proofErr w:type="spellStart"/>
      <w:r w:rsidR="00037514">
        <w:t>deigned</w:t>
      </w:r>
      <w:proofErr w:type="spellEnd"/>
      <w:r w:rsidR="00037514">
        <w:t xml:space="preserve"> to ensure that young mothers are</w:t>
      </w:r>
      <w:r w:rsidR="0083682C">
        <w:t xml:space="preserve"> able to raise their children and not forego their education.</w:t>
      </w:r>
      <w:r w:rsidR="00037514">
        <w:t xml:space="preserve"> </w:t>
      </w:r>
    </w:p>
    <w:p w14:paraId="64B79B1E" w14:textId="6169D3BA" w:rsidR="00EC5C3D" w:rsidRDefault="00EC5C3D" w:rsidP="00434617">
      <w:r>
        <w:t>The National Children’s Commissioner found that</w:t>
      </w:r>
      <w:r w:rsidR="00BE6A24">
        <w:t>,</w:t>
      </w:r>
      <w:r w:rsidR="00712356">
        <w:t xml:space="preserve"> generally</w:t>
      </w:r>
      <w:r w:rsidR="00BE6A24">
        <w:t>,</w:t>
      </w:r>
      <w:r w:rsidR="00C139A5">
        <w:t xml:space="preserve"> state and territory</w:t>
      </w:r>
      <w:r w:rsidR="00BB52B1">
        <w:t xml:space="preserve"> education laws do not require schools to make the necessary adjustment</w:t>
      </w:r>
      <w:r w:rsidR="000F3410">
        <w:t xml:space="preserve">s or provide </w:t>
      </w:r>
      <w:r w:rsidR="00A749DA">
        <w:t xml:space="preserve">necessary support </w:t>
      </w:r>
      <w:r w:rsidR="00321D50">
        <w:t>t</w:t>
      </w:r>
      <w:r w:rsidR="00A749DA">
        <w:t>o ensure access to education for all chi</w:t>
      </w:r>
      <w:r w:rsidR="00321D50">
        <w:t>ldren</w:t>
      </w:r>
      <w:r w:rsidR="007576D0">
        <w:t>, including those who are pregnant or who are parents.</w:t>
      </w:r>
      <w:r w:rsidR="007576D0">
        <w:rPr>
          <w:rStyle w:val="EndnoteReference"/>
        </w:rPr>
        <w:endnoteReference w:id="78"/>
      </w:r>
    </w:p>
    <w:p w14:paraId="121AF2F3" w14:textId="77777777" w:rsidR="00AC57E0" w:rsidRDefault="00AC57E0" w:rsidP="00434617">
      <w:pPr>
        <w:keepLines/>
        <w:spacing w:before="0" w:after="0"/>
        <w:contextualSpacing/>
      </w:pP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3867F3" w14:paraId="0DED9F98" w14:textId="77777777" w:rsidTr="00980E01">
        <w:tc>
          <w:tcPr>
            <w:tcW w:w="9065" w:type="dxa"/>
            <w:shd w:val="clear" w:color="auto" w:fill="F2F2F2" w:themeFill="background1" w:themeFillShade="F2"/>
          </w:tcPr>
          <w:p w14:paraId="6C781192" w14:textId="3DD96258" w:rsidR="00834C4D" w:rsidRPr="00834C4D" w:rsidRDefault="00834C4D" w:rsidP="003867F3">
            <w:pPr>
              <w:rPr>
                <w:b/>
                <w:bCs/>
              </w:rPr>
            </w:pPr>
            <w:bookmarkStart w:id="21" w:name="_Hlk31718188"/>
            <w:r w:rsidRPr="00834C4D">
              <w:rPr>
                <w:b/>
                <w:bCs/>
              </w:rPr>
              <w:lastRenderedPageBreak/>
              <w:t>Recommendation</w:t>
            </w:r>
            <w:r w:rsidR="001F3CD1">
              <w:rPr>
                <w:b/>
                <w:bCs/>
              </w:rPr>
              <w:t xml:space="preserve"> </w:t>
            </w:r>
            <w:r w:rsidR="00894A96" w:rsidRPr="00980E01">
              <w:rPr>
                <w:b/>
                <w:bCs/>
              </w:rPr>
              <w:t>4</w:t>
            </w:r>
          </w:p>
          <w:p w14:paraId="617839E1" w14:textId="79264C60" w:rsidR="003867F3" w:rsidRPr="00834C4D" w:rsidRDefault="003867F3" w:rsidP="003867F3">
            <w:pPr>
              <w:rPr>
                <w:b/>
                <w:bCs/>
              </w:rPr>
            </w:pPr>
            <w:r w:rsidRPr="00834C4D">
              <w:rPr>
                <w:b/>
                <w:bCs/>
              </w:rPr>
              <w:t>The Australian Government, through the Council of Australian Governments’ Education Council, work with states and territories to review their laws, policies and practices to ensure that:</w:t>
            </w:r>
          </w:p>
          <w:p w14:paraId="10A322D0" w14:textId="77777777" w:rsidR="003867F3" w:rsidRPr="00834C4D" w:rsidRDefault="003867F3" w:rsidP="00CA74FE">
            <w:pPr>
              <w:pStyle w:val="ListParagraph"/>
              <w:numPr>
                <w:ilvl w:val="0"/>
                <w:numId w:val="26"/>
              </w:numPr>
              <w:rPr>
                <w:b/>
                <w:bCs/>
              </w:rPr>
            </w:pPr>
            <w:r w:rsidRPr="00834C4D">
              <w:rPr>
                <w:b/>
                <w:bCs/>
              </w:rPr>
              <w:t>access to education for all children is guaranteed</w:t>
            </w:r>
          </w:p>
          <w:p w14:paraId="0B2988CA" w14:textId="10E429B6" w:rsidR="003867F3" w:rsidRPr="00834C4D" w:rsidRDefault="003867F3" w:rsidP="00CA74FE">
            <w:pPr>
              <w:pStyle w:val="ListParagraph"/>
              <w:numPr>
                <w:ilvl w:val="0"/>
                <w:numId w:val="26"/>
              </w:numPr>
              <w:rPr>
                <w:b/>
                <w:bCs/>
              </w:rPr>
            </w:pPr>
            <w:r w:rsidRPr="00834C4D">
              <w:rPr>
                <w:b/>
                <w:bCs/>
              </w:rPr>
              <w:t>educational authorities and educational institutions</w:t>
            </w:r>
            <w:r w:rsidR="00BE6A24">
              <w:rPr>
                <w:b/>
                <w:bCs/>
              </w:rPr>
              <w:t>—</w:t>
            </w:r>
            <w:r w:rsidRPr="00834C4D">
              <w:rPr>
                <w:b/>
                <w:bCs/>
              </w:rPr>
              <w:t>both public and private</w:t>
            </w:r>
            <w:r w:rsidR="00BE6A24">
              <w:rPr>
                <w:b/>
                <w:bCs/>
              </w:rPr>
              <w:t>—</w:t>
            </w:r>
            <w:r w:rsidRPr="00834C4D">
              <w:rPr>
                <w:b/>
                <w:bCs/>
              </w:rPr>
              <w:t>are required to make all necessary adjustments and provide all necessary support to facilitate and ensure access to education for children and young people who are pregnant or are parents</w:t>
            </w:r>
          </w:p>
          <w:p w14:paraId="66A3505F" w14:textId="77777777" w:rsidR="003867F3" w:rsidRPr="00834C4D" w:rsidRDefault="003867F3" w:rsidP="00CA74FE">
            <w:pPr>
              <w:pStyle w:val="ListParagraph"/>
              <w:numPr>
                <w:ilvl w:val="0"/>
                <w:numId w:val="26"/>
              </w:numPr>
              <w:rPr>
                <w:b/>
                <w:bCs/>
              </w:rPr>
            </w:pPr>
            <w:r w:rsidRPr="00834C4D">
              <w:rPr>
                <w:b/>
                <w:bCs/>
              </w:rPr>
              <w:t>regular publication of information on adjustments made to support children and young people who are pregnant or are parents is required</w:t>
            </w:r>
          </w:p>
          <w:p w14:paraId="4A1E77FA" w14:textId="5DE47484" w:rsidR="003867F3" w:rsidRPr="002D1003" w:rsidRDefault="003867F3" w:rsidP="00D0057E">
            <w:pPr>
              <w:pStyle w:val="ListParagraph"/>
              <w:numPr>
                <w:ilvl w:val="0"/>
                <w:numId w:val="26"/>
              </w:numPr>
              <w:rPr>
                <w:sz w:val="22"/>
                <w:szCs w:val="22"/>
              </w:rPr>
            </w:pPr>
            <w:r w:rsidRPr="00834C4D">
              <w:rPr>
                <w:b/>
                <w:bCs/>
              </w:rPr>
              <w:t>suspension, expulsion or denial of education of a child or young person on the ground of their being pregnant or a parent is prohibited.</w:t>
            </w:r>
          </w:p>
        </w:tc>
      </w:tr>
    </w:tbl>
    <w:p w14:paraId="1873CFFA" w14:textId="546CED71" w:rsidR="00D671AA" w:rsidRDefault="00B90367" w:rsidP="001A0E48">
      <w:pPr>
        <w:pStyle w:val="Heading2"/>
      </w:pPr>
      <w:bookmarkStart w:id="22" w:name="_Toc32497887"/>
      <w:bookmarkEnd w:id="21"/>
      <w:r>
        <w:t>Children affected by n</w:t>
      </w:r>
      <w:r w:rsidR="00842850">
        <w:t>atural disasters</w:t>
      </w:r>
      <w:bookmarkEnd w:id="22"/>
    </w:p>
    <w:p w14:paraId="4E4315C6" w14:textId="0730878A" w:rsidR="008118D2" w:rsidRDefault="00C47ECA" w:rsidP="003D7C5A">
      <w:r>
        <w:t>Droughts and other natural disasters</w:t>
      </w:r>
      <w:r w:rsidR="0052294C">
        <w:t xml:space="preserve"> increasingly present </w:t>
      </w:r>
      <w:r w:rsidR="00D824BC">
        <w:t xml:space="preserve">extreme </w:t>
      </w:r>
      <w:r w:rsidR="003D7C5A">
        <w:t xml:space="preserve">challenges </w:t>
      </w:r>
      <w:r w:rsidR="0052294C">
        <w:t xml:space="preserve">for </w:t>
      </w:r>
      <w:r w:rsidR="00D824BC">
        <w:t xml:space="preserve">children </w:t>
      </w:r>
      <w:r w:rsidR="00EC1A93">
        <w:t xml:space="preserve">and families </w:t>
      </w:r>
      <w:r w:rsidR="00D824BC">
        <w:t xml:space="preserve">living in </w:t>
      </w:r>
      <w:r w:rsidR="003D7C5A">
        <w:t>rural and remote communities in Australia</w:t>
      </w:r>
      <w:r w:rsidR="00A11507">
        <w:t xml:space="preserve"> </w:t>
      </w:r>
      <w:r w:rsidR="003E4BC2">
        <w:t>and</w:t>
      </w:r>
      <w:r w:rsidR="00A11507">
        <w:t xml:space="preserve"> </w:t>
      </w:r>
      <w:r w:rsidR="003D7C5A">
        <w:t xml:space="preserve">can significantly disrupt </w:t>
      </w:r>
      <w:r w:rsidR="00EC1A93">
        <w:t>children’s</w:t>
      </w:r>
      <w:r w:rsidR="003D7C5A">
        <w:t xml:space="preserve"> education</w:t>
      </w:r>
      <w:r w:rsidR="00A11507">
        <w:t>.</w:t>
      </w:r>
    </w:p>
    <w:p w14:paraId="789548DC" w14:textId="121E86B9" w:rsidR="00681174" w:rsidRDefault="0041692F" w:rsidP="003D7C5A">
      <w:pPr>
        <w:rPr>
          <w:rFonts w:cs="Open Sans"/>
        </w:rPr>
      </w:pPr>
      <w:r w:rsidRPr="0006649C">
        <w:t>In February 2019, UNICEF published a report on the views of children and young people affected by drought.</w:t>
      </w:r>
      <w:r w:rsidR="00C763D8" w:rsidRPr="0006649C">
        <w:rPr>
          <w:rStyle w:val="EndnoteReference"/>
        </w:rPr>
        <w:endnoteReference w:id="79"/>
      </w:r>
      <w:r w:rsidR="00C763D8" w:rsidRPr="0006649C">
        <w:t xml:space="preserve"> </w:t>
      </w:r>
      <w:r w:rsidRPr="0006649C">
        <w:t xml:space="preserve">The study found that there are few child and youth specific drought relief interventions. Workloads for children on and off farms have increased substantially, leaving little time for schoolwork and play. </w:t>
      </w:r>
      <w:r w:rsidR="006E4212">
        <w:t xml:space="preserve">The cumulative emotional and physical toll of the drought on children and young people was evident throughout the consultations. </w:t>
      </w:r>
      <w:r w:rsidR="0006649C" w:rsidRPr="0006649C">
        <w:t xml:space="preserve">Many students </w:t>
      </w:r>
      <w:r w:rsidR="006E4212">
        <w:t xml:space="preserve">also </w:t>
      </w:r>
      <w:r w:rsidR="0006649C" w:rsidRPr="0006649C">
        <w:t xml:space="preserve">described how the pressures of </w:t>
      </w:r>
      <w:r w:rsidR="0006649C">
        <w:t>t</w:t>
      </w:r>
      <w:r w:rsidR="0006649C" w:rsidRPr="0006649C">
        <w:t xml:space="preserve">he drought </w:t>
      </w:r>
      <w:r w:rsidR="00ED224F">
        <w:t>are</w:t>
      </w:r>
      <w:r w:rsidR="0006649C" w:rsidRPr="0006649C">
        <w:t xml:space="preserve"> disrupting their learning at school and expressed frustrations and perceptions that schools and teachers do not fully appreciate these pressures. </w:t>
      </w:r>
      <w:r w:rsidR="00681174">
        <w:t xml:space="preserve">The report recommends, among other things, </w:t>
      </w:r>
      <w:r w:rsidR="00681174" w:rsidRPr="00681174">
        <w:t xml:space="preserve">that </w:t>
      </w:r>
      <w:r w:rsidR="00681174" w:rsidRPr="00681174">
        <w:rPr>
          <w:rFonts w:cs="Open Sans"/>
        </w:rPr>
        <w:t>Australian Governments provide targeted funding and service delivery to meet the mental health needs of young people who are impacted by drought and natural disasters.</w:t>
      </w:r>
      <w:r w:rsidR="00681174">
        <w:rPr>
          <w:rStyle w:val="EndnoteReference"/>
          <w:rFonts w:cs="Open Sans"/>
        </w:rPr>
        <w:endnoteReference w:id="80"/>
      </w:r>
    </w:p>
    <w:p w14:paraId="7A57B3B0" w14:textId="35EE200A" w:rsidR="003D7C5A" w:rsidRDefault="00C65242" w:rsidP="003D7C5A">
      <w:r>
        <w:t xml:space="preserve">The </w:t>
      </w:r>
      <w:r w:rsidR="00870731">
        <w:t xml:space="preserve">physical and emotional impacts </w:t>
      </w:r>
      <w:r w:rsidR="0041692F">
        <w:t xml:space="preserve">of </w:t>
      </w:r>
      <w:r>
        <w:t xml:space="preserve">the recent bushfires </w:t>
      </w:r>
      <w:r w:rsidR="00870731">
        <w:t xml:space="preserve">on children </w:t>
      </w:r>
      <w:r w:rsidR="006770DE">
        <w:t>in many rural and remote areas of Australia are</w:t>
      </w:r>
      <w:r w:rsidR="001A1A0E">
        <w:t xml:space="preserve"> </w:t>
      </w:r>
      <w:r w:rsidR="006E4212">
        <w:t xml:space="preserve">also </w:t>
      </w:r>
      <w:r w:rsidR="001A1A0E">
        <w:t xml:space="preserve">likely to </w:t>
      </w:r>
      <w:r w:rsidR="00870731">
        <w:t>be significant</w:t>
      </w:r>
      <w:r w:rsidR="001A1A0E">
        <w:t>.</w:t>
      </w:r>
      <w:r w:rsidR="00870731">
        <w:t xml:space="preserve"> </w:t>
      </w:r>
      <w:r w:rsidR="00BE6A24">
        <w:t>Some c</w:t>
      </w:r>
      <w:r w:rsidR="00870731">
        <w:t xml:space="preserve">hildren have lost family members, </w:t>
      </w:r>
      <w:r w:rsidR="00286530">
        <w:t xml:space="preserve">pets, </w:t>
      </w:r>
      <w:r w:rsidR="00870731">
        <w:t>homes, and all their possessions. Community infrastructure, including schools, have been damaged</w:t>
      </w:r>
      <w:r w:rsidR="00507724">
        <w:t xml:space="preserve"> or closed</w:t>
      </w:r>
      <w:r w:rsidR="00870731">
        <w:t xml:space="preserve">, and local environment and its flora </w:t>
      </w:r>
      <w:r w:rsidR="00870731">
        <w:lastRenderedPageBreak/>
        <w:t>and fauna have been devastated. The exposure to emergency conditions, including evacuations and family fragmentation, can have traumatic effects</w:t>
      </w:r>
      <w:r w:rsidR="00507724">
        <w:t xml:space="preserve"> on children of all ages</w:t>
      </w:r>
      <w:r w:rsidR="00870731">
        <w:t xml:space="preserve">. </w:t>
      </w:r>
      <w:r w:rsidR="005C478E">
        <w:t>This can mean that they are unable to learn effectively even once they are able to physically return to school and continue learning.</w:t>
      </w:r>
      <w:r w:rsidR="00561406">
        <w:t xml:space="preserve"> </w:t>
      </w:r>
    </w:p>
    <w:p w14:paraId="22E7F4B8" w14:textId="0B4FEA0A" w:rsidR="00561406" w:rsidRDefault="0057452C" w:rsidP="00E33D91">
      <w:pPr>
        <w:rPr>
          <w:rFonts w:cs="Open Sans"/>
        </w:rPr>
      </w:pPr>
      <w:r>
        <w:t>Schools play a central part of community life in rural and remote areas. Re-establishing normalcy of a school environment can be essential for children</w:t>
      </w:r>
      <w:r w:rsidR="00D824BC">
        <w:t xml:space="preserve">, and schools and families may need extra assistance to </w:t>
      </w:r>
      <w:r w:rsidR="00BE6A24">
        <w:t>achieve this</w:t>
      </w:r>
      <w:r w:rsidR="00D824BC">
        <w:t>.</w:t>
      </w:r>
      <w:r>
        <w:t xml:space="preserve"> </w:t>
      </w:r>
      <w:r w:rsidR="006300D4">
        <w:t xml:space="preserve">Bushfire relief programs can </w:t>
      </w:r>
      <w:r w:rsidR="00647C8C" w:rsidRPr="00647C8C">
        <w:t>give time</w:t>
      </w:r>
      <w:r>
        <w:t>l</w:t>
      </w:r>
      <w:r w:rsidR="00647C8C" w:rsidRPr="00647C8C">
        <w:t xml:space="preserve">y and practical support for back-to-school needs like uniforms, textbooks and electronic </w:t>
      </w:r>
      <w:r w:rsidR="0041692F">
        <w:t>l</w:t>
      </w:r>
      <w:r w:rsidR="00647C8C" w:rsidRPr="00647C8C">
        <w:t>earning devices.</w:t>
      </w:r>
      <w:r w:rsidR="006300D4">
        <w:rPr>
          <w:rStyle w:val="EndnoteReference"/>
        </w:rPr>
        <w:endnoteReference w:id="81"/>
      </w:r>
      <w:r w:rsidR="00647C8C" w:rsidRPr="00647C8C">
        <w:t xml:space="preserve"> </w:t>
      </w:r>
      <w:r w:rsidR="00CD1AED">
        <w:rPr>
          <w:rFonts w:cs="Open Sans"/>
        </w:rPr>
        <w:t>Once these immediate needs are addressed, children may need supported recovery</w:t>
      </w:r>
      <w:r w:rsidR="00F85D1E">
        <w:rPr>
          <w:rFonts w:cs="Open Sans"/>
        </w:rPr>
        <w:t xml:space="preserve"> which could be delivered through school</w:t>
      </w:r>
      <w:r w:rsidR="00B80732">
        <w:rPr>
          <w:rFonts w:cs="Open Sans"/>
        </w:rPr>
        <w:t>s</w:t>
      </w:r>
      <w:r w:rsidR="00CD1AED">
        <w:rPr>
          <w:rFonts w:cs="Open Sans"/>
        </w:rPr>
        <w:t xml:space="preserve">. </w:t>
      </w:r>
      <w:r w:rsidR="00E85ACE">
        <w:rPr>
          <w:rFonts w:cs="Open Sans"/>
        </w:rPr>
        <w:t xml:space="preserve">For example, </w:t>
      </w:r>
      <w:r w:rsidR="00CD1AED">
        <w:rPr>
          <w:rFonts w:cs="Open Sans"/>
        </w:rPr>
        <w:t>UNICEF Australia, together with Royal Far West</w:t>
      </w:r>
      <w:r w:rsidR="00E85ACE">
        <w:rPr>
          <w:rFonts w:cs="Open Sans"/>
        </w:rPr>
        <w:t xml:space="preserve"> have teamed </w:t>
      </w:r>
      <w:r w:rsidR="00CD1AED">
        <w:rPr>
          <w:rFonts w:cs="Open Sans"/>
        </w:rPr>
        <w:t>together to deploy mobile, multi-disciplinary, in-community mental health support teams to reach families in 25 small and regional communities affected by the fire</w:t>
      </w:r>
      <w:r w:rsidR="002D5E51">
        <w:rPr>
          <w:rFonts w:cs="Open Sans"/>
        </w:rPr>
        <w:t xml:space="preserve">. </w:t>
      </w:r>
    </w:p>
    <w:p w14:paraId="31078230" w14:textId="13D24346" w:rsidR="005C22AB" w:rsidRDefault="002D5E51" w:rsidP="005C22AB">
      <w:pPr>
        <w:rPr>
          <w:rFonts w:cs="Open Sans"/>
        </w:rPr>
      </w:pPr>
      <w:r>
        <w:rPr>
          <w:rFonts w:cs="Open Sans"/>
        </w:rPr>
        <w:t xml:space="preserve">Another important focus is to help increase the resilience of parents, families, teachers and health </w:t>
      </w:r>
      <w:r w:rsidR="005C22AB">
        <w:rPr>
          <w:rFonts w:cs="Open Sans"/>
        </w:rPr>
        <w:t xml:space="preserve">and welfare </w:t>
      </w:r>
      <w:r>
        <w:rPr>
          <w:rFonts w:cs="Open Sans"/>
        </w:rPr>
        <w:t>professionals to support children.</w:t>
      </w:r>
      <w:r w:rsidR="00561406">
        <w:rPr>
          <w:rFonts w:cs="Open Sans"/>
        </w:rPr>
        <w:t xml:space="preserve"> This is especially important for remote communities, who may not have access to psychological support. </w:t>
      </w:r>
    </w:p>
    <w:p w14:paraId="50F94FF7" w14:textId="081A310D" w:rsidR="00AE16F1" w:rsidRDefault="002D5E51" w:rsidP="00E33D91">
      <w:pPr>
        <w:rPr>
          <w:rFonts w:cs="Open Sans"/>
        </w:rPr>
      </w:pPr>
      <w:r>
        <w:rPr>
          <w:rFonts w:cs="Open Sans"/>
        </w:rPr>
        <w:t xml:space="preserve"> </w:t>
      </w:r>
      <w:r w:rsidR="00AE16F1">
        <w:rPr>
          <w:rFonts w:cs="Open Sans"/>
        </w:rPr>
        <w:t xml:space="preserve">Some examples of </w:t>
      </w:r>
      <w:r w:rsidR="00584EBE">
        <w:rPr>
          <w:rFonts w:cs="Open Sans"/>
        </w:rPr>
        <w:t xml:space="preserve">resources for parents and teachers </w:t>
      </w:r>
      <w:r w:rsidR="00AE16F1">
        <w:rPr>
          <w:rFonts w:cs="Open Sans"/>
        </w:rPr>
        <w:t>are:</w:t>
      </w:r>
    </w:p>
    <w:p w14:paraId="4C48C1D0" w14:textId="0C4E1459" w:rsidR="00AE16F1" w:rsidRDefault="00464D7C" w:rsidP="00EF6A9E">
      <w:pPr>
        <w:pStyle w:val="ListParagraph"/>
        <w:numPr>
          <w:ilvl w:val="0"/>
          <w:numId w:val="57"/>
        </w:numPr>
        <w:rPr>
          <w:rFonts w:cs="Open Sans"/>
        </w:rPr>
      </w:pPr>
      <w:r w:rsidRPr="00AE16F1">
        <w:rPr>
          <w:rFonts w:cs="Open Sans"/>
        </w:rPr>
        <w:t xml:space="preserve">Australian Institute for Disaster Resilience teaching resources </w:t>
      </w:r>
      <w:r w:rsidR="00BC6890">
        <w:rPr>
          <w:rFonts w:cs="Open Sans"/>
        </w:rPr>
        <w:t>with</w:t>
      </w:r>
      <w:r w:rsidRPr="00AE16F1">
        <w:rPr>
          <w:rFonts w:cs="Open Sans"/>
        </w:rPr>
        <w:t xml:space="preserve"> detailed lesson plans, mapped to the national curriculum for lower primary through to lower secondary school.</w:t>
      </w:r>
      <w:r w:rsidR="003777FC">
        <w:rPr>
          <w:rStyle w:val="EndnoteReference"/>
          <w:rFonts w:cs="Open Sans"/>
        </w:rPr>
        <w:endnoteReference w:id="82"/>
      </w:r>
      <w:r w:rsidRPr="00AE16F1">
        <w:rPr>
          <w:rFonts w:cs="Open Sans"/>
        </w:rPr>
        <w:t xml:space="preserve"> </w:t>
      </w:r>
    </w:p>
    <w:p w14:paraId="1E7D0F32" w14:textId="3756F49B" w:rsidR="00AE16F1" w:rsidRDefault="00464D7C" w:rsidP="00EF6A9E">
      <w:pPr>
        <w:pStyle w:val="ListParagraph"/>
        <w:numPr>
          <w:ilvl w:val="0"/>
          <w:numId w:val="57"/>
        </w:numPr>
        <w:rPr>
          <w:rFonts w:cs="Open Sans"/>
        </w:rPr>
      </w:pPr>
      <w:r w:rsidRPr="00AE16F1">
        <w:rPr>
          <w:rFonts w:cs="Open Sans"/>
        </w:rPr>
        <w:t>Australian Red Cross resources for teachers to educate students from pre-school to year 12 about being prepared for natural disaster emergencies, and recovery lesson plans.</w:t>
      </w:r>
      <w:r w:rsidR="003777FC">
        <w:rPr>
          <w:rStyle w:val="EndnoteReference"/>
          <w:rFonts w:cs="Open Sans"/>
        </w:rPr>
        <w:endnoteReference w:id="83"/>
      </w:r>
      <w:r w:rsidR="00AB4A65" w:rsidRPr="00AE16F1">
        <w:rPr>
          <w:rFonts w:cs="Open Sans"/>
        </w:rPr>
        <w:t xml:space="preserve"> </w:t>
      </w:r>
    </w:p>
    <w:p w14:paraId="372FC222" w14:textId="04CE6D20" w:rsidR="00584EBE" w:rsidRPr="00AE16F1" w:rsidRDefault="00AB4A65" w:rsidP="00EF6A9E">
      <w:pPr>
        <w:pStyle w:val="ListParagraph"/>
        <w:numPr>
          <w:ilvl w:val="0"/>
          <w:numId w:val="57"/>
        </w:numPr>
        <w:rPr>
          <w:rFonts w:cs="Open Sans"/>
        </w:rPr>
      </w:pPr>
      <w:r w:rsidRPr="00AE16F1">
        <w:rPr>
          <w:rFonts w:cs="Open Sans"/>
        </w:rPr>
        <w:t>Emerging Minds</w:t>
      </w:r>
      <w:r w:rsidR="00E44717" w:rsidRPr="00AE16F1">
        <w:rPr>
          <w:rFonts w:cs="Open Sans"/>
        </w:rPr>
        <w:t xml:space="preserve">, an organisation leading the National Workforce Centre for Child Mental Health, </w:t>
      </w:r>
      <w:r w:rsidR="00BC6890">
        <w:rPr>
          <w:rFonts w:cs="Open Sans"/>
        </w:rPr>
        <w:t xml:space="preserve">resources </w:t>
      </w:r>
      <w:r w:rsidR="006770DE" w:rsidRPr="00AE16F1">
        <w:rPr>
          <w:rFonts w:cs="Open Sans"/>
        </w:rPr>
        <w:t xml:space="preserve">designed to </w:t>
      </w:r>
      <w:r w:rsidRPr="00AE16F1">
        <w:rPr>
          <w:rFonts w:cs="Open Sans"/>
        </w:rPr>
        <w:t>support</w:t>
      </w:r>
      <w:r w:rsidR="006770DE" w:rsidRPr="00AE16F1">
        <w:rPr>
          <w:rFonts w:cs="Open Sans"/>
        </w:rPr>
        <w:t xml:space="preserve"> </w:t>
      </w:r>
      <w:r w:rsidRPr="00AE16F1">
        <w:rPr>
          <w:rFonts w:cs="Open Sans"/>
        </w:rPr>
        <w:t>children in the first hours, days and weeks following a traumatic event.</w:t>
      </w:r>
      <w:r>
        <w:rPr>
          <w:rStyle w:val="EndnoteReference"/>
          <w:rFonts w:cs="Open Sans"/>
        </w:rPr>
        <w:endnoteReference w:id="84"/>
      </w:r>
      <w:r w:rsidRPr="00AE16F1">
        <w:rPr>
          <w:rFonts w:cs="Open Sans"/>
        </w:rPr>
        <w:t xml:space="preserve"> </w:t>
      </w:r>
    </w:p>
    <w:p w14:paraId="12A98C4B" w14:textId="08F2FA9E" w:rsidR="005C22AB" w:rsidRPr="005C22AB" w:rsidRDefault="005C22AB" w:rsidP="00A92C8D">
      <w:pPr>
        <w:rPr>
          <w:rFonts w:cs="Open Sans"/>
        </w:rPr>
      </w:pPr>
      <w:r w:rsidRPr="005C22AB">
        <w:rPr>
          <w:rFonts w:cs="Open Sans"/>
        </w:rPr>
        <w:t xml:space="preserve">Organisations that provide bushfire relief and assistance, such as Centrelink, should </w:t>
      </w:r>
      <w:r>
        <w:rPr>
          <w:rFonts w:cs="Open Sans"/>
        </w:rPr>
        <w:t xml:space="preserve">ensure that workers are aware of </w:t>
      </w:r>
      <w:r w:rsidR="00231841">
        <w:rPr>
          <w:rFonts w:cs="Open Sans"/>
        </w:rPr>
        <w:t>the possibility of</w:t>
      </w:r>
      <w:r w:rsidRPr="005C22AB">
        <w:rPr>
          <w:rFonts w:cs="Open Sans"/>
        </w:rPr>
        <w:t xml:space="preserve"> trauma</w:t>
      </w:r>
      <w:r>
        <w:rPr>
          <w:rFonts w:cs="Open Sans"/>
        </w:rPr>
        <w:t xml:space="preserve"> </w:t>
      </w:r>
      <w:r w:rsidR="00231841">
        <w:rPr>
          <w:rFonts w:cs="Open Sans"/>
        </w:rPr>
        <w:t xml:space="preserve">in children affected by natural disaster </w:t>
      </w:r>
      <w:r>
        <w:rPr>
          <w:rFonts w:cs="Open Sans"/>
        </w:rPr>
        <w:t>and connect children and families to therapeutic support.</w:t>
      </w:r>
    </w:p>
    <w:p w14:paraId="0E33C5D3" w14:textId="046B8C68" w:rsidR="000313A4" w:rsidRDefault="00BC6890" w:rsidP="000313A4">
      <w:pPr>
        <w:rPr>
          <w:rFonts w:cs="Open Sans"/>
        </w:rPr>
      </w:pPr>
      <w:r>
        <w:rPr>
          <w:rFonts w:cs="Open Sans"/>
        </w:rPr>
        <w:t>Supporting c</w:t>
      </w:r>
      <w:r w:rsidR="00E26059">
        <w:rPr>
          <w:rFonts w:cs="Open Sans"/>
        </w:rPr>
        <w:t>hildren’s</w:t>
      </w:r>
      <w:r w:rsidR="00906B7E">
        <w:rPr>
          <w:rFonts w:cs="Open Sans"/>
        </w:rPr>
        <w:t xml:space="preserve"> resilience </w:t>
      </w:r>
      <w:r w:rsidR="00E26059">
        <w:rPr>
          <w:rFonts w:cs="Open Sans"/>
        </w:rPr>
        <w:t xml:space="preserve">can also be built </w:t>
      </w:r>
      <w:r w:rsidR="000D0266">
        <w:rPr>
          <w:rFonts w:cs="Open Sans"/>
        </w:rPr>
        <w:t xml:space="preserve">into the </w:t>
      </w:r>
      <w:r w:rsidR="00906B7E">
        <w:rPr>
          <w:rFonts w:cs="Open Sans"/>
        </w:rPr>
        <w:t>school curriculum</w:t>
      </w:r>
      <w:r>
        <w:rPr>
          <w:rFonts w:cs="Open Sans"/>
        </w:rPr>
        <w:t xml:space="preserve">. </w:t>
      </w:r>
      <w:r w:rsidR="000313A4">
        <w:rPr>
          <w:rFonts w:cs="Open Sans"/>
        </w:rPr>
        <w:t xml:space="preserve">For example, </w:t>
      </w:r>
      <w:r w:rsidR="000D6F23">
        <w:rPr>
          <w:rFonts w:cs="Open Sans"/>
        </w:rPr>
        <w:t xml:space="preserve">the Victorian </w:t>
      </w:r>
      <w:r w:rsidR="000313A4">
        <w:rPr>
          <w:rFonts w:cs="Open Sans"/>
        </w:rPr>
        <w:t xml:space="preserve">rural community </w:t>
      </w:r>
      <w:r w:rsidR="000D6F23">
        <w:rPr>
          <w:rFonts w:cs="Open Sans"/>
        </w:rPr>
        <w:t xml:space="preserve">of </w:t>
      </w:r>
      <w:proofErr w:type="spellStart"/>
      <w:r w:rsidR="000313A4">
        <w:rPr>
          <w:rFonts w:cs="Open Sans"/>
        </w:rPr>
        <w:t>Strathewen</w:t>
      </w:r>
      <w:proofErr w:type="spellEnd"/>
      <w:r w:rsidR="000313A4">
        <w:rPr>
          <w:rFonts w:cs="Open Sans"/>
        </w:rPr>
        <w:t xml:space="preserve"> </w:t>
      </w:r>
      <w:r w:rsidR="00C17EAE">
        <w:rPr>
          <w:rFonts w:cs="Open Sans"/>
        </w:rPr>
        <w:t xml:space="preserve">was devastated by </w:t>
      </w:r>
      <w:r w:rsidR="000313A4">
        <w:rPr>
          <w:rFonts w:cs="Open Sans"/>
        </w:rPr>
        <w:t xml:space="preserve">the Black Saturday fires of 7 February 2009, </w:t>
      </w:r>
      <w:r w:rsidR="00C17EAE">
        <w:rPr>
          <w:rFonts w:cs="Open Sans"/>
        </w:rPr>
        <w:t>with 22 local residents killed and 80</w:t>
      </w:r>
      <w:r w:rsidR="00E26401">
        <w:rPr>
          <w:rFonts w:cs="Open Sans"/>
        </w:rPr>
        <w:t>%</w:t>
      </w:r>
      <w:r w:rsidR="00C17EAE">
        <w:rPr>
          <w:rFonts w:cs="Open Sans"/>
        </w:rPr>
        <w:t xml:space="preserve"> of buildings, including the primary school, destroyed. Since that time</w:t>
      </w:r>
      <w:r w:rsidR="000D6F23">
        <w:rPr>
          <w:rFonts w:cs="Open Sans"/>
        </w:rPr>
        <w:t>,</w:t>
      </w:r>
      <w:r w:rsidR="00C17EAE">
        <w:rPr>
          <w:rFonts w:cs="Open Sans"/>
        </w:rPr>
        <w:t xml:space="preserve"> students at the school have </w:t>
      </w:r>
      <w:r w:rsidR="00C17EAE">
        <w:rPr>
          <w:rFonts w:cs="Open Sans"/>
        </w:rPr>
        <w:lastRenderedPageBreak/>
        <w:t>worked with the local fire brigade to create their own child-centred bushfire education program. During the program the students create books and animated films which are used to educate the entire community about what they can do to prepare for a</w:t>
      </w:r>
      <w:r w:rsidR="00136FCC">
        <w:rPr>
          <w:rFonts w:cs="Open Sans"/>
        </w:rPr>
        <w:t xml:space="preserve"> bushfire</w:t>
      </w:r>
      <w:r w:rsidR="00C17EAE">
        <w:rPr>
          <w:rFonts w:cs="Open Sans"/>
        </w:rPr>
        <w:t xml:space="preserve"> emergency</w:t>
      </w:r>
      <w:r w:rsidR="009B2C35">
        <w:rPr>
          <w:rFonts w:cs="Open Sans"/>
        </w:rPr>
        <w:t xml:space="preserve">, and </w:t>
      </w:r>
      <w:r w:rsidR="00136FCC">
        <w:rPr>
          <w:rFonts w:cs="Open Sans"/>
        </w:rPr>
        <w:t>which</w:t>
      </w:r>
      <w:r w:rsidR="009B2C35">
        <w:rPr>
          <w:rFonts w:cs="Open Sans"/>
        </w:rPr>
        <w:t xml:space="preserve"> has </w:t>
      </w:r>
      <w:r w:rsidR="00C17EAE">
        <w:rPr>
          <w:rFonts w:cs="Open Sans"/>
        </w:rPr>
        <w:t>helped reduce fears among the school population.</w:t>
      </w:r>
      <w:r w:rsidR="00C17EAE">
        <w:rPr>
          <w:rStyle w:val="EndnoteReference"/>
          <w:rFonts w:cs="Open Sans"/>
        </w:rPr>
        <w:endnoteReference w:id="85"/>
      </w:r>
    </w:p>
    <w:p w14:paraId="6A70ED1F" w14:textId="05415A7E" w:rsidR="00561406" w:rsidRPr="00160F5D" w:rsidRDefault="00D824BC" w:rsidP="00561406">
      <w:r>
        <w:t>The necess</w:t>
      </w:r>
      <w:r w:rsidR="00FC7903">
        <w:t>i</w:t>
      </w:r>
      <w:r>
        <w:t>ty of including chi</w:t>
      </w:r>
      <w:r w:rsidR="00FC7903">
        <w:t>ld</w:t>
      </w:r>
      <w:r>
        <w:t xml:space="preserve">ren in strategies to help them recover </w:t>
      </w:r>
      <w:r w:rsidR="0039374F">
        <w:t xml:space="preserve">and manage risks </w:t>
      </w:r>
      <w:r>
        <w:t xml:space="preserve">was recognised by the </w:t>
      </w:r>
      <w:r w:rsidR="00FC7903">
        <w:t>UN Committee on the Rights of the Child in</w:t>
      </w:r>
      <w:r w:rsidR="004D753F" w:rsidRPr="002A36F2">
        <w:t xml:space="preserve"> its Concluding Observations </w:t>
      </w:r>
      <w:r w:rsidR="00FC7903">
        <w:t>on Australia in September 2019. T</w:t>
      </w:r>
      <w:r w:rsidR="004D753F" w:rsidRPr="002A36F2">
        <w:t>he Committee urged the Australian Government to ensure that children’s views are taken into account in developing policies and programs addressing disaster risk management.</w:t>
      </w:r>
      <w:r w:rsidR="00F85D1E">
        <w:rPr>
          <w:rStyle w:val="EndnoteReference"/>
        </w:rPr>
        <w:endnoteReference w:id="86"/>
      </w:r>
    </w:p>
    <w:tbl>
      <w:tblPr>
        <w:tblStyle w:val="TableGrid"/>
        <w:tblW w:w="0" w:type="auto"/>
        <w:shd w:val="clear" w:color="auto" w:fill="EDEDED" w:themeFill="accent3" w:themeFillTint="33"/>
        <w:tblLook w:val="04A0" w:firstRow="1" w:lastRow="0" w:firstColumn="1" w:lastColumn="0" w:noHBand="0" w:noVBand="1"/>
      </w:tblPr>
      <w:tblGrid>
        <w:gridCol w:w="9060"/>
      </w:tblGrid>
      <w:tr w:rsidR="004D753F" w14:paraId="0C6A3623" w14:textId="77777777" w:rsidTr="00980E01">
        <w:tc>
          <w:tcPr>
            <w:tcW w:w="9060" w:type="dxa"/>
            <w:shd w:val="clear" w:color="auto" w:fill="F2F2F2" w:themeFill="background1" w:themeFillShade="F2"/>
          </w:tcPr>
          <w:p w14:paraId="47C20126" w14:textId="7C388B48" w:rsidR="00834C4D" w:rsidRPr="00834C4D" w:rsidRDefault="00834C4D" w:rsidP="00561406">
            <w:pPr>
              <w:rPr>
                <w:b/>
                <w:bCs/>
              </w:rPr>
            </w:pPr>
            <w:r w:rsidRPr="00834C4D">
              <w:rPr>
                <w:b/>
                <w:bCs/>
              </w:rPr>
              <w:t>Recommendation</w:t>
            </w:r>
            <w:r w:rsidR="00267CDF">
              <w:rPr>
                <w:b/>
                <w:bCs/>
              </w:rPr>
              <w:t xml:space="preserve"> </w:t>
            </w:r>
            <w:r w:rsidR="00CE7CE7" w:rsidRPr="00980E01">
              <w:rPr>
                <w:b/>
                <w:bCs/>
              </w:rPr>
              <w:t>5</w:t>
            </w:r>
          </w:p>
          <w:p w14:paraId="27A8A90E" w14:textId="2C5B3397" w:rsidR="004D753F" w:rsidRPr="00834C4D" w:rsidRDefault="009964F0" w:rsidP="00047099">
            <w:pPr>
              <w:rPr>
                <w:rFonts w:cs="Open Sans"/>
                <w:sz w:val="22"/>
                <w:szCs w:val="22"/>
              </w:rPr>
            </w:pPr>
            <w:r w:rsidRPr="00834C4D">
              <w:rPr>
                <w:b/>
                <w:bCs/>
              </w:rPr>
              <w:t>Australian Government</w:t>
            </w:r>
            <w:r w:rsidR="000E63B2">
              <w:rPr>
                <w:b/>
                <w:bCs/>
              </w:rPr>
              <w:t>s</w:t>
            </w:r>
            <w:r w:rsidRPr="00834C4D">
              <w:rPr>
                <w:b/>
                <w:bCs/>
              </w:rPr>
              <w:t xml:space="preserve"> </w:t>
            </w:r>
            <w:r w:rsidR="004D753F" w:rsidRPr="00834C4D">
              <w:rPr>
                <w:b/>
                <w:bCs/>
              </w:rPr>
              <w:t xml:space="preserve">ensure that children’s views </w:t>
            </w:r>
            <w:r w:rsidR="00E14242">
              <w:rPr>
                <w:b/>
                <w:bCs/>
              </w:rPr>
              <w:t xml:space="preserve">and experiences </w:t>
            </w:r>
            <w:r w:rsidR="004D753F" w:rsidRPr="00834C4D">
              <w:rPr>
                <w:b/>
                <w:bCs/>
              </w:rPr>
              <w:t>are taken into account in developing policies and programs addressing disaster risk management.</w:t>
            </w:r>
          </w:p>
        </w:tc>
      </w:tr>
    </w:tbl>
    <w:p w14:paraId="6039F198" w14:textId="31645866" w:rsidR="00C65242" w:rsidRDefault="004C1F08" w:rsidP="00C65242">
      <w:pPr>
        <w:pStyle w:val="Heading1"/>
      </w:pPr>
      <w:bookmarkStart w:id="23" w:name="_Toc32497888"/>
      <w:proofErr w:type="spellStart"/>
      <w:r>
        <w:t>W</w:t>
      </w:r>
      <w:r w:rsidR="00632C79">
        <w:t>i</w:t>
      </w:r>
      <w:r w:rsidR="00E43B24">
        <w:t>y</w:t>
      </w:r>
      <w:r w:rsidR="00E36F45">
        <w:t>i</w:t>
      </w:r>
      <w:proofErr w:type="spellEnd"/>
      <w:r>
        <w:t xml:space="preserve"> </w:t>
      </w:r>
      <w:proofErr w:type="spellStart"/>
      <w:r>
        <w:t>Yani</w:t>
      </w:r>
      <w:proofErr w:type="spellEnd"/>
      <w:r>
        <w:t xml:space="preserve"> U </w:t>
      </w:r>
      <w:proofErr w:type="spellStart"/>
      <w:r>
        <w:t>Thangani</w:t>
      </w:r>
      <w:proofErr w:type="spellEnd"/>
      <w:r>
        <w:t xml:space="preserve"> (Women’s Voices)</w:t>
      </w:r>
      <w:r w:rsidR="002A4D37">
        <w:t xml:space="preserve"> Project</w:t>
      </w:r>
      <w:bookmarkEnd w:id="23"/>
    </w:p>
    <w:p w14:paraId="699ECA54" w14:textId="2CF61932" w:rsidR="268B132A" w:rsidRDefault="7F4DAE59" w:rsidP="268B132A">
      <w:pPr>
        <w:spacing w:line="257" w:lineRule="auto"/>
      </w:pPr>
      <w:r w:rsidRPr="7F4DAE59">
        <w:rPr>
          <w:rFonts w:eastAsia="Open Sans" w:cs="Open Sans"/>
        </w:rPr>
        <w:t>Throughout 2018, the Aboriginal and Torres Strait Islander Social Justice Commissioner led a national consultation process</w:t>
      </w:r>
      <w:r w:rsidR="00635B8C">
        <w:rPr>
          <w:rFonts w:eastAsia="Open Sans" w:cs="Open Sans"/>
        </w:rPr>
        <w:t xml:space="preserve">, </w:t>
      </w:r>
      <w:proofErr w:type="spellStart"/>
      <w:r w:rsidR="00286D17">
        <w:rPr>
          <w:rFonts w:eastAsia="Open Sans" w:cs="Open Sans"/>
        </w:rPr>
        <w:t>Wiyi</w:t>
      </w:r>
      <w:proofErr w:type="spellEnd"/>
      <w:r w:rsidR="00286D17">
        <w:rPr>
          <w:rFonts w:eastAsia="Open Sans" w:cs="Open Sans"/>
        </w:rPr>
        <w:t xml:space="preserve"> </w:t>
      </w:r>
      <w:proofErr w:type="spellStart"/>
      <w:r w:rsidR="00286D17">
        <w:rPr>
          <w:rFonts w:eastAsia="Open Sans" w:cs="Open Sans"/>
        </w:rPr>
        <w:t>Yani</w:t>
      </w:r>
      <w:proofErr w:type="spellEnd"/>
      <w:r w:rsidR="00286D17">
        <w:rPr>
          <w:rFonts w:eastAsia="Open Sans" w:cs="Open Sans"/>
        </w:rPr>
        <w:t xml:space="preserve"> U </w:t>
      </w:r>
      <w:proofErr w:type="spellStart"/>
      <w:r w:rsidR="00286D17">
        <w:rPr>
          <w:rFonts w:eastAsia="Open Sans" w:cs="Open Sans"/>
        </w:rPr>
        <w:t>Thangani</w:t>
      </w:r>
      <w:proofErr w:type="spellEnd"/>
      <w:r w:rsidR="00286D17">
        <w:rPr>
          <w:rFonts w:eastAsia="Open Sans" w:cs="Open Sans"/>
        </w:rPr>
        <w:t xml:space="preserve"> (Women’s Voices) </w:t>
      </w:r>
      <w:r w:rsidRPr="7F4DAE59">
        <w:rPr>
          <w:rFonts w:eastAsia="Open Sans" w:cs="Open Sans"/>
        </w:rPr>
        <w:t xml:space="preserve">with Aboriginal and Torres Strait Islander women and girls. The Commissioner engaged with 2,294 women and girls from 50 communities. Over 50% of </w:t>
      </w:r>
      <w:r w:rsidR="002D498B">
        <w:rPr>
          <w:rFonts w:eastAsia="Open Sans" w:cs="Open Sans"/>
        </w:rPr>
        <w:t>the</w:t>
      </w:r>
      <w:r w:rsidR="002D498B" w:rsidRPr="7F4DAE59">
        <w:rPr>
          <w:rFonts w:eastAsia="Open Sans" w:cs="Open Sans"/>
        </w:rPr>
        <w:t xml:space="preserve"> </w:t>
      </w:r>
      <w:r w:rsidRPr="7F4DAE59">
        <w:rPr>
          <w:rFonts w:eastAsia="Open Sans" w:cs="Open Sans"/>
        </w:rPr>
        <w:t xml:space="preserve">consultations were conducted in remote areas. The Commissioner also received more than 100 submissions from organisations and individuals. </w:t>
      </w:r>
      <w:proofErr w:type="spellStart"/>
      <w:r w:rsidR="00DF14C2">
        <w:rPr>
          <w:rFonts w:eastAsia="Open Sans" w:cs="Open Sans"/>
        </w:rPr>
        <w:t>Wiyi</w:t>
      </w:r>
      <w:proofErr w:type="spellEnd"/>
      <w:r w:rsidR="00DF14C2">
        <w:rPr>
          <w:rFonts w:eastAsia="Open Sans" w:cs="Open Sans"/>
        </w:rPr>
        <w:t xml:space="preserve"> </w:t>
      </w:r>
      <w:proofErr w:type="spellStart"/>
      <w:r w:rsidR="00DF14C2">
        <w:rPr>
          <w:rFonts w:eastAsia="Open Sans" w:cs="Open Sans"/>
        </w:rPr>
        <w:t>Yani</w:t>
      </w:r>
      <w:proofErr w:type="spellEnd"/>
      <w:r w:rsidR="00DF14C2">
        <w:rPr>
          <w:rFonts w:eastAsia="Open Sans" w:cs="Open Sans"/>
        </w:rPr>
        <w:t xml:space="preserve"> U </w:t>
      </w:r>
      <w:proofErr w:type="spellStart"/>
      <w:r w:rsidR="00DF14C2">
        <w:rPr>
          <w:rFonts w:eastAsia="Open Sans" w:cs="Open Sans"/>
        </w:rPr>
        <w:t>Thangani</w:t>
      </w:r>
      <w:proofErr w:type="spellEnd"/>
      <w:r w:rsidR="00DF14C2">
        <w:rPr>
          <w:rFonts w:eastAsia="Open Sans" w:cs="Open Sans"/>
        </w:rPr>
        <w:t xml:space="preserve"> (the </w:t>
      </w:r>
      <w:r w:rsidRPr="7F4DAE59">
        <w:rPr>
          <w:rFonts w:eastAsia="Open Sans" w:cs="Open Sans"/>
        </w:rPr>
        <w:t>Project</w:t>
      </w:r>
      <w:r w:rsidR="00DF14C2">
        <w:rPr>
          <w:rFonts w:eastAsia="Open Sans" w:cs="Open Sans"/>
        </w:rPr>
        <w:t>)</w:t>
      </w:r>
      <w:r w:rsidRPr="7F4DAE59">
        <w:rPr>
          <w:rFonts w:eastAsia="Open Sans" w:cs="Open Sans"/>
        </w:rPr>
        <w:t xml:space="preserve"> will culminate in a report to be finalised in 2020. This section of the submission reflects on the experiences provided to the Commission during the course of the Project to explore some of the critical factors relevant to the education of Aboriginal and Torres Strait Islander students in remote areas. </w:t>
      </w:r>
      <w:r w:rsidR="7B6A531C" w:rsidRPr="7B6A531C">
        <w:rPr>
          <w:rFonts w:eastAsia="Open Sans" w:cs="Open Sans"/>
        </w:rPr>
        <w:t>Whil</w:t>
      </w:r>
      <w:r w:rsidR="00E26401">
        <w:rPr>
          <w:rFonts w:eastAsia="Open Sans" w:cs="Open Sans"/>
        </w:rPr>
        <w:t>e</w:t>
      </w:r>
      <w:r w:rsidRPr="7F4DAE59">
        <w:rPr>
          <w:rFonts w:eastAsia="Open Sans" w:cs="Open Sans"/>
        </w:rPr>
        <w:t xml:space="preserve"> the consultations were conducted with women and girls, the experiences are also relevant to the education all Aboriginal and Torres Strait Islander students. </w:t>
      </w:r>
    </w:p>
    <w:p w14:paraId="1931AFDE" w14:textId="1A4852EF" w:rsidR="268B132A" w:rsidRDefault="00DD50B3" w:rsidP="00BA32D6">
      <w:r>
        <w:rPr>
          <w:rFonts w:eastAsia="Open Sans" w:cs="Open Sans"/>
        </w:rPr>
        <w:t>According to the Terms of Reference, one of the foci of this inquiry is the ‘</w:t>
      </w:r>
      <w:r w:rsidR="7F4DAE59" w:rsidRPr="7F4DAE59">
        <w:rPr>
          <w:rFonts w:eastAsia="Open Sans" w:cs="Open Sans"/>
        </w:rPr>
        <w:t>role of culture, family, community and country in delivering better outcomes</w:t>
      </w:r>
      <w:r>
        <w:rPr>
          <w:rFonts w:eastAsia="Open Sans" w:cs="Open Sans"/>
        </w:rPr>
        <w:t>’</w:t>
      </w:r>
      <w:r w:rsidR="7F4DAE59" w:rsidRPr="7F4DAE59">
        <w:rPr>
          <w:rFonts w:eastAsia="Open Sans" w:cs="Open Sans"/>
        </w:rPr>
        <w:t xml:space="preserve">. </w:t>
      </w:r>
      <w:r w:rsidR="00BD175E">
        <w:rPr>
          <w:rFonts w:eastAsia="Open Sans" w:cs="Open Sans"/>
        </w:rPr>
        <w:t>The Commission encourages the Committee to</w:t>
      </w:r>
      <w:r w:rsidR="00BD175E" w:rsidRPr="7F4DAE59" w:rsidDel="00DD7A1C">
        <w:rPr>
          <w:rFonts w:eastAsia="Open Sans" w:cs="Open Sans"/>
        </w:rPr>
        <w:t xml:space="preserve"> </w:t>
      </w:r>
      <w:r w:rsidR="00BD175E" w:rsidRPr="7F4DAE59">
        <w:rPr>
          <w:rFonts w:eastAsia="Open Sans" w:cs="Open Sans"/>
        </w:rPr>
        <w:t>consider ‘</w:t>
      </w:r>
      <w:r w:rsidR="00BD175E">
        <w:rPr>
          <w:rFonts w:eastAsia="Open Sans" w:cs="Open Sans"/>
        </w:rPr>
        <w:t xml:space="preserve">successful’ educational </w:t>
      </w:r>
      <w:r w:rsidR="00BD175E" w:rsidRPr="7F4DAE59">
        <w:rPr>
          <w:rFonts w:eastAsia="Open Sans" w:cs="Open Sans"/>
        </w:rPr>
        <w:t xml:space="preserve">outcomes </w:t>
      </w:r>
      <w:r w:rsidR="00BD175E">
        <w:rPr>
          <w:rFonts w:eastAsia="Open Sans" w:cs="Open Sans"/>
        </w:rPr>
        <w:t xml:space="preserve">with respect to Aboriginal and Torres Strait Islander peoples more </w:t>
      </w:r>
      <w:r w:rsidR="7F4DAE59" w:rsidRPr="7F4DAE59">
        <w:rPr>
          <w:rFonts w:eastAsia="Open Sans" w:cs="Open Sans"/>
        </w:rPr>
        <w:t xml:space="preserve">broadly than </w:t>
      </w:r>
      <w:r w:rsidR="00BD175E">
        <w:rPr>
          <w:rFonts w:eastAsia="Open Sans" w:cs="Open Sans"/>
        </w:rPr>
        <w:t>formal measures of educational attainment</w:t>
      </w:r>
      <w:r w:rsidR="7F4DAE59" w:rsidRPr="7F4DAE59">
        <w:rPr>
          <w:rFonts w:eastAsia="Open Sans" w:cs="Open Sans"/>
        </w:rPr>
        <w:t xml:space="preserve">. Outcomes for Aboriginal and Torres Strait Islander children need to </w:t>
      </w:r>
      <w:r>
        <w:rPr>
          <w:rFonts w:eastAsia="Open Sans" w:cs="Open Sans"/>
        </w:rPr>
        <w:t>reflect</w:t>
      </w:r>
      <w:r w:rsidR="7F4DAE59" w:rsidRPr="7F4DAE59">
        <w:rPr>
          <w:rFonts w:eastAsia="Open Sans" w:cs="Open Sans"/>
        </w:rPr>
        <w:t xml:space="preserve"> a two-way learning process that recogni</w:t>
      </w:r>
      <w:r w:rsidR="00BD175E">
        <w:rPr>
          <w:rFonts w:eastAsia="Open Sans" w:cs="Open Sans"/>
        </w:rPr>
        <w:t>ses</w:t>
      </w:r>
      <w:r w:rsidR="7F4DAE59" w:rsidRPr="7F4DAE59">
        <w:rPr>
          <w:rFonts w:eastAsia="Open Sans" w:cs="Open Sans"/>
        </w:rPr>
        <w:t xml:space="preserve"> the </w:t>
      </w:r>
      <w:r w:rsidR="7F4DAE59" w:rsidRPr="7F4DAE59">
        <w:rPr>
          <w:rFonts w:eastAsia="Open Sans" w:cs="Open Sans"/>
        </w:rPr>
        <w:lastRenderedPageBreak/>
        <w:t xml:space="preserve">critical importance of cultural education and wellbeing, as well as the mainstream educational outcomes. </w:t>
      </w:r>
      <w:r w:rsidR="00333540">
        <w:t xml:space="preserve">The role of </w:t>
      </w:r>
      <w:r w:rsidR="7F4DAE59" w:rsidRPr="7F4DAE59">
        <w:t xml:space="preserve">culture, </w:t>
      </w:r>
      <w:r w:rsidR="00A823C8">
        <w:t>c</w:t>
      </w:r>
      <w:r w:rsidR="7F4DAE59" w:rsidRPr="7F4DAE59">
        <w:t>ountry, community and language</w:t>
      </w:r>
      <w:r w:rsidR="00554826">
        <w:t>.</w:t>
      </w:r>
    </w:p>
    <w:p w14:paraId="54418CE8" w14:textId="5644CF8D" w:rsidR="00716685" w:rsidRDefault="00716685" w:rsidP="00FB013E">
      <w:pPr>
        <w:pStyle w:val="Heading2"/>
      </w:pPr>
      <w:bookmarkStart w:id="24" w:name="_Toc32497889"/>
      <w:r>
        <w:t>The role of</w:t>
      </w:r>
      <w:r w:rsidR="00E277BA">
        <w:t xml:space="preserve"> culture and country</w:t>
      </w:r>
      <w:bookmarkEnd w:id="24"/>
    </w:p>
    <w:p w14:paraId="325DCADB" w14:textId="69E12837" w:rsidR="268B132A" w:rsidRDefault="7F4DAE59" w:rsidP="268B132A">
      <w:pPr>
        <w:spacing w:line="257" w:lineRule="auto"/>
      </w:pPr>
      <w:r w:rsidRPr="7F4DAE59">
        <w:rPr>
          <w:rFonts w:eastAsia="Open Sans" w:cs="Open Sans"/>
        </w:rPr>
        <w:t xml:space="preserve">For Aboriginal and Torres Strait Islander people, culture, </w:t>
      </w:r>
      <w:r w:rsidR="00A823C8">
        <w:rPr>
          <w:rFonts w:eastAsia="Open Sans" w:cs="Open Sans"/>
        </w:rPr>
        <w:t>c</w:t>
      </w:r>
      <w:r w:rsidRPr="7F4DAE59">
        <w:rPr>
          <w:rFonts w:eastAsia="Open Sans" w:cs="Open Sans"/>
        </w:rPr>
        <w:t>ountry and language are inextricably linked to a sense of being and identity. The foundation of learning for Aboriginal and Torres Strait Islander people exists in the preservation and expression of their cultural identity and is at its essence a different form of knowledge sharing to that which permeates the formal education setting</w:t>
      </w:r>
      <w:r w:rsidR="002E77E5">
        <w:rPr>
          <w:rFonts w:eastAsia="Open Sans" w:cs="Open Sans"/>
        </w:rPr>
        <w:t>s</w:t>
      </w:r>
      <w:r w:rsidR="002E77E5">
        <w:rPr>
          <w:rStyle w:val="EndnoteReference"/>
          <w:rFonts w:eastAsia="Open Sans" w:cs="Open Sans"/>
        </w:rPr>
        <w:endnoteReference w:id="87"/>
      </w:r>
      <w:r w:rsidRPr="00C11F93">
        <w:rPr>
          <w:rFonts w:eastAsia="Open Sans" w:cs="Open Sans"/>
          <w:vertAlign w:val="superscript"/>
        </w:rPr>
        <w:t>.</w:t>
      </w:r>
      <w:r w:rsidRPr="00C11F93">
        <w:rPr>
          <w:rFonts w:eastAsia="Open Sans" w:cs="Open Sans"/>
        </w:rPr>
        <w:t xml:space="preserve"> Each Aboriginal and Torres Strait Islander cultural group has a distinct culture, with intricate knowledge systems that have been maintained for 65,000+ years. Within these knowledge systems exists a process for the transmission of knowledge between generations. As Aboriginal and Torres Strait Islander young people acquire knowledge through their cultural education, it also attracts great responsibility.</w:t>
      </w:r>
      <w:r w:rsidRPr="7F4DAE59">
        <w:rPr>
          <w:rFonts w:eastAsia="Open Sans" w:cs="Open Sans"/>
          <w:color w:val="0563C1"/>
          <w:u w:val="single"/>
          <w:vertAlign w:val="superscript"/>
        </w:rPr>
        <w:t xml:space="preserve"> </w:t>
      </w:r>
    </w:p>
    <w:p w14:paraId="5380B796" w14:textId="7DD0C32F" w:rsidR="268B132A" w:rsidRDefault="7F4DAE59" w:rsidP="268B132A">
      <w:pPr>
        <w:spacing w:line="257" w:lineRule="auto"/>
      </w:pPr>
      <w:r w:rsidRPr="7F4DAE59">
        <w:rPr>
          <w:rFonts w:eastAsia="Open Sans" w:cs="Open Sans"/>
        </w:rPr>
        <w:t>This is particularly pertinent for remote communities where cultural traditions and languages remain strong and have been continually practi</w:t>
      </w:r>
      <w:r w:rsidR="00BD175E">
        <w:rPr>
          <w:rFonts w:eastAsia="Open Sans" w:cs="Open Sans"/>
        </w:rPr>
        <w:t>s</w:t>
      </w:r>
      <w:r w:rsidRPr="7F4DAE59">
        <w:rPr>
          <w:rFonts w:eastAsia="Open Sans" w:cs="Open Sans"/>
        </w:rPr>
        <w:t xml:space="preserve">ed for generations. It is the resilience of </w:t>
      </w:r>
      <w:r w:rsidR="00AA1635">
        <w:rPr>
          <w:rFonts w:eastAsia="Open Sans" w:cs="Open Sans"/>
        </w:rPr>
        <w:t xml:space="preserve">Aboriginal and Torres Strait Islander </w:t>
      </w:r>
      <w:r w:rsidRPr="7F4DAE59">
        <w:rPr>
          <w:rFonts w:eastAsia="Open Sans" w:cs="Open Sans"/>
        </w:rPr>
        <w:t xml:space="preserve">groups living remotely and their ability to maintain a deep connection to their traditional </w:t>
      </w:r>
      <w:r w:rsidR="00A823C8">
        <w:rPr>
          <w:rFonts w:eastAsia="Open Sans" w:cs="Open Sans"/>
        </w:rPr>
        <w:t>c</w:t>
      </w:r>
      <w:r w:rsidRPr="7F4DAE59">
        <w:rPr>
          <w:rFonts w:eastAsia="Open Sans" w:cs="Open Sans"/>
        </w:rPr>
        <w:t xml:space="preserve">ountry that have allowed their cultures and languages to survive. Cultural education is a lifelong journey which is fundamental to ensure Aboriginal and Torres Strait Islander people are enabled to sustain a prosperous life and are supported by the necessary foundations required to confidently navigate between their dual cultural and western responsibilities. </w:t>
      </w:r>
    </w:p>
    <w:p w14:paraId="0AF1EBF5" w14:textId="6EEC0A25" w:rsidR="268B132A" w:rsidRDefault="7F4DAE59" w:rsidP="268B132A">
      <w:pPr>
        <w:spacing w:line="257" w:lineRule="auto"/>
      </w:pPr>
      <w:r w:rsidRPr="7F4DAE59">
        <w:rPr>
          <w:rFonts w:eastAsia="Open Sans" w:cs="Open Sans"/>
        </w:rPr>
        <w:t xml:space="preserve">It is estimated that there were 250 Indigenous Australian languages spoken prior to the colonisation of Australia. </w:t>
      </w:r>
      <w:r w:rsidR="00BD175E">
        <w:rPr>
          <w:rFonts w:eastAsia="Open Sans" w:cs="Open Sans"/>
        </w:rPr>
        <w:t>C</w:t>
      </w:r>
      <w:r w:rsidRPr="7F4DAE59">
        <w:rPr>
          <w:rFonts w:eastAsia="Open Sans" w:cs="Open Sans"/>
        </w:rPr>
        <w:t>olonisation has had a huge</w:t>
      </w:r>
      <w:r w:rsidR="00BA32D6">
        <w:rPr>
          <w:rFonts w:eastAsia="Open Sans" w:cs="Open Sans"/>
        </w:rPr>
        <w:t xml:space="preserve"> </w:t>
      </w:r>
      <w:r w:rsidRPr="7F4DAE59">
        <w:rPr>
          <w:rFonts w:eastAsia="Open Sans" w:cs="Open Sans"/>
        </w:rPr>
        <w:t xml:space="preserve">impact on many </w:t>
      </w:r>
      <w:r w:rsidR="00AA1635">
        <w:rPr>
          <w:rFonts w:eastAsia="Open Sans" w:cs="Open Sans"/>
        </w:rPr>
        <w:t xml:space="preserve">Aboriginal and Torres Strait Islander </w:t>
      </w:r>
      <w:r w:rsidRPr="7F4DAE59">
        <w:rPr>
          <w:rFonts w:eastAsia="Open Sans" w:cs="Open Sans"/>
        </w:rPr>
        <w:t xml:space="preserve">language groups across the country. Today, it is estimated that only 13 of the 150 remaining languages are considered strong. Language is the vehicle to transmit cultural strengths and to connect Aboriginal and Torres Strait Islander people to their ancient cultural traditions. Aboriginal and Torres Strait Islander languages must </w:t>
      </w:r>
      <w:r w:rsidR="002D498B">
        <w:rPr>
          <w:rFonts w:eastAsia="Open Sans" w:cs="Open Sans"/>
        </w:rPr>
        <w:t>be maintained</w:t>
      </w:r>
      <w:r w:rsidRPr="7F4DAE59">
        <w:rPr>
          <w:rFonts w:eastAsia="Open Sans" w:cs="Open Sans"/>
        </w:rPr>
        <w:t xml:space="preserve">, so that </w:t>
      </w:r>
      <w:r w:rsidR="00C527A2">
        <w:rPr>
          <w:rFonts w:eastAsia="Open Sans" w:cs="Open Sans"/>
        </w:rPr>
        <w:t>current and future generations will</w:t>
      </w:r>
      <w:r w:rsidRPr="7F4DAE59">
        <w:rPr>
          <w:rFonts w:eastAsia="Open Sans" w:cs="Open Sans"/>
        </w:rPr>
        <w:t xml:space="preserve"> continue to hear, speak, read and write their languages and hold deep connections to their lands, cultures, histories, and identities as </w:t>
      </w:r>
      <w:r w:rsidR="00C527A2">
        <w:rPr>
          <w:rFonts w:eastAsia="Open Sans" w:cs="Open Sans"/>
        </w:rPr>
        <w:t>First Nations</w:t>
      </w:r>
      <w:r w:rsidR="00C527A2" w:rsidRPr="7F4DAE59">
        <w:rPr>
          <w:rFonts w:eastAsia="Open Sans" w:cs="Open Sans"/>
        </w:rPr>
        <w:t xml:space="preserve"> </w:t>
      </w:r>
      <w:r w:rsidRPr="7F4DAE59">
        <w:rPr>
          <w:rFonts w:eastAsia="Open Sans" w:cs="Open Sans"/>
        </w:rPr>
        <w:t>peoples.</w:t>
      </w:r>
    </w:p>
    <w:p w14:paraId="603A9AE2" w14:textId="78315B77" w:rsidR="00527CD6" w:rsidRDefault="7F4DAE59" w:rsidP="0088540D">
      <w:pPr>
        <w:rPr>
          <w:rFonts w:eastAsia="Open Sans" w:cs="Open Sans"/>
        </w:rPr>
      </w:pPr>
      <w:r w:rsidRPr="7F4DAE59">
        <w:rPr>
          <w:rFonts w:eastAsia="Open Sans" w:cs="Open Sans"/>
        </w:rPr>
        <w:t>If Aboriginal and Torres Strait Islander students</w:t>
      </w:r>
      <w:r w:rsidR="00C527A2">
        <w:rPr>
          <w:rFonts w:eastAsia="Open Sans" w:cs="Open Sans"/>
        </w:rPr>
        <w:t xml:space="preserve"> are</w:t>
      </w:r>
      <w:r w:rsidRPr="7F4DAE59">
        <w:rPr>
          <w:rFonts w:eastAsia="Open Sans" w:cs="Open Sans"/>
        </w:rPr>
        <w:t xml:space="preserve"> able to flourish within the education system, it is critical that culture, country and language are adequately prioritised along with western education frameworks. To facilitate this integrated education, Aboriginal and Torres Strait Islander remote communities must be engage</w:t>
      </w:r>
      <w:r w:rsidR="008F7327">
        <w:rPr>
          <w:rFonts w:eastAsia="Open Sans" w:cs="Open Sans"/>
        </w:rPr>
        <w:t>d</w:t>
      </w:r>
      <w:r w:rsidRPr="7F4DAE59">
        <w:rPr>
          <w:rFonts w:eastAsia="Open Sans" w:cs="Open Sans"/>
        </w:rPr>
        <w:t xml:space="preserve"> with the school systems.</w:t>
      </w:r>
    </w:p>
    <w:p w14:paraId="565D6B38" w14:textId="5CFE14C2" w:rsidR="0078325C" w:rsidRDefault="0088540D" w:rsidP="0088540D">
      <w:r>
        <w:lastRenderedPageBreak/>
        <w:t xml:space="preserve">A recent documentary film, In My Blood It Runs, provides a good example of how the mainstream education system is not meeting the needs of many Aboriginal and Torres Strait Islander children. </w:t>
      </w:r>
      <w:r w:rsidR="0078325C">
        <w:t xml:space="preserve">The </w:t>
      </w:r>
      <w:r w:rsidR="00C61438" w:rsidRPr="00BA4A96">
        <w:t>film screened at the United Nations in Geneva</w:t>
      </w:r>
      <w:r w:rsidR="0078325C">
        <w:t xml:space="preserve"> in September 2019</w:t>
      </w:r>
      <w:r w:rsidR="00C61438" w:rsidRPr="00BA4A96">
        <w:t xml:space="preserve">, coinciding with Australia’s appearance before </w:t>
      </w:r>
      <w:r w:rsidR="006907BD">
        <w:t xml:space="preserve">the </w:t>
      </w:r>
      <w:r w:rsidR="00C61438" w:rsidRPr="00BA4A96">
        <w:t xml:space="preserve">UN Committee on the Rights of the Child. </w:t>
      </w:r>
    </w:p>
    <w:p w14:paraId="651DD29E" w14:textId="1A6F3018" w:rsidR="0078325C" w:rsidRDefault="0088540D" w:rsidP="0088540D">
      <w:r>
        <w:t xml:space="preserve">The film follows </w:t>
      </w:r>
      <w:r w:rsidRPr="00BA4A96">
        <w:t xml:space="preserve">ten-year-old </w:t>
      </w:r>
      <w:proofErr w:type="spellStart"/>
      <w:r w:rsidRPr="00BA4A96">
        <w:t>Dujuan</w:t>
      </w:r>
      <w:proofErr w:type="spellEnd"/>
      <w:r w:rsidRPr="00BA4A96">
        <w:t xml:space="preserve">, </w:t>
      </w:r>
      <w:r w:rsidR="00021875">
        <w:t>a</w:t>
      </w:r>
      <w:r w:rsidR="00001546">
        <w:t xml:space="preserve">n Arrernte and </w:t>
      </w:r>
      <w:proofErr w:type="spellStart"/>
      <w:r w:rsidR="00001546">
        <w:t>Garrawa</w:t>
      </w:r>
      <w:proofErr w:type="spellEnd"/>
      <w:r w:rsidRPr="00BA4A96">
        <w:t xml:space="preserve"> healer who speaks two Indigenous languages, but is ‘failing’ in school. </w:t>
      </w:r>
      <w:r w:rsidR="00C03C2A">
        <w:t xml:space="preserve">With limited acknowledgement of </w:t>
      </w:r>
      <w:proofErr w:type="spellStart"/>
      <w:r w:rsidR="00C03C2A">
        <w:t>Dujuan’s</w:t>
      </w:r>
      <w:proofErr w:type="spellEnd"/>
      <w:r w:rsidR="00C03C2A">
        <w:t xml:space="preserve"> culture and language within the western system, </w:t>
      </w:r>
      <w:proofErr w:type="spellStart"/>
      <w:r w:rsidR="00C03C2A">
        <w:t>Dujuan’s</w:t>
      </w:r>
      <w:proofErr w:type="spellEnd"/>
      <w:r w:rsidR="00C03C2A">
        <w:t xml:space="preserve"> grandmother</w:t>
      </w:r>
      <w:r w:rsidR="007F34B2">
        <w:t xml:space="preserve"> continues with </w:t>
      </w:r>
      <w:r w:rsidR="00156F25">
        <w:t>his</w:t>
      </w:r>
      <w:r w:rsidR="007D7A0C">
        <w:t xml:space="preserve"> cultural education</w:t>
      </w:r>
      <w:r w:rsidR="00356B6C">
        <w:t xml:space="preserve"> </w:t>
      </w:r>
      <w:r w:rsidR="007F34B2">
        <w:t xml:space="preserve">so that </w:t>
      </w:r>
      <w:r w:rsidR="00146F14">
        <w:t>he does not become</w:t>
      </w:r>
      <w:r w:rsidR="008010DF">
        <w:t xml:space="preserve"> </w:t>
      </w:r>
      <w:r w:rsidRPr="00BA4A96">
        <w:t xml:space="preserve">another statistic in </w:t>
      </w:r>
      <w:r w:rsidR="007F34B2">
        <w:t xml:space="preserve">youth </w:t>
      </w:r>
      <w:r w:rsidRPr="00BA4A96">
        <w:t xml:space="preserve">detention or the welfare system. </w:t>
      </w:r>
      <w:r>
        <w:t xml:space="preserve">The film </w:t>
      </w:r>
      <w:r w:rsidR="00A92C8D">
        <w:t>highlights</w:t>
      </w:r>
      <w:r w:rsidR="00007A7E">
        <w:t xml:space="preserve"> the critical role of</w:t>
      </w:r>
      <w:r w:rsidRPr="000B6495">
        <w:t xml:space="preserve"> culture and connection to country in </w:t>
      </w:r>
      <w:proofErr w:type="spellStart"/>
      <w:r>
        <w:t>Dujuan's</w:t>
      </w:r>
      <w:proofErr w:type="spellEnd"/>
      <w:r w:rsidRPr="000B6495">
        <w:t xml:space="preserve"> development and education.</w:t>
      </w:r>
      <w:r w:rsidR="0078325C">
        <w:t xml:space="preserve"> </w:t>
      </w:r>
    </w:p>
    <w:p w14:paraId="7D6FF8E8" w14:textId="1C8D734D" w:rsidR="0088540D" w:rsidRDefault="0078325C" w:rsidP="0088540D">
      <w:r>
        <w:t xml:space="preserve">Accompanied by the National Children's Commissioner, </w:t>
      </w:r>
      <w:proofErr w:type="spellStart"/>
      <w:r w:rsidRPr="00BA4A96">
        <w:t>Dujuan</w:t>
      </w:r>
      <w:proofErr w:type="spellEnd"/>
      <w:r w:rsidRPr="00BA4A96">
        <w:t xml:space="preserve"> met with the UN Committee</w:t>
      </w:r>
      <w:r>
        <w:t xml:space="preserve">, and also </w:t>
      </w:r>
      <w:r w:rsidRPr="00BA4A96">
        <w:t>spoke at the Human Rights Council about some of the key issues raised by the film.</w:t>
      </w:r>
      <w:r>
        <w:t xml:space="preserve"> </w:t>
      </w:r>
      <w:proofErr w:type="spellStart"/>
      <w:r w:rsidR="0088540D">
        <w:t>Dujuan</w:t>
      </w:r>
      <w:proofErr w:type="spellEnd"/>
      <w:r w:rsidR="0088540D">
        <w:t xml:space="preserve"> </w:t>
      </w:r>
      <w:r>
        <w:t xml:space="preserve">also met with </w:t>
      </w:r>
      <w:r w:rsidR="0088540D">
        <w:t>the UN High Commissioner for Human Rights</w:t>
      </w:r>
      <w:r>
        <w:t>. He said to her</w:t>
      </w:r>
      <w:r w:rsidR="0088540D">
        <w:t xml:space="preserve">: </w:t>
      </w:r>
    </w:p>
    <w:p w14:paraId="4BACDAFC" w14:textId="659DAC1E" w:rsidR="0088540D" w:rsidRPr="00527CD6" w:rsidRDefault="0088540D" w:rsidP="00527CD6">
      <w:pPr>
        <w:ind w:left="720"/>
        <w:rPr>
          <w:sz w:val="22"/>
          <w:szCs w:val="22"/>
        </w:rPr>
      </w:pPr>
      <w:r w:rsidRPr="00527CD6">
        <w:rPr>
          <w:sz w:val="22"/>
          <w:szCs w:val="22"/>
        </w:rPr>
        <w:t>I want my school to be run by Aboriginal people that are like me and understand me. This year I have to leave my family and live far away to go to high school. I don’t want to, but that’s how it is here in Borroloola. I hope in 10 years there is a choice to stay with our families and be on our land for school. … I told the boss lady that I want my future to be out on land with family and strong language and culture. I want to look after land because half the land is dying. I want to know Arrernte — it’s our family’s language, but I am still learning.</w:t>
      </w:r>
      <w:r w:rsidR="00231841">
        <w:rPr>
          <w:rStyle w:val="EndnoteReference"/>
          <w:szCs w:val="22"/>
        </w:rPr>
        <w:endnoteReference w:id="88"/>
      </w:r>
    </w:p>
    <w:p w14:paraId="121E67C7" w14:textId="6552B1F1" w:rsidR="00E14242" w:rsidRPr="00527CD6" w:rsidRDefault="0088540D" w:rsidP="00527CD6">
      <w:r>
        <w:t xml:space="preserve">The Commission encourages Committee members to view the </w:t>
      </w:r>
      <w:r w:rsidR="000D78AF">
        <w:t>documentary</w:t>
      </w:r>
      <w:r w:rsidRPr="000B6495">
        <w:t>.</w:t>
      </w:r>
      <w:r w:rsidR="00846D78">
        <w:rPr>
          <w:rStyle w:val="EndnoteReference"/>
        </w:rPr>
        <w:endnoteReference w:id="89"/>
      </w:r>
    </w:p>
    <w:tbl>
      <w:tblPr>
        <w:tblStyle w:val="TableGrid"/>
        <w:tblW w:w="0" w:type="auto"/>
        <w:tblLook w:val="04A0" w:firstRow="1" w:lastRow="0" w:firstColumn="1" w:lastColumn="0" w:noHBand="0" w:noVBand="1"/>
      </w:tblPr>
      <w:tblGrid>
        <w:gridCol w:w="9060"/>
      </w:tblGrid>
      <w:tr w:rsidR="001F3CD1" w14:paraId="196379E5" w14:textId="77777777" w:rsidTr="00977A17">
        <w:tc>
          <w:tcPr>
            <w:tcW w:w="9060" w:type="dxa"/>
            <w:shd w:val="clear" w:color="auto" w:fill="F2F2F2" w:themeFill="background1" w:themeFillShade="F2"/>
          </w:tcPr>
          <w:p w14:paraId="306F5AD9" w14:textId="75D36AC5" w:rsidR="001F3CD1" w:rsidRPr="00834C4D" w:rsidRDefault="001F3CD1" w:rsidP="001F3CD1">
            <w:pPr>
              <w:rPr>
                <w:rFonts w:cs="Open Sans"/>
                <w:b/>
                <w:bCs/>
              </w:rPr>
            </w:pPr>
            <w:r w:rsidRPr="00834C4D">
              <w:rPr>
                <w:rFonts w:cs="Open Sans"/>
                <w:b/>
                <w:bCs/>
              </w:rPr>
              <w:t>Recommendation</w:t>
            </w:r>
            <w:r>
              <w:rPr>
                <w:rFonts w:cs="Open Sans"/>
                <w:b/>
                <w:bCs/>
              </w:rPr>
              <w:t xml:space="preserve"> </w:t>
            </w:r>
            <w:r w:rsidR="00345EE2" w:rsidRPr="00980E01">
              <w:rPr>
                <w:rFonts w:cs="Open Sans"/>
                <w:b/>
                <w:bCs/>
              </w:rPr>
              <w:t>6</w:t>
            </w:r>
          </w:p>
          <w:p w14:paraId="3127BB34" w14:textId="15B0EFF4" w:rsidR="001F3CD1" w:rsidRPr="00C711C3" w:rsidRDefault="001F3CD1" w:rsidP="001F3CD1">
            <w:pPr>
              <w:spacing w:line="257" w:lineRule="auto"/>
              <w:rPr>
                <w:rFonts w:cs="Open Sans"/>
              </w:rPr>
            </w:pPr>
            <w:r w:rsidRPr="00C711C3">
              <w:rPr>
                <w:rFonts w:cs="Open Sans"/>
              </w:rPr>
              <w:t>Australian Governments invest in the teaching and maintenance of Indigenous language</w:t>
            </w:r>
            <w:r w:rsidR="00FB5F81">
              <w:rPr>
                <w:rFonts w:cs="Open Sans"/>
              </w:rPr>
              <w:t>s</w:t>
            </w:r>
            <w:r w:rsidRPr="00C711C3">
              <w:rPr>
                <w:rFonts w:cs="Open Sans"/>
              </w:rPr>
              <w:t xml:space="preserve"> in </w:t>
            </w:r>
            <w:r w:rsidR="009C371B">
              <w:rPr>
                <w:rFonts w:cs="Open Sans"/>
              </w:rPr>
              <w:t xml:space="preserve">Australian </w:t>
            </w:r>
            <w:r w:rsidRPr="00C711C3">
              <w:rPr>
                <w:rFonts w:cs="Open Sans"/>
              </w:rPr>
              <w:t>schools</w:t>
            </w:r>
            <w:r w:rsidR="00E32C1A">
              <w:rPr>
                <w:rFonts w:cs="Open Sans"/>
              </w:rPr>
              <w:t xml:space="preserve"> and provide access to bi-lingual education in </w:t>
            </w:r>
            <w:r w:rsidR="00270FE4">
              <w:rPr>
                <w:rFonts w:cs="Open Sans"/>
              </w:rPr>
              <w:t xml:space="preserve">remote </w:t>
            </w:r>
            <w:r w:rsidR="00E32C1A">
              <w:rPr>
                <w:rFonts w:cs="Open Sans"/>
              </w:rPr>
              <w:t>Aboriginal and Torres Strait Islander communities.</w:t>
            </w:r>
          </w:p>
          <w:p w14:paraId="33C30E86" w14:textId="70DAD85D" w:rsidR="001F3ABB" w:rsidRPr="00834C4D" w:rsidRDefault="001F3ABB" w:rsidP="001F3ABB">
            <w:pPr>
              <w:rPr>
                <w:rFonts w:cs="Open Sans"/>
                <w:b/>
                <w:bCs/>
              </w:rPr>
            </w:pPr>
            <w:r w:rsidRPr="00834C4D">
              <w:rPr>
                <w:rFonts w:cs="Open Sans"/>
                <w:b/>
                <w:bCs/>
              </w:rPr>
              <w:t>Recommendation</w:t>
            </w:r>
            <w:r>
              <w:rPr>
                <w:rFonts w:cs="Open Sans"/>
                <w:b/>
                <w:bCs/>
              </w:rPr>
              <w:t xml:space="preserve"> </w:t>
            </w:r>
            <w:r w:rsidR="008B63A2" w:rsidRPr="00977A17">
              <w:rPr>
                <w:rFonts w:cs="Open Sans"/>
                <w:b/>
                <w:bCs/>
              </w:rPr>
              <w:t>7</w:t>
            </w:r>
          </w:p>
          <w:p w14:paraId="523F6EED" w14:textId="495818E3" w:rsidR="001F3ABB" w:rsidRDefault="00E67347" w:rsidP="001F3CD1">
            <w:pPr>
              <w:spacing w:line="257" w:lineRule="auto"/>
              <w:rPr>
                <w:rFonts w:eastAsia="Open Sans" w:cs="Open Sans"/>
              </w:rPr>
            </w:pPr>
            <w:r>
              <w:rPr>
                <w:rFonts w:eastAsia="Open Sans" w:cs="Open Sans"/>
              </w:rPr>
              <w:t>S</w:t>
            </w:r>
            <w:r w:rsidR="0014750C">
              <w:rPr>
                <w:rFonts w:eastAsia="Open Sans" w:cs="Open Sans"/>
              </w:rPr>
              <w:t>tate and territory</w:t>
            </w:r>
            <w:r w:rsidR="00F16710" w:rsidRPr="00C711C3">
              <w:rPr>
                <w:rFonts w:eastAsia="Open Sans" w:cs="Open Sans"/>
              </w:rPr>
              <w:t xml:space="preserve"> education system</w:t>
            </w:r>
            <w:r w:rsidR="0014750C">
              <w:rPr>
                <w:rFonts w:eastAsia="Open Sans" w:cs="Open Sans"/>
              </w:rPr>
              <w:t>s</w:t>
            </w:r>
            <w:r w:rsidR="00F16710" w:rsidRPr="00C711C3">
              <w:rPr>
                <w:rFonts w:eastAsia="Open Sans" w:cs="Open Sans"/>
              </w:rPr>
              <w:t xml:space="preserve"> </w:t>
            </w:r>
            <w:r w:rsidR="007B29A1" w:rsidRPr="00C711C3">
              <w:rPr>
                <w:rFonts w:eastAsia="Open Sans" w:cs="Open Sans"/>
              </w:rPr>
              <w:t>promote a two-way learning process for Aboriginal and Torres Strait Islander students that</w:t>
            </w:r>
            <w:r w:rsidR="00F16710" w:rsidRPr="00C711C3">
              <w:rPr>
                <w:rFonts w:eastAsia="Open Sans" w:cs="Open Sans"/>
              </w:rPr>
              <w:t xml:space="preserve"> adequately recognise</w:t>
            </w:r>
            <w:r w:rsidR="007B29A1" w:rsidRPr="00C711C3">
              <w:rPr>
                <w:rFonts w:eastAsia="Open Sans" w:cs="Open Sans"/>
              </w:rPr>
              <w:t>s</w:t>
            </w:r>
            <w:r w:rsidR="00F16710" w:rsidRPr="00C711C3">
              <w:rPr>
                <w:rFonts w:eastAsia="Open Sans" w:cs="Open Sans"/>
              </w:rPr>
              <w:t xml:space="preserve"> and value</w:t>
            </w:r>
            <w:r w:rsidR="007B29A1" w:rsidRPr="00C711C3">
              <w:rPr>
                <w:rFonts w:eastAsia="Open Sans" w:cs="Open Sans"/>
              </w:rPr>
              <w:t>s</w:t>
            </w:r>
            <w:r w:rsidR="00F16710" w:rsidRPr="00C711C3">
              <w:rPr>
                <w:rFonts w:eastAsia="Open Sans" w:cs="Open Sans"/>
              </w:rPr>
              <w:t xml:space="preserve"> Aboriginal and Torres Strait Islander culture</w:t>
            </w:r>
            <w:r w:rsidR="001952C4" w:rsidRPr="00C711C3">
              <w:rPr>
                <w:rFonts w:eastAsia="Open Sans" w:cs="Open Sans"/>
              </w:rPr>
              <w:t>s and histories</w:t>
            </w:r>
            <w:r w:rsidR="007B29A1" w:rsidRPr="00C711C3">
              <w:rPr>
                <w:rFonts w:eastAsia="Open Sans" w:cs="Open Sans"/>
              </w:rPr>
              <w:t>.</w:t>
            </w:r>
          </w:p>
          <w:p w14:paraId="53BF8AEA" w14:textId="77777777" w:rsidR="002223F5" w:rsidRPr="00C711C3" w:rsidRDefault="002223F5" w:rsidP="001F3CD1">
            <w:pPr>
              <w:spacing w:line="257" w:lineRule="auto"/>
              <w:rPr>
                <w:rFonts w:eastAsia="Open Sans" w:cs="Open Sans"/>
              </w:rPr>
            </w:pPr>
          </w:p>
          <w:p w14:paraId="259B1593" w14:textId="7FCAF8EE" w:rsidR="007B29A1" w:rsidRPr="00834C4D" w:rsidRDefault="007B29A1" w:rsidP="007B29A1">
            <w:pPr>
              <w:rPr>
                <w:rFonts w:cs="Open Sans"/>
                <w:b/>
                <w:bCs/>
              </w:rPr>
            </w:pPr>
            <w:r w:rsidRPr="00834C4D">
              <w:rPr>
                <w:rFonts w:cs="Open Sans"/>
                <w:b/>
                <w:bCs/>
              </w:rPr>
              <w:lastRenderedPageBreak/>
              <w:t>Recommendation</w:t>
            </w:r>
            <w:r>
              <w:rPr>
                <w:rFonts w:cs="Open Sans"/>
                <w:b/>
                <w:bCs/>
              </w:rPr>
              <w:t xml:space="preserve"> </w:t>
            </w:r>
            <w:r w:rsidR="008B63A2" w:rsidRPr="00977A17">
              <w:rPr>
                <w:rFonts w:cs="Open Sans"/>
                <w:b/>
                <w:bCs/>
              </w:rPr>
              <w:t>8</w:t>
            </w:r>
          </w:p>
          <w:p w14:paraId="1CFC62B5" w14:textId="69B625D5" w:rsidR="001F3CD1" w:rsidRPr="001D3182" w:rsidRDefault="009A73D9" w:rsidP="001F3CD1">
            <w:pPr>
              <w:spacing w:line="257" w:lineRule="auto"/>
              <w:rPr>
                <w:rFonts w:eastAsia="Open Sans" w:cs="Open Sans"/>
              </w:rPr>
            </w:pPr>
            <w:r w:rsidRPr="00C711C3">
              <w:rPr>
                <w:rFonts w:eastAsia="Open Sans" w:cs="Open Sans"/>
              </w:rPr>
              <w:t xml:space="preserve">Remote schools prioritise local engagement with Aboriginal and Torres Strait Islander </w:t>
            </w:r>
            <w:r w:rsidR="00380D67" w:rsidRPr="00C711C3">
              <w:rPr>
                <w:rFonts w:eastAsia="Open Sans" w:cs="Open Sans"/>
              </w:rPr>
              <w:t>communities.</w:t>
            </w:r>
          </w:p>
        </w:tc>
      </w:tr>
    </w:tbl>
    <w:p w14:paraId="08CDB793" w14:textId="1D838CA3" w:rsidR="268B132A" w:rsidRDefault="7F4DAE59" w:rsidP="00C11F93">
      <w:pPr>
        <w:pStyle w:val="Heading2"/>
      </w:pPr>
      <w:bookmarkStart w:id="25" w:name="_Toc32497890"/>
      <w:r w:rsidRPr="7F4DAE59">
        <w:lastRenderedPageBreak/>
        <w:t>Barriers to the education journey</w:t>
      </w:r>
      <w:bookmarkEnd w:id="25"/>
    </w:p>
    <w:p w14:paraId="229AB6A1" w14:textId="59823320" w:rsidR="00E05A08" w:rsidRPr="00A27271" w:rsidRDefault="7F4DAE59" w:rsidP="00062CDC">
      <w:r w:rsidRPr="00062CDC">
        <w:t>Throughout the consultations, various barriers were identified that inhibit</w:t>
      </w:r>
      <w:r w:rsidR="00A27271">
        <w:t xml:space="preserve"> </w:t>
      </w:r>
      <w:r w:rsidRPr="00062CDC">
        <w:t xml:space="preserve">Aboriginal and Torres Strait Islander students from succeeding in their education </w:t>
      </w:r>
      <w:r w:rsidRPr="00A27271">
        <w:t xml:space="preserve">journey, including impacts on attendance and engagement. </w:t>
      </w:r>
    </w:p>
    <w:p w14:paraId="684A38BC" w14:textId="2EA2476C" w:rsidR="268B132A" w:rsidRPr="008A6B7F" w:rsidRDefault="7F4DAE59" w:rsidP="003139BE">
      <w:pPr>
        <w:pStyle w:val="Heading3"/>
      </w:pPr>
      <w:bookmarkStart w:id="26" w:name="_Toc32497891"/>
      <w:r w:rsidRPr="008A6B7F">
        <w:t>Failure to recognise and value Aboriginal and Torres Strait Islander cultures, languages and histories</w:t>
      </w:r>
      <w:bookmarkEnd w:id="26"/>
    </w:p>
    <w:p w14:paraId="281DFEC9" w14:textId="3AE8304B" w:rsidR="268B132A" w:rsidRDefault="7F4DAE59" w:rsidP="268B132A">
      <w:pPr>
        <w:spacing w:line="257" w:lineRule="auto"/>
      </w:pPr>
      <w:r w:rsidRPr="7F4DAE59">
        <w:rPr>
          <w:rFonts w:eastAsia="Open Sans" w:cs="Open Sans"/>
        </w:rPr>
        <w:t xml:space="preserve">As outlined above, being strong in culture is essential to enable Aboriginal and Torres Strait Islander people to survive and thrive. </w:t>
      </w:r>
      <w:r w:rsidR="004776EE">
        <w:rPr>
          <w:rFonts w:eastAsia="Open Sans" w:cs="Open Sans"/>
        </w:rPr>
        <w:t>F</w:t>
      </w:r>
      <w:r w:rsidRPr="7F4DAE59">
        <w:rPr>
          <w:rFonts w:eastAsia="Open Sans" w:cs="Open Sans"/>
        </w:rPr>
        <w:t>ailing to adequately recognise, acknowledge and value culture, country and language within learning environments</w:t>
      </w:r>
      <w:r w:rsidR="00985C5C">
        <w:rPr>
          <w:rFonts w:eastAsia="Open Sans" w:cs="Open Sans"/>
        </w:rPr>
        <w:t xml:space="preserve"> risks denying </w:t>
      </w:r>
      <w:r w:rsidRPr="7F4DAE59">
        <w:rPr>
          <w:rFonts w:eastAsia="Open Sans" w:cs="Open Sans"/>
        </w:rPr>
        <w:t xml:space="preserve">Aboriginal and Torres Strait Islander </w:t>
      </w:r>
      <w:r w:rsidR="000A31D2" w:rsidRPr="7F4DAE59">
        <w:rPr>
          <w:rFonts w:eastAsia="Open Sans" w:cs="Open Sans"/>
        </w:rPr>
        <w:t>students’</w:t>
      </w:r>
      <w:r w:rsidRPr="7F4DAE59" w:rsidDel="00985C5C">
        <w:rPr>
          <w:rFonts w:eastAsia="Open Sans" w:cs="Open Sans"/>
        </w:rPr>
        <w:t xml:space="preserve"> </w:t>
      </w:r>
      <w:r w:rsidRPr="7F4DAE59">
        <w:rPr>
          <w:rFonts w:eastAsia="Open Sans" w:cs="Open Sans"/>
        </w:rPr>
        <w:t xml:space="preserve">equal opportunity to succeed. While the education system has seen significant improvements over the years, </w:t>
      </w:r>
      <w:r w:rsidR="00B15B5D">
        <w:rPr>
          <w:rFonts w:eastAsia="Open Sans" w:cs="Open Sans"/>
        </w:rPr>
        <w:t xml:space="preserve">for example by </w:t>
      </w:r>
      <w:r w:rsidRPr="7F4DAE59" w:rsidDel="00B15B5D">
        <w:rPr>
          <w:rFonts w:eastAsia="Open Sans" w:cs="Open Sans"/>
        </w:rPr>
        <w:t xml:space="preserve">including </w:t>
      </w:r>
      <w:r w:rsidRPr="7F4DAE59">
        <w:rPr>
          <w:rFonts w:eastAsia="Open Sans" w:cs="Open Sans"/>
        </w:rPr>
        <w:t>Aboriginal and Torres Strait Islander perspectives within the</w:t>
      </w:r>
      <w:r w:rsidRPr="7F4DAE59" w:rsidDel="00B15B5D">
        <w:rPr>
          <w:rFonts w:eastAsia="Open Sans" w:cs="Open Sans"/>
        </w:rPr>
        <w:t xml:space="preserve"> </w:t>
      </w:r>
      <w:r w:rsidRPr="7F4DAE59">
        <w:rPr>
          <w:rFonts w:eastAsia="Open Sans" w:cs="Open Sans"/>
        </w:rPr>
        <w:t xml:space="preserve">curriculum and </w:t>
      </w:r>
      <w:r w:rsidR="00B15B5D">
        <w:rPr>
          <w:rFonts w:eastAsia="Open Sans" w:cs="Open Sans"/>
        </w:rPr>
        <w:t xml:space="preserve">making </w:t>
      </w:r>
      <w:r w:rsidRPr="7F4DAE59">
        <w:rPr>
          <w:rFonts w:eastAsia="Open Sans" w:cs="Open Sans"/>
        </w:rPr>
        <w:t xml:space="preserve">education more accessible, the values and ways of learning contained in the western learning framework remain in conflict with Aboriginal and Torres Strait Islander ways of learning, knowing and being. </w:t>
      </w:r>
    </w:p>
    <w:p w14:paraId="1F52D94A" w14:textId="7458A82B" w:rsidR="268B132A" w:rsidRDefault="7F4DAE59" w:rsidP="268B132A">
      <w:pPr>
        <w:spacing w:line="257" w:lineRule="auto"/>
      </w:pPr>
      <w:r w:rsidRPr="7F4DAE59">
        <w:rPr>
          <w:rFonts w:eastAsia="Open Sans" w:cs="Open Sans"/>
        </w:rPr>
        <w:t xml:space="preserve">Aboriginal and Torres Strait Islander people want their children to engage and succeed in the formal education systems, however it cannot be at the expense of culture and identity. By not adequately valuing and acknowledging Aboriginal and Torres Strait Islander cultures and history, the education system forms a culturally unsafe environment for </w:t>
      </w:r>
      <w:r w:rsidR="00D32281">
        <w:rPr>
          <w:rFonts w:eastAsia="Open Sans" w:cs="Open Sans"/>
        </w:rPr>
        <w:t>Aboriginal and Torres Strait Islander children</w:t>
      </w:r>
      <w:r w:rsidRPr="7F4DAE59">
        <w:rPr>
          <w:rFonts w:eastAsia="Open Sans" w:cs="Open Sans"/>
        </w:rPr>
        <w:t>. Throughout the consultations</w:t>
      </w:r>
      <w:r w:rsidR="005401F7">
        <w:rPr>
          <w:rFonts w:eastAsia="Open Sans" w:cs="Open Sans"/>
        </w:rPr>
        <w:t>,</w:t>
      </w:r>
      <w:r w:rsidRPr="7F4DAE59">
        <w:rPr>
          <w:rFonts w:eastAsia="Open Sans" w:cs="Open Sans"/>
        </w:rPr>
        <w:t xml:space="preserve"> women, girls and Indigenous education workers across the country consistently highlighted the potential for increased engagement with an education system that adequately reflect</w:t>
      </w:r>
      <w:r w:rsidR="002B04E8">
        <w:rPr>
          <w:rFonts w:eastAsia="Open Sans" w:cs="Open Sans"/>
        </w:rPr>
        <w:t>s</w:t>
      </w:r>
      <w:r w:rsidRPr="7F4DAE59">
        <w:rPr>
          <w:rFonts w:eastAsia="Open Sans" w:cs="Open Sans"/>
        </w:rPr>
        <w:t xml:space="preserve"> their values, recognise</w:t>
      </w:r>
      <w:r w:rsidR="002B04E8">
        <w:rPr>
          <w:rFonts w:eastAsia="Open Sans" w:cs="Open Sans"/>
        </w:rPr>
        <w:t>s</w:t>
      </w:r>
      <w:r w:rsidRPr="7F4DAE59">
        <w:rPr>
          <w:rFonts w:eastAsia="Open Sans" w:cs="Open Sans"/>
        </w:rPr>
        <w:t xml:space="preserve"> their histories and embrace</w:t>
      </w:r>
      <w:r w:rsidR="002B04E8">
        <w:rPr>
          <w:rFonts w:eastAsia="Open Sans" w:cs="Open Sans"/>
        </w:rPr>
        <w:t>s</w:t>
      </w:r>
      <w:r w:rsidRPr="7F4DAE59">
        <w:rPr>
          <w:rFonts w:eastAsia="Open Sans" w:cs="Open Sans"/>
        </w:rPr>
        <w:t xml:space="preserve"> their cultures and languages</w:t>
      </w:r>
      <w:r w:rsidR="002B04E8">
        <w:rPr>
          <w:rFonts w:eastAsia="Open Sans" w:cs="Open Sans"/>
        </w:rPr>
        <w:t>.</w:t>
      </w:r>
    </w:p>
    <w:p w14:paraId="6AA4E1F4" w14:textId="62428B5A" w:rsidR="268B132A" w:rsidRDefault="7F4DAE59" w:rsidP="268B132A">
      <w:pPr>
        <w:spacing w:line="257" w:lineRule="auto"/>
      </w:pPr>
      <w:r w:rsidRPr="7F4DAE59">
        <w:rPr>
          <w:rFonts w:eastAsia="Open Sans" w:cs="Open Sans"/>
          <w:color w:val="1E1E1E"/>
        </w:rPr>
        <w:t xml:space="preserve">To achieve this, teachers need to be encouraged and empowered through their training to competently include relevant Aboriginal and Torres Strait Islander content into the curriculum. The ongoing National Aboriginal and Torres Strait Islander Curricula Project aims to enable and encourage all teachers to embrace Aboriginal and Torres Strait Islander content within Australian classrooms. Led by Professor </w:t>
      </w:r>
      <w:r w:rsidRPr="7F4DAE59">
        <w:rPr>
          <w:rFonts w:eastAsia="Open Sans" w:cs="Open Sans"/>
          <w:color w:val="1E1E1E"/>
        </w:rPr>
        <w:lastRenderedPageBreak/>
        <w:t>Marcia Langton AM, resources have been developed to assist teachers to provide quality content to students</w:t>
      </w:r>
      <w:r w:rsidR="005630A2">
        <w:rPr>
          <w:rFonts w:eastAsia="Open Sans" w:cs="Open Sans"/>
          <w:color w:val="1E1E1E"/>
        </w:rPr>
        <w:t>.</w:t>
      </w:r>
      <w:r w:rsidR="005630A2">
        <w:rPr>
          <w:rStyle w:val="EndnoteReference"/>
          <w:rFonts w:eastAsia="Open Sans" w:cs="Open Sans"/>
          <w:color w:val="1E1E1E"/>
        </w:rPr>
        <w:endnoteReference w:id="90"/>
      </w:r>
      <w:r w:rsidRPr="00C11F93">
        <w:rPr>
          <w:rFonts w:eastAsia="Open Sans" w:cs="Open Sans"/>
          <w:color w:val="1E1E1E"/>
        </w:rPr>
        <w:t xml:space="preserve"> Initiatives such as this</w:t>
      </w:r>
      <w:r w:rsidR="000049C0">
        <w:rPr>
          <w:rFonts w:eastAsia="Open Sans" w:cs="Open Sans"/>
          <w:color w:val="1E1E1E"/>
        </w:rPr>
        <w:t xml:space="preserve"> </w:t>
      </w:r>
      <w:r w:rsidRPr="00C11F93">
        <w:rPr>
          <w:rFonts w:eastAsia="Open Sans" w:cs="Open Sans"/>
          <w:color w:val="1E1E1E"/>
        </w:rPr>
        <w:t>utilise First Nations expertise to guide the incorporation of Aboriginal and Torres Strait Islander perspectives</w:t>
      </w:r>
      <w:r w:rsidR="000049C0">
        <w:rPr>
          <w:rFonts w:eastAsia="Open Sans" w:cs="Open Sans"/>
          <w:color w:val="1E1E1E"/>
        </w:rPr>
        <w:t xml:space="preserve"> into the c</w:t>
      </w:r>
      <w:r w:rsidR="00CE68C4">
        <w:rPr>
          <w:rFonts w:eastAsia="Open Sans" w:cs="Open Sans"/>
          <w:color w:val="1E1E1E"/>
        </w:rPr>
        <w:t>urriculum.</w:t>
      </w:r>
    </w:p>
    <w:p w14:paraId="25F0F7CC" w14:textId="07603420" w:rsidR="00544AF1" w:rsidRDefault="7F4DAE59" w:rsidP="268B132A">
      <w:pPr>
        <w:spacing w:line="257" w:lineRule="auto"/>
        <w:rPr>
          <w:rFonts w:eastAsia="Open Sans" w:cs="Open Sans"/>
        </w:rPr>
      </w:pPr>
      <w:r w:rsidRPr="7F4DAE59">
        <w:rPr>
          <w:rFonts w:eastAsia="Open Sans" w:cs="Open Sans"/>
        </w:rPr>
        <w:t>Over time, access to bilingual education has been gradually eroded</w:t>
      </w:r>
      <w:r w:rsidR="00D32281">
        <w:rPr>
          <w:rFonts w:eastAsia="Open Sans" w:cs="Open Sans"/>
        </w:rPr>
        <w:t>.</w:t>
      </w:r>
      <w:r w:rsidR="00B246FF">
        <w:rPr>
          <w:rStyle w:val="EndnoteReference"/>
          <w:rFonts w:eastAsia="Open Sans" w:cs="Open Sans"/>
        </w:rPr>
        <w:endnoteReference w:id="91"/>
      </w:r>
      <w:r w:rsidRPr="00C11F93">
        <w:rPr>
          <w:rFonts w:eastAsia="Open Sans" w:cs="Open Sans"/>
        </w:rPr>
        <w:t xml:space="preserve"> During the consultations, and particularly in remote settings in Western Australia, the Northern Territory and the Torres Strait Islands, English not being the primary language</w:t>
      </w:r>
      <w:r w:rsidRPr="00C11F93" w:rsidDel="007B5631">
        <w:rPr>
          <w:rFonts w:eastAsia="Open Sans" w:cs="Open Sans"/>
        </w:rPr>
        <w:t xml:space="preserve"> </w:t>
      </w:r>
      <w:r w:rsidRPr="00C11F93">
        <w:rPr>
          <w:rFonts w:eastAsia="Open Sans" w:cs="Open Sans"/>
        </w:rPr>
        <w:t xml:space="preserve">was </w:t>
      </w:r>
      <w:r w:rsidR="007B5631">
        <w:rPr>
          <w:rFonts w:eastAsia="Open Sans" w:cs="Open Sans"/>
        </w:rPr>
        <w:t xml:space="preserve">identified as </w:t>
      </w:r>
      <w:r w:rsidRPr="00C11F93">
        <w:rPr>
          <w:rFonts w:eastAsia="Open Sans" w:cs="Open Sans"/>
        </w:rPr>
        <w:t xml:space="preserve">a serious obstacle for students engaging in formal school settings. Children who </w:t>
      </w:r>
      <w:r w:rsidR="002F232B">
        <w:rPr>
          <w:rFonts w:eastAsia="Open Sans" w:cs="Open Sans"/>
        </w:rPr>
        <w:t>start</w:t>
      </w:r>
      <w:r w:rsidRPr="00C11F93">
        <w:rPr>
          <w:rFonts w:eastAsia="Open Sans" w:cs="Open Sans"/>
        </w:rPr>
        <w:t xml:space="preserve"> school speaking various </w:t>
      </w:r>
      <w:r w:rsidR="008D0391">
        <w:rPr>
          <w:rFonts w:eastAsia="Open Sans" w:cs="Open Sans"/>
        </w:rPr>
        <w:t xml:space="preserve">Aboriginal and Torres Strait Islander </w:t>
      </w:r>
      <w:r w:rsidRPr="00C11F93">
        <w:rPr>
          <w:rFonts w:eastAsia="Open Sans" w:cs="Open Sans"/>
        </w:rPr>
        <w:t>languages, including</w:t>
      </w:r>
      <w:r w:rsidR="00BC198C">
        <w:rPr>
          <w:rFonts w:eastAsia="Open Sans" w:cs="Open Sans"/>
        </w:rPr>
        <w:t xml:space="preserve"> variations of</w:t>
      </w:r>
      <w:r w:rsidRPr="00C11F93">
        <w:rPr>
          <w:rFonts w:eastAsia="Open Sans" w:cs="Open Sans"/>
        </w:rPr>
        <w:t xml:space="preserve"> Creole, </w:t>
      </w:r>
      <w:r w:rsidR="00EE60CE">
        <w:rPr>
          <w:rFonts w:eastAsia="Open Sans" w:cs="Open Sans"/>
        </w:rPr>
        <w:t xml:space="preserve">who may have </w:t>
      </w:r>
      <w:r w:rsidR="00C33345">
        <w:rPr>
          <w:rFonts w:eastAsia="Open Sans" w:cs="Open Sans"/>
        </w:rPr>
        <w:t>limited</w:t>
      </w:r>
      <w:r w:rsidRPr="00C11F93">
        <w:rPr>
          <w:rFonts w:eastAsia="Open Sans" w:cs="Open Sans"/>
        </w:rPr>
        <w:t xml:space="preserve"> English language skills</w:t>
      </w:r>
      <w:r w:rsidR="002B04E8">
        <w:rPr>
          <w:rFonts w:eastAsia="Open Sans" w:cs="Open Sans"/>
        </w:rPr>
        <w:t>,</w:t>
      </w:r>
      <w:r w:rsidRPr="00C11F93">
        <w:rPr>
          <w:rFonts w:eastAsia="Open Sans" w:cs="Open Sans"/>
        </w:rPr>
        <w:t xml:space="preserve"> need to be provided with the appropriate support to</w:t>
      </w:r>
      <w:r w:rsidR="00544AF1">
        <w:rPr>
          <w:rFonts w:eastAsia="Open Sans" w:cs="Open Sans"/>
        </w:rPr>
        <w:t xml:space="preserve"> </w:t>
      </w:r>
      <w:r w:rsidRPr="00C11F93">
        <w:rPr>
          <w:rFonts w:eastAsia="Open Sans" w:cs="Open Sans"/>
        </w:rPr>
        <w:t>learn in an English</w:t>
      </w:r>
      <w:r w:rsidR="002B04E8">
        <w:rPr>
          <w:rFonts w:eastAsia="Open Sans" w:cs="Open Sans"/>
        </w:rPr>
        <w:t>-speaking</w:t>
      </w:r>
      <w:r w:rsidRPr="00C11F93">
        <w:rPr>
          <w:rFonts w:eastAsia="Open Sans" w:cs="Open Sans"/>
        </w:rPr>
        <w:t xml:space="preserve"> environment.</w:t>
      </w:r>
    </w:p>
    <w:p w14:paraId="27AB13A0" w14:textId="0E03C8B3" w:rsidR="268B132A" w:rsidRDefault="7F4DAE59" w:rsidP="268B132A">
      <w:pPr>
        <w:spacing w:line="257" w:lineRule="auto"/>
      </w:pPr>
      <w:r w:rsidRPr="00C11F93">
        <w:rPr>
          <w:rFonts w:eastAsia="Open Sans" w:cs="Open Sans"/>
        </w:rPr>
        <w:t>Teachers who are not equipped with local language skills or awareness of local Aboriginal and Torres Strait Islander culture and history face obstacles in educating and supporting students to reach their potential</w:t>
      </w:r>
      <w:r w:rsidR="00527420">
        <w:rPr>
          <w:rFonts w:eastAsia="Open Sans" w:cs="Open Sans"/>
        </w:rPr>
        <w:t>.</w:t>
      </w:r>
      <w:r w:rsidRPr="00C11F93">
        <w:rPr>
          <w:rFonts w:eastAsia="Open Sans" w:cs="Open Sans"/>
        </w:rPr>
        <w:t xml:space="preserve"> </w:t>
      </w:r>
      <w:r w:rsidR="00527420">
        <w:rPr>
          <w:rFonts w:eastAsia="Open Sans" w:cs="Open Sans"/>
        </w:rPr>
        <w:t xml:space="preserve">The current education system </w:t>
      </w:r>
      <w:r w:rsidRPr="00C11F93">
        <w:rPr>
          <w:rFonts w:eastAsia="Open Sans" w:cs="Open Sans"/>
        </w:rPr>
        <w:t xml:space="preserve">does not </w:t>
      </w:r>
      <w:r w:rsidR="00527420">
        <w:rPr>
          <w:rFonts w:eastAsia="Open Sans" w:cs="Open Sans"/>
        </w:rPr>
        <w:t xml:space="preserve">adequately </w:t>
      </w:r>
      <w:r w:rsidRPr="00C11F93">
        <w:rPr>
          <w:rFonts w:eastAsia="Open Sans" w:cs="Open Sans"/>
        </w:rPr>
        <w:t xml:space="preserve">value or acknowledge the inherent strengths </w:t>
      </w:r>
      <w:r w:rsidR="002B04E8">
        <w:rPr>
          <w:rFonts w:eastAsia="Open Sans" w:cs="Open Sans"/>
        </w:rPr>
        <w:t>of</w:t>
      </w:r>
      <w:r w:rsidRPr="00C11F93">
        <w:rPr>
          <w:rFonts w:eastAsia="Open Sans" w:cs="Open Sans"/>
        </w:rPr>
        <w:t xml:space="preserve"> </w:t>
      </w:r>
      <w:r w:rsidR="00306F92">
        <w:rPr>
          <w:rFonts w:eastAsia="Open Sans" w:cs="Open Sans"/>
        </w:rPr>
        <w:t>Aboriginal and Torres Strait Islander</w:t>
      </w:r>
      <w:r w:rsidRPr="00C11F93">
        <w:rPr>
          <w:rFonts w:eastAsia="Open Sans" w:cs="Open Sans"/>
        </w:rPr>
        <w:t xml:space="preserve"> children with unique knowledge systems, cultural traditions and language skills. The importance of supporting students’ development as English</w:t>
      </w:r>
      <w:r w:rsidR="002B04E8">
        <w:rPr>
          <w:rFonts w:eastAsia="Open Sans" w:cs="Open Sans"/>
        </w:rPr>
        <w:t>-speaking</w:t>
      </w:r>
      <w:r w:rsidRPr="00C11F93">
        <w:rPr>
          <w:rFonts w:eastAsia="Open Sans" w:cs="Open Sans"/>
        </w:rPr>
        <w:t xml:space="preserve"> learners through recognising students’ existing language skills has been highlighted as essential to literacy and numeracy development.</w:t>
      </w:r>
      <w:r w:rsidR="00E46A8C">
        <w:rPr>
          <w:rStyle w:val="EndnoteReference"/>
          <w:rFonts w:eastAsia="Open Sans" w:cs="Open Sans"/>
        </w:rPr>
        <w:endnoteReference w:id="92"/>
      </w:r>
    </w:p>
    <w:p w14:paraId="7E4A9C67" w14:textId="614E716B" w:rsidR="268B132A" w:rsidRDefault="7F4DAE59" w:rsidP="268B132A">
      <w:pPr>
        <w:spacing w:line="257" w:lineRule="auto"/>
      </w:pPr>
      <w:r w:rsidRPr="7F4DAE59">
        <w:rPr>
          <w:rFonts w:eastAsia="Open Sans" w:cs="Open Sans"/>
        </w:rPr>
        <w:t xml:space="preserve">In 2019, all Australian Education Ministers declared their commitment to supporting Aboriginal and Torres Strait Islander young people to reach their full potential, recognising that this requires </w:t>
      </w:r>
      <w:r w:rsidR="00B54ECB">
        <w:rPr>
          <w:rFonts w:eastAsia="Open Sans" w:cs="Open Sans"/>
        </w:rPr>
        <w:t xml:space="preserve">them </w:t>
      </w:r>
      <w:r w:rsidRPr="7F4DAE59">
        <w:rPr>
          <w:rFonts w:eastAsia="Open Sans" w:cs="Open Sans"/>
        </w:rPr>
        <w:t>to embrace their ‘cultures, languages and identities as Australia’s First Nations peoples’</w:t>
      </w:r>
      <w:r w:rsidR="00F615B7">
        <w:rPr>
          <w:rFonts w:eastAsia="Open Sans" w:cs="Open Sans"/>
        </w:rPr>
        <w:t>.</w:t>
      </w:r>
      <w:r w:rsidR="00F615B7">
        <w:rPr>
          <w:rStyle w:val="EndnoteReference"/>
          <w:rFonts w:eastAsia="Open Sans" w:cs="Open Sans"/>
        </w:rPr>
        <w:endnoteReference w:id="93"/>
      </w:r>
      <w:r w:rsidRPr="7F4DAE59">
        <w:rPr>
          <w:rFonts w:ascii="Calibri" w:eastAsia="Calibri" w:hAnsi="Calibri" w:cs="Calibri"/>
          <w:color w:val="0563C1"/>
          <w:sz w:val="22"/>
          <w:szCs w:val="22"/>
          <w:u w:val="single"/>
          <w:vertAlign w:val="superscript"/>
        </w:rPr>
        <w:t xml:space="preserve"> </w:t>
      </w:r>
    </w:p>
    <w:p w14:paraId="689EE6A8" w14:textId="1178E2CF" w:rsidR="268B132A" w:rsidRDefault="7F4DAE59" w:rsidP="268B132A">
      <w:pPr>
        <w:spacing w:line="257" w:lineRule="auto"/>
      </w:pPr>
      <w:r w:rsidRPr="7F4DAE59">
        <w:rPr>
          <w:rFonts w:eastAsia="Open Sans" w:cs="Open Sans"/>
        </w:rPr>
        <w:t xml:space="preserve">The Declaration states: </w:t>
      </w:r>
    </w:p>
    <w:p w14:paraId="3B012F30" w14:textId="0F85CF01" w:rsidR="268B132A" w:rsidRPr="00301576" w:rsidRDefault="7F4DAE59" w:rsidP="00301576">
      <w:pPr>
        <w:spacing w:line="257" w:lineRule="auto"/>
        <w:ind w:left="720"/>
        <w:rPr>
          <w:rFonts w:eastAsia="Open Sans" w:cs="Open Sans"/>
          <w:sz w:val="22"/>
          <w:szCs w:val="22"/>
        </w:rPr>
      </w:pPr>
      <w:r w:rsidRPr="00301576">
        <w:rPr>
          <w:rFonts w:eastAsia="Open Sans" w:cs="Open Sans"/>
          <w:sz w:val="22"/>
          <w:szCs w:val="22"/>
        </w:rPr>
        <w:t>Australia’s education system must embrace Aboriginal and Torres Strait Islander cultural identities and provide Aboriginal and Torres Strait Islander peoples with safe learning environments. The education community need to engage Aboriginal and Torres Strait Islander learners, their families and communities in all aspects of education, increase Aboriginal and Torres Strait Islander peoples’ participation in the education workforce at all levels, and support coordinated community services for learners and their families to increase productive participation.</w:t>
      </w:r>
      <w:r w:rsidR="001114A6" w:rsidRPr="00301576">
        <w:rPr>
          <w:rStyle w:val="EndnoteReference"/>
          <w:rFonts w:eastAsia="Open Sans" w:cs="Open Sans"/>
          <w:sz w:val="22"/>
          <w:szCs w:val="22"/>
        </w:rPr>
        <w:endnoteReference w:id="94"/>
      </w:r>
      <w:r w:rsidR="001114A6" w:rsidRPr="00301576">
        <w:rPr>
          <w:rFonts w:eastAsia="Open Sans" w:cs="Open Sans"/>
          <w:sz w:val="22"/>
          <w:szCs w:val="22"/>
        </w:rPr>
        <w:t xml:space="preserve"> </w:t>
      </w:r>
    </w:p>
    <w:p w14:paraId="77C340E1" w14:textId="091D7CC8" w:rsidR="00A45448" w:rsidRDefault="7F4DAE59" w:rsidP="268B132A">
      <w:pPr>
        <w:spacing w:line="257" w:lineRule="auto"/>
        <w:rPr>
          <w:rFonts w:eastAsia="Open Sans" w:cs="Open Sans"/>
        </w:rPr>
      </w:pPr>
      <w:r w:rsidRPr="7F4DAE59">
        <w:rPr>
          <w:rFonts w:eastAsia="Open Sans" w:cs="Open Sans"/>
        </w:rPr>
        <w:t>While supporting the sentiment of the Declaration, SNAICC</w:t>
      </w:r>
      <w:r w:rsidR="00E35940">
        <w:rPr>
          <w:rStyle w:val="EndnoteReference"/>
          <w:rFonts w:eastAsia="Open Sans" w:cs="Open Sans"/>
        </w:rPr>
        <w:endnoteReference w:id="95"/>
      </w:r>
      <w:r w:rsidRPr="00C11F93">
        <w:rPr>
          <w:rFonts w:eastAsia="Open Sans" w:cs="Open Sans"/>
        </w:rPr>
        <w:t xml:space="preserve"> has highlighted the need for adequate resourcing and specific strategies to achieve the outlined goals.</w:t>
      </w:r>
      <w:r w:rsidR="00AF1E35">
        <w:rPr>
          <w:rStyle w:val="EndnoteReference"/>
          <w:rFonts w:eastAsia="Open Sans" w:cs="Open Sans"/>
        </w:rPr>
        <w:endnoteReference w:id="96"/>
      </w:r>
      <w:r w:rsidRPr="00C11F93">
        <w:rPr>
          <w:rFonts w:eastAsia="Open Sans" w:cs="Open Sans"/>
        </w:rPr>
        <w:t xml:space="preserve"> </w:t>
      </w:r>
    </w:p>
    <w:p w14:paraId="0BC2D68F" w14:textId="10BC62E1" w:rsidR="00665D2C" w:rsidRPr="00665D2C" w:rsidRDefault="00A36900" w:rsidP="00665D2C">
      <w:pPr>
        <w:spacing w:line="257" w:lineRule="auto"/>
        <w:rPr>
          <w:rFonts w:eastAsia="Open Sans" w:cs="Open Sans"/>
        </w:rPr>
      </w:pPr>
      <w:r>
        <w:rPr>
          <w:rFonts w:eastAsia="Open Sans" w:cs="Open Sans"/>
        </w:rPr>
        <w:lastRenderedPageBreak/>
        <w:t>In 2017, t</w:t>
      </w:r>
      <w:r w:rsidR="00A45448" w:rsidRPr="00A45448">
        <w:rPr>
          <w:rFonts w:eastAsia="Open Sans" w:cs="Open Sans"/>
        </w:rPr>
        <w:t>he Special Rapporteur on the rights of indigenous peoples visited Australia to examine the human rights situation of Aboriginal and Torres Strait Islander Peoples. Following the visit, the Special Rapporteur recommended that the Australia</w:t>
      </w:r>
      <w:r w:rsidR="002B04E8">
        <w:rPr>
          <w:rFonts w:eastAsia="Open Sans" w:cs="Open Sans"/>
        </w:rPr>
        <w:t>n</w:t>
      </w:r>
      <w:r w:rsidR="00A45448" w:rsidRPr="00A45448">
        <w:rPr>
          <w:rFonts w:eastAsia="Open Sans" w:cs="Open Sans"/>
        </w:rPr>
        <w:t xml:space="preserve"> Government </w:t>
      </w:r>
      <w:r>
        <w:rPr>
          <w:rFonts w:eastAsia="Open Sans" w:cs="Open Sans"/>
        </w:rPr>
        <w:t>‘</w:t>
      </w:r>
      <w:r w:rsidR="00A45448" w:rsidRPr="00A45448">
        <w:rPr>
          <w:rFonts w:eastAsia="Open Sans" w:cs="Open Sans"/>
        </w:rPr>
        <w:t>Conduct a comprehensive review of the mainstream education curricula to ensure the inclusion of components on Aboriginal and Torres Strait Islander history and the impact of colonization</w:t>
      </w:r>
      <w:r>
        <w:rPr>
          <w:rFonts w:eastAsia="Open Sans" w:cs="Open Sans"/>
        </w:rPr>
        <w:t>’</w:t>
      </w:r>
      <w:r w:rsidR="002B04E8">
        <w:rPr>
          <w:rFonts w:eastAsia="Open Sans" w:cs="Open Sans"/>
        </w:rPr>
        <w:t>.</w:t>
      </w:r>
      <w:r w:rsidR="00A45448">
        <w:rPr>
          <w:rStyle w:val="EndnoteReference"/>
          <w:rFonts w:eastAsia="Open Sans" w:cs="Open Sans"/>
        </w:rPr>
        <w:endnoteReference w:id="97"/>
      </w:r>
    </w:p>
    <w:p w14:paraId="43212CDE" w14:textId="38574D9A" w:rsidR="007A1DDE" w:rsidRPr="00183B5D" w:rsidRDefault="007A1DDE" w:rsidP="00183B5D">
      <w:pPr>
        <w:spacing w:line="257" w:lineRule="auto"/>
        <w:rPr>
          <w:sz w:val="22"/>
          <w:szCs w:val="22"/>
        </w:rPr>
      </w:pPr>
      <w:r w:rsidRPr="00321D50">
        <w:rPr>
          <w:rFonts w:eastAsia="Open Sans" w:cs="Open Sans"/>
        </w:rPr>
        <w:t xml:space="preserve">The 2012 Review of Higher Education Access and Outcomes for Aboriginal and Torres Strait Islander People </w:t>
      </w:r>
      <w:r w:rsidR="00C4229D">
        <w:rPr>
          <w:rFonts w:eastAsia="Open Sans" w:cs="Open Sans"/>
        </w:rPr>
        <w:t>also</w:t>
      </w:r>
      <w:r>
        <w:rPr>
          <w:rFonts w:eastAsia="Open Sans" w:cs="Open Sans"/>
        </w:rPr>
        <w:t xml:space="preserve"> recommended that </w:t>
      </w:r>
      <w:r w:rsidR="00C4229D">
        <w:rPr>
          <w:rFonts w:eastAsia="Open Sans" w:cs="Open Sans"/>
        </w:rPr>
        <w:t xml:space="preserve">Aboriginal and Torres Strait Islander </w:t>
      </w:r>
      <w:r w:rsidR="00967E8A">
        <w:rPr>
          <w:rFonts w:eastAsia="Open Sans" w:cs="Open Sans"/>
        </w:rPr>
        <w:t xml:space="preserve">knowledge and perspectives </w:t>
      </w:r>
      <w:r w:rsidR="002B04E8">
        <w:rPr>
          <w:rFonts w:eastAsia="Open Sans" w:cs="Open Sans"/>
        </w:rPr>
        <w:t>be</w:t>
      </w:r>
      <w:r w:rsidR="00967E8A">
        <w:rPr>
          <w:rFonts w:eastAsia="Open Sans" w:cs="Open Sans"/>
        </w:rPr>
        <w:t xml:space="preserve"> </w:t>
      </w:r>
      <w:r w:rsidR="0002307C">
        <w:rPr>
          <w:rFonts w:eastAsia="Open Sans" w:cs="Open Sans"/>
        </w:rPr>
        <w:t xml:space="preserve">incorporated into teaching and learning strategies across </w:t>
      </w:r>
      <w:r w:rsidR="00C831BA">
        <w:rPr>
          <w:rFonts w:eastAsia="Open Sans" w:cs="Open Sans"/>
        </w:rPr>
        <w:t xml:space="preserve">all </w:t>
      </w:r>
      <w:r w:rsidR="00F4008F">
        <w:rPr>
          <w:rFonts w:eastAsia="Open Sans" w:cs="Open Sans"/>
        </w:rPr>
        <w:t xml:space="preserve">university curriculums, prioritising </w:t>
      </w:r>
      <w:r w:rsidR="00CF2B16">
        <w:rPr>
          <w:rFonts w:eastAsia="Open Sans" w:cs="Open Sans"/>
        </w:rPr>
        <w:t>t</w:t>
      </w:r>
      <w:r w:rsidR="00AD039F">
        <w:rPr>
          <w:rFonts w:eastAsia="Open Sans" w:cs="Open Sans"/>
        </w:rPr>
        <w:t xml:space="preserve">eaching </w:t>
      </w:r>
      <w:r w:rsidR="00CF2B16">
        <w:rPr>
          <w:rFonts w:eastAsia="Open Sans" w:cs="Open Sans"/>
        </w:rPr>
        <w:t xml:space="preserve">and </w:t>
      </w:r>
      <w:r w:rsidR="00AD039F">
        <w:rPr>
          <w:rFonts w:eastAsia="Open Sans" w:cs="Open Sans"/>
        </w:rPr>
        <w:t xml:space="preserve">health professions that have a direct impact on </w:t>
      </w:r>
      <w:r w:rsidR="00E73EA2">
        <w:rPr>
          <w:rFonts w:eastAsia="Open Sans" w:cs="Open Sans"/>
        </w:rPr>
        <w:t>Closing the Gap targets.</w:t>
      </w:r>
      <w:r w:rsidR="00F94FEB">
        <w:rPr>
          <w:rStyle w:val="EndnoteReference"/>
          <w:bCs/>
          <w:szCs w:val="22"/>
        </w:rPr>
        <w:endnoteReference w:id="98"/>
      </w:r>
    </w:p>
    <w:p w14:paraId="222C088F" w14:textId="2A87E901" w:rsidR="268B132A" w:rsidRDefault="7F4DAE59" w:rsidP="268B132A">
      <w:pPr>
        <w:spacing w:line="257" w:lineRule="auto"/>
      </w:pPr>
      <w:r w:rsidRPr="7F4DAE59">
        <w:rPr>
          <w:rFonts w:eastAsia="Open Sans" w:cs="Open Sans"/>
        </w:rPr>
        <w:t>Aboriginal and Torres Strait Islander communities want their children to receive the benefits of a western education to supplement</w:t>
      </w:r>
      <w:r w:rsidR="002B04E8">
        <w:rPr>
          <w:rFonts w:eastAsia="Open Sans" w:cs="Open Sans"/>
        </w:rPr>
        <w:t>,</w:t>
      </w:r>
      <w:r w:rsidRPr="7F4DAE59">
        <w:rPr>
          <w:rFonts w:eastAsia="Open Sans" w:cs="Open Sans"/>
        </w:rPr>
        <w:t xml:space="preserve"> rather than override</w:t>
      </w:r>
      <w:r w:rsidR="002B04E8">
        <w:rPr>
          <w:rFonts w:eastAsia="Open Sans" w:cs="Open Sans"/>
        </w:rPr>
        <w:t>,</w:t>
      </w:r>
      <w:r w:rsidRPr="7F4DAE59">
        <w:rPr>
          <w:rFonts w:eastAsia="Open Sans" w:cs="Open Sans"/>
        </w:rPr>
        <w:t xml:space="preserve"> their cultural education. In failing to acknowledge and incorporate Aboriginal and Torres Strait Islander ways of being and values into the curriculum, the current model is forcing Aboriginal and Torres Strait Islander students to compromise on their cultural lives</w:t>
      </w:r>
      <w:r w:rsidR="00183B5D">
        <w:rPr>
          <w:rFonts w:eastAsia="Open Sans" w:cs="Open Sans"/>
        </w:rPr>
        <w:t>.</w:t>
      </w:r>
      <w:r w:rsidRPr="7F4DAE59">
        <w:rPr>
          <w:rFonts w:eastAsia="Open Sans" w:cs="Open Sans"/>
        </w:rPr>
        <w:t xml:space="preserve"> </w:t>
      </w:r>
    </w:p>
    <w:p w14:paraId="5971D157" w14:textId="3B2939F7" w:rsidR="268B132A" w:rsidRDefault="7F4DAE59" w:rsidP="00FA79CF">
      <w:pPr>
        <w:pStyle w:val="Heading3"/>
      </w:pPr>
      <w:bookmarkStart w:id="27" w:name="_Toc32497892"/>
      <w:r w:rsidRPr="7F4DAE59">
        <w:t>Racism and discrimination</w:t>
      </w:r>
      <w:bookmarkEnd w:id="27"/>
    </w:p>
    <w:p w14:paraId="0C87D692" w14:textId="6CE66137" w:rsidR="268B132A" w:rsidRDefault="7F4DAE59" w:rsidP="268B132A">
      <w:pPr>
        <w:spacing w:line="257" w:lineRule="auto"/>
      </w:pPr>
      <w:r w:rsidRPr="7F4DAE59">
        <w:rPr>
          <w:rFonts w:eastAsia="Open Sans" w:cs="Open Sans"/>
        </w:rPr>
        <w:t xml:space="preserve">Experiences of direct and indirect racism and discrimination within schools was raised regularly throughout the consultations. Much of the discrimination experienced by students is based on stereotypes and misinformed perspectives. Aboriginal and Torres Strait Islander culture and history needs to be thoughtfully integrated into the school curriculum and school culture to teach young people from all backgrounds to appreciate and respect the true history and value of Aboriginal and Torres Strait Islander </w:t>
      </w:r>
      <w:r w:rsidR="00527420">
        <w:rPr>
          <w:rFonts w:eastAsia="Open Sans" w:cs="Open Sans"/>
        </w:rPr>
        <w:t>people</w:t>
      </w:r>
      <w:r w:rsidR="007A7D66">
        <w:rPr>
          <w:rFonts w:eastAsia="Open Sans" w:cs="Open Sans"/>
        </w:rPr>
        <w:t>s</w:t>
      </w:r>
      <w:r w:rsidR="00527420">
        <w:rPr>
          <w:rFonts w:eastAsia="Open Sans" w:cs="Open Sans"/>
        </w:rPr>
        <w:t xml:space="preserve"> and culture</w:t>
      </w:r>
      <w:r w:rsidRPr="7F4DAE59">
        <w:rPr>
          <w:rFonts w:eastAsia="Open Sans" w:cs="Open Sans"/>
        </w:rPr>
        <w:t xml:space="preserve">. Genuine efforts to effectively address these gaps in formal school settings across the country have the potential to substantially reduce racism and discrimination experienced by Aboriginal and Torres Strait Islander students within schools and into the wider community. </w:t>
      </w:r>
    </w:p>
    <w:p w14:paraId="419BCD39" w14:textId="4FB43E36" w:rsidR="268B132A" w:rsidRDefault="7F4DAE59" w:rsidP="00FA79CF">
      <w:pPr>
        <w:pStyle w:val="Heading3"/>
      </w:pPr>
      <w:bookmarkStart w:id="28" w:name="_Toc32497893"/>
      <w:r w:rsidRPr="7F4DAE59">
        <w:t>Accessibility and quality of education</w:t>
      </w:r>
      <w:bookmarkEnd w:id="28"/>
      <w:r w:rsidRPr="7F4DAE59">
        <w:t xml:space="preserve"> </w:t>
      </w:r>
    </w:p>
    <w:p w14:paraId="00B09F59" w14:textId="5E9416A2" w:rsidR="268B132A" w:rsidRPr="00C11F93" w:rsidRDefault="7F4DAE59" w:rsidP="268B132A">
      <w:pPr>
        <w:spacing w:line="257" w:lineRule="auto"/>
        <w:rPr>
          <w:rFonts w:eastAsia="Open Sans" w:cs="Open Sans"/>
        </w:rPr>
      </w:pPr>
      <w:r w:rsidRPr="7F4DAE59">
        <w:rPr>
          <w:rFonts w:eastAsia="Open Sans" w:cs="Open Sans"/>
        </w:rPr>
        <w:t>For remote communities, the inconsistencies and concerns relating to the availability and quality of education services has been repe</w:t>
      </w:r>
      <w:r w:rsidR="002B04E8">
        <w:rPr>
          <w:rFonts w:eastAsia="Open Sans" w:cs="Open Sans"/>
        </w:rPr>
        <w:t>atedly</w:t>
      </w:r>
      <w:r w:rsidRPr="7F4DAE59">
        <w:rPr>
          <w:rFonts w:eastAsia="Open Sans" w:cs="Open Sans"/>
        </w:rPr>
        <w:t xml:space="preserve"> discussed and reported on</w:t>
      </w:r>
      <w:r w:rsidRPr="00C11F93">
        <w:rPr>
          <w:rFonts w:eastAsia="Open Sans" w:cs="Open Sans"/>
        </w:rPr>
        <w:t>.</w:t>
      </w:r>
      <w:r w:rsidR="007E075D">
        <w:rPr>
          <w:rStyle w:val="EndnoteReference"/>
          <w:rFonts w:eastAsia="Open Sans" w:cs="Open Sans"/>
        </w:rPr>
        <w:endnoteReference w:id="99"/>
      </w:r>
      <w:r w:rsidR="00D64EA8">
        <w:rPr>
          <w:rFonts w:eastAsia="Open Sans" w:cs="Open Sans"/>
        </w:rPr>
        <w:t xml:space="preserve"> </w:t>
      </w:r>
      <w:r w:rsidR="008930E6">
        <w:rPr>
          <w:rFonts w:eastAsia="Open Sans" w:cs="Open Sans"/>
        </w:rPr>
        <w:t>Una</w:t>
      </w:r>
      <w:r w:rsidRPr="00C11F93">
        <w:rPr>
          <w:rFonts w:eastAsia="Open Sans" w:cs="Open Sans"/>
        </w:rPr>
        <w:t>vailability of education services from early childhood through to secondary school</w:t>
      </w:r>
      <w:r w:rsidR="008930E6">
        <w:rPr>
          <w:rFonts w:eastAsia="Open Sans" w:cs="Open Sans"/>
        </w:rPr>
        <w:t>,</w:t>
      </w:r>
      <w:r w:rsidRPr="00C11F93">
        <w:rPr>
          <w:rFonts w:eastAsia="Open Sans" w:cs="Open Sans"/>
        </w:rPr>
        <w:t xml:space="preserve"> within a reasonable distance, </w:t>
      </w:r>
      <w:r w:rsidR="00142B26">
        <w:rPr>
          <w:rFonts w:eastAsia="Open Sans" w:cs="Open Sans"/>
        </w:rPr>
        <w:t xml:space="preserve">and with </w:t>
      </w:r>
      <w:r w:rsidRPr="00C11F93">
        <w:rPr>
          <w:rFonts w:eastAsia="Open Sans" w:cs="Open Sans"/>
        </w:rPr>
        <w:t>suitable transportation options</w:t>
      </w:r>
      <w:r w:rsidR="00142B26">
        <w:rPr>
          <w:rFonts w:eastAsia="Open Sans" w:cs="Open Sans"/>
        </w:rPr>
        <w:t>,</w:t>
      </w:r>
      <w:r w:rsidRPr="00C11F93">
        <w:rPr>
          <w:rFonts w:eastAsia="Open Sans" w:cs="Open Sans"/>
        </w:rPr>
        <w:t xml:space="preserve"> pose</w:t>
      </w:r>
      <w:r w:rsidR="00D64EA8">
        <w:rPr>
          <w:rFonts w:eastAsia="Open Sans" w:cs="Open Sans"/>
        </w:rPr>
        <w:t>s</w:t>
      </w:r>
      <w:r w:rsidRPr="00C11F93">
        <w:rPr>
          <w:rFonts w:eastAsia="Open Sans" w:cs="Open Sans"/>
        </w:rPr>
        <w:t xml:space="preserve"> a significant barrier to education</w:t>
      </w:r>
      <w:r w:rsidR="00BF1D50">
        <w:rPr>
          <w:rFonts w:eastAsia="Open Sans" w:cs="Open Sans"/>
        </w:rPr>
        <w:t xml:space="preserve"> for many people</w:t>
      </w:r>
      <w:r w:rsidRPr="00C11F93">
        <w:rPr>
          <w:rFonts w:eastAsia="Open Sans" w:cs="Open Sans"/>
        </w:rPr>
        <w:t xml:space="preserve">. In many </w:t>
      </w:r>
      <w:r w:rsidR="00C13347">
        <w:rPr>
          <w:rFonts w:eastAsia="Open Sans" w:cs="Open Sans"/>
        </w:rPr>
        <w:t xml:space="preserve">very </w:t>
      </w:r>
      <w:r w:rsidRPr="00C11F93">
        <w:rPr>
          <w:rFonts w:eastAsia="Open Sans" w:cs="Open Sans"/>
        </w:rPr>
        <w:t>remote areas</w:t>
      </w:r>
      <w:r w:rsidR="00BF1D50">
        <w:rPr>
          <w:rFonts w:eastAsia="Open Sans" w:cs="Open Sans"/>
        </w:rPr>
        <w:t>,</w:t>
      </w:r>
      <w:r w:rsidRPr="00C11F93" w:rsidDel="00BF1D50">
        <w:rPr>
          <w:rFonts w:eastAsia="Open Sans" w:cs="Open Sans"/>
        </w:rPr>
        <w:t xml:space="preserve"> </w:t>
      </w:r>
      <w:r w:rsidRPr="00C11F93">
        <w:rPr>
          <w:rFonts w:eastAsia="Open Sans" w:cs="Open Sans"/>
        </w:rPr>
        <w:t>including</w:t>
      </w:r>
      <w:r w:rsidR="00BF1D50">
        <w:rPr>
          <w:rFonts w:eastAsia="Open Sans" w:cs="Open Sans"/>
        </w:rPr>
        <w:t xml:space="preserve"> </w:t>
      </w:r>
      <w:r w:rsidRPr="00C11F93">
        <w:rPr>
          <w:rFonts w:eastAsia="Open Sans" w:cs="Open Sans"/>
        </w:rPr>
        <w:t>the Torres Strait Islands, senior years of secondary schooling</w:t>
      </w:r>
      <w:r w:rsidR="002B04E8">
        <w:rPr>
          <w:rFonts w:eastAsia="Open Sans" w:cs="Open Sans"/>
        </w:rPr>
        <w:t>,</w:t>
      </w:r>
      <w:r w:rsidRPr="00C11F93">
        <w:rPr>
          <w:rFonts w:eastAsia="Open Sans" w:cs="Open Sans"/>
        </w:rPr>
        <w:t xml:space="preserve"> in particular</w:t>
      </w:r>
      <w:r w:rsidR="002B04E8">
        <w:rPr>
          <w:rFonts w:eastAsia="Open Sans" w:cs="Open Sans"/>
        </w:rPr>
        <w:t>,</w:t>
      </w:r>
      <w:r w:rsidRPr="00C11F93">
        <w:rPr>
          <w:rFonts w:eastAsia="Open Sans" w:cs="Open Sans"/>
        </w:rPr>
        <w:t xml:space="preserve"> </w:t>
      </w:r>
      <w:r w:rsidR="00C13347">
        <w:rPr>
          <w:rFonts w:eastAsia="Open Sans" w:cs="Open Sans"/>
        </w:rPr>
        <w:lastRenderedPageBreak/>
        <w:t>are</w:t>
      </w:r>
      <w:r w:rsidRPr="00C11F93">
        <w:rPr>
          <w:rFonts w:eastAsia="Open Sans" w:cs="Open Sans"/>
        </w:rPr>
        <w:t xml:space="preserve"> simply unavailable. There are also many communities where there exists a perception of sub-standard education quality. These concerns remain applicable today and were raised consistently in all remote areas visited during the Project.</w:t>
      </w:r>
    </w:p>
    <w:p w14:paraId="0E816C89" w14:textId="262A0E82" w:rsidR="268B132A" w:rsidRPr="00C11F93" w:rsidRDefault="7F4DAE59" w:rsidP="268B132A">
      <w:pPr>
        <w:spacing w:line="257" w:lineRule="auto"/>
        <w:rPr>
          <w:rFonts w:eastAsia="Open Sans" w:cs="Open Sans"/>
        </w:rPr>
      </w:pPr>
      <w:r w:rsidRPr="7F4DAE59">
        <w:rPr>
          <w:rFonts w:eastAsia="Open Sans" w:cs="Open Sans"/>
        </w:rPr>
        <w:t>Concerns around access to</w:t>
      </w:r>
      <w:r w:rsidR="002B04E8">
        <w:rPr>
          <w:rFonts w:eastAsia="Open Sans" w:cs="Open Sans"/>
        </w:rPr>
        <w:t>,</w:t>
      </w:r>
      <w:r w:rsidRPr="7F4DAE59">
        <w:rPr>
          <w:rFonts w:eastAsia="Open Sans" w:cs="Open Sans"/>
        </w:rPr>
        <w:t xml:space="preserve"> and quality of</w:t>
      </w:r>
      <w:r w:rsidR="002B04E8">
        <w:rPr>
          <w:rFonts w:eastAsia="Open Sans" w:cs="Open Sans"/>
        </w:rPr>
        <w:t>,</w:t>
      </w:r>
      <w:r w:rsidRPr="7F4DAE59">
        <w:rPr>
          <w:rFonts w:eastAsia="Open Sans" w:cs="Open Sans"/>
        </w:rPr>
        <w:t xml:space="preserve"> secondary schooling are the primary </w:t>
      </w:r>
      <w:r w:rsidR="00C9499E">
        <w:rPr>
          <w:rFonts w:eastAsia="Open Sans" w:cs="Open Sans"/>
        </w:rPr>
        <w:t xml:space="preserve">reason why </w:t>
      </w:r>
      <w:r w:rsidRPr="7F4DAE59">
        <w:rPr>
          <w:rFonts w:eastAsia="Open Sans" w:cs="Open Sans"/>
        </w:rPr>
        <w:t xml:space="preserve">Aboriginal and Torres Strait Islander students </w:t>
      </w:r>
      <w:r w:rsidR="00C9499E">
        <w:rPr>
          <w:rFonts w:eastAsia="Open Sans" w:cs="Open Sans"/>
        </w:rPr>
        <w:t xml:space="preserve">go to  </w:t>
      </w:r>
      <w:r w:rsidRPr="7F4DAE59">
        <w:rPr>
          <w:rFonts w:eastAsia="Open Sans" w:cs="Open Sans"/>
        </w:rPr>
        <w:t>boarding schools.</w:t>
      </w:r>
      <w:r w:rsidR="004222CD">
        <w:rPr>
          <w:rStyle w:val="EndnoteReference"/>
        </w:rPr>
        <w:endnoteReference w:id="100"/>
      </w:r>
      <w:r w:rsidRPr="00C11F93">
        <w:rPr>
          <w:rFonts w:eastAsia="Open Sans" w:cs="Open Sans"/>
        </w:rPr>
        <w:t xml:space="preserve"> Consistent with past inquiries and reports, there exists serious unease among Aboriginal and Torres Strait Islander communities about the disruption to the cultural education of young people sent off</w:t>
      </w:r>
      <w:r w:rsidR="00C05070">
        <w:rPr>
          <w:rFonts w:eastAsia="Open Sans" w:cs="Open Sans"/>
        </w:rPr>
        <w:t>-</w:t>
      </w:r>
      <w:r w:rsidR="001B2688">
        <w:rPr>
          <w:rFonts w:eastAsia="Open Sans" w:cs="Open Sans"/>
        </w:rPr>
        <w:t>c</w:t>
      </w:r>
      <w:r w:rsidRPr="00C11F93">
        <w:rPr>
          <w:rFonts w:eastAsia="Open Sans" w:cs="Open Sans"/>
        </w:rPr>
        <w:t xml:space="preserve">ountry to seek educational opportunities. Removing children from their communities also poses additional threats to the succession of traditional knowledge, traditional law, language and culture. Aboriginal and Torres Strait Islander families in remote communities feel that they are unfairly disadvantaged by having no </w:t>
      </w:r>
      <w:r w:rsidR="000F78C8" w:rsidRPr="00C11F93">
        <w:rPr>
          <w:rFonts w:eastAsia="Open Sans" w:cs="Open Sans"/>
        </w:rPr>
        <w:t>alternative</w:t>
      </w:r>
      <w:r w:rsidRPr="00C11F93">
        <w:rPr>
          <w:rFonts w:eastAsia="Open Sans" w:cs="Open Sans"/>
        </w:rPr>
        <w:t xml:space="preserve"> but to send their children away to </w:t>
      </w:r>
      <w:r w:rsidR="002B04E8">
        <w:rPr>
          <w:rFonts w:eastAsia="Open Sans" w:cs="Open Sans"/>
        </w:rPr>
        <w:t>complete their</w:t>
      </w:r>
      <w:r w:rsidRPr="00C11F93">
        <w:rPr>
          <w:rFonts w:eastAsia="Open Sans" w:cs="Open Sans"/>
        </w:rPr>
        <w:t xml:space="preserve"> education. </w:t>
      </w:r>
    </w:p>
    <w:p w14:paraId="2E034B78" w14:textId="536D2278" w:rsidR="268B132A" w:rsidRDefault="7F4DAE59" w:rsidP="268B132A">
      <w:pPr>
        <w:spacing w:line="257" w:lineRule="auto"/>
      </w:pPr>
      <w:r w:rsidRPr="7F4DAE59">
        <w:rPr>
          <w:rFonts w:eastAsia="Open Sans" w:cs="Open Sans"/>
        </w:rPr>
        <w:t>Additional barriers face students and families when they do relocate for educational opportunities. Lack of</w:t>
      </w:r>
      <w:r w:rsidR="006907BD">
        <w:rPr>
          <w:rFonts w:eastAsia="Open Sans" w:cs="Open Sans"/>
        </w:rPr>
        <w:t xml:space="preserve"> </w:t>
      </w:r>
      <w:r w:rsidRPr="7F4DAE59">
        <w:rPr>
          <w:rFonts w:eastAsia="Open Sans" w:cs="Open Sans"/>
        </w:rPr>
        <w:t>peers</w:t>
      </w:r>
      <w:r w:rsidR="006907BD">
        <w:rPr>
          <w:rFonts w:eastAsia="Open Sans" w:cs="Open Sans"/>
        </w:rPr>
        <w:t xml:space="preserve"> they can relate to</w:t>
      </w:r>
      <w:r w:rsidRPr="7F4DAE59">
        <w:rPr>
          <w:rFonts w:eastAsia="Open Sans" w:cs="Open Sans"/>
        </w:rPr>
        <w:t>, associated financial demands of both living off</w:t>
      </w:r>
      <w:r w:rsidR="00FD40CF">
        <w:rPr>
          <w:rFonts w:eastAsia="Open Sans" w:cs="Open Sans"/>
        </w:rPr>
        <w:t>-</w:t>
      </w:r>
      <w:r w:rsidR="00C13347">
        <w:rPr>
          <w:rFonts w:eastAsia="Open Sans" w:cs="Open Sans"/>
        </w:rPr>
        <w:t>c</w:t>
      </w:r>
      <w:r w:rsidRPr="7F4DAE59">
        <w:rPr>
          <w:rFonts w:eastAsia="Open Sans" w:cs="Open Sans"/>
        </w:rPr>
        <w:t xml:space="preserve">ountry and returning to </w:t>
      </w:r>
      <w:r w:rsidR="00C13347">
        <w:rPr>
          <w:rFonts w:eastAsia="Open Sans" w:cs="Open Sans"/>
        </w:rPr>
        <w:t>c</w:t>
      </w:r>
      <w:r w:rsidR="00BC2440" w:rsidRPr="7F4DAE59">
        <w:rPr>
          <w:rFonts w:eastAsia="Open Sans" w:cs="Open Sans"/>
        </w:rPr>
        <w:t>ountry</w:t>
      </w:r>
      <w:r w:rsidR="006907BD">
        <w:rPr>
          <w:rFonts w:eastAsia="Open Sans" w:cs="Open Sans"/>
        </w:rPr>
        <w:t>,</w:t>
      </w:r>
      <w:r w:rsidRPr="7F4DAE59">
        <w:rPr>
          <w:rFonts w:eastAsia="Open Sans" w:cs="Open Sans"/>
        </w:rPr>
        <w:t xml:space="preserve"> and limited availability of accommodation that is adequate and affordable</w:t>
      </w:r>
      <w:r w:rsidR="00AB28A6">
        <w:rPr>
          <w:rStyle w:val="EndnoteReference"/>
          <w:rFonts w:eastAsia="Open Sans" w:cs="Open Sans"/>
        </w:rPr>
        <w:endnoteReference w:id="101"/>
      </w:r>
      <w:r w:rsidRPr="7F4DAE59">
        <w:rPr>
          <w:rFonts w:eastAsia="Open Sans" w:cs="Open Sans"/>
        </w:rPr>
        <w:t xml:space="preserve"> remain the most significant barriers for Aboriginal and Torres Strait Islander students </w:t>
      </w:r>
      <w:r w:rsidR="002B04E8">
        <w:rPr>
          <w:rFonts w:eastAsia="Open Sans" w:cs="Open Sans"/>
        </w:rPr>
        <w:t xml:space="preserve">and their families </w:t>
      </w:r>
      <w:r w:rsidRPr="7F4DAE59">
        <w:rPr>
          <w:rFonts w:eastAsia="Open Sans" w:cs="Open Sans"/>
        </w:rPr>
        <w:t>from remote areas. Improved access to scholarships and financial aid is necessary to</w:t>
      </w:r>
      <w:r w:rsidR="00C50683" w:rsidRPr="7F4DAE59">
        <w:rPr>
          <w:rFonts w:eastAsia="Open Sans" w:cs="Open Sans"/>
        </w:rPr>
        <w:t xml:space="preserve"> ensure equitable access and participation in educational opportunities</w:t>
      </w:r>
      <w:r w:rsidR="00C50683">
        <w:rPr>
          <w:rFonts w:eastAsia="Open Sans" w:cs="Open Sans"/>
        </w:rPr>
        <w:t>.</w:t>
      </w:r>
    </w:p>
    <w:p w14:paraId="0B9C933F" w14:textId="5F664929" w:rsidR="268B132A" w:rsidRDefault="7F4DAE59" w:rsidP="268B132A">
      <w:pPr>
        <w:spacing w:line="257" w:lineRule="auto"/>
        <w:rPr>
          <w:rFonts w:eastAsia="Open Sans" w:cs="Open Sans"/>
        </w:rPr>
      </w:pPr>
      <w:r w:rsidRPr="7F4DAE59">
        <w:rPr>
          <w:rFonts w:eastAsia="Open Sans" w:cs="Open Sans"/>
        </w:rPr>
        <w:t>Further, many high school students highlighted the ongoing conflict of having to choose between staying on</w:t>
      </w:r>
      <w:r w:rsidR="009516CC">
        <w:rPr>
          <w:rFonts w:eastAsia="Open Sans" w:cs="Open Sans"/>
        </w:rPr>
        <w:t>-</w:t>
      </w:r>
      <w:r w:rsidR="00C13347">
        <w:rPr>
          <w:rFonts w:eastAsia="Open Sans" w:cs="Open Sans"/>
        </w:rPr>
        <w:t>c</w:t>
      </w:r>
      <w:r w:rsidRPr="7F4DAE59">
        <w:rPr>
          <w:rFonts w:eastAsia="Open Sans" w:cs="Open Sans"/>
        </w:rPr>
        <w:t xml:space="preserve">ountry and relocating to pursue tertiary education beyond school. In many cases, Aboriginal and Torres Strait Islander people from remote areas did not consider moving away from their communities an option. Locally accessible education for Aboriginal and Torres Strait Islander students of all levels is the </w:t>
      </w:r>
      <w:r w:rsidR="00DE1B01">
        <w:rPr>
          <w:rFonts w:eastAsia="Open Sans" w:cs="Open Sans"/>
        </w:rPr>
        <w:t>clear</w:t>
      </w:r>
      <w:r w:rsidRPr="7F4DAE59">
        <w:rPr>
          <w:rFonts w:eastAsia="Open Sans" w:cs="Open Sans"/>
        </w:rPr>
        <w:t xml:space="preserve"> preference among Aboriginal and Torres Strait Islander remote communities. </w:t>
      </w: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146194" w14:paraId="36FFE3EF" w14:textId="77777777" w:rsidTr="002A5790">
        <w:tc>
          <w:tcPr>
            <w:tcW w:w="9065" w:type="dxa"/>
            <w:shd w:val="clear" w:color="auto" w:fill="EDEDED" w:themeFill="accent3" w:themeFillTint="33"/>
          </w:tcPr>
          <w:p w14:paraId="5B60B7E7" w14:textId="0BD65D8F" w:rsidR="00146194" w:rsidRPr="00834C4D" w:rsidRDefault="00146194" w:rsidP="002A5790">
            <w:pPr>
              <w:rPr>
                <w:b/>
                <w:bCs/>
              </w:rPr>
            </w:pPr>
            <w:r w:rsidRPr="00834C4D">
              <w:rPr>
                <w:b/>
                <w:bCs/>
              </w:rPr>
              <w:t>Recommendation</w:t>
            </w:r>
            <w:r>
              <w:rPr>
                <w:b/>
                <w:bCs/>
              </w:rPr>
              <w:t xml:space="preserve"> </w:t>
            </w:r>
            <w:r w:rsidR="00213778" w:rsidRPr="00980E01">
              <w:rPr>
                <w:b/>
                <w:bCs/>
              </w:rPr>
              <w:t>9</w:t>
            </w:r>
          </w:p>
          <w:p w14:paraId="287BF8AE" w14:textId="7211A107" w:rsidR="00146194" w:rsidRPr="00980E01" w:rsidRDefault="00D761E4" w:rsidP="00977A17">
            <w:bookmarkStart w:id="29" w:name="_Hlk31795431"/>
            <w:r w:rsidRPr="00977A17">
              <w:t>Australian Government</w:t>
            </w:r>
            <w:r w:rsidR="00213778">
              <w:t>s</w:t>
            </w:r>
            <w:r w:rsidR="00213778" w:rsidRPr="00977A17">
              <w:t xml:space="preserve"> </w:t>
            </w:r>
            <w:r w:rsidR="0025150B" w:rsidRPr="00977A17">
              <w:t>resource</w:t>
            </w:r>
            <w:r w:rsidR="001648BD" w:rsidRPr="00977A17">
              <w:t xml:space="preserve"> </w:t>
            </w:r>
            <w:r w:rsidRPr="00977A17">
              <w:t xml:space="preserve">quality </w:t>
            </w:r>
            <w:r w:rsidR="00CE39B7" w:rsidRPr="00977A17">
              <w:t xml:space="preserve">educational options </w:t>
            </w:r>
            <w:r w:rsidR="0025150B" w:rsidRPr="00977A17">
              <w:t xml:space="preserve">in remote areas </w:t>
            </w:r>
            <w:r w:rsidR="008D2991" w:rsidRPr="00977A17">
              <w:t xml:space="preserve">that </w:t>
            </w:r>
            <w:r w:rsidR="001C1744" w:rsidRPr="00977A17">
              <w:t xml:space="preserve">allow students to </w:t>
            </w:r>
            <w:r w:rsidR="00213778">
              <w:t>learn</w:t>
            </w:r>
            <w:r w:rsidR="001C1744" w:rsidRPr="00977A17">
              <w:t xml:space="preserve"> on</w:t>
            </w:r>
            <w:r w:rsidR="009516CC">
              <w:t>-</w:t>
            </w:r>
            <w:r w:rsidR="001C1744" w:rsidRPr="00977A17">
              <w:t>country</w:t>
            </w:r>
            <w:r w:rsidR="007315BA" w:rsidRPr="00977A17">
              <w:t>.</w:t>
            </w:r>
            <w:bookmarkEnd w:id="29"/>
          </w:p>
        </w:tc>
      </w:tr>
    </w:tbl>
    <w:p w14:paraId="1603F8B8" w14:textId="320B15BB" w:rsidR="268B132A" w:rsidRDefault="7F4DAE59" w:rsidP="001016FA">
      <w:pPr>
        <w:pStyle w:val="Heading3"/>
      </w:pPr>
      <w:bookmarkStart w:id="30" w:name="_Toc32497894"/>
      <w:r w:rsidRPr="7F4DAE59">
        <w:lastRenderedPageBreak/>
        <w:t>Environmental distress</w:t>
      </w:r>
      <w:bookmarkEnd w:id="30"/>
    </w:p>
    <w:p w14:paraId="2003EBFE" w14:textId="3AAB76D8" w:rsidR="268B132A" w:rsidRDefault="00DB68E7" w:rsidP="268B132A">
      <w:pPr>
        <w:spacing w:line="257" w:lineRule="auto"/>
      </w:pPr>
      <w:r w:rsidRPr="7F4DAE59">
        <w:rPr>
          <w:rFonts w:eastAsia="Open Sans" w:cs="Open Sans"/>
        </w:rPr>
        <w:t>At the time of the consultations, drinking water was unavailable in rural NSW and the Torres Strait Islands</w:t>
      </w:r>
      <w:r>
        <w:rPr>
          <w:rFonts w:eastAsia="Open Sans" w:cs="Open Sans"/>
        </w:rPr>
        <w:t xml:space="preserve"> due to environmental conditions</w:t>
      </w:r>
      <w:r w:rsidRPr="7F4DAE59">
        <w:rPr>
          <w:rFonts w:eastAsia="Open Sans" w:cs="Open Sans"/>
        </w:rPr>
        <w:t xml:space="preserve">. </w:t>
      </w:r>
      <w:r w:rsidR="7F4DAE59" w:rsidRPr="7F4DAE59">
        <w:rPr>
          <w:rFonts w:eastAsia="Open Sans" w:cs="Open Sans"/>
        </w:rPr>
        <w:t xml:space="preserve">Aboriginal and Torres Strait Islander girls in remote and regional communities described their deep concern </w:t>
      </w:r>
      <w:r w:rsidR="004216A3">
        <w:rPr>
          <w:rFonts w:eastAsia="Open Sans" w:cs="Open Sans"/>
        </w:rPr>
        <w:t>about the</w:t>
      </w:r>
      <w:r w:rsidR="7F4DAE59" w:rsidRPr="7F4DAE59">
        <w:rPr>
          <w:rFonts w:eastAsia="Open Sans" w:cs="Open Sans"/>
        </w:rPr>
        <w:t xml:space="preserve"> lack of available drinking water and the associated financial burden and health risks. </w:t>
      </w:r>
    </w:p>
    <w:p w14:paraId="33DD4FD9" w14:textId="5EFB193A" w:rsidR="268B132A" w:rsidRDefault="7F4DAE59" w:rsidP="268B132A">
      <w:pPr>
        <w:spacing w:line="257" w:lineRule="auto"/>
      </w:pPr>
      <w:r w:rsidRPr="7F4DAE59">
        <w:rPr>
          <w:rFonts w:eastAsia="Open Sans" w:cs="Open Sans"/>
        </w:rPr>
        <w:t xml:space="preserve">Further concerns for </w:t>
      </w:r>
      <w:r w:rsidR="00F162B5">
        <w:rPr>
          <w:rFonts w:eastAsia="Open Sans" w:cs="Open Sans"/>
        </w:rPr>
        <w:t>c</w:t>
      </w:r>
      <w:r w:rsidRPr="7F4DAE59">
        <w:rPr>
          <w:rFonts w:eastAsia="Open Sans" w:cs="Open Sans"/>
        </w:rPr>
        <w:t xml:space="preserve">ountry included the worsening health of the Murray Darling river system, continuing drought </w:t>
      </w:r>
      <w:r w:rsidR="004216A3">
        <w:rPr>
          <w:rFonts w:eastAsia="Open Sans" w:cs="Open Sans"/>
        </w:rPr>
        <w:t xml:space="preserve">across Australia </w:t>
      </w:r>
      <w:r w:rsidRPr="7F4DAE59">
        <w:rPr>
          <w:rFonts w:eastAsia="Open Sans" w:cs="Open Sans"/>
        </w:rPr>
        <w:t xml:space="preserve">and rising sea levels in the Torres Strait Islands. With deep connections and responsibility for </w:t>
      </w:r>
      <w:r w:rsidR="00DB68E7">
        <w:rPr>
          <w:rFonts w:eastAsia="Open Sans" w:cs="Open Sans"/>
        </w:rPr>
        <w:t>c</w:t>
      </w:r>
      <w:r w:rsidRPr="7F4DAE59">
        <w:rPr>
          <w:rFonts w:eastAsia="Open Sans" w:cs="Open Sans"/>
        </w:rPr>
        <w:t>ountry, these environmental factors cause deep distress for Aboriginal and Torres Strait Islander students living in remote (and regional) areas</w:t>
      </w:r>
      <w:r w:rsidR="00193A2F">
        <w:rPr>
          <w:rFonts w:eastAsia="Open Sans" w:cs="Open Sans"/>
        </w:rPr>
        <w:t xml:space="preserve">, impacting on </w:t>
      </w:r>
      <w:r w:rsidR="000F6D6D">
        <w:rPr>
          <w:rFonts w:eastAsia="Open Sans" w:cs="Open Sans"/>
        </w:rPr>
        <w:t>concentration</w:t>
      </w:r>
      <w:r w:rsidR="00193A2F">
        <w:rPr>
          <w:rFonts w:eastAsia="Open Sans" w:cs="Open Sans"/>
        </w:rPr>
        <w:t xml:space="preserve"> and engagement </w:t>
      </w:r>
      <w:r w:rsidR="00DD3815">
        <w:rPr>
          <w:rFonts w:eastAsia="Open Sans" w:cs="Open Sans"/>
        </w:rPr>
        <w:t>at school</w:t>
      </w:r>
      <w:r w:rsidR="00B7184A">
        <w:rPr>
          <w:rFonts w:eastAsia="Open Sans" w:cs="Open Sans"/>
        </w:rPr>
        <w:t>.</w:t>
      </w:r>
    </w:p>
    <w:p w14:paraId="58D9CD65" w14:textId="354A72EE" w:rsidR="268B132A" w:rsidRDefault="7F4DAE59" w:rsidP="001016FA">
      <w:pPr>
        <w:pStyle w:val="Heading3"/>
      </w:pPr>
      <w:bookmarkStart w:id="31" w:name="_Toc32497895"/>
      <w:r w:rsidRPr="7F4DAE59">
        <w:t>Social, cultural and economic determinants</w:t>
      </w:r>
      <w:bookmarkEnd w:id="31"/>
    </w:p>
    <w:p w14:paraId="2B8A0D51" w14:textId="7839A1F6" w:rsidR="00AC1D1C" w:rsidRDefault="7F4DAE59" w:rsidP="00044AFD">
      <w:pPr>
        <w:spacing w:line="257" w:lineRule="auto"/>
        <w:rPr>
          <w:rFonts w:eastAsia="Open Sans" w:cs="Open Sans"/>
        </w:rPr>
      </w:pPr>
      <w:r w:rsidRPr="7F4DAE59">
        <w:rPr>
          <w:rFonts w:eastAsia="Open Sans" w:cs="Open Sans"/>
        </w:rPr>
        <w:t xml:space="preserve">Aboriginal and Torres Strait Islander students are more likely to be affected by a range of social, cultural and economic factors that can adversely impact on their ability to engage with their education. Engagement, attainment and attendance at school can be severely impacted by the poverty and extreme disadvantage that disproportionately affects Aboriginal and Torres Strait Islander families. Access to food, clean clothing, sanitary items and school supplies can create difficulty for students to engage with schooling. Overcrowded and potentially unsafe housing can significantly impact </w:t>
      </w:r>
      <w:r w:rsidR="00E65129">
        <w:rPr>
          <w:rFonts w:eastAsia="Open Sans" w:cs="Open Sans"/>
        </w:rPr>
        <w:t xml:space="preserve">on a </w:t>
      </w:r>
      <w:r w:rsidRPr="7F4DAE59">
        <w:rPr>
          <w:rFonts w:eastAsia="Open Sans" w:cs="Open Sans"/>
        </w:rPr>
        <w:t>student’s ability to complete homework, study and rest</w:t>
      </w:r>
      <w:r w:rsidR="00DE1B01">
        <w:rPr>
          <w:rFonts w:eastAsia="Open Sans" w:cs="Open Sans"/>
        </w:rPr>
        <w:t xml:space="preserve"> sufficiently</w:t>
      </w:r>
      <w:r w:rsidRPr="7F4DAE59">
        <w:rPr>
          <w:rFonts w:eastAsia="Open Sans" w:cs="Open Sans"/>
        </w:rPr>
        <w:t xml:space="preserve">. </w:t>
      </w:r>
    </w:p>
    <w:p w14:paraId="57E36967" w14:textId="57E07F33" w:rsidR="00044AFD" w:rsidRDefault="00044AFD" w:rsidP="00044AFD">
      <w:pPr>
        <w:spacing w:line="257" w:lineRule="auto"/>
      </w:pPr>
      <w:r w:rsidRPr="7F4DAE59">
        <w:rPr>
          <w:rFonts w:eastAsia="Open Sans" w:cs="Open Sans"/>
        </w:rPr>
        <w:t>Aboriginal and Torres Strait Islander students experience trauma at a much higher rate than non-Indigenous students. A myriad of complex factors contribute to this trauma including systemic intergenerational discrimination and increased exposure to traumatic incidents within families and communities such as bereavement, suicide, health concerns, incarceration, forced removal of children, poverty, unemployment, substance abuse and violence.</w:t>
      </w:r>
      <w:r>
        <w:rPr>
          <w:rStyle w:val="EndnoteReference"/>
          <w:rFonts w:eastAsia="Open Sans" w:cs="Open Sans"/>
        </w:rPr>
        <w:endnoteReference w:id="102"/>
      </w:r>
      <w:r w:rsidRPr="00C11F93">
        <w:rPr>
          <w:rFonts w:eastAsia="Open Sans" w:cs="Open Sans"/>
        </w:rPr>
        <w:t xml:space="preserve"> These increased traumas not only cause distress and enhance difficulties for children to engage with their education, it also creates challenges for staff </w:t>
      </w:r>
      <w:r w:rsidR="00DE1B01">
        <w:rPr>
          <w:rFonts w:eastAsia="Open Sans" w:cs="Open Sans"/>
        </w:rPr>
        <w:t>who may</w:t>
      </w:r>
      <w:r w:rsidRPr="00C11F93">
        <w:rPr>
          <w:rFonts w:eastAsia="Open Sans" w:cs="Open Sans"/>
        </w:rPr>
        <w:t xml:space="preserve"> not </w:t>
      </w:r>
      <w:r w:rsidR="00BC4DF4">
        <w:rPr>
          <w:rFonts w:eastAsia="Open Sans" w:cs="Open Sans"/>
        </w:rPr>
        <w:t xml:space="preserve">be </w:t>
      </w:r>
      <w:r w:rsidRPr="00C11F93">
        <w:rPr>
          <w:rFonts w:eastAsia="Open Sans" w:cs="Open Sans"/>
        </w:rPr>
        <w:t>equipped with skills to work in a trauma-informed manner to adequately respond to the needs of students, potentially causing further traumatisation.</w:t>
      </w:r>
      <w:r>
        <w:rPr>
          <w:rStyle w:val="EndnoteReference"/>
          <w:rFonts w:eastAsia="Open Sans" w:cs="Open Sans"/>
        </w:rPr>
        <w:endnoteReference w:id="103"/>
      </w:r>
    </w:p>
    <w:p w14:paraId="6F6DE337" w14:textId="77777777" w:rsidR="000C29C0" w:rsidRDefault="7F4DAE59" w:rsidP="268B132A">
      <w:pPr>
        <w:spacing w:line="257" w:lineRule="auto"/>
        <w:rPr>
          <w:rFonts w:eastAsia="Open Sans" w:cs="Open Sans"/>
        </w:rPr>
      </w:pPr>
      <w:r w:rsidRPr="7F4DAE59">
        <w:rPr>
          <w:rFonts w:eastAsia="Open Sans" w:cs="Open Sans"/>
        </w:rPr>
        <w:t>Whole</w:t>
      </w:r>
      <w:r w:rsidR="00DE1B01">
        <w:rPr>
          <w:rFonts w:eastAsia="Open Sans" w:cs="Open Sans"/>
        </w:rPr>
        <w:t>-</w:t>
      </w:r>
      <w:r w:rsidRPr="7F4DAE59">
        <w:rPr>
          <w:rFonts w:eastAsia="Open Sans" w:cs="Open Sans"/>
        </w:rPr>
        <w:t>of</w:t>
      </w:r>
      <w:r w:rsidR="00DE1B01">
        <w:rPr>
          <w:rFonts w:eastAsia="Open Sans" w:cs="Open Sans"/>
        </w:rPr>
        <w:t>-</w:t>
      </w:r>
      <w:r w:rsidRPr="7F4DAE59">
        <w:rPr>
          <w:rFonts w:eastAsia="Open Sans" w:cs="Open Sans"/>
        </w:rPr>
        <w:t xml:space="preserve">family supports are required to address the range of factors that can create difficulties for Aboriginal and Torres Strait Islander students. During the Project, the </w:t>
      </w:r>
      <w:r w:rsidRPr="7F4DAE59">
        <w:rPr>
          <w:rFonts w:eastAsia="Open Sans" w:cs="Open Sans"/>
        </w:rPr>
        <w:lastRenderedPageBreak/>
        <w:t>need for support to meet students</w:t>
      </w:r>
      <w:r w:rsidR="00F128A8">
        <w:rPr>
          <w:rFonts w:eastAsia="Open Sans" w:cs="Open Sans"/>
        </w:rPr>
        <w:t>’</w:t>
      </w:r>
      <w:r w:rsidRPr="7F4DAE59">
        <w:rPr>
          <w:rFonts w:eastAsia="Open Sans" w:cs="Open Sans"/>
        </w:rPr>
        <w:t xml:space="preserve"> basic needs was raised more often in remote communities than other geographic locations. </w:t>
      </w:r>
      <w:r w:rsidRPr="000C29C0">
        <w:rPr>
          <w:rFonts w:eastAsia="Open Sans" w:cs="Open Sans"/>
        </w:rPr>
        <w:t>Providing supportive school environments that engage with the local community to ensure that students have access to food, transport and study support are critical.</w:t>
      </w:r>
      <w:r w:rsidR="00B326EC" w:rsidRPr="000C29C0">
        <w:rPr>
          <w:rFonts w:eastAsia="Open Sans" w:cs="Open Sans"/>
        </w:rPr>
        <w:t xml:space="preserve"> </w:t>
      </w:r>
      <w:r w:rsidR="009440E3" w:rsidRPr="000C29C0">
        <w:rPr>
          <w:rFonts w:eastAsia="Open Sans" w:cs="Open Sans"/>
        </w:rPr>
        <w:t xml:space="preserve">These factors need to be </w:t>
      </w:r>
      <w:r w:rsidR="00714AFA" w:rsidRPr="000C29C0">
        <w:rPr>
          <w:rFonts w:eastAsia="Open Sans" w:cs="Open Sans"/>
        </w:rPr>
        <w:t xml:space="preserve">addressed to </w:t>
      </w:r>
      <w:r w:rsidR="00AB6AA5" w:rsidRPr="000C29C0">
        <w:rPr>
          <w:rFonts w:eastAsia="Open Sans" w:cs="Open Sans"/>
        </w:rPr>
        <w:t xml:space="preserve">allow Aboriginal and Torres Strait Islander students </w:t>
      </w:r>
      <w:r w:rsidR="007C3FC9" w:rsidRPr="000C29C0">
        <w:rPr>
          <w:rFonts w:eastAsia="Open Sans" w:cs="Open Sans"/>
        </w:rPr>
        <w:t xml:space="preserve">to have an equal chance </w:t>
      </w:r>
      <w:r w:rsidR="005F1C16" w:rsidRPr="000C29C0">
        <w:rPr>
          <w:rFonts w:eastAsia="Open Sans" w:cs="Open Sans"/>
        </w:rPr>
        <w:t>of</w:t>
      </w:r>
      <w:r w:rsidR="00723821" w:rsidRPr="000C29C0">
        <w:rPr>
          <w:rFonts w:eastAsia="Open Sans" w:cs="Open Sans"/>
        </w:rPr>
        <w:t xml:space="preserve"> participat</w:t>
      </w:r>
      <w:r w:rsidR="005F1C16" w:rsidRPr="000C29C0">
        <w:rPr>
          <w:rFonts w:eastAsia="Open Sans" w:cs="Open Sans"/>
        </w:rPr>
        <w:t>ing</w:t>
      </w:r>
      <w:r w:rsidR="00723821" w:rsidRPr="000C29C0">
        <w:rPr>
          <w:rFonts w:eastAsia="Open Sans" w:cs="Open Sans"/>
        </w:rPr>
        <w:t xml:space="preserve"> and thriv</w:t>
      </w:r>
      <w:r w:rsidR="005F1C16" w:rsidRPr="000C29C0">
        <w:rPr>
          <w:rFonts w:eastAsia="Open Sans" w:cs="Open Sans"/>
        </w:rPr>
        <w:t>ing.</w:t>
      </w:r>
    </w:p>
    <w:p w14:paraId="35A04600" w14:textId="42847AF5" w:rsidR="268B132A" w:rsidRDefault="7F4DAE59" w:rsidP="268B132A">
      <w:pPr>
        <w:spacing w:line="257" w:lineRule="auto"/>
      </w:pPr>
      <w:r w:rsidRPr="7F4DAE59">
        <w:rPr>
          <w:rFonts w:eastAsia="Open Sans" w:cs="Open Sans"/>
        </w:rPr>
        <w:t>As explained in the Family Matters report</w:t>
      </w:r>
      <w:r w:rsidR="00DE1B01">
        <w:rPr>
          <w:rFonts w:eastAsia="Open Sans" w:cs="Open Sans"/>
        </w:rPr>
        <w:t xml:space="preserve"> 2019</w:t>
      </w:r>
      <w:r w:rsidRPr="7F4DAE59">
        <w:rPr>
          <w:rFonts w:eastAsia="Open Sans" w:cs="Open Sans"/>
        </w:rPr>
        <w:t>:</w:t>
      </w:r>
    </w:p>
    <w:p w14:paraId="3A424295" w14:textId="478CC666" w:rsidR="268B132A" w:rsidRPr="00D5024F" w:rsidRDefault="7F4DAE59" w:rsidP="00BF187A">
      <w:pPr>
        <w:spacing w:line="257" w:lineRule="auto"/>
        <w:ind w:left="720"/>
        <w:rPr>
          <w:rFonts w:ascii="Calibri" w:eastAsia="Calibri" w:hAnsi="Calibri" w:cs="Calibri"/>
          <w:color w:val="0563C1"/>
          <w:sz w:val="22"/>
          <w:szCs w:val="22"/>
          <w:u w:val="single"/>
          <w:vertAlign w:val="superscript"/>
        </w:rPr>
      </w:pPr>
      <w:r w:rsidRPr="00BF187A">
        <w:rPr>
          <w:rFonts w:eastAsia="Open Sans" w:cs="Open Sans"/>
          <w:sz w:val="22"/>
          <w:szCs w:val="22"/>
        </w:rPr>
        <w:t>Aboriginal and Torres Strait Islander child wellbeing includes safety, health, culture and connections, mental health and emotional wellbeing, home and environment, learning and skills, empowerment and economic wellbeing. These wellbeing domains are inter-related – for example, having access to material basics is essential to full participation in learning and education, which contributes to safety and security</w:t>
      </w:r>
      <w:r w:rsidR="005203A2">
        <w:rPr>
          <w:rFonts w:ascii="Calibri" w:eastAsia="Calibri" w:hAnsi="Calibri" w:cs="Calibri"/>
          <w:sz w:val="22"/>
          <w:szCs w:val="22"/>
        </w:rPr>
        <w:t>.</w:t>
      </w:r>
      <w:r w:rsidR="001016FA">
        <w:rPr>
          <w:rStyle w:val="EndnoteReference"/>
          <w:rFonts w:eastAsia="Calibri" w:cs="Calibri"/>
          <w:szCs w:val="22"/>
        </w:rPr>
        <w:endnoteReference w:id="104"/>
      </w:r>
      <w:r w:rsidRPr="7F4DAE59">
        <w:rPr>
          <w:rFonts w:ascii="Calibri" w:eastAsia="Calibri" w:hAnsi="Calibri" w:cs="Calibri"/>
          <w:color w:val="0563C1"/>
          <w:sz w:val="22"/>
          <w:szCs w:val="22"/>
          <w:u w:val="single"/>
          <w:vertAlign w:val="superscript"/>
        </w:rPr>
        <w:t xml:space="preserve"> </w:t>
      </w:r>
    </w:p>
    <w:p w14:paraId="43F66B0F" w14:textId="4D3758BD" w:rsidR="00D5024F" w:rsidRPr="00D5024F" w:rsidRDefault="00D5024F" w:rsidP="00D5024F">
      <w:pPr>
        <w:spacing w:line="257" w:lineRule="auto"/>
      </w:pPr>
      <w:r w:rsidRPr="00D5024F">
        <w:rPr>
          <w:rFonts w:eastAsia="Open Sans" w:cs="Open Sans"/>
        </w:rPr>
        <w:t>There are various programs functioning across the country that provide critical support to Aboriginal and Torres Strait Islander students. Aboriginal and Torres Strait Islander girls, carers and staff unanimously endorsed the benefits of targeted support programs that are designed for Aboriginal and Torres Strait Islander students. The programs provide cultural, academic and social support, provision of essential items and a sense of belonging, increasing students’ engagement and comfort levels. Programs that received positive endorsement during the consultations included Girls Academy</w:t>
      </w:r>
      <w:r w:rsidR="00AC1D1C">
        <w:rPr>
          <w:rFonts w:eastAsia="Open Sans" w:cs="Open Sans"/>
        </w:rPr>
        <w:t>,</w:t>
      </w:r>
      <w:r w:rsidR="00D25AF7">
        <w:rPr>
          <w:rStyle w:val="EndnoteReference"/>
          <w:rFonts w:eastAsia="Open Sans" w:cs="Open Sans"/>
        </w:rPr>
        <w:endnoteReference w:id="105"/>
      </w:r>
      <w:r w:rsidRPr="00D5024F">
        <w:rPr>
          <w:rFonts w:eastAsia="Open Sans" w:cs="Open Sans"/>
        </w:rPr>
        <w:t xml:space="preserve"> Stars Foundation</w:t>
      </w:r>
      <w:r w:rsidR="003F101B">
        <w:rPr>
          <w:rStyle w:val="EndnoteReference"/>
          <w:rFonts w:eastAsia="Open Sans" w:cs="Open Sans"/>
        </w:rPr>
        <w:endnoteReference w:id="106"/>
      </w:r>
      <w:r w:rsidRPr="00D5024F">
        <w:rPr>
          <w:rFonts w:eastAsia="Open Sans" w:cs="Open Sans"/>
        </w:rPr>
        <w:t xml:space="preserve"> and Follow the Dream</w:t>
      </w:r>
      <w:r w:rsidR="00AC1D1C">
        <w:rPr>
          <w:rFonts w:eastAsia="Open Sans" w:cs="Open Sans"/>
        </w:rPr>
        <w:t>.</w:t>
      </w:r>
      <w:r w:rsidR="00E0564D">
        <w:rPr>
          <w:rStyle w:val="EndnoteReference"/>
          <w:rFonts w:eastAsia="Open Sans" w:cs="Open Sans"/>
        </w:rPr>
        <w:endnoteReference w:id="107"/>
      </w:r>
    </w:p>
    <w:p w14:paraId="324E5D87" w14:textId="0ECC87BA" w:rsidR="009B5AA0" w:rsidRPr="00A24581" w:rsidRDefault="00D5024F" w:rsidP="268B132A">
      <w:pPr>
        <w:spacing w:line="257" w:lineRule="auto"/>
      </w:pPr>
      <w:r w:rsidRPr="00D5024F">
        <w:rPr>
          <w:rFonts w:eastAsia="Open Sans" w:cs="Open Sans"/>
        </w:rPr>
        <w:t xml:space="preserve">Resourcing constraints and inequitable funding between female and male programs was a consistent concern of both staff, students and parents. In some communities, </w:t>
      </w:r>
      <w:r w:rsidR="00520D06">
        <w:rPr>
          <w:rFonts w:eastAsia="Open Sans" w:cs="Open Sans"/>
        </w:rPr>
        <w:t>participants</w:t>
      </w:r>
      <w:r w:rsidRPr="00D5024F">
        <w:rPr>
          <w:rFonts w:eastAsia="Open Sans" w:cs="Open Sans"/>
        </w:rPr>
        <w:t xml:space="preserve"> reflected on past programs that were discontinued due to funding or resource challenges.</w:t>
      </w:r>
      <w:r w:rsidR="0005158E">
        <w:rPr>
          <w:rFonts w:eastAsia="Open Sans" w:cs="Open Sans"/>
        </w:rPr>
        <w:t xml:space="preserve"> These included on-country camps </w:t>
      </w:r>
      <w:r w:rsidR="004B06D3">
        <w:rPr>
          <w:rFonts w:eastAsia="Open Sans" w:cs="Open Sans"/>
        </w:rPr>
        <w:t>and engaging</w:t>
      </w:r>
      <w:r w:rsidR="0005158E">
        <w:rPr>
          <w:rFonts w:eastAsia="Open Sans" w:cs="Open Sans"/>
        </w:rPr>
        <w:t xml:space="preserve"> local Elders in schools.</w:t>
      </w: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B701F6" w14:paraId="1A26C101" w14:textId="77777777" w:rsidTr="0089455E">
        <w:tc>
          <w:tcPr>
            <w:tcW w:w="9065" w:type="dxa"/>
            <w:shd w:val="clear" w:color="auto" w:fill="EDEDED" w:themeFill="accent3" w:themeFillTint="33"/>
          </w:tcPr>
          <w:p w14:paraId="29434658" w14:textId="7F608525" w:rsidR="00B701F6" w:rsidRPr="00834C4D" w:rsidRDefault="00B701F6" w:rsidP="0089455E">
            <w:pPr>
              <w:rPr>
                <w:b/>
                <w:bCs/>
              </w:rPr>
            </w:pPr>
            <w:r w:rsidRPr="00834C4D">
              <w:rPr>
                <w:b/>
                <w:bCs/>
              </w:rPr>
              <w:t>Recommendation</w:t>
            </w:r>
            <w:r>
              <w:rPr>
                <w:b/>
                <w:bCs/>
              </w:rPr>
              <w:t xml:space="preserve"> </w:t>
            </w:r>
            <w:r w:rsidR="000F7DDF" w:rsidRPr="00977A17">
              <w:rPr>
                <w:b/>
                <w:bCs/>
              </w:rPr>
              <w:t>10</w:t>
            </w:r>
          </w:p>
          <w:p w14:paraId="14EE6F0B" w14:textId="4B60391C" w:rsidR="00B701F6" w:rsidRPr="007B41F0" w:rsidRDefault="005630FC" w:rsidP="00977A17">
            <w:pPr>
              <w:shd w:val="clear" w:color="auto" w:fill="F2F2F2" w:themeFill="background1" w:themeFillShade="F2"/>
              <w:rPr>
                <w:highlight w:val="yellow"/>
              </w:rPr>
            </w:pPr>
            <w:bookmarkStart w:id="32" w:name="_Hlk32414281"/>
            <w:r w:rsidRPr="000C29C0">
              <w:t>Australian Governments</w:t>
            </w:r>
            <w:r w:rsidR="00FC4133" w:rsidRPr="007B41F0">
              <w:t xml:space="preserve"> </w:t>
            </w:r>
            <w:r w:rsidR="00065A4B" w:rsidRPr="007B41F0">
              <w:t>prioritise</w:t>
            </w:r>
            <w:r w:rsidR="000C29C0" w:rsidRPr="007B41F0">
              <w:t xml:space="preserve"> and resource</w:t>
            </w:r>
            <w:r w:rsidR="00065A4B" w:rsidRPr="007B41F0">
              <w:t xml:space="preserve"> models of schooling that provide</w:t>
            </w:r>
            <w:r w:rsidR="00D33BE6" w:rsidRPr="007B41F0">
              <w:t xml:space="preserve"> wrap around supports for students and families</w:t>
            </w:r>
            <w:r w:rsidR="00B44885" w:rsidRPr="007B41F0">
              <w:t xml:space="preserve"> </w:t>
            </w:r>
            <w:r w:rsidR="00EC11D1" w:rsidRPr="007B41F0">
              <w:t>in order to promote students’ overall wellbeing.</w:t>
            </w:r>
            <w:r w:rsidR="00D33BE6" w:rsidRPr="007B41F0">
              <w:t xml:space="preserve"> </w:t>
            </w:r>
            <w:bookmarkEnd w:id="32"/>
          </w:p>
        </w:tc>
      </w:tr>
    </w:tbl>
    <w:p w14:paraId="18178829" w14:textId="1768CFD0" w:rsidR="268B132A" w:rsidRDefault="007E10F9" w:rsidP="00EC293E">
      <w:pPr>
        <w:pStyle w:val="Heading2"/>
      </w:pPr>
      <w:bookmarkStart w:id="33" w:name="_Toc32497896"/>
      <w:r>
        <w:t>Innovative approaches</w:t>
      </w:r>
      <w:bookmarkEnd w:id="33"/>
      <w:r w:rsidR="00B0100D">
        <w:t xml:space="preserve"> </w:t>
      </w:r>
    </w:p>
    <w:p w14:paraId="7EE64D18" w14:textId="7B8671DF" w:rsidR="268B132A" w:rsidRPr="00C11F93" w:rsidRDefault="00014D62" w:rsidP="268B132A">
      <w:pPr>
        <w:spacing w:line="257" w:lineRule="auto"/>
        <w:rPr>
          <w:rFonts w:eastAsia="Open Sans" w:cs="Open Sans"/>
        </w:rPr>
      </w:pPr>
      <w:r>
        <w:rPr>
          <w:rFonts w:eastAsia="Open Sans" w:cs="Open Sans"/>
        </w:rPr>
        <w:t>Strong</w:t>
      </w:r>
      <w:r w:rsidR="7F4DAE59" w:rsidRPr="7F4DAE59">
        <w:rPr>
          <w:rFonts w:eastAsia="Open Sans" w:cs="Open Sans"/>
        </w:rPr>
        <w:t xml:space="preserve"> leadership and innovative thinking is required to develop, test and establish creative intercultural models of learning. For Aboriginal and Torres Strait Islander </w:t>
      </w:r>
      <w:r w:rsidR="7F4DAE59" w:rsidRPr="7F4DAE59">
        <w:rPr>
          <w:rFonts w:eastAsia="Open Sans" w:cs="Open Sans"/>
        </w:rPr>
        <w:lastRenderedPageBreak/>
        <w:t>students, innovative models are needed that blend traditional and western worldviews, grounding teaching practices in Aboriginal and Torres Strait Islander culture and learning methods. Learning methods need to be trauma</w:t>
      </w:r>
      <w:r>
        <w:rPr>
          <w:rFonts w:eastAsia="Open Sans" w:cs="Open Sans"/>
        </w:rPr>
        <w:t>-</w:t>
      </w:r>
      <w:r w:rsidR="7F4DAE59" w:rsidRPr="7F4DAE59">
        <w:rPr>
          <w:rFonts w:eastAsia="Open Sans" w:cs="Open Sans"/>
        </w:rPr>
        <w:t>informed, healing and restorative, aimed at revitalising Aboriginal and Torres Strait Islander society to full health and wellbeing. To create school environments that are culturally responsive and effectively nurture Aboriginal and Torres Strait Islander students’ languages, cultures and identities, the local community, including families</w:t>
      </w:r>
      <w:r>
        <w:rPr>
          <w:rFonts w:eastAsia="Open Sans" w:cs="Open Sans"/>
        </w:rPr>
        <w:t>,</w:t>
      </w:r>
      <w:r w:rsidR="7F4DAE59" w:rsidRPr="7F4DAE59">
        <w:rPr>
          <w:rFonts w:eastAsia="Open Sans" w:cs="Open Sans"/>
        </w:rPr>
        <w:t xml:space="preserve"> need to be actively involved</w:t>
      </w:r>
      <w:r w:rsidR="00A62037">
        <w:rPr>
          <w:rStyle w:val="EndnoteReference"/>
          <w:rFonts w:eastAsia="Open Sans" w:cs="Open Sans"/>
        </w:rPr>
        <w:endnoteReference w:id="108"/>
      </w:r>
      <w:r w:rsidR="7F4DAE59" w:rsidRPr="00C11F93">
        <w:rPr>
          <w:rFonts w:eastAsia="Open Sans" w:cs="Open Sans"/>
        </w:rPr>
        <w:t xml:space="preserve"> and thoroughly immersed in the education systems to provide the necessary guidance and influence.</w:t>
      </w:r>
    </w:p>
    <w:p w14:paraId="52BD6400" w14:textId="0C03530A" w:rsidR="268B132A" w:rsidRDefault="7F4DAE59" w:rsidP="268B132A">
      <w:pPr>
        <w:spacing w:line="257" w:lineRule="auto"/>
      </w:pPr>
      <w:r w:rsidRPr="7F4DAE59">
        <w:rPr>
          <w:rFonts w:eastAsia="Open Sans" w:cs="Open Sans"/>
        </w:rPr>
        <w:t>The unique environment of remote communities necessitates a specific approach to delivering education. Workforce development and the flexible application of the Australian curriculum are two important methods that were explored during the Project to improve the</w:t>
      </w:r>
      <w:r w:rsidR="004A6EB8">
        <w:rPr>
          <w:rFonts w:eastAsia="Open Sans" w:cs="Open Sans"/>
        </w:rPr>
        <w:t xml:space="preserve"> educational</w:t>
      </w:r>
      <w:r w:rsidRPr="7F4DAE59">
        <w:rPr>
          <w:rFonts w:eastAsia="Open Sans" w:cs="Open Sans"/>
        </w:rPr>
        <w:t xml:space="preserve"> experience of Aboriginal and Torres Strait Islander students in remote communities.  </w:t>
      </w:r>
    </w:p>
    <w:p w14:paraId="0AF42048" w14:textId="6C6A348E" w:rsidR="268B132A" w:rsidRDefault="7F4DAE59" w:rsidP="00EC293E">
      <w:pPr>
        <w:pStyle w:val="Heading3"/>
      </w:pPr>
      <w:bookmarkStart w:id="34" w:name="_Toc32497897"/>
      <w:r w:rsidRPr="7F4DAE59">
        <w:t>Workforce development</w:t>
      </w:r>
      <w:bookmarkEnd w:id="34"/>
    </w:p>
    <w:p w14:paraId="5A1EAB64" w14:textId="167843BF" w:rsidR="00994E0A" w:rsidRDefault="7F4DAE59" w:rsidP="268B132A">
      <w:pPr>
        <w:spacing w:line="257" w:lineRule="auto"/>
        <w:rPr>
          <w:rFonts w:eastAsia="Open Sans" w:cs="Open Sans"/>
        </w:rPr>
      </w:pPr>
      <w:r w:rsidRPr="7F4DAE59">
        <w:rPr>
          <w:rFonts w:eastAsia="Open Sans" w:cs="Open Sans"/>
        </w:rPr>
        <w:t xml:space="preserve">Of critical importance </w:t>
      </w:r>
      <w:r w:rsidR="00C9240C">
        <w:rPr>
          <w:rFonts w:eastAsia="Open Sans" w:cs="Open Sans"/>
        </w:rPr>
        <w:t xml:space="preserve">to </w:t>
      </w:r>
      <w:r w:rsidR="00D54E0E">
        <w:rPr>
          <w:rFonts w:eastAsia="Open Sans" w:cs="Open Sans"/>
        </w:rPr>
        <w:t>providing culturally-</w:t>
      </w:r>
      <w:r w:rsidR="0094753B">
        <w:rPr>
          <w:rFonts w:eastAsia="Open Sans" w:cs="Open Sans"/>
        </w:rPr>
        <w:t>relevant</w:t>
      </w:r>
      <w:r w:rsidR="00D54E0E">
        <w:rPr>
          <w:rFonts w:eastAsia="Open Sans" w:cs="Open Sans"/>
        </w:rPr>
        <w:t xml:space="preserve"> </w:t>
      </w:r>
      <w:r w:rsidR="00745375">
        <w:rPr>
          <w:rFonts w:eastAsia="Open Sans" w:cs="Open Sans"/>
        </w:rPr>
        <w:t>education</w:t>
      </w:r>
      <w:r w:rsidRPr="7F4DAE59">
        <w:rPr>
          <w:rFonts w:eastAsia="Open Sans" w:cs="Open Sans"/>
        </w:rPr>
        <w:t xml:space="preserve"> is the quality, knowledge and preparedness of teaching staff. </w:t>
      </w:r>
      <w:r w:rsidR="00994E0A" w:rsidRPr="7F4DAE59">
        <w:rPr>
          <w:rFonts w:eastAsia="Open Sans" w:cs="Open Sans"/>
        </w:rPr>
        <w:t xml:space="preserve">Remote schools are </w:t>
      </w:r>
      <w:r w:rsidR="0054535F">
        <w:rPr>
          <w:rFonts w:eastAsia="Open Sans" w:cs="Open Sans"/>
        </w:rPr>
        <w:t>often</w:t>
      </w:r>
      <w:r w:rsidR="0054535F" w:rsidRPr="7F4DAE59">
        <w:rPr>
          <w:rFonts w:eastAsia="Open Sans" w:cs="Open Sans"/>
        </w:rPr>
        <w:t xml:space="preserve"> </w:t>
      </w:r>
      <w:r w:rsidR="00994E0A" w:rsidRPr="7F4DAE59">
        <w:rPr>
          <w:rFonts w:eastAsia="Open Sans" w:cs="Open Sans"/>
        </w:rPr>
        <w:t>staffed by a</w:t>
      </w:r>
      <w:r w:rsidR="000A4BDA">
        <w:rPr>
          <w:rFonts w:eastAsia="Open Sans" w:cs="Open Sans"/>
        </w:rPr>
        <w:t xml:space="preserve"> largely</w:t>
      </w:r>
      <w:r w:rsidR="00994E0A" w:rsidRPr="7F4DAE59">
        <w:rPr>
          <w:rFonts w:eastAsia="Open Sans" w:cs="Open Sans"/>
        </w:rPr>
        <w:t xml:space="preserve"> external workforce</w:t>
      </w:r>
      <w:r w:rsidR="00241D4F">
        <w:rPr>
          <w:rFonts w:eastAsia="Open Sans" w:cs="Open Sans"/>
        </w:rPr>
        <w:t xml:space="preserve"> with extremely high </w:t>
      </w:r>
      <w:r w:rsidR="0006715E">
        <w:rPr>
          <w:rFonts w:eastAsia="Open Sans" w:cs="Open Sans"/>
        </w:rPr>
        <w:t>turnover</w:t>
      </w:r>
      <w:r w:rsidR="00E531E2">
        <w:rPr>
          <w:rFonts w:eastAsia="Open Sans" w:cs="Open Sans"/>
        </w:rPr>
        <w:t xml:space="preserve"> which can have </w:t>
      </w:r>
      <w:r w:rsidR="00C857F7">
        <w:rPr>
          <w:rFonts w:eastAsia="Open Sans" w:cs="Open Sans"/>
        </w:rPr>
        <w:t xml:space="preserve">a </w:t>
      </w:r>
      <w:r w:rsidR="00E531E2">
        <w:rPr>
          <w:rFonts w:eastAsia="Open Sans" w:cs="Open Sans"/>
        </w:rPr>
        <w:t xml:space="preserve">significant impact on </w:t>
      </w:r>
      <w:r w:rsidR="00EE5EE7">
        <w:rPr>
          <w:rFonts w:eastAsia="Open Sans" w:cs="Open Sans"/>
        </w:rPr>
        <w:t>teaching quality</w:t>
      </w:r>
      <w:r w:rsidR="00EE5EE7">
        <w:rPr>
          <w:rStyle w:val="EndnoteReference"/>
          <w:rFonts w:eastAsia="Open Sans" w:cs="Open Sans"/>
        </w:rPr>
        <w:endnoteReference w:id="109"/>
      </w:r>
      <w:r w:rsidR="00994E0A" w:rsidRPr="7F4DAE59">
        <w:rPr>
          <w:rFonts w:eastAsia="Open Sans" w:cs="Open Sans"/>
        </w:rPr>
        <w:t xml:space="preserve"> Concerns were consistently raised about the ability of external staff to relate to Aboriginal and Torres Strait Islander students, respond in a trauma-informed manner, understand their complex needs, lived experiences and distinct cultures, and provide the required support. </w:t>
      </w:r>
      <w:r w:rsidR="00994E0A" w:rsidRPr="00994E0A">
        <w:rPr>
          <w:rFonts w:eastAsia="Open Sans" w:cs="Open Sans"/>
        </w:rPr>
        <w:t xml:space="preserve">Staff </w:t>
      </w:r>
      <w:r w:rsidR="00994E0A">
        <w:rPr>
          <w:rFonts w:eastAsia="Open Sans" w:cs="Open Sans"/>
        </w:rPr>
        <w:t>who have relocated to</w:t>
      </w:r>
      <w:r w:rsidR="00994E0A" w:rsidRPr="00994E0A">
        <w:rPr>
          <w:rFonts w:eastAsia="Open Sans" w:cs="Open Sans"/>
        </w:rPr>
        <w:t xml:space="preserve"> remote areas </w:t>
      </w:r>
      <w:r w:rsidR="00994E0A">
        <w:rPr>
          <w:rFonts w:eastAsia="Open Sans" w:cs="Open Sans"/>
        </w:rPr>
        <w:t xml:space="preserve">to work in schools need to </w:t>
      </w:r>
      <w:r w:rsidR="00994E0A" w:rsidRPr="00994E0A">
        <w:rPr>
          <w:rFonts w:eastAsia="Open Sans" w:cs="Open Sans"/>
        </w:rPr>
        <w:t xml:space="preserve">be receptive to learning and incorporating </w:t>
      </w:r>
      <w:r w:rsidR="00994E0A">
        <w:rPr>
          <w:rFonts w:eastAsia="Open Sans" w:cs="Open Sans"/>
        </w:rPr>
        <w:t>locally</w:t>
      </w:r>
      <w:r w:rsidR="00575782">
        <w:rPr>
          <w:rFonts w:eastAsia="Open Sans" w:cs="Open Sans"/>
        </w:rPr>
        <w:t xml:space="preserve"> </w:t>
      </w:r>
      <w:r w:rsidR="00994E0A" w:rsidRPr="00994E0A">
        <w:rPr>
          <w:rFonts w:eastAsia="Open Sans" w:cs="Open Sans"/>
        </w:rPr>
        <w:t xml:space="preserve">appropriate </w:t>
      </w:r>
      <w:r w:rsidR="00994E0A">
        <w:rPr>
          <w:rFonts w:eastAsia="Open Sans" w:cs="Open Sans"/>
        </w:rPr>
        <w:t>approaches</w:t>
      </w:r>
      <w:r w:rsidR="00994E0A" w:rsidRPr="00994E0A">
        <w:rPr>
          <w:rFonts w:eastAsia="Open Sans" w:cs="Open Sans"/>
        </w:rPr>
        <w:t xml:space="preserve"> into their understanding and way</w:t>
      </w:r>
      <w:r w:rsidR="00994E0A">
        <w:rPr>
          <w:rFonts w:eastAsia="Open Sans" w:cs="Open Sans"/>
        </w:rPr>
        <w:t>s</w:t>
      </w:r>
      <w:r w:rsidR="00994E0A" w:rsidRPr="00994E0A">
        <w:rPr>
          <w:rFonts w:eastAsia="Open Sans" w:cs="Open Sans"/>
        </w:rPr>
        <w:t xml:space="preserve"> of working.</w:t>
      </w:r>
    </w:p>
    <w:p w14:paraId="32FBDC0B" w14:textId="124F6405" w:rsidR="00994E0A" w:rsidRPr="00994E0A" w:rsidRDefault="00994E0A" w:rsidP="00994E0A">
      <w:pPr>
        <w:spacing w:line="257" w:lineRule="auto"/>
        <w:rPr>
          <w:rFonts w:eastAsia="Open Sans" w:cs="Open Sans"/>
        </w:rPr>
      </w:pPr>
      <w:r w:rsidRPr="00994E0A">
        <w:rPr>
          <w:rFonts w:eastAsia="Open Sans" w:cs="Open Sans"/>
        </w:rPr>
        <w:t>In recognition that the necessary progress has not been achieved in Closing the Gap in the education for Aboriginal and Torres Strait Islander children, the UN Committee on the Rights of the Child</w:t>
      </w:r>
      <w:r w:rsidR="00014D62">
        <w:rPr>
          <w:rFonts w:eastAsia="Open Sans" w:cs="Open Sans"/>
        </w:rPr>
        <w:t>,</w:t>
      </w:r>
      <w:r w:rsidRPr="00994E0A">
        <w:rPr>
          <w:rFonts w:eastAsia="Open Sans" w:cs="Open Sans"/>
        </w:rPr>
        <w:t xml:space="preserve"> in its Concluding Observations on Australia in September 2019</w:t>
      </w:r>
      <w:r w:rsidR="00014D62">
        <w:rPr>
          <w:rFonts w:eastAsia="Open Sans" w:cs="Open Sans"/>
        </w:rPr>
        <w:t>,</w:t>
      </w:r>
      <w:r w:rsidRPr="00994E0A">
        <w:rPr>
          <w:rFonts w:eastAsia="Open Sans" w:cs="Open Sans"/>
        </w:rPr>
        <w:t xml:space="preserve"> urged Australian Governments to focus on children in remote areas, specifically </w:t>
      </w:r>
      <w:r w:rsidR="0069360E">
        <w:rPr>
          <w:rFonts w:eastAsia="Open Sans" w:cs="Open Sans"/>
        </w:rPr>
        <w:t>by</w:t>
      </w:r>
      <w:r w:rsidRPr="00994E0A">
        <w:rPr>
          <w:rFonts w:eastAsia="Open Sans" w:cs="Open Sans"/>
        </w:rPr>
        <w:t xml:space="preserve"> investing in the cultural competency of teachers. The Committee recommended that Australian Governments</w:t>
      </w:r>
    </w:p>
    <w:p w14:paraId="3F3C824B" w14:textId="0153B1D3" w:rsidR="00994E0A" w:rsidRDefault="00994E0A" w:rsidP="00D94BB7">
      <w:pPr>
        <w:spacing w:line="257" w:lineRule="auto"/>
        <w:ind w:left="720"/>
        <w:rPr>
          <w:rFonts w:eastAsia="Open Sans" w:cs="Open Sans"/>
          <w:lang w:val="en-GB"/>
        </w:rPr>
      </w:pPr>
      <w:r w:rsidRPr="00D94BB7">
        <w:rPr>
          <w:rFonts w:eastAsia="Open Sans" w:cs="Open Sans"/>
          <w:sz w:val="22"/>
          <w:szCs w:val="22"/>
        </w:rPr>
        <w:t xml:space="preserve">Address the shortcomings of the Closing the </w:t>
      </w:r>
      <w:r w:rsidRPr="00D94BB7">
        <w:rPr>
          <w:rFonts w:eastAsia="Open Sans" w:cs="Open Sans"/>
          <w:sz w:val="22"/>
          <w:szCs w:val="22"/>
          <w:lang w:val="en-GB"/>
        </w:rPr>
        <w:t>Gap measures for Aboriginal and Torres Strait Islander children and to reach the targets on school attendance, retention rates, literacy and numeracy standards by paying particular attention to these children in remote areas and investing in teachers’ cultural competency of these communities’ history</w:t>
      </w:r>
      <w:r w:rsidRPr="00994E0A">
        <w:rPr>
          <w:rFonts w:eastAsia="Open Sans" w:cs="Open Sans"/>
          <w:lang w:val="en-GB"/>
        </w:rPr>
        <w:t>.</w:t>
      </w:r>
      <w:r w:rsidR="00305AB2">
        <w:rPr>
          <w:rStyle w:val="EndnoteReference"/>
          <w:rFonts w:eastAsia="Open Sans" w:cs="Open Sans"/>
          <w:lang w:val="en-GB"/>
        </w:rPr>
        <w:endnoteReference w:id="110"/>
      </w:r>
      <w:r w:rsidRPr="00994E0A">
        <w:rPr>
          <w:rFonts w:eastAsia="Open Sans" w:cs="Open Sans"/>
          <w:lang w:val="en-GB"/>
        </w:rPr>
        <w:t xml:space="preserve"> </w:t>
      </w:r>
    </w:p>
    <w:p w14:paraId="794C16AA" w14:textId="4A755898" w:rsidR="00D94BB7" w:rsidRDefault="00994E0A" w:rsidP="268B132A">
      <w:pPr>
        <w:spacing w:line="257" w:lineRule="auto"/>
        <w:rPr>
          <w:rFonts w:eastAsia="Open Sans" w:cs="Open Sans"/>
        </w:rPr>
      </w:pPr>
      <w:r w:rsidRPr="7F4DAE59">
        <w:rPr>
          <w:rFonts w:eastAsia="Open Sans" w:cs="Open Sans"/>
        </w:rPr>
        <w:lastRenderedPageBreak/>
        <w:t>Engaging Aboriginal and Torres Strait Islander communit</w:t>
      </w:r>
      <w:r w:rsidR="00014D62">
        <w:rPr>
          <w:rFonts w:eastAsia="Open Sans" w:cs="Open Sans"/>
        </w:rPr>
        <w:t>ies</w:t>
      </w:r>
      <w:r w:rsidRPr="7F4DAE59">
        <w:rPr>
          <w:rFonts w:eastAsia="Open Sans" w:cs="Open Sans"/>
        </w:rPr>
        <w:t xml:space="preserve"> to deliver locally</w:t>
      </w:r>
      <w:r w:rsidR="00014D62">
        <w:rPr>
          <w:rFonts w:eastAsia="Open Sans" w:cs="Open Sans"/>
        </w:rPr>
        <w:t>-</w:t>
      </w:r>
      <w:r w:rsidRPr="7F4DAE59">
        <w:rPr>
          <w:rFonts w:eastAsia="Open Sans" w:cs="Open Sans"/>
        </w:rPr>
        <w:t>relevant cultural programs within schools is necessary to ensure th</w:t>
      </w:r>
      <w:r w:rsidR="00014D62">
        <w:rPr>
          <w:rFonts w:eastAsia="Open Sans" w:cs="Open Sans"/>
        </w:rPr>
        <w:t>at</w:t>
      </w:r>
      <w:r w:rsidRPr="7F4DAE59">
        <w:rPr>
          <w:rFonts w:eastAsia="Open Sans" w:cs="Open Sans"/>
        </w:rPr>
        <w:t xml:space="preserve"> local culture and history is acknowledged, relevant and accurate. Local community members are also uniquely equipped with First Nations language skills </w:t>
      </w:r>
      <w:r w:rsidR="00381411">
        <w:rPr>
          <w:rFonts w:eastAsia="Open Sans" w:cs="Open Sans"/>
        </w:rPr>
        <w:t xml:space="preserve">which </w:t>
      </w:r>
      <w:r w:rsidRPr="7F4DAE59">
        <w:rPr>
          <w:rFonts w:eastAsia="Open Sans" w:cs="Open Sans"/>
        </w:rPr>
        <w:t>aid Aboriginal and Torres Strait Islander students</w:t>
      </w:r>
      <w:r w:rsidR="00014D62">
        <w:rPr>
          <w:rFonts w:eastAsia="Open Sans" w:cs="Open Sans"/>
        </w:rPr>
        <w:t>’</w:t>
      </w:r>
      <w:r w:rsidRPr="7F4DAE59">
        <w:rPr>
          <w:rFonts w:eastAsia="Open Sans" w:cs="Open Sans"/>
        </w:rPr>
        <w:t xml:space="preserve"> engagement within formal school settings.</w:t>
      </w:r>
    </w:p>
    <w:p w14:paraId="0755671D" w14:textId="6FCB7404" w:rsidR="268B132A" w:rsidRDefault="7F4DAE59" w:rsidP="268B132A">
      <w:pPr>
        <w:spacing w:line="257" w:lineRule="auto"/>
      </w:pPr>
      <w:r w:rsidRPr="7F4DAE59">
        <w:rPr>
          <w:rFonts w:eastAsia="Open Sans" w:cs="Open Sans"/>
        </w:rPr>
        <w:t>The recruitment of local Aboriginal and Torres Strait Islander education support workers is critical to creating a culturally</w:t>
      </w:r>
      <w:r w:rsidR="00014D62">
        <w:rPr>
          <w:rFonts w:eastAsia="Open Sans" w:cs="Open Sans"/>
        </w:rPr>
        <w:t>-</w:t>
      </w:r>
      <w:r w:rsidRPr="7F4DAE59">
        <w:rPr>
          <w:rFonts w:eastAsia="Open Sans" w:cs="Open Sans"/>
        </w:rPr>
        <w:t xml:space="preserve">inclusive learning environment, aiding Aboriginal and Torres Strait Islander students’ sustained engagement. These workers play a distinctive role in their ability to relate to students and build a rapport that is unique to having shared cultural connections, lived experiences and language skills. They also play a crucial role in educating and </w:t>
      </w:r>
      <w:r w:rsidR="004145AD" w:rsidRPr="7F4DAE59">
        <w:rPr>
          <w:rFonts w:eastAsia="Open Sans" w:cs="Open Sans"/>
        </w:rPr>
        <w:t>aiding</w:t>
      </w:r>
      <w:r w:rsidRPr="7F4DAE59">
        <w:rPr>
          <w:rFonts w:eastAsia="Open Sans" w:cs="Open Sans"/>
        </w:rPr>
        <w:t xml:space="preserve"> teachers to support Aboriginal and Torres Strait Islander students’ unique needs and include Aboriginal and Torres Strait Islander content in the curriculum. </w:t>
      </w:r>
    </w:p>
    <w:p w14:paraId="52D04772" w14:textId="01365FE5" w:rsidR="268B132A" w:rsidRDefault="7F4DAE59" w:rsidP="268B132A">
      <w:pPr>
        <w:spacing w:line="257" w:lineRule="auto"/>
      </w:pPr>
      <w:r w:rsidRPr="7F4DAE59">
        <w:rPr>
          <w:rFonts w:eastAsia="Open Sans" w:cs="Open Sans"/>
        </w:rPr>
        <w:t>The critical role of Aboriginal and Torres Strait Islander support staff within classrooms is acknowledged around the country</w:t>
      </w:r>
      <w:r w:rsidR="00003690">
        <w:rPr>
          <w:rFonts w:eastAsia="Open Sans" w:cs="Open Sans"/>
        </w:rPr>
        <w:t>.</w:t>
      </w:r>
      <w:r w:rsidRPr="7F4DAE59">
        <w:rPr>
          <w:rFonts w:eastAsia="Open Sans" w:cs="Open Sans"/>
        </w:rPr>
        <w:t xml:space="preserve"> </w:t>
      </w:r>
      <w:r w:rsidR="00003690">
        <w:rPr>
          <w:rFonts w:eastAsia="Open Sans" w:cs="Open Sans"/>
        </w:rPr>
        <w:t>H</w:t>
      </w:r>
      <w:r w:rsidRPr="7F4DAE59">
        <w:rPr>
          <w:rFonts w:eastAsia="Open Sans" w:cs="Open Sans"/>
        </w:rPr>
        <w:t>owever</w:t>
      </w:r>
      <w:r w:rsidR="00003690">
        <w:rPr>
          <w:rFonts w:eastAsia="Open Sans" w:cs="Open Sans"/>
        </w:rPr>
        <w:t>,</w:t>
      </w:r>
      <w:r w:rsidRPr="7F4DAE59">
        <w:rPr>
          <w:rFonts w:eastAsia="Open Sans" w:cs="Open Sans"/>
        </w:rPr>
        <w:t xml:space="preserve"> </w:t>
      </w:r>
      <w:r w:rsidR="00F23526">
        <w:rPr>
          <w:rFonts w:eastAsia="Open Sans" w:cs="Open Sans"/>
        </w:rPr>
        <w:t xml:space="preserve">during the </w:t>
      </w:r>
      <w:r w:rsidR="008A050E">
        <w:rPr>
          <w:rFonts w:eastAsia="Open Sans" w:cs="Open Sans"/>
        </w:rPr>
        <w:t xml:space="preserve">Project </w:t>
      </w:r>
      <w:r w:rsidR="008A050E" w:rsidRPr="7F4DAE59">
        <w:rPr>
          <w:rFonts w:eastAsia="Open Sans" w:cs="Open Sans"/>
        </w:rPr>
        <w:t>many</w:t>
      </w:r>
      <w:r w:rsidRPr="7F4DAE59">
        <w:rPr>
          <w:rFonts w:eastAsia="Open Sans" w:cs="Open Sans"/>
        </w:rPr>
        <w:t xml:space="preserve"> communities</w:t>
      </w:r>
      <w:r w:rsidR="00180C76">
        <w:rPr>
          <w:rFonts w:eastAsia="Open Sans" w:cs="Open Sans"/>
        </w:rPr>
        <w:t xml:space="preserve"> expressed concerns over </w:t>
      </w:r>
      <w:r w:rsidR="007B41F0">
        <w:rPr>
          <w:rFonts w:eastAsia="Open Sans" w:cs="Open Sans"/>
        </w:rPr>
        <w:t xml:space="preserve">the impacts of </w:t>
      </w:r>
      <w:r w:rsidR="00180C76">
        <w:rPr>
          <w:rFonts w:eastAsia="Open Sans" w:cs="Open Sans"/>
        </w:rPr>
        <w:t>limited resourc</w:t>
      </w:r>
      <w:r w:rsidR="000C29C0">
        <w:rPr>
          <w:rFonts w:eastAsia="Open Sans" w:cs="Open Sans"/>
        </w:rPr>
        <w:t>ing</w:t>
      </w:r>
      <w:r w:rsidR="008A050E">
        <w:rPr>
          <w:rFonts w:eastAsia="Open Sans" w:cs="Open Sans"/>
        </w:rPr>
        <w:t xml:space="preserve"> on the ability of staff</w:t>
      </w:r>
      <w:r w:rsidRPr="7F4DAE59">
        <w:rPr>
          <w:rFonts w:eastAsia="Open Sans" w:cs="Open Sans"/>
        </w:rPr>
        <w:t xml:space="preserve"> to dedicate the necessary time to students. Education </w:t>
      </w:r>
      <w:r w:rsidR="00014D62">
        <w:rPr>
          <w:rFonts w:eastAsia="Open Sans" w:cs="Open Sans"/>
        </w:rPr>
        <w:t xml:space="preserve">support </w:t>
      </w:r>
      <w:r w:rsidRPr="7F4DAE59">
        <w:rPr>
          <w:rFonts w:eastAsia="Open Sans" w:cs="Open Sans"/>
        </w:rPr>
        <w:t xml:space="preserve">workers also reported </w:t>
      </w:r>
      <w:r w:rsidR="00014D62">
        <w:rPr>
          <w:rFonts w:eastAsia="Open Sans" w:cs="Open Sans"/>
        </w:rPr>
        <w:t xml:space="preserve">that </w:t>
      </w:r>
      <w:r w:rsidRPr="7F4DAE59">
        <w:rPr>
          <w:rFonts w:eastAsia="Open Sans" w:cs="Open Sans"/>
        </w:rPr>
        <w:t>in some communities their unique skillsets are undervalued. In order for school staffing in remote schools to be sustainable, culturally</w:t>
      </w:r>
      <w:r w:rsidR="004B3A52">
        <w:rPr>
          <w:rFonts w:eastAsia="Open Sans" w:cs="Open Sans"/>
        </w:rPr>
        <w:t>-</w:t>
      </w:r>
      <w:r w:rsidRPr="7F4DAE59">
        <w:rPr>
          <w:rFonts w:eastAsia="Open Sans" w:cs="Open Sans"/>
        </w:rPr>
        <w:t>appropriate and of a high quality, appropriate capacity</w:t>
      </w:r>
      <w:r w:rsidR="004B3A52">
        <w:rPr>
          <w:rFonts w:eastAsia="Open Sans" w:cs="Open Sans"/>
        </w:rPr>
        <w:t>-</w:t>
      </w:r>
      <w:r w:rsidRPr="7F4DAE59">
        <w:rPr>
          <w:rFonts w:eastAsia="Open Sans" w:cs="Open Sans"/>
        </w:rPr>
        <w:t>building pathways need to be developed to provide avenues for support staff to become qualified teachers.</w:t>
      </w:r>
      <w:r w:rsidR="00187049">
        <w:rPr>
          <w:rStyle w:val="EndnoteReference"/>
          <w:rFonts w:eastAsia="Open Sans" w:cs="Open Sans"/>
        </w:rPr>
        <w:endnoteReference w:id="111"/>
      </w:r>
      <w:r w:rsidRPr="00C11F93">
        <w:rPr>
          <w:rFonts w:eastAsia="Open Sans" w:cs="Open Sans"/>
        </w:rPr>
        <w:t xml:space="preserve"> In the Closing the Gap strategy, professional development of existing educators and implementing strategies to </w:t>
      </w:r>
      <w:r w:rsidR="00493A26">
        <w:rPr>
          <w:rFonts w:eastAsia="Open Sans" w:cs="Open Sans"/>
        </w:rPr>
        <w:t>increase</w:t>
      </w:r>
      <w:r w:rsidR="00493A26" w:rsidRPr="00C11F93">
        <w:rPr>
          <w:rFonts w:eastAsia="Open Sans" w:cs="Open Sans"/>
        </w:rPr>
        <w:t xml:space="preserve"> </w:t>
      </w:r>
      <w:r w:rsidRPr="00C11F93">
        <w:rPr>
          <w:rFonts w:eastAsia="Open Sans" w:cs="Open Sans"/>
        </w:rPr>
        <w:t>the Aboriginal and Torres Strait Islander workforce have been identified as critical areas for development.</w:t>
      </w:r>
      <w:r w:rsidR="001D6266">
        <w:rPr>
          <w:rStyle w:val="EndnoteReference"/>
          <w:rFonts w:eastAsia="Open Sans" w:cs="Open Sans"/>
        </w:rPr>
        <w:endnoteReference w:id="112"/>
      </w:r>
      <w:r w:rsidR="00E26B64">
        <w:t xml:space="preserve"> </w:t>
      </w:r>
    </w:p>
    <w:p w14:paraId="36CC3D11" w14:textId="1E097B28" w:rsidR="00844D9F" w:rsidRDefault="00994E0A" w:rsidP="268B132A">
      <w:pPr>
        <w:spacing w:line="257" w:lineRule="auto"/>
        <w:rPr>
          <w:rFonts w:eastAsia="Open Sans" w:cs="Open Sans"/>
          <w:i/>
          <w:iCs/>
          <w:color w:val="1E1E1E"/>
        </w:rPr>
      </w:pPr>
      <w:r>
        <w:t>An</w:t>
      </w:r>
      <w:r w:rsidR="00417469">
        <w:t xml:space="preserve"> example of a </w:t>
      </w:r>
      <w:r>
        <w:t>comprehensive early-childhood model that</w:t>
      </w:r>
      <w:r w:rsidR="00D50604">
        <w:t xml:space="preserve"> is</w:t>
      </w:r>
      <w:r w:rsidR="008A0399">
        <w:t xml:space="preserve"> simultaneously</w:t>
      </w:r>
      <w:r w:rsidR="00D50604">
        <w:t xml:space="preserve"> working to increase the </w:t>
      </w:r>
      <w:r w:rsidR="006A671C">
        <w:t xml:space="preserve">numbers of First Nations </w:t>
      </w:r>
      <w:r w:rsidR="00844D9F">
        <w:t>educators</w:t>
      </w:r>
      <w:r w:rsidR="004B3A52">
        <w:t>,</w:t>
      </w:r>
      <w:r w:rsidR="00844D9F" w:rsidRPr="00A856F3">
        <w:t xml:space="preserve"> is </w:t>
      </w:r>
      <w:proofErr w:type="spellStart"/>
      <w:r w:rsidR="00844D9F" w:rsidRPr="00F14006">
        <w:rPr>
          <w:rFonts w:eastAsia="Open Sans" w:cs="Open Sans"/>
          <w:color w:val="1E1E1E"/>
        </w:rPr>
        <w:t>Bubup</w:t>
      </w:r>
      <w:proofErr w:type="spellEnd"/>
      <w:r w:rsidR="00844D9F" w:rsidRPr="00F14006">
        <w:rPr>
          <w:rFonts w:eastAsia="Open Sans" w:cs="Open Sans"/>
          <w:color w:val="1E1E1E"/>
        </w:rPr>
        <w:t xml:space="preserve"> </w:t>
      </w:r>
      <w:proofErr w:type="spellStart"/>
      <w:r w:rsidR="00844D9F" w:rsidRPr="00F14006">
        <w:rPr>
          <w:rFonts w:eastAsia="Open Sans" w:cs="Open Sans"/>
          <w:color w:val="1E1E1E"/>
        </w:rPr>
        <w:t>Wilam</w:t>
      </w:r>
      <w:proofErr w:type="spellEnd"/>
      <w:r w:rsidR="00844D9F" w:rsidRPr="00F14006">
        <w:rPr>
          <w:rFonts w:eastAsia="Open Sans" w:cs="Open Sans"/>
          <w:color w:val="1E1E1E"/>
        </w:rPr>
        <w:t xml:space="preserve"> for Early Learning Aboriginal Child and Family Centre. </w:t>
      </w:r>
      <w:r w:rsidR="008A0399" w:rsidRPr="00F14006">
        <w:rPr>
          <w:rFonts w:eastAsia="Open Sans" w:cs="Open Sans"/>
          <w:color w:val="1E1E1E"/>
        </w:rPr>
        <w:t xml:space="preserve">The Centre </w:t>
      </w:r>
      <w:r w:rsidR="00844D9F" w:rsidRPr="00F14006">
        <w:rPr>
          <w:rFonts w:eastAsia="Open Sans" w:cs="Open Sans"/>
          <w:color w:val="1E1E1E"/>
        </w:rPr>
        <w:t>provides wrap around services supporting the care and development of children and their families. They also provide culturally</w:t>
      </w:r>
      <w:r w:rsidR="004B3A52">
        <w:rPr>
          <w:rFonts w:eastAsia="Open Sans" w:cs="Open Sans"/>
          <w:color w:val="1E1E1E"/>
        </w:rPr>
        <w:t>-</w:t>
      </w:r>
      <w:r w:rsidR="00844D9F" w:rsidRPr="00F14006">
        <w:rPr>
          <w:rFonts w:eastAsia="Open Sans" w:cs="Open Sans"/>
          <w:color w:val="1E1E1E"/>
        </w:rPr>
        <w:t>safe education and training of Aboriginal people</w:t>
      </w:r>
      <w:r w:rsidR="008A0399" w:rsidRPr="00F14006">
        <w:rPr>
          <w:rFonts w:eastAsia="Open Sans" w:cs="Open Sans"/>
          <w:color w:val="1E1E1E"/>
        </w:rPr>
        <w:t>.</w:t>
      </w:r>
      <w:r w:rsidR="0069396F">
        <w:rPr>
          <w:rFonts w:eastAsia="Open Sans" w:cs="Open Sans"/>
          <w:color w:val="1E1E1E"/>
        </w:rPr>
        <w:t xml:space="preserve"> </w:t>
      </w:r>
      <w:r w:rsidR="00844D9F" w:rsidRPr="00F14006">
        <w:rPr>
          <w:rFonts w:eastAsia="Open Sans" w:cs="Open Sans"/>
          <w:color w:val="1E1E1E"/>
        </w:rPr>
        <w:t>While the centre is not located remotely, th</w:t>
      </w:r>
      <w:r w:rsidR="008A0399" w:rsidRPr="00F14006">
        <w:rPr>
          <w:rFonts w:eastAsia="Open Sans" w:cs="Open Sans"/>
          <w:color w:val="1E1E1E"/>
        </w:rPr>
        <w:t>e approach taken by this</w:t>
      </w:r>
      <w:r w:rsidR="00844D9F" w:rsidRPr="00F14006">
        <w:rPr>
          <w:rFonts w:eastAsia="Open Sans" w:cs="Open Sans"/>
          <w:color w:val="1E1E1E"/>
        </w:rPr>
        <w:t xml:space="preserve"> Aboriginal-led organisation could be emulated in other parts across the country to respond to the holistic needs of families</w:t>
      </w:r>
      <w:r w:rsidR="004B3A52">
        <w:rPr>
          <w:rFonts w:eastAsia="Open Sans" w:cs="Open Sans"/>
          <w:color w:val="1E1E1E"/>
        </w:rPr>
        <w:t>,</w:t>
      </w:r>
      <w:r w:rsidR="00844D9F" w:rsidRPr="00F14006">
        <w:rPr>
          <w:rFonts w:eastAsia="Open Sans" w:cs="Open Sans"/>
          <w:color w:val="1E1E1E"/>
        </w:rPr>
        <w:t xml:space="preserve"> whil</w:t>
      </w:r>
      <w:r w:rsidR="004B3A52">
        <w:rPr>
          <w:rFonts w:eastAsia="Open Sans" w:cs="Open Sans"/>
          <w:color w:val="1E1E1E"/>
        </w:rPr>
        <w:t>e</w:t>
      </w:r>
      <w:r w:rsidR="00844D9F" w:rsidRPr="00F14006">
        <w:rPr>
          <w:rFonts w:eastAsia="Open Sans" w:cs="Open Sans"/>
          <w:color w:val="1E1E1E"/>
        </w:rPr>
        <w:t xml:space="preserve"> building the capacity of an Aboriginal workforce.</w:t>
      </w:r>
      <w:r w:rsidR="00844D9F" w:rsidRPr="00F14006">
        <w:rPr>
          <w:rStyle w:val="EndnoteReference"/>
          <w:rFonts w:eastAsia="Open Sans" w:cs="Open Sans"/>
          <w:color w:val="1E1E1E"/>
        </w:rPr>
        <w:endnoteReference w:id="113"/>
      </w:r>
    </w:p>
    <w:p w14:paraId="4B5CD2AF" w14:textId="2385FC2C" w:rsidR="00DA04B0" w:rsidRDefault="002C2382" w:rsidP="00DA04B0">
      <w:pPr>
        <w:spacing w:line="257" w:lineRule="auto"/>
      </w:pPr>
      <w:r>
        <w:t>The 2017 Inquiry into educational opportunities and outcomes for Aboriginal and Torres Strait Islander students recommended that</w:t>
      </w:r>
      <w:r w:rsidR="004B3A52">
        <w:t>,</w:t>
      </w:r>
      <w:r>
        <w:t xml:space="preserve"> as a priority, the Council of Australian Governments be encouraged to</w:t>
      </w:r>
      <w:r w:rsidR="00DA04B0">
        <w:t>:</w:t>
      </w:r>
    </w:p>
    <w:p w14:paraId="0BFD0E57" w14:textId="0402DAB1" w:rsidR="00C24503" w:rsidRPr="009E03D8" w:rsidRDefault="009E03D8" w:rsidP="009E03D8">
      <w:pPr>
        <w:numPr>
          <w:ilvl w:val="0"/>
          <w:numId w:val="51"/>
        </w:numPr>
        <w:spacing w:line="257" w:lineRule="auto"/>
      </w:pPr>
      <w:r w:rsidRPr="009E03D8">
        <w:lastRenderedPageBreak/>
        <w:t xml:space="preserve">make Indigenous history and culture a compulsory requirement for all teaching degrees </w:t>
      </w:r>
    </w:p>
    <w:p w14:paraId="2B81FB14" w14:textId="6C94E637" w:rsidR="00C3714A" w:rsidRDefault="009E03D8" w:rsidP="00090F85">
      <w:pPr>
        <w:pStyle w:val="ListParagraph"/>
        <w:numPr>
          <w:ilvl w:val="0"/>
          <w:numId w:val="51"/>
        </w:numPr>
        <w:spacing w:line="257" w:lineRule="auto"/>
      </w:pPr>
      <w:r w:rsidRPr="009E03D8">
        <w:t>require all teachers already working in schools with a significant number of Indigenous students to complete in-service local Indigenous language, history and culture training as a part of mandatory professional development</w:t>
      </w:r>
      <w:r w:rsidRPr="007B41F0">
        <w:rPr>
          <w:sz w:val="20"/>
          <w:szCs w:val="20"/>
          <w:vertAlign w:val="superscript"/>
        </w:rPr>
        <w:endnoteReference w:id="114"/>
      </w:r>
    </w:p>
    <w:p w14:paraId="1B9672CC" w14:textId="77777777" w:rsidR="00823B94" w:rsidRPr="009C397B" w:rsidRDefault="00823B94" w:rsidP="00980E01">
      <w:pPr>
        <w:numPr>
          <w:ilvl w:val="0"/>
          <w:numId w:val="51"/>
        </w:numPr>
        <w:spacing w:line="257" w:lineRule="auto"/>
      </w:pPr>
      <w:r>
        <w:t>m</w:t>
      </w:r>
      <w:r w:rsidRPr="009C397B">
        <w:t>ake English as a Second Language or Dialect (ESL/D) training a compulsory component for all teaching degrees</w:t>
      </w:r>
    </w:p>
    <w:p w14:paraId="75BEB7AD" w14:textId="77777777" w:rsidR="00823B94" w:rsidRPr="009C397B" w:rsidRDefault="00823B94" w:rsidP="00980E01">
      <w:pPr>
        <w:numPr>
          <w:ilvl w:val="0"/>
          <w:numId w:val="51"/>
        </w:numPr>
        <w:spacing w:line="257" w:lineRule="auto"/>
      </w:pPr>
      <w:r>
        <w:t>r</w:t>
      </w:r>
      <w:r w:rsidRPr="009C397B">
        <w:t>equire all teachers already working in schools with</w:t>
      </w:r>
      <w:r>
        <w:t xml:space="preserve"> </w:t>
      </w:r>
      <w:r w:rsidRPr="009C397B">
        <w:t>a substantial number of Indigenous students to complete in-service ESL/D training as part of mandatory professional development</w:t>
      </w:r>
      <w:r>
        <w:t xml:space="preserve"> and</w:t>
      </w:r>
    </w:p>
    <w:p w14:paraId="43E52B88" w14:textId="101153B6" w:rsidR="009E03D8" w:rsidRPr="0082520D" w:rsidRDefault="00823B94" w:rsidP="00090F85">
      <w:pPr>
        <w:numPr>
          <w:ilvl w:val="0"/>
          <w:numId w:val="51"/>
        </w:numPr>
        <w:spacing w:line="257" w:lineRule="auto"/>
      </w:pPr>
      <w:r>
        <w:t>w</w:t>
      </w:r>
      <w:r w:rsidRPr="009C397B">
        <w:t>here relevant, an opportunity be provided to teachers to undertake local language training if this will assist in performing their functions, improving communications with their students, as well as forging better relationships with the community.</w:t>
      </w:r>
      <w:r>
        <w:rPr>
          <w:rStyle w:val="EndnoteReference"/>
        </w:rPr>
        <w:endnoteReference w:id="115"/>
      </w: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69396F" w14:paraId="46C93D4F" w14:textId="77777777" w:rsidTr="005E7614">
        <w:tc>
          <w:tcPr>
            <w:tcW w:w="9065" w:type="dxa"/>
            <w:shd w:val="clear" w:color="auto" w:fill="EDEDED" w:themeFill="accent3" w:themeFillTint="33"/>
          </w:tcPr>
          <w:p w14:paraId="7C2393F5" w14:textId="5E53B62F" w:rsidR="0069396F" w:rsidRPr="00834C4D" w:rsidRDefault="0069396F" w:rsidP="005E7614">
            <w:pPr>
              <w:rPr>
                <w:b/>
                <w:bCs/>
              </w:rPr>
            </w:pPr>
            <w:r w:rsidRPr="00834C4D">
              <w:rPr>
                <w:b/>
                <w:bCs/>
              </w:rPr>
              <w:t>Recommendation</w:t>
            </w:r>
            <w:r>
              <w:rPr>
                <w:b/>
                <w:bCs/>
              </w:rPr>
              <w:t xml:space="preserve"> </w:t>
            </w:r>
            <w:r w:rsidR="003F6A36" w:rsidRPr="00980E01">
              <w:rPr>
                <w:b/>
                <w:bCs/>
              </w:rPr>
              <w:t>11</w:t>
            </w:r>
          </w:p>
          <w:p w14:paraId="7BF02505" w14:textId="76203C27" w:rsidR="0069396F" w:rsidRPr="00980E01" w:rsidRDefault="00BD312E" w:rsidP="007315BA">
            <w:r w:rsidRPr="00980E01">
              <w:rPr>
                <w:shd w:val="clear" w:color="auto" w:fill="F2F2F2" w:themeFill="background1" w:themeFillShade="F2"/>
              </w:rPr>
              <w:t xml:space="preserve">Australian Governments </w:t>
            </w:r>
            <w:r w:rsidR="003F6A36">
              <w:rPr>
                <w:shd w:val="clear" w:color="auto" w:fill="F2F2F2" w:themeFill="background1" w:themeFillShade="F2"/>
              </w:rPr>
              <w:t xml:space="preserve">work with Aboriginal and Torres Strait Islander communities to </w:t>
            </w:r>
            <w:r w:rsidR="00A61F7D" w:rsidRPr="00980E01">
              <w:rPr>
                <w:shd w:val="clear" w:color="auto" w:fill="F2F2F2" w:themeFill="background1" w:themeFillShade="F2"/>
              </w:rPr>
              <w:t xml:space="preserve">design and </w:t>
            </w:r>
            <w:r w:rsidR="00E54D5F" w:rsidRPr="00980E01">
              <w:rPr>
                <w:shd w:val="clear" w:color="auto" w:fill="F2F2F2" w:themeFill="background1" w:themeFillShade="F2"/>
              </w:rPr>
              <w:t xml:space="preserve">implement </w:t>
            </w:r>
            <w:r w:rsidR="0069396F" w:rsidRPr="00980E01">
              <w:rPr>
                <w:shd w:val="clear" w:color="auto" w:fill="F2F2F2" w:themeFill="background1" w:themeFillShade="F2"/>
              </w:rPr>
              <w:t xml:space="preserve">strategies to increase </w:t>
            </w:r>
            <w:r w:rsidR="008F184C" w:rsidRPr="00980E01">
              <w:rPr>
                <w:shd w:val="clear" w:color="auto" w:fill="F2F2F2" w:themeFill="background1" w:themeFillShade="F2"/>
              </w:rPr>
              <w:t xml:space="preserve">the </w:t>
            </w:r>
            <w:r w:rsidR="0069396F" w:rsidRPr="00980E01">
              <w:rPr>
                <w:shd w:val="clear" w:color="auto" w:fill="F2F2F2" w:themeFill="background1" w:themeFillShade="F2"/>
              </w:rPr>
              <w:t xml:space="preserve">Aboriginal and Torres Strait Islander </w:t>
            </w:r>
            <w:r w:rsidR="00A7509E" w:rsidRPr="00980E01">
              <w:rPr>
                <w:shd w:val="clear" w:color="auto" w:fill="F2F2F2" w:themeFill="background1" w:themeFillShade="F2"/>
              </w:rPr>
              <w:t>education workforce</w:t>
            </w:r>
            <w:r w:rsidR="00121100" w:rsidRPr="00980E01">
              <w:rPr>
                <w:shd w:val="clear" w:color="auto" w:fill="F2F2F2" w:themeFill="background1" w:themeFillShade="F2"/>
              </w:rPr>
              <w:t xml:space="preserve"> in remote areas</w:t>
            </w:r>
            <w:r w:rsidR="008F184C" w:rsidRPr="00980E01">
              <w:rPr>
                <w:shd w:val="clear" w:color="auto" w:fill="F2F2F2" w:themeFill="background1" w:themeFillShade="F2"/>
              </w:rPr>
              <w:t>.</w:t>
            </w:r>
          </w:p>
        </w:tc>
      </w:tr>
    </w:tbl>
    <w:p w14:paraId="2C0020E7" w14:textId="5F88ED28" w:rsidR="268B132A" w:rsidRDefault="7F4DAE59" w:rsidP="00EC293E">
      <w:pPr>
        <w:pStyle w:val="Heading3"/>
      </w:pPr>
      <w:bookmarkStart w:id="35" w:name="_Toc32497898"/>
      <w:r w:rsidRPr="7F4DAE59">
        <w:t>Locally relevant training and certification opportunities</w:t>
      </w:r>
      <w:bookmarkEnd w:id="35"/>
    </w:p>
    <w:p w14:paraId="3E798630" w14:textId="57CDCCA5" w:rsidR="268B132A" w:rsidRPr="005A287F" w:rsidRDefault="7F4DAE59" w:rsidP="268B132A">
      <w:pPr>
        <w:spacing w:line="257" w:lineRule="auto"/>
      </w:pPr>
      <w:r w:rsidRPr="7F4DAE59">
        <w:rPr>
          <w:rFonts w:eastAsia="Open Sans" w:cs="Open Sans"/>
        </w:rPr>
        <w:t>Access to locally available and relevant opportunities is critical to providing appropriate education to students and access to training opportunities with genuine pathways to employment.</w:t>
      </w:r>
      <w:r w:rsidR="00485E2C">
        <w:rPr>
          <w:rFonts w:eastAsia="Open Sans" w:cs="Open Sans"/>
        </w:rPr>
        <w:t xml:space="preserve"> During the Project, w</w:t>
      </w:r>
      <w:r w:rsidR="00485E2C" w:rsidRPr="008F184C">
        <w:rPr>
          <w:rFonts w:eastAsia="Open Sans" w:cs="Open Sans"/>
        </w:rPr>
        <w:t xml:space="preserve">omen shared their disappointment about </w:t>
      </w:r>
      <w:r w:rsidR="00F1644A">
        <w:rPr>
          <w:rFonts w:eastAsia="Open Sans" w:cs="Open Sans"/>
        </w:rPr>
        <w:t>the</w:t>
      </w:r>
      <w:r w:rsidR="00485E2C" w:rsidRPr="008F184C">
        <w:rPr>
          <w:rFonts w:eastAsia="Open Sans" w:cs="Open Sans"/>
        </w:rPr>
        <w:t xml:space="preserve"> lack of opportunities to access traineeships </w:t>
      </w:r>
      <w:r w:rsidR="00482793">
        <w:rPr>
          <w:rFonts w:eastAsia="Open Sans" w:cs="Open Sans"/>
        </w:rPr>
        <w:t>and certificates that could</w:t>
      </w:r>
      <w:r w:rsidR="00485E2C" w:rsidRPr="008F184C">
        <w:rPr>
          <w:rFonts w:eastAsia="Open Sans" w:cs="Open Sans"/>
        </w:rPr>
        <w:t xml:space="preserve"> improve employment prospects and the development of skills.</w:t>
      </w:r>
    </w:p>
    <w:p w14:paraId="1890EE8F" w14:textId="6CC67264" w:rsidR="268B132A" w:rsidRDefault="7F4DAE59" w:rsidP="268B132A">
      <w:pPr>
        <w:spacing w:line="257" w:lineRule="auto"/>
      </w:pPr>
      <w:r w:rsidRPr="7F4DAE59">
        <w:rPr>
          <w:rFonts w:eastAsia="Open Sans" w:cs="Open Sans"/>
        </w:rPr>
        <w:t>Vocational training is a common pathway for Aboriginal and Torres Strait Islander people</w:t>
      </w:r>
      <w:r w:rsidR="00775324">
        <w:rPr>
          <w:rFonts w:eastAsia="Open Sans" w:cs="Open Sans"/>
        </w:rPr>
        <w:t xml:space="preserve"> </w:t>
      </w:r>
      <w:r w:rsidR="00966AD7">
        <w:rPr>
          <w:rFonts w:eastAsia="Open Sans" w:cs="Open Sans"/>
        </w:rPr>
        <w:t>and participation rates are increasing</w:t>
      </w:r>
      <w:r w:rsidRPr="7F4DAE59">
        <w:rPr>
          <w:rFonts w:eastAsia="Open Sans" w:cs="Open Sans"/>
        </w:rPr>
        <w:t>.</w:t>
      </w:r>
      <w:r w:rsidR="00966AD7">
        <w:rPr>
          <w:rStyle w:val="EndnoteReference"/>
          <w:rFonts w:eastAsia="Open Sans" w:cs="Open Sans"/>
        </w:rPr>
        <w:endnoteReference w:id="116"/>
      </w:r>
      <w:r w:rsidRPr="7F4DAE59">
        <w:rPr>
          <w:rFonts w:eastAsia="Open Sans" w:cs="Open Sans"/>
        </w:rPr>
        <w:t xml:space="preserve"> School</w:t>
      </w:r>
      <w:r w:rsidR="004B3A52">
        <w:rPr>
          <w:rFonts w:eastAsia="Open Sans" w:cs="Open Sans"/>
        </w:rPr>
        <w:t>-</w:t>
      </w:r>
      <w:r w:rsidRPr="7F4DAE59">
        <w:rPr>
          <w:rFonts w:eastAsia="Open Sans" w:cs="Open Sans"/>
        </w:rPr>
        <w:t xml:space="preserve">based vocational training programs and traineeships are important, practical pathways for Aboriginal and Torres Strait Islander students, particularly those who are not comfortable within the formal schooling system. In remote areas, vocational training and qualifications draw a greater likelihood of employment than completing year 12, leading to a significant </w:t>
      </w:r>
      <w:r w:rsidRPr="7F4DAE59">
        <w:rPr>
          <w:rFonts w:eastAsia="Open Sans" w:cs="Open Sans"/>
        </w:rPr>
        <w:lastRenderedPageBreak/>
        <w:t>increase in engagement in Certificate II and III courses in remote and regional areas.</w:t>
      </w:r>
      <w:r w:rsidR="0089281B">
        <w:rPr>
          <w:rStyle w:val="EndnoteReference"/>
          <w:rFonts w:eastAsia="Open Sans" w:cs="Open Sans"/>
        </w:rPr>
        <w:endnoteReference w:id="117"/>
      </w:r>
      <w:r w:rsidR="000C2365">
        <w:t xml:space="preserve"> </w:t>
      </w:r>
    </w:p>
    <w:p w14:paraId="36AC10B7" w14:textId="0F3C6444" w:rsidR="268B132A" w:rsidRDefault="7F4DAE59" w:rsidP="268B132A">
      <w:pPr>
        <w:spacing w:line="257" w:lineRule="auto"/>
      </w:pPr>
      <w:r w:rsidRPr="7F4DAE59">
        <w:rPr>
          <w:rFonts w:eastAsia="Open Sans" w:cs="Open Sans"/>
        </w:rPr>
        <w:t>In many remote communities, the most common entrance point to vocational and employment pathway training opportunities is through the Community Development Program (CDP). This program has seen much change and various iterations over the years.</w:t>
      </w:r>
      <w:r w:rsidR="005D0150">
        <w:rPr>
          <w:rStyle w:val="EndnoteReference"/>
          <w:rFonts w:eastAsia="Open Sans" w:cs="Open Sans"/>
        </w:rPr>
        <w:endnoteReference w:id="118"/>
      </w:r>
      <w:r w:rsidR="00E736F4">
        <w:rPr>
          <w:rFonts w:eastAsia="Open Sans" w:cs="Open Sans"/>
        </w:rPr>
        <w:t xml:space="preserve"> </w:t>
      </w:r>
      <w:r w:rsidRPr="00C11F93">
        <w:rPr>
          <w:rFonts w:eastAsia="Open Sans" w:cs="Open Sans"/>
        </w:rPr>
        <w:t>The perception conveyed during the Project in remote communities is largely that the current CDP program does not adequately meet the expectations of providing relevant training opportunities and job pathways compared to previous versions of the program</w:t>
      </w:r>
      <w:r w:rsidR="004B3A52">
        <w:rPr>
          <w:rFonts w:eastAsia="Open Sans" w:cs="Open Sans"/>
        </w:rPr>
        <w:t>,</w:t>
      </w:r>
      <w:r w:rsidRPr="00C11F93">
        <w:rPr>
          <w:rFonts w:eastAsia="Open Sans" w:cs="Open Sans"/>
        </w:rPr>
        <w:t xml:space="preserve"> such as the disbanded Community Development Employment Projects (CDEP).</w:t>
      </w:r>
      <w:r w:rsidRPr="7F4DAE59">
        <w:rPr>
          <w:rFonts w:eastAsia="Open Sans" w:cs="Open Sans"/>
          <w:color w:val="0563C1"/>
          <w:u w:val="single"/>
          <w:vertAlign w:val="superscript"/>
        </w:rPr>
        <w:t xml:space="preserve"> </w:t>
      </w:r>
    </w:p>
    <w:p w14:paraId="6932A55D" w14:textId="2F745458" w:rsidR="268B132A" w:rsidRDefault="7F4DAE59" w:rsidP="268B132A">
      <w:pPr>
        <w:spacing w:line="257" w:lineRule="auto"/>
      </w:pPr>
      <w:r w:rsidRPr="7F4DAE59">
        <w:rPr>
          <w:rFonts w:eastAsia="Open Sans" w:cs="Open Sans"/>
        </w:rPr>
        <w:t>Participating in training courses that deliver limited or no realistic local employment prospects is the source of much frustration in remote communities.</w:t>
      </w:r>
      <w:r w:rsidRPr="7F4DAE59" w:rsidDel="006746D8">
        <w:rPr>
          <w:rFonts w:eastAsia="Open Sans" w:cs="Open Sans"/>
        </w:rPr>
        <w:t xml:space="preserve"> </w:t>
      </w:r>
      <w:r w:rsidRPr="7F4DAE59">
        <w:rPr>
          <w:rFonts w:eastAsia="Open Sans" w:cs="Open Sans"/>
        </w:rPr>
        <w:t xml:space="preserve">Participants who were consulted during the Project appealed for locally available traineeships and training courses that were relevant to the local industries </w:t>
      </w:r>
      <w:r w:rsidR="00E057AC">
        <w:rPr>
          <w:rFonts w:eastAsia="Open Sans" w:cs="Open Sans"/>
        </w:rPr>
        <w:t xml:space="preserve">and </w:t>
      </w:r>
      <w:r w:rsidRPr="7F4DAE59">
        <w:rPr>
          <w:rFonts w:eastAsia="Open Sans" w:cs="Open Sans"/>
        </w:rPr>
        <w:t>realistic local employment prospects.</w:t>
      </w: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8207D5" w14:paraId="40BB3AD0" w14:textId="77777777" w:rsidTr="0029509A">
        <w:tc>
          <w:tcPr>
            <w:tcW w:w="9065" w:type="dxa"/>
            <w:shd w:val="clear" w:color="auto" w:fill="EDEDED" w:themeFill="accent3" w:themeFillTint="33"/>
          </w:tcPr>
          <w:p w14:paraId="04F949C9" w14:textId="0EEEBEF0" w:rsidR="008207D5" w:rsidRPr="00834C4D" w:rsidRDefault="008207D5" w:rsidP="0029509A">
            <w:pPr>
              <w:rPr>
                <w:b/>
                <w:bCs/>
              </w:rPr>
            </w:pPr>
            <w:r w:rsidRPr="00834C4D">
              <w:rPr>
                <w:b/>
                <w:bCs/>
              </w:rPr>
              <w:t>Recommendation</w:t>
            </w:r>
            <w:r>
              <w:rPr>
                <w:b/>
                <w:bCs/>
              </w:rPr>
              <w:t xml:space="preserve"> </w:t>
            </w:r>
            <w:r w:rsidR="005A1E24" w:rsidRPr="00980E01">
              <w:rPr>
                <w:b/>
                <w:bCs/>
              </w:rPr>
              <w:t>12</w:t>
            </w:r>
          </w:p>
          <w:p w14:paraId="6A90668E" w14:textId="5FE15BEF" w:rsidR="008207D5" w:rsidRPr="00A24581" w:rsidRDefault="001745D9" w:rsidP="00A24581">
            <w:pPr>
              <w:rPr>
                <w:sz w:val="22"/>
                <w:szCs w:val="22"/>
              </w:rPr>
            </w:pPr>
            <w:r w:rsidRPr="00A24581">
              <w:rPr>
                <w:rFonts w:eastAsia="Open Sans" w:cs="Open Sans"/>
              </w:rPr>
              <w:t>Australian Governments promote locally available traineeships and training courses tha</w:t>
            </w:r>
            <w:r w:rsidR="00DC4D76" w:rsidRPr="00A24581">
              <w:rPr>
                <w:rFonts w:eastAsia="Open Sans" w:cs="Open Sans"/>
              </w:rPr>
              <w:t xml:space="preserve">t are </w:t>
            </w:r>
            <w:r w:rsidRPr="00A24581">
              <w:rPr>
                <w:rFonts w:eastAsia="Open Sans" w:cs="Open Sans"/>
              </w:rPr>
              <w:t xml:space="preserve">relevant to local industries </w:t>
            </w:r>
            <w:r w:rsidR="00F25BE1" w:rsidRPr="00A24581">
              <w:rPr>
                <w:rFonts w:eastAsia="Open Sans" w:cs="Open Sans"/>
              </w:rPr>
              <w:t>and</w:t>
            </w:r>
            <w:r w:rsidR="00F25BE1" w:rsidRPr="00A24581" w:rsidDel="00407E5A">
              <w:rPr>
                <w:rFonts w:eastAsia="Open Sans" w:cs="Open Sans"/>
              </w:rPr>
              <w:t xml:space="preserve"> </w:t>
            </w:r>
            <w:r w:rsidRPr="00A24581">
              <w:rPr>
                <w:rFonts w:eastAsia="Open Sans" w:cs="Open Sans"/>
              </w:rPr>
              <w:t>local employment prospects</w:t>
            </w:r>
            <w:r w:rsidR="00F25BE1" w:rsidRPr="00A24581">
              <w:rPr>
                <w:rFonts w:eastAsia="Open Sans" w:cs="Open Sans"/>
              </w:rPr>
              <w:t xml:space="preserve"> in remote areas</w:t>
            </w:r>
            <w:r w:rsidRPr="00A24581">
              <w:rPr>
                <w:rFonts w:eastAsia="Open Sans" w:cs="Open Sans"/>
              </w:rPr>
              <w:t>.</w:t>
            </w:r>
          </w:p>
        </w:tc>
      </w:tr>
    </w:tbl>
    <w:p w14:paraId="72511CC5" w14:textId="1CD442B2" w:rsidR="268B132A" w:rsidRDefault="00C9283B" w:rsidP="00F25BE1">
      <w:pPr>
        <w:pStyle w:val="Heading3"/>
      </w:pPr>
      <w:bookmarkStart w:id="36" w:name="_Toc32497899"/>
      <w:r>
        <w:t xml:space="preserve">Adult </w:t>
      </w:r>
      <w:r w:rsidR="004B3A52">
        <w:t>l</w:t>
      </w:r>
      <w:r w:rsidR="7F4DAE59" w:rsidRPr="7F4DAE59">
        <w:t>iteracy skillsets</w:t>
      </w:r>
      <w:bookmarkEnd w:id="36"/>
    </w:p>
    <w:p w14:paraId="2062C6FE" w14:textId="1ADF4DD6" w:rsidR="00E072D1" w:rsidRPr="00E3168B" w:rsidRDefault="7F4DAE59" w:rsidP="268B132A">
      <w:pPr>
        <w:spacing w:line="257" w:lineRule="auto"/>
        <w:rPr>
          <w:rFonts w:eastAsia="Open Sans" w:cs="Open Sans"/>
        </w:rPr>
      </w:pPr>
      <w:r w:rsidRPr="7F4DAE59">
        <w:rPr>
          <w:rFonts w:eastAsia="Open Sans" w:cs="Open Sans"/>
        </w:rPr>
        <w:t xml:space="preserve">In order to equally participate and meet the requirements of the </w:t>
      </w:r>
      <w:r w:rsidR="00EE7D68">
        <w:rPr>
          <w:rFonts w:eastAsia="Open Sans" w:cs="Open Sans"/>
        </w:rPr>
        <w:t>w</w:t>
      </w:r>
      <w:r w:rsidRPr="7F4DAE59">
        <w:rPr>
          <w:rFonts w:eastAsia="Open Sans" w:cs="Open Sans"/>
        </w:rPr>
        <w:t xml:space="preserve">estern world, the gap in literacy skillsets needs to be addressed across the nation. </w:t>
      </w:r>
      <w:r w:rsidR="00EE7D68">
        <w:rPr>
          <w:rFonts w:eastAsia="Open Sans" w:cs="Open Sans"/>
        </w:rPr>
        <w:t>The</w:t>
      </w:r>
      <w:r w:rsidR="00EE7D68" w:rsidRPr="7F4DAE59">
        <w:rPr>
          <w:rFonts w:eastAsia="Open Sans" w:cs="Open Sans"/>
        </w:rPr>
        <w:t xml:space="preserve"> </w:t>
      </w:r>
      <w:r w:rsidRPr="7F4DAE59">
        <w:rPr>
          <w:rFonts w:eastAsia="Open Sans" w:cs="Open Sans"/>
        </w:rPr>
        <w:t xml:space="preserve">need to </w:t>
      </w:r>
      <w:r w:rsidR="003927C7">
        <w:rPr>
          <w:rFonts w:eastAsia="Open Sans" w:cs="Open Sans"/>
        </w:rPr>
        <w:t>improve literacy</w:t>
      </w:r>
      <w:r w:rsidRPr="7F4DAE59">
        <w:rPr>
          <w:rFonts w:eastAsia="Open Sans" w:cs="Open Sans"/>
        </w:rPr>
        <w:t xml:space="preserve"> is particularly evident in remote communities among the adult and older populations, where language and literacy present significant barriers to engage in opportunities and </w:t>
      </w:r>
      <w:r w:rsidR="00EE7D68">
        <w:rPr>
          <w:rFonts w:eastAsia="Open Sans" w:cs="Open Sans"/>
        </w:rPr>
        <w:t>w</w:t>
      </w:r>
      <w:r w:rsidRPr="7F4DAE59">
        <w:rPr>
          <w:rFonts w:eastAsia="Open Sans" w:cs="Open Sans"/>
        </w:rPr>
        <w:t>estern society more generally. The development of locally relevant and accessible programs as well as the expansion of existing programs that provide innovative, culturally</w:t>
      </w:r>
      <w:r w:rsidR="000B5363">
        <w:rPr>
          <w:rFonts w:eastAsia="Open Sans" w:cs="Open Sans"/>
        </w:rPr>
        <w:t>-</w:t>
      </w:r>
      <w:r w:rsidRPr="7F4DAE59">
        <w:rPr>
          <w:rFonts w:eastAsia="Open Sans" w:cs="Open Sans"/>
        </w:rPr>
        <w:t>inclusive approaches to increasing literacy among Aboriginal and Torres Strait Islander communities are of critical importance and should be prioritised.</w:t>
      </w:r>
      <w:r w:rsidR="000B767E">
        <w:rPr>
          <w:rStyle w:val="EndnoteReference"/>
          <w:rFonts w:eastAsia="Open Sans" w:cs="Open Sans"/>
        </w:rPr>
        <w:endnoteReference w:id="119"/>
      </w:r>
    </w:p>
    <w:p w14:paraId="0F77E10B" w14:textId="561CB843" w:rsidR="00B34067" w:rsidRDefault="00F60654" w:rsidP="00B34067">
      <w:pPr>
        <w:spacing w:line="257" w:lineRule="auto"/>
        <w:rPr>
          <w:rFonts w:eastAsia="Open Sans" w:cs="Open Sans"/>
        </w:rPr>
      </w:pPr>
      <w:r w:rsidRPr="0042354A">
        <w:rPr>
          <w:rFonts w:eastAsia="Open Sans" w:cs="Open Sans"/>
        </w:rPr>
        <w:t xml:space="preserve">The 2012 </w:t>
      </w:r>
      <w:r w:rsidR="00A67080" w:rsidRPr="0042354A">
        <w:rPr>
          <w:rFonts w:eastAsia="Open Sans" w:cs="Open Sans"/>
        </w:rPr>
        <w:t>Review of Higher Education Access and Outcomes</w:t>
      </w:r>
      <w:r w:rsidR="0059327D" w:rsidRPr="0042354A">
        <w:rPr>
          <w:rFonts w:eastAsia="Open Sans" w:cs="Open Sans"/>
        </w:rPr>
        <w:t xml:space="preserve"> for Aboriginal and Torres Strait Islander</w:t>
      </w:r>
      <w:r w:rsidR="0059327D">
        <w:rPr>
          <w:rFonts w:eastAsia="Open Sans" w:cs="Open Sans"/>
        </w:rPr>
        <w:t xml:space="preserve"> </w:t>
      </w:r>
      <w:r w:rsidR="003F5DCF">
        <w:rPr>
          <w:rFonts w:eastAsia="Open Sans" w:cs="Open Sans"/>
        </w:rPr>
        <w:t xml:space="preserve">People made specific recommendations in relation to </w:t>
      </w:r>
      <w:r w:rsidR="00A656B0">
        <w:rPr>
          <w:rFonts w:eastAsia="Open Sans" w:cs="Open Sans"/>
        </w:rPr>
        <w:t>reducing the disparity</w:t>
      </w:r>
      <w:r w:rsidR="003F5DCF">
        <w:rPr>
          <w:rFonts w:eastAsia="Open Sans" w:cs="Open Sans"/>
        </w:rPr>
        <w:t xml:space="preserve"> </w:t>
      </w:r>
      <w:r w:rsidR="0042354A">
        <w:rPr>
          <w:rFonts w:eastAsia="Open Sans" w:cs="Open Sans"/>
        </w:rPr>
        <w:t xml:space="preserve">in </w:t>
      </w:r>
      <w:r w:rsidR="00A656B0">
        <w:rPr>
          <w:rFonts w:eastAsia="Open Sans" w:cs="Open Sans"/>
        </w:rPr>
        <w:t xml:space="preserve">remote (and regional) </w:t>
      </w:r>
      <w:r w:rsidR="00DA5921">
        <w:rPr>
          <w:rFonts w:eastAsia="Open Sans" w:cs="Open Sans"/>
        </w:rPr>
        <w:t>access and outcomes. The Panel recommended</w:t>
      </w:r>
      <w:r w:rsidR="001F0D5F">
        <w:rPr>
          <w:rFonts w:eastAsia="Open Sans" w:cs="Open Sans"/>
        </w:rPr>
        <w:t xml:space="preserve"> a </w:t>
      </w:r>
      <w:r w:rsidR="001F0D5F">
        <w:rPr>
          <w:rFonts w:eastAsia="Open Sans" w:cs="Open Sans"/>
        </w:rPr>
        <w:lastRenderedPageBreak/>
        <w:t xml:space="preserve">number of </w:t>
      </w:r>
      <w:r w:rsidR="00CB2E67">
        <w:rPr>
          <w:rFonts w:eastAsia="Open Sans" w:cs="Open Sans"/>
        </w:rPr>
        <w:t xml:space="preserve">strategies </w:t>
      </w:r>
      <w:r w:rsidR="002255BF">
        <w:rPr>
          <w:rFonts w:eastAsia="Open Sans" w:cs="Open Sans"/>
        </w:rPr>
        <w:t>for consideration that may be of interest to the Inquiry, including</w:t>
      </w:r>
      <w:r w:rsidR="00B24C21">
        <w:rPr>
          <w:rFonts w:eastAsia="Open Sans" w:cs="Open Sans"/>
        </w:rPr>
        <w:t>:</w:t>
      </w:r>
    </w:p>
    <w:p w14:paraId="3D8104C1" w14:textId="77777777" w:rsidR="00B34067" w:rsidRDefault="00B34067" w:rsidP="00B34067">
      <w:pPr>
        <w:pStyle w:val="ListParagraph"/>
        <w:numPr>
          <w:ilvl w:val="0"/>
          <w:numId w:val="35"/>
        </w:numPr>
        <w:spacing w:line="257" w:lineRule="auto"/>
        <w:rPr>
          <w:rFonts w:eastAsia="Open Sans" w:cs="Open Sans"/>
        </w:rPr>
      </w:pPr>
      <w:r w:rsidRPr="00B34067">
        <w:rPr>
          <w:rFonts w:eastAsia="Open Sans" w:cs="Open Sans"/>
        </w:rPr>
        <w:t>the use of virtual networks and other technology-based solutions to provide greater access to universities by remote and regional students</w:t>
      </w:r>
    </w:p>
    <w:p w14:paraId="63FC7528" w14:textId="77777777" w:rsidR="00B34067" w:rsidRDefault="00B34067" w:rsidP="00B34067">
      <w:pPr>
        <w:pStyle w:val="ListParagraph"/>
        <w:numPr>
          <w:ilvl w:val="0"/>
          <w:numId w:val="35"/>
        </w:numPr>
        <w:spacing w:line="257" w:lineRule="auto"/>
        <w:rPr>
          <w:rFonts w:eastAsia="Open Sans" w:cs="Open Sans"/>
        </w:rPr>
      </w:pPr>
      <w:r w:rsidRPr="00B34067">
        <w:rPr>
          <w:rFonts w:eastAsia="Open Sans" w:cs="Open Sans"/>
        </w:rPr>
        <w:t>options to provide additional and affordable housing specifically for Aboriginal and Torres Strait Islander people relocating away from their families. These options could include developing further partnerships and philanthropic support to deliver affordable accommodation on campus.</w:t>
      </w:r>
    </w:p>
    <w:p w14:paraId="4D852CF7" w14:textId="1CD03755" w:rsidR="008F2FE5" w:rsidRPr="00BD5835" w:rsidRDefault="00B34067" w:rsidP="0042354A">
      <w:pPr>
        <w:pStyle w:val="ListParagraph"/>
        <w:numPr>
          <w:ilvl w:val="0"/>
          <w:numId w:val="35"/>
        </w:numPr>
        <w:spacing w:line="257" w:lineRule="auto"/>
        <w:rPr>
          <w:rFonts w:eastAsia="Open Sans" w:cs="Open Sans"/>
        </w:rPr>
      </w:pPr>
      <w:r w:rsidRPr="00B34067">
        <w:rPr>
          <w:rFonts w:eastAsia="Open Sans" w:cs="Open Sans"/>
        </w:rPr>
        <w:t>working with the Higher Education Standards Panel to develop quality standards for Away-from-Base education delivery</w:t>
      </w:r>
      <w:r w:rsidR="0042354A">
        <w:rPr>
          <w:rFonts w:eastAsia="Open Sans" w:cs="Open Sans"/>
        </w:rPr>
        <w:t>.</w:t>
      </w:r>
      <w:r w:rsidR="00876F0A">
        <w:rPr>
          <w:rStyle w:val="EndnoteReference"/>
          <w:rFonts w:eastAsia="Open Sans" w:cs="Open Sans"/>
        </w:rPr>
        <w:endnoteReference w:id="120"/>
      </w:r>
    </w:p>
    <w:p w14:paraId="3FBCC8DD" w14:textId="3925B8AD" w:rsidR="268B132A" w:rsidRDefault="7F4DAE59" w:rsidP="00EC293E">
      <w:pPr>
        <w:pStyle w:val="Heading3"/>
      </w:pPr>
      <w:bookmarkStart w:id="37" w:name="_Toc32497900"/>
      <w:r w:rsidRPr="7F4DAE59">
        <w:t>Flexible application of the Australian Curriculum</w:t>
      </w:r>
      <w:bookmarkEnd w:id="37"/>
    </w:p>
    <w:p w14:paraId="1352DAC8" w14:textId="63B4766D" w:rsidR="268B132A" w:rsidRDefault="7F4DAE59" w:rsidP="268B132A">
      <w:pPr>
        <w:spacing w:line="257" w:lineRule="auto"/>
      </w:pPr>
      <w:r w:rsidRPr="7F4DAE59">
        <w:rPr>
          <w:rFonts w:eastAsia="Open Sans" w:cs="Open Sans"/>
        </w:rPr>
        <w:t>Throughout the consultations, there were consistent calls for Aboriginal and Torres Strait Islander culture, language and history to be more extensively embedded into the Australian school curriculum. The potential benefits include:</w:t>
      </w:r>
    </w:p>
    <w:p w14:paraId="5E1CD4E4" w14:textId="2B9A4C3E" w:rsidR="268B132A" w:rsidRDefault="000B5363" w:rsidP="268B132A">
      <w:pPr>
        <w:pStyle w:val="ListParagraph"/>
        <w:numPr>
          <w:ilvl w:val="0"/>
          <w:numId w:val="32"/>
        </w:numPr>
        <w:spacing w:line="257" w:lineRule="auto"/>
      </w:pPr>
      <w:r>
        <w:rPr>
          <w:rFonts w:eastAsia="Open Sans" w:cs="Open Sans"/>
        </w:rPr>
        <w:t>i</w:t>
      </w:r>
      <w:r w:rsidR="7F4DAE59" w:rsidRPr="7F4DAE59">
        <w:rPr>
          <w:rFonts w:eastAsia="Open Sans" w:cs="Open Sans"/>
        </w:rPr>
        <w:t>mprov</w:t>
      </w:r>
      <w:r>
        <w:rPr>
          <w:rFonts w:eastAsia="Open Sans" w:cs="Open Sans"/>
        </w:rPr>
        <w:t>ing</w:t>
      </w:r>
      <w:r w:rsidR="7F4DAE59" w:rsidRPr="7F4DAE59">
        <w:rPr>
          <w:rFonts w:eastAsia="Open Sans" w:cs="Open Sans"/>
        </w:rPr>
        <w:t xml:space="preserve"> the engagement and attendance of Aboriginal and Torres Strait Islander students through making the content of the curriculum more relevant</w:t>
      </w:r>
    </w:p>
    <w:p w14:paraId="3F55C925" w14:textId="223B3A44" w:rsidR="268B132A" w:rsidRDefault="000B5363" w:rsidP="268B132A">
      <w:pPr>
        <w:pStyle w:val="ListParagraph"/>
        <w:numPr>
          <w:ilvl w:val="0"/>
          <w:numId w:val="32"/>
        </w:numPr>
        <w:spacing w:line="257" w:lineRule="auto"/>
      </w:pPr>
      <w:r>
        <w:rPr>
          <w:rFonts w:eastAsia="Open Sans" w:cs="Open Sans"/>
        </w:rPr>
        <w:t>e</w:t>
      </w:r>
      <w:r w:rsidR="7F4DAE59" w:rsidRPr="7F4DAE59">
        <w:rPr>
          <w:rFonts w:eastAsia="Open Sans" w:cs="Open Sans"/>
        </w:rPr>
        <w:t>ducat</w:t>
      </w:r>
      <w:r>
        <w:rPr>
          <w:rFonts w:eastAsia="Open Sans" w:cs="Open Sans"/>
        </w:rPr>
        <w:t>ing</w:t>
      </w:r>
      <w:r w:rsidR="7F4DAE59" w:rsidRPr="7F4DAE59">
        <w:rPr>
          <w:rFonts w:eastAsia="Open Sans" w:cs="Open Sans"/>
        </w:rPr>
        <w:t xml:space="preserve"> all students about the </w:t>
      </w:r>
      <w:r>
        <w:rPr>
          <w:rFonts w:eastAsia="Open Sans" w:cs="Open Sans"/>
        </w:rPr>
        <w:t>full</w:t>
      </w:r>
      <w:r w:rsidR="7F4DAE59" w:rsidRPr="7F4DAE59">
        <w:rPr>
          <w:rFonts w:eastAsia="Open Sans" w:cs="Open Sans"/>
        </w:rPr>
        <w:t xml:space="preserve"> Australian history</w:t>
      </w:r>
    </w:p>
    <w:p w14:paraId="22A7C8AA" w14:textId="3C7A4740" w:rsidR="268B132A" w:rsidRDefault="000B5363" w:rsidP="268B132A">
      <w:pPr>
        <w:pStyle w:val="ListParagraph"/>
        <w:numPr>
          <w:ilvl w:val="0"/>
          <w:numId w:val="32"/>
        </w:numPr>
        <w:spacing w:line="257" w:lineRule="auto"/>
      </w:pPr>
      <w:r>
        <w:rPr>
          <w:rFonts w:eastAsia="Open Sans" w:cs="Open Sans"/>
        </w:rPr>
        <w:t>d</w:t>
      </w:r>
      <w:r w:rsidR="7F4DAE59" w:rsidRPr="7F4DAE59">
        <w:rPr>
          <w:rFonts w:eastAsia="Open Sans" w:cs="Open Sans"/>
        </w:rPr>
        <w:t>ecreas</w:t>
      </w:r>
      <w:r>
        <w:rPr>
          <w:rFonts w:eastAsia="Open Sans" w:cs="Open Sans"/>
        </w:rPr>
        <w:t>ing</w:t>
      </w:r>
      <w:r w:rsidR="7F4DAE59" w:rsidRPr="7F4DAE59">
        <w:rPr>
          <w:rFonts w:eastAsia="Open Sans" w:cs="Open Sans"/>
        </w:rPr>
        <w:t xml:space="preserve"> racism and stereotypes that exist and are perpetuated by the curriculum</w:t>
      </w:r>
    </w:p>
    <w:p w14:paraId="06041433" w14:textId="7F875143" w:rsidR="268B132A" w:rsidRDefault="000B5363" w:rsidP="268B132A">
      <w:pPr>
        <w:pStyle w:val="ListParagraph"/>
        <w:numPr>
          <w:ilvl w:val="0"/>
          <w:numId w:val="32"/>
        </w:numPr>
        <w:spacing w:line="257" w:lineRule="auto"/>
      </w:pPr>
      <w:r>
        <w:rPr>
          <w:rFonts w:eastAsia="Open Sans" w:cs="Open Sans"/>
        </w:rPr>
        <w:t>e</w:t>
      </w:r>
      <w:r w:rsidR="7F4DAE59" w:rsidRPr="7F4DAE59">
        <w:rPr>
          <w:rFonts w:eastAsia="Open Sans" w:cs="Open Sans"/>
        </w:rPr>
        <w:t>nabl</w:t>
      </w:r>
      <w:r>
        <w:rPr>
          <w:rFonts w:eastAsia="Open Sans" w:cs="Open Sans"/>
        </w:rPr>
        <w:t>ing</w:t>
      </w:r>
      <w:r w:rsidR="7F4DAE59" w:rsidRPr="7F4DAE59">
        <w:rPr>
          <w:rFonts w:eastAsia="Open Sans" w:cs="Open Sans"/>
        </w:rPr>
        <w:t xml:space="preserve"> local knowledge, cultures and languages to be incorporated within the learning environment, increasing the relevance of the curriculum for local communities</w:t>
      </w:r>
      <w:r w:rsidR="00426D7E">
        <w:rPr>
          <w:rFonts w:eastAsia="Open Sans" w:cs="Open Sans"/>
        </w:rPr>
        <w:t>.</w:t>
      </w:r>
    </w:p>
    <w:p w14:paraId="3FF546F9" w14:textId="43FA478D" w:rsidR="268B132A" w:rsidRDefault="00426D7E" w:rsidP="268B132A">
      <w:pPr>
        <w:spacing w:line="257" w:lineRule="auto"/>
      </w:pPr>
      <w:r>
        <w:rPr>
          <w:rFonts w:eastAsia="Open Sans" w:cs="Open Sans"/>
        </w:rPr>
        <w:t>It is critical to a</w:t>
      </w:r>
      <w:r w:rsidR="7F4DAE59" w:rsidRPr="7F4DAE59">
        <w:rPr>
          <w:rFonts w:eastAsia="Open Sans" w:cs="Open Sans"/>
        </w:rPr>
        <w:t xml:space="preserve">llow for an adaptable curriculum in remote areas to ensure that the measurements of success </w:t>
      </w:r>
      <w:r w:rsidR="00C22F8F">
        <w:rPr>
          <w:rFonts w:eastAsia="Open Sans" w:cs="Open Sans"/>
        </w:rPr>
        <w:t xml:space="preserve">reflect </w:t>
      </w:r>
      <w:r w:rsidR="7F4DAE59" w:rsidRPr="7F4DAE59">
        <w:rPr>
          <w:rFonts w:eastAsia="Open Sans" w:cs="Open Sans"/>
        </w:rPr>
        <w:t xml:space="preserve">the holistic and lifelong learning practices </w:t>
      </w:r>
      <w:r w:rsidR="00430BB9">
        <w:rPr>
          <w:rFonts w:eastAsia="Open Sans" w:cs="Open Sans"/>
        </w:rPr>
        <w:t xml:space="preserve">and </w:t>
      </w:r>
      <w:r w:rsidR="7F4DAE59" w:rsidRPr="7F4DAE59">
        <w:rPr>
          <w:rFonts w:eastAsia="Open Sans" w:cs="Open Sans"/>
        </w:rPr>
        <w:t xml:space="preserve">cultural values </w:t>
      </w:r>
      <w:r w:rsidR="00430BB9">
        <w:rPr>
          <w:rFonts w:eastAsia="Open Sans" w:cs="Open Sans"/>
        </w:rPr>
        <w:t xml:space="preserve">of </w:t>
      </w:r>
      <w:r w:rsidR="7F4DAE59" w:rsidRPr="7F4DAE59">
        <w:rPr>
          <w:rFonts w:eastAsia="Open Sans" w:cs="Open Sans"/>
        </w:rPr>
        <w:t xml:space="preserve">Aboriginal and Torres Strait Islander </w:t>
      </w:r>
      <w:r w:rsidR="00430BB9">
        <w:rPr>
          <w:rFonts w:eastAsia="Open Sans" w:cs="Open Sans"/>
        </w:rPr>
        <w:t>peoples</w:t>
      </w:r>
      <w:r w:rsidR="7F4DAE59" w:rsidRPr="7F4DAE59">
        <w:rPr>
          <w:rFonts w:eastAsia="Open Sans" w:cs="Open Sans"/>
        </w:rPr>
        <w:t xml:space="preserve">. Fundamental to this is the need for recognition of the </w:t>
      </w:r>
      <w:r w:rsidR="001433E6">
        <w:rPr>
          <w:rFonts w:eastAsia="Open Sans" w:cs="Open Sans"/>
        </w:rPr>
        <w:t xml:space="preserve">many </w:t>
      </w:r>
      <w:r w:rsidR="7F4DAE59" w:rsidRPr="7F4DAE59">
        <w:rPr>
          <w:rFonts w:eastAsia="Open Sans" w:cs="Open Sans"/>
        </w:rPr>
        <w:t>strengths of Aboriginal and Torres Strait Islander students</w:t>
      </w:r>
      <w:r w:rsidR="002A4803">
        <w:rPr>
          <w:rFonts w:eastAsia="Open Sans" w:cs="Open Sans"/>
        </w:rPr>
        <w:t>. These strengths include</w:t>
      </w:r>
      <w:r w:rsidR="7F4DAE59" w:rsidRPr="7F4DAE59">
        <w:rPr>
          <w:rFonts w:eastAsia="Open Sans" w:cs="Open Sans"/>
        </w:rPr>
        <w:t xml:space="preserve"> their cultural </w:t>
      </w:r>
      <w:r w:rsidR="00E75D85">
        <w:rPr>
          <w:rFonts w:eastAsia="Open Sans" w:cs="Open Sans"/>
        </w:rPr>
        <w:t>knowledge</w:t>
      </w:r>
      <w:r w:rsidR="00E75D85" w:rsidRPr="7F4DAE59">
        <w:rPr>
          <w:rFonts w:eastAsia="Open Sans" w:cs="Open Sans"/>
        </w:rPr>
        <w:t xml:space="preserve"> </w:t>
      </w:r>
      <w:r w:rsidR="7F4DAE59" w:rsidRPr="7F4DAE59">
        <w:rPr>
          <w:rFonts w:eastAsia="Open Sans" w:cs="Open Sans"/>
        </w:rPr>
        <w:t>and associated responsibilities, which include the preservation and succession of their cultures and languages, and the ability to navigate both</w:t>
      </w:r>
      <w:r w:rsidR="7F4DAE59" w:rsidRPr="7F4DAE59" w:rsidDel="001433E6">
        <w:rPr>
          <w:rFonts w:eastAsia="Open Sans" w:cs="Open Sans"/>
        </w:rPr>
        <w:t xml:space="preserve"> </w:t>
      </w:r>
      <w:r w:rsidR="7F4DAE59" w:rsidRPr="7F4DAE59">
        <w:rPr>
          <w:rFonts w:eastAsia="Open Sans" w:cs="Open Sans"/>
        </w:rPr>
        <w:t xml:space="preserve">cultural and </w:t>
      </w:r>
      <w:r w:rsidR="00FD40CF">
        <w:rPr>
          <w:rFonts w:eastAsia="Open Sans" w:cs="Open Sans"/>
        </w:rPr>
        <w:t>western</w:t>
      </w:r>
      <w:r w:rsidR="00FD40CF" w:rsidRPr="7F4DAE59">
        <w:rPr>
          <w:rFonts w:eastAsia="Open Sans" w:cs="Open Sans"/>
        </w:rPr>
        <w:t xml:space="preserve"> </w:t>
      </w:r>
      <w:r w:rsidR="7F4DAE59" w:rsidRPr="7F4DAE59">
        <w:rPr>
          <w:rFonts w:eastAsia="Open Sans" w:cs="Open Sans"/>
        </w:rPr>
        <w:t xml:space="preserve">worlds. </w:t>
      </w:r>
    </w:p>
    <w:p w14:paraId="22C93865" w14:textId="1C16C867" w:rsidR="268B132A" w:rsidRDefault="7F4DAE59" w:rsidP="268B132A">
      <w:pPr>
        <w:spacing w:line="257" w:lineRule="auto"/>
      </w:pPr>
      <w:r w:rsidRPr="7F4DAE59">
        <w:rPr>
          <w:rFonts w:eastAsia="Open Sans" w:cs="Open Sans"/>
        </w:rPr>
        <w:lastRenderedPageBreak/>
        <w:t>For example, during the Project calls were made for appropriate considerations to be applied to students who require time and additional support to attend to cultural business. Without</w:t>
      </w:r>
      <w:r w:rsidRPr="7F4DAE59" w:rsidDel="00AC4EC7">
        <w:rPr>
          <w:rFonts w:eastAsia="Open Sans" w:cs="Open Sans"/>
        </w:rPr>
        <w:t xml:space="preserve"> </w:t>
      </w:r>
      <w:r w:rsidR="00AC4EC7">
        <w:rPr>
          <w:rFonts w:eastAsia="Open Sans" w:cs="Open Sans"/>
        </w:rPr>
        <w:t>school</w:t>
      </w:r>
      <w:r w:rsidR="0032417E">
        <w:rPr>
          <w:rFonts w:eastAsia="Open Sans" w:cs="Open Sans"/>
        </w:rPr>
        <w:t>s</w:t>
      </w:r>
      <w:r w:rsidR="00884C35">
        <w:rPr>
          <w:rFonts w:eastAsia="Open Sans" w:cs="Open Sans"/>
        </w:rPr>
        <w:t>’</w:t>
      </w:r>
      <w:r w:rsidR="00AC4EC7">
        <w:rPr>
          <w:rFonts w:eastAsia="Open Sans" w:cs="Open Sans"/>
        </w:rPr>
        <w:t xml:space="preserve"> </w:t>
      </w:r>
      <w:r w:rsidRPr="7F4DAE59">
        <w:rPr>
          <w:rFonts w:eastAsia="Open Sans" w:cs="Open Sans"/>
        </w:rPr>
        <w:t>recogni</w:t>
      </w:r>
      <w:r w:rsidR="00AC4EC7">
        <w:rPr>
          <w:rFonts w:eastAsia="Open Sans" w:cs="Open Sans"/>
        </w:rPr>
        <w:t>tion of</w:t>
      </w:r>
      <w:r w:rsidRPr="7F4DAE59">
        <w:rPr>
          <w:rFonts w:eastAsia="Open Sans" w:cs="Open Sans"/>
        </w:rPr>
        <w:t xml:space="preserve"> the significance of participating in cultural events, students </w:t>
      </w:r>
      <w:r w:rsidR="000B5363">
        <w:rPr>
          <w:rFonts w:eastAsia="Open Sans" w:cs="Open Sans"/>
        </w:rPr>
        <w:t xml:space="preserve">may </w:t>
      </w:r>
      <w:r w:rsidR="00B428B4">
        <w:rPr>
          <w:rFonts w:eastAsia="Open Sans" w:cs="Open Sans"/>
        </w:rPr>
        <w:t xml:space="preserve">bear </w:t>
      </w:r>
      <w:r w:rsidR="007A718B">
        <w:rPr>
          <w:rFonts w:eastAsia="Open Sans" w:cs="Open Sans"/>
        </w:rPr>
        <w:t xml:space="preserve">negative </w:t>
      </w:r>
      <w:r w:rsidR="00B428B4">
        <w:rPr>
          <w:rFonts w:eastAsia="Open Sans" w:cs="Open Sans"/>
        </w:rPr>
        <w:t>consequences</w:t>
      </w:r>
      <w:r w:rsidR="007B41F0">
        <w:rPr>
          <w:rFonts w:eastAsia="Open Sans" w:cs="Open Sans"/>
        </w:rPr>
        <w:t xml:space="preserve"> </w:t>
      </w:r>
      <w:r w:rsidRPr="7F4DAE59">
        <w:rPr>
          <w:rFonts w:eastAsia="Open Sans" w:cs="Open Sans"/>
        </w:rPr>
        <w:t>for practi</w:t>
      </w:r>
      <w:r w:rsidR="000B5363">
        <w:rPr>
          <w:rFonts w:eastAsia="Open Sans" w:cs="Open Sans"/>
        </w:rPr>
        <w:t>s</w:t>
      </w:r>
      <w:r w:rsidRPr="7F4DAE59">
        <w:rPr>
          <w:rFonts w:eastAsia="Open Sans" w:cs="Open Sans"/>
        </w:rPr>
        <w:t>ing their culture and adhering to their cultural rules. Valuing the broader environment</w:t>
      </w:r>
      <w:r w:rsidR="00AC4EC7">
        <w:rPr>
          <w:rFonts w:eastAsia="Open Sans" w:cs="Open Sans"/>
        </w:rPr>
        <w:t>al</w:t>
      </w:r>
      <w:r w:rsidRPr="7F4DAE59">
        <w:rPr>
          <w:rFonts w:eastAsia="Open Sans" w:cs="Open Sans"/>
        </w:rPr>
        <w:t xml:space="preserve"> and cultural protocols that impact on a child’s development is critical to the maintenance of their identities and ability to develop into strong adults.</w:t>
      </w:r>
    </w:p>
    <w:p w14:paraId="40E0FC0F" w14:textId="78166760" w:rsidR="268B132A" w:rsidRDefault="7F4DAE59" w:rsidP="268B132A">
      <w:pPr>
        <w:spacing w:line="257" w:lineRule="auto"/>
      </w:pPr>
      <w:r w:rsidRPr="7F4DAE59">
        <w:rPr>
          <w:rFonts w:eastAsia="Open Sans" w:cs="Open Sans"/>
        </w:rPr>
        <w:t xml:space="preserve">The consultations emphasised the critical </w:t>
      </w:r>
      <w:r w:rsidR="00B87BB3">
        <w:rPr>
          <w:rFonts w:eastAsia="Open Sans" w:cs="Open Sans"/>
        </w:rPr>
        <w:t xml:space="preserve">importance </w:t>
      </w:r>
      <w:r w:rsidR="002807A2">
        <w:rPr>
          <w:rFonts w:eastAsia="Open Sans" w:cs="Open Sans"/>
        </w:rPr>
        <w:t xml:space="preserve">of </w:t>
      </w:r>
      <w:r w:rsidRPr="7F4DAE59">
        <w:rPr>
          <w:rFonts w:eastAsia="Open Sans" w:cs="Open Sans"/>
        </w:rPr>
        <w:t>redesign</w:t>
      </w:r>
      <w:r w:rsidR="002807A2">
        <w:rPr>
          <w:rFonts w:eastAsia="Open Sans" w:cs="Open Sans"/>
        </w:rPr>
        <w:t>ing</w:t>
      </w:r>
      <w:r w:rsidRPr="7F4DAE59">
        <w:rPr>
          <w:rFonts w:eastAsia="Open Sans" w:cs="Open Sans"/>
        </w:rPr>
        <w:t xml:space="preserve"> the formal school curriculum</w:t>
      </w:r>
      <w:r w:rsidR="000B5363">
        <w:rPr>
          <w:rFonts w:eastAsia="Open Sans" w:cs="Open Sans"/>
        </w:rPr>
        <w:t>,</w:t>
      </w:r>
      <w:r w:rsidRPr="7F4DAE59">
        <w:rPr>
          <w:rFonts w:eastAsia="Open Sans" w:cs="Open Sans"/>
        </w:rPr>
        <w:t xml:space="preserve"> away from the narrow interpretations </w:t>
      </w:r>
      <w:r w:rsidR="00257BAD">
        <w:rPr>
          <w:rFonts w:eastAsia="Open Sans" w:cs="Open Sans"/>
        </w:rPr>
        <w:t xml:space="preserve">of </w:t>
      </w:r>
      <w:r w:rsidRPr="7F4DAE59">
        <w:rPr>
          <w:rFonts w:eastAsia="Open Sans" w:cs="Open Sans"/>
        </w:rPr>
        <w:t xml:space="preserve">successful outcome measurements to a </w:t>
      </w:r>
      <w:r w:rsidR="0003405C">
        <w:rPr>
          <w:rFonts w:eastAsia="Open Sans" w:cs="Open Sans"/>
        </w:rPr>
        <w:t>curriculum that is</w:t>
      </w:r>
      <w:r w:rsidR="0003405C" w:rsidDel="00F3642F">
        <w:rPr>
          <w:rFonts w:eastAsia="Open Sans" w:cs="Open Sans"/>
        </w:rPr>
        <w:t xml:space="preserve"> </w:t>
      </w:r>
      <w:r w:rsidRPr="7F4DAE59">
        <w:rPr>
          <w:rFonts w:eastAsia="Open Sans" w:cs="Open Sans"/>
        </w:rPr>
        <w:t>inclusive of Aboriginal and Torres Strait Islander students. The Closing the Gap 2019 report includes a commitment from the Australian Government to considerably reform how we work within remote communities. A greater focus on engaging with communities to develop flexible, localised approaches to education</w:t>
      </w:r>
      <w:r w:rsidR="00F3642F">
        <w:rPr>
          <w:rFonts w:eastAsia="Open Sans" w:cs="Open Sans"/>
        </w:rPr>
        <w:t xml:space="preserve"> that</w:t>
      </w:r>
      <w:r w:rsidRPr="7F4DAE59">
        <w:rPr>
          <w:rFonts w:eastAsia="Open Sans" w:cs="Open Sans"/>
        </w:rPr>
        <w:t xml:space="preserve"> </w:t>
      </w:r>
      <w:r w:rsidR="00F3642F">
        <w:rPr>
          <w:rFonts w:eastAsia="Open Sans" w:cs="Open Sans"/>
        </w:rPr>
        <w:t>encourage</w:t>
      </w:r>
      <w:r w:rsidRPr="7F4DAE59">
        <w:rPr>
          <w:rFonts w:eastAsia="Open Sans" w:cs="Open Sans"/>
        </w:rPr>
        <w:t xml:space="preserve"> local employment has been endorsed as the appropriate focus for the way forward.</w:t>
      </w:r>
      <w:r w:rsidR="00157071">
        <w:rPr>
          <w:rStyle w:val="EndnoteReference"/>
          <w:rFonts w:eastAsia="Open Sans" w:cs="Open Sans"/>
        </w:rPr>
        <w:endnoteReference w:id="121"/>
      </w:r>
    </w:p>
    <w:p w14:paraId="4F9853DB" w14:textId="0E88C1A4" w:rsidR="00785597" w:rsidRDefault="7F4DAE59" w:rsidP="268B132A">
      <w:pPr>
        <w:spacing w:line="257" w:lineRule="auto"/>
        <w:rPr>
          <w:rFonts w:eastAsia="Open Sans" w:cs="Open Sans"/>
        </w:rPr>
      </w:pPr>
      <w:r w:rsidRPr="7F4DAE59">
        <w:rPr>
          <w:rFonts w:eastAsia="Open Sans" w:cs="Open Sans"/>
        </w:rPr>
        <w:t xml:space="preserve">One example put forward by Dr Sean </w:t>
      </w:r>
      <w:proofErr w:type="spellStart"/>
      <w:r w:rsidRPr="7F4DAE59">
        <w:rPr>
          <w:rFonts w:eastAsia="Open Sans" w:cs="Open Sans"/>
        </w:rPr>
        <w:t>Kerins</w:t>
      </w:r>
      <w:proofErr w:type="spellEnd"/>
      <w:r w:rsidRPr="7F4DAE59">
        <w:rPr>
          <w:rFonts w:eastAsia="Open Sans" w:cs="Open Sans"/>
        </w:rPr>
        <w:t xml:space="preserve"> of the Centre for Aboriginal Economic Policy Research, creatively amalgamates the critical foundations of culture, </w:t>
      </w:r>
      <w:r w:rsidR="00EC04A7">
        <w:rPr>
          <w:rFonts w:eastAsia="Open Sans" w:cs="Open Sans"/>
        </w:rPr>
        <w:t>c</w:t>
      </w:r>
      <w:r w:rsidRPr="7F4DAE59">
        <w:rPr>
          <w:rFonts w:eastAsia="Open Sans" w:cs="Open Sans"/>
        </w:rPr>
        <w:t>ountry and education by endorsing a flexible curriculum</w:t>
      </w:r>
      <w:r w:rsidR="000B5363">
        <w:rPr>
          <w:rFonts w:eastAsia="Open Sans" w:cs="Open Sans"/>
        </w:rPr>
        <w:t>,</w:t>
      </w:r>
      <w:r w:rsidRPr="7F4DAE59">
        <w:rPr>
          <w:rFonts w:eastAsia="Open Sans" w:cs="Open Sans"/>
        </w:rPr>
        <w:t xml:space="preserve"> that includes</w:t>
      </w:r>
      <w:r w:rsidR="00785597">
        <w:rPr>
          <w:rFonts w:eastAsia="Open Sans" w:cs="Open Sans"/>
        </w:rPr>
        <w:t>:</w:t>
      </w:r>
      <w:r w:rsidRPr="7F4DAE59">
        <w:rPr>
          <w:rFonts w:eastAsia="Open Sans" w:cs="Open Sans"/>
        </w:rPr>
        <w:t xml:space="preserve"> </w:t>
      </w:r>
    </w:p>
    <w:p w14:paraId="1C72A461" w14:textId="0C477907" w:rsidR="268B132A" w:rsidRPr="00835526" w:rsidRDefault="7F4DAE59" w:rsidP="00835526">
      <w:pPr>
        <w:spacing w:line="257" w:lineRule="auto"/>
        <w:ind w:left="720"/>
        <w:rPr>
          <w:sz w:val="22"/>
          <w:szCs w:val="22"/>
        </w:rPr>
      </w:pPr>
      <w:r w:rsidRPr="00835526">
        <w:rPr>
          <w:rFonts w:eastAsia="Open Sans" w:cs="Open Sans"/>
          <w:sz w:val="22"/>
          <w:szCs w:val="22"/>
        </w:rPr>
        <w:t>cultural and natural resource management within school curricula, as learning through country, especially, but not exclusively, in remote area Indigenous schools, and develop more two-way post-school training opportunities for Indigenous rangers in cultural and natural resource management.</w:t>
      </w:r>
      <w:r w:rsidR="007159BE" w:rsidRPr="00835526">
        <w:rPr>
          <w:rStyle w:val="EndnoteReference"/>
          <w:rFonts w:eastAsia="Open Sans" w:cs="Open Sans"/>
          <w:sz w:val="22"/>
          <w:szCs w:val="22"/>
        </w:rPr>
        <w:endnoteReference w:id="122"/>
      </w:r>
      <w:r w:rsidR="00656F04" w:rsidRPr="00835526">
        <w:rPr>
          <w:sz w:val="22"/>
          <w:szCs w:val="22"/>
        </w:rPr>
        <w:t xml:space="preserve"> </w:t>
      </w:r>
    </w:p>
    <w:p w14:paraId="1AEA2780" w14:textId="2F797C7B" w:rsidR="268B132A" w:rsidRDefault="00C20ECF" w:rsidP="268B132A">
      <w:pPr>
        <w:spacing w:line="257" w:lineRule="auto"/>
      </w:pPr>
      <w:r>
        <w:rPr>
          <w:rFonts w:eastAsia="Open Sans" w:cs="Open Sans"/>
        </w:rPr>
        <w:t>In the</w:t>
      </w:r>
      <w:r w:rsidR="00A04A7C">
        <w:rPr>
          <w:rFonts w:eastAsia="Open Sans" w:cs="Open Sans"/>
        </w:rPr>
        <w:t xml:space="preserve"> Northern Territory</w:t>
      </w:r>
      <w:r>
        <w:rPr>
          <w:rFonts w:eastAsia="Open Sans" w:cs="Open Sans"/>
        </w:rPr>
        <w:t xml:space="preserve"> for example</w:t>
      </w:r>
      <w:r w:rsidR="000B5363">
        <w:rPr>
          <w:rFonts w:eastAsia="Open Sans" w:cs="Open Sans"/>
        </w:rPr>
        <w:t>,</w:t>
      </w:r>
      <w:r w:rsidR="001A6464">
        <w:rPr>
          <w:rFonts w:eastAsia="Open Sans" w:cs="Open Sans"/>
        </w:rPr>
        <w:t xml:space="preserve"> there are </w:t>
      </w:r>
      <w:r w:rsidR="7F4DAE59" w:rsidRPr="7F4DAE59">
        <w:rPr>
          <w:rFonts w:eastAsia="Open Sans" w:cs="Open Sans"/>
        </w:rPr>
        <w:t>six Aboriginal Independent Community Schools, each operating in a remote community. The schools operate on a localised, bi-lingual curriculum and are locally governed by the community in which they operate.</w:t>
      </w:r>
      <w:r w:rsidR="007B6189">
        <w:rPr>
          <w:rStyle w:val="EndnoteReference"/>
          <w:rFonts w:eastAsia="Open Sans" w:cs="Open Sans"/>
        </w:rPr>
        <w:endnoteReference w:id="123"/>
      </w:r>
    </w:p>
    <w:p w14:paraId="43DC65DC" w14:textId="3CCFD8E5" w:rsidR="268B132A" w:rsidRDefault="7F4DAE59" w:rsidP="268B132A">
      <w:pPr>
        <w:spacing w:line="257" w:lineRule="auto"/>
      </w:pPr>
      <w:r w:rsidRPr="7F4DAE59">
        <w:rPr>
          <w:rFonts w:eastAsia="Open Sans" w:cs="Open Sans"/>
        </w:rPr>
        <w:t xml:space="preserve">Another example is the </w:t>
      </w:r>
      <w:proofErr w:type="spellStart"/>
      <w:r w:rsidRPr="7F4DAE59">
        <w:rPr>
          <w:rFonts w:eastAsia="Open Sans" w:cs="Open Sans"/>
        </w:rPr>
        <w:t>Yiramalay</w:t>
      </w:r>
      <w:proofErr w:type="spellEnd"/>
      <w:r w:rsidRPr="7F4DAE59">
        <w:rPr>
          <w:rFonts w:eastAsia="Open Sans" w:cs="Open Sans"/>
        </w:rPr>
        <w:t xml:space="preserve"> Studio School</w:t>
      </w:r>
      <w:r w:rsidR="000B5363">
        <w:rPr>
          <w:rFonts w:eastAsia="Open Sans" w:cs="Open Sans"/>
        </w:rPr>
        <w:t>,</w:t>
      </w:r>
      <w:r w:rsidRPr="7F4DAE59">
        <w:rPr>
          <w:rFonts w:eastAsia="Open Sans" w:cs="Open Sans"/>
        </w:rPr>
        <w:t xml:space="preserve"> which operates an exchange program between the Fitzroy Valley in the Kimberley, Western Australia and Wesley College in Melbourne, Victoria. The focus of the partnership is the preservation of the </w:t>
      </w:r>
      <w:proofErr w:type="spellStart"/>
      <w:r w:rsidRPr="7F4DAE59">
        <w:rPr>
          <w:rFonts w:eastAsia="Open Sans" w:cs="Open Sans"/>
        </w:rPr>
        <w:t>Bunuba</w:t>
      </w:r>
      <w:proofErr w:type="spellEnd"/>
      <w:r w:rsidRPr="7F4DAE59">
        <w:rPr>
          <w:rFonts w:eastAsia="Open Sans" w:cs="Open Sans"/>
        </w:rPr>
        <w:t xml:space="preserve"> language, recognition of the importance of learning on</w:t>
      </w:r>
      <w:r w:rsidR="000B5363">
        <w:rPr>
          <w:rFonts w:eastAsia="Open Sans" w:cs="Open Sans"/>
        </w:rPr>
        <w:t>-c</w:t>
      </w:r>
      <w:r w:rsidRPr="7F4DAE59">
        <w:rPr>
          <w:rFonts w:eastAsia="Open Sans" w:cs="Open Sans"/>
        </w:rPr>
        <w:t xml:space="preserve">ountry, sharing Aboriginal culture with students from urban environments and encouraging young people to confidently navigate their cultural and </w:t>
      </w:r>
      <w:r w:rsidR="00422B39">
        <w:rPr>
          <w:rFonts w:eastAsia="Open Sans" w:cs="Open Sans"/>
        </w:rPr>
        <w:t>western</w:t>
      </w:r>
      <w:r w:rsidR="00422B39" w:rsidRPr="7F4DAE59">
        <w:rPr>
          <w:rFonts w:eastAsia="Open Sans" w:cs="Open Sans"/>
        </w:rPr>
        <w:t xml:space="preserve"> </w:t>
      </w:r>
      <w:r w:rsidRPr="7F4DAE59">
        <w:rPr>
          <w:rFonts w:eastAsia="Open Sans" w:cs="Open Sans"/>
        </w:rPr>
        <w:t>worlds.</w:t>
      </w:r>
      <w:r w:rsidR="000960F0">
        <w:rPr>
          <w:rStyle w:val="EndnoteReference"/>
          <w:rFonts w:eastAsia="Open Sans" w:cs="Open Sans"/>
        </w:rPr>
        <w:endnoteReference w:id="124"/>
      </w:r>
      <w:r>
        <w:t xml:space="preserve"> </w:t>
      </w:r>
    </w:p>
    <w:p w14:paraId="3DCAF38D" w14:textId="60835209" w:rsidR="268B132A" w:rsidRDefault="7F4DAE59" w:rsidP="268B132A">
      <w:pPr>
        <w:spacing w:line="257" w:lineRule="auto"/>
        <w:rPr>
          <w:rFonts w:eastAsia="Open Sans" w:cs="Open Sans"/>
        </w:rPr>
      </w:pPr>
      <w:r w:rsidRPr="7F4DAE59">
        <w:rPr>
          <w:rFonts w:eastAsia="Open Sans" w:cs="Open Sans"/>
        </w:rPr>
        <w:t>Aboriginal and Torres Strait Islander peoples need to be engaged with and supported to co</w:t>
      </w:r>
      <w:r w:rsidR="000B5363">
        <w:rPr>
          <w:rFonts w:eastAsia="Open Sans" w:cs="Open Sans"/>
        </w:rPr>
        <w:t>-</w:t>
      </w:r>
      <w:r w:rsidRPr="7F4DAE59">
        <w:rPr>
          <w:rFonts w:eastAsia="Open Sans" w:cs="Open Sans"/>
        </w:rPr>
        <w:t xml:space="preserve">design a system that is inclusive and culturally secure for Aboriginal and Torres </w:t>
      </w:r>
      <w:r w:rsidRPr="7F4DAE59">
        <w:rPr>
          <w:rFonts w:eastAsia="Open Sans" w:cs="Open Sans"/>
        </w:rPr>
        <w:lastRenderedPageBreak/>
        <w:t xml:space="preserve">Strait Islander students and recognises their wider cultural learning environment. The responsibility cannot remain solely on Aboriginal and Torres Strait Islander students to navigate a system that </w:t>
      </w:r>
      <w:r w:rsidR="000B5363">
        <w:rPr>
          <w:rFonts w:eastAsia="Open Sans" w:cs="Open Sans"/>
        </w:rPr>
        <w:t>may</w:t>
      </w:r>
      <w:r w:rsidRPr="7F4DAE59">
        <w:rPr>
          <w:rFonts w:eastAsia="Open Sans" w:cs="Open Sans"/>
        </w:rPr>
        <w:t xml:space="preserve"> not </w:t>
      </w:r>
      <w:r w:rsidR="000B5363">
        <w:rPr>
          <w:rFonts w:eastAsia="Open Sans" w:cs="Open Sans"/>
        </w:rPr>
        <w:t xml:space="preserve">be </w:t>
      </w:r>
      <w:r w:rsidRPr="7F4DAE59">
        <w:rPr>
          <w:rFonts w:eastAsia="Open Sans" w:cs="Open Sans"/>
        </w:rPr>
        <w:t>appropriate or accessible to them.</w:t>
      </w:r>
    </w:p>
    <w:tbl>
      <w:tblPr>
        <w:tblStyle w:val="TableGrid"/>
        <w:tblW w:w="0" w:type="auto"/>
        <w:tblInd w:w="-5" w:type="dxa"/>
        <w:shd w:val="clear" w:color="auto" w:fill="EDEDED" w:themeFill="accent3" w:themeFillTint="33"/>
        <w:tblLook w:val="04A0" w:firstRow="1" w:lastRow="0" w:firstColumn="1" w:lastColumn="0" w:noHBand="0" w:noVBand="1"/>
      </w:tblPr>
      <w:tblGrid>
        <w:gridCol w:w="9065"/>
      </w:tblGrid>
      <w:tr w:rsidR="006843FF" w14:paraId="3B088A25" w14:textId="77777777" w:rsidTr="007F2056">
        <w:tc>
          <w:tcPr>
            <w:tcW w:w="9065" w:type="dxa"/>
            <w:shd w:val="clear" w:color="auto" w:fill="EDEDED" w:themeFill="accent3" w:themeFillTint="33"/>
          </w:tcPr>
          <w:p w14:paraId="47177577" w14:textId="6390C846" w:rsidR="006843FF" w:rsidRPr="00C8594F" w:rsidRDefault="006843FF" w:rsidP="007F2056">
            <w:pPr>
              <w:rPr>
                <w:b/>
                <w:bCs/>
              </w:rPr>
            </w:pPr>
            <w:r w:rsidRPr="00C8594F">
              <w:rPr>
                <w:b/>
                <w:bCs/>
              </w:rPr>
              <w:t>Recommendation</w:t>
            </w:r>
            <w:r w:rsidRPr="00961B69">
              <w:rPr>
                <w:b/>
                <w:bCs/>
              </w:rPr>
              <w:t xml:space="preserve"> </w:t>
            </w:r>
            <w:r w:rsidR="00C8594F" w:rsidRPr="00561759">
              <w:rPr>
                <w:b/>
                <w:bCs/>
              </w:rPr>
              <w:t>13</w:t>
            </w:r>
          </w:p>
          <w:p w14:paraId="12149799" w14:textId="20FC072F" w:rsidR="006843FF" w:rsidRPr="008D7E24" w:rsidRDefault="006928F6" w:rsidP="008D7E24">
            <w:pPr>
              <w:rPr>
                <w:sz w:val="22"/>
                <w:szCs w:val="22"/>
              </w:rPr>
            </w:pPr>
            <w:r w:rsidRPr="00561759">
              <w:t>Austr</w:t>
            </w:r>
            <w:r w:rsidR="00F84742" w:rsidRPr="00561759">
              <w:t>al</w:t>
            </w:r>
            <w:r w:rsidRPr="00561759">
              <w:t>ian Government</w:t>
            </w:r>
            <w:r w:rsidR="00F84742" w:rsidRPr="00561759">
              <w:t>s</w:t>
            </w:r>
            <w:r w:rsidRPr="00561759">
              <w:t xml:space="preserve"> support </w:t>
            </w:r>
            <w:r w:rsidR="001907DF" w:rsidRPr="00561759">
              <w:t xml:space="preserve">schools to </w:t>
            </w:r>
            <w:r w:rsidR="00614FB4" w:rsidRPr="00561759">
              <w:t xml:space="preserve">embed </w:t>
            </w:r>
            <w:r w:rsidR="000A7B9D" w:rsidRPr="00561759">
              <w:t>local culture, history and language</w:t>
            </w:r>
            <w:r w:rsidR="00F84742" w:rsidRPr="00561759">
              <w:t xml:space="preserve"> into the school curriculum</w:t>
            </w:r>
            <w:r w:rsidR="00C53B6E">
              <w:t xml:space="preserve">, including </w:t>
            </w:r>
            <w:r w:rsidR="00FF6ECF">
              <w:t xml:space="preserve">learning about </w:t>
            </w:r>
            <w:r w:rsidR="00C53B6E">
              <w:t>the process of colonisation</w:t>
            </w:r>
            <w:r w:rsidR="008C2BA6">
              <w:t xml:space="preserve"> </w:t>
            </w:r>
            <w:r w:rsidR="00BD33CE">
              <w:t>and its impact on</w:t>
            </w:r>
            <w:r w:rsidR="008C2BA6">
              <w:t xml:space="preserve"> Aboriginal and Torres Strait Islander peoples.</w:t>
            </w:r>
          </w:p>
        </w:tc>
      </w:tr>
      <w:bookmarkEnd w:id="8"/>
    </w:tbl>
    <w:p w14:paraId="0B5466FA" w14:textId="43129B51" w:rsidR="00A7615D" w:rsidRDefault="00A7615D" w:rsidP="0043123E">
      <w:pPr>
        <w:pStyle w:val="Heading1"/>
        <w:numPr>
          <w:ilvl w:val="0"/>
          <w:numId w:val="0"/>
        </w:numPr>
      </w:pPr>
    </w:p>
    <w:sectPr w:rsidR="00A7615D" w:rsidSect="007955A9">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code="9"/>
      <w:pgMar w:top="2438" w:right="1418" w:bottom="1134" w:left="1418" w:header="907" w:footer="284"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AC38" w14:textId="77777777" w:rsidR="006907BD" w:rsidRDefault="006907BD" w:rsidP="00F14C6D">
      <w:r>
        <w:separator/>
      </w:r>
    </w:p>
  </w:endnote>
  <w:endnote w:type="continuationSeparator" w:id="0">
    <w:p w14:paraId="3A254437" w14:textId="77777777" w:rsidR="006907BD" w:rsidRDefault="006907BD" w:rsidP="00F14C6D">
      <w:r>
        <w:continuationSeparator/>
      </w:r>
    </w:p>
  </w:endnote>
  <w:endnote w:type="continuationNotice" w:id="1">
    <w:p w14:paraId="78AD94DB" w14:textId="77777777" w:rsidR="006907BD" w:rsidRDefault="006907BD">
      <w:pPr>
        <w:spacing w:before="0" w:after="0"/>
      </w:pPr>
    </w:p>
  </w:endnote>
  <w:endnote w:id="2">
    <w:p w14:paraId="11CA4FBE" w14:textId="795738D6" w:rsidR="006907BD" w:rsidRDefault="006907BD" w:rsidP="002A31CD">
      <w:pPr>
        <w:pStyle w:val="EndnoteText"/>
      </w:pPr>
      <w:r>
        <w:rPr>
          <w:rStyle w:val="EndnoteReference"/>
        </w:rPr>
        <w:endnoteRef/>
      </w:r>
      <w:r>
        <w:t xml:space="preserve"> Human Rights and Equal Opportunity Commission, </w:t>
      </w:r>
      <w:r w:rsidRPr="005039A5">
        <w:rPr>
          <w:i/>
          <w:iCs/>
        </w:rPr>
        <w:t>“Recommendations”: National Inquiry into Rural and Remote Education</w:t>
      </w:r>
      <w:r>
        <w:t xml:space="preserve"> (2002) </w:t>
      </w:r>
      <w:hyperlink r:id="rId1" w:history="1">
        <w:r>
          <w:rPr>
            <w:rStyle w:val="Hyperlink"/>
          </w:rPr>
          <w:t>https://www.humanrights.gov.au/our-work/rights-and-freedoms/projects/rural-and-remote-education-inquiry</w:t>
        </w:r>
      </w:hyperlink>
      <w:r>
        <w:t xml:space="preserve">; Australian Human Rights Commission, Submission to the Senate Community Affairs References Committee’s inquiry into the accessibility and quality of mental health services in rural and remote Australia (30 April 2018); </w:t>
      </w:r>
      <w:r w:rsidRPr="000201F6">
        <w:t>Australian Human Rights Commission, Submission to Senate Economics References Committee inquiry into The indicators of, and impact of, regional inequality in Australia (30 April 2018)</w:t>
      </w:r>
      <w:r>
        <w:t xml:space="preserve">; Australian Human Rights Commission, Children’s Rights Reports,  </w:t>
      </w:r>
      <w:hyperlink r:id="rId2" w:history="1">
        <w:r>
          <w:rPr>
            <w:rStyle w:val="Hyperlink"/>
          </w:rPr>
          <w:t>https://www.humanrights.gov.au/our-work/childrens-rights/projects/childrens-rights-reports</w:t>
        </w:r>
      </w:hyperlink>
      <w:r>
        <w:t xml:space="preserve">; Australian Human Rights Commission, Wiyi Yani U Thangani (Women’s Voices) </w:t>
      </w:r>
      <w:hyperlink r:id="rId3" w:history="1">
        <w:r>
          <w:rPr>
            <w:rStyle w:val="Hyperlink"/>
          </w:rPr>
          <w:t>https://www.humanrights.gov.au/our-work/aboriginal-and-torres-strait-islander-social-justice/projects/wiyi-yani-u-thangani-womens</w:t>
        </w:r>
      </w:hyperlink>
      <w:r>
        <w:t xml:space="preserve">; Social Justice Reports, </w:t>
      </w:r>
      <w:hyperlink r:id="rId4" w:history="1">
        <w:r>
          <w:rPr>
            <w:rStyle w:val="Hyperlink"/>
          </w:rPr>
          <w:t>https://www.humanrights.gov.au/our-work/aboriginal-and-torres-strait-islander-social-justice/publications/social-justice-reports</w:t>
        </w:r>
      </w:hyperlink>
      <w:r w:rsidRPr="00472FA5">
        <w:t>.</w:t>
      </w:r>
    </w:p>
  </w:endnote>
  <w:endnote w:id="3">
    <w:p w14:paraId="0EB733E1" w14:textId="7762AB76" w:rsidR="006907BD" w:rsidRDefault="006907BD" w:rsidP="000E7877">
      <w:pPr>
        <w:pStyle w:val="EndnoteText"/>
      </w:pPr>
      <w:r>
        <w:rPr>
          <w:rStyle w:val="EndnoteReference"/>
        </w:rPr>
        <w:endnoteRef/>
      </w:r>
      <w:r>
        <w:t xml:space="preserve"> Human Rights and Equal Opportunity Commission, </w:t>
      </w:r>
      <w:r w:rsidRPr="005039A5">
        <w:rPr>
          <w:i/>
          <w:iCs/>
        </w:rPr>
        <w:t>“Recommendations”: National Inquiry into Rural and Remote Education</w:t>
      </w:r>
      <w:r>
        <w:t xml:space="preserve"> (2002) </w:t>
      </w:r>
      <w:hyperlink r:id="rId5" w:history="1">
        <w:r>
          <w:rPr>
            <w:rStyle w:val="Hyperlink"/>
          </w:rPr>
          <w:t>https://www.humanrights.gov.au/our-work/rights-and-freedoms/projects/rural-and-remote-education-inquiry</w:t>
        </w:r>
      </w:hyperlink>
      <w:r>
        <w:rPr>
          <w:rStyle w:val="Hyperlink"/>
        </w:rPr>
        <w:t>.</w:t>
      </w:r>
    </w:p>
  </w:endnote>
  <w:endnote w:id="4">
    <w:p w14:paraId="0D177EDA" w14:textId="4AC376AD" w:rsidR="006907BD" w:rsidRDefault="006907BD" w:rsidP="007F0BF0">
      <w:pPr>
        <w:pStyle w:val="EndnoteText"/>
      </w:pPr>
      <w:r>
        <w:rPr>
          <w:rStyle w:val="EndnoteReference"/>
        </w:rPr>
        <w:endnoteRef/>
      </w:r>
      <w:r>
        <w:t xml:space="preserve"> </w:t>
      </w:r>
      <w:r w:rsidRPr="000201F6">
        <w:t>Australian Human Rights Commission, Submission to Senate Economics References Committee inquiry into The indicators of, and impact of, regional inequality in Australia (30 April 2018)</w:t>
      </w:r>
      <w:r>
        <w:t>.</w:t>
      </w:r>
    </w:p>
  </w:endnote>
  <w:endnote w:id="5">
    <w:p w14:paraId="585D7662" w14:textId="7A429C08" w:rsidR="006907BD" w:rsidRDefault="006907BD">
      <w:pPr>
        <w:pStyle w:val="EndnoteText"/>
      </w:pPr>
      <w:r>
        <w:rPr>
          <w:rStyle w:val="EndnoteReference"/>
        </w:rPr>
        <w:endnoteRef/>
      </w:r>
      <w:r>
        <w:t xml:space="preserve">Australian Human Rights Commission, Children’s Rights Reports,  </w:t>
      </w:r>
      <w:hyperlink r:id="rId6" w:history="1">
        <w:r>
          <w:rPr>
            <w:rStyle w:val="Hyperlink"/>
          </w:rPr>
          <w:t>https://www.humanrights.gov.au/our-work/childrens-rights/projects/childrens-rights-reports</w:t>
        </w:r>
      </w:hyperlink>
      <w:r>
        <w:t>.</w:t>
      </w:r>
    </w:p>
  </w:endnote>
  <w:endnote w:id="6">
    <w:p w14:paraId="7AB23D90" w14:textId="12FC8500" w:rsidR="006907BD" w:rsidRDefault="006907BD">
      <w:pPr>
        <w:pStyle w:val="EndnoteText"/>
      </w:pPr>
      <w:r>
        <w:rPr>
          <w:rStyle w:val="EndnoteReference"/>
        </w:rPr>
        <w:endnoteRef/>
      </w:r>
      <w:r>
        <w:t xml:space="preserve">Australian Human Rights Commission, Wiyi Yani U Thangani (Women’s Voices) </w:t>
      </w:r>
      <w:hyperlink r:id="rId7" w:history="1">
        <w:r>
          <w:rPr>
            <w:rStyle w:val="Hyperlink"/>
          </w:rPr>
          <w:t>https://www.humanrights.gov.au/our-work/aboriginal-and-torres-strait-islander-social-justice/projects/wiyi-yani-u-thangani-womens</w:t>
        </w:r>
      </w:hyperlink>
      <w:r>
        <w:t>.</w:t>
      </w:r>
    </w:p>
  </w:endnote>
  <w:endnote w:id="7">
    <w:p w14:paraId="6E3CF23D" w14:textId="77777777" w:rsidR="006907BD" w:rsidRDefault="006907BD" w:rsidP="005E7F68">
      <w:pPr>
        <w:pStyle w:val="EndnoteText"/>
        <w:rPr>
          <w:rFonts w:cs="Arial"/>
        </w:rPr>
      </w:pPr>
      <w:r>
        <w:rPr>
          <w:rStyle w:val="EndnoteReference"/>
        </w:rPr>
        <w:endnoteRef/>
      </w:r>
      <w:r>
        <w:rPr>
          <w:rFonts w:cs="Arial"/>
        </w:rPr>
        <w:t xml:space="preserve"> </w:t>
      </w:r>
      <w:r>
        <w:rPr>
          <w:rFonts w:cs="Arial"/>
          <w:i/>
        </w:rPr>
        <w:t>Convention on the Rights of the Child</w:t>
      </w:r>
      <w:r>
        <w:rPr>
          <w:rFonts w:cs="Arial"/>
        </w:rPr>
        <w:t xml:space="preserve">, opened for signature 20 November 1989, 1577 UNTS 3 (entered into force 2 September 1990) arts 28, 29. </w:t>
      </w:r>
    </w:p>
  </w:endnote>
  <w:endnote w:id="8">
    <w:p w14:paraId="1DE05940" w14:textId="77777777" w:rsidR="006907BD" w:rsidRDefault="006907BD" w:rsidP="00937D9E">
      <w:pPr>
        <w:pStyle w:val="EndnoteText"/>
        <w:rPr>
          <w:rFonts w:cs="Arial"/>
        </w:rPr>
      </w:pPr>
      <w:r>
        <w:rPr>
          <w:rStyle w:val="EndnoteReference"/>
        </w:rPr>
        <w:endnoteRef/>
      </w:r>
      <w:r>
        <w:rPr>
          <w:rFonts w:cs="Arial"/>
        </w:rPr>
        <w:t xml:space="preserve"> </w:t>
      </w:r>
      <w:r>
        <w:rPr>
          <w:rFonts w:cs="Arial"/>
          <w:i/>
        </w:rPr>
        <w:t>Convention on the Rights of the Child</w:t>
      </w:r>
      <w:r>
        <w:rPr>
          <w:rFonts w:cs="Arial"/>
        </w:rPr>
        <w:t xml:space="preserve">, opened for signature 20 November 1989, 1577 UNTS 3 (entered into force 2 September 1990) arts 28, 29. </w:t>
      </w:r>
    </w:p>
  </w:endnote>
  <w:endnote w:id="9">
    <w:p w14:paraId="49D71BAA" w14:textId="2705C0B9" w:rsidR="006907BD" w:rsidRDefault="006907BD">
      <w:pPr>
        <w:pStyle w:val="EndnoteText"/>
      </w:pPr>
      <w:r>
        <w:rPr>
          <w:rStyle w:val="EndnoteReference"/>
        </w:rPr>
        <w:endnoteRef/>
      </w:r>
      <w:r>
        <w:t xml:space="preserve"> </w:t>
      </w:r>
      <w:r w:rsidRPr="00F96816">
        <w:rPr>
          <w:i/>
          <w:iCs/>
        </w:rPr>
        <w:t>International Covenant on Economic, Social and Cultural Rights</w:t>
      </w:r>
      <w:r>
        <w:t xml:space="preserve">, opened for signature 19 December 1966, </w:t>
      </w:r>
      <w:r w:rsidRPr="00BE0421">
        <w:rPr>
          <w:rFonts w:cs="Arial"/>
        </w:rPr>
        <w:t>993 UNTS 3</w:t>
      </w:r>
      <w:r>
        <w:t xml:space="preserve"> (entered into force 3 January 1976), art 13.</w:t>
      </w:r>
    </w:p>
  </w:endnote>
  <w:endnote w:id="10">
    <w:p w14:paraId="604F99A6" w14:textId="7262842F" w:rsidR="006907BD" w:rsidRDefault="006907BD">
      <w:pPr>
        <w:pStyle w:val="EndnoteText"/>
      </w:pPr>
      <w:r>
        <w:rPr>
          <w:rStyle w:val="EndnoteReference"/>
        </w:rPr>
        <w:endnoteRef/>
      </w:r>
      <w:r>
        <w:t xml:space="preserve"> Human Rights and Equal Opportunity Commission, </w:t>
      </w:r>
      <w:r w:rsidRPr="005039A5">
        <w:rPr>
          <w:i/>
          <w:iCs/>
        </w:rPr>
        <w:t>“Recommendations”: National Inquiry into Rural and Remote Education</w:t>
      </w:r>
      <w:r>
        <w:t xml:space="preserve"> (2002) 23 </w:t>
      </w:r>
      <w:hyperlink r:id="rId8" w:history="1">
        <w:r>
          <w:rPr>
            <w:rStyle w:val="Hyperlink"/>
          </w:rPr>
          <w:t>https://www.humanrights.gov.au/our-work/rights-and-freedoms/projects/rural-and-remote-education-inquiry</w:t>
        </w:r>
      </w:hyperlink>
    </w:p>
  </w:endnote>
  <w:endnote w:id="11">
    <w:p w14:paraId="690DDDAB" w14:textId="157354BF" w:rsidR="006907BD" w:rsidRDefault="006907BD">
      <w:pPr>
        <w:pStyle w:val="EndnoteText"/>
      </w:pPr>
      <w:r>
        <w:rPr>
          <w:rStyle w:val="EndnoteReference"/>
        </w:rPr>
        <w:endnoteRef/>
      </w:r>
      <w:r>
        <w:t xml:space="preserve"> Committee on Economic, Social and Cultural Rights, </w:t>
      </w:r>
      <w:r w:rsidRPr="00D85C51">
        <w:rPr>
          <w:i/>
        </w:rPr>
        <w:t>General Comment No 13</w:t>
      </w:r>
      <w:r w:rsidRPr="00D85C51">
        <w:rPr>
          <w:i/>
          <w:iCs/>
        </w:rPr>
        <w:t>: The Right to education</w:t>
      </w:r>
      <w:r w:rsidRPr="00D85C51">
        <w:t>, UN Doc E/C.12/1999/10 (8 December 1999) para 6.</w:t>
      </w:r>
      <w:r>
        <w:t xml:space="preserve"> </w:t>
      </w:r>
    </w:p>
  </w:endnote>
  <w:endnote w:id="12">
    <w:p w14:paraId="121423E3" w14:textId="11BC1474" w:rsidR="006907BD" w:rsidRDefault="006907BD">
      <w:pPr>
        <w:pStyle w:val="EndnoteText"/>
      </w:pPr>
      <w:r>
        <w:rPr>
          <w:rStyle w:val="EndnoteReference"/>
        </w:rPr>
        <w:endnoteRef/>
      </w:r>
      <w:r>
        <w:t xml:space="preserve"> Committee on Economic, Social and Cultural Rights, </w:t>
      </w:r>
      <w:r w:rsidRPr="00D85C51">
        <w:rPr>
          <w:i/>
        </w:rPr>
        <w:t>General Comment No 13</w:t>
      </w:r>
      <w:r w:rsidRPr="00D85C51">
        <w:rPr>
          <w:i/>
          <w:iCs/>
        </w:rPr>
        <w:t>: The Right to education</w:t>
      </w:r>
      <w:r w:rsidRPr="00D85C51">
        <w:t>, UN Doc E/C.12/1999/10 (8 December 1999) para 6.</w:t>
      </w:r>
      <w:r>
        <w:t xml:space="preserve"> </w:t>
      </w:r>
    </w:p>
  </w:endnote>
  <w:endnote w:id="13">
    <w:p w14:paraId="031E7687" w14:textId="465CA6F7" w:rsidR="006907BD" w:rsidRPr="005473B6" w:rsidRDefault="006907BD" w:rsidP="005473B6">
      <w:pPr>
        <w:pStyle w:val="EndnoteText"/>
        <w:rPr>
          <w:rFonts w:cs="Arial"/>
        </w:rPr>
      </w:pPr>
      <w:r>
        <w:rPr>
          <w:rStyle w:val="EndnoteReference"/>
        </w:rPr>
        <w:endnoteRef/>
      </w:r>
      <w:r>
        <w:t xml:space="preserve"> </w:t>
      </w:r>
      <w:r>
        <w:rPr>
          <w:rFonts w:cs="Arial"/>
          <w:i/>
        </w:rPr>
        <w:t>Convention on the Rights of the Child</w:t>
      </w:r>
      <w:r>
        <w:rPr>
          <w:rFonts w:cs="Arial"/>
        </w:rPr>
        <w:t xml:space="preserve">, opened for signature 20 November 1989, 1577 UNTS 3 (entered into force 2 September 1990) article 28. </w:t>
      </w:r>
      <w:r w:rsidRPr="004F4B20">
        <w:rPr>
          <w:rFonts w:cs="Arial"/>
          <w:i/>
          <w:iCs/>
        </w:rPr>
        <w:t>International Covenant on Economic, Social and Cultural Rights</w:t>
      </w:r>
      <w:r>
        <w:rPr>
          <w:rFonts w:cs="Arial"/>
        </w:rPr>
        <w:t>, opened for signature 16 December 1966, A/RES/2200 (entered into force 3 January 1976) article 13.</w:t>
      </w:r>
    </w:p>
  </w:endnote>
  <w:endnote w:id="14">
    <w:p w14:paraId="19D5E10D" w14:textId="164F0B30" w:rsidR="006907BD" w:rsidRDefault="006907BD">
      <w:pPr>
        <w:pStyle w:val="EndnoteText"/>
      </w:pPr>
      <w:r>
        <w:rPr>
          <w:rStyle w:val="EndnoteReference"/>
        </w:rPr>
        <w:endnoteRef/>
      </w:r>
      <w:r>
        <w:t xml:space="preserve"> Committee on Economic, Social and Cultural Rights, </w:t>
      </w:r>
      <w:r w:rsidRPr="00D85C51">
        <w:rPr>
          <w:i/>
        </w:rPr>
        <w:t>General Comment No 13</w:t>
      </w:r>
      <w:r w:rsidRPr="00D85C51">
        <w:rPr>
          <w:i/>
          <w:iCs/>
        </w:rPr>
        <w:t>: The Right to education</w:t>
      </w:r>
      <w:r w:rsidRPr="00D85C51">
        <w:t>, UN Doc E/C.12/1999/10 (8 December 1999) para 6.</w:t>
      </w:r>
    </w:p>
  </w:endnote>
  <w:endnote w:id="15">
    <w:p w14:paraId="551AE456" w14:textId="716CE27D" w:rsidR="006907BD" w:rsidRDefault="006907BD">
      <w:pPr>
        <w:pStyle w:val="EndnoteText"/>
      </w:pPr>
      <w:r>
        <w:rPr>
          <w:rStyle w:val="EndnoteReference"/>
        </w:rPr>
        <w:endnoteRef/>
      </w:r>
      <w:r>
        <w:t xml:space="preserve"> Committee on Economic, Social and Cultural Rights, </w:t>
      </w:r>
      <w:r w:rsidRPr="00D85C51">
        <w:rPr>
          <w:i/>
        </w:rPr>
        <w:t>General Comment No 13</w:t>
      </w:r>
      <w:r w:rsidRPr="00D85C51">
        <w:rPr>
          <w:i/>
          <w:iCs/>
        </w:rPr>
        <w:t>: The Right to education</w:t>
      </w:r>
      <w:r w:rsidRPr="00D85C51">
        <w:t>, UN Doc E/C.12/1999/10 (8 December 1999) para 6.</w:t>
      </w:r>
      <w:r>
        <w:t xml:space="preserve"> </w:t>
      </w:r>
    </w:p>
  </w:endnote>
  <w:endnote w:id="16">
    <w:p w14:paraId="4688457F" w14:textId="5652D055" w:rsidR="006907BD" w:rsidRPr="00F52C81" w:rsidRDefault="006907BD" w:rsidP="00F52C81">
      <w:pPr>
        <w:pStyle w:val="EndnoteText"/>
        <w:rPr>
          <w:rFonts w:asciiTheme="minorHAnsi" w:eastAsiaTheme="minorHAnsi" w:hAnsiTheme="minorHAnsi"/>
        </w:rPr>
      </w:pPr>
      <w:r>
        <w:rPr>
          <w:rStyle w:val="EndnoteReference"/>
        </w:rPr>
        <w:endnoteRef/>
      </w:r>
      <w:r>
        <w:t xml:space="preserve"> United Nations Committee on the Rights of the Child, General Comment No 11 Indigenous children and their rights under the Convention, 50</w:t>
      </w:r>
      <w:r w:rsidRPr="007460A7">
        <w:rPr>
          <w:vertAlign w:val="superscript"/>
        </w:rPr>
        <w:t>th</w:t>
      </w:r>
      <w:r>
        <w:t xml:space="preserve"> session, CRC/C/GC/11 12 February 2009, para 56</w:t>
      </w:r>
    </w:p>
  </w:endnote>
  <w:endnote w:id="17">
    <w:p w14:paraId="7983FA98" w14:textId="145F23DC" w:rsidR="006907BD" w:rsidRDefault="006907BD">
      <w:pPr>
        <w:pStyle w:val="EndnoteText"/>
      </w:pPr>
      <w:r>
        <w:rPr>
          <w:rStyle w:val="EndnoteReference"/>
        </w:rPr>
        <w:endnoteRef/>
      </w:r>
      <w:r>
        <w:t xml:space="preserve"> </w:t>
      </w:r>
      <w:r>
        <w:rPr>
          <w:rFonts w:cs="Arial"/>
          <w:i/>
        </w:rPr>
        <w:t>Convention on the Rights of the Child</w:t>
      </w:r>
      <w:r>
        <w:rPr>
          <w:rFonts w:cs="Arial"/>
        </w:rPr>
        <w:t>, opened for signature 20 November 1989, 1577 UNTS 3 (entered into force 2 September 1990) article 30.</w:t>
      </w:r>
    </w:p>
  </w:endnote>
  <w:endnote w:id="18">
    <w:p w14:paraId="04237DD2" w14:textId="57136CAE" w:rsidR="006907BD" w:rsidRDefault="006907BD">
      <w:pPr>
        <w:pStyle w:val="EndnoteText"/>
      </w:pPr>
      <w:r>
        <w:rPr>
          <w:rStyle w:val="EndnoteReference"/>
        </w:rPr>
        <w:endnoteRef/>
      </w:r>
      <w:r>
        <w:t xml:space="preserve"> United Nations Committee on the Rights of the Child, General Comment No 11 Indigenous children and their rights under the Convention, 50</w:t>
      </w:r>
      <w:r w:rsidRPr="007460A7">
        <w:rPr>
          <w:vertAlign w:val="superscript"/>
        </w:rPr>
        <w:t>th</w:t>
      </w:r>
      <w:r>
        <w:t xml:space="preserve"> session, CRC/C/GC/11 12 February 2009, para 17.</w:t>
      </w:r>
    </w:p>
  </w:endnote>
  <w:endnote w:id="19">
    <w:p w14:paraId="76975EB6" w14:textId="0800AD89" w:rsidR="006907BD" w:rsidRDefault="006907BD">
      <w:pPr>
        <w:pStyle w:val="EndnoteText"/>
      </w:pPr>
      <w:r>
        <w:rPr>
          <w:rStyle w:val="EndnoteReference"/>
        </w:rPr>
        <w:endnoteRef/>
      </w:r>
      <w:r>
        <w:t xml:space="preserve"> United Nations Committee on the Rights of the Child, General Comment No 11 Indigenous children and their rights under the Convention, 50</w:t>
      </w:r>
      <w:r w:rsidRPr="007460A7">
        <w:rPr>
          <w:vertAlign w:val="superscript"/>
        </w:rPr>
        <w:t>th</w:t>
      </w:r>
      <w:r>
        <w:t xml:space="preserve"> session, CRC/C/GC/11 12 February 2009, para 62. See also the </w:t>
      </w:r>
      <w:r w:rsidRPr="00167979">
        <w:rPr>
          <w:i/>
          <w:iCs/>
        </w:rPr>
        <w:t>Convention against Discrimination in Education</w:t>
      </w:r>
      <w:r>
        <w:t>, opened for signature 14 December 1960 (entered into force 22 May 1962).</w:t>
      </w:r>
    </w:p>
  </w:endnote>
  <w:endnote w:id="20">
    <w:p w14:paraId="4DD23B6A" w14:textId="5AC11936" w:rsidR="006907BD" w:rsidRDefault="006907BD">
      <w:pPr>
        <w:pStyle w:val="EndnoteText"/>
      </w:pPr>
      <w:r>
        <w:rPr>
          <w:rStyle w:val="EndnoteReference"/>
        </w:rPr>
        <w:endnoteRef/>
      </w:r>
      <w:r>
        <w:t xml:space="preserve"> United Nations, Rights of indigenous peoples, 68</w:t>
      </w:r>
      <w:r w:rsidRPr="00601C7A">
        <w:rPr>
          <w:vertAlign w:val="superscript"/>
        </w:rPr>
        <w:t>th</w:t>
      </w:r>
      <w:r>
        <w:t xml:space="preserve"> session, A/68/317 (14 August 2013) paras 60—67 </w:t>
      </w:r>
      <w:hyperlink r:id="rId9" w:history="1">
        <w:r>
          <w:rPr>
            <w:rStyle w:val="Hyperlink"/>
          </w:rPr>
          <w:t>http://unsr.jamesanaya.org/docs/annual/2013-ga-annual-report-en.pdf</w:t>
        </w:r>
      </w:hyperlink>
      <w:r>
        <w:t xml:space="preserve">. </w:t>
      </w:r>
    </w:p>
  </w:endnote>
  <w:endnote w:id="21">
    <w:p w14:paraId="336F9B9D" w14:textId="78D707FD" w:rsidR="006907BD" w:rsidRDefault="006907BD" w:rsidP="007644CA">
      <w:pPr>
        <w:pStyle w:val="EndnoteText"/>
      </w:pPr>
      <w:r>
        <w:rPr>
          <w:rStyle w:val="EndnoteReference"/>
        </w:rPr>
        <w:endnoteRef/>
      </w:r>
      <w:r>
        <w:t xml:space="preserve"> </w:t>
      </w:r>
      <w:r>
        <w:rPr>
          <w:rFonts w:cs="Arial"/>
          <w:i/>
        </w:rPr>
        <w:t>Convention on the Rights of the Child</w:t>
      </w:r>
      <w:r>
        <w:rPr>
          <w:rFonts w:cs="Arial"/>
        </w:rPr>
        <w:t>, opened for signature 20 November 1989, 1577 UNTS 3 (entered into force 2 September 1990) article 23(1).</w:t>
      </w:r>
    </w:p>
  </w:endnote>
  <w:endnote w:id="22">
    <w:p w14:paraId="6BBED68A" w14:textId="5383736A" w:rsidR="006907BD" w:rsidRDefault="006907BD">
      <w:pPr>
        <w:pStyle w:val="EndnoteText"/>
      </w:pPr>
      <w:r>
        <w:rPr>
          <w:rStyle w:val="EndnoteReference"/>
        </w:rPr>
        <w:endnoteRef/>
      </w:r>
      <w:r>
        <w:t xml:space="preserve"> </w:t>
      </w:r>
      <w:r>
        <w:rPr>
          <w:rFonts w:cs="Arial"/>
          <w:i/>
        </w:rPr>
        <w:t>Convention on the Rights of the Child</w:t>
      </w:r>
      <w:r>
        <w:rPr>
          <w:rFonts w:cs="Arial"/>
        </w:rPr>
        <w:t>, opened for signature 20 November 1989, 1577 UNTS 3 (entered into force 2 September 1990) article 23(3).</w:t>
      </w:r>
    </w:p>
  </w:endnote>
  <w:endnote w:id="23">
    <w:p w14:paraId="19BA8319" w14:textId="77777777" w:rsidR="006907BD" w:rsidRDefault="006907BD" w:rsidP="00242DB6">
      <w:pPr>
        <w:pStyle w:val="EndnoteText"/>
        <w:contextualSpacing/>
      </w:pPr>
      <w:r>
        <w:rPr>
          <w:rStyle w:val="EndnoteReference"/>
        </w:rPr>
        <w:endnoteRef/>
      </w:r>
      <w:r>
        <w:t xml:space="preserve"> Australian Government Department of Education and Training</w:t>
      </w:r>
      <w:r w:rsidRPr="00FE5A3B">
        <w:t xml:space="preserve">, </w:t>
      </w:r>
      <w:r w:rsidRPr="00FE5A3B">
        <w:rPr>
          <w:i/>
        </w:rPr>
        <w:t>Australian Early Development Census National Report 201</w:t>
      </w:r>
      <w:r>
        <w:rPr>
          <w:i/>
        </w:rPr>
        <w:t>8</w:t>
      </w:r>
      <w:r w:rsidRPr="00FE5A3B">
        <w:t xml:space="preserve"> (201</w:t>
      </w:r>
      <w:r>
        <w:t>9</w:t>
      </w:r>
      <w:r w:rsidRPr="00FE5A3B">
        <w:t xml:space="preserve">) </w:t>
      </w:r>
      <w:r>
        <w:t>16</w:t>
      </w:r>
      <w:r w:rsidRPr="00FE5A3B">
        <w:t xml:space="preserve"> &lt;</w:t>
      </w:r>
      <w:r w:rsidRPr="00A87E43">
        <w:t>www.aedc.gov.au/resources/detail/2015-aedc-national-report</w:t>
      </w:r>
      <w:r w:rsidRPr="00FE5A3B">
        <w:t>&gt;.</w:t>
      </w:r>
    </w:p>
  </w:endnote>
  <w:endnote w:id="24">
    <w:p w14:paraId="234407D6" w14:textId="77777777" w:rsidR="006907BD" w:rsidRDefault="006907BD" w:rsidP="00242DB6">
      <w:pPr>
        <w:pStyle w:val="EndnoteText"/>
        <w:contextualSpacing/>
      </w:pPr>
      <w:r>
        <w:rPr>
          <w:rStyle w:val="EndnoteReference"/>
        </w:rPr>
        <w:endnoteRef/>
      </w:r>
      <w:r>
        <w:t xml:space="preserve"> </w:t>
      </w:r>
      <w:r w:rsidRPr="00E55E11">
        <w:t xml:space="preserve">Productivity Commission, </w:t>
      </w:r>
      <w:r w:rsidRPr="00E55E11">
        <w:rPr>
          <w:i/>
          <w:iCs/>
        </w:rPr>
        <w:t>Report on Government Services (2018)</w:t>
      </w:r>
      <w:r w:rsidRPr="00E55E11">
        <w:t xml:space="preserve">, Chapter </w:t>
      </w:r>
      <w:r>
        <w:t>4</w:t>
      </w:r>
      <w:r w:rsidRPr="00E55E11">
        <w:t xml:space="preserve">, </w:t>
      </w:r>
      <w:r>
        <w:t>4.8</w:t>
      </w:r>
      <w:r w:rsidRPr="00E55E11">
        <w:t xml:space="preserve"> &lt;</w:t>
      </w:r>
      <w:r w:rsidRPr="00F34CB9">
        <w:t>https://www.pc.gov.au/research/ongoing/report-on-government-services/2018/child-care-education-and-training/school-education</w:t>
      </w:r>
      <w:r w:rsidRPr="00E55E11">
        <w:t>&gt;</w:t>
      </w:r>
      <w:r>
        <w:t>.</w:t>
      </w:r>
    </w:p>
  </w:endnote>
  <w:endnote w:id="25">
    <w:p w14:paraId="03ED6799" w14:textId="77777777" w:rsidR="006907BD" w:rsidRDefault="006907BD" w:rsidP="00242DB6">
      <w:pPr>
        <w:pStyle w:val="EndnoteText"/>
        <w:contextualSpacing/>
      </w:pPr>
      <w:r>
        <w:rPr>
          <w:rStyle w:val="EndnoteReference"/>
        </w:rPr>
        <w:endnoteRef/>
      </w:r>
      <w:r>
        <w:t xml:space="preserve"> </w:t>
      </w:r>
      <w:r w:rsidRPr="00E55E11">
        <w:t xml:space="preserve">Productivity Commission, </w:t>
      </w:r>
      <w:r w:rsidRPr="00E55E11">
        <w:rPr>
          <w:i/>
          <w:iCs/>
        </w:rPr>
        <w:t>Report on Government Services (2018)</w:t>
      </w:r>
      <w:r w:rsidRPr="00E55E11">
        <w:t xml:space="preserve">, Chapter </w:t>
      </w:r>
      <w:r>
        <w:t>4</w:t>
      </w:r>
      <w:r w:rsidRPr="00E55E11">
        <w:t xml:space="preserve">, </w:t>
      </w:r>
      <w:r>
        <w:t>4.22</w:t>
      </w:r>
      <w:r w:rsidRPr="00E55E11">
        <w:t xml:space="preserve"> &lt;</w:t>
      </w:r>
      <w:r w:rsidRPr="00964F42">
        <w:t>https://www.pc.gov.au/research/ongoing/report-on-government-services/2018/child-care-education-and-training/school-education</w:t>
      </w:r>
      <w:r w:rsidRPr="00E55E11">
        <w:t>&gt;</w:t>
      </w:r>
      <w:r>
        <w:t>.</w:t>
      </w:r>
    </w:p>
  </w:endnote>
  <w:endnote w:id="26">
    <w:p w14:paraId="45AC1DAA" w14:textId="77777777" w:rsidR="006907BD" w:rsidRDefault="006907BD" w:rsidP="00242DB6">
      <w:pPr>
        <w:pStyle w:val="EndnoteText"/>
        <w:contextualSpacing/>
      </w:pPr>
      <w:r>
        <w:rPr>
          <w:rStyle w:val="EndnoteReference"/>
        </w:rPr>
        <w:endnoteRef/>
      </w:r>
      <w:r>
        <w:t xml:space="preserve"> </w:t>
      </w:r>
      <w:r w:rsidRPr="00E55E11">
        <w:t xml:space="preserve">Productivity Commission, </w:t>
      </w:r>
      <w:r w:rsidRPr="00E55E11">
        <w:rPr>
          <w:i/>
          <w:iCs/>
        </w:rPr>
        <w:t>Report on Government Services (2018)</w:t>
      </w:r>
      <w:r w:rsidRPr="00E55E11">
        <w:t xml:space="preserve">, Chapter </w:t>
      </w:r>
      <w:r>
        <w:t>4</w:t>
      </w:r>
      <w:r w:rsidRPr="00E55E11">
        <w:t xml:space="preserve">, </w:t>
      </w:r>
      <w:r>
        <w:t>4.24</w:t>
      </w:r>
      <w:r w:rsidRPr="00E55E11">
        <w:t xml:space="preserve"> &lt;</w:t>
      </w:r>
      <w:r w:rsidRPr="00F34CB9">
        <w:t>https://www.pc.gov.au/research/ongoing/report-on-government-services/2018/child-care-education-and-training/school-education</w:t>
      </w:r>
      <w:r w:rsidRPr="00E55E11">
        <w:t>&gt;</w:t>
      </w:r>
      <w:r>
        <w:t>.</w:t>
      </w:r>
    </w:p>
  </w:endnote>
  <w:endnote w:id="27">
    <w:p w14:paraId="76FAEEBA" w14:textId="77777777" w:rsidR="006907BD" w:rsidRDefault="006907BD" w:rsidP="00242DB6">
      <w:pPr>
        <w:pStyle w:val="EndnoteText"/>
      </w:pPr>
      <w:r>
        <w:rPr>
          <w:rStyle w:val="EndnoteReference"/>
        </w:rPr>
        <w:endnoteRef/>
      </w:r>
      <w:r>
        <w:t xml:space="preserve"> Productivity Commission, </w:t>
      </w:r>
      <w:r w:rsidRPr="00DE28EC">
        <w:rPr>
          <w:i/>
          <w:iCs/>
        </w:rPr>
        <w:t>Report on Government Services 2019</w:t>
      </w:r>
      <w:r>
        <w:t xml:space="preserve"> (2019), Part B, 4 School Education, 4.27.</w:t>
      </w:r>
    </w:p>
  </w:endnote>
  <w:endnote w:id="28">
    <w:p w14:paraId="13A54BF6" w14:textId="77777777" w:rsidR="006907BD" w:rsidRDefault="006907BD" w:rsidP="00242DB6">
      <w:pPr>
        <w:pStyle w:val="EndnoteText"/>
      </w:pPr>
      <w:r>
        <w:rPr>
          <w:rStyle w:val="EndnoteReference"/>
        </w:rPr>
        <w:endnoteRef/>
      </w:r>
      <w:r>
        <w:t xml:space="preserve"> John Halsey, </w:t>
      </w:r>
      <w:r w:rsidRPr="00E872CD">
        <w:rPr>
          <w:i/>
          <w:iCs/>
        </w:rPr>
        <w:t>Independent Review into Regional, Rural and Remote Education—Final Report</w:t>
      </w:r>
      <w:r>
        <w:t xml:space="preserve"> (2018) 15 </w:t>
      </w:r>
      <w:hyperlink r:id="rId10" w:history="1">
        <w:r>
          <w:rPr>
            <w:rStyle w:val="Hyperlink"/>
          </w:rPr>
          <w:t>https://docs.education.gov.au/node/50281</w:t>
        </w:r>
      </w:hyperlink>
      <w:r>
        <w:t>.</w:t>
      </w:r>
    </w:p>
  </w:endnote>
  <w:endnote w:id="29">
    <w:p w14:paraId="475FCF8B" w14:textId="77777777" w:rsidR="006907BD" w:rsidRDefault="006907BD" w:rsidP="00242DB6">
      <w:pPr>
        <w:pStyle w:val="EndnoteText"/>
      </w:pPr>
      <w:r>
        <w:rPr>
          <w:rStyle w:val="EndnoteReference"/>
        </w:rPr>
        <w:endnoteRef/>
      </w:r>
      <w:r>
        <w:t xml:space="preserve"> N </w:t>
      </w:r>
      <w:r>
        <w:t>Arefadib &amp; TG Moore, Reporting the Health and Development of Children in Rural and Remote Australia, The Centre for Community Health at the Royal Children’s Hospital and the Murdoch Children’s Research Institute (2017) 36–43.</w:t>
      </w:r>
    </w:p>
  </w:endnote>
  <w:endnote w:id="30">
    <w:p w14:paraId="41A9E3A8" w14:textId="77777777" w:rsidR="006907BD" w:rsidRDefault="006907BD" w:rsidP="00242DB6">
      <w:pPr>
        <w:pStyle w:val="EndnoteText"/>
      </w:pPr>
      <w:r>
        <w:rPr>
          <w:rStyle w:val="EndnoteReference"/>
        </w:rPr>
        <w:endnoteRef/>
      </w:r>
      <w:r>
        <w:t xml:space="preserve"> Royal Far West, </w:t>
      </w:r>
      <w:r w:rsidRPr="00AF6EEF">
        <w:rPr>
          <w:i/>
          <w:iCs/>
        </w:rPr>
        <w:t xml:space="preserve">The Invisible Children—The state of country children’s health and development in Australia </w:t>
      </w:r>
      <w:r>
        <w:t xml:space="preserve">(2017) </w:t>
      </w:r>
      <w:hyperlink r:id="rId11" w:history="1">
        <w:r>
          <w:rPr>
            <w:rStyle w:val="Hyperlink"/>
          </w:rPr>
          <w:t>https://www.royalfarwest.org.au/the-invisible-children/</w:t>
        </w:r>
      </w:hyperlink>
      <w:r>
        <w:t>.</w:t>
      </w:r>
    </w:p>
  </w:endnote>
  <w:endnote w:id="31">
    <w:p w14:paraId="2D8F8DE8" w14:textId="77777777" w:rsidR="006907BD" w:rsidRPr="00817A5A" w:rsidRDefault="006907BD" w:rsidP="00242DB6">
      <w:pPr>
        <w:pStyle w:val="EndnoteText"/>
      </w:pPr>
      <w:r w:rsidRPr="00817A5A">
        <w:rPr>
          <w:rStyle w:val="EndnoteReference"/>
        </w:rPr>
        <w:endnoteRef/>
      </w:r>
      <w:r w:rsidRPr="00817A5A">
        <w:rPr>
          <w:rFonts w:eastAsia="Arial Unicode MS" w:cs="Arial Unicode MS"/>
        </w:rPr>
        <w:t xml:space="preserve"> Australian Human Rights Commission, </w:t>
      </w:r>
      <w:r w:rsidRPr="00817A5A">
        <w:rPr>
          <w:rFonts w:eastAsia="Arial Unicode MS" w:cs="Arial Unicode MS"/>
          <w:i/>
          <w:iCs/>
          <w:lang w:val="en-US"/>
        </w:rPr>
        <w:t xml:space="preserve">Children’s Rights Report </w:t>
      </w:r>
      <w:r w:rsidRPr="00817A5A">
        <w:rPr>
          <w:rFonts w:eastAsia="Arial Unicode MS" w:cs="Arial Unicode MS"/>
        </w:rPr>
        <w:t xml:space="preserve">(2014), 108. </w:t>
      </w:r>
      <w:r>
        <w:rPr>
          <w:rFonts w:eastAsia="Arial Unicode MS" w:cs="Arial Unicode MS"/>
        </w:rPr>
        <w:t>At</w:t>
      </w:r>
      <w:r>
        <w:t xml:space="preserve"> </w:t>
      </w:r>
      <w:hyperlink r:id="rId12" w:history="1">
        <w:r w:rsidRPr="0025255F">
          <w:rPr>
            <w:rStyle w:val="Hyperlink"/>
          </w:rPr>
          <w:t>https://www.humanrights.gov.au/our-work/childrens-rights/publications/childrens-rights-report-2014</w:t>
        </w:r>
      </w:hyperlink>
      <w:r>
        <w:t xml:space="preserve"> (</w:t>
      </w:r>
      <w:r>
        <w:rPr>
          <w:rFonts w:eastAsia="Arial Unicode MS" w:cs="Arial Unicode MS"/>
        </w:rPr>
        <w:t>viewed 9 March 2018).</w:t>
      </w:r>
      <w:r>
        <w:t xml:space="preserve"> </w:t>
      </w:r>
    </w:p>
  </w:endnote>
  <w:endnote w:id="32">
    <w:p w14:paraId="7743CA01" w14:textId="77777777" w:rsidR="006907BD" w:rsidRDefault="006907BD" w:rsidP="00242DB6">
      <w:pPr>
        <w:pStyle w:val="EndnoteText"/>
      </w:pPr>
      <w:r>
        <w:rPr>
          <w:rStyle w:val="EndnoteReference"/>
        </w:rPr>
        <w:endnoteRef/>
      </w:r>
      <w:r>
        <w:t xml:space="preserve"> Menzies School of Health Research, Submission 102, p 4. At </w:t>
      </w:r>
      <w:hyperlink r:id="rId13" w:history="1">
        <w:r>
          <w:rPr>
            <w:rStyle w:val="Hyperlink"/>
          </w:rPr>
          <w:t>www.humanrights.gov.au/publications/childrens-rights-report-2014</w:t>
        </w:r>
      </w:hyperlink>
      <w:r>
        <w:t xml:space="preserve">. </w:t>
      </w:r>
    </w:p>
  </w:endnote>
  <w:endnote w:id="33">
    <w:p w14:paraId="2E2B54AE" w14:textId="1973FC6F" w:rsidR="006907BD" w:rsidRPr="00A1605C" w:rsidRDefault="006907BD">
      <w:pPr>
        <w:pStyle w:val="EndnoteText"/>
      </w:pPr>
      <w:r>
        <w:rPr>
          <w:rStyle w:val="EndnoteReference"/>
        </w:rPr>
        <w:endnoteRef/>
      </w:r>
      <w:r>
        <w:t xml:space="preserve"> Australian Human Rights Commission, Children’s Rights Report 2019—</w:t>
      </w:r>
      <w:r w:rsidRPr="00A1605C">
        <w:rPr>
          <w:i/>
          <w:iCs/>
        </w:rPr>
        <w:t>In Their Own Right: Children’s Rights in Australia</w:t>
      </w:r>
      <w:r>
        <w:t xml:space="preserve"> (2019) 180.</w:t>
      </w:r>
    </w:p>
  </w:endnote>
  <w:endnote w:id="34">
    <w:p w14:paraId="62CD85D3" w14:textId="77777777" w:rsidR="006907BD" w:rsidRDefault="006907BD" w:rsidP="00344683">
      <w:pPr>
        <w:pStyle w:val="EndnoteText"/>
      </w:pPr>
      <w:r>
        <w:rPr>
          <w:rStyle w:val="EndnoteReference"/>
        </w:rPr>
        <w:endnoteRef/>
      </w:r>
      <w:r>
        <w:t xml:space="preserve"> </w:t>
      </w:r>
      <w:r>
        <w:rPr>
          <w:rFonts w:cs="Arial"/>
        </w:rPr>
        <w:t xml:space="preserve">Committee on the Rights of the Child, </w:t>
      </w:r>
      <w:r>
        <w:rPr>
          <w:rFonts w:cs="Arial"/>
          <w:i/>
        </w:rPr>
        <w:t xml:space="preserve">General Comment No 7 on Implementing child rights in early childhood </w:t>
      </w:r>
      <w:r>
        <w:rPr>
          <w:rFonts w:cs="Arial"/>
        </w:rPr>
        <w:t>CRC/C/GC/7/Rev 1 (20 September 2006) [28].</w:t>
      </w:r>
    </w:p>
  </w:endnote>
  <w:endnote w:id="35">
    <w:p w14:paraId="0193E645" w14:textId="77777777" w:rsidR="006907BD" w:rsidRDefault="006907BD" w:rsidP="00344683">
      <w:pPr>
        <w:pStyle w:val="EndnoteText"/>
      </w:pPr>
      <w:r>
        <w:rPr>
          <w:rStyle w:val="EndnoteReference"/>
        </w:rPr>
        <w:endnoteRef/>
      </w:r>
      <w:r>
        <w:t xml:space="preserve"> </w:t>
      </w:r>
      <w:r>
        <w:rPr>
          <w:rFonts w:cs="Arial"/>
        </w:rPr>
        <w:t xml:space="preserve">Committee on the Rights of the Child, </w:t>
      </w:r>
      <w:r>
        <w:rPr>
          <w:rFonts w:cs="Arial"/>
          <w:i/>
        </w:rPr>
        <w:t xml:space="preserve">General Comment No 7 on Implementing child rights in early childhood </w:t>
      </w:r>
      <w:r>
        <w:rPr>
          <w:rFonts w:cs="Arial"/>
        </w:rPr>
        <w:t>CRC/C/GC/7/Rev 1 (20 September 2006) [24].</w:t>
      </w:r>
    </w:p>
  </w:endnote>
  <w:endnote w:id="36">
    <w:p w14:paraId="21F586C9" w14:textId="77777777" w:rsidR="006907BD" w:rsidRDefault="006907BD" w:rsidP="000A1A49">
      <w:pPr>
        <w:pStyle w:val="EndnoteText"/>
      </w:pPr>
      <w:r>
        <w:rPr>
          <w:rStyle w:val="EndnoteReference"/>
        </w:rPr>
        <w:endnoteRef/>
      </w:r>
      <w:r>
        <w:t xml:space="preserve"> Jennifer Baxter and Kelly Hand, Access to early childhood education in Australia (Australian Institute of Family Studies Research Report No 24, April 2013) 29.</w:t>
      </w:r>
    </w:p>
  </w:endnote>
  <w:endnote w:id="37">
    <w:p w14:paraId="63409CD1" w14:textId="77777777" w:rsidR="006907BD" w:rsidRPr="00946697" w:rsidRDefault="006907BD" w:rsidP="000A1A49">
      <w:pPr>
        <w:pStyle w:val="EndnoteText"/>
        <w:contextualSpacing/>
        <w:rPr>
          <w:rFonts w:cs="Open Sans"/>
        </w:rPr>
      </w:pPr>
      <w:r w:rsidRPr="00946697">
        <w:rPr>
          <w:rStyle w:val="EndnoteReference"/>
        </w:rPr>
        <w:endnoteRef/>
      </w:r>
      <w:r w:rsidRPr="00946697">
        <w:rPr>
          <w:rFonts w:cs="Open Sans"/>
        </w:rPr>
        <w:t xml:space="preserve"> Australian Government, Department of Education and Training, </w:t>
      </w:r>
      <w:r w:rsidRPr="00946697">
        <w:rPr>
          <w:rFonts w:cs="Open Sans"/>
          <w:i/>
          <w:iCs/>
        </w:rPr>
        <w:t>National Partnership on Universal Access to Early Childhood Education and Care 2018-2020</w:t>
      </w:r>
      <w:r w:rsidRPr="00946697">
        <w:rPr>
          <w:rFonts w:cs="Open Sans"/>
        </w:rPr>
        <w:t>, Clause 14</w:t>
      </w:r>
      <w:r>
        <w:rPr>
          <w:rFonts w:cs="Open Sans"/>
        </w:rPr>
        <w:t>.</w:t>
      </w:r>
    </w:p>
  </w:endnote>
  <w:endnote w:id="38">
    <w:p w14:paraId="429BB387" w14:textId="23CF2180" w:rsidR="006907BD" w:rsidRDefault="006907BD">
      <w:pPr>
        <w:pStyle w:val="EndnoteText"/>
      </w:pPr>
      <w:r>
        <w:rPr>
          <w:rStyle w:val="EndnoteReference"/>
        </w:rPr>
        <w:endnoteRef/>
      </w:r>
      <w:r>
        <w:t xml:space="preserve"> </w:t>
      </w:r>
      <w:r w:rsidRPr="00FF7085">
        <w:t xml:space="preserve">SNAICC and Early Childhood Australia, </w:t>
      </w:r>
      <w:r w:rsidRPr="00FF7085">
        <w:rPr>
          <w:i/>
        </w:rPr>
        <w:t xml:space="preserve">Ensuring Equality for Aboriginal and Torres Strait Islander Children in the Early </w:t>
      </w:r>
      <w:r w:rsidRPr="00FF7085">
        <w:t>Years (Discussion Paper) 2019</w:t>
      </w:r>
    </w:p>
  </w:endnote>
  <w:endnote w:id="39">
    <w:p w14:paraId="39370A49" w14:textId="77777777" w:rsidR="006907BD" w:rsidRDefault="006907BD" w:rsidP="00520A9C">
      <w:pPr>
        <w:pStyle w:val="EndnoteText"/>
      </w:pPr>
      <w:r>
        <w:rPr>
          <w:rStyle w:val="EndnoteReference"/>
        </w:rPr>
        <w:endnoteRef/>
      </w:r>
      <w:r>
        <w:t xml:space="preserve"> Family Matters et al., </w:t>
      </w:r>
      <w:r>
        <w:rPr>
          <w:i/>
          <w:iCs/>
        </w:rPr>
        <w:t xml:space="preserve">The Family Matters Report </w:t>
      </w:r>
      <w:r>
        <w:t>2019, 7.</w:t>
      </w:r>
    </w:p>
  </w:endnote>
  <w:endnote w:id="40">
    <w:p w14:paraId="40CCF46D" w14:textId="77777777" w:rsidR="006907BD" w:rsidRDefault="006907BD" w:rsidP="00344683">
      <w:pPr>
        <w:pStyle w:val="EndnoteText"/>
      </w:pPr>
      <w:r>
        <w:rPr>
          <w:rStyle w:val="EndnoteReference"/>
        </w:rPr>
        <w:endnoteRef/>
      </w:r>
      <w:r>
        <w:t xml:space="preserve"> See Contact Inc, </w:t>
      </w:r>
      <w:hyperlink r:id="rId14" w:history="1">
        <w:r w:rsidRPr="004F506C">
          <w:rPr>
            <w:rStyle w:val="Hyperlink"/>
          </w:rPr>
          <w:t>https://contactinc.org.au/</w:t>
        </w:r>
      </w:hyperlink>
      <w:r>
        <w:t>.</w:t>
      </w:r>
    </w:p>
  </w:endnote>
  <w:endnote w:id="41">
    <w:p w14:paraId="11C9CA60" w14:textId="264F3B70" w:rsidR="006907BD" w:rsidRDefault="006907BD" w:rsidP="00344683">
      <w:pPr>
        <w:pStyle w:val="EndnoteText"/>
      </w:pPr>
      <w:r>
        <w:rPr>
          <w:rStyle w:val="EndnoteReference"/>
        </w:rPr>
        <w:endnoteRef/>
      </w:r>
      <w:r>
        <w:t xml:space="preserve"> Contact Inc, Submission No 127 made to Australian Human Rights Commission, </w:t>
      </w:r>
      <w:r w:rsidRPr="008160DE">
        <w:rPr>
          <w:rFonts w:cs="Open Sans"/>
          <w:i/>
          <w:iCs/>
        </w:rPr>
        <w:t>Report under Article 44, Paragraph 1(b), on the Convention on the Rights of the Child</w:t>
      </w:r>
      <w:r w:rsidRPr="008160DE">
        <w:rPr>
          <w:rFonts w:cs="Open Sans"/>
        </w:rPr>
        <w:t>, 30 May 2018</w:t>
      </w:r>
      <w:r>
        <w:rPr>
          <w:rFonts w:cs="Open Sans"/>
        </w:rPr>
        <w:t xml:space="preserve"> </w:t>
      </w:r>
      <w:hyperlink r:id="rId15" w:history="1">
        <w:r>
          <w:rPr>
            <w:rStyle w:val="Hyperlink"/>
          </w:rPr>
          <w:t>https://www.humanrights.gov.au/our-work/publications/submissions-childrens-rights-report-2019/submissions-childrens-rights-report</w:t>
        </w:r>
      </w:hyperlink>
      <w:r>
        <w:t>.</w:t>
      </w:r>
    </w:p>
  </w:endnote>
  <w:endnote w:id="42">
    <w:p w14:paraId="53426B9D" w14:textId="10780244" w:rsidR="006907BD" w:rsidRPr="00D57ED4" w:rsidRDefault="006907BD" w:rsidP="00A66CC5">
      <w:pPr>
        <w:pStyle w:val="EndnoteText"/>
      </w:pPr>
      <w:r>
        <w:rPr>
          <w:rStyle w:val="EndnoteReference"/>
        </w:rPr>
        <w:endnoteRef/>
      </w:r>
      <w:r>
        <w:t xml:space="preserve"> </w:t>
      </w:r>
      <w:r w:rsidRPr="00FF7085">
        <w:t>Children’s Ground, C</w:t>
      </w:r>
      <w:r w:rsidRPr="00FF7085">
        <w:rPr>
          <w:i/>
        </w:rPr>
        <w:t xml:space="preserve">ommunity Report </w:t>
      </w:r>
      <w:r w:rsidRPr="00FF7085">
        <w:t>2019.</w:t>
      </w:r>
      <w:r>
        <w:t xml:space="preserve"> </w:t>
      </w:r>
      <w:hyperlink r:id="rId16" w:history="1">
        <w:r>
          <w:rPr>
            <w:rStyle w:val="Hyperlink"/>
          </w:rPr>
          <w:t>https://www.childrensground.org.au/page/18/publications</w:t>
        </w:r>
      </w:hyperlink>
    </w:p>
  </w:endnote>
  <w:endnote w:id="43">
    <w:p w14:paraId="745CAD00" w14:textId="3E2884EB" w:rsidR="006907BD" w:rsidRDefault="006907BD" w:rsidP="000B4A12">
      <w:pPr>
        <w:pStyle w:val="EndnoteText"/>
      </w:pPr>
      <w:r>
        <w:rPr>
          <w:rStyle w:val="EndnoteReference"/>
        </w:rPr>
        <w:endnoteRef/>
      </w:r>
      <w:r>
        <w:t xml:space="preserve"> John Halsey, </w:t>
      </w:r>
      <w:r w:rsidRPr="00E872CD">
        <w:rPr>
          <w:i/>
          <w:iCs/>
        </w:rPr>
        <w:t>Independent Review into Regional, Rural and Remote Education—Final Report</w:t>
      </w:r>
      <w:r>
        <w:t xml:space="preserve"> (2018) 49 </w:t>
      </w:r>
      <w:hyperlink r:id="rId17" w:history="1">
        <w:r>
          <w:rPr>
            <w:rStyle w:val="Hyperlink"/>
          </w:rPr>
          <w:t>https://docs.education.gov.au/node/50281</w:t>
        </w:r>
      </w:hyperlink>
      <w:r>
        <w:t>.</w:t>
      </w:r>
    </w:p>
  </w:endnote>
  <w:endnote w:id="44">
    <w:p w14:paraId="6285AFE0" w14:textId="0D15F742" w:rsidR="006907BD" w:rsidRDefault="006907BD" w:rsidP="00523135">
      <w:pPr>
        <w:pStyle w:val="EndnoteText"/>
      </w:pPr>
      <w:r>
        <w:rPr>
          <w:rStyle w:val="EndnoteReference"/>
        </w:rPr>
        <w:endnoteRef/>
      </w:r>
      <w:r>
        <w:t xml:space="preserve"> N </w:t>
      </w:r>
      <w:r>
        <w:t>Arefadib &amp; TG Moore, Reporting the Health and Development of Children in Rural and Remote Australia, The Centre for Community Health at the Royal Children’s Hospital and the Murdoch Children’s Research Institute (2017) 44–45.</w:t>
      </w:r>
    </w:p>
  </w:endnote>
  <w:endnote w:id="45">
    <w:p w14:paraId="5F7B872C" w14:textId="62DE9EF3" w:rsidR="006907BD" w:rsidRDefault="006907BD">
      <w:pPr>
        <w:pStyle w:val="EndnoteText"/>
      </w:pPr>
      <w:r>
        <w:rPr>
          <w:rStyle w:val="EndnoteReference"/>
        </w:rPr>
        <w:endnoteRef/>
      </w:r>
      <w:r>
        <w:t xml:space="preserve"> N </w:t>
      </w:r>
      <w:r>
        <w:t>Arefadib &amp; TG Moore, Reporting the Health and Development of Children in Rural and Remote Australia, The Centre for Community Health at the Royal Children’s Hospital and the Murdoch Children’s Research Institute (2017) 46.</w:t>
      </w:r>
    </w:p>
  </w:endnote>
  <w:endnote w:id="46">
    <w:p w14:paraId="5897411C" w14:textId="610335D6" w:rsidR="006907BD" w:rsidRDefault="006907BD">
      <w:pPr>
        <w:pStyle w:val="EndnoteText"/>
      </w:pPr>
      <w:r>
        <w:rPr>
          <w:rStyle w:val="EndnoteReference"/>
        </w:rPr>
        <w:endnoteRef/>
      </w:r>
      <w:r>
        <w:t xml:space="preserve"> Royal Far West. The Invisible Children: The state of country children’s health and development in Australia (2017) </w:t>
      </w:r>
      <w:hyperlink r:id="rId18" w:history="1">
        <w:r w:rsidRPr="005D55C8">
          <w:rPr>
            <w:rStyle w:val="Hyperlink"/>
          </w:rPr>
          <w:t>http://www.royalfarwest.org.au/wp-content/uploads/2017/12/Invisible-childrenweb.pdf</w:t>
        </w:r>
      </w:hyperlink>
    </w:p>
  </w:endnote>
  <w:endnote w:id="47">
    <w:p w14:paraId="38A327E8" w14:textId="77777777" w:rsidR="006907BD" w:rsidRDefault="006907BD" w:rsidP="00703DC8">
      <w:pPr>
        <w:pStyle w:val="EndnoteText"/>
      </w:pPr>
      <w:r>
        <w:rPr>
          <w:rStyle w:val="EndnoteReference"/>
        </w:rPr>
        <w:endnoteRef/>
      </w:r>
      <w:r>
        <w:t xml:space="preserve"> Royal Far West. The Invisible Children: The state of country children’s health and development in Australia (2017) </w:t>
      </w:r>
      <w:hyperlink r:id="rId19" w:history="1">
        <w:r w:rsidRPr="005D55C8">
          <w:rPr>
            <w:rStyle w:val="Hyperlink"/>
          </w:rPr>
          <w:t>http://www.royalfarwest.org.au/wp-content/uploads/2017/12/Invisible-childrenweb.pdf</w:t>
        </w:r>
      </w:hyperlink>
      <w:r>
        <w:t xml:space="preserve"> </w:t>
      </w:r>
    </w:p>
  </w:endnote>
  <w:endnote w:id="48">
    <w:p w14:paraId="663EBBEE" w14:textId="77777777" w:rsidR="006907BD" w:rsidRDefault="006907BD" w:rsidP="00703DC8">
      <w:pPr>
        <w:pStyle w:val="EndnoteText"/>
      </w:pPr>
      <w:r>
        <w:rPr>
          <w:rStyle w:val="EndnoteReference"/>
        </w:rPr>
        <w:endnoteRef/>
      </w:r>
      <w:r>
        <w:t xml:space="preserve"> National People with Disabilities and Carer Council. SHUT OUT: The Experience of People with Disabilities and their Families in Australia. (2016). </w:t>
      </w:r>
      <w:hyperlink r:id="rId20" w:history="1">
        <w:r w:rsidRPr="005D55C8">
          <w:rPr>
            <w:rStyle w:val="Hyperlink"/>
          </w:rPr>
          <w:t>https://www.dss.gov.au/ourresponsibilities/disability-and-carers/publications-articles/policy-research/shut-out-the-experience-ofpeople-with-disabilities-and-their-families-in-australia</w:t>
        </w:r>
      </w:hyperlink>
      <w:r>
        <w:t xml:space="preserve">. </w:t>
      </w:r>
    </w:p>
  </w:endnote>
  <w:endnote w:id="49">
    <w:p w14:paraId="0FBC92B3" w14:textId="77777777" w:rsidR="006907BD" w:rsidRDefault="006907BD" w:rsidP="00703DC8">
      <w:pPr>
        <w:pStyle w:val="EndnoteText"/>
      </w:pPr>
      <w:r>
        <w:rPr>
          <w:rStyle w:val="EndnoteReference"/>
        </w:rPr>
        <w:endnoteRef/>
      </w:r>
      <w:r>
        <w:t xml:space="preserve"> Angela Dew, Vicki </w:t>
      </w:r>
      <w:r>
        <w:t>Happ, Kim Bulkeley, Anita Bundy, Michelle Lincoln, Gisselle Gallego, Jennie Brentnall &amp; Craig Veitch. (2014). ‘Rural Carers of People with Disabilities: Making Choices to Move or to Stay’, Research and Practice in Intellectual and Developmental Disabilities, 1:1, 60-70.</w:t>
      </w:r>
    </w:p>
  </w:endnote>
  <w:endnote w:id="50">
    <w:p w14:paraId="50548C75" w14:textId="77777777" w:rsidR="006907BD" w:rsidRDefault="006907BD" w:rsidP="00703DC8">
      <w:pPr>
        <w:pStyle w:val="EndnoteText"/>
      </w:pPr>
      <w:r>
        <w:rPr>
          <w:rStyle w:val="EndnoteReference"/>
        </w:rPr>
        <w:endnoteRef/>
      </w:r>
      <w:r>
        <w:t xml:space="preserve"> Australian Human Rights Commission. Stories from Shaping our future: Discussions on disability rights. (2017). </w:t>
      </w:r>
      <w:hyperlink r:id="rId21" w:history="1">
        <w:r w:rsidRPr="003E3CF8">
          <w:rPr>
            <w:rStyle w:val="Hyperlink"/>
          </w:rPr>
          <w:t>https://www.humanrights.gov.au/our-work/disability-rights/projects/shaping-ourfuture-discussions-disability-rights</w:t>
        </w:r>
      </w:hyperlink>
      <w:r>
        <w:t xml:space="preserve">. </w:t>
      </w:r>
    </w:p>
  </w:endnote>
  <w:endnote w:id="51">
    <w:p w14:paraId="569D3D85" w14:textId="77777777" w:rsidR="006907BD" w:rsidRDefault="006907BD" w:rsidP="00703DC8">
      <w:pPr>
        <w:pStyle w:val="EndnoteText"/>
      </w:pPr>
      <w:r>
        <w:rPr>
          <w:rStyle w:val="EndnoteReference"/>
        </w:rPr>
        <w:endnoteRef/>
      </w:r>
      <w:r>
        <w:t xml:space="preserve"> </w:t>
      </w:r>
      <w:r w:rsidRPr="004635BA">
        <w:t>Australian Human Rights Commission, Submission to Senate Economics References Committee inquiry into The Indicators of, and impact of, regional inequality in Australia (30 April 2018).</w:t>
      </w:r>
      <w:r>
        <w:t xml:space="preserve"> </w:t>
      </w:r>
    </w:p>
  </w:endnote>
  <w:endnote w:id="52">
    <w:p w14:paraId="694DE910" w14:textId="77777777" w:rsidR="006907BD" w:rsidRDefault="006907BD" w:rsidP="00703DC8">
      <w:pPr>
        <w:pStyle w:val="EndnoteText"/>
      </w:pPr>
      <w:r>
        <w:rPr>
          <w:rStyle w:val="EndnoteReference"/>
        </w:rPr>
        <w:endnoteRef/>
      </w:r>
      <w:r>
        <w:t xml:space="preserve"> Joint Standing Committee on the National Disability Insurance Scheme, </w:t>
      </w:r>
      <w:r w:rsidRPr="00507D5C">
        <w:rPr>
          <w:i/>
          <w:iCs/>
        </w:rPr>
        <w:t>Market readiness for provision of services under the NDIS</w:t>
      </w:r>
      <w:r>
        <w:t xml:space="preserve"> (September 2018) 70. </w:t>
      </w:r>
      <w:hyperlink r:id="rId22" w:history="1">
        <w:r w:rsidRPr="00676542">
          <w:rPr>
            <w:rStyle w:val="Hyperlink"/>
          </w:rPr>
          <w:t>https://www.aph.gov.au/Parliamentary_Business/Committees/Joint/National_Disability_Insurance_Scheme/MarketReadiness/Report</w:t>
        </w:r>
      </w:hyperlink>
    </w:p>
  </w:endnote>
  <w:endnote w:id="53">
    <w:p w14:paraId="08E05B90" w14:textId="77777777" w:rsidR="006907BD" w:rsidRDefault="006907BD" w:rsidP="00703DC8">
      <w:pPr>
        <w:pStyle w:val="EndnoteText"/>
      </w:pPr>
      <w:r>
        <w:rPr>
          <w:rStyle w:val="EndnoteReference"/>
        </w:rPr>
        <w:endnoteRef/>
      </w:r>
      <w:r>
        <w:t xml:space="preserve"> First Peoples Disability Network, Submission to the Senate Standing Committee on Community Affairs inquiry into Delivery of Outcomes under the National Disability Strategy 2010-2929 to build inclusive and accessible communities (2017). At </w:t>
      </w:r>
      <w:hyperlink r:id="rId23" w:history="1">
        <w:r w:rsidRPr="005D55C8">
          <w:rPr>
            <w:rStyle w:val="Hyperlink"/>
          </w:rPr>
          <w:t>http://fpdn.org.au/wpcontent/uploads/2017/05/Senate-Standing-Committee-on-Community-Affairs-Inquiry-into-Delivery-ofOutcomes-under-the-National-Disability-Strategy-2010-2020-to-build-inclusive-and-accessiblecommunities.pdf</w:t>
        </w:r>
      </w:hyperlink>
      <w:r>
        <w:t xml:space="preserve">. </w:t>
      </w:r>
    </w:p>
  </w:endnote>
  <w:endnote w:id="54">
    <w:p w14:paraId="34EF53A1" w14:textId="6FA125C5" w:rsidR="006907BD" w:rsidRDefault="006907BD">
      <w:pPr>
        <w:pStyle w:val="EndnoteText"/>
      </w:pPr>
      <w:r>
        <w:rPr>
          <w:rStyle w:val="EndnoteReference"/>
        </w:rPr>
        <w:endnoteRef/>
      </w:r>
      <w:r>
        <w:t xml:space="preserve"> </w:t>
      </w:r>
      <w:r w:rsidRPr="00D55575">
        <w:t xml:space="preserve">Australian Bureau of Statistics, </w:t>
      </w:r>
      <w:r>
        <w:rPr>
          <w:i/>
          <w:iCs/>
        </w:rPr>
        <w:t xml:space="preserve">3238.0.55.001 – Estimates of Aboriginal </w:t>
      </w:r>
      <w:r w:rsidRPr="00D55575">
        <w:rPr>
          <w:i/>
        </w:rPr>
        <w:t xml:space="preserve">and Torres Strait Islander </w:t>
      </w:r>
      <w:r>
        <w:rPr>
          <w:i/>
        </w:rPr>
        <w:t xml:space="preserve">Australians, </w:t>
      </w:r>
      <w:r w:rsidRPr="00D55575">
        <w:rPr>
          <w:i/>
        </w:rPr>
        <w:t>June 2016</w:t>
      </w:r>
      <w:r w:rsidRPr="00D55575">
        <w:t xml:space="preserve"> (</w:t>
      </w:r>
      <w:r>
        <w:t xml:space="preserve">31 August </w:t>
      </w:r>
      <w:r w:rsidRPr="00D55575">
        <w:t>2018)</w:t>
      </w:r>
      <w:r>
        <w:t>.</w:t>
      </w:r>
    </w:p>
  </w:endnote>
  <w:endnote w:id="55">
    <w:p w14:paraId="1BC01B0A" w14:textId="77777777" w:rsidR="006907BD" w:rsidRDefault="006907BD" w:rsidP="002F0F93">
      <w:pPr>
        <w:pStyle w:val="EndnoteText"/>
        <w:contextualSpacing/>
      </w:pPr>
      <w:r>
        <w:rPr>
          <w:rStyle w:val="EndnoteReference"/>
        </w:rPr>
        <w:endnoteRef/>
      </w:r>
      <w:r>
        <w:t xml:space="preserve"> </w:t>
      </w:r>
      <w:r w:rsidRPr="00170149">
        <w:t xml:space="preserve">Australian Bureau of Statistics, </w:t>
      </w:r>
      <w:r>
        <w:rPr>
          <w:i/>
          <w:iCs/>
        </w:rPr>
        <w:t xml:space="preserve">3238.0.55.001 – Estimates of Aboriginal </w:t>
      </w:r>
      <w:r w:rsidRPr="00D55575">
        <w:rPr>
          <w:i/>
        </w:rPr>
        <w:t xml:space="preserve">and Torres Strait Islander </w:t>
      </w:r>
      <w:r>
        <w:rPr>
          <w:i/>
        </w:rPr>
        <w:t xml:space="preserve">Australians, </w:t>
      </w:r>
      <w:r w:rsidRPr="00D55575">
        <w:rPr>
          <w:i/>
        </w:rPr>
        <w:t>June 2016</w:t>
      </w:r>
      <w:r w:rsidRPr="00D55575">
        <w:t xml:space="preserve"> (</w:t>
      </w:r>
      <w:r>
        <w:t xml:space="preserve">31 August </w:t>
      </w:r>
      <w:r w:rsidRPr="00D55575">
        <w:t>2018)</w:t>
      </w:r>
      <w:r>
        <w:t>.</w:t>
      </w:r>
    </w:p>
  </w:endnote>
  <w:endnote w:id="56">
    <w:p w14:paraId="5FBC5627" w14:textId="77777777" w:rsidR="006907BD" w:rsidRPr="003D35A2" w:rsidRDefault="006907BD" w:rsidP="003A52A2">
      <w:pPr>
        <w:pStyle w:val="EndnoteText"/>
        <w:contextualSpacing/>
        <w:rPr>
          <w:rFonts w:cs="Open Sans"/>
        </w:rPr>
      </w:pPr>
      <w:r w:rsidRPr="003D35A2">
        <w:rPr>
          <w:rStyle w:val="EndnoteReference"/>
        </w:rPr>
        <w:endnoteRef/>
      </w:r>
      <w:r w:rsidRPr="003D35A2">
        <w:rPr>
          <w:rFonts w:cs="Open Sans"/>
        </w:rPr>
        <w:t xml:space="preserve"> Australian Government Department of Education and Training, </w:t>
      </w:r>
      <w:r w:rsidRPr="003D35A2">
        <w:rPr>
          <w:rFonts w:cs="Open Sans"/>
          <w:i/>
        </w:rPr>
        <w:t>Australian Early Development Census National Report 2018</w:t>
      </w:r>
      <w:r w:rsidRPr="003D35A2">
        <w:rPr>
          <w:rFonts w:cs="Open Sans"/>
        </w:rPr>
        <w:t xml:space="preserve"> (2019) 42-43 &lt;www.aedc.gov.au/resources/detail/2015-aedc-national-report&gt;.</w:t>
      </w:r>
    </w:p>
  </w:endnote>
  <w:endnote w:id="57">
    <w:p w14:paraId="38537E9D" w14:textId="77777777" w:rsidR="006907BD" w:rsidRPr="00946697" w:rsidRDefault="006907BD" w:rsidP="009A7738">
      <w:pPr>
        <w:pStyle w:val="EndnoteText"/>
        <w:rPr>
          <w:rFonts w:cs="Open Sans"/>
          <w:i/>
        </w:rPr>
      </w:pPr>
      <w:r w:rsidRPr="00946697">
        <w:rPr>
          <w:rStyle w:val="EndnoteReference"/>
        </w:rPr>
        <w:endnoteRef/>
      </w:r>
      <w:r w:rsidRPr="00946697">
        <w:rPr>
          <w:rFonts w:cs="Open Sans"/>
        </w:rPr>
        <w:t xml:space="preserve">Department of Prime Minister and Cabinet, </w:t>
      </w:r>
      <w:r w:rsidRPr="00946697">
        <w:rPr>
          <w:rFonts w:cs="Open Sans"/>
          <w:i/>
          <w:iCs/>
        </w:rPr>
        <w:t>Closing the Gap Report</w:t>
      </w:r>
      <w:r w:rsidRPr="00946697">
        <w:rPr>
          <w:rFonts w:cs="Open Sans"/>
          <w:i/>
        </w:rPr>
        <w:t>: Prime Minister’s Report</w:t>
      </w:r>
      <w:r w:rsidRPr="00946697">
        <w:rPr>
          <w:rFonts w:cs="Open Sans"/>
          <w:i/>
          <w:iCs/>
        </w:rPr>
        <w:t xml:space="preserve"> 2019</w:t>
      </w:r>
      <w:r w:rsidRPr="00946697">
        <w:rPr>
          <w:rFonts w:cs="Open Sans"/>
        </w:rPr>
        <w:t xml:space="preserve"> (2019) 10 &lt;</w:t>
      </w:r>
      <w:r w:rsidRPr="003E307D">
        <w:rPr>
          <w:rFonts w:cs="Open Sans"/>
        </w:rPr>
        <w:t>https://ctgreport.niaa.gov.au/</w:t>
      </w:r>
      <w:r w:rsidRPr="00946697">
        <w:rPr>
          <w:rFonts w:cs="Open Sans"/>
        </w:rPr>
        <w:t>&gt;.</w:t>
      </w:r>
      <w:r>
        <w:rPr>
          <w:rFonts w:cs="Open Sans"/>
        </w:rPr>
        <w:t>.</w:t>
      </w:r>
    </w:p>
  </w:endnote>
  <w:endnote w:id="58">
    <w:p w14:paraId="04762469" w14:textId="77777777" w:rsidR="006907BD" w:rsidRDefault="006907BD" w:rsidP="00124478">
      <w:pPr>
        <w:pStyle w:val="EndnoteText"/>
      </w:pPr>
      <w:r>
        <w:rPr>
          <w:rStyle w:val="EndnoteReference"/>
        </w:rPr>
        <w:endnoteRef/>
      </w:r>
      <w:r>
        <w:t xml:space="preserve"> Australian Government, </w:t>
      </w:r>
      <w:r w:rsidRPr="002A39B1">
        <w:rPr>
          <w:i/>
          <w:iCs/>
        </w:rPr>
        <w:t>Closing the Gap Report 2020</w:t>
      </w:r>
      <w:r>
        <w:t xml:space="preserve"> (2020) </w:t>
      </w:r>
      <w:hyperlink r:id="rId24" w:history="1">
        <w:r w:rsidRPr="00E00DBD">
          <w:rPr>
            <w:color w:val="0000FF"/>
            <w:u w:val="single"/>
          </w:rPr>
          <w:t>https://ctgreport.niaa.gov.au/</w:t>
        </w:r>
      </w:hyperlink>
      <w:r>
        <w:t>.</w:t>
      </w:r>
    </w:p>
  </w:endnote>
  <w:endnote w:id="59">
    <w:p w14:paraId="0F84F14C" w14:textId="23D50E16" w:rsidR="006907BD" w:rsidRDefault="006907BD">
      <w:pPr>
        <w:pStyle w:val="EndnoteText"/>
      </w:pPr>
      <w:r>
        <w:rPr>
          <w:rStyle w:val="EndnoteReference"/>
        </w:rPr>
        <w:endnoteRef/>
      </w:r>
      <w:r>
        <w:t xml:space="preserve"> Australian Human Rights Commission, Children’s Rights Report 2019—</w:t>
      </w:r>
      <w:r w:rsidRPr="00A1605C">
        <w:rPr>
          <w:i/>
          <w:iCs/>
        </w:rPr>
        <w:t>In Their Own Right: Children’s Rights in Australia</w:t>
      </w:r>
      <w:r>
        <w:t xml:space="preserve"> (2019) 31, 138.</w:t>
      </w:r>
    </w:p>
  </w:endnote>
  <w:endnote w:id="60">
    <w:p w14:paraId="20DBBE36" w14:textId="4D2567B5" w:rsidR="006907BD" w:rsidRDefault="006907BD" w:rsidP="000B6A0C">
      <w:pPr>
        <w:pStyle w:val="EndnoteText"/>
      </w:pPr>
      <w:r>
        <w:rPr>
          <w:rStyle w:val="EndnoteReference"/>
        </w:rPr>
        <w:endnoteRef/>
      </w:r>
      <w:r>
        <w:t xml:space="preserve"> N </w:t>
      </w:r>
      <w:r>
        <w:t>Arefadib &amp; TG Moore, Reporting the Health and Development of Children in Rural and Remote Australia, The Centre for Community Health at the Royal Children’s Hospital and the Murdoch Children’s Research Institute (2017) 49.</w:t>
      </w:r>
    </w:p>
  </w:endnote>
  <w:endnote w:id="61">
    <w:p w14:paraId="43F3333D" w14:textId="23D63F6C" w:rsidR="006907BD" w:rsidRDefault="006907BD">
      <w:pPr>
        <w:pStyle w:val="EndnoteText"/>
      </w:pPr>
      <w:r>
        <w:rPr>
          <w:rStyle w:val="EndnoteReference"/>
        </w:rPr>
        <w:endnoteRef/>
      </w:r>
      <w:r>
        <w:t xml:space="preserve"> Australian Human Rights Commission, Children’s Rights Report 2017 (2017).</w:t>
      </w:r>
    </w:p>
  </w:endnote>
  <w:endnote w:id="62">
    <w:p w14:paraId="65C1E841" w14:textId="77777777" w:rsidR="006907BD" w:rsidRDefault="006907BD" w:rsidP="001A4E7F">
      <w:pPr>
        <w:pStyle w:val="EndnoteText"/>
        <w:rPr>
          <w:rFonts w:cs="Arial"/>
        </w:rPr>
      </w:pPr>
      <w:r>
        <w:rPr>
          <w:rStyle w:val="EndnoteReference"/>
        </w:rPr>
        <w:endnoteRef/>
      </w:r>
      <w:r>
        <w:rPr>
          <w:rFonts w:cs="Arial"/>
        </w:rPr>
        <w:t xml:space="preserve"> </w:t>
      </w:r>
      <w:r>
        <w:rPr>
          <w:rFonts w:cs="Arial"/>
        </w:rPr>
        <w:t xml:space="preserve">Guyonne Kalb, Trinh Le and Felix Leung, ‘Outcomes for Teenage Mothers in the First Years after Birth’ (2015) 18(3) </w:t>
      </w:r>
      <w:r>
        <w:rPr>
          <w:rFonts w:cs="Arial"/>
          <w:i/>
        </w:rPr>
        <w:t>Australian Journal of Labour Economics</w:t>
      </w:r>
      <w:r>
        <w:rPr>
          <w:rFonts w:cs="Arial"/>
        </w:rPr>
        <w:t xml:space="preserve"> 255, 270; Bruce Bradbury, ‘Disadvantage among Australian Young Mothers’ (2006) 9(2) </w:t>
      </w:r>
      <w:r>
        <w:rPr>
          <w:rFonts w:cs="Arial"/>
          <w:i/>
        </w:rPr>
        <w:t xml:space="preserve">Australian Journal of Labour Economics </w:t>
      </w:r>
      <w:r>
        <w:rPr>
          <w:rFonts w:cs="Arial"/>
        </w:rPr>
        <w:t>147, 169.</w:t>
      </w:r>
    </w:p>
  </w:endnote>
  <w:endnote w:id="63">
    <w:p w14:paraId="5AF7F88D" w14:textId="77777777" w:rsidR="006907BD" w:rsidRDefault="006907BD" w:rsidP="001A4E7F">
      <w:pPr>
        <w:pStyle w:val="EndnoteText"/>
        <w:rPr>
          <w:rFonts w:cs="Arial"/>
        </w:rPr>
      </w:pPr>
      <w:r>
        <w:rPr>
          <w:rStyle w:val="EndnoteReference"/>
        </w:rPr>
        <w:endnoteRef/>
      </w:r>
      <w:r>
        <w:rPr>
          <w:rFonts w:cs="Arial"/>
        </w:rPr>
        <w:t xml:space="preserve"> Sung-</w:t>
      </w:r>
      <w:r>
        <w:rPr>
          <w:rFonts w:cs="Arial"/>
        </w:rPr>
        <w:t xml:space="preserve">Hee Jeon, Guyonne Kalb and Ha Vu, ‘The Dynamics of Welfare Participation among Women Who Experienced Teenage Motherhood in Australia’ (2011) 87(277) </w:t>
      </w:r>
      <w:r>
        <w:rPr>
          <w:rFonts w:cs="Arial"/>
          <w:i/>
        </w:rPr>
        <w:t>The Economic Record</w:t>
      </w:r>
      <w:r>
        <w:rPr>
          <w:rFonts w:cs="Arial"/>
        </w:rPr>
        <w:t xml:space="preserve"> 235, 239; Ann Evans, ‘Education and the resolution of teenage pregnancy in Australia’ (2004)13</w:t>
      </w:r>
      <w:r>
        <w:rPr>
          <w:rFonts w:cs="Arial"/>
          <w:i/>
        </w:rPr>
        <w:t xml:space="preserve"> Health Sociology Review</w:t>
      </w:r>
      <w:r>
        <w:rPr>
          <w:rFonts w:cs="Arial"/>
        </w:rPr>
        <w:t xml:space="preserve"> 27. </w:t>
      </w:r>
    </w:p>
  </w:endnote>
  <w:endnote w:id="64">
    <w:p w14:paraId="5A2A7F5E" w14:textId="77777777" w:rsidR="006907BD" w:rsidRDefault="006907BD" w:rsidP="001A4E7F">
      <w:pPr>
        <w:pStyle w:val="EndnoteText"/>
        <w:rPr>
          <w:rFonts w:cs="Arial"/>
        </w:rPr>
      </w:pPr>
      <w:r>
        <w:rPr>
          <w:rStyle w:val="EndnoteReference"/>
        </w:rPr>
        <w:endnoteRef/>
      </w:r>
      <w:r>
        <w:rPr>
          <w:rFonts w:cs="Arial"/>
        </w:rPr>
        <w:t xml:space="preserve"> Jennifer Marino, Lucy Lewis, Deborah Bateson, Martha Hickey and Rachel Skinner, ‘Teenage Mothers’ (2016) 45(10) </w:t>
      </w:r>
      <w:r>
        <w:rPr>
          <w:rFonts w:cs="Arial"/>
          <w:i/>
        </w:rPr>
        <w:t>Australian Family Physician</w:t>
      </w:r>
      <w:r>
        <w:rPr>
          <w:rFonts w:cs="Arial"/>
        </w:rPr>
        <w:t xml:space="preserve"> 712, 712; Australian Institute of Health and Welfare, ‘A Picture of Australia’s Children 2012’ (Report, Australian Institute of Health and Welfare, 2012) 51-52.   </w:t>
      </w:r>
    </w:p>
  </w:endnote>
  <w:endnote w:id="65">
    <w:p w14:paraId="13D78DD5" w14:textId="77777777" w:rsidR="006907BD" w:rsidRDefault="006907BD" w:rsidP="001A4E7F">
      <w:pPr>
        <w:pStyle w:val="EndnoteText"/>
        <w:rPr>
          <w:rFonts w:cs="Arial"/>
        </w:rPr>
      </w:pPr>
      <w:r>
        <w:rPr>
          <w:rStyle w:val="EndnoteReference"/>
        </w:rPr>
        <w:endnoteRef/>
      </w:r>
      <w:r>
        <w:rPr>
          <w:rFonts w:cs="Arial"/>
        </w:rPr>
        <w:t xml:space="preserve"> Jennifer Marino, Lucy Lewis, Deborah Bateson, Martha Hickey and Rachel Skinner, ‘Teenage Mothers’ (2016) 45(10) </w:t>
      </w:r>
      <w:r>
        <w:rPr>
          <w:rFonts w:cs="Arial"/>
          <w:i/>
        </w:rPr>
        <w:t>Australian Family Physician</w:t>
      </w:r>
      <w:r>
        <w:rPr>
          <w:rFonts w:cs="Arial"/>
        </w:rPr>
        <w:t xml:space="preserve"> 712, 712; Australian Bureau of Statistics, ‘Births, Australia, 2015’, ABS Catalogue No 3301.0 (7 February 2017). At </w:t>
      </w:r>
      <w:hyperlink r:id="rId25" w:history="1">
        <w:r>
          <w:rPr>
            <w:rStyle w:val="Hyperlink"/>
            <w:rFonts w:cs="Arial"/>
          </w:rPr>
          <w:t>http://www.abs.gov.au/ausstats/abs@.nsf/mf/3301.0</w:t>
        </w:r>
      </w:hyperlink>
      <w:r>
        <w:rPr>
          <w:rFonts w:cs="Arial"/>
        </w:rPr>
        <w:t xml:space="preserve"> (viewed 27 July 2017). </w:t>
      </w:r>
    </w:p>
  </w:endnote>
  <w:endnote w:id="66">
    <w:p w14:paraId="6014BFE4" w14:textId="77777777" w:rsidR="006907BD" w:rsidRDefault="006907BD" w:rsidP="001A4E7F">
      <w:pPr>
        <w:pStyle w:val="EndnoteText"/>
      </w:pPr>
      <w:r>
        <w:rPr>
          <w:rStyle w:val="EndnoteReference"/>
        </w:rPr>
        <w:endnoteRef/>
      </w:r>
      <w:r>
        <w:t xml:space="preserve"> Australian Bureau of Statistics, Submission No 69 to the Australian Human Rights Commission, </w:t>
      </w:r>
      <w:r>
        <w:rPr>
          <w:i/>
        </w:rPr>
        <w:t>National Children’s Commissioner’s Investigation into Young Parents and their Children</w:t>
      </w:r>
      <w:r>
        <w:t>, 1.</w:t>
      </w:r>
    </w:p>
  </w:endnote>
  <w:endnote w:id="67">
    <w:p w14:paraId="458A863C" w14:textId="71140EBF" w:rsidR="006907BD" w:rsidRPr="003D419C" w:rsidRDefault="006907BD" w:rsidP="003D419C">
      <w:pPr>
        <w:pStyle w:val="EndnoteText"/>
        <w:rPr>
          <w:rFonts w:ascii="Arial" w:eastAsia="Times New Roman" w:hAnsi="Arial" w:cs="Arial"/>
        </w:rPr>
      </w:pPr>
      <w:r>
        <w:rPr>
          <w:rStyle w:val="EndnoteReference"/>
        </w:rPr>
        <w:endnoteRef/>
      </w:r>
      <w:r>
        <w:t xml:space="preserve"> </w:t>
      </w:r>
      <w:r>
        <w:rPr>
          <w:rFonts w:cs="Arial"/>
        </w:rPr>
        <w:t xml:space="preserve">Australian Bureau of Statistics, ‘Aboriginal and Torres Strait Islander fertility, by age, by state,’ </w:t>
      </w:r>
      <w:r>
        <w:rPr>
          <w:rFonts w:cs="Arial"/>
        </w:rPr>
        <w:t xml:space="preserve">ABS.Stat. At </w:t>
      </w:r>
      <w:hyperlink r:id="rId26" w:history="1">
        <w:r>
          <w:rPr>
            <w:rStyle w:val="Hyperlink"/>
            <w:rFonts w:cs="Arial"/>
          </w:rPr>
          <w:t>http://stat.data.abs.gov.au/Index.aspx?QueryId=503</w:t>
        </w:r>
      </w:hyperlink>
      <w:r>
        <w:rPr>
          <w:rFonts w:cs="Arial"/>
        </w:rPr>
        <w:t xml:space="preserve"> (viewed 28 August 2017).</w:t>
      </w:r>
    </w:p>
  </w:endnote>
  <w:endnote w:id="68">
    <w:p w14:paraId="6D45AF31" w14:textId="77777777" w:rsidR="006907BD" w:rsidRDefault="006907BD" w:rsidP="00FA6206">
      <w:pPr>
        <w:pStyle w:val="EndnoteText"/>
      </w:pPr>
      <w:r>
        <w:rPr>
          <w:rStyle w:val="EndnoteReference"/>
        </w:rPr>
        <w:endnoteRef/>
      </w:r>
      <w:r>
        <w:t xml:space="preserve"> Roundtable Discussion, </w:t>
      </w:r>
      <w:r>
        <w:rPr>
          <w:i/>
        </w:rPr>
        <w:t>National Children’s Commissioner’s Investigation into Young Parents and their Children</w:t>
      </w:r>
      <w:r>
        <w:t>, (2017).</w:t>
      </w:r>
    </w:p>
  </w:endnote>
  <w:endnote w:id="69">
    <w:p w14:paraId="75A16604" w14:textId="77777777" w:rsidR="006907BD" w:rsidRDefault="006907BD" w:rsidP="00FC368F">
      <w:pPr>
        <w:pStyle w:val="EndnoteText"/>
        <w:rPr>
          <w:rFonts w:cs="Arial"/>
        </w:rPr>
      </w:pPr>
      <w:r>
        <w:rPr>
          <w:rStyle w:val="EndnoteReference"/>
        </w:rPr>
        <w:endnoteRef/>
      </w:r>
      <w:r>
        <w:rPr>
          <w:rFonts w:cs="Arial"/>
        </w:rPr>
        <w:t xml:space="preserve"> Kay </w:t>
      </w:r>
      <w:r>
        <w:rPr>
          <w:rFonts w:cs="Arial"/>
        </w:rPr>
        <w:t xml:space="preserve">Boulden, </w:t>
      </w:r>
      <w:r>
        <w:rPr>
          <w:rFonts w:cs="Arial"/>
          <w:i/>
        </w:rPr>
        <w:t>What it Takes: Supporting pregnant and parenting young people</w:t>
      </w:r>
      <w:r>
        <w:rPr>
          <w:rFonts w:cs="Arial"/>
        </w:rPr>
        <w:t xml:space="preserve"> (September 2010), Association of Women Educators Incorporated, 14–15.</w:t>
      </w:r>
    </w:p>
  </w:endnote>
  <w:endnote w:id="70">
    <w:p w14:paraId="255ECFF5" w14:textId="77777777" w:rsidR="006907BD" w:rsidRDefault="006907BD" w:rsidP="00FA6206">
      <w:pPr>
        <w:pStyle w:val="EndnoteText"/>
      </w:pPr>
      <w:r>
        <w:rPr>
          <w:rStyle w:val="EndnoteReference"/>
        </w:rPr>
        <w:endnoteRef/>
      </w:r>
      <w:r>
        <w:t xml:space="preserve"> Roundtable Discussion, </w:t>
      </w:r>
      <w:r>
        <w:rPr>
          <w:i/>
        </w:rPr>
        <w:t>National Children’s Commissioner’s Investigation into Young Parents and their Children</w:t>
      </w:r>
      <w:r>
        <w:t>, (2017).</w:t>
      </w:r>
    </w:p>
  </w:endnote>
  <w:endnote w:id="71">
    <w:p w14:paraId="415CA5DF" w14:textId="77777777" w:rsidR="006907BD" w:rsidRDefault="006907BD" w:rsidP="00FA6206">
      <w:pPr>
        <w:pStyle w:val="EndnoteText"/>
      </w:pPr>
      <w:r>
        <w:rPr>
          <w:rStyle w:val="EndnoteReference"/>
        </w:rPr>
        <w:endnoteRef/>
      </w:r>
      <w:r>
        <w:t xml:space="preserve"> Roundtable Discussion, </w:t>
      </w:r>
      <w:r>
        <w:rPr>
          <w:i/>
        </w:rPr>
        <w:t>National Children’s Commissioner’s Investigation into Young Parents and their Children</w:t>
      </w:r>
      <w:r>
        <w:t>, (2017).</w:t>
      </w:r>
    </w:p>
  </w:endnote>
  <w:endnote w:id="72">
    <w:p w14:paraId="427361FD" w14:textId="77777777" w:rsidR="006907BD" w:rsidRDefault="006907BD" w:rsidP="00595DAC">
      <w:pPr>
        <w:pStyle w:val="EndnoteText"/>
        <w:rPr>
          <w:rFonts w:cs="Arial"/>
        </w:rPr>
      </w:pPr>
      <w:r>
        <w:rPr>
          <w:rStyle w:val="EndnoteReference"/>
        </w:rPr>
        <w:endnoteRef/>
      </w:r>
      <w:r>
        <w:rPr>
          <w:rFonts w:cs="Arial"/>
        </w:rPr>
        <w:t xml:space="preserve"> Kay </w:t>
      </w:r>
      <w:r>
        <w:rPr>
          <w:rFonts w:cs="Arial"/>
        </w:rPr>
        <w:t xml:space="preserve">Boulden, </w:t>
      </w:r>
      <w:r>
        <w:rPr>
          <w:rFonts w:cs="Arial"/>
          <w:i/>
        </w:rPr>
        <w:t>What it Takes: Supporting pregnant and parenting young people</w:t>
      </w:r>
      <w:r>
        <w:rPr>
          <w:rFonts w:cs="Arial"/>
        </w:rPr>
        <w:t xml:space="preserve"> (September 2010), Association of Women Educators Incorporated, 15; Guyonne Kalb, Trinh Le and Felix Leung, ‘Outcomes for Teenage Mothers in the First Years after Birth’ (2015) 18(3) </w:t>
      </w:r>
      <w:r>
        <w:rPr>
          <w:rFonts w:cs="Arial"/>
          <w:i/>
        </w:rPr>
        <w:t>Australian Journal of Labour Economics</w:t>
      </w:r>
      <w:r>
        <w:rPr>
          <w:rFonts w:cs="Arial"/>
        </w:rPr>
        <w:t xml:space="preserve"> 255, 271.</w:t>
      </w:r>
    </w:p>
  </w:endnote>
  <w:endnote w:id="73">
    <w:p w14:paraId="539BFD43" w14:textId="77777777" w:rsidR="006907BD" w:rsidRDefault="006907BD" w:rsidP="00595DAC">
      <w:pPr>
        <w:pStyle w:val="EndnoteText"/>
      </w:pPr>
      <w:r>
        <w:rPr>
          <w:rStyle w:val="EndnoteReference"/>
        </w:rPr>
        <w:endnoteRef/>
      </w:r>
      <w:r>
        <w:t xml:space="preserve"> Roundtable Discussion, </w:t>
      </w:r>
      <w:r>
        <w:rPr>
          <w:i/>
        </w:rPr>
        <w:t>National Children’s Commissioner’s Investigation into Young Parents and their Children</w:t>
      </w:r>
      <w:r>
        <w:t>, (2017).</w:t>
      </w:r>
    </w:p>
  </w:endnote>
  <w:endnote w:id="74">
    <w:p w14:paraId="7EB16985" w14:textId="77777777" w:rsidR="006907BD" w:rsidRDefault="006907BD" w:rsidP="00604919">
      <w:pPr>
        <w:spacing w:before="0" w:after="0"/>
        <w:rPr>
          <w:i/>
          <w:iCs/>
          <w:sz w:val="20"/>
          <w:szCs w:val="20"/>
        </w:rPr>
      </w:pPr>
      <w:r>
        <w:rPr>
          <w:rStyle w:val="EndnoteReference"/>
        </w:rPr>
        <w:endnoteRef/>
      </w:r>
      <w:r>
        <w:rPr>
          <w:iCs/>
          <w:sz w:val="20"/>
          <w:szCs w:val="20"/>
        </w:rPr>
        <w:t>Supporting Teenagers with Education, Mothering and Mentoring (</w:t>
      </w:r>
      <w:r>
        <w:rPr>
          <w:sz w:val="20"/>
          <w:szCs w:val="20"/>
        </w:rPr>
        <w:t>STEMM), Submission No 10 to</w:t>
      </w:r>
      <w:r>
        <w:rPr>
          <w:b/>
          <w:bCs/>
          <w:sz w:val="20"/>
          <w:szCs w:val="20"/>
        </w:rPr>
        <w:t xml:space="preserve"> </w:t>
      </w:r>
      <w:r>
        <w:rPr>
          <w:sz w:val="20"/>
          <w:szCs w:val="20"/>
        </w:rPr>
        <w:t xml:space="preserve">Australian Human Rights Commission, </w:t>
      </w:r>
      <w:r>
        <w:rPr>
          <w:i/>
          <w:iCs/>
          <w:sz w:val="20"/>
          <w:szCs w:val="20"/>
        </w:rPr>
        <w:t xml:space="preserve">National Children’s Commissioner’s Investigation into Young Parents and their Children; Supporting Teenagers with Education, Mothering and Mentoring </w:t>
      </w:r>
      <w:r>
        <w:rPr>
          <w:iCs/>
          <w:sz w:val="20"/>
          <w:szCs w:val="20"/>
        </w:rPr>
        <w:t xml:space="preserve">(STEMM). At </w:t>
      </w:r>
      <w:hyperlink r:id="rId27" w:history="1">
        <w:r>
          <w:rPr>
            <w:rStyle w:val="Hyperlink"/>
            <w:iCs/>
            <w:sz w:val="20"/>
            <w:szCs w:val="20"/>
          </w:rPr>
          <w:t>http://stemm.com.au/</w:t>
        </w:r>
      </w:hyperlink>
      <w:r>
        <w:rPr>
          <w:iCs/>
          <w:sz w:val="20"/>
          <w:szCs w:val="20"/>
        </w:rPr>
        <w:t xml:space="preserve"> (viewed 13 September 2017). </w:t>
      </w:r>
    </w:p>
  </w:endnote>
  <w:endnote w:id="75">
    <w:p w14:paraId="4BBCAD01" w14:textId="77777777" w:rsidR="006907BD" w:rsidRDefault="006907BD" w:rsidP="00595603">
      <w:pPr>
        <w:spacing w:before="0" w:after="0"/>
        <w:rPr>
          <w:i/>
          <w:iCs/>
          <w:sz w:val="20"/>
          <w:szCs w:val="20"/>
        </w:rPr>
      </w:pPr>
      <w:r>
        <w:rPr>
          <w:rStyle w:val="EndnoteReference"/>
        </w:rPr>
        <w:endnoteRef/>
      </w:r>
      <w:r>
        <w:rPr>
          <w:iCs/>
          <w:sz w:val="20"/>
          <w:szCs w:val="20"/>
        </w:rPr>
        <w:t>Supporting Teenagers with Education, Mothering and Mentoring (</w:t>
      </w:r>
      <w:r>
        <w:rPr>
          <w:sz w:val="20"/>
          <w:szCs w:val="20"/>
        </w:rPr>
        <w:t>STEMM), Submission No 10 to</w:t>
      </w:r>
      <w:r>
        <w:rPr>
          <w:b/>
          <w:bCs/>
          <w:sz w:val="20"/>
          <w:szCs w:val="20"/>
        </w:rPr>
        <w:t xml:space="preserve"> </w:t>
      </w:r>
      <w:r>
        <w:rPr>
          <w:sz w:val="20"/>
          <w:szCs w:val="20"/>
        </w:rPr>
        <w:t xml:space="preserve">Australian Human Rights Commission, </w:t>
      </w:r>
      <w:r>
        <w:rPr>
          <w:i/>
          <w:iCs/>
          <w:sz w:val="20"/>
          <w:szCs w:val="20"/>
        </w:rPr>
        <w:t xml:space="preserve">National Children’s Commissioner’s Investigation into Young Parents and their Children; Supporting Teenagers with Education, Mothering and Mentoring </w:t>
      </w:r>
      <w:r>
        <w:rPr>
          <w:iCs/>
          <w:sz w:val="20"/>
          <w:szCs w:val="20"/>
        </w:rPr>
        <w:t xml:space="preserve">(STEMM). At </w:t>
      </w:r>
      <w:hyperlink r:id="rId28" w:history="1">
        <w:r>
          <w:rPr>
            <w:rStyle w:val="Hyperlink"/>
            <w:iCs/>
            <w:sz w:val="20"/>
            <w:szCs w:val="20"/>
          </w:rPr>
          <w:t>http://stemm.com.au/</w:t>
        </w:r>
      </w:hyperlink>
      <w:r>
        <w:rPr>
          <w:iCs/>
          <w:sz w:val="20"/>
          <w:szCs w:val="20"/>
        </w:rPr>
        <w:t xml:space="preserve"> (viewed 13 September 2017). </w:t>
      </w:r>
    </w:p>
  </w:endnote>
  <w:endnote w:id="76">
    <w:p w14:paraId="025C2CA3" w14:textId="130B9AE8" w:rsidR="006907BD" w:rsidRDefault="006907BD">
      <w:pPr>
        <w:pStyle w:val="EndnoteText"/>
      </w:pPr>
      <w:r>
        <w:rPr>
          <w:rStyle w:val="EndnoteReference"/>
        </w:rPr>
        <w:endnoteRef/>
      </w:r>
      <w:r>
        <w:t xml:space="preserve">  Port Young Parent Centre, </w:t>
      </w:r>
      <w:hyperlink r:id="rId29" w:history="1">
        <w:r w:rsidRPr="009A624D">
          <w:rPr>
            <w:rStyle w:val="Hyperlink"/>
          </w:rPr>
          <w:t>https://www.portschool.wa.edu.au/school-programs/young-parent-centre/</w:t>
        </w:r>
      </w:hyperlink>
      <w:r>
        <w:t xml:space="preserve">. </w:t>
      </w:r>
    </w:p>
  </w:endnote>
  <w:endnote w:id="77">
    <w:p w14:paraId="737D4E5A" w14:textId="7A6B3FCF" w:rsidR="006907BD" w:rsidRDefault="006907BD">
      <w:pPr>
        <w:pStyle w:val="EndnoteText"/>
      </w:pPr>
      <w:r>
        <w:rPr>
          <w:rStyle w:val="EndnoteReference"/>
        </w:rPr>
        <w:endnoteRef/>
      </w:r>
      <w:r>
        <w:t xml:space="preserve"> Cape York Girls Academy, </w:t>
      </w:r>
      <w:hyperlink r:id="rId30" w:history="1">
        <w:r>
          <w:rPr>
            <w:rStyle w:val="Hyperlink"/>
          </w:rPr>
          <w:t>https://capeyorkpartnership.org.au/our-partnership/cape-york-girl-academy/</w:t>
        </w:r>
      </w:hyperlink>
      <w:r>
        <w:t>.</w:t>
      </w:r>
    </w:p>
  </w:endnote>
  <w:endnote w:id="78">
    <w:p w14:paraId="7347336B" w14:textId="6AD0A427" w:rsidR="006907BD" w:rsidRDefault="006907BD">
      <w:pPr>
        <w:pStyle w:val="EndnoteText"/>
      </w:pPr>
      <w:r>
        <w:rPr>
          <w:rStyle w:val="EndnoteReference"/>
        </w:rPr>
        <w:endnoteRef/>
      </w:r>
      <w:r>
        <w:t xml:space="preserve"> Australian Human Rights Commission, Children’s Rights Report 2017 (2017) 156.</w:t>
      </w:r>
    </w:p>
  </w:endnote>
  <w:endnote w:id="79">
    <w:p w14:paraId="7C41C396" w14:textId="03D1E4E8" w:rsidR="006907BD" w:rsidRDefault="006907BD">
      <w:pPr>
        <w:pStyle w:val="EndnoteText"/>
      </w:pPr>
      <w:r>
        <w:rPr>
          <w:rStyle w:val="EndnoteReference"/>
        </w:rPr>
        <w:endnoteRef/>
      </w:r>
      <w:r>
        <w:t xml:space="preserve"> </w:t>
      </w:r>
      <w:r w:rsidRPr="00A35830">
        <w:t xml:space="preserve">UNICEF, </w:t>
      </w:r>
      <w:r w:rsidRPr="00A35830">
        <w:rPr>
          <w:i/>
          <w:iCs/>
        </w:rPr>
        <w:t xml:space="preserve">In their own words: the hidden impact of prolonged drought on children and young people </w:t>
      </w:r>
      <w:r w:rsidRPr="00A35830">
        <w:t>(</w:t>
      </w:r>
      <w:r>
        <w:t xml:space="preserve">Report, </w:t>
      </w:r>
      <w:r w:rsidRPr="00A35830">
        <w:t xml:space="preserve">February 2019) </w:t>
      </w:r>
      <w:hyperlink r:id="rId31" w:history="1">
        <w:r w:rsidRPr="008213A3">
          <w:rPr>
            <w:rStyle w:val="Hyperlink"/>
          </w:rPr>
          <w:t>www.unicef.org.au/Upload/UNICEF/Media/Documents/Drought-Report-2019.pdf</w:t>
        </w:r>
      </w:hyperlink>
      <w:r>
        <w:t>.</w:t>
      </w:r>
    </w:p>
  </w:endnote>
  <w:endnote w:id="80">
    <w:p w14:paraId="33D964EF" w14:textId="1BD2BE2A" w:rsidR="006907BD" w:rsidRDefault="006907BD" w:rsidP="00681174">
      <w:pPr>
        <w:pStyle w:val="EndnoteText"/>
      </w:pPr>
      <w:r>
        <w:rPr>
          <w:rStyle w:val="EndnoteReference"/>
        </w:rPr>
        <w:endnoteRef/>
      </w:r>
      <w:r>
        <w:t xml:space="preserve"> </w:t>
      </w:r>
      <w:r w:rsidRPr="00A35830">
        <w:t xml:space="preserve">UNICEF, </w:t>
      </w:r>
      <w:r w:rsidRPr="00A35830">
        <w:rPr>
          <w:i/>
          <w:iCs/>
        </w:rPr>
        <w:t xml:space="preserve">In their own words: the hidden impact of prolonged drought on children and young people </w:t>
      </w:r>
      <w:r w:rsidRPr="00A35830">
        <w:t>(</w:t>
      </w:r>
      <w:r>
        <w:t xml:space="preserve">Report, </w:t>
      </w:r>
      <w:r w:rsidRPr="00A35830">
        <w:t xml:space="preserve">February 2019) </w:t>
      </w:r>
      <w:r>
        <w:t xml:space="preserve">Recommendation 2, </w:t>
      </w:r>
      <w:hyperlink r:id="rId32" w:history="1">
        <w:r w:rsidRPr="00681174">
          <w:rPr>
            <w:rStyle w:val="Hyperlink"/>
          </w:rPr>
          <w:t>www.unicef.org.au/Upload/UNICEF/Media/Documents/Drought-Report-2019.pdf</w:t>
        </w:r>
      </w:hyperlink>
      <w:r>
        <w:t>.</w:t>
      </w:r>
    </w:p>
  </w:endnote>
  <w:endnote w:id="81">
    <w:p w14:paraId="30EE3923" w14:textId="689845FE" w:rsidR="006907BD" w:rsidRDefault="006907BD">
      <w:pPr>
        <w:pStyle w:val="EndnoteText"/>
      </w:pPr>
      <w:r>
        <w:rPr>
          <w:rStyle w:val="EndnoteReference"/>
        </w:rPr>
        <w:endnoteRef/>
      </w:r>
      <w:r>
        <w:t xml:space="preserve"> </w:t>
      </w:r>
      <w:hyperlink r:id="rId33" w:history="1">
        <w:r>
          <w:rPr>
            <w:rStyle w:val="Hyperlink"/>
          </w:rPr>
          <w:t>https://www.unicef.org.au/appeals/bushfire-and-drought-response</w:t>
        </w:r>
      </w:hyperlink>
      <w:r>
        <w:t xml:space="preserve">. </w:t>
      </w:r>
    </w:p>
  </w:endnote>
  <w:endnote w:id="82">
    <w:p w14:paraId="74CA9CA1" w14:textId="27507176" w:rsidR="006907BD" w:rsidRDefault="006907BD">
      <w:pPr>
        <w:pStyle w:val="EndnoteText"/>
      </w:pPr>
      <w:r>
        <w:rPr>
          <w:rStyle w:val="EndnoteReference"/>
        </w:rPr>
        <w:endnoteRef/>
      </w:r>
      <w:r>
        <w:t xml:space="preserve"> Australian Institute for Disaster Relief, Teaching resources, </w:t>
      </w:r>
      <w:hyperlink r:id="rId34" w:anchor="/" w:history="1">
        <w:r w:rsidRPr="00175EA2">
          <w:rPr>
            <w:rStyle w:val="Hyperlink"/>
          </w:rPr>
          <w:t>https://www.schools.aidr.org.au/disaster-resilience-education/teaching-resources/#/</w:t>
        </w:r>
      </w:hyperlink>
    </w:p>
  </w:endnote>
  <w:endnote w:id="83">
    <w:p w14:paraId="796CA3E6" w14:textId="47A4ED23" w:rsidR="006907BD" w:rsidRDefault="006907BD">
      <w:pPr>
        <w:pStyle w:val="EndnoteText"/>
      </w:pPr>
      <w:r>
        <w:rPr>
          <w:rStyle w:val="EndnoteReference"/>
        </w:rPr>
        <w:endnoteRef/>
      </w:r>
      <w:r>
        <w:t xml:space="preserve"> Australian Red Cross, Resources for parents and teachers, </w:t>
      </w:r>
      <w:hyperlink r:id="rId35" w:anchor="prepare" w:history="1">
        <w:r w:rsidRPr="00175EA2">
          <w:rPr>
            <w:rStyle w:val="Hyperlink"/>
          </w:rPr>
          <w:t>https://www.redcross.org.au/get-help/emergencies/resources-about-disasters/resources-for-parents-and-teachers#prepare</w:t>
        </w:r>
      </w:hyperlink>
    </w:p>
  </w:endnote>
  <w:endnote w:id="84">
    <w:p w14:paraId="08A12977" w14:textId="30797B3E" w:rsidR="006907BD" w:rsidRDefault="006907BD">
      <w:pPr>
        <w:pStyle w:val="EndnoteText"/>
      </w:pPr>
      <w:r>
        <w:rPr>
          <w:rStyle w:val="EndnoteReference"/>
        </w:rPr>
        <w:endnoteRef/>
      </w:r>
      <w:r>
        <w:t xml:space="preserve">Emerging Minds, Psychological First Aid tip card (December 2019) </w:t>
      </w:r>
      <w:hyperlink r:id="rId36" w:history="1">
        <w:r>
          <w:rPr>
            <w:rStyle w:val="Hyperlink"/>
          </w:rPr>
          <w:t>https://emergingminds.com.au/resources/psychological-first-aid-tip-card/</w:t>
        </w:r>
      </w:hyperlink>
    </w:p>
  </w:endnote>
  <w:endnote w:id="85">
    <w:p w14:paraId="46867682" w14:textId="36601B28" w:rsidR="006907BD" w:rsidRDefault="006907BD">
      <w:pPr>
        <w:pStyle w:val="EndnoteText"/>
      </w:pPr>
      <w:r>
        <w:rPr>
          <w:rStyle w:val="EndnoteReference"/>
        </w:rPr>
        <w:endnoteRef/>
      </w:r>
      <w:r>
        <w:t xml:space="preserve"> See news report, </w:t>
      </w:r>
      <w:hyperlink r:id="rId37" w:history="1">
        <w:r w:rsidRPr="008213A3">
          <w:rPr>
            <w:rStyle w:val="Hyperlink"/>
          </w:rPr>
          <w:t>https://www.abc.net.au/news/2019-08-29/strathewen-children-bushfire-education-program/11459508</w:t>
        </w:r>
      </w:hyperlink>
      <w:r>
        <w:t xml:space="preserve"> and </w:t>
      </w:r>
      <w:hyperlink r:id="rId38" w:history="1">
        <w:r w:rsidRPr="008213A3">
          <w:rPr>
            <w:rStyle w:val="Hyperlink"/>
          </w:rPr>
          <w:t>https://www.bushfirereadyschools.com.au/disaster-resilience-education-disaster-risk-education-action/strathewen-primary-school</w:t>
        </w:r>
      </w:hyperlink>
      <w:r>
        <w:t>.</w:t>
      </w:r>
    </w:p>
  </w:endnote>
  <w:endnote w:id="86">
    <w:p w14:paraId="2D330CBB" w14:textId="179D7634" w:rsidR="006907BD" w:rsidRDefault="006907BD">
      <w:pPr>
        <w:pStyle w:val="EndnoteText"/>
      </w:pPr>
      <w:r>
        <w:rPr>
          <w:rStyle w:val="EndnoteReference"/>
        </w:rPr>
        <w:endnoteRef/>
      </w:r>
      <w:r>
        <w:t xml:space="preserve"> </w:t>
      </w:r>
      <w:r w:rsidRPr="00405112">
        <w:rPr>
          <w:rFonts w:cs="Open Sans"/>
        </w:rPr>
        <w:t xml:space="preserve">United Nations Committee on the Rights of the Child, </w:t>
      </w:r>
      <w:r w:rsidRPr="00405112">
        <w:rPr>
          <w:rFonts w:cs="Open Sans"/>
          <w:i/>
          <w:iCs/>
        </w:rPr>
        <w:t>Concluding Observations on the Combined Fifth and Sixth Periodic Reports of Australia</w:t>
      </w:r>
      <w:r w:rsidRPr="00405112">
        <w:rPr>
          <w:rFonts w:cs="Open Sans"/>
        </w:rPr>
        <w:t xml:space="preserve">, 82nd </w:t>
      </w:r>
      <w:r w:rsidRPr="00405112">
        <w:rPr>
          <w:rFonts w:cs="Open Sans"/>
        </w:rPr>
        <w:t xml:space="preserve">Sess, UN Doc CRC/C/AUS/CO/5-6 (30 September 2019) </w:t>
      </w:r>
      <w:r>
        <w:rPr>
          <w:rFonts w:cs="Open Sans"/>
        </w:rPr>
        <w:t xml:space="preserve">para </w:t>
      </w:r>
      <w:r>
        <w:t>41(a).</w:t>
      </w:r>
    </w:p>
  </w:endnote>
  <w:endnote w:id="87">
    <w:p w14:paraId="4BAD66BF" w14:textId="20991A57" w:rsidR="006907BD" w:rsidRDefault="006907BD">
      <w:pPr>
        <w:pStyle w:val="EndnoteText"/>
      </w:pPr>
      <w:r>
        <w:rPr>
          <w:rStyle w:val="EndnoteReference"/>
        </w:rPr>
        <w:endnoteRef/>
      </w:r>
      <w:r>
        <w:t xml:space="preserve"> Sharlene Leroy-Dyer, 2018 </w:t>
      </w:r>
      <w:r>
        <w:rPr>
          <w:i/>
          <w:iCs/>
        </w:rPr>
        <w:t xml:space="preserve">International Studies in Widening Participation </w:t>
      </w:r>
      <w:r>
        <w:t>‘Aboriginal Enabling Pedagogies and Approaches in Australia: Centring and Decolonising Our Approaches’, 5(2), 6.</w:t>
      </w:r>
    </w:p>
  </w:endnote>
  <w:endnote w:id="88">
    <w:p w14:paraId="6CE0D5C9" w14:textId="6EC665BF" w:rsidR="006907BD" w:rsidRDefault="006907BD">
      <w:pPr>
        <w:pStyle w:val="EndnoteText"/>
      </w:pPr>
      <w:r>
        <w:rPr>
          <w:rStyle w:val="EndnoteReference"/>
        </w:rPr>
        <w:endnoteRef/>
      </w:r>
      <w:r>
        <w:t xml:space="preserve"> </w:t>
      </w:r>
      <w:r>
        <w:t xml:space="preserve">Dujuan Hoosan, ‘I’m A 13-Year-Old Aboriginal Boy, And This Is What I Told The “Boss Lady” Of The United Nations’, BuzzFeed News (15 January 2020) </w:t>
      </w:r>
      <w:hyperlink r:id="rId39" w:history="1">
        <w:r>
          <w:rPr>
            <w:rStyle w:val="Hyperlink"/>
          </w:rPr>
          <w:t>https://www.buzzfeed.com/dujuanhoosan/opinion-dujuan-hoosan-aboriginal-boy-future</w:t>
        </w:r>
      </w:hyperlink>
      <w:r>
        <w:t>.</w:t>
      </w:r>
    </w:p>
  </w:endnote>
  <w:endnote w:id="89">
    <w:p w14:paraId="7CEB9D5C" w14:textId="28C9B705" w:rsidR="006907BD" w:rsidRDefault="006907BD">
      <w:pPr>
        <w:pStyle w:val="EndnoteText"/>
      </w:pPr>
      <w:r>
        <w:rPr>
          <w:rStyle w:val="EndnoteReference"/>
        </w:rPr>
        <w:endnoteRef/>
      </w:r>
      <w:r>
        <w:t xml:space="preserve"> In My Blood It Runs is scheduled to </w:t>
      </w:r>
      <w:r w:rsidRPr="000B6495">
        <w:t>show in cinemas across Australia from February 2020</w:t>
      </w:r>
      <w:r>
        <w:t xml:space="preserve">. See In My Blood It Runs, Screenings, </w:t>
      </w:r>
      <w:hyperlink r:id="rId40" w:history="1">
        <w:r>
          <w:rPr>
            <w:rStyle w:val="Hyperlink"/>
          </w:rPr>
          <w:t>https://inmyblooditruns.com/screenings/</w:t>
        </w:r>
      </w:hyperlink>
      <w:r>
        <w:t>.</w:t>
      </w:r>
    </w:p>
  </w:endnote>
  <w:endnote w:id="90">
    <w:p w14:paraId="1C59630F" w14:textId="1B4A84AB" w:rsidR="006907BD" w:rsidRDefault="006907BD">
      <w:pPr>
        <w:pStyle w:val="EndnoteText"/>
      </w:pPr>
      <w:r>
        <w:rPr>
          <w:rStyle w:val="EndnoteReference"/>
        </w:rPr>
        <w:endnoteRef/>
      </w:r>
      <w:r>
        <w:t xml:space="preserve"> See</w:t>
      </w:r>
      <w:r w:rsidRPr="007B4F93">
        <w:t xml:space="preserve"> National Indigenous Australians Agency, </w:t>
      </w:r>
      <w:r w:rsidRPr="007B4F93">
        <w:rPr>
          <w:i/>
        </w:rPr>
        <w:t>Curricula Project</w:t>
      </w:r>
      <w:r w:rsidRPr="007B4F93">
        <w:t>, &lt;</w:t>
      </w:r>
      <w:hyperlink r:id="rId41" w:history="1">
        <w:r w:rsidRPr="007B4F93">
          <w:rPr>
            <w:rStyle w:val="Hyperlink"/>
          </w:rPr>
          <w:t>https://www.indigenous.gov.au/teaching-guides/curricula-project</w:t>
        </w:r>
      </w:hyperlink>
      <w:r w:rsidRPr="007B4F93">
        <w:t>&gt;</w:t>
      </w:r>
    </w:p>
  </w:endnote>
  <w:endnote w:id="91">
    <w:p w14:paraId="758AECD2" w14:textId="736A4221" w:rsidR="006907BD" w:rsidRDefault="006907BD" w:rsidP="000B530C">
      <w:pPr>
        <w:pStyle w:val="EndnoteText"/>
      </w:pPr>
      <w:r>
        <w:rPr>
          <w:rStyle w:val="EndnoteReference"/>
        </w:rPr>
        <w:endnoteRef/>
      </w:r>
      <w:r>
        <w:t xml:space="preserve"> Mick Gooda, Aboriginal and Torres Strait Islander Commissioner (</w:t>
      </w:r>
      <w:r>
        <w:t xml:space="preserve">Cth), </w:t>
      </w:r>
      <w:r>
        <w:rPr>
          <w:i/>
          <w:iCs/>
        </w:rPr>
        <w:t>Social Justice and Native Title Report</w:t>
      </w:r>
      <w:r>
        <w:t>, (Report, Australian Human Rights Commission, 2013).</w:t>
      </w:r>
    </w:p>
  </w:endnote>
  <w:endnote w:id="92">
    <w:p w14:paraId="35C65072" w14:textId="3B9171F7" w:rsidR="006907BD" w:rsidRDefault="006907BD">
      <w:pPr>
        <w:pStyle w:val="EndnoteText"/>
      </w:pPr>
      <w:r>
        <w:rPr>
          <w:rStyle w:val="EndnoteReference"/>
        </w:rPr>
        <w:endnoteRef/>
      </w:r>
      <w:r>
        <w:t xml:space="preserve"> </w:t>
      </w:r>
      <w:r w:rsidRPr="002B3B80">
        <w:t xml:space="preserve">Commonwealth of Australia, Department of the Prime Minister and Cabinet, Closing the Gap Prime Minister’s Report 2019. 88.  </w:t>
      </w:r>
      <w:hyperlink r:id="rId42" w:history="1">
        <w:r w:rsidRPr="002B3B80">
          <w:rPr>
            <w:rStyle w:val="Hyperlink"/>
          </w:rPr>
          <w:t>https://ctgreport.niaa.gov.au/education.html</w:t>
        </w:r>
      </w:hyperlink>
    </w:p>
  </w:endnote>
  <w:endnote w:id="93">
    <w:p w14:paraId="4313A786" w14:textId="37408569" w:rsidR="006907BD" w:rsidRDefault="006907BD" w:rsidP="00A62168">
      <w:pPr>
        <w:pStyle w:val="EndnoteText"/>
      </w:pPr>
      <w:r>
        <w:rPr>
          <w:rStyle w:val="EndnoteReference"/>
        </w:rPr>
        <w:endnoteRef/>
      </w:r>
      <w:r>
        <w:t xml:space="preserve"> </w:t>
      </w:r>
      <w:r w:rsidRPr="00A62168">
        <w:t xml:space="preserve">Education Council 2019 </w:t>
      </w:r>
      <w:r w:rsidRPr="00A62168">
        <w:rPr>
          <w:i/>
          <w:iCs/>
        </w:rPr>
        <w:t>Alice Springs (</w:t>
      </w:r>
      <w:r w:rsidRPr="00A62168">
        <w:rPr>
          <w:i/>
          <w:iCs/>
        </w:rPr>
        <w:t>Mparntwe) Education Declaration</w:t>
      </w:r>
      <w:r w:rsidRPr="00A62168">
        <w:t>, 16</w:t>
      </w:r>
      <w:r>
        <w:t>.</w:t>
      </w:r>
    </w:p>
  </w:endnote>
  <w:endnote w:id="94">
    <w:p w14:paraId="56CF53AA" w14:textId="59E90BF3" w:rsidR="006907BD" w:rsidRDefault="006907BD" w:rsidP="001114A6">
      <w:pPr>
        <w:pStyle w:val="EndnoteText"/>
      </w:pPr>
      <w:r>
        <w:rPr>
          <w:rStyle w:val="EndnoteReference"/>
        </w:rPr>
        <w:endnoteRef/>
      </w:r>
      <w:r>
        <w:t xml:space="preserve"> </w:t>
      </w:r>
      <w:r w:rsidRPr="00A62168">
        <w:t xml:space="preserve">Education Council 2019 </w:t>
      </w:r>
      <w:r w:rsidRPr="00A62168">
        <w:rPr>
          <w:i/>
          <w:iCs/>
        </w:rPr>
        <w:t>Alice Springs (</w:t>
      </w:r>
      <w:r w:rsidRPr="00A62168">
        <w:rPr>
          <w:i/>
          <w:iCs/>
        </w:rPr>
        <w:t>Mparntwe) Education Declaration</w:t>
      </w:r>
      <w:r w:rsidRPr="00A62168">
        <w:t>, 16</w:t>
      </w:r>
      <w:r>
        <w:t>.</w:t>
      </w:r>
    </w:p>
  </w:endnote>
  <w:endnote w:id="95">
    <w:p w14:paraId="74E4283F" w14:textId="5C16C7CA" w:rsidR="006907BD" w:rsidRDefault="006907BD">
      <w:pPr>
        <w:pStyle w:val="EndnoteText"/>
      </w:pPr>
      <w:r>
        <w:rPr>
          <w:rStyle w:val="EndnoteReference"/>
        </w:rPr>
        <w:endnoteRef/>
      </w:r>
      <w:r>
        <w:t xml:space="preserve"> </w:t>
      </w:r>
      <w:r w:rsidRPr="00AF1E35">
        <w:t>SNAICC (Voice for our Children) is the national peak national body representing Aboriginal and Torres Strait Islander children.</w:t>
      </w:r>
    </w:p>
  </w:endnote>
  <w:endnote w:id="96">
    <w:p w14:paraId="08B25B3F" w14:textId="64E5447F" w:rsidR="006907BD" w:rsidRDefault="006907BD">
      <w:pPr>
        <w:pStyle w:val="EndnoteText"/>
      </w:pPr>
      <w:r>
        <w:rPr>
          <w:rStyle w:val="EndnoteReference"/>
        </w:rPr>
        <w:endnoteRef/>
      </w:r>
      <w:r>
        <w:t xml:space="preserve"> </w:t>
      </w:r>
      <w:r w:rsidRPr="002166F4">
        <w:t>SNAICC 2019, Media Release 16 December 2019 ‘SNAICC Welcomes Australian Government’ Commitment to Quality Education for Aboriginal and Torres Strait Islander Children’.</w:t>
      </w:r>
    </w:p>
  </w:endnote>
  <w:endnote w:id="97">
    <w:p w14:paraId="3214AF55" w14:textId="50E47C70" w:rsidR="006907BD" w:rsidRDefault="006907BD" w:rsidP="008B5D00">
      <w:pPr>
        <w:pStyle w:val="EndnoteText"/>
      </w:pPr>
      <w:r>
        <w:rPr>
          <w:rStyle w:val="EndnoteReference"/>
        </w:rPr>
        <w:endnoteRef/>
      </w:r>
      <w:r>
        <w:t xml:space="preserve"> </w:t>
      </w:r>
      <w:r w:rsidRPr="00043060">
        <w:t>United Nations, General Assembly, 36</w:t>
      </w:r>
      <w:r w:rsidRPr="00043060">
        <w:rPr>
          <w:vertAlign w:val="superscript"/>
        </w:rPr>
        <w:t>th</w:t>
      </w:r>
      <w:r w:rsidRPr="00043060">
        <w:t xml:space="preserve"> session, A/HRC/36/46 (8 August 2017) para 110(c) </w:t>
      </w:r>
      <w:hyperlink r:id="rId43" w:history="1">
        <w:r w:rsidRPr="00043060">
          <w:rPr>
            <w:rStyle w:val="Hyperlink"/>
          </w:rPr>
          <w:t>https://documents-dds-ny.un.org/doc/UNDOC/GEN/G17/234/24/PDF/G1723424.pdf</w:t>
        </w:r>
      </w:hyperlink>
    </w:p>
  </w:endnote>
  <w:endnote w:id="98">
    <w:p w14:paraId="009DD491" w14:textId="7DDA8F13" w:rsidR="006907BD" w:rsidRDefault="006907BD">
      <w:pPr>
        <w:pStyle w:val="EndnoteText"/>
      </w:pPr>
      <w:r>
        <w:rPr>
          <w:rStyle w:val="EndnoteReference"/>
        </w:rPr>
        <w:endnoteRef/>
      </w:r>
      <w:r>
        <w:t xml:space="preserve"> Australian Government, </w:t>
      </w:r>
      <w:r w:rsidRPr="00F039E5">
        <w:t xml:space="preserve">‘Review of Higher Education Access and Outcomes for Aboriginal and Torres Strait Islander People: Final Report </w:t>
      </w:r>
      <w:r>
        <w:t xml:space="preserve">July </w:t>
      </w:r>
      <w:r w:rsidRPr="00F039E5">
        <w:t xml:space="preserve">2012, </w:t>
      </w:r>
      <w:r>
        <w:t>Recommendation 18.</w:t>
      </w:r>
    </w:p>
  </w:endnote>
  <w:endnote w:id="99">
    <w:p w14:paraId="1B9EAD5A" w14:textId="77759F68" w:rsidR="006907BD" w:rsidRPr="008B3867" w:rsidRDefault="006907BD">
      <w:pPr>
        <w:pStyle w:val="EndnoteText"/>
        <w:rPr>
          <w:i/>
          <w:iCs/>
        </w:rPr>
      </w:pPr>
      <w:r>
        <w:rPr>
          <w:rStyle w:val="EndnoteReference"/>
        </w:rPr>
        <w:endnoteRef/>
      </w:r>
      <w:r>
        <w:t xml:space="preserve"> Tom </w:t>
      </w:r>
      <w:r>
        <w:t xml:space="preserve">Calma, Aboriginal and Torres Strait Islander Commissioner (Cth), </w:t>
      </w:r>
      <w:r>
        <w:rPr>
          <w:i/>
          <w:iCs/>
        </w:rPr>
        <w:t>Social Justice Report</w:t>
      </w:r>
      <w:r>
        <w:t xml:space="preserve">, (Report, Australian Human Rights Commission, 2008); Mick Gooda, Aboriginal and Torres Strait Islander Commissioner (Cth), </w:t>
      </w:r>
      <w:r>
        <w:rPr>
          <w:i/>
          <w:iCs/>
        </w:rPr>
        <w:t>Social Justice and Native Title Report</w:t>
      </w:r>
      <w:r>
        <w:t>, (Report, Australian Human Rights Commission, 2013).</w:t>
      </w:r>
      <w:r>
        <w:rPr>
          <w:i/>
          <w:iCs/>
        </w:rPr>
        <w:t xml:space="preserve"> </w:t>
      </w:r>
    </w:p>
  </w:endnote>
  <w:endnote w:id="100">
    <w:p w14:paraId="20A85B7E" w14:textId="351EFBF2" w:rsidR="006907BD" w:rsidRPr="00454B96" w:rsidRDefault="006907BD">
      <w:pPr>
        <w:pStyle w:val="EndnoteText"/>
      </w:pPr>
      <w:r>
        <w:rPr>
          <w:rStyle w:val="EndnoteReference"/>
        </w:rPr>
        <w:endnoteRef/>
      </w:r>
      <w:r>
        <w:t xml:space="preserve"> Commonwealth of Australia, </w:t>
      </w:r>
      <w:r>
        <w:rPr>
          <w:i/>
          <w:iCs/>
        </w:rPr>
        <w:t>The Power of Education: From Surviving to Thriving: Educational Opportunities for Aboriginal and Torres Strait Islander Students</w:t>
      </w:r>
      <w:r>
        <w:t xml:space="preserve"> (2017).</w:t>
      </w:r>
    </w:p>
  </w:endnote>
  <w:endnote w:id="101">
    <w:p w14:paraId="6837B400" w14:textId="4AEB1B32" w:rsidR="006907BD" w:rsidRDefault="006907BD">
      <w:pPr>
        <w:pStyle w:val="EndnoteText"/>
      </w:pPr>
      <w:r>
        <w:rPr>
          <w:rStyle w:val="EndnoteReference"/>
        </w:rPr>
        <w:endnoteRef/>
      </w:r>
      <w:r>
        <w:t xml:space="preserve"> Australian Government, </w:t>
      </w:r>
      <w:r w:rsidRPr="00F039E5">
        <w:t xml:space="preserve">‘Review of Higher Education Access and Outcomes for Aboriginal and Torres Strait Islander People: Final Report </w:t>
      </w:r>
      <w:r>
        <w:t xml:space="preserve">July </w:t>
      </w:r>
      <w:r w:rsidRPr="00F039E5">
        <w:t>2012, 79.</w:t>
      </w:r>
    </w:p>
  </w:endnote>
  <w:endnote w:id="102">
    <w:p w14:paraId="4A4F7AB2" w14:textId="77777777" w:rsidR="006907BD" w:rsidRDefault="006907BD" w:rsidP="00044AFD">
      <w:pPr>
        <w:pStyle w:val="EndnoteText"/>
      </w:pPr>
      <w:r>
        <w:rPr>
          <w:rStyle w:val="EndnoteReference"/>
        </w:rPr>
        <w:endnoteRef/>
      </w:r>
      <w:r>
        <w:t xml:space="preserve"> Judith A Howard, ‘A Systemic Framework for Trauma-Aware Schooling in Queensland’ (Research report for the Queensland Department of Education, Queensland University of Technology, April 2018) 93. </w:t>
      </w:r>
    </w:p>
  </w:endnote>
  <w:endnote w:id="103">
    <w:p w14:paraId="6622D62E" w14:textId="77777777" w:rsidR="006907BD" w:rsidRDefault="006907BD" w:rsidP="00044AFD">
      <w:pPr>
        <w:pStyle w:val="EndnoteText"/>
      </w:pPr>
      <w:r>
        <w:rPr>
          <w:rStyle w:val="EndnoteReference"/>
        </w:rPr>
        <w:endnoteRef/>
      </w:r>
      <w:r>
        <w:t xml:space="preserve"> Judith A Howard, ‘A Systemic Framework for Trauma-Aware Schooling in Queensland’ (Research report for the Queensland Department of Education, Queensland University of Technology, April 2018) 93.</w:t>
      </w:r>
    </w:p>
  </w:endnote>
  <w:endnote w:id="104">
    <w:p w14:paraId="2B53ABE2" w14:textId="617506B8" w:rsidR="006907BD" w:rsidRPr="00DC1F08" w:rsidRDefault="006907BD">
      <w:pPr>
        <w:pStyle w:val="EndnoteText"/>
      </w:pPr>
      <w:r>
        <w:rPr>
          <w:rStyle w:val="EndnoteReference"/>
        </w:rPr>
        <w:endnoteRef/>
      </w:r>
      <w:r>
        <w:t xml:space="preserve"> Family Matters et al., </w:t>
      </w:r>
      <w:r>
        <w:rPr>
          <w:i/>
          <w:iCs/>
        </w:rPr>
        <w:t xml:space="preserve">The Family Matters Report </w:t>
      </w:r>
      <w:r>
        <w:t>2019, 49.</w:t>
      </w:r>
    </w:p>
  </w:endnote>
  <w:endnote w:id="105">
    <w:p w14:paraId="1436E95C" w14:textId="3E763C11" w:rsidR="006907BD" w:rsidRDefault="006907BD">
      <w:pPr>
        <w:pStyle w:val="EndnoteText"/>
      </w:pPr>
      <w:r>
        <w:rPr>
          <w:rStyle w:val="EndnoteReference"/>
        </w:rPr>
        <w:endnoteRef/>
      </w:r>
      <w:r>
        <w:t xml:space="preserve"> See </w:t>
      </w:r>
      <w:hyperlink r:id="rId44" w:history="1">
        <w:r w:rsidRPr="00D25AF7">
          <w:rPr>
            <w:rStyle w:val="Hyperlink"/>
          </w:rPr>
          <w:t>https://girlsacademy.com.au/</w:t>
        </w:r>
      </w:hyperlink>
    </w:p>
  </w:endnote>
  <w:endnote w:id="106">
    <w:p w14:paraId="77B52534" w14:textId="7A759A37" w:rsidR="006907BD" w:rsidRDefault="006907BD">
      <w:pPr>
        <w:pStyle w:val="EndnoteText"/>
      </w:pPr>
      <w:r>
        <w:rPr>
          <w:rStyle w:val="EndnoteReference"/>
        </w:rPr>
        <w:endnoteRef/>
      </w:r>
      <w:r>
        <w:t xml:space="preserve"> See </w:t>
      </w:r>
      <w:hyperlink r:id="rId45" w:history="1">
        <w:r>
          <w:rPr>
            <w:rStyle w:val="Hyperlink"/>
          </w:rPr>
          <w:t>https://starsfoundation.org.au/</w:t>
        </w:r>
      </w:hyperlink>
    </w:p>
  </w:endnote>
  <w:endnote w:id="107">
    <w:p w14:paraId="594BF44B" w14:textId="50987426" w:rsidR="006907BD" w:rsidRDefault="006907BD">
      <w:pPr>
        <w:pStyle w:val="EndnoteText"/>
      </w:pPr>
      <w:r>
        <w:rPr>
          <w:rStyle w:val="EndnoteReference"/>
        </w:rPr>
        <w:endnoteRef/>
      </w:r>
      <w:r>
        <w:t xml:space="preserve"> See </w:t>
      </w:r>
      <w:hyperlink r:id="rId46" w:history="1">
        <w:r w:rsidRPr="006F43D1">
          <w:rPr>
            <w:rStyle w:val="Hyperlink"/>
          </w:rPr>
          <w:t>https://pff.com.au/programs-locations/programs/follow-the-dream/</w:t>
        </w:r>
      </w:hyperlink>
    </w:p>
  </w:endnote>
  <w:endnote w:id="108">
    <w:p w14:paraId="6DBED58C" w14:textId="7DB115A8" w:rsidR="006907BD" w:rsidRDefault="006907BD">
      <w:pPr>
        <w:pStyle w:val="EndnoteText"/>
      </w:pPr>
      <w:r>
        <w:rPr>
          <w:rStyle w:val="EndnoteReference"/>
        </w:rPr>
        <w:endnoteRef/>
      </w:r>
      <w:r>
        <w:t xml:space="preserve"> </w:t>
      </w:r>
      <w:r w:rsidRPr="000710A1">
        <w:t xml:space="preserve">Commonwealth of Australia 2012, </w:t>
      </w:r>
      <w:r w:rsidRPr="000710A1">
        <w:rPr>
          <w:i/>
          <w:iCs/>
        </w:rPr>
        <w:t>What Works. The Work Program. Improving outcomes for Indigenous students</w:t>
      </w:r>
      <w:r w:rsidRPr="000710A1">
        <w:t>, ‘Success in remote schools: A research study of eleven improving remote schools’, 22.</w:t>
      </w:r>
    </w:p>
  </w:endnote>
  <w:endnote w:id="109">
    <w:p w14:paraId="2D6B95C5" w14:textId="279619CD" w:rsidR="006907BD" w:rsidRPr="00274B4F" w:rsidRDefault="006907BD">
      <w:pPr>
        <w:pStyle w:val="EndnoteText"/>
      </w:pPr>
      <w:r>
        <w:rPr>
          <w:rStyle w:val="EndnoteReference"/>
        </w:rPr>
        <w:endnoteRef/>
      </w:r>
      <w:r>
        <w:t xml:space="preserve"> Commonwealth of Australia, </w:t>
      </w:r>
      <w:r>
        <w:rPr>
          <w:i/>
          <w:iCs/>
        </w:rPr>
        <w:t>The Power of Education: From Surviving to Thriving: Educational Opportunities for Aboriginal and Torres Strait Islander Students</w:t>
      </w:r>
      <w:r>
        <w:t xml:space="preserve"> (2017), 83.</w:t>
      </w:r>
    </w:p>
  </w:endnote>
  <w:endnote w:id="110">
    <w:p w14:paraId="08334113" w14:textId="16C976A0" w:rsidR="006907BD" w:rsidRDefault="006907BD" w:rsidP="00C342C9">
      <w:pPr>
        <w:pStyle w:val="EndnoteText"/>
      </w:pPr>
      <w:r>
        <w:rPr>
          <w:rStyle w:val="EndnoteReference"/>
        </w:rPr>
        <w:endnoteRef/>
      </w:r>
      <w:r>
        <w:t xml:space="preserve"> </w:t>
      </w:r>
      <w:r w:rsidRPr="00C342C9">
        <w:t xml:space="preserve">United Nations Committee on the Rights of the Child, </w:t>
      </w:r>
      <w:r w:rsidRPr="00C342C9">
        <w:rPr>
          <w:i/>
          <w:iCs/>
        </w:rPr>
        <w:t>Concluding Observations on the Combined Fifth and Sixth Periodic Reports of Australia</w:t>
      </w:r>
      <w:r w:rsidRPr="00C342C9">
        <w:t xml:space="preserve">, 82nd </w:t>
      </w:r>
      <w:r w:rsidRPr="00C342C9">
        <w:t>Sess, UN Doc CRC/C/AUS/CO/5-6 (30 September 2019) para 4</w:t>
      </w:r>
      <w:r>
        <w:t>3</w:t>
      </w:r>
      <w:r w:rsidRPr="00C342C9">
        <w:t>(a).</w:t>
      </w:r>
    </w:p>
  </w:endnote>
  <w:endnote w:id="111">
    <w:p w14:paraId="678AFA53" w14:textId="66D6766E" w:rsidR="006907BD" w:rsidRDefault="006907BD">
      <w:pPr>
        <w:pStyle w:val="EndnoteText"/>
      </w:pPr>
      <w:r>
        <w:rPr>
          <w:rStyle w:val="EndnoteReference"/>
        </w:rPr>
        <w:endnoteRef/>
      </w:r>
      <w:r>
        <w:t xml:space="preserve"> </w:t>
      </w:r>
      <w:r w:rsidRPr="00187049">
        <w:t xml:space="preserve">Prime Minister’s Indigenous Advisory Council 2015, Submission to </w:t>
      </w:r>
      <w:r w:rsidRPr="00187049">
        <w:rPr>
          <w:i/>
          <w:iCs/>
        </w:rPr>
        <w:t>Inquiry into Educational Opportunities for Aboriginal and Torres Strait Islander Students</w:t>
      </w:r>
      <w:r w:rsidRPr="00187049">
        <w:t>, ‘Improving Quality Teaching in Remote Australian Schools’.</w:t>
      </w:r>
    </w:p>
  </w:endnote>
  <w:endnote w:id="112">
    <w:p w14:paraId="1B7EC9AB" w14:textId="44689C73" w:rsidR="006907BD" w:rsidRDefault="006907BD">
      <w:pPr>
        <w:pStyle w:val="EndnoteText"/>
      </w:pPr>
      <w:r>
        <w:rPr>
          <w:rStyle w:val="EndnoteReference"/>
        </w:rPr>
        <w:endnoteRef/>
      </w:r>
      <w:r>
        <w:t xml:space="preserve"> </w:t>
      </w:r>
      <w:r w:rsidRPr="00E26B64">
        <w:t>Commonwealth of Australia, Department of the Prime Minister and Cabinet, Closing the Gap Prime Minister’s Report 2019. 88</w:t>
      </w:r>
      <w:r>
        <w:t>,</w:t>
      </w:r>
      <w:r w:rsidRPr="00E26B64">
        <w:t xml:space="preserve">  </w:t>
      </w:r>
      <w:hyperlink r:id="rId47" w:history="1">
        <w:r w:rsidRPr="00E26B64">
          <w:rPr>
            <w:rStyle w:val="Hyperlink"/>
          </w:rPr>
          <w:t>https://ctgreport.niaa.gov.au/education.html</w:t>
        </w:r>
      </w:hyperlink>
      <w:r>
        <w:rPr>
          <w:rStyle w:val="Hyperlink"/>
        </w:rPr>
        <w:t>.</w:t>
      </w:r>
    </w:p>
  </w:endnote>
  <w:endnote w:id="113">
    <w:p w14:paraId="53E3408F" w14:textId="64883DB9" w:rsidR="006907BD" w:rsidRDefault="006907BD" w:rsidP="004B693F">
      <w:pPr>
        <w:pStyle w:val="EndnoteText"/>
      </w:pPr>
      <w:r>
        <w:rPr>
          <w:rStyle w:val="EndnoteReference"/>
        </w:rPr>
        <w:endnoteRef/>
      </w:r>
      <w:r>
        <w:t xml:space="preserve"> </w:t>
      </w:r>
      <w:r w:rsidRPr="00E26CA9">
        <w:t xml:space="preserve">Lisa Thorpe 2019 </w:t>
      </w:r>
      <w:r w:rsidRPr="00E26CA9">
        <w:rPr>
          <w:i/>
          <w:iCs/>
        </w:rPr>
        <w:t>In Good Hands</w:t>
      </w:r>
      <w:r w:rsidRPr="00E26CA9">
        <w:t xml:space="preserve"> Oxfam ‘Wrap-around services at our ‘Children’s Place’, 16</w:t>
      </w:r>
      <w:r>
        <w:t>.</w:t>
      </w:r>
    </w:p>
  </w:endnote>
  <w:endnote w:id="114">
    <w:p w14:paraId="45673282" w14:textId="62DF5D77" w:rsidR="006907BD" w:rsidRDefault="006907BD" w:rsidP="009E03D8">
      <w:pPr>
        <w:pStyle w:val="EndnoteText"/>
      </w:pPr>
      <w:r>
        <w:rPr>
          <w:rStyle w:val="EndnoteReference"/>
        </w:rPr>
        <w:endnoteRef/>
      </w:r>
      <w:r>
        <w:t xml:space="preserve"> Commonwealth of Australia, </w:t>
      </w:r>
      <w:r>
        <w:rPr>
          <w:i/>
          <w:iCs/>
        </w:rPr>
        <w:t>The Power of Education: From Surviving to Thriving: Educational Opportunities for Aboriginal and Torres Strait Islander Students</w:t>
      </w:r>
      <w:r>
        <w:t xml:space="preserve"> (2017), Recommendation 11.</w:t>
      </w:r>
    </w:p>
  </w:endnote>
  <w:endnote w:id="115">
    <w:p w14:paraId="3D46BE1C" w14:textId="4DA716F4" w:rsidR="006907BD" w:rsidRDefault="006907BD">
      <w:pPr>
        <w:pStyle w:val="EndnoteText"/>
      </w:pPr>
      <w:r>
        <w:rPr>
          <w:rStyle w:val="EndnoteReference"/>
        </w:rPr>
        <w:endnoteRef/>
      </w:r>
      <w:r>
        <w:t xml:space="preserve"> Commonwealth of Australia, </w:t>
      </w:r>
      <w:r>
        <w:rPr>
          <w:i/>
          <w:iCs/>
        </w:rPr>
        <w:t>The Power of Education: From Surviving to Thriving: Educational Opportunities for Aboriginal and Torres Strait Islander Students</w:t>
      </w:r>
      <w:r>
        <w:t xml:space="preserve"> (2017), Recommendation 8.</w:t>
      </w:r>
    </w:p>
  </w:endnote>
  <w:endnote w:id="116">
    <w:p w14:paraId="6B7FE674" w14:textId="25D45D62" w:rsidR="006907BD" w:rsidRDefault="006907BD">
      <w:pPr>
        <w:pStyle w:val="EndnoteText"/>
      </w:pPr>
      <w:r>
        <w:rPr>
          <w:rStyle w:val="EndnoteReference"/>
        </w:rPr>
        <w:endnoteRef/>
      </w:r>
      <w:r>
        <w:t xml:space="preserve"> National Centre for Vocational Education Research, ‘Australian vocational education and training statistics: Government-funded students and courses’ 2018, 13, </w:t>
      </w:r>
      <w:hyperlink r:id="rId48" w:history="1">
        <w:r w:rsidRPr="00FE5577">
          <w:rPr>
            <w:rStyle w:val="Hyperlink"/>
          </w:rPr>
          <w:t>https://www.ncver.edu.au/__data/assets/pdf_file/0034/6579304/Government-funded-students-and-courses-2018.pdf</w:t>
        </w:r>
      </w:hyperlink>
      <w:r>
        <w:t>.</w:t>
      </w:r>
    </w:p>
  </w:endnote>
  <w:endnote w:id="117">
    <w:p w14:paraId="5A1BD519" w14:textId="388EA9E7" w:rsidR="006907BD" w:rsidRDefault="006907BD">
      <w:pPr>
        <w:pStyle w:val="EndnoteText"/>
      </w:pPr>
      <w:r>
        <w:rPr>
          <w:rStyle w:val="EndnoteReference"/>
        </w:rPr>
        <w:endnoteRef/>
      </w:r>
      <w:r>
        <w:t xml:space="preserve"> </w:t>
      </w:r>
      <w:r w:rsidRPr="00AD53D2">
        <w:t xml:space="preserve">Kevin </w:t>
      </w:r>
      <w:r w:rsidRPr="00AD53D2">
        <w:t>Gillan, Suzanne Mellor and Jacynta Krakouer, ‘The Case for Urgency: Advocating for Indigenous Voice in Education’ (Australian Council for Educational Research, 2017) 100.</w:t>
      </w:r>
    </w:p>
  </w:endnote>
  <w:endnote w:id="118">
    <w:p w14:paraId="7AAA69F2" w14:textId="77EC4923" w:rsidR="006907BD" w:rsidRDefault="006907BD">
      <w:pPr>
        <w:pStyle w:val="EndnoteText"/>
      </w:pPr>
      <w:r>
        <w:rPr>
          <w:rStyle w:val="EndnoteReference"/>
        </w:rPr>
        <w:endnoteRef/>
      </w:r>
      <w:r>
        <w:t xml:space="preserve"> Australian Human Rights Commission, Submission to the Discussion Paper: Remote Employment and Participation, </w:t>
      </w:r>
      <w:r>
        <w:rPr>
          <w:i/>
          <w:iCs/>
        </w:rPr>
        <w:t>Remote employment and participation for Indigenous peoples</w:t>
      </w:r>
      <w:r>
        <w:t xml:space="preserve">, 26 September 2018, </w:t>
      </w:r>
      <w:hyperlink r:id="rId49" w:history="1">
        <w:r w:rsidRPr="00E70911">
          <w:rPr>
            <w:rStyle w:val="Hyperlink"/>
            <w:rFonts w:cs="Open Sans"/>
          </w:rPr>
          <w:t>https://www.humanrights.gov.au/our-work/legal/submission/remote-employment-and-participation-indigenous-peoples-2018</w:t>
        </w:r>
      </w:hyperlink>
      <w:r>
        <w:t>.</w:t>
      </w:r>
    </w:p>
  </w:endnote>
  <w:endnote w:id="119">
    <w:p w14:paraId="78EC67C3" w14:textId="7CA4E750" w:rsidR="006907BD" w:rsidRDefault="006907BD">
      <w:pPr>
        <w:pStyle w:val="EndnoteText"/>
      </w:pPr>
      <w:r>
        <w:rPr>
          <w:rStyle w:val="EndnoteReference"/>
        </w:rPr>
        <w:endnoteRef/>
      </w:r>
      <w:r>
        <w:t xml:space="preserve"> Literacy for Life </w:t>
      </w:r>
      <w:hyperlink r:id="rId50" w:history="1">
        <w:r w:rsidRPr="00FE5577">
          <w:rPr>
            <w:rStyle w:val="Hyperlink"/>
          </w:rPr>
          <w:t>https://www.lflf.org.au/</w:t>
        </w:r>
      </w:hyperlink>
      <w:r>
        <w:t xml:space="preserve"> and Indigenous Literacy Foundation </w:t>
      </w:r>
      <w:hyperlink r:id="rId51" w:history="1">
        <w:r w:rsidRPr="00FE5577">
          <w:rPr>
            <w:rStyle w:val="Hyperlink"/>
          </w:rPr>
          <w:t>https://www.indigenousliteracyfoundation.org.au/</w:t>
        </w:r>
      </w:hyperlink>
      <w:r>
        <w:t>.</w:t>
      </w:r>
    </w:p>
  </w:endnote>
  <w:endnote w:id="120">
    <w:p w14:paraId="5E1CB680" w14:textId="20031E90" w:rsidR="006907BD" w:rsidRPr="00A24581" w:rsidRDefault="006907BD" w:rsidP="002255BF">
      <w:pPr>
        <w:pStyle w:val="EndnoteText"/>
        <w:rPr>
          <w:i/>
          <w:iCs/>
        </w:rPr>
      </w:pPr>
      <w:r>
        <w:rPr>
          <w:rStyle w:val="EndnoteReference"/>
        </w:rPr>
        <w:endnoteRef/>
      </w:r>
      <w:r>
        <w:t xml:space="preserve"> </w:t>
      </w:r>
      <w:r w:rsidRPr="002255BF">
        <w:t>Review of Higher Education Access and Outcomes for Aboriginal and Torres Strait Islander People: Final Report (2012), 84.</w:t>
      </w:r>
    </w:p>
  </w:endnote>
  <w:endnote w:id="121">
    <w:p w14:paraId="09D110BC" w14:textId="711D0132" w:rsidR="006907BD" w:rsidRDefault="006907BD" w:rsidP="00157071">
      <w:pPr>
        <w:pStyle w:val="EndnoteText"/>
      </w:pPr>
      <w:r>
        <w:rPr>
          <w:rStyle w:val="EndnoteReference"/>
        </w:rPr>
        <w:endnoteRef/>
      </w:r>
      <w:r>
        <w:t xml:space="preserve"> </w:t>
      </w:r>
      <w:r w:rsidRPr="00157071">
        <w:t>Commonwealth of Australia, Department of the Prime Minister and Cabinet, Closing the Gap Prime Minister’s Report 2019</w:t>
      </w:r>
      <w:r>
        <w:t>,</w:t>
      </w:r>
      <w:r w:rsidRPr="00157071">
        <w:t xml:space="preserve"> 65.  </w:t>
      </w:r>
      <w:hyperlink r:id="rId52" w:history="1">
        <w:r w:rsidRPr="00157071">
          <w:rPr>
            <w:rStyle w:val="Hyperlink"/>
          </w:rPr>
          <w:t>https://ctgreport.niaa.gov.au/education.html</w:t>
        </w:r>
      </w:hyperlink>
    </w:p>
  </w:endnote>
  <w:endnote w:id="122">
    <w:p w14:paraId="3F76C3B2" w14:textId="5E448EE1" w:rsidR="006907BD" w:rsidRDefault="006907BD">
      <w:pPr>
        <w:pStyle w:val="EndnoteText"/>
      </w:pPr>
      <w:r>
        <w:rPr>
          <w:rStyle w:val="EndnoteReference"/>
        </w:rPr>
        <w:endnoteRef/>
      </w:r>
      <w:r>
        <w:t xml:space="preserve"> </w:t>
      </w:r>
      <w:r w:rsidRPr="007159BE">
        <w:t>Seán Kerins</w:t>
      </w:r>
      <w:r>
        <w:t xml:space="preserve"> and Oxfam</w:t>
      </w:r>
      <w:r w:rsidRPr="007159BE">
        <w:t xml:space="preserve"> 2019 </w:t>
      </w:r>
      <w:r w:rsidRPr="007159BE">
        <w:rPr>
          <w:i/>
          <w:iCs/>
        </w:rPr>
        <w:t>In Good Hands</w:t>
      </w:r>
      <w:r w:rsidRPr="007159BE">
        <w:t xml:space="preserve"> ‘Caring for Country through Culture, Knowledge and Community’, </w:t>
      </w:r>
      <w:r>
        <w:t>71.</w:t>
      </w:r>
    </w:p>
  </w:endnote>
  <w:endnote w:id="123">
    <w:p w14:paraId="6281C29C" w14:textId="7A7F3DE4" w:rsidR="006907BD" w:rsidRDefault="006907BD">
      <w:pPr>
        <w:pStyle w:val="EndnoteText"/>
      </w:pPr>
      <w:r>
        <w:rPr>
          <w:rStyle w:val="EndnoteReference"/>
        </w:rPr>
        <w:endnoteRef/>
      </w:r>
      <w:r>
        <w:t xml:space="preserve"> Association of Independent Schools NT, Aboriginal Education. </w:t>
      </w:r>
      <w:hyperlink r:id="rId53" w:history="1">
        <w:r w:rsidRPr="00B42032">
          <w:rPr>
            <w:rStyle w:val="Hyperlink"/>
          </w:rPr>
          <w:t>https://www.aisnt.asn.au/projects/aboriginal-education</w:t>
        </w:r>
      </w:hyperlink>
    </w:p>
  </w:endnote>
  <w:endnote w:id="124">
    <w:p w14:paraId="126C44F4" w14:textId="00C3C724" w:rsidR="006907BD" w:rsidRDefault="006907BD">
      <w:pPr>
        <w:pStyle w:val="EndnoteText"/>
      </w:pPr>
      <w:r>
        <w:rPr>
          <w:rStyle w:val="EndnoteReference"/>
        </w:rPr>
        <w:endnoteRef/>
      </w:r>
      <w:r>
        <w:t xml:space="preserve"> </w:t>
      </w:r>
      <w:r w:rsidRPr="00C728AB">
        <w:t xml:space="preserve">Yiramalay/Wesley Studio School  </w:t>
      </w:r>
      <w:hyperlink r:id="rId54" w:history="1">
        <w:r w:rsidRPr="00C728AB">
          <w:rPr>
            <w:rStyle w:val="Hyperlink"/>
          </w:rPr>
          <w:t>https://www.yiramalay.edu.au/about/our-story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9F83A" w14:textId="77777777" w:rsidR="006907BD" w:rsidRPr="000465F1" w:rsidRDefault="006907BD" w:rsidP="000465F1">
    <w:pPr>
      <w:pStyle w:val="Footer"/>
    </w:pPr>
    <w:r w:rsidRPr="000465F1">
      <w:t>ABN 47 996 232 602</w:t>
    </w:r>
  </w:p>
  <w:p w14:paraId="27E4969F" w14:textId="77777777" w:rsidR="006907BD" w:rsidRPr="000465F1" w:rsidRDefault="006907BD" w:rsidP="000465F1">
    <w:pPr>
      <w:pStyle w:val="Footer"/>
    </w:pPr>
    <w:r w:rsidRPr="000465F1">
      <w:t>Level 3, 175 Pitt Street, Sydney NSW 2000</w:t>
    </w:r>
  </w:p>
  <w:p w14:paraId="07732B88" w14:textId="77777777" w:rsidR="006907BD" w:rsidRPr="000465F1" w:rsidRDefault="006907BD" w:rsidP="000465F1">
    <w:pPr>
      <w:pStyle w:val="Footer"/>
    </w:pPr>
    <w:r w:rsidRPr="000465F1">
      <w:t>GPO Box 5218, Sydney NSW 2001</w:t>
    </w:r>
  </w:p>
  <w:p w14:paraId="6859A4BF" w14:textId="77777777" w:rsidR="006907BD" w:rsidRPr="000465F1" w:rsidRDefault="006907BD" w:rsidP="000465F1">
    <w:pPr>
      <w:pStyle w:val="Footer"/>
    </w:pPr>
    <w:r w:rsidRPr="000465F1">
      <w:t>General enquiries 1300 369 711</w:t>
    </w:r>
  </w:p>
  <w:p w14:paraId="521210E5" w14:textId="77777777" w:rsidR="006907BD" w:rsidRPr="000465F1" w:rsidRDefault="006907BD" w:rsidP="000465F1">
    <w:pPr>
      <w:pStyle w:val="Footer"/>
    </w:pPr>
    <w:r>
      <w:t xml:space="preserve">National Information Service </w:t>
    </w:r>
    <w:r w:rsidRPr="000465F1">
      <w:t>1300 656 419</w:t>
    </w:r>
  </w:p>
  <w:p w14:paraId="1A1F1568" w14:textId="77777777" w:rsidR="006907BD" w:rsidRPr="000465F1" w:rsidRDefault="006907BD"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968D5" w14:textId="77777777" w:rsidR="006907BD" w:rsidRDefault="006907BD">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6EE70" w14:textId="77777777" w:rsidR="006907BD" w:rsidRDefault="006907BD"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14C2" w14:textId="77777777" w:rsidR="006907BD" w:rsidRDefault="006907BD"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46DF" w14:textId="77777777" w:rsidR="006907BD" w:rsidRDefault="006907BD" w:rsidP="00F14C6D">
      <w:r>
        <w:separator/>
      </w:r>
    </w:p>
  </w:footnote>
  <w:footnote w:type="continuationSeparator" w:id="0">
    <w:p w14:paraId="402D9AF8" w14:textId="77777777" w:rsidR="006907BD" w:rsidRDefault="006907BD" w:rsidP="00F14C6D">
      <w:r>
        <w:continuationSeparator/>
      </w:r>
    </w:p>
  </w:footnote>
  <w:footnote w:type="continuationNotice" w:id="1">
    <w:p w14:paraId="5DE8DC83" w14:textId="77777777" w:rsidR="006907BD" w:rsidRDefault="006907B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3D058" w14:textId="77777777" w:rsidR="006907BD" w:rsidRPr="000465F1" w:rsidRDefault="00F6263B" w:rsidP="000465F1">
    <w:pPr>
      <w:pStyle w:val="Header"/>
    </w:pPr>
    <w:r>
      <w:pict w14:anchorId="349A1A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2067"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6907BD" w:rsidRPr="000465F1">
      <w:t>Australian Human Rights Commission</w:t>
    </w:r>
  </w:p>
  <w:p w14:paraId="673C8C2B" w14:textId="77777777" w:rsidR="006907BD" w:rsidRPr="00622508" w:rsidRDefault="006907BD"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DB4E" w14:textId="77777777" w:rsidR="006907BD" w:rsidRPr="000465F1" w:rsidRDefault="00F6263B" w:rsidP="000465F1">
    <w:r>
      <w:pict w14:anchorId="16FE8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2068"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6907BD" w:rsidRPr="000465F1">
      <w:t>Australian Human Rights Commission</w:t>
    </w:r>
  </w:p>
  <w:p w14:paraId="53E1EFBD" w14:textId="77777777" w:rsidR="006907BD" w:rsidRPr="000465F1" w:rsidRDefault="006907BD" w:rsidP="000465F1">
    <w:pPr>
      <w:pStyle w:val="Footer"/>
    </w:pPr>
    <w:r w:rsidRPr="000465F1">
      <w:t>Short document title, 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CCAC" w14:textId="77777777" w:rsidR="006907BD" w:rsidRDefault="00F6263B" w:rsidP="002012F7">
    <w:pPr>
      <w:pStyle w:val="Header"/>
    </w:pPr>
    <w:r>
      <w:pict w14:anchorId="3D008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71"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588CFA29">
        <v:shape id="WordPictureWatermark1034832" o:spid="_x0000_s2066"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5980A159" w14:textId="77777777" w:rsidR="006907BD" w:rsidRDefault="006907BD" w:rsidP="002012F7">
    <w:pPr>
      <w:pStyle w:val="Header"/>
    </w:pPr>
  </w:p>
  <w:p w14:paraId="36BABC62" w14:textId="77777777" w:rsidR="006907BD" w:rsidRDefault="006907BD"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627AB" w14:textId="77777777" w:rsidR="006907BD" w:rsidRPr="000465F1" w:rsidRDefault="006907BD" w:rsidP="0015239E">
    <w:pPr>
      <w:pStyle w:val="Header"/>
    </w:pPr>
    <w:r w:rsidRPr="000465F1">
      <w:t>Australian Human Rights Commission</w:t>
    </w:r>
  </w:p>
  <w:p w14:paraId="5D6CAA21" w14:textId="77777777" w:rsidR="006907BD" w:rsidRPr="000465F1" w:rsidRDefault="006907BD"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03A7B" w14:textId="77777777" w:rsidR="006907BD" w:rsidRPr="000465F1" w:rsidRDefault="006907BD" w:rsidP="00CA5D90">
    <w:pPr>
      <w:pStyle w:val="Header"/>
    </w:pPr>
    <w:bookmarkStart w:id="38" w:name="_Hlk514672172"/>
    <w:bookmarkStart w:id="39" w:name="_Hlk514672173"/>
    <w:r w:rsidRPr="000465F1">
      <w:t>Australian Human Rights Commission</w:t>
    </w:r>
  </w:p>
  <w:bookmarkEnd w:id="38"/>
  <w:bookmarkEnd w:id="39"/>
  <w:p w14:paraId="6C804265" w14:textId="7518F0F0" w:rsidR="006907BD" w:rsidRPr="000465F1" w:rsidRDefault="006907BD" w:rsidP="0061009B">
    <w:pPr>
      <w:pStyle w:val="HeaderDocumentDate"/>
      <w:ind w:left="720"/>
    </w:pPr>
    <w:r>
      <w:t>Education in Remote and Complex Environments, 1</w:t>
    </w:r>
    <w:r w:rsidR="00104B4F">
      <w:t>3</w:t>
    </w:r>
    <w:r>
      <w:t xml:space="preserve"> February 2020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7C5F" w14:textId="77777777" w:rsidR="006907BD" w:rsidRPr="000465F1" w:rsidRDefault="006907BD" w:rsidP="0063009F">
    <w:pPr>
      <w:pStyle w:val="Header"/>
    </w:pPr>
    <w:r w:rsidRPr="000465F1">
      <w:t>Australian Human Rights Commission</w:t>
    </w:r>
  </w:p>
  <w:p w14:paraId="277CFC84" w14:textId="13BC6368" w:rsidR="006907BD" w:rsidRPr="000465F1" w:rsidRDefault="006907BD" w:rsidP="0063009F">
    <w:pPr>
      <w:pStyle w:val="HeaderDocumentDate"/>
    </w:pPr>
    <w:r>
      <w:rPr>
        <w:rStyle w:val="HeaderDocumentTitle"/>
      </w:rPr>
      <w:t>Education in Remote and Complex Environments</w:t>
    </w:r>
    <w:r w:rsidRPr="001F62CC">
      <w:rPr>
        <w:rStyle w:val="HeaderDocumentTitle"/>
      </w:rPr>
      <w:t>,</w:t>
    </w:r>
    <w:r>
      <w:t xml:space="preserve"> 14 February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38E0FB4"/>
    <w:multiLevelType w:val="hybridMultilevel"/>
    <w:tmpl w:val="5058C2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4DC2092"/>
    <w:multiLevelType w:val="hybridMultilevel"/>
    <w:tmpl w:val="819E21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7D7A71"/>
    <w:multiLevelType w:val="hybridMultilevel"/>
    <w:tmpl w:val="46FECA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35179E"/>
    <w:multiLevelType w:val="hybridMultilevel"/>
    <w:tmpl w:val="8BFA9A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86C3A6D"/>
    <w:multiLevelType w:val="hybridMultilevel"/>
    <w:tmpl w:val="2C6CA51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090C323B"/>
    <w:multiLevelType w:val="hybridMultilevel"/>
    <w:tmpl w:val="FFFFFFFF"/>
    <w:lvl w:ilvl="0" w:tplc="8DAC8054">
      <w:start w:val="1"/>
      <w:numFmt w:val="bullet"/>
      <w:lvlText w:val=""/>
      <w:lvlJc w:val="left"/>
      <w:pPr>
        <w:ind w:left="720" w:hanging="360"/>
      </w:pPr>
      <w:rPr>
        <w:rFonts w:ascii="Symbol" w:hAnsi="Symbol" w:hint="default"/>
      </w:rPr>
    </w:lvl>
    <w:lvl w:ilvl="1" w:tplc="B1827118">
      <w:start w:val="1"/>
      <w:numFmt w:val="bullet"/>
      <w:lvlText w:val="o"/>
      <w:lvlJc w:val="left"/>
      <w:pPr>
        <w:ind w:left="1440" w:hanging="360"/>
      </w:pPr>
      <w:rPr>
        <w:rFonts w:ascii="Courier New" w:hAnsi="Courier New" w:hint="default"/>
      </w:rPr>
    </w:lvl>
    <w:lvl w:ilvl="2" w:tplc="2110CD62">
      <w:start w:val="1"/>
      <w:numFmt w:val="bullet"/>
      <w:lvlText w:val=""/>
      <w:lvlJc w:val="left"/>
      <w:pPr>
        <w:ind w:left="2160" w:hanging="360"/>
      </w:pPr>
      <w:rPr>
        <w:rFonts w:ascii="Wingdings" w:hAnsi="Wingdings" w:hint="default"/>
      </w:rPr>
    </w:lvl>
    <w:lvl w:ilvl="3" w:tplc="B0181E82">
      <w:start w:val="1"/>
      <w:numFmt w:val="bullet"/>
      <w:lvlText w:val=""/>
      <w:lvlJc w:val="left"/>
      <w:pPr>
        <w:ind w:left="2880" w:hanging="360"/>
      </w:pPr>
      <w:rPr>
        <w:rFonts w:ascii="Symbol" w:hAnsi="Symbol" w:hint="default"/>
      </w:rPr>
    </w:lvl>
    <w:lvl w:ilvl="4" w:tplc="DD9AE2EE">
      <w:start w:val="1"/>
      <w:numFmt w:val="bullet"/>
      <w:lvlText w:val="o"/>
      <w:lvlJc w:val="left"/>
      <w:pPr>
        <w:ind w:left="3600" w:hanging="360"/>
      </w:pPr>
      <w:rPr>
        <w:rFonts w:ascii="Courier New" w:hAnsi="Courier New" w:hint="default"/>
      </w:rPr>
    </w:lvl>
    <w:lvl w:ilvl="5" w:tplc="4FF037C8">
      <w:start w:val="1"/>
      <w:numFmt w:val="bullet"/>
      <w:lvlText w:val=""/>
      <w:lvlJc w:val="left"/>
      <w:pPr>
        <w:ind w:left="4320" w:hanging="360"/>
      </w:pPr>
      <w:rPr>
        <w:rFonts w:ascii="Wingdings" w:hAnsi="Wingdings" w:hint="default"/>
      </w:rPr>
    </w:lvl>
    <w:lvl w:ilvl="6" w:tplc="3A7E5534">
      <w:start w:val="1"/>
      <w:numFmt w:val="bullet"/>
      <w:lvlText w:val=""/>
      <w:lvlJc w:val="left"/>
      <w:pPr>
        <w:ind w:left="5040" w:hanging="360"/>
      </w:pPr>
      <w:rPr>
        <w:rFonts w:ascii="Symbol" w:hAnsi="Symbol" w:hint="default"/>
      </w:rPr>
    </w:lvl>
    <w:lvl w:ilvl="7" w:tplc="296CA17A">
      <w:start w:val="1"/>
      <w:numFmt w:val="bullet"/>
      <w:lvlText w:val="o"/>
      <w:lvlJc w:val="left"/>
      <w:pPr>
        <w:ind w:left="5760" w:hanging="360"/>
      </w:pPr>
      <w:rPr>
        <w:rFonts w:ascii="Courier New" w:hAnsi="Courier New" w:hint="default"/>
      </w:rPr>
    </w:lvl>
    <w:lvl w:ilvl="8" w:tplc="4852C522">
      <w:start w:val="1"/>
      <w:numFmt w:val="bullet"/>
      <w:lvlText w:val=""/>
      <w:lvlJc w:val="left"/>
      <w:pPr>
        <w:ind w:left="6480" w:hanging="360"/>
      </w:pPr>
      <w:rPr>
        <w:rFonts w:ascii="Wingdings" w:hAnsi="Wingdings" w:hint="default"/>
      </w:rPr>
    </w:lvl>
  </w:abstractNum>
  <w:abstractNum w:abstractNumId="16" w15:restartNumberingAfterBreak="0">
    <w:nsid w:val="0A620FA5"/>
    <w:multiLevelType w:val="hybridMultilevel"/>
    <w:tmpl w:val="B8E60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11D4855"/>
    <w:multiLevelType w:val="hybridMultilevel"/>
    <w:tmpl w:val="3F529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134293C"/>
    <w:multiLevelType w:val="hybridMultilevel"/>
    <w:tmpl w:val="4D7AB7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1C57088"/>
    <w:multiLevelType w:val="hybridMultilevel"/>
    <w:tmpl w:val="7D72E3BC"/>
    <w:lvl w:ilvl="0" w:tplc="4ED25EF6">
      <w:start w:val="1"/>
      <w:numFmt w:val="decimal"/>
      <w:lvlText w:val="%1."/>
      <w:lvlJc w:val="left"/>
      <w:pPr>
        <w:ind w:left="720" w:hanging="360"/>
      </w:pPr>
      <w:rPr>
        <w:rFonts w:ascii="Open Sans" w:eastAsia="MS Mincho" w:hAnsi="Open Sans" w:cs="Times New Roman"/>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8EB2A5E"/>
    <w:multiLevelType w:val="hybridMultilevel"/>
    <w:tmpl w:val="3F7002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1C936885"/>
    <w:multiLevelType w:val="hybridMultilevel"/>
    <w:tmpl w:val="22AEC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F76C9B"/>
    <w:multiLevelType w:val="hybridMultilevel"/>
    <w:tmpl w:val="6958D8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22901816"/>
    <w:multiLevelType w:val="hybridMultilevel"/>
    <w:tmpl w:val="0B32F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5806F5"/>
    <w:multiLevelType w:val="hybridMultilevel"/>
    <w:tmpl w:val="292CE2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2780017E"/>
    <w:multiLevelType w:val="hybridMultilevel"/>
    <w:tmpl w:val="9364D90A"/>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32F5B03"/>
    <w:multiLevelType w:val="hybridMultilevel"/>
    <w:tmpl w:val="74A6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264EC9"/>
    <w:multiLevelType w:val="hybridMultilevel"/>
    <w:tmpl w:val="81B226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38C6383B"/>
    <w:multiLevelType w:val="hybridMultilevel"/>
    <w:tmpl w:val="E05E25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8D20DCE"/>
    <w:multiLevelType w:val="hybridMultilevel"/>
    <w:tmpl w:val="FFFFFFFF"/>
    <w:lvl w:ilvl="0" w:tplc="80141A34">
      <w:start w:val="1"/>
      <w:numFmt w:val="bullet"/>
      <w:lvlText w:val=""/>
      <w:lvlJc w:val="left"/>
      <w:pPr>
        <w:ind w:left="720" w:hanging="360"/>
      </w:pPr>
      <w:rPr>
        <w:rFonts w:ascii="Symbol" w:hAnsi="Symbol" w:hint="default"/>
      </w:rPr>
    </w:lvl>
    <w:lvl w:ilvl="1" w:tplc="897CEB12">
      <w:start w:val="1"/>
      <w:numFmt w:val="bullet"/>
      <w:lvlText w:val="o"/>
      <w:lvlJc w:val="left"/>
      <w:pPr>
        <w:ind w:left="1440" w:hanging="360"/>
      </w:pPr>
      <w:rPr>
        <w:rFonts w:ascii="Courier New" w:hAnsi="Courier New" w:hint="default"/>
      </w:rPr>
    </w:lvl>
    <w:lvl w:ilvl="2" w:tplc="BEB23968">
      <w:start w:val="1"/>
      <w:numFmt w:val="bullet"/>
      <w:lvlText w:val=""/>
      <w:lvlJc w:val="left"/>
      <w:pPr>
        <w:ind w:left="2160" w:hanging="360"/>
      </w:pPr>
      <w:rPr>
        <w:rFonts w:ascii="Wingdings" w:hAnsi="Wingdings" w:hint="default"/>
      </w:rPr>
    </w:lvl>
    <w:lvl w:ilvl="3" w:tplc="929C131C">
      <w:start w:val="1"/>
      <w:numFmt w:val="bullet"/>
      <w:lvlText w:val=""/>
      <w:lvlJc w:val="left"/>
      <w:pPr>
        <w:ind w:left="2880" w:hanging="360"/>
      </w:pPr>
      <w:rPr>
        <w:rFonts w:ascii="Symbol" w:hAnsi="Symbol" w:hint="default"/>
      </w:rPr>
    </w:lvl>
    <w:lvl w:ilvl="4" w:tplc="6C9C0D30">
      <w:start w:val="1"/>
      <w:numFmt w:val="bullet"/>
      <w:lvlText w:val="o"/>
      <w:lvlJc w:val="left"/>
      <w:pPr>
        <w:ind w:left="3600" w:hanging="360"/>
      </w:pPr>
      <w:rPr>
        <w:rFonts w:ascii="Courier New" w:hAnsi="Courier New" w:hint="default"/>
      </w:rPr>
    </w:lvl>
    <w:lvl w:ilvl="5" w:tplc="4B9ACC54">
      <w:start w:val="1"/>
      <w:numFmt w:val="bullet"/>
      <w:lvlText w:val=""/>
      <w:lvlJc w:val="left"/>
      <w:pPr>
        <w:ind w:left="4320" w:hanging="360"/>
      </w:pPr>
      <w:rPr>
        <w:rFonts w:ascii="Wingdings" w:hAnsi="Wingdings" w:hint="default"/>
      </w:rPr>
    </w:lvl>
    <w:lvl w:ilvl="6" w:tplc="5E9C04A6">
      <w:start w:val="1"/>
      <w:numFmt w:val="bullet"/>
      <w:lvlText w:val=""/>
      <w:lvlJc w:val="left"/>
      <w:pPr>
        <w:ind w:left="5040" w:hanging="360"/>
      </w:pPr>
      <w:rPr>
        <w:rFonts w:ascii="Symbol" w:hAnsi="Symbol" w:hint="default"/>
      </w:rPr>
    </w:lvl>
    <w:lvl w:ilvl="7" w:tplc="96F6EB7C">
      <w:start w:val="1"/>
      <w:numFmt w:val="bullet"/>
      <w:lvlText w:val="o"/>
      <w:lvlJc w:val="left"/>
      <w:pPr>
        <w:ind w:left="5760" w:hanging="360"/>
      </w:pPr>
      <w:rPr>
        <w:rFonts w:ascii="Courier New" w:hAnsi="Courier New" w:hint="default"/>
      </w:rPr>
    </w:lvl>
    <w:lvl w:ilvl="8" w:tplc="A02AE4DA">
      <w:start w:val="1"/>
      <w:numFmt w:val="bullet"/>
      <w:lvlText w:val=""/>
      <w:lvlJc w:val="left"/>
      <w:pPr>
        <w:ind w:left="6480" w:hanging="360"/>
      </w:pPr>
      <w:rPr>
        <w:rFonts w:ascii="Wingdings" w:hAnsi="Wingdings" w:hint="default"/>
      </w:rPr>
    </w:lvl>
  </w:abstractNum>
  <w:abstractNum w:abstractNumId="32" w15:restartNumberingAfterBreak="0">
    <w:nsid w:val="3CCE6B5D"/>
    <w:multiLevelType w:val="hybridMultilevel"/>
    <w:tmpl w:val="3458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3FAB41E8"/>
    <w:multiLevelType w:val="hybridMultilevel"/>
    <w:tmpl w:val="3E06C0C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41272E7F"/>
    <w:multiLevelType w:val="hybridMultilevel"/>
    <w:tmpl w:val="F02C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1464A5"/>
    <w:multiLevelType w:val="hybridMultilevel"/>
    <w:tmpl w:val="C0FAB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8" w15:restartNumberingAfterBreak="0">
    <w:nsid w:val="4B925494"/>
    <w:multiLevelType w:val="hybridMultilevel"/>
    <w:tmpl w:val="0B564CF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53163E20"/>
    <w:multiLevelType w:val="hybridMultilevel"/>
    <w:tmpl w:val="0E30AF3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545751F0"/>
    <w:multiLevelType w:val="hybridMultilevel"/>
    <w:tmpl w:val="5FA6BE7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52376F8"/>
    <w:multiLevelType w:val="hybridMultilevel"/>
    <w:tmpl w:val="E7BEF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B363C5"/>
    <w:multiLevelType w:val="hybridMultilevel"/>
    <w:tmpl w:val="74FE9C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5856289F"/>
    <w:multiLevelType w:val="hybridMultilevel"/>
    <w:tmpl w:val="383239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59DF7D83"/>
    <w:multiLevelType w:val="hybridMultilevel"/>
    <w:tmpl w:val="FFFFFFFF"/>
    <w:lvl w:ilvl="0" w:tplc="9A5EB3B2">
      <w:start w:val="1"/>
      <w:numFmt w:val="bullet"/>
      <w:lvlText w:val=""/>
      <w:lvlJc w:val="left"/>
      <w:pPr>
        <w:ind w:left="720" w:hanging="360"/>
      </w:pPr>
      <w:rPr>
        <w:rFonts w:ascii="Symbol" w:hAnsi="Symbol" w:hint="default"/>
      </w:rPr>
    </w:lvl>
    <w:lvl w:ilvl="1" w:tplc="642439C6">
      <w:start w:val="1"/>
      <w:numFmt w:val="bullet"/>
      <w:lvlText w:val="o"/>
      <w:lvlJc w:val="left"/>
      <w:pPr>
        <w:ind w:left="1440" w:hanging="360"/>
      </w:pPr>
      <w:rPr>
        <w:rFonts w:ascii="Courier New" w:hAnsi="Courier New" w:hint="default"/>
      </w:rPr>
    </w:lvl>
    <w:lvl w:ilvl="2" w:tplc="C2B0890C">
      <w:start w:val="1"/>
      <w:numFmt w:val="bullet"/>
      <w:lvlText w:val=""/>
      <w:lvlJc w:val="left"/>
      <w:pPr>
        <w:ind w:left="2160" w:hanging="360"/>
      </w:pPr>
      <w:rPr>
        <w:rFonts w:ascii="Wingdings" w:hAnsi="Wingdings" w:hint="default"/>
      </w:rPr>
    </w:lvl>
    <w:lvl w:ilvl="3" w:tplc="3328F510">
      <w:start w:val="1"/>
      <w:numFmt w:val="bullet"/>
      <w:lvlText w:val=""/>
      <w:lvlJc w:val="left"/>
      <w:pPr>
        <w:ind w:left="2880" w:hanging="360"/>
      </w:pPr>
      <w:rPr>
        <w:rFonts w:ascii="Symbol" w:hAnsi="Symbol" w:hint="default"/>
      </w:rPr>
    </w:lvl>
    <w:lvl w:ilvl="4" w:tplc="17B2557C">
      <w:start w:val="1"/>
      <w:numFmt w:val="bullet"/>
      <w:lvlText w:val="o"/>
      <w:lvlJc w:val="left"/>
      <w:pPr>
        <w:ind w:left="3600" w:hanging="360"/>
      </w:pPr>
      <w:rPr>
        <w:rFonts w:ascii="Courier New" w:hAnsi="Courier New" w:hint="default"/>
      </w:rPr>
    </w:lvl>
    <w:lvl w:ilvl="5" w:tplc="091E18AA">
      <w:start w:val="1"/>
      <w:numFmt w:val="bullet"/>
      <w:lvlText w:val=""/>
      <w:lvlJc w:val="left"/>
      <w:pPr>
        <w:ind w:left="4320" w:hanging="360"/>
      </w:pPr>
      <w:rPr>
        <w:rFonts w:ascii="Wingdings" w:hAnsi="Wingdings" w:hint="default"/>
      </w:rPr>
    </w:lvl>
    <w:lvl w:ilvl="6" w:tplc="777E77A8">
      <w:start w:val="1"/>
      <w:numFmt w:val="bullet"/>
      <w:lvlText w:val=""/>
      <w:lvlJc w:val="left"/>
      <w:pPr>
        <w:ind w:left="5040" w:hanging="360"/>
      </w:pPr>
      <w:rPr>
        <w:rFonts w:ascii="Symbol" w:hAnsi="Symbol" w:hint="default"/>
      </w:rPr>
    </w:lvl>
    <w:lvl w:ilvl="7" w:tplc="0CE4EDAA">
      <w:start w:val="1"/>
      <w:numFmt w:val="bullet"/>
      <w:lvlText w:val="o"/>
      <w:lvlJc w:val="left"/>
      <w:pPr>
        <w:ind w:left="5760" w:hanging="360"/>
      </w:pPr>
      <w:rPr>
        <w:rFonts w:ascii="Courier New" w:hAnsi="Courier New" w:hint="default"/>
      </w:rPr>
    </w:lvl>
    <w:lvl w:ilvl="8" w:tplc="255E0BBC">
      <w:start w:val="1"/>
      <w:numFmt w:val="bullet"/>
      <w:lvlText w:val=""/>
      <w:lvlJc w:val="left"/>
      <w:pPr>
        <w:ind w:left="6480" w:hanging="360"/>
      </w:pPr>
      <w:rPr>
        <w:rFonts w:ascii="Wingdings" w:hAnsi="Wingdings" w:hint="default"/>
      </w:rPr>
    </w:lvl>
  </w:abstractNum>
  <w:abstractNum w:abstractNumId="46" w15:restartNumberingAfterBreak="0">
    <w:nsid w:val="5AB47901"/>
    <w:multiLevelType w:val="hybridMultilevel"/>
    <w:tmpl w:val="F5D8086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AF66652"/>
    <w:multiLevelType w:val="hybridMultilevel"/>
    <w:tmpl w:val="4B02F7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61FD65A3"/>
    <w:multiLevelType w:val="hybridMultilevel"/>
    <w:tmpl w:val="B9C65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7D40848"/>
    <w:multiLevelType w:val="hybridMultilevel"/>
    <w:tmpl w:val="CF7C5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550B67"/>
    <w:multiLevelType w:val="hybridMultilevel"/>
    <w:tmpl w:val="19F89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AD24400"/>
    <w:multiLevelType w:val="hybridMultilevel"/>
    <w:tmpl w:val="D8444B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FE748FB"/>
    <w:multiLevelType w:val="hybridMultilevel"/>
    <w:tmpl w:val="ED08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FE331F"/>
    <w:multiLevelType w:val="hybridMultilevel"/>
    <w:tmpl w:val="ED243E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5E5CFB"/>
    <w:multiLevelType w:val="hybridMultilevel"/>
    <w:tmpl w:val="AA76E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D16D82"/>
    <w:multiLevelType w:val="hybridMultilevel"/>
    <w:tmpl w:val="A9E8B2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6" w15:restartNumberingAfterBreak="0">
    <w:nsid w:val="740D66C4"/>
    <w:multiLevelType w:val="hybridMultilevel"/>
    <w:tmpl w:val="5996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E12498A"/>
    <w:multiLevelType w:val="hybridMultilevel"/>
    <w:tmpl w:val="E080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4C006E"/>
    <w:multiLevelType w:val="hybridMultilevel"/>
    <w:tmpl w:val="4F969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E666A62"/>
    <w:multiLevelType w:val="hybridMultilevel"/>
    <w:tmpl w:val="E23CAB7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0" w15:restartNumberingAfterBreak="0">
    <w:nsid w:val="7FEE13EC"/>
    <w:multiLevelType w:val="hybridMultilevel"/>
    <w:tmpl w:val="D1A4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39"/>
  </w:num>
  <w:num w:numId="13">
    <w:abstractNumId w:val="33"/>
  </w:num>
  <w:num w:numId="14">
    <w:abstractNumId w:val="24"/>
  </w:num>
  <w:num w:numId="15">
    <w:abstractNumId w:val="23"/>
  </w:num>
  <w:num w:numId="16">
    <w:abstractNumId w:val="60"/>
  </w:num>
  <w:num w:numId="17">
    <w:abstractNumId w:val="32"/>
  </w:num>
  <w:num w:numId="18">
    <w:abstractNumId w:val="50"/>
  </w:num>
  <w:num w:numId="19">
    <w:abstractNumId w:val="17"/>
  </w:num>
  <w:num w:numId="20">
    <w:abstractNumId w:val="21"/>
  </w:num>
  <w:num w:numId="21">
    <w:abstractNumId w:val="59"/>
  </w:num>
  <w:num w:numId="22">
    <w:abstractNumId w:val="56"/>
  </w:num>
  <w:num w:numId="23">
    <w:abstractNumId w:val="52"/>
  </w:num>
  <w:num w:numId="24">
    <w:abstractNumId w:val="19"/>
  </w:num>
  <w:num w:numId="25">
    <w:abstractNumId w:val="16"/>
  </w:num>
  <w:num w:numId="26">
    <w:abstractNumId w:val="35"/>
  </w:num>
  <w:num w:numId="27">
    <w:abstractNumId w:val="10"/>
  </w:num>
  <w:num w:numId="28">
    <w:abstractNumId w:val="44"/>
  </w:num>
  <w:num w:numId="29">
    <w:abstractNumId w:val="13"/>
  </w:num>
  <w:num w:numId="30">
    <w:abstractNumId w:val="47"/>
  </w:num>
  <w:num w:numId="31">
    <w:abstractNumId w:val="45"/>
  </w:num>
  <w:num w:numId="32">
    <w:abstractNumId w:val="31"/>
  </w:num>
  <w:num w:numId="33">
    <w:abstractNumId w:val="15"/>
  </w:num>
  <w:num w:numId="34">
    <w:abstractNumId w:val="34"/>
  </w:num>
  <w:num w:numId="35">
    <w:abstractNumId w:val="36"/>
  </w:num>
  <w:num w:numId="36">
    <w:abstractNumId w:val="48"/>
  </w:num>
  <w:num w:numId="37">
    <w:abstractNumId w:val="42"/>
  </w:num>
  <w:num w:numId="38">
    <w:abstractNumId w:val="25"/>
  </w:num>
  <w:num w:numId="39">
    <w:abstractNumId w:val="40"/>
  </w:num>
  <w:num w:numId="40">
    <w:abstractNumId w:val="51"/>
  </w:num>
  <w:num w:numId="41">
    <w:abstractNumId w:val="53"/>
  </w:num>
  <w:num w:numId="42">
    <w:abstractNumId w:val="46"/>
  </w:num>
  <w:num w:numId="43">
    <w:abstractNumId w:val="18"/>
  </w:num>
  <w:num w:numId="44">
    <w:abstractNumId w:val="57"/>
  </w:num>
  <w:num w:numId="45">
    <w:abstractNumId w:val="12"/>
  </w:num>
  <w:num w:numId="46">
    <w:abstractNumId w:val="30"/>
  </w:num>
  <w:num w:numId="47">
    <w:abstractNumId w:val="11"/>
  </w:num>
  <w:num w:numId="48">
    <w:abstractNumId w:val="22"/>
  </w:num>
  <w:num w:numId="49">
    <w:abstractNumId w:val="26"/>
  </w:num>
  <w:num w:numId="50">
    <w:abstractNumId w:val="41"/>
  </w:num>
  <w:num w:numId="51">
    <w:abstractNumId w:val="27"/>
  </w:num>
  <w:num w:numId="52">
    <w:abstractNumId w:val="29"/>
  </w:num>
  <w:num w:numId="53">
    <w:abstractNumId w:val="54"/>
  </w:num>
  <w:num w:numId="54">
    <w:abstractNumId w:val="38"/>
  </w:num>
  <w:num w:numId="55">
    <w:abstractNumId w:val="58"/>
  </w:num>
  <w:num w:numId="56">
    <w:abstractNumId w:val="14"/>
  </w:num>
  <w:num w:numId="57">
    <w:abstractNumId w:val="55"/>
  </w:num>
  <w:num w:numId="58">
    <w:abstractNumId w:val="20"/>
  </w:num>
  <w:num w:numId="59">
    <w:abstractNumId w:val="43"/>
  </w:num>
  <w:num w:numId="60">
    <w:abstractNumId w:val="28"/>
  </w:num>
  <w:num w:numId="61">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7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A7"/>
    <w:rsid w:val="00000F9F"/>
    <w:rsid w:val="00001546"/>
    <w:rsid w:val="000015EC"/>
    <w:rsid w:val="0000178E"/>
    <w:rsid w:val="00003690"/>
    <w:rsid w:val="00003EA5"/>
    <w:rsid w:val="000049C0"/>
    <w:rsid w:val="000055BD"/>
    <w:rsid w:val="00006654"/>
    <w:rsid w:val="00006912"/>
    <w:rsid w:val="00006D52"/>
    <w:rsid w:val="00007937"/>
    <w:rsid w:val="00007A7E"/>
    <w:rsid w:val="00012B24"/>
    <w:rsid w:val="00012FCF"/>
    <w:rsid w:val="0001362C"/>
    <w:rsid w:val="00014152"/>
    <w:rsid w:val="000141DC"/>
    <w:rsid w:val="00014693"/>
    <w:rsid w:val="0001488F"/>
    <w:rsid w:val="00014D62"/>
    <w:rsid w:val="000161C2"/>
    <w:rsid w:val="00016A27"/>
    <w:rsid w:val="000178E0"/>
    <w:rsid w:val="000201F6"/>
    <w:rsid w:val="0002031B"/>
    <w:rsid w:val="00020766"/>
    <w:rsid w:val="00021139"/>
    <w:rsid w:val="000216E3"/>
    <w:rsid w:val="00021875"/>
    <w:rsid w:val="00022534"/>
    <w:rsid w:val="0002307C"/>
    <w:rsid w:val="0002476A"/>
    <w:rsid w:val="00026CBE"/>
    <w:rsid w:val="00026CEB"/>
    <w:rsid w:val="00026D0B"/>
    <w:rsid w:val="00026FD5"/>
    <w:rsid w:val="00027407"/>
    <w:rsid w:val="000313A4"/>
    <w:rsid w:val="00031D92"/>
    <w:rsid w:val="00032198"/>
    <w:rsid w:val="00032F5A"/>
    <w:rsid w:val="00033DEC"/>
    <w:rsid w:val="0003405C"/>
    <w:rsid w:val="00034722"/>
    <w:rsid w:val="00036203"/>
    <w:rsid w:val="00036BE4"/>
    <w:rsid w:val="00037514"/>
    <w:rsid w:val="00040DEA"/>
    <w:rsid w:val="00041FF6"/>
    <w:rsid w:val="00042E14"/>
    <w:rsid w:val="00043060"/>
    <w:rsid w:val="000430B8"/>
    <w:rsid w:val="00043D5C"/>
    <w:rsid w:val="00044227"/>
    <w:rsid w:val="00044AFD"/>
    <w:rsid w:val="000453BC"/>
    <w:rsid w:val="00045712"/>
    <w:rsid w:val="000459B0"/>
    <w:rsid w:val="00045C4B"/>
    <w:rsid w:val="000465F1"/>
    <w:rsid w:val="00047099"/>
    <w:rsid w:val="0004776E"/>
    <w:rsid w:val="0005054D"/>
    <w:rsid w:val="00051281"/>
    <w:rsid w:val="0005158E"/>
    <w:rsid w:val="00056018"/>
    <w:rsid w:val="000565D8"/>
    <w:rsid w:val="00056729"/>
    <w:rsid w:val="000578C4"/>
    <w:rsid w:val="000579B1"/>
    <w:rsid w:val="0006090A"/>
    <w:rsid w:val="00061C6C"/>
    <w:rsid w:val="000625E8"/>
    <w:rsid w:val="0006281F"/>
    <w:rsid w:val="00062CDC"/>
    <w:rsid w:val="00064E52"/>
    <w:rsid w:val="00065A4B"/>
    <w:rsid w:val="0006649C"/>
    <w:rsid w:val="0006715E"/>
    <w:rsid w:val="00067179"/>
    <w:rsid w:val="00067C57"/>
    <w:rsid w:val="000705F2"/>
    <w:rsid w:val="00070A4F"/>
    <w:rsid w:val="000710A1"/>
    <w:rsid w:val="000723C5"/>
    <w:rsid w:val="00072DDC"/>
    <w:rsid w:val="00072EDA"/>
    <w:rsid w:val="00073159"/>
    <w:rsid w:val="00075C7F"/>
    <w:rsid w:val="00075DC6"/>
    <w:rsid w:val="00076313"/>
    <w:rsid w:val="00080A42"/>
    <w:rsid w:val="000825D8"/>
    <w:rsid w:val="00082CA5"/>
    <w:rsid w:val="0008343D"/>
    <w:rsid w:val="00084297"/>
    <w:rsid w:val="0008452A"/>
    <w:rsid w:val="00084E03"/>
    <w:rsid w:val="000852A1"/>
    <w:rsid w:val="000853C9"/>
    <w:rsid w:val="00085975"/>
    <w:rsid w:val="0008626E"/>
    <w:rsid w:val="0008644D"/>
    <w:rsid w:val="0008680E"/>
    <w:rsid w:val="000907DB"/>
    <w:rsid w:val="00090F85"/>
    <w:rsid w:val="00091844"/>
    <w:rsid w:val="00091D3A"/>
    <w:rsid w:val="00092AAB"/>
    <w:rsid w:val="00092E3E"/>
    <w:rsid w:val="00093210"/>
    <w:rsid w:val="000933BC"/>
    <w:rsid w:val="000946F3"/>
    <w:rsid w:val="000958A6"/>
    <w:rsid w:val="00096081"/>
    <w:rsid w:val="000960F0"/>
    <w:rsid w:val="0009669A"/>
    <w:rsid w:val="000A0613"/>
    <w:rsid w:val="000A09CD"/>
    <w:rsid w:val="000A1A49"/>
    <w:rsid w:val="000A1DB8"/>
    <w:rsid w:val="000A31D2"/>
    <w:rsid w:val="000A42FB"/>
    <w:rsid w:val="000A48AC"/>
    <w:rsid w:val="000A4B9E"/>
    <w:rsid w:val="000A4BDA"/>
    <w:rsid w:val="000A4DAD"/>
    <w:rsid w:val="000A520E"/>
    <w:rsid w:val="000A7B9D"/>
    <w:rsid w:val="000B0603"/>
    <w:rsid w:val="000B0A5D"/>
    <w:rsid w:val="000B0C33"/>
    <w:rsid w:val="000B2102"/>
    <w:rsid w:val="000B26DB"/>
    <w:rsid w:val="000B3151"/>
    <w:rsid w:val="000B44C5"/>
    <w:rsid w:val="000B4678"/>
    <w:rsid w:val="000B4A12"/>
    <w:rsid w:val="000B530C"/>
    <w:rsid w:val="000B5363"/>
    <w:rsid w:val="000B5B68"/>
    <w:rsid w:val="000B6A0C"/>
    <w:rsid w:val="000B767E"/>
    <w:rsid w:val="000C115E"/>
    <w:rsid w:val="000C2365"/>
    <w:rsid w:val="000C25E0"/>
    <w:rsid w:val="000C29C0"/>
    <w:rsid w:val="000C4296"/>
    <w:rsid w:val="000C4AC3"/>
    <w:rsid w:val="000C5608"/>
    <w:rsid w:val="000C5DA6"/>
    <w:rsid w:val="000C784E"/>
    <w:rsid w:val="000D0266"/>
    <w:rsid w:val="000D2093"/>
    <w:rsid w:val="000D32FE"/>
    <w:rsid w:val="000D3FD5"/>
    <w:rsid w:val="000D491A"/>
    <w:rsid w:val="000D5C6C"/>
    <w:rsid w:val="000D6B4D"/>
    <w:rsid w:val="000D6F23"/>
    <w:rsid w:val="000D78AF"/>
    <w:rsid w:val="000D79E0"/>
    <w:rsid w:val="000E03CD"/>
    <w:rsid w:val="000E0425"/>
    <w:rsid w:val="000E130A"/>
    <w:rsid w:val="000E180B"/>
    <w:rsid w:val="000E2A61"/>
    <w:rsid w:val="000E4837"/>
    <w:rsid w:val="000E5364"/>
    <w:rsid w:val="000E63B2"/>
    <w:rsid w:val="000E7877"/>
    <w:rsid w:val="000E7DB0"/>
    <w:rsid w:val="000F1277"/>
    <w:rsid w:val="000F2289"/>
    <w:rsid w:val="000F28C3"/>
    <w:rsid w:val="000F3410"/>
    <w:rsid w:val="000F43FD"/>
    <w:rsid w:val="000F524A"/>
    <w:rsid w:val="000F5257"/>
    <w:rsid w:val="000F55E9"/>
    <w:rsid w:val="000F6B9A"/>
    <w:rsid w:val="000F6BB3"/>
    <w:rsid w:val="000F6BE6"/>
    <w:rsid w:val="000F6D6D"/>
    <w:rsid w:val="000F707F"/>
    <w:rsid w:val="000F78C8"/>
    <w:rsid w:val="000F7D33"/>
    <w:rsid w:val="000F7DDF"/>
    <w:rsid w:val="001016FA"/>
    <w:rsid w:val="00101B65"/>
    <w:rsid w:val="00103AC9"/>
    <w:rsid w:val="00104B4F"/>
    <w:rsid w:val="0010501F"/>
    <w:rsid w:val="00105988"/>
    <w:rsid w:val="001062D7"/>
    <w:rsid w:val="00106E92"/>
    <w:rsid w:val="00110699"/>
    <w:rsid w:val="00111225"/>
    <w:rsid w:val="001114A6"/>
    <w:rsid w:val="00111F92"/>
    <w:rsid w:val="00112E19"/>
    <w:rsid w:val="00114B3A"/>
    <w:rsid w:val="00115D6E"/>
    <w:rsid w:val="0011609D"/>
    <w:rsid w:val="00116859"/>
    <w:rsid w:val="00121100"/>
    <w:rsid w:val="001217DF"/>
    <w:rsid w:val="00122884"/>
    <w:rsid w:val="00123FA2"/>
    <w:rsid w:val="00124478"/>
    <w:rsid w:val="00124862"/>
    <w:rsid w:val="00124B98"/>
    <w:rsid w:val="00124DC6"/>
    <w:rsid w:val="0012636C"/>
    <w:rsid w:val="00126D34"/>
    <w:rsid w:val="0013131E"/>
    <w:rsid w:val="00133279"/>
    <w:rsid w:val="00133C54"/>
    <w:rsid w:val="00134774"/>
    <w:rsid w:val="00136FCC"/>
    <w:rsid w:val="001379AF"/>
    <w:rsid w:val="00140274"/>
    <w:rsid w:val="00140F09"/>
    <w:rsid w:val="00141009"/>
    <w:rsid w:val="00142B26"/>
    <w:rsid w:val="0014326A"/>
    <w:rsid w:val="001433E6"/>
    <w:rsid w:val="001436B7"/>
    <w:rsid w:val="001443D0"/>
    <w:rsid w:val="0014474A"/>
    <w:rsid w:val="001448F7"/>
    <w:rsid w:val="00146194"/>
    <w:rsid w:val="00146B8A"/>
    <w:rsid w:val="00146F14"/>
    <w:rsid w:val="0014750C"/>
    <w:rsid w:val="0014795F"/>
    <w:rsid w:val="00150BB3"/>
    <w:rsid w:val="00151263"/>
    <w:rsid w:val="00151F24"/>
    <w:rsid w:val="0015239E"/>
    <w:rsid w:val="001523E8"/>
    <w:rsid w:val="00152E73"/>
    <w:rsid w:val="001561E2"/>
    <w:rsid w:val="001568BC"/>
    <w:rsid w:val="00156F25"/>
    <w:rsid w:val="00157071"/>
    <w:rsid w:val="001570AB"/>
    <w:rsid w:val="00157E2F"/>
    <w:rsid w:val="00160F5D"/>
    <w:rsid w:val="0016102C"/>
    <w:rsid w:val="0016120A"/>
    <w:rsid w:val="001616F7"/>
    <w:rsid w:val="0016266F"/>
    <w:rsid w:val="00162A22"/>
    <w:rsid w:val="00162A8D"/>
    <w:rsid w:val="001644F6"/>
    <w:rsid w:val="001648BD"/>
    <w:rsid w:val="00164970"/>
    <w:rsid w:val="00165749"/>
    <w:rsid w:val="00165A98"/>
    <w:rsid w:val="00165E3C"/>
    <w:rsid w:val="001664BE"/>
    <w:rsid w:val="00166C9B"/>
    <w:rsid w:val="00167979"/>
    <w:rsid w:val="00170189"/>
    <w:rsid w:val="00170803"/>
    <w:rsid w:val="00171368"/>
    <w:rsid w:val="001725BF"/>
    <w:rsid w:val="00172A40"/>
    <w:rsid w:val="00172A80"/>
    <w:rsid w:val="00172BFB"/>
    <w:rsid w:val="00173FB5"/>
    <w:rsid w:val="001745D9"/>
    <w:rsid w:val="00174D9A"/>
    <w:rsid w:val="0017514E"/>
    <w:rsid w:val="001752D2"/>
    <w:rsid w:val="001759F5"/>
    <w:rsid w:val="00180C76"/>
    <w:rsid w:val="001812E5"/>
    <w:rsid w:val="00181AF7"/>
    <w:rsid w:val="00182809"/>
    <w:rsid w:val="0018323B"/>
    <w:rsid w:val="001837D2"/>
    <w:rsid w:val="00183B5D"/>
    <w:rsid w:val="00185645"/>
    <w:rsid w:val="00186664"/>
    <w:rsid w:val="00187049"/>
    <w:rsid w:val="0019035B"/>
    <w:rsid w:val="001907DF"/>
    <w:rsid w:val="001917F1"/>
    <w:rsid w:val="001920A0"/>
    <w:rsid w:val="00193A2F"/>
    <w:rsid w:val="00194413"/>
    <w:rsid w:val="001952C4"/>
    <w:rsid w:val="00195DA3"/>
    <w:rsid w:val="00195EDE"/>
    <w:rsid w:val="00196202"/>
    <w:rsid w:val="001A0E48"/>
    <w:rsid w:val="001A1A0E"/>
    <w:rsid w:val="001A2574"/>
    <w:rsid w:val="001A2B5B"/>
    <w:rsid w:val="001A3C30"/>
    <w:rsid w:val="001A4073"/>
    <w:rsid w:val="001A4E7F"/>
    <w:rsid w:val="001A54D9"/>
    <w:rsid w:val="001A5646"/>
    <w:rsid w:val="001A6338"/>
    <w:rsid w:val="001A6464"/>
    <w:rsid w:val="001A73AE"/>
    <w:rsid w:val="001B0353"/>
    <w:rsid w:val="001B1DC8"/>
    <w:rsid w:val="001B2688"/>
    <w:rsid w:val="001B2702"/>
    <w:rsid w:val="001B31C5"/>
    <w:rsid w:val="001B372D"/>
    <w:rsid w:val="001B3EB7"/>
    <w:rsid w:val="001B44C6"/>
    <w:rsid w:val="001B5243"/>
    <w:rsid w:val="001B5D61"/>
    <w:rsid w:val="001B5FD9"/>
    <w:rsid w:val="001B7D45"/>
    <w:rsid w:val="001C0125"/>
    <w:rsid w:val="001C04F6"/>
    <w:rsid w:val="001C057C"/>
    <w:rsid w:val="001C0C75"/>
    <w:rsid w:val="001C1744"/>
    <w:rsid w:val="001C1F8B"/>
    <w:rsid w:val="001C3E72"/>
    <w:rsid w:val="001C509A"/>
    <w:rsid w:val="001C5E41"/>
    <w:rsid w:val="001C7989"/>
    <w:rsid w:val="001C7AEC"/>
    <w:rsid w:val="001C7F81"/>
    <w:rsid w:val="001D02B0"/>
    <w:rsid w:val="001D037E"/>
    <w:rsid w:val="001D0FA4"/>
    <w:rsid w:val="001D3182"/>
    <w:rsid w:val="001D3A26"/>
    <w:rsid w:val="001D3A80"/>
    <w:rsid w:val="001D6266"/>
    <w:rsid w:val="001D64A2"/>
    <w:rsid w:val="001D7577"/>
    <w:rsid w:val="001D7815"/>
    <w:rsid w:val="001E0780"/>
    <w:rsid w:val="001E2282"/>
    <w:rsid w:val="001E29AA"/>
    <w:rsid w:val="001E2AF9"/>
    <w:rsid w:val="001E34C1"/>
    <w:rsid w:val="001E485B"/>
    <w:rsid w:val="001E5676"/>
    <w:rsid w:val="001E5B6E"/>
    <w:rsid w:val="001E6704"/>
    <w:rsid w:val="001E6F2A"/>
    <w:rsid w:val="001E7ABE"/>
    <w:rsid w:val="001F0D5F"/>
    <w:rsid w:val="001F20EA"/>
    <w:rsid w:val="001F2BBB"/>
    <w:rsid w:val="001F333F"/>
    <w:rsid w:val="001F3ABB"/>
    <w:rsid w:val="001F3CD1"/>
    <w:rsid w:val="001F3E83"/>
    <w:rsid w:val="001F4F17"/>
    <w:rsid w:val="001F52FD"/>
    <w:rsid w:val="001F62CC"/>
    <w:rsid w:val="001F6BCF"/>
    <w:rsid w:val="001F716C"/>
    <w:rsid w:val="001F7A49"/>
    <w:rsid w:val="00200677"/>
    <w:rsid w:val="002012F7"/>
    <w:rsid w:val="002018D1"/>
    <w:rsid w:val="00201D77"/>
    <w:rsid w:val="00202024"/>
    <w:rsid w:val="002027F6"/>
    <w:rsid w:val="002033F8"/>
    <w:rsid w:val="002034F8"/>
    <w:rsid w:val="0020414B"/>
    <w:rsid w:val="00204935"/>
    <w:rsid w:val="002055E2"/>
    <w:rsid w:val="0020613E"/>
    <w:rsid w:val="002068EB"/>
    <w:rsid w:val="0020706E"/>
    <w:rsid w:val="00211D3B"/>
    <w:rsid w:val="00213778"/>
    <w:rsid w:val="00214D54"/>
    <w:rsid w:val="00214E65"/>
    <w:rsid w:val="002166F4"/>
    <w:rsid w:val="00216702"/>
    <w:rsid w:val="00220FD6"/>
    <w:rsid w:val="00221DBE"/>
    <w:rsid w:val="00221DC0"/>
    <w:rsid w:val="002223F5"/>
    <w:rsid w:val="0022307D"/>
    <w:rsid w:val="002241E5"/>
    <w:rsid w:val="00224A3C"/>
    <w:rsid w:val="002255BF"/>
    <w:rsid w:val="00225C8B"/>
    <w:rsid w:val="00225E41"/>
    <w:rsid w:val="00226362"/>
    <w:rsid w:val="00226EDA"/>
    <w:rsid w:val="00227EE3"/>
    <w:rsid w:val="00231841"/>
    <w:rsid w:val="00231ED1"/>
    <w:rsid w:val="00232E75"/>
    <w:rsid w:val="00233C21"/>
    <w:rsid w:val="00233CF5"/>
    <w:rsid w:val="00234852"/>
    <w:rsid w:val="00235A7E"/>
    <w:rsid w:val="00236911"/>
    <w:rsid w:val="00241523"/>
    <w:rsid w:val="0024159C"/>
    <w:rsid w:val="00241D4F"/>
    <w:rsid w:val="00242624"/>
    <w:rsid w:val="00242CBC"/>
    <w:rsid w:val="00242DB6"/>
    <w:rsid w:val="0024347A"/>
    <w:rsid w:val="00243898"/>
    <w:rsid w:val="00244809"/>
    <w:rsid w:val="0024557E"/>
    <w:rsid w:val="00245B86"/>
    <w:rsid w:val="002471FD"/>
    <w:rsid w:val="00247CBA"/>
    <w:rsid w:val="00250D94"/>
    <w:rsid w:val="00251002"/>
    <w:rsid w:val="002513C6"/>
    <w:rsid w:val="002514BC"/>
    <w:rsid w:val="0025150B"/>
    <w:rsid w:val="0025151E"/>
    <w:rsid w:val="00251558"/>
    <w:rsid w:val="002536CA"/>
    <w:rsid w:val="0025388F"/>
    <w:rsid w:val="00253F7A"/>
    <w:rsid w:val="00254161"/>
    <w:rsid w:val="002550A6"/>
    <w:rsid w:val="00255AEB"/>
    <w:rsid w:val="00255D80"/>
    <w:rsid w:val="00256899"/>
    <w:rsid w:val="00257056"/>
    <w:rsid w:val="0025785F"/>
    <w:rsid w:val="00257BAD"/>
    <w:rsid w:val="002600C6"/>
    <w:rsid w:val="002600F3"/>
    <w:rsid w:val="0026140C"/>
    <w:rsid w:val="002632EA"/>
    <w:rsid w:val="00264080"/>
    <w:rsid w:val="002663C5"/>
    <w:rsid w:val="002666CC"/>
    <w:rsid w:val="002668BC"/>
    <w:rsid w:val="00267CDF"/>
    <w:rsid w:val="00270F1A"/>
    <w:rsid w:val="00270FE4"/>
    <w:rsid w:val="002722FF"/>
    <w:rsid w:val="0027420A"/>
    <w:rsid w:val="00274B4F"/>
    <w:rsid w:val="00274CB0"/>
    <w:rsid w:val="00275FB9"/>
    <w:rsid w:val="002767DC"/>
    <w:rsid w:val="0027736C"/>
    <w:rsid w:val="002807A2"/>
    <w:rsid w:val="0028506A"/>
    <w:rsid w:val="002850B0"/>
    <w:rsid w:val="0028562F"/>
    <w:rsid w:val="00285B84"/>
    <w:rsid w:val="00285F64"/>
    <w:rsid w:val="002863D7"/>
    <w:rsid w:val="00286530"/>
    <w:rsid w:val="00286863"/>
    <w:rsid w:val="00286BFA"/>
    <w:rsid w:val="00286C63"/>
    <w:rsid w:val="00286D17"/>
    <w:rsid w:val="002873B4"/>
    <w:rsid w:val="00292AB5"/>
    <w:rsid w:val="00292F6B"/>
    <w:rsid w:val="00294251"/>
    <w:rsid w:val="0029481C"/>
    <w:rsid w:val="002949F9"/>
    <w:rsid w:val="00294FBF"/>
    <w:rsid w:val="0029508E"/>
    <w:rsid w:val="0029509A"/>
    <w:rsid w:val="002959A6"/>
    <w:rsid w:val="00295A6F"/>
    <w:rsid w:val="002961BA"/>
    <w:rsid w:val="002969CA"/>
    <w:rsid w:val="00297A02"/>
    <w:rsid w:val="002A0866"/>
    <w:rsid w:val="002A1C45"/>
    <w:rsid w:val="002A2216"/>
    <w:rsid w:val="002A2F91"/>
    <w:rsid w:val="002A31CD"/>
    <w:rsid w:val="002A36F2"/>
    <w:rsid w:val="002A43C2"/>
    <w:rsid w:val="002A4803"/>
    <w:rsid w:val="002A4D37"/>
    <w:rsid w:val="002A5261"/>
    <w:rsid w:val="002A5308"/>
    <w:rsid w:val="002A5790"/>
    <w:rsid w:val="002A6090"/>
    <w:rsid w:val="002A7C49"/>
    <w:rsid w:val="002A7E0C"/>
    <w:rsid w:val="002B04E8"/>
    <w:rsid w:val="002B1A66"/>
    <w:rsid w:val="002B1B65"/>
    <w:rsid w:val="002B32E5"/>
    <w:rsid w:val="002B3B80"/>
    <w:rsid w:val="002B4B34"/>
    <w:rsid w:val="002C009E"/>
    <w:rsid w:val="002C02DB"/>
    <w:rsid w:val="002C04F7"/>
    <w:rsid w:val="002C117A"/>
    <w:rsid w:val="002C1866"/>
    <w:rsid w:val="002C1C2F"/>
    <w:rsid w:val="002C2382"/>
    <w:rsid w:val="002C24F1"/>
    <w:rsid w:val="002C3994"/>
    <w:rsid w:val="002C3DE6"/>
    <w:rsid w:val="002C534D"/>
    <w:rsid w:val="002C65C1"/>
    <w:rsid w:val="002C7059"/>
    <w:rsid w:val="002D0507"/>
    <w:rsid w:val="002D0B7C"/>
    <w:rsid w:val="002D1003"/>
    <w:rsid w:val="002D2FF8"/>
    <w:rsid w:val="002D498B"/>
    <w:rsid w:val="002D5E51"/>
    <w:rsid w:val="002D6B40"/>
    <w:rsid w:val="002E44A6"/>
    <w:rsid w:val="002E5717"/>
    <w:rsid w:val="002E573F"/>
    <w:rsid w:val="002E5A1B"/>
    <w:rsid w:val="002E77E5"/>
    <w:rsid w:val="002F0153"/>
    <w:rsid w:val="002F07FC"/>
    <w:rsid w:val="002F0F93"/>
    <w:rsid w:val="002F19AA"/>
    <w:rsid w:val="002F232B"/>
    <w:rsid w:val="002F29F0"/>
    <w:rsid w:val="002F4085"/>
    <w:rsid w:val="002F4846"/>
    <w:rsid w:val="002F4BF3"/>
    <w:rsid w:val="002F4CE1"/>
    <w:rsid w:val="002F548E"/>
    <w:rsid w:val="002F5E96"/>
    <w:rsid w:val="002F6202"/>
    <w:rsid w:val="002F6EA3"/>
    <w:rsid w:val="002F748E"/>
    <w:rsid w:val="0030053D"/>
    <w:rsid w:val="00300A21"/>
    <w:rsid w:val="00300F22"/>
    <w:rsid w:val="00301576"/>
    <w:rsid w:val="00301E47"/>
    <w:rsid w:val="003039E4"/>
    <w:rsid w:val="00304A37"/>
    <w:rsid w:val="00305AB2"/>
    <w:rsid w:val="0030684D"/>
    <w:rsid w:val="00306E2C"/>
    <w:rsid w:val="00306F92"/>
    <w:rsid w:val="00307625"/>
    <w:rsid w:val="0030770B"/>
    <w:rsid w:val="0031040E"/>
    <w:rsid w:val="00310ED4"/>
    <w:rsid w:val="00311E12"/>
    <w:rsid w:val="00312301"/>
    <w:rsid w:val="00312897"/>
    <w:rsid w:val="003139BE"/>
    <w:rsid w:val="00313A27"/>
    <w:rsid w:val="00313E07"/>
    <w:rsid w:val="0031492A"/>
    <w:rsid w:val="00316C1A"/>
    <w:rsid w:val="003205D4"/>
    <w:rsid w:val="00320A41"/>
    <w:rsid w:val="00320DAF"/>
    <w:rsid w:val="00321B54"/>
    <w:rsid w:val="00321D50"/>
    <w:rsid w:val="00323C73"/>
    <w:rsid w:val="0032417E"/>
    <w:rsid w:val="00325BD4"/>
    <w:rsid w:val="00326689"/>
    <w:rsid w:val="00327656"/>
    <w:rsid w:val="00331141"/>
    <w:rsid w:val="003311FA"/>
    <w:rsid w:val="00333540"/>
    <w:rsid w:val="00333AB6"/>
    <w:rsid w:val="00333BFF"/>
    <w:rsid w:val="0033471C"/>
    <w:rsid w:val="00334C14"/>
    <w:rsid w:val="0033597E"/>
    <w:rsid w:val="00340EEC"/>
    <w:rsid w:val="0034137D"/>
    <w:rsid w:val="00341A9A"/>
    <w:rsid w:val="003423F4"/>
    <w:rsid w:val="003432DA"/>
    <w:rsid w:val="00344683"/>
    <w:rsid w:val="00344758"/>
    <w:rsid w:val="00345065"/>
    <w:rsid w:val="00345EE2"/>
    <w:rsid w:val="00347142"/>
    <w:rsid w:val="00350A5E"/>
    <w:rsid w:val="00350D1B"/>
    <w:rsid w:val="00351617"/>
    <w:rsid w:val="00351620"/>
    <w:rsid w:val="0035188F"/>
    <w:rsid w:val="003534AD"/>
    <w:rsid w:val="00353C5C"/>
    <w:rsid w:val="0035533F"/>
    <w:rsid w:val="003565A8"/>
    <w:rsid w:val="003566EA"/>
    <w:rsid w:val="00356B6C"/>
    <w:rsid w:val="00360C37"/>
    <w:rsid w:val="00361725"/>
    <w:rsid w:val="00361C7E"/>
    <w:rsid w:val="00361DBA"/>
    <w:rsid w:val="003620CA"/>
    <w:rsid w:val="0036237A"/>
    <w:rsid w:val="0036783A"/>
    <w:rsid w:val="00367DC1"/>
    <w:rsid w:val="0037031F"/>
    <w:rsid w:val="00370453"/>
    <w:rsid w:val="00371EE1"/>
    <w:rsid w:val="00372C79"/>
    <w:rsid w:val="00374950"/>
    <w:rsid w:val="00374E70"/>
    <w:rsid w:val="003771E3"/>
    <w:rsid w:val="003777FC"/>
    <w:rsid w:val="00380130"/>
    <w:rsid w:val="0038041A"/>
    <w:rsid w:val="00380D67"/>
    <w:rsid w:val="00381411"/>
    <w:rsid w:val="0038144C"/>
    <w:rsid w:val="00382334"/>
    <w:rsid w:val="003825AF"/>
    <w:rsid w:val="003838C3"/>
    <w:rsid w:val="003842D8"/>
    <w:rsid w:val="00384429"/>
    <w:rsid w:val="0038644B"/>
    <w:rsid w:val="003867F3"/>
    <w:rsid w:val="003869E1"/>
    <w:rsid w:val="00386C26"/>
    <w:rsid w:val="003900FB"/>
    <w:rsid w:val="003924E8"/>
    <w:rsid w:val="003927C7"/>
    <w:rsid w:val="0039374F"/>
    <w:rsid w:val="00393EFD"/>
    <w:rsid w:val="0039450E"/>
    <w:rsid w:val="003945A4"/>
    <w:rsid w:val="00396229"/>
    <w:rsid w:val="00396331"/>
    <w:rsid w:val="00396847"/>
    <w:rsid w:val="00397A54"/>
    <w:rsid w:val="003A0B13"/>
    <w:rsid w:val="003A168E"/>
    <w:rsid w:val="003A2B7E"/>
    <w:rsid w:val="003A2FDE"/>
    <w:rsid w:val="003A36DD"/>
    <w:rsid w:val="003A3C78"/>
    <w:rsid w:val="003A48B7"/>
    <w:rsid w:val="003A493F"/>
    <w:rsid w:val="003A52A2"/>
    <w:rsid w:val="003A6FCE"/>
    <w:rsid w:val="003B05E8"/>
    <w:rsid w:val="003B0BC6"/>
    <w:rsid w:val="003B0CAB"/>
    <w:rsid w:val="003B25E3"/>
    <w:rsid w:val="003B3428"/>
    <w:rsid w:val="003B519F"/>
    <w:rsid w:val="003B6191"/>
    <w:rsid w:val="003B6340"/>
    <w:rsid w:val="003C2962"/>
    <w:rsid w:val="003C57BC"/>
    <w:rsid w:val="003D13A1"/>
    <w:rsid w:val="003D2CC4"/>
    <w:rsid w:val="003D419C"/>
    <w:rsid w:val="003D713B"/>
    <w:rsid w:val="003D717D"/>
    <w:rsid w:val="003D754B"/>
    <w:rsid w:val="003D7B9E"/>
    <w:rsid w:val="003D7C5A"/>
    <w:rsid w:val="003E0AC4"/>
    <w:rsid w:val="003E0AF6"/>
    <w:rsid w:val="003E44A2"/>
    <w:rsid w:val="003E4544"/>
    <w:rsid w:val="003E4BC2"/>
    <w:rsid w:val="003E523F"/>
    <w:rsid w:val="003E5DEF"/>
    <w:rsid w:val="003E6C4A"/>
    <w:rsid w:val="003E709A"/>
    <w:rsid w:val="003E76B8"/>
    <w:rsid w:val="003F043A"/>
    <w:rsid w:val="003F101B"/>
    <w:rsid w:val="003F30A4"/>
    <w:rsid w:val="003F387B"/>
    <w:rsid w:val="003F3BFC"/>
    <w:rsid w:val="003F5DCF"/>
    <w:rsid w:val="003F6A36"/>
    <w:rsid w:val="003F6B3B"/>
    <w:rsid w:val="003F6D25"/>
    <w:rsid w:val="003F78E6"/>
    <w:rsid w:val="004010A7"/>
    <w:rsid w:val="00401A00"/>
    <w:rsid w:val="004029C5"/>
    <w:rsid w:val="00402DFA"/>
    <w:rsid w:val="004035FF"/>
    <w:rsid w:val="0040454A"/>
    <w:rsid w:val="0040497E"/>
    <w:rsid w:val="004055E2"/>
    <w:rsid w:val="00406166"/>
    <w:rsid w:val="004066C8"/>
    <w:rsid w:val="004066DB"/>
    <w:rsid w:val="00407E5A"/>
    <w:rsid w:val="0041095D"/>
    <w:rsid w:val="0041142B"/>
    <w:rsid w:val="00413B1F"/>
    <w:rsid w:val="004140BB"/>
    <w:rsid w:val="0041459B"/>
    <w:rsid w:val="004145AD"/>
    <w:rsid w:val="0041692F"/>
    <w:rsid w:val="00417469"/>
    <w:rsid w:val="00417547"/>
    <w:rsid w:val="00420830"/>
    <w:rsid w:val="004216A3"/>
    <w:rsid w:val="004222CD"/>
    <w:rsid w:val="00422417"/>
    <w:rsid w:val="00422B39"/>
    <w:rsid w:val="0042354A"/>
    <w:rsid w:val="00424233"/>
    <w:rsid w:val="004242C8"/>
    <w:rsid w:val="004249AA"/>
    <w:rsid w:val="00425468"/>
    <w:rsid w:val="004254AF"/>
    <w:rsid w:val="004259B5"/>
    <w:rsid w:val="00426D7E"/>
    <w:rsid w:val="0042702E"/>
    <w:rsid w:val="0043038C"/>
    <w:rsid w:val="00430BB9"/>
    <w:rsid w:val="0043123E"/>
    <w:rsid w:val="00431E0C"/>
    <w:rsid w:val="004333C9"/>
    <w:rsid w:val="00433789"/>
    <w:rsid w:val="00434617"/>
    <w:rsid w:val="004358EE"/>
    <w:rsid w:val="004366DE"/>
    <w:rsid w:val="00440051"/>
    <w:rsid w:val="0044015F"/>
    <w:rsid w:val="00440456"/>
    <w:rsid w:val="00440B92"/>
    <w:rsid w:val="0044230C"/>
    <w:rsid w:val="004433A5"/>
    <w:rsid w:val="00443559"/>
    <w:rsid w:val="00443665"/>
    <w:rsid w:val="00443751"/>
    <w:rsid w:val="004437B4"/>
    <w:rsid w:val="0044393A"/>
    <w:rsid w:val="00443C2F"/>
    <w:rsid w:val="00443D3C"/>
    <w:rsid w:val="004443C6"/>
    <w:rsid w:val="00444D69"/>
    <w:rsid w:val="00445CB5"/>
    <w:rsid w:val="0044789F"/>
    <w:rsid w:val="00447FA4"/>
    <w:rsid w:val="004509E9"/>
    <w:rsid w:val="004509ED"/>
    <w:rsid w:val="00452C8D"/>
    <w:rsid w:val="00453A16"/>
    <w:rsid w:val="0045495A"/>
    <w:rsid w:val="00454B96"/>
    <w:rsid w:val="00455AA7"/>
    <w:rsid w:val="00456692"/>
    <w:rsid w:val="00457F57"/>
    <w:rsid w:val="00460EE0"/>
    <w:rsid w:val="00460EE8"/>
    <w:rsid w:val="004612A7"/>
    <w:rsid w:val="004635BA"/>
    <w:rsid w:val="00463CEB"/>
    <w:rsid w:val="00464D7C"/>
    <w:rsid w:val="0046611F"/>
    <w:rsid w:val="0047014E"/>
    <w:rsid w:val="004712FB"/>
    <w:rsid w:val="00471BB7"/>
    <w:rsid w:val="00472EFF"/>
    <w:rsid w:val="00472F1E"/>
    <w:rsid w:val="00472FA5"/>
    <w:rsid w:val="00474063"/>
    <w:rsid w:val="004758F4"/>
    <w:rsid w:val="0047594C"/>
    <w:rsid w:val="00476793"/>
    <w:rsid w:val="00476DEF"/>
    <w:rsid w:val="004776EE"/>
    <w:rsid w:val="00480B23"/>
    <w:rsid w:val="00481B2A"/>
    <w:rsid w:val="00482091"/>
    <w:rsid w:val="00482424"/>
    <w:rsid w:val="00482793"/>
    <w:rsid w:val="00482E01"/>
    <w:rsid w:val="004833F4"/>
    <w:rsid w:val="00484002"/>
    <w:rsid w:val="00484306"/>
    <w:rsid w:val="00485E2C"/>
    <w:rsid w:val="00486C9C"/>
    <w:rsid w:val="00487FD3"/>
    <w:rsid w:val="004912F9"/>
    <w:rsid w:val="00491634"/>
    <w:rsid w:val="00493662"/>
    <w:rsid w:val="00493A26"/>
    <w:rsid w:val="00494225"/>
    <w:rsid w:val="00494DDE"/>
    <w:rsid w:val="00495BC5"/>
    <w:rsid w:val="00496678"/>
    <w:rsid w:val="00496798"/>
    <w:rsid w:val="004A1467"/>
    <w:rsid w:val="004A187B"/>
    <w:rsid w:val="004A1A1F"/>
    <w:rsid w:val="004A2D3C"/>
    <w:rsid w:val="004A351F"/>
    <w:rsid w:val="004A4509"/>
    <w:rsid w:val="004A5754"/>
    <w:rsid w:val="004A58EC"/>
    <w:rsid w:val="004A6B36"/>
    <w:rsid w:val="004A6EB8"/>
    <w:rsid w:val="004A7783"/>
    <w:rsid w:val="004A7EFF"/>
    <w:rsid w:val="004B06D3"/>
    <w:rsid w:val="004B281B"/>
    <w:rsid w:val="004B2C5D"/>
    <w:rsid w:val="004B3585"/>
    <w:rsid w:val="004B3A52"/>
    <w:rsid w:val="004B5A77"/>
    <w:rsid w:val="004B693F"/>
    <w:rsid w:val="004C102F"/>
    <w:rsid w:val="004C1285"/>
    <w:rsid w:val="004C1F08"/>
    <w:rsid w:val="004C2FAE"/>
    <w:rsid w:val="004C37D9"/>
    <w:rsid w:val="004C6415"/>
    <w:rsid w:val="004C6BC4"/>
    <w:rsid w:val="004C6C50"/>
    <w:rsid w:val="004C7274"/>
    <w:rsid w:val="004C7412"/>
    <w:rsid w:val="004C771B"/>
    <w:rsid w:val="004C795E"/>
    <w:rsid w:val="004C7F09"/>
    <w:rsid w:val="004D04BF"/>
    <w:rsid w:val="004D218F"/>
    <w:rsid w:val="004D42AC"/>
    <w:rsid w:val="004D47E7"/>
    <w:rsid w:val="004D5FBB"/>
    <w:rsid w:val="004D753F"/>
    <w:rsid w:val="004E0132"/>
    <w:rsid w:val="004E0B61"/>
    <w:rsid w:val="004E0DFF"/>
    <w:rsid w:val="004E1645"/>
    <w:rsid w:val="004E198B"/>
    <w:rsid w:val="004E4E42"/>
    <w:rsid w:val="004E61D8"/>
    <w:rsid w:val="004E710D"/>
    <w:rsid w:val="004F1C7C"/>
    <w:rsid w:val="004F26B8"/>
    <w:rsid w:val="004F366F"/>
    <w:rsid w:val="004F44C2"/>
    <w:rsid w:val="004F4B20"/>
    <w:rsid w:val="004F521A"/>
    <w:rsid w:val="004F5B40"/>
    <w:rsid w:val="004F6278"/>
    <w:rsid w:val="00500179"/>
    <w:rsid w:val="00501168"/>
    <w:rsid w:val="005039A5"/>
    <w:rsid w:val="005071A5"/>
    <w:rsid w:val="00507724"/>
    <w:rsid w:val="00507D5C"/>
    <w:rsid w:val="00510390"/>
    <w:rsid w:val="005123F0"/>
    <w:rsid w:val="00513540"/>
    <w:rsid w:val="00513941"/>
    <w:rsid w:val="005155B9"/>
    <w:rsid w:val="005168A9"/>
    <w:rsid w:val="00516EA7"/>
    <w:rsid w:val="00517186"/>
    <w:rsid w:val="0051740C"/>
    <w:rsid w:val="005203A2"/>
    <w:rsid w:val="00520A9C"/>
    <w:rsid w:val="00520D06"/>
    <w:rsid w:val="0052144C"/>
    <w:rsid w:val="0052188B"/>
    <w:rsid w:val="00521BC7"/>
    <w:rsid w:val="00521C7E"/>
    <w:rsid w:val="0052294C"/>
    <w:rsid w:val="00523135"/>
    <w:rsid w:val="00523B24"/>
    <w:rsid w:val="00524614"/>
    <w:rsid w:val="00525E97"/>
    <w:rsid w:val="00526E2E"/>
    <w:rsid w:val="00527420"/>
    <w:rsid w:val="00527CD6"/>
    <w:rsid w:val="0053051D"/>
    <w:rsid w:val="005309AE"/>
    <w:rsid w:val="005310F7"/>
    <w:rsid w:val="00531D95"/>
    <w:rsid w:val="00531E7B"/>
    <w:rsid w:val="005323D3"/>
    <w:rsid w:val="00532D65"/>
    <w:rsid w:val="00533A03"/>
    <w:rsid w:val="00535251"/>
    <w:rsid w:val="00535960"/>
    <w:rsid w:val="0053646F"/>
    <w:rsid w:val="00540181"/>
    <w:rsid w:val="005401F7"/>
    <w:rsid w:val="0054057F"/>
    <w:rsid w:val="0054070F"/>
    <w:rsid w:val="0054111A"/>
    <w:rsid w:val="005414AA"/>
    <w:rsid w:val="0054355B"/>
    <w:rsid w:val="00543B73"/>
    <w:rsid w:val="00544AF1"/>
    <w:rsid w:val="0054535F"/>
    <w:rsid w:val="00545597"/>
    <w:rsid w:val="00547024"/>
    <w:rsid w:val="00547193"/>
    <w:rsid w:val="005473B6"/>
    <w:rsid w:val="005479AD"/>
    <w:rsid w:val="00552E0B"/>
    <w:rsid w:val="00554826"/>
    <w:rsid w:val="005548C9"/>
    <w:rsid w:val="00556A95"/>
    <w:rsid w:val="005578E2"/>
    <w:rsid w:val="00557C40"/>
    <w:rsid w:val="00557FDC"/>
    <w:rsid w:val="00561406"/>
    <w:rsid w:val="00561759"/>
    <w:rsid w:val="005630A2"/>
    <w:rsid w:val="005630FC"/>
    <w:rsid w:val="00563B7C"/>
    <w:rsid w:val="00564208"/>
    <w:rsid w:val="00566255"/>
    <w:rsid w:val="00566C52"/>
    <w:rsid w:val="00566D37"/>
    <w:rsid w:val="0057151B"/>
    <w:rsid w:val="00571CEB"/>
    <w:rsid w:val="00571CF2"/>
    <w:rsid w:val="005723C1"/>
    <w:rsid w:val="00572915"/>
    <w:rsid w:val="00572CCC"/>
    <w:rsid w:val="005738B7"/>
    <w:rsid w:val="00573AA9"/>
    <w:rsid w:val="0057452C"/>
    <w:rsid w:val="00574D71"/>
    <w:rsid w:val="00575782"/>
    <w:rsid w:val="00575A70"/>
    <w:rsid w:val="00581246"/>
    <w:rsid w:val="00582105"/>
    <w:rsid w:val="00584EBE"/>
    <w:rsid w:val="00585826"/>
    <w:rsid w:val="005863F7"/>
    <w:rsid w:val="00586DBF"/>
    <w:rsid w:val="0059027F"/>
    <w:rsid w:val="00591951"/>
    <w:rsid w:val="0059272A"/>
    <w:rsid w:val="005928F7"/>
    <w:rsid w:val="0059327D"/>
    <w:rsid w:val="0059518E"/>
    <w:rsid w:val="0059537F"/>
    <w:rsid w:val="00595603"/>
    <w:rsid w:val="00595DAC"/>
    <w:rsid w:val="0059633A"/>
    <w:rsid w:val="00596733"/>
    <w:rsid w:val="005A0964"/>
    <w:rsid w:val="005A1E24"/>
    <w:rsid w:val="005A287F"/>
    <w:rsid w:val="005A2ACA"/>
    <w:rsid w:val="005A3777"/>
    <w:rsid w:val="005A4A1A"/>
    <w:rsid w:val="005A56B3"/>
    <w:rsid w:val="005A5BCB"/>
    <w:rsid w:val="005B09C0"/>
    <w:rsid w:val="005B225B"/>
    <w:rsid w:val="005B36F6"/>
    <w:rsid w:val="005B4900"/>
    <w:rsid w:val="005B6D27"/>
    <w:rsid w:val="005B6D89"/>
    <w:rsid w:val="005B7131"/>
    <w:rsid w:val="005B7F9E"/>
    <w:rsid w:val="005C13B5"/>
    <w:rsid w:val="005C1885"/>
    <w:rsid w:val="005C22AB"/>
    <w:rsid w:val="005C2ECF"/>
    <w:rsid w:val="005C435E"/>
    <w:rsid w:val="005C478E"/>
    <w:rsid w:val="005C5D41"/>
    <w:rsid w:val="005C6EFE"/>
    <w:rsid w:val="005C7109"/>
    <w:rsid w:val="005C79CA"/>
    <w:rsid w:val="005D0150"/>
    <w:rsid w:val="005D14CD"/>
    <w:rsid w:val="005D1814"/>
    <w:rsid w:val="005D18C5"/>
    <w:rsid w:val="005D1F34"/>
    <w:rsid w:val="005D24B1"/>
    <w:rsid w:val="005D383D"/>
    <w:rsid w:val="005D402B"/>
    <w:rsid w:val="005D62AC"/>
    <w:rsid w:val="005D6F88"/>
    <w:rsid w:val="005D7D99"/>
    <w:rsid w:val="005E2C80"/>
    <w:rsid w:val="005E53D7"/>
    <w:rsid w:val="005E7614"/>
    <w:rsid w:val="005E7F68"/>
    <w:rsid w:val="005F0221"/>
    <w:rsid w:val="005F13C7"/>
    <w:rsid w:val="005F14CC"/>
    <w:rsid w:val="005F1541"/>
    <w:rsid w:val="005F1C16"/>
    <w:rsid w:val="005F2F9E"/>
    <w:rsid w:val="005F2FB3"/>
    <w:rsid w:val="005F370B"/>
    <w:rsid w:val="005F4FCC"/>
    <w:rsid w:val="005F693F"/>
    <w:rsid w:val="005F6A83"/>
    <w:rsid w:val="005F718D"/>
    <w:rsid w:val="00600A7E"/>
    <w:rsid w:val="00601C7A"/>
    <w:rsid w:val="006026BB"/>
    <w:rsid w:val="00604919"/>
    <w:rsid w:val="00604B67"/>
    <w:rsid w:val="00604CFF"/>
    <w:rsid w:val="0060517E"/>
    <w:rsid w:val="0061009B"/>
    <w:rsid w:val="006121EB"/>
    <w:rsid w:val="006149D1"/>
    <w:rsid w:val="00614FB4"/>
    <w:rsid w:val="00615004"/>
    <w:rsid w:val="00616128"/>
    <w:rsid w:val="00616803"/>
    <w:rsid w:val="00616F10"/>
    <w:rsid w:val="00616F88"/>
    <w:rsid w:val="006174A6"/>
    <w:rsid w:val="0062206A"/>
    <w:rsid w:val="00622508"/>
    <w:rsid w:val="00622655"/>
    <w:rsid w:val="00622D69"/>
    <w:rsid w:val="00623C62"/>
    <w:rsid w:val="006248D7"/>
    <w:rsid w:val="00624A6C"/>
    <w:rsid w:val="00624BD6"/>
    <w:rsid w:val="00627FAB"/>
    <w:rsid w:val="0063009F"/>
    <w:rsid w:val="006300D4"/>
    <w:rsid w:val="00630BBD"/>
    <w:rsid w:val="00631F0C"/>
    <w:rsid w:val="006326C3"/>
    <w:rsid w:val="0063277E"/>
    <w:rsid w:val="0063282A"/>
    <w:rsid w:val="00632C79"/>
    <w:rsid w:val="0063545D"/>
    <w:rsid w:val="006356C5"/>
    <w:rsid w:val="00635B8C"/>
    <w:rsid w:val="006370F3"/>
    <w:rsid w:val="0063713E"/>
    <w:rsid w:val="006402B9"/>
    <w:rsid w:val="00640DF9"/>
    <w:rsid w:val="0064130E"/>
    <w:rsid w:val="00641A36"/>
    <w:rsid w:val="00641EEE"/>
    <w:rsid w:val="006427E1"/>
    <w:rsid w:val="006431B2"/>
    <w:rsid w:val="00643EA1"/>
    <w:rsid w:val="00647077"/>
    <w:rsid w:val="00647C8C"/>
    <w:rsid w:val="00650E26"/>
    <w:rsid w:val="00651D41"/>
    <w:rsid w:val="00653D18"/>
    <w:rsid w:val="0065409A"/>
    <w:rsid w:val="00654493"/>
    <w:rsid w:val="00654793"/>
    <w:rsid w:val="00656ED6"/>
    <w:rsid w:val="00656F04"/>
    <w:rsid w:val="006607BA"/>
    <w:rsid w:val="00661A4A"/>
    <w:rsid w:val="006621CB"/>
    <w:rsid w:val="00662AC9"/>
    <w:rsid w:val="00663073"/>
    <w:rsid w:val="00663CCB"/>
    <w:rsid w:val="00664508"/>
    <w:rsid w:val="006650E6"/>
    <w:rsid w:val="00665889"/>
    <w:rsid w:val="00665C7A"/>
    <w:rsid w:val="00665D2C"/>
    <w:rsid w:val="0066648A"/>
    <w:rsid w:val="006666A8"/>
    <w:rsid w:val="006676B1"/>
    <w:rsid w:val="00667BF9"/>
    <w:rsid w:val="00670212"/>
    <w:rsid w:val="00671B5D"/>
    <w:rsid w:val="00671CB1"/>
    <w:rsid w:val="00672C9D"/>
    <w:rsid w:val="00673A38"/>
    <w:rsid w:val="006740C1"/>
    <w:rsid w:val="006746D8"/>
    <w:rsid w:val="00674B07"/>
    <w:rsid w:val="006752DD"/>
    <w:rsid w:val="006770DE"/>
    <w:rsid w:val="00677B1A"/>
    <w:rsid w:val="00681174"/>
    <w:rsid w:val="0068247B"/>
    <w:rsid w:val="006843C6"/>
    <w:rsid w:val="006843FF"/>
    <w:rsid w:val="006847CA"/>
    <w:rsid w:val="00685A11"/>
    <w:rsid w:val="00685CC2"/>
    <w:rsid w:val="00686180"/>
    <w:rsid w:val="006907BD"/>
    <w:rsid w:val="00690F74"/>
    <w:rsid w:val="00691F23"/>
    <w:rsid w:val="00692890"/>
    <w:rsid w:val="006928F6"/>
    <w:rsid w:val="006933F0"/>
    <w:rsid w:val="0069360E"/>
    <w:rsid w:val="0069396F"/>
    <w:rsid w:val="00694AC7"/>
    <w:rsid w:val="00694D92"/>
    <w:rsid w:val="00695B35"/>
    <w:rsid w:val="00696F3F"/>
    <w:rsid w:val="006A02B1"/>
    <w:rsid w:val="006A110E"/>
    <w:rsid w:val="006A21E5"/>
    <w:rsid w:val="006A2DDC"/>
    <w:rsid w:val="006A3408"/>
    <w:rsid w:val="006A4B67"/>
    <w:rsid w:val="006A5232"/>
    <w:rsid w:val="006A59F9"/>
    <w:rsid w:val="006A5C63"/>
    <w:rsid w:val="006A6395"/>
    <w:rsid w:val="006A671C"/>
    <w:rsid w:val="006A6BB3"/>
    <w:rsid w:val="006B114E"/>
    <w:rsid w:val="006B2E3D"/>
    <w:rsid w:val="006B3854"/>
    <w:rsid w:val="006B3DE1"/>
    <w:rsid w:val="006B4E3C"/>
    <w:rsid w:val="006B4FC0"/>
    <w:rsid w:val="006B58DF"/>
    <w:rsid w:val="006B6A26"/>
    <w:rsid w:val="006B7DBF"/>
    <w:rsid w:val="006C0642"/>
    <w:rsid w:val="006C0BBA"/>
    <w:rsid w:val="006C10B4"/>
    <w:rsid w:val="006C1216"/>
    <w:rsid w:val="006C128C"/>
    <w:rsid w:val="006C25EE"/>
    <w:rsid w:val="006C2762"/>
    <w:rsid w:val="006C2861"/>
    <w:rsid w:val="006C36EC"/>
    <w:rsid w:val="006C4401"/>
    <w:rsid w:val="006C4662"/>
    <w:rsid w:val="006C46CD"/>
    <w:rsid w:val="006C5285"/>
    <w:rsid w:val="006C7CF1"/>
    <w:rsid w:val="006D0407"/>
    <w:rsid w:val="006D1254"/>
    <w:rsid w:val="006D528E"/>
    <w:rsid w:val="006D5521"/>
    <w:rsid w:val="006D5EE5"/>
    <w:rsid w:val="006D5FF3"/>
    <w:rsid w:val="006D74AF"/>
    <w:rsid w:val="006E05EA"/>
    <w:rsid w:val="006E2A2D"/>
    <w:rsid w:val="006E31F9"/>
    <w:rsid w:val="006E3EF4"/>
    <w:rsid w:val="006E4212"/>
    <w:rsid w:val="006E4AF8"/>
    <w:rsid w:val="006E4E33"/>
    <w:rsid w:val="006E51A1"/>
    <w:rsid w:val="006E603B"/>
    <w:rsid w:val="006E609A"/>
    <w:rsid w:val="006E60EF"/>
    <w:rsid w:val="006E6D3B"/>
    <w:rsid w:val="006F009D"/>
    <w:rsid w:val="006F0E51"/>
    <w:rsid w:val="006F1F1E"/>
    <w:rsid w:val="006F2A74"/>
    <w:rsid w:val="006F32A4"/>
    <w:rsid w:val="006F3B83"/>
    <w:rsid w:val="006F3CEB"/>
    <w:rsid w:val="006F42E4"/>
    <w:rsid w:val="006F43D1"/>
    <w:rsid w:val="006F474D"/>
    <w:rsid w:val="006F47C1"/>
    <w:rsid w:val="006F5FA1"/>
    <w:rsid w:val="006F6D9D"/>
    <w:rsid w:val="007001A2"/>
    <w:rsid w:val="007014E4"/>
    <w:rsid w:val="00701AB3"/>
    <w:rsid w:val="00702FB4"/>
    <w:rsid w:val="00703DC8"/>
    <w:rsid w:val="007042D7"/>
    <w:rsid w:val="007053A7"/>
    <w:rsid w:val="00706331"/>
    <w:rsid w:val="00707E75"/>
    <w:rsid w:val="00710087"/>
    <w:rsid w:val="00710FF7"/>
    <w:rsid w:val="00711ED4"/>
    <w:rsid w:val="00712356"/>
    <w:rsid w:val="00712648"/>
    <w:rsid w:val="00712BAE"/>
    <w:rsid w:val="00713B3E"/>
    <w:rsid w:val="00713C5A"/>
    <w:rsid w:val="00713FC2"/>
    <w:rsid w:val="00714AFA"/>
    <w:rsid w:val="00714FF5"/>
    <w:rsid w:val="007153EF"/>
    <w:rsid w:val="007159BE"/>
    <w:rsid w:val="00715A49"/>
    <w:rsid w:val="00715CF7"/>
    <w:rsid w:val="007160C6"/>
    <w:rsid w:val="00716283"/>
    <w:rsid w:val="00716685"/>
    <w:rsid w:val="00716F99"/>
    <w:rsid w:val="00720442"/>
    <w:rsid w:val="007228AA"/>
    <w:rsid w:val="00722F40"/>
    <w:rsid w:val="00723821"/>
    <w:rsid w:val="00723C4A"/>
    <w:rsid w:val="007243BC"/>
    <w:rsid w:val="00725224"/>
    <w:rsid w:val="0072570D"/>
    <w:rsid w:val="00725EA4"/>
    <w:rsid w:val="00727604"/>
    <w:rsid w:val="0073008F"/>
    <w:rsid w:val="00730BD2"/>
    <w:rsid w:val="007314D8"/>
    <w:rsid w:val="007315BA"/>
    <w:rsid w:val="00731BFC"/>
    <w:rsid w:val="0073258F"/>
    <w:rsid w:val="007326D2"/>
    <w:rsid w:val="007327EC"/>
    <w:rsid w:val="007333C8"/>
    <w:rsid w:val="00733A25"/>
    <w:rsid w:val="00734687"/>
    <w:rsid w:val="00735347"/>
    <w:rsid w:val="00735930"/>
    <w:rsid w:val="007370D8"/>
    <w:rsid w:val="00737D81"/>
    <w:rsid w:val="0074259C"/>
    <w:rsid w:val="00742A68"/>
    <w:rsid w:val="007442D9"/>
    <w:rsid w:val="00745375"/>
    <w:rsid w:val="007460A7"/>
    <w:rsid w:val="00746938"/>
    <w:rsid w:val="00746EE3"/>
    <w:rsid w:val="0075016C"/>
    <w:rsid w:val="00751B06"/>
    <w:rsid w:val="0075287E"/>
    <w:rsid w:val="00752996"/>
    <w:rsid w:val="00753C10"/>
    <w:rsid w:val="007540BF"/>
    <w:rsid w:val="007541CE"/>
    <w:rsid w:val="00754ADA"/>
    <w:rsid w:val="0075624A"/>
    <w:rsid w:val="007576D0"/>
    <w:rsid w:val="00762407"/>
    <w:rsid w:val="00762D28"/>
    <w:rsid w:val="007637A8"/>
    <w:rsid w:val="007644CA"/>
    <w:rsid w:val="00764925"/>
    <w:rsid w:val="00765B58"/>
    <w:rsid w:val="007668CE"/>
    <w:rsid w:val="00766CDC"/>
    <w:rsid w:val="00770356"/>
    <w:rsid w:val="00770632"/>
    <w:rsid w:val="00770A0E"/>
    <w:rsid w:val="00770DCB"/>
    <w:rsid w:val="00772C61"/>
    <w:rsid w:val="007730C0"/>
    <w:rsid w:val="00773D6A"/>
    <w:rsid w:val="00775324"/>
    <w:rsid w:val="00775485"/>
    <w:rsid w:val="00775EA8"/>
    <w:rsid w:val="00777DCF"/>
    <w:rsid w:val="00780EF5"/>
    <w:rsid w:val="007826BE"/>
    <w:rsid w:val="0078325C"/>
    <w:rsid w:val="00783532"/>
    <w:rsid w:val="00783FE4"/>
    <w:rsid w:val="007842BB"/>
    <w:rsid w:val="007846B5"/>
    <w:rsid w:val="0078532E"/>
    <w:rsid w:val="00785597"/>
    <w:rsid w:val="007860AB"/>
    <w:rsid w:val="007900AE"/>
    <w:rsid w:val="0079039B"/>
    <w:rsid w:val="007913CE"/>
    <w:rsid w:val="00791515"/>
    <w:rsid w:val="00793968"/>
    <w:rsid w:val="00793F34"/>
    <w:rsid w:val="007955A9"/>
    <w:rsid w:val="0079616B"/>
    <w:rsid w:val="007976AC"/>
    <w:rsid w:val="007A0DD1"/>
    <w:rsid w:val="007A0FE8"/>
    <w:rsid w:val="007A1979"/>
    <w:rsid w:val="007A1DDE"/>
    <w:rsid w:val="007A2097"/>
    <w:rsid w:val="007A6D84"/>
    <w:rsid w:val="007A718B"/>
    <w:rsid w:val="007A7607"/>
    <w:rsid w:val="007A7D66"/>
    <w:rsid w:val="007B06EA"/>
    <w:rsid w:val="007B0CEE"/>
    <w:rsid w:val="007B13BE"/>
    <w:rsid w:val="007B1523"/>
    <w:rsid w:val="007B26B6"/>
    <w:rsid w:val="007B29A1"/>
    <w:rsid w:val="007B39C1"/>
    <w:rsid w:val="007B3B7A"/>
    <w:rsid w:val="007B41F0"/>
    <w:rsid w:val="007B43E8"/>
    <w:rsid w:val="007B4F93"/>
    <w:rsid w:val="007B5631"/>
    <w:rsid w:val="007B6189"/>
    <w:rsid w:val="007B6797"/>
    <w:rsid w:val="007B6CB3"/>
    <w:rsid w:val="007B737D"/>
    <w:rsid w:val="007B7B4F"/>
    <w:rsid w:val="007C0CA3"/>
    <w:rsid w:val="007C323F"/>
    <w:rsid w:val="007C3FC9"/>
    <w:rsid w:val="007C42D8"/>
    <w:rsid w:val="007C55D5"/>
    <w:rsid w:val="007C5BEC"/>
    <w:rsid w:val="007C7291"/>
    <w:rsid w:val="007C7709"/>
    <w:rsid w:val="007D0F15"/>
    <w:rsid w:val="007D112C"/>
    <w:rsid w:val="007D2BF0"/>
    <w:rsid w:val="007D2F00"/>
    <w:rsid w:val="007D69DB"/>
    <w:rsid w:val="007D79C2"/>
    <w:rsid w:val="007D7A0C"/>
    <w:rsid w:val="007D7D3E"/>
    <w:rsid w:val="007E0145"/>
    <w:rsid w:val="007E075D"/>
    <w:rsid w:val="007E10F9"/>
    <w:rsid w:val="007E2D04"/>
    <w:rsid w:val="007E39AE"/>
    <w:rsid w:val="007E4267"/>
    <w:rsid w:val="007E4D56"/>
    <w:rsid w:val="007E5198"/>
    <w:rsid w:val="007E5B88"/>
    <w:rsid w:val="007E73DF"/>
    <w:rsid w:val="007E7A73"/>
    <w:rsid w:val="007E7CDC"/>
    <w:rsid w:val="007F0486"/>
    <w:rsid w:val="007F0BF0"/>
    <w:rsid w:val="007F0D0B"/>
    <w:rsid w:val="007F12FE"/>
    <w:rsid w:val="007F2056"/>
    <w:rsid w:val="007F2FE1"/>
    <w:rsid w:val="007F34B2"/>
    <w:rsid w:val="007F3BD4"/>
    <w:rsid w:val="007F482A"/>
    <w:rsid w:val="007F4D47"/>
    <w:rsid w:val="007F5263"/>
    <w:rsid w:val="007F6001"/>
    <w:rsid w:val="007F6148"/>
    <w:rsid w:val="007F667E"/>
    <w:rsid w:val="0080015F"/>
    <w:rsid w:val="00800356"/>
    <w:rsid w:val="008007A8"/>
    <w:rsid w:val="008010DF"/>
    <w:rsid w:val="00801407"/>
    <w:rsid w:val="00802344"/>
    <w:rsid w:val="00802D54"/>
    <w:rsid w:val="0080408C"/>
    <w:rsid w:val="008042D9"/>
    <w:rsid w:val="00804FC3"/>
    <w:rsid w:val="008064E5"/>
    <w:rsid w:val="00806558"/>
    <w:rsid w:val="008118D2"/>
    <w:rsid w:val="0081213F"/>
    <w:rsid w:val="00813567"/>
    <w:rsid w:val="00813597"/>
    <w:rsid w:val="008139ED"/>
    <w:rsid w:val="00814FC0"/>
    <w:rsid w:val="00816282"/>
    <w:rsid w:val="00817660"/>
    <w:rsid w:val="00817C73"/>
    <w:rsid w:val="00817E92"/>
    <w:rsid w:val="00820416"/>
    <w:rsid w:val="008207D5"/>
    <w:rsid w:val="0082231A"/>
    <w:rsid w:val="00823005"/>
    <w:rsid w:val="008231E3"/>
    <w:rsid w:val="0082332D"/>
    <w:rsid w:val="00823B94"/>
    <w:rsid w:val="00823C00"/>
    <w:rsid w:val="0082520D"/>
    <w:rsid w:val="00827A34"/>
    <w:rsid w:val="00830019"/>
    <w:rsid w:val="0083031A"/>
    <w:rsid w:val="008337BF"/>
    <w:rsid w:val="00834C4D"/>
    <w:rsid w:val="00835526"/>
    <w:rsid w:val="0083682C"/>
    <w:rsid w:val="00836CE5"/>
    <w:rsid w:val="008372A6"/>
    <w:rsid w:val="008374B0"/>
    <w:rsid w:val="0084085A"/>
    <w:rsid w:val="00841563"/>
    <w:rsid w:val="00842017"/>
    <w:rsid w:val="0084206A"/>
    <w:rsid w:val="00842850"/>
    <w:rsid w:val="008449B9"/>
    <w:rsid w:val="00844D9F"/>
    <w:rsid w:val="00844DD8"/>
    <w:rsid w:val="00844E8F"/>
    <w:rsid w:val="008450D4"/>
    <w:rsid w:val="00846778"/>
    <w:rsid w:val="008467C0"/>
    <w:rsid w:val="00846D78"/>
    <w:rsid w:val="00847191"/>
    <w:rsid w:val="00853C48"/>
    <w:rsid w:val="008549A1"/>
    <w:rsid w:val="00854E7A"/>
    <w:rsid w:val="00857207"/>
    <w:rsid w:val="008572B7"/>
    <w:rsid w:val="00860A57"/>
    <w:rsid w:val="00860A89"/>
    <w:rsid w:val="0086254F"/>
    <w:rsid w:val="00864011"/>
    <w:rsid w:val="008647B4"/>
    <w:rsid w:val="00864A28"/>
    <w:rsid w:val="0086624B"/>
    <w:rsid w:val="0086628B"/>
    <w:rsid w:val="00866FEC"/>
    <w:rsid w:val="00870731"/>
    <w:rsid w:val="00870E9D"/>
    <w:rsid w:val="008724DE"/>
    <w:rsid w:val="00873824"/>
    <w:rsid w:val="00873A68"/>
    <w:rsid w:val="00874093"/>
    <w:rsid w:val="00874696"/>
    <w:rsid w:val="008755D5"/>
    <w:rsid w:val="00875731"/>
    <w:rsid w:val="008758D9"/>
    <w:rsid w:val="00875FA6"/>
    <w:rsid w:val="00876F0A"/>
    <w:rsid w:val="00877376"/>
    <w:rsid w:val="00880879"/>
    <w:rsid w:val="008809C7"/>
    <w:rsid w:val="0088119B"/>
    <w:rsid w:val="008818DD"/>
    <w:rsid w:val="00882B0A"/>
    <w:rsid w:val="00883A5A"/>
    <w:rsid w:val="00884281"/>
    <w:rsid w:val="00884AE1"/>
    <w:rsid w:val="00884C35"/>
    <w:rsid w:val="0088540D"/>
    <w:rsid w:val="00890012"/>
    <w:rsid w:val="008906B5"/>
    <w:rsid w:val="00890C32"/>
    <w:rsid w:val="0089281B"/>
    <w:rsid w:val="00892B45"/>
    <w:rsid w:val="00892F93"/>
    <w:rsid w:val="008930E6"/>
    <w:rsid w:val="00893439"/>
    <w:rsid w:val="00893B9A"/>
    <w:rsid w:val="0089455E"/>
    <w:rsid w:val="00894A96"/>
    <w:rsid w:val="00895D3D"/>
    <w:rsid w:val="00896B80"/>
    <w:rsid w:val="008977F8"/>
    <w:rsid w:val="008A0399"/>
    <w:rsid w:val="008A050E"/>
    <w:rsid w:val="008A09B6"/>
    <w:rsid w:val="008A0DF7"/>
    <w:rsid w:val="008A1F11"/>
    <w:rsid w:val="008A2E2A"/>
    <w:rsid w:val="008A3AB2"/>
    <w:rsid w:val="008A3D57"/>
    <w:rsid w:val="008A6B7F"/>
    <w:rsid w:val="008A7E25"/>
    <w:rsid w:val="008A7FA4"/>
    <w:rsid w:val="008B2369"/>
    <w:rsid w:val="008B23BC"/>
    <w:rsid w:val="008B3867"/>
    <w:rsid w:val="008B3899"/>
    <w:rsid w:val="008B38C6"/>
    <w:rsid w:val="008B4C11"/>
    <w:rsid w:val="008B5623"/>
    <w:rsid w:val="008B57B7"/>
    <w:rsid w:val="008B5D00"/>
    <w:rsid w:val="008B63A2"/>
    <w:rsid w:val="008B6E31"/>
    <w:rsid w:val="008B744D"/>
    <w:rsid w:val="008B785F"/>
    <w:rsid w:val="008C047F"/>
    <w:rsid w:val="008C143D"/>
    <w:rsid w:val="008C1715"/>
    <w:rsid w:val="008C2119"/>
    <w:rsid w:val="008C25AD"/>
    <w:rsid w:val="008C2BA6"/>
    <w:rsid w:val="008C3340"/>
    <w:rsid w:val="008C5A0E"/>
    <w:rsid w:val="008C5B84"/>
    <w:rsid w:val="008C703E"/>
    <w:rsid w:val="008D0391"/>
    <w:rsid w:val="008D13D2"/>
    <w:rsid w:val="008D2577"/>
    <w:rsid w:val="008D2991"/>
    <w:rsid w:val="008D312D"/>
    <w:rsid w:val="008D3A13"/>
    <w:rsid w:val="008D53CC"/>
    <w:rsid w:val="008D5BAC"/>
    <w:rsid w:val="008D6D0C"/>
    <w:rsid w:val="008D7E24"/>
    <w:rsid w:val="008E0C45"/>
    <w:rsid w:val="008E1055"/>
    <w:rsid w:val="008E2640"/>
    <w:rsid w:val="008E328C"/>
    <w:rsid w:val="008E33DC"/>
    <w:rsid w:val="008E3D60"/>
    <w:rsid w:val="008E3F4C"/>
    <w:rsid w:val="008E405D"/>
    <w:rsid w:val="008E4D4A"/>
    <w:rsid w:val="008E4F67"/>
    <w:rsid w:val="008F062E"/>
    <w:rsid w:val="008F0B2F"/>
    <w:rsid w:val="008F14BF"/>
    <w:rsid w:val="008F184C"/>
    <w:rsid w:val="008F240C"/>
    <w:rsid w:val="008F2FE5"/>
    <w:rsid w:val="008F5549"/>
    <w:rsid w:val="008F5CCA"/>
    <w:rsid w:val="008F639E"/>
    <w:rsid w:val="008F7327"/>
    <w:rsid w:val="0090165F"/>
    <w:rsid w:val="00901B82"/>
    <w:rsid w:val="00903B85"/>
    <w:rsid w:val="00903BB7"/>
    <w:rsid w:val="0090407D"/>
    <w:rsid w:val="009040E5"/>
    <w:rsid w:val="009047BF"/>
    <w:rsid w:val="00904F8A"/>
    <w:rsid w:val="00906B7E"/>
    <w:rsid w:val="00907E4E"/>
    <w:rsid w:val="00910C80"/>
    <w:rsid w:val="00912429"/>
    <w:rsid w:val="00912B09"/>
    <w:rsid w:val="00912EF3"/>
    <w:rsid w:val="00917449"/>
    <w:rsid w:val="00920C3C"/>
    <w:rsid w:val="00921BD7"/>
    <w:rsid w:val="00922546"/>
    <w:rsid w:val="00922619"/>
    <w:rsid w:val="00923E1A"/>
    <w:rsid w:val="00926696"/>
    <w:rsid w:val="00930E94"/>
    <w:rsid w:val="00932D30"/>
    <w:rsid w:val="00933B99"/>
    <w:rsid w:val="0093494F"/>
    <w:rsid w:val="00935572"/>
    <w:rsid w:val="00935DD4"/>
    <w:rsid w:val="0093612E"/>
    <w:rsid w:val="00936FC9"/>
    <w:rsid w:val="00937332"/>
    <w:rsid w:val="00937C15"/>
    <w:rsid w:val="00937D9E"/>
    <w:rsid w:val="0094062D"/>
    <w:rsid w:val="00940967"/>
    <w:rsid w:val="00942C4B"/>
    <w:rsid w:val="00942ED1"/>
    <w:rsid w:val="009432CF"/>
    <w:rsid w:val="00943A20"/>
    <w:rsid w:val="009440E3"/>
    <w:rsid w:val="00945A87"/>
    <w:rsid w:val="00946494"/>
    <w:rsid w:val="009469FF"/>
    <w:rsid w:val="00947029"/>
    <w:rsid w:val="00947230"/>
    <w:rsid w:val="0094734A"/>
    <w:rsid w:val="0094753B"/>
    <w:rsid w:val="00947568"/>
    <w:rsid w:val="009501B0"/>
    <w:rsid w:val="0095129A"/>
    <w:rsid w:val="009516CC"/>
    <w:rsid w:val="009523F6"/>
    <w:rsid w:val="00952D33"/>
    <w:rsid w:val="0095315F"/>
    <w:rsid w:val="0095319D"/>
    <w:rsid w:val="0095340B"/>
    <w:rsid w:val="00956338"/>
    <w:rsid w:val="00957949"/>
    <w:rsid w:val="009603FA"/>
    <w:rsid w:val="00961B69"/>
    <w:rsid w:val="009629B8"/>
    <w:rsid w:val="009646FE"/>
    <w:rsid w:val="00964FDE"/>
    <w:rsid w:val="009659E3"/>
    <w:rsid w:val="0096614D"/>
    <w:rsid w:val="009661EF"/>
    <w:rsid w:val="00966AD7"/>
    <w:rsid w:val="00966C2F"/>
    <w:rsid w:val="0096742A"/>
    <w:rsid w:val="00967E8A"/>
    <w:rsid w:val="0097140B"/>
    <w:rsid w:val="009726D0"/>
    <w:rsid w:val="00972ADB"/>
    <w:rsid w:val="00972AF4"/>
    <w:rsid w:val="00973723"/>
    <w:rsid w:val="00973CB5"/>
    <w:rsid w:val="009745A3"/>
    <w:rsid w:val="00974854"/>
    <w:rsid w:val="0097512B"/>
    <w:rsid w:val="009752CC"/>
    <w:rsid w:val="00975417"/>
    <w:rsid w:val="00975B59"/>
    <w:rsid w:val="009767C1"/>
    <w:rsid w:val="009772A3"/>
    <w:rsid w:val="00977A17"/>
    <w:rsid w:val="00980320"/>
    <w:rsid w:val="00980E01"/>
    <w:rsid w:val="00980F0D"/>
    <w:rsid w:val="00982404"/>
    <w:rsid w:val="00984624"/>
    <w:rsid w:val="00985C5C"/>
    <w:rsid w:val="00986EBD"/>
    <w:rsid w:val="00986FCD"/>
    <w:rsid w:val="009870E0"/>
    <w:rsid w:val="009947CF"/>
    <w:rsid w:val="00994DA9"/>
    <w:rsid w:val="00994E0A"/>
    <w:rsid w:val="009964F0"/>
    <w:rsid w:val="00996E71"/>
    <w:rsid w:val="009979C1"/>
    <w:rsid w:val="009A017B"/>
    <w:rsid w:val="009A07F8"/>
    <w:rsid w:val="009A0C93"/>
    <w:rsid w:val="009A1259"/>
    <w:rsid w:val="009A2876"/>
    <w:rsid w:val="009A35C5"/>
    <w:rsid w:val="009A382E"/>
    <w:rsid w:val="009A4B37"/>
    <w:rsid w:val="009A57A2"/>
    <w:rsid w:val="009A624D"/>
    <w:rsid w:val="009A73D9"/>
    <w:rsid w:val="009A7738"/>
    <w:rsid w:val="009B1BA8"/>
    <w:rsid w:val="009B2C35"/>
    <w:rsid w:val="009B38BF"/>
    <w:rsid w:val="009B40F0"/>
    <w:rsid w:val="009B49C1"/>
    <w:rsid w:val="009B564D"/>
    <w:rsid w:val="009B583D"/>
    <w:rsid w:val="009B597D"/>
    <w:rsid w:val="009B5AA0"/>
    <w:rsid w:val="009B5F19"/>
    <w:rsid w:val="009B6D7C"/>
    <w:rsid w:val="009C371B"/>
    <w:rsid w:val="009C78B4"/>
    <w:rsid w:val="009D04B7"/>
    <w:rsid w:val="009D25E6"/>
    <w:rsid w:val="009D26C5"/>
    <w:rsid w:val="009D3F4B"/>
    <w:rsid w:val="009D4D0F"/>
    <w:rsid w:val="009D57FA"/>
    <w:rsid w:val="009D5CF4"/>
    <w:rsid w:val="009D609E"/>
    <w:rsid w:val="009D67F6"/>
    <w:rsid w:val="009D6E9E"/>
    <w:rsid w:val="009E03D8"/>
    <w:rsid w:val="009E0456"/>
    <w:rsid w:val="009E08D1"/>
    <w:rsid w:val="009E0FE1"/>
    <w:rsid w:val="009E1BC4"/>
    <w:rsid w:val="009E23FA"/>
    <w:rsid w:val="009E28E2"/>
    <w:rsid w:val="009E3675"/>
    <w:rsid w:val="009E39E7"/>
    <w:rsid w:val="009E4879"/>
    <w:rsid w:val="009E4BD0"/>
    <w:rsid w:val="009E544A"/>
    <w:rsid w:val="009E5918"/>
    <w:rsid w:val="009E6DE8"/>
    <w:rsid w:val="009E70F9"/>
    <w:rsid w:val="009E7929"/>
    <w:rsid w:val="009F04A0"/>
    <w:rsid w:val="009F070E"/>
    <w:rsid w:val="009F2764"/>
    <w:rsid w:val="009F601B"/>
    <w:rsid w:val="00A0058E"/>
    <w:rsid w:val="00A00BE5"/>
    <w:rsid w:val="00A0237C"/>
    <w:rsid w:val="00A02C5B"/>
    <w:rsid w:val="00A0368C"/>
    <w:rsid w:val="00A0406E"/>
    <w:rsid w:val="00A042A7"/>
    <w:rsid w:val="00A04340"/>
    <w:rsid w:val="00A04A7C"/>
    <w:rsid w:val="00A04CFF"/>
    <w:rsid w:val="00A05D63"/>
    <w:rsid w:val="00A05E36"/>
    <w:rsid w:val="00A06316"/>
    <w:rsid w:val="00A072CC"/>
    <w:rsid w:val="00A079C8"/>
    <w:rsid w:val="00A104DC"/>
    <w:rsid w:val="00A10B06"/>
    <w:rsid w:val="00A11307"/>
    <w:rsid w:val="00A11507"/>
    <w:rsid w:val="00A12505"/>
    <w:rsid w:val="00A12DD0"/>
    <w:rsid w:val="00A13AF3"/>
    <w:rsid w:val="00A13CC4"/>
    <w:rsid w:val="00A13CCD"/>
    <w:rsid w:val="00A15889"/>
    <w:rsid w:val="00A1605C"/>
    <w:rsid w:val="00A17880"/>
    <w:rsid w:val="00A21388"/>
    <w:rsid w:val="00A2138B"/>
    <w:rsid w:val="00A22A0F"/>
    <w:rsid w:val="00A22A7B"/>
    <w:rsid w:val="00A23963"/>
    <w:rsid w:val="00A23B49"/>
    <w:rsid w:val="00A23DB2"/>
    <w:rsid w:val="00A24581"/>
    <w:rsid w:val="00A253E2"/>
    <w:rsid w:val="00A261B4"/>
    <w:rsid w:val="00A2642F"/>
    <w:rsid w:val="00A2654F"/>
    <w:rsid w:val="00A27271"/>
    <w:rsid w:val="00A27791"/>
    <w:rsid w:val="00A27ABE"/>
    <w:rsid w:val="00A304D3"/>
    <w:rsid w:val="00A32837"/>
    <w:rsid w:val="00A33463"/>
    <w:rsid w:val="00A3377D"/>
    <w:rsid w:val="00A34E9A"/>
    <w:rsid w:val="00A355F9"/>
    <w:rsid w:val="00A35CEF"/>
    <w:rsid w:val="00A36900"/>
    <w:rsid w:val="00A371DF"/>
    <w:rsid w:val="00A37527"/>
    <w:rsid w:val="00A4072F"/>
    <w:rsid w:val="00A41355"/>
    <w:rsid w:val="00A41821"/>
    <w:rsid w:val="00A437B6"/>
    <w:rsid w:val="00A43B92"/>
    <w:rsid w:val="00A44E05"/>
    <w:rsid w:val="00A45448"/>
    <w:rsid w:val="00A457DF"/>
    <w:rsid w:val="00A46EF7"/>
    <w:rsid w:val="00A47E3F"/>
    <w:rsid w:val="00A507B7"/>
    <w:rsid w:val="00A5299B"/>
    <w:rsid w:val="00A52DF1"/>
    <w:rsid w:val="00A534F5"/>
    <w:rsid w:val="00A54251"/>
    <w:rsid w:val="00A542B9"/>
    <w:rsid w:val="00A54BFD"/>
    <w:rsid w:val="00A562D5"/>
    <w:rsid w:val="00A56455"/>
    <w:rsid w:val="00A56C27"/>
    <w:rsid w:val="00A604C0"/>
    <w:rsid w:val="00A60E82"/>
    <w:rsid w:val="00A6179E"/>
    <w:rsid w:val="00A61CE3"/>
    <w:rsid w:val="00A61F7D"/>
    <w:rsid w:val="00A62037"/>
    <w:rsid w:val="00A62168"/>
    <w:rsid w:val="00A62727"/>
    <w:rsid w:val="00A62D5E"/>
    <w:rsid w:val="00A64316"/>
    <w:rsid w:val="00A64828"/>
    <w:rsid w:val="00A656B0"/>
    <w:rsid w:val="00A66BB8"/>
    <w:rsid w:val="00A66CC5"/>
    <w:rsid w:val="00A67080"/>
    <w:rsid w:val="00A671A8"/>
    <w:rsid w:val="00A70EE3"/>
    <w:rsid w:val="00A71CE5"/>
    <w:rsid w:val="00A73710"/>
    <w:rsid w:val="00A749DA"/>
    <w:rsid w:val="00A7509E"/>
    <w:rsid w:val="00A755F3"/>
    <w:rsid w:val="00A75EAC"/>
    <w:rsid w:val="00A7615D"/>
    <w:rsid w:val="00A76593"/>
    <w:rsid w:val="00A76ECD"/>
    <w:rsid w:val="00A804D9"/>
    <w:rsid w:val="00A80823"/>
    <w:rsid w:val="00A81A5A"/>
    <w:rsid w:val="00A823C8"/>
    <w:rsid w:val="00A856F3"/>
    <w:rsid w:val="00A8573B"/>
    <w:rsid w:val="00A85FD0"/>
    <w:rsid w:val="00A86DC7"/>
    <w:rsid w:val="00A8700D"/>
    <w:rsid w:val="00A90583"/>
    <w:rsid w:val="00A90FA3"/>
    <w:rsid w:val="00A914D2"/>
    <w:rsid w:val="00A91548"/>
    <w:rsid w:val="00A917AB"/>
    <w:rsid w:val="00A91C72"/>
    <w:rsid w:val="00A92030"/>
    <w:rsid w:val="00A92915"/>
    <w:rsid w:val="00A92C8D"/>
    <w:rsid w:val="00A92F92"/>
    <w:rsid w:val="00A9403A"/>
    <w:rsid w:val="00A95108"/>
    <w:rsid w:val="00A96892"/>
    <w:rsid w:val="00A97B88"/>
    <w:rsid w:val="00A97F63"/>
    <w:rsid w:val="00AA0DFD"/>
    <w:rsid w:val="00AA1635"/>
    <w:rsid w:val="00AA1FBE"/>
    <w:rsid w:val="00AA200F"/>
    <w:rsid w:val="00AA2051"/>
    <w:rsid w:val="00AA2707"/>
    <w:rsid w:val="00AA3EAF"/>
    <w:rsid w:val="00AA40DB"/>
    <w:rsid w:val="00AA57E1"/>
    <w:rsid w:val="00AA5F8A"/>
    <w:rsid w:val="00AA6CCE"/>
    <w:rsid w:val="00AA70C4"/>
    <w:rsid w:val="00AA723C"/>
    <w:rsid w:val="00AA76A0"/>
    <w:rsid w:val="00AB09BE"/>
    <w:rsid w:val="00AB0C03"/>
    <w:rsid w:val="00AB0EEF"/>
    <w:rsid w:val="00AB1519"/>
    <w:rsid w:val="00AB28A6"/>
    <w:rsid w:val="00AB303F"/>
    <w:rsid w:val="00AB3F94"/>
    <w:rsid w:val="00AB4A65"/>
    <w:rsid w:val="00AB6AA5"/>
    <w:rsid w:val="00AB7C8F"/>
    <w:rsid w:val="00AC1512"/>
    <w:rsid w:val="00AC17D0"/>
    <w:rsid w:val="00AC1D1C"/>
    <w:rsid w:val="00AC208F"/>
    <w:rsid w:val="00AC2123"/>
    <w:rsid w:val="00AC2192"/>
    <w:rsid w:val="00AC2568"/>
    <w:rsid w:val="00AC4EC7"/>
    <w:rsid w:val="00AC5004"/>
    <w:rsid w:val="00AC57BC"/>
    <w:rsid w:val="00AC57E0"/>
    <w:rsid w:val="00AC5FF6"/>
    <w:rsid w:val="00AC636D"/>
    <w:rsid w:val="00AC6491"/>
    <w:rsid w:val="00AC69C8"/>
    <w:rsid w:val="00AD039F"/>
    <w:rsid w:val="00AD04FA"/>
    <w:rsid w:val="00AD2570"/>
    <w:rsid w:val="00AD2C36"/>
    <w:rsid w:val="00AD2F20"/>
    <w:rsid w:val="00AD41F8"/>
    <w:rsid w:val="00AD53D2"/>
    <w:rsid w:val="00AD58FE"/>
    <w:rsid w:val="00AD6072"/>
    <w:rsid w:val="00AD62D5"/>
    <w:rsid w:val="00AD698B"/>
    <w:rsid w:val="00AD73DC"/>
    <w:rsid w:val="00AE06D5"/>
    <w:rsid w:val="00AE16F1"/>
    <w:rsid w:val="00AE1A65"/>
    <w:rsid w:val="00AE3E74"/>
    <w:rsid w:val="00AE3F2B"/>
    <w:rsid w:val="00AE419C"/>
    <w:rsid w:val="00AE441D"/>
    <w:rsid w:val="00AE4C22"/>
    <w:rsid w:val="00AE52D3"/>
    <w:rsid w:val="00AE5C26"/>
    <w:rsid w:val="00AE6FD4"/>
    <w:rsid w:val="00AE751D"/>
    <w:rsid w:val="00AF005B"/>
    <w:rsid w:val="00AF04E9"/>
    <w:rsid w:val="00AF15C3"/>
    <w:rsid w:val="00AF1BB1"/>
    <w:rsid w:val="00AF1E35"/>
    <w:rsid w:val="00AF20B3"/>
    <w:rsid w:val="00AF41FB"/>
    <w:rsid w:val="00AF44D6"/>
    <w:rsid w:val="00AF44F9"/>
    <w:rsid w:val="00AF6EEF"/>
    <w:rsid w:val="00AF7050"/>
    <w:rsid w:val="00B00F61"/>
    <w:rsid w:val="00B0100D"/>
    <w:rsid w:val="00B01FCF"/>
    <w:rsid w:val="00B025EB"/>
    <w:rsid w:val="00B03B85"/>
    <w:rsid w:val="00B061D6"/>
    <w:rsid w:val="00B06812"/>
    <w:rsid w:val="00B06A86"/>
    <w:rsid w:val="00B07A2A"/>
    <w:rsid w:val="00B07E56"/>
    <w:rsid w:val="00B1179B"/>
    <w:rsid w:val="00B1197A"/>
    <w:rsid w:val="00B11D51"/>
    <w:rsid w:val="00B12929"/>
    <w:rsid w:val="00B12C08"/>
    <w:rsid w:val="00B14F8D"/>
    <w:rsid w:val="00B157D3"/>
    <w:rsid w:val="00B15B5D"/>
    <w:rsid w:val="00B15ED1"/>
    <w:rsid w:val="00B16AF2"/>
    <w:rsid w:val="00B16CBA"/>
    <w:rsid w:val="00B1790D"/>
    <w:rsid w:val="00B17B6F"/>
    <w:rsid w:val="00B22117"/>
    <w:rsid w:val="00B237FB"/>
    <w:rsid w:val="00B23956"/>
    <w:rsid w:val="00B23A84"/>
    <w:rsid w:val="00B23EE4"/>
    <w:rsid w:val="00B241A2"/>
    <w:rsid w:val="00B246FF"/>
    <w:rsid w:val="00B24B1D"/>
    <w:rsid w:val="00B24C21"/>
    <w:rsid w:val="00B26C33"/>
    <w:rsid w:val="00B277E0"/>
    <w:rsid w:val="00B27BF2"/>
    <w:rsid w:val="00B3107F"/>
    <w:rsid w:val="00B31FF7"/>
    <w:rsid w:val="00B326EC"/>
    <w:rsid w:val="00B32FA0"/>
    <w:rsid w:val="00B33266"/>
    <w:rsid w:val="00B33C1C"/>
    <w:rsid w:val="00B34067"/>
    <w:rsid w:val="00B3461D"/>
    <w:rsid w:val="00B34946"/>
    <w:rsid w:val="00B353B1"/>
    <w:rsid w:val="00B354C2"/>
    <w:rsid w:val="00B37330"/>
    <w:rsid w:val="00B419D8"/>
    <w:rsid w:val="00B41A91"/>
    <w:rsid w:val="00B41FD9"/>
    <w:rsid w:val="00B428B4"/>
    <w:rsid w:val="00B42AE0"/>
    <w:rsid w:val="00B43C38"/>
    <w:rsid w:val="00B44016"/>
    <w:rsid w:val="00B444DA"/>
    <w:rsid w:val="00B44885"/>
    <w:rsid w:val="00B44AF1"/>
    <w:rsid w:val="00B44CA4"/>
    <w:rsid w:val="00B451B6"/>
    <w:rsid w:val="00B46987"/>
    <w:rsid w:val="00B506AA"/>
    <w:rsid w:val="00B519FD"/>
    <w:rsid w:val="00B52019"/>
    <w:rsid w:val="00B520BC"/>
    <w:rsid w:val="00B52914"/>
    <w:rsid w:val="00B52C1D"/>
    <w:rsid w:val="00B539CC"/>
    <w:rsid w:val="00B53F03"/>
    <w:rsid w:val="00B544A7"/>
    <w:rsid w:val="00B54E1A"/>
    <w:rsid w:val="00B54ECB"/>
    <w:rsid w:val="00B56B3E"/>
    <w:rsid w:val="00B5713D"/>
    <w:rsid w:val="00B57754"/>
    <w:rsid w:val="00B613D1"/>
    <w:rsid w:val="00B63366"/>
    <w:rsid w:val="00B63D24"/>
    <w:rsid w:val="00B63F5E"/>
    <w:rsid w:val="00B642E1"/>
    <w:rsid w:val="00B664DA"/>
    <w:rsid w:val="00B66576"/>
    <w:rsid w:val="00B66C84"/>
    <w:rsid w:val="00B66DA0"/>
    <w:rsid w:val="00B67F6A"/>
    <w:rsid w:val="00B701F6"/>
    <w:rsid w:val="00B715C1"/>
    <w:rsid w:val="00B7184A"/>
    <w:rsid w:val="00B71D59"/>
    <w:rsid w:val="00B72041"/>
    <w:rsid w:val="00B73062"/>
    <w:rsid w:val="00B739EE"/>
    <w:rsid w:val="00B7469D"/>
    <w:rsid w:val="00B746AA"/>
    <w:rsid w:val="00B746CB"/>
    <w:rsid w:val="00B74F75"/>
    <w:rsid w:val="00B75487"/>
    <w:rsid w:val="00B76156"/>
    <w:rsid w:val="00B76242"/>
    <w:rsid w:val="00B7624F"/>
    <w:rsid w:val="00B7740B"/>
    <w:rsid w:val="00B80732"/>
    <w:rsid w:val="00B827A8"/>
    <w:rsid w:val="00B82E9D"/>
    <w:rsid w:val="00B8317D"/>
    <w:rsid w:val="00B83E22"/>
    <w:rsid w:val="00B85385"/>
    <w:rsid w:val="00B85C5B"/>
    <w:rsid w:val="00B85F2C"/>
    <w:rsid w:val="00B86093"/>
    <w:rsid w:val="00B8648D"/>
    <w:rsid w:val="00B86AD9"/>
    <w:rsid w:val="00B876E0"/>
    <w:rsid w:val="00B87BB3"/>
    <w:rsid w:val="00B901A1"/>
    <w:rsid w:val="00B90367"/>
    <w:rsid w:val="00B903C1"/>
    <w:rsid w:val="00B90C7A"/>
    <w:rsid w:val="00B9142D"/>
    <w:rsid w:val="00B921FD"/>
    <w:rsid w:val="00B924E6"/>
    <w:rsid w:val="00B93483"/>
    <w:rsid w:val="00B94214"/>
    <w:rsid w:val="00B948D8"/>
    <w:rsid w:val="00B95030"/>
    <w:rsid w:val="00B965DC"/>
    <w:rsid w:val="00B97708"/>
    <w:rsid w:val="00BA1169"/>
    <w:rsid w:val="00BA2069"/>
    <w:rsid w:val="00BA262D"/>
    <w:rsid w:val="00BA2E80"/>
    <w:rsid w:val="00BA32D6"/>
    <w:rsid w:val="00BA3DFF"/>
    <w:rsid w:val="00BA4312"/>
    <w:rsid w:val="00BA5698"/>
    <w:rsid w:val="00BA6273"/>
    <w:rsid w:val="00BA6EF4"/>
    <w:rsid w:val="00BA766B"/>
    <w:rsid w:val="00BB0F8B"/>
    <w:rsid w:val="00BB1183"/>
    <w:rsid w:val="00BB2422"/>
    <w:rsid w:val="00BB3273"/>
    <w:rsid w:val="00BB39AC"/>
    <w:rsid w:val="00BB3A8E"/>
    <w:rsid w:val="00BB52B1"/>
    <w:rsid w:val="00BB58EC"/>
    <w:rsid w:val="00BB64A0"/>
    <w:rsid w:val="00BB6812"/>
    <w:rsid w:val="00BB793E"/>
    <w:rsid w:val="00BC1378"/>
    <w:rsid w:val="00BC170E"/>
    <w:rsid w:val="00BC198C"/>
    <w:rsid w:val="00BC2023"/>
    <w:rsid w:val="00BC2440"/>
    <w:rsid w:val="00BC3CDB"/>
    <w:rsid w:val="00BC3D27"/>
    <w:rsid w:val="00BC492C"/>
    <w:rsid w:val="00BC4B83"/>
    <w:rsid w:val="00BC4DF4"/>
    <w:rsid w:val="00BC685E"/>
    <w:rsid w:val="00BC6890"/>
    <w:rsid w:val="00BC79EB"/>
    <w:rsid w:val="00BD1678"/>
    <w:rsid w:val="00BD175E"/>
    <w:rsid w:val="00BD185A"/>
    <w:rsid w:val="00BD312E"/>
    <w:rsid w:val="00BD3357"/>
    <w:rsid w:val="00BD33CE"/>
    <w:rsid w:val="00BD3F6E"/>
    <w:rsid w:val="00BD51EC"/>
    <w:rsid w:val="00BD5815"/>
    <w:rsid w:val="00BD5835"/>
    <w:rsid w:val="00BD74F4"/>
    <w:rsid w:val="00BD7A46"/>
    <w:rsid w:val="00BD7FCF"/>
    <w:rsid w:val="00BE02CF"/>
    <w:rsid w:val="00BE238D"/>
    <w:rsid w:val="00BE3FE3"/>
    <w:rsid w:val="00BE4EA9"/>
    <w:rsid w:val="00BE5C13"/>
    <w:rsid w:val="00BE5D4B"/>
    <w:rsid w:val="00BE6830"/>
    <w:rsid w:val="00BE6A24"/>
    <w:rsid w:val="00BE6DBD"/>
    <w:rsid w:val="00BF187A"/>
    <w:rsid w:val="00BF1D50"/>
    <w:rsid w:val="00BF1FAA"/>
    <w:rsid w:val="00BF30C0"/>
    <w:rsid w:val="00BF3DB0"/>
    <w:rsid w:val="00BF41BB"/>
    <w:rsid w:val="00BF4335"/>
    <w:rsid w:val="00BF4ADB"/>
    <w:rsid w:val="00BF60F7"/>
    <w:rsid w:val="00BF6406"/>
    <w:rsid w:val="00BF6670"/>
    <w:rsid w:val="00BF6E09"/>
    <w:rsid w:val="00C00D6B"/>
    <w:rsid w:val="00C014E2"/>
    <w:rsid w:val="00C01E60"/>
    <w:rsid w:val="00C03501"/>
    <w:rsid w:val="00C03C2A"/>
    <w:rsid w:val="00C03FE6"/>
    <w:rsid w:val="00C04019"/>
    <w:rsid w:val="00C04284"/>
    <w:rsid w:val="00C05070"/>
    <w:rsid w:val="00C05F86"/>
    <w:rsid w:val="00C064DC"/>
    <w:rsid w:val="00C10639"/>
    <w:rsid w:val="00C1163F"/>
    <w:rsid w:val="00C11F93"/>
    <w:rsid w:val="00C13347"/>
    <w:rsid w:val="00C139A5"/>
    <w:rsid w:val="00C13BD4"/>
    <w:rsid w:val="00C13E71"/>
    <w:rsid w:val="00C13FD9"/>
    <w:rsid w:val="00C149BD"/>
    <w:rsid w:val="00C1754E"/>
    <w:rsid w:val="00C178EF"/>
    <w:rsid w:val="00C17EAE"/>
    <w:rsid w:val="00C2081D"/>
    <w:rsid w:val="00C20ECF"/>
    <w:rsid w:val="00C22F8F"/>
    <w:rsid w:val="00C23290"/>
    <w:rsid w:val="00C23A7A"/>
    <w:rsid w:val="00C23F5D"/>
    <w:rsid w:val="00C24503"/>
    <w:rsid w:val="00C249FB"/>
    <w:rsid w:val="00C251F6"/>
    <w:rsid w:val="00C2530A"/>
    <w:rsid w:val="00C25BDA"/>
    <w:rsid w:val="00C25C33"/>
    <w:rsid w:val="00C25ECF"/>
    <w:rsid w:val="00C279F0"/>
    <w:rsid w:val="00C30035"/>
    <w:rsid w:val="00C308C2"/>
    <w:rsid w:val="00C32E66"/>
    <w:rsid w:val="00C32F9F"/>
    <w:rsid w:val="00C33104"/>
    <w:rsid w:val="00C332D4"/>
    <w:rsid w:val="00C33345"/>
    <w:rsid w:val="00C342C9"/>
    <w:rsid w:val="00C34418"/>
    <w:rsid w:val="00C369FD"/>
    <w:rsid w:val="00C3714A"/>
    <w:rsid w:val="00C4049A"/>
    <w:rsid w:val="00C40800"/>
    <w:rsid w:val="00C41204"/>
    <w:rsid w:val="00C41A80"/>
    <w:rsid w:val="00C4229D"/>
    <w:rsid w:val="00C45D1D"/>
    <w:rsid w:val="00C4697C"/>
    <w:rsid w:val="00C473B7"/>
    <w:rsid w:val="00C47ECA"/>
    <w:rsid w:val="00C50683"/>
    <w:rsid w:val="00C50AF6"/>
    <w:rsid w:val="00C51011"/>
    <w:rsid w:val="00C51025"/>
    <w:rsid w:val="00C519C3"/>
    <w:rsid w:val="00C52189"/>
    <w:rsid w:val="00C527A2"/>
    <w:rsid w:val="00C53B6E"/>
    <w:rsid w:val="00C54DAD"/>
    <w:rsid w:val="00C54DBD"/>
    <w:rsid w:val="00C55336"/>
    <w:rsid w:val="00C5609A"/>
    <w:rsid w:val="00C560AC"/>
    <w:rsid w:val="00C56AC4"/>
    <w:rsid w:val="00C5781C"/>
    <w:rsid w:val="00C57E38"/>
    <w:rsid w:val="00C6019F"/>
    <w:rsid w:val="00C60343"/>
    <w:rsid w:val="00C61438"/>
    <w:rsid w:val="00C614E1"/>
    <w:rsid w:val="00C6297F"/>
    <w:rsid w:val="00C632D4"/>
    <w:rsid w:val="00C63BFC"/>
    <w:rsid w:val="00C65046"/>
    <w:rsid w:val="00C65242"/>
    <w:rsid w:val="00C65B4C"/>
    <w:rsid w:val="00C67C20"/>
    <w:rsid w:val="00C70552"/>
    <w:rsid w:val="00C70DEF"/>
    <w:rsid w:val="00C711C3"/>
    <w:rsid w:val="00C711D7"/>
    <w:rsid w:val="00C7148F"/>
    <w:rsid w:val="00C720FD"/>
    <w:rsid w:val="00C7229C"/>
    <w:rsid w:val="00C728AB"/>
    <w:rsid w:val="00C74FE8"/>
    <w:rsid w:val="00C763D8"/>
    <w:rsid w:val="00C767D6"/>
    <w:rsid w:val="00C76A70"/>
    <w:rsid w:val="00C76E05"/>
    <w:rsid w:val="00C77D38"/>
    <w:rsid w:val="00C806CC"/>
    <w:rsid w:val="00C812F6"/>
    <w:rsid w:val="00C815C3"/>
    <w:rsid w:val="00C81C19"/>
    <w:rsid w:val="00C831B5"/>
    <w:rsid w:val="00C831BA"/>
    <w:rsid w:val="00C834E5"/>
    <w:rsid w:val="00C845AD"/>
    <w:rsid w:val="00C854D4"/>
    <w:rsid w:val="00C857F7"/>
    <w:rsid w:val="00C8590E"/>
    <w:rsid w:val="00C8594F"/>
    <w:rsid w:val="00C86324"/>
    <w:rsid w:val="00C87856"/>
    <w:rsid w:val="00C90556"/>
    <w:rsid w:val="00C91D8E"/>
    <w:rsid w:val="00C91DB2"/>
    <w:rsid w:val="00C92287"/>
    <w:rsid w:val="00C9240C"/>
    <w:rsid w:val="00C9283B"/>
    <w:rsid w:val="00C930A2"/>
    <w:rsid w:val="00C9499E"/>
    <w:rsid w:val="00C94A6A"/>
    <w:rsid w:val="00C95C01"/>
    <w:rsid w:val="00C9641B"/>
    <w:rsid w:val="00CA0043"/>
    <w:rsid w:val="00CA0BF1"/>
    <w:rsid w:val="00CA0D78"/>
    <w:rsid w:val="00CA2015"/>
    <w:rsid w:val="00CA2DB8"/>
    <w:rsid w:val="00CA3FBA"/>
    <w:rsid w:val="00CA4855"/>
    <w:rsid w:val="00CA4D82"/>
    <w:rsid w:val="00CA52A3"/>
    <w:rsid w:val="00CA5BB5"/>
    <w:rsid w:val="00CA5D90"/>
    <w:rsid w:val="00CA6CB6"/>
    <w:rsid w:val="00CA6FE5"/>
    <w:rsid w:val="00CA74FE"/>
    <w:rsid w:val="00CB24FE"/>
    <w:rsid w:val="00CB2E67"/>
    <w:rsid w:val="00CB3CBF"/>
    <w:rsid w:val="00CB428B"/>
    <w:rsid w:val="00CB4432"/>
    <w:rsid w:val="00CB6CEF"/>
    <w:rsid w:val="00CC0BEC"/>
    <w:rsid w:val="00CC0FF8"/>
    <w:rsid w:val="00CC24E8"/>
    <w:rsid w:val="00CC2AA0"/>
    <w:rsid w:val="00CC2C0B"/>
    <w:rsid w:val="00CC3378"/>
    <w:rsid w:val="00CC3FFC"/>
    <w:rsid w:val="00CC40BB"/>
    <w:rsid w:val="00CC61C9"/>
    <w:rsid w:val="00CC770C"/>
    <w:rsid w:val="00CD07B2"/>
    <w:rsid w:val="00CD0830"/>
    <w:rsid w:val="00CD1AED"/>
    <w:rsid w:val="00CD1DEC"/>
    <w:rsid w:val="00CD221C"/>
    <w:rsid w:val="00CD2549"/>
    <w:rsid w:val="00CD4CD3"/>
    <w:rsid w:val="00CD4EDC"/>
    <w:rsid w:val="00CD58FD"/>
    <w:rsid w:val="00CD7E93"/>
    <w:rsid w:val="00CE08BF"/>
    <w:rsid w:val="00CE0EFA"/>
    <w:rsid w:val="00CE107E"/>
    <w:rsid w:val="00CE16BE"/>
    <w:rsid w:val="00CE2515"/>
    <w:rsid w:val="00CE363A"/>
    <w:rsid w:val="00CE39B7"/>
    <w:rsid w:val="00CE3FE2"/>
    <w:rsid w:val="00CE4D5D"/>
    <w:rsid w:val="00CE5CD8"/>
    <w:rsid w:val="00CE68C4"/>
    <w:rsid w:val="00CE70B4"/>
    <w:rsid w:val="00CE7567"/>
    <w:rsid w:val="00CE767E"/>
    <w:rsid w:val="00CE7CE7"/>
    <w:rsid w:val="00CF19BE"/>
    <w:rsid w:val="00CF2B16"/>
    <w:rsid w:val="00CF3639"/>
    <w:rsid w:val="00CF39E4"/>
    <w:rsid w:val="00CF3CCA"/>
    <w:rsid w:val="00CF40E5"/>
    <w:rsid w:val="00CF43C3"/>
    <w:rsid w:val="00CF50E0"/>
    <w:rsid w:val="00CF54C2"/>
    <w:rsid w:val="00CF72A0"/>
    <w:rsid w:val="00CF7FE7"/>
    <w:rsid w:val="00D0057E"/>
    <w:rsid w:val="00D00E2B"/>
    <w:rsid w:val="00D01366"/>
    <w:rsid w:val="00D01D9F"/>
    <w:rsid w:val="00D02074"/>
    <w:rsid w:val="00D025DF"/>
    <w:rsid w:val="00D03307"/>
    <w:rsid w:val="00D03433"/>
    <w:rsid w:val="00D03CDC"/>
    <w:rsid w:val="00D04BC6"/>
    <w:rsid w:val="00D0714A"/>
    <w:rsid w:val="00D10739"/>
    <w:rsid w:val="00D10DC5"/>
    <w:rsid w:val="00D15DEA"/>
    <w:rsid w:val="00D176C1"/>
    <w:rsid w:val="00D17AA2"/>
    <w:rsid w:val="00D17C90"/>
    <w:rsid w:val="00D200DA"/>
    <w:rsid w:val="00D214FC"/>
    <w:rsid w:val="00D22AF2"/>
    <w:rsid w:val="00D25773"/>
    <w:rsid w:val="00D25978"/>
    <w:rsid w:val="00D25AF7"/>
    <w:rsid w:val="00D25CD9"/>
    <w:rsid w:val="00D26973"/>
    <w:rsid w:val="00D30ABB"/>
    <w:rsid w:val="00D31813"/>
    <w:rsid w:val="00D32281"/>
    <w:rsid w:val="00D33BE6"/>
    <w:rsid w:val="00D340EB"/>
    <w:rsid w:val="00D3427E"/>
    <w:rsid w:val="00D343FA"/>
    <w:rsid w:val="00D35471"/>
    <w:rsid w:val="00D37F09"/>
    <w:rsid w:val="00D403D9"/>
    <w:rsid w:val="00D418FF"/>
    <w:rsid w:val="00D43DD1"/>
    <w:rsid w:val="00D445B2"/>
    <w:rsid w:val="00D44A2F"/>
    <w:rsid w:val="00D46201"/>
    <w:rsid w:val="00D47936"/>
    <w:rsid w:val="00D5024F"/>
    <w:rsid w:val="00D50604"/>
    <w:rsid w:val="00D50B43"/>
    <w:rsid w:val="00D5185D"/>
    <w:rsid w:val="00D5186D"/>
    <w:rsid w:val="00D51A5C"/>
    <w:rsid w:val="00D530C3"/>
    <w:rsid w:val="00D53266"/>
    <w:rsid w:val="00D54E0E"/>
    <w:rsid w:val="00D5621A"/>
    <w:rsid w:val="00D56F3A"/>
    <w:rsid w:val="00D573DE"/>
    <w:rsid w:val="00D57ED4"/>
    <w:rsid w:val="00D60F25"/>
    <w:rsid w:val="00D618EA"/>
    <w:rsid w:val="00D61A0B"/>
    <w:rsid w:val="00D64EA8"/>
    <w:rsid w:val="00D64FAC"/>
    <w:rsid w:val="00D65C76"/>
    <w:rsid w:val="00D66F2D"/>
    <w:rsid w:val="00D671AA"/>
    <w:rsid w:val="00D67316"/>
    <w:rsid w:val="00D70A6E"/>
    <w:rsid w:val="00D71D65"/>
    <w:rsid w:val="00D721F5"/>
    <w:rsid w:val="00D72399"/>
    <w:rsid w:val="00D72E28"/>
    <w:rsid w:val="00D734C7"/>
    <w:rsid w:val="00D7468D"/>
    <w:rsid w:val="00D7542B"/>
    <w:rsid w:val="00D760F4"/>
    <w:rsid w:val="00D761E4"/>
    <w:rsid w:val="00D76430"/>
    <w:rsid w:val="00D80587"/>
    <w:rsid w:val="00D807DA"/>
    <w:rsid w:val="00D80D8A"/>
    <w:rsid w:val="00D82028"/>
    <w:rsid w:val="00D824BC"/>
    <w:rsid w:val="00D82714"/>
    <w:rsid w:val="00D82E2C"/>
    <w:rsid w:val="00D8351F"/>
    <w:rsid w:val="00D83FDD"/>
    <w:rsid w:val="00D844B5"/>
    <w:rsid w:val="00D84833"/>
    <w:rsid w:val="00D84884"/>
    <w:rsid w:val="00D84EB4"/>
    <w:rsid w:val="00D85358"/>
    <w:rsid w:val="00D853E7"/>
    <w:rsid w:val="00D85C51"/>
    <w:rsid w:val="00D90455"/>
    <w:rsid w:val="00D90C87"/>
    <w:rsid w:val="00D9194A"/>
    <w:rsid w:val="00D92530"/>
    <w:rsid w:val="00D94ADB"/>
    <w:rsid w:val="00D94BB7"/>
    <w:rsid w:val="00D96A71"/>
    <w:rsid w:val="00DA04B0"/>
    <w:rsid w:val="00DA0840"/>
    <w:rsid w:val="00DA0CA6"/>
    <w:rsid w:val="00DA17F8"/>
    <w:rsid w:val="00DA1D32"/>
    <w:rsid w:val="00DA208F"/>
    <w:rsid w:val="00DA2F73"/>
    <w:rsid w:val="00DA3723"/>
    <w:rsid w:val="00DA3B73"/>
    <w:rsid w:val="00DA3F10"/>
    <w:rsid w:val="00DA5921"/>
    <w:rsid w:val="00DA6457"/>
    <w:rsid w:val="00DA6DE0"/>
    <w:rsid w:val="00DA75B2"/>
    <w:rsid w:val="00DA7A55"/>
    <w:rsid w:val="00DB14CE"/>
    <w:rsid w:val="00DB35DF"/>
    <w:rsid w:val="00DB3637"/>
    <w:rsid w:val="00DB38FB"/>
    <w:rsid w:val="00DB4040"/>
    <w:rsid w:val="00DB4A6F"/>
    <w:rsid w:val="00DB504A"/>
    <w:rsid w:val="00DB65B1"/>
    <w:rsid w:val="00DB68E7"/>
    <w:rsid w:val="00DB6A58"/>
    <w:rsid w:val="00DB6DA2"/>
    <w:rsid w:val="00DB776F"/>
    <w:rsid w:val="00DC0525"/>
    <w:rsid w:val="00DC1D96"/>
    <w:rsid w:val="00DC1F08"/>
    <w:rsid w:val="00DC2080"/>
    <w:rsid w:val="00DC223F"/>
    <w:rsid w:val="00DC307B"/>
    <w:rsid w:val="00DC343B"/>
    <w:rsid w:val="00DC351B"/>
    <w:rsid w:val="00DC3EF3"/>
    <w:rsid w:val="00DC411B"/>
    <w:rsid w:val="00DC462F"/>
    <w:rsid w:val="00DC499A"/>
    <w:rsid w:val="00DC4D76"/>
    <w:rsid w:val="00DC55B2"/>
    <w:rsid w:val="00DC5B80"/>
    <w:rsid w:val="00DC5CF8"/>
    <w:rsid w:val="00DC68E6"/>
    <w:rsid w:val="00DD3815"/>
    <w:rsid w:val="00DD50B3"/>
    <w:rsid w:val="00DD6A21"/>
    <w:rsid w:val="00DD7A1C"/>
    <w:rsid w:val="00DE18A7"/>
    <w:rsid w:val="00DE1B01"/>
    <w:rsid w:val="00DE28EC"/>
    <w:rsid w:val="00DE2A6E"/>
    <w:rsid w:val="00DE2EFB"/>
    <w:rsid w:val="00DE3487"/>
    <w:rsid w:val="00DE3FAA"/>
    <w:rsid w:val="00DE42E6"/>
    <w:rsid w:val="00DE6005"/>
    <w:rsid w:val="00DE60CA"/>
    <w:rsid w:val="00DE6711"/>
    <w:rsid w:val="00DE7644"/>
    <w:rsid w:val="00DE7F02"/>
    <w:rsid w:val="00DF01E2"/>
    <w:rsid w:val="00DF11CD"/>
    <w:rsid w:val="00DF14C2"/>
    <w:rsid w:val="00DF1ECE"/>
    <w:rsid w:val="00DF28AD"/>
    <w:rsid w:val="00DF291E"/>
    <w:rsid w:val="00DF2F0D"/>
    <w:rsid w:val="00DF35C1"/>
    <w:rsid w:val="00DF399D"/>
    <w:rsid w:val="00DF4405"/>
    <w:rsid w:val="00DF52EB"/>
    <w:rsid w:val="00DF7DF4"/>
    <w:rsid w:val="00DF7FEA"/>
    <w:rsid w:val="00E016A2"/>
    <w:rsid w:val="00E01741"/>
    <w:rsid w:val="00E01A02"/>
    <w:rsid w:val="00E01C40"/>
    <w:rsid w:val="00E01F88"/>
    <w:rsid w:val="00E02517"/>
    <w:rsid w:val="00E03113"/>
    <w:rsid w:val="00E04028"/>
    <w:rsid w:val="00E04B77"/>
    <w:rsid w:val="00E04F03"/>
    <w:rsid w:val="00E0564D"/>
    <w:rsid w:val="00E057AC"/>
    <w:rsid w:val="00E05A08"/>
    <w:rsid w:val="00E062C7"/>
    <w:rsid w:val="00E072D1"/>
    <w:rsid w:val="00E07493"/>
    <w:rsid w:val="00E112BB"/>
    <w:rsid w:val="00E13739"/>
    <w:rsid w:val="00E14242"/>
    <w:rsid w:val="00E1458D"/>
    <w:rsid w:val="00E14833"/>
    <w:rsid w:val="00E162A9"/>
    <w:rsid w:val="00E166E8"/>
    <w:rsid w:val="00E1675F"/>
    <w:rsid w:val="00E16D47"/>
    <w:rsid w:val="00E1733F"/>
    <w:rsid w:val="00E17929"/>
    <w:rsid w:val="00E20A1F"/>
    <w:rsid w:val="00E21375"/>
    <w:rsid w:val="00E21C0F"/>
    <w:rsid w:val="00E24119"/>
    <w:rsid w:val="00E24FA3"/>
    <w:rsid w:val="00E2545F"/>
    <w:rsid w:val="00E26059"/>
    <w:rsid w:val="00E26401"/>
    <w:rsid w:val="00E268AA"/>
    <w:rsid w:val="00E26B28"/>
    <w:rsid w:val="00E26B64"/>
    <w:rsid w:val="00E26CA9"/>
    <w:rsid w:val="00E270C4"/>
    <w:rsid w:val="00E277BA"/>
    <w:rsid w:val="00E31465"/>
    <w:rsid w:val="00E3168B"/>
    <w:rsid w:val="00E328CD"/>
    <w:rsid w:val="00E32C1A"/>
    <w:rsid w:val="00E33D91"/>
    <w:rsid w:val="00E34544"/>
    <w:rsid w:val="00E3489E"/>
    <w:rsid w:val="00E34B1F"/>
    <w:rsid w:val="00E35940"/>
    <w:rsid w:val="00E35B5E"/>
    <w:rsid w:val="00E362F0"/>
    <w:rsid w:val="00E36B95"/>
    <w:rsid w:val="00E36F45"/>
    <w:rsid w:val="00E37C97"/>
    <w:rsid w:val="00E37FE9"/>
    <w:rsid w:val="00E4003F"/>
    <w:rsid w:val="00E400BC"/>
    <w:rsid w:val="00E40A38"/>
    <w:rsid w:val="00E41027"/>
    <w:rsid w:val="00E418D3"/>
    <w:rsid w:val="00E43164"/>
    <w:rsid w:val="00E43909"/>
    <w:rsid w:val="00E43B24"/>
    <w:rsid w:val="00E44717"/>
    <w:rsid w:val="00E458F6"/>
    <w:rsid w:val="00E45954"/>
    <w:rsid w:val="00E46704"/>
    <w:rsid w:val="00E46A8C"/>
    <w:rsid w:val="00E504F2"/>
    <w:rsid w:val="00E50709"/>
    <w:rsid w:val="00E50C4F"/>
    <w:rsid w:val="00E516A6"/>
    <w:rsid w:val="00E51F12"/>
    <w:rsid w:val="00E52539"/>
    <w:rsid w:val="00E531E2"/>
    <w:rsid w:val="00E53546"/>
    <w:rsid w:val="00E54512"/>
    <w:rsid w:val="00E54D5F"/>
    <w:rsid w:val="00E55F24"/>
    <w:rsid w:val="00E618BC"/>
    <w:rsid w:val="00E625C8"/>
    <w:rsid w:val="00E6363E"/>
    <w:rsid w:val="00E65129"/>
    <w:rsid w:val="00E6572E"/>
    <w:rsid w:val="00E669E9"/>
    <w:rsid w:val="00E67347"/>
    <w:rsid w:val="00E67629"/>
    <w:rsid w:val="00E676CB"/>
    <w:rsid w:val="00E70911"/>
    <w:rsid w:val="00E71520"/>
    <w:rsid w:val="00E71EFB"/>
    <w:rsid w:val="00E73473"/>
    <w:rsid w:val="00E736F4"/>
    <w:rsid w:val="00E73EA2"/>
    <w:rsid w:val="00E743CF"/>
    <w:rsid w:val="00E75D85"/>
    <w:rsid w:val="00E802E6"/>
    <w:rsid w:val="00E8142D"/>
    <w:rsid w:val="00E81C92"/>
    <w:rsid w:val="00E829F9"/>
    <w:rsid w:val="00E82ED1"/>
    <w:rsid w:val="00E83C23"/>
    <w:rsid w:val="00E844B3"/>
    <w:rsid w:val="00E85276"/>
    <w:rsid w:val="00E858AD"/>
    <w:rsid w:val="00E85ACE"/>
    <w:rsid w:val="00E86B27"/>
    <w:rsid w:val="00E872CD"/>
    <w:rsid w:val="00E87EB5"/>
    <w:rsid w:val="00E92E94"/>
    <w:rsid w:val="00E94222"/>
    <w:rsid w:val="00E9572D"/>
    <w:rsid w:val="00E965C4"/>
    <w:rsid w:val="00E96FB6"/>
    <w:rsid w:val="00EA259B"/>
    <w:rsid w:val="00EA2CA7"/>
    <w:rsid w:val="00EA31A7"/>
    <w:rsid w:val="00EA3C40"/>
    <w:rsid w:val="00EA44D9"/>
    <w:rsid w:val="00EA53ED"/>
    <w:rsid w:val="00EA6FE5"/>
    <w:rsid w:val="00EA7328"/>
    <w:rsid w:val="00EA735F"/>
    <w:rsid w:val="00EB02C7"/>
    <w:rsid w:val="00EB0323"/>
    <w:rsid w:val="00EB0BAF"/>
    <w:rsid w:val="00EB2140"/>
    <w:rsid w:val="00EB274C"/>
    <w:rsid w:val="00EB3E04"/>
    <w:rsid w:val="00EB518D"/>
    <w:rsid w:val="00EB55A5"/>
    <w:rsid w:val="00EB5ADF"/>
    <w:rsid w:val="00EB6A76"/>
    <w:rsid w:val="00EC04A7"/>
    <w:rsid w:val="00EC0940"/>
    <w:rsid w:val="00EC0D81"/>
    <w:rsid w:val="00EC11D1"/>
    <w:rsid w:val="00EC1A93"/>
    <w:rsid w:val="00EC1C26"/>
    <w:rsid w:val="00EC293E"/>
    <w:rsid w:val="00EC2F82"/>
    <w:rsid w:val="00EC3C93"/>
    <w:rsid w:val="00EC41EE"/>
    <w:rsid w:val="00EC4E52"/>
    <w:rsid w:val="00EC5C3D"/>
    <w:rsid w:val="00EC6E44"/>
    <w:rsid w:val="00ED224F"/>
    <w:rsid w:val="00ED3A25"/>
    <w:rsid w:val="00ED4A81"/>
    <w:rsid w:val="00ED4C99"/>
    <w:rsid w:val="00ED560F"/>
    <w:rsid w:val="00ED7285"/>
    <w:rsid w:val="00EE2323"/>
    <w:rsid w:val="00EE5EE7"/>
    <w:rsid w:val="00EE60CE"/>
    <w:rsid w:val="00EE64A1"/>
    <w:rsid w:val="00EE6AA5"/>
    <w:rsid w:val="00EE7D68"/>
    <w:rsid w:val="00EF0C44"/>
    <w:rsid w:val="00EF13F3"/>
    <w:rsid w:val="00EF5245"/>
    <w:rsid w:val="00EF6A9E"/>
    <w:rsid w:val="00EF6E5B"/>
    <w:rsid w:val="00EF77DE"/>
    <w:rsid w:val="00F0074B"/>
    <w:rsid w:val="00F00A9D"/>
    <w:rsid w:val="00F00E76"/>
    <w:rsid w:val="00F039E5"/>
    <w:rsid w:val="00F042B5"/>
    <w:rsid w:val="00F06C5C"/>
    <w:rsid w:val="00F07598"/>
    <w:rsid w:val="00F0790C"/>
    <w:rsid w:val="00F0799D"/>
    <w:rsid w:val="00F107A0"/>
    <w:rsid w:val="00F1214C"/>
    <w:rsid w:val="00F127A8"/>
    <w:rsid w:val="00F128A8"/>
    <w:rsid w:val="00F133DB"/>
    <w:rsid w:val="00F14006"/>
    <w:rsid w:val="00F14C6D"/>
    <w:rsid w:val="00F162B5"/>
    <w:rsid w:val="00F1644A"/>
    <w:rsid w:val="00F1653C"/>
    <w:rsid w:val="00F16710"/>
    <w:rsid w:val="00F1761A"/>
    <w:rsid w:val="00F20354"/>
    <w:rsid w:val="00F21493"/>
    <w:rsid w:val="00F219D8"/>
    <w:rsid w:val="00F220A5"/>
    <w:rsid w:val="00F22360"/>
    <w:rsid w:val="00F2334A"/>
    <w:rsid w:val="00F23526"/>
    <w:rsid w:val="00F23990"/>
    <w:rsid w:val="00F2455C"/>
    <w:rsid w:val="00F25BE1"/>
    <w:rsid w:val="00F31AB2"/>
    <w:rsid w:val="00F334C5"/>
    <w:rsid w:val="00F336A5"/>
    <w:rsid w:val="00F34362"/>
    <w:rsid w:val="00F345C5"/>
    <w:rsid w:val="00F34BC9"/>
    <w:rsid w:val="00F34D49"/>
    <w:rsid w:val="00F34D66"/>
    <w:rsid w:val="00F35620"/>
    <w:rsid w:val="00F35C82"/>
    <w:rsid w:val="00F3642F"/>
    <w:rsid w:val="00F36C97"/>
    <w:rsid w:val="00F36F70"/>
    <w:rsid w:val="00F4008F"/>
    <w:rsid w:val="00F40720"/>
    <w:rsid w:val="00F40B1A"/>
    <w:rsid w:val="00F40CDB"/>
    <w:rsid w:val="00F4259A"/>
    <w:rsid w:val="00F429FE"/>
    <w:rsid w:val="00F4349D"/>
    <w:rsid w:val="00F43A14"/>
    <w:rsid w:val="00F44380"/>
    <w:rsid w:val="00F44740"/>
    <w:rsid w:val="00F471F7"/>
    <w:rsid w:val="00F474C1"/>
    <w:rsid w:val="00F47A2A"/>
    <w:rsid w:val="00F50799"/>
    <w:rsid w:val="00F5079E"/>
    <w:rsid w:val="00F5129B"/>
    <w:rsid w:val="00F513AE"/>
    <w:rsid w:val="00F51B32"/>
    <w:rsid w:val="00F529DD"/>
    <w:rsid w:val="00F52C81"/>
    <w:rsid w:val="00F54324"/>
    <w:rsid w:val="00F5461B"/>
    <w:rsid w:val="00F5549C"/>
    <w:rsid w:val="00F56034"/>
    <w:rsid w:val="00F60654"/>
    <w:rsid w:val="00F60E6A"/>
    <w:rsid w:val="00F615B7"/>
    <w:rsid w:val="00F6263B"/>
    <w:rsid w:val="00F656EC"/>
    <w:rsid w:val="00F664BB"/>
    <w:rsid w:val="00F67718"/>
    <w:rsid w:val="00F7107E"/>
    <w:rsid w:val="00F74458"/>
    <w:rsid w:val="00F746F9"/>
    <w:rsid w:val="00F751CC"/>
    <w:rsid w:val="00F76DBC"/>
    <w:rsid w:val="00F77301"/>
    <w:rsid w:val="00F811CF"/>
    <w:rsid w:val="00F8302E"/>
    <w:rsid w:val="00F84742"/>
    <w:rsid w:val="00F850FA"/>
    <w:rsid w:val="00F85BB0"/>
    <w:rsid w:val="00F85D1E"/>
    <w:rsid w:val="00F86A69"/>
    <w:rsid w:val="00F86DAB"/>
    <w:rsid w:val="00F91086"/>
    <w:rsid w:val="00F91412"/>
    <w:rsid w:val="00F91B28"/>
    <w:rsid w:val="00F93BAF"/>
    <w:rsid w:val="00F94AFD"/>
    <w:rsid w:val="00F94F10"/>
    <w:rsid w:val="00F94FEB"/>
    <w:rsid w:val="00F95AD7"/>
    <w:rsid w:val="00F96816"/>
    <w:rsid w:val="00F9746D"/>
    <w:rsid w:val="00FA01B5"/>
    <w:rsid w:val="00FA2203"/>
    <w:rsid w:val="00FA4916"/>
    <w:rsid w:val="00FA5182"/>
    <w:rsid w:val="00FA6206"/>
    <w:rsid w:val="00FA622D"/>
    <w:rsid w:val="00FA79CF"/>
    <w:rsid w:val="00FA7BCC"/>
    <w:rsid w:val="00FA7E5C"/>
    <w:rsid w:val="00FB013E"/>
    <w:rsid w:val="00FB193D"/>
    <w:rsid w:val="00FB26B4"/>
    <w:rsid w:val="00FB2AA8"/>
    <w:rsid w:val="00FB3422"/>
    <w:rsid w:val="00FB3B7E"/>
    <w:rsid w:val="00FB434D"/>
    <w:rsid w:val="00FB4C1D"/>
    <w:rsid w:val="00FB4D34"/>
    <w:rsid w:val="00FB4E03"/>
    <w:rsid w:val="00FB5387"/>
    <w:rsid w:val="00FB5F81"/>
    <w:rsid w:val="00FB74AB"/>
    <w:rsid w:val="00FB7D61"/>
    <w:rsid w:val="00FC368F"/>
    <w:rsid w:val="00FC3AF6"/>
    <w:rsid w:val="00FC4133"/>
    <w:rsid w:val="00FC5895"/>
    <w:rsid w:val="00FC661F"/>
    <w:rsid w:val="00FC6F25"/>
    <w:rsid w:val="00FC755E"/>
    <w:rsid w:val="00FC75B0"/>
    <w:rsid w:val="00FC78AD"/>
    <w:rsid w:val="00FC7903"/>
    <w:rsid w:val="00FD01B5"/>
    <w:rsid w:val="00FD15BE"/>
    <w:rsid w:val="00FD325D"/>
    <w:rsid w:val="00FD3480"/>
    <w:rsid w:val="00FD40CF"/>
    <w:rsid w:val="00FD486D"/>
    <w:rsid w:val="00FD5BF0"/>
    <w:rsid w:val="00FE0E1D"/>
    <w:rsid w:val="00FE26D1"/>
    <w:rsid w:val="00FE4B60"/>
    <w:rsid w:val="00FE5577"/>
    <w:rsid w:val="00FE5C8D"/>
    <w:rsid w:val="00FE6784"/>
    <w:rsid w:val="00FF0E16"/>
    <w:rsid w:val="00FF1701"/>
    <w:rsid w:val="00FF29C4"/>
    <w:rsid w:val="00FF3BA3"/>
    <w:rsid w:val="00FF6ECF"/>
    <w:rsid w:val="00FF7085"/>
    <w:rsid w:val="00FF7D91"/>
    <w:rsid w:val="268B132A"/>
    <w:rsid w:val="7B6A531C"/>
    <w:rsid w:val="7F4DAE5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shapelayout v:ext="edit">
      <o:idmap v:ext="edit" data="1"/>
    </o:shapelayout>
  </w:shapeDefaults>
  <w:decimalSymbol w:val="."/>
  <w:listSeparator w:val=","/>
  <w14:docId w14:val="667551E7"/>
  <w15:chartTrackingRefBased/>
  <w15:docId w15:val="{15727629-DA8C-48C6-B751-12A029A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lsdException w:name="caption" w:semiHidden="1" w:unhideWhenUsed="1" w:qFormat="1"/>
    <w:lsdException w:name="footnote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uiPriority="1"/>
    <w:lsdException w:name="Body Text" w:qFormat="1"/>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99"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outlineLvl w:val="1"/>
    </w:pPr>
    <w:rPr>
      <w:bCs w:val="0"/>
      <w:sz w:val="28"/>
      <w:szCs w:val="26"/>
    </w:rPr>
  </w:style>
  <w:style w:type="paragraph" w:styleId="Heading3">
    <w:name w:val="heading 3"/>
    <w:basedOn w:val="Heading2"/>
    <w:next w:val="Normal"/>
    <w:link w:val="Heading3Char"/>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rsid w:val="0063009F"/>
    <w:pPr>
      <w:tabs>
        <w:tab w:val="right" w:pos="2835"/>
        <w:tab w:val="right" w:pos="5670"/>
      </w:tabs>
      <w:spacing w:before="0" w:after="0"/>
      <w:ind w:left="-868"/>
    </w:pPr>
    <w:rPr>
      <w:sz w:val="18"/>
    </w:rPr>
  </w:style>
  <w:style w:type="character" w:customStyle="1" w:styleId="FooterChar">
    <w:name w:val="Footer Char"/>
    <w:link w:val="Footer"/>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0E4837"/>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rsid w:val="00045C4B"/>
    <w:pPr>
      <w:spacing w:after="120"/>
      <w:ind w:left="1440" w:right="1440"/>
    </w:pPr>
  </w:style>
  <w:style w:type="paragraph" w:styleId="BodyText">
    <w:name w:val="Body Text"/>
    <w:basedOn w:val="Normal"/>
    <w:link w:val="BodyTextChar"/>
    <w:semiHidden/>
    <w:qFormat/>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7"/>
      </w:numPr>
      <w:tabs>
        <w:tab w:val="clear" w:pos="360"/>
        <w:tab w:val="left" w:pos="1134"/>
      </w:tabs>
      <w:spacing w:before="120" w:after="120"/>
      <w:ind w:left="1094" w:hanging="737"/>
    </w:pPr>
  </w:style>
  <w:style w:type="paragraph" w:styleId="ListNumber2">
    <w:name w:val="List Number 2"/>
    <w:basedOn w:val="Normal"/>
    <w:semiHidden/>
    <w:locked/>
    <w:rsid w:val="005C2ECF"/>
    <w:pPr>
      <w:numPr>
        <w:numId w:val="10"/>
      </w:numPr>
    </w:pPr>
  </w:style>
  <w:style w:type="paragraph" w:styleId="ListNumber3">
    <w:name w:val="List Number 3"/>
    <w:basedOn w:val="Normal"/>
    <w:semiHidden/>
    <w:locked/>
    <w:rsid w:val="005C2ECF"/>
    <w:pPr>
      <w:numPr>
        <w:numId w:val="11"/>
      </w:numPr>
    </w:pPr>
  </w:style>
  <w:style w:type="paragraph" w:styleId="ListNumber4">
    <w:name w:val="List Number 4"/>
    <w:basedOn w:val="Normal"/>
    <w:semiHidden/>
    <w:locked/>
    <w:rsid w:val="005C2ECF"/>
    <w:pPr>
      <w:numPr>
        <w:numId w:val="8"/>
      </w:numPr>
    </w:pPr>
  </w:style>
  <w:style w:type="paragraph" w:styleId="ListNumber5">
    <w:name w:val="List Number 5"/>
    <w:basedOn w:val="Normal"/>
    <w:semiHidden/>
    <w:locked/>
    <w:rsid w:val="005C2ECF"/>
    <w:pPr>
      <w:numPr>
        <w:numId w:val="9"/>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5"/>
      </w:numPr>
      <w:tabs>
        <w:tab w:val="clear" w:pos="720"/>
      </w:tabs>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qFormat/>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ist Paragraph1,Recommendation,List Paragraph11,Bullet point,Bullets,NAST Quote,L,CV text,Table text,F5 List Paragraph,Dot pt,List Paragraph111,Medium Grid 1 - Accent 21,Numbered Paragraph,List Paragraph2,NFP GP Bulleted List,FooterText,列"/>
    <w:basedOn w:val="Normal"/>
    <w:link w:val="ListParagraphChar"/>
    <w:uiPriority w:val="99"/>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styleId="FootnoteText">
    <w:name w:val="footnote text"/>
    <w:basedOn w:val="Normal"/>
    <w:link w:val="FootnoteTextChar"/>
    <w:uiPriority w:val="99"/>
    <w:unhideWhenUsed/>
    <w:locked/>
    <w:rsid w:val="000F6BB3"/>
    <w:pPr>
      <w:keepLines/>
      <w:spacing w:before="0" w:after="0"/>
    </w:pPr>
    <w:rPr>
      <w:rFonts w:ascii="Arial" w:hAnsi="Arial"/>
      <w:sz w:val="20"/>
      <w:szCs w:val="20"/>
    </w:rPr>
  </w:style>
  <w:style w:type="character" w:customStyle="1" w:styleId="FootnoteTextChar">
    <w:name w:val="Footnote Text Char"/>
    <w:basedOn w:val="DefaultParagraphFont"/>
    <w:link w:val="FootnoteText"/>
    <w:uiPriority w:val="99"/>
    <w:rsid w:val="000F6BB3"/>
    <w:rPr>
      <w:rFonts w:ascii="Arial" w:eastAsia="MS Mincho" w:hAnsi="Arial"/>
    </w:rPr>
  </w:style>
  <w:style w:type="character" w:customStyle="1" w:styleId="ListParagraphChar">
    <w:name w:val="List Paragraph Char"/>
    <w:aliases w:val="List Paragraph1 Char,Recommendation Char,List Paragraph11 Char,Bullet point Char,Bullets Char,NAST Quote Char,L Char,CV text Char,Table text Char,F5 List Paragraph Char,Dot pt Char,List Paragraph111 Char,Numbered Paragraph Char"/>
    <w:link w:val="ListParagraph"/>
    <w:uiPriority w:val="34"/>
    <w:qFormat/>
    <w:locked/>
    <w:rsid w:val="00CC0FF8"/>
    <w:rPr>
      <w:rFonts w:ascii="Open Sans" w:eastAsia="MS Mincho" w:hAnsi="Open Sans"/>
      <w:sz w:val="24"/>
      <w:szCs w:val="24"/>
    </w:rPr>
  </w:style>
  <w:style w:type="character" w:styleId="UnresolvedMention">
    <w:name w:val="Unresolved Mention"/>
    <w:basedOn w:val="DefaultParagraphFont"/>
    <w:uiPriority w:val="99"/>
    <w:semiHidden/>
    <w:unhideWhenUsed/>
    <w:rsid w:val="003777FC"/>
    <w:rPr>
      <w:color w:val="605E5C"/>
      <w:shd w:val="clear" w:color="auto" w:fill="E1DFDD"/>
    </w:rPr>
  </w:style>
  <w:style w:type="character" w:styleId="FootnoteReference">
    <w:name w:val="footnote reference"/>
    <w:basedOn w:val="DefaultParagraphFont"/>
    <w:uiPriority w:val="99"/>
    <w:unhideWhenUsed/>
    <w:locked/>
    <w:rsid w:val="00671B5D"/>
    <w:rPr>
      <w:b/>
      <w:bCs w:val="0"/>
      <w:vertAlign w:val="superscript"/>
    </w:rPr>
  </w:style>
  <w:style w:type="character" w:customStyle="1" w:styleId="BodyTextChar">
    <w:name w:val="Body Text Char"/>
    <w:basedOn w:val="DefaultParagraphFont"/>
    <w:link w:val="BodyText"/>
    <w:semiHidden/>
    <w:rsid w:val="00487FD3"/>
    <w:rPr>
      <w:rFonts w:ascii="Open Sans" w:eastAsia="MS Mincho" w:hAnsi="Open Sans"/>
      <w:sz w:val="24"/>
      <w:szCs w:val="24"/>
    </w:rPr>
  </w:style>
  <w:style w:type="paragraph" w:styleId="Revision">
    <w:name w:val="Revision"/>
    <w:hidden/>
    <w:uiPriority w:val="99"/>
    <w:semiHidden/>
    <w:rsid w:val="00C527A2"/>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077">
      <w:bodyDiv w:val="1"/>
      <w:marLeft w:val="0"/>
      <w:marRight w:val="0"/>
      <w:marTop w:val="0"/>
      <w:marBottom w:val="0"/>
      <w:divBdr>
        <w:top w:val="none" w:sz="0" w:space="0" w:color="auto"/>
        <w:left w:val="none" w:sz="0" w:space="0" w:color="auto"/>
        <w:bottom w:val="none" w:sz="0" w:space="0" w:color="auto"/>
        <w:right w:val="none" w:sz="0" w:space="0" w:color="auto"/>
      </w:divBdr>
    </w:div>
    <w:div w:id="88164337">
      <w:bodyDiv w:val="1"/>
      <w:marLeft w:val="0"/>
      <w:marRight w:val="0"/>
      <w:marTop w:val="0"/>
      <w:marBottom w:val="0"/>
      <w:divBdr>
        <w:top w:val="none" w:sz="0" w:space="0" w:color="auto"/>
        <w:left w:val="none" w:sz="0" w:space="0" w:color="auto"/>
        <w:bottom w:val="none" w:sz="0" w:space="0" w:color="auto"/>
        <w:right w:val="none" w:sz="0" w:space="0" w:color="auto"/>
      </w:divBdr>
    </w:div>
    <w:div w:id="177236100">
      <w:bodyDiv w:val="1"/>
      <w:marLeft w:val="0"/>
      <w:marRight w:val="0"/>
      <w:marTop w:val="0"/>
      <w:marBottom w:val="0"/>
      <w:divBdr>
        <w:top w:val="none" w:sz="0" w:space="0" w:color="auto"/>
        <w:left w:val="none" w:sz="0" w:space="0" w:color="auto"/>
        <w:bottom w:val="none" w:sz="0" w:space="0" w:color="auto"/>
        <w:right w:val="none" w:sz="0" w:space="0" w:color="auto"/>
      </w:divBdr>
    </w:div>
    <w:div w:id="237593624">
      <w:bodyDiv w:val="1"/>
      <w:marLeft w:val="0"/>
      <w:marRight w:val="0"/>
      <w:marTop w:val="0"/>
      <w:marBottom w:val="0"/>
      <w:divBdr>
        <w:top w:val="none" w:sz="0" w:space="0" w:color="auto"/>
        <w:left w:val="none" w:sz="0" w:space="0" w:color="auto"/>
        <w:bottom w:val="none" w:sz="0" w:space="0" w:color="auto"/>
        <w:right w:val="none" w:sz="0" w:space="0" w:color="auto"/>
      </w:divBdr>
    </w:div>
    <w:div w:id="265583834">
      <w:bodyDiv w:val="1"/>
      <w:marLeft w:val="0"/>
      <w:marRight w:val="0"/>
      <w:marTop w:val="0"/>
      <w:marBottom w:val="0"/>
      <w:divBdr>
        <w:top w:val="none" w:sz="0" w:space="0" w:color="auto"/>
        <w:left w:val="none" w:sz="0" w:space="0" w:color="auto"/>
        <w:bottom w:val="none" w:sz="0" w:space="0" w:color="auto"/>
        <w:right w:val="none" w:sz="0" w:space="0" w:color="auto"/>
      </w:divBdr>
    </w:div>
    <w:div w:id="366760119">
      <w:bodyDiv w:val="1"/>
      <w:marLeft w:val="0"/>
      <w:marRight w:val="0"/>
      <w:marTop w:val="0"/>
      <w:marBottom w:val="0"/>
      <w:divBdr>
        <w:top w:val="none" w:sz="0" w:space="0" w:color="auto"/>
        <w:left w:val="none" w:sz="0" w:space="0" w:color="auto"/>
        <w:bottom w:val="none" w:sz="0" w:space="0" w:color="auto"/>
        <w:right w:val="none" w:sz="0" w:space="0" w:color="auto"/>
      </w:divBdr>
    </w:div>
    <w:div w:id="401097240">
      <w:bodyDiv w:val="1"/>
      <w:marLeft w:val="0"/>
      <w:marRight w:val="0"/>
      <w:marTop w:val="0"/>
      <w:marBottom w:val="0"/>
      <w:divBdr>
        <w:top w:val="none" w:sz="0" w:space="0" w:color="auto"/>
        <w:left w:val="none" w:sz="0" w:space="0" w:color="auto"/>
        <w:bottom w:val="none" w:sz="0" w:space="0" w:color="auto"/>
        <w:right w:val="none" w:sz="0" w:space="0" w:color="auto"/>
      </w:divBdr>
    </w:div>
    <w:div w:id="426459935">
      <w:bodyDiv w:val="1"/>
      <w:marLeft w:val="0"/>
      <w:marRight w:val="0"/>
      <w:marTop w:val="0"/>
      <w:marBottom w:val="0"/>
      <w:divBdr>
        <w:top w:val="none" w:sz="0" w:space="0" w:color="auto"/>
        <w:left w:val="none" w:sz="0" w:space="0" w:color="auto"/>
        <w:bottom w:val="none" w:sz="0" w:space="0" w:color="auto"/>
        <w:right w:val="none" w:sz="0" w:space="0" w:color="auto"/>
      </w:divBdr>
    </w:div>
    <w:div w:id="727801507">
      <w:bodyDiv w:val="1"/>
      <w:marLeft w:val="0"/>
      <w:marRight w:val="0"/>
      <w:marTop w:val="0"/>
      <w:marBottom w:val="0"/>
      <w:divBdr>
        <w:top w:val="none" w:sz="0" w:space="0" w:color="auto"/>
        <w:left w:val="none" w:sz="0" w:space="0" w:color="auto"/>
        <w:bottom w:val="none" w:sz="0" w:space="0" w:color="auto"/>
        <w:right w:val="none" w:sz="0" w:space="0" w:color="auto"/>
      </w:divBdr>
    </w:div>
    <w:div w:id="729616198">
      <w:bodyDiv w:val="1"/>
      <w:marLeft w:val="0"/>
      <w:marRight w:val="0"/>
      <w:marTop w:val="0"/>
      <w:marBottom w:val="0"/>
      <w:divBdr>
        <w:top w:val="none" w:sz="0" w:space="0" w:color="auto"/>
        <w:left w:val="none" w:sz="0" w:space="0" w:color="auto"/>
        <w:bottom w:val="none" w:sz="0" w:space="0" w:color="auto"/>
        <w:right w:val="none" w:sz="0" w:space="0" w:color="auto"/>
      </w:divBdr>
      <w:divsChild>
        <w:div w:id="998192923">
          <w:marLeft w:val="0"/>
          <w:marRight w:val="0"/>
          <w:marTop w:val="0"/>
          <w:marBottom w:val="120"/>
          <w:divBdr>
            <w:top w:val="none" w:sz="0" w:space="0" w:color="auto"/>
            <w:left w:val="none" w:sz="0" w:space="0" w:color="auto"/>
            <w:bottom w:val="none" w:sz="0" w:space="0" w:color="auto"/>
            <w:right w:val="none" w:sz="0" w:space="0" w:color="auto"/>
          </w:divBdr>
          <w:divsChild>
            <w:div w:id="288168786">
              <w:marLeft w:val="0"/>
              <w:marRight w:val="0"/>
              <w:marTop w:val="0"/>
              <w:marBottom w:val="0"/>
              <w:divBdr>
                <w:top w:val="none" w:sz="0" w:space="0" w:color="auto"/>
                <w:left w:val="none" w:sz="0" w:space="0" w:color="auto"/>
                <w:bottom w:val="none" w:sz="0" w:space="0" w:color="auto"/>
                <w:right w:val="none" w:sz="0" w:space="0" w:color="auto"/>
              </w:divBdr>
            </w:div>
          </w:divsChild>
        </w:div>
        <w:div w:id="2120829864">
          <w:marLeft w:val="0"/>
          <w:marRight w:val="0"/>
          <w:marTop w:val="0"/>
          <w:marBottom w:val="120"/>
          <w:divBdr>
            <w:top w:val="none" w:sz="0" w:space="0" w:color="auto"/>
            <w:left w:val="none" w:sz="0" w:space="0" w:color="auto"/>
            <w:bottom w:val="none" w:sz="0" w:space="0" w:color="auto"/>
            <w:right w:val="none" w:sz="0" w:space="0" w:color="auto"/>
          </w:divBdr>
          <w:divsChild>
            <w:div w:id="10931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049522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05467128">
      <w:bodyDiv w:val="1"/>
      <w:marLeft w:val="0"/>
      <w:marRight w:val="0"/>
      <w:marTop w:val="0"/>
      <w:marBottom w:val="0"/>
      <w:divBdr>
        <w:top w:val="none" w:sz="0" w:space="0" w:color="auto"/>
        <w:left w:val="none" w:sz="0" w:space="0" w:color="auto"/>
        <w:bottom w:val="none" w:sz="0" w:space="0" w:color="auto"/>
        <w:right w:val="none" w:sz="0" w:space="0" w:color="auto"/>
      </w:divBdr>
    </w:div>
    <w:div w:id="824662368">
      <w:bodyDiv w:val="1"/>
      <w:marLeft w:val="0"/>
      <w:marRight w:val="0"/>
      <w:marTop w:val="0"/>
      <w:marBottom w:val="0"/>
      <w:divBdr>
        <w:top w:val="none" w:sz="0" w:space="0" w:color="auto"/>
        <w:left w:val="none" w:sz="0" w:space="0" w:color="auto"/>
        <w:bottom w:val="none" w:sz="0" w:space="0" w:color="auto"/>
        <w:right w:val="none" w:sz="0" w:space="0" w:color="auto"/>
      </w:divBdr>
    </w:div>
    <w:div w:id="84764480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70616445">
      <w:bodyDiv w:val="1"/>
      <w:marLeft w:val="0"/>
      <w:marRight w:val="0"/>
      <w:marTop w:val="0"/>
      <w:marBottom w:val="0"/>
      <w:divBdr>
        <w:top w:val="none" w:sz="0" w:space="0" w:color="auto"/>
        <w:left w:val="none" w:sz="0" w:space="0" w:color="auto"/>
        <w:bottom w:val="none" w:sz="0" w:space="0" w:color="auto"/>
        <w:right w:val="none" w:sz="0" w:space="0" w:color="auto"/>
      </w:divBdr>
    </w:div>
    <w:div w:id="1098911863">
      <w:bodyDiv w:val="1"/>
      <w:marLeft w:val="0"/>
      <w:marRight w:val="0"/>
      <w:marTop w:val="0"/>
      <w:marBottom w:val="0"/>
      <w:divBdr>
        <w:top w:val="none" w:sz="0" w:space="0" w:color="auto"/>
        <w:left w:val="none" w:sz="0" w:space="0" w:color="auto"/>
        <w:bottom w:val="none" w:sz="0" w:space="0" w:color="auto"/>
        <w:right w:val="none" w:sz="0" w:space="0" w:color="auto"/>
      </w:divBdr>
    </w:div>
    <w:div w:id="1118842355">
      <w:bodyDiv w:val="1"/>
      <w:marLeft w:val="0"/>
      <w:marRight w:val="0"/>
      <w:marTop w:val="0"/>
      <w:marBottom w:val="0"/>
      <w:divBdr>
        <w:top w:val="none" w:sz="0" w:space="0" w:color="auto"/>
        <w:left w:val="none" w:sz="0" w:space="0" w:color="auto"/>
        <w:bottom w:val="none" w:sz="0" w:space="0" w:color="auto"/>
        <w:right w:val="none" w:sz="0" w:space="0" w:color="auto"/>
      </w:divBdr>
    </w:div>
    <w:div w:id="1132479959">
      <w:bodyDiv w:val="1"/>
      <w:marLeft w:val="0"/>
      <w:marRight w:val="0"/>
      <w:marTop w:val="0"/>
      <w:marBottom w:val="0"/>
      <w:divBdr>
        <w:top w:val="none" w:sz="0" w:space="0" w:color="auto"/>
        <w:left w:val="none" w:sz="0" w:space="0" w:color="auto"/>
        <w:bottom w:val="none" w:sz="0" w:space="0" w:color="auto"/>
        <w:right w:val="none" w:sz="0" w:space="0" w:color="auto"/>
      </w:divBdr>
    </w:div>
    <w:div w:id="1144664895">
      <w:bodyDiv w:val="1"/>
      <w:marLeft w:val="0"/>
      <w:marRight w:val="0"/>
      <w:marTop w:val="0"/>
      <w:marBottom w:val="0"/>
      <w:divBdr>
        <w:top w:val="none" w:sz="0" w:space="0" w:color="auto"/>
        <w:left w:val="none" w:sz="0" w:space="0" w:color="auto"/>
        <w:bottom w:val="none" w:sz="0" w:space="0" w:color="auto"/>
        <w:right w:val="none" w:sz="0" w:space="0" w:color="auto"/>
      </w:divBdr>
    </w:div>
    <w:div w:id="1146629109">
      <w:bodyDiv w:val="1"/>
      <w:marLeft w:val="0"/>
      <w:marRight w:val="0"/>
      <w:marTop w:val="0"/>
      <w:marBottom w:val="0"/>
      <w:divBdr>
        <w:top w:val="none" w:sz="0" w:space="0" w:color="auto"/>
        <w:left w:val="none" w:sz="0" w:space="0" w:color="auto"/>
        <w:bottom w:val="none" w:sz="0" w:space="0" w:color="auto"/>
        <w:right w:val="none" w:sz="0" w:space="0" w:color="auto"/>
      </w:divBdr>
    </w:div>
    <w:div w:id="1148866189">
      <w:bodyDiv w:val="1"/>
      <w:marLeft w:val="0"/>
      <w:marRight w:val="0"/>
      <w:marTop w:val="0"/>
      <w:marBottom w:val="0"/>
      <w:divBdr>
        <w:top w:val="none" w:sz="0" w:space="0" w:color="auto"/>
        <w:left w:val="none" w:sz="0" w:space="0" w:color="auto"/>
        <w:bottom w:val="none" w:sz="0" w:space="0" w:color="auto"/>
        <w:right w:val="none" w:sz="0" w:space="0" w:color="auto"/>
      </w:divBdr>
    </w:div>
    <w:div w:id="1151366198">
      <w:bodyDiv w:val="1"/>
      <w:marLeft w:val="0"/>
      <w:marRight w:val="0"/>
      <w:marTop w:val="0"/>
      <w:marBottom w:val="0"/>
      <w:divBdr>
        <w:top w:val="none" w:sz="0" w:space="0" w:color="auto"/>
        <w:left w:val="none" w:sz="0" w:space="0" w:color="auto"/>
        <w:bottom w:val="none" w:sz="0" w:space="0" w:color="auto"/>
        <w:right w:val="none" w:sz="0" w:space="0" w:color="auto"/>
      </w:divBdr>
    </w:div>
    <w:div w:id="1169833615">
      <w:bodyDiv w:val="1"/>
      <w:marLeft w:val="0"/>
      <w:marRight w:val="0"/>
      <w:marTop w:val="0"/>
      <w:marBottom w:val="0"/>
      <w:divBdr>
        <w:top w:val="none" w:sz="0" w:space="0" w:color="auto"/>
        <w:left w:val="none" w:sz="0" w:space="0" w:color="auto"/>
        <w:bottom w:val="none" w:sz="0" w:space="0" w:color="auto"/>
        <w:right w:val="none" w:sz="0" w:space="0" w:color="auto"/>
      </w:divBdr>
    </w:div>
    <w:div w:id="1188257207">
      <w:bodyDiv w:val="1"/>
      <w:marLeft w:val="0"/>
      <w:marRight w:val="0"/>
      <w:marTop w:val="0"/>
      <w:marBottom w:val="0"/>
      <w:divBdr>
        <w:top w:val="none" w:sz="0" w:space="0" w:color="auto"/>
        <w:left w:val="none" w:sz="0" w:space="0" w:color="auto"/>
        <w:bottom w:val="none" w:sz="0" w:space="0" w:color="auto"/>
        <w:right w:val="none" w:sz="0" w:space="0" w:color="auto"/>
      </w:divBdr>
    </w:div>
    <w:div w:id="1236431357">
      <w:bodyDiv w:val="1"/>
      <w:marLeft w:val="0"/>
      <w:marRight w:val="0"/>
      <w:marTop w:val="0"/>
      <w:marBottom w:val="0"/>
      <w:divBdr>
        <w:top w:val="none" w:sz="0" w:space="0" w:color="auto"/>
        <w:left w:val="none" w:sz="0" w:space="0" w:color="auto"/>
        <w:bottom w:val="none" w:sz="0" w:space="0" w:color="auto"/>
        <w:right w:val="none" w:sz="0" w:space="0" w:color="auto"/>
      </w:divBdr>
    </w:div>
    <w:div w:id="1238247118">
      <w:bodyDiv w:val="1"/>
      <w:marLeft w:val="0"/>
      <w:marRight w:val="0"/>
      <w:marTop w:val="0"/>
      <w:marBottom w:val="0"/>
      <w:divBdr>
        <w:top w:val="none" w:sz="0" w:space="0" w:color="auto"/>
        <w:left w:val="none" w:sz="0" w:space="0" w:color="auto"/>
        <w:bottom w:val="none" w:sz="0" w:space="0" w:color="auto"/>
        <w:right w:val="none" w:sz="0" w:space="0" w:color="auto"/>
      </w:divBdr>
    </w:div>
    <w:div w:id="1269268103">
      <w:bodyDiv w:val="1"/>
      <w:marLeft w:val="0"/>
      <w:marRight w:val="0"/>
      <w:marTop w:val="0"/>
      <w:marBottom w:val="0"/>
      <w:divBdr>
        <w:top w:val="none" w:sz="0" w:space="0" w:color="auto"/>
        <w:left w:val="none" w:sz="0" w:space="0" w:color="auto"/>
        <w:bottom w:val="none" w:sz="0" w:space="0" w:color="auto"/>
        <w:right w:val="none" w:sz="0" w:space="0" w:color="auto"/>
      </w:divBdr>
    </w:div>
    <w:div w:id="1361197318">
      <w:bodyDiv w:val="1"/>
      <w:marLeft w:val="0"/>
      <w:marRight w:val="0"/>
      <w:marTop w:val="0"/>
      <w:marBottom w:val="0"/>
      <w:divBdr>
        <w:top w:val="none" w:sz="0" w:space="0" w:color="auto"/>
        <w:left w:val="none" w:sz="0" w:space="0" w:color="auto"/>
        <w:bottom w:val="none" w:sz="0" w:space="0" w:color="auto"/>
        <w:right w:val="none" w:sz="0" w:space="0" w:color="auto"/>
      </w:divBdr>
    </w:div>
    <w:div w:id="1432815395">
      <w:bodyDiv w:val="1"/>
      <w:marLeft w:val="0"/>
      <w:marRight w:val="0"/>
      <w:marTop w:val="0"/>
      <w:marBottom w:val="0"/>
      <w:divBdr>
        <w:top w:val="none" w:sz="0" w:space="0" w:color="auto"/>
        <w:left w:val="none" w:sz="0" w:space="0" w:color="auto"/>
        <w:bottom w:val="none" w:sz="0" w:space="0" w:color="auto"/>
        <w:right w:val="none" w:sz="0" w:space="0" w:color="auto"/>
      </w:divBdr>
    </w:div>
    <w:div w:id="1471897239">
      <w:bodyDiv w:val="1"/>
      <w:marLeft w:val="0"/>
      <w:marRight w:val="0"/>
      <w:marTop w:val="0"/>
      <w:marBottom w:val="0"/>
      <w:divBdr>
        <w:top w:val="none" w:sz="0" w:space="0" w:color="auto"/>
        <w:left w:val="none" w:sz="0" w:space="0" w:color="auto"/>
        <w:bottom w:val="none" w:sz="0" w:space="0" w:color="auto"/>
        <w:right w:val="none" w:sz="0" w:space="0" w:color="auto"/>
      </w:divBdr>
    </w:div>
    <w:div w:id="1640839295">
      <w:bodyDiv w:val="1"/>
      <w:marLeft w:val="0"/>
      <w:marRight w:val="0"/>
      <w:marTop w:val="0"/>
      <w:marBottom w:val="0"/>
      <w:divBdr>
        <w:top w:val="none" w:sz="0" w:space="0" w:color="auto"/>
        <w:left w:val="none" w:sz="0" w:space="0" w:color="auto"/>
        <w:bottom w:val="none" w:sz="0" w:space="0" w:color="auto"/>
        <w:right w:val="none" w:sz="0" w:space="0" w:color="auto"/>
      </w:divBdr>
    </w:div>
    <w:div w:id="164200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13" Type="http://schemas.openxmlformats.org/officeDocument/2006/relationships/hyperlink" Target="http://www.humanrights.gov.au/publications/childrens-rights-report-2014" TargetMode="External"/><Relationship Id="rId18" Type="http://schemas.openxmlformats.org/officeDocument/2006/relationships/hyperlink" Target="http://www.royalfarwest.org.au/wp-content/uploads/2017/12/Invisible-childrenweb.pdf" TargetMode="External"/><Relationship Id="rId26" Type="http://schemas.openxmlformats.org/officeDocument/2006/relationships/hyperlink" Target="http://stat.data.abs.gov.au/Index.aspx?QueryId=503" TargetMode="External"/><Relationship Id="rId39" Type="http://schemas.openxmlformats.org/officeDocument/2006/relationships/hyperlink" Target="https://www.buzzfeed.com/dujuanhoosan/opinion-dujuan-hoosan-aboriginal-boy-future" TargetMode="External"/><Relationship Id="rId21" Type="http://schemas.openxmlformats.org/officeDocument/2006/relationships/hyperlink" Target="https://www.humanrights.gov.au/our-work/disability-rights/projects/shaping-ourfuture-discussions-disability-rights" TargetMode="External"/><Relationship Id="rId34" Type="http://schemas.openxmlformats.org/officeDocument/2006/relationships/hyperlink" Target="https://www.schools.aidr.org.au/disaster-resilience-education/teaching-resources/" TargetMode="External"/><Relationship Id="rId42" Type="http://schemas.openxmlformats.org/officeDocument/2006/relationships/hyperlink" Target="https://ctgreport.niaa.gov.au/education.html" TargetMode="External"/><Relationship Id="rId47" Type="http://schemas.openxmlformats.org/officeDocument/2006/relationships/hyperlink" Target="https://ctgreport.niaa.gov.au/education.html" TargetMode="External"/><Relationship Id="rId50" Type="http://schemas.openxmlformats.org/officeDocument/2006/relationships/hyperlink" Target="https://www.lflf.org.au/" TargetMode="External"/><Relationship Id="rId7" Type="http://schemas.openxmlformats.org/officeDocument/2006/relationships/hyperlink" Target="https://www.humanrights.gov.au/our-work/aboriginal-and-torres-strait-islander-social-justice/projects/wiyi-yani-u-thangani-womens" TargetMode="External"/><Relationship Id="rId2" Type="http://schemas.openxmlformats.org/officeDocument/2006/relationships/hyperlink" Target="https://www.humanrights.gov.au/our-work/childrens-rights/projects/childrens-rights-reports" TargetMode="External"/><Relationship Id="rId16" Type="http://schemas.openxmlformats.org/officeDocument/2006/relationships/hyperlink" Target="https://www.childrensground.org.au/page/18/publications" TargetMode="External"/><Relationship Id="rId29" Type="http://schemas.openxmlformats.org/officeDocument/2006/relationships/hyperlink" Target="https://www.portschool.wa.edu.au/school-programs/young-parent-centre/" TargetMode="External"/><Relationship Id="rId11" Type="http://schemas.openxmlformats.org/officeDocument/2006/relationships/hyperlink" Target="https://www.royalfarwest.org.au/the-invisible-children/" TargetMode="External"/><Relationship Id="rId24" Type="http://schemas.openxmlformats.org/officeDocument/2006/relationships/hyperlink" Target="https://ctgreport.niaa.gov.au/" TargetMode="External"/><Relationship Id="rId32" Type="http://schemas.openxmlformats.org/officeDocument/2006/relationships/hyperlink" Target="http://www.unicef.org.au/Upload/UNICEF/Media/Documents/Drought-Report-2019.pdf" TargetMode="External"/><Relationship Id="rId37" Type="http://schemas.openxmlformats.org/officeDocument/2006/relationships/hyperlink" Target="https://www.abc.net.au/news/2019-08-29/strathewen-children-bushfire-education-program/11459508" TargetMode="External"/><Relationship Id="rId40" Type="http://schemas.openxmlformats.org/officeDocument/2006/relationships/hyperlink" Target="https://inmyblooditruns.com/screenings/" TargetMode="External"/><Relationship Id="rId45" Type="http://schemas.openxmlformats.org/officeDocument/2006/relationships/hyperlink" Target="https://starsfoundation.org.au/" TargetMode="External"/><Relationship Id="rId53" Type="http://schemas.openxmlformats.org/officeDocument/2006/relationships/hyperlink" Target="https://www.aisnt.asn.au/projects/aboriginal-education" TargetMode="External"/><Relationship Id="rId5" Type="http://schemas.openxmlformats.org/officeDocument/2006/relationships/hyperlink" Target="https://www.humanrights.gov.au/our-work/rights-and-freedoms/projects/rural-and-remote-education-inquiry" TargetMode="External"/><Relationship Id="rId10" Type="http://schemas.openxmlformats.org/officeDocument/2006/relationships/hyperlink" Target="https://docs.education.gov.au/node/50281" TargetMode="External"/><Relationship Id="rId19" Type="http://schemas.openxmlformats.org/officeDocument/2006/relationships/hyperlink" Target="http://www.royalfarwest.org.au/wp-content/uploads/2017/12/Invisible-childrenweb.pdf" TargetMode="External"/><Relationship Id="rId31" Type="http://schemas.openxmlformats.org/officeDocument/2006/relationships/hyperlink" Target="http://www.unicef.org.au/Upload/UNICEF/Media/Documents/Drought-Report-2019.pdf" TargetMode="External"/><Relationship Id="rId44" Type="http://schemas.openxmlformats.org/officeDocument/2006/relationships/hyperlink" Target="https://girlsacademy.com.au/" TargetMode="External"/><Relationship Id="rId52" Type="http://schemas.openxmlformats.org/officeDocument/2006/relationships/hyperlink" Target="https://ctgreport.niaa.gov.au/education.html" TargetMode="External"/><Relationship Id="rId4" Type="http://schemas.openxmlformats.org/officeDocument/2006/relationships/hyperlink" Target="https://www.humanrights.gov.au/our-work/aboriginal-and-torres-strait-islander-social-justice/publications/social-justice-reports" TargetMode="External"/><Relationship Id="rId9" Type="http://schemas.openxmlformats.org/officeDocument/2006/relationships/hyperlink" Target="http://unsr.jamesanaya.org/docs/annual/2013-ga-annual-report-en.pdf" TargetMode="External"/><Relationship Id="rId14" Type="http://schemas.openxmlformats.org/officeDocument/2006/relationships/hyperlink" Target="https://contactinc.org.au/" TargetMode="External"/><Relationship Id="rId22" Type="http://schemas.openxmlformats.org/officeDocument/2006/relationships/hyperlink" Target="https://www.aph.gov.au/Parliamentary_Business/Committees/Joint/National_Disability_Insurance_Scheme/MarketReadiness/Report" TargetMode="External"/><Relationship Id="rId27" Type="http://schemas.openxmlformats.org/officeDocument/2006/relationships/hyperlink" Target="http://stemm.com.au/" TargetMode="External"/><Relationship Id="rId30" Type="http://schemas.openxmlformats.org/officeDocument/2006/relationships/hyperlink" Target="https://capeyorkpartnership.org.au/our-partnership/cape-york-girl-academy/" TargetMode="External"/><Relationship Id="rId35" Type="http://schemas.openxmlformats.org/officeDocument/2006/relationships/hyperlink" Target="https://www.redcross.org.au/get-help/emergencies/resources-about-disasters/resources-for-parents-and-teachers" TargetMode="External"/><Relationship Id="rId43" Type="http://schemas.openxmlformats.org/officeDocument/2006/relationships/hyperlink" Target="https://documents-dds-ny.un.org/doc/UNDOC/GEN/G17/234/24/PDF/G1723424.pdf" TargetMode="External"/><Relationship Id="rId48" Type="http://schemas.openxmlformats.org/officeDocument/2006/relationships/hyperlink" Target="https://www.ncver.edu.au/__data/assets/pdf_file/0034/6579304/Government-funded-students-and-courses-2018.pdf" TargetMode="External"/><Relationship Id="rId8" Type="http://schemas.openxmlformats.org/officeDocument/2006/relationships/hyperlink" Target="https://www.humanrights.gov.au/our-work/rights-and-freedoms/projects/rural-and-remote-education-inquiry" TargetMode="External"/><Relationship Id="rId51" Type="http://schemas.openxmlformats.org/officeDocument/2006/relationships/hyperlink" Target="https://www.indigenousliteracyfoundation.org.au/" TargetMode="External"/><Relationship Id="rId3" Type="http://schemas.openxmlformats.org/officeDocument/2006/relationships/hyperlink" Target="https://www.humanrights.gov.au/our-work/aboriginal-and-torres-strait-islander-social-justice/projects/wiyi-yani-u-thangani-womens" TargetMode="External"/><Relationship Id="rId12" Type="http://schemas.openxmlformats.org/officeDocument/2006/relationships/hyperlink" Target="https://www.humanrights.gov.au/our-work/childrens-rights/publications/childrens-rights-report-2014" TargetMode="External"/><Relationship Id="rId17" Type="http://schemas.openxmlformats.org/officeDocument/2006/relationships/hyperlink" Target="https://docs.education.gov.au/node/50281" TargetMode="External"/><Relationship Id="rId25" Type="http://schemas.openxmlformats.org/officeDocument/2006/relationships/hyperlink" Target="http://www.abs.gov.au/ausstats/abs@.nsf/mf/3301.0" TargetMode="External"/><Relationship Id="rId33" Type="http://schemas.openxmlformats.org/officeDocument/2006/relationships/hyperlink" Target="https://www.unicef.org.au/appeals/bushfire-and-drought-response" TargetMode="External"/><Relationship Id="rId38" Type="http://schemas.openxmlformats.org/officeDocument/2006/relationships/hyperlink" Target="https://www.bushfirereadyschools.com.au/disaster-resilience-education-disaster-risk-education-action/strathewen-primary-school" TargetMode="External"/><Relationship Id="rId46" Type="http://schemas.openxmlformats.org/officeDocument/2006/relationships/hyperlink" Target="https://pff.com.au/programs-locations/programs/follow-the-dream/" TargetMode="External"/><Relationship Id="rId20" Type="http://schemas.openxmlformats.org/officeDocument/2006/relationships/hyperlink" Target="https://www.dss.gov.au/ourresponsibilities/disability-and-carers/publications-articles/policy-research/shut-out-the-experience-ofpeople-with-disabilities-and-their-families-in-australia" TargetMode="External"/><Relationship Id="rId41" Type="http://schemas.openxmlformats.org/officeDocument/2006/relationships/hyperlink" Target="https://www.indigenous.gov.au/teaching-guides/curricula-project" TargetMode="External"/><Relationship Id="rId54" Type="http://schemas.openxmlformats.org/officeDocument/2006/relationships/hyperlink" Target="https://www.yiramalay.edu.au/about/our-story" TargetMode="External"/><Relationship Id="rId1" Type="http://schemas.openxmlformats.org/officeDocument/2006/relationships/hyperlink" Target="https://www.humanrights.gov.au/our-work/rights-and-freedoms/projects/rural-and-remote-education-inquiry" TargetMode="External"/><Relationship Id="rId6" Type="http://schemas.openxmlformats.org/officeDocument/2006/relationships/hyperlink" Target="https://www.humanrights.gov.au/our-work/childrens-rights/projects/childrens-rights-reports" TargetMode="External"/><Relationship Id="rId15" Type="http://schemas.openxmlformats.org/officeDocument/2006/relationships/hyperlink" Target="https://www.humanrights.gov.au/our-work/publications/submissions-childrens-rights-report-2019/submissions-childrens-rights-report" TargetMode="External"/><Relationship Id="rId23" Type="http://schemas.openxmlformats.org/officeDocument/2006/relationships/hyperlink" Target="http://fpdn.org.au/wpcontent/uploads/2017/05/Senate-Standing-Committee-on-Community-Affairs-Inquiry-into-Delivery-ofOutcomes-under-the-National-Disability-Strategy-2010-2020-to-build-inclusive-and-accessiblecommunities.pdf" TargetMode="External"/><Relationship Id="rId28" Type="http://schemas.openxmlformats.org/officeDocument/2006/relationships/hyperlink" Target="http://stemm.com.au/" TargetMode="External"/><Relationship Id="rId36" Type="http://schemas.openxmlformats.org/officeDocument/2006/relationships/hyperlink" Target="https://emergingminds.com.au/resources/psychological-first-aid-tip-card/" TargetMode="External"/><Relationship Id="rId49" Type="http://schemas.openxmlformats.org/officeDocument/2006/relationships/hyperlink" Target="https://www.humanrights.gov.au/our-work/legal/submission/remote-employment-and-participation-indigenous-peoples-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Submission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6ffb128-e94a-4924-af16-68c2b3b917e8" xsi:nil="true"/>
    <Received_x002f_Sent xmlns="57f1fb52-79b9-4278-9d54-1e5db41bfcda" xsi:nil="true"/>
    <Divider xmlns="6500fe01-343b-4fb9-a1b0-68ac19d62e01">Submission </Divider>
    <TaxCatchAll xmlns="6500fe01-343b-4fb9-a1b0-68ac19d62e01"/>
    <TaxKeywordTaxHTField xmlns="6500fe01-343b-4fb9-a1b0-68ac19d62e01">
      <Terms xmlns="http://schemas.microsoft.com/office/infopath/2007/PartnerControls"/>
    </TaxKeywordTaxHTField>
    <Document_x0020_Status xmlns="6500fe01-343b-4fb9-a1b0-68ac19d62e01">Draft</Document_x0020_Status>
    <Has_x0020_Attachments xmlns="57f1fb52-79b9-4278-9d54-1e5db41bfcda" xsi:nil="true"/>
    <From1 xmlns="57f1fb52-79b9-4278-9d54-1e5db41bfcda" xsi:nil="true"/>
    <To xmlns="57f1fb52-79b9-4278-9d54-1e5db41bfcda" xsi:nil="true"/>
    <c0b54d0a77474fabbf35302adb9710d7 xmlns="57f1fb52-79b9-4278-9d54-1e5db41bfcda">
      <Terms xmlns="http://schemas.microsoft.com/office/infopath/2007/PartnerControls"/>
    </c0b54d0a77474fabbf35302adb9710d7>
    <Subdivider xmlns="57f1fb52-79b9-4278-9d54-1e5db41bfcda" xsi:nil="true"/>
    <Open_x0020_in_x0020_Outlook xmlns="57f1fb52-79b9-4278-9d54-1e5db41bfcda" xsi:nil="true"/>
    <Approver xmlns="6500fe01-343b-4fb9-a1b0-68ac19d62e01">
      <UserInfo>
        <DisplayName/>
        <AccountId xsi:nil="true"/>
        <AccountType/>
      </UserInfo>
    </Approver>
    <Year_x0020_Ending xmlns="57f1fb52-79b9-4278-9d54-1e5db41bfc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EB2622FC73241B62C7C624CEE521F" ma:contentTypeVersion="73" ma:contentTypeDescription="Create a new document." ma:contentTypeScope="" ma:versionID="7de1bd8da8792fcb861eb3f0f89fbe13">
  <xsd:schema xmlns:xsd="http://www.w3.org/2001/XMLSchema" xmlns:xs="http://www.w3.org/2001/XMLSchema" xmlns:p="http://schemas.microsoft.com/office/2006/metadata/properties" xmlns:ns2="57f1fb52-79b9-4278-9d54-1e5db41bfcda" xmlns:ns3="6500fe01-343b-4fb9-a1b0-68ac19d62e01" xmlns:ns4="a6ffb128-e94a-4924-af16-68c2b3b917e8" xmlns:ns5="0d9443a9-c476-4e36-beff-9197fb30fe37" targetNamespace="http://schemas.microsoft.com/office/2006/metadata/properties" ma:root="true" ma:fieldsID="e7105844e225e019013e31f1cf1bb998" ns2:_="" ns3:_="" ns4:_="" ns5:_="">
    <xsd:import namespace="57f1fb52-79b9-4278-9d54-1e5db41bfcda"/>
    <xsd:import namespace="6500fe01-343b-4fb9-a1b0-68ac19d62e01"/>
    <xsd:import namespace="a6ffb128-e94a-4924-af16-68c2b3b917e8"/>
    <xsd:import namespace="0d9443a9-c476-4e36-beff-9197fb30fe37"/>
    <xsd:element name="properties">
      <xsd:complexType>
        <xsd:sequence>
          <xsd:element name="documentManagement">
            <xsd:complexType>
              <xsd:all>
                <xsd:element ref="ns3:Divider" minOccurs="0"/>
                <xsd:element ref="ns2:Subdivider" minOccurs="0"/>
                <xsd:element ref="ns4:_Flow_SignoffStatus"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Open_x0020_in_x0020_Outlook" minOccurs="0"/>
                <xsd:element ref="ns3:Approver" minOccurs="0"/>
                <xsd:element ref="ns3:Document_x0020_Status" minOccurs="0"/>
                <xsd:element ref="ns2:c0b54d0a77474fabbf35302adb9710d7" minOccurs="0"/>
                <xsd:element ref="ns2:From1" minOccurs="0"/>
                <xsd:element ref="ns2:Has_x0020_Attachments" minOccurs="0"/>
                <xsd:element ref="ns2:Received_x002f_Sent" minOccurs="0"/>
                <xsd:element ref="ns2:To" minOccurs="0"/>
                <xsd:element ref="ns4:MediaServiceMetadata" minOccurs="0"/>
                <xsd:element ref="ns4:MediaServiceFastMetadata" minOccurs="0"/>
                <xsd:element ref="ns5:MediaServiceAutoTags" minOccurs="0"/>
                <xsd:element ref="ns5:MediaServiceOCR" minOccurs="0"/>
                <xsd:element ref="ns2:Year_x0020_Ending" minOccurs="0"/>
                <xsd:element ref="ns5:MediaServiceDateTaken"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Open_x0020_in_x0020_Outlook" ma:index="19" nillable="true" ma:displayName="Open in Outlook" ma:description="Click to download item, used for opening emails directly in Outlook (when set to automatically open in Chrome)." ma:hidden="true" ma:indexed="true" ma:internalName="Open_x0020_in_x0020_Outlook" ma:readOnly="false">
      <xsd:simpleType>
        <xsd:restriction base="dms:Text">
          <xsd:maxLength value="255"/>
        </xsd:restriction>
      </xsd:simpleType>
    </xsd:element>
    <xsd:element name="c0b54d0a77474fabbf35302adb9710d7" ma:index="22" nillable="true" ma:taxonomy="true" ma:internalName="c0b54d0a77474fabbf35302adb9710d7" ma:taxonomyFieldName="Document_x0020_Type" ma:displayName="Document Type" ma:default="" ma:fieldId="{c0b54d0a-7747-4fab-bf35-302adb9710d7}"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3" nillable="true" ma:displayName="From" ma:hidden="true" ma:indexed="true" ma:internalName="From1" ma:readOnly="false">
      <xsd:simpleType>
        <xsd:restriction base="dms:Text">
          <xsd:maxLength value="255"/>
        </xsd:restriction>
      </xsd:simpleType>
    </xsd:element>
    <xsd:element name="Has_x0020_Attachments" ma:index="24" nillable="true" ma:displayName="Has Attachments" ma:hidden="true" ma:indexed="true" ma:internalName="Has_x0020_Attachments" ma:readOnly="false">
      <xsd:simpleType>
        <xsd:restriction base="dms:Text">
          <xsd:maxLength value="255"/>
        </xsd:restriction>
      </xsd:simpleType>
    </xsd:element>
    <xsd:element name="Received_x002f_Sent" ma:index="25" nillable="true" ma:displayName="Received/Sent" ma:format="DateOnly" ma:hidden="true" ma:indexed="true" ma:internalName="Received_x002F_Sent" ma:readOnly="false">
      <xsd:simpleType>
        <xsd:restriction base="dms:DateTime"/>
      </xsd:simpleType>
    </xsd:element>
    <xsd:element name="To" ma:index="26" nillable="true" ma:displayName="To" ma:hidden="true" ma:indexed="true" ma:internalName="To" ma:readOnly="false">
      <xsd:simpleType>
        <xsd:restriction base="dms:Text">
          <xsd:maxLength value="255"/>
        </xsd:restriction>
      </xsd:simpleType>
    </xsd:element>
    <xsd:element name="Year_x0020_Ending" ma:index="32" nillable="true" ma:displayName="Year Ending" ma:description="End of financial year in which submission due." ma:format="DateOnly" ma:internalName="Year_x0020_Ending">
      <xsd:simpleType>
        <xsd:restriction base="dms:DateTime"/>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674aa2f-9701-447f-b61a-873be09f9281}"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674aa2f-9701-447f-b61a-873be09f9281}"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Approver" ma:index="20" nillable="true" ma:displayName="Approver" ma:hidden="true" ma:list="UserInfo" ma:SharePointGroup="2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21" nillable="true" ma:displayName="Document Status" ma:default="Draft" ma:format="Dropdown" ma:hidden="true" ma:internalName="Document_x0020_Status" ma:readOnly="false">
      <xsd:simpleType>
        <xsd:restriction base="dms:Choice">
          <xsd:enumeration value="Draft"/>
          <xsd:enumeration value="Pending"/>
          <xsd:enumeration value="Approved"/>
          <xsd:enumeration value="Change Request"/>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a6ffb128-e94a-4924-af16-68c2b3b917e8" elementFormDefault="qualified">
    <xsd:import namespace="http://schemas.microsoft.com/office/2006/documentManagement/types"/>
    <xsd:import namespace="http://schemas.microsoft.com/office/infopath/2007/PartnerControls"/>
    <xsd:element name="_Flow_SignoffStatus" ma:index="5" nillable="true" ma:displayName="Sign-off status" ma:hidden="true" ma:internalName="Sign_x002d_off_x0020_status" ma:readOnly="false">
      <xsd:simpleType>
        <xsd:restriction base="dms:Text"/>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9443a9-c476-4e36-beff-9197fb30fe37" elementFormDefault="qualified">
    <xsd:import namespace="http://schemas.microsoft.com/office/2006/documentManagement/types"/>
    <xsd:import namespace="http://schemas.microsoft.com/office/infopath/2007/PartnerControls"/>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haredContentType xmlns="Microsoft.SharePoint.Taxonomy.ContentTypeSync" SourceId="975c5ac6-a0cc-43ed-b850-4a2ae59237b6"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40F1-B0AF-4042-BA5C-466557FB5E3B}">
  <ds:schemaRefs>
    <ds:schemaRef ds:uri="http://schemas.microsoft.com/sharepoint/events"/>
  </ds:schemaRefs>
</ds:datastoreItem>
</file>

<file path=customXml/itemProps2.xml><?xml version="1.0" encoding="utf-8"?>
<ds:datastoreItem xmlns:ds="http://schemas.openxmlformats.org/officeDocument/2006/customXml" ds:itemID="{5E138A26-A951-493B-B7AE-7F1F51848818}">
  <ds:schemaRefs>
    <ds:schemaRef ds:uri="http://schemas.microsoft.com/office/infopath/2007/PartnerControls"/>
    <ds:schemaRef ds:uri="http://schemas.openxmlformats.org/package/2006/metadata/core-properties"/>
    <ds:schemaRef ds:uri="6500fe01-343b-4fb9-a1b0-68ac19d62e01"/>
    <ds:schemaRef ds:uri="http://purl.org/dc/dcmitype/"/>
    <ds:schemaRef ds:uri="a6ffb128-e94a-4924-af16-68c2b3b917e8"/>
    <ds:schemaRef ds:uri="http://schemas.microsoft.com/office/2006/metadata/properties"/>
    <ds:schemaRef ds:uri="http://schemas.microsoft.com/office/2006/documentManagement/types"/>
    <ds:schemaRef ds:uri="http://purl.org/dc/terms/"/>
    <ds:schemaRef ds:uri="0d9443a9-c476-4e36-beff-9197fb30fe37"/>
    <ds:schemaRef ds:uri="57f1fb52-79b9-4278-9d54-1e5db41bfcda"/>
    <ds:schemaRef ds:uri="http://www.w3.org/XML/1998/namespace"/>
    <ds:schemaRef ds:uri="http://purl.org/dc/elements/1.1/"/>
  </ds:schemaRefs>
</ds:datastoreItem>
</file>

<file path=customXml/itemProps3.xml><?xml version="1.0" encoding="utf-8"?>
<ds:datastoreItem xmlns:ds="http://schemas.openxmlformats.org/officeDocument/2006/customXml" ds:itemID="{54542D25-5E42-4FA3-9BA1-34C88F8B3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a6ffb128-e94a-4924-af16-68c2b3b917e8"/>
    <ds:schemaRef ds:uri="0d9443a9-c476-4e36-beff-9197fb30f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EAAD0-5BE9-4895-91B0-4AAA59C6D758}">
  <ds:schemaRefs>
    <ds:schemaRef ds:uri="http://schemas.microsoft.com/sharepoint/v3/contenttype/forms"/>
  </ds:schemaRefs>
</ds:datastoreItem>
</file>

<file path=customXml/itemProps5.xml><?xml version="1.0" encoding="utf-8"?>
<ds:datastoreItem xmlns:ds="http://schemas.openxmlformats.org/officeDocument/2006/customXml" ds:itemID="{29D52A56-5202-4855-AAEF-4CBA790457B8}">
  <ds:schemaRefs>
    <ds:schemaRef ds:uri="http://schemas.microsoft.com/office/2006/metadata/customXsn"/>
  </ds:schemaRefs>
</ds:datastoreItem>
</file>

<file path=customXml/itemProps6.xml><?xml version="1.0" encoding="utf-8"?>
<ds:datastoreItem xmlns:ds="http://schemas.openxmlformats.org/officeDocument/2006/customXml" ds:itemID="{88A08634-590A-49CC-AD65-64E0E4E8C78A}">
  <ds:schemaRefs>
    <ds:schemaRef ds:uri="Microsoft.SharePoint.Taxonomy.ContentTypeSync"/>
  </ds:schemaRefs>
</ds:datastoreItem>
</file>

<file path=customXml/itemProps7.xml><?xml version="1.0" encoding="utf-8"?>
<ds:datastoreItem xmlns:ds="http://schemas.openxmlformats.org/officeDocument/2006/customXml" ds:itemID="{B37F2B88-4239-4DCC-9EF3-E6FF592E6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Submission_New.dotx</Template>
  <TotalTime>1473</TotalTime>
  <Pages>43</Pages>
  <Words>11417</Words>
  <Characters>69092</Characters>
  <Application>Microsoft Office Word</Application>
  <DocSecurity>0</DocSecurity>
  <Lines>575</Lines>
  <Paragraphs>160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80349</CharactersWithSpaces>
  <SharedDoc>false</SharedDoc>
  <HLinks>
    <vt:vector size="480" baseType="variant">
      <vt:variant>
        <vt:i4>1114173</vt:i4>
      </vt:variant>
      <vt:variant>
        <vt:i4>158</vt:i4>
      </vt:variant>
      <vt:variant>
        <vt:i4>0</vt:i4>
      </vt:variant>
      <vt:variant>
        <vt:i4>5</vt:i4>
      </vt:variant>
      <vt:variant>
        <vt:lpwstr/>
      </vt:variant>
      <vt:variant>
        <vt:lpwstr>_Toc31815234</vt:lpwstr>
      </vt:variant>
      <vt:variant>
        <vt:i4>1441853</vt:i4>
      </vt:variant>
      <vt:variant>
        <vt:i4>152</vt:i4>
      </vt:variant>
      <vt:variant>
        <vt:i4>0</vt:i4>
      </vt:variant>
      <vt:variant>
        <vt:i4>5</vt:i4>
      </vt:variant>
      <vt:variant>
        <vt:lpwstr/>
      </vt:variant>
      <vt:variant>
        <vt:lpwstr>_Toc31815233</vt:lpwstr>
      </vt:variant>
      <vt:variant>
        <vt:i4>1507389</vt:i4>
      </vt:variant>
      <vt:variant>
        <vt:i4>146</vt:i4>
      </vt:variant>
      <vt:variant>
        <vt:i4>0</vt:i4>
      </vt:variant>
      <vt:variant>
        <vt:i4>5</vt:i4>
      </vt:variant>
      <vt:variant>
        <vt:lpwstr/>
      </vt:variant>
      <vt:variant>
        <vt:lpwstr>_Toc31815232</vt:lpwstr>
      </vt:variant>
      <vt:variant>
        <vt:i4>1310781</vt:i4>
      </vt:variant>
      <vt:variant>
        <vt:i4>140</vt:i4>
      </vt:variant>
      <vt:variant>
        <vt:i4>0</vt:i4>
      </vt:variant>
      <vt:variant>
        <vt:i4>5</vt:i4>
      </vt:variant>
      <vt:variant>
        <vt:lpwstr/>
      </vt:variant>
      <vt:variant>
        <vt:lpwstr>_Toc31815231</vt:lpwstr>
      </vt:variant>
      <vt:variant>
        <vt:i4>1376317</vt:i4>
      </vt:variant>
      <vt:variant>
        <vt:i4>134</vt:i4>
      </vt:variant>
      <vt:variant>
        <vt:i4>0</vt:i4>
      </vt:variant>
      <vt:variant>
        <vt:i4>5</vt:i4>
      </vt:variant>
      <vt:variant>
        <vt:lpwstr/>
      </vt:variant>
      <vt:variant>
        <vt:lpwstr>_Toc31815230</vt:lpwstr>
      </vt:variant>
      <vt:variant>
        <vt:i4>1835068</vt:i4>
      </vt:variant>
      <vt:variant>
        <vt:i4>128</vt:i4>
      </vt:variant>
      <vt:variant>
        <vt:i4>0</vt:i4>
      </vt:variant>
      <vt:variant>
        <vt:i4>5</vt:i4>
      </vt:variant>
      <vt:variant>
        <vt:lpwstr/>
      </vt:variant>
      <vt:variant>
        <vt:lpwstr>_Toc31815229</vt:lpwstr>
      </vt:variant>
      <vt:variant>
        <vt:i4>1900604</vt:i4>
      </vt:variant>
      <vt:variant>
        <vt:i4>122</vt:i4>
      </vt:variant>
      <vt:variant>
        <vt:i4>0</vt:i4>
      </vt:variant>
      <vt:variant>
        <vt:i4>5</vt:i4>
      </vt:variant>
      <vt:variant>
        <vt:lpwstr/>
      </vt:variant>
      <vt:variant>
        <vt:lpwstr>_Toc31815228</vt:lpwstr>
      </vt:variant>
      <vt:variant>
        <vt:i4>1179708</vt:i4>
      </vt:variant>
      <vt:variant>
        <vt:i4>116</vt:i4>
      </vt:variant>
      <vt:variant>
        <vt:i4>0</vt:i4>
      </vt:variant>
      <vt:variant>
        <vt:i4>5</vt:i4>
      </vt:variant>
      <vt:variant>
        <vt:lpwstr/>
      </vt:variant>
      <vt:variant>
        <vt:lpwstr>_Toc31815227</vt:lpwstr>
      </vt:variant>
      <vt:variant>
        <vt:i4>1245244</vt:i4>
      </vt:variant>
      <vt:variant>
        <vt:i4>110</vt:i4>
      </vt:variant>
      <vt:variant>
        <vt:i4>0</vt:i4>
      </vt:variant>
      <vt:variant>
        <vt:i4>5</vt:i4>
      </vt:variant>
      <vt:variant>
        <vt:lpwstr/>
      </vt:variant>
      <vt:variant>
        <vt:lpwstr>_Toc31815226</vt:lpwstr>
      </vt:variant>
      <vt:variant>
        <vt:i4>1048636</vt:i4>
      </vt:variant>
      <vt:variant>
        <vt:i4>104</vt:i4>
      </vt:variant>
      <vt:variant>
        <vt:i4>0</vt:i4>
      </vt:variant>
      <vt:variant>
        <vt:i4>5</vt:i4>
      </vt:variant>
      <vt:variant>
        <vt:lpwstr/>
      </vt:variant>
      <vt:variant>
        <vt:lpwstr>_Toc31815225</vt:lpwstr>
      </vt:variant>
      <vt:variant>
        <vt:i4>1114172</vt:i4>
      </vt:variant>
      <vt:variant>
        <vt:i4>98</vt:i4>
      </vt:variant>
      <vt:variant>
        <vt:i4>0</vt:i4>
      </vt:variant>
      <vt:variant>
        <vt:i4>5</vt:i4>
      </vt:variant>
      <vt:variant>
        <vt:lpwstr/>
      </vt:variant>
      <vt:variant>
        <vt:lpwstr>_Toc31815224</vt:lpwstr>
      </vt:variant>
      <vt:variant>
        <vt:i4>1441852</vt:i4>
      </vt:variant>
      <vt:variant>
        <vt:i4>92</vt:i4>
      </vt:variant>
      <vt:variant>
        <vt:i4>0</vt:i4>
      </vt:variant>
      <vt:variant>
        <vt:i4>5</vt:i4>
      </vt:variant>
      <vt:variant>
        <vt:lpwstr/>
      </vt:variant>
      <vt:variant>
        <vt:lpwstr>_Toc31815223</vt:lpwstr>
      </vt:variant>
      <vt:variant>
        <vt:i4>1507388</vt:i4>
      </vt:variant>
      <vt:variant>
        <vt:i4>86</vt:i4>
      </vt:variant>
      <vt:variant>
        <vt:i4>0</vt:i4>
      </vt:variant>
      <vt:variant>
        <vt:i4>5</vt:i4>
      </vt:variant>
      <vt:variant>
        <vt:lpwstr/>
      </vt:variant>
      <vt:variant>
        <vt:lpwstr>_Toc31815222</vt:lpwstr>
      </vt:variant>
      <vt:variant>
        <vt:i4>1310780</vt:i4>
      </vt:variant>
      <vt:variant>
        <vt:i4>80</vt:i4>
      </vt:variant>
      <vt:variant>
        <vt:i4>0</vt:i4>
      </vt:variant>
      <vt:variant>
        <vt:i4>5</vt:i4>
      </vt:variant>
      <vt:variant>
        <vt:lpwstr/>
      </vt:variant>
      <vt:variant>
        <vt:lpwstr>_Toc31815221</vt:lpwstr>
      </vt:variant>
      <vt:variant>
        <vt:i4>1376316</vt:i4>
      </vt:variant>
      <vt:variant>
        <vt:i4>74</vt:i4>
      </vt:variant>
      <vt:variant>
        <vt:i4>0</vt:i4>
      </vt:variant>
      <vt:variant>
        <vt:i4>5</vt:i4>
      </vt:variant>
      <vt:variant>
        <vt:lpwstr/>
      </vt:variant>
      <vt:variant>
        <vt:lpwstr>_Toc31815220</vt:lpwstr>
      </vt:variant>
      <vt:variant>
        <vt:i4>1835071</vt:i4>
      </vt:variant>
      <vt:variant>
        <vt:i4>68</vt:i4>
      </vt:variant>
      <vt:variant>
        <vt:i4>0</vt:i4>
      </vt:variant>
      <vt:variant>
        <vt:i4>5</vt:i4>
      </vt:variant>
      <vt:variant>
        <vt:lpwstr/>
      </vt:variant>
      <vt:variant>
        <vt:lpwstr>_Toc31815219</vt:lpwstr>
      </vt:variant>
      <vt:variant>
        <vt:i4>1900607</vt:i4>
      </vt:variant>
      <vt:variant>
        <vt:i4>62</vt:i4>
      </vt:variant>
      <vt:variant>
        <vt:i4>0</vt:i4>
      </vt:variant>
      <vt:variant>
        <vt:i4>5</vt:i4>
      </vt:variant>
      <vt:variant>
        <vt:lpwstr/>
      </vt:variant>
      <vt:variant>
        <vt:lpwstr>_Toc31815218</vt:lpwstr>
      </vt:variant>
      <vt:variant>
        <vt:i4>1179711</vt:i4>
      </vt:variant>
      <vt:variant>
        <vt:i4>56</vt:i4>
      </vt:variant>
      <vt:variant>
        <vt:i4>0</vt:i4>
      </vt:variant>
      <vt:variant>
        <vt:i4>5</vt:i4>
      </vt:variant>
      <vt:variant>
        <vt:lpwstr/>
      </vt:variant>
      <vt:variant>
        <vt:lpwstr>_Toc31815217</vt:lpwstr>
      </vt:variant>
      <vt:variant>
        <vt:i4>1245247</vt:i4>
      </vt:variant>
      <vt:variant>
        <vt:i4>50</vt:i4>
      </vt:variant>
      <vt:variant>
        <vt:i4>0</vt:i4>
      </vt:variant>
      <vt:variant>
        <vt:i4>5</vt:i4>
      </vt:variant>
      <vt:variant>
        <vt:lpwstr/>
      </vt:variant>
      <vt:variant>
        <vt:lpwstr>_Toc31815216</vt:lpwstr>
      </vt:variant>
      <vt:variant>
        <vt:i4>1048639</vt:i4>
      </vt:variant>
      <vt:variant>
        <vt:i4>44</vt:i4>
      </vt:variant>
      <vt:variant>
        <vt:i4>0</vt:i4>
      </vt:variant>
      <vt:variant>
        <vt:i4>5</vt:i4>
      </vt:variant>
      <vt:variant>
        <vt:lpwstr/>
      </vt:variant>
      <vt:variant>
        <vt:lpwstr>_Toc31815215</vt:lpwstr>
      </vt:variant>
      <vt:variant>
        <vt:i4>1114175</vt:i4>
      </vt:variant>
      <vt:variant>
        <vt:i4>38</vt:i4>
      </vt:variant>
      <vt:variant>
        <vt:i4>0</vt:i4>
      </vt:variant>
      <vt:variant>
        <vt:i4>5</vt:i4>
      </vt:variant>
      <vt:variant>
        <vt:lpwstr/>
      </vt:variant>
      <vt:variant>
        <vt:lpwstr>_Toc31815214</vt:lpwstr>
      </vt:variant>
      <vt:variant>
        <vt:i4>1441855</vt:i4>
      </vt:variant>
      <vt:variant>
        <vt:i4>32</vt:i4>
      </vt:variant>
      <vt:variant>
        <vt:i4>0</vt:i4>
      </vt:variant>
      <vt:variant>
        <vt:i4>5</vt:i4>
      </vt:variant>
      <vt:variant>
        <vt:lpwstr/>
      </vt:variant>
      <vt:variant>
        <vt:lpwstr>_Toc31815213</vt:lpwstr>
      </vt:variant>
      <vt:variant>
        <vt:i4>1507391</vt:i4>
      </vt:variant>
      <vt:variant>
        <vt:i4>26</vt:i4>
      </vt:variant>
      <vt:variant>
        <vt:i4>0</vt:i4>
      </vt:variant>
      <vt:variant>
        <vt:i4>5</vt:i4>
      </vt:variant>
      <vt:variant>
        <vt:lpwstr/>
      </vt:variant>
      <vt:variant>
        <vt:lpwstr>_Toc31815212</vt:lpwstr>
      </vt:variant>
      <vt:variant>
        <vt:i4>1310783</vt:i4>
      </vt:variant>
      <vt:variant>
        <vt:i4>20</vt:i4>
      </vt:variant>
      <vt:variant>
        <vt:i4>0</vt:i4>
      </vt:variant>
      <vt:variant>
        <vt:i4>5</vt:i4>
      </vt:variant>
      <vt:variant>
        <vt:lpwstr/>
      </vt:variant>
      <vt:variant>
        <vt:lpwstr>_Toc31815211</vt:lpwstr>
      </vt:variant>
      <vt:variant>
        <vt:i4>1376319</vt:i4>
      </vt:variant>
      <vt:variant>
        <vt:i4>14</vt:i4>
      </vt:variant>
      <vt:variant>
        <vt:i4>0</vt:i4>
      </vt:variant>
      <vt:variant>
        <vt:i4>5</vt:i4>
      </vt:variant>
      <vt:variant>
        <vt:lpwstr/>
      </vt:variant>
      <vt:variant>
        <vt:lpwstr>_Toc31815210</vt:lpwstr>
      </vt:variant>
      <vt:variant>
        <vt:i4>1835070</vt:i4>
      </vt:variant>
      <vt:variant>
        <vt:i4>8</vt:i4>
      </vt:variant>
      <vt:variant>
        <vt:i4>0</vt:i4>
      </vt:variant>
      <vt:variant>
        <vt:i4>5</vt:i4>
      </vt:variant>
      <vt:variant>
        <vt:lpwstr/>
      </vt:variant>
      <vt:variant>
        <vt:lpwstr>_Toc31815209</vt:lpwstr>
      </vt:variant>
      <vt:variant>
        <vt:i4>1900606</vt:i4>
      </vt:variant>
      <vt:variant>
        <vt:i4>2</vt:i4>
      </vt:variant>
      <vt:variant>
        <vt:i4>0</vt:i4>
      </vt:variant>
      <vt:variant>
        <vt:i4>5</vt:i4>
      </vt:variant>
      <vt:variant>
        <vt:lpwstr/>
      </vt:variant>
      <vt:variant>
        <vt:lpwstr>_Toc31815208</vt:lpwstr>
      </vt:variant>
      <vt:variant>
        <vt:i4>5439499</vt:i4>
      </vt:variant>
      <vt:variant>
        <vt:i4>156</vt:i4>
      </vt:variant>
      <vt:variant>
        <vt:i4>0</vt:i4>
      </vt:variant>
      <vt:variant>
        <vt:i4>5</vt:i4>
      </vt:variant>
      <vt:variant>
        <vt:lpwstr>https://www.yiramalay.edu.au/about/our-story</vt:lpwstr>
      </vt:variant>
      <vt:variant>
        <vt:lpwstr/>
      </vt:variant>
      <vt:variant>
        <vt:i4>7012401</vt:i4>
      </vt:variant>
      <vt:variant>
        <vt:i4>153</vt:i4>
      </vt:variant>
      <vt:variant>
        <vt:i4>0</vt:i4>
      </vt:variant>
      <vt:variant>
        <vt:i4>5</vt:i4>
      </vt:variant>
      <vt:variant>
        <vt:lpwstr>https://www.aisnt.asn.au/projects/aboriginal-education</vt:lpwstr>
      </vt:variant>
      <vt:variant>
        <vt:lpwstr/>
      </vt:variant>
      <vt:variant>
        <vt:i4>4587612</vt:i4>
      </vt:variant>
      <vt:variant>
        <vt:i4>150</vt:i4>
      </vt:variant>
      <vt:variant>
        <vt:i4>0</vt:i4>
      </vt:variant>
      <vt:variant>
        <vt:i4>5</vt:i4>
      </vt:variant>
      <vt:variant>
        <vt:lpwstr>https://ctgreport.niaa.gov.au/education.html</vt:lpwstr>
      </vt:variant>
      <vt:variant>
        <vt:lpwstr/>
      </vt:variant>
      <vt:variant>
        <vt:i4>196691</vt:i4>
      </vt:variant>
      <vt:variant>
        <vt:i4>147</vt:i4>
      </vt:variant>
      <vt:variant>
        <vt:i4>0</vt:i4>
      </vt:variant>
      <vt:variant>
        <vt:i4>5</vt:i4>
      </vt:variant>
      <vt:variant>
        <vt:lpwstr>https://www.indigenousliteracyfoundation.org.au/</vt:lpwstr>
      </vt:variant>
      <vt:variant>
        <vt:lpwstr/>
      </vt:variant>
      <vt:variant>
        <vt:i4>917575</vt:i4>
      </vt:variant>
      <vt:variant>
        <vt:i4>144</vt:i4>
      </vt:variant>
      <vt:variant>
        <vt:i4>0</vt:i4>
      </vt:variant>
      <vt:variant>
        <vt:i4>5</vt:i4>
      </vt:variant>
      <vt:variant>
        <vt:lpwstr>https://www.lflf.org.au/</vt:lpwstr>
      </vt:variant>
      <vt:variant>
        <vt:lpwstr/>
      </vt:variant>
      <vt:variant>
        <vt:i4>1048643</vt:i4>
      </vt:variant>
      <vt:variant>
        <vt:i4>141</vt:i4>
      </vt:variant>
      <vt:variant>
        <vt:i4>0</vt:i4>
      </vt:variant>
      <vt:variant>
        <vt:i4>5</vt:i4>
      </vt:variant>
      <vt:variant>
        <vt:lpwstr>https://www.humanrights.gov.au/our-work/legal/submission/remote-employment-and-participation-indigenous-peoples-2018</vt:lpwstr>
      </vt:variant>
      <vt:variant>
        <vt:lpwstr/>
      </vt:variant>
      <vt:variant>
        <vt:i4>6357000</vt:i4>
      </vt:variant>
      <vt:variant>
        <vt:i4>138</vt:i4>
      </vt:variant>
      <vt:variant>
        <vt:i4>0</vt:i4>
      </vt:variant>
      <vt:variant>
        <vt:i4>5</vt:i4>
      </vt:variant>
      <vt:variant>
        <vt:lpwstr>https://www.ncver.edu.au/__data/assets/pdf_file/0034/6579304/Government-funded-students-and-courses-2018.pdf</vt:lpwstr>
      </vt:variant>
      <vt:variant>
        <vt:lpwstr/>
      </vt:variant>
      <vt:variant>
        <vt:i4>4587612</vt:i4>
      </vt:variant>
      <vt:variant>
        <vt:i4>135</vt:i4>
      </vt:variant>
      <vt:variant>
        <vt:i4>0</vt:i4>
      </vt:variant>
      <vt:variant>
        <vt:i4>5</vt:i4>
      </vt:variant>
      <vt:variant>
        <vt:lpwstr>https://ctgreport.niaa.gov.au/education.html</vt:lpwstr>
      </vt:variant>
      <vt:variant>
        <vt:lpwstr/>
      </vt:variant>
      <vt:variant>
        <vt:i4>5242960</vt:i4>
      </vt:variant>
      <vt:variant>
        <vt:i4>132</vt:i4>
      </vt:variant>
      <vt:variant>
        <vt:i4>0</vt:i4>
      </vt:variant>
      <vt:variant>
        <vt:i4>5</vt:i4>
      </vt:variant>
      <vt:variant>
        <vt:lpwstr>https://pff.com.au/programs-locations/programs/follow-the-dream/</vt:lpwstr>
      </vt:variant>
      <vt:variant>
        <vt:lpwstr/>
      </vt:variant>
      <vt:variant>
        <vt:i4>8126511</vt:i4>
      </vt:variant>
      <vt:variant>
        <vt:i4>129</vt:i4>
      </vt:variant>
      <vt:variant>
        <vt:i4>0</vt:i4>
      </vt:variant>
      <vt:variant>
        <vt:i4>5</vt:i4>
      </vt:variant>
      <vt:variant>
        <vt:lpwstr>https://starsfoundation.org.au/</vt:lpwstr>
      </vt:variant>
      <vt:variant>
        <vt:lpwstr/>
      </vt:variant>
      <vt:variant>
        <vt:i4>4718678</vt:i4>
      </vt:variant>
      <vt:variant>
        <vt:i4>126</vt:i4>
      </vt:variant>
      <vt:variant>
        <vt:i4>0</vt:i4>
      </vt:variant>
      <vt:variant>
        <vt:i4>5</vt:i4>
      </vt:variant>
      <vt:variant>
        <vt:lpwstr>https://girlsacademy.com.au/</vt:lpwstr>
      </vt:variant>
      <vt:variant>
        <vt:lpwstr/>
      </vt:variant>
      <vt:variant>
        <vt:i4>1966089</vt:i4>
      </vt:variant>
      <vt:variant>
        <vt:i4>123</vt:i4>
      </vt:variant>
      <vt:variant>
        <vt:i4>0</vt:i4>
      </vt:variant>
      <vt:variant>
        <vt:i4>5</vt:i4>
      </vt:variant>
      <vt:variant>
        <vt:lpwstr>https://documents-dds-ny.un.org/doc/UNDOC/GEN/G17/234/24/PDF/G1723424.pdf</vt:lpwstr>
      </vt:variant>
      <vt:variant>
        <vt:lpwstr/>
      </vt:variant>
      <vt:variant>
        <vt:i4>4587612</vt:i4>
      </vt:variant>
      <vt:variant>
        <vt:i4>120</vt:i4>
      </vt:variant>
      <vt:variant>
        <vt:i4>0</vt:i4>
      </vt:variant>
      <vt:variant>
        <vt:i4>5</vt:i4>
      </vt:variant>
      <vt:variant>
        <vt:lpwstr>https://ctgreport.niaa.gov.au/education.html</vt:lpwstr>
      </vt:variant>
      <vt:variant>
        <vt:lpwstr/>
      </vt:variant>
      <vt:variant>
        <vt:i4>8061025</vt:i4>
      </vt:variant>
      <vt:variant>
        <vt:i4>117</vt:i4>
      </vt:variant>
      <vt:variant>
        <vt:i4>0</vt:i4>
      </vt:variant>
      <vt:variant>
        <vt:i4>5</vt:i4>
      </vt:variant>
      <vt:variant>
        <vt:lpwstr>https://www.indigenous.gov.au/teaching-guides/curricula-project</vt:lpwstr>
      </vt:variant>
      <vt:variant>
        <vt:lpwstr/>
      </vt:variant>
      <vt:variant>
        <vt:i4>7012411</vt:i4>
      </vt:variant>
      <vt:variant>
        <vt:i4>114</vt:i4>
      </vt:variant>
      <vt:variant>
        <vt:i4>0</vt:i4>
      </vt:variant>
      <vt:variant>
        <vt:i4>5</vt:i4>
      </vt:variant>
      <vt:variant>
        <vt:lpwstr>https://inmyblooditruns.com/screenings/</vt:lpwstr>
      </vt:variant>
      <vt:variant>
        <vt:lpwstr/>
      </vt:variant>
      <vt:variant>
        <vt:i4>1638424</vt:i4>
      </vt:variant>
      <vt:variant>
        <vt:i4>111</vt:i4>
      </vt:variant>
      <vt:variant>
        <vt:i4>0</vt:i4>
      </vt:variant>
      <vt:variant>
        <vt:i4>5</vt:i4>
      </vt:variant>
      <vt:variant>
        <vt:lpwstr>https://www.buzzfeed.com/dujuanhoosan/opinion-dujuan-hoosan-aboriginal-boy-future</vt:lpwstr>
      </vt:variant>
      <vt:variant>
        <vt:lpwstr/>
      </vt:variant>
      <vt:variant>
        <vt:i4>6881405</vt:i4>
      </vt:variant>
      <vt:variant>
        <vt:i4>108</vt:i4>
      </vt:variant>
      <vt:variant>
        <vt:i4>0</vt:i4>
      </vt:variant>
      <vt:variant>
        <vt:i4>5</vt:i4>
      </vt:variant>
      <vt:variant>
        <vt:lpwstr>https://www.bushfirereadyschools.com.au/disaster-resilience-education-disaster-risk-education-action/strathewen-primary-school</vt:lpwstr>
      </vt:variant>
      <vt:variant>
        <vt:lpwstr/>
      </vt:variant>
      <vt:variant>
        <vt:i4>2752546</vt:i4>
      </vt:variant>
      <vt:variant>
        <vt:i4>105</vt:i4>
      </vt:variant>
      <vt:variant>
        <vt:i4>0</vt:i4>
      </vt:variant>
      <vt:variant>
        <vt:i4>5</vt:i4>
      </vt:variant>
      <vt:variant>
        <vt:lpwstr>https://www.abc.net.au/news/2019-08-29/strathewen-children-bushfire-education-program/11459508</vt:lpwstr>
      </vt:variant>
      <vt:variant>
        <vt:lpwstr/>
      </vt:variant>
      <vt:variant>
        <vt:i4>4784204</vt:i4>
      </vt:variant>
      <vt:variant>
        <vt:i4>102</vt:i4>
      </vt:variant>
      <vt:variant>
        <vt:i4>0</vt:i4>
      </vt:variant>
      <vt:variant>
        <vt:i4>5</vt:i4>
      </vt:variant>
      <vt:variant>
        <vt:lpwstr>https://emergingminds.com.au/resources/psychological-first-aid-tip-card/</vt:lpwstr>
      </vt:variant>
      <vt:variant>
        <vt:lpwstr/>
      </vt:variant>
      <vt:variant>
        <vt:i4>2293867</vt:i4>
      </vt:variant>
      <vt:variant>
        <vt:i4>99</vt:i4>
      </vt:variant>
      <vt:variant>
        <vt:i4>0</vt:i4>
      </vt:variant>
      <vt:variant>
        <vt:i4>5</vt:i4>
      </vt:variant>
      <vt:variant>
        <vt:lpwstr>https://www.redcross.org.au/get-help/emergencies/resources-about-disasters/resources-for-parents-and-teachers</vt:lpwstr>
      </vt:variant>
      <vt:variant>
        <vt:lpwstr>prepare</vt:lpwstr>
      </vt:variant>
      <vt:variant>
        <vt:i4>4980861</vt:i4>
      </vt:variant>
      <vt:variant>
        <vt:i4>96</vt:i4>
      </vt:variant>
      <vt:variant>
        <vt:i4>0</vt:i4>
      </vt:variant>
      <vt:variant>
        <vt:i4>5</vt:i4>
      </vt:variant>
      <vt:variant>
        <vt:lpwstr>https://www.schools.aidr.org.au/disaster-resilience-education/teaching-resources/</vt:lpwstr>
      </vt:variant>
      <vt:variant>
        <vt:lpwstr>/</vt:lpwstr>
      </vt:variant>
      <vt:variant>
        <vt:i4>2228335</vt:i4>
      </vt:variant>
      <vt:variant>
        <vt:i4>93</vt:i4>
      </vt:variant>
      <vt:variant>
        <vt:i4>0</vt:i4>
      </vt:variant>
      <vt:variant>
        <vt:i4>5</vt:i4>
      </vt:variant>
      <vt:variant>
        <vt:lpwstr>https://www.unicef.org.au/appeals/bushfire-and-drought-response</vt:lpwstr>
      </vt:variant>
      <vt:variant>
        <vt:lpwstr/>
      </vt:variant>
      <vt:variant>
        <vt:i4>2883618</vt:i4>
      </vt:variant>
      <vt:variant>
        <vt:i4>90</vt:i4>
      </vt:variant>
      <vt:variant>
        <vt:i4>0</vt:i4>
      </vt:variant>
      <vt:variant>
        <vt:i4>5</vt:i4>
      </vt:variant>
      <vt:variant>
        <vt:lpwstr>http://www.unicef.org.au/Upload/UNICEF/Media/Documents/Drought-Report-2019.pdf</vt:lpwstr>
      </vt:variant>
      <vt:variant>
        <vt:lpwstr/>
      </vt:variant>
      <vt:variant>
        <vt:i4>2883618</vt:i4>
      </vt:variant>
      <vt:variant>
        <vt:i4>87</vt:i4>
      </vt:variant>
      <vt:variant>
        <vt:i4>0</vt:i4>
      </vt:variant>
      <vt:variant>
        <vt:i4>5</vt:i4>
      </vt:variant>
      <vt:variant>
        <vt:lpwstr>http://www.unicef.org.au/Upload/UNICEF/Media/Documents/Drought-Report-2019.pdf</vt:lpwstr>
      </vt:variant>
      <vt:variant>
        <vt:lpwstr/>
      </vt:variant>
      <vt:variant>
        <vt:i4>2097214</vt:i4>
      </vt:variant>
      <vt:variant>
        <vt:i4>84</vt:i4>
      </vt:variant>
      <vt:variant>
        <vt:i4>0</vt:i4>
      </vt:variant>
      <vt:variant>
        <vt:i4>5</vt:i4>
      </vt:variant>
      <vt:variant>
        <vt:lpwstr>https://capeyorkpartnership.org.au/our-partnership/cape-york-girl-academy/</vt:lpwstr>
      </vt:variant>
      <vt:variant>
        <vt:lpwstr/>
      </vt:variant>
      <vt:variant>
        <vt:i4>5570635</vt:i4>
      </vt:variant>
      <vt:variant>
        <vt:i4>81</vt:i4>
      </vt:variant>
      <vt:variant>
        <vt:i4>0</vt:i4>
      </vt:variant>
      <vt:variant>
        <vt:i4>5</vt:i4>
      </vt:variant>
      <vt:variant>
        <vt:lpwstr>https://www.portschool.wa.edu.au/school-programs/young-parent-centre/</vt:lpwstr>
      </vt:variant>
      <vt:variant>
        <vt:lpwstr/>
      </vt:variant>
      <vt:variant>
        <vt:i4>1048586</vt:i4>
      </vt:variant>
      <vt:variant>
        <vt:i4>78</vt:i4>
      </vt:variant>
      <vt:variant>
        <vt:i4>0</vt:i4>
      </vt:variant>
      <vt:variant>
        <vt:i4>5</vt:i4>
      </vt:variant>
      <vt:variant>
        <vt:lpwstr>http://stemm.com.au/</vt:lpwstr>
      </vt:variant>
      <vt:variant>
        <vt:lpwstr/>
      </vt:variant>
      <vt:variant>
        <vt:i4>1048586</vt:i4>
      </vt:variant>
      <vt:variant>
        <vt:i4>75</vt:i4>
      </vt:variant>
      <vt:variant>
        <vt:i4>0</vt:i4>
      </vt:variant>
      <vt:variant>
        <vt:i4>5</vt:i4>
      </vt:variant>
      <vt:variant>
        <vt:lpwstr>http://stemm.com.au/</vt:lpwstr>
      </vt:variant>
      <vt:variant>
        <vt:lpwstr/>
      </vt:variant>
      <vt:variant>
        <vt:i4>8061047</vt:i4>
      </vt:variant>
      <vt:variant>
        <vt:i4>72</vt:i4>
      </vt:variant>
      <vt:variant>
        <vt:i4>0</vt:i4>
      </vt:variant>
      <vt:variant>
        <vt:i4>5</vt:i4>
      </vt:variant>
      <vt:variant>
        <vt:lpwstr>http://stat.data.abs.gov.au/Index.aspx?QueryId=503</vt:lpwstr>
      </vt:variant>
      <vt:variant>
        <vt:lpwstr/>
      </vt:variant>
      <vt:variant>
        <vt:i4>5832831</vt:i4>
      </vt:variant>
      <vt:variant>
        <vt:i4>69</vt:i4>
      </vt:variant>
      <vt:variant>
        <vt:i4>0</vt:i4>
      </vt:variant>
      <vt:variant>
        <vt:i4>5</vt:i4>
      </vt:variant>
      <vt:variant>
        <vt:lpwstr>http://www.abs.gov.au/ausstats/abs@.nsf/mf/3301.0</vt:lpwstr>
      </vt:variant>
      <vt:variant>
        <vt:lpwstr/>
      </vt:variant>
      <vt:variant>
        <vt:i4>6291569</vt:i4>
      </vt:variant>
      <vt:variant>
        <vt:i4>66</vt:i4>
      </vt:variant>
      <vt:variant>
        <vt:i4>0</vt:i4>
      </vt:variant>
      <vt:variant>
        <vt:i4>5</vt:i4>
      </vt:variant>
      <vt:variant>
        <vt:lpwstr>http://fpdn.org.au/wpcontent/uploads/2017/05/Senate-Standing-Committee-on-Community-Affairs-Inquiry-into-Delivery-ofOutcomes-under-the-National-Disability-Strategy-2010-2020-to-build-inclusive-and-accessiblecommunities.pdf</vt:lpwstr>
      </vt:variant>
      <vt:variant>
        <vt:lpwstr/>
      </vt:variant>
      <vt:variant>
        <vt:i4>5570624</vt:i4>
      </vt:variant>
      <vt:variant>
        <vt:i4>63</vt:i4>
      </vt:variant>
      <vt:variant>
        <vt:i4>0</vt:i4>
      </vt:variant>
      <vt:variant>
        <vt:i4>5</vt:i4>
      </vt:variant>
      <vt:variant>
        <vt:lpwstr>https://www.aph.gov.au/Parliamentary_Business/Committees/Joint/National_Disability_Insurance_Scheme/MarketReadiness/Report</vt:lpwstr>
      </vt:variant>
      <vt:variant>
        <vt:lpwstr/>
      </vt:variant>
      <vt:variant>
        <vt:i4>8126569</vt:i4>
      </vt:variant>
      <vt:variant>
        <vt:i4>60</vt:i4>
      </vt:variant>
      <vt:variant>
        <vt:i4>0</vt:i4>
      </vt:variant>
      <vt:variant>
        <vt:i4>5</vt:i4>
      </vt:variant>
      <vt:variant>
        <vt:lpwstr>https://www.humanrights.gov.au/our-work/disability-rights/projects/shaping-ourfuture-discussions-disability-rights</vt:lpwstr>
      </vt:variant>
      <vt:variant>
        <vt:lpwstr/>
      </vt:variant>
      <vt:variant>
        <vt:i4>5242958</vt:i4>
      </vt:variant>
      <vt:variant>
        <vt:i4>57</vt:i4>
      </vt:variant>
      <vt:variant>
        <vt:i4>0</vt:i4>
      </vt:variant>
      <vt:variant>
        <vt:i4>5</vt:i4>
      </vt:variant>
      <vt:variant>
        <vt:lpwstr>https://www.dss.gov.au/ourresponsibilities/disability-and-carers/publications-articles/policy-research/shut-out-the-experience-ofpeople-with-disabilities-and-their-families-in-australia</vt:lpwstr>
      </vt:variant>
      <vt:variant>
        <vt:lpwstr/>
      </vt:variant>
      <vt:variant>
        <vt:i4>8061025</vt:i4>
      </vt:variant>
      <vt:variant>
        <vt:i4>54</vt:i4>
      </vt:variant>
      <vt:variant>
        <vt:i4>0</vt:i4>
      </vt:variant>
      <vt:variant>
        <vt:i4>5</vt:i4>
      </vt:variant>
      <vt:variant>
        <vt:lpwstr>http://www.royalfarwest.org.au/wp-content/uploads/2017/12/Invisible-childrenweb.pdf</vt:lpwstr>
      </vt:variant>
      <vt:variant>
        <vt:lpwstr/>
      </vt:variant>
      <vt:variant>
        <vt:i4>8061025</vt:i4>
      </vt:variant>
      <vt:variant>
        <vt:i4>51</vt:i4>
      </vt:variant>
      <vt:variant>
        <vt:i4>0</vt:i4>
      </vt:variant>
      <vt:variant>
        <vt:i4>5</vt:i4>
      </vt:variant>
      <vt:variant>
        <vt:lpwstr>http://www.royalfarwest.org.au/wp-content/uploads/2017/12/Invisible-childrenweb.pdf</vt:lpwstr>
      </vt:variant>
      <vt:variant>
        <vt:lpwstr/>
      </vt:variant>
      <vt:variant>
        <vt:i4>1572930</vt:i4>
      </vt:variant>
      <vt:variant>
        <vt:i4>48</vt:i4>
      </vt:variant>
      <vt:variant>
        <vt:i4>0</vt:i4>
      </vt:variant>
      <vt:variant>
        <vt:i4>5</vt:i4>
      </vt:variant>
      <vt:variant>
        <vt:lpwstr>https://docs.education.gov.au/node/50281</vt:lpwstr>
      </vt:variant>
      <vt:variant>
        <vt:lpwstr/>
      </vt:variant>
      <vt:variant>
        <vt:i4>2883686</vt:i4>
      </vt:variant>
      <vt:variant>
        <vt:i4>45</vt:i4>
      </vt:variant>
      <vt:variant>
        <vt:i4>0</vt:i4>
      </vt:variant>
      <vt:variant>
        <vt:i4>5</vt:i4>
      </vt:variant>
      <vt:variant>
        <vt:lpwstr>https://www.childrensground.org.au/page/18/publications</vt:lpwstr>
      </vt:variant>
      <vt:variant>
        <vt:lpwstr/>
      </vt:variant>
      <vt:variant>
        <vt:i4>327699</vt:i4>
      </vt:variant>
      <vt:variant>
        <vt:i4>42</vt:i4>
      </vt:variant>
      <vt:variant>
        <vt:i4>0</vt:i4>
      </vt:variant>
      <vt:variant>
        <vt:i4>5</vt:i4>
      </vt:variant>
      <vt:variant>
        <vt:lpwstr>https://www.humanrights.gov.au/our-work/publications/submissions-childrens-rights-report-2019/submissions-childrens-rights-report</vt:lpwstr>
      </vt:variant>
      <vt:variant>
        <vt:lpwstr/>
      </vt:variant>
      <vt:variant>
        <vt:i4>2424881</vt:i4>
      </vt:variant>
      <vt:variant>
        <vt:i4>39</vt:i4>
      </vt:variant>
      <vt:variant>
        <vt:i4>0</vt:i4>
      </vt:variant>
      <vt:variant>
        <vt:i4>5</vt:i4>
      </vt:variant>
      <vt:variant>
        <vt:lpwstr>https://contactinc.org.au/</vt:lpwstr>
      </vt:variant>
      <vt:variant>
        <vt:lpwstr/>
      </vt:variant>
      <vt:variant>
        <vt:i4>3538983</vt:i4>
      </vt:variant>
      <vt:variant>
        <vt:i4>36</vt:i4>
      </vt:variant>
      <vt:variant>
        <vt:i4>0</vt:i4>
      </vt:variant>
      <vt:variant>
        <vt:i4>5</vt:i4>
      </vt:variant>
      <vt:variant>
        <vt:lpwstr>http://www.humanrights.gov.au/publications/childrens-rights-report-2014</vt:lpwstr>
      </vt:variant>
      <vt:variant>
        <vt:lpwstr/>
      </vt:variant>
      <vt:variant>
        <vt:i4>8060983</vt:i4>
      </vt:variant>
      <vt:variant>
        <vt:i4>33</vt:i4>
      </vt:variant>
      <vt:variant>
        <vt:i4>0</vt:i4>
      </vt:variant>
      <vt:variant>
        <vt:i4>5</vt:i4>
      </vt:variant>
      <vt:variant>
        <vt:lpwstr>https://www.humanrights.gov.au/our-work/childrens-rights/publications/childrens-rights-report-2014</vt:lpwstr>
      </vt:variant>
      <vt:variant>
        <vt:lpwstr/>
      </vt:variant>
      <vt:variant>
        <vt:i4>7798836</vt:i4>
      </vt:variant>
      <vt:variant>
        <vt:i4>30</vt:i4>
      </vt:variant>
      <vt:variant>
        <vt:i4>0</vt:i4>
      </vt:variant>
      <vt:variant>
        <vt:i4>5</vt:i4>
      </vt:variant>
      <vt:variant>
        <vt:lpwstr>https://www.royalfarwest.org.au/the-invisible-children/</vt:lpwstr>
      </vt:variant>
      <vt:variant>
        <vt:lpwstr/>
      </vt:variant>
      <vt:variant>
        <vt:i4>1572930</vt:i4>
      </vt:variant>
      <vt:variant>
        <vt:i4>27</vt:i4>
      </vt:variant>
      <vt:variant>
        <vt:i4>0</vt:i4>
      </vt:variant>
      <vt:variant>
        <vt:i4>5</vt:i4>
      </vt:variant>
      <vt:variant>
        <vt:lpwstr>https://docs.education.gov.au/node/50281</vt:lpwstr>
      </vt:variant>
      <vt:variant>
        <vt:lpwstr/>
      </vt:variant>
      <vt:variant>
        <vt:i4>7077925</vt:i4>
      </vt:variant>
      <vt:variant>
        <vt:i4>24</vt:i4>
      </vt:variant>
      <vt:variant>
        <vt:i4>0</vt:i4>
      </vt:variant>
      <vt:variant>
        <vt:i4>5</vt:i4>
      </vt:variant>
      <vt:variant>
        <vt:lpwstr>http://unsr.jamesanaya.org/docs/annual/2013-ga-annual-report-en.pdf</vt:lpwstr>
      </vt:variant>
      <vt:variant>
        <vt:lpwstr/>
      </vt:variant>
      <vt:variant>
        <vt:i4>3997805</vt:i4>
      </vt:variant>
      <vt:variant>
        <vt:i4>21</vt:i4>
      </vt:variant>
      <vt:variant>
        <vt:i4>0</vt:i4>
      </vt:variant>
      <vt:variant>
        <vt:i4>5</vt:i4>
      </vt:variant>
      <vt:variant>
        <vt:lpwstr>https://www.humanrights.gov.au/our-work/rights-and-freedoms/projects/rural-and-remote-education-inquiry</vt:lpwstr>
      </vt:variant>
      <vt:variant>
        <vt:lpwstr/>
      </vt:variant>
      <vt:variant>
        <vt:i4>6225928</vt:i4>
      </vt:variant>
      <vt:variant>
        <vt:i4>18</vt:i4>
      </vt:variant>
      <vt:variant>
        <vt:i4>0</vt:i4>
      </vt:variant>
      <vt:variant>
        <vt:i4>5</vt:i4>
      </vt:variant>
      <vt:variant>
        <vt:lpwstr>https://www.humanrights.gov.au/our-work/aboriginal-and-torres-strait-islander-social-justice/projects/wiyi-yani-u-thangani-womens</vt:lpwstr>
      </vt:variant>
      <vt:variant>
        <vt:lpwstr/>
      </vt:variant>
      <vt:variant>
        <vt:i4>3276846</vt:i4>
      </vt:variant>
      <vt:variant>
        <vt:i4>15</vt:i4>
      </vt:variant>
      <vt:variant>
        <vt:i4>0</vt:i4>
      </vt:variant>
      <vt:variant>
        <vt:i4>5</vt:i4>
      </vt:variant>
      <vt:variant>
        <vt:lpwstr>https://www.humanrights.gov.au/our-work/childrens-rights/projects/childrens-rights-reports</vt:lpwstr>
      </vt:variant>
      <vt:variant>
        <vt:lpwstr/>
      </vt:variant>
      <vt:variant>
        <vt:i4>3997805</vt:i4>
      </vt:variant>
      <vt:variant>
        <vt:i4>12</vt:i4>
      </vt:variant>
      <vt:variant>
        <vt:i4>0</vt:i4>
      </vt:variant>
      <vt:variant>
        <vt:i4>5</vt:i4>
      </vt:variant>
      <vt:variant>
        <vt:lpwstr>https://www.humanrights.gov.au/our-work/rights-and-freedoms/projects/rural-and-remote-education-inquiry</vt:lpwstr>
      </vt:variant>
      <vt:variant>
        <vt:lpwstr/>
      </vt:variant>
      <vt:variant>
        <vt:i4>6094874</vt:i4>
      </vt:variant>
      <vt:variant>
        <vt:i4>9</vt:i4>
      </vt:variant>
      <vt:variant>
        <vt:i4>0</vt:i4>
      </vt:variant>
      <vt:variant>
        <vt:i4>5</vt:i4>
      </vt:variant>
      <vt:variant>
        <vt:lpwstr>https://www.humanrights.gov.au/our-work/aboriginal-and-torres-strait-islander-social-justice/publications/social-justice-reports</vt:lpwstr>
      </vt:variant>
      <vt:variant>
        <vt:lpwstr/>
      </vt:variant>
      <vt:variant>
        <vt:i4>6225928</vt:i4>
      </vt:variant>
      <vt:variant>
        <vt:i4>6</vt:i4>
      </vt:variant>
      <vt:variant>
        <vt:i4>0</vt:i4>
      </vt:variant>
      <vt:variant>
        <vt:i4>5</vt:i4>
      </vt:variant>
      <vt:variant>
        <vt:lpwstr>https://www.humanrights.gov.au/our-work/aboriginal-and-torres-strait-islander-social-justice/projects/wiyi-yani-u-thangani-womens</vt:lpwstr>
      </vt:variant>
      <vt:variant>
        <vt:lpwstr/>
      </vt:variant>
      <vt:variant>
        <vt:i4>3276846</vt:i4>
      </vt:variant>
      <vt:variant>
        <vt:i4>3</vt:i4>
      </vt:variant>
      <vt:variant>
        <vt:i4>0</vt:i4>
      </vt:variant>
      <vt:variant>
        <vt:i4>5</vt:i4>
      </vt:variant>
      <vt:variant>
        <vt:lpwstr>https://www.humanrights.gov.au/our-work/childrens-rights/projects/childrens-rights-reports</vt:lpwstr>
      </vt:variant>
      <vt:variant>
        <vt:lpwstr/>
      </vt:variant>
      <vt:variant>
        <vt:i4>3997805</vt:i4>
      </vt:variant>
      <vt:variant>
        <vt:i4>0</vt:i4>
      </vt:variant>
      <vt:variant>
        <vt:i4>0</vt:i4>
      </vt:variant>
      <vt:variant>
        <vt:i4>5</vt:i4>
      </vt:variant>
      <vt:variant>
        <vt:lpwstr>https://www.humanrights.gov.au/our-work/rights-and-freedoms/projects/rural-and-remote-education-inquiry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Susan Newell</dc:creator>
  <cp:keywords/>
  <cp:lastModifiedBy>Susan Newell</cp:lastModifiedBy>
  <cp:revision>966</cp:revision>
  <cp:lastPrinted>2020-02-13T03:52:00Z</cp:lastPrinted>
  <dcterms:created xsi:type="dcterms:W3CDTF">2020-01-23T06:07:00Z</dcterms:created>
  <dcterms:modified xsi:type="dcterms:W3CDTF">2020-02-13T03:53:00Z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0x01010044FEB2622FC73241B62C7C624CEE521F</vt:lpwstr>
  </property>
  <property fmtid="{D5CDD505-2E9C-101B-9397-08002B2CF9AE}" pid="3" name="TaxKeyword">
    <vt:lpwstr/>
  </property>
  <property fmtid="{D5CDD505-2E9C-101B-9397-08002B2CF9AE}" pid="4" name="Document Type">
    <vt:lpwstr/>
  </property>
</Properties>
</file>