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C4BD" w14:textId="77777777" w:rsidR="00591951" w:rsidRPr="00660A13" w:rsidRDefault="00625599" w:rsidP="00591951">
      <w:pPr>
        <w:tabs>
          <w:tab w:val="left" w:pos="3014"/>
        </w:tabs>
        <w:spacing w:after="3000"/>
        <w:rPr>
          <w:rStyle w:val="FootnoteReference"/>
          <w:rFonts w:ascii="Open Sans" w:hAnsi="Open Sans" w:cs="Open Sans"/>
        </w:rPr>
      </w:pPr>
      <w:r w:rsidRPr="00660A13">
        <w:rPr>
          <w:rFonts w:ascii="Open Sans" w:hAnsi="Open Sans" w:cs="Open Sans"/>
          <w:noProof/>
          <w:lang w:val="en-US" w:eastAsia="en-US"/>
        </w:rPr>
        <mc:AlternateContent>
          <mc:Choice Requires="wps">
            <w:drawing>
              <wp:anchor distT="0" distB="0" distL="114300" distR="114300" simplePos="0" relativeHeight="251657216" behindDoc="0" locked="0" layoutInCell="1" allowOverlap="1" wp14:anchorId="459F3703" wp14:editId="6C1DDF82">
                <wp:simplePos x="0" y="0"/>
                <wp:positionH relativeFrom="column">
                  <wp:posOffset>-532682</wp:posOffset>
                </wp:positionH>
                <wp:positionV relativeFrom="paragraph">
                  <wp:posOffset>2090033</wp:posOffset>
                </wp:positionV>
                <wp:extent cx="6282690" cy="757914"/>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757914"/>
                        </a:xfrm>
                        <a:prstGeom prst="rect">
                          <a:avLst/>
                        </a:prstGeom>
                        <a:noFill/>
                        <a:ln w="6350">
                          <a:noFill/>
                        </a:ln>
                        <a:effectLst/>
                      </wps:spPr>
                      <wps:txbx>
                        <w:txbxContent>
                          <w:p w14:paraId="7FA85F09" w14:textId="77777777" w:rsidR="008F0B6B" w:rsidRDefault="00324243" w:rsidP="00A11307">
                            <w:pPr>
                              <w:pStyle w:val="Subtitle"/>
                            </w:pPr>
                            <w:bookmarkStart w:id="0" w:name="_Toc12886504"/>
                            <w:bookmarkStart w:id="1" w:name="_Toc12349391"/>
                            <w:bookmarkStart w:id="2" w:name="_Toc12374738"/>
                            <w:bookmarkStart w:id="3" w:name="_Toc12882100"/>
                            <w:bookmarkStart w:id="4" w:name="_Toc12286391"/>
                            <w:bookmarkStart w:id="5" w:name="_Toc12286615"/>
                            <w:r w:rsidRPr="002863D7">
                              <w:t>Australian Human Rights Commission</w:t>
                            </w:r>
                            <w:bookmarkEnd w:id="0"/>
                            <w:r w:rsidRPr="002863D7">
                              <w:t xml:space="preserve"> </w:t>
                            </w:r>
                          </w:p>
                          <w:p w14:paraId="786E3BE5" w14:textId="77777777" w:rsidR="008F0B6B" w:rsidRDefault="00324243" w:rsidP="00A11307">
                            <w:pPr>
                              <w:pStyle w:val="Subtitle"/>
                            </w:pPr>
                            <w:bookmarkStart w:id="6" w:name="_Toc12886505"/>
                            <w:r w:rsidRPr="002863D7">
                              <w:t xml:space="preserve">Submission to the </w:t>
                            </w:r>
                            <w:r>
                              <w:t>Parliamentary Joint Committee</w:t>
                            </w:r>
                            <w:bookmarkEnd w:id="6"/>
                            <w:r>
                              <w:t xml:space="preserve"> </w:t>
                            </w:r>
                          </w:p>
                          <w:p w14:paraId="1D4EDE3C" w14:textId="7952CC22" w:rsidR="00324243" w:rsidRPr="00B74219" w:rsidRDefault="00324243" w:rsidP="00A11307">
                            <w:pPr>
                              <w:pStyle w:val="Subtitle"/>
                            </w:pPr>
                            <w:bookmarkStart w:id="7" w:name="_Toc12886506"/>
                            <w:r>
                              <w:t>on Intelligence and Security</w:t>
                            </w:r>
                            <w:bookmarkEnd w:id="1"/>
                            <w:bookmarkEnd w:id="2"/>
                            <w:bookmarkEnd w:id="3"/>
                            <w:bookmarkEnd w:id="7"/>
                          </w:p>
                          <w:p w14:paraId="75B073E4" w14:textId="77777777" w:rsidR="00324243" w:rsidRDefault="00324243"/>
                          <w:p w14:paraId="0D5AF8B4" w14:textId="77777777" w:rsidR="00324243" w:rsidRPr="00B74219" w:rsidRDefault="00324243" w:rsidP="00A11307">
                            <w:pPr>
                              <w:pStyle w:val="Subtitle"/>
                            </w:pPr>
                            <w:bookmarkStart w:id="8" w:name="_Toc12349392"/>
                            <w:bookmarkStart w:id="9" w:name="_Toc12374739"/>
                            <w:bookmarkStart w:id="10" w:name="_Toc12882101"/>
                            <w:bookmarkStart w:id="11" w:name="_Toc12886507"/>
                            <w:r w:rsidRPr="002863D7">
                              <w:t xml:space="preserve">Australian Human Rights Commission Submission to the </w:t>
                            </w:r>
                            <w:r>
                              <w:t>Parliamentary Joint Committee on Intelligence and Security</w:t>
                            </w:r>
                            <w:bookmarkEnd w:id="8"/>
                            <w:bookmarkEnd w:id="9"/>
                            <w:bookmarkEnd w:id="10"/>
                            <w:bookmarkEnd w:id="11"/>
                          </w:p>
                          <w:p w14:paraId="7603C311" w14:textId="77777777" w:rsidR="00BE11C2" w:rsidRDefault="00BE11C2"/>
                          <w:p w14:paraId="6D058220" w14:textId="095F4D6E" w:rsidR="00324243" w:rsidRPr="00B74219" w:rsidRDefault="00324243" w:rsidP="00A11307">
                            <w:pPr>
                              <w:pStyle w:val="Subtitle"/>
                            </w:pPr>
                            <w:bookmarkStart w:id="12" w:name="_Toc12349393"/>
                            <w:bookmarkStart w:id="13" w:name="_Toc12374740"/>
                            <w:bookmarkStart w:id="14" w:name="_Toc12882102"/>
                            <w:bookmarkStart w:id="15" w:name="_Toc12886508"/>
                            <w:r w:rsidRPr="002863D7">
                              <w:t xml:space="preserve">Australian Human Rights Commission Submission to the </w:t>
                            </w:r>
                            <w:r>
                              <w:t>Parliamentary Joint Committee on Intelligence and Security</w:t>
                            </w:r>
                            <w:bookmarkEnd w:id="4"/>
                            <w:bookmarkEnd w:id="5"/>
                            <w:bookmarkEnd w:id="12"/>
                            <w:bookmarkEnd w:id="13"/>
                            <w:bookmarkEnd w:id="14"/>
                            <w:bookmarkEnd w:id="15"/>
                          </w:p>
                          <w:p w14:paraId="075DF87E" w14:textId="77777777" w:rsidR="00324243" w:rsidRDefault="00324243"/>
                          <w:p w14:paraId="13DB7D4A" w14:textId="3B12BEC8" w:rsidR="00324243" w:rsidRPr="00B74219" w:rsidRDefault="00324243" w:rsidP="00A11307">
                            <w:pPr>
                              <w:pStyle w:val="Subtitle"/>
                            </w:pPr>
                            <w:bookmarkStart w:id="16" w:name="_Toc12286392"/>
                            <w:bookmarkStart w:id="17" w:name="_Toc12286616"/>
                            <w:bookmarkStart w:id="18" w:name="_Toc12349394"/>
                            <w:bookmarkStart w:id="19" w:name="_Toc12374741"/>
                            <w:bookmarkStart w:id="20" w:name="_Toc12882103"/>
                            <w:bookmarkStart w:id="21" w:name="_Toc12886509"/>
                            <w:r w:rsidRPr="002863D7">
                              <w:t xml:space="preserve">Australian Human Rights Commission Submission to the </w:t>
                            </w:r>
                            <w:r>
                              <w:t>Parliamentary Joint Committee on Intelligence and Security</w:t>
                            </w:r>
                            <w:bookmarkEnd w:id="16"/>
                            <w:bookmarkEnd w:id="17"/>
                            <w:bookmarkEnd w:id="18"/>
                            <w:bookmarkEnd w:id="19"/>
                            <w:bookmarkEnd w:id="20"/>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F3703" id="_x0000_t202" coordsize="21600,21600" o:spt="202" path="m,l,21600r21600,l21600,xe">
                <v:stroke joinstyle="miter"/>
                <v:path gradientshapeok="t" o:connecttype="rect"/>
              </v:shapetype>
              <v:shape id="Text Box 3" o:spid="_x0000_s1026" type="#_x0000_t202" style="position:absolute;margin-left:-41.95pt;margin-top:164.55pt;width:494.7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" filled="f" stroked="f" strokeweight=".5pt">
                <v:textbox>
                  <w:txbxContent>
                    <w:p w14:paraId="7FA85F09" w14:textId="77777777" w:rsidR="008F0B6B" w:rsidRDefault="00324243" w:rsidP="00A11307">
                      <w:pPr>
                        <w:pStyle w:val="Subtitle"/>
                      </w:pPr>
                      <w:bookmarkStart w:id="22" w:name="_Toc12886504"/>
                      <w:bookmarkStart w:id="23" w:name="_Toc12349391"/>
                      <w:bookmarkStart w:id="24" w:name="_Toc12374738"/>
                      <w:bookmarkStart w:id="25" w:name="_Toc12882100"/>
                      <w:bookmarkStart w:id="26" w:name="_Toc12286391"/>
                      <w:bookmarkStart w:id="27" w:name="_Toc12286615"/>
                      <w:r w:rsidRPr="002863D7">
                        <w:t>Australian Human Rights Commission</w:t>
                      </w:r>
                      <w:bookmarkEnd w:id="22"/>
                      <w:r w:rsidRPr="002863D7">
                        <w:t xml:space="preserve"> </w:t>
                      </w:r>
                    </w:p>
                    <w:p w14:paraId="786E3BE5" w14:textId="77777777" w:rsidR="008F0B6B" w:rsidRDefault="00324243" w:rsidP="00A11307">
                      <w:pPr>
                        <w:pStyle w:val="Subtitle"/>
                      </w:pPr>
                      <w:bookmarkStart w:id="28" w:name="_Toc12886505"/>
                      <w:r w:rsidRPr="002863D7">
                        <w:t xml:space="preserve">Submission to the </w:t>
                      </w:r>
                      <w:r>
                        <w:t>Parliamentary Joint Committee</w:t>
                      </w:r>
                      <w:bookmarkEnd w:id="28"/>
                      <w:r>
                        <w:t xml:space="preserve"> </w:t>
                      </w:r>
                    </w:p>
                    <w:p w14:paraId="1D4EDE3C" w14:textId="7952CC22" w:rsidR="00324243" w:rsidRPr="00B74219" w:rsidRDefault="00324243" w:rsidP="00A11307">
                      <w:pPr>
                        <w:pStyle w:val="Subtitle"/>
                      </w:pPr>
                      <w:bookmarkStart w:id="29" w:name="_Toc12886506"/>
                      <w:r>
                        <w:t>on Intelligence and Security</w:t>
                      </w:r>
                      <w:bookmarkEnd w:id="23"/>
                      <w:bookmarkEnd w:id="24"/>
                      <w:bookmarkEnd w:id="25"/>
                      <w:bookmarkEnd w:id="29"/>
                    </w:p>
                    <w:p w14:paraId="75B073E4" w14:textId="77777777" w:rsidR="00324243" w:rsidRDefault="00324243"/>
                    <w:p w14:paraId="0D5AF8B4" w14:textId="77777777" w:rsidR="00324243" w:rsidRPr="00B74219" w:rsidRDefault="00324243" w:rsidP="00A11307">
                      <w:pPr>
                        <w:pStyle w:val="Subtitle"/>
                      </w:pPr>
                      <w:bookmarkStart w:id="30" w:name="_Toc12349392"/>
                      <w:bookmarkStart w:id="31" w:name="_Toc12374739"/>
                      <w:bookmarkStart w:id="32" w:name="_Toc12882101"/>
                      <w:bookmarkStart w:id="33" w:name="_Toc12886507"/>
                      <w:r w:rsidRPr="002863D7">
                        <w:t xml:space="preserve">Australian Human Rights Commission Submission to the </w:t>
                      </w:r>
                      <w:r>
                        <w:t>Parliamentary Joint Committee on Intelligence and Security</w:t>
                      </w:r>
                      <w:bookmarkEnd w:id="30"/>
                      <w:bookmarkEnd w:id="31"/>
                      <w:bookmarkEnd w:id="32"/>
                      <w:bookmarkEnd w:id="33"/>
                    </w:p>
                    <w:p w14:paraId="7603C311" w14:textId="77777777" w:rsidR="00BE11C2" w:rsidRDefault="00BE11C2"/>
                    <w:p w14:paraId="6D058220" w14:textId="095F4D6E" w:rsidR="00324243" w:rsidRPr="00B74219" w:rsidRDefault="00324243" w:rsidP="00A11307">
                      <w:pPr>
                        <w:pStyle w:val="Subtitle"/>
                      </w:pPr>
                      <w:bookmarkStart w:id="34" w:name="_Toc12349393"/>
                      <w:bookmarkStart w:id="35" w:name="_Toc12374740"/>
                      <w:bookmarkStart w:id="36" w:name="_Toc12882102"/>
                      <w:bookmarkStart w:id="37" w:name="_Toc12886508"/>
                      <w:r w:rsidRPr="002863D7">
                        <w:t xml:space="preserve">Australian Human Rights Commission Submission to the </w:t>
                      </w:r>
                      <w:r>
                        <w:t>Parliamentary Joint Committee on Intelligence and Security</w:t>
                      </w:r>
                      <w:bookmarkEnd w:id="26"/>
                      <w:bookmarkEnd w:id="27"/>
                      <w:bookmarkEnd w:id="34"/>
                      <w:bookmarkEnd w:id="35"/>
                      <w:bookmarkEnd w:id="36"/>
                      <w:bookmarkEnd w:id="37"/>
                    </w:p>
                    <w:p w14:paraId="075DF87E" w14:textId="77777777" w:rsidR="00324243" w:rsidRDefault="00324243"/>
                    <w:p w14:paraId="13DB7D4A" w14:textId="3B12BEC8" w:rsidR="00324243" w:rsidRPr="00B74219" w:rsidRDefault="00324243" w:rsidP="00A11307">
                      <w:pPr>
                        <w:pStyle w:val="Subtitle"/>
                      </w:pPr>
                      <w:bookmarkStart w:id="38" w:name="_Toc12286392"/>
                      <w:bookmarkStart w:id="39" w:name="_Toc12286616"/>
                      <w:bookmarkStart w:id="40" w:name="_Toc12349394"/>
                      <w:bookmarkStart w:id="41" w:name="_Toc12374741"/>
                      <w:bookmarkStart w:id="42" w:name="_Toc12882103"/>
                      <w:bookmarkStart w:id="43" w:name="_Toc12886509"/>
                      <w:r w:rsidRPr="002863D7">
                        <w:t xml:space="preserve">Australian Human Rights Commission Submission to the </w:t>
                      </w:r>
                      <w:r>
                        <w:t>Parliamentary Joint Committee on Intelligence and Security</w:t>
                      </w:r>
                      <w:bookmarkEnd w:id="38"/>
                      <w:bookmarkEnd w:id="39"/>
                      <w:bookmarkEnd w:id="40"/>
                      <w:bookmarkEnd w:id="41"/>
                      <w:bookmarkEnd w:id="42"/>
                      <w:bookmarkEnd w:id="43"/>
                    </w:p>
                  </w:txbxContent>
                </v:textbox>
              </v:shape>
            </w:pict>
          </mc:Fallback>
        </mc:AlternateContent>
      </w:r>
      <w:r w:rsidR="00DF667E" w:rsidRPr="00660A13">
        <w:rPr>
          <w:rFonts w:ascii="Open Sans" w:hAnsi="Open Sans" w:cs="Open Sans"/>
          <w:noProof/>
          <w:lang w:val="en-US" w:eastAsia="en-US"/>
        </w:rPr>
        <mc:AlternateContent>
          <mc:Choice Requires="wps">
            <w:drawing>
              <wp:anchor distT="0" distB="0" distL="114300" distR="114300" simplePos="0" relativeHeight="251655168" behindDoc="0" locked="0" layoutInCell="1" allowOverlap="1" wp14:anchorId="268E4B46" wp14:editId="3BEA803E">
                <wp:simplePos x="0" y="0"/>
                <wp:positionH relativeFrom="column">
                  <wp:posOffset>856615</wp:posOffset>
                </wp:positionH>
                <wp:positionV relativeFrom="paragraph">
                  <wp:posOffset>-40005</wp:posOffset>
                </wp:positionV>
                <wp:extent cx="4876165" cy="2204085"/>
                <wp:effectExtent l="0" t="0" r="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2204085"/>
                        </a:xfrm>
                        <a:prstGeom prst="rect">
                          <a:avLst/>
                        </a:prstGeom>
                        <a:noFill/>
                        <a:ln w="6350">
                          <a:noFill/>
                        </a:ln>
                        <a:effectLst/>
                      </wps:spPr>
                      <wps:txbx>
                        <w:txbxContent>
                          <w:p w14:paraId="2B756260" w14:textId="77777777" w:rsidR="00324243" w:rsidRDefault="00324243" w:rsidP="00DF72E7">
                            <w:pPr>
                              <w:pStyle w:val="MainTitle"/>
                            </w:pPr>
                            <w:r>
                              <w:t xml:space="preserve">Review of the </w:t>
                            </w:r>
                          </w:p>
                          <w:p w14:paraId="514BCFD2" w14:textId="77777777" w:rsidR="00324243" w:rsidRDefault="00324243" w:rsidP="00DF72E7">
                            <w:pPr>
                              <w:pStyle w:val="MainTitle"/>
                            </w:pPr>
                            <w:r>
                              <w:t xml:space="preserve">mandatory data </w:t>
                            </w:r>
                          </w:p>
                          <w:p w14:paraId="6470880C" w14:textId="77777777" w:rsidR="00324243" w:rsidRDefault="00324243" w:rsidP="00DF72E7">
                            <w:pPr>
                              <w:pStyle w:val="MainTitle"/>
                            </w:pPr>
                            <w:r>
                              <w:t>retention regime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4B46" id="Text Box 1" o:spid="_x0000_s1027" type="#_x0000_t202" style="position:absolute;margin-left:67.45pt;margin-top:-3.15pt;width:383.95pt;height:1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" filled="f" stroked="f" strokeweight=".5pt">
                <v:textbox>
                  <w:txbxContent>
                    <w:p w14:paraId="2B756260" w14:textId="77777777" w:rsidR="00324243" w:rsidRDefault="00324243" w:rsidP="00DF72E7">
                      <w:pPr>
                        <w:pStyle w:val="MainTitle"/>
                      </w:pPr>
                      <w:r>
                        <w:t xml:space="preserve">Review of the </w:t>
                      </w:r>
                    </w:p>
                    <w:p w14:paraId="514BCFD2" w14:textId="77777777" w:rsidR="00324243" w:rsidRDefault="00324243" w:rsidP="00DF72E7">
                      <w:pPr>
                        <w:pStyle w:val="MainTitle"/>
                      </w:pPr>
                      <w:r>
                        <w:t xml:space="preserve">mandatory data </w:t>
                      </w:r>
                    </w:p>
                    <w:p w14:paraId="6470880C" w14:textId="77777777" w:rsidR="00324243" w:rsidRDefault="00324243" w:rsidP="00DF72E7">
                      <w:pPr>
                        <w:pStyle w:val="MainTitle"/>
                      </w:pPr>
                      <w:r>
                        <w:t>retention regime</w:t>
                      </w:r>
                    </w:p>
                  </w:txbxContent>
                </v:textbox>
              </v:shape>
            </w:pict>
          </mc:Fallback>
        </mc:AlternateContent>
      </w:r>
    </w:p>
    <w:p w14:paraId="158B490D" w14:textId="77777777" w:rsidR="00591951" w:rsidRPr="00660A13" w:rsidRDefault="00591951" w:rsidP="00EC0C3B">
      <w:pPr>
        <w:pStyle w:val="MainTitle"/>
        <w:jc w:val="center"/>
        <w:rPr>
          <w:rFonts w:ascii="Open Sans" w:hAnsi="Open Sans" w:cs="Open Sans"/>
          <w:sz w:val="44"/>
          <w:szCs w:val="44"/>
        </w:rPr>
      </w:pPr>
    </w:p>
    <w:p w14:paraId="1B7E28A7" w14:textId="77777777" w:rsidR="00DF667E" w:rsidRPr="00660A13" w:rsidRDefault="00DF667E" w:rsidP="00EC0C3B">
      <w:pPr>
        <w:pStyle w:val="MainTitle"/>
        <w:jc w:val="center"/>
        <w:rPr>
          <w:rFonts w:ascii="Open Sans" w:hAnsi="Open Sans" w:cs="Open Sans"/>
          <w:sz w:val="44"/>
          <w:szCs w:val="44"/>
        </w:rPr>
      </w:pPr>
      <w:r w:rsidRPr="00660A13">
        <w:rPr>
          <w:rFonts w:ascii="Open Sans" w:hAnsi="Open Sans" w:cs="Open Sans"/>
          <w:noProof/>
          <w:lang w:val="en-US" w:eastAsia="en-US"/>
        </w:rPr>
        <mc:AlternateContent>
          <mc:Choice Requires="wps">
            <w:drawing>
              <wp:anchor distT="0" distB="0" distL="114300" distR="114300" simplePos="0" relativeHeight="251659264" behindDoc="0" locked="0" layoutInCell="1" allowOverlap="1" wp14:anchorId="2E468CC3" wp14:editId="6392DE31">
                <wp:simplePos x="0" y="0"/>
                <wp:positionH relativeFrom="column">
                  <wp:posOffset>1981200</wp:posOffset>
                </wp:positionH>
                <wp:positionV relativeFrom="paragraph">
                  <wp:posOffset>176530</wp:posOffset>
                </wp:positionV>
                <wp:extent cx="3775075" cy="438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38150"/>
                        </a:xfrm>
                        <a:prstGeom prst="rect">
                          <a:avLst/>
                        </a:prstGeom>
                        <a:noFill/>
                        <a:ln w="6350">
                          <a:noFill/>
                        </a:ln>
                        <a:effectLst/>
                      </wps:spPr>
                      <wps:txbx>
                        <w:txbxContent>
                          <w:p w14:paraId="2040E636" w14:textId="77777777" w:rsidR="00324243" w:rsidRPr="00B74219" w:rsidRDefault="00324243" w:rsidP="002863D7">
                            <w:pPr>
                              <w:pStyle w:val="Date"/>
                            </w:pPr>
                            <w:r>
                              <w:t xml:space="preserve">1 July </w:t>
                            </w:r>
                            <w:r w:rsidRPr="002863D7">
                              <w:t>20</w:t>
                            </w:r>
                            <w:r>
                              <w:t>19</w:t>
                            </w:r>
                          </w:p>
                          <w:p w14:paraId="74CC6CF2" w14:textId="77777777" w:rsidR="00324243" w:rsidRDefault="00324243"/>
                          <w:p w14:paraId="617C7D1E" w14:textId="77777777" w:rsidR="00324243" w:rsidRPr="00B74219" w:rsidRDefault="00324243" w:rsidP="002863D7">
                            <w:pPr>
                              <w:pStyle w:val="Date"/>
                            </w:pPr>
                            <w:r>
                              <w:t xml:space="preserve">1 July </w:t>
                            </w:r>
                            <w:r w:rsidRPr="002863D7">
                              <w:t>20</w:t>
                            </w:r>
                            <w:r>
                              <w:t>19</w:t>
                            </w:r>
                          </w:p>
                          <w:p w14:paraId="7FD8D5D1" w14:textId="77777777" w:rsidR="00BE11C2" w:rsidRDefault="00BE11C2"/>
                          <w:p w14:paraId="33706F00" w14:textId="77777777" w:rsidR="00324243" w:rsidRPr="00B74219" w:rsidRDefault="00324243" w:rsidP="002863D7">
                            <w:pPr>
                              <w:pStyle w:val="Date"/>
                            </w:pPr>
                            <w:r>
                              <w:t xml:space="preserve">1 July </w:t>
                            </w:r>
                            <w:r w:rsidRPr="002863D7">
                              <w:t>20</w:t>
                            </w:r>
                            <w:r>
                              <w:t>19</w:t>
                            </w:r>
                          </w:p>
                          <w:p w14:paraId="7B5F3168" w14:textId="77777777" w:rsidR="00324243" w:rsidRDefault="00324243"/>
                          <w:p w14:paraId="62C60628" w14:textId="77777777" w:rsidR="00324243" w:rsidRPr="00B74219" w:rsidRDefault="00324243" w:rsidP="002863D7">
                            <w:pPr>
                              <w:pStyle w:val="Date"/>
                            </w:pPr>
                            <w:r>
                              <w:t xml:space="preserve">1 July </w:t>
                            </w:r>
                            <w:r w:rsidRPr="002863D7">
                              <w:t>20</w:t>
                            </w:r>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68CC3" id="Text Box 4" o:spid="_x0000_s1028" type="#_x0000_t202" style="position:absolute;left:0;text-align:left;margin-left:156pt;margin-top:13.9pt;width:297.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" filled="f" stroked="f" strokeweight=".5pt">
                <v:textbox>
                  <w:txbxContent>
                    <w:p w14:paraId="2040E636" w14:textId="77777777" w:rsidR="00324243" w:rsidRPr="00B74219" w:rsidRDefault="00324243" w:rsidP="002863D7">
                      <w:pPr>
                        <w:pStyle w:val="Date"/>
                      </w:pPr>
                      <w:r>
                        <w:t xml:space="preserve">1 July </w:t>
                      </w:r>
                      <w:r w:rsidRPr="002863D7">
                        <w:t>20</w:t>
                      </w:r>
                      <w:r>
                        <w:t>19</w:t>
                      </w:r>
                    </w:p>
                    <w:p w14:paraId="74CC6CF2" w14:textId="77777777" w:rsidR="00324243" w:rsidRDefault="00324243"/>
                    <w:p w14:paraId="617C7D1E" w14:textId="77777777" w:rsidR="00324243" w:rsidRPr="00B74219" w:rsidRDefault="00324243" w:rsidP="002863D7">
                      <w:pPr>
                        <w:pStyle w:val="Date"/>
                      </w:pPr>
                      <w:r>
                        <w:t xml:space="preserve">1 July </w:t>
                      </w:r>
                      <w:r w:rsidRPr="002863D7">
                        <w:t>20</w:t>
                      </w:r>
                      <w:r>
                        <w:t>19</w:t>
                      </w:r>
                    </w:p>
                    <w:p w14:paraId="7FD8D5D1" w14:textId="77777777" w:rsidR="00BE11C2" w:rsidRDefault="00BE11C2"/>
                    <w:p w14:paraId="33706F00" w14:textId="77777777" w:rsidR="00324243" w:rsidRPr="00B74219" w:rsidRDefault="00324243" w:rsidP="002863D7">
                      <w:pPr>
                        <w:pStyle w:val="Date"/>
                      </w:pPr>
                      <w:r>
                        <w:t xml:space="preserve">1 July </w:t>
                      </w:r>
                      <w:r w:rsidRPr="002863D7">
                        <w:t>20</w:t>
                      </w:r>
                      <w:r>
                        <w:t>19</w:t>
                      </w:r>
                    </w:p>
                    <w:p w14:paraId="7B5F3168" w14:textId="77777777" w:rsidR="00324243" w:rsidRDefault="00324243"/>
                    <w:p w14:paraId="62C60628" w14:textId="77777777" w:rsidR="00324243" w:rsidRPr="00B74219" w:rsidRDefault="00324243" w:rsidP="002863D7">
                      <w:pPr>
                        <w:pStyle w:val="Date"/>
                      </w:pPr>
                      <w:r>
                        <w:t xml:space="preserve">1 July </w:t>
                      </w:r>
                      <w:r w:rsidRPr="002863D7">
                        <w:t>20</w:t>
                      </w:r>
                      <w:r>
                        <w:t>19</w:t>
                      </w:r>
                    </w:p>
                  </w:txbxContent>
                </v:textbox>
              </v:shape>
            </w:pict>
          </mc:Fallback>
        </mc:AlternateContent>
      </w:r>
    </w:p>
    <w:p w14:paraId="51EA5998" w14:textId="77777777" w:rsidR="00DF667E" w:rsidRPr="00660A13" w:rsidRDefault="00DF667E" w:rsidP="00EC0C3B">
      <w:pPr>
        <w:pStyle w:val="MainTitle"/>
        <w:jc w:val="center"/>
        <w:rPr>
          <w:rFonts w:ascii="Open Sans" w:hAnsi="Open Sans" w:cs="Open Sans"/>
          <w:sz w:val="44"/>
          <w:szCs w:val="44"/>
        </w:rPr>
      </w:pPr>
    </w:p>
    <w:p w14:paraId="267C0EA3" w14:textId="77777777" w:rsidR="00DF667E" w:rsidRPr="00660A13" w:rsidRDefault="00DF667E" w:rsidP="00EC0C3B">
      <w:pPr>
        <w:pStyle w:val="MainTitle"/>
        <w:jc w:val="center"/>
        <w:rPr>
          <w:rFonts w:ascii="Open Sans" w:hAnsi="Open Sans" w:cs="Open Sans"/>
          <w:sz w:val="44"/>
          <w:szCs w:val="44"/>
        </w:rPr>
      </w:pPr>
    </w:p>
    <w:p w14:paraId="004A44B5" w14:textId="77777777" w:rsidR="00DF667E" w:rsidRPr="00660A13" w:rsidRDefault="00DF667E" w:rsidP="00EC0C3B">
      <w:pPr>
        <w:pStyle w:val="MainTitle"/>
        <w:jc w:val="center"/>
        <w:rPr>
          <w:rFonts w:ascii="Open Sans" w:hAnsi="Open Sans" w:cs="Open Sans"/>
          <w:sz w:val="44"/>
          <w:szCs w:val="44"/>
        </w:rPr>
      </w:pPr>
    </w:p>
    <w:p w14:paraId="3C3A7DCA" w14:textId="77777777" w:rsidR="00DF667E" w:rsidRPr="00660A13" w:rsidRDefault="00DF667E" w:rsidP="00EC0C3B">
      <w:pPr>
        <w:pStyle w:val="MainTitle"/>
        <w:jc w:val="center"/>
        <w:rPr>
          <w:rFonts w:ascii="Open Sans" w:hAnsi="Open Sans" w:cs="Open Sans"/>
          <w:sz w:val="44"/>
          <w:szCs w:val="44"/>
        </w:rPr>
      </w:pPr>
    </w:p>
    <w:p w14:paraId="2AF88467" w14:textId="77777777" w:rsidR="00DF667E" w:rsidRPr="00660A13" w:rsidRDefault="00DF667E" w:rsidP="00EC0C3B">
      <w:pPr>
        <w:pStyle w:val="MainTitle"/>
        <w:jc w:val="center"/>
        <w:rPr>
          <w:rFonts w:ascii="Open Sans" w:hAnsi="Open Sans" w:cs="Open Sans"/>
          <w:sz w:val="44"/>
          <w:szCs w:val="44"/>
        </w:rPr>
      </w:pPr>
    </w:p>
    <w:p w14:paraId="1AFC395D" w14:textId="77777777" w:rsidR="00DF667E" w:rsidRPr="00660A13" w:rsidRDefault="00DF667E" w:rsidP="00EC0C3B">
      <w:pPr>
        <w:pStyle w:val="MainTitle"/>
        <w:jc w:val="center"/>
        <w:rPr>
          <w:rFonts w:ascii="Open Sans" w:hAnsi="Open Sans" w:cs="Open Sans"/>
          <w:sz w:val="44"/>
          <w:szCs w:val="44"/>
        </w:rPr>
      </w:pPr>
    </w:p>
    <w:p w14:paraId="5931655F" w14:textId="77777777" w:rsidR="00DF667E" w:rsidRPr="00660A13" w:rsidRDefault="00DF667E" w:rsidP="00EC0C3B">
      <w:pPr>
        <w:pStyle w:val="MainTitle"/>
        <w:jc w:val="center"/>
        <w:rPr>
          <w:rFonts w:ascii="Open Sans" w:hAnsi="Open Sans" w:cs="Open Sans"/>
          <w:sz w:val="44"/>
          <w:szCs w:val="44"/>
        </w:rPr>
      </w:pPr>
    </w:p>
    <w:p w14:paraId="570ADD61" w14:textId="77777777" w:rsidR="00B924E6" w:rsidRPr="00660A13" w:rsidRDefault="00B924E6" w:rsidP="00E26B28">
      <w:pPr>
        <w:rPr>
          <w:rFonts w:ascii="Open Sans" w:hAnsi="Open Sans" w:cs="Open Sans"/>
        </w:rPr>
        <w:sectPr w:rsidR="00B924E6" w:rsidRPr="00660A13"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44" w:name="_Toc209316062"/>
      <w:bookmarkEnd w:id="44"/>
    </w:p>
    <w:p w14:paraId="4C11BD66" w14:textId="77777777" w:rsidR="00D91D27" w:rsidRPr="00CF4D69" w:rsidRDefault="00B63D24" w:rsidP="00E873F3">
      <w:pPr>
        <w:rPr>
          <w:rFonts w:ascii="Open Sans" w:hAnsi="Open Sans" w:cs="Open Sans"/>
          <w:noProof/>
          <w:sz w:val="22"/>
          <w:szCs w:val="22"/>
        </w:rPr>
      </w:pPr>
      <w:bookmarkStart w:id="45" w:name="_Toc207761829"/>
      <w:r w:rsidRPr="00660A13">
        <w:rPr>
          <w:rFonts w:ascii="Open Sans" w:hAnsi="Open Sans" w:cs="Open Sans"/>
          <w:b/>
          <w:sz w:val="28"/>
          <w:szCs w:val="28"/>
        </w:rPr>
        <w:lastRenderedPageBreak/>
        <w:t>Table of Contents</w:t>
      </w:r>
      <w:bookmarkEnd w:id="45"/>
      <w:r w:rsidRPr="00CF4D69">
        <w:rPr>
          <w:rFonts w:ascii="Open Sans" w:hAnsi="Open Sans" w:cs="Open Sans"/>
          <w:b/>
          <w:i/>
          <w:noProof/>
          <w:sz w:val="22"/>
          <w:szCs w:val="22"/>
        </w:rPr>
        <w:fldChar w:fldCharType="begin"/>
      </w:r>
      <w:r w:rsidRPr="00CF4D69">
        <w:rPr>
          <w:rFonts w:ascii="Open Sans" w:hAnsi="Open Sans" w:cs="Open Sans"/>
          <w:sz w:val="22"/>
          <w:szCs w:val="22"/>
        </w:rPr>
        <w:instrText xml:space="preserve"> TOC \o "1-4" \h \z \u </w:instrText>
      </w:r>
      <w:r w:rsidRPr="00CF4D69">
        <w:rPr>
          <w:rFonts w:ascii="Open Sans" w:hAnsi="Open Sans" w:cs="Open Sans"/>
          <w:b/>
          <w:i/>
          <w:noProof/>
          <w:sz w:val="22"/>
          <w:szCs w:val="22"/>
        </w:rPr>
        <w:fldChar w:fldCharType="separate"/>
      </w:r>
    </w:p>
    <w:p w14:paraId="7B3E5635" w14:textId="20AB8F2A" w:rsidR="00D91D27" w:rsidRPr="00CF4D69" w:rsidRDefault="00CF4D69">
      <w:pPr>
        <w:pStyle w:val="TOC1"/>
        <w:rPr>
          <w:rFonts w:ascii="Open Sans" w:eastAsiaTheme="minorEastAsia" w:hAnsi="Open Sans" w:cs="Open Sans"/>
          <w:b w:val="0"/>
          <w:szCs w:val="22"/>
        </w:rPr>
      </w:pPr>
      <w:hyperlink w:anchor="_Toc12886510" w:history="1">
        <w:r w:rsidR="00D91D27" w:rsidRPr="00CF4D69">
          <w:rPr>
            <w:rStyle w:val="Hyperlink"/>
            <w:rFonts w:ascii="Open Sans" w:hAnsi="Open Sans" w:cs="Open Sans"/>
            <w:szCs w:val="22"/>
          </w:rPr>
          <w:t>1</w:t>
        </w:r>
        <w:r w:rsidR="00D91D27" w:rsidRPr="00CF4D69">
          <w:rPr>
            <w:rFonts w:ascii="Open Sans" w:eastAsiaTheme="minorEastAsia" w:hAnsi="Open Sans" w:cs="Open Sans"/>
            <w:b w:val="0"/>
            <w:szCs w:val="22"/>
          </w:rPr>
          <w:tab/>
        </w:r>
        <w:r w:rsidR="00D91D27" w:rsidRPr="00CF4D69">
          <w:rPr>
            <w:rStyle w:val="Hyperlink"/>
            <w:rFonts w:ascii="Open Sans" w:hAnsi="Open Sans" w:cs="Open Sans"/>
            <w:szCs w:val="22"/>
          </w:rPr>
          <w:t>Executive Summary</w:t>
        </w:r>
        <w:r w:rsidR="00D91D27" w:rsidRPr="00CF4D69">
          <w:rPr>
            <w:rFonts w:ascii="Open Sans" w:hAnsi="Open Sans" w:cs="Open Sans"/>
            <w:webHidden/>
            <w:szCs w:val="22"/>
          </w:rPr>
          <w:tab/>
        </w:r>
        <w:r w:rsidR="00D91D27" w:rsidRPr="00CF4D69">
          <w:rPr>
            <w:rFonts w:ascii="Open Sans" w:hAnsi="Open Sans" w:cs="Open Sans"/>
            <w:webHidden/>
            <w:szCs w:val="22"/>
          </w:rPr>
          <w:fldChar w:fldCharType="begin"/>
        </w:r>
        <w:r w:rsidR="00D91D27" w:rsidRPr="00CF4D69">
          <w:rPr>
            <w:rFonts w:ascii="Open Sans" w:hAnsi="Open Sans" w:cs="Open Sans"/>
            <w:webHidden/>
            <w:szCs w:val="22"/>
          </w:rPr>
          <w:instrText xml:space="preserve"> PAGEREF _Toc12886510 \h </w:instrText>
        </w:r>
        <w:r w:rsidR="00D91D27" w:rsidRPr="00CF4D69">
          <w:rPr>
            <w:rFonts w:ascii="Open Sans" w:hAnsi="Open Sans" w:cs="Open Sans"/>
            <w:webHidden/>
            <w:szCs w:val="22"/>
          </w:rPr>
        </w:r>
        <w:r w:rsidR="00D91D27" w:rsidRPr="00CF4D69">
          <w:rPr>
            <w:rFonts w:ascii="Open Sans" w:hAnsi="Open Sans" w:cs="Open Sans"/>
            <w:webHidden/>
            <w:szCs w:val="22"/>
          </w:rPr>
          <w:fldChar w:fldCharType="separate"/>
        </w:r>
        <w:r w:rsidR="00D91D27" w:rsidRPr="00CF4D69">
          <w:rPr>
            <w:rFonts w:ascii="Open Sans" w:hAnsi="Open Sans" w:cs="Open Sans"/>
            <w:webHidden/>
            <w:szCs w:val="22"/>
          </w:rPr>
          <w:t>3</w:t>
        </w:r>
        <w:r w:rsidR="00D91D27" w:rsidRPr="00CF4D69">
          <w:rPr>
            <w:rFonts w:ascii="Open Sans" w:hAnsi="Open Sans" w:cs="Open Sans"/>
            <w:webHidden/>
            <w:szCs w:val="22"/>
          </w:rPr>
          <w:fldChar w:fldCharType="end"/>
        </w:r>
      </w:hyperlink>
    </w:p>
    <w:p w14:paraId="217E3348" w14:textId="38DAB84F" w:rsidR="00D91D27" w:rsidRPr="00CF4D69" w:rsidRDefault="00CF4D69">
      <w:pPr>
        <w:pStyle w:val="TOC1"/>
        <w:rPr>
          <w:rFonts w:ascii="Open Sans" w:eastAsiaTheme="minorEastAsia" w:hAnsi="Open Sans" w:cs="Open Sans"/>
          <w:b w:val="0"/>
          <w:szCs w:val="22"/>
        </w:rPr>
      </w:pPr>
      <w:hyperlink w:anchor="_Toc12886511" w:history="1">
        <w:r w:rsidR="00D91D27" w:rsidRPr="00CF4D69">
          <w:rPr>
            <w:rStyle w:val="Hyperlink"/>
            <w:rFonts w:ascii="Open Sans" w:hAnsi="Open Sans" w:cs="Open Sans"/>
            <w:szCs w:val="22"/>
          </w:rPr>
          <w:t>2</w:t>
        </w:r>
        <w:r w:rsidR="00D91D27" w:rsidRPr="00CF4D69">
          <w:rPr>
            <w:rFonts w:ascii="Open Sans" w:eastAsiaTheme="minorEastAsia" w:hAnsi="Open Sans" w:cs="Open Sans"/>
            <w:b w:val="0"/>
            <w:szCs w:val="22"/>
          </w:rPr>
          <w:tab/>
        </w:r>
        <w:r w:rsidR="00D91D27" w:rsidRPr="00CF4D69">
          <w:rPr>
            <w:rStyle w:val="Hyperlink"/>
            <w:rFonts w:ascii="Open Sans" w:hAnsi="Open Sans" w:cs="Open Sans"/>
            <w:szCs w:val="22"/>
          </w:rPr>
          <w:t>Recommendations</w:t>
        </w:r>
        <w:r w:rsidR="00D91D27" w:rsidRPr="00CF4D69">
          <w:rPr>
            <w:rFonts w:ascii="Open Sans" w:hAnsi="Open Sans" w:cs="Open Sans"/>
            <w:webHidden/>
            <w:szCs w:val="22"/>
          </w:rPr>
          <w:tab/>
        </w:r>
        <w:r w:rsidR="00D91D27" w:rsidRPr="00CF4D69">
          <w:rPr>
            <w:rFonts w:ascii="Open Sans" w:hAnsi="Open Sans" w:cs="Open Sans"/>
            <w:webHidden/>
            <w:szCs w:val="22"/>
          </w:rPr>
          <w:fldChar w:fldCharType="begin"/>
        </w:r>
        <w:r w:rsidR="00D91D27" w:rsidRPr="00CF4D69">
          <w:rPr>
            <w:rFonts w:ascii="Open Sans" w:hAnsi="Open Sans" w:cs="Open Sans"/>
            <w:webHidden/>
            <w:szCs w:val="22"/>
          </w:rPr>
          <w:instrText xml:space="preserve"> PAGEREF _Toc12886511 \h </w:instrText>
        </w:r>
        <w:r w:rsidR="00D91D27" w:rsidRPr="00CF4D69">
          <w:rPr>
            <w:rFonts w:ascii="Open Sans" w:hAnsi="Open Sans" w:cs="Open Sans"/>
            <w:webHidden/>
            <w:szCs w:val="22"/>
          </w:rPr>
        </w:r>
        <w:r w:rsidR="00D91D27" w:rsidRPr="00CF4D69">
          <w:rPr>
            <w:rFonts w:ascii="Open Sans" w:hAnsi="Open Sans" w:cs="Open Sans"/>
            <w:webHidden/>
            <w:szCs w:val="22"/>
          </w:rPr>
          <w:fldChar w:fldCharType="separate"/>
        </w:r>
        <w:r w:rsidR="00D91D27" w:rsidRPr="00CF4D69">
          <w:rPr>
            <w:rFonts w:ascii="Open Sans" w:hAnsi="Open Sans" w:cs="Open Sans"/>
            <w:webHidden/>
            <w:szCs w:val="22"/>
          </w:rPr>
          <w:t>4</w:t>
        </w:r>
        <w:r w:rsidR="00D91D27" w:rsidRPr="00CF4D69">
          <w:rPr>
            <w:rFonts w:ascii="Open Sans" w:hAnsi="Open Sans" w:cs="Open Sans"/>
            <w:webHidden/>
            <w:szCs w:val="22"/>
          </w:rPr>
          <w:fldChar w:fldCharType="end"/>
        </w:r>
      </w:hyperlink>
    </w:p>
    <w:p w14:paraId="018206BC" w14:textId="1A574427" w:rsidR="00D91D27" w:rsidRPr="00CF4D69" w:rsidRDefault="00CF4D69">
      <w:pPr>
        <w:pStyle w:val="TOC1"/>
        <w:rPr>
          <w:rFonts w:ascii="Open Sans" w:eastAsiaTheme="minorEastAsia" w:hAnsi="Open Sans" w:cs="Open Sans"/>
          <w:b w:val="0"/>
          <w:szCs w:val="22"/>
        </w:rPr>
      </w:pPr>
      <w:hyperlink w:anchor="_Toc12886512" w:history="1">
        <w:r w:rsidR="00D91D27" w:rsidRPr="00CF4D69">
          <w:rPr>
            <w:rStyle w:val="Hyperlink"/>
            <w:rFonts w:ascii="Open Sans" w:hAnsi="Open Sans" w:cs="Open Sans"/>
            <w:szCs w:val="22"/>
          </w:rPr>
          <w:t>3</w:t>
        </w:r>
        <w:r w:rsidR="00D91D27" w:rsidRPr="00CF4D69">
          <w:rPr>
            <w:rFonts w:ascii="Open Sans" w:eastAsiaTheme="minorEastAsia" w:hAnsi="Open Sans" w:cs="Open Sans"/>
            <w:b w:val="0"/>
            <w:szCs w:val="22"/>
          </w:rPr>
          <w:tab/>
        </w:r>
        <w:r w:rsidR="00D91D27" w:rsidRPr="00CF4D69">
          <w:rPr>
            <w:rStyle w:val="Hyperlink"/>
            <w:rFonts w:ascii="Open Sans" w:hAnsi="Open Sans" w:cs="Open Sans"/>
            <w:szCs w:val="22"/>
          </w:rPr>
          <w:t>Human rights framework</w:t>
        </w:r>
        <w:r w:rsidR="00D91D27" w:rsidRPr="00CF4D69">
          <w:rPr>
            <w:rFonts w:ascii="Open Sans" w:hAnsi="Open Sans" w:cs="Open Sans"/>
            <w:webHidden/>
            <w:szCs w:val="22"/>
          </w:rPr>
          <w:tab/>
        </w:r>
        <w:r w:rsidR="00D91D27" w:rsidRPr="00CF4D69">
          <w:rPr>
            <w:rFonts w:ascii="Open Sans" w:hAnsi="Open Sans" w:cs="Open Sans"/>
            <w:webHidden/>
            <w:szCs w:val="22"/>
          </w:rPr>
          <w:fldChar w:fldCharType="begin"/>
        </w:r>
        <w:r w:rsidR="00D91D27" w:rsidRPr="00CF4D69">
          <w:rPr>
            <w:rFonts w:ascii="Open Sans" w:hAnsi="Open Sans" w:cs="Open Sans"/>
            <w:webHidden/>
            <w:szCs w:val="22"/>
          </w:rPr>
          <w:instrText xml:space="preserve"> PAGEREF _Toc12886512 \h </w:instrText>
        </w:r>
        <w:r w:rsidR="00D91D27" w:rsidRPr="00CF4D69">
          <w:rPr>
            <w:rFonts w:ascii="Open Sans" w:hAnsi="Open Sans" w:cs="Open Sans"/>
            <w:webHidden/>
            <w:szCs w:val="22"/>
          </w:rPr>
        </w:r>
        <w:r w:rsidR="00D91D27" w:rsidRPr="00CF4D69">
          <w:rPr>
            <w:rFonts w:ascii="Open Sans" w:hAnsi="Open Sans" w:cs="Open Sans"/>
            <w:webHidden/>
            <w:szCs w:val="22"/>
          </w:rPr>
          <w:fldChar w:fldCharType="separate"/>
        </w:r>
        <w:r w:rsidR="00D91D27" w:rsidRPr="00CF4D69">
          <w:rPr>
            <w:rFonts w:ascii="Open Sans" w:hAnsi="Open Sans" w:cs="Open Sans"/>
            <w:webHidden/>
            <w:szCs w:val="22"/>
          </w:rPr>
          <w:t>5</w:t>
        </w:r>
        <w:r w:rsidR="00D91D27" w:rsidRPr="00CF4D69">
          <w:rPr>
            <w:rFonts w:ascii="Open Sans" w:hAnsi="Open Sans" w:cs="Open Sans"/>
            <w:webHidden/>
            <w:szCs w:val="22"/>
          </w:rPr>
          <w:fldChar w:fldCharType="end"/>
        </w:r>
      </w:hyperlink>
    </w:p>
    <w:p w14:paraId="744908E6" w14:textId="38375F1C" w:rsidR="00D91D27" w:rsidRPr="00CF4D69" w:rsidRDefault="00CF4D69">
      <w:pPr>
        <w:pStyle w:val="TOC2"/>
        <w:rPr>
          <w:rFonts w:ascii="Open Sans" w:eastAsiaTheme="minorEastAsia" w:hAnsi="Open Sans" w:cs="Open Sans"/>
          <w:b w:val="0"/>
          <w:i w:val="0"/>
          <w:sz w:val="22"/>
          <w:szCs w:val="22"/>
        </w:rPr>
      </w:pPr>
      <w:hyperlink w:anchor="_Toc12886513" w:history="1">
        <w:r w:rsidR="00D91D27" w:rsidRPr="00CF4D69">
          <w:rPr>
            <w:rStyle w:val="Hyperlink"/>
            <w:rFonts w:ascii="Open Sans" w:hAnsi="Open Sans" w:cs="Open Sans"/>
            <w:sz w:val="22"/>
            <w:szCs w:val="22"/>
          </w:rPr>
          <w:t>3.1</w:t>
        </w:r>
        <w:r w:rsidR="00D91D27" w:rsidRPr="00CF4D69">
          <w:rPr>
            <w:rFonts w:ascii="Open Sans" w:eastAsiaTheme="minorEastAsia" w:hAnsi="Open Sans" w:cs="Open Sans"/>
            <w:b w:val="0"/>
            <w:i w:val="0"/>
            <w:sz w:val="22"/>
            <w:szCs w:val="22"/>
          </w:rPr>
          <w:tab/>
        </w:r>
        <w:r w:rsidR="00D91D27" w:rsidRPr="00CF4D69">
          <w:rPr>
            <w:rStyle w:val="Hyperlink"/>
            <w:rFonts w:ascii="Open Sans" w:hAnsi="Open Sans" w:cs="Open Sans"/>
            <w:sz w:val="22"/>
            <w:szCs w:val="22"/>
          </w:rPr>
          <w:t>Article 17 — the right to privacy</w:t>
        </w:r>
        <w:r w:rsidR="00D91D27" w:rsidRPr="00CF4D69">
          <w:rPr>
            <w:rFonts w:ascii="Open Sans" w:hAnsi="Open Sans" w:cs="Open Sans"/>
            <w:webHidden/>
            <w:sz w:val="22"/>
            <w:szCs w:val="22"/>
          </w:rPr>
          <w:tab/>
        </w:r>
        <w:r w:rsidR="00D91D27" w:rsidRPr="00CF4D69">
          <w:rPr>
            <w:rFonts w:ascii="Open Sans" w:hAnsi="Open Sans" w:cs="Open Sans"/>
            <w:i w:val="0"/>
            <w:iCs/>
            <w:webHidden/>
            <w:sz w:val="22"/>
            <w:szCs w:val="22"/>
          </w:rPr>
          <w:fldChar w:fldCharType="begin"/>
        </w:r>
        <w:r w:rsidR="00D91D27" w:rsidRPr="00CF4D69">
          <w:rPr>
            <w:rFonts w:ascii="Open Sans" w:hAnsi="Open Sans" w:cs="Open Sans"/>
            <w:i w:val="0"/>
            <w:iCs/>
            <w:webHidden/>
            <w:sz w:val="22"/>
            <w:szCs w:val="22"/>
          </w:rPr>
          <w:instrText xml:space="preserve"> PAGEREF _Toc12886513 \h </w:instrText>
        </w:r>
        <w:r w:rsidR="00D91D27" w:rsidRPr="00CF4D69">
          <w:rPr>
            <w:rFonts w:ascii="Open Sans" w:hAnsi="Open Sans" w:cs="Open Sans"/>
            <w:i w:val="0"/>
            <w:iCs/>
            <w:webHidden/>
            <w:sz w:val="22"/>
            <w:szCs w:val="22"/>
          </w:rPr>
        </w:r>
        <w:r w:rsidR="00D91D27" w:rsidRPr="00CF4D69">
          <w:rPr>
            <w:rFonts w:ascii="Open Sans" w:hAnsi="Open Sans" w:cs="Open Sans"/>
            <w:i w:val="0"/>
            <w:iCs/>
            <w:webHidden/>
            <w:sz w:val="22"/>
            <w:szCs w:val="22"/>
          </w:rPr>
          <w:fldChar w:fldCharType="separate"/>
        </w:r>
        <w:r w:rsidR="00D91D27" w:rsidRPr="00CF4D69">
          <w:rPr>
            <w:rFonts w:ascii="Open Sans" w:hAnsi="Open Sans" w:cs="Open Sans"/>
            <w:i w:val="0"/>
            <w:iCs/>
            <w:webHidden/>
            <w:sz w:val="22"/>
            <w:szCs w:val="22"/>
          </w:rPr>
          <w:t>5</w:t>
        </w:r>
        <w:r w:rsidR="00D91D27" w:rsidRPr="00CF4D69">
          <w:rPr>
            <w:rFonts w:ascii="Open Sans" w:hAnsi="Open Sans" w:cs="Open Sans"/>
            <w:i w:val="0"/>
            <w:iCs/>
            <w:webHidden/>
            <w:sz w:val="22"/>
            <w:szCs w:val="22"/>
          </w:rPr>
          <w:fldChar w:fldCharType="end"/>
        </w:r>
      </w:hyperlink>
    </w:p>
    <w:p w14:paraId="30E75F03" w14:textId="26B8E6EF" w:rsidR="00D91D27" w:rsidRPr="00CF4D69" w:rsidRDefault="00CF4D69">
      <w:pPr>
        <w:pStyle w:val="TOC2"/>
        <w:rPr>
          <w:rFonts w:ascii="Open Sans" w:eastAsiaTheme="minorEastAsia" w:hAnsi="Open Sans" w:cs="Open Sans"/>
          <w:b w:val="0"/>
          <w:i w:val="0"/>
          <w:sz w:val="22"/>
          <w:szCs w:val="22"/>
        </w:rPr>
      </w:pPr>
      <w:hyperlink w:anchor="_Toc12886514" w:history="1">
        <w:r w:rsidR="00D91D27" w:rsidRPr="00CF4D69">
          <w:rPr>
            <w:rStyle w:val="Hyperlink"/>
            <w:rFonts w:ascii="Open Sans" w:hAnsi="Open Sans" w:cs="Open Sans"/>
            <w:sz w:val="22"/>
            <w:szCs w:val="22"/>
          </w:rPr>
          <w:t>3.2</w:t>
        </w:r>
        <w:r w:rsidR="00D91D27" w:rsidRPr="00CF4D69">
          <w:rPr>
            <w:rFonts w:ascii="Open Sans" w:eastAsiaTheme="minorEastAsia" w:hAnsi="Open Sans" w:cs="Open Sans"/>
            <w:b w:val="0"/>
            <w:i w:val="0"/>
            <w:sz w:val="22"/>
            <w:szCs w:val="22"/>
          </w:rPr>
          <w:tab/>
        </w:r>
        <w:r w:rsidR="00D91D27" w:rsidRPr="00CF4D69">
          <w:rPr>
            <w:rStyle w:val="Hyperlink"/>
            <w:rFonts w:ascii="Open Sans" w:hAnsi="Open Sans" w:cs="Open Sans"/>
            <w:sz w:val="22"/>
            <w:szCs w:val="22"/>
          </w:rPr>
          <w:t>Article 19 — freedom of expression</w:t>
        </w:r>
        <w:r w:rsidR="00D91D27" w:rsidRPr="00CF4D69">
          <w:rPr>
            <w:rFonts w:ascii="Open Sans" w:hAnsi="Open Sans" w:cs="Open Sans"/>
            <w:webHidden/>
            <w:sz w:val="22"/>
            <w:szCs w:val="22"/>
          </w:rPr>
          <w:tab/>
        </w:r>
        <w:r w:rsidR="00D91D27" w:rsidRPr="00CF4D69">
          <w:rPr>
            <w:rFonts w:ascii="Open Sans" w:hAnsi="Open Sans" w:cs="Open Sans"/>
            <w:i w:val="0"/>
            <w:iCs/>
            <w:webHidden/>
            <w:sz w:val="22"/>
            <w:szCs w:val="22"/>
          </w:rPr>
          <w:fldChar w:fldCharType="begin"/>
        </w:r>
        <w:r w:rsidR="00D91D27" w:rsidRPr="00CF4D69">
          <w:rPr>
            <w:rFonts w:ascii="Open Sans" w:hAnsi="Open Sans" w:cs="Open Sans"/>
            <w:i w:val="0"/>
            <w:iCs/>
            <w:webHidden/>
            <w:sz w:val="22"/>
            <w:szCs w:val="22"/>
          </w:rPr>
          <w:instrText xml:space="preserve"> PAGEREF _Toc12886514 \h </w:instrText>
        </w:r>
        <w:r w:rsidR="00D91D27" w:rsidRPr="00CF4D69">
          <w:rPr>
            <w:rFonts w:ascii="Open Sans" w:hAnsi="Open Sans" w:cs="Open Sans"/>
            <w:i w:val="0"/>
            <w:iCs/>
            <w:webHidden/>
            <w:sz w:val="22"/>
            <w:szCs w:val="22"/>
          </w:rPr>
        </w:r>
        <w:r w:rsidR="00D91D27" w:rsidRPr="00CF4D69">
          <w:rPr>
            <w:rFonts w:ascii="Open Sans" w:hAnsi="Open Sans" w:cs="Open Sans"/>
            <w:i w:val="0"/>
            <w:iCs/>
            <w:webHidden/>
            <w:sz w:val="22"/>
            <w:szCs w:val="22"/>
          </w:rPr>
          <w:fldChar w:fldCharType="separate"/>
        </w:r>
        <w:r w:rsidR="00D91D27" w:rsidRPr="00CF4D69">
          <w:rPr>
            <w:rFonts w:ascii="Open Sans" w:hAnsi="Open Sans" w:cs="Open Sans"/>
            <w:i w:val="0"/>
            <w:iCs/>
            <w:webHidden/>
            <w:sz w:val="22"/>
            <w:szCs w:val="22"/>
          </w:rPr>
          <w:t>7</w:t>
        </w:r>
        <w:r w:rsidR="00D91D27" w:rsidRPr="00CF4D69">
          <w:rPr>
            <w:rFonts w:ascii="Open Sans" w:hAnsi="Open Sans" w:cs="Open Sans"/>
            <w:i w:val="0"/>
            <w:iCs/>
            <w:webHidden/>
            <w:sz w:val="22"/>
            <w:szCs w:val="22"/>
          </w:rPr>
          <w:fldChar w:fldCharType="end"/>
        </w:r>
      </w:hyperlink>
    </w:p>
    <w:p w14:paraId="3734B40E" w14:textId="3321C963" w:rsidR="00D91D27" w:rsidRPr="00CF4D69" w:rsidRDefault="00CF4D69">
      <w:pPr>
        <w:pStyle w:val="TOC1"/>
        <w:rPr>
          <w:rFonts w:ascii="Open Sans" w:eastAsiaTheme="minorEastAsia" w:hAnsi="Open Sans" w:cs="Open Sans"/>
          <w:b w:val="0"/>
          <w:szCs w:val="22"/>
        </w:rPr>
      </w:pPr>
      <w:hyperlink w:anchor="_Toc12886515" w:history="1">
        <w:r w:rsidR="00D91D27" w:rsidRPr="00CF4D69">
          <w:rPr>
            <w:rStyle w:val="Hyperlink"/>
            <w:rFonts w:ascii="Open Sans" w:hAnsi="Open Sans" w:cs="Open Sans"/>
            <w:szCs w:val="22"/>
          </w:rPr>
          <w:t>4</w:t>
        </w:r>
        <w:r w:rsidR="00D91D27" w:rsidRPr="00CF4D69">
          <w:rPr>
            <w:rFonts w:ascii="Open Sans" w:eastAsiaTheme="minorEastAsia" w:hAnsi="Open Sans" w:cs="Open Sans"/>
            <w:b w:val="0"/>
            <w:szCs w:val="22"/>
          </w:rPr>
          <w:tab/>
        </w:r>
        <w:r w:rsidR="00D91D27" w:rsidRPr="00CF4D69">
          <w:rPr>
            <w:rStyle w:val="Hyperlink"/>
            <w:rFonts w:ascii="Open Sans" w:hAnsi="Open Sans" w:cs="Open Sans"/>
            <w:szCs w:val="22"/>
          </w:rPr>
          <w:t>Key human rights concerns of the regime</w:t>
        </w:r>
        <w:r w:rsidR="00D91D27" w:rsidRPr="00CF4D69">
          <w:rPr>
            <w:rFonts w:ascii="Open Sans" w:hAnsi="Open Sans" w:cs="Open Sans"/>
            <w:webHidden/>
            <w:szCs w:val="22"/>
          </w:rPr>
          <w:tab/>
        </w:r>
        <w:r w:rsidR="00D91D27" w:rsidRPr="00CF4D69">
          <w:rPr>
            <w:rFonts w:ascii="Open Sans" w:hAnsi="Open Sans" w:cs="Open Sans"/>
            <w:webHidden/>
            <w:szCs w:val="22"/>
          </w:rPr>
          <w:fldChar w:fldCharType="begin"/>
        </w:r>
        <w:r w:rsidR="00D91D27" w:rsidRPr="00CF4D69">
          <w:rPr>
            <w:rFonts w:ascii="Open Sans" w:hAnsi="Open Sans" w:cs="Open Sans"/>
            <w:webHidden/>
            <w:szCs w:val="22"/>
          </w:rPr>
          <w:instrText xml:space="preserve"> PAGEREF _Toc12886515 \h </w:instrText>
        </w:r>
        <w:r w:rsidR="00D91D27" w:rsidRPr="00CF4D69">
          <w:rPr>
            <w:rFonts w:ascii="Open Sans" w:hAnsi="Open Sans" w:cs="Open Sans"/>
            <w:webHidden/>
            <w:szCs w:val="22"/>
          </w:rPr>
        </w:r>
        <w:r w:rsidR="00D91D27" w:rsidRPr="00CF4D69">
          <w:rPr>
            <w:rFonts w:ascii="Open Sans" w:hAnsi="Open Sans" w:cs="Open Sans"/>
            <w:webHidden/>
            <w:szCs w:val="22"/>
          </w:rPr>
          <w:fldChar w:fldCharType="separate"/>
        </w:r>
        <w:r w:rsidR="00D91D27" w:rsidRPr="00CF4D69">
          <w:rPr>
            <w:rFonts w:ascii="Open Sans" w:hAnsi="Open Sans" w:cs="Open Sans"/>
            <w:webHidden/>
            <w:szCs w:val="22"/>
          </w:rPr>
          <w:t>8</w:t>
        </w:r>
        <w:r w:rsidR="00D91D27" w:rsidRPr="00CF4D69">
          <w:rPr>
            <w:rFonts w:ascii="Open Sans" w:hAnsi="Open Sans" w:cs="Open Sans"/>
            <w:webHidden/>
            <w:szCs w:val="22"/>
          </w:rPr>
          <w:fldChar w:fldCharType="end"/>
        </w:r>
      </w:hyperlink>
    </w:p>
    <w:p w14:paraId="7BEC5F3D" w14:textId="57CCFD7D" w:rsidR="00D91D27" w:rsidRPr="00CF4D69" w:rsidRDefault="00CF4D69" w:rsidP="00D91D27">
      <w:pPr>
        <w:pStyle w:val="TOC2"/>
        <w:rPr>
          <w:rStyle w:val="Hyperlink"/>
          <w:rFonts w:ascii="Open Sans" w:hAnsi="Open Sans" w:cs="Open Sans"/>
          <w:sz w:val="22"/>
          <w:szCs w:val="22"/>
        </w:rPr>
      </w:pPr>
      <w:hyperlink w:anchor="_Toc12886516" w:history="1">
        <w:r w:rsidR="00D91D27" w:rsidRPr="00CF4D69">
          <w:rPr>
            <w:rStyle w:val="Hyperlink"/>
            <w:rFonts w:ascii="Open Sans" w:hAnsi="Open Sans" w:cs="Open Sans"/>
            <w:sz w:val="22"/>
            <w:szCs w:val="22"/>
          </w:rPr>
          <w:t>4.1</w:t>
        </w:r>
        <w:r w:rsidR="00D91D27" w:rsidRPr="00CF4D69">
          <w:rPr>
            <w:rStyle w:val="Hyperlink"/>
            <w:rFonts w:ascii="Open Sans" w:hAnsi="Open Sans" w:cs="Open Sans"/>
            <w:sz w:val="22"/>
            <w:szCs w:val="22"/>
          </w:rPr>
          <w:tab/>
          <w:t>Definition of ‘contents’ and ‘substance’</w:t>
        </w:r>
        <w:r w:rsidR="00D91D27" w:rsidRPr="00CF4D69">
          <w:rPr>
            <w:rStyle w:val="Hyperlink"/>
            <w:rFonts w:ascii="Open Sans" w:hAnsi="Open Sans" w:cs="Open Sans"/>
            <w:webHidden/>
            <w:sz w:val="22"/>
            <w:szCs w:val="22"/>
          </w:rPr>
          <w:tab/>
        </w:r>
        <w:r w:rsidR="00D91D27" w:rsidRPr="00CF4D69">
          <w:rPr>
            <w:rStyle w:val="Hyperlink"/>
            <w:rFonts w:ascii="Open Sans" w:hAnsi="Open Sans" w:cs="Open Sans"/>
            <w:i w:val="0"/>
            <w:iCs/>
            <w:webHidden/>
            <w:sz w:val="22"/>
            <w:szCs w:val="22"/>
          </w:rPr>
          <w:fldChar w:fldCharType="begin"/>
        </w:r>
        <w:r w:rsidR="00D91D27" w:rsidRPr="00CF4D69">
          <w:rPr>
            <w:rStyle w:val="Hyperlink"/>
            <w:rFonts w:ascii="Open Sans" w:hAnsi="Open Sans" w:cs="Open Sans"/>
            <w:i w:val="0"/>
            <w:iCs/>
            <w:webHidden/>
            <w:sz w:val="22"/>
            <w:szCs w:val="22"/>
          </w:rPr>
          <w:instrText xml:space="preserve"> PAGEREF _Toc12886516 \h </w:instrText>
        </w:r>
        <w:r w:rsidR="00D91D27" w:rsidRPr="00CF4D69">
          <w:rPr>
            <w:rStyle w:val="Hyperlink"/>
            <w:rFonts w:ascii="Open Sans" w:hAnsi="Open Sans" w:cs="Open Sans"/>
            <w:i w:val="0"/>
            <w:iCs/>
            <w:webHidden/>
            <w:sz w:val="22"/>
            <w:szCs w:val="22"/>
          </w:rPr>
        </w:r>
        <w:r w:rsidR="00D91D27" w:rsidRPr="00CF4D69">
          <w:rPr>
            <w:rStyle w:val="Hyperlink"/>
            <w:rFonts w:ascii="Open Sans" w:hAnsi="Open Sans" w:cs="Open Sans"/>
            <w:i w:val="0"/>
            <w:iCs/>
            <w:webHidden/>
            <w:sz w:val="22"/>
            <w:szCs w:val="22"/>
          </w:rPr>
          <w:fldChar w:fldCharType="separate"/>
        </w:r>
        <w:r w:rsidR="00D91D27" w:rsidRPr="00CF4D69">
          <w:rPr>
            <w:rStyle w:val="Hyperlink"/>
            <w:rFonts w:ascii="Open Sans" w:hAnsi="Open Sans" w:cs="Open Sans"/>
            <w:i w:val="0"/>
            <w:iCs/>
            <w:webHidden/>
            <w:sz w:val="22"/>
            <w:szCs w:val="22"/>
          </w:rPr>
          <w:t>8</w:t>
        </w:r>
        <w:r w:rsidR="00D91D27" w:rsidRPr="00CF4D69">
          <w:rPr>
            <w:rStyle w:val="Hyperlink"/>
            <w:rFonts w:ascii="Open Sans" w:hAnsi="Open Sans" w:cs="Open Sans"/>
            <w:i w:val="0"/>
            <w:iCs/>
            <w:webHidden/>
            <w:sz w:val="22"/>
            <w:szCs w:val="22"/>
          </w:rPr>
          <w:fldChar w:fldCharType="end"/>
        </w:r>
      </w:hyperlink>
    </w:p>
    <w:p w14:paraId="360EA56A" w14:textId="1CA1BDE6" w:rsidR="00D91D27" w:rsidRPr="00CF4D69" w:rsidRDefault="00CF4D69" w:rsidP="00D91D27">
      <w:pPr>
        <w:pStyle w:val="TOC2"/>
        <w:rPr>
          <w:rStyle w:val="Hyperlink"/>
          <w:rFonts w:ascii="Open Sans" w:hAnsi="Open Sans" w:cs="Open Sans"/>
          <w:sz w:val="22"/>
          <w:szCs w:val="22"/>
        </w:rPr>
      </w:pPr>
      <w:hyperlink w:anchor="_Toc12886517" w:history="1">
        <w:r w:rsidR="00D91D27" w:rsidRPr="00CF4D69">
          <w:rPr>
            <w:rStyle w:val="Hyperlink"/>
            <w:rFonts w:ascii="Open Sans" w:hAnsi="Open Sans" w:cs="Open Sans"/>
            <w:sz w:val="22"/>
            <w:szCs w:val="22"/>
          </w:rPr>
          <w:t>4.2</w:t>
        </w:r>
        <w:r w:rsidR="00D91D27" w:rsidRPr="00CF4D69">
          <w:rPr>
            <w:rStyle w:val="Hyperlink"/>
            <w:rFonts w:ascii="Open Sans" w:hAnsi="Open Sans" w:cs="Open Sans"/>
            <w:sz w:val="22"/>
            <w:szCs w:val="22"/>
          </w:rPr>
          <w:tab/>
          <w:t>Two year retention period</w:t>
        </w:r>
        <w:r w:rsidR="00D91D27" w:rsidRPr="00CF4D69">
          <w:rPr>
            <w:rStyle w:val="Hyperlink"/>
            <w:rFonts w:ascii="Open Sans" w:hAnsi="Open Sans" w:cs="Open Sans"/>
            <w:webHidden/>
            <w:sz w:val="22"/>
            <w:szCs w:val="22"/>
          </w:rPr>
          <w:tab/>
        </w:r>
        <w:r w:rsidR="00D91D27" w:rsidRPr="00CF4D69">
          <w:rPr>
            <w:rStyle w:val="Hyperlink"/>
            <w:rFonts w:ascii="Open Sans" w:hAnsi="Open Sans" w:cs="Open Sans"/>
            <w:i w:val="0"/>
            <w:iCs/>
            <w:webHidden/>
            <w:sz w:val="22"/>
            <w:szCs w:val="22"/>
          </w:rPr>
          <w:fldChar w:fldCharType="begin"/>
        </w:r>
        <w:r w:rsidR="00D91D27" w:rsidRPr="00CF4D69">
          <w:rPr>
            <w:rStyle w:val="Hyperlink"/>
            <w:rFonts w:ascii="Open Sans" w:hAnsi="Open Sans" w:cs="Open Sans"/>
            <w:i w:val="0"/>
            <w:iCs/>
            <w:webHidden/>
            <w:sz w:val="22"/>
            <w:szCs w:val="22"/>
          </w:rPr>
          <w:instrText xml:space="preserve"> PAGEREF _Toc12886517 \h </w:instrText>
        </w:r>
        <w:r w:rsidR="00D91D27" w:rsidRPr="00CF4D69">
          <w:rPr>
            <w:rStyle w:val="Hyperlink"/>
            <w:rFonts w:ascii="Open Sans" w:hAnsi="Open Sans" w:cs="Open Sans"/>
            <w:i w:val="0"/>
            <w:iCs/>
            <w:webHidden/>
            <w:sz w:val="22"/>
            <w:szCs w:val="22"/>
          </w:rPr>
        </w:r>
        <w:r w:rsidR="00D91D27" w:rsidRPr="00CF4D69">
          <w:rPr>
            <w:rStyle w:val="Hyperlink"/>
            <w:rFonts w:ascii="Open Sans" w:hAnsi="Open Sans" w:cs="Open Sans"/>
            <w:i w:val="0"/>
            <w:iCs/>
            <w:webHidden/>
            <w:sz w:val="22"/>
            <w:szCs w:val="22"/>
          </w:rPr>
          <w:fldChar w:fldCharType="separate"/>
        </w:r>
        <w:r w:rsidR="00D91D27" w:rsidRPr="00CF4D69">
          <w:rPr>
            <w:rStyle w:val="Hyperlink"/>
            <w:rFonts w:ascii="Open Sans" w:hAnsi="Open Sans" w:cs="Open Sans"/>
            <w:i w:val="0"/>
            <w:iCs/>
            <w:webHidden/>
            <w:sz w:val="22"/>
            <w:szCs w:val="22"/>
          </w:rPr>
          <w:t>9</w:t>
        </w:r>
        <w:r w:rsidR="00D91D27" w:rsidRPr="00CF4D69">
          <w:rPr>
            <w:rStyle w:val="Hyperlink"/>
            <w:rFonts w:ascii="Open Sans" w:hAnsi="Open Sans" w:cs="Open Sans"/>
            <w:i w:val="0"/>
            <w:iCs/>
            <w:webHidden/>
            <w:sz w:val="22"/>
            <w:szCs w:val="22"/>
          </w:rPr>
          <w:fldChar w:fldCharType="end"/>
        </w:r>
      </w:hyperlink>
    </w:p>
    <w:p w14:paraId="6AECAFE4" w14:textId="52253847" w:rsidR="00D91D27" w:rsidRPr="00CF4D69" w:rsidRDefault="00CF4D69" w:rsidP="00D91D27">
      <w:pPr>
        <w:pStyle w:val="TOC2"/>
        <w:rPr>
          <w:rStyle w:val="Hyperlink"/>
          <w:rFonts w:ascii="Open Sans" w:hAnsi="Open Sans" w:cs="Open Sans"/>
          <w:sz w:val="22"/>
          <w:szCs w:val="22"/>
        </w:rPr>
      </w:pPr>
      <w:hyperlink w:anchor="_Toc12886518" w:history="1">
        <w:r w:rsidR="00D91D27" w:rsidRPr="00CF4D69">
          <w:rPr>
            <w:rStyle w:val="Hyperlink"/>
            <w:rFonts w:ascii="Open Sans" w:hAnsi="Open Sans" w:cs="Open Sans"/>
            <w:sz w:val="22"/>
            <w:szCs w:val="22"/>
          </w:rPr>
          <w:t>4.3</w:t>
        </w:r>
        <w:r w:rsidR="00D91D27" w:rsidRPr="00CF4D69">
          <w:rPr>
            <w:rStyle w:val="Hyperlink"/>
            <w:rFonts w:ascii="Open Sans" w:hAnsi="Open Sans" w:cs="Open Sans"/>
            <w:sz w:val="22"/>
            <w:szCs w:val="22"/>
          </w:rPr>
          <w:tab/>
          <w:t>Access to retained communications data</w:t>
        </w:r>
        <w:r w:rsidR="00D91D27" w:rsidRPr="00CF4D69">
          <w:rPr>
            <w:rStyle w:val="Hyperlink"/>
            <w:rFonts w:ascii="Open Sans" w:hAnsi="Open Sans" w:cs="Open Sans"/>
            <w:webHidden/>
            <w:sz w:val="22"/>
            <w:szCs w:val="22"/>
          </w:rPr>
          <w:tab/>
        </w:r>
        <w:r w:rsidR="00D91D27" w:rsidRPr="00CF4D69">
          <w:rPr>
            <w:rStyle w:val="Hyperlink"/>
            <w:rFonts w:ascii="Open Sans" w:hAnsi="Open Sans" w:cs="Open Sans"/>
            <w:i w:val="0"/>
            <w:iCs/>
            <w:webHidden/>
            <w:sz w:val="22"/>
            <w:szCs w:val="22"/>
          </w:rPr>
          <w:fldChar w:fldCharType="begin"/>
        </w:r>
        <w:r w:rsidR="00D91D27" w:rsidRPr="00CF4D69">
          <w:rPr>
            <w:rStyle w:val="Hyperlink"/>
            <w:rFonts w:ascii="Open Sans" w:hAnsi="Open Sans" w:cs="Open Sans"/>
            <w:i w:val="0"/>
            <w:iCs/>
            <w:webHidden/>
            <w:sz w:val="22"/>
            <w:szCs w:val="22"/>
          </w:rPr>
          <w:instrText xml:space="preserve"> PAGEREF _Toc12886518 \h </w:instrText>
        </w:r>
        <w:r w:rsidR="00D91D27" w:rsidRPr="00CF4D69">
          <w:rPr>
            <w:rStyle w:val="Hyperlink"/>
            <w:rFonts w:ascii="Open Sans" w:hAnsi="Open Sans" w:cs="Open Sans"/>
            <w:i w:val="0"/>
            <w:iCs/>
            <w:webHidden/>
            <w:sz w:val="22"/>
            <w:szCs w:val="22"/>
          </w:rPr>
        </w:r>
        <w:r w:rsidR="00D91D27" w:rsidRPr="00CF4D69">
          <w:rPr>
            <w:rStyle w:val="Hyperlink"/>
            <w:rFonts w:ascii="Open Sans" w:hAnsi="Open Sans" w:cs="Open Sans"/>
            <w:i w:val="0"/>
            <w:iCs/>
            <w:webHidden/>
            <w:sz w:val="22"/>
            <w:szCs w:val="22"/>
          </w:rPr>
          <w:fldChar w:fldCharType="separate"/>
        </w:r>
        <w:r w:rsidR="00D91D27" w:rsidRPr="00CF4D69">
          <w:rPr>
            <w:rStyle w:val="Hyperlink"/>
            <w:rFonts w:ascii="Open Sans" w:hAnsi="Open Sans" w:cs="Open Sans"/>
            <w:i w:val="0"/>
            <w:iCs/>
            <w:webHidden/>
            <w:sz w:val="22"/>
            <w:szCs w:val="22"/>
          </w:rPr>
          <w:t>11</w:t>
        </w:r>
        <w:r w:rsidR="00D91D27" w:rsidRPr="00CF4D69">
          <w:rPr>
            <w:rStyle w:val="Hyperlink"/>
            <w:rFonts w:ascii="Open Sans" w:hAnsi="Open Sans" w:cs="Open Sans"/>
            <w:i w:val="0"/>
            <w:iCs/>
            <w:webHidden/>
            <w:sz w:val="22"/>
            <w:szCs w:val="22"/>
          </w:rPr>
          <w:fldChar w:fldCharType="end"/>
        </w:r>
      </w:hyperlink>
    </w:p>
    <w:p w14:paraId="1524BC9C" w14:textId="56471859" w:rsidR="00D91D27" w:rsidRPr="00CF4D69" w:rsidRDefault="00CF4D69" w:rsidP="00D91D27">
      <w:pPr>
        <w:pStyle w:val="TOC2"/>
        <w:rPr>
          <w:rStyle w:val="Hyperlink"/>
          <w:rFonts w:ascii="Open Sans" w:hAnsi="Open Sans" w:cs="Open Sans"/>
          <w:sz w:val="22"/>
          <w:szCs w:val="22"/>
        </w:rPr>
      </w:pPr>
      <w:hyperlink w:anchor="_Toc12886519" w:history="1">
        <w:r w:rsidR="00D91D27" w:rsidRPr="00CF4D69">
          <w:rPr>
            <w:rStyle w:val="Hyperlink"/>
            <w:rFonts w:ascii="Open Sans" w:hAnsi="Open Sans" w:cs="Open Sans"/>
            <w:sz w:val="22"/>
            <w:szCs w:val="22"/>
          </w:rPr>
          <w:t>4.4</w:t>
        </w:r>
        <w:r w:rsidR="00D91D27" w:rsidRPr="00CF4D69">
          <w:rPr>
            <w:rStyle w:val="Hyperlink"/>
            <w:rFonts w:ascii="Open Sans" w:hAnsi="Open Sans" w:cs="Open Sans"/>
            <w:sz w:val="22"/>
            <w:szCs w:val="22"/>
          </w:rPr>
          <w:tab/>
          <w:t>External oversight</w:t>
        </w:r>
        <w:r w:rsidR="00D91D27" w:rsidRPr="00CF4D69">
          <w:rPr>
            <w:rStyle w:val="Hyperlink"/>
            <w:rFonts w:ascii="Open Sans" w:hAnsi="Open Sans" w:cs="Open Sans"/>
            <w:webHidden/>
            <w:sz w:val="22"/>
            <w:szCs w:val="22"/>
          </w:rPr>
          <w:tab/>
        </w:r>
        <w:r w:rsidR="00D91D27" w:rsidRPr="00CF4D69">
          <w:rPr>
            <w:rStyle w:val="Hyperlink"/>
            <w:rFonts w:ascii="Open Sans" w:hAnsi="Open Sans" w:cs="Open Sans"/>
            <w:i w:val="0"/>
            <w:iCs/>
            <w:webHidden/>
            <w:sz w:val="22"/>
            <w:szCs w:val="22"/>
          </w:rPr>
          <w:fldChar w:fldCharType="begin"/>
        </w:r>
        <w:r w:rsidR="00D91D27" w:rsidRPr="00CF4D69">
          <w:rPr>
            <w:rStyle w:val="Hyperlink"/>
            <w:rFonts w:ascii="Open Sans" w:hAnsi="Open Sans" w:cs="Open Sans"/>
            <w:i w:val="0"/>
            <w:iCs/>
            <w:webHidden/>
            <w:sz w:val="22"/>
            <w:szCs w:val="22"/>
          </w:rPr>
          <w:instrText xml:space="preserve"> PAGEREF _Toc12886519 \h </w:instrText>
        </w:r>
        <w:r w:rsidR="00D91D27" w:rsidRPr="00CF4D69">
          <w:rPr>
            <w:rStyle w:val="Hyperlink"/>
            <w:rFonts w:ascii="Open Sans" w:hAnsi="Open Sans" w:cs="Open Sans"/>
            <w:i w:val="0"/>
            <w:iCs/>
            <w:webHidden/>
            <w:sz w:val="22"/>
            <w:szCs w:val="22"/>
          </w:rPr>
        </w:r>
        <w:r w:rsidR="00D91D27" w:rsidRPr="00CF4D69">
          <w:rPr>
            <w:rStyle w:val="Hyperlink"/>
            <w:rFonts w:ascii="Open Sans" w:hAnsi="Open Sans" w:cs="Open Sans"/>
            <w:i w:val="0"/>
            <w:iCs/>
            <w:webHidden/>
            <w:sz w:val="22"/>
            <w:szCs w:val="22"/>
          </w:rPr>
          <w:fldChar w:fldCharType="separate"/>
        </w:r>
        <w:r w:rsidR="00D91D27" w:rsidRPr="00CF4D69">
          <w:rPr>
            <w:rStyle w:val="Hyperlink"/>
            <w:rFonts w:ascii="Open Sans" w:hAnsi="Open Sans" w:cs="Open Sans"/>
            <w:i w:val="0"/>
            <w:iCs/>
            <w:webHidden/>
            <w:sz w:val="22"/>
            <w:szCs w:val="22"/>
          </w:rPr>
          <w:t>15</w:t>
        </w:r>
        <w:r w:rsidR="00D91D27" w:rsidRPr="00CF4D69">
          <w:rPr>
            <w:rStyle w:val="Hyperlink"/>
            <w:rFonts w:ascii="Open Sans" w:hAnsi="Open Sans" w:cs="Open Sans"/>
            <w:i w:val="0"/>
            <w:iCs/>
            <w:webHidden/>
            <w:sz w:val="22"/>
            <w:szCs w:val="22"/>
          </w:rPr>
          <w:fldChar w:fldCharType="end"/>
        </w:r>
      </w:hyperlink>
    </w:p>
    <w:p w14:paraId="1C8FC043" w14:textId="03B86D3F" w:rsidR="00B34946" w:rsidRPr="00660A13" w:rsidRDefault="00B63D24" w:rsidP="00B63D24">
      <w:pPr>
        <w:rPr>
          <w:rFonts w:ascii="Open Sans" w:hAnsi="Open Sans" w:cs="Open Sans"/>
        </w:rPr>
      </w:pPr>
      <w:r w:rsidRPr="00CF4D69">
        <w:rPr>
          <w:rFonts w:ascii="Open Sans" w:hAnsi="Open Sans" w:cs="Open Sans"/>
          <w:sz w:val="22"/>
          <w:szCs w:val="22"/>
        </w:rPr>
        <w:fldChar w:fldCharType="end"/>
      </w:r>
    </w:p>
    <w:p w14:paraId="51CF97E4" w14:textId="77777777" w:rsidR="00B34946" w:rsidRPr="00660A13" w:rsidRDefault="00B34946">
      <w:pPr>
        <w:spacing w:before="0" w:after="0"/>
        <w:rPr>
          <w:rFonts w:ascii="Open Sans" w:hAnsi="Open Sans" w:cs="Open Sans"/>
        </w:rPr>
      </w:pPr>
      <w:r w:rsidRPr="00660A13">
        <w:rPr>
          <w:rFonts w:ascii="Open Sans" w:hAnsi="Open Sans" w:cs="Open Sans"/>
        </w:rPr>
        <w:br w:type="page"/>
      </w:r>
    </w:p>
    <w:p w14:paraId="1D4894ED" w14:textId="6DAF43BA" w:rsidR="00B34946" w:rsidRPr="00660A13" w:rsidRDefault="00523540" w:rsidP="006717FF">
      <w:pPr>
        <w:pStyle w:val="Heading1"/>
        <w:numPr>
          <w:ilvl w:val="0"/>
          <w:numId w:val="16"/>
        </w:numPr>
        <w:tabs>
          <w:tab w:val="clear" w:pos="851"/>
          <w:tab w:val="num" w:pos="567"/>
        </w:tabs>
        <w:ind w:left="567" w:hanging="567"/>
        <w:rPr>
          <w:rFonts w:ascii="Open Sans" w:hAnsi="Open Sans" w:cs="Open Sans"/>
          <w:sz w:val="32"/>
          <w:szCs w:val="32"/>
        </w:rPr>
      </w:pPr>
      <w:bookmarkStart w:id="46" w:name="_Toc12886510"/>
      <w:bookmarkStart w:id="47" w:name="_Toc207761830"/>
      <w:bookmarkStart w:id="48" w:name="_Toc209578266"/>
      <w:r w:rsidRPr="00660A13">
        <w:rPr>
          <w:rFonts w:ascii="Open Sans" w:hAnsi="Open Sans" w:cs="Open Sans"/>
          <w:sz w:val="32"/>
          <w:szCs w:val="32"/>
        </w:rPr>
        <w:lastRenderedPageBreak/>
        <w:t>Executive Summary</w:t>
      </w:r>
      <w:bookmarkEnd w:id="46"/>
      <w:r w:rsidRPr="00660A13">
        <w:rPr>
          <w:rFonts w:ascii="Open Sans" w:hAnsi="Open Sans" w:cs="Open Sans"/>
          <w:sz w:val="32"/>
          <w:szCs w:val="32"/>
        </w:rPr>
        <w:t xml:space="preserve"> </w:t>
      </w:r>
      <w:bookmarkEnd w:id="47"/>
      <w:bookmarkEnd w:id="48"/>
    </w:p>
    <w:p w14:paraId="622D02C4" w14:textId="6C8F295B" w:rsidR="006E2232" w:rsidRPr="00660A13" w:rsidRDefault="00B34946" w:rsidP="00187607">
      <w:pPr>
        <w:pStyle w:val="SubmissionNormal"/>
        <w:tabs>
          <w:tab w:val="clear" w:pos="360"/>
          <w:tab w:val="num" w:pos="567"/>
        </w:tabs>
        <w:ind w:left="567" w:hanging="567"/>
        <w:rPr>
          <w:rFonts w:ascii="Open Sans" w:hAnsi="Open Sans" w:cs="Open Sans"/>
        </w:rPr>
      </w:pPr>
      <w:r w:rsidRPr="00660A13">
        <w:rPr>
          <w:rFonts w:ascii="Open Sans" w:hAnsi="Open Sans" w:cs="Open Sans"/>
        </w:rPr>
        <w:t>The Aust</w:t>
      </w:r>
      <w:r w:rsidR="00074319" w:rsidRPr="00660A13">
        <w:rPr>
          <w:rFonts w:ascii="Open Sans" w:hAnsi="Open Sans" w:cs="Open Sans"/>
        </w:rPr>
        <w:t>ralian Human Rights Commission</w:t>
      </w:r>
      <w:r w:rsidRPr="00660A13">
        <w:rPr>
          <w:rFonts w:ascii="Open Sans" w:hAnsi="Open Sans" w:cs="Open Sans"/>
        </w:rPr>
        <w:t xml:space="preserve"> makes this submission to the </w:t>
      </w:r>
      <w:r w:rsidR="00EC0C3B" w:rsidRPr="00660A13">
        <w:rPr>
          <w:rFonts w:ascii="Open Sans" w:hAnsi="Open Sans" w:cs="Open Sans"/>
        </w:rPr>
        <w:t xml:space="preserve">Parliamentary Joint Committee on </w:t>
      </w:r>
      <w:r w:rsidR="006201BE" w:rsidRPr="00660A13">
        <w:rPr>
          <w:rFonts w:ascii="Open Sans" w:hAnsi="Open Sans" w:cs="Open Sans"/>
        </w:rPr>
        <w:t xml:space="preserve">Intelligence and </w:t>
      </w:r>
      <w:r w:rsidR="00EC0C3B" w:rsidRPr="00660A13">
        <w:rPr>
          <w:rFonts w:ascii="Open Sans" w:hAnsi="Open Sans" w:cs="Open Sans"/>
        </w:rPr>
        <w:t xml:space="preserve">Security </w:t>
      </w:r>
      <w:r w:rsidR="00D82FFD" w:rsidRPr="00660A13">
        <w:rPr>
          <w:rFonts w:ascii="Open Sans" w:hAnsi="Open Sans" w:cs="Open Sans"/>
        </w:rPr>
        <w:t>(PJC</w:t>
      </w:r>
      <w:r w:rsidR="006201BE" w:rsidRPr="00660A13">
        <w:rPr>
          <w:rFonts w:ascii="Open Sans" w:hAnsi="Open Sans" w:cs="Open Sans"/>
        </w:rPr>
        <w:t>I</w:t>
      </w:r>
      <w:r w:rsidR="00D82FFD" w:rsidRPr="00660A13">
        <w:rPr>
          <w:rFonts w:ascii="Open Sans" w:hAnsi="Open Sans" w:cs="Open Sans"/>
        </w:rPr>
        <w:t xml:space="preserve">S) </w:t>
      </w:r>
      <w:r w:rsidRPr="00660A13">
        <w:rPr>
          <w:rFonts w:ascii="Open Sans" w:hAnsi="Open Sans" w:cs="Open Sans"/>
        </w:rPr>
        <w:t xml:space="preserve">in </w:t>
      </w:r>
      <w:r w:rsidR="006201BE" w:rsidRPr="00660A13">
        <w:rPr>
          <w:rFonts w:ascii="Open Sans" w:hAnsi="Open Sans" w:cs="Open Sans"/>
        </w:rPr>
        <w:t xml:space="preserve">relation to </w:t>
      </w:r>
      <w:r w:rsidRPr="00660A13">
        <w:rPr>
          <w:rFonts w:ascii="Open Sans" w:hAnsi="Open Sans" w:cs="Open Sans"/>
        </w:rPr>
        <w:t xml:space="preserve">its </w:t>
      </w:r>
      <w:r w:rsidR="000A08C6" w:rsidRPr="00660A13">
        <w:rPr>
          <w:rFonts w:ascii="Open Sans" w:hAnsi="Open Sans" w:cs="Open Sans"/>
        </w:rPr>
        <w:t>r</w:t>
      </w:r>
      <w:r w:rsidR="0027310E" w:rsidRPr="00660A13">
        <w:rPr>
          <w:rFonts w:ascii="Open Sans" w:hAnsi="Open Sans" w:cs="Open Sans"/>
        </w:rPr>
        <w:t xml:space="preserve">eview of </w:t>
      </w:r>
      <w:r w:rsidR="00EC0C3B" w:rsidRPr="00660A13">
        <w:rPr>
          <w:rFonts w:ascii="Open Sans" w:hAnsi="Open Sans" w:cs="Open Sans"/>
        </w:rPr>
        <w:t xml:space="preserve">the </w:t>
      </w:r>
      <w:r w:rsidR="0027310E" w:rsidRPr="00660A13">
        <w:rPr>
          <w:rFonts w:ascii="Open Sans" w:hAnsi="Open Sans" w:cs="Open Sans"/>
        </w:rPr>
        <w:t xml:space="preserve">mandatory </w:t>
      </w:r>
      <w:r w:rsidR="00D82FFD" w:rsidRPr="00660A13">
        <w:rPr>
          <w:rFonts w:ascii="Open Sans" w:hAnsi="Open Sans" w:cs="Open Sans"/>
        </w:rPr>
        <w:t xml:space="preserve">data </w:t>
      </w:r>
      <w:r w:rsidR="000A6826">
        <w:rPr>
          <w:rFonts w:ascii="Open Sans" w:hAnsi="Open Sans" w:cs="Open Sans"/>
        </w:rPr>
        <w:t>r</w:t>
      </w:r>
      <w:r w:rsidR="0027310E" w:rsidRPr="00660A13">
        <w:rPr>
          <w:rFonts w:ascii="Open Sans" w:hAnsi="Open Sans" w:cs="Open Sans"/>
        </w:rPr>
        <w:t xml:space="preserve">etention regime </w:t>
      </w:r>
      <w:r w:rsidR="006201BE" w:rsidRPr="00660A13">
        <w:rPr>
          <w:rFonts w:ascii="Open Sans" w:hAnsi="Open Sans" w:cs="Open Sans"/>
        </w:rPr>
        <w:t>contained in</w:t>
      </w:r>
      <w:r w:rsidR="000A08C6" w:rsidRPr="00660A13">
        <w:rPr>
          <w:rFonts w:ascii="Open Sans" w:hAnsi="Open Sans" w:cs="Open Sans"/>
        </w:rPr>
        <w:t xml:space="preserve"> Part 5-1A</w:t>
      </w:r>
      <w:r w:rsidR="0027310E" w:rsidRPr="00660A13">
        <w:rPr>
          <w:rFonts w:ascii="Open Sans" w:hAnsi="Open Sans" w:cs="Open Sans"/>
        </w:rPr>
        <w:t xml:space="preserve"> of the </w:t>
      </w:r>
      <w:r w:rsidR="0027310E" w:rsidRPr="00660A13">
        <w:rPr>
          <w:rFonts w:ascii="Open Sans" w:hAnsi="Open Sans" w:cs="Open Sans"/>
          <w:i/>
          <w:iCs/>
        </w:rPr>
        <w:t xml:space="preserve">Telecommunications (Interception and Access) Act 1979 </w:t>
      </w:r>
      <w:r w:rsidR="0027310E" w:rsidRPr="00660A13">
        <w:rPr>
          <w:rFonts w:ascii="Open Sans" w:hAnsi="Open Sans" w:cs="Open Sans"/>
        </w:rPr>
        <w:t>(</w:t>
      </w:r>
      <w:proofErr w:type="spellStart"/>
      <w:r w:rsidR="0027310E" w:rsidRPr="00660A13">
        <w:rPr>
          <w:rFonts w:ascii="Open Sans" w:hAnsi="Open Sans" w:cs="Open Sans"/>
        </w:rPr>
        <w:t>Cth</w:t>
      </w:r>
      <w:proofErr w:type="spellEnd"/>
      <w:r w:rsidR="0027310E" w:rsidRPr="00660A13">
        <w:rPr>
          <w:rFonts w:ascii="Open Sans" w:hAnsi="Open Sans" w:cs="Open Sans"/>
        </w:rPr>
        <w:t>) (TIA Act)</w:t>
      </w:r>
      <w:r w:rsidR="00E9331F" w:rsidRPr="00660A13">
        <w:rPr>
          <w:rFonts w:ascii="Open Sans" w:hAnsi="Open Sans" w:cs="Open Sans"/>
        </w:rPr>
        <w:t>.</w:t>
      </w:r>
      <w:r w:rsidR="0009651D" w:rsidRPr="00660A13">
        <w:rPr>
          <w:rFonts w:ascii="Open Sans" w:hAnsi="Open Sans" w:cs="Open Sans"/>
        </w:rPr>
        <w:t xml:space="preserve"> </w:t>
      </w:r>
      <w:r w:rsidR="008B1344" w:rsidRPr="00660A13">
        <w:rPr>
          <w:rFonts w:ascii="Open Sans" w:hAnsi="Open Sans" w:cs="Open Sans"/>
        </w:rPr>
        <w:t>This review is required by s 187N of the TIA Act.</w:t>
      </w:r>
    </w:p>
    <w:p w14:paraId="1EA57E75" w14:textId="140590AA" w:rsidR="00530D1D" w:rsidRPr="00660A13" w:rsidRDefault="00530D1D"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In January 2015, the Commission provided a submission</w:t>
      </w:r>
      <w:r w:rsidR="00E46A23" w:rsidRPr="00660A13">
        <w:rPr>
          <w:rStyle w:val="EndnoteReference"/>
          <w:rFonts w:ascii="Open Sans" w:hAnsi="Open Sans" w:cs="Open Sans"/>
        </w:rPr>
        <w:endnoteReference w:id="1"/>
      </w:r>
      <w:r w:rsidR="00E46A23" w:rsidRPr="00660A13">
        <w:rPr>
          <w:rFonts w:ascii="Open Sans" w:hAnsi="Open Sans" w:cs="Open Sans"/>
        </w:rPr>
        <w:t xml:space="preserve"> </w:t>
      </w:r>
      <w:r w:rsidRPr="00660A13">
        <w:rPr>
          <w:rFonts w:ascii="Open Sans" w:hAnsi="Open Sans" w:cs="Open Sans"/>
        </w:rPr>
        <w:t>to the PJC</w:t>
      </w:r>
      <w:r w:rsidR="00254664" w:rsidRPr="00660A13">
        <w:rPr>
          <w:rFonts w:ascii="Open Sans" w:hAnsi="Open Sans" w:cs="Open Sans"/>
        </w:rPr>
        <w:t>I</w:t>
      </w:r>
      <w:r w:rsidRPr="00660A13">
        <w:rPr>
          <w:rFonts w:ascii="Open Sans" w:hAnsi="Open Sans" w:cs="Open Sans"/>
        </w:rPr>
        <w:t xml:space="preserve">S Inquiry into the </w:t>
      </w:r>
      <w:bookmarkStart w:id="49" w:name="_Hlk11747553"/>
      <w:r w:rsidRPr="00660A13">
        <w:rPr>
          <w:rFonts w:ascii="Open Sans" w:hAnsi="Open Sans" w:cs="Open Sans"/>
        </w:rPr>
        <w:t xml:space="preserve">Telecommunications (Interception and Access) Amendment (Data Retention) Bill 2014 </w:t>
      </w:r>
      <w:bookmarkEnd w:id="49"/>
      <w:r w:rsidRPr="00660A13">
        <w:rPr>
          <w:rFonts w:ascii="Open Sans" w:hAnsi="Open Sans" w:cs="Open Sans"/>
        </w:rPr>
        <w:t xml:space="preserve">(the Bill), which introduced the mandatory data retention regime. In that submission, the Commission raised </w:t>
      </w:r>
      <w:proofErr w:type="gramStart"/>
      <w:r w:rsidRPr="00660A13">
        <w:rPr>
          <w:rFonts w:ascii="Open Sans" w:hAnsi="Open Sans" w:cs="Open Sans"/>
        </w:rPr>
        <w:t>a number of</w:t>
      </w:r>
      <w:proofErr w:type="gramEnd"/>
      <w:r w:rsidRPr="00660A13">
        <w:rPr>
          <w:rFonts w:ascii="Open Sans" w:hAnsi="Open Sans" w:cs="Open Sans"/>
        </w:rPr>
        <w:t xml:space="preserve"> concerns about the potential impact of the Bill on human rights and made a number of recommendations.</w:t>
      </w:r>
    </w:p>
    <w:p w14:paraId="780D3251" w14:textId="7F793400" w:rsidR="00123425" w:rsidRDefault="00C35D4F"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As outlined in the Commission’s 2015 submission</w:t>
      </w:r>
      <w:r w:rsidR="00C33E00" w:rsidRPr="00660A13">
        <w:rPr>
          <w:rFonts w:ascii="Open Sans" w:hAnsi="Open Sans" w:cs="Open Sans"/>
        </w:rPr>
        <w:t xml:space="preserve"> and acknowledged by the </w:t>
      </w:r>
      <w:r w:rsidR="00E60FA1">
        <w:rPr>
          <w:rFonts w:ascii="Open Sans" w:hAnsi="Open Sans" w:cs="Open Sans"/>
        </w:rPr>
        <w:t>G</w:t>
      </w:r>
      <w:r w:rsidR="00C33E00" w:rsidRPr="00660A13">
        <w:rPr>
          <w:rFonts w:ascii="Open Sans" w:hAnsi="Open Sans" w:cs="Open Sans"/>
        </w:rPr>
        <w:t>overnment</w:t>
      </w:r>
      <w:r w:rsidRPr="00660A13">
        <w:rPr>
          <w:rFonts w:ascii="Open Sans" w:hAnsi="Open Sans" w:cs="Open Sans"/>
        </w:rPr>
        <w:t xml:space="preserve"> at the time of its introduction</w:t>
      </w:r>
      <w:r w:rsidR="00C33E00" w:rsidRPr="00660A13">
        <w:rPr>
          <w:rFonts w:ascii="Open Sans" w:hAnsi="Open Sans" w:cs="Open Sans"/>
        </w:rPr>
        <w:t>,</w:t>
      </w:r>
      <w:r w:rsidR="00C33E00" w:rsidRPr="00660A13">
        <w:rPr>
          <w:rStyle w:val="EndnoteReference"/>
          <w:rFonts w:ascii="Open Sans" w:hAnsi="Open Sans" w:cs="Open Sans"/>
        </w:rPr>
        <w:endnoteReference w:id="2"/>
      </w:r>
      <w:r w:rsidR="00C33E00" w:rsidRPr="00660A13">
        <w:rPr>
          <w:rFonts w:ascii="Open Sans" w:hAnsi="Open Sans" w:cs="Open Sans"/>
        </w:rPr>
        <w:t xml:space="preserve"> a </w:t>
      </w:r>
      <w:r w:rsidR="00123425" w:rsidRPr="00660A13">
        <w:rPr>
          <w:rFonts w:ascii="Open Sans" w:hAnsi="Open Sans" w:cs="Open Sans"/>
        </w:rPr>
        <w:t xml:space="preserve">mandatory data </w:t>
      </w:r>
      <w:r w:rsidR="009B1369">
        <w:rPr>
          <w:rFonts w:ascii="Open Sans" w:hAnsi="Open Sans" w:cs="Open Sans"/>
        </w:rPr>
        <w:t>r</w:t>
      </w:r>
      <w:r w:rsidR="00123425" w:rsidRPr="00660A13">
        <w:rPr>
          <w:rFonts w:ascii="Open Sans" w:hAnsi="Open Sans" w:cs="Open Sans"/>
        </w:rPr>
        <w:t>etention regime impacts on human rights</w:t>
      </w:r>
      <w:r w:rsidR="002F411F">
        <w:rPr>
          <w:rFonts w:ascii="Open Sans" w:hAnsi="Open Sans" w:cs="Open Sans"/>
        </w:rPr>
        <w:t>—</w:t>
      </w:r>
      <w:proofErr w:type="gramStart"/>
      <w:r w:rsidR="00123425" w:rsidRPr="00660A13">
        <w:rPr>
          <w:rFonts w:ascii="Open Sans" w:hAnsi="Open Sans" w:cs="Open Sans"/>
        </w:rPr>
        <w:t>in particular the</w:t>
      </w:r>
      <w:proofErr w:type="gramEnd"/>
      <w:r w:rsidR="00123425" w:rsidRPr="00660A13">
        <w:rPr>
          <w:rFonts w:ascii="Open Sans" w:hAnsi="Open Sans" w:cs="Open Sans"/>
        </w:rPr>
        <w:t xml:space="preserve"> rights to privacy and freedom of expression. These rights, reflected in articles 17 and 19 of the </w:t>
      </w:r>
      <w:r w:rsidR="00123425" w:rsidRPr="00660A13">
        <w:rPr>
          <w:rFonts w:ascii="Open Sans" w:hAnsi="Open Sans" w:cs="Open Sans"/>
          <w:i/>
        </w:rPr>
        <w:t xml:space="preserve">International Covenant on Civil and Political Rights </w:t>
      </w:r>
      <w:r w:rsidR="00123425" w:rsidRPr="00660A13">
        <w:rPr>
          <w:rFonts w:ascii="Open Sans" w:hAnsi="Open Sans" w:cs="Open Sans"/>
        </w:rPr>
        <w:t>(ICCPR),</w:t>
      </w:r>
      <w:r w:rsidR="00123425" w:rsidRPr="00660A13">
        <w:rPr>
          <w:rStyle w:val="EndnoteReference"/>
          <w:rFonts w:ascii="Open Sans" w:hAnsi="Open Sans" w:cs="Open Sans"/>
        </w:rPr>
        <w:endnoteReference w:id="3"/>
      </w:r>
      <w:r w:rsidR="00123425" w:rsidRPr="00660A13">
        <w:rPr>
          <w:rFonts w:ascii="Open Sans" w:hAnsi="Open Sans" w:cs="Open Sans"/>
        </w:rPr>
        <w:t xml:space="preserve"> may be limited by proportionate measures to achieve a legitimate aim if </w:t>
      </w:r>
      <w:r w:rsidR="0022548F">
        <w:rPr>
          <w:rFonts w:ascii="Open Sans" w:hAnsi="Open Sans" w:cs="Open Sans"/>
        </w:rPr>
        <w:t xml:space="preserve">those measures include </w:t>
      </w:r>
      <w:r w:rsidR="00123425" w:rsidRPr="00660A13">
        <w:rPr>
          <w:rFonts w:ascii="Open Sans" w:hAnsi="Open Sans" w:cs="Open Sans"/>
        </w:rPr>
        <w:t xml:space="preserve">safeguards and </w:t>
      </w:r>
      <w:r w:rsidR="004E2861">
        <w:rPr>
          <w:rFonts w:ascii="Open Sans" w:hAnsi="Open Sans" w:cs="Open Sans"/>
        </w:rPr>
        <w:t xml:space="preserve">appropriate </w:t>
      </w:r>
      <w:r w:rsidR="00123425" w:rsidRPr="00660A13">
        <w:rPr>
          <w:rFonts w:ascii="Open Sans" w:hAnsi="Open Sans" w:cs="Open Sans"/>
        </w:rPr>
        <w:t>oversight.</w:t>
      </w:r>
    </w:p>
    <w:p w14:paraId="03CEFE5D" w14:textId="77B30C27" w:rsidR="00BC0D42" w:rsidRDefault="00BC0D42" w:rsidP="00BC0D42">
      <w:pPr>
        <w:pStyle w:val="SubmissionNormal"/>
        <w:keepNext/>
        <w:tabs>
          <w:tab w:val="clear" w:pos="360"/>
          <w:tab w:val="num" w:pos="567"/>
        </w:tabs>
        <w:ind w:left="567" w:hanging="567"/>
        <w:rPr>
          <w:rFonts w:ascii="Open Sans" w:hAnsi="Open Sans" w:cs="Open Sans"/>
          <w:color w:val="000000"/>
          <w:szCs w:val="20"/>
          <w:lang w:eastAsia="en-US"/>
        </w:rPr>
      </w:pPr>
      <w:r>
        <w:rPr>
          <w:rFonts w:ascii="Open Sans" w:hAnsi="Open Sans" w:cs="Open Sans"/>
          <w:color w:val="000000"/>
          <w:szCs w:val="20"/>
          <w:lang w:eastAsia="en-US"/>
        </w:rPr>
        <w:t xml:space="preserve">In that submission, and here, the Commission refers extensively to the consideration of relevant issues by European courts and authorities. While, of course, Australia is not bound by laws and treaties that apply solely to European countries, the material referred to by the Commission addresses laws that are very similar to the international and domestic laws applicable in Australia, and so it would be common for Australian courts to consider such material in Australian proceedings that deal with such issues. The Commission also notes the </w:t>
      </w:r>
      <w:r w:rsidR="00572E07">
        <w:rPr>
          <w:rFonts w:ascii="Open Sans" w:hAnsi="Open Sans" w:cs="Open Sans"/>
          <w:color w:val="000000"/>
          <w:szCs w:val="20"/>
          <w:lang w:eastAsia="en-US"/>
        </w:rPr>
        <w:t>T</w:t>
      </w:r>
      <w:r>
        <w:rPr>
          <w:rFonts w:ascii="Open Sans" w:hAnsi="Open Sans" w:cs="Open Sans"/>
          <w:color w:val="000000"/>
          <w:szCs w:val="20"/>
          <w:lang w:eastAsia="en-US"/>
        </w:rPr>
        <w:t xml:space="preserve">erms of </w:t>
      </w:r>
      <w:r w:rsidR="00572E07">
        <w:rPr>
          <w:rFonts w:ascii="Open Sans" w:hAnsi="Open Sans" w:cs="Open Sans"/>
          <w:color w:val="000000"/>
          <w:szCs w:val="20"/>
          <w:lang w:eastAsia="en-US"/>
        </w:rPr>
        <w:t>R</w:t>
      </w:r>
      <w:r>
        <w:rPr>
          <w:rFonts w:ascii="Open Sans" w:hAnsi="Open Sans" w:cs="Open Sans"/>
          <w:color w:val="000000"/>
          <w:szCs w:val="20"/>
          <w:lang w:eastAsia="en-US"/>
        </w:rPr>
        <w:t>eference for this PJCIS review</w:t>
      </w:r>
      <w:r w:rsidR="00DB61BC">
        <w:rPr>
          <w:rFonts w:ascii="Open Sans" w:hAnsi="Open Sans" w:cs="Open Sans"/>
          <w:color w:val="000000"/>
          <w:szCs w:val="20"/>
          <w:lang w:eastAsia="en-US"/>
        </w:rPr>
        <w:t xml:space="preserve"> expressly</w:t>
      </w:r>
      <w:r>
        <w:rPr>
          <w:rFonts w:ascii="Open Sans" w:hAnsi="Open Sans" w:cs="Open Sans"/>
          <w:color w:val="000000"/>
          <w:szCs w:val="20"/>
          <w:lang w:eastAsia="en-US"/>
        </w:rPr>
        <w:t xml:space="preserve"> include ‘developments in international jurisdictions since the passage of the Bill’. </w:t>
      </w:r>
    </w:p>
    <w:p w14:paraId="4DF11AEF" w14:textId="67CCE1CD" w:rsidR="00F25B78" w:rsidRPr="00660A13" w:rsidRDefault="00F25B78"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Some of the concerns </w:t>
      </w:r>
      <w:r w:rsidR="00C33E00" w:rsidRPr="00660A13">
        <w:rPr>
          <w:rFonts w:ascii="Open Sans" w:hAnsi="Open Sans" w:cs="Open Sans"/>
        </w:rPr>
        <w:t xml:space="preserve">raised by the Commission in its 2015 submission </w:t>
      </w:r>
      <w:r w:rsidRPr="00660A13">
        <w:rPr>
          <w:rFonts w:ascii="Open Sans" w:hAnsi="Open Sans" w:cs="Open Sans"/>
        </w:rPr>
        <w:t>were addressed by changes made to the Bill before it was passed</w:t>
      </w:r>
      <w:r w:rsidR="00C33E00" w:rsidRPr="00660A13">
        <w:rPr>
          <w:rFonts w:ascii="Open Sans" w:hAnsi="Open Sans" w:cs="Open Sans"/>
        </w:rPr>
        <w:t xml:space="preserve"> into </w:t>
      </w:r>
      <w:r w:rsidR="004E2861">
        <w:rPr>
          <w:rFonts w:ascii="Open Sans" w:hAnsi="Open Sans" w:cs="Open Sans"/>
        </w:rPr>
        <w:t>law</w:t>
      </w:r>
      <w:r w:rsidRPr="00660A13">
        <w:rPr>
          <w:rFonts w:ascii="Open Sans" w:hAnsi="Open Sans" w:cs="Open Sans"/>
        </w:rPr>
        <w:t xml:space="preserve">. </w:t>
      </w:r>
      <w:r w:rsidR="00C33E00" w:rsidRPr="00660A13">
        <w:rPr>
          <w:rFonts w:ascii="Open Sans" w:hAnsi="Open Sans" w:cs="Open Sans"/>
        </w:rPr>
        <w:t>However</w:t>
      </w:r>
      <w:r w:rsidR="008F0B6B">
        <w:rPr>
          <w:rFonts w:ascii="Open Sans" w:hAnsi="Open Sans" w:cs="Open Sans"/>
        </w:rPr>
        <w:t>,</w:t>
      </w:r>
      <w:r w:rsidR="00C33E00" w:rsidRPr="00660A13">
        <w:rPr>
          <w:rFonts w:ascii="Open Sans" w:hAnsi="Open Sans" w:cs="Open Sans"/>
        </w:rPr>
        <w:t xml:space="preserve"> </w:t>
      </w:r>
      <w:r w:rsidR="0050361B" w:rsidRPr="00660A13">
        <w:rPr>
          <w:rFonts w:ascii="Open Sans" w:hAnsi="Open Sans" w:cs="Open Sans"/>
        </w:rPr>
        <w:t xml:space="preserve">some </w:t>
      </w:r>
      <w:r w:rsidR="00C33E00" w:rsidRPr="00660A13">
        <w:rPr>
          <w:rFonts w:ascii="Open Sans" w:hAnsi="Open Sans" w:cs="Open Sans"/>
        </w:rPr>
        <w:t>of our recommendations were not adopted, and t</w:t>
      </w:r>
      <w:r w:rsidR="002C5CEE" w:rsidRPr="00660A13">
        <w:rPr>
          <w:rFonts w:ascii="Open Sans" w:hAnsi="Open Sans" w:cs="Open Sans"/>
        </w:rPr>
        <w:t xml:space="preserve">he Commission remains concerned about certain aspects of the </w:t>
      </w:r>
      <w:r w:rsidR="00733858" w:rsidRPr="00660A13">
        <w:rPr>
          <w:rFonts w:ascii="Open Sans" w:hAnsi="Open Sans" w:cs="Open Sans"/>
        </w:rPr>
        <w:t>regime</w:t>
      </w:r>
      <w:r w:rsidR="002C5CEE" w:rsidRPr="00660A13">
        <w:rPr>
          <w:rFonts w:ascii="Open Sans" w:hAnsi="Open Sans" w:cs="Open Sans"/>
        </w:rPr>
        <w:t xml:space="preserve"> </w:t>
      </w:r>
      <w:r w:rsidR="002F411F">
        <w:rPr>
          <w:rFonts w:ascii="Open Sans" w:hAnsi="Open Sans" w:cs="Open Sans"/>
        </w:rPr>
        <w:t>—</w:t>
      </w:r>
      <w:r w:rsidR="002F411F" w:rsidRPr="00660A13">
        <w:rPr>
          <w:rFonts w:ascii="Open Sans" w:hAnsi="Open Sans" w:cs="Open Sans"/>
        </w:rPr>
        <w:t xml:space="preserve"> </w:t>
      </w:r>
      <w:r w:rsidR="00733858" w:rsidRPr="00660A13">
        <w:rPr>
          <w:rFonts w:ascii="Open Sans" w:hAnsi="Open Sans" w:cs="Open Sans"/>
        </w:rPr>
        <w:t xml:space="preserve">particularly </w:t>
      </w:r>
      <w:r w:rsidR="00FD17AE" w:rsidRPr="00660A13">
        <w:rPr>
          <w:rFonts w:ascii="Open Sans" w:hAnsi="Open Sans" w:cs="Open Sans"/>
        </w:rPr>
        <w:t>its</w:t>
      </w:r>
      <w:r w:rsidR="008B2D0F" w:rsidRPr="00660A13">
        <w:rPr>
          <w:rFonts w:ascii="Open Sans" w:hAnsi="Open Sans" w:cs="Open Sans"/>
        </w:rPr>
        <w:t xml:space="preserve"> </w:t>
      </w:r>
      <w:r w:rsidR="00FD17AE" w:rsidRPr="00660A13">
        <w:rPr>
          <w:rFonts w:ascii="Open Sans" w:hAnsi="Open Sans" w:cs="Open Sans"/>
        </w:rPr>
        <w:t xml:space="preserve">broad </w:t>
      </w:r>
      <w:r w:rsidR="00733858" w:rsidRPr="00660A13">
        <w:rPr>
          <w:rFonts w:ascii="Open Sans" w:hAnsi="Open Sans" w:cs="Open Sans"/>
        </w:rPr>
        <w:t>scope</w:t>
      </w:r>
      <w:r w:rsidR="00FD17AE" w:rsidRPr="00660A13">
        <w:rPr>
          <w:rFonts w:ascii="Open Sans" w:hAnsi="Open Sans" w:cs="Open Sans"/>
        </w:rPr>
        <w:t xml:space="preserve">, especially when compared with </w:t>
      </w:r>
      <w:r w:rsidR="008B2D0F" w:rsidRPr="00660A13">
        <w:rPr>
          <w:rFonts w:ascii="Open Sans" w:hAnsi="Open Sans" w:cs="Open Sans"/>
        </w:rPr>
        <w:t>developments in international jurisdictions</w:t>
      </w:r>
      <w:r w:rsidR="002C5CEE" w:rsidRPr="00660A13">
        <w:rPr>
          <w:rFonts w:ascii="Open Sans" w:hAnsi="Open Sans" w:cs="Open Sans"/>
        </w:rPr>
        <w:t>.</w:t>
      </w:r>
      <w:r w:rsidR="006872C9" w:rsidRPr="00660A13">
        <w:rPr>
          <w:rFonts w:ascii="Open Sans" w:hAnsi="Open Sans" w:cs="Open Sans"/>
        </w:rPr>
        <w:t xml:space="preserve"> </w:t>
      </w:r>
    </w:p>
    <w:p w14:paraId="35A317CB" w14:textId="128AE88A" w:rsidR="00842FAC" w:rsidRPr="00660A13" w:rsidRDefault="00377B9A"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As noted in our 2015 submission, </w:t>
      </w:r>
      <w:r w:rsidR="008A347C" w:rsidRPr="00660A13">
        <w:rPr>
          <w:rFonts w:ascii="Open Sans" w:hAnsi="Open Sans" w:cs="Open Sans"/>
        </w:rPr>
        <w:t>‘</w:t>
      </w:r>
      <w:r w:rsidRPr="00660A13">
        <w:rPr>
          <w:rFonts w:ascii="Open Sans" w:hAnsi="Open Sans" w:cs="Open Sans"/>
        </w:rPr>
        <w:t>[h]</w:t>
      </w:r>
      <w:proofErr w:type="spellStart"/>
      <w:r w:rsidR="00842FAC" w:rsidRPr="00660A13">
        <w:rPr>
          <w:rFonts w:ascii="Open Sans" w:hAnsi="Open Sans" w:cs="Open Sans"/>
        </w:rPr>
        <w:t>uman</w:t>
      </w:r>
      <w:proofErr w:type="spellEnd"/>
      <w:r w:rsidR="00842FAC" w:rsidRPr="00660A13">
        <w:rPr>
          <w:rFonts w:ascii="Open Sans" w:hAnsi="Open Sans" w:cs="Open Sans"/>
        </w:rPr>
        <w:t xml:space="preserve"> rights law provides significant scope for </w:t>
      </w:r>
      <w:r w:rsidRPr="00660A13">
        <w:rPr>
          <w:rFonts w:ascii="Open Sans" w:hAnsi="Open Sans" w:cs="Open Sans"/>
        </w:rPr>
        <w:t>[</w:t>
      </w:r>
      <w:r w:rsidR="001F38E7" w:rsidRPr="00660A13">
        <w:rPr>
          <w:rFonts w:ascii="Open Sans" w:hAnsi="Open Sans" w:cs="Open Sans"/>
        </w:rPr>
        <w:t>police and security</w:t>
      </w:r>
      <w:r w:rsidRPr="00660A13">
        <w:rPr>
          <w:rFonts w:ascii="Open Sans" w:hAnsi="Open Sans" w:cs="Open Sans"/>
        </w:rPr>
        <w:t>]</w:t>
      </w:r>
      <w:r w:rsidR="001F38E7" w:rsidRPr="00660A13">
        <w:rPr>
          <w:rFonts w:ascii="Open Sans" w:hAnsi="Open Sans" w:cs="Open Sans"/>
        </w:rPr>
        <w:t xml:space="preserve"> agencies </w:t>
      </w:r>
      <w:r w:rsidR="00842FAC" w:rsidRPr="00660A13">
        <w:rPr>
          <w:rFonts w:ascii="Open Sans" w:hAnsi="Open Sans" w:cs="Open Sans"/>
        </w:rPr>
        <w:t>to have expansive powers</w:t>
      </w:r>
      <w:r w:rsidR="001F38E7" w:rsidRPr="00660A13">
        <w:rPr>
          <w:rFonts w:ascii="Open Sans" w:hAnsi="Open Sans" w:cs="Open Sans"/>
        </w:rPr>
        <w:t xml:space="preserve"> to </w:t>
      </w:r>
      <w:r w:rsidR="001F38E7" w:rsidRPr="00660A13">
        <w:rPr>
          <w:rFonts w:ascii="Open Sans" w:hAnsi="Open Sans" w:cs="Open Sans"/>
        </w:rPr>
        <w:lastRenderedPageBreak/>
        <w:t>investigate criminal activity as well as to protect our national security</w:t>
      </w:r>
      <w:r w:rsidR="00842FAC" w:rsidRPr="00660A13">
        <w:rPr>
          <w:rFonts w:ascii="Open Sans" w:hAnsi="Open Sans" w:cs="Open Sans"/>
        </w:rPr>
        <w:t xml:space="preserve">, even where they </w:t>
      </w:r>
      <w:r w:rsidR="001F38E7" w:rsidRPr="00660A13">
        <w:rPr>
          <w:rFonts w:ascii="Open Sans" w:hAnsi="Open Sans" w:cs="Open Sans"/>
        </w:rPr>
        <w:t>limit</w:t>
      </w:r>
      <w:r w:rsidR="00842FAC" w:rsidRPr="00660A13">
        <w:rPr>
          <w:rFonts w:ascii="Open Sans" w:hAnsi="Open Sans" w:cs="Open Sans"/>
        </w:rPr>
        <w:t xml:space="preserve"> individual rights and freedoms. Such limitations must, however, be clearly expressed, unambiguous in their terms, and legitimate and proportionate responses to potential harms.</w:t>
      </w:r>
      <w:r w:rsidR="008A347C" w:rsidRPr="00660A13">
        <w:rPr>
          <w:rFonts w:ascii="Open Sans" w:hAnsi="Open Sans" w:cs="Open Sans"/>
        </w:rPr>
        <w:t>’</w:t>
      </w:r>
    </w:p>
    <w:p w14:paraId="4CD49FD6" w14:textId="6D74CBEE" w:rsidR="00842FAC" w:rsidRPr="00660A13" w:rsidRDefault="001741A1"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Commission </w:t>
      </w:r>
      <w:r w:rsidR="00FF658A" w:rsidRPr="00660A13">
        <w:rPr>
          <w:rFonts w:ascii="Open Sans" w:hAnsi="Open Sans" w:cs="Open Sans"/>
        </w:rPr>
        <w:t>considers</w:t>
      </w:r>
      <w:r w:rsidRPr="00660A13">
        <w:rPr>
          <w:rFonts w:ascii="Open Sans" w:hAnsi="Open Sans" w:cs="Open Sans"/>
        </w:rPr>
        <w:t xml:space="preserve"> that the </w:t>
      </w:r>
      <w:r w:rsidR="008B2D0F" w:rsidRPr="00660A13">
        <w:rPr>
          <w:rFonts w:ascii="Open Sans" w:hAnsi="Open Sans" w:cs="Open Sans"/>
        </w:rPr>
        <w:t xml:space="preserve">mandatory data </w:t>
      </w:r>
      <w:r w:rsidR="000A12C0">
        <w:rPr>
          <w:rFonts w:ascii="Open Sans" w:hAnsi="Open Sans" w:cs="Open Sans"/>
        </w:rPr>
        <w:t>r</w:t>
      </w:r>
      <w:r w:rsidR="008B2D0F" w:rsidRPr="00660A13">
        <w:rPr>
          <w:rFonts w:ascii="Open Sans" w:hAnsi="Open Sans" w:cs="Open Sans"/>
        </w:rPr>
        <w:t xml:space="preserve">etention regime </w:t>
      </w:r>
      <w:r w:rsidR="00842FAC" w:rsidRPr="00660A13">
        <w:rPr>
          <w:rFonts w:ascii="Open Sans" w:hAnsi="Open Sans" w:cs="Open Sans"/>
        </w:rPr>
        <w:t>goes beyond what can be</w:t>
      </w:r>
      <w:r w:rsidR="00FF658A" w:rsidRPr="00660A13">
        <w:rPr>
          <w:rFonts w:ascii="Open Sans" w:hAnsi="Open Sans" w:cs="Open Sans"/>
        </w:rPr>
        <w:t xml:space="preserve"> reasonably</w:t>
      </w:r>
      <w:r w:rsidR="00842FAC" w:rsidRPr="00660A13">
        <w:rPr>
          <w:rFonts w:ascii="Open Sans" w:hAnsi="Open Sans" w:cs="Open Sans"/>
        </w:rPr>
        <w:t xml:space="preserve"> justified</w:t>
      </w:r>
      <w:r w:rsidR="00FF658A" w:rsidRPr="00660A13">
        <w:rPr>
          <w:rFonts w:ascii="Open Sans" w:hAnsi="Open Sans" w:cs="Open Sans"/>
        </w:rPr>
        <w:t>.</w:t>
      </w:r>
      <w:r w:rsidR="00842FAC" w:rsidRPr="00660A13">
        <w:rPr>
          <w:rFonts w:ascii="Open Sans" w:hAnsi="Open Sans" w:cs="Open Sans"/>
        </w:rPr>
        <w:t xml:space="preserve"> </w:t>
      </w:r>
    </w:p>
    <w:p w14:paraId="71D4ED6E" w14:textId="50F95AAA" w:rsidR="00187607" w:rsidRPr="00660A13" w:rsidRDefault="00187607"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This submission is directed at the following aspects of the </w:t>
      </w:r>
      <w:r w:rsidR="000425BE" w:rsidRPr="00660A13">
        <w:rPr>
          <w:rFonts w:ascii="Open Sans" w:hAnsi="Open Sans" w:cs="Open Sans"/>
        </w:rPr>
        <w:t xml:space="preserve">PJCIS </w:t>
      </w:r>
      <w:r w:rsidR="002F411F">
        <w:rPr>
          <w:rFonts w:ascii="Open Sans" w:hAnsi="Open Sans" w:cs="Open Sans"/>
        </w:rPr>
        <w:t>T</w:t>
      </w:r>
      <w:r w:rsidR="002F411F" w:rsidRPr="00660A13">
        <w:rPr>
          <w:rFonts w:ascii="Open Sans" w:hAnsi="Open Sans" w:cs="Open Sans"/>
        </w:rPr>
        <w:t xml:space="preserve">erms </w:t>
      </w:r>
      <w:r w:rsidR="000425BE" w:rsidRPr="00660A13">
        <w:rPr>
          <w:rFonts w:ascii="Open Sans" w:hAnsi="Open Sans" w:cs="Open Sans"/>
        </w:rPr>
        <w:t xml:space="preserve">of </w:t>
      </w:r>
      <w:r w:rsidR="002F411F">
        <w:rPr>
          <w:rFonts w:ascii="Open Sans" w:hAnsi="Open Sans" w:cs="Open Sans"/>
        </w:rPr>
        <w:t>R</w:t>
      </w:r>
      <w:r w:rsidR="002F411F" w:rsidRPr="00660A13">
        <w:rPr>
          <w:rFonts w:ascii="Open Sans" w:hAnsi="Open Sans" w:cs="Open Sans"/>
        </w:rPr>
        <w:t xml:space="preserve">eference </w:t>
      </w:r>
      <w:r w:rsidR="000425BE" w:rsidRPr="00660A13">
        <w:rPr>
          <w:rFonts w:ascii="Open Sans" w:hAnsi="Open Sans" w:cs="Open Sans"/>
        </w:rPr>
        <w:t>for this inquiry: the continued effectiveness of the scheme, the appropriateness of the dataset retention period, any potential improvements to oversight</w:t>
      </w:r>
      <w:r w:rsidR="001418DB" w:rsidRPr="00660A13">
        <w:rPr>
          <w:rFonts w:ascii="Open Sans" w:hAnsi="Open Sans" w:cs="Open Sans"/>
        </w:rPr>
        <w:t>,</w:t>
      </w:r>
      <w:r w:rsidR="000425BE" w:rsidRPr="00660A13">
        <w:rPr>
          <w:rFonts w:ascii="Open Sans" w:hAnsi="Open Sans" w:cs="Open Sans"/>
        </w:rPr>
        <w:t xml:space="preserve"> and developments in international jurisdictions since the passage of the Bill.</w:t>
      </w:r>
    </w:p>
    <w:p w14:paraId="35459C1E" w14:textId="4E9A3AAD" w:rsidR="00C1525C" w:rsidRPr="00660A13" w:rsidRDefault="00C1525C" w:rsidP="00E506BC">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Recent developments in Europe highlight the problems with mandatory and indiscriminate data retention schemes. It is difficult to justify the breadth of these schemes</w:t>
      </w:r>
      <w:r w:rsidR="002F411F">
        <w:rPr>
          <w:rFonts w:ascii="Open Sans" w:hAnsi="Open Sans" w:cs="Open Sans"/>
        </w:rPr>
        <w:t>,</w:t>
      </w:r>
      <w:r w:rsidRPr="00660A13">
        <w:rPr>
          <w:rFonts w:ascii="Open Sans" w:hAnsi="Open Sans" w:cs="Open Sans"/>
        </w:rPr>
        <w:t xml:space="preserve"> given their serious </w:t>
      </w:r>
      <w:r w:rsidR="00572E07">
        <w:rPr>
          <w:rFonts w:ascii="Open Sans" w:hAnsi="Open Sans" w:cs="Open Sans"/>
        </w:rPr>
        <w:t>encroachments</w:t>
      </w:r>
      <w:r w:rsidRPr="00660A13">
        <w:rPr>
          <w:rFonts w:ascii="Open Sans" w:hAnsi="Open Sans" w:cs="Open Sans"/>
        </w:rPr>
        <w:t xml:space="preserve"> on privacy and their indirect impacts on freedom of</w:t>
      </w:r>
      <w:r w:rsidR="00F67AA2">
        <w:rPr>
          <w:rFonts w:ascii="Open Sans" w:hAnsi="Open Sans" w:cs="Open Sans"/>
        </w:rPr>
        <w:t xml:space="preserve"> expression</w:t>
      </w:r>
      <w:r w:rsidRPr="00660A13">
        <w:rPr>
          <w:rFonts w:ascii="Open Sans" w:hAnsi="Open Sans" w:cs="Open Sans"/>
        </w:rPr>
        <w:t xml:space="preserve">. The </w:t>
      </w:r>
      <w:r w:rsidRPr="00660A13">
        <w:rPr>
          <w:rFonts w:ascii="Open Sans" w:hAnsi="Open Sans" w:cs="Open Sans"/>
          <w:color w:val="000000"/>
          <w:szCs w:val="20"/>
          <w:lang w:eastAsia="en-US"/>
        </w:rPr>
        <w:t xml:space="preserve">Court of Justice of the European Union </w:t>
      </w:r>
      <w:r w:rsidR="00817EF8">
        <w:rPr>
          <w:rFonts w:ascii="Open Sans" w:hAnsi="Open Sans" w:cs="Open Sans"/>
          <w:color w:val="000000"/>
          <w:szCs w:val="20"/>
          <w:lang w:eastAsia="en-US"/>
        </w:rPr>
        <w:t xml:space="preserve">(CJEU) </w:t>
      </w:r>
      <w:r w:rsidRPr="00660A13">
        <w:rPr>
          <w:rFonts w:ascii="Open Sans" w:hAnsi="Open Sans" w:cs="Open Sans"/>
          <w:color w:val="000000"/>
          <w:szCs w:val="20"/>
          <w:lang w:eastAsia="en-US"/>
        </w:rPr>
        <w:t xml:space="preserve">has held that European Union law </w:t>
      </w:r>
      <w:r w:rsidR="00A34EDE" w:rsidRPr="00660A13">
        <w:rPr>
          <w:rFonts w:ascii="Open Sans" w:hAnsi="Open Sans" w:cs="Open Sans"/>
          <w:color w:val="000000"/>
          <w:szCs w:val="20"/>
          <w:lang w:eastAsia="en-US"/>
        </w:rPr>
        <w:t>does not permit national legislation which:</w:t>
      </w:r>
    </w:p>
    <w:p w14:paraId="08630150" w14:textId="10704F47" w:rsidR="00A34EDE" w:rsidRPr="00660A13" w:rsidRDefault="00A34EDE" w:rsidP="00DB444F">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 xml:space="preserve">mandates general and indiscriminate data retention </w:t>
      </w:r>
    </w:p>
    <w:p w14:paraId="7155DE63" w14:textId="717D4833" w:rsidR="00A34EDE" w:rsidRPr="00660A13" w:rsidRDefault="00A34EDE" w:rsidP="00DB444F">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grants access to data in circumstances where access is not solely for the purpose of fighting serious crime, and where access is not subject to prior review by a court or an independent administrative authority.</w:t>
      </w:r>
      <w:r w:rsidR="00B02892">
        <w:rPr>
          <w:rStyle w:val="EndnoteReference"/>
          <w:rFonts w:cs="Open Sans"/>
        </w:rPr>
        <w:endnoteReference w:id="4"/>
      </w:r>
    </w:p>
    <w:p w14:paraId="6A5D08F1" w14:textId="7B1267F7" w:rsidR="000425BE" w:rsidRPr="00660A13" w:rsidRDefault="00C1525C"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Commission’s recommendations are aimed at ensuring that the data retention regime is </w:t>
      </w:r>
      <w:r w:rsidR="00A34EDE" w:rsidRPr="00660A13">
        <w:rPr>
          <w:rFonts w:ascii="Open Sans" w:hAnsi="Open Sans" w:cs="Open Sans"/>
        </w:rPr>
        <w:t xml:space="preserve">more closely tailored to the purpose of fighting serious crime and is subject to appropriate safeguards and oversight. </w:t>
      </w:r>
    </w:p>
    <w:p w14:paraId="1404AD76" w14:textId="6D108B94" w:rsidR="00B52F7E" w:rsidRPr="00660A13" w:rsidRDefault="00B52F7E" w:rsidP="006717FF">
      <w:pPr>
        <w:pStyle w:val="Heading1"/>
        <w:numPr>
          <w:ilvl w:val="0"/>
          <w:numId w:val="16"/>
        </w:numPr>
        <w:tabs>
          <w:tab w:val="clear" w:pos="851"/>
          <w:tab w:val="num" w:pos="567"/>
        </w:tabs>
        <w:ind w:left="567" w:hanging="567"/>
        <w:rPr>
          <w:rFonts w:ascii="Open Sans" w:hAnsi="Open Sans" w:cs="Open Sans"/>
          <w:sz w:val="32"/>
          <w:szCs w:val="32"/>
        </w:rPr>
      </w:pPr>
      <w:bookmarkStart w:id="50" w:name="_Toc162769291"/>
      <w:bookmarkStart w:id="51" w:name="_Toc207761832"/>
      <w:bookmarkStart w:id="52" w:name="_Toc209578268"/>
      <w:bookmarkStart w:id="53" w:name="_Toc12886511"/>
      <w:r w:rsidRPr="00660A13">
        <w:rPr>
          <w:rFonts w:ascii="Open Sans" w:hAnsi="Open Sans" w:cs="Open Sans"/>
          <w:sz w:val="32"/>
          <w:szCs w:val="32"/>
        </w:rPr>
        <w:t>Recommendations</w:t>
      </w:r>
      <w:bookmarkEnd w:id="50"/>
      <w:bookmarkEnd w:id="51"/>
      <w:bookmarkEnd w:id="52"/>
      <w:bookmarkEnd w:id="53"/>
    </w:p>
    <w:p w14:paraId="127F3DBE" w14:textId="09DC5E74" w:rsidR="00B52F7E" w:rsidRPr="00660A13" w:rsidRDefault="00B52F7E" w:rsidP="006717FF">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The Commission </w:t>
      </w:r>
      <w:r w:rsidR="00190631" w:rsidRPr="00660A13">
        <w:rPr>
          <w:rStyle w:val="Heading3Char"/>
          <w:rFonts w:ascii="Open Sans" w:hAnsi="Open Sans" w:cs="Open Sans"/>
          <w:bCs w:val="0"/>
          <w:i w:val="0"/>
        </w:rPr>
        <w:t>makes the following recommendations</w:t>
      </w:r>
      <w:r w:rsidRPr="00660A13">
        <w:rPr>
          <w:rFonts w:ascii="Open Sans" w:hAnsi="Open Sans" w:cs="Open Sans"/>
        </w:rPr>
        <w:t xml:space="preserve">: </w:t>
      </w:r>
    </w:p>
    <w:p w14:paraId="1A593C11" w14:textId="5E5FF974" w:rsidR="00190631" w:rsidRPr="00660A13" w:rsidRDefault="00A979C1" w:rsidP="006717FF">
      <w:pPr>
        <w:pStyle w:val="SubmissionNormal"/>
        <w:keepNext/>
        <w:numPr>
          <w:ilvl w:val="0"/>
          <w:numId w:val="0"/>
        </w:numPr>
        <w:ind w:left="567" w:firstLine="6"/>
        <w:rPr>
          <w:rFonts w:ascii="Open Sans" w:hAnsi="Open Sans" w:cs="Open Sans"/>
          <w:b/>
        </w:rPr>
      </w:pPr>
      <w:bookmarkStart w:id="54" w:name="_Hlk11851495"/>
      <w:r w:rsidRPr="00660A13">
        <w:rPr>
          <w:rFonts w:ascii="Open Sans" w:hAnsi="Open Sans" w:cs="Open Sans"/>
          <w:b/>
        </w:rPr>
        <w:t xml:space="preserve">Recommendation </w:t>
      </w:r>
      <w:r w:rsidR="00107699" w:rsidRPr="00660A13">
        <w:rPr>
          <w:rFonts w:ascii="Open Sans" w:hAnsi="Open Sans" w:cs="Open Sans"/>
          <w:b/>
        </w:rPr>
        <w:t>1</w:t>
      </w:r>
    </w:p>
    <w:p w14:paraId="36706C81" w14:textId="43E3BF29" w:rsidR="00A979C1" w:rsidRPr="00660A13" w:rsidRDefault="00190631" w:rsidP="006717FF">
      <w:pPr>
        <w:pStyle w:val="SubmissionNormal"/>
        <w:numPr>
          <w:ilvl w:val="0"/>
          <w:numId w:val="0"/>
        </w:numPr>
        <w:ind w:left="567" w:firstLine="7"/>
        <w:rPr>
          <w:rFonts w:ascii="Open Sans" w:hAnsi="Open Sans" w:cs="Open Sans"/>
          <w:bCs/>
        </w:rPr>
      </w:pPr>
      <w:r w:rsidRPr="00660A13">
        <w:rPr>
          <w:rFonts w:ascii="Open Sans" w:hAnsi="Open Sans" w:cs="Open Sans"/>
          <w:bCs/>
        </w:rPr>
        <w:t xml:space="preserve">The Commission recommends that </w:t>
      </w:r>
      <w:r w:rsidR="00A979C1" w:rsidRPr="00660A13">
        <w:rPr>
          <w:rFonts w:ascii="Open Sans" w:hAnsi="Open Sans" w:cs="Open Sans"/>
          <w:bCs/>
        </w:rPr>
        <w:t xml:space="preserve">the </w:t>
      </w:r>
      <w:r w:rsidRPr="00660A13">
        <w:rPr>
          <w:rFonts w:ascii="Open Sans" w:hAnsi="Open Sans" w:cs="Open Sans"/>
          <w:bCs/>
        </w:rPr>
        <w:t>TIA Act</w:t>
      </w:r>
      <w:r w:rsidR="00A979C1" w:rsidRPr="00660A13">
        <w:rPr>
          <w:rFonts w:ascii="Open Sans" w:hAnsi="Open Sans" w:cs="Open Sans"/>
          <w:bCs/>
        </w:rPr>
        <w:t xml:space="preserve"> be amended to include a definition of</w:t>
      </w:r>
      <w:r w:rsidR="002243CE" w:rsidRPr="00660A13">
        <w:rPr>
          <w:rFonts w:ascii="Open Sans" w:hAnsi="Open Sans" w:cs="Open Sans"/>
          <w:bCs/>
        </w:rPr>
        <w:t xml:space="preserve"> </w:t>
      </w:r>
      <w:r w:rsidR="00107699" w:rsidRPr="00660A13">
        <w:rPr>
          <w:rFonts w:ascii="Open Sans" w:hAnsi="Open Sans" w:cs="Open Sans"/>
          <w:bCs/>
        </w:rPr>
        <w:t xml:space="preserve">the terms </w:t>
      </w:r>
      <w:r w:rsidR="00A979C1" w:rsidRPr="00660A13">
        <w:rPr>
          <w:rFonts w:ascii="Open Sans" w:hAnsi="Open Sans" w:cs="Open Sans"/>
          <w:bCs/>
        </w:rPr>
        <w:t>‘content</w:t>
      </w:r>
      <w:r w:rsidR="00FD17AE" w:rsidRPr="00660A13">
        <w:rPr>
          <w:rFonts w:ascii="Open Sans" w:hAnsi="Open Sans" w:cs="Open Sans"/>
          <w:bCs/>
        </w:rPr>
        <w:t>s</w:t>
      </w:r>
      <w:r w:rsidR="00A979C1" w:rsidRPr="00660A13">
        <w:rPr>
          <w:rFonts w:ascii="Open Sans" w:hAnsi="Open Sans" w:cs="Open Sans"/>
          <w:bCs/>
        </w:rPr>
        <w:t>’</w:t>
      </w:r>
      <w:r w:rsidR="00FD17AE" w:rsidRPr="00660A13">
        <w:rPr>
          <w:rFonts w:ascii="Open Sans" w:hAnsi="Open Sans" w:cs="Open Sans"/>
          <w:bCs/>
        </w:rPr>
        <w:t xml:space="preserve"> and ‘substance’</w:t>
      </w:r>
      <w:r w:rsidR="00107699" w:rsidRPr="00660A13">
        <w:rPr>
          <w:rFonts w:ascii="Open Sans" w:hAnsi="Open Sans" w:cs="Open Sans"/>
          <w:bCs/>
        </w:rPr>
        <w:t xml:space="preserve"> as they appear in </w:t>
      </w:r>
      <w:r w:rsidR="00907897" w:rsidRPr="00660A13">
        <w:rPr>
          <w:rFonts w:ascii="Open Sans" w:hAnsi="Open Sans" w:cs="Open Sans"/>
          <w:bCs/>
        </w:rPr>
        <w:t>ss 172 and 187A(4)(a)</w:t>
      </w:r>
      <w:r w:rsidR="00A979C1" w:rsidRPr="00660A13">
        <w:rPr>
          <w:rFonts w:ascii="Open Sans" w:hAnsi="Open Sans" w:cs="Open Sans"/>
          <w:bCs/>
        </w:rPr>
        <w:t>.</w:t>
      </w:r>
      <w:r w:rsidR="00377B9A" w:rsidRPr="00660A13">
        <w:rPr>
          <w:rFonts w:ascii="Open Sans" w:hAnsi="Open Sans" w:cs="Open Sans"/>
          <w:bCs/>
        </w:rPr>
        <w:t xml:space="preserve"> </w:t>
      </w:r>
    </w:p>
    <w:bookmarkEnd w:id="54"/>
    <w:p w14:paraId="53EECC0D" w14:textId="2FB7C155" w:rsidR="00190631" w:rsidRPr="00660A13" w:rsidRDefault="00B52F7E" w:rsidP="006717FF">
      <w:pPr>
        <w:pStyle w:val="SubmissionNormal"/>
        <w:keepNext/>
        <w:numPr>
          <w:ilvl w:val="0"/>
          <w:numId w:val="0"/>
        </w:numPr>
        <w:ind w:left="567" w:firstLine="6"/>
        <w:rPr>
          <w:rFonts w:ascii="Open Sans" w:hAnsi="Open Sans" w:cs="Open Sans"/>
          <w:b/>
        </w:rPr>
      </w:pPr>
      <w:r w:rsidRPr="00660A13">
        <w:rPr>
          <w:rFonts w:ascii="Open Sans" w:hAnsi="Open Sans" w:cs="Open Sans"/>
          <w:b/>
        </w:rPr>
        <w:lastRenderedPageBreak/>
        <w:t xml:space="preserve">Recommendation </w:t>
      </w:r>
      <w:r w:rsidR="00107699" w:rsidRPr="00660A13">
        <w:rPr>
          <w:rFonts w:ascii="Open Sans" w:hAnsi="Open Sans" w:cs="Open Sans"/>
          <w:b/>
        </w:rPr>
        <w:t>2</w:t>
      </w:r>
    </w:p>
    <w:p w14:paraId="11FF5979" w14:textId="2DE567B9" w:rsidR="00E22360" w:rsidRPr="00660A13" w:rsidRDefault="00190631" w:rsidP="006717FF">
      <w:pPr>
        <w:pStyle w:val="SubmissionNormal"/>
        <w:numPr>
          <w:ilvl w:val="0"/>
          <w:numId w:val="0"/>
        </w:numPr>
        <w:ind w:left="567"/>
        <w:rPr>
          <w:rFonts w:ascii="Open Sans" w:hAnsi="Open Sans" w:cs="Open Sans"/>
          <w:bCs/>
        </w:rPr>
      </w:pPr>
      <w:r w:rsidRPr="00660A13">
        <w:rPr>
          <w:rFonts w:ascii="Open Sans" w:hAnsi="Open Sans" w:cs="Open Sans"/>
          <w:bCs/>
        </w:rPr>
        <w:t xml:space="preserve">The Commission recommends that </w:t>
      </w:r>
      <w:r w:rsidR="001F38E7" w:rsidRPr="00660A13">
        <w:rPr>
          <w:rFonts w:ascii="Open Sans" w:hAnsi="Open Sans" w:cs="Open Sans"/>
          <w:bCs/>
        </w:rPr>
        <w:t>the</w:t>
      </w:r>
      <w:r w:rsidR="00AB6D6C" w:rsidRPr="00660A13">
        <w:rPr>
          <w:rFonts w:ascii="Open Sans" w:hAnsi="Open Sans" w:cs="Open Sans"/>
          <w:bCs/>
        </w:rPr>
        <w:t xml:space="preserve"> </w:t>
      </w:r>
      <w:proofErr w:type="gramStart"/>
      <w:r w:rsidR="0029018E">
        <w:rPr>
          <w:rFonts w:ascii="Open Sans" w:hAnsi="Open Sans" w:cs="Open Sans"/>
          <w:bCs/>
        </w:rPr>
        <w:t>two</w:t>
      </w:r>
      <w:r w:rsidR="0029018E" w:rsidRPr="00660A13">
        <w:rPr>
          <w:rFonts w:ascii="Open Sans" w:hAnsi="Open Sans" w:cs="Open Sans"/>
          <w:bCs/>
        </w:rPr>
        <w:t xml:space="preserve"> </w:t>
      </w:r>
      <w:r w:rsidR="00AB6D6C" w:rsidRPr="00660A13">
        <w:rPr>
          <w:rFonts w:ascii="Open Sans" w:hAnsi="Open Sans" w:cs="Open Sans"/>
          <w:bCs/>
        </w:rPr>
        <w:t>year</w:t>
      </w:r>
      <w:proofErr w:type="gramEnd"/>
      <w:r w:rsidR="001F38E7" w:rsidRPr="00660A13">
        <w:rPr>
          <w:rFonts w:ascii="Open Sans" w:hAnsi="Open Sans" w:cs="Open Sans"/>
          <w:bCs/>
        </w:rPr>
        <w:t xml:space="preserve"> </w:t>
      </w:r>
      <w:r w:rsidR="00E22360" w:rsidRPr="00660A13">
        <w:rPr>
          <w:rFonts w:ascii="Open Sans" w:hAnsi="Open Sans" w:cs="Open Sans"/>
          <w:bCs/>
        </w:rPr>
        <w:t>retenti</w:t>
      </w:r>
      <w:r w:rsidR="00A979C1" w:rsidRPr="00660A13">
        <w:rPr>
          <w:rFonts w:ascii="Open Sans" w:hAnsi="Open Sans" w:cs="Open Sans"/>
          <w:bCs/>
        </w:rPr>
        <w:t xml:space="preserve">on period </w:t>
      </w:r>
      <w:r w:rsidR="00AB6D6C" w:rsidRPr="00660A13">
        <w:rPr>
          <w:rFonts w:ascii="Open Sans" w:hAnsi="Open Sans" w:cs="Open Sans"/>
          <w:bCs/>
        </w:rPr>
        <w:t xml:space="preserve">for communications data </w:t>
      </w:r>
      <w:r w:rsidRPr="00660A13">
        <w:rPr>
          <w:rFonts w:ascii="Open Sans" w:hAnsi="Open Sans" w:cs="Open Sans"/>
          <w:bCs/>
        </w:rPr>
        <w:t>be significantly reduced or</w:t>
      </w:r>
      <w:r w:rsidR="00AB6D6C" w:rsidRPr="00660A13">
        <w:rPr>
          <w:rFonts w:ascii="Open Sans" w:hAnsi="Open Sans" w:cs="Open Sans"/>
          <w:bCs/>
        </w:rPr>
        <w:t>,</w:t>
      </w:r>
      <w:r w:rsidRPr="00660A13">
        <w:rPr>
          <w:rFonts w:ascii="Open Sans" w:hAnsi="Open Sans" w:cs="Open Sans"/>
          <w:bCs/>
        </w:rPr>
        <w:t xml:space="preserve"> alternatively, tailored retention periods be adopted.</w:t>
      </w:r>
    </w:p>
    <w:p w14:paraId="7A56E7A5" w14:textId="5D7EA268" w:rsidR="00190631" w:rsidRPr="00660A13" w:rsidRDefault="00B52F7E" w:rsidP="006717FF">
      <w:pPr>
        <w:pStyle w:val="SubmissionNormal"/>
        <w:keepNext/>
        <w:numPr>
          <w:ilvl w:val="0"/>
          <w:numId w:val="0"/>
        </w:numPr>
        <w:ind w:left="567" w:firstLine="6"/>
        <w:rPr>
          <w:rFonts w:ascii="Open Sans" w:hAnsi="Open Sans" w:cs="Open Sans"/>
          <w:b/>
        </w:rPr>
      </w:pPr>
      <w:r w:rsidRPr="00660A13">
        <w:rPr>
          <w:rFonts w:ascii="Open Sans" w:hAnsi="Open Sans" w:cs="Open Sans"/>
          <w:b/>
        </w:rPr>
        <w:t xml:space="preserve">Recommendation </w:t>
      </w:r>
      <w:r w:rsidR="00107699" w:rsidRPr="00660A13">
        <w:rPr>
          <w:rFonts w:ascii="Open Sans" w:hAnsi="Open Sans" w:cs="Open Sans"/>
          <w:b/>
        </w:rPr>
        <w:t>3</w:t>
      </w:r>
    </w:p>
    <w:p w14:paraId="0C182AD0" w14:textId="4CDB84DA" w:rsidR="00E22360" w:rsidRPr="00660A13" w:rsidRDefault="00190631" w:rsidP="006717FF">
      <w:pPr>
        <w:pStyle w:val="SubmissionNormal"/>
        <w:numPr>
          <w:ilvl w:val="0"/>
          <w:numId w:val="0"/>
        </w:numPr>
        <w:ind w:left="567"/>
        <w:rPr>
          <w:rFonts w:ascii="Open Sans" w:hAnsi="Open Sans" w:cs="Open Sans"/>
          <w:bCs/>
        </w:rPr>
      </w:pPr>
      <w:r w:rsidRPr="00660A13">
        <w:rPr>
          <w:rFonts w:ascii="Open Sans" w:hAnsi="Open Sans" w:cs="Open Sans"/>
          <w:bCs/>
        </w:rPr>
        <w:t xml:space="preserve">The Commission recommends that </w:t>
      </w:r>
      <w:r w:rsidR="00AB6D6C" w:rsidRPr="00660A13">
        <w:rPr>
          <w:rFonts w:ascii="Open Sans" w:hAnsi="Open Sans" w:cs="Open Sans"/>
          <w:bCs/>
        </w:rPr>
        <w:t xml:space="preserve">retained </w:t>
      </w:r>
      <w:r w:rsidR="00995B2E" w:rsidRPr="00660A13">
        <w:rPr>
          <w:rFonts w:ascii="Open Sans" w:hAnsi="Open Sans" w:cs="Open Sans"/>
          <w:bCs/>
        </w:rPr>
        <w:t xml:space="preserve">communications data </w:t>
      </w:r>
      <w:r w:rsidR="00891D1B" w:rsidRPr="00660A13">
        <w:rPr>
          <w:rFonts w:ascii="Open Sans" w:hAnsi="Open Sans" w:cs="Open Sans"/>
          <w:bCs/>
        </w:rPr>
        <w:t>is</w:t>
      </w:r>
      <w:r w:rsidR="00995B2E" w:rsidRPr="00660A13">
        <w:rPr>
          <w:rFonts w:ascii="Open Sans" w:hAnsi="Open Sans" w:cs="Open Sans"/>
          <w:bCs/>
        </w:rPr>
        <w:t xml:space="preserve"> </w:t>
      </w:r>
      <w:r w:rsidR="00891D1B" w:rsidRPr="00660A13">
        <w:rPr>
          <w:rFonts w:ascii="Open Sans" w:hAnsi="Open Sans" w:cs="Open Sans"/>
          <w:bCs/>
        </w:rPr>
        <w:t xml:space="preserve">only able to </w:t>
      </w:r>
      <w:r w:rsidR="00995B2E" w:rsidRPr="00660A13">
        <w:rPr>
          <w:rFonts w:ascii="Open Sans" w:hAnsi="Open Sans" w:cs="Open Sans"/>
          <w:bCs/>
        </w:rPr>
        <w:t xml:space="preserve">be accessed </w:t>
      </w:r>
      <w:r w:rsidR="009C532A" w:rsidRPr="00660A13">
        <w:rPr>
          <w:rFonts w:ascii="Open Sans" w:hAnsi="Open Sans" w:cs="Open Sans"/>
          <w:bCs/>
        </w:rPr>
        <w:t xml:space="preserve">by enforcement agencies </w:t>
      </w:r>
      <w:r w:rsidR="00891D1B" w:rsidRPr="00660A13">
        <w:rPr>
          <w:rFonts w:ascii="Open Sans" w:hAnsi="Open Sans" w:cs="Open Sans"/>
          <w:bCs/>
        </w:rPr>
        <w:t>for</w:t>
      </w:r>
      <w:r w:rsidR="00995B2E" w:rsidRPr="00660A13">
        <w:rPr>
          <w:rFonts w:ascii="Open Sans" w:hAnsi="Open Sans" w:cs="Open Sans"/>
          <w:bCs/>
        </w:rPr>
        <w:t xml:space="preserve"> </w:t>
      </w:r>
      <w:r w:rsidR="009C532A" w:rsidRPr="00660A13">
        <w:rPr>
          <w:rFonts w:ascii="Open Sans" w:hAnsi="Open Sans" w:cs="Open Sans"/>
          <w:bCs/>
        </w:rPr>
        <w:t xml:space="preserve">the investigation of defined, </w:t>
      </w:r>
      <w:r w:rsidR="00995B2E" w:rsidRPr="00660A13">
        <w:rPr>
          <w:rFonts w:ascii="Open Sans" w:hAnsi="Open Sans" w:cs="Open Sans"/>
          <w:bCs/>
        </w:rPr>
        <w:t>sufficiently serious crimes</w:t>
      </w:r>
      <w:r w:rsidR="00E22360" w:rsidRPr="00660A13">
        <w:rPr>
          <w:rFonts w:ascii="Open Sans" w:hAnsi="Open Sans" w:cs="Open Sans"/>
          <w:bCs/>
        </w:rPr>
        <w:t xml:space="preserve">. </w:t>
      </w:r>
    </w:p>
    <w:p w14:paraId="18CCFB8E" w14:textId="5E2949B2" w:rsidR="00190631" w:rsidRPr="00660A13" w:rsidRDefault="00B52F7E" w:rsidP="006717FF">
      <w:pPr>
        <w:pStyle w:val="SubmissionNormal"/>
        <w:keepNext/>
        <w:numPr>
          <w:ilvl w:val="0"/>
          <w:numId w:val="0"/>
        </w:numPr>
        <w:ind w:left="567" w:firstLine="6"/>
        <w:rPr>
          <w:rFonts w:ascii="Open Sans" w:hAnsi="Open Sans" w:cs="Open Sans"/>
          <w:b/>
        </w:rPr>
      </w:pPr>
      <w:r w:rsidRPr="00660A13">
        <w:rPr>
          <w:rFonts w:ascii="Open Sans" w:hAnsi="Open Sans" w:cs="Open Sans"/>
          <w:b/>
        </w:rPr>
        <w:t xml:space="preserve">Recommendation </w:t>
      </w:r>
      <w:r w:rsidR="00107699" w:rsidRPr="00660A13">
        <w:rPr>
          <w:rFonts w:ascii="Open Sans" w:hAnsi="Open Sans" w:cs="Open Sans"/>
          <w:b/>
        </w:rPr>
        <w:t>4</w:t>
      </w:r>
    </w:p>
    <w:p w14:paraId="162F155A" w14:textId="0CBBBB8A" w:rsidR="00304EFF" w:rsidRPr="00660A13" w:rsidRDefault="00190631" w:rsidP="006717FF">
      <w:pPr>
        <w:pStyle w:val="SubmissionNormal"/>
        <w:numPr>
          <w:ilvl w:val="0"/>
          <w:numId w:val="0"/>
        </w:numPr>
        <w:ind w:left="567"/>
        <w:rPr>
          <w:rFonts w:ascii="Open Sans" w:hAnsi="Open Sans" w:cs="Open Sans"/>
          <w:bCs/>
          <w:i/>
        </w:rPr>
      </w:pPr>
      <w:r w:rsidRPr="00660A13">
        <w:rPr>
          <w:rFonts w:ascii="Open Sans" w:hAnsi="Open Sans" w:cs="Open Sans"/>
          <w:bCs/>
        </w:rPr>
        <w:t>The Commission recommends that a</w:t>
      </w:r>
      <w:r w:rsidR="005501AC" w:rsidRPr="00660A13">
        <w:rPr>
          <w:rFonts w:ascii="Open Sans" w:hAnsi="Open Sans" w:cs="Open Sans"/>
          <w:bCs/>
        </w:rPr>
        <w:t xml:space="preserve"> warrant or authorisation system by a court or administrative body be implemented</w:t>
      </w:r>
      <w:r w:rsidR="00907897" w:rsidRPr="00660A13">
        <w:rPr>
          <w:rFonts w:ascii="Open Sans" w:hAnsi="Open Sans" w:cs="Open Sans"/>
          <w:bCs/>
        </w:rPr>
        <w:t xml:space="preserve"> </w:t>
      </w:r>
      <w:r w:rsidR="00907897" w:rsidRPr="00660A13">
        <w:rPr>
          <w:rFonts w:ascii="Open Sans" w:hAnsi="Open Sans" w:cs="Open Sans"/>
        </w:rPr>
        <w:t>for access to retained communications data</w:t>
      </w:r>
      <w:r w:rsidRPr="00660A13">
        <w:rPr>
          <w:rFonts w:ascii="Open Sans" w:hAnsi="Open Sans" w:cs="Open Sans"/>
          <w:bCs/>
        </w:rPr>
        <w:t>.</w:t>
      </w:r>
      <w:r w:rsidR="00DB61BC">
        <w:rPr>
          <w:rFonts w:ascii="Open Sans" w:hAnsi="Open Sans" w:cs="Open Sans"/>
          <w:bCs/>
        </w:rPr>
        <w:t xml:space="preserve"> </w:t>
      </w:r>
    </w:p>
    <w:p w14:paraId="2752E27B" w14:textId="0F294355" w:rsidR="00B52F7E" w:rsidRPr="00660A13" w:rsidRDefault="00B52F7E" w:rsidP="006717FF">
      <w:pPr>
        <w:pStyle w:val="Heading1"/>
        <w:numPr>
          <w:ilvl w:val="0"/>
          <w:numId w:val="16"/>
        </w:numPr>
        <w:tabs>
          <w:tab w:val="clear" w:pos="851"/>
          <w:tab w:val="num" w:pos="567"/>
        </w:tabs>
        <w:ind w:left="567" w:hanging="567"/>
        <w:rPr>
          <w:rFonts w:ascii="Open Sans" w:hAnsi="Open Sans" w:cs="Open Sans"/>
          <w:sz w:val="32"/>
          <w:szCs w:val="32"/>
        </w:rPr>
      </w:pPr>
      <w:bookmarkStart w:id="55" w:name="_Toc12886512"/>
      <w:r w:rsidRPr="00660A13">
        <w:rPr>
          <w:rFonts w:ascii="Open Sans" w:hAnsi="Open Sans" w:cs="Open Sans"/>
          <w:sz w:val="32"/>
          <w:szCs w:val="32"/>
        </w:rPr>
        <w:t xml:space="preserve">Human </w:t>
      </w:r>
      <w:r w:rsidR="00A61083" w:rsidRPr="00660A13">
        <w:rPr>
          <w:rFonts w:ascii="Open Sans" w:hAnsi="Open Sans" w:cs="Open Sans"/>
          <w:sz w:val="32"/>
          <w:szCs w:val="32"/>
        </w:rPr>
        <w:t>r</w:t>
      </w:r>
      <w:r w:rsidRPr="00660A13">
        <w:rPr>
          <w:rFonts w:ascii="Open Sans" w:hAnsi="Open Sans" w:cs="Open Sans"/>
          <w:sz w:val="32"/>
          <w:szCs w:val="32"/>
        </w:rPr>
        <w:t xml:space="preserve">ights </w:t>
      </w:r>
      <w:r w:rsidR="00A61083" w:rsidRPr="00660A13">
        <w:rPr>
          <w:rFonts w:ascii="Open Sans" w:hAnsi="Open Sans" w:cs="Open Sans"/>
          <w:sz w:val="32"/>
          <w:szCs w:val="32"/>
        </w:rPr>
        <w:t>f</w:t>
      </w:r>
      <w:r w:rsidRPr="00660A13">
        <w:rPr>
          <w:rFonts w:ascii="Open Sans" w:hAnsi="Open Sans" w:cs="Open Sans"/>
          <w:sz w:val="32"/>
          <w:szCs w:val="32"/>
        </w:rPr>
        <w:t>ramework</w:t>
      </w:r>
      <w:bookmarkEnd w:id="55"/>
    </w:p>
    <w:p w14:paraId="47A5D12A" w14:textId="54C8EE4F" w:rsidR="00B52F7E" w:rsidRPr="00660A13" w:rsidRDefault="00B52F7E" w:rsidP="006717FF">
      <w:pPr>
        <w:pStyle w:val="Heading2"/>
        <w:numPr>
          <w:ilvl w:val="1"/>
          <w:numId w:val="16"/>
        </w:numPr>
        <w:tabs>
          <w:tab w:val="clear" w:pos="851"/>
          <w:tab w:val="num" w:pos="567"/>
        </w:tabs>
        <w:rPr>
          <w:rFonts w:ascii="Open Sans" w:hAnsi="Open Sans" w:cs="Open Sans"/>
        </w:rPr>
      </w:pPr>
      <w:bookmarkStart w:id="56" w:name="_Toc12886513"/>
      <w:r w:rsidRPr="00660A13">
        <w:rPr>
          <w:rFonts w:ascii="Open Sans" w:hAnsi="Open Sans" w:cs="Open Sans"/>
        </w:rPr>
        <w:t xml:space="preserve">Article 17 </w:t>
      </w:r>
      <w:r w:rsidR="0029018E">
        <w:rPr>
          <w:rFonts w:ascii="Open Sans" w:hAnsi="Open Sans" w:cs="Open Sans"/>
        </w:rPr>
        <w:t>—</w:t>
      </w:r>
      <w:r w:rsidR="0029018E" w:rsidRPr="00660A13">
        <w:rPr>
          <w:rFonts w:ascii="Open Sans" w:hAnsi="Open Sans" w:cs="Open Sans"/>
        </w:rPr>
        <w:t xml:space="preserve"> </w:t>
      </w:r>
      <w:r w:rsidRPr="00660A13">
        <w:rPr>
          <w:rFonts w:ascii="Open Sans" w:hAnsi="Open Sans" w:cs="Open Sans"/>
        </w:rPr>
        <w:t xml:space="preserve">the </w:t>
      </w:r>
      <w:r w:rsidR="00A61083" w:rsidRPr="00660A13">
        <w:rPr>
          <w:rFonts w:ascii="Open Sans" w:hAnsi="Open Sans" w:cs="Open Sans"/>
        </w:rPr>
        <w:t>r</w:t>
      </w:r>
      <w:r w:rsidRPr="00660A13">
        <w:rPr>
          <w:rFonts w:ascii="Open Sans" w:hAnsi="Open Sans" w:cs="Open Sans"/>
        </w:rPr>
        <w:t xml:space="preserve">ight to </w:t>
      </w:r>
      <w:r w:rsidR="00A61083" w:rsidRPr="00660A13">
        <w:rPr>
          <w:rFonts w:ascii="Open Sans" w:hAnsi="Open Sans" w:cs="Open Sans"/>
        </w:rPr>
        <w:t>p</w:t>
      </w:r>
      <w:r w:rsidRPr="00660A13">
        <w:rPr>
          <w:rFonts w:ascii="Open Sans" w:hAnsi="Open Sans" w:cs="Open Sans"/>
        </w:rPr>
        <w:t>rivacy</w:t>
      </w:r>
      <w:bookmarkEnd w:id="56"/>
    </w:p>
    <w:p w14:paraId="3F56104D" w14:textId="77777777" w:rsidR="00B52F7E" w:rsidRPr="00660A13" w:rsidRDefault="00B52F7E"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Article 17 of the ICCPR provides:</w:t>
      </w:r>
    </w:p>
    <w:p w14:paraId="63BC1DDB" w14:textId="77777777" w:rsidR="00B52F7E" w:rsidRPr="00660A13" w:rsidRDefault="00B52F7E" w:rsidP="002D582A">
      <w:pPr>
        <w:pStyle w:val="SubmissionNormal"/>
        <w:numPr>
          <w:ilvl w:val="0"/>
          <w:numId w:val="17"/>
        </w:numPr>
        <w:tabs>
          <w:tab w:val="left" w:pos="1560"/>
        </w:tabs>
        <w:ind w:left="1560" w:hanging="426"/>
        <w:jc w:val="both"/>
        <w:rPr>
          <w:rFonts w:ascii="Open Sans" w:hAnsi="Open Sans" w:cs="Open Sans"/>
          <w:sz w:val="22"/>
          <w:szCs w:val="22"/>
        </w:rPr>
      </w:pPr>
      <w:r w:rsidRPr="00660A13">
        <w:rPr>
          <w:rFonts w:ascii="Open Sans" w:hAnsi="Open Sans" w:cs="Open Sans"/>
          <w:sz w:val="22"/>
          <w:szCs w:val="22"/>
        </w:rPr>
        <w:t>No one shall be subjected to arbitrary or unlawful interference with his privacy, family, home or correspondence, nor to unlawful attacks on his honour and reputation.</w:t>
      </w:r>
    </w:p>
    <w:p w14:paraId="42D24A21" w14:textId="77777777" w:rsidR="00B52F7E" w:rsidRPr="00660A13" w:rsidRDefault="00B52F7E" w:rsidP="002D582A">
      <w:pPr>
        <w:pStyle w:val="SubmissionNormal"/>
        <w:numPr>
          <w:ilvl w:val="0"/>
          <w:numId w:val="17"/>
        </w:numPr>
        <w:tabs>
          <w:tab w:val="left" w:pos="1560"/>
        </w:tabs>
        <w:ind w:left="1560" w:hanging="426"/>
        <w:jc w:val="both"/>
        <w:rPr>
          <w:rFonts w:ascii="Open Sans" w:hAnsi="Open Sans" w:cs="Open Sans"/>
          <w:sz w:val="22"/>
          <w:szCs w:val="22"/>
        </w:rPr>
      </w:pPr>
      <w:r w:rsidRPr="00660A13">
        <w:rPr>
          <w:rFonts w:ascii="Open Sans" w:hAnsi="Open Sans" w:cs="Open Sans"/>
          <w:sz w:val="22"/>
          <w:szCs w:val="22"/>
        </w:rPr>
        <w:t>Everyone has the right to the protection of the law against such interference or attacks.</w:t>
      </w:r>
    </w:p>
    <w:p w14:paraId="1872993A" w14:textId="182FC113" w:rsidR="00B52F7E" w:rsidRPr="00660A13" w:rsidRDefault="00DB61BC" w:rsidP="001418DB">
      <w:pPr>
        <w:pStyle w:val="SubmissionNormal"/>
        <w:tabs>
          <w:tab w:val="clear" w:pos="360"/>
          <w:tab w:val="num" w:pos="567"/>
        </w:tabs>
        <w:ind w:left="567" w:hanging="567"/>
        <w:rPr>
          <w:rFonts w:ascii="Open Sans" w:hAnsi="Open Sans" w:cs="Open Sans"/>
        </w:rPr>
      </w:pPr>
      <w:r>
        <w:rPr>
          <w:rFonts w:ascii="Open Sans" w:hAnsi="Open Sans" w:cs="Open Sans"/>
        </w:rPr>
        <w:t xml:space="preserve">The right to privacy in </w:t>
      </w:r>
      <w:r w:rsidR="008F0B6B">
        <w:rPr>
          <w:rFonts w:ascii="Open Sans" w:hAnsi="Open Sans" w:cs="Open Sans"/>
        </w:rPr>
        <w:t>a</w:t>
      </w:r>
      <w:r w:rsidR="00B52F7E" w:rsidRPr="00660A13">
        <w:rPr>
          <w:rFonts w:ascii="Open Sans" w:hAnsi="Open Sans" w:cs="Open Sans"/>
        </w:rPr>
        <w:t xml:space="preserve">rticle 17 </w:t>
      </w:r>
      <w:r>
        <w:rPr>
          <w:rFonts w:ascii="Open Sans" w:hAnsi="Open Sans" w:cs="Open Sans"/>
        </w:rPr>
        <w:t xml:space="preserve">encompasses a right against unlawful or arbitrary </w:t>
      </w:r>
      <w:r w:rsidR="00B52F7E" w:rsidRPr="00660A13">
        <w:rPr>
          <w:rFonts w:ascii="Open Sans" w:hAnsi="Open Sans" w:cs="Open Sans"/>
        </w:rPr>
        <w:t xml:space="preserve">collection of personal information by others, including government. The </w:t>
      </w:r>
      <w:r w:rsidR="00CE58D7" w:rsidRPr="00660A13">
        <w:rPr>
          <w:rFonts w:ascii="Open Sans" w:hAnsi="Open Sans" w:cs="Open Sans"/>
        </w:rPr>
        <w:t xml:space="preserve">United Nations </w:t>
      </w:r>
      <w:r w:rsidR="00B52F7E" w:rsidRPr="00660A13">
        <w:rPr>
          <w:rFonts w:ascii="Open Sans" w:hAnsi="Open Sans" w:cs="Open Sans"/>
        </w:rPr>
        <w:t>H</w:t>
      </w:r>
      <w:r w:rsidR="00CE58D7" w:rsidRPr="00660A13">
        <w:rPr>
          <w:rFonts w:ascii="Open Sans" w:hAnsi="Open Sans" w:cs="Open Sans"/>
        </w:rPr>
        <w:t xml:space="preserve">uman </w:t>
      </w:r>
      <w:r w:rsidR="00B52F7E" w:rsidRPr="00660A13">
        <w:rPr>
          <w:rFonts w:ascii="Open Sans" w:hAnsi="Open Sans" w:cs="Open Sans"/>
        </w:rPr>
        <w:t>R</w:t>
      </w:r>
      <w:r w:rsidR="00CE58D7" w:rsidRPr="00660A13">
        <w:rPr>
          <w:rFonts w:ascii="Open Sans" w:hAnsi="Open Sans" w:cs="Open Sans"/>
        </w:rPr>
        <w:t xml:space="preserve">ights </w:t>
      </w:r>
      <w:r w:rsidR="00B52F7E" w:rsidRPr="00660A13">
        <w:rPr>
          <w:rFonts w:ascii="Open Sans" w:hAnsi="Open Sans" w:cs="Open Sans"/>
        </w:rPr>
        <w:t>C</w:t>
      </w:r>
      <w:r w:rsidR="00CE58D7" w:rsidRPr="00660A13">
        <w:rPr>
          <w:rFonts w:ascii="Open Sans" w:hAnsi="Open Sans" w:cs="Open Sans"/>
        </w:rPr>
        <w:t>ommittee (</w:t>
      </w:r>
      <w:r w:rsidR="00011379" w:rsidRPr="00660A13">
        <w:rPr>
          <w:rFonts w:ascii="Open Sans" w:hAnsi="Open Sans" w:cs="Open Sans"/>
        </w:rPr>
        <w:t xml:space="preserve">UN </w:t>
      </w:r>
      <w:r w:rsidR="00CE58D7" w:rsidRPr="00660A13">
        <w:rPr>
          <w:rFonts w:ascii="Open Sans" w:hAnsi="Open Sans" w:cs="Open Sans"/>
        </w:rPr>
        <w:t>HR</w:t>
      </w:r>
      <w:r w:rsidR="00011379" w:rsidRPr="00660A13">
        <w:rPr>
          <w:rFonts w:ascii="Open Sans" w:hAnsi="Open Sans" w:cs="Open Sans"/>
        </w:rPr>
        <w:t xml:space="preserve"> </w:t>
      </w:r>
      <w:r w:rsidR="00CE58D7" w:rsidRPr="00660A13">
        <w:rPr>
          <w:rFonts w:ascii="Open Sans" w:hAnsi="Open Sans" w:cs="Open Sans"/>
        </w:rPr>
        <w:t>C</w:t>
      </w:r>
      <w:r w:rsidR="00011379" w:rsidRPr="00660A13">
        <w:rPr>
          <w:rFonts w:ascii="Open Sans" w:hAnsi="Open Sans" w:cs="Open Sans"/>
        </w:rPr>
        <w:t>ommittee</w:t>
      </w:r>
      <w:r w:rsidR="00CE58D7" w:rsidRPr="00660A13">
        <w:rPr>
          <w:rFonts w:ascii="Open Sans" w:hAnsi="Open Sans" w:cs="Open Sans"/>
        </w:rPr>
        <w:t>)</w:t>
      </w:r>
      <w:r w:rsidR="00B52F7E" w:rsidRPr="00660A13">
        <w:rPr>
          <w:rFonts w:ascii="Open Sans" w:hAnsi="Open Sans" w:cs="Open Sans"/>
        </w:rPr>
        <w:t xml:space="preserve"> has </w:t>
      </w:r>
      <w:r w:rsidR="002111D3" w:rsidRPr="00660A13">
        <w:rPr>
          <w:rFonts w:ascii="Open Sans" w:hAnsi="Open Sans" w:cs="Open Sans"/>
        </w:rPr>
        <w:t>concluded</w:t>
      </w:r>
      <w:r w:rsidR="00B52F7E" w:rsidRPr="00660A13">
        <w:rPr>
          <w:rFonts w:ascii="Open Sans" w:hAnsi="Open Sans" w:cs="Open Sans"/>
        </w:rPr>
        <w:t xml:space="preserve"> that </w:t>
      </w:r>
      <w:r w:rsidR="00464730" w:rsidRPr="00660A13">
        <w:rPr>
          <w:rFonts w:ascii="Open Sans" w:hAnsi="Open Sans" w:cs="Open Sans"/>
        </w:rPr>
        <w:t xml:space="preserve">the capture of communications data </w:t>
      </w:r>
      <w:r w:rsidR="00B52F7E" w:rsidRPr="00660A13">
        <w:rPr>
          <w:rFonts w:ascii="Open Sans" w:hAnsi="Open Sans" w:cs="Open Sans"/>
        </w:rPr>
        <w:t>amount</w:t>
      </w:r>
      <w:r w:rsidR="007B2EFF" w:rsidRPr="00660A13">
        <w:rPr>
          <w:rFonts w:ascii="Open Sans" w:hAnsi="Open Sans" w:cs="Open Sans"/>
        </w:rPr>
        <w:t>s</w:t>
      </w:r>
      <w:r w:rsidR="00B52F7E" w:rsidRPr="00660A13">
        <w:rPr>
          <w:rFonts w:ascii="Open Sans" w:hAnsi="Open Sans" w:cs="Open Sans"/>
        </w:rPr>
        <w:t xml:space="preserve"> to a </w:t>
      </w:r>
      <w:r w:rsidR="00B52F7E" w:rsidRPr="00660A13">
        <w:rPr>
          <w:rFonts w:ascii="Open Sans" w:hAnsi="Open Sans" w:cs="Open Sans"/>
          <w:i/>
        </w:rPr>
        <w:t>prima facie</w:t>
      </w:r>
      <w:r w:rsidR="00B52F7E" w:rsidRPr="00660A13">
        <w:rPr>
          <w:rFonts w:ascii="Open Sans" w:hAnsi="Open Sans" w:cs="Open Sans"/>
        </w:rPr>
        <w:t xml:space="preserve"> interference with privacy: </w:t>
      </w:r>
    </w:p>
    <w:p w14:paraId="7F6CF340" w14:textId="77777777" w:rsidR="00B52F7E" w:rsidRPr="00660A13" w:rsidRDefault="00B52F7E" w:rsidP="006717FF">
      <w:pPr>
        <w:pStyle w:val="SubmissionNormal"/>
        <w:numPr>
          <w:ilvl w:val="0"/>
          <w:numId w:val="0"/>
        </w:numPr>
        <w:ind w:left="1134"/>
        <w:rPr>
          <w:rFonts w:ascii="Open Sans" w:hAnsi="Open Sans" w:cs="Open Sans"/>
          <w:sz w:val="22"/>
        </w:rPr>
      </w:pPr>
      <w:r w:rsidRPr="00660A13">
        <w:rPr>
          <w:rFonts w:ascii="Open Sans" w:hAnsi="Open Sans" w:cs="Open Sans"/>
          <w:sz w:val="22"/>
        </w:rPr>
        <w:t>[A]</w:t>
      </w:r>
      <w:proofErr w:type="spellStart"/>
      <w:r w:rsidRPr="00660A13">
        <w:rPr>
          <w:rFonts w:ascii="Open Sans" w:hAnsi="Open Sans" w:cs="Open Sans"/>
          <w:sz w:val="22"/>
        </w:rPr>
        <w:t>ny</w:t>
      </w:r>
      <w:proofErr w:type="spellEnd"/>
      <w:r w:rsidRPr="00660A13">
        <w:rPr>
          <w:rFonts w:ascii="Open Sans" w:hAnsi="Open Sans" w:cs="Open Sans"/>
          <w:sz w:val="22"/>
        </w:rPr>
        <w:t xml:space="preserve"> capture of communications data is potentially an interference with privacy and, further… the collection and retention of communications data amounts to an interference with privacy </w:t>
      </w:r>
      <w:proofErr w:type="gramStart"/>
      <w:r w:rsidRPr="00660A13">
        <w:rPr>
          <w:rFonts w:ascii="Open Sans" w:hAnsi="Open Sans" w:cs="Open Sans"/>
          <w:sz w:val="22"/>
        </w:rPr>
        <w:t>whether or not</w:t>
      </w:r>
      <w:proofErr w:type="gramEnd"/>
      <w:r w:rsidRPr="00660A13">
        <w:rPr>
          <w:rFonts w:ascii="Open Sans" w:hAnsi="Open Sans" w:cs="Open Sans"/>
          <w:sz w:val="22"/>
        </w:rPr>
        <w:t xml:space="preserve"> those data are subsequently consulted or used. Even the mere possibility of communications information being captured creates an interference with privacy, with a potential chilling effect on rights, including those to free expression and association.</w:t>
      </w:r>
      <w:r w:rsidRPr="00660A13">
        <w:rPr>
          <w:rStyle w:val="EndnoteReference"/>
          <w:rFonts w:ascii="Open Sans" w:hAnsi="Open Sans" w:cs="Open Sans"/>
        </w:rPr>
        <w:endnoteReference w:id="5"/>
      </w:r>
      <w:r w:rsidRPr="00660A13">
        <w:rPr>
          <w:rFonts w:ascii="Open Sans" w:hAnsi="Open Sans" w:cs="Open Sans"/>
          <w:sz w:val="22"/>
        </w:rPr>
        <w:t xml:space="preserve"> </w:t>
      </w:r>
    </w:p>
    <w:p w14:paraId="1FA2EA0C" w14:textId="40BDAC0E" w:rsidR="006A39C7" w:rsidRPr="00660A13" w:rsidRDefault="00B52F7E"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lastRenderedPageBreak/>
        <w:t>Any limit</w:t>
      </w:r>
      <w:r w:rsidR="00F27597" w:rsidRPr="00660A13">
        <w:rPr>
          <w:rFonts w:ascii="Open Sans" w:hAnsi="Open Sans" w:cs="Open Sans"/>
        </w:rPr>
        <w:t>ation on privacy must be lawful</w:t>
      </w:r>
      <w:r w:rsidR="00C01667" w:rsidRPr="00660A13">
        <w:rPr>
          <w:rFonts w:ascii="Open Sans" w:hAnsi="Open Sans" w:cs="Open Sans"/>
          <w:sz w:val="22"/>
        </w:rPr>
        <w:t>.</w:t>
      </w:r>
      <w:r w:rsidR="00C01667" w:rsidRPr="00660A13">
        <w:rPr>
          <w:rStyle w:val="EndnoteReference"/>
          <w:rFonts w:ascii="Open Sans" w:hAnsi="Open Sans" w:cs="Open Sans"/>
        </w:rPr>
        <w:endnoteReference w:id="6"/>
      </w:r>
      <w:r w:rsidR="00F27597" w:rsidRPr="00660A13">
        <w:rPr>
          <w:rFonts w:ascii="Open Sans" w:hAnsi="Open Sans" w:cs="Open Sans"/>
          <w:sz w:val="22"/>
        </w:rPr>
        <w:t xml:space="preserve"> </w:t>
      </w:r>
      <w:r w:rsidRPr="00660A13">
        <w:rPr>
          <w:rFonts w:ascii="Open Sans" w:hAnsi="Open Sans" w:cs="Open Sans"/>
        </w:rPr>
        <w:t xml:space="preserve">Further, any interference with the right to privacy must not be arbitrary. </w:t>
      </w:r>
      <w:r w:rsidRPr="00660A13">
        <w:rPr>
          <w:rFonts w:ascii="Open Sans" w:hAnsi="Open Sans" w:cs="Open Sans"/>
          <w:color w:val="000000"/>
          <w:szCs w:val="20"/>
          <w:lang w:eastAsia="en-US"/>
        </w:rPr>
        <w:t>Th</w:t>
      </w:r>
      <w:r w:rsidR="00AF1DF1" w:rsidRPr="00660A13">
        <w:rPr>
          <w:rFonts w:ascii="Open Sans" w:hAnsi="Open Sans" w:cs="Open Sans"/>
          <w:color w:val="000000"/>
          <w:szCs w:val="20"/>
          <w:lang w:eastAsia="en-US"/>
        </w:rPr>
        <w:t>is</w:t>
      </w:r>
      <w:r w:rsidRPr="00660A13">
        <w:rPr>
          <w:rFonts w:ascii="Open Sans" w:hAnsi="Open Sans" w:cs="Open Sans"/>
          <w:color w:val="000000"/>
          <w:szCs w:val="20"/>
          <w:lang w:eastAsia="en-US"/>
        </w:rPr>
        <w:t xml:space="preserve"> means that any interference with privacy must be in accordance with the provisions, aims and objectives of the ICCPR and should be reasonable in the </w:t>
      </w:r>
      <w:proofErr w:type="gramStart"/>
      <w:r w:rsidRPr="00660A13">
        <w:rPr>
          <w:rFonts w:ascii="Open Sans" w:hAnsi="Open Sans" w:cs="Open Sans"/>
          <w:color w:val="000000"/>
          <w:szCs w:val="20"/>
          <w:lang w:eastAsia="en-US"/>
        </w:rPr>
        <w:t>particular circumstances</w:t>
      </w:r>
      <w:proofErr w:type="gramEnd"/>
      <w:r w:rsidRPr="00660A13">
        <w:rPr>
          <w:rFonts w:ascii="Open Sans" w:hAnsi="Open Sans" w:cs="Open Sans"/>
          <w:color w:val="000000"/>
          <w:szCs w:val="20"/>
          <w:lang w:eastAsia="en-US"/>
        </w:rPr>
        <w:t>.</w:t>
      </w:r>
      <w:r w:rsidRPr="00660A13">
        <w:rPr>
          <w:rFonts w:ascii="Open Sans" w:hAnsi="Open Sans" w:cs="Open Sans"/>
          <w:color w:val="000000"/>
          <w:sz w:val="20"/>
          <w:szCs w:val="20"/>
          <w:vertAlign w:val="superscript"/>
          <w:lang w:eastAsia="en-US"/>
        </w:rPr>
        <w:endnoteReference w:id="7"/>
      </w:r>
      <w:r w:rsidRPr="00660A13">
        <w:rPr>
          <w:rFonts w:ascii="Open Sans" w:hAnsi="Open Sans" w:cs="Open Sans"/>
          <w:color w:val="000000"/>
          <w:szCs w:val="20"/>
          <w:lang w:eastAsia="en-US"/>
        </w:rPr>
        <w:t xml:space="preserve"> Reasonable in this context means any limitation must be proportionate and necessary to achieve a legitimate objective.</w:t>
      </w:r>
      <w:r w:rsidRPr="00660A13">
        <w:rPr>
          <w:rFonts w:ascii="Open Sans" w:hAnsi="Open Sans" w:cs="Open Sans"/>
          <w:color w:val="000000"/>
          <w:sz w:val="20"/>
          <w:szCs w:val="20"/>
          <w:vertAlign w:val="superscript"/>
          <w:lang w:eastAsia="en-US"/>
        </w:rPr>
        <w:endnoteReference w:id="8"/>
      </w:r>
    </w:p>
    <w:p w14:paraId="0867C8AF" w14:textId="17BA0AD4" w:rsidR="00992C01" w:rsidRPr="00660A13" w:rsidRDefault="00F27597"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In </w:t>
      </w:r>
      <w:r w:rsidR="00571B21" w:rsidRPr="00660A13">
        <w:rPr>
          <w:rFonts w:ascii="Open Sans" w:hAnsi="Open Sans" w:cs="Open Sans"/>
        </w:rPr>
        <w:t xml:space="preserve">our 2015 submission, the Commission </w:t>
      </w:r>
      <w:r w:rsidR="005364A8" w:rsidRPr="00660A13">
        <w:rPr>
          <w:rFonts w:ascii="Open Sans" w:hAnsi="Open Sans" w:cs="Open Sans"/>
        </w:rPr>
        <w:t xml:space="preserve">highlighted </w:t>
      </w:r>
      <w:r w:rsidR="00571B21" w:rsidRPr="00660A13">
        <w:rPr>
          <w:rFonts w:ascii="Open Sans" w:hAnsi="Open Sans" w:cs="Open Sans"/>
        </w:rPr>
        <w:t xml:space="preserve">the following comment from the </w:t>
      </w:r>
      <w:r w:rsidR="0021166F" w:rsidRPr="00660A13">
        <w:rPr>
          <w:rFonts w:ascii="Open Sans" w:hAnsi="Open Sans" w:cs="Open Sans"/>
        </w:rPr>
        <w:t xml:space="preserve">UN </w:t>
      </w:r>
      <w:r w:rsidR="00571B21" w:rsidRPr="00660A13">
        <w:rPr>
          <w:rFonts w:ascii="Open Sans" w:hAnsi="Open Sans" w:cs="Open Sans"/>
        </w:rPr>
        <w:t>HR</w:t>
      </w:r>
      <w:r w:rsidR="0021166F" w:rsidRPr="00660A13">
        <w:rPr>
          <w:rFonts w:ascii="Open Sans" w:hAnsi="Open Sans" w:cs="Open Sans"/>
        </w:rPr>
        <w:t xml:space="preserve"> </w:t>
      </w:r>
      <w:r w:rsidR="00571B21" w:rsidRPr="00660A13">
        <w:rPr>
          <w:rFonts w:ascii="Open Sans" w:hAnsi="Open Sans" w:cs="Open Sans"/>
        </w:rPr>
        <w:t>C</w:t>
      </w:r>
      <w:r w:rsidR="0021166F" w:rsidRPr="00660A13">
        <w:rPr>
          <w:rFonts w:ascii="Open Sans" w:hAnsi="Open Sans" w:cs="Open Sans"/>
        </w:rPr>
        <w:t>ommittee</w:t>
      </w:r>
      <w:r w:rsidR="00571B21" w:rsidRPr="00660A13">
        <w:rPr>
          <w:rFonts w:ascii="Open Sans" w:hAnsi="Open Sans" w:cs="Open Sans"/>
        </w:rPr>
        <w:t xml:space="preserve"> on data retention schemes</w:t>
      </w:r>
      <w:r w:rsidR="00992C01" w:rsidRPr="00660A13">
        <w:rPr>
          <w:rFonts w:ascii="Open Sans" w:hAnsi="Open Sans" w:cs="Open Sans"/>
        </w:rPr>
        <w:t>:</w:t>
      </w:r>
    </w:p>
    <w:p w14:paraId="108AA22A" w14:textId="5B3BC3D0" w:rsidR="00992C01" w:rsidRPr="00660A13" w:rsidRDefault="00992C01" w:rsidP="006717FF">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Concerns about whether access to and use of data are tailored to specific legitimate aims also raise questions about the increasing reliance of Governments on private sector actors to retain data </w:t>
      </w:r>
      <w:r w:rsidR="00572E07">
        <w:rPr>
          <w:rFonts w:ascii="Open Sans" w:hAnsi="Open Sans" w:cs="Open Sans"/>
          <w:sz w:val="22"/>
          <w:szCs w:val="22"/>
        </w:rPr>
        <w:t>‘</w:t>
      </w:r>
      <w:r w:rsidRPr="00660A13">
        <w:rPr>
          <w:rFonts w:ascii="Open Sans" w:hAnsi="Open Sans" w:cs="Open Sans"/>
          <w:sz w:val="22"/>
          <w:szCs w:val="22"/>
        </w:rPr>
        <w:t>just in case</w:t>
      </w:r>
      <w:r w:rsidR="00572E07">
        <w:rPr>
          <w:rFonts w:ascii="Open Sans" w:hAnsi="Open Sans" w:cs="Open Sans"/>
          <w:sz w:val="22"/>
          <w:szCs w:val="22"/>
        </w:rPr>
        <w:t>’</w:t>
      </w:r>
      <w:r w:rsidRPr="00660A13">
        <w:rPr>
          <w:rFonts w:ascii="Open Sans" w:hAnsi="Open Sans" w:cs="Open Sans"/>
          <w:sz w:val="22"/>
          <w:szCs w:val="22"/>
        </w:rPr>
        <w:t xml:space="preserve"> it is needed for government purposes. Mandatory third-party data retention</w:t>
      </w:r>
      <w:r w:rsidR="008F0B6B">
        <w:rPr>
          <w:rFonts w:ascii="Open Sans" w:hAnsi="Open Sans" w:cs="Open Sans"/>
          <w:sz w:val="22"/>
          <w:szCs w:val="22"/>
        </w:rPr>
        <w:t>—</w:t>
      </w:r>
      <w:r w:rsidRPr="00660A13">
        <w:rPr>
          <w:rFonts w:ascii="Open Sans" w:hAnsi="Open Sans" w:cs="Open Sans"/>
          <w:sz w:val="22"/>
          <w:szCs w:val="22"/>
        </w:rPr>
        <w:t>a recurring feature of surveillance regimes in many States, where Governments require telephone companies and Internet service providers to store metadata about their customers’ communications and location for subsequent law enforcement and intelligence agency access</w:t>
      </w:r>
      <w:r w:rsidR="0029018E">
        <w:rPr>
          <w:rFonts w:ascii="Open Sans" w:hAnsi="Open Sans" w:cs="Open Sans"/>
          <w:sz w:val="22"/>
          <w:szCs w:val="22"/>
        </w:rPr>
        <w:t>—</w:t>
      </w:r>
      <w:r w:rsidRPr="00660A13">
        <w:rPr>
          <w:rFonts w:ascii="Open Sans" w:hAnsi="Open Sans" w:cs="Open Sans"/>
          <w:sz w:val="22"/>
          <w:szCs w:val="22"/>
        </w:rPr>
        <w:t>appears neither necessary nor proportionate.</w:t>
      </w:r>
      <w:r w:rsidRPr="00660A13">
        <w:rPr>
          <w:rStyle w:val="EndnoteReference"/>
          <w:rFonts w:ascii="Open Sans" w:hAnsi="Open Sans" w:cs="Open Sans"/>
          <w:szCs w:val="22"/>
        </w:rPr>
        <w:endnoteReference w:id="9"/>
      </w:r>
    </w:p>
    <w:p w14:paraId="5B374CB9" w14:textId="590C9399" w:rsidR="001418DB" w:rsidRPr="00660A13" w:rsidRDefault="00BC0D42" w:rsidP="00316F66">
      <w:pPr>
        <w:pStyle w:val="SubmissionNormal"/>
        <w:keepNext/>
        <w:tabs>
          <w:tab w:val="clear" w:pos="360"/>
          <w:tab w:val="num" w:pos="567"/>
        </w:tabs>
        <w:ind w:left="567" w:hanging="567"/>
        <w:rPr>
          <w:rFonts w:ascii="Open Sans" w:hAnsi="Open Sans" w:cs="Open Sans"/>
          <w:color w:val="000000"/>
          <w:szCs w:val="20"/>
          <w:lang w:eastAsia="en-US"/>
        </w:rPr>
      </w:pPr>
      <w:r>
        <w:rPr>
          <w:rFonts w:ascii="Open Sans" w:hAnsi="Open Sans" w:cs="Open Sans"/>
          <w:color w:val="000000"/>
          <w:szCs w:val="20"/>
          <w:lang w:eastAsia="en-US"/>
        </w:rPr>
        <w:t>T</w:t>
      </w:r>
      <w:r w:rsidR="00D67081" w:rsidRPr="00660A13">
        <w:rPr>
          <w:rFonts w:ascii="Open Sans" w:hAnsi="Open Sans" w:cs="Open Sans"/>
          <w:color w:val="000000"/>
          <w:szCs w:val="20"/>
          <w:lang w:eastAsia="en-US"/>
        </w:rPr>
        <w:t>he Commission’s 2015 submission</w:t>
      </w:r>
      <w:r w:rsidR="008E5405" w:rsidRPr="00660A13">
        <w:rPr>
          <w:rFonts w:ascii="Open Sans" w:hAnsi="Open Sans" w:cs="Open Sans"/>
          <w:color w:val="000000"/>
          <w:szCs w:val="20"/>
          <w:lang w:eastAsia="en-US"/>
        </w:rPr>
        <w:t xml:space="preserve"> referred the P</w:t>
      </w:r>
      <w:r w:rsidR="0021166F" w:rsidRPr="00660A13">
        <w:rPr>
          <w:rFonts w:ascii="Open Sans" w:hAnsi="Open Sans" w:cs="Open Sans"/>
          <w:color w:val="000000"/>
          <w:szCs w:val="20"/>
          <w:lang w:eastAsia="en-US"/>
        </w:rPr>
        <w:t>J</w:t>
      </w:r>
      <w:r w:rsidR="008E5405" w:rsidRPr="00660A13">
        <w:rPr>
          <w:rFonts w:ascii="Open Sans" w:hAnsi="Open Sans" w:cs="Open Sans"/>
          <w:color w:val="000000"/>
          <w:szCs w:val="20"/>
          <w:lang w:eastAsia="en-US"/>
        </w:rPr>
        <w:t>C</w:t>
      </w:r>
      <w:r w:rsidR="0021166F" w:rsidRPr="00660A13">
        <w:rPr>
          <w:rFonts w:ascii="Open Sans" w:hAnsi="Open Sans" w:cs="Open Sans"/>
          <w:color w:val="000000"/>
          <w:szCs w:val="20"/>
          <w:lang w:eastAsia="en-US"/>
        </w:rPr>
        <w:t>I</w:t>
      </w:r>
      <w:r w:rsidR="008E5405" w:rsidRPr="00660A13">
        <w:rPr>
          <w:rFonts w:ascii="Open Sans" w:hAnsi="Open Sans" w:cs="Open Sans"/>
          <w:color w:val="000000"/>
          <w:szCs w:val="20"/>
          <w:lang w:eastAsia="en-US"/>
        </w:rPr>
        <w:t xml:space="preserve">S to the </w:t>
      </w:r>
      <w:r w:rsidR="008E5405" w:rsidRPr="00660A13">
        <w:rPr>
          <w:rFonts w:ascii="Open Sans" w:hAnsi="Open Sans" w:cs="Open Sans"/>
          <w:i/>
          <w:color w:val="000000"/>
          <w:szCs w:val="20"/>
          <w:lang w:eastAsia="en-US"/>
        </w:rPr>
        <w:t xml:space="preserve">Digital Rights Ireland </w:t>
      </w:r>
      <w:r w:rsidR="008E5405" w:rsidRPr="00DE75C3">
        <w:rPr>
          <w:rFonts w:ascii="Open Sans" w:hAnsi="Open Sans" w:cs="Open Sans"/>
          <w:iCs/>
          <w:color w:val="000000"/>
          <w:szCs w:val="20"/>
          <w:lang w:eastAsia="en-US"/>
        </w:rPr>
        <w:t>case</w:t>
      </w:r>
      <w:r w:rsidR="008E5405" w:rsidRPr="00660A13">
        <w:rPr>
          <w:rFonts w:ascii="Open Sans" w:hAnsi="Open Sans" w:cs="Open Sans"/>
          <w:color w:val="000000"/>
          <w:szCs w:val="20"/>
          <w:lang w:eastAsia="en-US"/>
        </w:rPr>
        <w:t>.</w:t>
      </w:r>
      <w:r w:rsidR="008E5405" w:rsidRPr="00660A13">
        <w:rPr>
          <w:rStyle w:val="EndnoteReference"/>
          <w:rFonts w:ascii="Open Sans" w:hAnsi="Open Sans" w:cs="Open Sans"/>
          <w:color w:val="000000"/>
          <w:szCs w:val="20"/>
          <w:lang w:eastAsia="en-US"/>
        </w:rPr>
        <w:endnoteReference w:id="10"/>
      </w:r>
      <w:r w:rsidR="00D67081" w:rsidRPr="00660A13">
        <w:rPr>
          <w:rFonts w:ascii="Open Sans" w:hAnsi="Open Sans" w:cs="Open Sans"/>
          <w:color w:val="000000"/>
          <w:szCs w:val="20"/>
          <w:lang w:eastAsia="en-US"/>
        </w:rPr>
        <w:t xml:space="preserve"> </w:t>
      </w:r>
      <w:r w:rsidR="008E5405" w:rsidRPr="00660A13">
        <w:rPr>
          <w:rFonts w:ascii="Open Sans" w:hAnsi="Open Sans" w:cs="Open Sans"/>
          <w:color w:val="000000"/>
          <w:szCs w:val="20"/>
          <w:lang w:eastAsia="en-US"/>
        </w:rPr>
        <w:t>In that case, the</w:t>
      </w:r>
      <w:r w:rsidR="00231742" w:rsidRPr="00660A13">
        <w:rPr>
          <w:rFonts w:ascii="Open Sans" w:hAnsi="Open Sans" w:cs="Open Sans"/>
          <w:color w:val="000000"/>
          <w:szCs w:val="20"/>
          <w:lang w:eastAsia="en-US"/>
        </w:rPr>
        <w:t xml:space="preserve"> </w:t>
      </w:r>
      <w:r w:rsidR="00817EF8">
        <w:rPr>
          <w:rFonts w:ascii="Open Sans" w:hAnsi="Open Sans" w:cs="Open Sans"/>
          <w:color w:val="000000"/>
          <w:szCs w:val="20"/>
          <w:lang w:eastAsia="en-US"/>
        </w:rPr>
        <w:t>CJEU</w:t>
      </w:r>
      <w:r w:rsidR="00D67081" w:rsidRPr="00660A13">
        <w:rPr>
          <w:rFonts w:ascii="Open Sans" w:hAnsi="Open Sans" w:cs="Open Sans"/>
          <w:color w:val="000000"/>
          <w:szCs w:val="20"/>
          <w:lang w:eastAsia="en-US"/>
        </w:rPr>
        <w:t xml:space="preserve"> had</w:t>
      </w:r>
      <w:r w:rsidR="00231742" w:rsidRPr="00660A13">
        <w:rPr>
          <w:rFonts w:ascii="Open Sans" w:hAnsi="Open Sans" w:cs="Open Sans"/>
          <w:color w:val="000000"/>
          <w:szCs w:val="20"/>
          <w:lang w:eastAsia="en-US"/>
        </w:rPr>
        <w:t xml:space="preserve"> ruled </w:t>
      </w:r>
      <w:r w:rsidR="00D67081" w:rsidRPr="00660A13">
        <w:rPr>
          <w:rFonts w:ascii="Open Sans" w:hAnsi="Open Sans" w:cs="Open Sans"/>
          <w:color w:val="000000"/>
          <w:szCs w:val="20"/>
          <w:lang w:eastAsia="en-US"/>
        </w:rPr>
        <w:t xml:space="preserve">that </w:t>
      </w:r>
      <w:r w:rsidR="00231742" w:rsidRPr="00660A13">
        <w:rPr>
          <w:rFonts w:ascii="Open Sans" w:hAnsi="Open Sans" w:cs="Open Sans"/>
          <w:color w:val="000000"/>
          <w:szCs w:val="20"/>
          <w:lang w:eastAsia="en-US"/>
        </w:rPr>
        <w:t xml:space="preserve">the </w:t>
      </w:r>
      <w:r w:rsidR="00C839D0" w:rsidRPr="00660A13">
        <w:rPr>
          <w:rFonts w:ascii="Open Sans" w:hAnsi="Open Sans" w:cs="Open Sans"/>
        </w:rPr>
        <w:t>EU Data Retention Directive</w:t>
      </w:r>
      <w:r w:rsidR="0029018E">
        <w:rPr>
          <w:rFonts w:ascii="Open Sans" w:hAnsi="Open Sans" w:cs="Open Sans"/>
        </w:rPr>
        <w:t>,</w:t>
      </w:r>
      <w:r w:rsidR="00C839D0" w:rsidRPr="00660A13">
        <w:rPr>
          <w:rFonts w:ascii="Open Sans" w:hAnsi="Open Sans" w:cs="Open Sans"/>
          <w:color w:val="000000"/>
          <w:szCs w:val="20"/>
          <w:lang w:eastAsia="en-US"/>
        </w:rPr>
        <w:t xml:space="preserve"> </w:t>
      </w:r>
      <w:r w:rsidR="00D67081" w:rsidRPr="00660A13">
        <w:rPr>
          <w:rFonts w:ascii="Open Sans" w:hAnsi="Open Sans" w:cs="Open Sans"/>
          <w:color w:val="000000"/>
          <w:szCs w:val="20"/>
          <w:lang w:eastAsia="en-US"/>
        </w:rPr>
        <w:t>requiring providers to keep communications data on all users for six months to two years</w:t>
      </w:r>
      <w:r w:rsidR="0029018E">
        <w:rPr>
          <w:rFonts w:ascii="Open Sans" w:hAnsi="Open Sans" w:cs="Open Sans"/>
          <w:color w:val="000000"/>
          <w:szCs w:val="20"/>
          <w:lang w:eastAsia="en-US"/>
        </w:rPr>
        <w:t>,</w:t>
      </w:r>
      <w:r w:rsidR="00D67081" w:rsidRPr="00660A13">
        <w:rPr>
          <w:rFonts w:ascii="Open Sans" w:hAnsi="Open Sans" w:cs="Open Sans"/>
          <w:color w:val="000000"/>
          <w:szCs w:val="20"/>
          <w:lang w:eastAsia="en-US"/>
        </w:rPr>
        <w:t xml:space="preserve"> was incompatible with fundamental rights and therefore void</w:t>
      </w:r>
      <w:r w:rsidR="00231742" w:rsidRPr="00660A13">
        <w:rPr>
          <w:rFonts w:ascii="Open Sans" w:hAnsi="Open Sans" w:cs="Open Sans"/>
          <w:color w:val="000000"/>
          <w:szCs w:val="20"/>
          <w:lang w:eastAsia="en-US"/>
        </w:rPr>
        <w:t>.</w:t>
      </w:r>
      <w:r w:rsidR="00231742" w:rsidRPr="00660A13">
        <w:rPr>
          <w:rStyle w:val="EndnoteReference"/>
          <w:rFonts w:ascii="Open Sans" w:hAnsi="Open Sans" w:cs="Open Sans"/>
          <w:color w:val="000000"/>
          <w:szCs w:val="20"/>
          <w:lang w:eastAsia="en-US"/>
        </w:rPr>
        <w:endnoteReference w:id="11"/>
      </w:r>
      <w:r w:rsidR="00D67081" w:rsidRPr="00660A13">
        <w:rPr>
          <w:rFonts w:ascii="Open Sans" w:hAnsi="Open Sans" w:cs="Open Sans"/>
          <w:color w:val="000000"/>
          <w:szCs w:val="20"/>
          <w:lang w:eastAsia="en-US"/>
        </w:rPr>
        <w:t xml:space="preserve"> </w:t>
      </w:r>
      <w:r w:rsidR="006C65F6" w:rsidRPr="00660A13">
        <w:rPr>
          <w:rFonts w:ascii="Open Sans" w:hAnsi="Open Sans" w:cs="Open Sans"/>
          <w:color w:val="000000"/>
          <w:szCs w:val="20"/>
          <w:lang w:eastAsia="en-US"/>
        </w:rPr>
        <w:t>The Court identified three aspects of the Directive that were particularly problematic:</w:t>
      </w:r>
    </w:p>
    <w:p w14:paraId="49213172" w14:textId="79D54FAF" w:rsidR="006C65F6" w:rsidRPr="00660A13" w:rsidRDefault="006C65F6" w:rsidP="00DB444F">
      <w:pPr>
        <w:pStyle w:val="SubmissionNormal"/>
        <w:numPr>
          <w:ilvl w:val="1"/>
          <w:numId w:val="15"/>
        </w:numPr>
        <w:tabs>
          <w:tab w:val="clear" w:pos="1440"/>
          <w:tab w:val="num" w:pos="1560"/>
        </w:tabs>
        <w:ind w:left="1560" w:hanging="426"/>
        <w:rPr>
          <w:rFonts w:ascii="Open Sans" w:hAnsi="Open Sans" w:cs="Open Sans"/>
          <w:szCs w:val="28"/>
        </w:rPr>
      </w:pPr>
      <w:r w:rsidRPr="00660A13">
        <w:rPr>
          <w:rFonts w:ascii="Open Sans" w:hAnsi="Open Sans" w:cs="Open Sans"/>
          <w:szCs w:val="28"/>
        </w:rPr>
        <w:t xml:space="preserve">the collection of </w:t>
      </w:r>
      <w:r w:rsidR="00ED07C7">
        <w:rPr>
          <w:rFonts w:ascii="Open Sans" w:hAnsi="Open Sans" w:cs="Open Sans"/>
          <w:szCs w:val="28"/>
        </w:rPr>
        <w:t xml:space="preserve">personal </w:t>
      </w:r>
      <w:r w:rsidRPr="00660A13">
        <w:rPr>
          <w:rFonts w:ascii="Open Sans" w:hAnsi="Open Sans" w:cs="Open Sans"/>
          <w:szCs w:val="28"/>
        </w:rPr>
        <w:t xml:space="preserve">data was indiscriminate, in that it applied to data of all people regardless of </w:t>
      </w:r>
      <w:proofErr w:type="gramStart"/>
      <w:r w:rsidRPr="00660A13">
        <w:rPr>
          <w:rFonts w:ascii="Open Sans" w:hAnsi="Open Sans" w:cs="Open Sans"/>
          <w:szCs w:val="28"/>
        </w:rPr>
        <w:t>whether or not</w:t>
      </w:r>
      <w:proofErr w:type="gramEnd"/>
      <w:r w:rsidRPr="00660A13">
        <w:rPr>
          <w:rFonts w:ascii="Open Sans" w:hAnsi="Open Sans" w:cs="Open Sans"/>
          <w:szCs w:val="28"/>
        </w:rPr>
        <w:t xml:space="preserve"> there was any evidence ‘capable of suggesting that their conduct might have a link, even an indirect or remote one, with serious crime’</w:t>
      </w:r>
    </w:p>
    <w:p w14:paraId="4E4284EC" w14:textId="5AE6574A" w:rsidR="006C65F6" w:rsidRPr="00660A13" w:rsidRDefault="00FD4839" w:rsidP="00DB444F">
      <w:pPr>
        <w:pStyle w:val="SubmissionNormal"/>
        <w:numPr>
          <w:ilvl w:val="1"/>
          <w:numId w:val="15"/>
        </w:numPr>
        <w:tabs>
          <w:tab w:val="clear" w:pos="1440"/>
          <w:tab w:val="num" w:pos="1560"/>
        </w:tabs>
        <w:ind w:left="1560" w:hanging="426"/>
        <w:rPr>
          <w:rFonts w:ascii="Open Sans" w:hAnsi="Open Sans" w:cs="Open Sans"/>
          <w:szCs w:val="28"/>
        </w:rPr>
      </w:pPr>
      <w:r w:rsidRPr="00660A13">
        <w:rPr>
          <w:rFonts w:ascii="Open Sans" w:hAnsi="Open Sans" w:cs="Open Sans"/>
          <w:szCs w:val="28"/>
        </w:rPr>
        <w:t>the Directive failed to lay down any objective criterion by which to determine the limits of access and use of the data by authorities, to ensure that the data was only accessed and used in relation to the investigation of offences of sufficient gravity to justify the interference with the right to privacy</w:t>
      </w:r>
    </w:p>
    <w:p w14:paraId="51AF8D85" w14:textId="0BCA9F11" w:rsidR="00FD4839" w:rsidRPr="00660A13" w:rsidRDefault="00FD4839" w:rsidP="00DB444F">
      <w:pPr>
        <w:pStyle w:val="SubmissionNormal"/>
        <w:numPr>
          <w:ilvl w:val="1"/>
          <w:numId w:val="15"/>
        </w:numPr>
        <w:tabs>
          <w:tab w:val="clear" w:pos="1440"/>
          <w:tab w:val="num" w:pos="1560"/>
        </w:tabs>
        <w:ind w:left="1560" w:hanging="426"/>
        <w:rPr>
          <w:rFonts w:ascii="Open Sans" w:hAnsi="Open Sans" w:cs="Open Sans"/>
          <w:sz w:val="22"/>
        </w:rPr>
      </w:pPr>
      <w:r w:rsidRPr="00660A13">
        <w:rPr>
          <w:rFonts w:ascii="Open Sans" w:hAnsi="Open Sans" w:cs="Open Sans"/>
          <w:szCs w:val="28"/>
        </w:rPr>
        <w:t>the retention period failed to distinguish between categories of data based on their potential usefulness in investigating criminal offences.</w:t>
      </w:r>
      <w:r w:rsidR="00977410" w:rsidRPr="00660A13">
        <w:rPr>
          <w:rStyle w:val="EndnoteReference"/>
          <w:rFonts w:ascii="Open Sans" w:hAnsi="Open Sans" w:cs="Open Sans"/>
          <w:color w:val="000000"/>
          <w:szCs w:val="20"/>
          <w:lang w:eastAsia="en-US"/>
        </w:rPr>
        <w:endnoteReference w:id="12"/>
      </w:r>
    </w:p>
    <w:p w14:paraId="218C117C" w14:textId="640C5679" w:rsidR="00564BCD" w:rsidRPr="00660A13" w:rsidRDefault="008E5405" w:rsidP="00316F66">
      <w:pPr>
        <w:pStyle w:val="SubmissionNormal"/>
        <w:keepNext/>
        <w:tabs>
          <w:tab w:val="clear" w:pos="360"/>
          <w:tab w:val="num" w:pos="567"/>
        </w:tabs>
        <w:ind w:left="567" w:hanging="567"/>
        <w:rPr>
          <w:rFonts w:ascii="Open Sans" w:hAnsi="Open Sans" w:cs="Open Sans"/>
          <w:sz w:val="22"/>
        </w:rPr>
      </w:pPr>
      <w:r w:rsidRPr="00660A13">
        <w:rPr>
          <w:rFonts w:ascii="Open Sans" w:hAnsi="Open Sans" w:cs="Open Sans"/>
          <w:color w:val="000000"/>
          <w:szCs w:val="20"/>
          <w:lang w:eastAsia="en-US"/>
        </w:rPr>
        <w:t>Following the ruling</w:t>
      </w:r>
      <w:r w:rsidR="001418DB" w:rsidRPr="00660A13">
        <w:rPr>
          <w:rFonts w:ascii="Open Sans" w:hAnsi="Open Sans" w:cs="Open Sans"/>
          <w:color w:val="000000"/>
          <w:szCs w:val="20"/>
          <w:lang w:eastAsia="en-US"/>
        </w:rPr>
        <w:t xml:space="preserve"> in the </w:t>
      </w:r>
      <w:r w:rsidR="001418DB" w:rsidRPr="00660A13">
        <w:rPr>
          <w:rFonts w:ascii="Open Sans" w:hAnsi="Open Sans" w:cs="Open Sans"/>
          <w:i/>
          <w:iCs/>
          <w:color w:val="000000"/>
          <w:szCs w:val="20"/>
          <w:lang w:eastAsia="en-US"/>
        </w:rPr>
        <w:t xml:space="preserve">Digital Rights Ireland </w:t>
      </w:r>
      <w:r w:rsidR="001418DB" w:rsidRPr="00DE75C3">
        <w:rPr>
          <w:rFonts w:ascii="Open Sans" w:hAnsi="Open Sans" w:cs="Open Sans"/>
          <w:color w:val="000000"/>
          <w:szCs w:val="20"/>
          <w:lang w:eastAsia="en-US"/>
        </w:rPr>
        <w:t>case</w:t>
      </w:r>
      <w:r w:rsidR="00DD3E7F" w:rsidRPr="00660A13">
        <w:rPr>
          <w:rFonts w:ascii="Open Sans" w:hAnsi="Open Sans" w:cs="Open Sans"/>
          <w:color w:val="000000"/>
          <w:szCs w:val="20"/>
          <w:lang w:eastAsia="en-US"/>
        </w:rPr>
        <w:t xml:space="preserve">, there was still some discussion and debate about the potential impact of that decision on </w:t>
      </w:r>
      <w:r w:rsidR="00DD3E7F" w:rsidRPr="00660A13">
        <w:rPr>
          <w:rFonts w:ascii="Open Sans" w:hAnsi="Open Sans" w:cs="Open Sans"/>
          <w:color w:val="000000"/>
          <w:szCs w:val="20"/>
          <w:lang w:eastAsia="en-US"/>
        </w:rPr>
        <w:lastRenderedPageBreak/>
        <w:t>national data retention regimes.</w:t>
      </w:r>
      <w:r w:rsidR="00083E59" w:rsidRPr="00660A13">
        <w:rPr>
          <w:rFonts w:ascii="Open Sans" w:hAnsi="Open Sans" w:cs="Open Sans"/>
          <w:color w:val="000000"/>
          <w:szCs w:val="20"/>
          <w:lang w:eastAsia="en-US"/>
        </w:rPr>
        <w:t xml:space="preserve"> </w:t>
      </w:r>
      <w:r w:rsidR="001A60C3" w:rsidRPr="00660A13">
        <w:rPr>
          <w:rFonts w:ascii="Open Sans" w:hAnsi="Open Sans" w:cs="Open Sans"/>
          <w:color w:val="000000"/>
          <w:szCs w:val="20"/>
          <w:lang w:eastAsia="en-US"/>
        </w:rPr>
        <w:t xml:space="preserve">The </w:t>
      </w:r>
      <w:r w:rsidR="00817EF8">
        <w:rPr>
          <w:rFonts w:ascii="Open Sans" w:hAnsi="Open Sans" w:cs="Open Sans"/>
          <w:color w:val="000000"/>
          <w:szCs w:val="20"/>
          <w:lang w:eastAsia="en-US"/>
        </w:rPr>
        <w:t>CJEU</w:t>
      </w:r>
      <w:r w:rsidR="001A60C3" w:rsidRPr="00660A13">
        <w:rPr>
          <w:rFonts w:ascii="Open Sans" w:hAnsi="Open Sans" w:cs="Open Sans"/>
          <w:color w:val="000000"/>
          <w:szCs w:val="20"/>
          <w:lang w:eastAsia="en-US"/>
        </w:rPr>
        <w:t xml:space="preserve"> has subsequently resolved this uncertainty</w:t>
      </w:r>
      <w:r w:rsidR="001A60C3" w:rsidRPr="00660A13">
        <w:rPr>
          <w:rFonts w:ascii="Open Sans" w:hAnsi="Open Sans" w:cs="Open Sans"/>
        </w:rPr>
        <w:t xml:space="preserve"> </w:t>
      </w:r>
      <w:r w:rsidR="00DD3E7F" w:rsidRPr="00660A13">
        <w:rPr>
          <w:rFonts w:ascii="Open Sans" w:hAnsi="Open Sans" w:cs="Open Sans"/>
          <w:color w:val="000000"/>
          <w:szCs w:val="20"/>
          <w:lang w:eastAsia="en-US"/>
        </w:rPr>
        <w:t xml:space="preserve">by ruling </w:t>
      </w:r>
      <w:r w:rsidR="001A60C3" w:rsidRPr="00660A13">
        <w:rPr>
          <w:rFonts w:ascii="Open Sans" w:hAnsi="Open Sans" w:cs="Open Sans"/>
          <w:color w:val="000000"/>
          <w:szCs w:val="20"/>
          <w:lang w:eastAsia="en-US"/>
        </w:rPr>
        <w:t xml:space="preserve">in the </w:t>
      </w:r>
      <w:r w:rsidR="001A60C3" w:rsidRPr="00660A13">
        <w:rPr>
          <w:rFonts w:ascii="Open Sans" w:hAnsi="Open Sans" w:cs="Open Sans"/>
          <w:i/>
          <w:color w:val="000000"/>
          <w:szCs w:val="20"/>
          <w:lang w:eastAsia="en-US"/>
        </w:rPr>
        <w:t xml:space="preserve">Tele2 Sverige AB </w:t>
      </w:r>
      <w:r w:rsidR="001A60C3" w:rsidRPr="00DE75C3">
        <w:rPr>
          <w:rFonts w:ascii="Open Sans" w:hAnsi="Open Sans" w:cs="Open Sans"/>
          <w:iCs/>
          <w:color w:val="000000"/>
          <w:szCs w:val="20"/>
          <w:lang w:eastAsia="en-US"/>
        </w:rPr>
        <w:t>case</w:t>
      </w:r>
      <w:r w:rsidR="001A60C3" w:rsidRPr="00660A13">
        <w:rPr>
          <w:rFonts w:ascii="Open Sans" w:hAnsi="Open Sans" w:cs="Open Sans"/>
          <w:color w:val="000000"/>
          <w:szCs w:val="20"/>
          <w:lang w:eastAsia="en-US"/>
        </w:rPr>
        <w:t xml:space="preserve"> </w:t>
      </w:r>
      <w:r w:rsidR="00DD3E7F" w:rsidRPr="00660A13">
        <w:rPr>
          <w:rFonts w:ascii="Open Sans" w:hAnsi="Open Sans" w:cs="Open Sans"/>
          <w:color w:val="000000"/>
          <w:szCs w:val="20"/>
          <w:lang w:eastAsia="en-US"/>
        </w:rPr>
        <w:t>that EU law</w:t>
      </w:r>
      <w:r w:rsidR="00564BCD" w:rsidRPr="00660A13">
        <w:rPr>
          <w:rFonts w:ascii="Open Sans" w:hAnsi="Open Sans" w:cs="Open Sans"/>
          <w:color w:val="000000"/>
          <w:szCs w:val="20"/>
          <w:lang w:eastAsia="en-US"/>
        </w:rPr>
        <w:t xml:space="preserve"> must be interpreted as precluding</w:t>
      </w:r>
    </w:p>
    <w:p w14:paraId="359BCE2B" w14:textId="6A372060" w:rsidR="00564BCD" w:rsidRPr="00660A13" w:rsidRDefault="00DD3E7F" w:rsidP="002D582A">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national legislation which, for the purpose of fighting crime, provides for general and indiscriminate retention of all traffic and location data of all subscribers and registered users relating to all me</w:t>
      </w:r>
      <w:r w:rsidR="00564BCD" w:rsidRPr="00660A13">
        <w:rPr>
          <w:rFonts w:ascii="Open Sans" w:hAnsi="Open Sans" w:cs="Open Sans"/>
          <w:sz w:val="22"/>
          <w:szCs w:val="22"/>
        </w:rPr>
        <w:t>ans of electronic communication ..</w:t>
      </w:r>
      <w:r w:rsidRPr="00660A13">
        <w:rPr>
          <w:rFonts w:ascii="Open Sans" w:hAnsi="Open Sans" w:cs="Open Sans"/>
          <w:sz w:val="22"/>
          <w:szCs w:val="22"/>
        </w:rPr>
        <w:t>.</w:t>
      </w:r>
      <w:r w:rsidR="0021166F" w:rsidRPr="00660A13">
        <w:rPr>
          <w:rFonts w:ascii="Open Sans" w:hAnsi="Open Sans" w:cs="Open Sans"/>
          <w:sz w:val="22"/>
          <w:szCs w:val="22"/>
        </w:rPr>
        <w:t xml:space="preserve"> [and]</w:t>
      </w:r>
    </w:p>
    <w:p w14:paraId="317BEEC4" w14:textId="3F2FCD86" w:rsidR="00231742" w:rsidRPr="00660A13" w:rsidRDefault="00564BCD" w:rsidP="002D582A">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national legislation governing the protection and security of traffic and location data and, in particular, access of the competent national authorities to the retained data, where the objective pursued by that access, in the context of fighting crime, is not restricted solely to fighting serious crime, </w:t>
      </w:r>
      <w:r w:rsidR="00977410" w:rsidRPr="00660A13">
        <w:rPr>
          <w:rFonts w:ascii="Open Sans" w:hAnsi="Open Sans" w:cs="Open Sans"/>
          <w:sz w:val="22"/>
          <w:szCs w:val="22"/>
        </w:rPr>
        <w:t xml:space="preserve">[and] </w:t>
      </w:r>
      <w:r w:rsidRPr="00660A13">
        <w:rPr>
          <w:rFonts w:ascii="Open Sans" w:hAnsi="Open Sans" w:cs="Open Sans"/>
          <w:sz w:val="22"/>
          <w:szCs w:val="22"/>
        </w:rPr>
        <w:t>where access is not subject to prior review by a court or an independent administrative authority</w:t>
      </w:r>
      <w:r w:rsidR="0021166F" w:rsidRPr="00660A13">
        <w:rPr>
          <w:rFonts w:ascii="Open Sans" w:hAnsi="Open Sans" w:cs="Open Sans"/>
          <w:sz w:val="22"/>
          <w:szCs w:val="22"/>
        </w:rPr>
        <w:t>.</w:t>
      </w:r>
      <w:r w:rsidR="00DD3E7F" w:rsidRPr="00660A13">
        <w:rPr>
          <w:rStyle w:val="EndnoteReference"/>
          <w:rFonts w:ascii="Open Sans" w:hAnsi="Open Sans" w:cs="Open Sans"/>
        </w:rPr>
        <w:endnoteReference w:id="13"/>
      </w:r>
    </w:p>
    <w:p w14:paraId="7A838FF2" w14:textId="0E51F5D3" w:rsidR="00B52F7E" w:rsidRPr="00660A13" w:rsidRDefault="00B52F7E" w:rsidP="006717FF">
      <w:pPr>
        <w:pStyle w:val="Heading2"/>
        <w:numPr>
          <w:ilvl w:val="1"/>
          <w:numId w:val="16"/>
        </w:numPr>
        <w:tabs>
          <w:tab w:val="clear" w:pos="851"/>
          <w:tab w:val="num" w:pos="567"/>
        </w:tabs>
        <w:ind w:left="567" w:hanging="567"/>
        <w:rPr>
          <w:rFonts w:ascii="Open Sans" w:hAnsi="Open Sans" w:cs="Open Sans"/>
        </w:rPr>
      </w:pPr>
      <w:bookmarkStart w:id="57" w:name="_Toc12886514"/>
      <w:r w:rsidRPr="00660A13">
        <w:rPr>
          <w:rFonts w:ascii="Open Sans" w:hAnsi="Open Sans" w:cs="Open Sans"/>
        </w:rPr>
        <w:t xml:space="preserve">Article 19 </w:t>
      </w:r>
      <w:r w:rsidR="00D91D27">
        <w:rPr>
          <w:rFonts w:ascii="Open Sans" w:hAnsi="Open Sans" w:cs="Open Sans"/>
        </w:rPr>
        <w:t>—</w:t>
      </w:r>
      <w:r w:rsidRPr="00660A13">
        <w:rPr>
          <w:rFonts w:ascii="Open Sans" w:hAnsi="Open Sans" w:cs="Open Sans"/>
        </w:rPr>
        <w:t xml:space="preserve"> </w:t>
      </w:r>
      <w:r w:rsidR="00A61083" w:rsidRPr="00660A13">
        <w:rPr>
          <w:rFonts w:ascii="Open Sans" w:hAnsi="Open Sans" w:cs="Open Sans"/>
        </w:rPr>
        <w:t>f</w:t>
      </w:r>
      <w:r w:rsidRPr="00660A13">
        <w:rPr>
          <w:rFonts w:ascii="Open Sans" w:hAnsi="Open Sans" w:cs="Open Sans"/>
        </w:rPr>
        <w:t xml:space="preserve">reedom of </w:t>
      </w:r>
      <w:r w:rsidR="00A61083" w:rsidRPr="00660A13">
        <w:rPr>
          <w:rFonts w:ascii="Open Sans" w:hAnsi="Open Sans" w:cs="Open Sans"/>
        </w:rPr>
        <w:t>e</w:t>
      </w:r>
      <w:r w:rsidRPr="00660A13">
        <w:rPr>
          <w:rFonts w:ascii="Open Sans" w:hAnsi="Open Sans" w:cs="Open Sans"/>
        </w:rPr>
        <w:t>xpression</w:t>
      </w:r>
      <w:bookmarkEnd w:id="57"/>
    </w:p>
    <w:p w14:paraId="24362057" w14:textId="77777777" w:rsidR="00B52F7E" w:rsidRPr="00660A13" w:rsidRDefault="00B52F7E"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Article 19 of the ICCPR provides:</w:t>
      </w:r>
    </w:p>
    <w:p w14:paraId="4B8372F6" w14:textId="77777777" w:rsidR="00B52F7E" w:rsidRPr="00660A13" w:rsidRDefault="00B52F7E" w:rsidP="002D582A">
      <w:pPr>
        <w:tabs>
          <w:tab w:val="left" w:pos="1560"/>
        </w:tabs>
        <w:spacing w:before="100" w:beforeAutospacing="1" w:after="100" w:afterAutospacing="1"/>
        <w:ind w:left="1560" w:hanging="426"/>
        <w:rPr>
          <w:rFonts w:ascii="Open Sans" w:hAnsi="Open Sans" w:cs="Open Sans"/>
          <w:sz w:val="22"/>
        </w:rPr>
      </w:pPr>
      <w:r w:rsidRPr="00660A13">
        <w:rPr>
          <w:rFonts w:ascii="Open Sans" w:hAnsi="Open Sans" w:cs="Open Sans"/>
          <w:sz w:val="22"/>
        </w:rPr>
        <w:t xml:space="preserve">1. </w:t>
      </w:r>
      <w:r w:rsidRPr="00660A13">
        <w:rPr>
          <w:rFonts w:ascii="Open Sans" w:hAnsi="Open Sans" w:cs="Open Sans"/>
          <w:sz w:val="22"/>
        </w:rPr>
        <w:tab/>
        <w:t xml:space="preserve">Everyone shall have the right to hold opinions without interference. </w:t>
      </w:r>
    </w:p>
    <w:p w14:paraId="0CDE1A8B" w14:textId="77777777" w:rsidR="00B52F7E" w:rsidRPr="00660A13" w:rsidRDefault="00B52F7E" w:rsidP="002D582A">
      <w:pPr>
        <w:tabs>
          <w:tab w:val="left" w:pos="1560"/>
        </w:tabs>
        <w:spacing w:before="100" w:beforeAutospacing="1" w:after="100" w:afterAutospacing="1"/>
        <w:ind w:left="1560" w:hanging="426"/>
        <w:rPr>
          <w:rFonts w:ascii="Open Sans" w:hAnsi="Open Sans" w:cs="Open Sans"/>
          <w:sz w:val="22"/>
        </w:rPr>
      </w:pPr>
      <w:r w:rsidRPr="00660A13">
        <w:rPr>
          <w:rFonts w:ascii="Open Sans" w:hAnsi="Open Sans" w:cs="Open Sans"/>
          <w:sz w:val="22"/>
        </w:rPr>
        <w:t xml:space="preserve">2. </w:t>
      </w:r>
      <w:r w:rsidRPr="00660A13">
        <w:rPr>
          <w:rFonts w:ascii="Open Sans" w:hAnsi="Open Sans" w:cs="Open Sans"/>
          <w:sz w:val="22"/>
        </w:rPr>
        <w:tab/>
        <w:t xml:space="preserve">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14:paraId="3FACEB70" w14:textId="77777777" w:rsidR="00B52F7E" w:rsidRPr="00660A13" w:rsidRDefault="00B52F7E" w:rsidP="00316F66">
      <w:pPr>
        <w:keepNext/>
        <w:tabs>
          <w:tab w:val="left" w:pos="1560"/>
        </w:tabs>
        <w:spacing w:before="100" w:beforeAutospacing="1" w:after="100" w:afterAutospacing="1"/>
        <w:ind w:left="1559" w:hanging="425"/>
        <w:rPr>
          <w:rFonts w:ascii="Open Sans" w:hAnsi="Open Sans" w:cs="Open Sans"/>
          <w:sz w:val="22"/>
        </w:rPr>
      </w:pPr>
      <w:r w:rsidRPr="00660A13">
        <w:rPr>
          <w:rFonts w:ascii="Open Sans" w:hAnsi="Open Sans" w:cs="Open Sans"/>
          <w:sz w:val="22"/>
        </w:rPr>
        <w:t xml:space="preserve">3. </w:t>
      </w:r>
      <w:r w:rsidRPr="00660A13">
        <w:rPr>
          <w:rFonts w:ascii="Open Sans" w:hAnsi="Open Sans" w:cs="Open Sans"/>
          <w:sz w:val="22"/>
        </w:rPr>
        <w:tab/>
        <w:t xml:space="preserve">The exercise of the rights provided for in paragraph 2 of this article carries with </w:t>
      </w:r>
      <w:proofErr w:type="gramStart"/>
      <w:r w:rsidRPr="00660A13">
        <w:rPr>
          <w:rFonts w:ascii="Open Sans" w:hAnsi="Open Sans" w:cs="Open Sans"/>
          <w:sz w:val="22"/>
        </w:rPr>
        <w:t>it</w:t>
      </w:r>
      <w:proofErr w:type="gramEnd"/>
      <w:r w:rsidRPr="00660A13">
        <w:rPr>
          <w:rFonts w:ascii="Open Sans" w:hAnsi="Open Sans" w:cs="Open Sans"/>
          <w:sz w:val="22"/>
        </w:rPr>
        <w:t xml:space="preserve"> special duties and responsibilities. It may therefore be subject to certain restrictions, but these shall only be such as are provided by law and are necessary: </w:t>
      </w:r>
    </w:p>
    <w:p w14:paraId="67D0F037" w14:textId="77777777" w:rsidR="00B52F7E" w:rsidRPr="00660A13" w:rsidRDefault="00B52F7E" w:rsidP="002D582A">
      <w:pPr>
        <w:tabs>
          <w:tab w:val="left" w:pos="1985"/>
        </w:tabs>
        <w:spacing w:before="100" w:beforeAutospacing="1" w:after="100" w:afterAutospacing="1"/>
        <w:ind w:left="1985" w:hanging="425"/>
        <w:rPr>
          <w:rFonts w:ascii="Open Sans" w:hAnsi="Open Sans" w:cs="Open Sans"/>
          <w:sz w:val="22"/>
        </w:rPr>
      </w:pPr>
      <w:r w:rsidRPr="00660A13">
        <w:rPr>
          <w:rFonts w:ascii="Open Sans" w:hAnsi="Open Sans" w:cs="Open Sans"/>
          <w:sz w:val="22"/>
        </w:rPr>
        <w:t xml:space="preserve">(a) </w:t>
      </w:r>
      <w:r w:rsidRPr="00660A13">
        <w:rPr>
          <w:rFonts w:ascii="Open Sans" w:hAnsi="Open Sans" w:cs="Open Sans"/>
          <w:sz w:val="22"/>
        </w:rPr>
        <w:tab/>
        <w:t xml:space="preserve">For respect of the rights or reputations of others; </w:t>
      </w:r>
    </w:p>
    <w:p w14:paraId="559C6797" w14:textId="77777777" w:rsidR="00B52F7E" w:rsidRPr="00660A13" w:rsidRDefault="00B52F7E" w:rsidP="002D582A">
      <w:pPr>
        <w:tabs>
          <w:tab w:val="left" w:pos="1985"/>
        </w:tabs>
        <w:spacing w:before="100" w:beforeAutospacing="1" w:after="100" w:afterAutospacing="1"/>
        <w:ind w:left="1985" w:hanging="425"/>
        <w:rPr>
          <w:rFonts w:ascii="Open Sans" w:hAnsi="Open Sans" w:cs="Open Sans"/>
          <w:sz w:val="22"/>
        </w:rPr>
      </w:pPr>
      <w:r w:rsidRPr="00660A13">
        <w:rPr>
          <w:rFonts w:ascii="Open Sans" w:hAnsi="Open Sans" w:cs="Open Sans"/>
          <w:sz w:val="22"/>
        </w:rPr>
        <w:t>(b)</w:t>
      </w:r>
      <w:r w:rsidRPr="00660A13">
        <w:rPr>
          <w:rFonts w:ascii="Open Sans" w:hAnsi="Open Sans" w:cs="Open Sans"/>
          <w:sz w:val="22"/>
        </w:rPr>
        <w:tab/>
        <w:t>For the protection of national security or of public order (</w:t>
      </w:r>
      <w:proofErr w:type="spellStart"/>
      <w:r w:rsidRPr="00660A13">
        <w:rPr>
          <w:rFonts w:ascii="Open Sans" w:hAnsi="Open Sans" w:cs="Open Sans"/>
          <w:i/>
          <w:iCs/>
          <w:sz w:val="22"/>
        </w:rPr>
        <w:t>ordre</w:t>
      </w:r>
      <w:proofErr w:type="spellEnd"/>
      <w:r w:rsidRPr="00660A13">
        <w:rPr>
          <w:rFonts w:ascii="Open Sans" w:hAnsi="Open Sans" w:cs="Open Sans"/>
          <w:i/>
          <w:iCs/>
          <w:sz w:val="22"/>
        </w:rPr>
        <w:t xml:space="preserve"> public</w:t>
      </w:r>
      <w:r w:rsidRPr="00660A13">
        <w:rPr>
          <w:rFonts w:ascii="Open Sans" w:hAnsi="Open Sans" w:cs="Open Sans"/>
          <w:sz w:val="22"/>
        </w:rPr>
        <w:t>), or of public health or morals.</w:t>
      </w:r>
    </w:p>
    <w:p w14:paraId="6C3EDE20" w14:textId="27EC5922" w:rsidR="00794EF4" w:rsidRPr="00660A13" w:rsidRDefault="00FC5D43"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As recognised by the </w:t>
      </w:r>
      <w:r w:rsidR="00BD77E1">
        <w:rPr>
          <w:rFonts w:ascii="Open Sans" w:hAnsi="Open Sans" w:cs="Open Sans"/>
        </w:rPr>
        <w:t>G</w:t>
      </w:r>
      <w:r w:rsidRPr="00660A13">
        <w:rPr>
          <w:rFonts w:ascii="Open Sans" w:hAnsi="Open Sans" w:cs="Open Sans"/>
        </w:rPr>
        <w:t>overnment at the time</w:t>
      </w:r>
      <w:r w:rsidR="00977410" w:rsidRPr="00660A13">
        <w:rPr>
          <w:rFonts w:ascii="Open Sans" w:hAnsi="Open Sans" w:cs="Open Sans"/>
        </w:rPr>
        <w:t xml:space="preserve"> the Bill was introduced</w:t>
      </w:r>
      <w:r w:rsidRPr="00660A13">
        <w:rPr>
          <w:rFonts w:ascii="Open Sans" w:hAnsi="Open Sans" w:cs="Open Sans"/>
        </w:rPr>
        <w:t>, a</w:t>
      </w:r>
      <w:r w:rsidR="00794EF4" w:rsidRPr="00660A13">
        <w:rPr>
          <w:rFonts w:ascii="Open Sans" w:hAnsi="Open Sans" w:cs="Open Sans"/>
        </w:rPr>
        <w:t xml:space="preserve"> </w:t>
      </w:r>
      <w:r w:rsidR="00ED609A" w:rsidRPr="00660A13">
        <w:rPr>
          <w:rFonts w:ascii="Open Sans" w:hAnsi="Open Sans" w:cs="Open Sans"/>
        </w:rPr>
        <w:t xml:space="preserve">mandatory </w:t>
      </w:r>
      <w:r w:rsidR="00794EF4" w:rsidRPr="00660A13">
        <w:rPr>
          <w:rFonts w:ascii="Open Sans" w:hAnsi="Open Sans" w:cs="Open Sans"/>
        </w:rPr>
        <w:t>data retention scheme engages and potentially limits the right to freedom of expression</w:t>
      </w:r>
      <w:r w:rsidR="00E04212" w:rsidRPr="00660A13">
        <w:rPr>
          <w:rFonts w:ascii="Open Sans" w:hAnsi="Open Sans" w:cs="Open Sans"/>
        </w:rPr>
        <w:t xml:space="preserve">. The statement of compatibility </w:t>
      </w:r>
      <w:r w:rsidR="00977410" w:rsidRPr="00660A13">
        <w:rPr>
          <w:rFonts w:ascii="Open Sans" w:hAnsi="Open Sans" w:cs="Open Sans"/>
        </w:rPr>
        <w:t xml:space="preserve">with human rights </w:t>
      </w:r>
      <w:r w:rsidR="00E04212" w:rsidRPr="00660A13">
        <w:rPr>
          <w:rFonts w:ascii="Open Sans" w:hAnsi="Open Sans" w:cs="Open Sans"/>
        </w:rPr>
        <w:t>for the Bill</w:t>
      </w:r>
      <w:r w:rsidR="00794EF4" w:rsidRPr="00660A13">
        <w:rPr>
          <w:rFonts w:ascii="Open Sans" w:hAnsi="Open Sans" w:cs="Open Sans"/>
        </w:rPr>
        <w:t xml:space="preserve"> not</w:t>
      </w:r>
      <w:r w:rsidR="00564BCD" w:rsidRPr="00660A13">
        <w:rPr>
          <w:rFonts w:ascii="Open Sans" w:hAnsi="Open Sans" w:cs="Open Sans"/>
        </w:rPr>
        <w:t>ed</w:t>
      </w:r>
      <w:r w:rsidR="009B3FB2" w:rsidRPr="00660A13">
        <w:rPr>
          <w:rFonts w:ascii="Open Sans" w:hAnsi="Open Sans" w:cs="Open Sans"/>
        </w:rPr>
        <w:t>:</w:t>
      </w:r>
    </w:p>
    <w:p w14:paraId="42DC5C66" w14:textId="77777777" w:rsidR="00794EF4" w:rsidRPr="00660A13" w:rsidRDefault="00794EF4" w:rsidP="002D582A">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Requiring providers of telecommunications services to retain telecommunications data about the communications of its subscribers or users as part of a mandatory dataset may indirectly limit the right to freedom of expression, as some persons may be more reluctant to use </w:t>
      </w:r>
      <w:r w:rsidRPr="00660A13">
        <w:rPr>
          <w:rFonts w:ascii="Open Sans" w:hAnsi="Open Sans" w:cs="Open Sans"/>
          <w:sz w:val="22"/>
          <w:szCs w:val="22"/>
        </w:rPr>
        <w:lastRenderedPageBreak/>
        <w:t>telecommunications services to seek, receive and impart information if they know that data about their communications will be stored and may be subject to lawful access.</w:t>
      </w:r>
      <w:r w:rsidRPr="00660A13">
        <w:rPr>
          <w:rStyle w:val="EndnoteReference"/>
          <w:rFonts w:ascii="Open Sans" w:hAnsi="Open Sans" w:cs="Open Sans"/>
          <w:szCs w:val="22"/>
        </w:rPr>
        <w:endnoteReference w:id="14"/>
      </w:r>
    </w:p>
    <w:p w14:paraId="1AD188C1" w14:textId="5B5FDB2D" w:rsidR="00D3584B" w:rsidRPr="00660A13" w:rsidRDefault="00B52F7E"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only permissible restrictions on freedom of expression are those described in paragraph 3 of </w:t>
      </w:r>
      <w:r w:rsidR="00977410" w:rsidRPr="00660A13">
        <w:rPr>
          <w:rFonts w:ascii="Open Sans" w:hAnsi="Open Sans" w:cs="Open Sans"/>
        </w:rPr>
        <w:t>a</w:t>
      </w:r>
      <w:r w:rsidRPr="00660A13">
        <w:rPr>
          <w:rFonts w:ascii="Open Sans" w:hAnsi="Open Sans" w:cs="Open Sans"/>
        </w:rPr>
        <w:t>rticle 19.</w:t>
      </w:r>
      <w:r w:rsidRPr="00660A13">
        <w:rPr>
          <w:rStyle w:val="EndnoteReference"/>
          <w:rFonts w:ascii="Open Sans" w:hAnsi="Open Sans" w:cs="Open Sans"/>
        </w:rPr>
        <w:endnoteReference w:id="15"/>
      </w:r>
      <w:r w:rsidRPr="00660A13">
        <w:rPr>
          <w:rFonts w:ascii="Open Sans" w:hAnsi="Open Sans" w:cs="Open Sans"/>
        </w:rPr>
        <w:t xml:space="preserve"> </w:t>
      </w:r>
      <w:bookmarkStart w:id="58" w:name="_Toc162769295"/>
      <w:r w:rsidR="00D3584B" w:rsidRPr="00660A13">
        <w:rPr>
          <w:rFonts w:ascii="Open Sans" w:hAnsi="Open Sans" w:cs="Open Sans"/>
        </w:rPr>
        <w:t xml:space="preserve">The </w:t>
      </w:r>
      <w:r w:rsidR="009D1E4E" w:rsidRPr="00660A13">
        <w:rPr>
          <w:rFonts w:ascii="Open Sans" w:hAnsi="Open Sans" w:cs="Open Sans"/>
        </w:rPr>
        <w:t xml:space="preserve">Bill’s </w:t>
      </w:r>
      <w:r w:rsidR="00D3584B" w:rsidRPr="00660A13">
        <w:rPr>
          <w:rFonts w:ascii="Open Sans" w:hAnsi="Open Sans" w:cs="Open Sans"/>
        </w:rPr>
        <w:t>s</w:t>
      </w:r>
      <w:r w:rsidR="009D1E4E" w:rsidRPr="00660A13">
        <w:rPr>
          <w:rFonts w:ascii="Open Sans" w:hAnsi="Open Sans" w:cs="Open Sans"/>
        </w:rPr>
        <w:t>tatement of compatibility stated that any limitation wa</w:t>
      </w:r>
      <w:r w:rsidR="00D3584B" w:rsidRPr="00660A13">
        <w:rPr>
          <w:rFonts w:ascii="Open Sans" w:hAnsi="Open Sans" w:cs="Open Sans"/>
        </w:rPr>
        <w:t>s ‘designed for the legitimate object of protecting public order’,</w:t>
      </w:r>
      <w:r w:rsidR="00D3584B" w:rsidRPr="00660A13">
        <w:rPr>
          <w:rStyle w:val="EndnoteReference"/>
          <w:rFonts w:ascii="Open Sans" w:hAnsi="Open Sans" w:cs="Open Sans"/>
        </w:rPr>
        <w:endnoteReference w:id="16"/>
      </w:r>
      <w:r w:rsidR="00D3584B" w:rsidRPr="00660A13">
        <w:rPr>
          <w:rFonts w:ascii="Open Sans" w:hAnsi="Open Sans" w:cs="Open Sans"/>
        </w:rPr>
        <w:t xml:space="preserve"> which includes ‘preventing crime’.</w:t>
      </w:r>
      <w:r w:rsidR="00D3584B" w:rsidRPr="00660A13">
        <w:rPr>
          <w:rStyle w:val="EndnoteReference"/>
          <w:rFonts w:ascii="Open Sans" w:hAnsi="Open Sans" w:cs="Open Sans"/>
        </w:rPr>
        <w:endnoteReference w:id="17"/>
      </w:r>
      <w:r w:rsidR="00713DF7" w:rsidRPr="00660A13">
        <w:rPr>
          <w:rFonts w:ascii="Open Sans" w:hAnsi="Open Sans" w:cs="Open Sans"/>
        </w:rPr>
        <w:t xml:space="preserve"> In its 2015 submission, t</w:t>
      </w:r>
      <w:r w:rsidR="00D3584B" w:rsidRPr="00660A13">
        <w:rPr>
          <w:rFonts w:ascii="Open Sans" w:hAnsi="Open Sans" w:cs="Open Sans"/>
        </w:rPr>
        <w:t>he Commiss</w:t>
      </w:r>
      <w:r w:rsidR="00713DF7" w:rsidRPr="00660A13">
        <w:rPr>
          <w:rFonts w:ascii="Open Sans" w:hAnsi="Open Sans" w:cs="Open Sans"/>
        </w:rPr>
        <w:t>ion acknowledged</w:t>
      </w:r>
      <w:r w:rsidR="00D3584B" w:rsidRPr="00660A13">
        <w:rPr>
          <w:rFonts w:ascii="Open Sans" w:hAnsi="Open Sans" w:cs="Open Sans"/>
        </w:rPr>
        <w:t xml:space="preserve"> that the prevention and dete</w:t>
      </w:r>
      <w:r w:rsidR="001F42D9" w:rsidRPr="00660A13">
        <w:rPr>
          <w:rFonts w:ascii="Open Sans" w:hAnsi="Open Sans" w:cs="Open Sans"/>
        </w:rPr>
        <w:t>c</w:t>
      </w:r>
      <w:r w:rsidR="00D3584B" w:rsidRPr="00660A13">
        <w:rPr>
          <w:rFonts w:ascii="Open Sans" w:hAnsi="Open Sans" w:cs="Open Sans"/>
        </w:rPr>
        <w:t xml:space="preserve">tion of crime may be regarded as a legitimate objective. </w:t>
      </w:r>
    </w:p>
    <w:bookmarkEnd w:id="58"/>
    <w:p w14:paraId="73780377" w14:textId="1C194A4E" w:rsidR="00B52F7E" w:rsidRPr="00660A13" w:rsidRDefault="00B52F7E"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Any limitation on the freedom of expression must be according to law. Laws limiting the freedom must be made accessible to the </w:t>
      </w:r>
      <w:proofErr w:type="gramStart"/>
      <w:r w:rsidRPr="00660A13">
        <w:rPr>
          <w:rFonts w:ascii="Open Sans" w:hAnsi="Open Sans" w:cs="Open Sans"/>
        </w:rPr>
        <w:t>public, and</w:t>
      </w:r>
      <w:proofErr w:type="gramEnd"/>
      <w:r w:rsidRPr="00660A13">
        <w:rPr>
          <w:rFonts w:ascii="Open Sans" w:hAnsi="Open Sans" w:cs="Open Sans"/>
        </w:rPr>
        <w:t xml:space="preserve"> must provide sufficient guidance both to those executing the laws, and to those whose conduct is being regulated.</w:t>
      </w:r>
      <w:r w:rsidRPr="00660A13">
        <w:rPr>
          <w:rStyle w:val="EndnoteReference"/>
          <w:rFonts w:ascii="Open Sans" w:hAnsi="Open Sans" w:cs="Open Sans"/>
        </w:rPr>
        <w:endnoteReference w:id="18"/>
      </w:r>
      <w:r w:rsidRPr="00660A13">
        <w:rPr>
          <w:rFonts w:ascii="Open Sans" w:hAnsi="Open Sans" w:cs="Open Sans"/>
        </w:rPr>
        <w:t xml:space="preserve"> </w:t>
      </w:r>
    </w:p>
    <w:p w14:paraId="5E29E4A4" w14:textId="5D36E977" w:rsidR="00B52F7E" w:rsidRPr="00660A13" w:rsidRDefault="00B52F7E"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Further, any limitation on the freedom of expression must be necessary and proportionate to achieve </w:t>
      </w:r>
      <w:r w:rsidR="00886372" w:rsidRPr="00660A13">
        <w:rPr>
          <w:rFonts w:ascii="Open Sans" w:hAnsi="Open Sans" w:cs="Open Sans"/>
        </w:rPr>
        <w:t xml:space="preserve">its </w:t>
      </w:r>
      <w:r w:rsidRPr="00660A13">
        <w:rPr>
          <w:rFonts w:ascii="Open Sans" w:hAnsi="Open Sans" w:cs="Open Sans"/>
        </w:rPr>
        <w:t xml:space="preserve">legitimate objective. </w:t>
      </w:r>
      <w:r w:rsidR="00935408" w:rsidRPr="00660A13">
        <w:rPr>
          <w:rFonts w:ascii="Open Sans" w:hAnsi="Open Sans" w:cs="Open Sans"/>
        </w:rPr>
        <w:t xml:space="preserve">As noted by the </w:t>
      </w:r>
      <w:r w:rsidR="00817EF8">
        <w:rPr>
          <w:rFonts w:ascii="Open Sans" w:hAnsi="Open Sans" w:cs="Open Sans"/>
          <w:color w:val="000000"/>
          <w:szCs w:val="20"/>
          <w:lang w:eastAsia="en-US"/>
        </w:rPr>
        <w:t>CJEU</w:t>
      </w:r>
      <w:r w:rsidR="00935408" w:rsidRPr="00660A13">
        <w:rPr>
          <w:rFonts w:ascii="Open Sans" w:hAnsi="Open Sans" w:cs="Open Sans"/>
          <w:color w:val="000000"/>
          <w:szCs w:val="20"/>
          <w:lang w:eastAsia="en-US"/>
        </w:rPr>
        <w:t xml:space="preserve"> in the </w:t>
      </w:r>
      <w:r w:rsidR="00935408" w:rsidRPr="00660A13">
        <w:rPr>
          <w:rFonts w:ascii="Open Sans" w:hAnsi="Open Sans" w:cs="Open Sans"/>
          <w:i/>
          <w:color w:val="000000"/>
          <w:szCs w:val="20"/>
          <w:lang w:eastAsia="en-US"/>
        </w:rPr>
        <w:t>Tele2 Sverige AB case</w:t>
      </w:r>
      <w:r w:rsidR="00935408" w:rsidRPr="00660A13">
        <w:rPr>
          <w:rFonts w:ascii="Open Sans" w:hAnsi="Open Sans" w:cs="Open Sans"/>
          <w:iCs/>
          <w:color w:val="000000"/>
          <w:szCs w:val="20"/>
          <w:lang w:eastAsia="en-US"/>
        </w:rPr>
        <w:t>:</w:t>
      </w:r>
    </w:p>
    <w:p w14:paraId="34085902" w14:textId="42430797" w:rsidR="00935408" w:rsidRPr="00660A13" w:rsidRDefault="00935408" w:rsidP="00935408">
      <w:pPr>
        <w:pStyle w:val="SubmissionNormal"/>
        <w:numPr>
          <w:ilvl w:val="0"/>
          <w:numId w:val="0"/>
        </w:numPr>
        <w:ind w:left="1134"/>
        <w:rPr>
          <w:rFonts w:ascii="Open Sans" w:hAnsi="Open Sans" w:cs="Open Sans"/>
        </w:rPr>
      </w:pPr>
      <w:r w:rsidRPr="00660A13">
        <w:rPr>
          <w:rFonts w:ascii="Open Sans" w:hAnsi="Open Sans" w:cs="Open Sans"/>
          <w:sz w:val="22"/>
          <w:szCs w:val="22"/>
        </w:rPr>
        <w:t>Even if such legislation does not permit retention of the content of a communication … the retention of traffic and location data could nonetheless have an effect on the use of the means of electronic communication and, consequently, on the exercise by the users thereof of their freedom of expression.</w:t>
      </w:r>
      <w:r w:rsidRPr="00660A13">
        <w:rPr>
          <w:rStyle w:val="EndnoteReference"/>
          <w:rFonts w:ascii="Open Sans" w:hAnsi="Open Sans" w:cs="Open Sans"/>
        </w:rPr>
        <w:endnoteReference w:id="19"/>
      </w:r>
    </w:p>
    <w:p w14:paraId="554E1839" w14:textId="56A899D5" w:rsidR="00861BCA" w:rsidRPr="00660A13" w:rsidRDefault="006717FF" w:rsidP="006717FF">
      <w:pPr>
        <w:pStyle w:val="Heading1"/>
        <w:numPr>
          <w:ilvl w:val="0"/>
          <w:numId w:val="16"/>
        </w:numPr>
        <w:tabs>
          <w:tab w:val="clear" w:pos="851"/>
          <w:tab w:val="num" w:pos="567"/>
        </w:tabs>
        <w:ind w:left="567" w:hanging="567"/>
        <w:rPr>
          <w:rFonts w:ascii="Open Sans" w:hAnsi="Open Sans" w:cs="Open Sans"/>
          <w:sz w:val="32"/>
          <w:szCs w:val="32"/>
        </w:rPr>
      </w:pPr>
      <w:bookmarkStart w:id="59" w:name="_Toc12886515"/>
      <w:r w:rsidRPr="00660A13">
        <w:rPr>
          <w:rFonts w:ascii="Open Sans" w:hAnsi="Open Sans" w:cs="Open Sans"/>
          <w:sz w:val="32"/>
          <w:szCs w:val="32"/>
        </w:rPr>
        <w:t>Key human rights concerns of the regime</w:t>
      </w:r>
      <w:bookmarkEnd w:id="59"/>
    </w:p>
    <w:p w14:paraId="09505FBC" w14:textId="0A131BCB" w:rsidR="00C35D4F" w:rsidRPr="00660A13" w:rsidRDefault="00A12E1B"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T</w:t>
      </w:r>
      <w:r w:rsidR="00C35D4F" w:rsidRPr="00660A13">
        <w:rPr>
          <w:rFonts w:ascii="Open Sans" w:hAnsi="Open Sans" w:cs="Open Sans"/>
        </w:rPr>
        <w:t>he Commission is concerned that the operation of the regime in its current ‘catch-all’ form is not a proportionate restriction of the right to privacy and freedom of expression.</w:t>
      </w:r>
    </w:p>
    <w:p w14:paraId="08353D86" w14:textId="152CD2A5" w:rsidR="00FF4D89" w:rsidRPr="00660A13" w:rsidRDefault="001F55AA" w:rsidP="002D582A">
      <w:pPr>
        <w:pStyle w:val="Heading1"/>
        <w:numPr>
          <w:ilvl w:val="1"/>
          <w:numId w:val="16"/>
        </w:numPr>
        <w:tabs>
          <w:tab w:val="clear" w:pos="851"/>
        </w:tabs>
        <w:rPr>
          <w:rFonts w:ascii="Open Sans" w:hAnsi="Open Sans" w:cs="Open Sans"/>
          <w:i/>
          <w:iCs/>
          <w:sz w:val="32"/>
          <w:szCs w:val="32"/>
        </w:rPr>
      </w:pPr>
      <w:bookmarkStart w:id="60" w:name="_Toc12886516"/>
      <w:r w:rsidRPr="00660A13">
        <w:rPr>
          <w:rFonts w:ascii="Open Sans" w:hAnsi="Open Sans" w:cs="Open Sans"/>
          <w:i/>
          <w:iCs/>
        </w:rPr>
        <w:t>Definition of ‘content</w:t>
      </w:r>
      <w:r w:rsidR="002E6AB9" w:rsidRPr="00660A13">
        <w:rPr>
          <w:rFonts w:ascii="Open Sans" w:hAnsi="Open Sans" w:cs="Open Sans"/>
          <w:i/>
          <w:iCs/>
        </w:rPr>
        <w:t>s</w:t>
      </w:r>
      <w:r w:rsidRPr="00660A13">
        <w:rPr>
          <w:rFonts w:ascii="Open Sans" w:hAnsi="Open Sans" w:cs="Open Sans"/>
          <w:i/>
          <w:iCs/>
        </w:rPr>
        <w:t>’</w:t>
      </w:r>
      <w:r w:rsidR="002E6AB9" w:rsidRPr="00660A13">
        <w:rPr>
          <w:rFonts w:ascii="Open Sans" w:hAnsi="Open Sans" w:cs="Open Sans"/>
          <w:i/>
          <w:iCs/>
        </w:rPr>
        <w:t xml:space="preserve"> and ‘substance’</w:t>
      </w:r>
      <w:bookmarkEnd w:id="60"/>
    </w:p>
    <w:p w14:paraId="01D9A3DF" w14:textId="076830C8" w:rsidR="0062798E" w:rsidRPr="00660A13" w:rsidRDefault="002E6AB9"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Section 187AA</w:t>
      </w:r>
      <w:r w:rsidR="0062798E" w:rsidRPr="00660A13">
        <w:rPr>
          <w:rFonts w:ascii="Open Sans" w:hAnsi="Open Sans" w:cs="Open Sans"/>
        </w:rPr>
        <w:t xml:space="preserve"> </w:t>
      </w:r>
      <w:r w:rsidR="00003DEE" w:rsidRPr="00660A13">
        <w:rPr>
          <w:rFonts w:ascii="Open Sans" w:hAnsi="Open Sans" w:cs="Open Sans"/>
        </w:rPr>
        <w:t xml:space="preserve">of the TIA Act </w:t>
      </w:r>
      <w:r w:rsidRPr="00660A13">
        <w:rPr>
          <w:rFonts w:ascii="Open Sans" w:hAnsi="Open Sans" w:cs="Open Sans"/>
        </w:rPr>
        <w:t>sets out</w:t>
      </w:r>
      <w:r w:rsidR="00090350" w:rsidRPr="00660A13">
        <w:rPr>
          <w:rFonts w:ascii="Open Sans" w:hAnsi="Open Sans" w:cs="Open Sans"/>
        </w:rPr>
        <w:t xml:space="preserve"> the </w:t>
      </w:r>
      <w:r w:rsidRPr="00660A13">
        <w:rPr>
          <w:rFonts w:ascii="Open Sans" w:hAnsi="Open Sans" w:cs="Open Sans"/>
        </w:rPr>
        <w:t xml:space="preserve">kinds of information </w:t>
      </w:r>
      <w:r w:rsidR="00101C1B" w:rsidRPr="00660A13">
        <w:rPr>
          <w:rFonts w:ascii="Open Sans" w:hAnsi="Open Sans" w:cs="Open Sans"/>
        </w:rPr>
        <w:t xml:space="preserve">(or documents containing information) </w:t>
      </w:r>
      <w:r w:rsidRPr="00660A13">
        <w:rPr>
          <w:rFonts w:ascii="Open Sans" w:hAnsi="Open Sans" w:cs="Open Sans"/>
        </w:rPr>
        <w:t>that a service provider must keep</w:t>
      </w:r>
      <w:r w:rsidR="0062798E" w:rsidRPr="00660A13">
        <w:rPr>
          <w:rFonts w:ascii="Open Sans" w:hAnsi="Open Sans" w:cs="Open Sans"/>
        </w:rPr>
        <w:t>, including information relating to:</w:t>
      </w:r>
      <w:r w:rsidR="00090350" w:rsidRPr="00660A13">
        <w:rPr>
          <w:rFonts w:ascii="Open Sans" w:hAnsi="Open Sans" w:cs="Open Sans"/>
        </w:rPr>
        <w:t xml:space="preserve"> </w:t>
      </w:r>
    </w:p>
    <w:p w14:paraId="157047B4" w14:textId="0C8B997F" w:rsidR="0062798E" w:rsidRPr="00660A13" w:rsidRDefault="00003DE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62798E" w:rsidRPr="00660A13">
        <w:rPr>
          <w:rFonts w:ascii="Open Sans" w:hAnsi="Open Sans" w:cs="Open Sans"/>
        </w:rPr>
        <w:t>he subscriber</w:t>
      </w:r>
      <w:r w:rsidRPr="00660A13">
        <w:rPr>
          <w:rFonts w:ascii="Open Sans" w:hAnsi="Open Sans" w:cs="Open Sans"/>
        </w:rPr>
        <w:t xml:space="preserve"> of</w:t>
      </w:r>
      <w:r w:rsidR="0062798E" w:rsidRPr="00660A13">
        <w:rPr>
          <w:rFonts w:ascii="Open Sans" w:hAnsi="Open Sans" w:cs="Open Sans"/>
        </w:rPr>
        <w:t xml:space="preserve">, </w:t>
      </w:r>
      <w:r w:rsidRPr="00660A13">
        <w:rPr>
          <w:rFonts w:ascii="Open Sans" w:hAnsi="Open Sans" w:cs="Open Sans"/>
        </w:rPr>
        <w:t xml:space="preserve">and </w:t>
      </w:r>
      <w:r w:rsidR="0062798E" w:rsidRPr="00660A13">
        <w:rPr>
          <w:rFonts w:ascii="Open Sans" w:hAnsi="Open Sans" w:cs="Open Sans"/>
        </w:rPr>
        <w:t xml:space="preserve">accounts, </w:t>
      </w:r>
      <w:r w:rsidRPr="00660A13">
        <w:rPr>
          <w:rFonts w:ascii="Open Sans" w:hAnsi="Open Sans" w:cs="Open Sans"/>
        </w:rPr>
        <w:t xml:space="preserve">services, </w:t>
      </w:r>
      <w:r w:rsidR="0062798E" w:rsidRPr="00660A13">
        <w:rPr>
          <w:rFonts w:ascii="Open Sans" w:hAnsi="Open Sans" w:cs="Open Sans"/>
        </w:rPr>
        <w:t xml:space="preserve">telecommunication devices and other relevant </w:t>
      </w:r>
      <w:r w:rsidR="002E6AB9" w:rsidRPr="00660A13">
        <w:rPr>
          <w:rFonts w:ascii="Open Sans" w:hAnsi="Open Sans" w:cs="Open Sans"/>
        </w:rPr>
        <w:t xml:space="preserve">services </w:t>
      </w:r>
      <w:r w:rsidRPr="00660A13">
        <w:rPr>
          <w:rFonts w:ascii="Open Sans" w:hAnsi="Open Sans" w:cs="Open Sans"/>
        </w:rPr>
        <w:t>relating to, the</w:t>
      </w:r>
      <w:r w:rsidR="002E6AB9" w:rsidRPr="00660A13">
        <w:rPr>
          <w:rFonts w:ascii="Open Sans" w:hAnsi="Open Sans" w:cs="Open Sans"/>
        </w:rPr>
        <w:t xml:space="preserve"> relevant service</w:t>
      </w:r>
    </w:p>
    <w:p w14:paraId="0F7B85E2" w14:textId="3B50F078" w:rsidR="0062798E" w:rsidRPr="00660A13" w:rsidRDefault="00003DE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62798E" w:rsidRPr="00660A13">
        <w:rPr>
          <w:rFonts w:ascii="Open Sans" w:hAnsi="Open Sans" w:cs="Open Sans"/>
        </w:rPr>
        <w:t>he source of a communication</w:t>
      </w:r>
    </w:p>
    <w:p w14:paraId="10CBF024" w14:textId="6969AA80" w:rsidR="0062798E" w:rsidRPr="00660A13" w:rsidRDefault="00003DE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62798E" w:rsidRPr="00660A13">
        <w:rPr>
          <w:rFonts w:ascii="Open Sans" w:hAnsi="Open Sans" w:cs="Open Sans"/>
        </w:rPr>
        <w:t>he destination of a communication</w:t>
      </w:r>
    </w:p>
    <w:p w14:paraId="7AC86207" w14:textId="543433F7" w:rsidR="0062798E" w:rsidRPr="00660A13" w:rsidRDefault="00003DE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lastRenderedPageBreak/>
        <w:t>t</w:t>
      </w:r>
      <w:r w:rsidR="0062798E" w:rsidRPr="00660A13">
        <w:rPr>
          <w:rFonts w:ascii="Open Sans" w:hAnsi="Open Sans" w:cs="Open Sans"/>
        </w:rPr>
        <w:t>he date, time and duration of a communication</w:t>
      </w:r>
    </w:p>
    <w:p w14:paraId="74659549" w14:textId="201D134C" w:rsidR="0062798E" w:rsidRPr="00660A13" w:rsidRDefault="00003DE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62798E" w:rsidRPr="00660A13">
        <w:rPr>
          <w:rFonts w:ascii="Open Sans" w:hAnsi="Open Sans" w:cs="Open Sans"/>
        </w:rPr>
        <w:t>he type of communication</w:t>
      </w:r>
    </w:p>
    <w:p w14:paraId="1F8EE9C0" w14:textId="1679FCD0" w:rsidR="00A12E1B" w:rsidRPr="00660A13" w:rsidRDefault="00003DEE" w:rsidP="00A12E1B">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2E6AB9" w:rsidRPr="00660A13">
        <w:rPr>
          <w:rFonts w:ascii="Open Sans" w:hAnsi="Open Sans" w:cs="Open Sans"/>
        </w:rPr>
        <w:t xml:space="preserve">he location of the </w:t>
      </w:r>
      <w:r w:rsidR="0062798E" w:rsidRPr="00660A13">
        <w:rPr>
          <w:rFonts w:ascii="Open Sans" w:hAnsi="Open Sans" w:cs="Open Sans"/>
        </w:rPr>
        <w:t xml:space="preserve">equipment or </w:t>
      </w:r>
      <w:r w:rsidR="002E6AB9" w:rsidRPr="00660A13">
        <w:rPr>
          <w:rFonts w:ascii="Open Sans" w:hAnsi="Open Sans" w:cs="Open Sans"/>
        </w:rPr>
        <w:t>line</w:t>
      </w:r>
      <w:r w:rsidR="0062798E" w:rsidRPr="00660A13">
        <w:rPr>
          <w:rFonts w:ascii="Open Sans" w:hAnsi="Open Sans" w:cs="Open Sans"/>
        </w:rPr>
        <w:t xml:space="preserve"> </w:t>
      </w:r>
      <w:r w:rsidR="002E6AB9" w:rsidRPr="00660A13">
        <w:rPr>
          <w:rFonts w:ascii="Open Sans" w:hAnsi="Open Sans" w:cs="Open Sans"/>
        </w:rPr>
        <w:t>used in connection with the communication</w:t>
      </w:r>
      <w:r w:rsidR="0062798E" w:rsidRPr="00660A13">
        <w:rPr>
          <w:rFonts w:ascii="Open Sans" w:hAnsi="Open Sans" w:cs="Open Sans"/>
        </w:rPr>
        <w:t>.</w:t>
      </w:r>
    </w:p>
    <w:p w14:paraId="4537AC5E" w14:textId="60E485DC" w:rsidR="00A5683B" w:rsidRPr="00660A13" w:rsidRDefault="002E6AB9"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Section </w:t>
      </w:r>
      <w:r w:rsidR="002B01A3" w:rsidRPr="00660A13">
        <w:rPr>
          <w:rFonts w:ascii="Open Sans" w:hAnsi="Open Sans" w:cs="Open Sans"/>
        </w:rPr>
        <w:t xml:space="preserve">187A(4)(a) </w:t>
      </w:r>
      <w:r w:rsidR="00E36A8B" w:rsidRPr="00660A13">
        <w:rPr>
          <w:rFonts w:ascii="Open Sans" w:hAnsi="Open Sans" w:cs="Open Sans"/>
        </w:rPr>
        <w:t xml:space="preserve">and (b) </w:t>
      </w:r>
      <w:r w:rsidR="002B01A3" w:rsidRPr="00660A13">
        <w:rPr>
          <w:rFonts w:ascii="Open Sans" w:hAnsi="Open Sans" w:cs="Open Sans"/>
        </w:rPr>
        <w:t xml:space="preserve">of </w:t>
      </w:r>
      <w:r w:rsidRPr="00660A13">
        <w:rPr>
          <w:rFonts w:ascii="Open Sans" w:hAnsi="Open Sans" w:cs="Open Sans"/>
        </w:rPr>
        <w:t xml:space="preserve">the TIA </w:t>
      </w:r>
      <w:r w:rsidR="00003DEE" w:rsidRPr="00660A13">
        <w:rPr>
          <w:rFonts w:ascii="Open Sans" w:hAnsi="Open Sans" w:cs="Open Sans"/>
        </w:rPr>
        <w:t xml:space="preserve">Act </w:t>
      </w:r>
      <w:r w:rsidR="00081F70" w:rsidRPr="00660A13">
        <w:rPr>
          <w:rFonts w:ascii="Open Sans" w:hAnsi="Open Sans" w:cs="Open Sans"/>
        </w:rPr>
        <w:t>explicitly exclude</w:t>
      </w:r>
      <w:r w:rsidR="00503DAC" w:rsidRPr="00660A13">
        <w:rPr>
          <w:rFonts w:ascii="Open Sans" w:hAnsi="Open Sans" w:cs="Open Sans"/>
        </w:rPr>
        <w:t>s</w:t>
      </w:r>
      <w:r w:rsidR="00081F70" w:rsidRPr="00660A13">
        <w:rPr>
          <w:rFonts w:ascii="Open Sans" w:hAnsi="Open Sans" w:cs="Open Sans"/>
        </w:rPr>
        <w:t xml:space="preserve"> </w:t>
      </w:r>
      <w:r w:rsidRPr="00660A13">
        <w:rPr>
          <w:rFonts w:ascii="Open Sans" w:hAnsi="Open Sans" w:cs="Open Sans"/>
        </w:rPr>
        <w:t xml:space="preserve">the </w:t>
      </w:r>
      <w:r w:rsidR="004C670F" w:rsidRPr="00660A13">
        <w:rPr>
          <w:rFonts w:ascii="Open Sans" w:hAnsi="Open Sans" w:cs="Open Sans"/>
        </w:rPr>
        <w:t>‘</w:t>
      </w:r>
      <w:r w:rsidR="00081F70" w:rsidRPr="00660A13">
        <w:rPr>
          <w:rFonts w:ascii="Open Sans" w:hAnsi="Open Sans" w:cs="Open Sans"/>
        </w:rPr>
        <w:t>content</w:t>
      </w:r>
      <w:r w:rsidRPr="00660A13">
        <w:rPr>
          <w:rFonts w:ascii="Open Sans" w:hAnsi="Open Sans" w:cs="Open Sans"/>
        </w:rPr>
        <w:t>s</w:t>
      </w:r>
      <w:r w:rsidR="004C670F" w:rsidRPr="00660A13">
        <w:rPr>
          <w:rFonts w:ascii="Open Sans" w:hAnsi="Open Sans" w:cs="Open Sans"/>
        </w:rPr>
        <w:t>’</w:t>
      </w:r>
      <w:r w:rsidRPr="00660A13">
        <w:rPr>
          <w:rFonts w:ascii="Open Sans" w:hAnsi="Open Sans" w:cs="Open Sans"/>
        </w:rPr>
        <w:t xml:space="preserve"> and ‘substance’</w:t>
      </w:r>
      <w:r w:rsidR="00081F70" w:rsidRPr="00660A13">
        <w:rPr>
          <w:rFonts w:ascii="Open Sans" w:hAnsi="Open Sans" w:cs="Open Sans"/>
        </w:rPr>
        <w:t xml:space="preserve"> </w:t>
      </w:r>
      <w:r w:rsidR="00375EFE" w:rsidRPr="00660A13">
        <w:rPr>
          <w:rFonts w:ascii="Open Sans" w:hAnsi="Open Sans" w:cs="Open Sans"/>
        </w:rPr>
        <w:t xml:space="preserve">of a communication </w:t>
      </w:r>
      <w:r w:rsidRPr="00660A13">
        <w:rPr>
          <w:rFonts w:ascii="Open Sans" w:hAnsi="Open Sans" w:cs="Open Sans"/>
        </w:rPr>
        <w:t xml:space="preserve">and </w:t>
      </w:r>
      <w:r w:rsidR="00375EFE" w:rsidRPr="00660A13">
        <w:rPr>
          <w:rFonts w:ascii="Open Sans" w:hAnsi="Open Sans" w:cs="Open Sans"/>
        </w:rPr>
        <w:t xml:space="preserve">a subscriber’s </w:t>
      </w:r>
      <w:r w:rsidRPr="00660A13">
        <w:rPr>
          <w:rFonts w:ascii="Open Sans" w:hAnsi="Open Sans" w:cs="Open Sans"/>
        </w:rPr>
        <w:t xml:space="preserve">web browsing history </w:t>
      </w:r>
      <w:r w:rsidR="00081F70" w:rsidRPr="00660A13">
        <w:rPr>
          <w:rFonts w:ascii="Open Sans" w:hAnsi="Open Sans" w:cs="Open Sans"/>
        </w:rPr>
        <w:t xml:space="preserve">from the scope of </w:t>
      </w:r>
      <w:r w:rsidRPr="00660A13">
        <w:rPr>
          <w:rFonts w:ascii="Open Sans" w:hAnsi="Open Sans" w:cs="Open Sans"/>
        </w:rPr>
        <w:t>information</w:t>
      </w:r>
      <w:r w:rsidR="00081F70" w:rsidRPr="00660A13">
        <w:rPr>
          <w:rFonts w:ascii="Open Sans" w:hAnsi="Open Sans" w:cs="Open Sans"/>
        </w:rPr>
        <w:t xml:space="preserve"> </w:t>
      </w:r>
      <w:r w:rsidR="00E014EA" w:rsidRPr="00660A13">
        <w:rPr>
          <w:rFonts w:ascii="Open Sans" w:hAnsi="Open Sans" w:cs="Open Sans"/>
        </w:rPr>
        <w:t>that may be subject to mandatory</w:t>
      </w:r>
      <w:r w:rsidR="00E61E4C" w:rsidRPr="00660A13">
        <w:rPr>
          <w:rFonts w:ascii="Open Sans" w:hAnsi="Open Sans" w:cs="Open Sans"/>
        </w:rPr>
        <w:t xml:space="preserve"> data</w:t>
      </w:r>
      <w:r w:rsidR="00E014EA" w:rsidRPr="00660A13">
        <w:rPr>
          <w:rFonts w:ascii="Open Sans" w:hAnsi="Open Sans" w:cs="Open Sans"/>
        </w:rPr>
        <w:t xml:space="preserve"> retention.</w:t>
      </w:r>
      <w:r w:rsidR="00081F70" w:rsidRPr="00660A13">
        <w:rPr>
          <w:rFonts w:ascii="Open Sans" w:hAnsi="Open Sans" w:cs="Open Sans"/>
        </w:rPr>
        <w:t xml:space="preserve"> </w:t>
      </w:r>
      <w:r w:rsidR="00F37BF9" w:rsidRPr="00660A13">
        <w:rPr>
          <w:rFonts w:ascii="Open Sans" w:hAnsi="Open Sans" w:cs="Open Sans"/>
        </w:rPr>
        <w:t>However, there is no definition of ‘content</w:t>
      </w:r>
      <w:r w:rsidRPr="00660A13">
        <w:rPr>
          <w:rFonts w:ascii="Open Sans" w:hAnsi="Open Sans" w:cs="Open Sans"/>
        </w:rPr>
        <w:t>s</w:t>
      </w:r>
      <w:r w:rsidR="00F37BF9" w:rsidRPr="00660A13">
        <w:rPr>
          <w:rFonts w:ascii="Open Sans" w:hAnsi="Open Sans" w:cs="Open Sans"/>
        </w:rPr>
        <w:t xml:space="preserve">’ </w:t>
      </w:r>
      <w:r w:rsidRPr="00660A13">
        <w:rPr>
          <w:rFonts w:ascii="Open Sans" w:hAnsi="Open Sans" w:cs="Open Sans"/>
        </w:rPr>
        <w:t>or ‘substance’ in the Act</w:t>
      </w:r>
      <w:r w:rsidR="00F37BF9" w:rsidRPr="00660A13">
        <w:rPr>
          <w:rFonts w:ascii="Open Sans" w:hAnsi="Open Sans" w:cs="Open Sans"/>
        </w:rPr>
        <w:t xml:space="preserve">. </w:t>
      </w:r>
    </w:p>
    <w:p w14:paraId="1FAEF2FB" w14:textId="6117A77B" w:rsidR="002F498A" w:rsidRPr="00660A13" w:rsidRDefault="002F498A"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During the course of the previous PJCIS inquiry, concerns were expressed, including by the Commission, the Law Council of Australia and other Parliamentary Committees, that if these terms remained undefined there was a greater potential for data to be retained that does include aspects of content.</w:t>
      </w:r>
      <w:r w:rsidRPr="00660A13">
        <w:rPr>
          <w:rStyle w:val="EndnoteReference"/>
          <w:rFonts w:ascii="Open Sans" w:hAnsi="Open Sans" w:cs="Open Sans"/>
        </w:rPr>
        <w:endnoteReference w:id="20"/>
      </w:r>
      <w:r w:rsidRPr="00660A13">
        <w:rPr>
          <w:rFonts w:ascii="Open Sans" w:hAnsi="Open Sans" w:cs="Open Sans"/>
        </w:rPr>
        <w:t xml:space="preserve"> The </w:t>
      </w:r>
      <w:r w:rsidR="00FB44F5">
        <w:rPr>
          <w:rFonts w:ascii="Open Sans" w:hAnsi="Open Sans" w:cs="Open Sans"/>
        </w:rPr>
        <w:t>submission</w:t>
      </w:r>
      <w:r w:rsidRPr="00660A13">
        <w:rPr>
          <w:rFonts w:ascii="Open Sans" w:hAnsi="Open Sans" w:cs="Open Sans"/>
        </w:rPr>
        <w:t xml:space="preserve"> from the Attorney-General’s Department was that</w:t>
      </w:r>
      <w:r w:rsidR="0019038C">
        <w:rPr>
          <w:rFonts w:ascii="Open Sans" w:hAnsi="Open Sans" w:cs="Open Sans"/>
        </w:rPr>
        <w:t>,</w:t>
      </w:r>
      <w:r w:rsidRPr="00660A13">
        <w:rPr>
          <w:rFonts w:ascii="Open Sans" w:hAnsi="Open Sans" w:cs="Open Sans"/>
        </w:rPr>
        <w:t xml:space="preserve"> if an attempt were made to define ‘content’ exhaustively, this may have the effect of </w:t>
      </w:r>
      <w:r w:rsidR="008A709C" w:rsidRPr="00660A13">
        <w:rPr>
          <w:rFonts w:ascii="Open Sans" w:hAnsi="Open Sans" w:cs="Open Sans"/>
        </w:rPr>
        <w:t xml:space="preserve">unduly </w:t>
      </w:r>
      <w:r w:rsidRPr="00660A13">
        <w:rPr>
          <w:rFonts w:ascii="Open Sans" w:hAnsi="Open Sans" w:cs="Open Sans"/>
        </w:rPr>
        <w:t xml:space="preserve">limiting the exemption if </w:t>
      </w:r>
      <w:r w:rsidR="008A709C" w:rsidRPr="00660A13">
        <w:rPr>
          <w:rFonts w:ascii="Open Sans" w:hAnsi="Open Sans" w:cs="Open Sans"/>
        </w:rPr>
        <w:t>the ordinary understanding of ‘content’ expanded over time.</w:t>
      </w:r>
      <w:r w:rsidR="008A709C" w:rsidRPr="00660A13">
        <w:rPr>
          <w:rStyle w:val="EndnoteReference"/>
          <w:rFonts w:ascii="Open Sans" w:hAnsi="Open Sans" w:cs="Open Sans"/>
        </w:rPr>
        <w:endnoteReference w:id="21"/>
      </w:r>
      <w:r w:rsidR="008A709C" w:rsidRPr="00660A13">
        <w:rPr>
          <w:rFonts w:ascii="Open Sans" w:hAnsi="Open Sans" w:cs="Open Sans"/>
        </w:rPr>
        <w:t xml:space="preserve"> One way of addressing this concern is to provide a non-exhaustive definition that still sets out as precisely as possible the current understanding of ‘content’. This would have the twin benefits of greater certainty and flexibility.</w:t>
      </w:r>
    </w:p>
    <w:p w14:paraId="0B2FDB22" w14:textId="70A6AC94" w:rsidR="002553CB" w:rsidRPr="00660A13" w:rsidRDefault="00DE3571"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Commission recommends that the </w:t>
      </w:r>
      <w:r w:rsidR="002E6AB9" w:rsidRPr="00660A13">
        <w:rPr>
          <w:rFonts w:ascii="Open Sans" w:hAnsi="Open Sans" w:cs="Open Sans"/>
        </w:rPr>
        <w:t>Act</w:t>
      </w:r>
      <w:r w:rsidRPr="00660A13">
        <w:rPr>
          <w:rFonts w:ascii="Open Sans" w:hAnsi="Open Sans" w:cs="Open Sans"/>
        </w:rPr>
        <w:t xml:space="preserve"> be amended to include a definition of ‘content</w:t>
      </w:r>
      <w:r w:rsidR="002E6AB9" w:rsidRPr="00660A13">
        <w:rPr>
          <w:rFonts w:ascii="Open Sans" w:hAnsi="Open Sans" w:cs="Open Sans"/>
        </w:rPr>
        <w:t>s</w:t>
      </w:r>
      <w:r w:rsidRPr="00660A13">
        <w:rPr>
          <w:rFonts w:ascii="Open Sans" w:hAnsi="Open Sans" w:cs="Open Sans"/>
        </w:rPr>
        <w:t>’</w:t>
      </w:r>
      <w:r w:rsidR="002E6AB9" w:rsidRPr="00660A13">
        <w:rPr>
          <w:rFonts w:ascii="Open Sans" w:hAnsi="Open Sans" w:cs="Open Sans"/>
        </w:rPr>
        <w:t xml:space="preserve"> and ‘substance’</w:t>
      </w:r>
      <w:r w:rsidR="0095617A" w:rsidRPr="00660A13">
        <w:rPr>
          <w:rFonts w:ascii="Open Sans" w:hAnsi="Open Sans" w:cs="Open Sans"/>
        </w:rPr>
        <w:t xml:space="preserve"> for the purposes of the </w:t>
      </w:r>
      <w:r w:rsidR="002E6AB9" w:rsidRPr="00660A13">
        <w:rPr>
          <w:rFonts w:ascii="Open Sans" w:hAnsi="Open Sans" w:cs="Open Sans"/>
        </w:rPr>
        <w:t>regime</w:t>
      </w:r>
      <w:r w:rsidRPr="00660A13">
        <w:rPr>
          <w:rFonts w:ascii="Open Sans" w:hAnsi="Open Sans" w:cs="Open Sans"/>
        </w:rPr>
        <w:t>.</w:t>
      </w:r>
    </w:p>
    <w:p w14:paraId="7B745913" w14:textId="77777777" w:rsidR="00107699" w:rsidRPr="00660A13" w:rsidRDefault="00107699" w:rsidP="00316F66">
      <w:pPr>
        <w:pStyle w:val="SubmissionNormal"/>
        <w:keepNext/>
        <w:numPr>
          <w:ilvl w:val="0"/>
          <w:numId w:val="0"/>
        </w:numPr>
        <w:spacing w:after="120"/>
        <w:ind w:left="567" w:firstLine="6"/>
        <w:rPr>
          <w:rFonts w:ascii="Open Sans" w:hAnsi="Open Sans" w:cs="Open Sans"/>
          <w:b/>
        </w:rPr>
      </w:pPr>
      <w:r w:rsidRPr="00660A13">
        <w:rPr>
          <w:rFonts w:ascii="Open Sans" w:hAnsi="Open Sans" w:cs="Open Sans"/>
          <w:b/>
        </w:rPr>
        <w:t>Recommendation 1</w:t>
      </w:r>
    </w:p>
    <w:p w14:paraId="21530DBF" w14:textId="4350173B" w:rsidR="00107699" w:rsidRPr="00660A13" w:rsidRDefault="00107699" w:rsidP="00316F66">
      <w:pPr>
        <w:pStyle w:val="SubmissionNormal"/>
        <w:numPr>
          <w:ilvl w:val="0"/>
          <w:numId w:val="0"/>
        </w:numPr>
        <w:spacing w:before="120"/>
        <w:ind w:left="567" w:firstLine="7"/>
        <w:rPr>
          <w:rFonts w:ascii="Open Sans" w:hAnsi="Open Sans" w:cs="Open Sans"/>
        </w:rPr>
      </w:pPr>
      <w:r w:rsidRPr="00660A13">
        <w:rPr>
          <w:rFonts w:ascii="Open Sans" w:hAnsi="Open Sans" w:cs="Open Sans"/>
          <w:bCs/>
        </w:rPr>
        <w:t xml:space="preserve">The Commission recommends that the TIA Act be amended to include a definition of the terms ‘contents’ and ‘substance’ as they appear in </w:t>
      </w:r>
      <w:r w:rsidR="00E37D4A" w:rsidRPr="00660A13">
        <w:rPr>
          <w:rFonts w:ascii="Open Sans" w:hAnsi="Open Sans" w:cs="Open Sans"/>
          <w:bCs/>
        </w:rPr>
        <w:t>s</w:t>
      </w:r>
      <w:r w:rsidRPr="00660A13">
        <w:rPr>
          <w:rFonts w:ascii="Open Sans" w:hAnsi="Open Sans" w:cs="Open Sans"/>
          <w:bCs/>
        </w:rPr>
        <w:t>s </w:t>
      </w:r>
      <w:r w:rsidR="00E37D4A" w:rsidRPr="00660A13">
        <w:rPr>
          <w:rFonts w:ascii="Open Sans" w:hAnsi="Open Sans" w:cs="Open Sans"/>
          <w:bCs/>
        </w:rPr>
        <w:t xml:space="preserve">172 and </w:t>
      </w:r>
      <w:r w:rsidRPr="00660A13">
        <w:rPr>
          <w:rFonts w:ascii="Open Sans" w:hAnsi="Open Sans" w:cs="Open Sans"/>
          <w:bCs/>
        </w:rPr>
        <w:t xml:space="preserve">187A(4)(a). </w:t>
      </w:r>
    </w:p>
    <w:p w14:paraId="19462ED3" w14:textId="4233FFA6" w:rsidR="00FC23A6" w:rsidRPr="00660A13" w:rsidRDefault="00FC23A6" w:rsidP="002D582A">
      <w:pPr>
        <w:pStyle w:val="Heading1"/>
        <w:numPr>
          <w:ilvl w:val="1"/>
          <w:numId w:val="16"/>
        </w:numPr>
        <w:tabs>
          <w:tab w:val="clear" w:pos="851"/>
        </w:tabs>
        <w:rPr>
          <w:rFonts w:ascii="Open Sans" w:hAnsi="Open Sans" w:cs="Open Sans"/>
          <w:i/>
          <w:iCs/>
        </w:rPr>
      </w:pPr>
      <w:bookmarkStart w:id="61" w:name="_Toc12886517"/>
      <w:proofErr w:type="gramStart"/>
      <w:r w:rsidRPr="00660A13">
        <w:rPr>
          <w:rFonts w:ascii="Open Sans" w:hAnsi="Open Sans" w:cs="Open Sans"/>
          <w:i/>
          <w:iCs/>
        </w:rPr>
        <w:t>Two year</w:t>
      </w:r>
      <w:proofErr w:type="gramEnd"/>
      <w:r w:rsidRPr="00660A13">
        <w:rPr>
          <w:rFonts w:ascii="Open Sans" w:hAnsi="Open Sans" w:cs="Open Sans"/>
          <w:i/>
          <w:iCs/>
        </w:rPr>
        <w:t xml:space="preserve"> retention period</w:t>
      </w:r>
      <w:bookmarkEnd w:id="61"/>
    </w:p>
    <w:p w14:paraId="347F1B76" w14:textId="768DF75F" w:rsidR="00841760" w:rsidRPr="00660A13" w:rsidRDefault="00101C1B"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Section 187C </w:t>
      </w:r>
      <w:r w:rsidR="00375EFE" w:rsidRPr="00660A13">
        <w:rPr>
          <w:rFonts w:ascii="Open Sans" w:hAnsi="Open Sans" w:cs="Open Sans"/>
        </w:rPr>
        <w:t xml:space="preserve">of the TIA Act </w:t>
      </w:r>
      <w:r w:rsidRPr="00660A13">
        <w:rPr>
          <w:rFonts w:ascii="Open Sans" w:hAnsi="Open Sans" w:cs="Open Sans"/>
        </w:rPr>
        <w:t xml:space="preserve">requires a service provider to keep relevant information and documents for </w:t>
      </w:r>
      <w:r w:rsidR="0019038C">
        <w:rPr>
          <w:rFonts w:ascii="Open Sans" w:hAnsi="Open Sans" w:cs="Open Sans"/>
        </w:rPr>
        <w:t>two</w:t>
      </w:r>
      <w:r w:rsidR="0019038C" w:rsidRPr="00660A13">
        <w:rPr>
          <w:rFonts w:ascii="Open Sans" w:hAnsi="Open Sans" w:cs="Open Sans"/>
        </w:rPr>
        <w:t xml:space="preserve"> </w:t>
      </w:r>
      <w:r w:rsidRPr="00660A13">
        <w:rPr>
          <w:rFonts w:ascii="Open Sans" w:hAnsi="Open Sans" w:cs="Open Sans"/>
        </w:rPr>
        <w:t xml:space="preserve">years. </w:t>
      </w:r>
      <w:r w:rsidR="001F50D7" w:rsidRPr="00660A13">
        <w:rPr>
          <w:rFonts w:ascii="Open Sans" w:hAnsi="Open Sans" w:cs="Open Sans"/>
        </w:rPr>
        <w:t xml:space="preserve">In our 2015 submission, the Commission expressed concern over the </w:t>
      </w:r>
      <w:r w:rsidR="0019038C">
        <w:rPr>
          <w:rFonts w:ascii="Open Sans" w:hAnsi="Open Sans" w:cs="Open Sans"/>
        </w:rPr>
        <w:t>two-</w:t>
      </w:r>
      <w:r w:rsidR="001F50D7" w:rsidRPr="00660A13">
        <w:rPr>
          <w:rFonts w:ascii="Open Sans" w:hAnsi="Open Sans" w:cs="Open Sans"/>
        </w:rPr>
        <w:t>year retention period proposed by the Bill</w:t>
      </w:r>
      <w:r w:rsidR="0047441D" w:rsidRPr="00660A13">
        <w:rPr>
          <w:rFonts w:ascii="Open Sans" w:hAnsi="Open Sans" w:cs="Open Sans"/>
        </w:rPr>
        <w:t xml:space="preserve">. We </w:t>
      </w:r>
      <w:r w:rsidR="001F50D7" w:rsidRPr="00660A13">
        <w:rPr>
          <w:rFonts w:ascii="Open Sans" w:hAnsi="Open Sans" w:cs="Open Sans"/>
        </w:rPr>
        <w:t>noted that it was at the upper end of retention periods implemented in comparable jurisdictions</w:t>
      </w:r>
      <w:r w:rsidR="0047441D" w:rsidRPr="00660A13">
        <w:rPr>
          <w:rFonts w:ascii="Open Sans" w:hAnsi="Open Sans" w:cs="Open Sans"/>
        </w:rPr>
        <w:t xml:space="preserve"> and that the Directive requiring EU Member States to establish a data retention regime for between six months and two years had </w:t>
      </w:r>
      <w:r w:rsidR="0003349B" w:rsidRPr="00660A13">
        <w:rPr>
          <w:rFonts w:ascii="Open Sans" w:hAnsi="Open Sans" w:cs="Open Sans"/>
        </w:rPr>
        <w:t xml:space="preserve">recently </w:t>
      </w:r>
      <w:r w:rsidR="0047441D" w:rsidRPr="00660A13">
        <w:rPr>
          <w:rFonts w:ascii="Open Sans" w:hAnsi="Open Sans" w:cs="Open Sans"/>
        </w:rPr>
        <w:t xml:space="preserve">been declared invalid by the </w:t>
      </w:r>
      <w:r w:rsidR="00817EF8">
        <w:rPr>
          <w:rFonts w:ascii="Open Sans" w:hAnsi="Open Sans" w:cs="Open Sans"/>
          <w:color w:val="000000"/>
          <w:szCs w:val="20"/>
          <w:lang w:eastAsia="en-US"/>
        </w:rPr>
        <w:t>CJEU</w:t>
      </w:r>
      <w:r w:rsidR="001F50D7" w:rsidRPr="00660A13">
        <w:rPr>
          <w:rFonts w:ascii="Open Sans" w:hAnsi="Open Sans" w:cs="Open Sans"/>
        </w:rPr>
        <w:t>.</w:t>
      </w:r>
      <w:r w:rsidR="00E61E4C" w:rsidRPr="00660A13">
        <w:rPr>
          <w:rStyle w:val="EndnoteReference"/>
          <w:rFonts w:ascii="Open Sans" w:hAnsi="Open Sans" w:cs="Open Sans"/>
        </w:rPr>
        <w:endnoteReference w:id="22"/>
      </w:r>
    </w:p>
    <w:p w14:paraId="1BACADC5" w14:textId="298E4219" w:rsidR="004132A6" w:rsidRPr="00660A13" w:rsidRDefault="006732C5"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lastRenderedPageBreak/>
        <w:t>The operation of the Australian regime to date shows that</w:t>
      </w:r>
      <w:r w:rsidR="0019038C">
        <w:rPr>
          <w:rFonts w:ascii="Open Sans" w:hAnsi="Open Sans" w:cs="Open Sans"/>
        </w:rPr>
        <w:t>,</w:t>
      </w:r>
      <w:r w:rsidRPr="00660A13">
        <w:rPr>
          <w:rFonts w:ascii="Open Sans" w:hAnsi="Open Sans" w:cs="Open Sans"/>
        </w:rPr>
        <w:t xml:space="preserve"> in </w:t>
      </w:r>
      <w:proofErr w:type="gramStart"/>
      <w:r w:rsidRPr="00660A13">
        <w:rPr>
          <w:rFonts w:ascii="Open Sans" w:hAnsi="Open Sans" w:cs="Open Sans"/>
        </w:rPr>
        <w:t>the overwhelming majority of</w:t>
      </w:r>
      <w:proofErr w:type="gramEnd"/>
      <w:r w:rsidRPr="00660A13">
        <w:rPr>
          <w:rFonts w:ascii="Open Sans" w:hAnsi="Open Sans" w:cs="Open Sans"/>
        </w:rPr>
        <w:t xml:space="preserve"> cases</w:t>
      </w:r>
      <w:r w:rsidR="0019038C">
        <w:rPr>
          <w:rFonts w:ascii="Open Sans" w:hAnsi="Open Sans" w:cs="Open Sans"/>
        </w:rPr>
        <w:t>,</w:t>
      </w:r>
      <w:r w:rsidRPr="00660A13">
        <w:rPr>
          <w:rFonts w:ascii="Open Sans" w:hAnsi="Open Sans" w:cs="Open Sans"/>
        </w:rPr>
        <w:t xml:space="preserve"> the data sought by agencies </w:t>
      </w:r>
      <w:r w:rsidR="0019038C">
        <w:rPr>
          <w:rFonts w:ascii="Open Sans" w:hAnsi="Open Sans" w:cs="Open Sans"/>
        </w:rPr>
        <w:t>are</w:t>
      </w:r>
      <w:r w:rsidR="0019038C" w:rsidRPr="00660A13">
        <w:rPr>
          <w:rFonts w:ascii="Open Sans" w:hAnsi="Open Sans" w:cs="Open Sans"/>
        </w:rPr>
        <w:t xml:space="preserve"> </w:t>
      </w:r>
      <w:r w:rsidRPr="00660A13">
        <w:rPr>
          <w:rFonts w:ascii="Open Sans" w:hAnsi="Open Sans" w:cs="Open Sans"/>
        </w:rPr>
        <w:t xml:space="preserve">less than </w:t>
      </w:r>
      <w:r w:rsidR="0019038C">
        <w:rPr>
          <w:rFonts w:ascii="Open Sans" w:hAnsi="Open Sans" w:cs="Open Sans"/>
        </w:rPr>
        <w:t>three</w:t>
      </w:r>
      <w:r w:rsidR="0019038C" w:rsidRPr="00660A13">
        <w:rPr>
          <w:rFonts w:ascii="Open Sans" w:hAnsi="Open Sans" w:cs="Open Sans"/>
        </w:rPr>
        <w:t xml:space="preserve"> </w:t>
      </w:r>
      <w:r w:rsidRPr="00660A13">
        <w:rPr>
          <w:rFonts w:ascii="Open Sans" w:hAnsi="Open Sans" w:cs="Open Sans"/>
        </w:rPr>
        <w:t xml:space="preserve">months old. </w:t>
      </w:r>
      <w:r w:rsidR="00F55963" w:rsidRPr="00660A13">
        <w:rPr>
          <w:rFonts w:ascii="Open Sans" w:hAnsi="Open Sans" w:cs="Open Sans"/>
        </w:rPr>
        <w:t>Annual reports on the operation of the TIA Act prepared by the Attorney-General’s Department for</w:t>
      </w:r>
      <w:r w:rsidR="00E315AE" w:rsidRPr="00660A13">
        <w:rPr>
          <w:rFonts w:ascii="Open Sans" w:hAnsi="Open Sans" w:cs="Open Sans"/>
        </w:rPr>
        <w:t xml:space="preserve"> 2015</w:t>
      </w:r>
      <w:r w:rsidR="0019038C">
        <w:rPr>
          <w:rFonts w:ascii="Open Sans" w:hAnsi="Open Sans" w:cs="Open Sans"/>
        </w:rPr>
        <w:t>–</w:t>
      </w:r>
      <w:r w:rsidR="00E315AE" w:rsidRPr="00660A13">
        <w:rPr>
          <w:rFonts w:ascii="Open Sans" w:hAnsi="Open Sans" w:cs="Open Sans"/>
        </w:rPr>
        <w:t>2016 and 2016</w:t>
      </w:r>
      <w:r w:rsidR="0019038C">
        <w:rPr>
          <w:rFonts w:ascii="Open Sans" w:hAnsi="Open Sans" w:cs="Open Sans"/>
        </w:rPr>
        <w:t>–</w:t>
      </w:r>
      <w:r w:rsidR="00E315AE" w:rsidRPr="00660A13">
        <w:rPr>
          <w:rFonts w:ascii="Open Sans" w:hAnsi="Open Sans" w:cs="Open Sans"/>
        </w:rPr>
        <w:t xml:space="preserve">2017 </w:t>
      </w:r>
      <w:r w:rsidR="00F55963" w:rsidRPr="00660A13">
        <w:rPr>
          <w:rFonts w:ascii="Open Sans" w:hAnsi="Open Sans" w:cs="Open Sans"/>
        </w:rPr>
        <w:t xml:space="preserve">show </w:t>
      </w:r>
      <w:r w:rsidR="00E315AE" w:rsidRPr="00660A13">
        <w:rPr>
          <w:rFonts w:ascii="Open Sans" w:hAnsi="Open Sans" w:cs="Open Sans"/>
        </w:rPr>
        <w:t>that</w:t>
      </w:r>
      <w:r w:rsidR="004132A6" w:rsidRPr="00660A13">
        <w:rPr>
          <w:rFonts w:ascii="Open Sans" w:hAnsi="Open Sans" w:cs="Open Sans"/>
        </w:rPr>
        <w:t>:</w:t>
      </w:r>
    </w:p>
    <w:p w14:paraId="1A0639D2" w14:textId="1EA5634E" w:rsidR="00E315AE" w:rsidRPr="00660A13" w:rsidRDefault="00E315A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over 80% of requested data was 0</w:t>
      </w:r>
      <w:r w:rsidR="0019038C">
        <w:rPr>
          <w:rFonts w:ascii="Open Sans" w:hAnsi="Open Sans" w:cs="Open Sans"/>
        </w:rPr>
        <w:t>–</w:t>
      </w:r>
      <w:r w:rsidRPr="00660A13">
        <w:rPr>
          <w:rFonts w:ascii="Open Sans" w:hAnsi="Open Sans" w:cs="Open Sans"/>
        </w:rPr>
        <w:t>3 months old; and</w:t>
      </w:r>
    </w:p>
    <w:p w14:paraId="12E44B52" w14:textId="5F969F8D" w:rsidR="00BA1768" w:rsidRPr="00660A13" w:rsidRDefault="00E315AE"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less than</w:t>
      </w:r>
      <w:r w:rsidR="00FF41C5" w:rsidRPr="00660A13">
        <w:rPr>
          <w:rFonts w:ascii="Open Sans" w:hAnsi="Open Sans" w:cs="Open Sans"/>
        </w:rPr>
        <w:t xml:space="preserve"> </w:t>
      </w:r>
      <w:r w:rsidRPr="00660A13">
        <w:rPr>
          <w:rFonts w:ascii="Open Sans" w:hAnsi="Open Sans" w:cs="Open Sans"/>
        </w:rPr>
        <w:t>7</w:t>
      </w:r>
      <w:r w:rsidR="00FF41C5" w:rsidRPr="00660A13">
        <w:rPr>
          <w:rFonts w:ascii="Open Sans" w:hAnsi="Open Sans" w:cs="Open Sans"/>
        </w:rPr>
        <w:t>% of requested</w:t>
      </w:r>
      <w:r w:rsidRPr="00660A13">
        <w:rPr>
          <w:rFonts w:ascii="Open Sans" w:hAnsi="Open Sans" w:cs="Open Sans"/>
        </w:rPr>
        <w:t xml:space="preserve"> data was over a year</w:t>
      </w:r>
      <w:r w:rsidR="00FF41C5" w:rsidRPr="00660A13">
        <w:rPr>
          <w:rFonts w:ascii="Open Sans" w:hAnsi="Open Sans" w:cs="Open Sans"/>
        </w:rPr>
        <w:t xml:space="preserve"> old</w:t>
      </w:r>
      <w:r w:rsidR="00746D26" w:rsidRPr="00660A13">
        <w:rPr>
          <w:rFonts w:ascii="Open Sans" w:hAnsi="Open Sans" w:cs="Open Sans"/>
        </w:rPr>
        <w:t>.</w:t>
      </w:r>
      <w:r w:rsidRPr="00660A13">
        <w:rPr>
          <w:rStyle w:val="EndnoteReference"/>
          <w:rFonts w:ascii="Open Sans" w:hAnsi="Open Sans" w:cs="Open Sans"/>
        </w:rPr>
        <w:endnoteReference w:id="23"/>
      </w:r>
    </w:p>
    <w:p w14:paraId="31BA93D1" w14:textId="6436DFA8" w:rsidR="006732C5" w:rsidRPr="00660A13" w:rsidRDefault="006732C5" w:rsidP="006732C5">
      <w:pPr>
        <w:pStyle w:val="SubmissionNormal"/>
        <w:tabs>
          <w:tab w:val="clear" w:pos="360"/>
          <w:tab w:val="num" w:pos="567"/>
        </w:tabs>
        <w:ind w:left="567" w:hanging="567"/>
        <w:rPr>
          <w:rFonts w:ascii="Open Sans" w:hAnsi="Open Sans" w:cs="Open Sans"/>
        </w:rPr>
      </w:pPr>
      <w:r w:rsidRPr="00660A13">
        <w:rPr>
          <w:rFonts w:ascii="Open Sans" w:hAnsi="Open Sans" w:cs="Open Sans"/>
        </w:rPr>
        <w:t>This suggests that the data retention period could be reduced in order to address significant privacy concerns without unduly impacting on investigations.</w:t>
      </w:r>
    </w:p>
    <w:p w14:paraId="380948AD" w14:textId="6A4D195C" w:rsidR="0003349B" w:rsidRPr="00660A13" w:rsidRDefault="00A061BA" w:rsidP="006732C5">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In </w:t>
      </w:r>
      <w:r w:rsidR="00FD59B3" w:rsidRPr="00660A13">
        <w:rPr>
          <w:rFonts w:ascii="Open Sans" w:hAnsi="Open Sans" w:cs="Open Sans"/>
        </w:rPr>
        <w:t xml:space="preserve">the </w:t>
      </w:r>
      <w:r w:rsidR="00FD59B3" w:rsidRPr="00660A13">
        <w:rPr>
          <w:rFonts w:ascii="Open Sans" w:hAnsi="Open Sans" w:cs="Open Sans"/>
          <w:i/>
        </w:rPr>
        <w:t xml:space="preserve">Digital Rights Ireland </w:t>
      </w:r>
      <w:r w:rsidR="00FD59B3" w:rsidRPr="00DE75C3">
        <w:rPr>
          <w:rFonts w:ascii="Open Sans" w:hAnsi="Open Sans" w:cs="Open Sans"/>
          <w:iCs/>
        </w:rPr>
        <w:t>case</w:t>
      </w:r>
      <w:r w:rsidR="00FD59B3" w:rsidRPr="00660A13">
        <w:rPr>
          <w:rFonts w:ascii="Open Sans" w:hAnsi="Open Sans" w:cs="Open Sans"/>
          <w:iCs/>
        </w:rPr>
        <w:t>,</w:t>
      </w:r>
      <w:r w:rsidR="00FD59B3" w:rsidRPr="00660A13">
        <w:rPr>
          <w:rFonts w:ascii="Open Sans" w:hAnsi="Open Sans" w:cs="Open Sans"/>
        </w:rPr>
        <w:t xml:space="preserve"> </w:t>
      </w:r>
      <w:r w:rsidRPr="00660A13">
        <w:rPr>
          <w:rFonts w:ascii="Open Sans" w:hAnsi="Open Sans" w:cs="Open Sans"/>
        </w:rPr>
        <w:t xml:space="preserve">one of the issues of concern for </w:t>
      </w:r>
      <w:r w:rsidR="00FD59B3" w:rsidRPr="00660A13">
        <w:rPr>
          <w:rFonts w:ascii="Open Sans" w:hAnsi="Open Sans" w:cs="Open Sans"/>
        </w:rPr>
        <w:t xml:space="preserve">the </w:t>
      </w:r>
      <w:r w:rsidR="00817EF8">
        <w:rPr>
          <w:rFonts w:ascii="Open Sans" w:hAnsi="Open Sans" w:cs="Open Sans"/>
          <w:color w:val="000000"/>
          <w:szCs w:val="20"/>
          <w:lang w:eastAsia="en-US"/>
        </w:rPr>
        <w:t>CJEU</w:t>
      </w:r>
      <w:r w:rsidR="00FD59B3" w:rsidRPr="00660A13">
        <w:rPr>
          <w:rFonts w:ascii="Open Sans" w:hAnsi="Open Sans" w:cs="Open Sans"/>
          <w:color w:val="000000"/>
          <w:szCs w:val="20"/>
          <w:lang w:eastAsia="en-US"/>
        </w:rPr>
        <w:t xml:space="preserve"> </w:t>
      </w:r>
      <w:r w:rsidRPr="00660A13">
        <w:rPr>
          <w:rFonts w:ascii="Open Sans" w:hAnsi="Open Sans" w:cs="Open Sans"/>
          <w:color w:val="000000"/>
          <w:szCs w:val="20"/>
          <w:lang w:eastAsia="en-US"/>
        </w:rPr>
        <w:t xml:space="preserve">was that the </w:t>
      </w:r>
      <w:r w:rsidRPr="00660A13">
        <w:rPr>
          <w:rFonts w:ascii="Open Sans" w:hAnsi="Open Sans" w:cs="Open Sans"/>
        </w:rPr>
        <w:t xml:space="preserve">EU Data Retention Directive </w:t>
      </w:r>
      <w:r w:rsidR="00FD59B3" w:rsidRPr="00660A13">
        <w:rPr>
          <w:rFonts w:ascii="Open Sans" w:hAnsi="Open Sans" w:cs="Open Sans"/>
          <w:iCs/>
        </w:rPr>
        <w:t>provide</w:t>
      </w:r>
      <w:r w:rsidRPr="00660A13">
        <w:rPr>
          <w:rFonts w:ascii="Open Sans" w:hAnsi="Open Sans" w:cs="Open Sans"/>
          <w:iCs/>
        </w:rPr>
        <w:t>d</w:t>
      </w:r>
      <w:r w:rsidR="00FD59B3" w:rsidRPr="00660A13">
        <w:rPr>
          <w:rFonts w:ascii="Open Sans" w:hAnsi="Open Sans" w:cs="Open Sans"/>
          <w:iCs/>
        </w:rPr>
        <w:t xml:space="preserve"> for general and indiscriminate data retention</w:t>
      </w:r>
      <w:r w:rsidRPr="00660A13">
        <w:rPr>
          <w:rFonts w:ascii="Open Sans" w:hAnsi="Open Sans" w:cs="Open Sans"/>
          <w:iCs/>
        </w:rPr>
        <w:t>. An aspect of the indiscriminate nature of the regime was the blunt data retention period.</w:t>
      </w:r>
      <w:r w:rsidR="00FD59B3" w:rsidRPr="00660A13">
        <w:rPr>
          <w:rFonts w:ascii="Open Sans" w:hAnsi="Open Sans" w:cs="Open Sans"/>
        </w:rPr>
        <w:t xml:space="preserve"> </w:t>
      </w:r>
    </w:p>
    <w:p w14:paraId="10110D11" w14:textId="380692D3" w:rsidR="00FD59B3" w:rsidRPr="00660A13" w:rsidRDefault="000D4056" w:rsidP="0047441D">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The Court stated:</w:t>
      </w:r>
    </w:p>
    <w:p w14:paraId="6984DB11" w14:textId="77777777" w:rsidR="003F1CD1" w:rsidRPr="00660A13" w:rsidRDefault="003F1CD1" w:rsidP="000D4056">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[S]o far as concerns the data retention period, Article 6 of Directive 2006/24 requires that those data be retained for a period of at least six months, without any distinction being made between the categories of data … on the basis of their possible usefulness for the purposes of the objective pursued or according to the persons concerned.</w:t>
      </w:r>
    </w:p>
    <w:p w14:paraId="3A1000AF" w14:textId="21D38843" w:rsidR="000D4056" w:rsidRPr="00660A13" w:rsidRDefault="003F1CD1" w:rsidP="000D4056">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Furthermore, that period is set at between a minimum of 6 months and a maximum of 24 months, but it is not stated that the determination of the period of retention must be based on objective criteria in order to ensure that it is limited to what is strictly necessary.</w:t>
      </w:r>
      <w:r w:rsidR="00C24B96">
        <w:rPr>
          <w:rStyle w:val="EndnoteReference"/>
          <w:rFonts w:cs="Open Sans"/>
          <w:szCs w:val="22"/>
        </w:rPr>
        <w:endnoteReference w:id="24"/>
      </w:r>
      <w:r w:rsidRPr="00660A13">
        <w:rPr>
          <w:rFonts w:ascii="Open Sans" w:hAnsi="Open Sans" w:cs="Open Sans"/>
          <w:sz w:val="22"/>
          <w:szCs w:val="22"/>
        </w:rPr>
        <w:t xml:space="preserve"> </w:t>
      </w:r>
    </w:p>
    <w:p w14:paraId="27F36E44" w14:textId="316CBE9C" w:rsidR="004453D0" w:rsidRPr="00660A13" w:rsidRDefault="00142F38"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C</w:t>
      </w:r>
      <w:r w:rsidR="003F1CD1" w:rsidRPr="00660A13">
        <w:rPr>
          <w:rFonts w:ascii="Open Sans" w:hAnsi="Open Sans" w:cs="Open Sans"/>
        </w:rPr>
        <w:t xml:space="preserve">ase law </w:t>
      </w:r>
      <w:r w:rsidRPr="00660A13">
        <w:rPr>
          <w:rFonts w:ascii="Open Sans" w:hAnsi="Open Sans" w:cs="Open Sans"/>
        </w:rPr>
        <w:t xml:space="preserve">since the last PJCIS inquiry </w:t>
      </w:r>
      <w:r w:rsidR="003F1CD1" w:rsidRPr="00660A13">
        <w:rPr>
          <w:rFonts w:ascii="Open Sans" w:hAnsi="Open Sans" w:cs="Open Sans"/>
        </w:rPr>
        <w:t xml:space="preserve">has reinforced this </w:t>
      </w:r>
      <w:r w:rsidRPr="00660A13">
        <w:rPr>
          <w:rFonts w:ascii="Open Sans" w:hAnsi="Open Sans" w:cs="Open Sans"/>
        </w:rPr>
        <w:t>position. I</w:t>
      </w:r>
      <w:r w:rsidR="00FC5D43" w:rsidRPr="00660A13">
        <w:rPr>
          <w:rFonts w:ascii="Open Sans" w:hAnsi="Open Sans" w:cs="Open Sans"/>
        </w:rPr>
        <w:t xml:space="preserve">n the </w:t>
      </w:r>
      <w:r w:rsidR="00FC5D43" w:rsidRPr="00660A13">
        <w:rPr>
          <w:rFonts w:ascii="Open Sans" w:hAnsi="Open Sans" w:cs="Open Sans"/>
          <w:i/>
        </w:rPr>
        <w:t>Tele2 Sverige AB case</w:t>
      </w:r>
      <w:r w:rsidR="006231EE">
        <w:rPr>
          <w:rFonts w:ascii="Open Sans" w:hAnsi="Open Sans" w:cs="Open Sans"/>
          <w:iCs/>
        </w:rPr>
        <w:t>,</w:t>
      </w:r>
      <w:r w:rsidR="001F50D7" w:rsidRPr="00660A13">
        <w:rPr>
          <w:rFonts w:ascii="Open Sans" w:hAnsi="Open Sans" w:cs="Open Sans"/>
        </w:rPr>
        <w:t xml:space="preserve"> </w:t>
      </w:r>
      <w:r w:rsidRPr="00660A13">
        <w:rPr>
          <w:rFonts w:ascii="Open Sans" w:hAnsi="Open Sans" w:cs="Open Sans"/>
        </w:rPr>
        <w:t xml:space="preserve">the </w:t>
      </w:r>
      <w:r w:rsidR="00817EF8">
        <w:rPr>
          <w:rFonts w:ascii="Open Sans" w:hAnsi="Open Sans" w:cs="Open Sans"/>
          <w:color w:val="000000"/>
          <w:szCs w:val="20"/>
          <w:lang w:eastAsia="en-US"/>
        </w:rPr>
        <w:t>CJEU</w:t>
      </w:r>
      <w:r w:rsidRPr="00660A13">
        <w:rPr>
          <w:rFonts w:ascii="Open Sans" w:hAnsi="Open Sans" w:cs="Open Sans"/>
          <w:color w:val="000000"/>
          <w:szCs w:val="20"/>
          <w:lang w:eastAsia="en-US"/>
        </w:rPr>
        <w:t xml:space="preserve"> considered the limits on </w:t>
      </w:r>
      <w:r w:rsidR="004453D0" w:rsidRPr="00660A13">
        <w:rPr>
          <w:rFonts w:ascii="Open Sans" w:hAnsi="Open Sans" w:cs="Open Sans"/>
          <w:color w:val="000000"/>
          <w:szCs w:val="20"/>
          <w:lang w:eastAsia="en-US"/>
        </w:rPr>
        <w:t xml:space="preserve">national legislation providing for data retention regimes. It </w:t>
      </w:r>
      <w:r w:rsidR="006231EE">
        <w:rPr>
          <w:rFonts w:ascii="Open Sans" w:hAnsi="Open Sans" w:cs="Open Sans"/>
          <w:color w:val="000000"/>
          <w:szCs w:val="20"/>
          <w:lang w:eastAsia="en-US"/>
        </w:rPr>
        <w:t>ruled</w:t>
      </w:r>
      <w:r w:rsidR="006231EE" w:rsidRPr="00660A13">
        <w:rPr>
          <w:rFonts w:ascii="Open Sans" w:hAnsi="Open Sans" w:cs="Open Sans"/>
          <w:color w:val="000000"/>
          <w:szCs w:val="20"/>
          <w:lang w:eastAsia="en-US"/>
        </w:rPr>
        <w:t xml:space="preserve"> </w:t>
      </w:r>
      <w:r w:rsidR="004453D0" w:rsidRPr="00660A13">
        <w:rPr>
          <w:rFonts w:ascii="Open Sans" w:hAnsi="Open Sans" w:cs="Open Sans"/>
          <w:color w:val="000000"/>
          <w:szCs w:val="20"/>
          <w:lang w:eastAsia="en-US"/>
        </w:rPr>
        <w:t>that Member States could adopt legislation</w:t>
      </w:r>
    </w:p>
    <w:p w14:paraId="077EC9F0" w14:textId="598EF74A" w:rsidR="004453D0" w:rsidRPr="00660A13" w:rsidRDefault="004453D0" w:rsidP="00503DAC">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permitting, as a preventative measure, the targeted retention of traffic and location data, for the purpose of fighting serious crime, provided that the retention of data is limited, with respect to the categories of data to be retained, the means of communication affected, the persons concerned and the retention period adopted, to what is strictly necessary.</w:t>
      </w:r>
      <w:r w:rsidRPr="00660A13">
        <w:rPr>
          <w:rStyle w:val="EndnoteReference"/>
          <w:rFonts w:ascii="Open Sans" w:hAnsi="Open Sans" w:cs="Open Sans"/>
        </w:rPr>
        <w:endnoteReference w:id="25"/>
      </w:r>
    </w:p>
    <w:p w14:paraId="4883DC5B" w14:textId="7D701AD2" w:rsidR="00A57FE5" w:rsidRDefault="00A57FE5" w:rsidP="006717FF">
      <w:pPr>
        <w:pStyle w:val="SubmissionNormal"/>
        <w:tabs>
          <w:tab w:val="clear" w:pos="360"/>
          <w:tab w:val="num" w:pos="567"/>
        </w:tabs>
        <w:ind w:left="567" w:hanging="567"/>
        <w:rPr>
          <w:rFonts w:ascii="Open Sans" w:hAnsi="Open Sans" w:cs="Open Sans"/>
        </w:rPr>
      </w:pPr>
      <w:r>
        <w:rPr>
          <w:rFonts w:ascii="Open Sans" w:hAnsi="Open Sans" w:cs="Open Sans"/>
        </w:rPr>
        <w:t xml:space="preserve">For data retention </w:t>
      </w:r>
      <w:r w:rsidR="00D05FF6">
        <w:rPr>
          <w:rFonts w:ascii="Open Sans" w:hAnsi="Open Sans" w:cs="Open Sans"/>
        </w:rPr>
        <w:t xml:space="preserve">legislation </w:t>
      </w:r>
      <w:r>
        <w:rPr>
          <w:rFonts w:ascii="Open Sans" w:hAnsi="Open Sans" w:cs="Open Sans"/>
        </w:rPr>
        <w:t xml:space="preserve">to be proportionate, there must be </w:t>
      </w:r>
      <w:r w:rsidR="00D05FF6">
        <w:rPr>
          <w:rFonts w:ascii="Open Sans" w:hAnsi="Open Sans" w:cs="Open Sans"/>
        </w:rPr>
        <w:t>a connection—established by objective criteria—</w:t>
      </w:r>
      <w:r>
        <w:rPr>
          <w:rFonts w:ascii="Open Sans" w:hAnsi="Open Sans" w:cs="Open Sans"/>
        </w:rPr>
        <w:t xml:space="preserve">between the data retained and the objective pursued (for example, the threat to public security). This </w:t>
      </w:r>
      <w:r>
        <w:rPr>
          <w:rFonts w:ascii="Open Sans" w:hAnsi="Open Sans" w:cs="Open Sans"/>
        </w:rPr>
        <w:lastRenderedPageBreak/>
        <w:t>coul</w:t>
      </w:r>
      <w:bookmarkStart w:id="62" w:name="_GoBack"/>
      <w:bookmarkEnd w:id="62"/>
      <w:r>
        <w:rPr>
          <w:rFonts w:ascii="Open Sans" w:hAnsi="Open Sans" w:cs="Open Sans"/>
        </w:rPr>
        <w:t xml:space="preserve">d be achieved, </w:t>
      </w:r>
      <w:r w:rsidR="00D05FF6">
        <w:rPr>
          <w:rFonts w:ascii="Open Sans" w:hAnsi="Open Sans" w:cs="Open Sans"/>
        </w:rPr>
        <w:t xml:space="preserve">as suggested by the Court in the </w:t>
      </w:r>
      <w:r w:rsidR="00D05FF6" w:rsidRPr="00660A13">
        <w:rPr>
          <w:rFonts w:ascii="Open Sans" w:hAnsi="Open Sans" w:cs="Open Sans"/>
          <w:i/>
        </w:rPr>
        <w:t>Tele2 Sverige AB case</w:t>
      </w:r>
      <w:r>
        <w:rPr>
          <w:rFonts w:ascii="Open Sans" w:hAnsi="Open Sans" w:cs="Open Sans"/>
        </w:rPr>
        <w:t xml:space="preserve">, by restricting retention to </w:t>
      </w:r>
      <w:r w:rsidR="006231EE">
        <w:rPr>
          <w:rFonts w:ascii="Open Sans" w:hAnsi="Open Sans" w:cs="Open Sans"/>
        </w:rPr>
        <w:t>’</w:t>
      </w:r>
      <w:r>
        <w:rPr>
          <w:rFonts w:ascii="Open Sans" w:hAnsi="Open Sans" w:cs="Open Sans"/>
        </w:rPr>
        <w:t>(</w:t>
      </w:r>
      <w:proofErr w:type="spellStart"/>
      <w:r>
        <w:rPr>
          <w:rFonts w:ascii="Open Sans" w:hAnsi="Open Sans" w:cs="Open Sans"/>
        </w:rPr>
        <w:t>i</w:t>
      </w:r>
      <w:proofErr w:type="spellEnd"/>
      <w:r>
        <w:rPr>
          <w:rFonts w:ascii="Open Sans" w:hAnsi="Open Sans" w:cs="Open Sans"/>
        </w:rPr>
        <w:t>) dat</w:t>
      </w:r>
      <w:r w:rsidR="00D05FF6">
        <w:rPr>
          <w:rFonts w:ascii="Open Sans" w:hAnsi="Open Sans" w:cs="Open Sans"/>
        </w:rPr>
        <w:t xml:space="preserve">a </w:t>
      </w:r>
      <w:r>
        <w:rPr>
          <w:rFonts w:ascii="Open Sans" w:hAnsi="Open Sans" w:cs="Open Sans"/>
        </w:rPr>
        <w:t xml:space="preserve">pertaining to a particular time period and/or geographical area and/or group of persons likely to be involved, in one way or another, in a serious crime, or (ii) persons who could, for other reasons, </w:t>
      </w:r>
      <w:r w:rsidR="00D05FF6">
        <w:rPr>
          <w:rFonts w:ascii="Open Sans" w:hAnsi="Open Sans" w:cs="Open Sans"/>
        </w:rPr>
        <w:t>contribute, through their data being retained, to fighting crime.</w:t>
      </w:r>
      <w:r w:rsidR="006231EE">
        <w:rPr>
          <w:rFonts w:ascii="Open Sans" w:hAnsi="Open Sans" w:cs="Open Sans"/>
        </w:rPr>
        <w:t>’</w:t>
      </w:r>
      <w:r w:rsidR="00D05FF6">
        <w:rPr>
          <w:rStyle w:val="EndnoteReference"/>
          <w:rFonts w:cs="Open Sans"/>
        </w:rPr>
        <w:endnoteReference w:id="26"/>
      </w:r>
      <w:r>
        <w:rPr>
          <w:rFonts w:ascii="Open Sans" w:hAnsi="Open Sans" w:cs="Open Sans"/>
        </w:rPr>
        <w:t xml:space="preserve"> </w:t>
      </w:r>
    </w:p>
    <w:p w14:paraId="66A4A6D7" w14:textId="50C1EA7E" w:rsidR="001F50D7" w:rsidRPr="00660A13" w:rsidRDefault="00F558F9"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When considered t</w:t>
      </w:r>
      <w:r w:rsidR="00540243" w:rsidRPr="00660A13">
        <w:rPr>
          <w:rFonts w:ascii="Open Sans" w:hAnsi="Open Sans" w:cs="Open Sans"/>
        </w:rPr>
        <w:t xml:space="preserve">ogether with the </w:t>
      </w:r>
      <w:r w:rsidRPr="00660A13">
        <w:rPr>
          <w:rFonts w:ascii="Open Sans" w:hAnsi="Open Sans" w:cs="Open Sans"/>
        </w:rPr>
        <w:t xml:space="preserve">age of data </w:t>
      </w:r>
      <w:r w:rsidR="00FD59B3" w:rsidRPr="00660A13">
        <w:rPr>
          <w:rFonts w:ascii="Open Sans" w:hAnsi="Open Sans" w:cs="Open Sans"/>
        </w:rPr>
        <w:t xml:space="preserve">generally </w:t>
      </w:r>
      <w:r w:rsidRPr="00660A13">
        <w:rPr>
          <w:rFonts w:ascii="Open Sans" w:hAnsi="Open Sans" w:cs="Open Sans"/>
        </w:rPr>
        <w:t xml:space="preserve">being requested under the regime, the Commission </w:t>
      </w:r>
      <w:r w:rsidR="00BF379D" w:rsidRPr="00660A13">
        <w:rPr>
          <w:rFonts w:ascii="Open Sans" w:hAnsi="Open Sans" w:cs="Open Sans"/>
        </w:rPr>
        <w:t xml:space="preserve">recommends the adoption of </w:t>
      </w:r>
      <w:r w:rsidR="004132A6" w:rsidRPr="00660A13">
        <w:rPr>
          <w:rFonts w:ascii="Open Sans" w:hAnsi="Open Sans" w:cs="Open Sans"/>
        </w:rPr>
        <w:t>a shorter retention period or</w:t>
      </w:r>
      <w:r w:rsidR="00316DAE">
        <w:rPr>
          <w:rFonts w:ascii="Open Sans" w:hAnsi="Open Sans" w:cs="Open Sans"/>
        </w:rPr>
        <w:t>,</w:t>
      </w:r>
      <w:r w:rsidR="004132A6" w:rsidRPr="00660A13">
        <w:rPr>
          <w:rFonts w:ascii="Open Sans" w:hAnsi="Open Sans" w:cs="Open Sans"/>
        </w:rPr>
        <w:t xml:space="preserve"> alternatively, tailoring retention periods to the objective pursued or the person/s concerned.</w:t>
      </w:r>
      <w:r w:rsidR="00D54A02">
        <w:rPr>
          <w:rStyle w:val="EndnoteReference"/>
          <w:rFonts w:cs="Open Sans"/>
        </w:rPr>
        <w:endnoteReference w:id="27"/>
      </w:r>
    </w:p>
    <w:p w14:paraId="5FA29049" w14:textId="72DB39EB" w:rsidR="00A061BA" w:rsidRPr="00660A13" w:rsidRDefault="00A061BA" w:rsidP="00316F66">
      <w:pPr>
        <w:pStyle w:val="SubmissionNormal"/>
        <w:keepNext/>
        <w:numPr>
          <w:ilvl w:val="0"/>
          <w:numId w:val="0"/>
        </w:numPr>
        <w:spacing w:after="120"/>
        <w:ind w:left="567"/>
        <w:rPr>
          <w:rFonts w:ascii="Open Sans" w:hAnsi="Open Sans" w:cs="Open Sans"/>
          <w:b/>
          <w:bCs/>
        </w:rPr>
      </w:pPr>
      <w:r w:rsidRPr="00660A13">
        <w:rPr>
          <w:rFonts w:ascii="Open Sans" w:hAnsi="Open Sans" w:cs="Open Sans"/>
          <w:b/>
          <w:bCs/>
        </w:rPr>
        <w:t>Recommendation 2</w:t>
      </w:r>
    </w:p>
    <w:p w14:paraId="5D2670BD" w14:textId="3A4DB585" w:rsidR="00A061BA" w:rsidRPr="00660A13" w:rsidRDefault="00A061BA" w:rsidP="00316F66">
      <w:pPr>
        <w:pStyle w:val="SubmissionNormal"/>
        <w:numPr>
          <w:ilvl w:val="0"/>
          <w:numId w:val="0"/>
        </w:numPr>
        <w:spacing w:before="120"/>
        <w:ind w:left="567"/>
        <w:rPr>
          <w:rFonts w:ascii="Open Sans" w:hAnsi="Open Sans" w:cs="Open Sans"/>
        </w:rPr>
      </w:pPr>
      <w:r w:rsidRPr="00660A13">
        <w:rPr>
          <w:rFonts w:ascii="Open Sans" w:hAnsi="Open Sans" w:cs="Open Sans"/>
        </w:rPr>
        <w:t xml:space="preserve">The Commission recommends that the </w:t>
      </w:r>
      <w:r w:rsidR="00316DAE">
        <w:rPr>
          <w:rFonts w:ascii="Open Sans" w:hAnsi="Open Sans" w:cs="Open Sans"/>
        </w:rPr>
        <w:t>two-</w:t>
      </w:r>
      <w:r w:rsidR="00907897" w:rsidRPr="00660A13">
        <w:rPr>
          <w:rFonts w:ascii="Open Sans" w:hAnsi="Open Sans" w:cs="Open Sans"/>
        </w:rPr>
        <w:t xml:space="preserve">year </w:t>
      </w:r>
      <w:r w:rsidRPr="00660A13">
        <w:rPr>
          <w:rFonts w:ascii="Open Sans" w:hAnsi="Open Sans" w:cs="Open Sans"/>
        </w:rPr>
        <w:t xml:space="preserve">retention period </w:t>
      </w:r>
      <w:r w:rsidR="00907897" w:rsidRPr="00660A13">
        <w:rPr>
          <w:rFonts w:ascii="Open Sans" w:hAnsi="Open Sans" w:cs="Open Sans"/>
        </w:rPr>
        <w:t xml:space="preserve">for communications data </w:t>
      </w:r>
      <w:r w:rsidRPr="00660A13">
        <w:rPr>
          <w:rFonts w:ascii="Open Sans" w:hAnsi="Open Sans" w:cs="Open Sans"/>
        </w:rPr>
        <w:t>be significantly reduced or</w:t>
      </w:r>
      <w:r w:rsidR="00907897" w:rsidRPr="00660A13">
        <w:rPr>
          <w:rFonts w:ascii="Open Sans" w:hAnsi="Open Sans" w:cs="Open Sans"/>
        </w:rPr>
        <w:t>,</w:t>
      </w:r>
      <w:r w:rsidRPr="00660A13">
        <w:rPr>
          <w:rFonts w:ascii="Open Sans" w:hAnsi="Open Sans" w:cs="Open Sans"/>
        </w:rPr>
        <w:t xml:space="preserve"> alternatively, tailored retention periods be adopted.</w:t>
      </w:r>
    </w:p>
    <w:p w14:paraId="00E35106" w14:textId="0DFBBA1C" w:rsidR="00FC23A6" w:rsidRPr="00660A13" w:rsidRDefault="00FC23A6" w:rsidP="002D582A">
      <w:pPr>
        <w:pStyle w:val="Heading1"/>
        <w:numPr>
          <w:ilvl w:val="1"/>
          <w:numId w:val="16"/>
        </w:numPr>
        <w:tabs>
          <w:tab w:val="clear" w:pos="851"/>
        </w:tabs>
        <w:rPr>
          <w:rFonts w:ascii="Open Sans" w:hAnsi="Open Sans" w:cs="Open Sans"/>
          <w:i/>
          <w:iCs/>
        </w:rPr>
      </w:pPr>
      <w:bookmarkStart w:id="63" w:name="_Toc12886518"/>
      <w:r w:rsidRPr="00660A13">
        <w:rPr>
          <w:rFonts w:ascii="Open Sans" w:hAnsi="Open Sans" w:cs="Open Sans"/>
          <w:i/>
          <w:iCs/>
        </w:rPr>
        <w:t xml:space="preserve">Access to </w:t>
      </w:r>
      <w:r w:rsidR="00D00573" w:rsidRPr="00660A13">
        <w:rPr>
          <w:rFonts w:ascii="Open Sans" w:hAnsi="Open Sans" w:cs="Open Sans"/>
          <w:i/>
          <w:iCs/>
        </w:rPr>
        <w:t>retained communications data</w:t>
      </w:r>
      <w:bookmarkEnd w:id="63"/>
    </w:p>
    <w:p w14:paraId="2BA7F772" w14:textId="460A1C8C" w:rsidR="00E04E14" w:rsidRPr="00660A13" w:rsidRDefault="00BA7687"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Access to telecommunications data is regulated by Chapter 4 of the TIA Act. </w:t>
      </w:r>
      <w:r w:rsidR="00E04E14" w:rsidRPr="00660A13">
        <w:rPr>
          <w:rFonts w:ascii="Open Sans" w:hAnsi="Open Sans" w:cs="Open Sans"/>
        </w:rPr>
        <w:t>Under the regime, enforcement agencies may access historical communications data in circumstances where it is considered reasonably necessary for</w:t>
      </w:r>
      <w:r w:rsidR="006D0AAA" w:rsidRPr="00660A13">
        <w:rPr>
          <w:rFonts w:ascii="Open Sans" w:hAnsi="Open Sans" w:cs="Open Sans"/>
        </w:rPr>
        <w:t>:</w:t>
      </w:r>
    </w:p>
    <w:p w14:paraId="65CCA6F5" w14:textId="13D91CCE" w:rsidR="00E04E14" w:rsidRPr="00660A13" w:rsidRDefault="006D0AAA"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E04E14" w:rsidRPr="00660A13">
        <w:rPr>
          <w:rFonts w:ascii="Open Sans" w:hAnsi="Open Sans" w:cs="Open Sans"/>
        </w:rPr>
        <w:t>he enforcement of criminal law;</w:t>
      </w:r>
      <w:r w:rsidR="00E04E14" w:rsidRPr="00660A13">
        <w:rPr>
          <w:rStyle w:val="EndnoteReference"/>
          <w:rFonts w:ascii="Open Sans" w:hAnsi="Open Sans" w:cs="Open Sans"/>
        </w:rPr>
        <w:endnoteReference w:id="28"/>
      </w:r>
    </w:p>
    <w:p w14:paraId="7BB0DA5B" w14:textId="26A4D0A5" w:rsidR="00540243" w:rsidRPr="00660A13" w:rsidRDefault="00540243"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locating missing persons;</w:t>
      </w:r>
      <w:r w:rsidRPr="00660A13">
        <w:rPr>
          <w:rStyle w:val="EndnoteReference"/>
          <w:rFonts w:ascii="Open Sans" w:hAnsi="Open Sans" w:cs="Open Sans"/>
        </w:rPr>
        <w:endnoteReference w:id="29"/>
      </w:r>
    </w:p>
    <w:p w14:paraId="772DE279" w14:textId="77777777" w:rsidR="00E04E14" w:rsidRPr="00660A13" w:rsidRDefault="006D0AAA"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E04E14" w:rsidRPr="00660A13">
        <w:rPr>
          <w:rFonts w:ascii="Open Sans" w:hAnsi="Open Sans" w:cs="Open Sans"/>
        </w:rPr>
        <w:t>he enforcement of a law imposing a pecuniary penalty;</w:t>
      </w:r>
      <w:r w:rsidR="00E04E14" w:rsidRPr="00660A13">
        <w:rPr>
          <w:rStyle w:val="EndnoteReference"/>
          <w:rFonts w:ascii="Open Sans" w:hAnsi="Open Sans" w:cs="Open Sans"/>
        </w:rPr>
        <w:endnoteReference w:id="30"/>
      </w:r>
      <w:r w:rsidR="00E04E14" w:rsidRPr="00660A13">
        <w:rPr>
          <w:rFonts w:ascii="Open Sans" w:hAnsi="Open Sans" w:cs="Open Sans"/>
        </w:rPr>
        <w:t xml:space="preserve"> or</w:t>
      </w:r>
    </w:p>
    <w:p w14:paraId="36563FD5" w14:textId="77777777" w:rsidR="00E04E14" w:rsidRPr="00660A13" w:rsidRDefault="006D0AAA"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t</w:t>
      </w:r>
      <w:r w:rsidR="00E04E14" w:rsidRPr="00660A13">
        <w:rPr>
          <w:rFonts w:ascii="Open Sans" w:hAnsi="Open Sans" w:cs="Open Sans"/>
        </w:rPr>
        <w:t>he protection of public revenue.</w:t>
      </w:r>
      <w:r w:rsidR="00E04E14" w:rsidRPr="00660A13">
        <w:rPr>
          <w:rStyle w:val="EndnoteReference"/>
          <w:rFonts w:ascii="Open Sans" w:hAnsi="Open Sans" w:cs="Open Sans"/>
        </w:rPr>
        <w:endnoteReference w:id="31"/>
      </w:r>
    </w:p>
    <w:p w14:paraId="750552B4" w14:textId="03781F50" w:rsidR="00056484" w:rsidRPr="00660A13" w:rsidRDefault="00056484"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Access to prospective communications data, however, may only be authorised by a criminal law-enforcement agency when it is considered reasonably necessary for the investigation of </w:t>
      </w:r>
      <w:r w:rsidR="00BF379D" w:rsidRPr="00660A13">
        <w:rPr>
          <w:rFonts w:ascii="Open Sans" w:hAnsi="Open Sans" w:cs="Open Sans"/>
        </w:rPr>
        <w:t xml:space="preserve">a ‘serious offence’ or </w:t>
      </w:r>
      <w:r w:rsidRPr="00660A13">
        <w:rPr>
          <w:rFonts w:ascii="Open Sans" w:hAnsi="Open Sans" w:cs="Open Sans"/>
        </w:rPr>
        <w:t>an offence with a maximum prison term of at least three years.</w:t>
      </w:r>
      <w:r w:rsidR="00131AD4" w:rsidRPr="00660A13">
        <w:rPr>
          <w:rStyle w:val="EndnoteReference"/>
          <w:rFonts w:ascii="Open Sans" w:hAnsi="Open Sans" w:cs="Open Sans"/>
        </w:rPr>
        <w:endnoteReference w:id="32"/>
      </w:r>
      <w:r w:rsidRPr="00660A13">
        <w:rPr>
          <w:rFonts w:ascii="Open Sans" w:hAnsi="Open Sans" w:cs="Open Sans"/>
        </w:rPr>
        <w:t xml:space="preserve"> </w:t>
      </w:r>
    </w:p>
    <w:p w14:paraId="3255E7B3" w14:textId="0549A9F5" w:rsidR="002B3C69" w:rsidRPr="00660A13" w:rsidRDefault="00DF1B9B"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An earlier inquiry of the PJCIS into national security legislation recommended that the threshold for access to telecommunications data be reviewed, with a focus on reducing the number of agencies able to access telecommunications data by using the gravity of conduct </w:t>
      </w:r>
      <w:r w:rsidR="00316DAE">
        <w:rPr>
          <w:rFonts w:ascii="Open Sans" w:hAnsi="Open Sans" w:cs="Open Sans"/>
        </w:rPr>
        <w:t>that</w:t>
      </w:r>
      <w:r w:rsidR="00316DAE" w:rsidRPr="00660A13">
        <w:rPr>
          <w:rFonts w:ascii="Open Sans" w:hAnsi="Open Sans" w:cs="Open Sans"/>
        </w:rPr>
        <w:t xml:space="preserve"> </w:t>
      </w:r>
      <w:r w:rsidRPr="00660A13">
        <w:rPr>
          <w:rFonts w:ascii="Open Sans" w:hAnsi="Open Sans" w:cs="Open Sans"/>
        </w:rPr>
        <w:t>may be investigated using telecommunications data as the threshold on which access is allowed.</w:t>
      </w:r>
      <w:r w:rsidRPr="00660A13">
        <w:rPr>
          <w:rStyle w:val="EndnoteReference"/>
          <w:rFonts w:ascii="Open Sans" w:hAnsi="Open Sans" w:cs="Open Sans"/>
        </w:rPr>
        <w:endnoteReference w:id="33"/>
      </w:r>
    </w:p>
    <w:p w14:paraId="5F5CD464" w14:textId="083E521C" w:rsidR="00AD73E9" w:rsidRPr="00660A13" w:rsidRDefault="00AD73E9" w:rsidP="00104E02">
      <w:pPr>
        <w:pStyle w:val="SubmissionNormal"/>
        <w:tabs>
          <w:tab w:val="clear" w:pos="360"/>
          <w:tab w:val="num" w:pos="567"/>
        </w:tabs>
        <w:ind w:left="567" w:hanging="567"/>
        <w:rPr>
          <w:rFonts w:ascii="Open Sans" w:hAnsi="Open Sans" w:cs="Open Sans"/>
        </w:rPr>
      </w:pPr>
      <w:proofErr w:type="gramStart"/>
      <w:r w:rsidRPr="00660A13">
        <w:rPr>
          <w:rFonts w:ascii="Open Sans" w:hAnsi="Open Sans" w:cs="Open Sans"/>
        </w:rPr>
        <w:lastRenderedPageBreak/>
        <w:t>A number of</w:t>
      </w:r>
      <w:proofErr w:type="gramEnd"/>
      <w:r w:rsidRPr="00660A13">
        <w:rPr>
          <w:rFonts w:ascii="Open Sans" w:hAnsi="Open Sans" w:cs="Open Sans"/>
        </w:rPr>
        <w:t xml:space="preserve"> recommendations of the PJCIS in its inquiry into the Bill were directed at more clearly identifying the agencies able to access </w:t>
      </w:r>
      <w:r w:rsidR="00366295" w:rsidRPr="00660A13">
        <w:rPr>
          <w:rFonts w:ascii="Open Sans" w:hAnsi="Open Sans" w:cs="Open Sans"/>
        </w:rPr>
        <w:t xml:space="preserve">telecommunications data. Among other things, s 176A of the TIA Act was amended to </w:t>
      </w:r>
      <w:r w:rsidR="00D828BE" w:rsidRPr="00660A13">
        <w:rPr>
          <w:rFonts w:ascii="Open Sans" w:hAnsi="Open Sans" w:cs="Open Sans"/>
        </w:rPr>
        <w:t xml:space="preserve">specify that enforcement agencies authorised to access </w:t>
      </w:r>
      <w:r w:rsidR="000A2C25" w:rsidRPr="00660A13">
        <w:rPr>
          <w:rFonts w:ascii="Open Sans" w:hAnsi="Open Sans" w:cs="Open Sans"/>
        </w:rPr>
        <w:t xml:space="preserve">retained </w:t>
      </w:r>
      <w:r w:rsidR="00D828BE" w:rsidRPr="00660A13">
        <w:rPr>
          <w:rFonts w:ascii="Open Sans" w:hAnsi="Open Sans" w:cs="Open Sans"/>
        </w:rPr>
        <w:t>telecommunications data be limited to criminal law-enforcement agencies listed in s 110A and other authorities or bodies subject to a declaration by the Minister under s 176A(3).</w:t>
      </w:r>
    </w:p>
    <w:p w14:paraId="38C8F4B1" w14:textId="7C51C530" w:rsidR="00025675" w:rsidRPr="00660A13" w:rsidRDefault="00AD73E9"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A separate but related issue is whether there should also be a limitation on access to telecommunications data based on the </w:t>
      </w:r>
      <w:r w:rsidR="00D828BE" w:rsidRPr="00660A13">
        <w:rPr>
          <w:rFonts w:ascii="Open Sans" w:hAnsi="Open Sans" w:cs="Open Sans"/>
        </w:rPr>
        <w:t xml:space="preserve">gravity of the conduct being investigated. For example, the Commission recommended that </w:t>
      </w:r>
      <w:r w:rsidR="00694DBD" w:rsidRPr="00660A13">
        <w:rPr>
          <w:rFonts w:ascii="Open Sans" w:hAnsi="Open Sans" w:cs="Open Sans"/>
        </w:rPr>
        <w:t>access to telecommunications data should only be permitted for the investigation of defined, sufficiently serious crimes.</w:t>
      </w:r>
      <w:r w:rsidR="00D828BE" w:rsidRPr="00660A13">
        <w:rPr>
          <w:rStyle w:val="EndnoteReference"/>
          <w:rFonts w:ascii="Open Sans" w:hAnsi="Open Sans" w:cs="Open Sans"/>
        </w:rPr>
        <w:endnoteReference w:id="34"/>
      </w:r>
      <w:r w:rsidR="009F2667" w:rsidRPr="00660A13">
        <w:rPr>
          <w:rFonts w:ascii="Open Sans" w:hAnsi="Open Sans" w:cs="Open Sans"/>
        </w:rPr>
        <w:t xml:space="preserve"> </w:t>
      </w:r>
      <w:r w:rsidR="00025675" w:rsidRPr="00660A13">
        <w:rPr>
          <w:rFonts w:ascii="Open Sans" w:hAnsi="Open Sans" w:cs="Open Sans"/>
        </w:rPr>
        <w:t xml:space="preserve">This recommendation was based on the judgment in the </w:t>
      </w:r>
      <w:r w:rsidR="00025675" w:rsidRPr="00660A13">
        <w:rPr>
          <w:rFonts w:ascii="Open Sans" w:hAnsi="Open Sans" w:cs="Open Sans"/>
          <w:i/>
          <w:iCs/>
        </w:rPr>
        <w:t xml:space="preserve">Digital Rights Ireland </w:t>
      </w:r>
      <w:r w:rsidR="00025675" w:rsidRPr="00DE75C3">
        <w:rPr>
          <w:rFonts w:ascii="Open Sans" w:hAnsi="Open Sans" w:cs="Open Sans"/>
        </w:rPr>
        <w:t>case</w:t>
      </w:r>
      <w:r w:rsidR="00025675" w:rsidRPr="00660A13">
        <w:rPr>
          <w:rFonts w:ascii="Open Sans" w:hAnsi="Open Sans" w:cs="Open Sans"/>
        </w:rPr>
        <w:t xml:space="preserve">. The </w:t>
      </w:r>
      <w:r w:rsidR="00E873F3">
        <w:rPr>
          <w:rFonts w:ascii="Open Sans" w:hAnsi="Open Sans" w:cs="Open Sans"/>
        </w:rPr>
        <w:t>CJEU</w:t>
      </w:r>
      <w:r w:rsidR="00025675" w:rsidRPr="00660A13">
        <w:rPr>
          <w:rFonts w:ascii="Open Sans" w:hAnsi="Open Sans" w:cs="Open Sans"/>
        </w:rPr>
        <w:t xml:space="preserve"> found that the EU Data Retention Directive was not a proportionate interference with the right to privacy. One of the reasons for this was a failure to limit access to data to purposes that were proportionate to the interference with the privacy.</w:t>
      </w:r>
      <w:r w:rsidR="00E66F8D" w:rsidRPr="00660A13">
        <w:rPr>
          <w:rStyle w:val="EndnoteReference"/>
          <w:rFonts w:ascii="Open Sans" w:hAnsi="Open Sans" w:cs="Open Sans"/>
        </w:rPr>
        <w:endnoteReference w:id="35"/>
      </w:r>
      <w:r w:rsidR="00025675" w:rsidRPr="00660A13">
        <w:rPr>
          <w:rFonts w:ascii="Open Sans" w:hAnsi="Open Sans" w:cs="Open Sans"/>
        </w:rPr>
        <w:t xml:space="preserve"> The Court said</w:t>
      </w:r>
      <w:r w:rsidR="00D32DCF" w:rsidRPr="00660A13">
        <w:rPr>
          <w:rFonts w:ascii="Open Sans" w:hAnsi="Open Sans" w:cs="Open Sans"/>
        </w:rPr>
        <w:t xml:space="preserve"> that the Directive</w:t>
      </w:r>
      <w:r w:rsidR="00025675" w:rsidRPr="00660A13">
        <w:rPr>
          <w:rFonts w:ascii="Open Sans" w:hAnsi="Open Sans" w:cs="Open Sans"/>
        </w:rPr>
        <w:t xml:space="preserve"> </w:t>
      </w:r>
    </w:p>
    <w:p w14:paraId="4B4AF323" w14:textId="7303CB39" w:rsidR="00104E02" w:rsidRPr="00660A13" w:rsidRDefault="00D32DCF" w:rsidP="00503DAC">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fails to lay down any objective criterion by which to determine the limits of the access of the competent national authorities to the data and their subsequent use for the purposes of prevention, detection or criminal prosecutions concerning offences that, in view of the extent and seriousness of the interference with the fundamental rights … may be considered to be sufficiently serious to justify such an interference</w:t>
      </w:r>
      <w:r w:rsidR="00025675" w:rsidRPr="00660A13">
        <w:rPr>
          <w:rFonts w:ascii="Open Sans" w:hAnsi="Open Sans" w:cs="Open Sans"/>
          <w:sz w:val="22"/>
          <w:szCs w:val="22"/>
        </w:rPr>
        <w:t>.</w:t>
      </w:r>
      <w:r w:rsidRPr="00660A13">
        <w:rPr>
          <w:rFonts w:ascii="Open Sans" w:hAnsi="Open Sans" w:cs="Open Sans"/>
          <w:sz w:val="22"/>
          <w:szCs w:val="22"/>
        </w:rPr>
        <w:t xml:space="preserve"> On the contrary, Directive 2006/24 simply refers, in Article 1(1), in a general manner to serious crime, as defined by each Member State in its national law.</w:t>
      </w:r>
      <w:r w:rsidRPr="00660A13">
        <w:rPr>
          <w:rStyle w:val="EndnoteReference"/>
          <w:rFonts w:ascii="Open Sans" w:hAnsi="Open Sans" w:cs="Open Sans"/>
        </w:rPr>
        <w:endnoteReference w:id="36"/>
      </w:r>
    </w:p>
    <w:p w14:paraId="7882302C" w14:textId="0E0D1E81" w:rsidR="00D41B67" w:rsidRPr="00660A13" w:rsidRDefault="00F8109E" w:rsidP="00660A13">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In the PJCIS inquiry into the Bill, the Attorney-General’s Department submitted that </w:t>
      </w:r>
      <w:r w:rsidR="00142322" w:rsidRPr="00660A13">
        <w:rPr>
          <w:rFonts w:ascii="Open Sans" w:hAnsi="Open Sans" w:cs="Open Sans"/>
        </w:rPr>
        <w:t>a</w:t>
      </w:r>
      <w:r w:rsidR="00DE0F6E" w:rsidRPr="00660A13">
        <w:rPr>
          <w:rFonts w:ascii="Open Sans" w:hAnsi="Open Sans" w:cs="Open Sans"/>
        </w:rPr>
        <w:t xml:space="preserve">n </w:t>
      </w:r>
      <w:r w:rsidRPr="00660A13">
        <w:rPr>
          <w:rFonts w:ascii="Open Sans" w:hAnsi="Open Sans" w:cs="Open Sans"/>
        </w:rPr>
        <w:t xml:space="preserve">access </w:t>
      </w:r>
      <w:r w:rsidR="00142322" w:rsidRPr="00660A13">
        <w:rPr>
          <w:rFonts w:ascii="Open Sans" w:hAnsi="Open Sans" w:cs="Open Sans"/>
        </w:rPr>
        <w:t>threshol</w:t>
      </w:r>
      <w:r w:rsidR="00DE0F6E" w:rsidRPr="00660A13">
        <w:rPr>
          <w:rFonts w:ascii="Open Sans" w:hAnsi="Open Sans" w:cs="Open Sans"/>
        </w:rPr>
        <w:t>d</w:t>
      </w:r>
      <w:r w:rsidRPr="00660A13">
        <w:rPr>
          <w:rFonts w:ascii="Open Sans" w:hAnsi="Open Sans" w:cs="Open Sans"/>
        </w:rPr>
        <w:t xml:space="preserve"> </w:t>
      </w:r>
      <w:r w:rsidR="00DE0F6E" w:rsidRPr="00660A13">
        <w:rPr>
          <w:rFonts w:ascii="Open Sans" w:hAnsi="Open Sans" w:cs="Open Sans"/>
        </w:rPr>
        <w:t xml:space="preserve">based on gravity of the conduct </w:t>
      </w:r>
      <w:r w:rsidRPr="00660A13">
        <w:rPr>
          <w:rFonts w:ascii="Open Sans" w:hAnsi="Open Sans" w:cs="Open Sans"/>
        </w:rPr>
        <w:t xml:space="preserve">would be a contravention of the </w:t>
      </w:r>
      <w:r w:rsidRPr="004D1799">
        <w:rPr>
          <w:rFonts w:ascii="Open Sans" w:hAnsi="Open Sans" w:cs="Open Sans"/>
        </w:rPr>
        <w:t>Council of Europe Convention on Cybercrime</w:t>
      </w:r>
      <w:r w:rsidRPr="00660A13">
        <w:rPr>
          <w:rFonts w:ascii="Open Sans" w:hAnsi="Open Sans" w:cs="Open Sans"/>
        </w:rPr>
        <w:t xml:space="preserve"> ratified by Australia in 2012. The </w:t>
      </w:r>
      <w:r w:rsidR="00D41B67" w:rsidRPr="00660A13">
        <w:rPr>
          <w:rFonts w:ascii="Open Sans" w:hAnsi="Open Sans" w:cs="Open Sans"/>
        </w:rPr>
        <w:t xml:space="preserve">Department </w:t>
      </w:r>
      <w:r w:rsidRPr="00660A13">
        <w:rPr>
          <w:rFonts w:ascii="Open Sans" w:hAnsi="Open Sans" w:cs="Open Sans"/>
        </w:rPr>
        <w:t>stated</w:t>
      </w:r>
      <w:r w:rsidR="00D41B67" w:rsidRPr="00660A13">
        <w:rPr>
          <w:rFonts w:ascii="Open Sans" w:hAnsi="Open Sans" w:cs="Open Sans"/>
        </w:rPr>
        <w:t>:</w:t>
      </w:r>
    </w:p>
    <w:p w14:paraId="357F0950" w14:textId="77777777" w:rsidR="00D41B67" w:rsidRPr="00660A13" w:rsidRDefault="00D41B67" w:rsidP="00D41B67">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As a party to the Council of Europe Convention on Cybercrime, Australia has international obligations to make access to telecommunications data available for the investigation of all criminal offences.  Article 14(2) of the Cybercrime Convention requires parties to ensure that telecommunications data is available for the investigation of any criminal offence, not just serious offences. Accordingly, amendments that reduce the number of agencies that have access to telecommunications data based on the gravity of the conduct in question would contravene Australia’s obligations under the Convention.</w:t>
      </w:r>
      <w:r w:rsidRPr="00660A13">
        <w:rPr>
          <w:rStyle w:val="EndnoteReference"/>
          <w:rFonts w:ascii="Open Sans" w:hAnsi="Open Sans" w:cs="Open Sans"/>
          <w:szCs w:val="22"/>
        </w:rPr>
        <w:endnoteReference w:id="37"/>
      </w:r>
      <w:r w:rsidRPr="00660A13">
        <w:rPr>
          <w:rFonts w:ascii="Open Sans" w:hAnsi="Open Sans" w:cs="Open Sans"/>
          <w:sz w:val="22"/>
          <w:szCs w:val="22"/>
        </w:rPr>
        <w:t xml:space="preserve">  </w:t>
      </w:r>
    </w:p>
    <w:p w14:paraId="0001242C" w14:textId="01D4F993" w:rsidR="00142322" w:rsidRPr="00660A13" w:rsidRDefault="00142322" w:rsidP="00E734E7">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w:t>
      </w:r>
      <w:r w:rsidR="00D52048" w:rsidRPr="00660A13">
        <w:rPr>
          <w:rFonts w:ascii="Open Sans" w:hAnsi="Open Sans" w:cs="Open Sans"/>
        </w:rPr>
        <w:t>PJCIS</w:t>
      </w:r>
      <w:r w:rsidRPr="00660A13">
        <w:rPr>
          <w:rFonts w:ascii="Open Sans" w:hAnsi="Open Sans" w:cs="Open Sans"/>
        </w:rPr>
        <w:t xml:space="preserve"> referred to the </w:t>
      </w:r>
      <w:r w:rsidR="00D52048" w:rsidRPr="00660A13">
        <w:rPr>
          <w:rFonts w:ascii="Open Sans" w:hAnsi="Open Sans" w:cs="Open Sans"/>
        </w:rPr>
        <w:t>A</w:t>
      </w:r>
      <w:r w:rsidR="00474840" w:rsidRPr="00660A13">
        <w:rPr>
          <w:rFonts w:ascii="Open Sans" w:hAnsi="Open Sans" w:cs="Open Sans"/>
        </w:rPr>
        <w:t>ttorney-</w:t>
      </w:r>
      <w:r w:rsidR="00D52048" w:rsidRPr="00660A13">
        <w:rPr>
          <w:rFonts w:ascii="Open Sans" w:hAnsi="Open Sans" w:cs="Open Sans"/>
        </w:rPr>
        <w:t>G</w:t>
      </w:r>
      <w:r w:rsidR="00474840" w:rsidRPr="00660A13">
        <w:rPr>
          <w:rFonts w:ascii="Open Sans" w:hAnsi="Open Sans" w:cs="Open Sans"/>
        </w:rPr>
        <w:t xml:space="preserve">eneral’s </w:t>
      </w:r>
      <w:r w:rsidR="00DE0F6E" w:rsidRPr="00660A13">
        <w:rPr>
          <w:rFonts w:ascii="Open Sans" w:hAnsi="Open Sans" w:cs="Open Sans"/>
        </w:rPr>
        <w:t xml:space="preserve">Department’s </w:t>
      </w:r>
      <w:r w:rsidRPr="00660A13">
        <w:rPr>
          <w:rFonts w:ascii="Open Sans" w:hAnsi="Open Sans" w:cs="Open Sans"/>
        </w:rPr>
        <w:t>submission in its report, a</w:t>
      </w:r>
      <w:r w:rsidR="00DE0F6E" w:rsidRPr="00660A13">
        <w:rPr>
          <w:rFonts w:ascii="Open Sans" w:hAnsi="Open Sans" w:cs="Open Sans"/>
        </w:rPr>
        <w:t xml:space="preserve">s well as </w:t>
      </w:r>
      <w:r w:rsidRPr="00660A13">
        <w:rPr>
          <w:rFonts w:ascii="Open Sans" w:hAnsi="Open Sans" w:cs="Open Sans"/>
        </w:rPr>
        <w:t xml:space="preserve">to the fact that the </w:t>
      </w:r>
      <w:r w:rsidR="004A59F4">
        <w:rPr>
          <w:rFonts w:ascii="Open Sans" w:hAnsi="Open Sans" w:cs="Open Sans"/>
        </w:rPr>
        <w:t xml:space="preserve">then </w:t>
      </w:r>
      <w:r w:rsidRPr="00660A13">
        <w:rPr>
          <w:rFonts w:ascii="Open Sans" w:hAnsi="Open Sans" w:cs="Open Sans"/>
        </w:rPr>
        <w:t xml:space="preserve">Australian Privacy Commissioner </w:t>
      </w:r>
      <w:r w:rsidRPr="00660A13">
        <w:rPr>
          <w:rFonts w:ascii="Open Sans" w:hAnsi="Open Sans" w:cs="Open Sans"/>
        </w:rPr>
        <w:lastRenderedPageBreak/>
        <w:t xml:space="preserve">subsequently revised his initial </w:t>
      </w:r>
      <w:r w:rsidR="00DE0F6E" w:rsidRPr="00660A13">
        <w:rPr>
          <w:rFonts w:ascii="Open Sans" w:hAnsi="Open Sans" w:cs="Open Sans"/>
        </w:rPr>
        <w:t>position (limiting the use and disclosure of telecommunications</w:t>
      </w:r>
      <w:r w:rsidRPr="00660A13">
        <w:rPr>
          <w:rFonts w:ascii="Open Sans" w:hAnsi="Open Sans" w:cs="Open Sans"/>
        </w:rPr>
        <w:t xml:space="preserve"> data </w:t>
      </w:r>
      <w:r w:rsidR="00DE0F6E" w:rsidRPr="00660A13">
        <w:rPr>
          <w:rFonts w:ascii="Open Sans" w:hAnsi="Open Sans" w:cs="Open Sans"/>
        </w:rPr>
        <w:t>to</w:t>
      </w:r>
      <w:r w:rsidRPr="00660A13">
        <w:rPr>
          <w:rFonts w:ascii="Open Sans" w:hAnsi="Open Sans" w:cs="Open Sans"/>
        </w:rPr>
        <w:t xml:space="preserve"> the investigation of serious crimes and national security threats</w:t>
      </w:r>
      <w:r w:rsidR="00DE0F6E" w:rsidRPr="00660A13">
        <w:rPr>
          <w:rFonts w:ascii="Open Sans" w:hAnsi="Open Sans" w:cs="Open Sans"/>
        </w:rPr>
        <w:t>)</w:t>
      </w:r>
      <w:r w:rsidRPr="00660A13">
        <w:rPr>
          <w:rFonts w:ascii="Open Sans" w:hAnsi="Open Sans" w:cs="Open Sans"/>
        </w:rPr>
        <w:t>, having noted the Department’s advice.</w:t>
      </w:r>
      <w:r w:rsidR="00DE0F6E" w:rsidRPr="00660A13">
        <w:rPr>
          <w:rStyle w:val="EndnoteReference"/>
          <w:rFonts w:ascii="Open Sans" w:hAnsi="Open Sans" w:cs="Open Sans"/>
        </w:rPr>
        <w:endnoteReference w:id="38"/>
      </w:r>
      <w:r w:rsidRPr="00660A13">
        <w:rPr>
          <w:rFonts w:ascii="Open Sans" w:hAnsi="Open Sans" w:cs="Open Sans"/>
        </w:rPr>
        <w:t xml:space="preserve"> Th</w:t>
      </w:r>
      <w:r w:rsidR="00DE0F6E" w:rsidRPr="00660A13">
        <w:rPr>
          <w:rFonts w:ascii="Open Sans" w:hAnsi="Open Sans" w:cs="Open Sans"/>
        </w:rPr>
        <w:t>e Department’s</w:t>
      </w:r>
      <w:r w:rsidRPr="00660A13">
        <w:rPr>
          <w:rFonts w:ascii="Open Sans" w:hAnsi="Open Sans" w:cs="Open Sans"/>
        </w:rPr>
        <w:t xml:space="preserve"> submission appears to have been a significant factor in the </w:t>
      </w:r>
      <w:r w:rsidR="00D52048" w:rsidRPr="00660A13">
        <w:rPr>
          <w:rFonts w:ascii="Open Sans" w:hAnsi="Open Sans" w:cs="Open Sans"/>
        </w:rPr>
        <w:t>PJCIS</w:t>
      </w:r>
      <w:r w:rsidRPr="00660A13">
        <w:rPr>
          <w:rFonts w:ascii="Open Sans" w:hAnsi="Open Sans" w:cs="Open Sans"/>
        </w:rPr>
        <w:t xml:space="preserve">’s recommendation </w:t>
      </w:r>
      <w:r w:rsidR="00891B0C" w:rsidRPr="00660A13">
        <w:rPr>
          <w:rFonts w:ascii="Open Sans" w:hAnsi="Open Sans" w:cs="Open Sans"/>
        </w:rPr>
        <w:t>that s 180F of the TIA Act require authorised officers to consider the gravity of the conduct before making an authorisation,</w:t>
      </w:r>
      <w:r w:rsidR="00DE0F6E" w:rsidRPr="00660A13">
        <w:rPr>
          <w:rStyle w:val="EndnoteReference"/>
          <w:rFonts w:ascii="Open Sans" w:hAnsi="Open Sans" w:cs="Open Sans"/>
        </w:rPr>
        <w:endnoteReference w:id="39"/>
      </w:r>
      <w:r w:rsidR="00891B0C" w:rsidRPr="00660A13">
        <w:rPr>
          <w:rFonts w:ascii="Open Sans" w:hAnsi="Open Sans" w:cs="Open Sans"/>
        </w:rPr>
        <w:t xml:space="preserve"> rather than introducing an access threshold.</w:t>
      </w:r>
      <w:r w:rsidRPr="00660A13">
        <w:rPr>
          <w:rFonts w:ascii="Open Sans" w:hAnsi="Open Sans" w:cs="Open Sans"/>
        </w:rPr>
        <w:t xml:space="preserve"> </w:t>
      </w:r>
    </w:p>
    <w:p w14:paraId="5E0B5C50" w14:textId="1FC01CD6" w:rsidR="00860CB1" w:rsidRPr="00660A13" w:rsidRDefault="00891B0C" w:rsidP="00E734E7">
      <w:pPr>
        <w:pStyle w:val="SubmissionNormal"/>
        <w:tabs>
          <w:tab w:val="clear" w:pos="360"/>
          <w:tab w:val="num" w:pos="567"/>
        </w:tabs>
        <w:ind w:left="567" w:hanging="567"/>
        <w:rPr>
          <w:rFonts w:ascii="Open Sans" w:hAnsi="Open Sans" w:cs="Open Sans"/>
        </w:rPr>
      </w:pPr>
      <w:r w:rsidRPr="00660A13">
        <w:rPr>
          <w:rFonts w:ascii="Open Sans" w:hAnsi="Open Sans" w:cs="Open Sans"/>
        </w:rPr>
        <w:t>Having reviewed the</w:t>
      </w:r>
      <w:r w:rsidR="00D41B67" w:rsidRPr="00660A13">
        <w:rPr>
          <w:rFonts w:ascii="Open Sans" w:hAnsi="Open Sans" w:cs="Open Sans"/>
        </w:rPr>
        <w:t xml:space="preserve"> Cybercrime Convention, </w:t>
      </w:r>
      <w:r w:rsidR="00F9112F" w:rsidRPr="00660A13">
        <w:rPr>
          <w:rFonts w:ascii="Open Sans" w:hAnsi="Open Sans" w:cs="Open Sans"/>
        </w:rPr>
        <w:t>and Australia’s reservation</w:t>
      </w:r>
      <w:r w:rsidR="00660A13" w:rsidRPr="00660A13">
        <w:rPr>
          <w:rFonts w:ascii="Open Sans" w:hAnsi="Open Sans" w:cs="Open Sans"/>
        </w:rPr>
        <w:t>s</w:t>
      </w:r>
      <w:r w:rsidR="00F9112F" w:rsidRPr="00660A13">
        <w:rPr>
          <w:rFonts w:ascii="Open Sans" w:hAnsi="Open Sans" w:cs="Open Sans"/>
        </w:rPr>
        <w:t xml:space="preserve"> to that Convention, </w:t>
      </w:r>
      <w:r w:rsidRPr="00660A13">
        <w:rPr>
          <w:rFonts w:ascii="Open Sans" w:hAnsi="Open Sans" w:cs="Open Sans"/>
        </w:rPr>
        <w:t xml:space="preserve">the Commission is of the view that the obligations imposed on Australia are not as broad as </w:t>
      </w:r>
      <w:r w:rsidR="00131C32" w:rsidRPr="00660A13">
        <w:rPr>
          <w:rFonts w:ascii="Open Sans" w:hAnsi="Open Sans" w:cs="Open Sans"/>
        </w:rPr>
        <w:t xml:space="preserve">the Attorney-General’s Department suggested. </w:t>
      </w:r>
      <w:r w:rsidR="00C67E76" w:rsidRPr="00660A13">
        <w:rPr>
          <w:rFonts w:ascii="Open Sans" w:hAnsi="Open Sans" w:cs="Open Sans"/>
        </w:rPr>
        <w:t xml:space="preserve">The Convention aims to facilitate investigations between States in order to combat cybercrime. </w:t>
      </w:r>
      <w:r w:rsidR="00D52048" w:rsidRPr="00660A13">
        <w:rPr>
          <w:rFonts w:ascii="Open Sans" w:hAnsi="Open Sans" w:cs="Open Sans"/>
        </w:rPr>
        <w:t xml:space="preserve">The </w:t>
      </w:r>
      <w:r w:rsidR="00D91D27">
        <w:rPr>
          <w:rFonts w:ascii="Open Sans" w:hAnsi="Open Sans" w:cs="Open Sans"/>
        </w:rPr>
        <w:t>a</w:t>
      </w:r>
      <w:r w:rsidR="00D52048" w:rsidRPr="00660A13">
        <w:rPr>
          <w:rFonts w:ascii="Open Sans" w:hAnsi="Open Sans" w:cs="Open Sans"/>
        </w:rPr>
        <w:t xml:space="preserve">rticle 14 obligation referred to by the </w:t>
      </w:r>
      <w:r w:rsidR="00474840" w:rsidRPr="00660A13">
        <w:rPr>
          <w:rFonts w:ascii="Open Sans" w:hAnsi="Open Sans" w:cs="Open Sans"/>
        </w:rPr>
        <w:t>Department</w:t>
      </w:r>
      <w:r w:rsidR="0027129E" w:rsidRPr="00660A13">
        <w:rPr>
          <w:rFonts w:ascii="Open Sans" w:hAnsi="Open Sans" w:cs="Open Sans"/>
        </w:rPr>
        <w:t xml:space="preserve"> requires State Parties to implement certain ‘powers and </w:t>
      </w:r>
      <w:proofErr w:type="gramStart"/>
      <w:r w:rsidR="0027129E" w:rsidRPr="00660A13">
        <w:rPr>
          <w:rFonts w:ascii="Open Sans" w:hAnsi="Open Sans" w:cs="Open Sans"/>
        </w:rPr>
        <w:t>procedures’</w:t>
      </w:r>
      <w:proofErr w:type="gramEnd"/>
      <w:r w:rsidR="0027129E" w:rsidRPr="00660A13">
        <w:rPr>
          <w:rFonts w:ascii="Open Sans" w:hAnsi="Open Sans" w:cs="Open Sans"/>
        </w:rPr>
        <w:t xml:space="preserve">. </w:t>
      </w:r>
      <w:r w:rsidR="00131C32" w:rsidRPr="00660A13">
        <w:rPr>
          <w:rFonts w:ascii="Open Sans" w:hAnsi="Open Sans" w:cs="Open Sans"/>
        </w:rPr>
        <w:t xml:space="preserve">The powers and procedures that must be adopted by State Parties </w:t>
      </w:r>
      <w:r w:rsidR="00C67E76" w:rsidRPr="00660A13">
        <w:rPr>
          <w:rFonts w:ascii="Open Sans" w:hAnsi="Open Sans" w:cs="Open Sans"/>
        </w:rPr>
        <w:t xml:space="preserve">under the Convention </w:t>
      </w:r>
      <w:r w:rsidR="007A2EFA" w:rsidRPr="00660A13">
        <w:rPr>
          <w:rFonts w:ascii="Open Sans" w:hAnsi="Open Sans" w:cs="Open Sans"/>
        </w:rPr>
        <w:t xml:space="preserve">relate </w:t>
      </w:r>
      <w:proofErr w:type="gramStart"/>
      <w:r w:rsidR="007A2EFA" w:rsidRPr="00660A13">
        <w:rPr>
          <w:rFonts w:ascii="Open Sans" w:hAnsi="Open Sans" w:cs="Open Sans"/>
        </w:rPr>
        <w:t>to</w:t>
      </w:r>
      <w:r w:rsidR="00C67E76" w:rsidRPr="00660A13">
        <w:rPr>
          <w:rFonts w:ascii="Open Sans" w:hAnsi="Open Sans" w:cs="Open Sans"/>
        </w:rPr>
        <w:t>:</w:t>
      </w:r>
      <w:proofErr w:type="gramEnd"/>
      <w:r w:rsidR="00131C32" w:rsidRPr="00660A13">
        <w:rPr>
          <w:rFonts w:ascii="Open Sans" w:hAnsi="Open Sans" w:cs="Open Sans"/>
        </w:rPr>
        <w:t xml:space="preserve"> the </w:t>
      </w:r>
      <w:r w:rsidR="00131C32" w:rsidRPr="00660A13">
        <w:rPr>
          <w:rFonts w:ascii="Open Sans" w:hAnsi="Open Sans" w:cs="Open Sans"/>
          <w:i/>
          <w:iCs/>
        </w:rPr>
        <w:t>real-time</w:t>
      </w:r>
      <w:r w:rsidR="00131C32" w:rsidRPr="00660A13">
        <w:rPr>
          <w:rFonts w:ascii="Open Sans" w:hAnsi="Open Sans" w:cs="Open Sans"/>
        </w:rPr>
        <w:t xml:space="preserve"> collection of traffic data (</w:t>
      </w:r>
      <w:r w:rsidR="00D91D27">
        <w:rPr>
          <w:rFonts w:ascii="Open Sans" w:hAnsi="Open Sans" w:cs="Open Sans"/>
        </w:rPr>
        <w:t>a</w:t>
      </w:r>
      <w:r w:rsidR="00131C32" w:rsidRPr="00660A13">
        <w:rPr>
          <w:rFonts w:ascii="Open Sans" w:hAnsi="Open Sans" w:cs="Open Sans"/>
        </w:rPr>
        <w:t>rticle 20), and the interception of content data (</w:t>
      </w:r>
      <w:r w:rsidR="00D91D27">
        <w:rPr>
          <w:rFonts w:ascii="Open Sans" w:hAnsi="Open Sans" w:cs="Open Sans"/>
        </w:rPr>
        <w:t>a</w:t>
      </w:r>
      <w:r w:rsidR="00131C32" w:rsidRPr="00660A13">
        <w:rPr>
          <w:rFonts w:ascii="Open Sans" w:hAnsi="Open Sans" w:cs="Open Sans"/>
        </w:rPr>
        <w:t>rticle 21)</w:t>
      </w:r>
      <w:r w:rsidR="00C67E76" w:rsidRPr="00660A13">
        <w:rPr>
          <w:rFonts w:ascii="Open Sans" w:hAnsi="Open Sans" w:cs="Open Sans"/>
        </w:rPr>
        <w:t xml:space="preserve">. </w:t>
      </w:r>
      <w:proofErr w:type="gramStart"/>
      <w:r w:rsidR="00860CB1" w:rsidRPr="00660A13">
        <w:rPr>
          <w:rFonts w:ascii="Open Sans" w:hAnsi="Open Sans" w:cs="Open Sans"/>
        </w:rPr>
        <w:t>Both of these</w:t>
      </w:r>
      <w:proofErr w:type="gramEnd"/>
      <w:r w:rsidR="00860CB1" w:rsidRPr="00660A13">
        <w:rPr>
          <w:rFonts w:ascii="Open Sans" w:hAnsi="Open Sans" w:cs="Open Sans"/>
        </w:rPr>
        <w:t xml:space="preserve"> powers and procedures relate to active criminal investigations.</w:t>
      </w:r>
      <w:r w:rsidR="00860CB1" w:rsidRPr="00660A13">
        <w:rPr>
          <w:rStyle w:val="EndnoteReference"/>
          <w:rFonts w:ascii="Open Sans" w:hAnsi="Open Sans" w:cs="Open Sans"/>
        </w:rPr>
        <w:endnoteReference w:id="40"/>
      </w:r>
      <w:r w:rsidR="00860CB1" w:rsidRPr="00660A13">
        <w:rPr>
          <w:rFonts w:ascii="Open Sans" w:hAnsi="Open Sans" w:cs="Open Sans"/>
        </w:rPr>
        <w:t xml:space="preserve"> </w:t>
      </w:r>
      <w:r w:rsidR="007A2EFA" w:rsidRPr="00660A13">
        <w:rPr>
          <w:rFonts w:ascii="Open Sans" w:hAnsi="Open Sans" w:cs="Open Sans"/>
        </w:rPr>
        <w:t xml:space="preserve">This is </w:t>
      </w:r>
      <w:r w:rsidR="00860CB1" w:rsidRPr="00660A13">
        <w:rPr>
          <w:rFonts w:ascii="Open Sans" w:hAnsi="Open Sans" w:cs="Open Sans"/>
        </w:rPr>
        <w:t xml:space="preserve">very </w:t>
      </w:r>
      <w:r w:rsidR="007A2EFA" w:rsidRPr="00660A13">
        <w:rPr>
          <w:rFonts w:ascii="Open Sans" w:hAnsi="Open Sans" w:cs="Open Sans"/>
        </w:rPr>
        <w:t>different from what is required under the mandatory data retention regime</w:t>
      </w:r>
      <w:r w:rsidR="0027129E" w:rsidRPr="00660A13">
        <w:rPr>
          <w:rFonts w:ascii="Open Sans" w:hAnsi="Open Sans" w:cs="Open Sans"/>
        </w:rPr>
        <w:t xml:space="preserve"> in the TIA Act which deals with retention of </w:t>
      </w:r>
      <w:r w:rsidR="0027129E" w:rsidRPr="004D1799">
        <w:rPr>
          <w:rFonts w:ascii="Open Sans" w:hAnsi="Open Sans" w:cs="Open Sans"/>
          <w:i/>
          <w:iCs/>
        </w:rPr>
        <w:t>historical</w:t>
      </w:r>
      <w:r w:rsidR="0027129E" w:rsidRPr="00660A13">
        <w:rPr>
          <w:rFonts w:ascii="Open Sans" w:hAnsi="Open Sans" w:cs="Open Sans"/>
        </w:rPr>
        <w:t xml:space="preserve"> communications data</w:t>
      </w:r>
      <w:r w:rsidR="00860CB1" w:rsidRPr="00660A13">
        <w:rPr>
          <w:rFonts w:ascii="Open Sans" w:hAnsi="Open Sans" w:cs="Open Sans"/>
        </w:rPr>
        <w:t xml:space="preserve"> regardless of whether or not any crime is being investigated</w:t>
      </w:r>
      <w:r w:rsidR="007A2EFA" w:rsidRPr="00660A13">
        <w:rPr>
          <w:rFonts w:ascii="Open Sans" w:hAnsi="Open Sans" w:cs="Open Sans"/>
        </w:rPr>
        <w:t xml:space="preserve">. </w:t>
      </w:r>
      <w:r w:rsidR="00BB0A34">
        <w:rPr>
          <w:rFonts w:ascii="Open Sans" w:hAnsi="Open Sans" w:cs="Open Sans"/>
        </w:rPr>
        <w:t>Article 16 of t</w:t>
      </w:r>
      <w:r w:rsidR="00860CB1" w:rsidRPr="00660A13">
        <w:rPr>
          <w:rFonts w:ascii="Open Sans" w:hAnsi="Open Sans" w:cs="Open Sans"/>
        </w:rPr>
        <w:t xml:space="preserve">he Cybercrime Convention does require State Parties to make provision for </w:t>
      </w:r>
      <w:r w:rsidR="00BB0A34">
        <w:rPr>
          <w:rFonts w:ascii="Open Sans" w:hAnsi="Open Sans" w:cs="Open Sans"/>
        </w:rPr>
        <w:t xml:space="preserve">orders requiring </w:t>
      </w:r>
      <w:r w:rsidR="00860CB1" w:rsidRPr="00660A13">
        <w:rPr>
          <w:rFonts w:ascii="Open Sans" w:hAnsi="Open Sans" w:cs="Open Sans"/>
        </w:rPr>
        <w:t>the preservation of stored computer data, but only on a case</w:t>
      </w:r>
      <w:r w:rsidR="00C54E49">
        <w:rPr>
          <w:rFonts w:ascii="Open Sans" w:hAnsi="Open Sans" w:cs="Open Sans"/>
        </w:rPr>
        <w:t>-</w:t>
      </w:r>
      <w:r w:rsidR="00860CB1" w:rsidRPr="00660A13">
        <w:rPr>
          <w:rFonts w:ascii="Open Sans" w:hAnsi="Open Sans" w:cs="Open Sans"/>
        </w:rPr>
        <w:t>by</w:t>
      </w:r>
      <w:r w:rsidR="00C54E49">
        <w:rPr>
          <w:rFonts w:ascii="Open Sans" w:hAnsi="Open Sans" w:cs="Open Sans"/>
        </w:rPr>
        <w:t>-</w:t>
      </w:r>
      <w:r w:rsidR="00860CB1" w:rsidRPr="00660A13">
        <w:rPr>
          <w:rFonts w:ascii="Open Sans" w:hAnsi="Open Sans" w:cs="Open Sans"/>
        </w:rPr>
        <w:t>case basis and for a period of up to 90 days per request.</w:t>
      </w:r>
    </w:p>
    <w:p w14:paraId="75B57704" w14:textId="4829AB38" w:rsidR="00660A13" w:rsidRPr="00660A13" w:rsidRDefault="00660A13" w:rsidP="00660A13">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Further, the terms of the Convention and Australia’s reservations make it clear that Australia’s obligations under </w:t>
      </w:r>
      <w:r w:rsidR="00D91D27">
        <w:rPr>
          <w:rFonts w:ascii="Open Sans" w:hAnsi="Open Sans" w:cs="Open Sans"/>
        </w:rPr>
        <w:t>a</w:t>
      </w:r>
      <w:r w:rsidRPr="00660A13">
        <w:rPr>
          <w:rFonts w:ascii="Open Sans" w:hAnsi="Open Sans" w:cs="Open Sans"/>
        </w:rPr>
        <w:t>rticle 14 apply only to serious offences.</w:t>
      </w:r>
    </w:p>
    <w:p w14:paraId="0871DB1E" w14:textId="70B68822" w:rsidR="00660A13" w:rsidRPr="00660A13" w:rsidRDefault="00660A13" w:rsidP="00660A13">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Article 21 requires States Parties to empower authorities to intercept content data only in relation to a range of serious offences to be determined by domestic law. Article 14(3)(a) permits States to make a reservation limiting the application of the </w:t>
      </w:r>
      <w:r w:rsidR="00D91D27">
        <w:rPr>
          <w:rFonts w:ascii="Open Sans" w:hAnsi="Open Sans" w:cs="Open Sans"/>
        </w:rPr>
        <w:t>a</w:t>
      </w:r>
      <w:r w:rsidRPr="00660A13">
        <w:rPr>
          <w:rFonts w:ascii="Open Sans" w:hAnsi="Open Sans" w:cs="Open Sans"/>
        </w:rPr>
        <w:t xml:space="preserve">rticle 20 requirement for real-time collection of traffic data to the same range of serious offences. Australia has made a reservation in accordance with </w:t>
      </w:r>
      <w:r w:rsidR="00D91D27">
        <w:rPr>
          <w:rFonts w:ascii="Open Sans" w:hAnsi="Open Sans" w:cs="Open Sans"/>
        </w:rPr>
        <w:t>a</w:t>
      </w:r>
      <w:r w:rsidRPr="00660A13">
        <w:rPr>
          <w:rFonts w:ascii="Open Sans" w:hAnsi="Open Sans" w:cs="Open Sans"/>
        </w:rPr>
        <w:t>rticle 14(3)(a) in the following form:</w:t>
      </w:r>
    </w:p>
    <w:p w14:paraId="12EFCCEB" w14:textId="77777777" w:rsidR="00660A13" w:rsidRPr="00660A13" w:rsidRDefault="00660A13" w:rsidP="00DB444F">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In accordance with Article 42 and Article 14, paragraph 3.a, of the Convention, Australia reserves the right to apply the measures referred to in Article 20 (Real time collection of traffic data) only to offences that are punishable by imprisonment for at least 3 years and any other ‘serious offences’ as defined under domestic law governing the collection and </w:t>
      </w:r>
      <w:r w:rsidRPr="00660A13">
        <w:rPr>
          <w:rFonts w:ascii="Open Sans" w:hAnsi="Open Sans" w:cs="Open Sans"/>
          <w:sz w:val="22"/>
          <w:szCs w:val="22"/>
        </w:rPr>
        <w:lastRenderedPageBreak/>
        <w:t xml:space="preserve">recording of traffic data in real time and the interception of content data. Under Australian law, domestic agencies may only gain access to traffic data collected and recorded in real time in relation to offences that are punishable by imprisonment for at least 3 years and other ‘serious </w:t>
      </w:r>
      <w:proofErr w:type="gramStart"/>
      <w:r w:rsidRPr="00660A13">
        <w:rPr>
          <w:rFonts w:ascii="Open Sans" w:hAnsi="Open Sans" w:cs="Open Sans"/>
          <w:sz w:val="22"/>
          <w:szCs w:val="22"/>
        </w:rPr>
        <w:t>offences’</w:t>
      </w:r>
      <w:proofErr w:type="gramEnd"/>
      <w:r w:rsidRPr="00660A13">
        <w:rPr>
          <w:rFonts w:ascii="Open Sans" w:hAnsi="Open Sans" w:cs="Open Sans"/>
          <w:sz w:val="22"/>
          <w:szCs w:val="22"/>
        </w:rPr>
        <w:t xml:space="preserve">. Domestic agencies may only gain access to intercepted content data in relation to ‘serious </w:t>
      </w:r>
      <w:proofErr w:type="gramStart"/>
      <w:r w:rsidRPr="00660A13">
        <w:rPr>
          <w:rFonts w:ascii="Open Sans" w:hAnsi="Open Sans" w:cs="Open Sans"/>
          <w:sz w:val="22"/>
          <w:szCs w:val="22"/>
        </w:rPr>
        <w:t>offences’</w:t>
      </w:r>
      <w:proofErr w:type="gramEnd"/>
      <w:r w:rsidRPr="00660A13">
        <w:rPr>
          <w:rFonts w:ascii="Open Sans" w:hAnsi="Open Sans" w:cs="Open Sans"/>
          <w:sz w:val="22"/>
          <w:szCs w:val="22"/>
        </w:rPr>
        <w:t>.</w:t>
      </w:r>
      <w:r w:rsidRPr="00660A13">
        <w:rPr>
          <w:rStyle w:val="EndnoteReference"/>
          <w:rFonts w:ascii="Open Sans" w:hAnsi="Open Sans" w:cs="Open Sans"/>
          <w:szCs w:val="22"/>
        </w:rPr>
        <w:endnoteReference w:id="41"/>
      </w:r>
    </w:p>
    <w:p w14:paraId="41831B21" w14:textId="5767072E" w:rsidR="00C67E76" w:rsidRPr="00660A13" w:rsidRDefault="007A2EFA" w:rsidP="00E734E7">
      <w:pPr>
        <w:pStyle w:val="SubmissionNormal"/>
        <w:tabs>
          <w:tab w:val="clear" w:pos="360"/>
          <w:tab w:val="num" w:pos="567"/>
        </w:tabs>
        <w:ind w:left="567" w:hanging="567"/>
        <w:rPr>
          <w:rFonts w:ascii="Open Sans" w:hAnsi="Open Sans" w:cs="Open Sans"/>
        </w:rPr>
      </w:pPr>
      <w:r w:rsidRPr="00660A13">
        <w:rPr>
          <w:rFonts w:ascii="Open Sans" w:hAnsi="Open Sans" w:cs="Open Sans"/>
        </w:rPr>
        <w:t>Amending the TIA Act to lim</w:t>
      </w:r>
      <w:r w:rsidR="00C67E76" w:rsidRPr="00660A13">
        <w:rPr>
          <w:rFonts w:ascii="Open Sans" w:hAnsi="Open Sans" w:cs="Open Sans"/>
        </w:rPr>
        <w:t xml:space="preserve">it access to historical </w:t>
      </w:r>
      <w:r w:rsidR="0027129E" w:rsidRPr="00660A13">
        <w:rPr>
          <w:rFonts w:ascii="Open Sans" w:hAnsi="Open Sans" w:cs="Open Sans"/>
        </w:rPr>
        <w:t xml:space="preserve">communications data </w:t>
      </w:r>
      <w:r w:rsidRPr="00660A13">
        <w:rPr>
          <w:rFonts w:ascii="Open Sans" w:hAnsi="Open Sans" w:cs="Open Sans"/>
        </w:rPr>
        <w:t>f</w:t>
      </w:r>
      <w:r w:rsidR="00C67E76" w:rsidRPr="00660A13">
        <w:rPr>
          <w:rFonts w:ascii="Open Sans" w:hAnsi="Open Sans" w:cs="Open Sans"/>
        </w:rPr>
        <w:t>o</w:t>
      </w:r>
      <w:r w:rsidRPr="00660A13">
        <w:rPr>
          <w:rFonts w:ascii="Open Sans" w:hAnsi="Open Sans" w:cs="Open Sans"/>
        </w:rPr>
        <w:t>r</w:t>
      </w:r>
      <w:r w:rsidR="00C67E76" w:rsidRPr="00660A13">
        <w:rPr>
          <w:rFonts w:ascii="Open Sans" w:hAnsi="Open Sans" w:cs="Open Sans"/>
        </w:rPr>
        <w:t xml:space="preserve"> the investigation of </w:t>
      </w:r>
      <w:r w:rsidR="00C67E76" w:rsidRPr="00660A13">
        <w:rPr>
          <w:rFonts w:ascii="Open Sans" w:hAnsi="Open Sans" w:cs="Open Sans"/>
          <w:bCs/>
        </w:rPr>
        <w:t>defined, sufficiently serious crimes</w:t>
      </w:r>
      <w:r w:rsidR="006D559A">
        <w:rPr>
          <w:rFonts w:ascii="Open Sans" w:hAnsi="Open Sans" w:cs="Open Sans"/>
          <w:bCs/>
        </w:rPr>
        <w:t>,</w:t>
      </w:r>
      <w:r w:rsidR="00C67E76" w:rsidRPr="00660A13">
        <w:rPr>
          <w:rFonts w:ascii="Open Sans" w:hAnsi="Open Sans" w:cs="Open Sans"/>
        </w:rPr>
        <w:t xml:space="preserve"> would not </w:t>
      </w:r>
      <w:r w:rsidRPr="00660A13">
        <w:rPr>
          <w:rFonts w:ascii="Open Sans" w:hAnsi="Open Sans" w:cs="Open Sans"/>
        </w:rPr>
        <w:t>therefore appear to be a contravention of Australia’s</w:t>
      </w:r>
      <w:r w:rsidR="00C67E76" w:rsidRPr="00660A13">
        <w:rPr>
          <w:rFonts w:ascii="Open Sans" w:hAnsi="Open Sans" w:cs="Open Sans"/>
        </w:rPr>
        <w:t xml:space="preserve"> international obligations under </w:t>
      </w:r>
      <w:r w:rsidR="00D91D27">
        <w:rPr>
          <w:rFonts w:ascii="Open Sans" w:hAnsi="Open Sans" w:cs="Open Sans"/>
        </w:rPr>
        <w:t>a</w:t>
      </w:r>
      <w:r w:rsidR="0027129E" w:rsidRPr="00660A13">
        <w:rPr>
          <w:rFonts w:ascii="Open Sans" w:hAnsi="Open Sans" w:cs="Open Sans"/>
        </w:rPr>
        <w:t xml:space="preserve">rticle 14 of </w:t>
      </w:r>
      <w:r w:rsidR="00C67E76" w:rsidRPr="00660A13">
        <w:rPr>
          <w:rFonts w:ascii="Open Sans" w:hAnsi="Open Sans" w:cs="Open Sans"/>
        </w:rPr>
        <w:t>the Convention.</w:t>
      </w:r>
    </w:p>
    <w:p w14:paraId="76F19FB1" w14:textId="3B8705FF" w:rsidR="00104E02" w:rsidRPr="00660A13" w:rsidRDefault="003F6DD3" w:rsidP="00104E02">
      <w:pPr>
        <w:pStyle w:val="SubmissionNormal"/>
        <w:tabs>
          <w:tab w:val="clear" w:pos="360"/>
          <w:tab w:val="num" w:pos="567"/>
        </w:tabs>
        <w:ind w:left="567" w:hanging="567"/>
        <w:rPr>
          <w:rFonts w:ascii="Open Sans" w:hAnsi="Open Sans" w:cs="Open Sans"/>
        </w:rPr>
      </w:pPr>
      <w:r w:rsidRPr="00660A13">
        <w:rPr>
          <w:rFonts w:ascii="Open Sans" w:hAnsi="Open Sans" w:cs="Open Sans"/>
        </w:rPr>
        <w:t>In response to recommendation 25 of the PJCIS, s 180F of the TIA Act was amended to require that</w:t>
      </w:r>
      <w:r w:rsidR="006D559A">
        <w:rPr>
          <w:rFonts w:ascii="Open Sans" w:hAnsi="Open Sans" w:cs="Open Sans"/>
        </w:rPr>
        <w:t>,</w:t>
      </w:r>
      <w:r w:rsidRPr="00660A13">
        <w:rPr>
          <w:rFonts w:ascii="Open Sans" w:hAnsi="Open Sans" w:cs="Open Sans"/>
        </w:rPr>
        <w:t xml:space="preserve"> before authorising the disclosure or use of information or documents under Division 4 or 4A, the authorised officer must be satisfied on reasonable grounds that any interference with privacy is justifiable and proportionate having regard to a number of matters. These matters include the gravity of the conduct</w:t>
      </w:r>
      <w:r w:rsidR="009F2667" w:rsidRPr="00660A13">
        <w:rPr>
          <w:rFonts w:ascii="Open Sans" w:hAnsi="Open Sans" w:cs="Open Sans"/>
        </w:rPr>
        <w:t>, the likely relevance and usefulness of the information or documents, and the reason why disclosure or use concerned is proposed to be authorised.</w:t>
      </w:r>
    </w:p>
    <w:p w14:paraId="0E1D4093" w14:textId="3E102C53" w:rsidR="009F2667" w:rsidRPr="00660A13" w:rsidRDefault="009F2667" w:rsidP="00104E02">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Commission retains concerns about the scope of the regime. While s 180F properly requires a range of relevant matters to be </w:t>
      </w:r>
      <w:proofErr w:type="gramStart"/>
      <w:r w:rsidRPr="00660A13">
        <w:rPr>
          <w:rFonts w:ascii="Open Sans" w:hAnsi="Open Sans" w:cs="Open Sans"/>
        </w:rPr>
        <w:t>taken into account</w:t>
      </w:r>
      <w:proofErr w:type="gramEnd"/>
      <w:r w:rsidRPr="00660A13">
        <w:rPr>
          <w:rFonts w:ascii="Open Sans" w:hAnsi="Open Sans" w:cs="Open Sans"/>
        </w:rPr>
        <w:t>, it still permits telecommunications data to be accessed for a range of minor offences.</w:t>
      </w:r>
      <w:r w:rsidR="00D32DCF" w:rsidRPr="00660A13">
        <w:rPr>
          <w:rFonts w:ascii="Open Sans" w:hAnsi="Open Sans" w:cs="Open Sans"/>
        </w:rPr>
        <w:t xml:space="preserve"> A more human rights compliant regime would also </w:t>
      </w:r>
      <w:r w:rsidR="008B3FA7" w:rsidRPr="00660A13">
        <w:rPr>
          <w:rFonts w:ascii="Open Sans" w:hAnsi="Open Sans" w:cs="Open Sans"/>
        </w:rPr>
        <w:t xml:space="preserve">include thresholds based on the objective seriousness of the </w:t>
      </w:r>
      <w:proofErr w:type="gramStart"/>
      <w:r w:rsidR="008B3FA7" w:rsidRPr="00660A13">
        <w:rPr>
          <w:rFonts w:ascii="Open Sans" w:hAnsi="Open Sans" w:cs="Open Sans"/>
        </w:rPr>
        <w:t>particular offences</w:t>
      </w:r>
      <w:proofErr w:type="gramEnd"/>
      <w:r w:rsidR="008B3FA7" w:rsidRPr="00660A13">
        <w:rPr>
          <w:rFonts w:ascii="Open Sans" w:hAnsi="Open Sans" w:cs="Open Sans"/>
        </w:rPr>
        <w:t xml:space="preserve"> being investigated, so that reliance is not placed solely on the opinion of the officer from the enforcement agency responsible for authorising access.</w:t>
      </w:r>
    </w:p>
    <w:p w14:paraId="5C256695" w14:textId="4BB01257" w:rsidR="00FC5D43" w:rsidRPr="00660A13" w:rsidRDefault="00694DBD"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The operation of the data retention regime to date shows that telecommunications data has been accessed by</w:t>
      </w:r>
      <w:r w:rsidR="00AB7A7A">
        <w:rPr>
          <w:rFonts w:ascii="Open Sans" w:hAnsi="Open Sans" w:cs="Open Sans"/>
        </w:rPr>
        <w:t xml:space="preserve"> law</w:t>
      </w:r>
      <w:r w:rsidR="006D559A">
        <w:rPr>
          <w:rFonts w:ascii="Open Sans" w:hAnsi="Open Sans" w:cs="Open Sans"/>
        </w:rPr>
        <w:t>-</w:t>
      </w:r>
      <w:r w:rsidRPr="00660A13">
        <w:rPr>
          <w:rFonts w:ascii="Open Sans" w:hAnsi="Open Sans" w:cs="Open Sans"/>
        </w:rPr>
        <w:t xml:space="preserve">enforcement agencies for a range of investigations that could not be regarded as the investigation of serious offences. </w:t>
      </w:r>
      <w:r w:rsidR="00AD3DFD" w:rsidRPr="00660A13">
        <w:rPr>
          <w:rFonts w:ascii="Open Sans" w:hAnsi="Open Sans" w:cs="Open Sans"/>
        </w:rPr>
        <w:t xml:space="preserve">Annual reports on the operation of the TIA Act prepared by the Attorney-General’s Department for </w:t>
      </w:r>
      <w:r w:rsidR="00FC5D43" w:rsidRPr="00660A13">
        <w:rPr>
          <w:rFonts w:ascii="Open Sans" w:hAnsi="Open Sans" w:cs="Open Sans"/>
        </w:rPr>
        <w:t>2015</w:t>
      </w:r>
      <w:r w:rsidR="006D559A">
        <w:rPr>
          <w:rFonts w:ascii="Open Sans" w:hAnsi="Open Sans" w:cs="Open Sans"/>
        </w:rPr>
        <w:t>–</w:t>
      </w:r>
      <w:r w:rsidR="00FC5D43" w:rsidRPr="00660A13">
        <w:rPr>
          <w:rFonts w:ascii="Open Sans" w:hAnsi="Open Sans" w:cs="Open Sans"/>
        </w:rPr>
        <w:t>2016 and 2016</w:t>
      </w:r>
      <w:r w:rsidR="006D559A">
        <w:rPr>
          <w:rFonts w:ascii="Open Sans" w:hAnsi="Open Sans" w:cs="Open Sans"/>
        </w:rPr>
        <w:t>–</w:t>
      </w:r>
      <w:r w:rsidR="00FC5D43" w:rsidRPr="00660A13">
        <w:rPr>
          <w:rFonts w:ascii="Open Sans" w:hAnsi="Open Sans" w:cs="Open Sans"/>
        </w:rPr>
        <w:t xml:space="preserve">2017 </w:t>
      </w:r>
      <w:r w:rsidR="00DC29CF" w:rsidRPr="00660A13">
        <w:rPr>
          <w:rFonts w:ascii="Open Sans" w:hAnsi="Open Sans" w:cs="Open Sans"/>
        </w:rPr>
        <w:t xml:space="preserve">show </w:t>
      </w:r>
      <w:r w:rsidR="00FC5D43" w:rsidRPr="00660A13">
        <w:rPr>
          <w:rFonts w:ascii="Open Sans" w:hAnsi="Open Sans" w:cs="Open Sans"/>
        </w:rPr>
        <w:t>that:</w:t>
      </w:r>
    </w:p>
    <w:p w14:paraId="37E8ADEB" w14:textId="391A3C60" w:rsidR="00FC5D43" w:rsidRPr="00660A13" w:rsidRDefault="00DC29CF"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 xml:space="preserve">thousands of </w:t>
      </w:r>
      <w:r w:rsidR="00782A5F" w:rsidRPr="00660A13">
        <w:rPr>
          <w:rFonts w:ascii="Open Sans" w:hAnsi="Open Sans" w:cs="Open Sans"/>
        </w:rPr>
        <w:t xml:space="preserve">authorisations </w:t>
      </w:r>
      <w:r w:rsidR="0009771A" w:rsidRPr="00660A13">
        <w:rPr>
          <w:rFonts w:ascii="Open Sans" w:hAnsi="Open Sans" w:cs="Open Sans"/>
        </w:rPr>
        <w:t xml:space="preserve">have been </w:t>
      </w:r>
      <w:r w:rsidR="00782A5F" w:rsidRPr="00660A13">
        <w:rPr>
          <w:rFonts w:ascii="Open Sans" w:hAnsi="Open Sans" w:cs="Open Sans"/>
        </w:rPr>
        <w:t>made for the purposes of enforcing pecuniary penalties or protecting public revenue</w:t>
      </w:r>
      <w:r w:rsidRPr="00660A13">
        <w:rPr>
          <w:rFonts w:ascii="Open Sans" w:hAnsi="Open Sans" w:cs="Open Sans"/>
        </w:rPr>
        <w:t>: in 2015/16 1,700 authorisations were made for these purposes, and in 2016/17 this increased to 2,600</w:t>
      </w:r>
      <w:r w:rsidR="00782A5F" w:rsidRPr="00660A13">
        <w:rPr>
          <w:rFonts w:ascii="Open Sans" w:hAnsi="Open Sans" w:cs="Open Sans"/>
        </w:rPr>
        <w:t>; and</w:t>
      </w:r>
    </w:p>
    <w:p w14:paraId="4A43C0D0" w14:textId="3CBC7A42" w:rsidR="00782A5F" w:rsidRPr="00660A13" w:rsidRDefault="00782A5F" w:rsidP="002D582A">
      <w:pPr>
        <w:pStyle w:val="SubmissionNormal"/>
        <w:numPr>
          <w:ilvl w:val="1"/>
          <w:numId w:val="15"/>
        </w:numPr>
        <w:tabs>
          <w:tab w:val="clear" w:pos="1440"/>
          <w:tab w:val="num" w:pos="1560"/>
        </w:tabs>
        <w:ind w:left="1560" w:hanging="426"/>
        <w:rPr>
          <w:rFonts w:ascii="Open Sans" w:hAnsi="Open Sans" w:cs="Open Sans"/>
        </w:rPr>
      </w:pPr>
      <w:r w:rsidRPr="00660A13">
        <w:rPr>
          <w:rFonts w:ascii="Open Sans" w:hAnsi="Open Sans" w:cs="Open Sans"/>
        </w:rPr>
        <w:t xml:space="preserve">almost 15% of authorisations made to enforce the criminal law were for offences variously categorised as: Acts </w:t>
      </w:r>
      <w:r w:rsidR="006D559A">
        <w:rPr>
          <w:rFonts w:ascii="Open Sans" w:hAnsi="Open Sans" w:cs="Open Sans"/>
        </w:rPr>
        <w:t>—</w:t>
      </w:r>
      <w:r w:rsidR="006D559A" w:rsidRPr="00660A13">
        <w:rPr>
          <w:rFonts w:ascii="Open Sans" w:hAnsi="Open Sans" w:cs="Open Sans"/>
        </w:rPr>
        <w:t xml:space="preserve"> </w:t>
      </w:r>
      <w:r w:rsidRPr="00660A13">
        <w:rPr>
          <w:rFonts w:ascii="Open Sans" w:hAnsi="Open Sans" w:cs="Open Sans"/>
        </w:rPr>
        <w:t xml:space="preserve">injury, </w:t>
      </w:r>
      <w:r w:rsidRPr="00660A13">
        <w:rPr>
          <w:rFonts w:ascii="Open Sans" w:hAnsi="Open Sans" w:cs="Open Sans"/>
        </w:rPr>
        <w:lastRenderedPageBreak/>
        <w:t>Miscellaneous, Justice procedures, Pecuniary penalty, Public revenue, Property damage, Public order offences and Traffic.</w:t>
      </w:r>
      <w:r w:rsidR="0075711D" w:rsidRPr="00660A13">
        <w:rPr>
          <w:rStyle w:val="EndnoteReference"/>
          <w:rFonts w:ascii="Open Sans" w:hAnsi="Open Sans" w:cs="Open Sans"/>
        </w:rPr>
        <w:endnoteReference w:id="42"/>
      </w:r>
      <w:r w:rsidRPr="00660A13">
        <w:rPr>
          <w:rFonts w:ascii="Open Sans" w:hAnsi="Open Sans" w:cs="Open Sans"/>
        </w:rPr>
        <w:t xml:space="preserve"> </w:t>
      </w:r>
    </w:p>
    <w:p w14:paraId="65592453" w14:textId="37C6DA74" w:rsidR="00E04212" w:rsidRPr="00660A13" w:rsidRDefault="009C532A"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Since the PJCIS inquiry into the Bill, subsequent case law in Europe has reinforced the concerns expressed in o</w:t>
      </w:r>
      <w:r w:rsidR="00237BF4" w:rsidRPr="00660A13">
        <w:rPr>
          <w:rFonts w:ascii="Open Sans" w:hAnsi="Open Sans" w:cs="Open Sans"/>
        </w:rPr>
        <w:t>ur previous recommendation</w:t>
      </w:r>
      <w:r w:rsidRPr="00660A13">
        <w:rPr>
          <w:rFonts w:ascii="Open Sans" w:hAnsi="Open Sans" w:cs="Open Sans"/>
        </w:rPr>
        <w:t>.</w:t>
      </w:r>
      <w:r w:rsidR="00540243" w:rsidRPr="00660A13">
        <w:rPr>
          <w:rFonts w:ascii="Open Sans" w:hAnsi="Open Sans" w:cs="Open Sans"/>
        </w:rPr>
        <w:t xml:space="preserve"> </w:t>
      </w:r>
      <w:r w:rsidRPr="00660A13">
        <w:rPr>
          <w:rFonts w:ascii="Open Sans" w:hAnsi="Open Sans" w:cs="Open Sans"/>
        </w:rPr>
        <w:t xml:space="preserve">In </w:t>
      </w:r>
      <w:r w:rsidR="00FC5D43" w:rsidRPr="00660A13">
        <w:rPr>
          <w:rFonts w:ascii="Open Sans" w:hAnsi="Open Sans" w:cs="Open Sans"/>
        </w:rPr>
        <w:t>the</w:t>
      </w:r>
      <w:r w:rsidR="00FD59B3" w:rsidRPr="00660A13">
        <w:rPr>
          <w:rFonts w:ascii="Open Sans" w:hAnsi="Open Sans" w:cs="Open Sans"/>
        </w:rPr>
        <w:t xml:space="preserve"> </w:t>
      </w:r>
      <w:r w:rsidR="00FC5D43" w:rsidRPr="00660A13">
        <w:rPr>
          <w:rFonts w:ascii="Open Sans" w:hAnsi="Open Sans" w:cs="Open Sans"/>
          <w:i/>
        </w:rPr>
        <w:t>Tele2 Sverige AB case</w:t>
      </w:r>
      <w:r w:rsidR="00FC5D43" w:rsidRPr="00660A13">
        <w:rPr>
          <w:rFonts w:ascii="Open Sans" w:hAnsi="Open Sans" w:cs="Open Sans"/>
        </w:rPr>
        <w:t>, referred to</w:t>
      </w:r>
      <w:r w:rsidR="00E04212" w:rsidRPr="00660A13">
        <w:rPr>
          <w:rFonts w:ascii="Open Sans" w:hAnsi="Open Sans" w:cs="Open Sans"/>
        </w:rPr>
        <w:t xml:space="preserve"> above</w:t>
      </w:r>
      <w:r w:rsidR="0091402F" w:rsidRPr="00660A13">
        <w:rPr>
          <w:rFonts w:ascii="Open Sans" w:hAnsi="Open Sans" w:cs="Open Sans"/>
        </w:rPr>
        <w:t xml:space="preserve">, the </w:t>
      </w:r>
      <w:r w:rsidR="00E873F3">
        <w:rPr>
          <w:rFonts w:ascii="Open Sans" w:hAnsi="Open Sans" w:cs="Open Sans"/>
          <w:color w:val="000000"/>
          <w:szCs w:val="20"/>
          <w:lang w:eastAsia="en-US"/>
        </w:rPr>
        <w:t>CJEU</w:t>
      </w:r>
      <w:r w:rsidR="0091402F" w:rsidRPr="00660A13">
        <w:rPr>
          <w:rFonts w:ascii="Open Sans" w:hAnsi="Open Sans" w:cs="Open Sans"/>
          <w:color w:val="000000"/>
          <w:szCs w:val="20"/>
          <w:lang w:eastAsia="en-US"/>
        </w:rPr>
        <w:t xml:space="preserve"> stated</w:t>
      </w:r>
      <w:r w:rsidR="00E873F3">
        <w:rPr>
          <w:rFonts w:ascii="Open Sans" w:hAnsi="Open Sans" w:cs="Open Sans"/>
          <w:color w:val="000000"/>
          <w:szCs w:val="20"/>
          <w:lang w:eastAsia="en-US"/>
        </w:rPr>
        <w:t>:</w:t>
      </w:r>
    </w:p>
    <w:p w14:paraId="7F1129D2" w14:textId="0FDC8CBD" w:rsidR="0091402F" w:rsidRPr="00660A13" w:rsidRDefault="00FD59B3" w:rsidP="0091402F">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Given the seriousness of the interference in the fundamental rights concerned represented by national legislation which, for the purpose of fighting crime, provides for the retention of traffic and location data, only the objective of fighting serious crime </w:t>
      </w:r>
      <w:proofErr w:type="gramStart"/>
      <w:r w:rsidRPr="00660A13">
        <w:rPr>
          <w:rFonts w:ascii="Open Sans" w:hAnsi="Open Sans" w:cs="Open Sans"/>
          <w:sz w:val="22"/>
          <w:szCs w:val="22"/>
        </w:rPr>
        <w:t>is capable of justifying</w:t>
      </w:r>
      <w:proofErr w:type="gramEnd"/>
      <w:r w:rsidRPr="00660A13">
        <w:rPr>
          <w:rFonts w:ascii="Open Sans" w:hAnsi="Open Sans" w:cs="Open Sans"/>
          <w:sz w:val="22"/>
          <w:szCs w:val="22"/>
        </w:rPr>
        <w:t xml:space="preserve"> such a measure.</w:t>
      </w:r>
      <w:r w:rsidRPr="00660A13">
        <w:rPr>
          <w:rStyle w:val="EndnoteReference"/>
          <w:rFonts w:ascii="Open Sans" w:hAnsi="Open Sans" w:cs="Open Sans"/>
        </w:rPr>
        <w:endnoteReference w:id="43"/>
      </w:r>
    </w:p>
    <w:p w14:paraId="4A3837D6" w14:textId="77777777" w:rsidR="009C532A" w:rsidRPr="00660A13" w:rsidRDefault="009C532A" w:rsidP="00316F66">
      <w:pPr>
        <w:pStyle w:val="SubmissionNormal"/>
        <w:keepNext/>
        <w:numPr>
          <w:ilvl w:val="0"/>
          <w:numId w:val="0"/>
        </w:numPr>
        <w:spacing w:after="120"/>
        <w:ind w:left="567" w:firstLine="6"/>
        <w:rPr>
          <w:rFonts w:ascii="Open Sans" w:hAnsi="Open Sans" w:cs="Open Sans"/>
          <w:b/>
        </w:rPr>
      </w:pPr>
      <w:r w:rsidRPr="00660A13">
        <w:rPr>
          <w:rFonts w:ascii="Open Sans" w:hAnsi="Open Sans" w:cs="Open Sans"/>
          <w:b/>
        </w:rPr>
        <w:t>Recommendation 3</w:t>
      </w:r>
    </w:p>
    <w:p w14:paraId="1B0FDA59" w14:textId="25AB09F9" w:rsidR="009C532A" w:rsidRPr="00660A13" w:rsidRDefault="009C532A" w:rsidP="00316F66">
      <w:pPr>
        <w:pStyle w:val="SubmissionNormal"/>
        <w:numPr>
          <w:ilvl w:val="0"/>
          <w:numId w:val="0"/>
        </w:numPr>
        <w:spacing w:before="120"/>
        <w:ind w:left="567"/>
        <w:rPr>
          <w:rFonts w:ascii="Open Sans" w:hAnsi="Open Sans" w:cs="Open Sans"/>
          <w:sz w:val="22"/>
          <w:szCs w:val="22"/>
        </w:rPr>
      </w:pPr>
      <w:r w:rsidRPr="00660A13">
        <w:rPr>
          <w:rFonts w:ascii="Open Sans" w:hAnsi="Open Sans" w:cs="Open Sans"/>
          <w:bCs/>
        </w:rPr>
        <w:t xml:space="preserve">The Commission recommends that </w:t>
      </w:r>
      <w:r w:rsidR="00AB6D6C" w:rsidRPr="00660A13">
        <w:rPr>
          <w:rFonts w:ascii="Open Sans" w:hAnsi="Open Sans" w:cs="Open Sans"/>
          <w:bCs/>
        </w:rPr>
        <w:t xml:space="preserve">retained </w:t>
      </w:r>
      <w:r w:rsidRPr="00660A13">
        <w:rPr>
          <w:rFonts w:ascii="Open Sans" w:hAnsi="Open Sans" w:cs="Open Sans"/>
          <w:bCs/>
        </w:rPr>
        <w:t xml:space="preserve">communications data is only able to be accessed by </w:t>
      </w:r>
      <w:r w:rsidR="007B57C1">
        <w:rPr>
          <w:rFonts w:ascii="Open Sans" w:hAnsi="Open Sans" w:cs="Open Sans"/>
          <w:bCs/>
        </w:rPr>
        <w:t>law</w:t>
      </w:r>
      <w:r w:rsidR="006D559A">
        <w:rPr>
          <w:rFonts w:ascii="Open Sans" w:hAnsi="Open Sans" w:cs="Open Sans"/>
          <w:bCs/>
        </w:rPr>
        <w:t>-</w:t>
      </w:r>
      <w:r w:rsidRPr="00660A13">
        <w:rPr>
          <w:rFonts w:ascii="Open Sans" w:hAnsi="Open Sans" w:cs="Open Sans"/>
          <w:bCs/>
        </w:rPr>
        <w:t xml:space="preserve">enforcement agencies for the investigation of defined, sufficiently serious crimes. </w:t>
      </w:r>
    </w:p>
    <w:p w14:paraId="51001A81" w14:textId="77777777" w:rsidR="00BB2521" w:rsidRPr="00660A13" w:rsidRDefault="00F37BF9" w:rsidP="002D582A">
      <w:pPr>
        <w:pStyle w:val="Heading1"/>
        <w:numPr>
          <w:ilvl w:val="1"/>
          <w:numId w:val="16"/>
        </w:numPr>
        <w:tabs>
          <w:tab w:val="clear" w:pos="851"/>
        </w:tabs>
        <w:rPr>
          <w:rFonts w:ascii="Open Sans" w:hAnsi="Open Sans" w:cs="Open Sans"/>
          <w:i/>
          <w:iCs/>
        </w:rPr>
      </w:pPr>
      <w:bookmarkStart w:id="64" w:name="_Toc12886519"/>
      <w:r w:rsidRPr="00660A13">
        <w:rPr>
          <w:rFonts w:ascii="Open Sans" w:hAnsi="Open Sans" w:cs="Open Sans"/>
          <w:i/>
          <w:iCs/>
        </w:rPr>
        <w:t xml:space="preserve">External </w:t>
      </w:r>
      <w:r w:rsidR="00A9609E" w:rsidRPr="00660A13">
        <w:rPr>
          <w:rFonts w:ascii="Open Sans" w:hAnsi="Open Sans" w:cs="Open Sans"/>
          <w:i/>
          <w:iCs/>
        </w:rPr>
        <w:t>oversight</w:t>
      </w:r>
      <w:bookmarkEnd w:id="64"/>
      <w:r w:rsidR="00A9609E" w:rsidRPr="00660A13">
        <w:rPr>
          <w:rFonts w:ascii="Open Sans" w:hAnsi="Open Sans" w:cs="Open Sans"/>
          <w:i/>
          <w:iCs/>
        </w:rPr>
        <w:t xml:space="preserve"> </w:t>
      </w:r>
      <w:r w:rsidRPr="00660A13">
        <w:rPr>
          <w:rFonts w:ascii="Open Sans" w:hAnsi="Open Sans" w:cs="Open Sans"/>
          <w:i/>
          <w:iCs/>
        </w:rPr>
        <w:t xml:space="preserve"> </w:t>
      </w:r>
    </w:p>
    <w:p w14:paraId="0C059624" w14:textId="268B4A60" w:rsidR="00056484" w:rsidRPr="00660A13" w:rsidRDefault="00A4046E"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Presently, the</w:t>
      </w:r>
      <w:r w:rsidR="00056484" w:rsidRPr="00660A13">
        <w:rPr>
          <w:rFonts w:ascii="Open Sans" w:hAnsi="Open Sans" w:cs="Open Sans"/>
        </w:rPr>
        <w:t xml:space="preserve"> </w:t>
      </w:r>
      <w:r w:rsidR="00185D8E">
        <w:rPr>
          <w:rFonts w:ascii="Open Sans" w:hAnsi="Open Sans" w:cs="Open Sans"/>
        </w:rPr>
        <w:t>h</w:t>
      </w:r>
      <w:r w:rsidR="00056484" w:rsidRPr="00660A13">
        <w:rPr>
          <w:rFonts w:ascii="Open Sans" w:hAnsi="Open Sans" w:cs="Open Sans"/>
        </w:rPr>
        <w:t>ead</w:t>
      </w:r>
      <w:r w:rsidR="00C92424" w:rsidRPr="00660A13">
        <w:rPr>
          <w:rFonts w:ascii="Open Sans" w:hAnsi="Open Sans" w:cs="Open Sans"/>
        </w:rPr>
        <w:t xml:space="preserve"> </w:t>
      </w:r>
      <w:r w:rsidRPr="00660A13">
        <w:rPr>
          <w:rFonts w:ascii="Open Sans" w:hAnsi="Open Sans" w:cs="Open Sans"/>
        </w:rPr>
        <w:t xml:space="preserve">and deputy head </w:t>
      </w:r>
      <w:r w:rsidR="00056484" w:rsidRPr="00660A13">
        <w:rPr>
          <w:rFonts w:ascii="Open Sans" w:hAnsi="Open Sans" w:cs="Open Sans"/>
        </w:rPr>
        <w:t xml:space="preserve">of an </w:t>
      </w:r>
      <w:r w:rsidRPr="00660A13">
        <w:rPr>
          <w:rFonts w:ascii="Open Sans" w:hAnsi="Open Sans" w:cs="Open Sans"/>
        </w:rPr>
        <w:t xml:space="preserve">enforcement </w:t>
      </w:r>
      <w:r w:rsidR="00056484" w:rsidRPr="00660A13">
        <w:rPr>
          <w:rFonts w:ascii="Open Sans" w:hAnsi="Open Sans" w:cs="Open Sans"/>
        </w:rPr>
        <w:t>agency or an officer or empl</w:t>
      </w:r>
      <w:r w:rsidRPr="00660A13">
        <w:rPr>
          <w:rFonts w:ascii="Open Sans" w:hAnsi="Open Sans" w:cs="Open Sans"/>
        </w:rPr>
        <w:t>oyee of the agency covered by a written approval from</w:t>
      </w:r>
      <w:r w:rsidR="00056484" w:rsidRPr="00660A13">
        <w:rPr>
          <w:rFonts w:ascii="Open Sans" w:hAnsi="Open Sans" w:cs="Open Sans"/>
        </w:rPr>
        <w:t xml:space="preserve"> the head of the agency</w:t>
      </w:r>
      <w:r w:rsidR="00872F40" w:rsidRPr="00660A13">
        <w:rPr>
          <w:rFonts w:ascii="Open Sans" w:hAnsi="Open Sans" w:cs="Open Sans"/>
        </w:rPr>
        <w:t>, are all</w:t>
      </w:r>
      <w:r w:rsidRPr="00660A13">
        <w:rPr>
          <w:rFonts w:ascii="Open Sans" w:hAnsi="Open Sans" w:cs="Open Sans"/>
        </w:rPr>
        <w:t xml:space="preserve"> able to authorise access to retained communications data</w:t>
      </w:r>
      <w:r w:rsidR="00056484" w:rsidRPr="00660A13">
        <w:rPr>
          <w:rFonts w:ascii="Open Sans" w:hAnsi="Open Sans" w:cs="Open Sans"/>
        </w:rPr>
        <w:t>.</w:t>
      </w:r>
      <w:r w:rsidR="00B35BCC" w:rsidRPr="00660A13">
        <w:rPr>
          <w:rStyle w:val="EndnoteReference"/>
          <w:rFonts w:ascii="Open Sans" w:hAnsi="Open Sans" w:cs="Open Sans"/>
        </w:rPr>
        <w:endnoteReference w:id="44"/>
      </w:r>
      <w:r w:rsidR="0022457C" w:rsidRPr="00660A13">
        <w:rPr>
          <w:rFonts w:ascii="Open Sans" w:hAnsi="Open Sans" w:cs="Open Sans"/>
        </w:rPr>
        <w:t xml:space="preserve"> </w:t>
      </w:r>
      <w:r w:rsidR="00E04212" w:rsidRPr="00660A13">
        <w:rPr>
          <w:rFonts w:ascii="Open Sans" w:hAnsi="Open Sans" w:cs="Open Sans"/>
        </w:rPr>
        <w:t>Other than for information relating to a person working as a journalist (or their employer),</w:t>
      </w:r>
      <w:r w:rsidR="00872F40" w:rsidRPr="00660A13">
        <w:rPr>
          <w:rStyle w:val="EndnoteReference"/>
          <w:rFonts w:ascii="Open Sans" w:hAnsi="Open Sans" w:cs="Open Sans"/>
        </w:rPr>
        <w:endnoteReference w:id="45"/>
      </w:r>
      <w:r w:rsidR="00904B3D" w:rsidRPr="00660A13">
        <w:rPr>
          <w:rFonts w:ascii="Open Sans" w:hAnsi="Open Sans" w:cs="Open Sans"/>
        </w:rPr>
        <w:t xml:space="preserve"> all</w:t>
      </w:r>
      <w:r w:rsidR="0022457C" w:rsidRPr="00660A13">
        <w:rPr>
          <w:rFonts w:ascii="Open Sans" w:hAnsi="Open Sans" w:cs="Open Sans"/>
        </w:rPr>
        <w:t xml:space="preserve"> </w:t>
      </w:r>
      <w:r w:rsidRPr="00660A13">
        <w:rPr>
          <w:rFonts w:ascii="Open Sans" w:hAnsi="Open Sans" w:cs="Open Sans"/>
        </w:rPr>
        <w:t xml:space="preserve">enforcement </w:t>
      </w:r>
      <w:r w:rsidR="0022457C" w:rsidRPr="00660A13">
        <w:rPr>
          <w:rFonts w:ascii="Open Sans" w:hAnsi="Open Sans" w:cs="Open Sans"/>
        </w:rPr>
        <w:t xml:space="preserve">agencies may access </w:t>
      </w:r>
      <w:r w:rsidR="006A727A" w:rsidRPr="00660A13">
        <w:rPr>
          <w:rFonts w:ascii="Open Sans" w:hAnsi="Open Sans" w:cs="Open Sans"/>
        </w:rPr>
        <w:t xml:space="preserve">retained </w:t>
      </w:r>
      <w:r w:rsidR="0022457C" w:rsidRPr="00660A13">
        <w:rPr>
          <w:rFonts w:ascii="Open Sans" w:hAnsi="Open Sans" w:cs="Open Sans"/>
        </w:rPr>
        <w:t>communications data without a warrant</w:t>
      </w:r>
      <w:r w:rsidR="00386694" w:rsidRPr="00660A13">
        <w:rPr>
          <w:rFonts w:ascii="Open Sans" w:hAnsi="Open Sans" w:cs="Open Sans"/>
        </w:rPr>
        <w:t xml:space="preserve"> from an independent body</w:t>
      </w:r>
      <w:r w:rsidR="0022457C" w:rsidRPr="00660A13">
        <w:rPr>
          <w:rFonts w:ascii="Open Sans" w:hAnsi="Open Sans" w:cs="Open Sans"/>
        </w:rPr>
        <w:t xml:space="preserve">. </w:t>
      </w:r>
    </w:p>
    <w:p w14:paraId="4D5D9D4C" w14:textId="266919D3" w:rsidR="0022457C" w:rsidRPr="00660A13" w:rsidRDefault="00E04212"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In its 2015 submission, the Commission noted</w:t>
      </w:r>
      <w:r w:rsidR="00E44D7B" w:rsidRPr="00660A13">
        <w:rPr>
          <w:rFonts w:ascii="Open Sans" w:hAnsi="Open Sans" w:cs="Open Sans"/>
        </w:rPr>
        <w:t xml:space="preserve"> that t</w:t>
      </w:r>
      <w:r w:rsidR="0022457C" w:rsidRPr="00660A13">
        <w:rPr>
          <w:rFonts w:ascii="Open Sans" w:hAnsi="Open Sans" w:cs="Open Sans"/>
        </w:rPr>
        <w:t xml:space="preserve">he </w:t>
      </w:r>
      <w:r w:rsidR="00E873F3">
        <w:rPr>
          <w:rFonts w:ascii="Open Sans" w:hAnsi="Open Sans" w:cs="Open Sans"/>
        </w:rPr>
        <w:t>CJEU</w:t>
      </w:r>
      <w:r w:rsidR="00313144" w:rsidRPr="00660A13">
        <w:rPr>
          <w:rFonts w:ascii="Open Sans" w:hAnsi="Open Sans" w:cs="Open Sans"/>
        </w:rPr>
        <w:t xml:space="preserve"> </w:t>
      </w:r>
      <w:r w:rsidRPr="00660A13">
        <w:rPr>
          <w:rFonts w:ascii="Open Sans" w:hAnsi="Open Sans" w:cs="Open Sans"/>
        </w:rPr>
        <w:t xml:space="preserve">in the </w:t>
      </w:r>
      <w:r w:rsidRPr="00660A13">
        <w:rPr>
          <w:rFonts w:ascii="Open Sans" w:hAnsi="Open Sans" w:cs="Open Sans"/>
          <w:i/>
        </w:rPr>
        <w:t xml:space="preserve">Digital Rights Ireland </w:t>
      </w:r>
      <w:r w:rsidRPr="00DE75C3">
        <w:rPr>
          <w:rFonts w:ascii="Open Sans" w:hAnsi="Open Sans" w:cs="Open Sans"/>
          <w:iCs/>
        </w:rPr>
        <w:t>case</w:t>
      </w:r>
      <w:r w:rsidRPr="00660A13">
        <w:rPr>
          <w:rFonts w:ascii="Open Sans" w:hAnsi="Open Sans" w:cs="Open Sans"/>
        </w:rPr>
        <w:t xml:space="preserve"> </w:t>
      </w:r>
      <w:r w:rsidR="0022457C" w:rsidRPr="00660A13">
        <w:rPr>
          <w:rFonts w:ascii="Open Sans" w:hAnsi="Open Sans" w:cs="Open Sans"/>
        </w:rPr>
        <w:t>considered that an independent administrative or judicial body should make de</w:t>
      </w:r>
      <w:r w:rsidR="00A966CC" w:rsidRPr="00660A13">
        <w:rPr>
          <w:rFonts w:ascii="Open Sans" w:hAnsi="Open Sans" w:cs="Open Sans"/>
        </w:rPr>
        <w:t xml:space="preserve">cisions regarding access to the retained communications </w:t>
      </w:r>
      <w:r w:rsidR="0022457C" w:rsidRPr="00660A13">
        <w:rPr>
          <w:rFonts w:ascii="Open Sans" w:hAnsi="Open Sans" w:cs="Open Sans"/>
        </w:rPr>
        <w:t>data on the basis of what is strictly necessary.</w:t>
      </w:r>
      <w:r w:rsidR="0022457C" w:rsidRPr="00660A13">
        <w:rPr>
          <w:rStyle w:val="EndnoteReference"/>
          <w:rFonts w:ascii="Open Sans" w:hAnsi="Open Sans" w:cs="Open Sans"/>
        </w:rPr>
        <w:endnoteReference w:id="46"/>
      </w:r>
      <w:r w:rsidRPr="00660A13">
        <w:rPr>
          <w:rFonts w:ascii="Open Sans" w:hAnsi="Open Sans" w:cs="Open Sans"/>
        </w:rPr>
        <w:t xml:space="preserve"> The Court has since repeated and </w:t>
      </w:r>
      <w:r w:rsidR="00A4046E" w:rsidRPr="00660A13">
        <w:rPr>
          <w:rFonts w:ascii="Open Sans" w:hAnsi="Open Sans" w:cs="Open Sans"/>
        </w:rPr>
        <w:t xml:space="preserve">reinforced this position in the </w:t>
      </w:r>
      <w:r w:rsidRPr="00660A13">
        <w:rPr>
          <w:rFonts w:ascii="Open Sans" w:hAnsi="Open Sans" w:cs="Open Sans"/>
          <w:i/>
        </w:rPr>
        <w:t>Tele2 Sverige AB</w:t>
      </w:r>
      <w:r w:rsidRPr="00660A13">
        <w:rPr>
          <w:rFonts w:ascii="Open Sans" w:hAnsi="Open Sans" w:cs="Open Sans"/>
        </w:rPr>
        <w:t xml:space="preserve"> </w:t>
      </w:r>
      <w:r w:rsidRPr="00660A13">
        <w:rPr>
          <w:rFonts w:ascii="Open Sans" w:hAnsi="Open Sans" w:cs="Open Sans"/>
          <w:i/>
        </w:rPr>
        <w:t>case</w:t>
      </w:r>
      <w:r w:rsidRPr="00660A13">
        <w:rPr>
          <w:rFonts w:ascii="Open Sans" w:hAnsi="Open Sans" w:cs="Open Sans"/>
        </w:rPr>
        <w:t>.</w:t>
      </w:r>
    </w:p>
    <w:p w14:paraId="1B684B9F" w14:textId="29F7B0B2" w:rsidR="002553CB" w:rsidRPr="00660A13" w:rsidRDefault="00025D42" w:rsidP="00E506BC">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In contrast to the position that applies to retained communications data, a</w:t>
      </w:r>
      <w:r w:rsidR="00904B3D" w:rsidRPr="00660A13">
        <w:rPr>
          <w:rFonts w:ascii="Open Sans" w:hAnsi="Open Sans" w:cs="Open Sans"/>
        </w:rPr>
        <w:t>ccess</w:t>
      </w:r>
      <w:r w:rsidR="0008636A" w:rsidRPr="00660A13">
        <w:rPr>
          <w:rFonts w:ascii="Open Sans" w:hAnsi="Open Sans" w:cs="Open Sans"/>
        </w:rPr>
        <w:t xml:space="preserve"> to</w:t>
      </w:r>
      <w:r w:rsidR="00CE16FA" w:rsidRPr="00660A13">
        <w:rPr>
          <w:rFonts w:ascii="Open Sans" w:hAnsi="Open Sans" w:cs="Open Sans"/>
        </w:rPr>
        <w:t xml:space="preserve"> the</w:t>
      </w:r>
      <w:r w:rsidR="00904B3D" w:rsidRPr="00660A13">
        <w:rPr>
          <w:rFonts w:ascii="Open Sans" w:hAnsi="Open Sans" w:cs="Open Sans"/>
        </w:rPr>
        <w:t xml:space="preserve"> content</w:t>
      </w:r>
      <w:r w:rsidR="00CE16FA" w:rsidRPr="00660A13">
        <w:rPr>
          <w:rFonts w:ascii="Open Sans" w:hAnsi="Open Sans" w:cs="Open Sans"/>
        </w:rPr>
        <w:t xml:space="preserve"> of communications</w:t>
      </w:r>
      <w:r w:rsidR="00A4046E" w:rsidRPr="00660A13">
        <w:rPr>
          <w:rFonts w:ascii="Open Sans" w:hAnsi="Open Sans" w:cs="Open Sans"/>
        </w:rPr>
        <w:t xml:space="preserve"> requires a warrant</w:t>
      </w:r>
      <w:r w:rsidR="001B24F2" w:rsidRPr="00660A13">
        <w:rPr>
          <w:rFonts w:ascii="Open Sans" w:hAnsi="Open Sans" w:cs="Open Sans"/>
        </w:rPr>
        <w:t xml:space="preserve">. As stated in </w:t>
      </w:r>
      <w:r w:rsidR="006D559A">
        <w:rPr>
          <w:rFonts w:ascii="Open Sans" w:hAnsi="Open Sans" w:cs="Open Sans"/>
        </w:rPr>
        <w:t>the</w:t>
      </w:r>
      <w:r w:rsidR="006D559A" w:rsidRPr="00660A13">
        <w:rPr>
          <w:rFonts w:ascii="Open Sans" w:hAnsi="Open Sans" w:cs="Open Sans"/>
        </w:rPr>
        <w:t xml:space="preserve"> </w:t>
      </w:r>
      <w:r w:rsidR="001B24F2" w:rsidRPr="00660A13">
        <w:rPr>
          <w:rFonts w:ascii="Open Sans" w:hAnsi="Open Sans" w:cs="Open Sans"/>
        </w:rPr>
        <w:t>2015 submission, t</w:t>
      </w:r>
      <w:r w:rsidR="0008636A" w:rsidRPr="00660A13">
        <w:rPr>
          <w:rFonts w:ascii="Open Sans" w:hAnsi="Open Sans" w:cs="Open Sans"/>
        </w:rPr>
        <w:t xml:space="preserve">he Commission </w:t>
      </w:r>
      <w:r w:rsidR="001B24F2" w:rsidRPr="00660A13">
        <w:rPr>
          <w:rFonts w:ascii="Open Sans" w:hAnsi="Open Sans" w:cs="Open Sans"/>
        </w:rPr>
        <w:t>is of the view</w:t>
      </w:r>
      <w:r w:rsidR="0008636A" w:rsidRPr="00660A13">
        <w:rPr>
          <w:rFonts w:ascii="Open Sans" w:hAnsi="Open Sans" w:cs="Open Sans"/>
        </w:rPr>
        <w:t xml:space="preserve"> that </w:t>
      </w:r>
      <w:r w:rsidR="00E44D7B" w:rsidRPr="00660A13">
        <w:rPr>
          <w:rFonts w:ascii="Open Sans" w:hAnsi="Open Sans" w:cs="Open Sans"/>
        </w:rPr>
        <w:t xml:space="preserve">a warrant system is </w:t>
      </w:r>
      <w:r w:rsidR="00B376C8" w:rsidRPr="00660A13">
        <w:rPr>
          <w:rFonts w:ascii="Open Sans" w:hAnsi="Open Sans" w:cs="Open Sans"/>
        </w:rPr>
        <w:t xml:space="preserve">necessary </w:t>
      </w:r>
      <w:r w:rsidR="005510CC" w:rsidRPr="00660A13">
        <w:rPr>
          <w:rFonts w:ascii="Open Sans" w:hAnsi="Open Sans" w:cs="Open Sans"/>
        </w:rPr>
        <w:t>for the access to communications data</w:t>
      </w:r>
      <w:r w:rsidR="00327172" w:rsidRPr="00660A13">
        <w:rPr>
          <w:rFonts w:ascii="Open Sans" w:hAnsi="Open Sans" w:cs="Open Sans"/>
        </w:rPr>
        <w:t xml:space="preserve"> as well</w:t>
      </w:r>
      <w:r w:rsidR="000967D7" w:rsidRPr="00660A13">
        <w:rPr>
          <w:rFonts w:ascii="Open Sans" w:hAnsi="Open Sans" w:cs="Open Sans"/>
        </w:rPr>
        <w:t xml:space="preserve">. This is especially the case given </w:t>
      </w:r>
      <w:r w:rsidR="00B376C8" w:rsidRPr="00660A13">
        <w:rPr>
          <w:rFonts w:ascii="Open Sans" w:hAnsi="Open Sans" w:cs="Open Sans"/>
        </w:rPr>
        <w:t xml:space="preserve">the question whether the </w:t>
      </w:r>
      <w:r w:rsidR="002553CB" w:rsidRPr="00660A13">
        <w:rPr>
          <w:rFonts w:ascii="Open Sans" w:hAnsi="Open Sans" w:cs="Open Sans"/>
        </w:rPr>
        <w:t>distinction between content and communications data for the purposes of the right to privacy can be legitimately maintained</w:t>
      </w:r>
      <w:r w:rsidR="001938F8" w:rsidRPr="00660A13">
        <w:rPr>
          <w:rFonts w:ascii="Open Sans" w:hAnsi="Open Sans" w:cs="Open Sans"/>
        </w:rPr>
        <w:t xml:space="preserve">. </w:t>
      </w:r>
      <w:r w:rsidR="002553CB" w:rsidRPr="00660A13">
        <w:rPr>
          <w:rFonts w:ascii="Open Sans" w:hAnsi="Open Sans" w:cs="Open Sans"/>
        </w:rPr>
        <w:t xml:space="preserve">The </w:t>
      </w:r>
      <w:r w:rsidR="006F6E1A" w:rsidRPr="00660A13">
        <w:rPr>
          <w:rFonts w:ascii="Open Sans" w:hAnsi="Open Sans" w:cs="Open Sans"/>
        </w:rPr>
        <w:t xml:space="preserve">UN </w:t>
      </w:r>
      <w:r w:rsidR="002553CB" w:rsidRPr="00660A13">
        <w:rPr>
          <w:rFonts w:ascii="Open Sans" w:hAnsi="Open Sans" w:cs="Open Sans"/>
        </w:rPr>
        <w:t>H</w:t>
      </w:r>
      <w:r w:rsidR="009F42C0" w:rsidRPr="00660A13">
        <w:rPr>
          <w:rFonts w:ascii="Open Sans" w:hAnsi="Open Sans" w:cs="Open Sans"/>
        </w:rPr>
        <w:t>R</w:t>
      </w:r>
      <w:r w:rsidR="006F6E1A" w:rsidRPr="00660A13">
        <w:rPr>
          <w:rFonts w:ascii="Open Sans" w:hAnsi="Open Sans" w:cs="Open Sans"/>
        </w:rPr>
        <w:t xml:space="preserve"> </w:t>
      </w:r>
      <w:r w:rsidR="002553CB" w:rsidRPr="00660A13">
        <w:rPr>
          <w:rFonts w:ascii="Open Sans" w:hAnsi="Open Sans" w:cs="Open Sans"/>
        </w:rPr>
        <w:t>C</w:t>
      </w:r>
      <w:r w:rsidR="006F6E1A" w:rsidRPr="00660A13">
        <w:rPr>
          <w:rFonts w:ascii="Open Sans" w:hAnsi="Open Sans" w:cs="Open Sans"/>
        </w:rPr>
        <w:t>ommittee</w:t>
      </w:r>
      <w:r w:rsidR="002553CB" w:rsidRPr="00660A13">
        <w:rPr>
          <w:rFonts w:ascii="Open Sans" w:hAnsi="Open Sans" w:cs="Open Sans"/>
        </w:rPr>
        <w:t xml:space="preserve"> has stated</w:t>
      </w:r>
      <w:r w:rsidR="00B376C8" w:rsidRPr="00660A13">
        <w:rPr>
          <w:rFonts w:ascii="Open Sans" w:hAnsi="Open Sans" w:cs="Open Sans"/>
        </w:rPr>
        <w:t>:</w:t>
      </w:r>
    </w:p>
    <w:p w14:paraId="0B29D287" w14:textId="3736E810" w:rsidR="002553CB" w:rsidRPr="00660A13" w:rsidRDefault="00316F66" w:rsidP="002D582A">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I</w:t>
      </w:r>
      <w:r w:rsidR="002553CB" w:rsidRPr="00660A13">
        <w:rPr>
          <w:rFonts w:ascii="Open Sans" w:hAnsi="Open Sans" w:cs="Open Sans"/>
          <w:sz w:val="22"/>
          <w:szCs w:val="22"/>
        </w:rPr>
        <w:t xml:space="preserve">t has been suggested that the interception or collection of data about a communication, as opposed to the content of the communication does not </w:t>
      </w:r>
      <w:r w:rsidR="002553CB" w:rsidRPr="00660A13">
        <w:rPr>
          <w:rFonts w:ascii="Open Sans" w:hAnsi="Open Sans" w:cs="Open Sans"/>
          <w:sz w:val="22"/>
          <w:szCs w:val="22"/>
        </w:rPr>
        <w:lastRenderedPageBreak/>
        <w:t xml:space="preserve">on its own constitute an interference with privacy. From the perspective of the right to privacy, this distinction is not persuasive. The aggregation of information commonly referred to as </w:t>
      </w:r>
      <w:r w:rsidR="00FB44F5">
        <w:rPr>
          <w:rFonts w:ascii="Open Sans" w:hAnsi="Open Sans" w:cs="Open Sans"/>
          <w:sz w:val="22"/>
          <w:szCs w:val="22"/>
        </w:rPr>
        <w:t>‘</w:t>
      </w:r>
      <w:r w:rsidR="002553CB" w:rsidRPr="00660A13">
        <w:rPr>
          <w:rFonts w:ascii="Open Sans" w:hAnsi="Open Sans" w:cs="Open Sans"/>
          <w:sz w:val="22"/>
          <w:szCs w:val="22"/>
        </w:rPr>
        <w:t>metadata</w:t>
      </w:r>
      <w:r w:rsidR="00FB44F5">
        <w:rPr>
          <w:rFonts w:ascii="Open Sans" w:hAnsi="Open Sans" w:cs="Open Sans"/>
          <w:sz w:val="22"/>
          <w:szCs w:val="22"/>
        </w:rPr>
        <w:t>’</w:t>
      </w:r>
      <w:r w:rsidR="002553CB" w:rsidRPr="00660A13">
        <w:rPr>
          <w:rFonts w:ascii="Open Sans" w:hAnsi="Open Sans" w:cs="Open Sans"/>
          <w:sz w:val="22"/>
          <w:szCs w:val="22"/>
        </w:rPr>
        <w:t xml:space="preserve"> may give an insight into an individual’s behaviour, social relationships, private preferences and identity that go beyond even that conveyed by accessing the content of a private communication.</w:t>
      </w:r>
      <w:r w:rsidR="009F42C0" w:rsidRPr="00660A13">
        <w:rPr>
          <w:rStyle w:val="EndnoteReference"/>
          <w:rFonts w:ascii="Open Sans" w:hAnsi="Open Sans" w:cs="Open Sans"/>
          <w:szCs w:val="22"/>
        </w:rPr>
        <w:endnoteReference w:id="47"/>
      </w:r>
    </w:p>
    <w:p w14:paraId="0E08240C" w14:textId="3D8D7883" w:rsidR="00A87232" w:rsidRPr="00660A13" w:rsidRDefault="00A87232" w:rsidP="002D582A">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 xml:space="preserve">The </w:t>
      </w:r>
      <w:r w:rsidRPr="00185D8E">
        <w:rPr>
          <w:rFonts w:ascii="Open Sans" w:hAnsi="Open Sans" w:cs="Open Sans"/>
          <w:i/>
          <w:iCs/>
        </w:rPr>
        <w:t>International Principles on the Application of Human Rights to Communications Surveillance</w:t>
      </w:r>
      <w:r w:rsidR="00D91D27" w:rsidRPr="00D91D27">
        <w:rPr>
          <w:rFonts w:ascii="Open Sans" w:hAnsi="Open Sans" w:cs="Open Sans"/>
        </w:rPr>
        <w:t xml:space="preserve"> (</w:t>
      </w:r>
      <w:r w:rsidRPr="00D91D27">
        <w:rPr>
          <w:rFonts w:ascii="Open Sans" w:hAnsi="Open Sans" w:cs="Open Sans"/>
        </w:rPr>
        <w:t>2013</w:t>
      </w:r>
      <w:r w:rsidR="00D91D27" w:rsidRPr="00D91D27">
        <w:rPr>
          <w:rFonts w:ascii="Open Sans" w:hAnsi="Open Sans" w:cs="Open Sans"/>
        </w:rPr>
        <w:t>)</w:t>
      </w:r>
      <w:r w:rsidRPr="00D91D27">
        <w:rPr>
          <w:rFonts w:ascii="Open Sans" w:hAnsi="Open Sans" w:cs="Open Sans"/>
        </w:rPr>
        <w:t xml:space="preserve"> </w:t>
      </w:r>
      <w:r w:rsidR="00025D42" w:rsidRPr="00D91D27">
        <w:rPr>
          <w:rFonts w:ascii="Open Sans" w:hAnsi="Open Sans" w:cs="Open Sans"/>
        </w:rPr>
        <w:t xml:space="preserve">provide </w:t>
      </w:r>
      <w:r w:rsidRPr="00660A13">
        <w:rPr>
          <w:rFonts w:ascii="Open Sans" w:hAnsi="Open Sans" w:cs="Open Sans"/>
        </w:rPr>
        <w:t>that:</w:t>
      </w:r>
    </w:p>
    <w:p w14:paraId="695BAA03" w14:textId="2FB88B79" w:rsidR="00A87232" w:rsidRPr="00660A13" w:rsidRDefault="00A87232" w:rsidP="002D582A">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While it has long been agreed that communications content deserves significant protection in law because of its capability to reveal sensitive information, it is now clear that other information arising from communications</w:t>
      </w:r>
      <w:r w:rsidR="006D559A">
        <w:rPr>
          <w:rFonts w:ascii="Open Sans" w:hAnsi="Open Sans" w:cs="Open Sans"/>
          <w:sz w:val="22"/>
          <w:szCs w:val="22"/>
        </w:rPr>
        <w:t>—</w:t>
      </w:r>
      <w:r w:rsidRPr="00660A13">
        <w:rPr>
          <w:rFonts w:ascii="Open Sans" w:hAnsi="Open Sans" w:cs="Open Sans"/>
          <w:sz w:val="22"/>
          <w:szCs w:val="22"/>
        </w:rPr>
        <w:t>metadata and other forms of non-content data</w:t>
      </w:r>
      <w:r w:rsidR="006D559A">
        <w:rPr>
          <w:rFonts w:ascii="Open Sans" w:hAnsi="Open Sans" w:cs="Open Sans"/>
          <w:sz w:val="22"/>
          <w:szCs w:val="22"/>
        </w:rPr>
        <w:t>—</w:t>
      </w:r>
      <w:r w:rsidRPr="00660A13">
        <w:rPr>
          <w:rFonts w:ascii="Open Sans" w:hAnsi="Open Sans" w:cs="Open Sans"/>
          <w:sz w:val="22"/>
          <w:szCs w:val="22"/>
        </w:rPr>
        <w:t>may reveal even more about an individual than the content itself, and thus deserves equivalent protection.</w:t>
      </w:r>
      <w:r w:rsidR="009F42C0" w:rsidRPr="00660A13">
        <w:rPr>
          <w:rStyle w:val="EndnoteReference"/>
          <w:rFonts w:ascii="Open Sans" w:hAnsi="Open Sans" w:cs="Open Sans"/>
          <w:szCs w:val="22"/>
        </w:rPr>
        <w:endnoteReference w:id="48"/>
      </w:r>
      <w:r w:rsidRPr="00660A13">
        <w:rPr>
          <w:rFonts w:ascii="Open Sans" w:hAnsi="Open Sans" w:cs="Open Sans"/>
          <w:sz w:val="22"/>
          <w:szCs w:val="22"/>
        </w:rPr>
        <w:t xml:space="preserve"> </w:t>
      </w:r>
    </w:p>
    <w:p w14:paraId="554E1878" w14:textId="74F6B691" w:rsidR="005A49A0" w:rsidRPr="00660A13" w:rsidRDefault="002553CB" w:rsidP="00316F66">
      <w:pPr>
        <w:pStyle w:val="SubmissionNormal"/>
        <w:keepNext/>
        <w:tabs>
          <w:tab w:val="clear" w:pos="360"/>
          <w:tab w:val="num" w:pos="567"/>
        </w:tabs>
        <w:ind w:left="567" w:hanging="567"/>
        <w:rPr>
          <w:rFonts w:ascii="Open Sans" w:hAnsi="Open Sans" w:cs="Open Sans"/>
        </w:rPr>
      </w:pPr>
      <w:r w:rsidRPr="00660A13">
        <w:rPr>
          <w:rFonts w:ascii="Open Sans" w:hAnsi="Open Sans" w:cs="Open Sans"/>
        </w:rPr>
        <w:t>Contrary to the claims made in the Explanatory Memorandum</w:t>
      </w:r>
      <w:r w:rsidR="001B24F2" w:rsidRPr="00660A13">
        <w:rPr>
          <w:rFonts w:ascii="Open Sans" w:hAnsi="Open Sans" w:cs="Open Sans"/>
        </w:rPr>
        <w:t xml:space="preserve"> for the Bill</w:t>
      </w:r>
      <w:r w:rsidRPr="00660A13">
        <w:rPr>
          <w:rFonts w:ascii="Open Sans" w:hAnsi="Open Sans" w:cs="Open Sans"/>
        </w:rPr>
        <w:t>,</w:t>
      </w:r>
      <w:r w:rsidRPr="00660A13">
        <w:rPr>
          <w:rStyle w:val="EndnoteReference"/>
          <w:rFonts w:ascii="Open Sans" w:hAnsi="Open Sans" w:cs="Open Sans"/>
        </w:rPr>
        <w:endnoteReference w:id="49"/>
      </w:r>
      <w:r w:rsidRPr="00660A13">
        <w:rPr>
          <w:rFonts w:ascii="Open Sans" w:hAnsi="Open Sans" w:cs="Open Sans"/>
        </w:rPr>
        <w:t xml:space="preserve"> the Commission considers the retention of and access to communications data </w:t>
      </w:r>
      <w:r w:rsidR="000A6D97" w:rsidRPr="00660A13">
        <w:rPr>
          <w:rFonts w:ascii="Open Sans" w:hAnsi="Open Sans" w:cs="Open Sans"/>
        </w:rPr>
        <w:t xml:space="preserve">may </w:t>
      </w:r>
      <w:r w:rsidR="00382227" w:rsidRPr="00660A13">
        <w:rPr>
          <w:rFonts w:ascii="Open Sans" w:hAnsi="Open Sans" w:cs="Open Sans"/>
        </w:rPr>
        <w:t xml:space="preserve">be just as </w:t>
      </w:r>
      <w:r w:rsidRPr="00660A13">
        <w:rPr>
          <w:rFonts w:ascii="Open Sans" w:hAnsi="Open Sans" w:cs="Open Sans"/>
        </w:rPr>
        <w:t xml:space="preserve">intrusive </w:t>
      </w:r>
      <w:r w:rsidR="00382227" w:rsidRPr="00660A13">
        <w:rPr>
          <w:rFonts w:ascii="Open Sans" w:hAnsi="Open Sans" w:cs="Open Sans"/>
        </w:rPr>
        <w:t xml:space="preserve">as </w:t>
      </w:r>
      <w:r w:rsidRPr="00660A13">
        <w:rPr>
          <w:rFonts w:ascii="Open Sans" w:hAnsi="Open Sans" w:cs="Open Sans"/>
        </w:rPr>
        <w:t xml:space="preserve">retention of and access to content. </w:t>
      </w:r>
      <w:r w:rsidR="005A49A0" w:rsidRPr="00660A13">
        <w:rPr>
          <w:rFonts w:ascii="Open Sans" w:hAnsi="Open Sans" w:cs="Open Sans"/>
        </w:rPr>
        <w:t xml:space="preserve">As recognised by the </w:t>
      </w:r>
      <w:r w:rsidR="00E873F3">
        <w:rPr>
          <w:rFonts w:ascii="Open Sans" w:hAnsi="Open Sans" w:cs="Open Sans"/>
        </w:rPr>
        <w:t>CJEU:</w:t>
      </w:r>
    </w:p>
    <w:p w14:paraId="162F8CF9" w14:textId="4E8C8A1E" w:rsidR="005A49A0" w:rsidRPr="00660A13" w:rsidRDefault="005A49A0" w:rsidP="005A49A0">
      <w:pPr>
        <w:pStyle w:val="SubmissionNormal"/>
        <w:numPr>
          <w:ilvl w:val="0"/>
          <w:numId w:val="0"/>
        </w:numPr>
        <w:ind w:left="1134"/>
        <w:rPr>
          <w:rFonts w:ascii="Open Sans" w:hAnsi="Open Sans" w:cs="Open Sans"/>
          <w:sz w:val="22"/>
          <w:szCs w:val="22"/>
        </w:rPr>
      </w:pPr>
      <w:r w:rsidRPr="00660A13">
        <w:rPr>
          <w:rFonts w:ascii="Open Sans" w:hAnsi="Open Sans" w:cs="Open Sans"/>
          <w:sz w:val="22"/>
          <w:szCs w:val="22"/>
        </w:rPr>
        <w:t xml:space="preserve">[communications] data, taken as a whole, is liable to allow very precise conclusions to be drawn concerning the private lives of the persons whose data has been retained, such as everyday habits, permanent or temporary places of residence, daily or other movements, the activities carried out, the social relationships of those persons and the social environments frequented by them … </w:t>
      </w:r>
      <w:r w:rsidR="00382227" w:rsidRPr="00660A13">
        <w:rPr>
          <w:rFonts w:ascii="Open Sans" w:hAnsi="Open Sans" w:cs="Open Sans"/>
          <w:sz w:val="22"/>
          <w:szCs w:val="22"/>
        </w:rPr>
        <w:t xml:space="preserve">. </w:t>
      </w:r>
      <w:proofErr w:type="gramStart"/>
      <w:r w:rsidRPr="00660A13">
        <w:rPr>
          <w:rFonts w:ascii="Open Sans" w:hAnsi="Open Sans" w:cs="Open Sans"/>
          <w:sz w:val="22"/>
          <w:szCs w:val="22"/>
        </w:rPr>
        <w:t>In particular, that</w:t>
      </w:r>
      <w:proofErr w:type="gramEnd"/>
      <w:r w:rsidRPr="00660A13">
        <w:rPr>
          <w:rFonts w:ascii="Open Sans" w:hAnsi="Open Sans" w:cs="Open Sans"/>
          <w:sz w:val="22"/>
          <w:szCs w:val="22"/>
        </w:rPr>
        <w:t xml:space="preserve"> data provides the means … of establishing a profile of the individuals concerned, information that is no less sensitive, having regard to the right to privacy, than the actual content of communications.</w:t>
      </w:r>
      <w:r w:rsidRPr="00660A13">
        <w:rPr>
          <w:rStyle w:val="EndnoteReference"/>
          <w:rFonts w:ascii="Open Sans" w:hAnsi="Open Sans" w:cs="Open Sans"/>
        </w:rPr>
        <w:endnoteReference w:id="50"/>
      </w:r>
    </w:p>
    <w:p w14:paraId="7C962421" w14:textId="68F4087E" w:rsidR="002553CB" w:rsidRPr="00660A13" w:rsidRDefault="00237BF4"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In the Commission’s view, t</w:t>
      </w:r>
      <w:r w:rsidR="002553CB" w:rsidRPr="00660A13">
        <w:rPr>
          <w:rFonts w:ascii="Open Sans" w:hAnsi="Open Sans" w:cs="Open Sans"/>
        </w:rPr>
        <w:t>he requirement to store</w:t>
      </w:r>
      <w:r w:rsidR="00FB44F5">
        <w:rPr>
          <w:rFonts w:ascii="Open Sans" w:hAnsi="Open Sans" w:cs="Open Sans"/>
        </w:rPr>
        <w:t xml:space="preserve"> the</w:t>
      </w:r>
      <w:r w:rsidR="002553CB" w:rsidRPr="00660A13">
        <w:rPr>
          <w:rFonts w:ascii="Open Sans" w:hAnsi="Open Sans" w:cs="Open Sans"/>
        </w:rPr>
        <w:t xml:space="preserve"> communications data o</w:t>
      </w:r>
      <w:r w:rsidR="00FB44F5">
        <w:rPr>
          <w:rFonts w:ascii="Open Sans" w:hAnsi="Open Sans" w:cs="Open Sans"/>
        </w:rPr>
        <w:t>f</w:t>
      </w:r>
      <w:r w:rsidR="002553CB" w:rsidRPr="00660A13">
        <w:rPr>
          <w:rFonts w:ascii="Open Sans" w:hAnsi="Open Sans" w:cs="Open Sans"/>
        </w:rPr>
        <w:t xml:space="preserve"> </w:t>
      </w:r>
      <w:proofErr w:type="gramStart"/>
      <w:r w:rsidR="002553CB" w:rsidRPr="00660A13">
        <w:rPr>
          <w:rFonts w:ascii="Open Sans" w:hAnsi="Open Sans" w:cs="Open Sans"/>
        </w:rPr>
        <w:t>each and every</w:t>
      </w:r>
      <w:proofErr w:type="gramEnd"/>
      <w:r w:rsidR="002553CB" w:rsidRPr="00660A13">
        <w:rPr>
          <w:rFonts w:ascii="Open Sans" w:hAnsi="Open Sans" w:cs="Open Sans"/>
        </w:rPr>
        <w:t xml:space="preserve"> customer</w:t>
      </w:r>
      <w:r w:rsidR="00E873F3">
        <w:rPr>
          <w:rFonts w:ascii="Open Sans" w:hAnsi="Open Sans" w:cs="Open Sans"/>
        </w:rPr>
        <w:t>,</w:t>
      </w:r>
      <w:r w:rsidR="002553CB" w:rsidRPr="00660A13">
        <w:rPr>
          <w:rFonts w:ascii="Open Sans" w:hAnsi="Open Sans" w:cs="Open Sans"/>
        </w:rPr>
        <w:t xml:space="preserve"> just in case that data is needed for law enforcement purposes</w:t>
      </w:r>
      <w:r w:rsidR="000E71E7">
        <w:rPr>
          <w:rFonts w:ascii="Open Sans" w:hAnsi="Open Sans" w:cs="Open Sans"/>
        </w:rPr>
        <w:t>,</w:t>
      </w:r>
      <w:r w:rsidR="002553CB" w:rsidRPr="00660A13">
        <w:rPr>
          <w:rFonts w:ascii="Open Sans" w:hAnsi="Open Sans" w:cs="Open Sans"/>
        </w:rPr>
        <w:t xml:space="preserve"> is a significant intrusion on the right to privacy</w:t>
      </w:r>
      <w:r w:rsidR="00A339F9" w:rsidRPr="00660A13">
        <w:rPr>
          <w:rFonts w:ascii="Open Sans" w:hAnsi="Open Sans" w:cs="Open Sans"/>
        </w:rPr>
        <w:t xml:space="preserve"> and justifies a warrant system for access to it. </w:t>
      </w:r>
      <w:r w:rsidR="000272C7">
        <w:rPr>
          <w:rFonts w:ascii="Open Sans" w:hAnsi="Open Sans" w:cs="Open Sans"/>
        </w:rPr>
        <w:t>The fact that the</w:t>
      </w:r>
      <w:r w:rsidR="007A1C77">
        <w:rPr>
          <w:rFonts w:ascii="Open Sans" w:hAnsi="Open Sans" w:cs="Open Sans"/>
        </w:rPr>
        <w:t>re is no specific, identified law</w:t>
      </w:r>
      <w:r w:rsidR="000E71E7">
        <w:rPr>
          <w:rFonts w:ascii="Open Sans" w:hAnsi="Open Sans" w:cs="Open Sans"/>
        </w:rPr>
        <w:t>-</w:t>
      </w:r>
      <w:r w:rsidR="007A1C77">
        <w:rPr>
          <w:rFonts w:ascii="Open Sans" w:hAnsi="Open Sans" w:cs="Open Sans"/>
        </w:rPr>
        <w:t xml:space="preserve">enforcement purpose for the retention of such data further suggests that this might be a disproportionate interference </w:t>
      </w:r>
      <w:r w:rsidR="000E71E7">
        <w:rPr>
          <w:rFonts w:ascii="Open Sans" w:hAnsi="Open Sans" w:cs="Open Sans"/>
        </w:rPr>
        <w:t>with</w:t>
      </w:r>
      <w:r w:rsidR="007A1C77">
        <w:rPr>
          <w:rFonts w:ascii="Open Sans" w:hAnsi="Open Sans" w:cs="Open Sans"/>
        </w:rPr>
        <w:t xml:space="preserve"> privacy.</w:t>
      </w:r>
    </w:p>
    <w:p w14:paraId="75E819D0" w14:textId="5E7351C9" w:rsidR="0080314D" w:rsidRPr="00660A13" w:rsidRDefault="00270832"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The Commission notes the evidence received by the PJCIS from law-enforcement agencies during its inquiry into the Bill</w:t>
      </w:r>
      <w:r w:rsidR="007A1C77">
        <w:rPr>
          <w:rFonts w:ascii="Open Sans" w:hAnsi="Open Sans" w:cs="Open Sans"/>
        </w:rPr>
        <w:t>, which</w:t>
      </w:r>
      <w:r w:rsidRPr="00660A13">
        <w:rPr>
          <w:rFonts w:ascii="Open Sans" w:hAnsi="Open Sans" w:cs="Open Sans"/>
        </w:rPr>
        <w:t xml:space="preserve"> suggested that a warrant regime would impose an undue administrative burden on their operations.</w:t>
      </w:r>
      <w:r w:rsidRPr="00660A13">
        <w:rPr>
          <w:rStyle w:val="EndnoteReference"/>
          <w:rFonts w:ascii="Open Sans" w:hAnsi="Open Sans" w:cs="Open Sans"/>
        </w:rPr>
        <w:endnoteReference w:id="51"/>
      </w:r>
      <w:r w:rsidRPr="00660A13">
        <w:rPr>
          <w:rFonts w:ascii="Open Sans" w:hAnsi="Open Sans" w:cs="Open Sans"/>
        </w:rPr>
        <w:t xml:space="preserve"> It is true that administrative safeguards against the potential for misuse of compulsory powers require time and effort to comply with. </w:t>
      </w:r>
      <w:r w:rsidR="0080314D" w:rsidRPr="00660A13">
        <w:rPr>
          <w:rFonts w:ascii="Open Sans" w:hAnsi="Open Sans" w:cs="Open Sans"/>
        </w:rPr>
        <w:lastRenderedPageBreak/>
        <w:t>However, w</w:t>
      </w:r>
      <w:r w:rsidRPr="00660A13">
        <w:rPr>
          <w:rFonts w:ascii="Open Sans" w:hAnsi="Open Sans" w:cs="Open Sans"/>
        </w:rPr>
        <w:t>arrants are a familiar part of the existing investigatory process for criminal law-enforcement agencies</w:t>
      </w:r>
      <w:r w:rsidR="00362E40" w:rsidRPr="00660A13">
        <w:rPr>
          <w:rFonts w:ascii="Open Sans" w:hAnsi="Open Sans" w:cs="Open Sans"/>
        </w:rPr>
        <w:t xml:space="preserve">. </w:t>
      </w:r>
    </w:p>
    <w:p w14:paraId="12C4DDEE" w14:textId="775508B6" w:rsidR="00270832" w:rsidRPr="00660A13" w:rsidRDefault="0080314D"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Agencies also </w:t>
      </w:r>
      <w:r w:rsidR="00AE19DC" w:rsidRPr="00660A13">
        <w:rPr>
          <w:rFonts w:ascii="Open Sans" w:hAnsi="Open Sans" w:cs="Open Sans"/>
        </w:rPr>
        <w:t xml:space="preserve">resisted calls for a warrant regime on the basis </w:t>
      </w:r>
      <w:r w:rsidRPr="00660A13">
        <w:rPr>
          <w:rFonts w:ascii="Open Sans" w:hAnsi="Open Sans" w:cs="Open Sans"/>
        </w:rPr>
        <w:t>that communications data may be required for the investigation of serious offences. However, t</w:t>
      </w:r>
      <w:r w:rsidR="00B348DC" w:rsidRPr="00660A13">
        <w:rPr>
          <w:rFonts w:ascii="Open Sans" w:hAnsi="Open Sans" w:cs="Open Sans"/>
        </w:rPr>
        <w:t xml:space="preserve">he fact that an agency is investigating a serious offence does not absolve it of the obligation to satisfy any </w:t>
      </w:r>
      <w:r w:rsidRPr="00660A13">
        <w:rPr>
          <w:rFonts w:ascii="Open Sans" w:hAnsi="Open Sans" w:cs="Open Sans"/>
        </w:rPr>
        <w:t xml:space="preserve">other existing </w:t>
      </w:r>
      <w:r w:rsidR="00B348DC" w:rsidRPr="00660A13">
        <w:rPr>
          <w:rFonts w:ascii="Open Sans" w:hAnsi="Open Sans" w:cs="Open Sans"/>
        </w:rPr>
        <w:t xml:space="preserve">warrant requirements, for example in relation to access to premises or access to the content of telecommunications. </w:t>
      </w:r>
    </w:p>
    <w:p w14:paraId="1F1D171C" w14:textId="5549A5E5" w:rsidR="00362E40" w:rsidRPr="00660A13" w:rsidRDefault="00362E40"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The Commission considers that a warrant regime would apply the appropriate degree of oversight to a regime that has a high impact on privacy. It may also have the effect of rationalising the </w:t>
      </w:r>
      <w:r w:rsidR="00B348DC" w:rsidRPr="00660A13">
        <w:rPr>
          <w:rFonts w:ascii="Open Sans" w:hAnsi="Open Sans" w:cs="Open Sans"/>
        </w:rPr>
        <w:t xml:space="preserve">number of times that retained communications data is accessed. For example, it may be less likely that access would be sought for the purpose of investigating traffic infringements, and more likely that the powers </w:t>
      </w:r>
      <w:r w:rsidR="0080314D" w:rsidRPr="00660A13">
        <w:rPr>
          <w:rFonts w:ascii="Open Sans" w:hAnsi="Open Sans" w:cs="Open Sans"/>
        </w:rPr>
        <w:t xml:space="preserve">would be </w:t>
      </w:r>
      <w:r w:rsidR="00B348DC" w:rsidRPr="00660A13">
        <w:rPr>
          <w:rFonts w:ascii="Open Sans" w:hAnsi="Open Sans" w:cs="Open Sans"/>
        </w:rPr>
        <w:t>reserved for more serious offences.</w:t>
      </w:r>
      <w:r w:rsidR="0080314D" w:rsidRPr="00660A13">
        <w:rPr>
          <w:rFonts w:ascii="Open Sans" w:hAnsi="Open Sans" w:cs="Open Sans"/>
        </w:rPr>
        <w:t xml:space="preserve"> This would limit the potential additional administrative burden on agencies. While the investigation of serious offences may require warrants to be prepared on short notice, this is no different to the requirement</w:t>
      </w:r>
      <w:r w:rsidR="00AE19DC" w:rsidRPr="00660A13">
        <w:rPr>
          <w:rFonts w:ascii="Open Sans" w:hAnsi="Open Sans" w:cs="Open Sans"/>
        </w:rPr>
        <w:t>s</w:t>
      </w:r>
      <w:r w:rsidR="0080314D" w:rsidRPr="00660A13">
        <w:rPr>
          <w:rFonts w:ascii="Open Sans" w:hAnsi="Open Sans" w:cs="Open Sans"/>
        </w:rPr>
        <w:t xml:space="preserve"> that applies in relation to </w:t>
      </w:r>
      <w:r w:rsidR="00AE19DC" w:rsidRPr="00660A13">
        <w:rPr>
          <w:rFonts w:ascii="Open Sans" w:hAnsi="Open Sans" w:cs="Open Sans"/>
        </w:rPr>
        <w:t>other warrants required for such investigations.</w:t>
      </w:r>
    </w:p>
    <w:p w14:paraId="42D32091" w14:textId="0915784B" w:rsidR="007E0330" w:rsidRPr="00660A13" w:rsidRDefault="001B24F2"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 xml:space="preserve">While safeguards, such as this </w:t>
      </w:r>
      <w:r w:rsidR="000E71E7">
        <w:rPr>
          <w:rFonts w:ascii="Open Sans" w:hAnsi="Open Sans" w:cs="Open Sans"/>
        </w:rPr>
        <w:t>three</w:t>
      </w:r>
      <w:r w:rsidR="00237BF4" w:rsidRPr="00660A13">
        <w:rPr>
          <w:rFonts w:ascii="Open Sans" w:hAnsi="Open Sans" w:cs="Open Sans"/>
        </w:rPr>
        <w:t xml:space="preserve">-year </w:t>
      </w:r>
      <w:r w:rsidRPr="00660A13">
        <w:rPr>
          <w:rFonts w:ascii="Open Sans" w:hAnsi="Open Sans" w:cs="Open Sans"/>
        </w:rPr>
        <w:t xml:space="preserve">PJCIS Review, and the Commonwealth Ombudsman’s oversight of the regime, </w:t>
      </w:r>
      <w:r w:rsidR="00DC73DE" w:rsidRPr="00660A13">
        <w:rPr>
          <w:rFonts w:ascii="Open Sans" w:hAnsi="Open Sans" w:cs="Open Sans"/>
        </w:rPr>
        <w:t>are important checks</w:t>
      </w:r>
      <w:r w:rsidR="00374B06" w:rsidRPr="00660A13">
        <w:rPr>
          <w:rFonts w:ascii="Open Sans" w:hAnsi="Open Sans" w:cs="Open Sans"/>
        </w:rPr>
        <w:t xml:space="preserve"> on the scheme</w:t>
      </w:r>
      <w:r w:rsidR="00DC73DE" w:rsidRPr="00660A13">
        <w:rPr>
          <w:rFonts w:ascii="Open Sans" w:hAnsi="Open Sans" w:cs="Open Sans"/>
        </w:rPr>
        <w:t xml:space="preserve">, they are </w:t>
      </w:r>
      <w:r w:rsidR="007E0330" w:rsidRPr="00660A13">
        <w:rPr>
          <w:rFonts w:ascii="Open Sans" w:hAnsi="Open Sans" w:cs="Open Sans"/>
        </w:rPr>
        <w:t xml:space="preserve">directed at reviewing access powers after they have been exercised. </w:t>
      </w:r>
      <w:r w:rsidR="00025D42" w:rsidRPr="00660A13">
        <w:rPr>
          <w:rFonts w:ascii="Open Sans" w:hAnsi="Open Sans" w:cs="Open Sans"/>
        </w:rPr>
        <w:t>T</w:t>
      </w:r>
      <w:r w:rsidR="007E0330" w:rsidRPr="00660A13">
        <w:rPr>
          <w:rFonts w:ascii="Open Sans" w:hAnsi="Open Sans" w:cs="Open Sans"/>
        </w:rPr>
        <w:t xml:space="preserve">he Commission considers that </w:t>
      </w:r>
      <w:r w:rsidR="00555A8B" w:rsidRPr="00660A13">
        <w:rPr>
          <w:rFonts w:ascii="Open Sans" w:hAnsi="Open Sans" w:cs="Open Sans"/>
        </w:rPr>
        <w:t xml:space="preserve">a warrant or authorisation system for access to retained </w:t>
      </w:r>
      <w:r w:rsidR="000A2C25" w:rsidRPr="00660A13">
        <w:rPr>
          <w:rFonts w:ascii="Open Sans" w:hAnsi="Open Sans" w:cs="Open Sans"/>
        </w:rPr>
        <w:t xml:space="preserve">communications </w:t>
      </w:r>
      <w:r w:rsidR="00555A8B" w:rsidRPr="00660A13">
        <w:rPr>
          <w:rFonts w:ascii="Open Sans" w:hAnsi="Open Sans" w:cs="Open Sans"/>
        </w:rPr>
        <w:t xml:space="preserve">data </w:t>
      </w:r>
      <w:r w:rsidR="007E0330" w:rsidRPr="00660A13">
        <w:rPr>
          <w:rFonts w:ascii="Open Sans" w:hAnsi="Open Sans" w:cs="Open Sans"/>
        </w:rPr>
        <w:t>by a court or administrative body provides a more effective safeguard to ensure that the right to privacy</w:t>
      </w:r>
      <w:r w:rsidR="00237BF4" w:rsidRPr="00660A13">
        <w:rPr>
          <w:rFonts w:ascii="Open Sans" w:hAnsi="Open Sans" w:cs="Open Sans"/>
        </w:rPr>
        <w:t xml:space="preserve"> and freedom of expression</w:t>
      </w:r>
      <w:r w:rsidR="007E0330" w:rsidRPr="00660A13">
        <w:rPr>
          <w:rFonts w:ascii="Open Sans" w:hAnsi="Open Sans" w:cs="Open Sans"/>
        </w:rPr>
        <w:t xml:space="preserve"> is only limited where strictly necessary. </w:t>
      </w:r>
    </w:p>
    <w:p w14:paraId="79E0046A" w14:textId="77777777" w:rsidR="00907897" w:rsidRPr="00660A13" w:rsidRDefault="00907897" w:rsidP="00316F66">
      <w:pPr>
        <w:pStyle w:val="SubmissionNormal"/>
        <w:keepNext/>
        <w:numPr>
          <w:ilvl w:val="0"/>
          <w:numId w:val="0"/>
        </w:numPr>
        <w:spacing w:after="120"/>
        <w:ind w:left="567"/>
        <w:rPr>
          <w:rFonts w:ascii="Open Sans" w:hAnsi="Open Sans" w:cs="Open Sans"/>
          <w:b/>
          <w:bCs/>
        </w:rPr>
      </w:pPr>
      <w:r w:rsidRPr="00660A13">
        <w:rPr>
          <w:rFonts w:ascii="Open Sans" w:hAnsi="Open Sans" w:cs="Open Sans"/>
          <w:b/>
          <w:bCs/>
        </w:rPr>
        <w:t>Recommendation 4</w:t>
      </w:r>
    </w:p>
    <w:p w14:paraId="0F21987A" w14:textId="4FCB9C8B" w:rsidR="00907897" w:rsidRPr="00660A13" w:rsidRDefault="00907897" w:rsidP="00316F66">
      <w:pPr>
        <w:pStyle w:val="SubmissionNormal"/>
        <w:numPr>
          <w:ilvl w:val="0"/>
          <w:numId w:val="0"/>
        </w:numPr>
        <w:spacing w:before="120"/>
        <w:ind w:left="567"/>
        <w:rPr>
          <w:rFonts w:ascii="Open Sans" w:hAnsi="Open Sans" w:cs="Open Sans"/>
        </w:rPr>
      </w:pPr>
      <w:r w:rsidRPr="00660A13">
        <w:rPr>
          <w:rFonts w:ascii="Open Sans" w:hAnsi="Open Sans" w:cs="Open Sans"/>
        </w:rPr>
        <w:t>The Commission recommends that a warrant or authorisation system by a court or</w:t>
      </w:r>
      <w:r w:rsidR="00A4586F">
        <w:rPr>
          <w:rFonts w:ascii="Open Sans" w:hAnsi="Open Sans" w:cs="Open Sans"/>
        </w:rPr>
        <w:t xml:space="preserve"> independent</w:t>
      </w:r>
      <w:r w:rsidRPr="00660A13">
        <w:rPr>
          <w:rFonts w:ascii="Open Sans" w:hAnsi="Open Sans" w:cs="Open Sans"/>
        </w:rPr>
        <w:t xml:space="preserve"> administrative body</w:t>
      </w:r>
      <w:r w:rsidR="00A4586F">
        <w:rPr>
          <w:rFonts w:ascii="Open Sans" w:hAnsi="Open Sans" w:cs="Open Sans"/>
        </w:rPr>
        <w:t>, such as a tribunal,</w:t>
      </w:r>
      <w:r w:rsidRPr="00660A13">
        <w:rPr>
          <w:rFonts w:ascii="Open Sans" w:hAnsi="Open Sans" w:cs="Open Sans"/>
        </w:rPr>
        <w:t xml:space="preserve"> be implemented for access to retained communications data.</w:t>
      </w:r>
    </w:p>
    <w:p w14:paraId="5187C10B" w14:textId="06A2B3B7" w:rsidR="00150298" w:rsidRPr="00660A13" w:rsidRDefault="00150298"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The Commission no</w:t>
      </w:r>
      <w:r w:rsidR="001B24F2" w:rsidRPr="00660A13">
        <w:rPr>
          <w:rFonts w:ascii="Open Sans" w:hAnsi="Open Sans" w:cs="Open Sans"/>
        </w:rPr>
        <w:t>tes that if recommendation</w:t>
      </w:r>
      <w:r w:rsidR="00237BF4" w:rsidRPr="00660A13">
        <w:rPr>
          <w:rFonts w:ascii="Open Sans" w:hAnsi="Open Sans" w:cs="Open Sans"/>
        </w:rPr>
        <w:t>s</w:t>
      </w:r>
      <w:r w:rsidR="001B24F2" w:rsidRPr="00660A13">
        <w:rPr>
          <w:rFonts w:ascii="Open Sans" w:hAnsi="Open Sans" w:cs="Open Sans"/>
        </w:rPr>
        <w:t xml:space="preserve"> </w:t>
      </w:r>
      <w:r w:rsidR="00237BF4" w:rsidRPr="00660A13">
        <w:rPr>
          <w:rFonts w:ascii="Open Sans" w:hAnsi="Open Sans" w:cs="Open Sans"/>
        </w:rPr>
        <w:t>2 and 3</w:t>
      </w:r>
      <w:r w:rsidRPr="00660A13">
        <w:rPr>
          <w:rFonts w:ascii="Open Sans" w:hAnsi="Open Sans" w:cs="Open Sans"/>
        </w:rPr>
        <w:t xml:space="preserve"> </w:t>
      </w:r>
      <w:r w:rsidR="00237BF4" w:rsidRPr="00660A13">
        <w:rPr>
          <w:rFonts w:ascii="Open Sans" w:hAnsi="Open Sans" w:cs="Open Sans"/>
        </w:rPr>
        <w:t>are</w:t>
      </w:r>
      <w:r w:rsidRPr="00660A13">
        <w:rPr>
          <w:rFonts w:ascii="Open Sans" w:hAnsi="Open Sans" w:cs="Open Sans"/>
        </w:rPr>
        <w:t xml:space="preserve"> not </w:t>
      </w:r>
      <w:r w:rsidR="001B24F2" w:rsidRPr="00660A13">
        <w:rPr>
          <w:rFonts w:ascii="Open Sans" w:hAnsi="Open Sans" w:cs="Open Sans"/>
        </w:rPr>
        <w:t xml:space="preserve">adopted, then recommendation </w:t>
      </w:r>
      <w:r w:rsidR="00025D42" w:rsidRPr="00660A13">
        <w:rPr>
          <w:rFonts w:ascii="Open Sans" w:hAnsi="Open Sans" w:cs="Open Sans"/>
        </w:rPr>
        <w:t>4</w:t>
      </w:r>
      <w:r w:rsidRPr="00660A13">
        <w:rPr>
          <w:rFonts w:ascii="Open Sans" w:hAnsi="Open Sans" w:cs="Open Sans"/>
        </w:rPr>
        <w:t xml:space="preserve"> carries much greater importance. </w:t>
      </w:r>
    </w:p>
    <w:p w14:paraId="6005A659" w14:textId="4ED6F014" w:rsidR="00601DE4" w:rsidRPr="00660A13" w:rsidRDefault="00237BF4" w:rsidP="006717FF">
      <w:pPr>
        <w:pStyle w:val="SubmissionNormal"/>
        <w:tabs>
          <w:tab w:val="clear" w:pos="360"/>
          <w:tab w:val="num" w:pos="567"/>
        </w:tabs>
        <w:ind w:left="567" w:hanging="567"/>
        <w:rPr>
          <w:rFonts w:ascii="Open Sans" w:hAnsi="Open Sans" w:cs="Open Sans"/>
        </w:rPr>
      </w:pPr>
      <w:r w:rsidRPr="00660A13">
        <w:rPr>
          <w:rFonts w:ascii="Open Sans" w:hAnsi="Open Sans" w:cs="Open Sans"/>
        </w:rPr>
        <w:t>As in our earlier submission, t</w:t>
      </w:r>
      <w:r w:rsidR="00601DE4" w:rsidRPr="00660A13">
        <w:rPr>
          <w:rFonts w:ascii="Open Sans" w:hAnsi="Open Sans" w:cs="Open Sans"/>
        </w:rPr>
        <w:t xml:space="preserve">he Commission </w:t>
      </w:r>
      <w:r w:rsidRPr="00660A13">
        <w:rPr>
          <w:rFonts w:ascii="Open Sans" w:hAnsi="Open Sans" w:cs="Open Sans"/>
        </w:rPr>
        <w:t>continues to</w:t>
      </w:r>
      <w:r w:rsidR="00601DE4" w:rsidRPr="00660A13">
        <w:rPr>
          <w:rFonts w:ascii="Open Sans" w:hAnsi="Open Sans" w:cs="Open Sans"/>
        </w:rPr>
        <w:t xml:space="preserve"> </w:t>
      </w:r>
      <w:r w:rsidR="000D6B21">
        <w:rPr>
          <w:rFonts w:ascii="Open Sans" w:hAnsi="Open Sans" w:cs="Open Sans"/>
        </w:rPr>
        <w:t xml:space="preserve">urge that </w:t>
      </w:r>
      <w:r w:rsidR="00601DE4" w:rsidRPr="00660A13">
        <w:rPr>
          <w:rFonts w:ascii="Open Sans" w:hAnsi="Open Sans" w:cs="Open Sans"/>
        </w:rPr>
        <w:t xml:space="preserve">penalties </w:t>
      </w:r>
      <w:r w:rsidR="000D6B21">
        <w:rPr>
          <w:rFonts w:ascii="Open Sans" w:hAnsi="Open Sans" w:cs="Open Sans"/>
        </w:rPr>
        <w:t xml:space="preserve">should apply </w:t>
      </w:r>
      <w:r w:rsidR="00601DE4" w:rsidRPr="00660A13">
        <w:rPr>
          <w:rFonts w:ascii="Open Sans" w:hAnsi="Open Sans" w:cs="Open Sans"/>
        </w:rPr>
        <w:t xml:space="preserve">for inappropriate access </w:t>
      </w:r>
      <w:r w:rsidR="00AB6D6C" w:rsidRPr="00660A13">
        <w:rPr>
          <w:rFonts w:ascii="Open Sans" w:hAnsi="Open Sans" w:cs="Open Sans"/>
        </w:rPr>
        <w:t xml:space="preserve">to </w:t>
      </w:r>
      <w:r w:rsidR="00601DE4" w:rsidRPr="00660A13">
        <w:rPr>
          <w:rFonts w:ascii="Open Sans" w:hAnsi="Open Sans" w:cs="Open Sans"/>
        </w:rPr>
        <w:t xml:space="preserve">and misuse of </w:t>
      </w:r>
      <w:r w:rsidR="000E3E57">
        <w:rPr>
          <w:rFonts w:ascii="Open Sans" w:hAnsi="Open Sans" w:cs="Open Sans"/>
        </w:rPr>
        <w:t xml:space="preserve">personal </w:t>
      </w:r>
      <w:r w:rsidR="00601DE4" w:rsidRPr="00660A13">
        <w:rPr>
          <w:rFonts w:ascii="Open Sans" w:hAnsi="Open Sans" w:cs="Open Sans"/>
        </w:rPr>
        <w:t xml:space="preserve">data. </w:t>
      </w:r>
    </w:p>
    <w:p w14:paraId="53CB9EFD" w14:textId="77777777" w:rsidR="00244730" w:rsidRPr="00660A13" w:rsidRDefault="00244730" w:rsidP="00244730">
      <w:pPr>
        <w:rPr>
          <w:rFonts w:ascii="Open Sans" w:hAnsi="Open Sans" w:cs="Open Sans"/>
        </w:rPr>
      </w:pPr>
    </w:p>
    <w:sectPr w:rsidR="00244730" w:rsidRPr="00660A13"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AD3F" w14:textId="77777777" w:rsidR="00FC6858" w:rsidRDefault="00FC6858" w:rsidP="00F14C6D">
      <w:r>
        <w:separator/>
      </w:r>
    </w:p>
  </w:endnote>
  <w:endnote w:type="continuationSeparator" w:id="0">
    <w:p w14:paraId="28C11EAC" w14:textId="77777777" w:rsidR="00FC6858" w:rsidRDefault="00FC6858" w:rsidP="00F14C6D">
      <w:r>
        <w:continuationSeparator/>
      </w:r>
    </w:p>
  </w:endnote>
  <w:endnote w:id="1">
    <w:p w14:paraId="51B4E1F0" w14:textId="309757B0" w:rsidR="00324243" w:rsidRPr="00C545CD" w:rsidRDefault="00324243" w:rsidP="00E46A2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i/>
          <w:iCs/>
        </w:rPr>
        <w:t xml:space="preserve"> </w:t>
      </w:r>
      <w:r w:rsidRPr="00C545CD">
        <w:rPr>
          <w:rFonts w:ascii="Open Sans" w:hAnsi="Open Sans" w:cs="Open Sans"/>
          <w:lang w:val="en-US"/>
        </w:rPr>
        <w:t>Australian Human Rights Commission</w:t>
      </w:r>
      <w:r w:rsidR="00B8009D">
        <w:rPr>
          <w:rFonts w:ascii="Open Sans" w:hAnsi="Open Sans" w:cs="Open Sans"/>
          <w:lang w:val="en-US"/>
        </w:rPr>
        <w:t xml:space="preserve"> (Commission)</w:t>
      </w:r>
      <w:r w:rsidRPr="00C545CD">
        <w:rPr>
          <w:rFonts w:ascii="Open Sans" w:hAnsi="Open Sans" w:cs="Open Sans"/>
          <w:lang w:val="en-US"/>
        </w:rPr>
        <w:t xml:space="preserve">, Submission No 42 to the Parliamentary Joint Committee on Intelligence and Security, </w:t>
      </w:r>
      <w:r w:rsidRPr="00C545CD">
        <w:rPr>
          <w:rFonts w:ascii="Open Sans" w:hAnsi="Open Sans" w:cs="Open Sans"/>
          <w:bCs/>
          <w:i/>
          <w:lang w:val="en-US"/>
        </w:rPr>
        <w:t>Inquiry into the Telecommunications (Interception and Access) Amendment (Data Retention) Bill 2014</w:t>
      </w:r>
      <w:r w:rsidRPr="00C545CD">
        <w:rPr>
          <w:rFonts w:ascii="Open Sans" w:hAnsi="Open Sans" w:cs="Open Sans"/>
          <w:bCs/>
          <w:lang w:val="en-US"/>
        </w:rPr>
        <w:t xml:space="preserve"> (</w:t>
      </w:r>
      <w:r w:rsidRPr="00C545CD">
        <w:rPr>
          <w:rFonts w:ascii="Open Sans" w:hAnsi="Open Sans" w:cs="Open Sans"/>
          <w:lang w:val="en-US"/>
        </w:rPr>
        <w:t>2015) &lt;</w:t>
      </w:r>
      <w:hyperlink r:id="rId1" w:history="1">
        <w:r w:rsidR="009C62E0" w:rsidRPr="003631F7">
          <w:rPr>
            <w:rStyle w:val="Hyperlink"/>
            <w:rFonts w:ascii="Open Sans" w:hAnsi="Open Sans" w:cs="Open Sans"/>
          </w:rPr>
          <w:t>https://www.aph.gov.au/Parliamentary_Business/Committees/Joint/Intelligence_and_Security/Data_Retention/Submissions</w:t>
        </w:r>
      </w:hyperlink>
      <w:r w:rsidRPr="00C545CD">
        <w:rPr>
          <w:rFonts w:ascii="Open Sans" w:hAnsi="Open Sans" w:cs="Open Sans"/>
        </w:rPr>
        <w:t>&gt;.</w:t>
      </w:r>
    </w:p>
  </w:endnote>
  <w:endnote w:id="2">
    <w:p w14:paraId="5BF24A1B" w14:textId="5A6EBF43" w:rsidR="00324243" w:rsidRPr="00C545CD" w:rsidRDefault="00324243" w:rsidP="00C33E00">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i/>
          <w:iCs/>
        </w:rPr>
        <w:t xml:space="preserve"> </w:t>
      </w:r>
      <w:r w:rsidRPr="00C545CD">
        <w:rPr>
          <w:rFonts w:ascii="Open Sans" w:hAnsi="Open Sans" w:cs="Open Sans"/>
          <w:lang w:val="en-US"/>
        </w:rPr>
        <w:t xml:space="preserve">See </w:t>
      </w:r>
      <w:proofErr w:type="spellStart"/>
      <w:r w:rsidRPr="00C545CD">
        <w:rPr>
          <w:rFonts w:ascii="Open Sans" w:hAnsi="Open Sans" w:cs="Open Sans"/>
          <w:lang w:val="en-US"/>
        </w:rPr>
        <w:t>eg</w:t>
      </w:r>
      <w:proofErr w:type="spellEnd"/>
      <w:r w:rsidR="00D91D27">
        <w:rPr>
          <w:rFonts w:ascii="Open Sans" w:hAnsi="Open Sans" w:cs="Open Sans"/>
          <w:lang w:val="en-US"/>
        </w:rPr>
        <w:t>,</w:t>
      </w:r>
      <w:r w:rsidRPr="00C545CD">
        <w:rPr>
          <w:rFonts w:ascii="Open Sans" w:hAnsi="Open Sans" w:cs="Open Sans"/>
          <w:lang w:val="en-US"/>
        </w:rPr>
        <w:t xml:space="preserve"> </w:t>
      </w:r>
      <w:r w:rsidRPr="00C545CD">
        <w:rPr>
          <w:rFonts w:ascii="Open Sans" w:hAnsi="Open Sans" w:cs="Open Sans"/>
        </w:rPr>
        <w:t>Statement of Compatibility, Telecommunications (Interception and Access) Amendment (Data Retention) Bill 2014 (</w:t>
      </w:r>
      <w:proofErr w:type="spellStart"/>
      <w:r w:rsidRPr="00C545CD">
        <w:rPr>
          <w:rFonts w:ascii="Open Sans" w:hAnsi="Open Sans" w:cs="Open Sans"/>
        </w:rPr>
        <w:t>Cth</w:t>
      </w:r>
      <w:proofErr w:type="spellEnd"/>
      <w:r w:rsidRPr="00C545CD">
        <w:rPr>
          <w:rFonts w:ascii="Open Sans" w:hAnsi="Open Sans" w:cs="Open Sans"/>
        </w:rPr>
        <w:t>) 10 [33]; Explanatory Memorandum, Telecommunications (Interception and Access) Amendment (Data Retention) Bill 2014 (</w:t>
      </w:r>
      <w:proofErr w:type="spellStart"/>
      <w:r w:rsidRPr="00C545CD">
        <w:rPr>
          <w:rFonts w:ascii="Open Sans" w:hAnsi="Open Sans" w:cs="Open Sans"/>
        </w:rPr>
        <w:t>Cth</w:t>
      </w:r>
      <w:proofErr w:type="spellEnd"/>
      <w:r w:rsidRPr="00C545CD">
        <w:rPr>
          <w:rFonts w:ascii="Open Sans" w:hAnsi="Open Sans" w:cs="Open Sans"/>
        </w:rPr>
        <w:t>)</w:t>
      </w:r>
      <w:r w:rsidR="00D91D27">
        <w:rPr>
          <w:rFonts w:ascii="Open Sans" w:hAnsi="Open Sans" w:cs="Open Sans"/>
        </w:rPr>
        <w:t>,</w:t>
      </w:r>
      <w:r w:rsidRPr="00C545CD">
        <w:rPr>
          <w:rFonts w:ascii="Open Sans" w:hAnsi="Open Sans" w:cs="Open Sans"/>
        </w:rPr>
        <w:t xml:space="preserve"> 28.</w:t>
      </w:r>
    </w:p>
  </w:endnote>
  <w:endnote w:id="3">
    <w:p w14:paraId="2D505280" w14:textId="39BDC591" w:rsidR="00324243" w:rsidRPr="00C545CD" w:rsidRDefault="00324243" w:rsidP="00123425">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iCs/>
        </w:rPr>
        <w:t>International Covenant on Civil and Political Rights</w:t>
      </w:r>
      <w:r w:rsidRPr="00C545CD">
        <w:rPr>
          <w:rFonts w:ascii="Open Sans" w:hAnsi="Open Sans" w:cs="Open Sans"/>
        </w:rPr>
        <w:t>, opened for signature 16 December 1966, 999 UNTS 171 (entered into force 23 March 1976) &lt;</w:t>
      </w:r>
      <w:hyperlink r:id="rId2" w:history="1">
        <w:r w:rsidRPr="00C545CD">
          <w:rPr>
            <w:rStyle w:val="Hyperlink"/>
            <w:rFonts w:ascii="Open Sans" w:hAnsi="Open Sans" w:cs="Open Sans"/>
          </w:rPr>
          <w:t>http://www.ohchr.org/EN/ProfessionalInterest/Pages/CCPR.aspx</w:t>
        </w:r>
      </w:hyperlink>
      <w:r w:rsidRPr="00C545CD">
        <w:rPr>
          <w:rFonts w:ascii="Open Sans" w:hAnsi="Open Sans" w:cs="Open Sans"/>
        </w:rPr>
        <w:t>&gt;.</w:t>
      </w:r>
    </w:p>
  </w:endnote>
  <w:endnote w:id="4">
    <w:p w14:paraId="6E47C888" w14:textId="5CBDCE6E" w:rsidR="00B02892" w:rsidRPr="00C545CD" w:rsidRDefault="00B02892">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Tele2 Sverige AB (C-203/15) and Secretary of State for the Home Department (C-698/15) v Post-</w:t>
      </w:r>
      <w:proofErr w:type="spellStart"/>
      <w:r w:rsidRPr="00C545CD">
        <w:rPr>
          <w:rFonts w:ascii="Open Sans" w:hAnsi="Open Sans" w:cs="Open Sans"/>
          <w:i/>
        </w:rPr>
        <w:t>och</w:t>
      </w:r>
      <w:proofErr w:type="spellEnd"/>
      <w:r w:rsidRPr="00C545CD">
        <w:rPr>
          <w:rFonts w:ascii="Open Sans" w:hAnsi="Open Sans" w:cs="Open Sans"/>
          <w:i/>
        </w:rPr>
        <w:t xml:space="preserve"> </w:t>
      </w:r>
      <w:proofErr w:type="spellStart"/>
      <w:r w:rsidRPr="00C545CD">
        <w:rPr>
          <w:rFonts w:ascii="Open Sans" w:hAnsi="Open Sans" w:cs="Open Sans"/>
          <w:i/>
        </w:rPr>
        <w:t>telestyrelsen</w:t>
      </w:r>
      <w:proofErr w:type="spellEnd"/>
      <w:r w:rsidRPr="00C545CD">
        <w:rPr>
          <w:rFonts w:ascii="Open Sans" w:hAnsi="Open Sans" w:cs="Open Sans"/>
          <w:i/>
        </w:rPr>
        <w:t xml:space="preserve"> and </w:t>
      </w:r>
      <w:proofErr w:type="spellStart"/>
      <w:r w:rsidRPr="00C545CD">
        <w:rPr>
          <w:rFonts w:ascii="Open Sans" w:hAnsi="Open Sans" w:cs="Open Sans"/>
          <w:i/>
        </w:rPr>
        <w:t>ors</w:t>
      </w:r>
      <w:proofErr w:type="spellEnd"/>
      <w:r w:rsidRPr="00C545CD">
        <w:rPr>
          <w:rFonts w:ascii="Open Sans" w:hAnsi="Open Sans" w:cs="Open Sans"/>
          <w:i/>
        </w:rPr>
        <w:t xml:space="preserve"> </w:t>
      </w:r>
      <w:r w:rsidRPr="00C545CD">
        <w:rPr>
          <w:rFonts w:ascii="Open Sans" w:hAnsi="Open Sans" w:cs="Open Sans"/>
          <w:iCs/>
        </w:rPr>
        <w:t>(21 December 2016)</w:t>
      </w:r>
      <w:r w:rsidR="00B8009D">
        <w:rPr>
          <w:rFonts w:ascii="Open Sans" w:hAnsi="Open Sans" w:cs="Open Sans"/>
          <w:iCs/>
        </w:rPr>
        <w:t xml:space="preserve"> (‘</w:t>
      </w:r>
      <w:r w:rsidR="00B8009D">
        <w:rPr>
          <w:rFonts w:ascii="Open Sans" w:hAnsi="Open Sans" w:cs="Open Sans"/>
          <w:i/>
        </w:rPr>
        <w:t>Tele2 Sverige AB</w:t>
      </w:r>
      <w:r w:rsidR="00B8009D">
        <w:rPr>
          <w:rFonts w:ascii="Open Sans" w:hAnsi="Open Sans" w:cs="Open Sans"/>
          <w:iCs/>
        </w:rPr>
        <w:t>’)</w:t>
      </w:r>
      <w:r w:rsidRPr="00C545CD">
        <w:rPr>
          <w:rFonts w:ascii="Open Sans" w:hAnsi="Open Sans" w:cs="Open Sans"/>
          <w:iCs/>
        </w:rPr>
        <w:t>.</w:t>
      </w:r>
    </w:p>
  </w:endnote>
  <w:endnote w:id="5">
    <w:p w14:paraId="6CAF02C2" w14:textId="4D712C2A"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Office of the United Nations High Commissioner for Human Rights</w:t>
      </w:r>
      <w:r w:rsidR="00C24B96">
        <w:rPr>
          <w:rFonts w:ascii="Open Sans" w:hAnsi="Open Sans" w:cs="Open Sans"/>
        </w:rPr>
        <w:t xml:space="preserve"> (</w:t>
      </w:r>
      <w:r w:rsidR="009C62E0">
        <w:rPr>
          <w:rFonts w:ascii="Open Sans" w:hAnsi="Open Sans" w:cs="Open Sans"/>
        </w:rPr>
        <w:t>‘</w:t>
      </w:r>
      <w:r w:rsidR="00C24B96">
        <w:rPr>
          <w:rFonts w:ascii="Open Sans" w:hAnsi="Open Sans" w:cs="Open Sans"/>
        </w:rPr>
        <w:t>OHCHR</w:t>
      </w:r>
      <w:r w:rsidR="009C62E0">
        <w:rPr>
          <w:rFonts w:ascii="Open Sans" w:hAnsi="Open Sans" w:cs="Open Sans"/>
        </w:rPr>
        <w:t>’</w:t>
      </w:r>
      <w:r w:rsidR="00C24B96">
        <w:rPr>
          <w:rFonts w:ascii="Open Sans" w:hAnsi="Open Sans" w:cs="Open Sans"/>
        </w:rPr>
        <w:t>)</w:t>
      </w:r>
      <w:r w:rsidRPr="00C545CD">
        <w:rPr>
          <w:rFonts w:ascii="Open Sans" w:hAnsi="Open Sans" w:cs="Open Sans"/>
        </w:rPr>
        <w:t xml:space="preserve">, </w:t>
      </w:r>
      <w:r w:rsidRPr="00C545CD">
        <w:rPr>
          <w:rFonts w:ascii="Open Sans" w:hAnsi="Open Sans" w:cs="Open Sans"/>
          <w:i/>
        </w:rPr>
        <w:t>The Right to Privacy in the Digital Age,</w:t>
      </w:r>
      <w:r w:rsidRPr="00C545CD">
        <w:rPr>
          <w:rFonts w:ascii="Open Sans" w:hAnsi="Open Sans" w:cs="Open Sans"/>
        </w:rPr>
        <w:t xml:space="preserve"> UN Doc A/HRC/27/37 (2014) [20].</w:t>
      </w:r>
    </w:p>
  </w:endnote>
  <w:endnote w:id="6">
    <w:p w14:paraId="1109CFFB" w14:textId="76C889A0"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That means that any limitations on the right must be provided for by law: see</w:t>
      </w:r>
      <w:r w:rsidR="00D91D27">
        <w:rPr>
          <w:rFonts w:ascii="Open Sans" w:hAnsi="Open Sans" w:cs="Open Sans"/>
        </w:rPr>
        <w:t>,</w:t>
      </w:r>
      <w:r w:rsidRPr="00C545CD">
        <w:rPr>
          <w:rFonts w:ascii="Open Sans" w:hAnsi="Open Sans" w:cs="Open Sans"/>
        </w:rPr>
        <w:t xml:space="preserve"> </w:t>
      </w:r>
      <w:r w:rsidRPr="00C545CD">
        <w:rPr>
          <w:rFonts w:ascii="Open Sans" w:hAnsi="Open Sans" w:cs="Open Sans"/>
          <w:i/>
        </w:rPr>
        <w:t>Weber and Saravia v Germany</w:t>
      </w:r>
      <w:r w:rsidRPr="00C545CD">
        <w:rPr>
          <w:rFonts w:ascii="Open Sans" w:hAnsi="Open Sans" w:cs="Open Sans"/>
        </w:rPr>
        <w:t>, application no. 54934/00, 29 June 2006.</w:t>
      </w:r>
    </w:p>
  </w:endnote>
  <w:endnote w:id="7">
    <w:p w14:paraId="407C7B45" w14:textId="41161E3F" w:rsidR="00324243" w:rsidRPr="00C545CD" w:rsidRDefault="00324243" w:rsidP="00BA7BD5">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U</w:t>
      </w:r>
      <w:r w:rsidR="00B8009D">
        <w:rPr>
          <w:rFonts w:ascii="Open Sans" w:hAnsi="Open Sans" w:cs="Open Sans"/>
        </w:rPr>
        <w:t xml:space="preserve">nited </w:t>
      </w:r>
      <w:r w:rsidR="00E836E5">
        <w:rPr>
          <w:rFonts w:ascii="Open Sans" w:hAnsi="Open Sans" w:cs="Open Sans"/>
        </w:rPr>
        <w:t>N</w:t>
      </w:r>
      <w:r w:rsidR="00B8009D">
        <w:rPr>
          <w:rFonts w:ascii="Open Sans" w:hAnsi="Open Sans" w:cs="Open Sans"/>
        </w:rPr>
        <w:t>ations</w:t>
      </w:r>
      <w:r w:rsidR="00E836E5">
        <w:rPr>
          <w:rFonts w:ascii="Open Sans" w:hAnsi="Open Sans" w:cs="Open Sans"/>
        </w:rPr>
        <w:t xml:space="preserve"> H</w:t>
      </w:r>
      <w:r w:rsidR="00B8009D">
        <w:rPr>
          <w:rFonts w:ascii="Open Sans" w:hAnsi="Open Sans" w:cs="Open Sans"/>
        </w:rPr>
        <w:t xml:space="preserve">uman </w:t>
      </w:r>
      <w:r w:rsidR="00E836E5">
        <w:rPr>
          <w:rFonts w:ascii="Open Sans" w:hAnsi="Open Sans" w:cs="Open Sans"/>
        </w:rPr>
        <w:t>R</w:t>
      </w:r>
      <w:r w:rsidR="00B8009D">
        <w:rPr>
          <w:rFonts w:ascii="Open Sans" w:hAnsi="Open Sans" w:cs="Open Sans"/>
        </w:rPr>
        <w:t>ights</w:t>
      </w:r>
      <w:r w:rsidRPr="00C545CD">
        <w:rPr>
          <w:rFonts w:ascii="Open Sans" w:hAnsi="Open Sans" w:cs="Open Sans"/>
        </w:rPr>
        <w:t xml:space="preserve"> Committee</w:t>
      </w:r>
      <w:r w:rsidR="00B8009D">
        <w:rPr>
          <w:rFonts w:ascii="Open Sans" w:hAnsi="Open Sans" w:cs="Open Sans"/>
        </w:rPr>
        <w:t xml:space="preserve"> (</w:t>
      </w:r>
      <w:r w:rsidR="009C62E0">
        <w:rPr>
          <w:rFonts w:ascii="Open Sans" w:hAnsi="Open Sans" w:cs="Open Sans"/>
        </w:rPr>
        <w:t>‘</w:t>
      </w:r>
      <w:r w:rsidR="00B8009D">
        <w:rPr>
          <w:rFonts w:ascii="Open Sans" w:hAnsi="Open Sans" w:cs="Open Sans"/>
        </w:rPr>
        <w:t>UN HR Committee</w:t>
      </w:r>
      <w:r w:rsidR="009C62E0">
        <w:rPr>
          <w:rFonts w:ascii="Open Sans" w:hAnsi="Open Sans" w:cs="Open Sans"/>
        </w:rPr>
        <w:t>’</w:t>
      </w:r>
      <w:r w:rsidR="00B8009D">
        <w:rPr>
          <w:rFonts w:ascii="Open Sans" w:hAnsi="Open Sans" w:cs="Open Sans"/>
        </w:rPr>
        <w:t>)</w:t>
      </w:r>
      <w:r w:rsidRPr="00C545CD">
        <w:rPr>
          <w:rFonts w:ascii="Open Sans" w:hAnsi="Open Sans" w:cs="Open Sans"/>
        </w:rPr>
        <w:t xml:space="preserve">, </w:t>
      </w:r>
      <w:r w:rsidRPr="00C545CD">
        <w:rPr>
          <w:rFonts w:ascii="Open Sans" w:hAnsi="Open Sans" w:cs="Open Sans"/>
          <w:i/>
        </w:rPr>
        <w:t>General Comment 16,</w:t>
      </w:r>
      <w:r w:rsidRPr="00C545CD">
        <w:rPr>
          <w:rFonts w:ascii="Open Sans" w:hAnsi="Open Sans" w:cs="Open Sans"/>
        </w:rPr>
        <w:t xml:space="preserve"> </w:t>
      </w:r>
      <w:r w:rsidRPr="00C545CD">
        <w:rPr>
          <w:rFonts w:ascii="Open Sans" w:hAnsi="Open Sans" w:cs="Open Sans"/>
          <w:bCs/>
        </w:rPr>
        <w:t>UN Doc HRI/GEN/1/Rev.1 (1988), 21 [3]-[4].</w:t>
      </w:r>
    </w:p>
  </w:endnote>
  <w:endnote w:id="8">
    <w:p w14:paraId="0291CA8E" w14:textId="47C84324" w:rsidR="00324243" w:rsidRPr="00C545CD" w:rsidRDefault="00324243" w:rsidP="00BA7BD5">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proofErr w:type="spellStart"/>
      <w:r w:rsidRPr="00C545CD">
        <w:rPr>
          <w:rFonts w:ascii="Open Sans" w:hAnsi="Open Sans" w:cs="Open Sans"/>
          <w:i/>
        </w:rPr>
        <w:t>Toonen</w:t>
      </w:r>
      <w:proofErr w:type="spellEnd"/>
      <w:r w:rsidRPr="00C545CD">
        <w:rPr>
          <w:rFonts w:ascii="Open Sans" w:hAnsi="Open Sans" w:cs="Open Sans"/>
          <w:i/>
        </w:rPr>
        <w:t xml:space="preserve"> v Australia, </w:t>
      </w:r>
      <w:r w:rsidRPr="00C545CD">
        <w:rPr>
          <w:rFonts w:ascii="Open Sans" w:hAnsi="Open Sans" w:cs="Open Sans"/>
        </w:rPr>
        <w:t>UN</w:t>
      </w:r>
      <w:r w:rsidRPr="00C545CD">
        <w:rPr>
          <w:rFonts w:ascii="Open Sans" w:hAnsi="Open Sans" w:cs="Open Sans"/>
          <w:i/>
        </w:rPr>
        <w:t xml:space="preserve"> </w:t>
      </w:r>
      <w:r w:rsidR="00B8009D">
        <w:rPr>
          <w:rFonts w:ascii="Open Sans" w:hAnsi="Open Sans" w:cs="Open Sans"/>
          <w:lang w:val="en"/>
        </w:rPr>
        <w:t>HR</w:t>
      </w:r>
      <w:r w:rsidRPr="00C545CD">
        <w:rPr>
          <w:rFonts w:ascii="Open Sans" w:hAnsi="Open Sans" w:cs="Open Sans"/>
          <w:lang w:val="en"/>
        </w:rPr>
        <w:t xml:space="preserve"> Committee Communication No. 488/1992. </w:t>
      </w:r>
    </w:p>
  </w:endnote>
  <w:endnote w:id="9">
    <w:p w14:paraId="5E5FBF31" w14:textId="556D0BA1" w:rsidR="00324243" w:rsidRPr="00C545CD" w:rsidRDefault="00324243" w:rsidP="00992C01">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C24B96">
        <w:rPr>
          <w:rFonts w:ascii="Open Sans" w:hAnsi="Open Sans" w:cs="Open Sans"/>
        </w:rPr>
        <w:t>OHCHR</w:t>
      </w:r>
      <w:r w:rsidRPr="00C545CD">
        <w:rPr>
          <w:rFonts w:ascii="Open Sans" w:hAnsi="Open Sans" w:cs="Open Sans"/>
        </w:rPr>
        <w:t xml:space="preserve">, </w:t>
      </w:r>
      <w:r w:rsidRPr="00C545CD">
        <w:rPr>
          <w:rFonts w:ascii="Open Sans" w:hAnsi="Open Sans" w:cs="Open Sans"/>
          <w:i/>
        </w:rPr>
        <w:t>The Right to Privacy in the Digital Age</w:t>
      </w:r>
      <w:r w:rsidRPr="00C545CD">
        <w:rPr>
          <w:rFonts w:ascii="Open Sans" w:hAnsi="Open Sans" w:cs="Open Sans"/>
        </w:rPr>
        <w:t xml:space="preserve"> [26].</w:t>
      </w:r>
    </w:p>
  </w:endnote>
  <w:endnote w:id="10">
    <w:p w14:paraId="45AD272D" w14:textId="6B3B5DD7" w:rsidR="00324243" w:rsidRPr="00C545CD" w:rsidRDefault="00324243" w:rsidP="008E5405">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Digital Rights Ireland Ltd (C-293/12) and </w:t>
      </w:r>
      <w:proofErr w:type="spellStart"/>
      <w:r w:rsidRPr="00C545CD">
        <w:rPr>
          <w:rFonts w:ascii="Open Sans" w:hAnsi="Open Sans" w:cs="Open Sans"/>
          <w:i/>
        </w:rPr>
        <w:t>Karntner</w:t>
      </w:r>
      <w:proofErr w:type="spellEnd"/>
      <w:r w:rsidRPr="00C545CD">
        <w:rPr>
          <w:rFonts w:ascii="Open Sans" w:hAnsi="Open Sans" w:cs="Open Sans"/>
          <w:i/>
        </w:rPr>
        <w:t xml:space="preserve"> </w:t>
      </w:r>
      <w:proofErr w:type="spellStart"/>
      <w:r w:rsidRPr="00C545CD">
        <w:rPr>
          <w:rFonts w:ascii="Open Sans" w:hAnsi="Open Sans" w:cs="Open Sans"/>
          <w:i/>
        </w:rPr>
        <w:t>Landesregierung</w:t>
      </w:r>
      <w:proofErr w:type="spellEnd"/>
      <w:r w:rsidRPr="00C545CD">
        <w:rPr>
          <w:rFonts w:ascii="Open Sans" w:hAnsi="Open Sans" w:cs="Open Sans"/>
          <w:i/>
        </w:rPr>
        <w:t xml:space="preserve"> </w:t>
      </w:r>
      <w:proofErr w:type="spellStart"/>
      <w:r w:rsidRPr="00C545CD">
        <w:rPr>
          <w:rFonts w:ascii="Open Sans" w:hAnsi="Open Sans" w:cs="Open Sans"/>
          <w:i/>
        </w:rPr>
        <w:t>ors</w:t>
      </w:r>
      <w:proofErr w:type="spellEnd"/>
      <w:r w:rsidRPr="00C545CD">
        <w:rPr>
          <w:rFonts w:ascii="Open Sans" w:hAnsi="Open Sans" w:cs="Open Sans"/>
          <w:i/>
        </w:rPr>
        <w:t xml:space="preserve"> (C-594/12) v Minister for Communications, Marine and Natural Resources and </w:t>
      </w:r>
      <w:proofErr w:type="spellStart"/>
      <w:r w:rsidRPr="00C545CD">
        <w:rPr>
          <w:rFonts w:ascii="Open Sans" w:hAnsi="Open Sans" w:cs="Open Sans"/>
          <w:i/>
        </w:rPr>
        <w:t>ors</w:t>
      </w:r>
      <w:proofErr w:type="spellEnd"/>
      <w:r w:rsidRPr="00C545CD">
        <w:rPr>
          <w:rFonts w:ascii="Open Sans" w:hAnsi="Open Sans" w:cs="Open Sans"/>
          <w:i/>
        </w:rPr>
        <w:t xml:space="preserve"> </w:t>
      </w:r>
      <w:r w:rsidRPr="00C545CD">
        <w:rPr>
          <w:rFonts w:ascii="Open Sans" w:hAnsi="Open Sans" w:cs="Open Sans"/>
        </w:rPr>
        <w:t>(8 April 2014)</w:t>
      </w:r>
      <w:r w:rsidR="00B8009D">
        <w:rPr>
          <w:rFonts w:ascii="Open Sans" w:hAnsi="Open Sans" w:cs="Open Sans"/>
        </w:rPr>
        <w:t xml:space="preserve"> (‘</w:t>
      </w:r>
      <w:r w:rsidR="00B8009D" w:rsidRPr="00B8009D">
        <w:rPr>
          <w:rFonts w:ascii="Open Sans" w:hAnsi="Open Sans" w:cs="Open Sans"/>
          <w:i/>
          <w:iCs/>
        </w:rPr>
        <w:t>Digital Rights Ireland</w:t>
      </w:r>
      <w:r w:rsidR="00B8009D">
        <w:rPr>
          <w:rFonts w:ascii="Open Sans" w:hAnsi="Open Sans" w:cs="Open Sans"/>
          <w:i/>
          <w:iCs/>
        </w:rPr>
        <w:t>’</w:t>
      </w:r>
      <w:r w:rsidR="00B8009D">
        <w:rPr>
          <w:rFonts w:ascii="Open Sans" w:hAnsi="Open Sans" w:cs="Open Sans"/>
        </w:rPr>
        <w:t>)</w:t>
      </w:r>
      <w:r w:rsidRPr="00C545CD">
        <w:rPr>
          <w:rFonts w:ascii="Open Sans" w:hAnsi="Open Sans" w:cs="Open Sans"/>
        </w:rPr>
        <w:t>.</w:t>
      </w:r>
    </w:p>
  </w:endnote>
  <w:endnote w:id="11">
    <w:p w14:paraId="1A36A859" w14:textId="1F8207B7"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Digital Rights Ireland</w:t>
      </w:r>
      <w:r w:rsidRPr="00C545CD">
        <w:rPr>
          <w:rFonts w:ascii="Open Sans" w:hAnsi="Open Sans" w:cs="Open Sans"/>
        </w:rPr>
        <w:t xml:space="preserve">. See in particular, </w:t>
      </w:r>
      <w:r w:rsidR="00D91D27">
        <w:rPr>
          <w:rFonts w:ascii="Open Sans" w:hAnsi="Open Sans" w:cs="Open Sans"/>
        </w:rPr>
        <w:t>at [</w:t>
      </w:r>
      <w:r w:rsidRPr="00C545CD">
        <w:rPr>
          <w:rFonts w:ascii="Open Sans" w:hAnsi="Open Sans" w:cs="Open Sans"/>
        </w:rPr>
        <w:t>65</w:t>
      </w:r>
      <w:r w:rsidR="00D91D27">
        <w:rPr>
          <w:rFonts w:ascii="Open Sans" w:hAnsi="Open Sans" w:cs="Open Sans"/>
        </w:rPr>
        <w:t>]</w:t>
      </w:r>
      <w:r w:rsidRPr="00C545CD">
        <w:rPr>
          <w:rFonts w:ascii="Open Sans" w:hAnsi="Open Sans" w:cs="Open Sans"/>
        </w:rPr>
        <w:t>: “It must therefore be held that Directive 2006/24 entails a wide-ranging and particularly serious interference with those fundamental rights in the legal order of the EU, without such an interference being precisely circumscribed by provisions to ensure that it is actually limited to what is strictly necessary”.</w:t>
      </w:r>
    </w:p>
  </w:endnote>
  <w:endnote w:id="12">
    <w:p w14:paraId="6BB9861E" w14:textId="79B19BE7" w:rsidR="00324243" w:rsidRPr="00C545CD" w:rsidRDefault="00324243" w:rsidP="00977410">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Digital Rights Ireland </w:t>
      </w:r>
      <w:r w:rsidRPr="00C545CD">
        <w:rPr>
          <w:rFonts w:ascii="Open Sans" w:hAnsi="Open Sans" w:cs="Open Sans"/>
        </w:rPr>
        <w:t xml:space="preserve">[56]-[64]. </w:t>
      </w:r>
    </w:p>
  </w:endnote>
  <w:endnote w:id="13">
    <w:p w14:paraId="68D5ECB7" w14:textId="2DB6DCDD" w:rsidR="00324243" w:rsidRPr="00C545CD" w:rsidRDefault="00324243" w:rsidP="00DD3E7F">
      <w:pPr>
        <w:pStyle w:val="EndnoteText"/>
        <w:rPr>
          <w:rFonts w:ascii="Open Sans" w:hAnsi="Open Sans" w:cs="Open Sans"/>
          <w:lang w:val="en"/>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AB </w:t>
      </w:r>
      <w:r w:rsidRPr="00C545CD">
        <w:rPr>
          <w:rFonts w:ascii="Open Sans" w:hAnsi="Open Sans" w:cs="Open Sans"/>
          <w:iCs/>
          <w:lang w:val="en"/>
        </w:rPr>
        <w:t>[134]</w:t>
      </w:r>
      <w:r w:rsidRPr="00C545CD">
        <w:rPr>
          <w:rFonts w:ascii="Open Sans" w:hAnsi="Open Sans" w:cs="Open Sans"/>
          <w:iCs/>
        </w:rPr>
        <w:t>.</w:t>
      </w:r>
    </w:p>
  </w:endnote>
  <w:endnote w:id="14">
    <w:p w14:paraId="3DE5273D" w14:textId="29F0F00C" w:rsidR="00324243" w:rsidRPr="00C545CD" w:rsidRDefault="00324243" w:rsidP="00794EF4">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Explanatory Memorandum, 28. </w:t>
      </w:r>
    </w:p>
  </w:endnote>
  <w:endnote w:id="15">
    <w:p w14:paraId="1B1F1EE3" w14:textId="23E2A9F9"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UN HR</w:t>
      </w:r>
      <w:r w:rsidRPr="00C545CD">
        <w:rPr>
          <w:rFonts w:ascii="Open Sans" w:hAnsi="Open Sans" w:cs="Open Sans"/>
        </w:rPr>
        <w:t xml:space="preserve"> Committee, </w:t>
      </w:r>
      <w:r w:rsidRPr="00C545CD">
        <w:rPr>
          <w:rFonts w:ascii="Open Sans" w:hAnsi="Open Sans" w:cs="Open Sans"/>
          <w:i/>
        </w:rPr>
        <w:t>General Comment 34</w:t>
      </w:r>
      <w:r w:rsidRPr="00C545CD">
        <w:rPr>
          <w:rFonts w:ascii="Open Sans" w:hAnsi="Open Sans" w:cs="Open Sans"/>
        </w:rPr>
        <w:t>, UN Doc CCPR/C/GC/34 (2011) [22].</w:t>
      </w:r>
    </w:p>
  </w:endnote>
  <w:endnote w:id="16">
    <w:p w14:paraId="13F0A822" w14:textId="1B35D620" w:rsidR="00324243" w:rsidRPr="00C545CD" w:rsidRDefault="00324243" w:rsidP="00D3584B">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Explanatory Memorandum, 29.</w:t>
      </w:r>
    </w:p>
  </w:endnote>
  <w:endnote w:id="17">
    <w:p w14:paraId="126EE6A3" w14:textId="7B645453" w:rsidR="00324243" w:rsidRPr="00C545CD" w:rsidRDefault="00324243" w:rsidP="00D3584B">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Explanatory Memorandum, 28.</w:t>
      </w:r>
    </w:p>
  </w:endnote>
  <w:endnote w:id="18">
    <w:p w14:paraId="4392BD3A" w14:textId="162F0518"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UN HR</w:t>
      </w:r>
      <w:r w:rsidRPr="00C545CD">
        <w:rPr>
          <w:rFonts w:ascii="Open Sans" w:hAnsi="Open Sans" w:cs="Open Sans"/>
        </w:rPr>
        <w:t xml:space="preserve"> Committee, </w:t>
      </w:r>
      <w:r w:rsidRPr="00C545CD">
        <w:rPr>
          <w:rFonts w:ascii="Open Sans" w:hAnsi="Open Sans" w:cs="Open Sans"/>
          <w:i/>
        </w:rPr>
        <w:t>General Comment 34</w:t>
      </w:r>
      <w:r w:rsidRPr="00C545CD">
        <w:rPr>
          <w:rFonts w:ascii="Open Sans" w:hAnsi="Open Sans" w:cs="Open Sans"/>
        </w:rPr>
        <w:t xml:space="preserve"> </w:t>
      </w:r>
      <w:r w:rsidRPr="00C545CD">
        <w:rPr>
          <w:rFonts w:ascii="Open Sans" w:hAnsi="Open Sans" w:cs="Open Sans"/>
          <w:szCs w:val="22"/>
        </w:rPr>
        <w:t>[25].</w:t>
      </w:r>
    </w:p>
  </w:endnote>
  <w:endnote w:id="19">
    <w:p w14:paraId="2AAFB69B" w14:textId="5B43CC25" w:rsidR="00324243" w:rsidRPr="00C545CD" w:rsidRDefault="00324243" w:rsidP="00935408">
      <w:pPr>
        <w:pStyle w:val="EndnoteText"/>
        <w:rPr>
          <w:rFonts w:ascii="Open Sans" w:hAnsi="Open Sans" w:cs="Open Sans"/>
          <w:lang w:val="en"/>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AB </w:t>
      </w:r>
      <w:r w:rsidRPr="00C545CD">
        <w:rPr>
          <w:rFonts w:ascii="Open Sans" w:hAnsi="Open Sans" w:cs="Open Sans"/>
          <w:iCs/>
          <w:lang w:val="en"/>
        </w:rPr>
        <w:t>[101]</w:t>
      </w:r>
      <w:r w:rsidRPr="00C545CD">
        <w:rPr>
          <w:rFonts w:ascii="Open Sans" w:hAnsi="Open Sans" w:cs="Open Sans"/>
          <w:iCs/>
        </w:rPr>
        <w:t>.</w:t>
      </w:r>
    </w:p>
  </w:endnote>
  <w:endnote w:id="20">
    <w:p w14:paraId="545467B5" w14:textId="1E5B214B"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DE75C3">
        <w:rPr>
          <w:rFonts w:ascii="Open Sans" w:hAnsi="Open Sans" w:cs="Open Sans"/>
        </w:rPr>
        <w:t>P</w:t>
      </w:r>
      <w:r w:rsidR="00B8009D">
        <w:rPr>
          <w:rFonts w:ascii="Open Sans" w:hAnsi="Open Sans" w:cs="Open Sans"/>
        </w:rPr>
        <w:t xml:space="preserve">arliamentary </w:t>
      </w:r>
      <w:r w:rsidR="00DE75C3">
        <w:rPr>
          <w:rFonts w:ascii="Open Sans" w:hAnsi="Open Sans" w:cs="Open Sans"/>
        </w:rPr>
        <w:t>J</w:t>
      </w:r>
      <w:r w:rsidR="00B8009D">
        <w:rPr>
          <w:rFonts w:ascii="Open Sans" w:hAnsi="Open Sans" w:cs="Open Sans"/>
        </w:rPr>
        <w:t xml:space="preserve">oint </w:t>
      </w:r>
      <w:r w:rsidR="00DE75C3">
        <w:rPr>
          <w:rFonts w:ascii="Open Sans" w:hAnsi="Open Sans" w:cs="Open Sans"/>
        </w:rPr>
        <w:t>C</w:t>
      </w:r>
      <w:r w:rsidR="00B8009D">
        <w:rPr>
          <w:rFonts w:ascii="Open Sans" w:hAnsi="Open Sans" w:cs="Open Sans"/>
        </w:rPr>
        <w:t xml:space="preserve">ommittee on </w:t>
      </w:r>
      <w:r w:rsidR="00DE75C3">
        <w:rPr>
          <w:rFonts w:ascii="Open Sans" w:hAnsi="Open Sans" w:cs="Open Sans"/>
        </w:rPr>
        <w:t>I</w:t>
      </w:r>
      <w:r w:rsidR="00B8009D">
        <w:rPr>
          <w:rFonts w:ascii="Open Sans" w:hAnsi="Open Sans" w:cs="Open Sans"/>
        </w:rPr>
        <w:t xml:space="preserve">ntelligence and </w:t>
      </w:r>
      <w:r w:rsidR="00DE75C3">
        <w:rPr>
          <w:rFonts w:ascii="Open Sans" w:hAnsi="Open Sans" w:cs="Open Sans"/>
        </w:rPr>
        <w:t>S</w:t>
      </w:r>
      <w:r w:rsidR="00B8009D">
        <w:rPr>
          <w:rFonts w:ascii="Open Sans" w:hAnsi="Open Sans" w:cs="Open Sans"/>
        </w:rPr>
        <w:t>ecurity (PJCIS)</w:t>
      </w:r>
      <w:r w:rsidR="0073568E" w:rsidRPr="00C545CD">
        <w:rPr>
          <w:rFonts w:ascii="Open Sans" w:hAnsi="Open Sans" w:cs="Open Sans"/>
        </w:rPr>
        <w:t xml:space="preserve">, </w:t>
      </w:r>
      <w:r w:rsidR="0073568E" w:rsidRPr="00C545CD">
        <w:rPr>
          <w:rFonts w:ascii="Open Sans" w:hAnsi="Open Sans" w:cs="Open Sans"/>
          <w:i/>
          <w:iCs/>
        </w:rPr>
        <w:t>Advisory report on the Telecommunications (interception and Access) Amendment (Data Retention) Bill 2014</w:t>
      </w:r>
      <w:r w:rsidR="0073568E" w:rsidRPr="00C545CD">
        <w:rPr>
          <w:rFonts w:ascii="Open Sans" w:hAnsi="Open Sans" w:cs="Open Sans"/>
        </w:rPr>
        <w:t xml:space="preserve"> (2015) [3.97]</w:t>
      </w:r>
      <w:proofErr w:type="gramStart"/>
      <w:r w:rsidR="0073568E" w:rsidRPr="00C545CD">
        <w:rPr>
          <w:rFonts w:ascii="Open Sans" w:hAnsi="Open Sans" w:cs="Open Sans"/>
        </w:rPr>
        <w:t>-[</w:t>
      </w:r>
      <w:proofErr w:type="gramEnd"/>
      <w:r w:rsidR="0073568E" w:rsidRPr="00C545CD">
        <w:rPr>
          <w:rFonts w:ascii="Open Sans" w:hAnsi="Open Sans" w:cs="Open Sans"/>
        </w:rPr>
        <w:t>3.99].</w:t>
      </w:r>
    </w:p>
  </w:endnote>
  <w:endnote w:id="21">
    <w:p w14:paraId="61942A07" w14:textId="57BE2432"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0073568E" w:rsidRPr="00C545CD">
        <w:rPr>
          <w:rFonts w:ascii="Open Sans" w:hAnsi="Open Sans" w:cs="Open Sans"/>
        </w:rPr>
        <w:t xml:space="preserve">, </w:t>
      </w:r>
      <w:r w:rsidR="0073568E" w:rsidRPr="00C545CD">
        <w:rPr>
          <w:rFonts w:ascii="Open Sans" w:hAnsi="Open Sans" w:cs="Open Sans"/>
          <w:i/>
          <w:iCs/>
        </w:rPr>
        <w:t xml:space="preserve">Advisory report </w:t>
      </w:r>
      <w:r w:rsidR="0073568E" w:rsidRPr="00C545CD">
        <w:rPr>
          <w:rFonts w:ascii="Open Sans" w:hAnsi="Open Sans" w:cs="Open Sans"/>
        </w:rPr>
        <w:t>[3.100], [3.102]</w:t>
      </w:r>
      <w:r w:rsidRPr="00C545CD">
        <w:rPr>
          <w:rFonts w:ascii="Open Sans" w:hAnsi="Open Sans" w:cs="Open Sans"/>
        </w:rPr>
        <w:t>.</w:t>
      </w:r>
    </w:p>
  </w:endnote>
  <w:endnote w:id="22">
    <w:p w14:paraId="65342E89" w14:textId="7F365035" w:rsidR="00324243" w:rsidRPr="00C545CD" w:rsidRDefault="00324243" w:rsidP="00E61E4C">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i/>
          <w:iCs/>
        </w:rPr>
        <w:t xml:space="preserve"> </w:t>
      </w:r>
      <w:r w:rsidRPr="00C545CD">
        <w:rPr>
          <w:rFonts w:ascii="Open Sans" w:hAnsi="Open Sans" w:cs="Open Sans"/>
          <w:lang w:val="en-US"/>
        </w:rPr>
        <w:t>Commission, Submission No 42 [28]-[32]</w:t>
      </w:r>
      <w:r w:rsidRPr="00C545CD">
        <w:rPr>
          <w:rFonts w:ascii="Open Sans" w:hAnsi="Open Sans" w:cs="Open Sans"/>
        </w:rPr>
        <w:t>.</w:t>
      </w:r>
    </w:p>
  </w:endnote>
  <w:endnote w:id="23">
    <w:p w14:paraId="35D52B59" w14:textId="3209D439" w:rsidR="00324243" w:rsidRPr="00C545CD" w:rsidRDefault="00324243" w:rsidP="00E315AE">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Attorney-General’s Department</w:t>
      </w:r>
      <w:r w:rsidR="00DE75C3">
        <w:rPr>
          <w:rFonts w:ascii="Open Sans" w:hAnsi="Open Sans" w:cs="Open Sans"/>
        </w:rPr>
        <w:t xml:space="preserve"> (</w:t>
      </w:r>
      <w:r w:rsidR="009C62E0">
        <w:rPr>
          <w:rFonts w:ascii="Open Sans" w:hAnsi="Open Sans" w:cs="Open Sans"/>
        </w:rPr>
        <w:t>‘</w:t>
      </w:r>
      <w:r w:rsidR="00DE75C3">
        <w:rPr>
          <w:rFonts w:ascii="Open Sans" w:hAnsi="Open Sans" w:cs="Open Sans"/>
        </w:rPr>
        <w:t>AGD</w:t>
      </w:r>
      <w:r w:rsidR="009C62E0">
        <w:rPr>
          <w:rFonts w:ascii="Open Sans" w:hAnsi="Open Sans" w:cs="Open Sans"/>
        </w:rPr>
        <w:t>’</w:t>
      </w:r>
      <w:r w:rsidR="00DE75C3">
        <w:rPr>
          <w:rFonts w:ascii="Open Sans" w:hAnsi="Open Sans" w:cs="Open Sans"/>
        </w:rPr>
        <w:t>)</w:t>
      </w:r>
      <w:r w:rsidRPr="00C545CD">
        <w:rPr>
          <w:rFonts w:ascii="Open Sans" w:hAnsi="Open Sans" w:cs="Open Sans"/>
        </w:rPr>
        <w:t xml:space="preserve">, </w:t>
      </w:r>
      <w:r w:rsidRPr="00C545CD">
        <w:rPr>
          <w:rFonts w:ascii="Open Sans" w:hAnsi="Open Sans" w:cs="Open Sans"/>
          <w:i/>
        </w:rPr>
        <w:t>Telecommunications (Interception and Access) Act: Annual Report 2015-2016</w:t>
      </w:r>
      <w:r w:rsidRPr="00C545CD">
        <w:rPr>
          <w:rFonts w:ascii="Open Sans" w:hAnsi="Open Sans" w:cs="Open Sans"/>
        </w:rPr>
        <w:t xml:space="preserve">, Commonwealth of Australia, </w:t>
      </w:r>
      <w:r w:rsidR="00DC39F3" w:rsidRPr="00C545CD">
        <w:rPr>
          <w:rFonts w:ascii="Open Sans" w:hAnsi="Open Sans" w:cs="Open Sans"/>
        </w:rPr>
        <w:t xml:space="preserve">Table 42 </w:t>
      </w:r>
      <w:r w:rsidRPr="00C545CD">
        <w:rPr>
          <w:rFonts w:ascii="Open Sans" w:hAnsi="Open Sans" w:cs="Open Sans"/>
        </w:rPr>
        <w:t xml:space="preserve">(data for 2015/16 is for the period from 13 October 2015 to 30 June 2016); </w:t>
      </w:r>
      <w:r w:rsidR="00DE75C3">
        <w:rPr>
          <w:rFonts w:ascii="Open Sans" w:hAnsi="Open Sans" w:cs="Open Sans"/>
        </w:rPr>
        <w:t>AGD</w:t>
      </w:r>
      <w:r w:rsidRPr="00C545CD">
        <w:rPr>
          <w:rFonts w:ascii="Open Sans" w:hAnsi="Open Sans" w:cs="Open Sans"/>
        </w:rPr>
        <w:t xml:space="preserve">, </w:t>
      </w:r>
      <w:r w:rsidRPr="00C545CD">
        <w:rPr>
          <w:rFonts w:ascii="Open Sans" w:hAnsi="Open Sans" w:cs="Open Sans"/>
          <w:i/>
        </w:rPr>
        <w:t>Telecommunications (Interception and Access) Act: Annual Report 2016-2017</w:t>
      </w:r>
      <w:r w:rsidRPr="00C545CD">
        <w:rPr>
          <w:rFonts w:ascii="Open Sans" w:hAnsi="Open Sans" w:cs="Open Sans"/>
        </w:rPr>
        <w:t xml:space="preserve">, Commonwealth of Australia, </w:t>
      </w:r>
      <w:r w:rsidR="00DC39F3" w:rsidRPr="00C545CD">
        <w:rPr>
          <w:rFonts w:ascii="Open Sans" w:hAnsi="Open Sans" w:cs="Open Sans"/>
        </w:rPr>
        <w:t>Table 38</w:t>
      </w:r>
      <w:r w:rsidRPr="00C545CD">
        <w:rPr>
          <w:rFonts w:ascii="Open Sans" w:hAnsi="Open Sans" w:cs="Open Sans"/>
        </w:rPr>
        <w:t>.</w:t>
      </w:r>
    </w:p>
  </w:endnote>
  <w:endnote w:id="24">
    <w:p w14:paraId="4B1F25BE" w14:textId="6D09433C" w:rsidR="00C24B96" w:rsidRDefault="00C24B96">
      <w:pPr>
        <w:pStyle w:val="EndnoteText"/>
      </w:pPr>
      <w:r>
        <w:rPr>
          <w:rStyle w:val="EndnoteReference"/>
        </w:rPr>
        <w:endnoteRef/>
      </w:r>
      <w:r>
        <w:t xml:space="preserve"> </w:t>
      </w:r>
      <w:r w:rsidRPr="00C545CD">
        <w:rPr>
          <w:rFonts w:ascii="Open Sans" w:hAnsi="Open Sans" w:cs="Open Sans"/>
          <w:i/>
        </w:rPr>
        <w:t xml:space="preserve">Digital Rights Ireland </w:t>
      </w:r>
      <w:r w:rsidRPr="00C545CD">
        <w:rPr>
          <w:rFonts w:ascii="Open Sans" w:hAnsi="Open Sans" w:cs="Open Sans"/>
        </w:rPr>
        <w:t>[6</w:t>
      </w:r>
      <w:r>
        <w:rPr>
          <w:rFonts w:ascii="Open Sans" w:hAnsi="Open Sans" w:cs="Open Sans"/>
        </w:rPr>
        <w:t>3</w:t>
      </w:r>
      <w:r w:rsidRPr="00C545CD">
        <w:rPr>
          <w:rFonts w:ascii="Open Sans" w:hAnsi="Open Sans" w:cs="Open Sans"/>
        </w:rPr>
        <w:t>]-[6</w:t>
      </w:r>
      <w:r>
        <w:rPr>
          <w:rFonts w:ascii="Open Sans" w:hAnsi="Open Sans" w:cs="Open Sans"/>
        </w:rPr>
        <w:t>4</w:t>
      </w:r>
      <w:r w:rsidRPr="00C545CD">
        <w:rPr>
          <w:rFonts w:ascii="Open Sans" w:hAnsi="Open Sans" w:cs="Open Sans"/>
        </w:rPr>
        <w:t>].</w:t>
      </w:r>
    </w:p>
  </w:endnote>
  <w:endnote w:id="25">
    <w:p w14:paraId="22328960" w14:textId="52FB9AAE" w:rsidR="00324243" w:rsidRPr="00C545CD" w:rsidRDefault="00324243" w:rsidP="004453D0">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AB </w:t>
      </w:r>
      <w:r w:rsidRPr="00C545CD">
        <w:rPr>
          <w:rFonts w:ascii="Open Sans" w:hAnsi="Open Sans" w:cs="Open Sans"/>
          <w:iCs/>
          <w:lang w:val="en"/>
        </w:rPr>
        <w:t>[108].</w:t>
      </w:r>
    </w:p>
  </w:endnote>
  <w:endnote w:id="26">
    <w:p w14:paraId="196E526A" w14:textId="1969ECFD" w:rsidR="00D05FF6" w:rsidRPr="00C545CD" w:rsidRDefault="00D05FF6">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AB </w:t>
      </w:r>
      <w:r w:rsidRPr="00C545CD">
        <w:rPr>
          <w:rFonts w:ascii="Open Sans" w:hAnsi="Open Sans" w:cs="Open Sans"/>
          <w:iCs/>
        </w:rPr>
        <w:t>[106].</w:t>
      </w:r>
    </w:p>
  </w:endnote>
  <w:endnote w:id="27">
    <w:p w14:paraId="2C4893B2" w14:textId="0FB56F58" w:rsidR="00D54A02" w:rsidRPr="00C545CD" w:rsidRDefault="00D54A02">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Retention schemes should distinguish between the usefulness of different kinds of data and tailor retention periods to the objective pursued or the persons concerned: </w:t>
      </w:r>
      <w:r w:rsidRPr="00C545CD">
        <w:rPr>
          <w:rFonts w:ascii="Open Sans" w:hAnsi="Open Sans" w:cs="Open Sans"/>
          <w:i/>
        </w:rPr>
        <w:t xml:space="preserve">Digital Rights Ireland </w:t>
      </w:r>
      <w:r w:rsidRPr="00C545CD">
        <w:rPr>
          <w:rFonts w:ascii="Open Sans" w:hAnsi="Open Sans" w:cs="Open Sans"/>
        </w:rPr>
        <w:t>[63]</w:t>
      </w:r>
      <w:r w:rsidR="000E71E7" w:rsidRPr="00C545CD">
        <w:rPr>
          <w:rFonts w:ascii="Open Sans" w:hAnsi="Open Sans" w:cs="Open Sans"/>
        </w:rPr>
        <w:t>.</w:t>
      </w:r>
    </w:p>
  </w:endnote>
  <w:endnote w:id="28">
    <w:p w14:paraId="0FB0148D" w14:textId="3F4FF025"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 178.</w:t>
      </w:r>
    </w:p>
  </w:endnote>
  <w:endnote w:id="29">
    <w:p w14:paraId="53C76E20" w14:textId="78BC8F95" w:rsidR="00324243" w:rsidRPr="00C545CD" w:rsidRDefault="00324243" w:rsidP="00540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 178A.</w:t>
      </w:r>
    </w:p>
  </w:endnote>
  <w:endnote w:id="30">
    <w:p w14:paraId="71112B47" w14:textId="74DD46A7"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 179.</w:t>
      </w:r>
    </w:p>
  </w:endnote>
  <w:endnote w:id="31">
    <w:p w14:paraId="3AB63CA1" w14:textId="67EC7ADD"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 179.</w:t>
      </w:r>
    </w:p>
  </w:endnote>
  <w:endnote w:id="32">
    <w:p w14:paraId="7C40AD73" w14:textId="76325669"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 180(4). ‘Serious offence’ is defined in s 5D. For ASIO, both historical and prospective authorisations may only be made where the person making the authorisation is ‘satisfied that the disclosure would be in connection with the performance by the Organisation of its functions’: ss 175 &amp; 176.</w:t>
      </w:r>
    </w:p>
  </w:endnote>
  <w:endnote w:id="33">
    <w:p w14:paraId="0360B9B8" w14:textId="06CD99C0"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Pr="00C545CD">
        <w:rPr>
          <w:rFonts w:ascii="Open Sans" w:hAnsi="Open Sans" w:cs="Open Sans"/>
        </w:rPr>
        <w:t xml:space="preserve">, </w:t>
      </w:r>
      <w:r w:rsidRPr="00C545CD">
        <w:rPr>
          <w:rFonts w:ascii="Open Sans" w:hAnsi="Open Sans" w:cs="Open Sans"/>
          <w:i/>
          <w:iCs/>
        </w:rPr>
        <w:t>Report of the Inquiry into Potential Reforms of Australia’s National Security Legislation</w:t>
      </w:r>
      <w:r w:rsidRPr="00C545CD">
        <w:rPr>
          <w:rFonts w:ascii="Open Sans" w:hAnsi="Open Sans" w:cs="Open Sans"/>
        </w:rPr>
        <w:t xml:space="preserve"> (2013), 46.</w:t>
      </w:r>
    </w:p>
  </w:endnote>
  <w:endnote w:id="34">
    <w:p w14:paraId="3F73E19A" w14:textId="184091DA"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0073568E" w:rsidRPr="00C545CD">
        <w:rPr>
          <w:rFonts w:ascii="Open Sans" w:hAnsi="Open Sans" w:cs="Open Sans"/>
        </w:rPr>
        <w:t xml:space="preserve">, </w:t>
      </w:r>
      <w:r w:rsidR="0073568E" w:rsidRPr="00C545CD">
        <w:rPr>
          <w:rFonts w:ascii="Open Sans" w:hAnsi="Open Sans" w:cs="Open Sans"/>
          <w:i/>
          <w:iCs/>
        </w:rPr>
        <w:t xml:space="preserve">Advisory report </w:t>
      </w:r>
      <w:r w:rsidR="0073568E" w:rsidRPr="00C545CD">
        <w:rPr>
          <w:rFonts w:ascii="Open Sans" w:hAnsi="Open Sans" w:cs="Open Sans"/>
        </w:rPr>
        <w:t>[</w:t>
      </w:r>
      <w:r w:rsidR="00D41B67" w:rsidRPr="00C545CD">
        <w:rPr>
          <w:rFonts w:ascii="Open Sans" w:hAnsi="Open Sans" w:cs="Open Sans"/>
        </w:rPr>
        <w:t>6.177]</w:t>
      </w:r>
      <w:r w:rsidRPr="00C545CD">
        <w:rPr>
          <w:rFonts w:ascii="Open Sans" w:hAnsi="Open Sans" w:cs="Open Sans"/>
        </w:rPr>
        <w:t>.</w:t>
      </w:r>
    </w:p>
  </w:endnote>
  <w:endnote w:id="35">
    <w:p w14:paraId="7DBED4DD" w14:textId="3E7D36BF" w:rsidR="00324243" w:rsidRPr="00C545CD" w:rsidRDefault="00324243" w:rsidP="00E66F8D">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Digital Rights Ireland </w:t>
      </w:r>
      <w:r w:rsidRPr="00C545CD">
        <w:rPr>
          <w:rFonts w:ascii="Open Sans" w:hAnsi="Open Sans" w:cs="Open Sans"/>
        </w:rPr>
        <w:t>[60]-[62].</w:t>
      </w:r>
    </w:p>
  </w:endnote>
  <w:endnote w:id="36">
    <w:p w14:paraId="536ADBF0" w14:textId="64AA0491" w:rsidR="00324243" w:rsidRPr="00C545CD" w:rsidRDefault="00324243" w:rsidP="00D32DCF">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Digital Rights Ireland </w:t>
      </w:r>
      <w:r w:rsidRPr="00C545CD">
        <w:rPr>
          <w:rFonts w:ascii="Open Sans" w:hAnsi="Open Sans" w:cs="Open Sans"/>
        </w:rPr>
        <w:t>[60].</w:t>
      </w:r>
    </w:p>
  </w:endnote>
  <w:endnote w:id="37">
    <w:p w14:paraId="14FA2B5F" w14:textId="22ECAF2E" w:rsidR="00D41B67" w:rsidRPr="00C545CD" w:rsidRDefault="00D41B67" w:rsidP="00D41B67">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CE4643">
        <w:rPr>
          <w:rFonts w:ascii="Open Sans" w:hAnsi="Open Sans" w:cs="Open Sans"/>
        </w:rPr>
        <w:t>AGD</w:t>
      </w:r>
      <w:r w:rsidRPr="00C545CD">
        <w:rPr>
          <w:rFonts w:ascii="Open Sans" w:hAnsi="Open Sans" w:cs="Open Sans"/>
          <w:lang w:val="en-US"/>
        </w:rPr>
        <w:t xml:space="preserve">, Submission No 27 to the Parliamentary Joint Committee on Intelligence and Security, </w:t>
      </w:r>
      <w:r w:rsidRPr="00C545CD">
        <w:rPr>
          <w:rFonts w:ascii="Open Sans" w:hAnsi="Open Sans" w:cs="Open Sans"/>
          <w:bCs/>
          <w:i/>
          <w:lang w:val="en-US"/>
        </w:rPr>
        <w:t>Inquiry into the Telecommunications (Interception and Access) Amendment (Data Retention) Bill 2014</w:t>
      </w:r>
      <w:r w:rsidRPr="00C545CD">
        <w:rPr>
          <w:rFonts w:ascii="Open Sans" w:hAnsi="Open Sans" w:cs="Open Sans"/>
          <w:bCs/>
          <w:lang w:val="en-US"/>
        </w:rPr>
        <w:t xml:space="preserve"> (</w:t>
      </w:r>
      <w:r w:rsidRPr="00C545CD">
        <w:rPr>
          <w:rFonts w:ascii="Open Sans" w:hAnsi="Open Sans" w:cs="Open Sans"/>
          <w:lang w:val="en-US"/>
        </w:rPr>
        <w:t>2015), 44 &lt;</w:t>
      </w:r>
      <w:hyperlink r:id="rId3" w:history="1">
        <w:r w:rsidR="00B43A83" w:rsidRPr="00C545CD">
          <w:rPr>
            <w:rStyle w:val="Hyperlink"/>
            <w:rFonts w:ascii="Open Sans" w:hAnsi="Open Sans" w:cs="Open Sans"/>
            <w:lang w:val="en-US"/>
          </w:rPr>
          <w:t>https://www.aph.gov.au/Parliamentary_Business/Committees/Joint/Intelligence_and_Security/Data_Retention/Submissions</w:t>
        </w:r>
      </w:hyperlink>
      <w:r w:rsidRPr="00C545CD">
        <w:rPr>
          <w:rFonts w:ascii="Open Sans" w:hAnsi="Open Sans" w:cs="Open Sans"/>
          <w:lang w:val="en-US"/>
        </w:rPr>
        <w:t>&gt;.</w:t>
      </w:r>
    </w:p>
  </w:endnote>
  <w:endnote w:id="38">
    <w:p w14:paraId="1B02A12A" w14:textId="7B442B24" w:rsidR="00DE0F6E" w:rsidRPr="00C545CD" w:rsidRDefault="00DE0F6E" w:rsidP="00DE0F6E">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Pr="00C545CD">
        <w:rPr>
          <w:rFonts w:ascii="Open Sans" w:hAnsi="Open Sans" w:cs="Open Sans"/>
        </w:rPr>
        <w:t xml:space="preserve">, </w:t>
      </w:r>
      <w:r w:rsidRPr="00C545CD">
        <w:rPr>
          <w:rFonts w:ascii="Open Sans" w:hAnsi="Open Sans" w:cs="Open Sans"/>
          <w:i/>
          <w:iCs/>
        </w:rPr>
        <w:t xml:space="preserve">Advisory report </w:t>
      </w:r>
      <w:r w:rsidRPr="00C545CD">
        <w:rPr>
          <w:rFonts w:ascii="Open Sans" w:hAnsi="Open Sans" w:cs="Open Sans"/>
        </w:rPr>
        <w:t>[6.184]</w:t>
      </w:r>
      <w:proofErr w:type="gramStart"/>
      <w:r w:rsidRPr="00C545CD">
        <w:rPr>
          <w:rFonts w:ascii="Open Sans" w:hAnsi="Open Sans" w:cs="Open Sans"/>
        </w:rPr>
        <w:t>-[</w:t>
      </w:r>
      <w:proofErr w:type="gramEnd"/>
      <w:r w:rsidRPr="00C545CD">
        <w:rPr>
          <w:rFonts w:ascii="Open Sans" w:hAnsi="Open Sans" w:cs="Open Sans"/>
        </w:rPr>
        <w:t>6.185].</w:t>
      </w:r>
    </w:p>
  </w:endnote>
  <w:endnote w:id="39">
    <w:p w14:paraId="72C2612D" w14:textId="471F5897" w:rsidR="00DE0F6E" w:rsidRPr="00C545CD" w:rsidRDefault="00DE0F6E">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Pr="00C545CD">
        <w:rPr>
          <w:rFonts w:ascii="Open Sans" w:hAnsi="Open Sans" w:cs="Open Sans"/>
        </w:rPr>
        <w:t xml:space="preserve">, </w:t>
      </w:r>
      <w:r w:rsidRPr="00C545CD">
        <w:rPr>
          <w:rFonts w:ascii="Open Sans" w:hAnsi="Open Sans" w:cs="Open Sans"/>
          <w:i/>
          <w:iCs/>
        </w:rPr>
        <w:t>Advisory report</w:t>
      </w:r>
      <w:r w:rsidR="00891B0C" w:rsidRPr="00C545CD">
        <w:rPr>
          <w:rFonts w:ascii="Open Sans" w:hAnsi="Open Sans" w:cs="Open Sans"/>
        </w:rPr>
        <w:t xml:space="preserve"> Recommendation 25.</w:t>
      </w:r>
    </w:p>
  </w:endnote>
  <w:endnote w:id="40">
    <w:p w14:paraId="0E63073F" w14:textId="43CEF3C5" w:rsidR="00860CB1" w:rsidRPr="00C545CD" w:rsidRDefault="00860CB1">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A Maurushat, ‘Australia’s Accession to the Cybercrime Convention: Is the Convention still relevant in combatting cybercrime in the era of botnets and obfuscation crime tools?’ (2010) 33(2) </w:t>
      </w:r>
      <w:r w:rsidRPr="00C545CD">
        <w:rPr>
          <w:rFonts w:ascii="Open Sans" w:hAnsi="Open Sans" w:cs="Open Sans"/>
          <w:i/>
          <w:iCs/>
        </w:rPr>
        <w:t>University of New South Wales Law Journal</w:t>
      </w:r>
      <w:r w:rsidRPr="00C545CD">
        <w:rPr>
          <w:rFonts w:ascii="Open Sans" w:hAnsi="Open Sans" w:cs="Open Sans"/>
        </w:rPr>
        <w:t xml:space="preserve"> 431</w:t>
      </w:r>
      <w:r w:rsidR="00D91D27">
        <w:rPr>
          <w:rFonts w:ascii="Open Sans" w:hAnsi="Open Sans" w:cs="Open Sans"/>
        </w:rPr>
        <w:t>,</w:t>
      </w:r>
      <w:r w:rsidRPr="00C545CD">
        <w:rPr>
          <w:rFonts w:ascii="Open Sans" w:hAnsi="Open Sans" w:cs="Open Sans"/>
        </w:rPr>
        <w:t xml:space="preserve"> 451.</w:t>
      </w:r>
    </w:p>
  </w:endnote>
  <w:endnote w:id="41">
    <w:p w14:paraId="1494FDA2" w14:textId="0E059CC4" w:rsidR="00660A13" w:rsidRPr="00C545CD" w:rsidRDefault="00660A13" w:rsidP="00660A1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Council of Europe, </w:t>
      </w:r>
      <w:r w:rsidRPr="00C545CD">
        <w:rPr>
          <w:rFonts w:ascii="Open Sans" w:hAnsi="Open Sans" w:cs="Open Sans"/>
          <w:i/>
          <w:iCs/>
        </w:rPr>
        <w:t>Reservations and Declarations for Treaty No. 185 – Convention on Cybercrime</w:t>
      </w:r>
      <w:r w:rsidRPr="00C545CD">
        <w:rPr>
          <w:rFonts w:ascii="Open Sans" w:hAnsi="Open Sans" w:cs="Open Sans"/>
        </w:rPr>
        <w:t>, at &lt;</w:t>
      </w:r>
      <w:hyperlink r:id="rId4" w:history="1">
        <w:r w:rsidR="00B43A83" w:rsidRPr="00C545CD">
          <w:rPr>
            <w:rStyle w:val="Hyperlink"/>
            <w:rFonts w:ascii="Open Sans" w:hAnsi="Open Sans" w:cs="Open Sans"/>
          </w:rPr>
          <w:t>https://www.coe.int/en/web/conventions/full-list/-/conventions/treaty/185/declarations?p_auth=ePWWHb3x</w:t>
        </w:r>
      </w:hyperlink>
      <w:r w:rsidR="00B43A83" w:rsidRPr="00C545CD">
        <w:rPr>
          <w:rFonts w:ascii="Open Sans" w:hAnsi="Open Sans" w:cs="Open Sans"/>
        </w:rPr>
        <w:t>&gt;</w:t>
      </w:r>
      <w:r w:rsidRPr="00C545CD">
        <w:rPr>
          <w:rFonts w:ascii="Open Sans" w:hAnsi="Open Sans" w:cs="Open Sans"/>
        </w:rPr>
        <w:t>.</w:t>
      </w:r>
    </w:p>
  </w:endnote>
  <w:endnote w:id="42">
    <w:p w14:paraId="5E7BFCD0" w14:textId="3D963941" w:rsidR="00324243" w:rsidRPr="00C545CD" w:rsidRDefault="00324243" w:rsidP="0075711D">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CE4643">
        <w:rPr>
          <w:rFonts w:ascii="Open Sans" w:hAnsi="Open Sans" w:cs="Open Sans"/>
        </w:rPr>
        <w:t>AGD</w:t>
      </w:r>
      <w:r w:rsidRPr="00C545CD">
        <w:rPr>
          <w:rFonts w:ascii="Open Sans" w:hAnsi="Open Sans" w:cs="Open Sans"/>
        </w:rPr>
        <w:t xml:space="preserve">, </w:t>
      </w:r>
      <w:r w:rsidR="00CE4643">
        <w:rPr>
          <w:rFonts w:ascii="Open Sans" w:hAnsi="Open Sans" w:cs="Open Sans"/>
          <w:i/>
        </w:rPr>
        <w:t>TIA Act</w:t>
      </w:r>
      <w:r w:rsidRPr="00C545CD">
        <w:rPr>
          <w:rFonts w:ascii="Open Sans" w:hAnsi="Open Sans" w:cs="Open Sans"/>
          <w:i/>
        </w:rPr>
        <w:t xml:space="preserve"> Annual Report 2015-2016</w:t>
      </w:r>
      <w:r w:rsidRPr="00C545CD">
        <w:rPr>
          <w:rFonts w:ascii="Open Sans" w:hAnsi="Open Sans" w:cs="Open Sans"/>
        </w:rPr>
        <w:t xml:space="preserve">, </w:t>
      </w:r>
      <w:r w:rsidR="00DC39F3" w:rsidRPr="00C545CD">
        <w:rPr>
          <w:rFonts w:ascii="Open Sans" w:hAnsi="Open Sans" w:cs="Open Sans"/>
        </w:rPr>
        <w:t>Tables 39, 40</w:t>
      </w:r>
      <w:r w:rsidRPr="00C545CD">
        <w:rPr>
          <w:rFonts w:ascii="Open Sans" w:hAnsi="Open Sans" w:cs="Open Sans"/>
        </w:rPr>
        <w:t xml:space="preserve">; </w:t>
      </w:r>
      <w:r w:rsidR="00CE4643">
        <w:rPr>
          <w:rFonts w:ascii="Open Sans" w:hAnsi="Open Sans" w:cs="Open Sans"/>
        </w:rPr>
        <w:t>AGD</w:t>
      </w:r>
      <w:r w:rsidRPr="00C545CD">
        <w:rPr>
          <w:rFonts w:ascii="Open Sans" w:hAnsi="Open Sans" w:cs="Open Sans"/>
        </w:rPr>
        <w:t xml:space="preserve">, </w:t>
      </w:r>
      <w:r w:rsidR="00CE4643">
        <w:rPr>
          <w:rFonts w:ascii="Open Sans" w:hAnsi="Open Sans" w:cs="Open Sans"/>
          <w:i/>
        </w:rPr>
        <w:t>TIAA</w:t>
      </w:r>
      <w:r w:rsidRPr="00C545CD">
        <w:rPr>
          <w:rFonts w:ascii="Open Sans" w:hAnsi="Open Sans" w:cs="Open Sans"/>
          <w:i/>
        </w:rPr>
        <w:t xml:space="preserve"> Annual Report 2016-2017</w:t>
      </w:r>
      <w:r w:rsidRPr="00C545CD">
        <w:rPr>
          <w:rFonts w:ascii="Open Sans" w:hAnsi="Open Sans" w:cs="Open Sans"/>
        </w:rPr>
        <w:t xml:space="preserve">, </w:t>
      </w:r>
      <w:r w:rsidR="00DC39F3" w:rsidRPr="00C545CD">
        <w:rPr>
          <w:rFonts w:ascii="Open Sans" w:hAnsi="Open Sans" w:cs="Open Sans"/>
        </w:rPr>
        <w:t>Tables 35, 36</w:t>
      </w:r>
      <w:r w:rsidRPr="00C545CD">
        <w:rPr>
          <w:rFonts w:ascii="Open Sans" w:hAnsi="Open Sans" w:cs="Open Sans"/>
        </w:rPr>
        <w:t>.</w:t>
      </w:r>
    </w:p>
  </w:endnote>
  <w:endnote w:id="43">
    <w:p w14:paraId="6D6A5A41" w14:textId="697E1DF1" w:rsidR="00324243" w:rsidRPr="00C545CD" w:rsidRDefault="00324243" w:rsidP="00FD59B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w:t>
      </w:r>
      <w:r w:rsidRPr="00C545CD">
        <w:rPr>
          <w:rFonts w:ascii="Open Sans" w:hAnsi="Open Sans" w:cs="Open Sans"/>
          <w:iCs/>
          <w:lang w:val="en"/>
        </w:rPr>
        <w:t>[102].</w:t>
      </w:r>
    </w:p>
  </w:endnote>
  <w:endnote w:id="44">
    <w:p w14:paraId="574A01C7" w14:textId="0429EA17"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w:t>
      </w:r>
      <w:r w:rsidRPr="00C545CD">
        <w:rPr>
          <w:rFonts w:ascii="Open Sans" w:hAnsi="Open Sans" w:cs="Open Sans"/>
          <w:i/>
        </w:rPr>
        <w:t xml:space="preserve"> </w:t>
      </w:r>
      <w:r w:rsidRPr="00C545CD">
        <w:rPr>
          <w:rFonts w:ascii="Open Sans" w:hAnsi="Open Sans" w:cs="Open Sans"/>
        </w:rPr>
        <w:t>ss 5, 5AB, 178-180.</w:t>
      </w:r>
    </w:p>
  </w:endnote>
  <w:endnote w:id="45">
    <w:p w14:paraId="51C4874F" w14:textId="57063637" w:rsidR="00324243" w:rsidRPr="00C545CD" w:rsidRDefault="00324243" w:rsidP="00872F40">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Telecommunications (Interception and Access) Act 1979 </w:t>
      </w:r>
      <w:r w:rsidRPr="00C545CD">
        <w:rPr>
          <w:rFonts w:ascii="Open Sans" w:hAnsi="Open Sans" w:cs="Open Sans"/>
          <w:iCs/>
        </w:rPr>
        <w:t>(</w:t>
      </w:r>
      <w:proofErr w:type="spellStart"/>
      <w:r w:rsidRPr="00C545CD">
        <w:rPr>
          <w:rFonts w:ascii="Open Sans" w:hAnsi="Open Sans" w:cs="Open Sans"/>
          <w:iCs/>
        </w:rPr>
        <w:t>Cth</w:t>
      </w:r>
      <w:proofErr w:type="spellEnd"/>
      <w:r w:rsidRPr="00C545CD">
        <w:rPr>
          <w:rFonts w:ascii="Open Sans" w:hAnsi="Open Sans" w:cs="Open Sans"/>
          <w:iCs/>
        </w:rPr>
        <w:t xml:space="preserve">) </w:t>
      </w:r>
      <w:r w:rsidRPr="00C545CD">
        <w:rPr>
          <w:rFonts w:ascii="Open Sans" w:hAnsi="Open Sans" w:cs="Open Sans"/>
        </w:rPr>
        <w:t>ss 180G-180X.</w:t>
      </w:r>
    </w:p>
  </w:endnote>
  <w:endnote w:id="46">
    <w:p w14:paraId="4D330B87" w14:textId="264F9CA4" w:rsidR="00324243" w:rsidRPr="00C545CD" w:rsidRDefault="00324243" w:rsidP="0022457C">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Digital Rights Ireland </w:t>
      </w:r>
      <w:r w:rsidRPr="00C545CD">
        <w:rPr>
          <w:rFonts w:ascii="Open Sans" w:hAnsi="Open Sans" w:cs="Open Sans"/>
        </w:rPr>
        <w:t>[62].</w:t>
      </w:r>
    </w:p>
  </w:endnote>
  <w:endnote w:id="47">
    <w:p w14:paraId="3A4E2AE3" w14:textId="0A2CE73E"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OHCHR</w:t>
      </w:r>
      <w:r w:rsidRPr="00C545CD">
        <w:rPr>
          <w:rFonts w:ascii="Open Sans" w:hAnsi="Open Sans" w:cs="Open Sans"/>
        </w:rPr>
        <w:t xml:space="preserve">, </w:t>
      </w:r>
      <w:r w:rsidRPr="00C545CD">
        <w:rPr>
          <w:rFonts w:ascii="Open Sans" w:hAnsi="Open Sans" w:cs="Open Sans"/>
          <w:i/>
        </w:rPr>
        <w:t>The Right to Privacy in the Digital Age</w:t>
      </w:r>
      <w:r w:rsidRPr="00C545CD">
        <w:rPr>
          <w:rFonts w:ascii="Open Sans" w:hAnsi="Open Sans" w:cs="Open Sans"/>
        </w:rPr>
        <w:t xml:space="preserve"> [19].</w:t>
      </w:r>
    </w:p>
  </w:endnote>
  <w:endnote w:id="48">
    <w:p w14:paraId="3FDEFFC1" w14:textId="5DF4C3E4"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International Principles on the Application of Human Rights to Communications Surveillance</w:t>
      </w:r>
      <w:r w:rsidRPr="00C545CD">
        <w:rPr>
          <w:rFonts w:ascii="Open Sans" w:hAnsi="Open Sans" w:cs="Open Sans"/>
        </w:rPr>
        <w:t xml:space="preserve"> </w:t>
      </w:r>
      <w:r w:rsidR="00E836E5">
        <w:rPr>
          <w:rFonts w:ascii="Open Sans" w:hAnsi="Open Sans" w:cs="Open Sans"/>
        </w:rPr>
        <w:t>(</w:t>
      </w:r>
      <w:r w:rsidRPr="00C545CD">
        <w:rPr>
          <w:rFonts w:ascii="Open Sans" w:hAnsi="Open Sans" w:cs="Open Sans"/>
        </w:rPr>
        <w:t>2013</w:t>
      </w:r>
      <w:r w:rsidR="00E836E5">
        <w:rPr>
          <w:rFonts w:ascii="Open Sans" w:hAnsi="Open Sans" w:cs="Open Sans"/>
        </w:rPr>
        <w:t>)</w:t>
      </w:r>
      <w:r w:rsidRPr="00C545CD">
        <w:rPr>
          <w:rFonts w:ascii="Open Sans" w:hAnsi="Open Sans" w:cs="Open Sans"/>
        </w:rPr>
        <w:t>, 2 &lt;</w:t>
      </w:r>
      <w:hyperlink r:id="rId5" w:history="1">
        <w:r w:rsidRPr="00C545CD">
          <w:rPr>
            <w:rStyle w:val="Hyperlink"/>
            <w:rFonts w:ascii="Open Sans" w:hAnsi="Open Sans" w:cs="Open Sans"/>
          </w:rPr>
          <w:t>https://en.necessaryandproportionate.org/</w:t>
        </w:r>
      </w:hyperlink>
      <w:r w:rsidRPr="00C545CD">
        <w:rPr>
          <w:rFonts w:ascii="Open Sans" w:hAnsi="Open Sans" w:cs="Open Sans"/>
        </w:rPr>
        <w:t xml:space="preserve">&gt;. </w:t>
      </w:r>
    </w:p>
  </w:endnote>
  <w:endnote w:id="49">
    <w:p w14:paraId="69065D43" w14:textId="36B70FF9" w:rsidR="00324243" w:rsidRPr="00C545CD" w:rsidRDefault="00324243" w:rsidP="002553CB">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See </w:t>
      </w:r>
      <w:proofErr w:type="spellStart"/>
      <w:r w:rsidR="009C62E0">
        <w:rPr>
          <w:rFonts w:ascii="Open Sans" w:hAnsi="Open Sans" w:cs="Open Sans"/>
        </w:rPr>
        <w:t>eg</w:t>
      </w:r>
      <w:proofErr w:type="spellEnd"/>
      <w:r w:rsidR="009C62E0">
        <w:rPr>
          <w:rFonts w:ascii="Open Sans" w:hAnsi="Open Sans" w:cs="Open Sans"/>
        </w:rPr>
        <w:t>,</w:t>
      </w:r>
      <w:r w:rsidRPr="00C545CD">
        <w:rPr>
          <w:rFonts w:ascii="Open Sans" w:hAnsi="Open Sans" w:cs="Open Sans"/>
        </w:rPr>
        <w:t xml:space="preserve"> Explanatory Memorandum</w:t>
      </w:r>
      <w:r w:rsidR="00DE75C3">
        <w:rPr>
          <w:rFonts w:ascii="Open Sans" w:hAnsi="Open Sans" w:cs="Open Sans"/>
        </w:rPr>
        <w:t xml:space="preserve">, </w:t>
      </w:r>
      <w:r w:rsidRPr="00C545CD">
        <w:rPr>
          <w:rFonts w:ascii="Open Sans" w:hAnsi="Open Sans" w:cs="Open Sans"/>
        </w:rPr>
        <w:t>3 [10], 5 [5].</w:t>
      </w:r>
    </w:p>
  </w:endnote>
  <w:endnote w:id="50">
    <w:p w14:paraId="393FE7F3" w14:textId="5738FD3E" w:rsidR="00324243" w:rsidRPr="00C545CD" w:rsidRDefault="00324243" w:rsidP="005A49A0">
      <w:pPr>
        <w:pStyle w:val="EndnoteText"/>
        <w:rPr>
          <w:rFonts w:ascii="Open Sans" w:hAnsi="Open Sans" w:cs="Open Sans"/>
          <w:lang w:val="en"/>
        </w:rPr>
      </w:pPr>
      <w:r w:rsidRPr="00C545CD">
        <w:rPr>
          <w:rStyle w:val="EndnoteReference"/>
          <w:rFonts w:ascii="Open Sans" w:hAnsi="Open Sans" w:cs="Open Sans"/>
        </w:rPr>
        <w:endnoteRef/>
      </w:r>
      <w:r w:rsidRPr="00C545CD">
        <w:rPr>
          <w:rFonts w:ascii="Open Sans" w:hAnsi="Open Sans" w:cs="Open Sans"/>
        </w:rPr>
        <w:t xml:space="preserve"> </w:t>
      </w:r>
      <w:r w:rsidRPr="00C545CD">
        <w:rPr>
          <w:rFonts w:ascii="Open Sans" w:hAnsi="Open Sans" w:cs="Open Sans"/>
          <w:i/>
        </w:rPr>
        <w:t xml:space="preserve">Tele2 Sverige </w:t>
      </w:r>
      <w:r w:rsidRPr="00C545CD">
        <w:rPr>
          <w:rFonts w:ascii="Open Sans" w:hAnsi="Open Sans" w:cs="Open Sans"/>
          <w:iCs/>
          <w:lang w:val="en"/>
        </w:rPr>
        <w:t>[99]</w:t>
      </w:r>
      <w:r w:rsidRPr="00C545CD">
        <w:rPr>
          <w:rFonts w:ascii="Open Sans" w:hAnsi="Open Sans" w:cs="Open Sans"/>
          <w:iCs/>
        </w:rPr>
        <w:t>.</w:t>
      </w:r>
    </w:p>
  </w:endnote>
  <w:endnote w:id="51">
    <w:p w14:paraId="1E7019C2" w14:textId="163EDA1D" w:rsidR="00324243" w:rsidRPr="00C545CD" w:rsidRDefault="00324243">
      <w:pPr>
        <w:pStyle w:val="EndnoteText"/>
        <w:rPr>
          <w:rFonts w:ascii="Open Sans" w:hAnsi="Open Sans" w:cs="Open Sans"/>
        </w:rPr>
      </w:pPr>
      <w:r w:rsidRPr="00C545CD">
        <w:rPr>
          <w:rStyle w:val="EndnoteReference"/>
          <w:rFonts w:ascii="Open Sans" w:hAnsi="Open Sans" w:cs="Open Sans"/>
        </w:rPr>
        <w:endnoteRef/>
      </w:r>
      <w:r w:rsidRPr="00C545CD">
        <w:rPr>
          <w:rFonts w:ascii="Open Sans" w:hAnsi="Open Sans" w:cs="Open Sans"/>
        </w:rPr>
        <w:t xml:space="preserve"> </w:t>
      </w:r>
      <w:r w:rsidR="00E836E5">
        <w:rPr>
          <w:rFonts w:ascii="Open Sans" w:hAnsi="Open Sans" w:cs="Open Sans"/>
        </w:rPr>
        <w:t>PJCIS</w:t>
      </w:r>
      <w:r w:rsidR="00D41B67" w:rsidRPr="00C545CD">
        <w:rPr>
          <w:rFonts w:ascii="Open Sans" w:hAnsi="Open Sans" w:cs="Open Sans"/>
        </w:rPr>
        <w:t xml:space="preserve">, </w:t>
      </w:r>
      <w:r w:rsidR="00D41B67" w:rsidRPr="00C545CD">
        <w:rPr>
          <w:rFonts w:ascii="Open Sans" w:hAnsi="Open Sans" w:cs="Open Sans"/>
          <w:i/>
          <w:iCs/>
        </w:rPr>
        <w:t xml:space="preserve">Advisory report </w:t>
      </w:r>
      <w:r w:rsidR="00D41B67" w:rsidRPr="00C545CD">
        <w:rPr>
          <w:rFonts w:ascii="Open Sans" w:hAnsi="Open Sans" w:cs="Open Sans"/>
        </w:rPr>
        <w:t>[6.152]</w:t>
      </w:r>
      <w:proofErr w:type="gramStart"/>
      <w:r w:rsidR="00D41B67" w:rsidRPr="00C545CD">
        <w:rPr>
          <w:rFonts w:ascii="Open Sans" w:hAnsi="Open Sans" w:cs="Open Sans"/>
        </w:rPr>
        <w:t>-[</w:t>
      </w:r>
      <w:proofErr w:type="gramEnd"/>
      <w:r w:rsidR="00D41B67" w:rsidRPr="00C545CD">
        <w:rPr>
          <w:rFonts w:ascii="Open Sans" w:hAnsi="Open Sans" w:cs="Open Sans"/>
        </w:rPr>
        <w:t>6.158]</w:t>
      </w:r>
      <w:r w:rsidRPr="00C545CD">
        <w:rPr>
          <w:rFonts w:ascii="Open Sans" w:hAnsi="Open Sans" w:cs="Open San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E2F0" w14:textId="77777777" w:rsidR="00324243" w:rsidRPr="0090165F" w:rsidRDefault="00324243"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8877" w14:textId="77777777" w:rsidR="00324243" w:rsidRPr="004A187B" w:rsidRDefault="00324243" w:rsidP="008B23BC">
    <w:pPr>
      <w:pStyle w:val="Footer"/>
    </w:pPr>
    <w:r>
      <w:rPr>
        <w:noProof/>
        <w:lang w:val="en-US" w:eastAsia="en-US"/>
      </w:rPr>
      <mc:AlternateContent>
        <mc:Choice Requires="wps">
          <w:drawing>
            <wp:anchor distT="0" distB="0" distL="114300" distR="114300" simplePos="0" relativeHeight="251655168" behindDoc="0" locked="0" layoutInCell="1" allowOverlap="1" wp14:anchorId="5E808C06" wp14:editId="5C6F9E4B">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A5FF884" w14:textId="77777777" w:rsidR="00324243" w:rsidRPr="0003606D" w:rsidRDefault="00324243" w:rsidP="0003606D">
                          <w:pPr>
                            <w:pStyle w:val="coveraddresses"/>
                          </w:pPr>
                          <w:r w:rsidRPr="0003606D">
                            <w:t>ABN 47 996 232 602</w:t>
                          </w:r>
                        </w:p>
                        <w:p w14:paraId="1ECD850C" w14:textId="77777777" w:rsidR="00324243" w:rsidRPr="0003606D" w:rsidRDefault="00324243" w:rsidP="0003606D">
                          <w:pPr>
                            <w:pStyle w:val="coveraddresses"/>
                          </w:pPr>
                          <w:r w:rsidRPr="0003606D">
                            <w:t>Level 3, 175 Pitt Street, Sydney NSW 2000</w:t>
                          </w:r>
                        </w:p>
                        <w:p w14:paraId="4D75CD76" w14:textId="77777777" w:rsidR="00324243" w:rsidRPr="0003606D" w:rsidRDefault="00324243" w:rsidP="0003606D">
                          <w:pPr>
                            <w:pStyle w:val="coveraddresses"/>
                          </w:pPr>
                          <w:r w:rsidRPr="0003606D">
                            <w:t>GPO Box 5218, Sydney NSW 2001</w:t>
                          </w:r>
                        </w:p>
                        <w:p w14:paraId="3B58193C" w14:textId="77777777" w:rsidR="00324243" w:rsidRPr="0003606D" w:rsidRDefault="00324243" w:rsidP="0003606D">
                          <w:pPr>
                            <w:pStyle w:val="coveraddresses"/>
                          </w:pPr>
                          <w:r w:rsidRPr="0003606D">
                            <w:t>General enquiries 1300 369 711</w:t>
                          </w:r>
                        </w:p>
                        <w:p w14:paraId="3DCCE5D1" w14:textId="77777777" w:rsidR="00324243" w:rsidRPr="0003606D" w:rsidRDefault="00324243" w:rsidP="0003606D">
                          <w:pPr>
                            <w:pStyle w:val="coveraddresses"/>
                          </w:pPr>
                          <w:r w:rsidRPr="0003606D">
                            <w:t>Complaints info line 1300 656 419</w:t>
                          </w:r>
                        </w:p>
                        <w:p w14:paraId="789966A7" w14:textId="77777777" w:rsidR="00324243" w:rsidRPr="0003606D" w:rsidRDefault="00324243" w:rsidP="0003606D">
                          <w:pPr>
                            <w:pStyle w:val="coveraddresses"/>
                          </w:pPr>
                          <w:r w:rsidRPr="0003606D">
                            <w:t>TTY 1800 620 241</w:t>
                          </w:r>
                        </w:p>
                        <w:p w14:paraId="30040BCE" w14:textId="77777777" w:rsidR="00324243" w:rsidRPr="00B63D24" w:rsidRDefault="00324243"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08C06"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0A5FF884" w14:textId="77777777" w:rsidR="00324243" w:rsidRPr="0003606D" w:rsidRDefault="00324243" w:rsidP="0003606D">
                    <w:pPr>
                      <w:pStyle w:val="coveraddresses"/>
                    </w:pPr>
                    <w:r w:rsidRPr="0003606D">
                      <w:t>ABN 47 996 232 602</w:t>
                    </w:r>
                  </w:p>
                  <w:p w14:paraId="1ECD850C" w14:textId="77777777" w:rsidR="00324243" w:rsidRPr="0003606D" w:rsidRDefault="00324243" w:rsidP="0003606D">
                    <w:pPr>
                      <w:pStyle w:val="coveraddresses"/>
                    </w:pPr>
                    <w:r w:rsidRPr="0003606D">
                      <w:t>Level 3, 175 Pitt Street, Sydney NSW 2000</w:t>
                    </w:r>
                  </w:p>
                  <w:p w14:paraId="4D75CD76" w14:textId="77777777" w:rsidR="00324243" w:rsidRPr="0003606D" w:rsidRDefault="00324243" w:rsidP="0003606D">
                    <w:pPr>
                      <w:pStyle w:val="coveraddresses"/>
                    </w:pPr>
                    <w:r w:rsidRPr="0003606D">
                      <w:t>GPO Box 5218, Sydney NSW 2001</w:t>
                    </w:r>
                  </w:p>
                  <w:p w14:paraId="3B58193C" w14:textId="77777777" w:rsidR="00324243" w:rsidRPr="0003606D" w:rsidRDefault="00324243" w:rsidP="0003606D">
                    <w:pPr>
                      <w:pStyle w:val="coveraddresses"/>
                    </w:pPr>
                    <w:r w:rsidRPr="0003606D">
                      <w:t>General enquiries 1300 369 711</w:t>
                    </w:r>
                  </w:p>
                  <w:p w14:paraId="3DCCE5D1" w14:textId="77777777" w:rsidR="00324243" w:rsidRPr="0003606D" w:rsidRDefault="00324243" w:rsidP="0003606D">
                    <w:pPr>
                      <w:pStyle w:val="coveraddresses"/>
                    </w:pPr>
                    <w:r w:rsidRPr="0003606D">
                      <w:t>Complaints info line 1300 656 419</w:t>
                    </w:r>
                  </w:p>
                  <w:p w14:paraId="789966A7" w14:textId="77777777" w:rsidR="00324243" w:rsidRPr="0003606D" w:rsidRDefault="00324243" w:rsidP="0003606D">
                    <w:pPr>
                      <w:pStyle w:val="coveraddresses"/>
                    </w:pPr>
                    <w:r w:rsidRPr="0003606D">
                      <w:t>TTY 1800 620 241</w:t>
                    </w:r>
                  </w:p>
                  <w:p w14:paraId="30040BCE" w14:textId="77777777" w:rsidR="00324243" w:rsidRPr="00B63D24" w:rsidRDefault="00324243"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B74C" w14:textId="77777777" w:rsidR="00324243" w:rsidRPr="0090165F" w:rsidRDefault="00324243"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925E" w14:textId="77777777" w:rsidR="00FC6858" w:rsidRDefault="00FC6858" w:rsidP="00F14C6D">
      <w:r>
        <w:separator/>
      </w:r>
    </w:p>
  </w:footnote>
  <w:footnote w:type="continuationSeparator" w:id="0">
    <w:p w14:paraId="56746BAB" w14:textId="77777777" w:rsidR="00FC6858" w:rsidRDefault="00FC685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770C" w14:textId="77777777" w:rsidR="00324243" w:rsidRDefault="00CF4D69">
    <w:pPr>
      <w:pStyle w:val="Header"/>
    </w:pPr>
    <w:r>
      <w:rPr>
        <w:noProof/>
      </w:rPr>
      <w:pict w14:anchorId="0265D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style="position:absolute;margin-left:0;margin-top:0;width:595.65pt;height:870.15pt;z-index:-251656192;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7AB4" w14:textId="77777777" w:rsidR="00324243" w:rsidRPr="00D27262" w:rsidRDefault="00CF4D69" w:rsidP="002B1B65">
    <w:pPr>
      <w:spacing w:before="0" w:after="0"/>
      <w:jc w:val="right"/>
      <w:rPr>
        <w:sz w:val="22"/>
        <w:szCs w:val="22"/>
      </w:rPr>
    </w:pPr>
    <w:r>
      <w:rPr>
        <w:noProof/>
        <w:sz w:val="22"/>
        <w:szCs w:val="22"/>
      </w:rPr>
      <w:pict w14:anchorId="193C0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style="position:absolute;left:0;text-align:left;margin-left:0;margin-top:0;width:595.65pt;height:870.15pt;z-index:-251655168;mso-position-horizontal:center;mso-position-horizontal-relative:margin;mso-position-vertical:center;mso-position-vertical-relative:margin" o:allowincell="f">
          <v:imagedata r:id="rId1" o:title="MS word cover1"/>
          <w10:wrap anchorx="margin" anchory="margin"/>
        </v:shape>
      </w:pict>
    </w:r>
    <w:r w:rsidR="00324243" w:rsidRPr="00D27262">
      <w:rPr>
        <w:sz w:val="22"/>
        <w:szCs w:val="22"/>
      </w:rPr>
      <w:t>Au</w:t>
    </w:r>
    <w:r w:rsidR="00324243">
      <w:rPr>
        <w:sz w:val="22"/>
        <w:szCs w:val="22"/>
      </w:rPr>
      <w:t>stralian Human Rights Commission</w:t>
    </w:r>
  </w:p>
  <w:p w14:paraId="546E0742" w14:textId="77777777" w:rsidR="00324243" w:rsidRDefault="00324243"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24243" w:rsidRPr="00B85DD4" w14:paraId="6F5B0C51" w14:textId="77777777" w:rsidTr="00165E3C">
      <w:trPr>
        <w:trHeight w:val="1276"/>
      </w:trPr>
      <w:tc>
        <w:tcPr>
          <w:tcW w:w="1508" w:type="dxa"/>
        </w:tcPr>
        <w:p w14:paraId="50CAED44" w14:textId="77777777" w:rsidR="00324243" w:rsidRPr="00B85DD4" w:rsidRDefault="00324243" w:rsidP="00B520BC">
          <w:pPr>
            <w:pStyle w:val="Header"/>
            <w:tabs>
              <w:tab w:val="left" w:pos="4686"/>
              <w:tab w:val="left" w:pos="7088"/>
              <w:tab w:val="left" w:pos="7242"/>
            </w:tabs>
            <w:ind w:left="-108"/>
            <w:rPr>
              <w:rFonts w:cs="ArialMT"/>
              <w:b/>
              <w:spacing w:val="-20"/>
            </w:rPr>
          </w:pPr>
        </w:p>
      </w:tc>
      <w:tc>
        <w:tcPr>
          <w:tcW w:w="2688" w:type="dxa"/>
          <w:vAlign w:val="center"/>
        </w:tcPr>
        <w:p w14:paraId="13FD360D" w14:textId="77777777" w:rsidR="00324243" w:rsidRPr="00B85DD4" w:rsidRDefault="00324243" w:rsidP="002B1B65">
          <w:pPr>
            <w:spacing w:before="0" w:after="0"/>
            <w:rPr>
              <w:rFonts w:cs="ArialMT"/>
              <w:i/>
              <w:color w:val="808080"/>
              <w:sz w:val="17"/>
            </w:rPr>
          </w:pPr>
        </w:p>
      </w:tc>
      <w:tc>
        <w:tcPr>
          <w:tcW w:w="2302" w:type="dxa"/>
        </w:tcPr>
        <w:p w14:paraId="740F5D39" w14:textId="77777777" w:rsidR="00324243" w:rsidRPr="00B85DD4" w:rsidRDefault="00324243" w:rsidP="00B520BC">
          <w:pPr>
            <w:pStyle w:val="HeaderFooter"/>
            <w:rPr>
              <w:b/>
              <w:spacing w:val="-20"/>
              <w:sz w:val="40"/>
            </w:rPr>
          </w:pPr>
        </w:p>
      </w:tc>
      <w:tc>
        <w:tcPr>
          <w:tcW w:w="2130" w:type="dxa"/>
        </w:tcPr>
        <w:p w14:paraId="0C783F02" w14:textId="77777777" w:rsidR="00324243" w:rsidRPr="00B85DD4" w:rsidRDefault="00324243" w:rsidP="00B520BC">
          <w:pPr>
            <w:pStyle w:val="HeaderFooter"/>
            <w:rPr>
              <w:b/>
              <w:spacing w:val="-20"/>
              <w:sz w:val="40"/>
            </w:rPr>
          </w:pPr>
        </w:p>
      </w:tc>
      <w:tc>
        <w:tcPr>
          <w:tcW w:w="1721" w:type="dxa"/>
        </w:tcPr>
        <w:p w14:paraId="7C15E765" w14:textId="77777777" w:rsidR="00324243" w:rsidRPr="00B85DD4" w:rsidRDefault="00324243" w:rsidP="00B520BC">
          <w:pPr>
            <w:pStyle w:val="HeaderFooter"/>
            <w:spacing w:before="227" w:after="340"/>
            <w:rPr>
              <w:b/>
              <w:spacing w:val="-20"/>
              <w:sz w:val="40"/>
            </w:rPr>
          </w:pPr>
        </w:p>
      </w:tc>
    </w:tr>
  </w:tbl>
  <w:p w14:paraId="12F47EBB" w14:textId="77777777" w:rsidR="00324243" w:rsidRDefault="00CF4D69">
    <w:pPr>
      <w:pStyle w:val="Header"/>
    </w:pPr>
    <w:r>
      <w:rPr>
        <w:rFonts w:cs="ArialMT"/>
        <w:b/>
        <w:noProof/>
        <w:spacing w:val="-20"/>
      </w:rPr>
      <w:pict w14:anchorId="2E892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style="position:absolute;margin-left:-71.05pt;margin-top:-116pt;width:595.65pt;height:870.15pt;z-index:-251654144;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7FFE" w14:textId="77777777" w:rsidR="00324243" w:rsidRDefault="00CF4D69">
    <w:pPr>
      <w:pStyle w:val="Header"/>
    </w:pPr>
    <w:r>
      <w:rPr>
        <w:noProof/>
      </w:rPr>
      <w:pict w14:anchorId="0B2ED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style="position:absolute;margin-left:0;margin-top:0;width:595.65pt;height:870.15pt;z-index:-251653120;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F9EA" w14:textId="77777777" w:rsidR="00324243" w:rsidRPr="00D27262" w:rsidRDefault="00324243" w:rsidP="00B34946">
    <w:pPr>
      <w:spacing w:before="0" w:after="60"/>
      <w:jc w:val="right"/>
      <w:rPr>
        <w:sz w:val="22"/>
        <w:szCs w:val="22"/>
      </w:rPr>
    </w:pPr>
    <w:r w:rsidRPr="00D27262">
      <w:rPr>
        <w:sz w:val="22"/>
        <w:szCs w:val="22"/>
      </w:rPr>
      <w:t>Au</w:t>
    </w:r>
    <w:r>
      <w:rPr>
        <w:sz w:val="22"/>
        <w:szCs w:val="22"/>
      </w:rPr>
      <w:t>stralian Human Rights Commission</w:t>
    </w:r>
  </w:p>
  <w:p w14:paraId="6E8649E4" w14:textId="77861D76" w:rsidR="00324243" w:rsidRDefault="00324243" w:rsidP="002F4CE1">
    <w:pPr>
      <w:pStyle w:val="Footer"/>
      <w:spacing w:after="240"/>
      <w:jc w:val="right"/>
      <w:rPr>
        <w:i/>
        <w:szCs w:val="18"/>
      </w:rPr>
    </w:pPr>
    <w:r>
      <w:rPr>
        <w:i/>
        <w:szCs w:val="18"/>
      </w:rPr>
      <w:t>Review of the mandatory data retention regime – 1 July 2019</w:t>
    </w:r>
  </w:p>
  <w:p w14:paraId="30CD9F66" w14:textId="77777777" w:rsidR="00324243" w:rsidRPr="00D729AD" w:rsidRDefault="00324243" w:rsidP="002F4CE1">
    <w:pPr>
      <w:pStyle w:val="Footer"/>
      <w:spacing w:after="240"/>
      <w:jc w:val="right"/>
      <w:rPr>
        <w:i/>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24243" w:rsidRPr="00B85DD4" w14:paraId="2AC43025" w14:textId="77777777" w:rsidTr="002B1B65">
      <w:trPr>
        <w:trHeight w:val="1603"/>
      </w:trPr>
      <w:tc>
        <w:tcPr>
          <w:tcW w:w="1508" w:type="dxa"/>
        </w:tcPr>
        <w:p w14:paraId="42E5C984" w14:textId="77777777" w:rsidR="00324243" w:rsidRPr="00B85DD4" w:rsidRDefault="00324243" w:rsidP="00B520BC">
          <w:pPr>
            <w:pStyle w:val="Header"/>
            <w:tabs>
              <w:tab w:val="left" w:pos="4686"/>
              <w:tab w:val="left" w:pos="7088"/>
              <w:tab w:val="left" w:pos="7242"/>
            </w:tabs>
            <w:ind w:left="-108"/>
            <w:rPr>
              <w:rFonts w:cs="ArialMT"/>
              <w:b/>
              <w:spacing w:val="-20"/>
            </w:rPr>
          </w:pPr>
          <w:r>
            <w:rPr>
              <w:rFonts w:cs="ArialMT"/>
              <w:b/>
              <w:noProof/>
              <w:spacing w:val="-20"/>
              <w:lang w:val="en-US" w:eastAsia="en-US"/>
            </w:rPr>
            <w:drawing>
              <wp:inline distT="0" distB="0" distL="0" distR="0" wp14:anchorId="1EF90138" wp14:editId="41189822">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04709E8E" w14:textId="77777777" w:rsidR="00324243" w:rsidRPr="00D36BB2" w:rsidRDefault="00324243" w:rsidP="002B1B65">
          <w:pPr>
            <w:pStyle w:val="LogoType"/>
            <w:pBdr>
              <w:bottom w:val="single" w:sz="4" w:space="1" w:color="808080"/>
            </w:pBdr>
            <w:spacing w:line="240" w:lineRule="auto"/>
          </w:pPr>
          <w:r w:rsidRPr="00D36BB2">
            <w:t>Australian</w:t>
          </w:r>
        </w:p>
        <w:p w14:paraId="6F7F59A4" w14:textId="77777777" w:rsidR="00324243" w:rsidRPr="00D36BB2" w:rsidRDefault="00324243" w:rsidP="002B1B65">
          <w:pPr>
            <w:pStyle w:val="LogoType"/>
            <w:pBdr>
              <w:bottom w:val="single" w:sz="4" w:space="1" w:color="808080"/>
            </w:pBdr>
            <w:spacing w:line="240" w:lineRule="auto"/>
          </w:pPr>
          <w:r w:rsidRPr="00D36BB2">
            <w:t>Human Rights</w:t>
          </w:r>
        </w:p>
        <w:p w14:paraId="039EE14B" w14:textId="77777777" w:rsidR="00324243" w:rsidRPr="00D36BB2" w:rsidRDefault="00324243" w:rsidP="002B1B65">
          <w:pPr>
            <w:pStyle w:val="LogoType"/>
            <w:pBdr>
              <w:bottom w:val="single" w:sz="4" w:space="1" w:color="808080"/>
            </w:pBdr>
            <w:spacing w:line="240" w:lineRule="auto"/>
          </w:pPr>
          <w:r w:rsidRPr="00D36BB2">
            <w:t>Commission</w:t>
          </w:r>
        </w:p>
        <w:p w14:paraId="01359F57" w14:textId="77777777" w:rsidR="00324243" w:rsidRPr="00B85DD4" w:rsidRDefault="00324243"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12E7CB7" w14:textId="77777777" w:rsidR="00324243" w:rsidRPr="00B85DD4" w:rsidRDefault="00324243" w:rsidP="00B520BC">
          <w:pPr>
            <w:pStyle w:val="HeaderFooter"/>
            <w:rPr>
              <w:b/>
              <w:spacing w:val="-20"/>
              <w:sz w:val="40"/>
            </w:rPr>
          </w:pPr>
        </w:p>
      </w:tc>
      <w:tc>
        <w:tcPr>
          <w:tcW w:w="2130" w:type="dxa"/>
        </w:tcPr>
        <w:p w14:paraId="6F731D1E" w14:textId="77777777" w:rsidR="00324243" w:rsidRPr="00B85DD4" w:rsidRDefault="00324243" w:rsidP="00B520BC">
          <w:pPr>
            <w:pStyle w:val="HeaderFooter"/>
            <w:rPr>
              <w:b/>
              <w:spacing w:val="-20"/>
              <w:sz w:val="40"/>
            </w:rPr>
          </w:pPr>
        </w:p>
      </w:tc>
      <w:tc>
        <w:tcPr>
          <w:tcW w:w="1721" w:type="dxa"/>
        </w:tcPr>
        <w:p w14:paraId="2E310CC8" w14:textId="77777777" w:rsidR="00324243" w:rsidRPr="00B85DD4" w:rsidRDefault="00324243" w:rsidP="00B520BC">
          <w:pPr>
            <w:pStyle w:val="HeaderFooter"/>
            <w:spacing w:before="227" w:after="340"/>
            <w:rPr>
              <w:b/>
              <w:spacing w:val="-20"/>
              <w:sz w:val="40"/>
            </w:rPr>
          </w:pPr>
        </w:p>
      </w:tc>
    </w:tr>
  </w:tbl>
  <w:p w14:paraId="4377CCF7" w14:textId="77777777" w:rsidR="00324243" w:rsidRDefault="00CF4D69">
    <w:pPr>
      <w:pStyle w:val="Header"/>
    </w:pPr>
    <w:r>
      <w:rPr>
        <w:rFonts w:cs="ArialMT"/>
        <w:b/>
        <w:noProof/>
        <w:spacing w:val="-20"/>
      </w:rPr>
      <w:pict w14:anchorId="7CFC6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style="position:absolute;margin-left:0;margin-top:0;width:595.65pt;height:870.15pt;z-index:-251652096;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6A0E005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lowerLetter"/>
      <w:lvlText w:val="(%9)"/>
      <w:lvlJc w:val="left"/>
      <w:pPr>
        <w:tabs>
          <w:tab w:val="num" w:pos="0"/>
        </w:tabs>
        <w:ind w:left="1584" w:hanging="1584"/>
      </w:pPr>
      <w:rPr>
        <w:rFonts w:ascii="Arial" w:eastAsia="Times New Roman" w:hAnsi="Arial" w:cs="Times New Roman"/>
      </w:rPr>
    </w:lvl>
  </w:abstractNum>
  <w:abstractNum w:abstractNumId="11" w15:restartNumberingAfterBreak="0">
    <w:nsid w:val="1DCB237C"/>
    <w:multiLevelType w:val="hybridMultilevel"/>
    <w:tmpl w:val="886AAE66"/>
    <w:lvl w:ilvl="0" w:tplc="A32EC982">
      <w:start w:val="1"/>
      <w:numFmt w:val="decimal"/>
      <w:pStyle w:val="SubmissionNor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31E62CE"/>
    <w:multiLevelType w:val="hybridMultilevel"/>
    <w:tmpl w:val="B114CED6"/>
    <w:lvl w:ilvl="0" w:tplc="AD46E3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FF7A73"/>
    <w:multiLevelType w:val="multilevel"/>
    <w:tmpl w:val="BEB82AB8"/>
    <w:lvl w:ilvl="0">
      <w:start w:val="5"/>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6"/>
  </w:num>
  <w:num w:numId="13">
    <w:abstractNumId w:val="14"/>
  </w:num>
  <w:num w:numId="14">
    <w:abstractNumId w:val="12"/>
  </w:num>
  <w:num w:numId="15">
    <w:abstractNumId w:val="11"/>
  </w:num>
  <w:num w:numId="16">
    <w:abstractNumId w:val="10"/>
  </w:num>
  <w:num w:numId="17">
    <w:abstractNumId w:val="13"/>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10"/>
    <w:rsid w:val="00003DEE"/>
    <w:rsid w:val="00005049"/>
    <w:rsid w:val="000058D3"/>
    <w:rsid w:val="00011379"/>
    <w:rsid w:val="00011586"/>
    <w:rsid w:val="00012BCC"/>
    <w:rsid w:val="000131A8"/>
    <w:rsid w:val="00016E37"/>
    <w:rsid w:val="000245B8"/>
    <w:rsid w:val="00025675"/>
    <w:rsid w:val="00025D42"/>
    <w:rsid w:val="0002683C"/>
    <w:rsid w:val="000272C7"/>
    <w:rsid w:val="0003077C"/>
    <w:rsid w:val="0003349B"/>
    <w:rsid w:val="00034856"/>
    <w:rsid w:val="0003606D"/>
    <w:rsid w:val="00037626"/>
    <w:rsid w:val="00041609"/>
    <w:rsid w:val="00041D8C"/>
    <w:rsid w:val="000420AA"/>
    <w:rsid w:val="000425BE"/>
    <w:rsid w:val="00046883"/>
    <w:rsid w:val="00046EB7"/>
    <w:rsid w:val="00047F0D"/>
    <w:rsid w:val="00055BF3"/>
    <w:rsid w:val="00056484"/>
    <w:rsid w:val="00057862"/>
    <w:rsid w:val="000579B1"/>
    <w:rsid w:val="00057B15"/>
    <w:rsid w:val="000620A2"/>
    <w:rsid w:val="00062A13"/>
    <w:rsid w:val="00064C26"/>
    <w:rsid w:val="000665CF"/>
    <w:rsid w:val="00072D2F"/>
    <w:rsid w:val="00074319"/>
    <w:rsid w:val="00074517"/>
    <w:rsid w:val="00075010"/>
    <w:rsid w:val="00075B71"/>
    <w:rsid w:val="00077074"/>
    <w:rsid w:val="00081F70"/>
    <w:rsid w:val="00082141"/>
    <w:rsid w:val="00083E59"/>
    <w:rsid w:val="0008636A"/>
    <w:rsid w:val="000864E6"/>
    <w:rsid w:val="00090350"/>
    <w:rsid w:val="00090CC0"/>
    <w:rsid w:val="000925EE"/>
    <w:rsid w:val="00092F47"/>
    <w:rsid w:val="00094400"/>
    <w:rsid w:val="000948D8"/>
    <w:rsid w:val="0009651D"/>
    <w:rsid w:val="000967D7"/>
    <w:rsid w:val="0009771A"/>
    <w:rsid w:val="000977EF"/>
    <w:rsid w:val="000A08C6"/>
    <w:rsid w:val="000A12C0"/>
    <w:rsid w:val="000A1DB8"/>
    <w:rsid w:val="000A1F8E"/>
    <w:rsid w:val="000A2C25"/>
    <w:rsid w:val="000A48AC"/>
    <w:rsid w:val="000A62A1"/>
    <w:rsid w:val="000A6826"/>
    <w:rsid w:val="000A6D97"/>
    <w:rsid w:val="000B0A5D"/>
    <w:rsid w:val="000B0CA8"/>
    <w:rsid w:val="000C05BC"/>
    <w:rsid w:val="000D2D9C"/>
    <w:rsid w:val="000D4056"/>
    <w:rsid w:val="000D6701"/>
    <w:rsid w:val="000D6B21"/>
    <w:rsid w:val="000D6BA5"/>
    <w:rsid w:val="000D7870"/>
    <w:rsid w:val="000D7BF5"/>
    <w:rsid w:val="000E130A"/>
    <w:rsid w:val="000E3A7F"/>
    <w:rsid w:val="000E3E57"/>
    <w:rsid w:val="000E4537"/>
    <w:rsid w:val="000E71E7"/>
    <w:rsid w:val="000F7F59"/>
    <w:rsid w:val="000F7FBB"/>
    <w:rsid w:val="001007E0"/>
    <w:rsid w:val="00101C1B"/>
    <w:rsid w:val="00104E02"/>
    <w:rsid w:val="00105075"/>
    <w:rsid w:val="00107699"/>
    <w:rsid w:val="00111553"/>
    <w:rsid w:val="0011511F"/>
    <w:rsid w:val="001156F3"/>
    <w:rsid w:val="00115DF3"/>
    <w:rsid w:val="00117657"/>
    <w:rsid w:val="00123425"/>
    <w:rsid w:val="00123D46"/>
    <w:rsid w:val="00124640"/>
    <w:rsid w:val="001246F1"/>
    <w:rsid w:val="0012587D"/>
    <w:rsid w:val="00131311"/>
    <w:rsid w:val="00131AD4"/>
    <w:rsid w:val="00131C32"/>
    <w:rsid w:val="00133724"/>
    <w:rsid w:val="00134774"/>
    <w:rsid w:val="00140274"/>
    <w:rsid w:val="001409B6"/>
    <w:rsid w:val="001418DB"/>
    <w:rsid w:val="00142322"/>
    <w:rsid w:val="00142F38"/>
    <w:rsid w:val="001462DE"/>
    <w:rsid w:val="00150298"/>
    <w:rsid w:val="00150987"/>
    <w:rsid w:val="00151263"/>
    <w:rsid w:val="0015145E"/>
    <w:rsid w:val="001558D9"/>
    <w:rsid w:val="00162A8D"/>
    <w:rsid w:val="00165E3C"/>
    <w:rsid w:val="00166818"/>
    <w:rsid w:val="0017252F"/>
    <w:rsid w:val="00173FB5"/>
    <w:rsid w:val="001741A1"/>
    <w:rsid w:val="001753DE"/>
    <w:rsid w:val="001770C4"/>
    <w:rsid w:val="00184630"/>
    <w:rsid w:val="00185D8E"/>
    <w:rsid w:val="00187607"/>
    <w:rsid w:val="0019038C"/>
    <w:rsid w:val="00190631"/>
    <w:rsid w:val="001938F8"/>
    <w:rsid w:val="001947AE"/>
    <w:rsid w:val="0019563A"/>
    <w:rsid w:val="0019769A"/>
    <w:rsid w:val="001A60C3"/>
    <w:rsid w:val="001B0353"/>
    <w:rsid w:val="001B24F2"/>
    <w:rsid w:val="001B314F"/>
    <w:rsid w:val="001B6D13"/>
    <w:rsid w:val="001C0031"/>
    <w:rsid w:val="001C1F8B"/>
    <w:rsid w:val="001C20B9"/>
    <w:rsid w:val="001C2204"/>
    <w:rsid w:val="001C3877"/>
    <w:rsid w:val="001D0607"/>
    <w:rsid w:val="001D11AA"/>
    <w:rsid w:val="001D5594"/>
    <w:rsid w:val="001F2BBB"/>
    <w:rsid w:val="001F38E7"/>
    <w:rsid w:val="001F39D3"/>
    <w:rsid w:val="001F3E75"/>
    <w:rsid w:val="001F42D9"/>
    <w:rsid w:val="001F4345"/>
    <w:rsid w:val="001F50D7"/>
    <w:rsid w:val="001F55AA"/>
    <w:rsid w:val="001F62B8"/>
    <w:rsid w:val="001F6736"/>
    <w:rsid w:val="001F6DC9"/>
    <w:rsid w:val="001F7930"/>
    <w:rsid w:val="0020043D"/>
    <w:rsid w:val="00200677"/>
    <w:rsid w:val="002023D9"/>
    <w:rsid w:val="00202645"/>
    <w:rsid w:val="00203E69"/>
    <w:rsid w:val="00210A0C"/>
    <w:rsid w:val="002111D3"/>
    <w:rsid w:val="0021166F"/>
    <w:rsid w:val="00216D2F"/>
    <w:rsid w:val="00217AA0"/>
    <w:rsid w:val="002217D3"/>
    <w:rsid w:val="002225DD"/>
    <w:rsid w:val="002243CE"/>
    <w:rsid w:val="0022457C"/>
    <w:rsid w:val="00224AA3"/>
    <w:rsid w:val="0022548F"/>
    <w:rsid w:val="00225A0C"/>
    <w:rsid w:val="00226D71"/>
    <w:rsid w:val="00231742"/>
    <w:rsid w:val="00231ED1"/>
    <w:rsid w:val="002325EF"/>
    <w:rsid w:val="00236DDB"/>
    <w:rsid w:val="00237BF4"/>
    <w:rsid w:val="00241DED"/>
    <w:rsid w:val="00242624"/>
    <w:rsid w:val="002427BB"/>
    <w:rsid w:val="00244730"/>
    <w:rsid w:val="0024557E"/>
    <w:rsid w:val="00246D28"/>
    <w:rsid w:val="00251901"/>
    <w:rsid w:val="00251DAF"/>
    <w:rsid w:val="00254664"/>
    <w:rsid w:val="00254FB8"/>
    <w:rsid w:val="002553CB"/>
    <w:rsid w:val="0025684D"/>
    <w:rsid w:val="002602EB"/>
    <w:rsid w:val="00262D93"/>
    <w:rsid w:val="00270832"/>
    <w:rsid w:val="0027129E"/>
    <w:rsid w:val="00272CFE"/>
    <w:rsid w:val="0027310E"/>
    <w:rsid w:val="00281EAA"/>
    <w:rsid w:val="00284137"/>
    <w:rsid w:val="002863D7"/>
    <w:rsid w:val="0029018E"/>
    <w:rsid w:val="002970C5"/>
    <w:rsid w:val="002A7B92"/>
    <w:rsid w:val="002B01A3"/>
    <w:rsid w:val="002B0C79"/>
    <w:rsid w:val="002B1B65"/>
    <w:rsid w:val="002B3C69"/>
    <w:rsid w:val="002B3EEC"/>
    <w:rsid w:val="002C1866"/>
    <w:rsid w:val="002C3C17"/>
    <w:rsid w:val="002C5CEE"/>
    <w:rsid w:val="002D12AB"/>
    <w:rsid w:val="002D1F8A"/>
    <w:rsid w:val="002D21B7"/>
    <w:rsid w:val="002D2DB2"/>
    <w:rsid w:val="002D582A"/>
    <w:rsid w:val="002E1B0A"/>
    <w:rsid w:val="002E48A6"/>
    <w:rsid w:val="002E68B9"/>
    <w:rsid w:val="002E6AB9"/>
    <w:rsid w:val="002F0CAB"/>
    <w:rsid w:val="002F123D"/>
    <w:rsid w:val="002F411F"/>
    <w:rsid w:val="002F498A"/>
    <w:rsid w:val="002F4CE1"/>
    <w:rsid w:val="002F4DF0"/>
    <w:rsid w:val="00300F22"/>
    <w:rsid w:val="00302E85"/>
    <w:rsid w:val="00304A37"/>
    <w:rsid w:val="00304EFF"/>
    <w:rsid w:val="00307EA6"/>
    <w:rsid w:val="00310E59"/>
    <w:rsid w:val="00310ED4"/>
    <w:rsid w:val="00312301"/>
    <w:rsid w:val="00313144"/>
    <w:rsid w:val="0031492A"/>
    <w:rsid w:val="00316C1A"/>
    <w:rsid w:val="00316DAE"/>
    <w:rsid w:val="00316F66"/>
    <w:rsid w:val="003221C7"/>
    <w:rsid w:val="00323C73"/>
    <w:rsid w:val="00324243"/>
    <w:rsid w:val="0032436F"/>
    <w:rsid w:val="003262E0"/>
    <w:rsid w:val="003266A9"/>
    <w:rsid w:val="00326EFB"/>
    <w:rsid w:val="00327172"/>
    <w:rsid w:val="00330EF1"/>
    <w:rsid w:val="00331141"/>
    <w:rsid w:val="00331D9B"/>
    <w:rsid w:val="00332827"/>
    <w:rsid w:val="00333896"/>
    <w:rsid w:val="00344758"/>
    <w:rsid w:val="003467BF"/>
    <w:rsid w:val="00347142"/>
    <w:rsid w:val="0035087A"/>
    <w:rsid w:val="00350DB6"/>
    <w:rsid w:val="00352260"/>
    <w:rsid w:val="003525CA"/>
    <w:rsid w:val="00354D2F"/>
    <w:rsid w:val="003565A8"/>
    <w:rsid w:val="003566EA"/>
    <w:rsid w:val="003614D1"/>
    <w:rsid w:val="00362E40"/>
    <w:rsid w:val="00366295"/>
    <w:rsid w:val="00367957"/>
    <w:rsid w:val="00372C79"/>
    <w:rsid w:val="003737DA"/>
    <w:rsid w:val="00374B06"/>
    <w:rsid w:val="00375EFE"/>
    <w:rsid w:val="00377B9A"/>
    <w:rsid w:val="00380F0D"/>
    <w:rsid w:val="00382227"/>
    <w:rsid w:val="00384903"/>
    <w:rsid w:val="00385A2D"/>
    <w:rsid w:val="00386694"/>
    <w:rsid w:val="00386958"/>
    <w:rsid w:val="00390988"/>
    <w:rsid w:val="003948A4"/>
    <w:rsid w:val="0039590B"/>
    <w:rsid w:val="00396CE3"/>
    <w:rsid w:val="00396EC2"/>
    <w:rsid w:val="003A00F7"/>
    <w:rsid w:val="003A08F6"/>
    <w:rsid w:val="003A1376"/>
    <w:rsid w:val="003A75CF"/>
    <w:rsid w:val="003B3196"/>
    <w:rsid w:val="003B34BA"/>
    <w:rsid w:val="003B6D46"/>
    <w:rsid w:val="003C1255"/>
    <w:rsid w:val="003C227D"/>
    <w:rsid w:val="003D0F11"/>
    <w:rsid w:val="003D3E7C"/>
    <w:rsid w:val="003D5B9F"/>
    <w:rsid w:val="003E0681"/>
    <w:rsid w:val="003E1DA9"/>
    <w:rsid w:val="003E4BA8"/>
    <w:rsid w:val="003F097F"/>
    <w:rsid w:val="003F1CD1"/>
    <w:rsid w:val="003F59E9"/>
    <w:rsid w:val="003F61D0"/>
    <w:rsid w:val="003F6DD3"/>
    <w:rsid w:val="003F6F6F"/>
    <w:rsid w:val="004017F4"/>
    <w:rsid w:val="00405261"/>
    <w:rsid w:val="004076C6"/>
    <w:rsid w:val="004114A6"/>
    <w:rsid w:val="00411534"/>
    <w:rsid w:val="004132A6"/>
    <w:rsid w:val="00414A87"/>
    <w:rsid w:val="00415B10"/>
    <w:rsid w:val="00417774"/>
    <w:rsid w:val="00422417"/>
    <w:rsid w:val="00424233"/>
    <w:rsid w:val="00424DF5"/>
    <w:rsid w:val="00425462"/>
    <w:rsid w:val="0043042B"/>
    <w:rsid w:val="00430ADF"/>
    <w:rsid w:val="0043243E"/>
    <w:rsid w:val="00433149"/>
    <w:rsid w:val="00435526"/>
    <w:rsid w:val="00436F7F"/>
    <w:rsid w:val="004453D0"/>
    <w:rsid w:val="00453BE4"/>
    <w:rsid w:val="0046024F"/>
    <w:rsid w:val="00462053"/>
    <w:rsid w:val="00463E87"/>
    <w:rsid w:val="00464730"/>
    <w:rsid w:val="00471410"/>
    <w:rsid w:val="00472EFF"/>
    <w:rsid w:val="00474063"/>
    <w:rsid w:val="0047441D"/>
    <w:rsid w:val="00474840"/>
    <w:rsid w:val="00474A87"/>
    <w:rsid w:val="00476793"/>
    <w:rsid w:val="004768CF"/>
    <w:rsid w:val="004773DE"/>
    <w:rsid w:val="00482561"/>
    <w:rsid w:val="004839F4"/>
    <w:rsid w:val="00484DEB"/>
    <w:rsid w:val="004902BF"/>
    <w:rsid w:val="004929E1"/>
    <w:rsid w:val="00493917"/>
    <w:rsid w:val="004A08C5"/>
    <w:rsid w:val="004A187B"/>
    <w:rsid w:val="004A27A3"/>
    <w:rsid w:val="004A2D3C"/>
    <w:rsid w:val="004A539A"/>
    <w:rsid w:val="004A59F4"/>
    <w:rsid w:val="004A70EF"/>
    <w:rsid w:val="004B42E0"/>
    <w:rsid w:val="004C0344"/>
    <w:rsid w:val="004C0AF5"/>
    <w:rsid w:val="004C1C2A"/>
    <w:rsid w:val="004C670F"/>
    <w:rsid w:val="004C7412"/>
    <w:rsid w:val="004D04BF"/>
    <w:rsid w:val="004D1799"/>
    <w:rsid w:val="004D4D94"/>
    <w:rsid w:val="004D4D9B"/>
    <w:rsid w:val="004D53E7"/>
    <w:rsid w:val="004D6E55"/>
    <w:rsid w:val="004E0DFF"/>
    <w:rsid w:val="004E2861"/>
    <w:rsid w:val="004E7C5A"/>
    <w:rsid w:val="004E7E03"/>
    <w:rsid w:val="004F1C7C"/>
    <w:rsid w:val="004F3275"/>
    <w:rsid w:val="005015CF"/>
    <w:rsid w:val="0050361B"/>
    <w:rsid w:val="00503B00"/>
    <w:rsid w:val="00503DAC"/>
    <w:rsid w:val="005059FE"/>
    <w:rsid w:val="0051067F"/>
    <w:rsid w:val="005120E7"/>
    <w:rsid w:val="005123F0"/>
    <w:rsid w:val="00512E17"/>
    <w:rsid w:val="005132FF"/>
    <w:rsid w:val="00513485"/>
    <w:rsid w:val="00513531"/>
    <w:rsid w:val="00513540"/>
    <w:rsid w:val="00513941"/>
    <w:rsid w:val="0052204C"/>
    <w:rsid w:val="00522D97"/>
    <w:rsid w:val="00523540"/>
    <w:rsid w:val="00523E95"/>
    <w:rsid w:val="00527B0E"/>
    <w:rsid w:val="0053051D"/>
    <w:rsid w:val="00530D1D"/>
    <w:rsid w:val="005341D9"/>
    <w:rsid w:val="00536185"/>
    <w:rsid w:val="005364A8"/>
    <w:rsid w:val="00540243"/>
    <w:rsid w:val="005501AC"/>
    <w:rsid w:val="005510CC"/>
    <w:rsid w:val="005531F4"/>
    <w:rsid w:val="00553DAD"/>
    <w:rsid w:val="00555A8B"/>
    <w:rsid w:val="005567FA"/>
    <w:rsid w:val="005616BF"/>
    <w:rsid w:val="0056284A"/>
    <w:rsid w:val="00562987"/>
    <w:rsid w:val="00563C24"/>
    <w:rsid w:val="00563E47"/>
    <w:rsid w:val="00564208"/>
    <w:rsid w:val="00564BCD"/>
    <w:rsid w:val="00565474"/>
    <w:rsid w:val="005703C7"/>
    <w:rsid w:val="0057078C"/>
    <w:rsid w:val="0057083D"/>
    <w:rsid w:val="0057092F"/>
    <w:rsid w:val="005711E3"/>
    <w:rsid w:val="00571B21"/>
    <w:rsid w:val="00571CEB"/>
    <w:rsid w:val="005726D0"/>
    <w:rsid w:val="00572E07"/>
    <w:rsid w:val="00575D80"/>
    <w:rsid w:val="005778E8"/>
    <w:rsid w:val="00580DD9"/>
    <w:rsid w:val="00581231"/>
    <w:rsid w:val="005812E5"/>
    <w:rsid w:val="005823AD"/>
    <w:rsid w:val="00591951"/>
    <w:rsid w:val="00591B4D"/>
    <w:rsid w:val="005941DC"/>
    <w:rsid w:val="00594520"/>
    <w:rsid w:val="00595783"/>
    <w:rsid w:val="005A30AE"/>
    <w:rsid w:val="005A49A0"/>
    <w:rsid w:val="005A602D"/>
    <w:rsid w:val="005B0108"/>
    <w:rsid w:val="005B51CB"/>
    <w:rsid w:val="005B59C6"/>
    <w:rsid w:val="005B7AF1"/>
    <w:rsid w:val="005C40EF"/>
    <w:rsid w:val="005C47FC"/>
    <w:rsid w:val="005C5D41"/>
    <w:rsid w:val="005D103B"/>
    <w:rsid w:val="005D1F34"/>
    <w:rsid w:val="005D383D"/>
    <w:rsid w:val="005E12B0"/>
    <w:rsid w:val="005F02CB"/>
    <w:rsid w:val="005F3B88"/>
    <w:rsid w:val="00601DE4"/>
    <w:rsid w:val="00605166"/>
    <w:rsid w:val="0061109D"/>
    <w:rsid w:val="00616336"/>
    <w:rsid w:val="0061712C"/>
    <w:rsid w:val="00617E8C"/>
    <w:rsid w:val="006201BE"/>
    <w:rsid w:val="006231EE"/>
    <w:rsid w:val="00625599"/>
    <w:rsid w:val="006256D4"/>
    <w:rsid w:val="006257E3"/>
    <w:rsid w:val="0062798E"/>
    <w:rsid w:val="00630A76"/>
    <w:rsid w:val="00637992"/>
    <w:rsid w:val="00641247"/>
    <w:rsid w:val="00643129"/>
    <w:rsid w:val="0064732F"/>
    <w:rsid w:val="00650560"/>
    <w:rsid w:val="00654793"/>
    <w:rsid w:val="00654B1C"/>
    <w:rsid w:val="00655BDF"/>
    <w:rsid w:val="00656509"/>
    <w:rsid w:val="00660A13"/>
    <w:rsid w:val="00660B00"/>
    <w:rsid w:val="00661E42"/>
    <w:rsid w:val="00663E4C"/>
    <w:rsid w:val="0066792D"/>
    <w:rsid w:val="006711D2"/>
    <w:rsid w:val="006717FF"/>
    <w:rsid w:val="006722C0"/>
    <w:rsid w:val="006730B6"/>
    <w:rsid w:val="006732C5"/>
    <w:rsid w:val="006735E0"/>
    <w:rsid w:val="0067749C"/>
    <w:rsid w:val="006776A9"/>
    <w:rsid w:val="00681BBE"/>
    <w:rsid w:val="006855A5"/>
    <w:rsid w:val="006868D2"/>
    <w:rsid w:val="006872C9"/>
    <w:rsid w:val="006875E8"/>
    <w:rsid w:val="00692B1F"/>
    <w:rsid w:val="00694DBD"/>
    <w:rsid w:val="00695CD6"/>
    <w:rsid w:val="00695E7A"/>
    <w:rsid w:val="006A3580"/>
    <w:rsid w:val="006A39C7"/>
    <w:rsid w:val="006A4D0F"/>
    <w:rsid w:val="006A6BB3"/>
    <w:rsid w:val="006A6BD9"/>
    <w:rsid w:val="006A727A"/>
    <w:rsid w:val="006B0E0B"/>
    <w:rsid w:val="006C5F8A"/>
    <w:rsid w:val="006C6297"/>
    <w:rsid w:val="006C65F6"/>
    <w:rsid w:val="006D0AAA"/>
    <w:rsid w:val="006D0CC1"/>
    <w:rsid w:val="006D559A"/>
    <w:rsid w:val="006D5C59"/>
    <w:rsid w:val="006D5EE5"/>
    <w:rsid w:val="006D6ED1"/>
    <w:rsid w:val="006E037B"/>
    <w:rsid w:val="006E14DE"/>
    <w:rsid w:val="006E2232"/>
    <w:rsid w:val="006E2F0B"/>
    <w:rsid w:val="006E380B"/>
    <w:rsid w:val="006E5A0C"/>
    <w:rsid w:val="006E6722"/>
    <w:rsid w:val="006F00B0"/>
    <w:rsid w:val="006F12E2"/>
    <w:rsid w:val="006F55D7"/>
    <w:rsid w:val="006F5913"/>
    <w:rsid w:val="006F6E1A"/>
    <w:rsid w:val="006F7704"/>
    <w:rsid w:val="006F790C"/>
    <w:rsid w:val="007003DD"/>
    <w:rsid w:val="0070455F"/>
    <w:rsid w:val="00713DF7"/>
    <w:rsid w:val="00727583"/>
    <w:rsid w:val="00733858"/>
    <w:rsid w:val="00734035"/>
    <w:rsid w:val="00734691"/>
    <w:rsid w:val="00734903"/>
    <w:rsid w:val="0073568E"/>
    <w:rsid w:val="00743727"/>
    <w:rsid w:val="00744567"/>
    <w:rsid w:val="00746D26"/>
    <w:rsid w:val="00753752"/>
    <w:rsid w:val="007540BF"/>
    <w:rsid w:val="0075711D"/>
    <w:rsid w:val="00761778"/>
    <w:rsid w:val="00765F80"/>
    <w:rsid w:val="00770DCB"/>
    <w:rsid w:val="00771496"/>
    <w:rsid w:val="00772B60"/>
    <w:rsid w:val="00775485"/>
    <w:rsid w:val="00780C49"/>
    <w:rsid w:val="00782A5F"/>
    <w:rsid w:val="00783FE9"/>
    <w:rsid w:val="007875D4"/>
    <w:rsid w:val="0079288A"/>
    <w:rsid w:val="007943D2"/>
    <w:rsid w:val="00794EF4"/>
    <w:rsid w:val="007A1C77"/>
    <w:rsid w:val="007A2EFA"/>
    <w:rsid w:val="007A4ED4"/>
    <w:rsid w:val="007B2EFF"/>
    <w:rsid w:val="007B3A0E"/>
    <w:rsid w:val="007B57C1"/>
    <w:rsid w:val="007B581B"/>
    <w:rsid w:val="007C15EA"/>
    <w:rsid w:val="007C4894"/>
    <w:rsid w:val="007D4F60"/>
    <w:rsid w:val="007E0330"/>
    <w:rsid w:val="007E0C5C"/>
    <w:rsid w:val="007E169B"/>
    <w:rsid w:val="007E2181"/>
    <w:rsid w:val="007E3364"/>
    <w:rsid w:val="007E5B88"/>
    <w:rsid w:val="007E6D1B"/>
    <w:rsid w:val="007F0D0B"/>
    <w:rsid w:val="007F13DD"/>
    <w:rsid w:val="007F2598"/>
    <w:rsid w:val="007F2931"/>
    <w:rsid w:val="007F2A54"/>
    <w:rsid w:val="007F31E1"/>
    <w:rsid w:val="0080055E"/>
    <w:rsid w:val="008007A8"/>
    <w:rsid w:val="0080314D"/>
    <w:rsid w:val="008042D9"/>
    <w:rsid w:val="00806E26"/>
    <w:rsid w:val="00807B98"/>
    <w:rsid w:val="00814FC0"/>
    <w:rsid w:val="00816463"/>
    <w:rsid w:val="00817EF8"/>
    <w:rsid w:val="00825CE7"/>
    <w:rsid w:val="00826CF8"/>
    <w:rsid w:val="0083114B"/>
    <w:rsid w:val="00833968"/>
    <w:rsid w:val="00840F41"/>
    <w:rsid w:val="00841760"/>
    <w:rsid w:val="00842FAC"/>
    <w:rsid w:val="00842FD6"/>
    <w:rsid w:val="00856A4F"/>
    <w:rsid w:val="00860CB1"/>
    <w:rsid w:val="00860F1D"/>
    <w:rsid w:val="008610A2"/>
    <w:rsid w:val="008615F4"/>
    <w:rsid w:val="00861BCA"/>
    <w:rsid w:val="00861C5B"/>
    <w:rsid w:val="00862302"/>
    <w:rsid w:val="00862377"/>
    <w:rsid w:val="00864FA8"/>
    <w:rsid w:val="008709E2"/>
    <w:rsid w:val="0087115E"/>
    <w:rsid w:val="008724DE"/>
    <w:rsid w:val="00872F40"/>
    <w:rsid w:val="008758A3"/>
    <w:rsid w:val="00877A8A"/>
    <w:rsid w:val="00881BC7"/>
    <w:rsid w:val="00886372"/>
    <w:rsid w:val="00886729"/>
    <w:rsid w:val="00890B5F"/>
    <w:rsid w:val="00891B0C"/>
    <w:rsid w:val="00891D1B"/>
    <w:rsid w:val="008927E0"/>
    <w:rsid w:val="008960E0"/>
    <w:rsid w:val="00897914"/>
    <w:rsid w:val="008A347C"/>
    <w:rsid w:val="008A37B7"/>
    <w:rsid w:val="008A398A"/>
    <w:rsid w:val="008A3D57"/>
    <w:rsid w:val="008A4229"/>
    <w:rsid w:val="008A45EC"/>
    <w:rsid w:val="008A709C"/>
    <w:rsid w:val="008A7FA3"/>
    <w:rsid w:val="008B1344"/>
    <w:rsid w:val="008B23BC"/>
    <w:rsid w:val="008B2523"/>
    <w:rsid w:val="008B2D0F"/>
    <w:rsid w:val="008B3FA7"/>
    <w:rsid w:val="008B5461"/>
    <w:rsid w:val="008C2ECF"/>
    <w:rsid w:val="008C4AA4"/>
    <w:rsid w:val="008C55A8"/>
    <w:rsid w:val="008D15B0"/>
    <w:rsid w:val="008D2AAC"/>
    <w:rsid w:val="008D5D0D"/>
    <w:rsid w:val="008D5F95"/>
    <w:rsid w:val="008E37EA"/>
    <w:rsid w:val="008E3D60"/>
    <w:rsid w:val="008E3F4C"/>
    <w:rsid w:val="008E5405"/>
    <w:rsid w:val="008F0B6B"/>
    <w:rsid w:val="008F1E8C"/>
    <w:rsid w:val="008F2CC9"/>
    <w:rsid w:val="008F6B7B"/>
    <w:rsid w:val="0090165F"/>
    <w:rsid w:val="00901B82"/>
    <w:rsid w:val="00904B3D"/>
    <w:rsid w:val="00907897"/>
    <w:rsid w:val="00912B09"/>
    <w:rsid w:val="0091402F"/>
    <w:rsid w:val="00920E7F"/>
    <w:rsid w:val="009215F7"/>
    <w:rsid w:val="00921E2A"/>
    <w:rsid w:val="00930008"/>
    <w:rsid w:val="00935408"/>
    <w:rsid w:val="00935D84"/>
    <w:rsid w:val="0093612E"/>
    <w:rsid w:val="009418C0"/>
    <w:rsid w:val="0094199D"/>
    <w:rsid w:val="00944528"/>
    <w:rsid w:val="0095322D"/>
    <w:rsid w:val="0095555C"/>
    <w:rsid w:val="0095617A"/>
    <w:rsid w:val="00965C9C"/>
    <w:rsid w:val="00966C2F"/>
    <w:rsid w:val="00967573"/>
    <w:rsid w:val="00967BC7"/>
    <w:rsid w:val="009722EA"/>
    <w:rsid w:val="00973F1E"/>
    <w:rsid w:val="0097512B"/>
    <w:rsid w:val="00977164"/>
    <w:rsid w:val="00977410"/>
    <w:rsid w:val="00984DE7"/>
    <w:rsid w:val="00986740"/>
    <w:rsid w:val="009917D6"/>
    <w:rsid w:val="00992C01"/>
    <w:rsid w:val="0099567B"/>
    <w:rsid w:val="00995B2E"/>
    <w:rsid w:val="009A617E"/>
    <w:rsid w:val="009A73E1"/>
    <w:rsid w:val="009A7563"/>
    <w:rsid w:val="009B1369"/>
    <w:rsid w:val="009B2EA7"/>
    <w:rsid w:val="009B3FB2"/>
    <w:rsid w:val="009B58C7"/>
    <w:rsid w:val="009B5B98"/>
    <w:rsid w:val="009B63E2"/>
    <w:rsid w:val="009B6785"/>
    <w:rsid w:val="009B706F"/>
    <w:rsid w:val="009C532A"/>
    <w:rsid w:val="009C6110"/>
    <w:rsid w:val="009C62E0"/>
    <w:rsid w:val="009C682D"/>
    <w:rsid w:val="009C6BD2"/>
    <w:rsid w:val="009D1E4E"/>
    <w:rsid w:val="009D67F6"/>
    <w:rsid w:val="009E0FE1"/>
    <w:rsid w:val="009E1346"/>
    <w:rsid w:val="009F2667"/>
    <w:rsid w:val="009F38AD"/>
    <w:rsid w:val="009F42C0"/>
    <w:rsid w:val="00A000DB"/>
    <w:rsid w:val="00A0406E"/>
    <w:rsid w:val="00A04C12"/>
    <w:rsid w:val="00A061BA"/>
    <w:rsid w:val="00A1044D"/>
    <w:rsid w:val="00A11307"/>
    <w:rsid w:val="00A12E1B"/>
    <w:rsid w:val="00A13081"/>
    <w:rsid w:val="00A13AF3"/>
    <w:rsid w:val="00A16D38"/>
    <w:rsid w:val="00A202C7"/>
    <w:rsid w:val="00A207CC"/>
    <w:rsid w:val="00A21388"/>
    <w:rsid w:val="00A2227E"/>
    <w:rsid w:val="00A26EEC"/>
    <w:rsid w:val="00A27791"/>
    <w:rsid w:val="00A330D8"/>
    <w:rsid w:val="00A339F9"/>
    <w:rsid w:val="00A34EDE"/>
    <w:rsid w:val="00A360EB"/>
    <w:rsid w:val="00A36E73"/>
    <w:rsid w:val="00A37F65"/>
    <w:rsid w:val="00A4046E"/>
    <w:rsid w:val="00A404BB"/>
    <w:rsid w:val="00A41355"/>
    <w:rsid w:val="00A43B92"/>
    <w:rsid w:val="00A4586F"/>
    <w:rsid w:val="00A4711E"/>
    <w:rsid w:val="00A52CF6"/>
    <w:rsid w:val="00A54251"/>
    <w:rsid w:val="00A560F1"/>
    <w:rsid w:val="00A5683B"/>
    <w:rsid w:val="00A56D91"/>
    <w:rsid w:val="00A577F4"/>
    <w:rsid w:val="00A57FE5"/>
    <w:rsid w:val="00A61083"/>
    <w:rsid w:val="00A6179E"/>
    <w:rsid w:val="00A62DBB"/>
    <w:rsid w:val="00A63488"/>
    <w:rsid w:val="00A64316"/>
    <w:rsid w:val="00A670A1"/>
    <w:rsid w:val="00A712CF"/>
    <w:rsid w:val="00A74406"/>
    <w:rsid w:val="00A75A07"/>
    <w:rsid w:val="00A75B4B"/>
    <w:rsid w:val="00A804D9"/>
    <w:rsid w:val="00A80C75"/>
    <w:rsid w:val="00A87232"/>
    <w:rsid w:val="00A92F92"/>
    <w:rsid w:val="00A9609E"/>
    <w:rsid w:val="00A966CC"/>
    <w:rsid w:val="00A96892"/>
    <w:rsid w:val="00A9739B"/>
    <w:rsid w:val="00A979C1"/>
    <w:rsid w:val="00AA2051"/>
    <w:rsid w:val="00AA7B02"/>
    <w:rsid w:val="00AB6D6C"/>
    <w:rsid w:val="00AB7A7A"/>
    <w:rsid w:val="00AC101D"/>
    <w:rsid w:val="00AC1A4B"/>
    <w:rsid w:val="00AC1F80"/>
    <w:rsid w:val="00AD2273"/>
    <w:rsid w:val="00AD34FF"/>
    <w:rsid w:val="00AD3DFD"/>
    <w:rsid w:val="00AD4509"/>
    <w:rsid w:val="00AD7222"/>
    <w:rsid w:val="00AD73E9"/>
    <w:rsid w:val="00AE19DC"/>
    <w:rsid w:val="00AE3CF5"/>
    <w:rsid w:val="00AE590D"/>
    <w:rsid w:val="00AF1DF1"/>
    <w:rsid w:val="00AF744C"/>
    <w:rsid w:val="00B02892"/>
    <w:rsid w:val="00B04BFF"/>
    <w:rsid w:val="00B057B3"/>
    <w:rsid w:val="00B12C6C"/>
    <w:rsid w:val="00B13988"/>
    <w:rsid w:val="00B24B1D"/>
    <w:rsid w:val="00B26557"/>
    <w:rsid w:val="00B2760B"/>
    <w:rsid w:val="00B277E0"/>
    <w:rsid w:val="00B32BA6"/>
    <w:rsid w:val="00B33824"/>
    <w:rsid w:val="00B348DC"/>
    <w:rsid w:val="00B34946"/>
    <w:rsid w:val="00B35BCC"/>
    <w:rsid w:val="00B360B3"/>
    <w:rsid w:val="00B364FD"/>
    <w:rsid w:val="00B376C8"/>
    <w:rsid w:val="00B40D11"/>
    <w:rsid w:val="00B43A83"/>
    <w:rsid w:val="00B45F0A"/>
    <w:rsid w:val="00B519FD"/>
    <w:rsid w:val="00B520BC"/>
    <w:rsid w:val="00B52F7E"/>
    <w:rsid w:val="00B618E4"/>
    <w:rsid w:val="00B63D24"/>
    <w:rsid w:val="00B67539"/>
    <w:rsid w:val="00B701BD"/>
    <w:rsid w:val="00B72332"/>
    <w:rsid w:val="00B77C82"/>
    <w:rsid w:val="00B8009D"/>
    <w:rsid w:val="00B82037"/>
    <w:rsid w:val="00B906C1"/>
    <w:rsid w:val="00B924E6"/>
    <w:rsid w:val="00B92BAB"/>
    <w:rsid w:val="00B971DE"/>
    <w:rsid w:val="00BA0994"/>
    <w:rsid w:val="00BA158D"/>
    <w:rsid w:val="00BA1768"/>
    <w:rsid w:val="00BA191C"/>
    <w:rsid w:val="00BA262D"/>
    <w:rsid w:val="00BA351F"/>
    <w:rsid w:val="00BA4F1F"/>
    <w:rsid w:val="00BA5698"/>
    <w:rsid w:val="00BA591D"/>
    <w:rsid w:val="00BA7687"/>
    <w:rsid w:val="00BA7BD5"/>
    <w:rsid w:val="00BB0383"/>
    <w:rsid w:val="00BB0A34"/>
    <w:rsid w:val="00BB2521"/>
    <w:rsid w:val="00BB7D17"/>
    <w:rsid w:val="00BC0D42"/>
    <w:rsid w:val="00BC2095"/>
    <w:rsid w:val="00BC6480"/>
    <w:rsid w:val="00BC79EB"/>
    <w:rsid w:val="00BD406A"/>
    <w:rsid w:val="00BD42C8"/>
    <w:rsid w:val="00BD77E1"/>
    <w:rsid w:val="00BD7FCF"/>
    <w:rsid w:val="00BE11C2"/>
    <w:rsid w:val="00BE1609"/>
    <w:rsid w:val="00BE5EC1"/>
    <w:rsid w:val="00BE77F8"/>
    <w:rsid w:val="00BF379D"/>
    <w:rsid w:val="00BF54CE"/>
    <w:rsid w:val="00BF7F5E"/>
    <w:rsid w:val="00C01667"/>
    <w:rsid w:val="00C03C13"/>
    <w:rsid w:val="00C04B7C"/>
    <w:rsid w:val="00C054C4"/>
    <w:rsid w:val="00C05E95"/>
    <w:rsid w:val="00C07855"/>
    <w:rsid w:val="00C10DEA"/>
    <w:rsid w:val="00C14C3D"/>
    <w:rsid w:val="00C1525C"/>
    <w:rsid w:val="00C154C4"/>
    <w:rsid w:val="00C163F3"/>
    <w:rsid w:val="00C17B61"/>
    <w:rsid w:val="00C22E57"/>
    <w:rsid w:val="00C24B96"/>
    <w:rsid w:val="00C25BDA"/>
    <w:rsid w:val="00C33104"/>
    <w:rsid w:val="00C33E00"/>
    <w:rsid w:val="00C3443D"/>
    <w:rsid w:val="00C35D4F"/>
    <w:rsid w:val="00C3743A"/>
    <w:rsid w:val="00C41375"/>
    <w:rsid w:val="00C41C99"/>
    <w:rsid w:val="00C4407E"/>
    <w:rsid w:val="00C46314"/>
    <w:rsid w:val="00C46D9D"/>
    <w:rsid w:val="00C52ADA"/>
    <w:rsid w:val="00C52E2D"/>
    <w:rsid w:val="00C545CD"/>
    <w:rsid w:val="00C54E49"/>
    <w:rsid w:val="00C6025E"/>
    <w:rsid w:val="00C65D09"/>
    <w:rsid w:val="00C67E76"/>
    <w:rsid w:val="00C706D9"/>
    <w:rsid w:val="00C75B01"/>
    <w:rsid w:val="00C7633D"/>
    <w:rsid w:val="00C8172B"/>
    <w:rsid w:val="00C839D0"/>
    <w:rsid w:val="00C854D4"/>
    <w:rsid w:val="00C90556"/>
    <w:rsid w:val="00C92424"/>
    <w:rsid w:val="00C93D38"/>
    <w:rsid w:val="00C95203"/>
    <w:rsid w:val="00CA0D78"/>
    <w:rsid w:val="00CA4855"/>
    <w:rsid w:val="00CA688B"/>
    <w:rsid w:val="00CB16EA"/>
    <w:rsid w:val="00CB24FE"/>
    <w:rsid w:val="00CB316D"/>
    <w:rsid w:val="00CB429D"/>
    <w:rsid w:val="00CB4A0F"/>
    <w:rsid w:val="00CC2B70"/>
    <w:rsid w:val="00CC464D"/>
    <w:rsid w:val="00CC502E"/>
    <w:rsid w:val="00CD245B"/>
    <w:rsid w:val="00CD58FD"/>
    <w:rsid w:val="00CD65DA"/>
    <w:rsid w:val="00CD6D1D"/>
    <w:rsid w:val="00CD7C83"/>
    <w:rsid w:val="00CE16FA"/>
    <w:rsid w:val="00CE1D78"/>
    <w:rsid w:val="00CE2788"/>
    <w:rsid w:val="00CE2A3E"/>
    <w:rsid w:val="00CE2BC6"/>
    <w:rsid w:val="00CE3404"/>
    <w:rsid w:val="00CE4643"/>
    <w:rsid w:val="00CE58D7"/>
    <w:rsid w:val="00CF0AA5"/>
    <w:rsid w:val="00CF1979"/>
    <w:rsid w:val="00CF356A"/>
    <w:rsid w:val="00CF4D69"/>
    <w:rsid w:val="00CF57A6"/>
    <w:rsid w:val="00CF580B"/>
    <w:rsid w:val="00CF6E63"/>
    <w:rsid w:val="00D00573"/>
    <w:rsid w:val="00D01664"/>
    <w:rsid w:val="00D01FF3"/>
    <w:rsid w:val="00D03D64"/>
    <w:rsid w:val="00D05FF6"/>
    <w:rsid w:val="00D121DF"/>
    <w:rsid w:val="00D129D4"/>
    <w:rsid w:val="00D140A0"/>
    <w:rsid w:val="00D205F9"/>
    <w:rsid w:val="00D2397B"/>
    <w:rsid w:val="00D241BF"/>
    <w:rsid w:val="00D2607F"/>
    <w:rsid w:val="00D30A61"/>
    <w:rsid w:val="00D319F4"/>
    <w:rsid w:val="00D32C35"/>
    <w:rsid w:val="00D32DCF"/>
    <w:rsid w:val="00D343FA"/>
    <w:rsid w:val="00D3584B"/>
    <w:rsid w:val="00D40C3C"/>
    <w:rsid w:val="00D418FF"/>
    <w:rsid w:val="00D41B67"/>
    <w:rsid w:val="00D42709"/>
    <w:rsid w:val="00D4390C"/>
    <w:rsid w:val="00D469F6"/>
    <w:rsid w:val="00D475B3"/>
    <w:rsid w:val="00D47F11"/>
    <w:rsid w:val="00D52048"/>
    <w:rsid w:val="00D546F8"/>
    <w:rsid w:val="00D54A02"/>
    <w:rsid w:val="00D5618C"/>
    <w:rsid w:val="00D60BCC"/>
    <w:rsid w:val="00D60D94"/>
    <w:rsid w:val="00D62961"/>
    <w:rsid w:val="00D65C76"/>
    <w:rsid w:val="00D67081"/>
    <w:rsid w:val="00D672F4"/>
    <w:rsid w:val="00D729AD"/>
    <w:rsid w:val="00D734C7"/>
    <w:rsid w:val="00D742E1"/>
    <w:rsid w:val="00D777C8"/>
    <w:rsid w:val="00D81BE7"/>
    <w:rsid w:val="00D828BE"/>
    <w:rsid w:val="00D82FFD"/>
    <w:rsid w:val="00D91D27"/>
    <w:rsid w:val="00D93C55"/>
    <w:rsid w:val="00D965D3"/>
    <w:rsid w:val="00D96CA9"/>
    <w:rsid w:val="00DA2F73"/>
    <w:rsid w:val="00DB1C75"/>
    <w:rsid w:val="00DB202A"/>
    <w:rsid w:val="00DB3231"/>
    <w:rsid w:val="00DB444F"/>
    <w:rsid w:val="00DB61BC"/>
    <w:rsid w:val="00DB7766"/>
    <w:rsid w:val="00DB7FEE"/>
    <w:rsid w:val="00DC29CF"/>
    <w:rsid w:val="00DC31C1"/>
    <w:rsid w:val="00DC39F3"/>
    <w:rsid w:val="00DC462F"/>
    <w:rsid w:val="00DC73DE"/>
    <w:rsid w:val="00DD3E7F"/>
    <w:rsid w:val="00DD6423"/>
    <w:rsid w:val="00DD6A21"/>
    <w:rsid w:val="00DE0F6E"/>
    <w:rsid w:val="00DE3571"/>
    <w:rsid w:val="00DE60CA"/>
    <w:rsid w:val="00DE75C3"/>
    <w:rsid w:val="00DF0007"/>
    <w:rsid w:val="00DF1B9B"/>
    <w:rsid w:val="00DF6480"/>
    <w:rsid w:val="00DF667E"/>
    <w:rsid w:val="00DF72E7"/>
    <w:rsid w:val="00E014EA"/>
    <w:rsid w:val="00E03D2A"/>
    <w:rsid w:val="00E04212"/>
    <w:rsid w:val="00E04E14"/>
    <w:rsid w:val="00E07B80"/>
    <w:rsid w:val="00E1024D"/>
    <w:rsid w:val="00E14CBD"/>
    <w:rsid w:val="00E1571B"/>
    <w:rsid w:val="00E22360"/>
    <w:rsid w:val="00E22673"/>
    <w:rsid w:val="00E2302A"/>
    <w:rsid w:val="00E24FA3"/>
    <w:rsid w:val="00E26B28"/>
    <w:rsid w:val="00E301DA"/>
    <w:rsid w:val="00E31465"/>
    <w:rsid w:val="00E315AE"/>
    <w:rsid w:val="00E328CD"/>
    <w:rsid w:val="00E36A8B"/>
    <w:rsid w:val="00E36B95"/>
    <w:rsid w:val="00E3743D"/>
    <w:rsid w:val="00E37D4A"/>
    <w:rsid w:val="00E4003F"/>
    <w:rsid w:val="00E4049C"/>
    <w:rsid w:val="00E4163F"/>
    <w:rsid w:val="00E42805"/>
    <w:rsid w:val="00E42BD3"/>
    <w:rsid w:val="00E44D7B"/>
    <w:rsid w:val="00E4548C"/>
    <w:rsid w:val="00E458F6"/>
    <w:rsid w:val="00E45954"/>
    <w:rsid w:val="00E46A23"/>
    <w:rsid w:val="00E506BC"/>
    <w:rsid w:val="00E51D7A"/>
    <w:rsid w:val="00E579AA"/>
    <w:rsid w:val="00E60FA1"/>
    <w:rsid w:val="00E61E4C"/>
    <w:rsid w:val="00E64294"/>
    <w:rsid w:val="00E66F8D"/>
    <w:rsid w:val="00E67A83"/>
    <w:rsid w:val="00E71633"/>
    <w:rsid w:val="00E72D91"/>
    <w:rsid w:val="00E734E7"/>
    <w:rsid w:val="00E836E5"/>
    <w:rsid w:val="00E87191"/>
    <w:rsid w:val="00E873F3"/>
    <w:rsid w:val="00E93093"/>
    <w:rsid w:val="00E9331F"/>
    <w:rsid w:val="00E96809"/>
    <w:rsid w:val="00EA44D9"/>
    <w:rsid w:val="00EA5847"/>
    <w:rsid w:val="00EA66C4"/>
    <w:rsid w:val="00EA7A5D"/>
    <w:rsid w:val="00EB37F8"/>
    <w:rsid w:val="00EB4C9F"/>
    <w:rsid w:val="00EB6A76"/>
    <w:rsid w:val="00EB72F6"/>
    <w:rsid w:val="00EB74B7"/>
    <w:rsid w:val="00EC0C3B"/>
    <w:rsid w:val="00EC37B9"/>
    <w:rsid w:val="00EC7DD2"/>
    <w:rsid w:val="00ED07C7"/>
    <w:rsid w:val="00ED0E86"/>
    <w:rsid w:val="00ED2F06"/>
    <w:rsid w:val="00ED472B"/>
    <w:rsid w:val="00ED609A"/>
    <w:rsid w:val="00EE0425"/>
    <w:rsid w:val="00EE0EEF"/>
    <w:rsid w:val="00EE1224"/>
    <w:rsid w:val="00EE3996"/>
    <w:rsid w:val="00EE531F"/>
    <w:rsid w:val="00EF4F36"/>
    <w:rsid w:val="00EF74C7"/>
    <w:rsid w:val="00F000E8"/>
    <w:rsid w:val="00F002FD"/>
    <w:rsid w:val="00F02DB4"/>
    <w:rsid w:val="00F05CE2"/>
    <w:rsid w:val="00F062FF"/>
    <w:rsid w:val="00F074C0"/>
    <w:rsid w:val="00F10E78"/>
    <w:rsid w:val="00F14C6D"/>
    <w:rsid w:val="00F15B75"/>
    <w:rsid w:val="00F1646E"/>
    <w:rsid w:val="00F17A8E"/>
    <w:rsid w:val="00F227B7"/>
    <w:rsid w:val="00F25B78"/>
    <w:rsid w:val="00F26F29"/>
    <w:rsid w:val="00F27597"/>
    <w:rsid w:val="00F27A20"/>
    <w:rsid w:val="00F33006"/>
    <w:rsid w:val="00F363D0"/>
    <w:rsid w:val="00F37BF9"/>
    <w:rsid w:val="00F471F4"/>
    <w:rsid w:val="00F51705"/>
    <w:rsid w:val="00F543DC"/>
    <w:rsid w:val="00F558F9"/>
    <w:rsid w:val="00F55963"/>
    <w:rsid w:val="00F562F1"/>
    <w:rsid w:val="00F61E67"/>
    <w:rsid w:val="00F64213"/>
    <w:rsid w:val="00F65B24"/>
    <w:rsid w:val="00F67AA2"/>
    <w:rsid w:val="00F70CD6"/>
    <w:rsid w:val="00F72088"/>
    <w:rsid w:val="00F72B99"/>
    <w:rsid w:val="00F73DCF"/>
    <w:rsid w:val="00F803BF"/>
    <w:rsid w:val="00F80E1C"/>
    <w:rsid w:val="00F8109E"/>
    <w:rsid w:val="00F8659F"/>
    <w:rsid w:val="00F9112F"/>
    <w:rsid w:val="00F937EE"/>
    <w:rsid w:val="00F95C7B"/>
    <w:rsid w:val="00FA1E3E"/>
    <w:rsid w:val="00FA40D4"/>
    <w:rsid w:val="00FA4916"/>
    <w:rsid w:val="00FA492B"/>
    <w:rsid w:val="00FA56DB"/>
    <w:rsid w:val="00FB4183"/>
    <w:rsid w:val="00FB44F5"/>
    <w:rsid w:val="00FC0FF0"/>
    <w:rsid w:val="00FC14E7"/>
    <w:rsid w:val="00FC23A6"/>
    <w:rsid w:val="00FC5D43"/>
    <w:rsid w:val="00FC6858"/>
    <w:rsid w:val="00FC73D6"/>
    <w:rsid w:val="00FD01B5"/>
    <w:rsid w:val="00FD02A4"/>
    <w:rsid w:val="00FD17AE"/>
    <w:rsid w:val="00FD2C10"/>
    <w:rsid w:val="00FD3837"/>
    <w:rsid w:val="00FD4839"/>
    <w:rsid w:val="00FD59B3"/>
    <w:rsid w:val="00FD7FAA"/>
    <w:rsid w:val="00FF41C5"/>
    <w:rsid w:val="00FF4D89"/>
    <w:rsid w:val="00FF5C7B"/>
    <w:rsid w:val="00FF65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001E683"/>
  <w15:docId w15:val="{EF5EA01C-1C34-4BCD-8F00-9D275243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character" w:styleId="UnresolvedMention">
    <w:name w:val="Unresolved Mention"/>
    <w:basedOn w:val="DefaultParagraphFont"/>
    <w:uiPriority w:val="99"/>
    <w:semiHidden/>
    <w:unhideWhenUsed/>
    <w:rsid w:val="00BE5EC1"/>
    <w:rPr>
      <w:color w:val="605E5C"/>
      <w:shd w:val="clear" w:color="auto" w:fill="E1DFDD"/>
    </w:rPr>
  </w:style>
  <w:style w:type="paragraph" w:customStyle="1" w:styleId="xmsonormal">
    <w:name w:val="x_msonormal"/>
    <w:basedOn w:val="Normal"/>
    <w:rsid w:val="00DB3231"/>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150803335">
      <w:bodyDiv w:val="1"/>
      <w:marLeft w:val="0"/>
      <w:marRight w:val="0"/>
      <w:marTop w:val="0"/>
      <w:marBottom w:val="0"/>
      <w:divBdr>
        <w:top w:val="none" w:sz="0" w:space="0" w:color="auto"/>
        <w:left w:val="none" w:sz="0" w:space="0" w:color="auto"/>
        <w:bottom w:val="none" w:sz="0" w:space="0" w:color="auto"/>
        <w:right w:val="none" w:sz="0" w:space="0" w:color="auto"/>
      </w:divBdr>
    </w:div>
    <w:div w:id="30790682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9674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5.xml"/></Relationships>
</file>

<file path=word/_rels/endnotes.xml.rels><?xml version="1.0" encoding="UTF-8" standalone="yes"?>
<Relationships xmlns="http://schemas.openxmlformats.org/package/2006/relationships"><Relationship Id="rId3" Type="http://schemas.openxmlformats.org/officeDocument/2006/relationships/hyperlink" Target="https://www.aph.gov.au/Parliamentary_Business/Committees/Joint/Intelligence_and_Security/Data_Retention/Submissions"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s://www.aph.gov.au/Parliamentary_Business/Committees/Joint/Intelligence_and_Security/Data_Retention/Submissions" TargetMode="External"/><Relationship Id="rId5" Type="http://schemas.openxmlformats.org/officeDocument/2006/relationships/hyperlink" Target="https://en.necessaryandproportionate.org/" TargetMode="External"/><Relationship Id="rId4" Type="http://schemas.openxmlformats.org/officeDocument/2006/relationships/hyperlink" Target="https://www.coe.int/en/web/conventions/full-list/-/conventions/treaty/185/declarations?p_auth=ePWWHb3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48" ma:contentTypeDescription="Create a new document." ma:contentTypeScope="" ma:versionID="bbb1a6f41efe83b6fce66ec854f11e6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c1de35cc94024bdc9f93ad9350e1d678"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dexed="true" ma:internalName="Subdivider">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dexed="true" ma:internalName="Divider">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ivider xmlns="6500fe01-343b-4fb9-a1b0-68ac19d62e01">AHRC submission</Divider>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_dlc_DocId xmlns="6500fe01-343b-4fb9-a1b0-68ac19d62e01">AHRC-31920988-1673</_dlc_DocId>
    <_dlc_DocIdUrl xmlns="6500fe01-343b-4fb9-a1b0-68ac19d62e01">
      <Url>https://australianhrc.sharepoint.com/sites/LegalServicesWorkspace/_layouts/15/DocIdRedir.aspx?ID=AHRC-31920988-1673</Url>
      <Description>AHRC-31920988-1673</Description>
    </_dlc_DocIdUrl>
    <Received_x002f_Sent xmlns="57f1fb52-79b9-4278-9d54-1e5db41bfcda" xsi:nil="true"/>
    <From1 xmlns="57f1fb52-79b9-4278-9d54-1e5db41bfcda" xsi:nil="true"/>
    <Subdivider xmlns="57f1fb52-79b9-4278-9d54-1e5db41bfcda" xsi:nil="true"/>
    <EmailasAttachment xmlns="1a69bdef-c635-48ac-9cf9-b687dab64bb7">
      <Url xsi:nil="true"/>
      <Description xsi:nil="true"/>
    </EmailasAttachment>
  </documentManagement>
</p:properties>
</file>

<file path=customXml/itemProps1.xml><?xml version="1.0" encoding="utf-8"?>
<ds:datastoreItem xmlns:ds="http://schemas.openxmlformats.org/officeDocument/2006/customXml" ds:itemID="{EA073144-2E6B-4D1C-96A1-08275B45495B}">
  <ds:schemaRefs>
    <ds:schemaRef ds:uri="http://schemas.openxmlformats.org/officeDocument/2006/bibliography"/>
  </ds:schemaRefs>
</ds:datastoreItem>
</file>

<file path=customXml/itemProps2.xml><?xml version="1.0" encoding="utf-8"?>
<ds:datastoreItem xmlns:ds="http://schemas.openxmlformats.org/officeDocument/2006/customXml" ds:itemID="{E8FB9304-B7D2-4148-A5CC-6BE14C5137F0}"/>
</file>

<file path=customXml/itemProps3.xml><?xml version="1.0" encoding="utf-8"?>
<ds:datastoreItem xmlns:ds="http://schemas.openxmlformats.org/officeDocument/2006/customXml" ds:itemID="{AF72AAD2-2736-4DB1-9156-F2452095E6D8}"/>
</file>

<file path=customXml/itemProps4.xml><?xml version="1.0" encoding="utf-8"?>
<ds:datastoreItem xmlns:ds="http://schemas.openxmlformats.org/officeDocument/2006/customXml" ds:itemID="{8572D915-9A78-4B86-8728-5D69C552DB96}"/>
</file>

<file path=customXml/itemProps5.xml><?xml version="1.0" encoding="utf-8"?>
<ds:datastoreItem xmlns:ds="http://schemas.openxmlformats.org/officeDocument/2006/customXml" ds:itemID="{0F7D95A2-2DD7-4AD7-BFA3-400565509969}"/>
</file>

<file path=customXml/itemProps6.xml><?xml version="1.0" encoding="utf-8"?>
<ds:datastoreItem xmlns:ds="http://schemas.openxmlformats.org/officeDocument/2006/customXml" ds:itemID="{324F45E9-8F70-4D23-9628-99C1C392E63C}"/>
</file>

<file path=customXml/itemProps7.xml><?xml version="1.0" encoding="utf-8"?>
<ds:datastoreItem xmlns:ds="http://schemas.openxmlformats.org/officeDocument/2006/customXml" ds:itemID="{C05026D2-DB96-4B30-A274-EE93B5739A5B}"/>
</file>

<file path=docProps/app.xml><?xml version="1.0" encoding="utf-8"?>
<Properties xmlns="http://schemas.openxmlformats.org/officeDocument/2006/extended-properties" xmlns:vt="http://schemas.openxmlformats.org/officeDocument/2006/docPropsVTypes">
  <Template>Normal.dotm</Template>
  <TotalTime>1</TotalTime>
  <Pages>19</Pages>
  <Words>5331</Words>
  <Characters>29349</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34611</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20190701 Final Submission</dc:title>
  <dc:creator>John Howell</dc:creator>
  <cp:lastModifiedBy>Lara Renton</cp:lastModifiedBy>
  <cp:revision>2</cp:revision>
  <cp:lastPrinted>2014-12-02T23:10:00Z</cp:lastPrinted>
  <dcterms:created xsi:type="dcterms:W3CDTF">2019-07-01T06:02:00Z</dcterms:created>
  <dcterms:modified xsi:type="dcterms:W3CDTF">2019-07-01T06:02:00Z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Order">
    <vt:r8>100</vt:r8>
  </property>
  <property fmtid="{D5CDD505-2E9C-101B-9397-08002B2CF9AE}" pid="4" name="TaxKeyword">
    <vt:lpwstr/>
  </property>
  <property fmtid="{D5CDD505-2E9C-101B-9397-08002B2CF9AE}" pid="5" name="Document Type">
    <vt:lpwstr/>
  </property>
  <property fmtid="{D5CDD505-2E9C-101B-9397-08002B2CF9AE}" pid="6" name="_dlc_DocIdItemGuid">
    <vt:lpwstr>6eab4aee-f7e8-4f09-b437-8dbd52553ecd</vt:lpwstr>
  </property>
  <property fmtid="{D5CDD505-2E9C-101B-9397-08002B2CF9AE}" pid="7" name="DocSet Type">
    <vt:lpwstr>Submission</vt:lpwstr>
  </property>
  <property fmtid="{D5CDD505-2E9C-101B-9397-08002B2CF9AE}" pid="8" name="Business Unit">
    <vt:lpwstr>Legal</vt:lpwstr>
  </property>
  <property fmtid="{D5CDD505-2E9C-101B-9397-08002B2CF9AE}" pid="11" name="SummaryofOutcome">
    <vt:lpwstr>, </vt:lpwstr>
  </property>
  <property fmtid="{D5CDD505-2E9C-101B-9397-08002B2CF9AE}" pid="18" name="WebLink">
    <vt:lpwstr>, </vt:lpwstr>
  </property>
  <property fmtid="{D5CDD505-2E9C-101B-9397-08002B2CF9AE}" pid="19" name="InquiryReport">
    <vt:lpwstr>, </vt:lpwstr>
  </property>
  <property fmtid="{D5CDD505-2E9C-101B-9397-08002B2CF9AE}" pid="20" name="Library">
    <vt:lpwstr>Submissions</vt:lpwstr>
  </property>
  <property fmtid="{D5CDD505-2E9C-101B-9397-08002B2CF9AE}" pid="21" name="TranscriptofAppearancepfHearing">
    <vt:lpwstr>, </vt:lpwstr>
  </property>
  <property fmtid="{D5CDD505-2E9C-101B-9397-08002B2CF9AE}" pid="23" name="Lead Team">
    <vt:lpwstr>LEG</vt:lpwstr>
  </property>
</Properties>
</file>