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D81D" w14:textId="76818A6D" w:rsidR="00A355F9" w:rsidRDefault="007F4F9D" w:rsidP="00A355F9">
      <w:pPr>
        <w:pStyle w:val="MainTitle"/>
      </w:pPr>
      <w:r>
        <w:t xml:space="preserve">Review of </w:t>
      </w:r>
      <w:r w:rsidR="00D00327">
        <w:t xml:space="preserve">Secrecy Offences </w:t>
      </w:r>
      <w:r w:rsidR="002A4CA8">
        <w:t xml:space="preserve">in Part 5.6 of the </w:t>
      </w:r>
      <w:r w:rsidR="002A4CA8" w:rsidRPr="00125D33">
        <w:rPr>
          <w:i/>
          <w:iCs/>
        </w:rPr>
        <w:t>Criminal Code</w:t>
      </w:r>
      <w:r w:rsidR="002A4CA8">
        <w:t xml:space="preserve"> </w:t>
      </w:r>
      <w:r w:rsidR="002A4CA8" w:rsidRPr="00243CA4">
        <w:rPr>
          <w:i/>
          <w:iCs/>
        </w:rPr>
        <w:t>1995</w:t>
      </w:r>
    </w:p>
    <w:p w14:paraId="3D330FB2" w14:textId="77777777" w:rsidR="00D471C4" w:rsidRDefault="00817C73" w:rsidP="00B951DE">
      <w:pPr>
        <w:pStyle w:val="Subtitle"/>
      </w:pPr>
      <w:bookmarkStart w:id="0" w:name="_Toc515873204"/>
      <w:bookmarkStart w:id="1" w:name="_Toc136615675"/>
      <w:bookmarkStart w:id="2" w:name="_Toc136856493"/>
      <w:bookmarkStart w:id="3" w:name="_Toc136871715"/>
      <w:bookmarkStart w:id="4" w:name="_Toc137644298"/>
      <w:bookmarkStart w:id="5" w:name="_Toc138152257"/>
      <w:bookmarkStart w:id="6" w:name="_Toc156992548"/>
      <w:bookmarkStart w:id="7" w:name="_Toc157429269"/>
      <w:bookmarkStart w:id="8" w:name="_Toc157688452"/>
      <w:bookmarkStart w:id="9" w:name="_Toc159775654"/>
      <w:bookmarkStart w:id="10" w:name="_Toc159938864"/>
      <w:bookmarkStart w:id="11" w:name="_Toc159944466"/>
      <w:bookmarkStart w:id="12" w:name="_Toc160692950"/>
      <w:bookmarkStart w:id="13" w:name="_Toc160780319"/>
      <w:r>
        <w:t>Australian Human Rights Commission</w:t>
      </w:r>
      <w:bookmarkStart w:id="14" w:name="_Toc515873205"/>
      <w:bookmarkStart w:id="15" w:name="_Toc136615676"/>
      <w:bookmarkStart w:id="16" w:name="_Toc136856494"/>
      <w:bookmarkStart w:id="17" w:name="_Toc136871716"/>
      <w:bookmarkStart w:id="18" w:name="_Toc137644299"/>
      <w:bookmarkStart w:id="19" w:name="_Toc138152258"/>
      <w:bookmarkEnd w:id="0"/>
      <w:bookmarkEnd w:id="1"/>
      <w:bookmarkEnd w:id="2"/>
      <w:bookmarkEnd w:id="3"/>
      <w:bookmarkEnd w:id="4"/>
      <w:bookmarkEnd w:id="5"/>
      <w:bookmarkEnd w:id="6"/>
      <w:bookmarkEnd w:id="7"/>
      <w:bookmarkEnd w:id="8"/>
      <w:bookmarkEnd w:id="9"/>
      <w:bookmarkEnd w:id="10"/>
      <w:bookmarkEnd w:id="11"/>
      <w:bookmarkEnd w:id="12"/>
      <w:bookmarkEnd w:id="13"/>
    </w:p>
    <w:p w14:paraId="12D7C5DE" w14:textId="3FB947E8" w:rsidR="00817C73" w:rsidRDefault="00817C73" w:rsidP="00B951DE">
      <w:pPr>
        <w:pStyle w:val="Subtitle"/>
      </w:pPr>
      <w:bookmarkStart w:id="20" w:name="_Toc156992549"/>
      <w:bookmarkStart w:id="21" w:name="_Toc157429270"/>
      <w:bookmarkStart w:id="22" w:name="_Toc157688453"/>
      <w:bookmarkStart w:id="23" w:name="_Toc159775655"/>
      <w:bookmarkStart w:id="24" w:name="_Toc159938865"/>
      <w:bookmarkStart w:id="25" w:name="_Toc159944467"/>
      <w:bookmarkStart w:id="26" w:name="_Toc160692951"/>
      <w:bookmarkStart w:id="27" w:name="_Toc160780320"/>
      <w:r>
        <w:t xml:space="preserve">Submission to the </w:t>
      </w:r>
      <w:bookmarkEnd w:id="14"/>
      <w:bookmarkEnd w:id="15"/>
      <w:bookmarkEnd w:id="16"/>
      <w:bookmarkEnd w:id="17"/>
      <w:bookmarkEnd w:id="18"/>
      <w:bookmarkEnd w:id="19"/>
      <w:bookmarkEnd w:id="20"/>
      <w:bookmarkEnd w:id="21"/>
      <w:bookmarkEnd w:id="22"/>
      <w:r w:rsidR="002A4CA8">
        <w:t>Independent National Security Legislation Monitor</w:t>
      </w:r>
      <w:bookmarkEnd w:id="23"/>
      <w:bookmarkEnd w:id="24"/>
      <w:bookmarkEnd w:id="25"/>
      <w:bookmarkEnd w:id="26"/>
      <w:bookmarkEnd w:id="27"/>
      <w:r w:rsidR="002A4CA8">
        <w:t xml:space="preserve"> </w:t>
      </w:r>
    </w:p>
    <w:p w14:paraId="7ACE8E24" w14:textId="17631BDF" w:rsidR="00F220A5" w:rsidRPr="00817C73" w:rsidRDefault="0031051A" w:rsidP="00F220A5">
      <w:pPr>
        <w:pStyle w:val="Date"/>
      </w:pPr>
      <w:r>
        <w:t>8</w:t>
      </w:r>
      <w:r w:rsidR="001C5FC4">
        <w:t xml:space="preserve"> </w:t>
      </w:r>
      <w:r w:rsidR="002A4CA8">
        <w:t>March</w:t>
      </w:r>
      <w:r w:rsidR="000E2317">
        <w:t xml:space="preserve"> 2024</w:t>
      </w:r>
    </w:p>
    <w:p w14:paraId="612FF9A1" w14:textId="77777777" w:rsidR="00AC636D" w:rsidRDefault="00AC636D" w:rsidP="00AC636D"/>
    <w:p w14:paraId="08888DC0" w14:textId="77777777" w:rsidR="009E4BD0" w:rsidRPr="00AC636D" w:rsidRDefault="009E4BD0" w:rsidP="00AC636D">
      <w:pPr>
        <w:sectPr w:rsidR="009E4BD0" w:rsidRPr="00AC636D" w:rsidSect="00202BC4">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5908E633" w14:textId="2A7E9F6A" w:rsidR="0025089D" w:rsidRDefault="000B5B68" w:rsidP="0025089D">
      <w:pPr>
        <w:pStyle w:val="TOC1"/>
        <w:rPr>
          <w:rFonts w:asciiTheme="minorHAnsi" w:eastAsiaTheme="minorEastAsia" w:hAnsiTheme="minorHAnsi" w:cstheme="minorBidi"/>
          <w:b w:val="0"/>
          <w:i/>
          <w:kern w:val="2"/>
          <w14:ligatures w14:val="standardContextual"/>
        </w:rPr>
      </w:pPr>
      <w:bookmarkStart w:id="28" w:name="_Toc209316062"/>
      <w:bookmarkEnd w:id="28"/>
      <w:r>
        <w:lastRenderedPageBreak/>
        <w:t>Contents</w:t>
      </w:r>
      <w:r w:rsidRPr="000465F1">
        <w:fldChar w:fldCharType="begin"/>
      </w:r>
      <w:r>
        <w:instrText xml:space="preserve"> TOC \o "1-3" \h \z \u </w:instrText>
      </w:r>
      <w:r w:rsidRPr="000465F1">
        <w:fldChar w:fldCharType="separate"/>
      </w:r>
    </w:p>
    <w:p w14:paraId="457424CB" w14:textId="340BEF60" w:rsidR="0025089D" w:rsidRDefault="00D97576">
      <w:pPr>
        <w:pStyle w:val="TOC1"/>
        <w:rPr>
          <w:rFonts w:asciiTheme="minorHAnsi" w:eastAsiaTheme="minorEastAsia" w:hAnsiTheme="minorHAnsi" w:cstheme="minorBidi"/>
          <w:b w:val="0"/>
          <w:kern w:val="2"/>
          <w14:ligatures w14:val="standardContextual"/>
        </w:rPr>
      </w:pPr>
      <w:hyperlink w:anchor="_Toc160780321" w:history="1">
        <w:r w:rsidR="0025089D" w:rsidRPr="00EF0BB1">
          <w:rPr>
            <w:rStyle w:val="Hyperlink"/>
          </w:rPr>
          <w:t>1</w:t>
        </w:r>
        <w:r w:rsidR="0025089D">
          <w:rPr>
            <w:rFonts w:asciiTheme="minorHAnsi" w:eastAsiaTheme="minorEastAsia" w:hAnsiTheme="minorHAnsi" w:cstheme="minorBidi"/>
            <w:b w:val="0"/>
            <w:kern w:val="2"/>
            <w14:ligatures w14:val="standardContextual"/>
          </w:rPr>
          <w:tab/>
        </w:r>
        <w:r w:rsidR="0025089D" w:rsidRPr="00EF0BB1">
          <w:rPr>
            <w:rStyle w:val="Hyperlink"/>
          </w:rPr>
          <w:t>Introduction</w:t>
        </w:r>
        <w:r w:rsidR="0025089D">
          <w:rPr>
            <w:webHidden/>
          </w:rPr>
          <w:tab/>
        </w:r>
        <w:r w:rsidR="0025089D">
          <w:rPr>
            <w:webHidden/>
          </w:rPr>
          <w:fldChar w:fldCharType="begin"/>
        </w:r>
        <w:r w:rsidR="0025089D">
          <w:rPr>
            <w:webHidden/>
          </w:rPr>
          <w:instrText xml:space="preserve"> PAGEREF _Toc160780321 \h </w:instrText>
        </w:r>
        <w:r w:rsidR="0025089D">
          <w:rPr>
            <w:webHidden/>
          </w:rPr>
        </w:r>
        <w:r w:rsidR="0025089D">
          <w:rPr>
            <w:webHidden/>
          </w:rPr>
          <w:fldChar w:fldCharType="separate"/>
        </w:r>
        <w:r w:rsidR="0025089D">
          <w:rPr>
            <w:webHidden/>
          </w:rPr>
          <w:t>3</w:t>
        </w:r>
        <w:r w:rsidR="0025089D">
          <w:rPr>
            <w:webHidden/>
          </w:rPr>
          <w:fldChar w:fldCharType="end"/>
        </w:r>
      </w:hyperlink>
    </w:p>
    <w:p w14:paraId="13B459AA" w14:textId="2E5B537C" w:rsidR="0025089D" w:rsidRDefault="00D97576">
      <w:pPr>
        <w:pStyle w:val="TOC1"/>
        <w:rPr>
          <w:rFonts w:asciiTheme="minorHAnsi" w:eastAsiaTheme="minorEastAsia" w:hAnsiTheme="minorHAnsi" w:cstheme="minorBidi"/>
          <w:b w:val="0"/>
          <w:kern w:val="2"/>
          <w14:ligatures w14:val="standardContextual"/>
        </w:rPr>
      </w:pPr>
      <w:hyperlink w:anchor="_Toc160780322" w:history="1">
        <w:r w:rsidR="0025089D" w:rsidRPr="00EF0BB1">
          <w:rPr>
            <w:rStyle w:val="Hyperlink"/>
          </w:rPr>
          <w:t>2</w:t>
        </w:r>
        <w:r w:rsidR="0025089D">
          <w:rPr>
            <w:rFonts w:asciiTheme="minorHAnsi" w:eastAsiaTheme="minorEastAsia" w:hAnsiTheme="minorHAnsi" w:cstheme="minorBidi"/>
            <w:b w:val="0"/>
            <w:kern w:val="2"/>
            <w14:ligatures w14:val="standardContextual"/>
          </w:rPr>
          <w:tab/>
        </w:r>
        <w:r w:rsidR="0025089D" w:rsidRPr="00EF0BB1">
          <w:rPr>
            <w:rStyle w:val="Hyperlink"/>
          </w:rPr>
          <w:t>Summary</w:t>
        </w:r>
        <w:r w:rsidR="0025089D">
          <w:rPr>
            <w:webHidden/>
          </w:rPr>
          <w:tab/>
        </w:r>
        <w:r w:rsidR="0025089D">
          <w:rPr>
            <w:webHidden/>
          </w:rPr>
          <w:fldChar w:fldCharType="begin"/>
        </w:r>
        <w:r w:rsidR="0025089D">
          <w:rPr>
            <w:webHidden/>
          </w:rPr>
          <w:instrText xml:space="preserve"> PAGEREF _Toc160780322 \h </w:instrText>
        </w:r>
        <w:r w:rsidR="0025089D">
          <w:rPr>
            <w:webHidden/>
          </w:rPr>
        </w:r>
        <w:r w:rsidR="0025089D">
          <w:rPr>
            <w:webHidden/>
          </w:rPr>
          <w:fldChar w:fldCharType="separate"/>
        </w:r>
        <w:r w:rsidR="0025089D">
          <w:rPr>
            <w:webHidden/>
          </w:rPr>
          <w:t>3</w:t>
        </w:r>
        <w:r w:rsidR="0025089D">
          <w:rPr>
            <w:webHidden/>
          </w:rPr>
          <w:fldChar w:fldCharType="end"/>
        </w:r>
      </w:hyperlink>
    </w:p>
    <w:p w14:paraId="08E0810A" w14:textId="1D0D96A9" w:rsidR="0025089D" w:rsidRDefault="00D97576">
      <w:pPr>
        <w:pStyle w:val="TOC1"/>
        <w:rPr>
          <w:rFonts w:asciiTheme="minorHAnsi" w:eastAsiaTheme="minorEastAsia" w:hAnsiTheme="minorHAnsi" w:cstheme="minorBidi"/>
          <w:b w:val="0"/>
          <w:kern w:val="2"/>
          <w14:ligatures w14:val="standardContextual"/>
        </w:rPr>
      </w:pPr>
      <w:hyperlink w:anchor="_Toc160780323" w:history="1">
        <w:r w:rsidR="0025089D" w:rsidRPr="00EF0BB1">
          <w:rPr>
            <w:rStyle w:val="Hyperlink"/>
          </w:rPr>
          <w:t>3</w:t>
        </w:r>
        <w:r w:rsidR="0025089D">
          <w:rPr>
            <w:rFonts w:asciiTheme="minorHAnsi" w:eastAsiaTheme="minorEastAsia" w:hAnsiTheme="minorHAnsi" w:cstheme="minorBidi"/>
            <w:b w:val="0"/>
            <w:kern w:val="2"/>
            <w14:ligatures w14:val="standardContextual"/>
          </w:rPr>
          <w:tab/>
        </w:r>
        <w:r w:rsidR="0025089D" w:rsidRPr="00EF0BB1">
          <w:rPr>
            <w:rStyle w:val="Hyperlink"/>
          </w:rPr>
          <w:t>Recommendations</w:t>
        </w:r>
        <w:r w:rsidR="0025089D">
          <w:rPr>
            <w:webHidden/>
          </w:rPr>
          <w:tab/>
        </w:r>
        <w:r w:rsidR="0025089D">
          <w:rPr>
            <w:webHidden/>
          </w:rPr>
          <w:fldChar w:fldCharType="begin"/>
        </w:r>
        <w:r w:rsidR="0025089D">
          <w:rPr>
            <w:webHidden/>
          </w:rPr>
          <w:instrText xml:space="preserve"> PAGEREF _Toc160780323 \h </w:instrText>
        </w:r>
        <w:r w:rsidR="0025089D">
          <w:rPr>
            <w:webHidden/>
          </w:rPr>
        </w:r>
        <w:r w:rsidR="0025089D">
          <w:rPr>
            <w:webHidden/>
          </w:rPr>
          <w:fldChar w:fldCharType="separate"/>
        </w:r>
        <w:r w:rsidR="0025089D">
          <w:rPr>
            <w:webHidden/>
          </w:rPr>
          <w:t>5</w:t>
        </w:r>
        <w:r w:rsidR="0025089D">
          <w:rPr>
            <w:webHidden/>
          </w:rPr>
          <w:fldChar w:fldCharType="end"/>
        </w:r>
      </w:hyperlink>
    </w:p>
    <w:p w14:paraId="27C30B8A" w14:textId="0CF4D902" w:rsidR="0025089D" w:rsidRDefault="00D97576">
      <w:pPr>
        <w:pStyle w:val="TOC1"/>
        <w:rPr>
          <w:rFonts w:asciiTheme="minorHAnsi" w:eastAsiaTheme="minorEastAsia" w:hAnsiTheme="minorHAnsi" w:cstheme="minorBidi"/>
          <w:b w:val="0"/>
          <w:kern w:val="2"/>
          <w14:ligatures w14:val="standardContextual"/>
        </w:rPr>
      </w:pPr>
      <w:hyperlink w:anchor="_Toc160780324" w:history="1">
        <w:r w:rsidR="0025089D" w:rsidRPr="00EF0BB1">
          <w:rPr>
            <w:rStyle w:val="Hyperlink"/>
          </w:rPr>
          <w:t>4</w:t>
        </w:r>
        <w:r w:rsidR="0025089D">
          <w:rPr>
            <w:rFonts w:asciiTheme="minorHAnsi" w:eastAsiaTheme="minorEastAsia" w:hAnsiTheme="minorHAnsi" w:cstheme="minorBidi"/>
            <w:b w:val="0"/>
            <w:kern w:val="2"/>
            <w14:ligatures w14:val="standardContextual"/>
          </w:rPr>
          <w:tab/>
        </w:r>
        <w:r w:rsidR="0025089D" w:rsidRPr="00EF0BB1">
          <w:rPr>
            <w:rStyle w:val="Hyperlink"/>
          </w:rPr>
          <w:t>Relevant human rights</w:t>
        </w:r>
        <w:r w:rsidR="0025089D">
          <w:rPr>
            <w:webHidden/>
          </w:rPr>
          <w:tab/>
        </w:r>
        <w:r w:rsidR="0025089D">
          <w:rPr>
            <w:webHidden/>
          </w:rPr>
          <w:fldChar w:fldCharType="begin"/>
        </w:r>
        <w:r w:rsidR="0025089D">
          <w:rPr>
            <w:webHidden/>
          </w:rPr>
          <w:instrText xml:space="preserve"> PAGEREF _Toc160780324 \h </w:instrText>
        </w:r>
        <w:r w:rsidR="0025089D">
          <w:rPr>
            <w:webHidden/>
          </w:rPr>
        </w:r>
        <w:r w:rsidR="0025089D">
          <w:rPr>
            <w:webHidden/>
          </w:rPr>
          <w:fldChar w:fldCharType="separate"/>
        </w:r>
        <w:r w:rsidR="0025089D">
          <w:rPr>
            <w:webHidden/>
          </w:rPr>
          <w:t>7</w:t>
        </w:r>
        <w:r w:rsidR="0025089D">
          <w:rPr>
            <w:webHidden/>
          </w:rPr>
          <w:fldChar w:fldCharType="end"/>
        </w:r>
      </w:hyperlink>
    </w:p>
    <w:p w14:paraId="009E7BBD" w14:textId="02D557D3" w:rsidR="0025089D" w:rsidRDefault="00D97576">
      <w:pPr>
        <w:pStyle w:val="TOC2"/>
        <w:rPr>
          <w:rFonts w:asciiTheme="minorHAnsi" w:eastAsiaTheme="minorEastAsia" w:hAnsiTheme="minorHAnsi" w:cstheme="minorBidi"/>
          <w:b w:val="0"/>
          <w:i w:val="0"/>
          <w:kern w:val="2"/>
          <w14:ligatures w14:val="standardContextual"/>
        </w:rPr>
      </w:pPr>
      <w:hyperlink w:anchor="_Toc160780325" w:history="1">
        <w:r w:rsidR="0025089D" w:rsidRPr="00EF0BB1">
          <w:rPr>
            <w:rStyle w:val="Hyperlink"/>
          </w:rPr>
          <w:t>4.1</w:t>
        </w:r>
        <w:r w:rsidR="0025089D">
          <w:rPr>
            <w:rFonts w:asciiTheme="minorHAnsi" w:eastAsiaTheme="minorEastAsia" w:hAnsiTheme="minorHAnsi" w:cstheme="minorBidi"/>
            <w:b w:val="0"/>
            <w:i w:val="0"/>
            <w:kern w:val="2"/>
            <w14:ligatures w14:val="standardContextual"/>
          </w:rPr>
          <w:tab/>
        </w:r>
        <w:r w:rsidR="0025089D" w:rsidRPr="00EF0BB1">
          <w:rPr>
            <w:rStyle w:val="Hyperlink"/>
          </w:rPr>
          <w:t>The right to freedom of expression</w:t>
        </w:r>
        <w:r w:rsidR="0025089D">
          <w:rPr>
            <w:webHidden/>
          </w:rPr>
          <w:tab/>
        </w:r>
        <w:r w:rsidR="0025089D">
          <w:rPr>
            <w:webHidden/>
          </w:rPr>
          <w:fldChar w:fldCharType="begin"/>
        </w:r>
        <w:r w:rsidR="0025089D">
          <w:rPr>
            <w:webHidden/>
          </w:rPr>
          <w:instrText xml:space="preserve"> PAGEREF _Toc160780325 \h </w:instrText>
        </w:r>
        <w:r w:rsidR="0025089D">
          <w:rPr>
            <w:webHidden/>
          </w:rPr>
        </w:r>
        <w:r w:rsidR="0025089D">
          <w:rPr>
            <w:webHidden/>
          </w:rPr>
          <w:fldChar w:fldCharType="separate"/>
        </w:r>
        <w:r w:rsidR="0025089D">
          <w:rPr>
            <w:webHidden/>
          </w:rPr>
          <w:t>7</w:t>
        </w:r>
        <w:r w:rsidR="0025089D">
          <w:rPr>
            <w:webHidden/>
          </w:rPr>
          <w:fldChar w:fldCharType="end"/>
        </w:r>
      </w:hyperlink>
    </w:p>
    <w:p w14:paraId="5AFDA387" w14:textId="41688847" w:rsidR="0025089D" w:rsidRDefault="00D97576">
      <w:pPr>
        <w:pStyle w:val="TOC2"/>
        <w:rPr>
          <w:rFonts w:asciiTheme="minorHAnsi" w:eastAsiaTheme="minorEastAsia" w:hAnsiTheme="minorHAnsi" w:cstheme="minorBidi"/>
          <w:b w:val="0"/>
          <w:i w:val="0"/>
          <w:kern w:val="2"/>
          <w14:ligatures w14:val="standardContextual"/>
        </w:rPr>
      </w:pPr>
      <w:hyperlink w:anchor="_Toc160780326" w:history="1">
        <w:r w:rsidR="0025089D" w:rsidRPr="00EF0BB1">
          <w:rPr>
            <w:rStyle w:val="Hyperlink"/>
          </w:rPr>
          <w:t>4.2</w:t>
        </w:r>
        <w:r w:rsidR="0025089D">
          <w:rPr>
            <w:rFonts w:asciiTheme="minorHAnsi" w:eastAsiaTheme="minorEastAsia" w:hAnsiTheme="minorHAnsi" w:cstheme="minorBidi"/>
            <w:b w:val="0"/>
            <w:i w:val="0"/>
            <w:kern w:val="2"/>
            <w14:ligatures w14:val="standardContextual"/>
          </w:rPr>
          <w:tab/>
        </w:r>
        <w:r w:rsidR="0025089D" w:rsidRPr="00EF0BB1">
          <w:rPr>
            <w:rStyle w:val="Hyperlink"/>
          </w:rPr>
          <w:t>The right to presumption of innocence</w:t>
        </w:r>
        <w:r w:rsidR="0025089D">
          <w:rPr>
            <w:webHidden/>
          </w:rPr>
          <w:tab/>
        </w:r>
        <w:r w:rsidR="0025089D">
          <w:rPr>
            <w:webHidden/>
          </w:rPr>
          <w:fldChar w:fldCharType="begin"/>
        </w:r>
        <w:r w:rsidR="0025089D">
          <w:rPr>
            <w:webHidden/>
          </w:rPr>
          <w:instrText xml:space="preserve"> PAGEREF _Toc160780326 \h </w:instrText>
        </w:r>
        <w:r w:rsidR="0025089D">
          <w:rPr>
            <w:webHidden/>
          </w:rPr>
        </w:r>
        <w:r w:rsidR="0025089D">
          <w:rPr>
            <w:webHidden/>
          </w:rPr>
          <w:fldChar w:fldCharType="separate"/>
        </w:r>
        <w:r w:rsidR="0025089D">
          <w:rPr>
            <w:webHidden/>
          </w:rPr>
          <w:t>8</w:t>
        </w:r>
        <w:r w:rsidR="0025089D">
          <w:rPr>
            <w:webHidden/>
          </w:rPr>
          <w:fldChar w:fldCharType="end"/>
        </w:r>
      </w:hyperlink>
    </w:p>
    <w:p w14:paraId="4F774FC7" w14:textId="30B15BC3" w:rsidR="0025089D" w:rsidRDefault="00D97576">
      <w:pPr>
        <w:pStyle w:val="TOC1"/>
        <w:rPr>
          <w:rFonts w:asciiTheme="minorHAnsi" w:eastAsiaTheme="minorEastAsia" w:hAnsiTheme="minorHAnsi" w:cstheme="minorBidi"/>
          <w:b w:val="0"/>
          <w:kern w:val="2"/>
          <w14:ligatures w14:val="standardContextual"/>
        </w:rPr>
      </w:pPr>
      <w:hyperlink w:anchor="_Toc160780327" w:history="1">
        <w:r w:rsidR="0025089D" w:rsidRPr="00EF0BB1">
          <w:rPr>
            <w:rStyle w:val="Hyperlink"/>
          </w:rPr>
          <w:t>5</w:t>
        </w:r>
        <w:r w:rsidR="0025089D">
          <w:rPr>
            <w:rFonts w:asciiTheme="minorHAnsi" w:eastAsiaTheme="minorEastAsia" w:hAnsiTheme="minorHAnsi" w:cstheme="minorBidi"/>
            <w:b w:val="0"/>
            <w:kern w:val="2"/>
            <w14:ligatures w14:val="standardContextual"/>
          </w:rPr>
          <w:tab/>
        </w:r>
        <w:r w:rsidR="0025089D" w:rsidRPr="00EF0BB1">
          <w:rPr>
            <w:rStyle w:val="Hyperlink"/>
          </w:rPr>
          <w:t>Broad scope of secrecy offences</w:t>
        </w:r>
        <w:r w:rsidR="0025089D">
          <w:rPr>
            <w:webHidden/>
          </w:rPr>
          <w:tab/>
        </w:r>
        <w:r w:rsidR="0025089D">
          <w:rPr>
            <w:webHidden/>
          </w:rPr>
          <w:fldChar w:fldCharType="begin"/>
        </w:r>
        <w:r w:rsidR="0025089D">
          <w:rPr>
            <w:webHidden/>
          </w:rPr>
          <w:instrText xml:space="preserve"> PAGEREF _Toc160780327 \h </w:instrText>
        </w:r>
        <w:r w:rsidR="0025089D">
          <w:rPr>
            <w:webHidden/>
          </w:rPr>
        </w:r>
        <w:r w:rsidR="0025089D">
          <w:rPr>
            <w:webHidden/>
          </w:rPr>
          <w:fldChar w:fldCharType="separate"/>
        </w:r>
        <w:r w:rsidR="0025089D">
          <w:rPr>
            <w:webHidden/>
          </w:rPr>
          <w:t>9</w:t>
        </w:r>
        <w:r w:rsidR="0025089D">
          <w:rPr>
            <w:webHidden/>
          </w:rPr>
          <w:fldChar w:fldCharType="end"/>
        </w:r>
      </w:hyperlink>
    </w:p>
    <w:p w14:paraId="2F3C7384" w14:textId="386284C6" w:rsidR="0025089D" w:rsidRDefault="00D97576">
      <w:pPr>
        <w:pStyle w:val="TOC2"/>
        <w:rPr>
          <w:rFonts w:asciiTheme="minorHAnsi" w:eastAsiaTheme="minorEastAsia" w:hAnsiTheme="minorHAnsi" w:cstheme="minorBidi"/>
          <w:b w:val="0"/>
          <w:i w:val="0"/>
          <w:kern w:val="2"/>
          <w14:ligatures w14:val="standardContextual"/>
        </w:rPr>
      </w:pPr>
      <w:hyperlink w:anchor="_Toc160780328" w:history="1">
        <w:r w:rsidR="0025089D" w:rsidRPr="00EF0BB1">
          <w:rPr>
            <w:rStyle w:val="Hyperlink"/>
          </w:rPr>
          <w:t>5.1</w:t>
        </w:r>
        <w:r w:rsidR="0025089D">
          <w:rPr>
            <w:rFonts w:asciiTheme="minorHAnsi" w:eastAsiaTheme="minorEastAsia" w:hAnsiTheme="minorHAnsi" w:cstheme="minorBidi"/>
            <w:b w:val="0"/>
            <w:i w:val="0"/>
            <w:kern w:val="2"/>
            <w14:ligatures w14:val="standardContextual"/>
          </w:rPr>
          <w:tab/>
        </w:r>
        <w:r w:rsidR="0025089D" w:rsidRPr="00EF0BB1">
          <w:rPr>
            <w:rStyle w:val="Hyperlink"/>
          </w:rPr>
          <w:t>Key definitions</w:t>
        </w:r>
        <w:r w:rsidR="0025089D">
          <w:rPr>
            <w:webHidden/>
          </w:rPr>
          <w:tab/>
        </w:r>
        <w:r w:rsidR="0025089D">
          <w:rPr>
            <w:webHidden/>
          </w:rPr>
          <w:fldChar w:fldCharType="begin"/>
        </w:r>
        <w:r w:rsidR="0025089D">
          <w:rPr>
            <w:webHidden/>
          </w:rPr>
          <w:instrText xml:space="preserve"> PAGEREF _Toc160780328 \h </w:instrText>
        </w:r>
        <w:r w:rsidR="0025089D">
          <w:rPr>
            <w:webHidden/>
          </w:rPr>
        </w:r>
        <w:r w:rsidR="0025089D">
          <w:rPr>
            <w:webHidden/>
          </w:rPr>
          <w:fldChar w:fldCharType="separate"/>
        </w:r>
        <w:r w:rsidR="0025089D">
          <w:rPr>
            <w:webHidden/>
          </w:rPr>
          <w:t>9</w:t>
        </w:r>
        <w:r w:rsidR="0025089D">
          <w:rPr>
            <w:webHidden/>
          </w:rPr>
          <w:fldChar w:fldCharType="end"/>
        </w:r>
      </w:hyperlink>
    </w:p>
    <w:p w14:paraId="3D2849D9" w14:textId="0921CDEA" w:rsidR="0025089D" w:rsidRDefault="00D97576">
      <w:pPr>
        <w:pStyle w:val="TOC2"/>
        <w:rPr>
          <w:rFonts w:asciiTheme="minorHAnsi" w:eastAsiaTheme="minorEastAsia" w:hAnsiTheme="minorHAnsi" w:cstheme="minorBidi"/>
          <w:b w:val="0"/>
          <w:i w:val="0"/>
          <w:kern w:val="2"/>
          <w14:ligatures w14:val="standardContextual"/>
        </w:rPr>
      </w:pPr>
      <w:hyperlink w:anchor="_Toc160780329" w:history="1">
        <w:r w:rsidR="0025089D" w:rsidRPr="00EF0BB1">
          <w:rPr>
            <w:rStyle w:val="Hyperlink"/>
          </w:rPr>
          <w:t>5.2</w:t>
        </w:r>
        <w:r w:rsidR="0025089D">
          <w:rPr>
            <w:rFonts w:asciiTheme="minorHAnsi" w:eastAsiaTheme="minorEastAsia" w:hAnsiTheme="minorHAnsi" w:cstheme="minorBidi"/>
            <w:b w:val="0"/>
            <w:i w:val="0"/>
            <w:kern w:val="2"/>
            <w14:ligatures w14:val="standardContextual"/>
          </w:rPr>
          <w:tab/>
        </w:r>
        <w:r w:rsidR="0025089D" w:rsidRPr="00EF0BB1">
          <w:rPr>
            <w:rStyle w:val="Hyperlink"/>
          </w:rPr>
          <w:t>Specific harm as an element of secrecy offences</w:t>
        </w:r>
        <w:r w:rsidR="0025089D">
          <w:rPr>
            <w:webHidden/>
          </w:rPr>
          <w:tab/>
        </w:r>
        <w:r w:rsidR="0025089D">
          <w:rPr>
            <w:webHidden/>
          </w:rPr>
          <w:fldChar w:fldCharType="begin"/>
        </w:r>
        <w:r w:rsidR="0025089D">
          <w:rPr>
            <w:webHidden/>
          </w:rPr>
          <w:instrText xml:space="preserve"> PAGEREF _Toc160780329 \h </w:instrText>
        </w:r>
        <w:r w:rsidR="0025089D">
          <w:rPr>
            <w:webHidden/>
          </w:rPr>
        </w:r>
        <w:r w:rsidR="0025089D">
          <w:rPr>
            <w:webHidden/>
          </w:rPr>
          <w:fldChar w:fldCharType="separate"/>
        </w:r>
        <w:r w:rsidR="0025089D">
          <w:rPr>
            <w:webHidden/>
          </w:rPr>
          <w:t>11</w:t>
        </w:r>
        <w:r w:rsidR="0025089D">
          <w:rPr>
            <w:webHidden/>
          </w:rPr>
          <w:fldChar w:fldCharType="end"/>
        </w:r>
      </w:hyperlink>
    </w:p>
    <w:p w14:paraId="4DA5DAD4" w14:textId="0DB94822" w:rsidR="0025089D" w:rsidRDefault="00D97576">
      <w:pPr>
        <w:pStyle w:val="TOC2"/>
        <w:rPr>
          <w:rFonts w:asciiTheme="minorHAnsi" w:eastAsiaTheme="minorEastAsia" w:hAnsiTheme="minorHAnsi" w:cstheme="minorBidi"/>
          <w:b w:val="0"/>
          <w:i w:val="0"/>
          <w:kern w:val="2"/>
          <w14:ligatures w14:val="standardContextual"/>
        </w:rPr>
      </w:pPr>
      <w:hyperlink w:anchor="_Toc160780330" w:history="1">
        <w:r w:rsidR="0025089D" w:rsidRPr="00EF0BB1">
          <w:rPr>
            <w:rStyle w:val="Hyperlink"/>
          </w:rPr>
          <w:t>5.3</w:t>
        </w:r>
        <w:r w:rsidR="0025089D">
          <w:rPr>
            <w:rFonts w:asciiTheme="minorHAnsi" w:eastAsiaTheme="minorEastAsia" w:hAnsiTheme="minorHAnsi" w:cstheme="minorBidi"/>
            <w:b w:val="0"/>
            <w:i w:val="0"/>
            <w:kern w:val="2"/>
            <w14:ligatures w14:val="standardContextual"/>
          </w:rPr>
          <w:tab/>
        </w:r>
        <w:r w:rsidR="0025089D" w:rsidRPr="00EF0BB1">
          <w:rPr>
            <w:rStyle w:val="Hyperlink"/>
          </w:rPr>
          <w:t>Domestic intelligence agencies</w:t>
        </w:r>
        <w:r w:rsidR="0025089D">
          <w:rPr>
            <w:webHidden/>
          </w:rPr>
          <w:tab/>
        </w:r>
        <w:r w:rsidR="0025089D">
          <w:rPr>
            <w:webHidden/>
          </w:rPr>
          <w:fldChar w:fldCharType="begin"/>
        </w:r>
        <w:r w:rsidR="0025089D">
          <w:rPr>
            <w:webHidden/>
          </w:rPr>
          <w:instrText xml:space="preserve"> PAGEREF _Toc160780330 \h </w:instrText>
        </w:r>
        <w:r w:rsidR="0025089D">
          <w:rPr>
            <w:webHidden/>
          </w:rPr>
        </w:r>
        <w:r w:rsidR="0025089D">
          <w:rPr>
            <w:webHidden/>
          </w:rPr>
          <w:fldChar w:fldCharType="separate"/>
        </w:r>
        <w:r w:rsidR="0025089D">
          <w:rPr>
            <w:webHidden/>
          </w:rPr>
          <w:t>13</w:t>
        </w:r>
        <w:r w:rsidR="0025089D">
          <w:rPr>
            <w:webHidden/>
          </w:rPr>
          <w:fldChar w:fldCharType="end"/>
        </w:r>
      </w:hyperlink>
    </w:p>
    <w:p w14:paraId="6EC8DE6A" w14:textId="67A8A8B1" w:rsidR="0025089D" w:rsidRDefault="00D97576">
      <w:pPr>
        <w:pStyle w:val="TOC2"/>
        <w:rPr>
          <w:rFonts w:asciiTheme="minorHAnsi" w:eastAsiaTheme="minorEastAsia" w:hAnsiTheme="minorHAnsi" w:cstheme="minorBidi"/>
          <w:b w:val="0"/>
          <w:i w:val="0"/>
          <w:kern w:val="2"/>
          <w14:ligatures w14:val="standardContextual"/>
        </w:rPr>
      </w:pPr>
      <w:hyperlink w:anchor="_Toc160780331" w:history="1">
        <w:r w:rsidR="0025089D" w:rsidRPr="00EF0BB1">
          <w:rPr>
            <w:rStyle w:val="Hyperlink"/>
          </w:rPr>
          <w:t>5.4</w:t>
        </w:r>
        <w:r w:rsidR="0025089D">
          <w:rPr>
            <w:rFonts w:asciiTheme="minorHAnsi" w:eastAsiaTheme="minorEastAsia" w:hAnsiTheme="minorHAnsi" w:cstheme="minorBidi"/>
            <w:b w:val="0"/>
            <w:i w:val="0"/>
            <w:kern w:val="2"/>
            <w14:ligatures w14:val="standardContextual"/>
          </w:rPr>
          <w:tab/>
        </w:r>
        <w:r w:rsidR="0025089D" w:rsidRPr="00EF0BB1">
          <w:rPr>
            <w:rStyle w:val="Hyperlink"/>
          </w:rPr>
          <w:t>Security classified information</w:t>
        </w:r>
        <w:r w:rsidR="0025089D">
          <w:rPr>
            <w:webHidden/>
          </w:rPr>
          <w:tab/>
        </w:r>
        <w:r w:rsidR="0025089D">
          <w:rPr>
            <w:webHidden/>
          </w:rPr>
          <w:fldChar w:fldCharType="begin"/>
        </w:r>
        <w:r w:rsidR="0025089D">
          <w:rPr>
            <w:webHidden/>
          </w:rPr>
          <w:instrText xml:space="preserve"> PAGEREF _Toc160780331 \h </w:instrText>
        </w:r>
        <w:r w:rsidR="0025089D">
          <w:rPr>
            <w:webHidden/>
          </w:rPr>
        </w:r>
        <w:r w:rsidR="0025089D">
          <w:rPr>
            <w:webHidden/>
          </w:rPr>
          <w:fldChar w:fldCharType="separate"/>
        </w:r>
        <w:r w:rsidR="0025089D">
          <w:rPr>
            <w:webHidden/>
          </w:rPr>
          <w:t>14</w:t>
        </w:r>
        <w:r w:rsidR="0025089D">
          <w:rPr>
            <w:webHidden/>
          </w:rPr>
          <w:fldChar w:fldCharType="end"/>
        </w:r>
      </w:hyperlink>
    </w:p>
    <w:p w14:paraId="2B097BD3" w14:textId="1754BFE5" w:rsidR="0025089D" w:rsidRDefault="00D97576">
      <w:pPr>
        <w:pStyle w:val="TOC2"/>
        <w:rPr>
          <w:rFonts w:asciiTheme="minorHAnsi" w:eastAsiaTheme="minorEastAsia" w:hAnsiTheme="minorHAnsi" w:cstheme="minorBidi"/>
          <w:b w:val="0"/>
          <w:i w:val="0"/>
          <w:kern w:val="2"/>
          <w14:ligatures w14:val="standardContextual"/>
        </w:rPr>
      </w:pPr>
      <w:hyperlink w:anchor="_Toc160780332" w:history="1">
        <w:r w:rsidR="0025089D" w:rsidRPr="00EF0BB1">
          <w:rPr>
            <w:rStyle w:val="Hyperlink"/>
          </w:rPr>
          <w:t>5.5</w:t>
        </w:r>
        <w:r w:rsidR="0025089D">
          <w:rPr>
            <w:rFonts w:asciiTheme="minorHAnsi" w:eastAsiaTheme="minorEastAsia" w:hAnsiTheme="minorHAnsi" w:cstheme="minorBidi"/>
            <w:b w:val="0"/>
            <w:i w:val="0"/>
            <w:kern w:val="2"/>
            <w14:ligatures w14:val="standardContextual"/>
          </w:rPr>
          <w:tab/>
        </w:r>
        <w:r w:rsidR="0025089D" w:rsidRPr="00EF0BB1">
          <w:rPr>
            <w:rStyle w:val="Hyperlink"/>
          </w:rPr>
          <w:t>‘Dealing with’ information</w:t>
        </w:r>
        <w:r w:rsidR="0025089D">
          <w:rPr>
            <w:webHidden/>
          </w:rPr>
          <w:tab/>
        </w:r>
        <w:r w:rsidR="0025089D">
          <w:rPr>
            <w:webHidden/>
          </w:rPr>
          <w:fldChar w:fldCharType="begin"/>
        </w:r>
        <w:r w:rsidR="0025089D">
          <w:rPr>
            <w:webHidden/>
          </w:rPr>
          <w:instrText xml:space="preserve"> PAGEREF _Toc160780332 \h </w:instrText>
        </w:r>
        <w:r w:rsidR="0025089D">
          <w:rPr>
            <w:webHidden/>
          </w:rPr>
        </w:r>
        <w:r w:rsidR="0025089D">
          <w:rPr>
            <w:webHidden/>
          </w:rPr>
          <w:fldChar w:fldCharType="separate"/>
        </w:r>
        <w:r w:rsidR="0025089D">
          <w:rPr>
            <w:webHidden/>
          </w:rPr>
          <w:t>16</w:t>
        </w:r>
        <w:r w:rsidR="0025089D">
          <w:rPr>
            <w:webHidden/>
          </w:rPr>
          <w:fldChar w:fldCharType="end"/>
        </w:r>
      </w:hyperlink>
    </w:p>
    <w:p w14:paraId="25E0161C" w14:textId="6B0759D7" w:rsidR="0025089D" w:rsidRDefault="00D97576">
      <w:pPr>
        <w:pStyle w:val="TOC1"/>
        <w:rPr>
          <w:rFonts w:asciiTheme="minorHAnsi" w:eastAsiaTheme="minorEastAsia" w:hAnsiTheme="minorHAnsi" w:cstheme="minorBidi"/>
          <w:b w:val="0"/>
          <w:kern w:val="2"/>
          <w14:ligatures w14:val="standardContextual"/>
        </w:rPr>
      </w:pPr>
      <w:hyperlink w:anchor="_Toc160780333" w:history="1">
        <w:r w:rsidR="0025089D" w:rsidRPr="00EF0BB1">
          <w:rPr>
            <w:rStyle w:val="Hyperlink"/>
            <w:rFonts w:cs="Open Sans"/>
          </w:rPr>
          <w:t>6</w:t>
        </w:r>
        <w:r w:rsidR="0025089D">
          <w:rPr>
            <w:rFonts w:asciiTheme="minorHAnsi" w:eastAsiaTheme="minorEastAsia" w:hAnsiTheme="minorHAnsi" w:cstheme="minorBidi"/>
            <w:b w:val="0"/>
            <w:kern w:val="2"/>
            <w14:ligatures w14:val="standardContextual"/>
          </w:rPr>
          <w:tab/>
        </w:r>
        <w:r w:rsidR="0025089D" w:rsidRPr="00EF0BB1">
          <w:rPr>
            <w:rStyle w:val="Hyperlink"/>
          </w:rPr>
          <w:t>Proposed new general secrecy offence</w:t>
        </w:r>
        <w:r w:rsidR="0025089D">
          <w:rPr>
            <w:webHidden/>
          </w:rPr>
          <w:tab/>
        </w:r>
        <w:r w:rsidR="0025089D">
          <w:rPr>
            <w:webHidden/>
          </w:rPr>
          <w:fldChar w:fldCharType="begin"/>
        </w:r>
        <w:r w:rsidR="0025089D">
          <w:rPr>
            <w:webHidden/>
          </w:rPr>
          <w:instrText xml:space="preserve"> PAGEREF _Toc160780333 \h </w:instrText>
        </w:r>
        <w:r w:rsidR="0025089D">
          <w:rPr>
            <w:webHidden/>
          </w:rPr>
        </w:r>
        <w:r w:rsidR="0025089D">
          <w:rPr>
            <w:webHidden/>
          </w:rPr>
          <w:fldChar w:fldCharType="separate"/>
        </w:r>
        <w:r w:rsidR="0025089D">
          <w:rPr>
            <w:webHidden/>
          </w:rPr>
          <w:t>18</w:t>
        </w:r>
        <w:r w:rsidR="0025089D">
          <w:rPr>
            <w:webHidden/>
          </w:rPr>
          <w:fldChar w:fldCharType="end"/>
        </w:r>
      </w:hyperlink>
    </w:p>
    <w:p w14:paraId="20BCFC73" w14:textId="0DF8993C" w:rsidR="0025089D" w:rsidRDefault="00D97576">
      <w:pPr>
        <w:pStyle w:val="TOC1"/>
        <w:rPr>
          <w:rFonts w:asciiTheme="minorHAnsi" w:eastAsiaTheme="minorEastAsia" w:hAnsiTheme="minorHAnsi" w:cstheme="minorBidi"/>
          <w:b w:val="0"/>
          <w:kern w:val="2"/>
          <w14:ligatures w14:val="standardContextual"/>
        </w:rPr>
      </w:pPr>
      <w:hyperlink w:anchor="_Toc160780334" w:history="1">
        <w:r w:rsidR="0025089D" w:rsidRPr="00EF0BB1">
          <w:rPr>
            <w:rStyle w:val="Hyperlink"/>
          </w:rPr>
          <w:t>7</w:t>
        </w:r>
        <w:r w:rsidR="0025089D">
          <w:rPr>
            <w:rFonts w:asciiTheme="minorHAnsi" w:eastAsiaTheme="minorEastAsia" w:hAnsiTheme="minorHAnsi" w:cstheme="minorBidi"/>
            <w:b w:val="0"/>
            <w:kern w:val="2"/>
            <w14:ligatures w14:val="standardContextual"/>
          </w:rPr>
          <w:tab/>
        </w:r>
        <w:r w:rsidR="0025089D" w:rsidRPr="00EF0BB1">
          <w:rPr>
            <w:rStyle w:val="Hyperlink"/>
          </w:rPr>
          <w:t>Safeguards outside the Criminal Code</w:t>
        </w:r>
        <w:r w:rsidR="0025089D">
          <w:rPr>
            <w:webHidden/>
          </w:rPr>
          <w:tab/>
        </w:r>
        <w:r w:rsidR="0025089D">
          <w:rPr>
            <w:webHidden/>
          </w:rPr>
          <w:fldChar w:fldCharType="begin"/>
        </w:r>
        <w:r w:rsidR="0025089D">
          <w:rPr>
            <w:webHidden/>
          </w:rPr>
          <w:instrText xml:space="preserve"> PAGEREF _Toc160780334 \h </w:instrText>
        </w:r>
        <w:r w:rsidR="0025089D">
          <w:rPr>
            <w:webHidden/>
          </w:rPr>
        </w:r>
        <w:r w:rsidR="0025089D">
          <w:rPr>
            <w:webHidden/>
          </w:rPr>
          <w:fldChar w:fldCharType="separate"/>
        </w:r>
        <w:r w:rsidR="0025089D">
          <w:rPr>
            <w:webHidden/>
          </w:rPr>
          <w:t>20</w:t>
        </w:r>
        <w:r w:rsidR="0025089D">
          <w:rPr>
            <w:webHidden/>
          </w:rPr>
          <w:fldChar w:fldCharType="end"/>
        </w:r>
      </w:hyperlink>
    </w:p>
    <w:p w14:paraId="0D2D9E2C" w14:textId="4F426327" w:rsidR="0025089D" w:rsidRDefault="00D97576">
      <w:pPr>
        <w:pStyle w:val="TOC1"/>
        <w:rPr>
          <w:rFonts w:asciiTheme="minorHAnsi" w:eastAsiaTheme="minorEastAsia" w:hAnsiTheme="minorHAnsi" w:cstheme="minorBidi"/>
          <w:b w:val="0"/>
          <w:kern w:val="2"/>
          <w14:ligatures w14:val="standardContextual"/>
        </w:rPr>
      </w:pPr>
      <w:hyperlink w:anchor="_Toc160780335" w:history="1">
        <w:r w:rsidR="0025089D" w:rsidRPr="00EF0BB1">
          <w:rPr>
            <w:rStyle w:val="Hyperlink"/>
            <w:rFonts w:cs="Open Sans"/>
          </w:rPr>
          <w:t>8</w:t>
        </w:r>
        <w:r w:rsidR="0025089D">
          <w:rPr>
            <w:rFonts w:asciiTheme="minorHAnsi" w:eastAsiaTheme="minorEastAsia" w:hAnsiTheme="minorHAnsi" w:cstheme="minorBidi"/>
            <w:b w:val="0"/>
            <w:kern w:val="2"/>
            <w14:ligatures w14:val="standardContextual"/>
          </w:rPr>
          <w:tab/>
        </w:r>
        <w:r w:rsidR="0025089D" w:rsidRPr="00EF0BB1">
          <w:rPr>
            <w:rStyle w:val="Hyperlink"/>
          </w:rPr>
          <w:t>Defences and other issues</w:t>
        </w:r>
        <w:r w:rsidR="0025089D">
          <w:rPr>
            <w:webHidden/>
          </w:rPr>
          <w:tab/>
        </w:r>
        <w:r w:rsidR="0025089D">
          <w:rPr>
            <w:webHidden/>
          </w:rPr>
          <w:fldChar w:fldCharType="begin"/>
        </w:r>
        <w:r w:rsidR="0025089D">
          <w:rPr>
            <w:webHidden/>
          </w:rPr>
          <w:instrText xml:space="preserve"> PAGEREF _Toc160780335 \h </w:instrText>
        </w:r>
        <w:r w:rsidR="0025089D">
          <w:rPr>
            <w:webHidden/>
          </w:rPr>
        </w:r>
        <w:r w:rsidR="0025089D">
          <w:rPr>
            <w:webHidden/>
          </w:rPr>
          <w:fldChar w:fldCharType="separate"/>
        </w:r>
        <w:r w:rsidR="0025089D">
          <w:rPr>
            <w:webHidden/>
          </w:rPr>
          <w:t>21</w:t>
        </w:r>
        <w:r w:rsidR="0025089D">
          <w:rPr>
            <w:webHidden/>
          </w:rPr>
          <w:fldChar w:fldCharType="end"/>
        </w:r>
      </w:hyperlink>
    </w:p>
    <w:p w14:paraId="2A19C205" w14:textId="4721BCF5" w:rsidR="0025089D" w:rsidRDefault="00D97576">
      <w:pPr>
        <w:pStyle w:val="TOC2"/>
        <w:rPr>
          <w:rFonts w:asciiTheme="minorHAnsi" w:eastAsiaTheme="minorEastAsia" w:hAnsiTheme="minorHAnsi" w:cstheme="minorBidi"/>
          <w:b w:val="0"/>
          <w:i w:val="0"/>
          <w:kern w:val="2"/>
          <w14:ligatures w14:val="standardContextual"/>
        </w:rPr>
      </w:pPr>
      <w:hyperlink w:anchor="_Toc160780336" w:history="1">
        <w:r w:rsidR="0025089D" w:rsidRPr="00EF0BB1">
          <w:rPr>
            <w:rStyle w:val="Hyperlink"/>
          </w:rPr>
          <w:t>8.1</w:t>
        </w:r>
        <w:r w:rsidR="0025089D">
          <w:rPr>
            <w:rFonts w:asciiTheme="minorHAnsi" w:eastAsiaTheme="minorEastAsia" w:hAnsiTheme="minorHAnsi" w:cstheme="minorBidi"/>
            <w:b w:val="0"/>
            <w:i w:val="0"/>
            <w:kern w:val="2"/>
            <w14:ligatures w14:val="standardContextual"/>
          </w:rPr>
          <w:tab/>
        </w:r>
        <w:r w:rsidR="0025089D" w:rsidRPr="00EF0BB1">
          <w:rPr>
            <w:rStyle w:val="Hyperlink"/>
          </w:rPr>
          <w:t>Journalists’ defence</w:t>
        </w:r>
        <w:r w:rsidR="0025089D">
          <w:rPr>
            <w:webHidden/>
          </w:rPr>
          <w:tab/>
        </w:r>
        <w:r w:rsidR="0025089D">
          <w:rPr>
            <w:webHidden/>
          </w:rPr>
          <w:fldChar w:fldCharType="begin"/>
        </w:r>
        <w:r w:rsidR="0025089D">
          <w:rPr>
            <w:webHidden/>
          </w:rPr>
          <w:instrText xml:space="preserve"> PAGEREF _Toc160780336 \h </w:instrText>
        </w:r>
        <w:r w:rsidR="0025089D">
          <w:rPr>
            <w:webHidden/>
          </w:rPr>
        </w:r>
        <w:r w:rsidR="0025089D">
          <w:rPr>
            <w:webHidden/>
          </w:rPr>
          <w:fldChar w:fldCharType="separate"/>
        </w:r>
        <w:r w:rsidR="0025089D">
          <w:rPr>
            <w:webHidden/>
          </w:rPr>
          <w:t>21</w:t>
        </w:r>
        <w:r w:rsidR="0025089D">
          <w:rPr>
            <w:webHidden/>
          </w:rPr>
          <w:fldChar w:fldCharType="end"/>
        </w:r>
      </w:hyperlink>
    </w:p>
    <w:p w14:paraId="393510F5" w14:textId="29EB26FF" w:rsidR="0025089D" w:rsidRDefault="00D97576">
      <w:pPr>
        <w:pStyle w:val="TOC2"/>
        <w:rPr>
          <w:rFonts w:asciiTheme="minorHAnsi" w:eastAsiaTheme="minorEastAsia" w:hAnsiTheme="minorHAnsi" w:cstheme="minorBidi"/>
          <w:b w:val="0"/>
          <w:i w:val="0"/>
          <w:kern w:val="2"/>
          <w14:ligatures w14:val="standardContextual"/>
        </w:rPr>
      </w:pPr>
      <w:hyperlink w:anchor="_Toc160780337" w:history="1">
        <w:r w:rsidR="0025089D" w:rsidRPr="00EF0BB1">
          <w:rPr>
            <w:rStyle w:val="Hyperlink"/>
            <w:rFonts w:cs="Open Sans"/>
          </w:rPr>
          <w:t>8.2</w:t>
        </w:r>
        <w:r w:rsidR="0025089D">
          <w:rPr>
            <w:rFonts w:asciiTheme="minorHAnsi" w:eastAsiaTheme="minorEastAsia" w:hAnsiTheme="minorHAnsi" w:cstheme="minorBidi"/>
            <w:b w:val="0"/>
            <w:i w:val="0"/>
            <w:kern w:val="2"/>
            <w14:ligatures w14:val="standardContextual"/>
          </w:rPr>
          <w:tab/>
        </w:r>
        <w:r w:rsidR="0025089D" w:rsidRPr="00EF0BB1">
          <w:rPr>
            <w:rStyle w:val="Hyperlink"/>
          </w:rPr>
          <w:t>Reverse onus of proof</w:t>
        </w:r>
        <w:r w:rsidR="0025089D">
          <w:rPr>
            <w:webHidden/>
          </w:rPr>
          <w:tab/>
        </w:r>
        <w:r w:rsidR="0025089D">
          <w:rPr>
            <w:webHidden/>
          </w:rPr>
          <w:fldChar w:fldCharType="begin"/>
        </w:r>
        <w:r w:rsidR="0025089D">
          <w:rPr>
            <w:webHidden/>
          </w:rPr>
          <w:instrText xml:space="preserve"> PAGEREF _Toc160780337 \h </w:instrText>
        </w:r>
        <w:r w:rsidR="0025089D">
          <w:rPr>
            <w:webHidden/>
          </w:rPr>
        </w:r>
        <w:r w:rsidR="0025089D">
          <w:rPr>
            <w:webHidden/>
          </w:rPr>
          <w:fldChar w:fldCharType="separate"/>
        </w:r>
        <w:r w:rsidR="0025089D">
          <w:rPr>
            <w:webHidden/>
          </w:rPr>
          <w:t>23</w:t>
        </w:r>
        <w:r w:rsidR="0025089D">
          <w:rPr>
            <w:webHidden/>
          </w:rPr>
          <w:fldChar w:fldCharType="end"/>
        </w:r>
      </w:hyperlink>
    </w:p>
    <w:p w14:paraId="43D86A5C" w14:textId="3350A646" w:rsidR="0025089D" w:rsidRDefault="00D97576">
      <w:pPr>
        <w:pStyle w:val="TOC2"/>
        <w:rPr>
          <w:rFonts w:asciiTheme="minorHAnsi" w:eastAsiaTheme="minorEastAsia" w:hAnsiTheme="minorHAnsi" w:cstheme="minorBidi"/>
          <w:b w:val="0"/>
          <w:i w:val="0"/>
          <w:kern w:val="2"/>
          <w14:ligatures w14:val="standardContextual"/>
        </w:rPr>
      </w:pPr>
      <w:hyperlink w:anchor="_Toc160780338" w:history="1">
        <w:r w:rsidR="0025089D" w:rsidRPr="00EF0BB1">
          <w:rPr>
            <w:rStyle w:val="Hyperlink"/>
          </w:rPr>
          <w:t>8.3</w:t>
        </w:r>
        <w:r w:rsidR="0025089D">
          <w:rPr>
            <w:rFonts w:asciiTheme="minorHAnsi" w:eastAsiaTheme="minorEastAsia" w:hAnsiTheme="minorHAnsi" w:cstheme="minorBidi"/>
            <w:b w:val="0"/>
            <w:i w:val="0"/>
            <w:kern w:val="2"/>
            <w14:ligatures w14:val="standardContextual"/>
          </w:rPr>
          <w:tab/>
        </w:r>
        <w:r w:rsidR="0025089D" w:rsidRPr="00EF0BB1">
          <w:rPr>
            <w:rStyle w:val="Hyperlink"/>
          </w:rPr>
          <w:t>Other defences</w:t>
        </w:r>
        <w:r w:rsidR="0025089D">
          <w:rPr>
            <w:webHidden/>
          </w:rPr>
          <w:tab/>
        </w:r>
        <w:r w:rsidR="0025089D">
          <w:rPr>
            <w:webHidden/>
          </w:rPr>
          <w:fldChar w:fldCharType="begin"/>
        </w:r>
        <w:r w:rsidR="0025089D">
          <w:rPr>
            <w:webHidden/>
          </w:rPr>
          <w:instrText xml:space="preserve"> PAGEREF _Toc160780338 \h </w:instrText>
        </w:r>
        <w:r w:rsidR="0025089D">
          <w:rPr>
            <w:webHidden/>
          </w:rPr>
        </w:r>
        <w:r w:rsidR="0025089D">
          <w:rPr>
            <w:webHidden/>
          </w:rPr>
          <w:fldChar w:fldCharType="separate"/>
        </w:r>
        <w:r w:rsidR="0025089D">
          <w:rPr>
            <w:webHidden/>
          </w:rPr>
          <w:t>24</w:t>
        </w:r>
        <w:r w:rsidR="0025089D">
          <w:rPr>
            <w:webHidden/>
          </w:rPr>
          <w:fldChar w:fldCharType="end"/>
        </w:r>
      </w:hyperlink>
    </w:p>
    <w:p w14:paraId="60751FB7" w14:textId="484FE40A" w:rsidR="0025089D" w:rsidRDefault="00D97576">
      <w:pPr>
        <w:pStyle w:val="TOC2"/>
        <w:rPr>
          <w:rFonts w:asciiTheme="minorHAnsi" w:eastAsiaTheme="minorEastAsia" w:hAnsiTheme="minorHAnsi" w:cstheme="minorBidi"/>
          <w:b w:val="0"/>
          <w:i w:val="0"/>
          <w:kern w:val="2"/>
          <w14:ligatures w14:val="standardContextual"/>
        </w:rPr>
      </w:pPr>
      <w:hyperlink w:anchor="_Toc160780339" w:history="1">
        <w:r w:rsidR="0025089D" w:rsidRPr="00EF0BB1">
          <w:rPr>
            <w:rStyle w:val="Hyperlink"/>
            <w:rFonts w:cs="Open Sans"/>
          </w:rPr>
          <w:t>8.4</w:t>
        </w:r>
        <w:r w:rsidR="0025089D">
          <w:rPr>
            <w:rFonts w:asciiTheme="minorHAnsi" w:eastAsiaTheme="minorEastAsia" w:hAnsiTheme="minorHAnsi" w:cstheme="minorBidi"/>
            <w:b w:val="0"/>
            <w:i w:val="0"/>
            <w:kern w:val="2"/>
            <w14:ligatures w14:val="standardContextual"/>
          </w:rPr>
          <w:tab/>
        </w:r>
        <w:r w:rsidR="0025089D" w:rsidRPr="00EF0BB1">
          <w:rPr>
            <w:rStyle w:val="Hyperlink"/>
          </w:rPr>
          <w:t>Role of the Attorney-General</w:t>
        </w:r>
        <w:r w:rsidR="0025089D">
          <w:rPr>
            <w:webHidden/>
          </w:rPr>
          <w:tab/>
        </w:r>
        <w:r w:rsidR="0025089D">
          <w:rPr>
            <w:webHidden/>
          </w:rPr>
          <w:fldChar w:fldCharType="begin"/>
        </w:r>
        <w:r w:rsidR="0025089D">
          <w:rPr>
            <w:webHidden/>
          </w:rPr>
          <w:instrText xml:space="preserve"> PAGEREF _Toc160780339 \h </w:instrText>
        </w:r>
        <w:r w:rsidR="0025089D">
          <w:rPr>
            <w:webHidden/>
          </w:rPr>
        </w:r>
        <w:r w:rsidR="0025089D">
          <w:rPr>
            <w:webHidden/>
          </w:rPr>
          <w:fldChar w:fldCharType="separate"/>
        </w:r>
        <w:r w:rsidR="0025089D">
          <w:rPr>
            <w:webHidden/>
          </w:rPr>
          <w:t>25</w:t>
        </w:r>
        <w:r w:rsidR="0025089D">
          <w:rPr>
            <w:webHidden/>
          </w:rPr>
          <w:fldChar w:fldCharType="end"/>
        </w:r>
      </w:hyperlink>
    </w:p>
    <w:p w14:paraId="44472B65" w14:textId="03E9AABC" w:rsidR="00FC7F6F" w:rsidRDefault="000B5B68" w:rsidP="00FC7F6F">
      <w:pPr>
        <w:pStyle w:val="Heading1"/>
        <w:numPr>
          <w:ilvl w:val="0"/>
          <w:numId w:val="0"/>
        </w:numPr>
        <w:ind w:left="851" w:hanging="851"/>
      </w:pPr>
      <w:r w:rsidRPr="000465F1">
        <w:fldChar w:fldCharType="end"/>
      </w:r>
      <w:bookmarkStart w:id="29" w:name="_Toc207761830"/>
      <w:bookmarkStart w:id="30" w:name="_Toc209578266"/>
      <w:bookmarkStart w:id="31" w:name="_Toc209941766"/>
    </w:p>
    <w:p w14:paraId="1356659D" w14:textId="77777777" w:rsidR="0025089D" w:rsidRDefault="0025089D" w:rsidP="0025089D">
      <w:pPr>
        <w:tabs>
          <w:tab w:val="center" w:pos="4535"/>
        </w:tabs>
        <w:spacing w:before="0" w:after="0"/>
        <w:jc w:val="center"/>
      </w:pPr>
    </w:p>
    <w:p w14:paraId="59788960" w14:textId="298C9293" w:rsidR="00FC7F6F" w:rsidRDefault="00FC7F6F" w:rsidP="0025089D">
      <w:pPr>
        <w:tabs>
          <w:tab w:val="center" w:pos="4535"/>
        </w:tabs>
        <w:spacing w:before="0" w:after="0"/>
      </w:pPr>
    </w:p>
    <w:p w14:paraId="75346A87" w14:textId="77777777" w:rsidR="00B57F7C" w:rsidRDefault="00B57F7C" w:rsidP="0025089D">
      <w:pPr>
        <w:tabs>
          <w:tab w:val="center" w:pos="4535"/>
        </w:tabs>
        <w:spacing w:before="0" w:after="0"/>
      </w:pPr>
    </w:p>
    <w:p w14:paraId="3E21768F" w14:textId="77777777" w:rsidR="00B57F7C" w:rsidRDefault="00B57F7C" w:rsidP="0025089D">
      <w:pPr>
        <w:tabs>
          <w:tab w:val="center" w:pos="4535"/>
        </w:tabs>
        <w:spacing w:before="0" w:after="0"/>
      </w:pPr>
    </w:p>
    <w:p w14:paraId="288C551C" w14:textId="77777777" w:rsidR="00B57F7C" w:rsidRDefault="00B57F7C" w:rsidP="0025089D">
      <w:pPr>
        <w:tabs>
          <w:tab w:val="center" w:pos="4535"/>
        </w:tabs>
        <w:spacing w:before="0" w:after="0"/>
      </w:pPr>
    </w:p>
    <w:p w14:paraId="6BF3211F" w14:textId="77777777" w:rsidR="00B57F7C" w:rsidRDefault="00B57F7C" w:rsidP="0025089D">
      <w:pPr>
        <w:tabs>
          <w:tab w:val="center" w:pos="4535"/>
        </w:tabs>
        <w:spacing w:before="0" w:after="0"/>
      </w:pPr>
    </w:p>
    <w:p w14:paraId="0F8586CB" w14:textId="77777777" w:rsidR="00B57F7C" w:rsidRDefault="00B57F7C" w:rsidP="0025089D">
      <w:pPr>
        <w:tabs>
          <w:tab w:val="center" w:pos="4535"/>
        </w:tabs>
        <w:spacing w:before="0" w:after="0"/>
      </w:pPr>
    </w:p>
    <w:p w14:paraId="03E1F796" w14:textId="77777777" w:rsidR="00B57F7C" w:rsidRDefault="00B57F7C" w:rsidP="0025089D">
      <w:pPr>
        <w:tabs>
          <w:tab w:val="center" w:pos="4535"/>
        </w:tabs>
        <w:spacing w:before="0" w:after="0"/>
        <w:rPr>
          <w:b/>
          <w:bCs/>
          <w:sz w:val="36"/>
          <w:szCs w:val="28"/>
        </w:rPr>
      </w:pPr>
    </w:p>
    <w:p w14:paraId="609D9B5E" w14:textId="1619E907" w:rsidR="00650E4A" w:rsidRDefault="009F2764" w:rsidP="00D03DFE">
      <w:pPr>
        <w:pStyle w:val="Heading1"/>
        <w:tabs>
          <w:tab w:val="clear" w:pos="851"/>
          <w:tab w:val="num" w:pos="2371"/>
        </w:tabs>
      </w:pPr>
      <w:bookmarkStart w:id="32" w:name="_Toc160780321"/>
      <w:r w:rsidRPr="009E08D1">
        <w:lastRenderedPageBreak/>
        <w:t>Introduction</w:t>
      </w:r>
      <w:bookmarkEnd w:id="29"/>
      <w:bookmarkEnd w:id="30"/>
      <w:bookmarkEnd w:id="31"/>
      <w:bookmarkEnd w:id="32"/>
    </w:p>
    <w:p w14:paraId="301BA8C1" w14:textId="6CB04DB9" w:rsidR="00D03DFE" w:rsidRDefault="00D03DFE" w:rsidP="00D44375">
      <w:pPr>
        <w:pStyle w:val="ListNumber"/>
        <w:tabs>
          <w:tab w:val="clear" w:pos="360"/>
        </w:tabs>
        <w:ind w:left="1094" w:hanging="737"/>
        <w:rPr>
          <w:rFonts w:cs="Open Sans"/>
        </w:rPr>
      </w:pPr>
      <w:r>
        <w:rPr>
          <w:rFonts w:cs="Open Sans"/>
        </w:rPr>
        <w:t xml:space="preserve">The Australian Human Rights </w:t>
      </w:r>
      <w:r>
        <w:t xml:space="preserve">Commission (Commission) makes this submission to the Independent National Security Legislation Monitor (INSLM) in relation to </w:t>
      </w:r>
      <w:r w:rsidRPr="000B08CA">
        <w:t xml:space="preserve">its </w:t>
      </w:r>
      <w:r w:rsidRPr="00F53D6D">
        <w:rPr>
          <w:i/>
          <w:iCs/>
        </w:rPr>
        <w:t xml:space="preserve">Review </w:t>
      </w:r>
      <w:r>
        <w:rPr>
          <w:i/>
          <w:iCs/>
        </w:rPr>
        <w:t>of Secrecy Offences in Part 5.6 of the Criminal Code 1995.</w:t>
      </w:r>
    </w:p>
    <w:p w14:paraId="79738751" w14:textId="2CB723FE" w:rsidR="00A756A8" w:rsidRPr="00A756A8" w:rsidRDefault="0073271A" w:rsidP="00BA2CD2">
      <w:pPr>
        <w:pStyle w:val="ListNumber"/>
        <w:tabs>
          <w:tab w:val="clear" w:pos="360"/>
        </w:tabs>
        <w:ind w:left="1094" w:hanging="737"/>
        <w:rPr>
          <w:rFonts w:cs="Open Sans"/>
        </w:rPr>
      </w:pPr>
      <w:r w:rsidRPr="004C1E44">
        <w:rPr>
          <w:rFonts w:cs="Open Sans"/>
        </w:rPr>
        <w:t xml:space="preserve">The INSLM </w:t>
      </w:r>
      <w:r w:rsidR="00070F74" w:rsidRPr="004C1E44">
        <w:rPr>
          <w:rFonts w:cs="Open Sans"/>
        </w:rPr>
        <w:t>is required to conduct</w:t>
      </w:r>
      <w:r w:rsidR="002630BC">
        <w:rPr>
          <w:rFonts w:cs="Open Sans"/>
        </w:rPr>
        <w:t xml:space="preserve"> </w:t>
      </w:r>
      <w:r w:rsidR="00A756A8">
        <w:rPr>
          <w:rFonts w:cs="Open Sans"/>
        </w:rPr>
        <w:t xml:space="preserve">its review </w:t>
      </w:r>
      <w:r w:rsidR="00A756A8" w:rsidRPr="004C1E44">
        <w:rPr>
          <w:rFonts w:cs="Open Sans"/>
        </w:rPr>
        <w:t xml:space="preserve">pursuant to s 6(1B)(c) of the </w:t>
      </w:r>
      <w:r w:rsidR="00A756A8" w:rsidRPr="000A7113">
        <w:rPr>
          <w:rFonts w:cs="Open Sans"/>
          <w:i/>
          <w:iCs/>
        </w:rPr>
        <w:t>I</w:t>
      </w:r>
      <w:r w:rsidR="00A756A8" w:rsidRPr="00FF1DC9">
        <w:rPr>
          <w:rFonts w:cs="Open Sans"/>
          <w:i/>
          <w:iCs/>
        </w:rPr>
        <w:t>ndependent National Security Legislation Monitor Act 2010</w:t>
      </w:r>
      <w:r w:rsidR="00FF1DC9">
        <w:rPr>
          <w:rFonts w:cs="Open Sans"/>
        </w:rPr>
        <w:t xml:space="preserve"> (Cth)</w:t>
      </w:r>
      <w:r w:rsidR="00D132D0" w:rsidRPr="00FF1DC9">
        <w:rPr>
          <w:rFonts w:cs="Open Sans"/>
        </w:rPr>
        <w:t>.</w:t>
      </w:r>
      <w:r w:rsidR="00A756A8" w:rsidRPr="00FF2E8F">
        <w:rPr>
          <w:rFonts w:cs="Open Sans"/>
          <w:shd w:val="clear" w:color="auto" w:fill="F3F3F3"/>
        </w:rPr>
        <w:t xml:space="preserve"> </w:t>
      </w:r>
    </w:p>
    <w:p w14:paraId="618B06BA" w14:textId="7A798925" w:rsidR="00771DE1" w:rsidRPr="007D7AC5" w:rsidRDefault="00EE3A21" w:rsidP="007D7AC5">
      <w:pPr>
        <w:pStyle w:val="ListNumber"/>
        <w:tabs>
          <w:tab w:val="clear" w:pos="360"/>
        </w:tabs>
        <w:ind w:left="1094" w:hanging="737"/>
        <w:rPr>
          <w:rFonts w:cs="Open Sans"/>
        </w:rPr>
      </w:pPr>
      <w:r>
        <w:rPr>
          <w:rFonts w:cs="Open Sans"/>
        </w:rPr>
        <w:t xml:space="preserve">The secrecy offences were introduced into </w:t>
      </w:r>
      <w:r w:rsidR="000E1243">
        <w:rPr>
          <w:rFonts w:cs="Open Sans"/>
        </w:rPr>
        <w:t xml:space="preserve">Schedule 2 of </w:t>
      </w:r>
      <w:r>
        <w:rPr>
          <w:rFonts w:cs="Open Sans"/>
        </w:rPr>
        <w:t xml:space="preserve">the </w:t>
      </w:r>
      <w:r w:rsidRPr="005428DC">
        <w:rPr>
          <w:rFonts w:cs="Open Sans"/>
          <w:i/>
          <w:iCs/>
        </w:rPr>
        <w:t>Criminal Code</w:t>
      </w:r>
      <w:r w:rsidR="00367974" w:rsidRPr="005428DC">
        <w:rPr>
          <w:rFonts w:cs="Open Sans"/>
          <w:i/>
          <w:iCs/>
        </w:rPr>
        <w:t xml:space="preserve"> Act 1995</w:t>
      </w:r>
      <w:r w:rsidR="00367974">
        <w:rPr>
          <w:rFonts w:cs="Open Sans"/>
        </w:rPr>
        <w:t xml:space="preserve"> </w:t>
      </w:r>
      <w:r w:rsidR="009674CE">
        <w:rPr>
          <w:rFonts w:cs="Open Sans"/>
        </w:rPr>
        <w:t xml:space="preserve">(Cth) </w:t>
      </w:r>
      <w:r w:rsidR="00367974">
        <w:rPr>
          <w:rFonts w:cs="Open Sans"/>
        </w:rPr>
        <w:t>(Criminal Code)</w:t>
      </w:r>
      <w:r w:rsidR="00A147B2">
        <w:rPr>
          <w:rFonts w:cs="Open Sans"/>
        </w:rPr>
        <w:t xml:space="preserve">, following </w:t>
      </w:r>
      <w:r w:rsidR="000E1243">
        <w:rPr>
          <w:rFonts w:cs="Open Sans"/>
        </w:rPr>
        <w:t xml:space="preserve">the </w:t>
      </w:r>
      <w:r w:rsidR="00EA21E1">
        <w:rPr>
          <w:rFonts w:cs="Open Sans"/>
        </w:rPr>
        <w:t>passing</w:t>
      </w:r>
      <w:r w:rsidR="00A20165">
        <w:rPr>
          <w:rFonts w:cs="Open Sans"/>
        </w:rPr>
        <w:t xml:space="preserve"> of the</w:t>
      </w:r>
      <w:r w:rsidR="000E1243">
        <w:rPr>
          <w:rFonts w:cs="Open Sans"/>
        </w:rPr>
        <w:t xml:space="preserve"> </w:t>
      </w:r>
      <w:r w:rsidR="00A20165" w:rsidRPr="00480CEE">
        <w:rPr>
          <w:rFonts w:cs="Open Sans"/>
          <w:i/>
          <w:iCs/>
        </w:rPr>
        <w:t>National Security Legislation Amendment (Espionage and Foreign Interference) Act 2018</w:t>
      </w:r>
      <w:r w:rsidR="000E1243">
        <w:rPr>
          <w:rFonts w:cs="Open Sans"/>
        </w:rPr>
        <w:t xml:space="preserve"> </w:t>
      </w:r>
      <w:r w:rsidR="00675A50">
        <w:rPr>
          <w:rFonts w:cs="Open Sans"/>
        </w:rPr>
        <w:t xml:space="preserve">(Cth) </w:t>
      </w:r>
      <w:r w:rsidR="00EB27EE">
        <w:rPr>
          <w:rFonts w:cs="Open Sans"/>
        </w:rPr>
        <w:t xml:space="preserve">(EFI Act) </w:t>
      </w:r>
      <w:r w:rsidR="00784DE6">
        <w:rPr>
          <w:rFonts w:cs="Open Sans"/>
        </w:rPr>
        <w:t>by Parli</w:t>
      </w:r>
      <w:r w:rsidR="00EB27EE">
        <w:rPr>
          <w:rFonts w:cs="Open Sans"/>
        </w:rPr>
        <w:t xml:space="preserve">ament </w:t>
      </w:r>
      <w:r w:rsidR="000E1243">
        <w:rPr>
          <w:rFonts w:cs="Open Sans"/>
        </w:rPr>
        <w:t>o</w:t>
      </w:r>
      <w:r w:rsidR="002C5C95">
        <w:rPr>
          <w:rFonts w:cs="Open Sans"/>
        </w:rPr>
        <w:t>n 28 June 2018.</w:t>
      </w:r>
      <w:r w:rsidR="00504661">
        <w:rPr>
          <w:rFonts w:cs="Open Sans"/>
        </w:rPr>
        <w:t xml:space="preserve"> </w:t>
      </w:r>
      <w:r w:rsidR="00053607">
        <w:rPr>
          <w:rFonts w:cs="Open Sans"/>
        </w:rPr>
        <w:t xml:space="preserve">They have now been in force for 5 years. </w:t>
      </w:r>
    </w:p>
    <w:p w14:paraId="3C576640" w14:textId="1E1C9B14" w:rsidR="00771DE1" w:rsidRDefault="003300CA" w:rsidP="00771DE1">
      <w:pPr>
        <w:pStyle w:val="ListNumber"/>
        <w:tabs>
          <w:tab w:val="clear" w:pos="360"/>
        </w:tabs>
        <w:ind w:left="1094" w:hanging="737"/>
        <w:rPr>
          <w:rFonts w:cs="Open Sans"/>
        </w:rPr>
      </w:pPr>
      <w:r>
        <w:rPr>
          <w:rFonts w:cs="Open Sans"/>
        </w:rPr>
        <w:t xml:space="preserve">As noted in the INSLM’s Issues Paper to this review, </w:t>
      </w:r>
      <w:r w:rsidR="00771DE1">
        <w:rPr>
          <w:rFonts w:cs="Open Sans"/>
        </w:rPr>
        <w:t xml:space="preserve">there have been several previous independent, parliamentary and government reviews that have considered the Commonwealth secrecy provisions, including </w:t>
      </w:r>
      <w:r>
        <w:rPr>
          <w:rFonts w:cs="Open Sans"/>
        </w:rPr>
        <w:t>the A</w:t>
      </w:r>
      <w:r w:rsidR="0038778B">
        <w:rPr>
          <w:rFonts w:cs="Open Sans"/>
        </w:rPr>
        <w:t xml:space="preserve">ustralian Law Reform Commission’s </w:t>
      </w:r>
      <w:r>
        <w:rPr>
          <w:rFonts w:cs="Open Sans"/>
        </w:rPr>
        <w:t xml:space="preserve">2009 report </w:t>
      </w:r>
      <w:r w:rsidR="00067499" w:rsidRPr="00067499">
        <w:rPr>
          <w:rFonts w:cs="Open Sans"/>
          <w:i/>
          <w:iCs/>
        </w:rPr>
        <w:t>Secrecy Laws and Open Government in Australia</w:t>
      </w:r>
      <w:r w:rsidR="00B115C6">
        <w:rPr>
          <w:rFonts w:cs="Open Sans"/>
          <w:i/>
          <w:iCs/>
        </w:rPr>
        <w:t xml:space="preserve"> </w:t>
      </w:r>
      <w:r w:rsidR="00B115C6" w:rsidRPr="00175160">
        <w:rPr>
          <w:rFonts w:cs="Open Sans"/>
        </w:rPr>
        <w:t xml:space="preserve">(ALRC 2009 </w:t>
      </w:r>
      <w:r w:rsidR="00482C7B">
        <w:rPr>
          <w:rFonts w:cs="Open Sans"/>
        </w:rPr>
        <w:t>Secrecy Laws R</w:t>
      </w:r>
      <w:r w:rsidR="00B115C6" w:rsidRPr="00175160">
        <w:rPr>
          <w:rFonts w:cs="Open Sans"/>
        </w:rPr>
        <w:t>eport)</w:t>
      </w:r>
      <w:r w:rsidR="00972579">
        <w:rPr>
          <w:rFonts w:cs="Open Sans"/>
          <w:i/>
          <w:iCs/>
        </w:rPr>
        <w:t>,</w:t>
      </w:r>
      <w:r w:rsidR="009E1AA6">
        <w:rPr>
          <w:rStyle w:val="EndnoteReference"/>
          <w:rFonts w:cs="Open Sans"/>
        </w:rPr>
        <w:endnoteReference w:id="2"/>
      </w:r>
      <w:r w:rsidR="002A3172" w:rsidRPr="00175160">
        <w:rPr>
          <w:rFonts w:cs="Open Sans"/>
        </w:rPr>
        <w:t xml:space="preserve"> </w:t>
      </w:r>
      <w:r w:rsidR="002A3172">
        <w:rPr>
          <w:rFonts w:cs="Open Sans"/>
        </w:rPr>
        <w:t xml:space="preserve">and the more recent Attorney General Department’s </w:t>
      </w:r>
      <w:r w:rsidR="00A258A2">
        <w:rPr>
          <w:rFonts w:cs="Open Sans"/>
        </w:rPr>
        <w:t xml:space="preserve">2023 </w:t>
      </w:r>
      <w:r w:rsidR="00106FFC">
        <w:rPr>
          <w:rFonts w:cs="Open Sans"/>
        </w:rPr>
        <w:t xml:space="preserve">final report </w:t>
      </w:r>
      <w:r w:rsidR="00106FFC" w:rsidRPr="00106FFC">
        <w:rPr>
          <w:rFonts w:cs="Open Sans"/>
          <w:i/>
          <w:iCs/>
        </w:rPr>
        <w:t>Review of Secrecy Provisions</w:t>
      </w:r>
      <w:r w:rsidR="00B115C6">
        <w:rPr>
          <w:rFonts w:cs="Open Sans"/>
          <w:i/>
          <w:iCs/>
        </w:rPr>
        <w:t xml:space="preserve"> </w:t>
      </w:r>
      <w:r w:rsidR="00B115C6" w:rsidRPr="00B115C6">
        <w:rPr>
          <w:rFonts w:cs="Open Sans"/>
        </w:rPr>
        <w:t>(AG</w:t>
      </w:r>
      <w:r w:rsidR="00FA19A8">
        <w:rPr>
          <w:rFonts w:cs="Open Sans"/>
        </w:rPr>
        <w:t>D</w:t>
      </w:r>
      <w:r w:rsidR="00B115C6" w:rsidRPr="00B115C6">
        <w:rPr>
          <w:rFonts w:cs="Open Sans"/>
        </w:rPr>
        <w:t xml:space="preserve"> </w:t>
      </w:r>
      <w:r w:rsidR="00016DA8">
        <w:rPr>
          <w:rFonts w:cs="Open Sans"/>
        </w:rPr>
        <w:t>secrecy review</w:t>
      </w:r>
      <w:r w:rsidR="00B115C6">
        <w:rPr>
          <w:rFonts w:cs="Open Sans"/>
        </w:rPr>
        <w:t>)</w:t>
      </w:r>
      <w:r w:rsidR="00106FFC">
        <w:rPr>
          <w:rFonts w:cs="Open Sans"/>
        </w:rPr>
        <w:t>.</w:t>
      </w:r>
      <w:r w:rsidR="00AC014E">
        <w:rPr>
          <w:rStyle w:val="EndnoteReference"/>
          <w:rFonts w:cs="Open Sans"/>
        </w:rPr>
        <w:endnoteReference w:id="3"/>
      </w:r>
      <w:r w:rsidR="00106FFC">
        <w:rPr>
          <w:rFonts w:cs="Open Sans"/>
        </w:rPr>
        <w:t xml:space="preserve"> </w:t>
      </w:r>
      <w:r>
        <w:rPr>
          <w:rFonts w:cs="Open Sans"/>
        </w:rPr>
        <w:t xml:space="preserve"> </w:t>
      </w:r>
    </w:p>
    <w:p w14:paraId="12B518B0" w14:textId="5EA74D8F" w:rsidR="00B0791F" w:rsidRDefault="00B0791F" w:rsidP="00771DE1">
      <w:pPr>
        <w:pStyle w:val="ListNumber"/>
        <w:tabs>
          <w:tab w:val="clear" w:pos="360"/>
        </w:tabs>
        <w:ind w:left="1094" w:hanging="737"/>
        <w:rPr>
          <w:rFonts w:cs="Open Sans"/>
        </w:rPr>
      </w:pPr>
      <w:r>
        <w:rPr>
          <w:rFonts w:cs="Open Sans"/>
        </w:rPr>
        <w:t xml:space="preserve">In general, the Commission </w:t>
      </w:r>
      <w:r w:rsidR="00E26617">
        <w:rPr>
          <w:rFonts w:cs="Open Sans"/>
        </w:rPr>
        <w:t xml:space="preserve">supports the </w:t>
      </w:r>
      <w:r w:rsidR="00470869">
        <w:rPr>
          <w:rFonts w:cs="Open Sans"/>
        </w:rPr>
        <w:t xml:space="preserve">framing of general secrecy offences </w:t>
      </w:r>
      <w:r w:rsidR="006B1C47">
        <w:rPr>
          <w:rFonts w:cs="Open Sans"/>
        </w:rPr>
        <w:t>in</w:t>
      </w:r>
      <w:r w:rsidR="00F327CC">
        <w:rPr>
          <w:rFonts w:cs="Open Sans"/>
        </w:rPr>
        <w:t xml:space="preserve"> Commonwealth legislation </w:t>
      </w:r>
      <w:r w:rsidR="00E26617">
        <w:rPr>
          <w:rFonts w:cs="Open Sans"/>
        </w:rPr>
        <w:t>consistent with the</w:t>
      </w:r>
      <w:r w:rsidR="00F327CC">
        <w:rPr>
          <w:rFonts w:cs="Open Sans"/>
        </w:rPr>
        <w:t xml:space="preserve"> principles outlined in the</w:t>
      </w:r>
      <w:r w:rsidR="00E26617">
        <w:rPr>
          <w:rFonts w:cs="Open Sans"/>
        </w:rPr>
        <w:t xml:space="preserve"> ALRC 2009 Secrecy Laws Report. </w:t>
      </w:r>
    </w:p>
    <w:p w14:paraId="25F17B09" w14:textId="73C9382D" w:rsidR="00216BE5" w:rsidRPr="00052245" w:rsidRDefault="00924460" w:rsidP="00216BE5">
      <w:pPr>
        <w:pStyle w:val="ListNumber"/>
        <w:tabs>
          <w:tab w:val="clear" w:pos="360"/>
        </w:tabs>
        <w:ind w:left="1094" w:hanging="737"/>
        <w:rPr>
          <w:rFonts w:cs="Open Sans"/>
        </w:rPr>
      </w:pPr>
      <w:r w:rsidRPr="007D7AC5">
        <w:rPr>
          <w:rFonts w:cs="Open Sans"/>
        </w:rPr>
        <w:t xml:space="preserve">The Commission </w:t>
      </w:r>
      <w:r w:rsidR="00D244AB">
        <w:rPr>
          <w:rFonts w:cs="Open Sans"/>
        </w:rPr>
        <w:t xml:space="preserve">has </w:t>
      </w:r>
      <w:r w:rsidRPr="007D7AC5">
        <w:rPr>
          <w:rFonts w:cs="Open Sans"/>
        </w:rPr>
        <w:t>previously provided a brief submission in relation to the proposed provisions of the EFI Act.</w:t>
      </w:r>
      <w:r w:rsidR="008F299A">
        <w:rPr>
          <w:rStyle w:val="EndnoteReference"/>
          <w:rFonts w:cs="Open Sans"/>
        </w:rPr>
        <w:endnoteReference w:id="4"/>
      </w:r>
      <w:r w:rsidRPr="007D7AC5">
        <w:rPr>
          <w:rFonts w:cs="Open Sans"/>
        </w:rPr>
        <w:t xml:space="preserve"> </w:t>
      </w:r>
      <w:r w:rsidR="00216BE5" w:rsidRPr="00684132">
        <w:t xml:space="preserve">This submission focuses on a selection of issues contained in the INSLM’s Issues Paper concerning the </w:t>
      </w:r>
      <w:r w:rsidR="006F273E">
        <w:t>current</w:t>
      </w:r>
      <w:r w:rsidR="00F02652">
        <w:t xml:space="preserve"> </w:t>
      </w:r>
      <w:r w:rsidR="00216BE5" w:rsidRPr="00684132">
        <w:t xml:space="preserve">secrecy provisions, to the extent that those provisions are consistent with Australia’s international obligations under the </w:t>
      </w:r>
      <w:r w:rsidR="00216BE5" w:rsidRPr="000F0628">
        <w:rPr>
          <w:i/>
          <w:iCs/>
        </w:rPr>
        <w:t>I</w:t>
      </w:r>
      <w:r w:rsidR="00B25A57" w:rsidRPr="000F0628">
        <w:rPr>
          <w:i/>
          <w:iCs/>
        </w:rPr>
        <w:t>nternation</w:t>
      </w:r>
      <w:r w:rsidR="000F0628" w:rsidRPr="000F0628">
        <w:rPr>
          <w:i/>
          <w:iCs/>
        </w:rPr>
        <w:t>al</w:t>
      </w:r>
      <w:r w:rsidR="00B25A57" w:rsidRPr="000F0628">
        <w:rPr>
          <w:i/>
          <w:iCs/>
        </w:rPr>
        <w:t xml:space="preserve"> </w:t>
      </w:r>
      <w:r w:rsidR="00216BE5" w:rsidRPr="000F0628">
        <w:rPr>
          <w:i/>
          <w:iCs/>
        </w:rPr>
        <w:t>C</w:t>
      </w:r>
      <w:r w:rsidR="00B25A57" w:rsidRPr="000F0628">
        <w:rPr>
          <w:i/>
          <w:iCs/>
        </w:rPr>
        <w:t xml:space="preserve">ovenant on </w:t>
      </w:r>
      <w:r w:rsidR="00216BE5" w:rsidRPr="000F0628">
        <w:rPr>
          <w:i/>
          <w:iCs/>
        </w:rPr>
        <w:t>C</w:t>
      </w:r>
      <w:r w:rsidR="00B25A57" w:rsidRPr="000F0628">
        <w:rPr>
          <w:i/>
          <w:iCs/>
        </w:rPr>
        <w:t xml:space="preserve">ivil and </w:t>
      </w:r>
      <w:r w:rsidR="00216BE5" w:rsidRPr="000F0628">
        <w:rPr>
          <w:i/>
          <w:iCs/>
        </w:rPr>
        <w:t>P</w:t>
      </w:r>
      <w:r w:rsidR="009D47B3" w:rsidRPr="000F0628">
        <w:rPr>
          <w:i/>
          <w:iCs/>
        </w:rPr>
        <w:t xml:space="preserve">olitical </w:t>
      </w:r>
      <w:r w:rsidR="00216BE5" w:rsidRPr="000F0628">
        <w:rPr>
          <w:i/>
          <w:iCs/>
        </w:rPr>
        <w:t>R</w:t>
      </w:r>
      <w:r w:rsidR="009D47B3" w:rsidRPr="000F0628">
        <w:rPr>
          <w:i/>
          <w:iCs/>
        </w:rPr>
        <w:t>ights</w:t>
      </w:r>
      <w:r w:rsidR="00A43765">
        <w:rPr>
          <w:i/>
          <w:iCs/>
        </w:rPr>
        <w:t xml:space="preserve"> </w:t>
      </w:r>
      <w:r w:rsidR="00A43765" w:rsidRPr="00A43765">
        <w:t>(ICCPR)</w:t>
      </w:r>
      <w:r w:rsidR="00216BE5" w:rsidRPr="00A43765">
        <w:t>.</w:t>
      </w:r>
      <w:r w:rsidR="000F0628" w:rsidRPr="00A43765">
        <w:rPr>
          <w:rStyle w:val="EndnoteReference"/>
        </w:rPr>
        <w:endnoteReference w:id="5"/>
      </w:r>
    </w:p>
    <w:p w14:paraId="58E42638" w14:textId="24CE4D85" w:rsidR="00BA2CD2" w:rsidRPr="00BA2CD2" w:rsidRDefault="00BA2CD2" w:rsidP="00BA2CD2">
      <w:pPr>
        <w:pStyle w:val="Heading1"/>
      </w:pPr>
      <w:bookmarkStart w:id="33" w:name="_Toc160780322"/>
      <w:r>
        <w:t>Summary</w:t>
      </w:r>
      <w:bookmarkEnd w:id="33"/>
      <w:r>
        <w:t xml:space="preserve"> </w:t>
      </w:r>
    </w:p>
    <w:p w14:paraId="3332ED9F" w14:textId="12A64A69" w:rsidR="004C4014" w:rsidRPr="00684132" w:rsidRDefault="00BA2CD2" w:rsidP="00DA20AE">
      <w:pPr>
        <w:pStyle w:val="ListNumber"/>
        <w:tabs>
          <w:tab w:val="clear" w:pos="360"/>
        </w:tabs>
        <w:ind w:left="1094" w:hanging="737"/>
      </w:pPr>
      <w:r w:rsidRPr="00684132">
        <w:t>The Commission acknowledges th</w:t>
      </w:r>
      <w:r w:rsidR="0067241B" w:rsidRPr="00684132">
        <w:t>at secrecy offences</w:t>
      </w:r>
      <w:r w:rsidR="000476E3">
        <w:t xml:space="preserve"> </w:t>
      </w:r>
      <w:r w:rsidR="008B6B2B" w:rsidRPr="00684132">
        <w:t xml:space="preserve">have a </w:t>
      </w:r>
      <w:r w:rsidR="002A0FBB" w:rsidRPr="00684132">
        <w:t>legitimate</w:t>
      </w:r>
      <w:r w:rsidR="007E5979" w:rsidRPr="00684132">
        <w:t xml:space="preserve"> </w:t>
      </w:r>
      <w:r w:rsidR="00C33B7F" w:rsidRPr="00684132">
        <w:t>role to play</w:t>
      </w:r>
      <w:r w:rsidR="00464754" w:rsidRPr="00464754">
        <w:t xml:space="preserve"> </w:t>
      </w:r>
      <w:r w:rsidR="00464754">
        <w:t>where the unauthorised disclosure of Commonwealth information may cause harm to essential public interests, such as national security and the safety of the public</w:t>
      </w:r>
      <w:r w:rsidR="0036439C">
        <w:t xml:space="preserve">. </w:t>
      </w:r>
    </w:p>
    <w:p w14:paraId="699A69E3" w14:textId="342FF627" w:rsidR="00BA2CD2" w:rsidRPr="00684132" w:rsidRDefault="00095584" w:rsidP="00686B76">
      <w:pPr>
        <w:pStyle w:val="ListNumber"/>
        <w:tabs>
          <w:tab w:val="clear" w:pos="360"/>
        </w:tabs>
        <w:ind w:left="1094" w:hanging="737"/>
      </w:pPr>
      <w:r w:rsidRPr="00684132">
        <w:t>The Commission considers</w:t>
      </w:r>
      <w:r w:rsidR="00FA1E23">
        <w:t>,</w:t>
      </w:r>
      <w:r w:rsidRPr="00684132">
        <w:t xml:space="preserve"> however</w:t>
      </w:r>
      <w:r w:rsidR="00FA1E23">
        <w:t>,</w:t>
      </w:r>
      <w:r w:rsidRPr="00684132">
        <w:t xml:space="preserve"> that secrecy provisions should only reflect what </w:t>
      </w:r>
      <w:r w:rsidR="003E0876" w:rsidRPr="00684132">
        <w:t>is</w:t>
      </w:r>
      <w:r w:rsidRPr="00684132">
        <w:t xml:space="preserve"> necessary and proportionate to achieve their objective and </w:t>
      </w:r>
      <w:r w:rsidR="00EB402C">
        <w:t>be</w:t>
      </w:r>
      <w:r w:rsidRPr="00684132">
        <w:t xml:space="preserve"> consistent with Australia’s international obligations</w:t>
      </w:r>
      <w:r w:rsidR="003E0876" w:rsidRPr="00684132">
        <w:t xml:space="preserve"> under the ICCPR.</w:t>
      </w:r>
      <w:r w:rsidR="00686B76" w:rsidRPr="00684132">
        <w:t xml:space="preserve"> </w:t>
      </w:r>
      <w:r w:rsidR="004C4014" w:rsidRPr="00684132">
        <w:t>Specifically, the Commission is concerned that the secrecy provisions</w:t>
      </w:r>
      <w:r w:rsidR="008808E8">
        <w:t xml:space="preserve"> in Part 5.6 </w:t>
      </w:r>
      <w:r w:rsidR="00A10661">
        <w:t xml:space="preserve">of the Criminal Code </w:t>
      </w:r>
      <w:r w:rsidR="004C4014" w:rsidRPr="00684132">
        <w:t>may limit the right to freedom of expression</w:t>
      </w:r>
      <w:r w:rsidR="005C3B50" w:rsidRPr="005C3B50">
        <w:t xml:space="preserve"> </w:t>
      </w:r>
      <w:r w:rsidR="005C3B50" w:rsidRPr="00684132">
        <w:t xml:space="preserve">in </w:t>
      </w:r>
      <w:r w:rsidR="00114D78">
        <w:t>a</w:t>
      </w:r>
      <w:r w:rsidR="005C3B50" w:rsidRPr="00684132">
        <w:t>rticle 19 of the ICCPR</w:t>
      </w:r>
      <w:r w:rsidR="00C32A51">
        <w:t>, which includes the right to impart information,</w:t>
      </w:r>
      <w:r w:rsidR="0010015C" w:rsidRPr="00684132">
        <w:t xml:space="preserve"> </w:t>
      </w:r>
      <w:r w:rsidR="004C4014" w:rsidRPr="00684132">
        <w:t>to a degree that has not been demonstrated to be necessary and proportionate to a legitimate objective.</w:t>
      </w:r>
      <w:r w:rsidR="00BA2CD2" w:rsidRPr="00684132">
        <w:t xml:space="preserve"> </w:t>
      </w:r>
    </w:p>
    <w:p w14:paraId="06793D9A" w14:textId="4D8DC405" w:rsidR="008321D1" w:rsidRPr="001B0CCA" w:rsidRDefault="00D93C1B" w:rsidP="00684132">
      <w:pPr>
        <w:pStyle w:val="ListNumber"/>
        <w:tabs>
          <w:tab w:val="clear" w:pos="360"/>
        </w:tabs>
        <w:ind w:left="1094" w:hanging="737"/>
        <w:rPr>
          <w:rFonts w:cs="Open Sans"/>
        </w:rPr>
      </w:pPr>
      <w:r>
        <w:rPr>
          <w:rFonts w:cs="Open Sans"/>
          <w:shd w:val="clear" w:color="auto" w:fill="FFFFFF"/>
        </w:rPr>
        <w:t xml:space="preserve">While the exercise of the right to freedom of expression is </w:t>
      </w:r>
      <w:r w:rsidR="008321D1" w:rsidRPr="00684132">
        <w:rPr>
          <w:rFonts w:cs="Open Sans"/>
          <w:shd w:val="clear" w:color="auto" w:fill="FFFFFF"/>
        </w:rPr>
        <w:t xml:space="preserve">subject to certain restrictions, as set out in </w:t>
      </w:r>
      <w:r w:rsidR="00114D78">
        <w:rPr>
          <w:rFonts w:cs="Open Sans"/>
          <w:shd w:val="clear" w:color="auto" w:fill="FFFFFF"/>
        </w:rPr>
        <w:t>a</w:t>
      </w:r>
      <w:r w:rsidR="008321D1" w:rsidRPr="00684132">
        <w:rPr>
          <w:rFonts w:cs="Open Sans"/>
          <w:shd w:val="clear" w:color="auto" w:fill="FFFFFF"/>
        </w:rPr>
        <w:t>rticle 19</w:t>
      </w:r>
      <w:r w:rsidR="008C7F22">
        <w:rPr>
          <w:rFonts w:cs="Open Sans"/>
          <w:shd w:val="clear" w:color="auto" w:fill="FFFFFF"/>
        </w:rPr>
        <w:t>(</w:t>
      </w:r>
      <w:r w:rsidR="008321D1" w:rsidRPr="00684132">
        <w:rPr>
          <w:rFonts w:cs="Open Sans"/>
          <w:shd w:val="clear" w:color="auto" w:fill="FFFFFF"/>
        </w:rPr>
        <w:t>3</w:t>
      </w:r>
      <w:r w:rsidR="008C7F22">
        <w:rPr>
          <w:rFonts w:cs="Open Sans"/>
          <w:shd w:val="clear" w:color="auto" w:fill="FFFFFF"/>
        </w:rPr>
        <w:t>)</w:t>
      </w:r>
      <w:r w:rsidR="00EE6425">
        <w:rPr>
          <w:rFonts w:cs="Open Sans"/>
          <w:shd w:val="clear" w:color="auto" w:fill="FFFFFF"/>
        </w:rPr>
        <w:t>, t</w:t>
      </w:r>
      <w:r w:rsidR="008321D1" w:rsidRPr="00684132">
        <w:rPr>
          <w:rFonts w:cs="Open Sans"/>
          <w:shd w:val="clear" w:color="auto" w:fill="FFFFFF"/>
        </w:rPr>
        <w:t>hese restrictions may only be such as are provided by law and are necessary for the respect of the rights or reputations of others</w:t>
      </w:r>
      <w:r w:rsidR="002578AD">
        <w:rPr>
          <w:rFonts w:cs="Open Sans"/>
          <w:shd w:val="clear" w:color="auto" w:fill="FFFFFF"/>
        </w:rPr>
        <w:t>,</w:t>
      </w:r>
      <w:r w:rsidR="008321D1" w:rsidRPr="00684132">
        <w:rPr>
          <w:rFonts w:cs="Open Sans"/>
          <w:shd w:val="clear" w:color="auto" w:fill="FFFFFF"/>
        </w:rPr>
        <w:t xml:space="preserve"> </w:t>
      </w:r>
      <w:r w:rsidR="002F6525">
        <w:rPr>
          <w:rFonts w:cs="Open Sans"/>
          <w:shd w:val="clear" w:color="auto" w:fill="FFFFFF"/>
        </w:rPr>
        <w:t xml:space="preserve">or </w:t>
      </w:r>
      <w:r w:rsidR="008321D1" w:rsidRPr="00684132">
        <w:rPr>
          <w:rFonts w:cs="Open Sans"/>
          <w:shd w:val="clear" w:color="auto" w:fill="FFFFFF"/>
        </w:rPr>
        <w:t>for the protection of national security</w:t>
      </w:r>
      <w:r w:rsidR="002578AD">
        <w:rPr>
          <w:rFonts w:cs="Open Sans"/>
          <w:shd w:val="clear" w:color="auto" w:fill="FFFFFF"/>
        </w:rPr>
        <w:t xml:space="preserve">, </w:t>
      </w:r>
      <w:r w:rsidR="008321D1" w:rsidRPr="00684132">
        <w:rPr>
          <w:rFonts w:cs="Open Sans"/>
          <w:shd w:val="clear" w:color="auto" w:fill="FFFFFF"/>
        </w:rPr>
        <w:t>public order</w:t>
      </w:r>
      <w:r w:rsidR="00E50B4F">
        <w:rPr>
          <w:rFonts w:cs="Open Sans"/>
          <w:shd w:val="clear" w:color="auto" w:fill="FFFFFF"/>
        </w:rPr>
        <w:t>,</w:t>
      </w:r>
      <w:r w:rsidR="008321D1" w:rsidRPr="00684132">
        <w:rPr>
          <w:rFonts w:cs="Open Sans"/>
          <w:shd w:val="clear" w:color="auto" w:fill="FFFFFF"/>
        </w:rPr>
        <w:t xml:space="preserve"> public health or morals.</w:t>
      </w:r>
      <w:r w:rsidR="001F7798" w:rsidRPr="00684132">
        <w:rPr>
          <w:rFonts w:cs="Open Sans"/>
          <w:shd w:val="clear" w:color="auto" w:fill="FFFFFF"/>
        </w:rPr>
        <w:t xml:space="preserve"> </w:t>
      </w:r>
    </w:p>
    <w:p w14:paraId="4603B6EB" w14:textId="24180F5D" w:rsidR="00D12EB7" w:rsidRPr="00581AFA" w:rsidRDefault="00085A7E" w:rsidP="00581AFA">
      <w:pPr>
        <w:pStyle w:val="ListNumber"/>
        <w:tabs>
          <w:tab w:val="clear" w:pos="360"/>
        </w:tabs>
        <w:ind w:left="1094" w:hanging="737"/>
        <w:rPr>
          <w:rFonts w:cs="Open Sans"/>
        </w:rPr>
      </w:pPr>
      <w:r>
        <w:rPr>
          <w:rFonts w:cs="Open Sans"/>
          <w:shd w:val="clear" w:color="auto" w:fill="FFFFFF"/>
        </w:rPr>
        <w:t xml:space="preserve">The Commission </w:t>
      </w:r>
      <w:r w:rsidR="00EA4A8D">
        <w:rPr>
          <w:rFonts w:cs="Open Sans"/>
          <w:shd w:val="clear" w:color="auto" w:fill="FFFFFF"/>
        </w:rPr>
        <w:t>considers th</w:t>
      </w:r>
      <w:r w:rsidR="00045092">
        <w:rPr>
          <w:rFonts w:cs="Open Sans"/>
          <w:shd w:val="clear" w:color="auto" w:fill="FFFFFF"/>
        </w:rPr>
        <w:t>at</w:t>
      </w:r>
      <w:r w:rsidR="00D12EB7">
        <w:rPr>
          <w:rFonts w:cs="Open Sans"/>
          <w:shd w:val="clear" w:color="auto" w:fill="FFFFFF"/>
        </w:rPr>
        <w:t xml:space="preserve"> </w:t>
      </w:r>
      <w:r w:rsidR="00EA4A8D">
        <w:rPr>
          <w:rFonts w:cs="Open Sans"/>
          <w:shd w:val="clear" w:color="auto" w:fill="FFFFFF"/>
        </w:rPr>
        <w:t xml:space="preserve">general secrecy </w:t>
      </w:r>
      <w:r w:rsidR="005F006E">
        <w:rPr>
          <w:rFonts w:cs="Open Sans"/>
          <w:shd w:val="clear" w:color="auto" w:fill="FFFFFF"/>
        </w:rPr>
        <w:t>offences</w:t>
      </w:r>
      <w:r w:rsidR="00EA4A8D">
        <w:rPr>
          <w:rFonts w:cs="Open Sans"/>
          <w:shd w:val="clear" w:color="auto" w:fill="FFFFFF"/>
        </w:rPr>
        <w:t xml:space="preserve"> that attract criminal sanction</w:t>
      </w:r>
      <w:r w:rsidR="002F6525">
        <w:rPr>
          <w:rFonts w:cs="Open Sans"/>
          <w:shd w:val="clear" w:color="auto" w:fill="FFFFFF"/>
        </w:rPr>
        <w:t>s</w:t>
      </w:r>
      <w:r w:rsidR="00EA4A8D">
        <w:rPr>
          <w:rFonts w:cs="Open Sans"/>
          <w:shd w:val="clear" w:color="auto" w:fill="FFFFFF"/>
        </w:rPr>
        <w:t xml:space="preserve"> are only warranted when they are necessary and proportionate to protect essential public interest</w:t>
      </w:r>
      <w:r w:rsidR="003771F5">
        <w:rPr>
          <w:rFonts w:cs="Open Sans"/>
          <w:shd w:val="clear" w:color="auto" w:fill="FFFFFF"/>
        </w:rPr>
        <w:t>s</w:t>
      </w:r>
      <w:r w:rsidR="008B57DE">
        <w:rPr>
          <w:rFonts w:cs="Open Sans"/>
          <w:shd w:val="clear" w:color="auto" w:fill="FFFFFF"/>
        </w:rPr>
        <w:t xml:space="preserve">. </w:t>
      </w:r>
      <w:r w:rsidR="00B1579C">
        <w:rPr>
          <w:rFonts w:cs="Open Sans"/>
          <w:shd w:val="clear" w:color="auto" w:fill="FFFFFF"/>
        </w:rPr>
        <w:t xml:space="preserve">This is because they </w:t>
      </w:r>
      <w:r w:rsidR="004C3FB1" w:rsidRPr="00581AFA">
        <w:rPr>
          <w:rFonts w:cs="Open Sans"/>
          <w:shd w:val="clear" w:color="auto" w:fill="FFFFFF"/>
        </w:rPr>
        <w:t>have the potential to imping</w:t>
      </w:r>
      <w:r w:rsidR="006D3373" w:rsidRPr="00581AFA">
        <w:rPr>
          <w:rFonts w:cs="Open Sans"/>
          <w:shd w:val="clear" w:color="auto" w:fill="FFFFFF"/>
        </w:rPr>
        <w:t>e</w:t>
      </w:r>
      <w:r w:rsidR="004C3FB1" w:rsidRPr="00581AFA">
        <w:rPr>
          <w:rFonts w:cs="Open Sans"/>
          <w:shd w:val="clear" w:color="auto" w:fill="FFFFFF"/>
        </w:rPr>
        <w:t xml:space="preserve"> upon the right to freedom of expression</w:t>
      </w:r>
      <w:r w:rsidR="006D3373" w:rsidRPr="00581AFA">
        <w:rPr>
          <w:rFonts w:cs="Open Sans"/>
          <w:shd w:val="clear" w:color="auto" w:fill="FFFFFF"/>
        </w:rPr>
        <w:t xml:space="preserve">, </w:t>
      </w:r>
      <w:r w:rsidR="007A5D95">
        <w:rPr>
          <w:rFonts w:cs="Open Sans"/>
          <w:shd w:val="clear" w:color="auto" w:fill="FFFFFF"/>
        </w:rPr>
        <w:t>which include</w:t>
      </w:r>
      <w:r w:rsidR="008A360E">
        <w:rPr>
          <w:rFonts w:cs="Open Sans"/>
          <w:shd w:val="clear" w:color="auto" w:fill="FFFFFF"/>
        </w:rPr>
        <w:t>s</w:t>
      </w:r>
      <w:r w:rsidR="007A5D95">
        <w:rPr>
          <w:rFonts w:cs="Open Sans"/>
          <w:shd w:val="clear" w:color="auto" w:fill="FFFFFF"/>
        </w:rPr>
        <w:t xml:space="preserve"> </w:t>
      </w:r>
      <w:r w:rsidR="00213D51">
        <w:rPr>
          <w:rFonts w:cs="Open Sans"/>
          <w:shd w:val="clear" w:color="auto" w:fill="FFFFFF"/>
        </w:rPr>
        <w:t xml:space="preserve">freedom of the </w:t>
      </w:r>
      <w:r w:rsidR="0051475E" w:rsidRPr="00581AFA">
        <w:rPr>
          <w:rFonts w:cs="Open Sans"/>
          <w:shd w:val="clear" w:color="auto" w:fill="FFFFFF"/>
        </w:rPr>
        <w:t xml:space="preserve">press </w:t>
      </w:r>
      <w:r w:rsidR="00034AFA">
        <w:rPr>
          <w:rFonts w:cs="Open Sans"/>
          <w:shd w:val="clear" w:color="auto" w:fill="FFFFFF"/>
        </w:rPr>
        <w:t>and freedom</w:t>
      </w:r>
      <w:r w:rsidR="006D3373" w:rsidRPr="00581AFA">
        <w:rPr>
          <w:rFonts w:cs="Open Sans"/>
          <w:shd w:val="clear" w:color="auto" w:fill="FFFFFF"/>
        </w:rPr>
        <w:t xml:space="preserve"> </w:t>
      </w:r>
      <w:r w:rsidR="00213D51">
        <w:rPr>
          <w:rFonts w:cs="Open Sans"/>
          <w:shd w:val="clear" w:color="auto" w:fill="FFFFFF"/>
        </w:rPr>
        <w:t xml:space="preserve">of </w:t>
      </w:r>
      <w:r w:rsidR="006D3373" w:rsidRPr="00581AFA">
        <w:rPr>
          <w:rFonts w:cs="Open Sans"/>
          <w:shd w:val="clear" w:color="auto" w:fill="FFFFFF"/>
        </w:rPr>
        <w:t>political communication</w:t>
      </w:r>
      <w:r w:rsidR="00213D51">
        <w:rPr>
          <w:rFonts w:cs="Open Sans"/>
          <w:shd w:val="clear" w:color="auto" w:fill="FFFFFF"/>
        </w:rPr>
        <w:t xml:space="preserve"> – all </w:t>
      </w:r>
      <w:r w:rsidR="007A5D95">
        <w:rPr>
          <w:rFonts w:cs="Open Sans"/>
          <w:shd w:val="clear" w:color="auto" w:fill="FFFFFF"/>
        </w:rPr>
        <w:t xml:space="preserve">vital safeguards </w:t>
      </w:r>
      <w:r w:rsidR="00213D51">
        <w:rPr>
          <w:rFonts w:cs="Open Sans"/>
          <w:shd w:val="clear" w:color="auto" w:fill="FFFFFF"/>
        </w:rPr>
        <w:t xml:space="preserve">to the functioning of </w:t>
      </w:r>
      <w:r w:rsidR="001A46C1">
        <w:rPr>
          <w:rFonts w:cs="Open Sans"/>
          <w:shd w:val="clear" w:color="auto" w:fill="FFFFFF"/>
        </w:rPr>
        <w:t xml:space="preserve">Australia’s </w:t>
      </w:r>
      <w:r w:rsidR="0006111A">
        <w:rPr>
          <w:rFonts w:cs="Open Sans"/>
          <w:shd w:val="clear" w:color="auto" w:fill="FFFFFF"/>
        </w:rPr>
        <w:t xml:space="preserve">democracy </w:t>
      </w:r>
      <w:r w:rsidR="00B16076">
        <w:rPr>
          <w:rFonts w:cs="Open Sans"/>
          <w:shd w:val="clear" w:color="auto" w:fill="FFFFFF"/>
        </w:rPr>
        <w:t xml:space="preserve">and to accountable government decision-making. </w:t>
      </w:r>
    </w:p>
    <w:p w14:paraId="5F115D1C" w14:textId="0879025F" w:rsidR="00507F9B" w:rsidRPr="009E6ECE" w:rsidRDefault="00D0252C" w:rsidP="009E6ECE">
      <w:pPr>
        <w:pStyle w:val="ListNumber"/>
        <w:tabs>
          <w:tab w:val="clear" w:pos="360"/>
        </w:tabs>
        <w:ind w:left="1094" w:hanging="737"/>
        <w:rPr>
          <w:rFonts w:cs="Open Sans"/>
        </w:rPr>
      </w:pPr>
      <w:r>
        <w:t xml:space="preserve">The </w:t>
      </w:r>
      <w:r>
        <w:rPr>
          <w:rFonts w:cs="Open Sans"/>
          <w:shd w:val="clear" w:color="auto" w:fill="FFFFFF"/>
        </w:rPr>
        <w:t xml:space="preserve">current framing of the general secrecy offences </w:t>
      </w:r>
      <w:r w:rsidR="003511C7">
        <w:rPr>
          <w:rFonts w:cs="Open Sans"/>
          <w:shd w:val="clear" w:color="auto" w:fill="FFFFFF"/>
        </w:rPr>
        <w:t xml:space="preserve">in Part 5.6 of the Criminal Code </w:t>
      </w:r>
      <w:r>
        <w:rPr>
          <w:rFonts w:cs="Open Sans"/>
          <w:shd w:val="clear" w:color="auto" w:fill="FFFFFF"/>
        </w:rPr>
        <w:t xml:space="preserve">is overly broad and </w:t>
      </w:r>
      <w:r w:rsidR="00B16076">
        <w:rPr>
          <w:rFonts w:cs="Open Sans"/>
          <w:shd w:val="clear" w:color="auto" w:fill="FFFFFF"/>
        </w:rPr>
        <w:t>uncertain in scope</w:t>
      </w:r>
      <w:r w:rsidR="008A360E">
        <w:rPr>
          <w:rFonts w:cs="Open Sans"/>
          <w:shd w:val="clear" w:color="auto" w:fill="FFFFFF"/>
        </w:rPr>
        <w:t xml:space="preserve">. </w:t>
      </w:r>
      <w:r w:rsidR="005954C6">
        <w:rPr>
          <w:rFonts w:cs="Open Sans"/>
          <w:shd w:val="clear" w:color="auto" w:fill="FFFFFF"/>
        </w:rPr>
        <w:t>The offences may</w:t>
      </w:r>
      <w:r w:rsidR="003511C7">
        <w:rPr>
          <w:rFonts w:cs="Open Sans"/>
          <w:shd w:val="clear" w:color="auto" w:fill="FFFFFF"/>
        </w:rPr>
        <w:t xml:space="preserve"> capture c</w:t>
      </w:r>
      <w:r>
        <w:rPr>
          <w:rFonts w:cs="Open Sans"/>
          <w:shd w:val="clear" w:color="auto" w:fill="FFFFFF"/>
        </w:rPr>
        <w:t xml:space="preserve">onduct that is not harmful or </w:t>
      </w:r>
      <w:r w:rsidRPr="00040797">
        <w:rPr>
          <w:rFonts w:eastAsia="Times New Roman"/>
        </w:rPr>
        <w:t>not sufficiently harmful to warrant criminalisation</w:t>
      </w:r>
      <w:r w:rsidR="009E6ECE">
        <w:rPr>
          <w:rFonts w:eastAsia="Times New Roman"/>
        </w:rPr>
        <w:t>.</w:t>
      </w:r>
      <w:r w:rsidR="00B54B72">
        <w:rPr>
          <w:rFonts w:eastAsia="Times New Roman"/>
        </w:rPr>
        <w:t xml:space="preserve"> </w:t>
      </w:r>
      <w:r w:rsidR="00C45F13" w:rsidRPr="009E6ECE">
        <w:rPr>
          <w:rFonts w:cs="Open Sans"/>
          <w:shd w:val="clear" w:color="auto" w:fill="FFFFFF"/>
        </w:rPr>
        <w:t>The</w:t>
      </w:r>
      <w:r w:rsidR="002C5763">
        <w:rPr>
          <w:rFonts w:cs="Open Sans"/>
          <w:shd w:val="clear" w:color="auto" w:fill="FFFFFF"/>
        </w:rPr>
        <w:t xml:space="preserve"> </w:t>
      </w:r>
      <w:r w:rsidR="005F006E" w:rsidRPr="009E6ECE">
        <w:rPr>
          <w:rFonts w:cs="Open Sans"/>
          <w:shd w:val="clear" w:color="auto" w:fill="FFFFFF"/>
        </w:rPr>
        <w:t>provisions</w:t>
      </w:r>
      <w:r w:rsidR="00C45F13" w:rsidRPr="009E6ECE">
        <w:rPr>
          <w:rFonts w:cs="Open Sans"/>
          <w:shd w:val="clear" w:color="auto" w:fill="FFFFFF"/>
        </w:rPr>
        <w:t xml:space="preserve"> should contain an express requirement of harm</w:t>
      </w:r>
      <w:r w:rsidR="00932F8D" w:rsidRPr="009E6ECE">
        <w:rPr>
          <w:rFonts w:cs="Open Sans"/>
          <w:shd w:val="clear" w:color="auto" w:fill="FFFFFF"/>
        </w:rPr>
        <w:t xml:space="preserve">, particularly where they concern </w:t>
      </w:r>
      <w:r w:rsidR="00032B46" w:rsidRPr="009E6ECE">
        <w:rPr>
          <w:rFonts w:cs="Open Sans"/>
          <w:shd w:val="clear" w:color="auto" w:fill="FFFFFF"/>
        </w:rPr>
        <w:t>non-Commonwealth officers,</w:t>
      </w:r>
      <w:r w:rsidR="00C45F13" w:rsidRPr="009E6ECE">
        <w:rPr>
          <w:rFonts w:cs="Open Sans"/>
          <w:shd w:val="clear" w:color="auto" w:fill="FFFFFF"/>
        </w:rPr>
        <w:t xml:space="preserve"> </w:t>
      </w:r>
      <w:r w:rsidR="005F006E" w:rsidRPr="009E6ECE">
        <w:rPr>
          <w:rFonts w:cs="Open Sans"/>
          <w:shd w:val="clear" w:color="auto" w:fill="FFFFFF"/>
        </w:rPr>
        <w:t xml:space="preserve">and </w:t>
      </w:r>
      <w:r w:rsidR="00A40343" w:rsidRPr="009E6ECE">
        <w:rPr>
          <w:rFonts w:cs="Open Sans"/>
          <w:shd w:val="clear" w:color="auto" w:fill="FFFFFF"/>
        </w:rPr>
        <w:t xml:space="preserve">provide for </w:t>
      </w:r>
      <w:r w:rsidR="005F006E" w:rsidRPr="009E6ECE">
        <w:rPr>
          <w:rFonts w:cs="Open Sans"/>
          <w:shd w:val="clear" w:color="auto" w:fill="FFFFFF"/>
        </w:rPr>
        <w:t xml:space="preserve">the protection </w:t>
      </w:r>
      <w:r w:rsidR="00FB21F4" w:rsidRPr="009E6ECE">
        <w:rPr>
          <w:rFonts w:cs="Open Sans"/>
          <w:shd w:val="clear" w:color="auto" w:fill="FFFFFF"/>
        </w:rPr>
        <w:t>of</w:t>
      </w:r>
      <w:r w:rsidR="0039608F" w:rsidRPr="009E6ECE">
        <w:rPr>
          <w:rFonts w:cs="Open Sans"/>
          <w:shd w:val="clear" w:color="auto" w:fill="FFFFFF"/>
        </w:rPr>
        <w:t xml:space="preserve"> </w:t>
      </w:r>
      <w:r w:rsidR="002675C4" w:rsidRPr="009E6ECE">
        <w:rPr>
          <w:rFonts w:cs="Open Sans"/>
          <w:shd w:val="clear" w:color="auto" w:fill="FFFFFF"/>
        </w:rPr>
        <w:t>narrowly</w:t>
      </w:r>
      <w:r w:rsidR="00020F6F" w:rsidRPr="009E6ECE">
        <w:rPr>
          <w:rFonts w:cs="Open Sans"/>
          <w:shd w:val="clear" w:color="auto" w:fill="FFFFFF"/>
        </w:rPr>
        <w:t xml:space="preserve"> </w:t>
      </w:r>
      <w:r w:rsidR="000E1613" w:rsidRPr="009E6ECE">
        <w:rPr>
          <w:rFonts w:cs="Open Sans"/>
          <w:shd w:val="clear" w:color="auto" w:fill="FFFFFF"/>
        </w:rPr>
        <w:t xml:space="preserve">defined </w:t>
      </w:r>
      <w:r w:rsidR="005F006E" w:rsidRPr="009E6ECE">
        <w:rPr>
          <w:rFonts w:cs="Open Sans"/>
          <w:shd w:val="clear" w:color="auto" w:fill="FFFFFF"/>
        </w:rPr>
        <w:t>categories of information</w:t>
      </w:r>
      <w:r w:rsidR="0018218F">
        <w:rPr>
          <w:rFonts w:cs="Open Sans"/>
          <w:shd w:val="clear" w:color="auto" w:fill="FFFFFF"/>
        </w:rPr>
        <w:t>,</w:t>
      </w:r>
      <w:r w:rsidR="004B27EE" w:rsidRPr="009E6ECE">
        <w:rPr>
          <w:rFonts w:cs="Open Sans"/>
          <w:shd w:val="clear" w:color="auto" w:fill="FFFFFF"/>
        </w:rPr>
        <w:t xml:space="preserve"> </w:t>
      </w:r>
      <w:r w:rsidR="00366094" w:rsidRPr="009E6ECE">
        <w:rPr>
          <w:rFonts w:cs="Open Sans"/>
          <w:shd w:val="clear" w:color="auto" w:fill="FFFFFF"/>
        </w:rPr>
        <w:t xml:space="preserve">where the harm to an essential public interest is implicit. </w:t>
      </w:r>
      <w:r w:rsidR="005F006E" w:rsidRPr="009E6ECE">
        <w:rPr>
          <w:rFonts w:cs="Open Sans"/>
          <w:shd w:val="clear" w:color="auto" w:fill="FFFFFF"/>
        </w:rPr>
        <w:t xml:space="preserve"> </w:t>
      </w:r>
    </w:p>
    <w:p w14:paraId="4B3E3DEC" w14:textId="38F67DED" w:rsidR="00C45F13" w:rsidRPr="00330ACF" w:rsidRDefault="003511C7" w:rsidP="00330ACF">
      <w:pPr>
        <w:pStyle w:val="ListNumber"/>
        <w:tabs>
          <w:tab w:val="clear" w:pos="360"/>
        </w:tabs>
        <w:ind w:left="1094" w:hanging="737"/>
        <w:rPr>
          <w:rFonts w:cs="Open Sans"/>
        </w:rPr>
      </w:pPr>
      <w:r>
        <w:t xml:space="preserve">The general secrecy </w:t>
      </w:r>
      <w:r w:rsidR="00365072">
        <w:t>provisions</w:t>
      </w:r>
      <w:r>
        <w:t xml:space="preserve"> in Part </w:t>
      </w:r>
      <w:r w:rsidR="0090714A">
        <w:t>5.6 should clearly identify the conduct the</w:t>
      </w:r>
      <w:r w:rsidR="00A7069E">
        <w:t>y regulate and contain</w:t>
      </w:r>
      <w:r w:rsidR="00AF7926">
        <w:t xml:space="preserve"> adequate </w:t>
      </w:r>
      <w:r w:rsidR="00A7069E">
        <w:t xml:space="preserve">defences </w:t>
      </w:r>
      <w:r w:rsidR="00A8236B">
        <w:t>and safeguards</w:t>
      </w:r>
      <w:r w:rsidR="00C412AB">
        <w:t xml:space="preserve"> in</w:t>
      </w:r>
      <w:r w:rsidR="00E72C4C">
        <w:t xml:space="preserve"> order</w:t>
      </w:r>
      <w:r w:rsidR="00A8236B">
        <w:t xml:space="preserve"> </w:t>
      </w:r>
      <w:r w:rsidR="00A7069E">
        <w:t xml:space="preserve">to protect </w:t>
      </w:r>
      <w:r w:rsidR="00B05C84">
        <w:t xml:space="preserve">disclosures that are in the </w:t>
      </w:r>
      <w:r w:rsidR="00D80EF0">
        <w:t>public interest.</w:t>
      </w:r>
      <w:r w:rsidR="00AF7926">
        <w:t xml:space="preserve"> </w:t>
      </w:r>
    </w:p>
    <w:p w14:paraId="3A807876" w14:textId="18D99A25" w:rsidR="0088159D" w:rsidRPr="007F1824" w:rsidRDefault="00597B8D" w:rsidP="007F1824">
      <w:pPr>
        <w:pStyle w:val="ListNumber"/>
        <w:tabs>
          <w:tab w:val="clear" w:pos="360"/>
        </w:tabs>
        <w:ind w:left="1094" w:hanging="737"/>
        <w:rPr>
          <w:rFonts w:cs="Open Sans"/>
        </w:rPr>
      </w:pPr>
      <w:r w:rsidRPr="00684132">
        <w:t xml:space="preserve">Secrecy offences </w:t>
      </w:r>
      <w:r w:rsidR="00690E21" w:rsidRPr="00684132">
        <w:t>are a ‘last resort option’</w:t>
      </w:r>
      <w:r w:rsidR="00C03498">
        <w:t>.</w:t>
      </w:r>
      <w:r w:rsidR="00E72C4C">
        <w:t xml:space="preserve"> </w:t>
      </w:r>
      <w:r w:rsidR="00C03498">
        <w:t>U</w:t>
      </w:r>
      <w:r w:rsidR="007546EA">
        <w:t>nauthorised disclosure</w:t>
      </w:r>
      <w:r w:rsidR="007F1824">
        <w:t xml:space="preserve">s </w:t>
      </w:r>
      <w:r w:rsidR="007546EA">
        <w:t xml:space="preserve">of </w:t>
      </w:r>
      <w:r w:rsidR="0088159D">
        <w:t>categories of Commonwealth information that may be ‘prejudicial to the effective working of government’</w:t>
      </w:r>
      <w:r w:rsidR="007F1824">
        <w:t xml:space="preserve">, are </w:t>
      </w:r>
      <w:r w:rsidR="00C36C23">
        <w:t xml:space="preserve">more proportionately dealt with by </w:t>
      </w:r>
      <w:r w:rsidR="00BB5477">
        <w:t>a</w:t>
      </w:r>
      <w:r w:rsidR="00BB5477" w:rsidRPr="00684132">
        <w:t>dministrative and disciplinary frameworks</w:t>
      </w:r>
      <w:r w:rsidR="00E72C4C">
        <w:t>,</w:t>
      </w:r>
      <w:r w:rsidR="00BB5477" w:rsidRPr="00684132">
        <w:t xml:space="preserve"> </w:t>
      </w:r>
      <w:r w:rsidR="00BB5477">
        <w:t>rather than treated as criminal matter</w:t>
      </w:r>
      <w:r w:rsidR="007800A4">
        <w:t>s</w:t>
      </w:r>
      <w:r w:rsidR="00BB5477">
        <w:t>.</w:t>
      </w:r>
      <w:r w:rsidR="005B1FD6" w:rsidRPr="00684132">
        <w:rPr>
          <w:rStyle w:val="EndnoteReference"/>
          <w:sz w:val="24"/>
        </w:rPr>
        <w:endnoteReference w:id="6"/>
      </w:r>
      <w:r w:rsidR="006F0EF7" w:rsidRPr="00684132">
        <w:t xml:space="preserve"> </w:t>
      </w:r>
    </w:p>
    <w:p w14:paraId="662BFBFE" w14:textId="153A7F96" w:rsidR="00BA2CD2" w:rsidRPr="00BA2CD2" w:rsidRDefault="00BA2CD2" w:rsidP="00693BD6">
      <w:pPr>
        <w:pStyle w:val="Heading1"/>
      </w:pPr>
      <w:bookmarkStart w:id="34" w:name="_Toc160780323"/>
      <w:r>
        <w:t>Recommendations</w:t>
      </w:r>
      <w:bookmarkEnd w:id="34"/>
    </w:p>
    <w:p w14:paraId="46A0A139" w14:textId="7ABB1D4F" w:rsidR="000A5749" w:rsidRPr="00A352FA" w:rsidRDefault="003423F4" w:rsidP="00A352FA">
      <w:pPr>
        <w:pStyle w:val="ListNumber"/>
        <w:keepNext/>
        <w:tabs>
          <w:tab w:val="clear" w:pos="360"/>
        </w:tabs>
        <w:ind w:left="1094" w:hanging="737"/>
        <w:rPr>
          <w:rFonts w:cs="Open Sans"/>
        </w:rPr>
      </w:pPr>
      <w:r>
        <w:t xml:space="preserve">The </w:t>
      </w:r>
      <w:r w:rsidR="00D83383">
        <w:t>Commission makes the following recommendation</w:t>
      </w:r>
      <w:r w:rsidR="00516D6E">
        <w:t>s</w:t>
      </w:r>
      <w:r w:rsidR="00517E03">
        <w:t>:</w:t>
      </w:r>
    </w:p>
    <w:p w14:paraId="4844AED5" w14:textId="53737546" w:rsidR="000A5749" w:rsidRPr="000A5749" w:rsidRDefault="000A5749" w:rsidP="000A5749">
      <w:pPr>
        <w:pStyle w:val="ListNumber"/>
        <w:keepNext/>
        <w:numPr>
          <w:ilvl w:val="0"/>
          <w:numId w:val="0"/>
        </w:numPr>
        <w:ind w:left="1094"/>
        <w:rPr>
          <w:rFonts w:cs="Open Sans"/>
          <w:b/>
          <w:bCs/>
        </w:rPr>
      </w:pPr>
      <w:r w:rsidRPr="00452707">
        <w:rPr>
          <w:rFonts w:cs="Open Sans"/>
          <w:b/>
          <w:bCs/>
        </w:rPr>
        <w:t xml:space="preserve">Recommendation </w:t>
      </w:r>
      <w:r w:rsidR="00A352FA">
        <w:rPr>
          <w:rFonts w:cs="Open Sans"/>
          <w:b/>
          <w:bCs/>
        </w:rPr>
        <w:t>1</w:t>
      </w:r>
    </w:p>
    <w:p w14:paraId="69F41083" w14:textId="072AFBF4" w:rsidR="00CE2A4D" w:rsidRPr="007630FB" w:rsidRDefault="00CB4E7F" w:rsidP="007630FB">
      <w:pPr>
        <w:pStyle w:val="ListNumber"/>
        <w:numPr>
          <w:ilvl w:val="0"/>
          <w:numId w:val="0"/>
        </w:numPr>
        <w:ind w:left="1080" w:hanging="360"/>
        <w:rPr>
          <w:rFonts w:cs="Open Sans"/>
        </w:rPr>
      </w:pPr>
      <w:r>
        <w:rPr>
          <w:rFonts w:cs="Open Sans"/>
        </w:rPr>
        <w:tab/>
      </w:r>
      <w:r w:rsidR="00CE2A4D">
        <w:rPr>
          <w:rFonts w:cs="Open Sans"/>
        </w:rPr>
        <w:t xml:space="preserve">The key terms of ‘inherently harmful information’ and </w:t>
      </w:r>
      <w:proofErr w:type="spellStart"/>
      <w:r w:rsidR="00CE2A4D">
        <w:rPr>
          <w:rFonts w:cs="Open Sans"/>
        </w:rPr>
        <w:t>‘cause</w:t>
      </w:r>
      <w:proofErr w:type="spellEnd"/>
      <w:r w:rsidR="00CE2A4D">
        <w:rPr>
          <w:rFonts w:cs="Open Sans"/>
        </w:rPr>
        <w:t xml:space="preserve"> harm to Australia’s interests’ should </w:t>
      </w:r>
      <w:r w:rsidR="00CE2A4D">
        <w:t xml:space="preserve">cover a narrowly defined category of information where harm to an essential public interest is necessarily implicit, or protect against harm to the relationship of trust between individuals and the Government integral to the regulatory functions of government. The phrase ‘interfere with’ should be removed from the </w:t>
      </w:r>
      <w:r w:rsidR="008E2867">
        <w:t xml:space="preserve">definition of </w:t>
      </w:r>
      <w:proofErr w:type="spellStart"/>
      <w:r w:rsidR="00CE2A4D">
        <w:t>‘cause</w:t>
      </w:r>
      <w:proofErr w:type="spellEnd"/>
      <w:r w:rsidR="00CE2A4D">
        <w:t xml:space="preserve"> harm to Australia’s interests’ in section 121.1.</w:t>
      </w:r>
    </w:p>
    <w:p w14:paraId="51F87325" w14:textId="77777777" w:rsidR="007630FB" w:rsidRPr="00452707" w:rsidRDefault="007630FB" w:rsidP="007630FB">
      <w:pPr>
        <w:pStyle w:val="ListNumber"/>
        <w:keepNext/>
        <w:numPr>
          <w:ilvl w:val="0"/>
          <w:numId w:val="0"/>
        </w:numPr>
        <w:ind w:left="1094"/>
        <w:rPr>
          <w:rFonts w:cs="Open Sans"/>
          <w:b/>
          <w:bCs/>
        </w:rPr>
      </w:pPr>
      <w:r w:rsidRPr="00452707">
        <w:rPr>
          <w:rFonts w:cs="Open Sans"/>
          <w:b/>
          <w:bCs/>
        </w:rPr>
        <w:t xml:space="preserve">Recommendation </w:t>
      </w:r>
      <w:r>
        <w:rPr>
          <w:rFonts w:cs="Open Sans"/>
          <w:b/>
          <w:bCs/>
        </w:rPr>
        <w:t>2</w:t>
      </w:r>
    </w:p>
    <w:p w14:paraId="43663473" w14:textId="77777777" w:rsidR="007630FB" w:rsidRPr="002D77D9" w:rsidRDefault="007630FB" w:rsidP="007630FB">
      <w:pPr>
        <w:pStyle w:val="ListNumber"/>
        <w:keepNext/>
        <w:numPr>
          <w:ilvl w:val="0"/>
          <w:numId w:val="0"/>
        </w:numPr>
        <w:ind w:left="1094"/>
      </w:pPr>
      <w:r>
        <w:rPr>
          <w:rFonts w:cs="Open Sans"/>
        </w:rPr>
        <w:t>The Commission’s primary recommendation is that the general secrecy offences in Part 5.6 of the Criminal Code should include</w:t>
      </w:r>
      <w:r>
        <w:t xml:space="preserve"> an express requirement that, for an offence to be committed, the unauthorised disclosure caused, or was likely or intended to cause, harm to an essential public interest. Those essential public interests should be confined to those identified by the ALRC (referred to </w:t>
      </w:r>
      <w:proofErr w:type="spellStart"/>
      <w:r>
        <w:t>at</w:t>
      </w:r>
      <w:proofErr w:type="spellEnd"/>
      <w:r>
        <w:t xml:space="preserve"> paragraph 38 of this submission). </w:t>
      </w:r>
    </w:p>
    <w:p w14:paraId="42F6E9BB" w14:textId="77777777" w:rsidR="007630FB" w:rsidRDefault="007630FB" w:rsidP="007630FB">
      <w:pPr>
        <w:pStyle w:val="ListNumber"/>
        <w:keepNext/>
        <w:numPr>
          <w:ilvl w:val="0"/>
          <w:numId w:val="0"/>
        </w:numPr>
        <w:ind w:left="1094"/>
        <w:rPr>
          <w:rFonts w:cs="Open Sans"/>
          <w:b/>
          <w:bCs/>
        </w:rPr>
      </w:pPr>
      <w:r w:rsidRPr="00445B45">
        <w:rPr>
          <w:rFonts w:cs="Open Sans"/>
          <w:b/>
          <w:bCs/>
        </w:rPr>
        <w:t xml:space="preserve">Recommendation </w:t>
      </w:r>
      <w:r>
        <w:rPr>
          <w:rFonts w:cs="Open Sans"/>
          <w:b/>
          <w:bCs/>
        </w:rPr>
        <w:t>3</w:t>
      </w:r>
    </w:p>
    <w:p w14:paraId="15718F7E" w14:textId="77777777" w:rsidR="007630FB" w:rsidRDefault="007630FB" w:rsidP="007630FB">
      <w:pPr>
        <w:pStyle w:val="ListNumber"/>
        <w:keepNext/>
        <w:numPr>
          <w:ilvl w:val="0"/>
          <w:numId w:val="0"/>
        </w:numPr>
        <w:ind w:left="1094"/>
      </w:pPr>
      <w:r>
        <w:t xml:space="preserve">In the absence of an express harm requirement, the general secrecy offences should cover a narrowly defined category of information where the harm to an essential public interest is implicit or the harm is to a relationship of trust between individuals and the Australian Government integral to the regulatory functions of government. </w:t>
      </w:r>
    </w:p>
    <w:p w14:paraId="409A7F1C" w14:textId="77777777" w:rsidR="007630FB" w:rsidRPr="002D77D9" w:rsidRDefault="007630FB" w:rsidP="007630FB">
      <w:pPr>
        <w:pStyle w:val="ListNumber"/>
        <w:keepNext/>
        <w:numPr>
          <w:ilvl w:val="0"/>
          <w:numId w:val="0"/>
        </w:numPr>
        <w:rPr>
          <w:rFonts w:cs="Open Sans"/>
          <w:b/>
          <w:bCs/>
        </w:rPr>
      </w:pPr>
      <w:r>
        <w:rPr>
          <w:rFonts w:cs="Open Sans"/>
        </w:rPr>
        <w:tab/>
      </w:r>
      <w:r w:rsidRPr="002D77D9">
        <w:rPr>
          <w:rFonts w:cs="Open Sans"/>
          <w:b/>
          <w:bCs/>
        </w:rPr>
        <w:t xml:space="preserve">Recommendation </w:t>
      </w:r>
      <w:r>
        <w:rPr>
          <w:rFonts w:cs="Open Sans"/>
          <w:b/>
          <w:bCs/>
        </w:rPr>
        <w:t>4</w:t>
      </w:r>
    </w:p>
    <w:p w14:paraId="1C81FFC2" w14:textId="12FF33EC" w:rsidR="00CE2A4D" w:rsidRPr="007630FB" w:rsidRDefault="007630FB" w:rsidP="007630FB">
      <w:pPr>
        <w:pStyle w:val="ListNumber"/>
        <w:keepNext/>
        <w:numPr>
          <w:ilvl w:val="0"/>
          <w:numId w:val="0"/>
        </w:numPr>
        <w:ind w:left="1094"/>
        <w:rPr>
          <w:rFonts w:cs="Open Sans"/>
        </w:rPr>
      </w:pPr>
      <w:r>
        <w:rPr>
          <w:rFonts w:cs="Open Sans"/>
        </w:rPr>
        <w:t>At the very least, an</w:t>
      </w:r>
      <w:r w:rsidRPr="002D77D9">
        <w:rPr>
          <w:rFonts w:cs="Open Sans"/>
        </w:rPr>
        <w:t xml:space="preserve"> express harm requirement should be included in the offences relating to non-Commonwealth officers. </w:t>
      </w:r>
    </w:p>
    <w:p w14:paraId="578AAE31" w14:textId="77777777" w:rsidR="007630FB" w:rsidRPr="001531C8" w:rsidRDefault="007630FB" w:rsidP="007630FB">
      <w:pPr>
        <w:pStyle w:val="ListNumber"/>
        <w:numPr>
          <w:ilvl w:val="0"/>
          <w:numId w:val="0"/>
        </w:numPr>
        <w:ind w:left="1094"/>
        <w:rPr>
          <w:rFonts w:cs="Open Sans"/>
          <w:b/>
          <w:bCs/>
        </w:rPr>
      </w:pPr>
      <w:r w:rsidRPr="001531C8">
        <w:rPr>
          <w:b/>
          <w:bCs/>
        </w:rPr>
        <w:t xml:space="preserve">Recommendation </w:t>
      </w:r>
      <w:r>
        <w:rPr>
          <w:b/>
          <w:bCs/>
        </w:rPr>
        <w:t>5</w:t>
      </w:r>
    </w:p>
    <w:p w14:paraId="7E49817D" w14:textId="77777777" w:rsidR="007630FB" w:rsidRDefault="007630FB" w:rsidP="007630FB">
      <w:pPr>
        <w:pStyle w:val="ListNumber"/>
        <w:numPr>
          <w:ilvl w:val="0"/>
          <w:numId w:val="0"/>
        </w:numPr>
        <w:ind w:left="1094"/>
        <w:rPr>
          <w:rFonts w:cs="Open Sans"/>
        </w:rPr>
      </w:pPr>
      <w:r>
        <w:t xml:space="preserve">The definition of ‘inherently harmful information’ in section 121.1 should be narrower in scope and only apply to disclosures of information that would necessarily cause </w:t>
      </w:r>
      <w:r>
        <w:rPr>
          <w:rFonts w:cs="Open Sans"/>
        </w:rPr>
        <w:t>some specific, identifiable harm to an essential public interest.</w:t>
      </w:r>
    </w:p>
    <w:p w14:paraId="4ECA5CFC" w14:textId="77777777" w:rsidR="007630FB" w:rsidRDefault="007630FB" w:rsidP="007630FB">
      <w:pPr>
        <w:pStyle w:val="ListNumber"/>
        <w:keepNext/>
        <w:numPr>
          <w:ilvl w:val="0"/>
          <w:numId w:val="0"/>
        </w:numPr>
        <w:ind w:left="1094"/>
        <w:rPr>
          <w:rFonts w:cs="Open Sans"/>
        </w:rPr>
      </w:pPr>
      <w:r w:rsidRPr="00487448">
        <w:rPr>
          <w:b/>
          <w:bCs/>
        </w:rPr>
        <w:t xml:space="preserve">Recommendation </w:t>
      </w:r>
      <w:r>
        <w:rPr>
          <w:b/>
          <w:bCs/>
        </w:rPr>
        <w:t>6</w:t>
      </w:r>
    </w:p>
    <w:p w14:paraId="445E2137" w14:textId="77777777" w:rsidR="007630FB" w:rsidRDefault="007630FB" w:rsidP="007630FB">
      <w:pPr>
        <w:pStyle w:val="ListNumber"/>
        <w:numPr>
          <w:ilvl w:val="0"/>
          <w:numId w:val="0"/>
        </w:numPr>
        <w:ind w:left="1094"/>
      </w:pPr>
      <w:r w:rsidRPr="00BB45D3">
        <w:t xml:space="preserve">Strict liability should not apply to </w:t>
      </w:r>
      <w:r w:rsidRPr="004611D8">
        <w:rPr>
          <w:rFonts w:eastAsia="Times New Roman" w:cs="Open Sans"/>
        </w:rPr>
        <w:t>the element that</w:t>
      </w:r>
      <w:r>
        <w:rPr>
          <w:rFonts w:eastAsia="Times New Roman" w:cs="Open Sans"/>
        </w:rPr>
        <w:t xml:space="preserve"> </w:t>
      </w:r>
      <w:r w:rsidRPr="004611D8">
        <w:t>a classification is applied in accordance with the policy framework developed by the Commonwealth</w:t>
      </w:r>
      <w:r>
        <w:t>.</w:t>
      </w:r>
    </w:p>
    <w:p w14:paraId="48EAA765" w14:textId="77777777" w:rsidR="007630FB" w:rsidRDefault="007630FB" w:rsidP="007630FB">
      <w:pPr>
        <w:pStyle w:val="ListNumber"/>
        <w:keepNext/>
        <w:numPr>
          <w:ilvl w:val="0"/>
          <w:numId w:val="0"/>
        </w:numPr>
        <w:ind w:left="1094"/>
        <w:rPr>
          <w:rFonts w:cs="Open Sans"/>
          <w:b/>
          <w:bCs/>
        </w:rPr>
      </w:pPr>
      <w:r w:rsidRPr="00B0467E">
        <w:rPr>
          <w:rFonts w:cs="Open Sans"/>
          <w:b/>
          <w:bCs/>
        </w:rPr>
        <w:t xml:space="preserve">Recommendation </w:t>
      </w:r>
      <w:r>
        <w:rPr>
          <w:rFonts w:cs="Open Sans"/>
          <w:b/>
          <w:bCs/>
        </w:rPr>
        <w:t>7</w:t>
      </w:r>
    </w:p>
    <w:p w14:paraId="44854D13" w14:textId="07E4E6BE" w:rsidR="007630FB" w:rsidRPr="00453A99" w:rsidRDefault="007630FB" w:rsidP="007630FB">
      <w:pPr>
        <w:pStyle w:val="ListNumber"/>
        <w:numPr>
          <w:ilvl w:val="0"/>
          <w:numId w:val="0"/>
        </w:numPr>
        <w:ind w:left="1094"/>
        <w:rPr>
          <w:rFonts w:cs="Open Sans"/>
        </w:rPr>
      </w:pPr>
      <w:r>
        <w:t xml:space="preserve">The general secrecy offence provisions in Part 5.6 should expressly provide that unsolicited receipt or other unintentional dealings will not be sufficient to reach the threshold of intention required by those provisions. </w:t>
      </w:r>
    </w:p>
    <w:p w14:paraId="75AED934" w14:textId="77777777" w:rsidR="007630FB" w:rsidRPr="009A65BD" w:rsidRDefault="007630FB" w:rsidP="007630FB">
      <w:pPr>
        <w:pStyle w:val="ListNumber"/>
        <w:keepNext/>
        <w:numPr>
          <w:ilvl w:val="0"/>
          <w:numId w:val="0"/>
        </w:numPr>
        <w:ind w:left="1094"/>
        <w:rPr>
          <w:b/>
          <w:bCs/>
        </w:rPr>
      </w:pPr>
      <w:r w:rsidRPr="009A65BD">
        <w:rPr>
          <w:b/>
          <w:bCs/>
        </w:rPr>
        <w:t xml:space="preserve">Recommendation </w:t>
      </w:r>
      <w:r>
        <w:rPr>
          <w:b/>
          <w:bCs/>
        </w:rPr>
        <w:t>8</w:t>
      </w:r>
    </w:p>
    <w:p w14:paraId="114E55FE" w14:textId="77777777" w:rsidR="00BB1FD9" w:rsidRDefault="007630FB" w:rsidP="007630FB">
      <w:pPr>
        <w:pStyle w:val="ListNumber"/>
        <w:numPr>
          <w:ilvl w:val="0"/>
          <w:numId w:val="0"/>
        </w:numPr>
        <w:ind w:left="1094"/>
        <w:rPr>
          <w:rFonts w:cs="Open Sans"/>
        </w:rPr>
      </w:pPr>
      <w:r>
        <w:rPr>
          <w:rFonts w:cs="Open Sans"/>
        </w:rPr>
        <w:t>The Commission considers the proposed new general secrecy offence which targets ‘unauthorised disclosures’ of information by Commonwealth officers is unnecessary and</w:t>
      </w:r>
      <w:r w:rsidR="007A4E55">
        <w:rPr>
          <w:rFonts w:cs="Open Sans"/>
        </w:rPr>
        <w:t xml:space="preserve"> current</w:t>
      </w:r>
      <w:r>
        <w:rPr>
          <w:rFonts w:cs="Open Sans"/>
        </w:rPr>
        <w:t xml:space="preserve"> </w:t>
      </w:r>
      <w:r w:rsidR="00123D9D">
        <w:rPr>
          <w:rFonts w:cs="Open Sans"/>
        </w:rPr>
        <w:t>section 122.4 which it intends to replace</w:t>
      </w:r>
      <w:r w:rsidR="002708A9">
        <w:rPr>
          <w:rFonts w:cs="Open Sans"/>
        </w:rPr>
        <w:t>,</w:t>
      </w:r>
      <w:r w:rsidR="005C0902">
        <w:rPr>
          <w:rFonts w:cs="Open Sans"/>
        </w:rPr>
        <w:t xml:space="preserve"> </w:t>
      </w:r>
      <w:r>
        <w:rPr>
          <w:rFonts w:cs="Open Sans"/>
        </w:rPr>
        <w:t xml:space="preserve">should be permitted to sunset on 29 December 2024.  </w:t>
      </w:r>
    </w:p>
    <w:p w14:paraId="6C7C9C2F" w14:textId="7581D827" w:rsidR="007630FB" w:rsidRPr="001531C8" w:rsidRDefault="007630FB" w:rsidP="007630FB">
      <w:pPr>
        <w:pStyle w:val="ListNumber"/>
        <w:numPr>
          <w:ilvl w:val="0"/>
          <w:numId w:val="0"/>
        </w:numPr>
        <w:ind w:left="1094"/>
        <w:rPr>
          <w:rFonts w:cs="Open Sans"/>
          <w:b/>
          <w:bCs/>
        </w:rPr>
      </w:pPr>
      <w:r w:rsidRPr="001531C8">
        <w:rPr>
          <w:rFonts w:cs="Open Sans"/>
          <w:b/>
          <w:bCs/>
        </w:rPr>
        <w:t xml:space="preserve">Recommendation </w:t>
      </w:r>
      <w:r>
        <w:rPr>
          <w:rFonts w:cs="Open Sans"/>
          <w:b/>
          <w:bCs/>
        </w:rPr>
        <w:t>9</w:t>
      </w:r>
    </w:p>
    <w:p w14:paraId="0380A154" w14:textId="77777777" w:rsidR="007630FB" w:rsidRPr="009A65BD" w:rsidRDefault="007630FB" w:rsidP="007630FB">
      <w:pPr>
        <w:pStyle w:val="ListNumber"/>
        <w:numPr>
          <w:ilvl w:val="0"/>
          <w:numId w:val="0"/>
        </w:numPr>
        <w:ind w:left="1094"/>
        <w:rPr>
          <w:rFonts w:cs="Open Sans"/>
        </w:rPr>
      </w:pPr>
      <w:r>
        <w:rPr>
          <w:rFonts w:cs="Open Sans"/>
        </w:rPr>
        <w:t xml:space="preserve">If the proposed new general secrecy offence is introduced, it should be narrowed in scope to capture unauthorised disclosures of information that will result in some specific, identifiable harm to an essential public interest.  </w:t>
      </w:r>
    </w:p>
    <w:p w14:paraId="78B9B681" w14:textId="77777777" w:rsidR="007630FB" w:rsidRPr="0097696A" w:rsidRDefault="007630FB" w:rsidP="007630FB">
      <w:pPr>
        <w:pStyle w:val="ListNumber"/>
        <w:keepNext/>
        <w:numPr>
          <w:ilvl w:val="0"/>
          <w:numId w:val="0"/>
        </w:numPr>
        <w:ind w:left="1094"/>
        <w:rPr>
          <w:b/>
          <w:bCs/>
        </w:rPr>
      </w:pPr>
      <w:r w:rsidRPr="0097696A">
        <w:rPr>
          <w:b/>
          <w:bCs/>
        </w:rPr>
        <w:t xml:space="preserve">Recommendation </w:t>
      </w:r>
      <w:r>
        <w:rPr>
          <w:b/>
          <w:bCs/>
        </w:rPr>
        <w:t>10</w:t>
      </w:r>
    </w:p>
    <w:p w14:paraId="080F5206" w14:textId="0CD12548" w:rsidR="007630FB" w:rsidRPr="007630FB" w:rsidRDefault="007630FB" w:rsidP="007630FB">
      <w:pPr>
        <w:pStyle w:val="ListNumber"/>
        <w:numPr>
          <w:ilvl w:val="0"/>
          <w:numId w:val="0"/>
        </w:numPr>
        <w:ind w:left="1094"/>
        <w:rPr>
          <w:rFonts w:eastAsia="Times New Roman" w:cs="Open Sans"/>
        </w:rPr>
      </w:pPr>
      <w:r w:rsidRPr="00A85B7F">
        <w:rPr>
          <w:rFonts w:eastAsia="Times New Roman" w:cs="Open Sans"/>
        </w:rPr>
        <w:t xml:space="preserve">If </w:t>
      </w:r>
      <w:r>
        <w:rPr>
          <w:rFonts w:eastAsia="Times New Roman" w:cs="Open Sans"/>
        </w:rPr>
        <w:t>the proposed</w:t>
      </w:r>
      <w:r w:rsidRPr="00A85B7F">
        <w:rPr>
          <w:rFonts w:eastAsia="Times New Roman" w:cs="Open Sans"/>
        </w:rPr>
        <w:t xml:space="preserve"> new general secrecy offence is introduced, there should be</w:t>
      </w:r>
      <w:r>
        <w:rPr>
          <w:rFonts w:eastAsia="Times New Roman" w:cs="Open Sans"/>
        </w:rPr>
        <w:t xml:space="preserve"> strengthened </w:t>
      </w:r>
      <w:r w:rsidRPr="00A85B7F">
        <w:rPr>
          <w:rFonts w:eastAsia="Times New Roman" w:cs="Open Sans"/>
        </w:rPr>
        <w:t>protections</w:t>
      </w:r>
      <w:r>
        <w:rPr>
          <w:rFonts w:eastAsia="Times New Roman" w:cs="Open Sans"/>
        </w:rPr>
        <w:t xml:space="preserve"> within the</w:t>
      </w:r>
      <w:r w:rsidRPr="00A85B7F">
        <w:rPr>
          <w:rFonts w:eastAsia="Times New Roman" w:cs="Open Sans"/>
        </w:rPr>
        <w:t xml:space="preserve"> existing frameworks </w:t>
      </w:r>
      <w:r>
        <w:rPr>
          <w:rFonts w:eastAsia="Times New Roman" w:cs="Open Sans"/>
        </w:rPr>
        <w:t>to</w:t>
      </w:r>
      <w:r w:rsidRPr="00A85B7F">
        <w:rPr>
          <w:rFonts w:eastAsia="Times New Roman" w:cs="Open Sans"/>
        </w:rPr>
        <w:t xml:space="preserve"> better protect whistleblowers who make disclosures that are in the public interest. </w:t>
      </w:r>
    </w:p>
    <w:p w14:paraId="4059C80E" w14:textId="77777777" w:rsidR="007630FB" w:rsidRPr="0097696A" w:rsidRDefault="007630FB" w:rsidP="007630FB">
      <w:pPr>
        <w:pStyle w:val="ListNumber"/>
        <w:keepNext/>
        <w:numPr>
          <w:ilvl w:val="0"/>
          <w:numId w:val="0"/>
        </w:numPr>
        <w:ind w:left="1094"/>
        <w:rPr>
          <w:b/>
          <w:bCs/>
        </w:rPr>
      </w:pPr>
      <w:r w:rsidRPr="0097696A">
        <w:rPr>
          <w:b/>
          <w:bCs/>
        </w:rPr>
        <w:t xml:space="preserve">Recommendation </w:t>
      </w:r>
      <w:r>
        <w:rPr>
          <w:b/>
          <w:bCs/>
        </w:rPr>
        <w:t>11</w:t>
      </w:r>
    </w:p>
    <w:p w14:paraId="4F5CA0D8" w14:textId="77777777" w:rsidR="007630FB" w:rsidRDefault="007630FB" w:rsidP="007630FB">
      <w:pPr>
        <w:pStyle w:val="ListNumber"/>
        <w:numPr>
          <w:ilvl w:val="0"/>
          <w:numId w:val="0"/>
        </w:numPr>
        <w:ind w:left="1094"/>
      </w:pPr>
      <w:r>
        <w:t xml:space="preserve">Section 122.5(6) should be amended to clarify the scope of persons ‘engaged in the business of reporting news’ and the term ‘news media’.  </w:t>
      </w:r>
    </w:p>
    <w:p w14:paraId="2F935D8E" w14:textId="77777777" w:rsidR="007630FB" w:rsidRPr="00345505" w:rsidRDefault="007630FB" w:rsidP="007630FB">
      <w:pPr>
        <w:pStyle w:val="ListNumber"/>
        <w:keepNext/>
        <w:numPr>
          <w:ilvl w:val="0"/>
          <w:numId w:val="0"/>
        </w:numPr>
        <w:ind w:left="1094"/>
        <w:rPr>
          <w:b/>
          <w:bCs/>
        </w:rPr>
      </w:pPr>
      <w:r w:rsidRPr="00345505">
        <w:rPr>
          <w:b/>
          <w:bCs/>
        </w:rPr>
        <w:t>Recommendation</w:t>
      </w:r>
      <w:r>
        <w:rPr>
          <w:b/>
          <w:bCs/>
        </w:rPr>
        <w:t xml:space="preserve"> 12</w:t>
      </w:r>
    </w:p>
    <w:p w14:paraId="4378D752" w14:textId="77777777" w:rsidR="007630FB" w:rsidRDefault="007630FB" w:rsidP="007630FB">
      <w:pPr>
        <w:pStyle w:val="ListNumber"/>
        <w:numPr>
          <w:ilvl w:val="0"/>
          <w:numId w:val="0"/>
        </w:numPr>
        <w:ind w:left="1094"/>
      </w:pPr>
      <w:r>
        <w:t>Section 122.5(6) should be amended to identify factors that may be considered for the purposes of determining whether the dealing with or holding of information may be in the public interest.</w:t>
      </w:r>
    </w:p>
    <w:p w14:paraId="3F891D7A" w14:textId="77777777" w:rsidR="007630FB" w:rsidRPr="001D3549" w:rsidRDefault="007630FB" w:rsidP="007630FB">
      <w:pPr>
        <w:pStyle w:val="ListNumber"/>
        <w:keepNext/>
        <w:numPr>
          <w:ilvl w:val="0"/>
          <w:numId w:val="0"/>
        </w:numPr>
        <w:ind w:left="1094"/>
        <w:rPr>
          <w:b/>
          <w:bCs/>
        </w:rPr>
      </w:pPr>
      <w:r w:rsidRPr="001D3549">
        <w:rPr>
          <w:b/>
          <w:bCs/>
        </w:rPr>
        <w:t xml:space="preserve">Recommendation </w:t>
      </w:r>
      <w:r>
        <w:rPr>
          <w:b/>
          <w:bCs/>
        </w:rPr>
        <w:t>13</w:t>
      </w:r>
    </w:p>
    <w:p w14:paraId="0A3CB607" w14:textId="77777777" w:rsidR="007630FB" w:rsidRDefault="007630FB" w:rsidP="007630FB">
      <w:pPr>
        <w:pStyle w:val="ListNumber"/>
        <w:numPr>
          <w:ilvl w:val="0"/>
          <w:numId w:val="0"/>
        </w:numPr>
        <w:ind w:left="1094"/>
      </w:pPr>
      <w:r>
        <w:t>Section 122.5(6) should be amended to remove the evidential burden on the defendant to establish that the disclosure was in the public interest.</w:t>
      </w:r>
    </w:p>
    <w:p w14:paraId="41C293C9" w14:textId="77777777" w:rsidR="007630FB" w:rsidRPr="001D3549" w:rsidRDefault="007630FB" w:rsidP="007630FB">
      <w:pPr>
        <w:pStyle w:val="ListNumber"/>
        <w:keepNext/>
        <w:numPr>
          <w:ilvl w:val="0"/>
          <w:numId w:val="0"/>
        </w:numPr>
        <w:ind w:left="1094"/>
        <w:rPr>
          <w:b/>
          <w:bCs/>
        </w:rPr>
      </w:pPr>
      <w:r w:rsidRPr="008E522E">
        <w:rPr>
          <w:b/>
          <w:bCs/>
        </w:rPr>
        <w:t xml:space="preserve">Recommendation </w:t>
      </w:r>
      <w:r>
        <w:rPr>
          <w:b/>
          <w:bCs/>
        </w:rPr>
        <w:t>14</w:t>
      </w:r>
    </w:p>
    <w:p w14:paraId="4D095B1C" w14:textId="1E42AD66" w:rsidR="00CE2A4D" w:rsidRPr="007630FB" w:rsidRDefault="007630FB" w:rsidP="007630FB">
      <w:pPr>
        <w:pStyle w:val="ListNumber"/>
        <w:numPr>
          <w:ilvl w:val="0"/>
          <w:numId w:val="0"/>
        </w:numPr>
        <w:ind w:left="1094"/>
      </w:pPr>
      <w:r>
        <w:t xml:space="preserve">Section 122.5 should be amended to include an exception for where the conduct is engaged in for the purpose of obtaining legal advice or if the disclosure was for the purposes of any legal proceedings concerning the offence. </w:t>
      </w:r>
    </w:p>
    <w:p w14:paraId="3FEB9F8A" w14:textId="76D52C01" w:rsidR="00E842D4" w:rsidRDefault="00E224AF" w:rsidP="00E842D4">
      <w:pPr>
        <w:pStyle w:val="Heading1"/>
      </w:pPr>
      <w:bookmarkStart w:id="35" w:name="_Toc160780324"/>
      <w:r>
        <w:t>Relevant human rights</w:t>
      </w:r>
      <w:bookmarkEnd w:id="35"/>
    </w:p>
    <w:p w14:paraId="4D5442F4" w14:textId="77777777" w:rsidR="00E842D4" w:rsidRPr="00E250DC" w:rsidRDefault="00E842D4" w:rsidP="00E842D4">
      <w:pPr>
        <w:pStyle w:val="Heading2"/>
      </w:pPr>
      <w:bookmarkStart w:id="36" w:name="_Toc160780325"/>
      <w:r w:rsidRPr="00E250DC">
        <w:t>The right to freedom of expression</w:t>
      </w:r>
      <w:bookmarkEnd w:id="36"/>
      <w:r w:rsidRPr="00E250DC">
        <w:t xml:space="preserve"> </w:t>
      </w:r>
    </w:p>
    <w:p w14:paraId="349971F8" w14:textId="51159978" w:rsidR="00E842D4" w:rsidRPr="00293753" w:rsidRDefault="00E842D4" w:rsidP="00E842D4">
      <w:pPr>
        <w:pStyle w:val="ListNumber"/>
        <w:tabs>
          <w:tab w:val="clear" w:pos="360"/>
        </w:tabs>
        <w:ind w:left="1094" w:hanging="737"/>
        <w:rPr>
          <w:rFonts w:cs="Open Sans"/>
        </w:rPr>
      </w:pPr>
      <w:r>
        <w:t xml:space="preserve">The secrecy offences contained in Part 5.6 of the Criminal Code engage the right to freedom of expression enshrined in article 19 of the </w:t>
      </w:r>
      <w:r w:rsidRPr="005E4C1F">
        <w:rPr>
          <w:i/>
        </w:rPr>
        <w:t>International Covenant on Civil and Political Rights</w:t>
      </w:r>
      <w:r>
        <w:t xml:space="preserve"> (ICCPR),</w:t>
      </w:r>
      <w:r>
        <w:rPr>
          <w:rStyle w:val="EndnoteReference"/>
        </w:rPr>
        <w:endnoteReference w:id="7"/>
      </w:r>
      <w:r>
        <w:t xml:space="preserve"> which provides:</w:t>
      </w:r>
    </w:p>
    <w:p w14:paraId="7DB5FD13" w14:textId="77777777" w:rsidR="00E842D4" w:rsidRPr="0052586A" w:rsidRDefault="00E842D4" w:rsidP="00272F28">
      <w:pPr>
        <w:tabs>
          <w:tab w:val="left" w:pos="1701"/>
        </w:tabs>
        <w:spacing w:before="100" w:beforeAutospacing="1" w:after="100" w:afterAutospacing="1"/>
        <w:ind w:left="1616" w:hanging="261"/>
        <w:rPr>
          <w:rFonts w:cs="Arial"/>
          <w:sz w:val="22"/>
        </w:rPr>
      </w:pPr>
      <w:r w:rsidRPr="0052586A">
        <w:rPr>
          <w:rFonts w:cs="Arial"/>
          <w:sz w:val="22"/>
        </w:rPr>
        <w:t xml:space="preserve">1. </w:t>
      </w:r>
      <w:r>
        <w:rPr>
          <w:rFonts w:cs="Arial"/>
          <w:sz w:val="22"/>
        </w:rPr>
        <w:tab/>
      </w:r>
      <w:r w:rsidRPr="0052586A">
        <w:rPr>
          <w:rFonts w:cs="Arial"/>
          <w:sz w:val="22"/>
        </w:rPr>
        <w:t xml:space="preserve">Everyone shall have the right to hold opinions without interference. </w:t>
      </w:r>
    </w:p>
    <w:p w14:paraId="49BAB4C4" w14:textId="77777777" w:rsidR="00E842D4" w:rsidRPr="0052586A" w:rsidRDefault="00E842D4" w:rsidP="00272F28">
      <w:pPr>
        <w:tabs>
          <w:tab w:val="left" w:pos="1701"/>
        </w:tabs>
        <w:spacing w:before="100" w:beforeAutospacing="1" w:after="100" w:afterAutospacing="1"/>
        <w:ind w:left="1616" w:hanging="261"/>
        <w:rPr>
          <w:rFonts w:cs="Arial"/>
          <w:sz w:val="22"/>
        </w:rPr>
      </w:pPr>
      <w:r w:rsidRPr="0052586A">
        <w:rPr>
          <w:rFonts w:cs="Arial"/>
          <w:sz w:val="22"/>
        </w:rPr>
        <w:t xml:space="preserve">2. </w:t>
      </w:r>
      <w:r>
        <w:rPr>
          <w:rFonts w:cs="Arial"/>
          <w:sz w:val="22"/>
        </w:rPr>
        <w:tab/>
      </w:r>
      <w:r w:rsidRPr="0052586A">
        <w:rPr>
          <w:rFonts w:cs="Arial"/>
          <w:sz w:val="22"/>
        </w:rPr>
        <w:t xml:space="preserve">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14:paraId="1AB5AE94" w14:textId="77777777" w:rsidR="00E842D4" w:rsidRPr="0052586A" w:rsidRDefault="00E842D4" w:rsidP="00272F28">
      <w:pPr>
        <w:tabs>
          <w:tab w:val="left" w:pos="1701"/>
        </w:tabs>
        <w:spacing w:before="100" w:beforeAutospacing="1" w:after="100" w:afterAutospacing="1"/>
        <w:ind w:left="1616" w:hanging="261"/>
        <w:rPr>
          <w:rFonts w:cs="Arial"/>
          <w:sz w:val="22"/>
        </w:rPr>
      </w:pPr>
      <w:r w:rsidRPr="0052586A">
        <w:rPr>
          <w:rFonts w:cs="Arial"/>
          <w:sz w:val="22"/>
        </w:rPr>
        <w:t xml:space="preserve">3. </w:t>
      </w:r>
      <w:r>
        <w:rPr>
          <w:rFonts w:cs="Arial"/>
          <w:sz w:val="22"/>
        </w:rPr>
        <w:tab/>
      </w:r>
      <w:r w:rsidRPr="0052586A">
        <w:rPr>
          <w:rFonts w:cs="Arial"/>
          <w:sz w:val="22"/>
        </w:rPr>
        <w:t xml:space="preserve">The exercise of the rights provided for in paragraph 2 of this article carries with it special duties and responsibilities. It may therefore be subject to certain restrictions, but these shall only be such as are provided by law and are necessary: </w:t>
      </w:r>
    </w:p>
    <w:p w14:paraId="46F72268" w14:textId="77777777" w:rsidR="00E842D4" w:rsidRPr="0052586A" w:rsidRDefault="00E842D4" w:rsidP="00272F28">
      <w:pPr>
        <w:tabs>
          <w:tab w:val="left" w:pos="2552"/>
        </w:tabs>
        <w:spacing w:before="100" w:beforeAutospacing="1" w:after="100" w:afterAutospacing="1"/>
        <w:ind w:left="2467" w:hanging="425"/>
        <w:rPr>
          <w:rFonts w:cs="Arial"/>
          <w:sz w:val="22"/>
        </w:rPr>
      </w:pPr>
      <w:r w:rsidRPr="0052586A">
        <w:rPr>
          <w:rFonts w:cs="Arial"/>
          <w:sz w:val="22"/>
        </w:rPr>
        <w:t xml:space="preserve">(a) </w:t>
      </w:r>
      <w:r>
        <w:rPr>
          <w:rFonts w:cs="Arial"/>
          <w:sz w:val="22"/>
        </w:rPr>
        <w:tab/>
      </w:r>
      <w:r w:rsidRPr="0052586A">
        <w:rPr>
          <w:rFonts w:cs="Arial"/>
          <w:sz w:val="22"/>
        </w:rPr>
        <w:t xml:space="preserve">For respect of the rights or reputations of others; </w:t>
      </w:r>
    </w:p>
    <w:p w14:paraId="11EFC3EE" w14:textId="77777777" w:rsidR="00E842D4" w:rsidRPr="00293753" w:rsidRDefault="00E842D4" w:rsidP="00272F28">
      <w:pPr>
        <w:tabs>
          <w:tab w:val="left" w:pos="2552"/>
        </w:tabs>
        <w:spacing w:before="100" w:beforeAutospacing="1" w:after="100" w:afterAutospacing="1"/>
        <w:ind w:left="2467" w:hanging="425"/>
        <w:rPr>
          <w:rFonts w:cs="Arial"/>
          <w:sz w:val="22"/>
        </w:rPr>
      </w:pPr>
      <w:r w:rsidRPr="0052586A">
        <w:rPr>
          <w:rFonts w:cs="Arial"/>
          <w:sz w:val="22"/>
        </w:rPr>
        <w:t>(b)</w:t>
      </w:r>
      <w:r>
        <w:rPr>
          <w:rFonts w:cs="Arial"/>
          <w:sz w:val="22"/>
        </w:rPr>
        <w:tab/>
      </w:r>
      <w:r w:rsidRPr="0052586A">
        <w:rPr>
          <w:rFonts w:cs="Arial"/>
          <w:sz w:val="22"/>
        </w:rPr>
        <w:t>For the protection of national security or of public order (</w:t>
      </w:r>
      <w:proofErr w:type="spellStart"/>
      <w:r w:rsidRPr="0052586A">
        <w:rPr>
          <w:rFonts w:cs="Arial"/>
          <w:i/>
          <w:iCs/>
          <w:sz w:val="22"/>
        </w:rPr>
        <w:t>ordre</w:t>
      </w:r>
      <w:proofErr w:type="spellEnd"/>
      <w:r w:rsidRPr="0052586A">
        <w:rPr>
          <w:rFonts w:cs="Arial"/>
          <w:i/>
          <w:iCs/>
          <w:sz w:val="22"/>
        </w:rPr>
        <w:t xml:space="preserve"> public</w:t>
      </w:r>
      <w:r w:rsidRPr="0052586A">
        <w:rPr>
          <w:rFonts w:cs="Arial"/>
          <w:sz w:val="22"/>
        </w:rPr>
        <w:t>),</w:t>
      </w:r>
      <w:r>
        <w:rPr>
          <w:rFonts w:cs="Arial"/>
          <w:sz w:val="22"/>
        </w:rPr>
        <w:t xml:space="preserve"> or of public health or morals.</w:t>
      </w:r>
    </w:p>
    <w:p w14:paraId="363C3443" w14:textId="44AD80B0" w:rsidR="00E842D4" w:rsidRDefault="00E842D4" w:rsidP="00E842D4">
      <w:pPr>
        <w:pStyle w:val="ListNumber"/>
        <w:tabs>
          <w:tab w:val="clear" w:pos="360"/>
        </w:tabs>
        <w:ind w:left="1094" w:hanging="737"/>
        <w:rPr>
          <w:rFonts w:cs="Open Sans"/>
        </w:rPr>
      </w:pPr>
      <w:r>
        <w:t>As the United Nations Human Rights Committee has observed, f</w:t>
      </w:r>
      <w:r w:rsidRPr="00D543C5">
        <w:t>reedom of expression is both ‘an indispensable condition for the full development of the person’ and ‘a necessary condition for the realization of the principles of transparency and accountability that are, in turn, essential for the promotion and protection of human rights</w:t>
      </w:r>
      <w:r w:rsidR="00375438">
        <w:t>’</w:t>
      </w:r>
      <w:r w:rsidRPr="00D543C5">
        <w:t>.</w:t>
      </w:r>
      <w:r w:rsidRPr="00D543C5">
        <w:rPr>
          <w:vertAlign w:val="superscript"/>
        </w:rPr>
        <w:endnoteReference w:id="8"/>
      </w:r>
      <w:r>
        <w:t xml:space="preserve">  Article 19 expressly protects both the freedom to impart information and the freedom to seek and receive it.  </w:t>
      </w:r>
    </w:p>
    <w:p w14:paraId="51EFCE58" w14:textId="77777777" w:rsidR="00EA109C" w:rsidRDefault="00E842D4" w:rsidP="00EA109C">
      <w:pPr>
        <w:pStyle w:val="ListNumber"/>
        <w:tabs>
          <w:tab w:val="clear" w:pos="360"/>
        </w:tabs>
        <w:ind w:left="1094" w:hanging="737"/>
        <w:rPr>
          <w:rFonts w:cs="Open Sans"/>
        </w:rPr>
      </w:pPr>
      <w:r>
        <w:t>The right to freedom of expression may only permissibly be limited for one of the purposes in article 19(3).</w:t>
      </w:r>
      <w:r>
        <w:rPr>
          <w:rStyle w:val="EndnoteReference"/>
        </w:rPr>
        <w:endnoteReference w:id="9"/>
      </w:r>
      <w:r>
        <w:t xml:space="preserve">  </w:t>
      </w:r>
      <w:r w:rsidR="00196C02">
        <w:t>These are where the restrictions in the law are necessary ‘for respect of the rights and reputation of others’</w:t>
      </w:r>
      <w:r w:rsidR="00196C02">
        <w:rPr>
          <w:rStyle w:val="EndnoteReference"/>
        </w:rPr>
        <w:endnoteReference w:id="10"/>
      </w:r>
      <w:r w:rsidR="00196C02">
        <w:t xml:space="preserve"> and ‘for the protection of national security or of public order, or of public health or morals’.</w:t>
      </w:r>
      <w:r w:rsidR="00196C02">
        <w:rPr>
          <w:rStyle w:val="EndnoteReference"/>
        </w:rPr>
        <w:endnoteReference w:id="11"/>
      </w:r>
      <w:r w:rsidR="00196C02">
        <w:t xml:space="preserve"> </w:t>
      </w:r>
      <w:r>
        <w:t>Further, any limitation must be:</w:t>
      </w:r>
    </w:p>
    <w:p w14:paraId="2A58F07A" w14:textId="4AB522FD" w:rsidR="00EA109C" w:rsidRDefault="00EA1BEA" w:rsidP="00B50E0C">
      <w:pPr>
        <w:pStyle w:val="ListNumber"/>
        <w:numPr>
          <w:ilvl w:val="0"/>
          <w:numId w:val="16"/>
        </w:numPr>
        <w:rPr>
          <w:rFonts w:cs="Open Sans"/>
        </w:rPr>
      </w:pPr>
      <w:r w:rsidRPr="00EA109C">
        <w:rPr>
          <w:bCs/>
          <w:i/>
          <w:iCs/>
        </w:rPr>
        <w:t>provided by law</w:t>
      </w:r>
      <w:r w:rsidRPr="00EA109C">
        <w:rPr>
          <w:b/>
        </w:rPr>
        <w:t xml:space="preserve"> </w:t>
      </w:r>
      <w:r>
        <w:t xml:space="preserve">— laws limiting the right must be </w:t>
      </w:r>
      <w:r w:rsidRPr="002C01EB">
        <w:t>made accessible to the public, and must provide sufficient guidance both to those executing the laws and to those whose conduct is being regulated</w:t>
      </w:r>
      <w:r w:rsidR="0036439C">
        <w:t>.</w:t>
      </w:r>
      <w:r w:rsidRPr="00747A75">
        <w:rPr>
          <w:sz w:val="20"/>
          <w:szCs w:val="20"/>
          <w:vertAlign w:val="superscript"/>
        </w:rPr>
        <w:endnoteReference w:id="12"/>
      </w:r>
      <w:r>
        <w:t xml:space="preserve"> </w:t>
      </w:r>
    </w:p>
    <w:p w14:paraId="293B022A" w14:textId="07F3ADA3" w:rsidR="00684E5F" w:rsidRPr="00EA109C" w:rsidRDefault="00EA1BEA" w:rsidP="00B50E0C">
      <w:pPr>
        <w:pStyle w:val="ListNumber"/>
        <w:numPr>
          <w:ilvl w:val="0"/>
          <w:numId w:val="16"/>
        </w:numPr>
        <w:rPr>
          <w:rFonts w:cs="Open Sans"/>
        </w:rPr>
      </w:pPr>
      <w:r w:rsidRPr="00EA109C">
        <w:rPr>
          <w:bCs/>
          <w:i/>
          <w:iCs/>
        </w:rPr>
        <w:t>necessary and proportionate</w:t>
      </w:r>
      <w:r>
        <w:t xml:space="preserve"> — to achieve a permissible purpose. At the very least, the law must restrict the right only to the absolute minimum degree necessary to achieve the legitimate purpose for the law.</w:t>
      </w:r>
      <w:r>
        <w:rPr>
          <w:rStyle w:val="EndnoteReference"/>
        </w:rPr>
        <w:endnoteReference w:id="13"/>
      </w:r>
      <w:r>
        <w:t xml:space="preserve">  </w:t>
      </w:r>
    </w:p>
    <w:p w14:paraId="32F2CE1A" w14:textId="77777777" w:rsidR="006A2F11" w:rsidRDefault="00C8510B" w:rsidP="006A2F11">
      <w:pPr>
        <w:pStyle w:val="ListNumber"/>
        <w:tabs>
          <w:tab w:val="clear" w:pos="360"/>
        </w:tabs>
        <w:ind w:left="1094" w:hanging="737"/>
        <w:rPr>
          <w:rFonts w:cs="Open Sans"/>
        </w:rPr>
      </w:pPr>
      <w:r w:rsidRPr="00991123">
        <w:t xml:space="preserve">The </w:t>
      </w:r>
      <w:r>
        <w:t>United Nations Human Rights Committee</w:t>
      </w:r>
      <w:r w:rsidRPr="00991123">
        <w:t xml:space="preserve"> </w:t>
      </w:r>
      <w:r>
        <w:t>observed</w:t>
      </w:r>
      <w:r w:rsidRPr="00991123">
        <w:t xml:space="preserve"> in </w:t>
      </w:r>
      <w:r>
        <w:t>its commentary on the right to freedom of expression, that:</w:t>
      </w:r>
    </w:p>
    <w:p w14:paraId="6FA9D8BF" w14:textId="03157DAC" w:rsidR="00C8510B" w:rsidRPr="006A2F11" w:rsidRDefault="00C8510B" w:rsidP="006A2F11">
      <w:pPr>
        <w:pStyle w:val="ListNumber"/>
        <w:numPr>
          <w:ilvl w:val="0"/>
          <w:numId w:val="0"/>
        </w:numPr>
        <w:ind w:left="1440"/>
        <w:rPr>
          <w:sz w:val="22"/>
          <w:szCs w:val="22"/>
        </w:rPr>
      </w:pPr>
      <w:r w:rsidRPr="006A2F11">
        <w:rPr>
          <w:sz w:val="22"/>
          <w:szCs w:val="22"/>
        </w:rPr>
        <w:t>Extreme care must be taken by States parties to ensure that treason laws and similar provisions relating to national security, whether described as official secrets or sedition laws or otherwise, are crafted and applied in a manner that conforms to the strict requirements of paragraph 3 [of article 19]. It is not compatible with paragraph 3, for instance, to invoke such laws to suppress or withhold from the public information of legitimate public interest that does not harm national security or to prosecute journalists, researchers, environmental activists, human rights defenders, or others, for having disseminated such information.</w:t>
      </w:r>
      <w:r w:rsidRPr="00330C6B">
        <w:rPr>
          <w:sz w:val="20"/>
          <w:szCs w:val="20"/>
          <w:vertAlign w:val="superscript"/>
        </w:rPr>
        <w:endnoteReference w:id="14"/>
      </w:r>
    </w:p>
    <w:p w14:paraId="34BD0ED9" w14:textId="79288A9C" w:rsidR="00CE458E" w:rsidRDefault="00E842D4" w:rsidP="00CE458E">
      <w:pPr>
        <w:pStyle w:val="ListNumber"/>
        <w:tabs>
          <w:tab w:val="clear" w:pos="360"/>
        </w:tabs>
        <w:ind w:left="1094" w:hanging="737"/>
        <w:rPr>
          <w:rFonts w:cs="Open Sans"/>
        </w:rPr>
      </w:pPr>
      <w:r>
        <w:t>While national security may justify some secrecy laws,</w:t>
      </w:r>
      <w:r>
        <w:rPr>
          <w:rStyle w:val="EndnoteReference"/>
        </w:rPr>
        <w:endnoteReference w:id="15"/>
      </w:r>
      <w:r>
        <w:t xml:space="preserve"> those laws must comply with the general principles above. In particular, adequate safeguards </w:t>
      </w:r>
      <w:r w:rsidRPr="005873C4">
        <w:t>must be put in place. ‘National security’ should not be invoked to prevent merely local or relatively isolated threats to law and order, and provision should be made for whistleblowers – in particular in relation to disclosures of human rights violations.</w:t>
      </w:r>
      <w:r w:rsidRPr="005873C4">
        <w:rPr>
          <w:rStyle w:val="EndnoteReference"/>
        </w:rPr>
        <w:endnoteReference w:id="16"/>
      </w:r>
      <w:r>
        <w:t xml:space="preserve">  </w:t>
      </w:r>
    </w:p>
    <w:p w14:paraId="62DCF73A" w14:textId="29FB1CD5" w:rsidR="00CE458E" w:rsidRDefault="00CE458E" w:rsidP="00F973C5">
      <w:pPr>
        <w:pStyle w:val="Heading2"/>
      </w:pPr>
      <w:bookmarkStart w:id="37" w:name="_Toc160780326"/>
      <w:r>
        <w:t>The right</w:t>
      </w:r>
      <w:r w:rsidRPr="00CE458E">
        <w:t xml:space="preserve"> to</w:t>
      </w:r>
      <w:r w:rsidR="00B850C9">
        <w:t xml:space="preserve"> presumption of innocence</w:t>
      </w:r>
      <w:bookmarkEnd w:id="37"/>
      <w:r w:rsidRPr="00CE458E">
        <w:t xml:space="preserve"> </w:t>
      </w:r>
    </w:p>
    <w:p w14:paraId="00E1B714" w14:textId="31DF1D73" w:rsidR="00CE458E" w:rsidRPr="005C181A" w:rsidRDefault="000A54A0" w:rsidP="00CE458E">
      <w:pPr>
        <w:pStyle w:val="ListNumber"/>
        <w:tabs>
          <w:tab w:val="clear" w:pos="360"/>
        </w:tabs>
        <w:ind w:left="1094" w:hanging="737"/>
        <w:rPr>
          <w:rFonts w:cs="Open Sans"/>
        </w:rPr>
      </w:pPr>
      <w:r w:rsidRPr="005C181A">
        <w:t xml:space="preserve">Article 14(2) of the ICCPR provides that </w:t>
      </w:r>
      <w:r w:rsidR="00EA0158" w:rsidRPr="005C181A">
        <w:t>‘</w:t>
      </w:r>
      <w:r w:rsidRPr="005C181A">
        <w:t>everyone charged with a criminal offence shall have the right to be presumed innocent until proved guilty according to law</w:t>
      </w:r>
      <w:r w:rsidR="004F0FCB" w:rsidRPr="005C181A">
        <w:t>’.</w:t>
      </w:r>
    </w:p>
    <w:p w14:paraId="3BA543D3" w14:textId="77777777" w:rsidR="00296D4C" w:rsidRPr="00296D4C" w:rsidRDefault="002301D8" w:rsidP="00CE458E">
      <w:pPr>
        <w:pStyle w:val="ListNumber"/>
        <w:tabs>
          <w:tab w:val="clear" w:pos="360"/>
        </w:tabs>
        <w:ind w:left="1094" w:hanging="737"/>
        <w:rPr>
          <w:rFonts w:cs="Open Sans"/>
        </w:rPr>
      </w:pPr>
      <w:r w:rsidRPr="005C181A">
        <w:rPr>
          <w:rFonts w:cs="Open Sans"/>
          <w:shd w:val="clear" w:color="auto" w:fill="FFFFFF"/>
        </w:rPr>
        <w:t>The UN Human Rights Committee has stated that</w:t>
      </w:r>
      <w:r w:rsidR="00296D4C">
        <w:rPr>
          <w:rFonts w:cs="Open Sans"/>
          <w:shd w:val="clear" w:color="auto" w:fill="FFFFFF"/>
        </w:rPr>
        <w:t>:</w:t>
      </w:r>
    </w:p>
    <w:p w14:paraId="2A6BBD23" w14:textId="07333AFA" w:rsidR="00296D4C" w:rsidRPr="00BB1796" w:rsidRDefault="00063486" w:rsidP="00BB1796">
      <w:pPr>
        <w:pStyle w:val="ListNumber"/>
        <w:numPr>
          <w:ilvl w:val="0"/>
          <w:numId w:val="0"/>
        </w:numPr>
        <w:ind w:left="1440"/>
        <w:rPr>
          <w:rFonts w:cs="Open Sans"/>
          <w:sz w:val="22"/>
          <w:szCs w:val="22"/>
        </w:rPr>
      </w:pPr>
      <w:r w:rsidRPr="00063486">
        <w:rPr>
          <w:rFonts w:cs="Open Sans"/>
          <w:sz w:val="22"/>
          <w:szCs w:val="22"/>
        </w:rPr>
        <w:t>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0048503A">
        <w:rPr>
          <w:rStyle w:val="EndnoteReference"/>
          <w:rFonts w:cs="Open Sans"/>
          <w:szCs w:val="22"/>
        </w:rPr>
        <w:endnoteReference w:id="17"/>
      </w:r>
    </w:p>
    <w:p w14:paraId="5F10099C" w14:textId="2614F914" w:rsidR="002B26A8" w:rsidRPr="00115570" w:rsidRDefault="006F7A18" w:rsidP="00115570">
      <w:pPr>
        <w:pStyle w:val="ListNumber"/>
        <w:tabs>
          <w:tab w:val="clear" w:pos="360"/>
        </w:tabs>
        <w:ind w:left="1094" w:hanging="737"/>
        <w:rPr>
          <w:rFonts w:cs="Open Sans"/>
        </w:rPr>
      </w:pPr>
      <w:r>
        <w:rPr>
          <w:rFonts w:cs="Open Sans"/>
        </w:rPr>
        <w:t xml:space="preserve">Section </w:t>
      </w:r>
      <w:r w:rsidR="00E170F6">
        <w:rPr>
          <w:rFonts w:cs="Open Sans"/>
        </w:rPr>
        <w:t>122.</w:t>
      </w:r>
      <w:r w:rsidR="00C667D4">
        <w:rPr>
          <w:rFonts w:cs="Open Sans"/>
        </w:rPr>
        <w:t>5(6)</w:t>
      </w:r>
      <w:r w:rsidR="00E170F6">
        <w:rPr>
          <w:rFonts w:cs="Open Sans"/>
        </w:rPr>
        <w:t xml:space="preserve"> of Part 5.6 of the Criminal Code provides for a </w:t>
      </w:r>
      <w:r w:rsidR="00C667D4">
        <w:rPr>
          <w:rFonts w:cs="Open Sans"/>
        </w:rPr>
        <w:t xml:space="preserve">defence for a </w:t>
      </w:r>
      <w:r w:rsidR="0002224C">
        <w:rPr>
          <w:rFonts w:cs="Open Sans"/>
        </w:rPr>
        <w:t>‘</w:t>
      </w:r>
      <w:r w:rsidR="00C667D4">
        <w:rPr>
          <w:rFonts w:cs="Open Sans"/>
        </w:rPr>
        <w:t>person engaged in the business of reporting news</w:t>
      </w:r>
      <w:r w:rsidR="0002224C">
        <w:rPr>
          <w:rFonts w:cs="Open Sans"/>
        </w:rPr>
        <w:t>’</w:t>
      </w:r>
      <w:r w:rsidR="00C667D4">
        <w:rPr>
          <w:rFonts w:cs="Open Sans"/>
        </w:rPr>
        <w:t xml:space="preserve">. </w:t>
      </w:r>
      <w:r w:rsidR="00AF18CB">
        <w:rPr>
          <w:rFonts w:cs="Open Sans"/>
        </w:rPr>
        <w:t xml:space="preserve">Relevantly, the defence places the evidentiary burden on the defendant </w:t>
      </w:r>
      <w:r w:rsidR="001D56B2">
        <w:rPr>
          <w:rFonts w:cs="Open Sans"/>
        </w:rPr>
        <w:t>to</w:t>
      </w:r>
      <w:r w:rsidR="00F76481">
        <w:rPr>
          <w:rFonts w:cs="Open Sans"/>
        </w:rPr>
        <w:t xml:space="preserve"> </w:t>
      </w:r>
      <w:r w:rsidR="001C0411">
        <w:rPr>
          <w:rFonts w:cs="Open Sans"/>
        </w:rPr>
        <w:t>show</w:t>
      </w:r>
      <w:r w:rsidR="00F76481">
        <w:rPr>
          <w:rFonts w:cs="Open Sans"/>
        </w:rPr>
        <w:t xml:space="preserve"> that</w:t>
      </w:r>
      <w:r w:rsidR="00EB7768">
        <w:rPr>
          <w:rFonts w:cs="Open Sans"/>
        </w:rPr>
        <w:t xml:space="preserve"> </w:t>
      </w:r>
      <w:r w:rsidR="00EF3E68">
        <w:rPr>
          <w:rFonts w:cs="Open Sans"/>
        </w:rPr>
        <w:t>they</w:t>
      </w:r>
      <w:r w:rsidR="00EB7768">
        <w:rPr>
          <w:rFonts w:cs="Open Sans"/>
        </w:rPr>
        <w:t xml:space="preserve"> </w:t>
      </w:r>
      <w:r w:rsidR="001C0411">
        <w:rPr>
          <w:rFonts w:cs="Open Sans"/>
        </w:rPr>
        <w:t>‘</w:t>
      </w:r>
      <w:r w:rsidR="00EB7768">
        <w:rPr>
          <w:rFonts w:cs="Open Sans"/>
        </w:rPr>
        <w:t>reasonably believed</w:t>
      </w:r>
      <w:r w:rsidR="001C0411">
        <w:rPr>
          <w:rFonts w:cs="Open Sans"/>
        </w:rPr>
        <w:t>’</w:t>
      </w:r>
      <w:r w:rsidR="00EB7768">
        <w:rPr>
          <w:rFonts w:cs="Open Sans"/>
        </w:rPr>
        <w:t xml:space="preserve"> that engaging in the conduct was in the </w:t>
      </w:r>
      <w:r w:rsidR="001C0411">
        <w:rPr>
          <w:rFonts w:cs="Open Sans"/>
        </w:rPr>
        <w:t>‘</w:t>
      </w:r>
      <w:r w:rsidR="00EB7768">
        <w:rPr>
          <w:rFonts w:cs="Open Sans"/>
        </w:rPr>
        <w:t>public interest</w:t>
      </w:r>
      <w:r w:rsidR="001C0411">
        <w:rPr>
          <w:rFonts w:cs="Open Sans"/>
        </w:rPr>
        <w:t>’</w:t>
      </w:r>
      <w:r w:rsidR="00A23152">
        <w:rPr>
          <w:rFonts w:cs="Open Sans"/>
        </w:rPr>
        <w:t>.</w:t>
      </w:r>
      <w:r w:rsidR="00C14697">
        <w:rPr>
          <w:rFonts w:cs="Open Sans"/>
        </w:rPr>
        <w:t xml:space="preserve"> </w:t>
      </w:r>
      <w:r w:rsidR="00D34529" w:rsidRPr="00C14697">
        <w:rPr>
          <w:rFonts w:cs="Open Sans"/>
        </w:rPr>
        <w:t xml:space="preserve">This reverse onus provision </w:t>
      </w:r>
      <w:r w:rsidR="00BC615F" w:rsidRPr="00C14697">
        <w:rPr>
          <w:rFonts w:cs="Open Sans"/>
        </w:rPr>
        <w:t xml:space="preserve">shifts the burden of proof </w:t>
      </w:r>
      <w:r w:rsidR="00DE6FC9" w:rsidRPr="00C14697">
        <w:rPr>
          <w:rFonts w:cs="Open Sans"/>
        </w:rPr>
        <w:t xml:space="preserve">in relation to this </w:t>
      </w:r>
      <w:r w:rsidR="007479D1">
        <w:rPr>
          <w:rFonts w:cs="Open Sans"/>
        </w:rPr>
        <w:t>element</w:t>
      </w:r>
      <w:r w:rsidR="00EF47DC">
        <w:rPr>
          <w:rFonts w:cs="Open Sans"/>
        </w:rPr>
        <w:t xml:space="preserve"> and </w:t>
      </w:r>
      <w:r w:rsidR="00D71DB3">
        <w:rPr>
          <w:rFonts w:cs="Open Sans"/>
        </w:rPr>
        <w:t xml:space="preserve">may </w:t>
      </w:r>
      <w:r w:rsidR="00EF47DC">
        <w:rPr>
          <w:rFonts w:cs="Open Sans"/>
        </w:rPr>
        <w:t xml:space="preserve">engage the right </w:t>
      </w:r>
      <w:r w:rsidR="002B26A8">
        <w:rPr>
          <w:rFonts w:cs="Open Sans"/>
        </w:rPr>
        <w:t xml:space="preserve">to presumption of innocence under </w:t>
      </w:r>
      <w:r w:rsidR="00623728">
        <w:rPr>
          <w:rFonts w:cs="Open Sans"/>
        </w:rPr>
        <w:t>a</w:t>
      </w:r>
      <w:r w:rsidR="002B26A8">
        <w:rPr>
          <w:rFonts w:cs="Open Sans"/>
        </w:rPr>
        <w:t xml:space="preserve">rticle 14(2). </w:t>
      </w:r>
    </w:p>
    <w:p w14:paraId="41A4FAF7" w14:textId="0DA44B09" w:rsidR="00233339" w:rsidRDefault="00847959" w:rsidP="00C14697">
      <w:pPr>
        <w:pStyle w:val="ListNumber"/>
        <w:tabs>
          <w:tab w:val="clear" w:pos="360"/>
        </w:tabs>
        <w:ind w:left="1094" w:hanging="737"/>
        <w:rPr>
          <w:rFonts w:cs="Open Sans"/>
        </w:rPr>
      </w:pPr>
      <w:r w:rsidRPr="00C14697">
        <w:rPr>
          <w:rFonts w:cs="Open Sans"/>
        </w:rPr>
        <w:t>Under international human rights law, a reverse onus provision will not necessarily violate the presumption of innocence</w:t>
      </w:r>
      <w:r w:rsidR="006B17F3">
        <w:rPr>
          <w:rFonts w:cs="Open Sans"/>
        </w:rPr>
        <w:t xml:space="preserve"> </w:t>
      </w:r>
      <w:r w:rsidR="00703EF9">
        <w:t>if</w:t>
      </w:r>
      <w:r w:rsidR="00233339">
        <w:t xml:space="preserve"> </w:t>
      </w:r>
      <w:r w:rsidR="006D43FE">
        <w:t>it is</w:t>
      </w:r>
      <w:r w:rsidR="00233339">
        <w:t xml:space="preserve"> shown to be reasonable, necessary and proportionate in pursuit of a legitimate objective. </w:t>
      </w:r>
      <w:r w:rsidR="00B71C3F">
        <w:t>However, c</w:t>
      </w:r>
      <w:r w:rsidR="006D43FE">
        <w:t>laims</w:t>
      </w:r>
      <w:r w:rsidR="00233339">
        <w:t xml:space="preserve"> of greater convenience or ease for the prosecution in proving a case will be insufficient, in and of themselves, to justify a limitation on the defendant</w:t>
      </w:r>
      <w:r w:rsidR="00C84875">
        <w:t>’</w:t>
      </w:r>
      <w:r w:rsidR="00233339">
        <w:t>s right to be presumed innocent</w:t>
      </w:r>
      <w:r w:rsidR="009D608D">
        <w:t>’</w:t>
      </w:r>
      <w:r w:rsidR="00233339">
        <w:t>.</w:t>
      </w:r>
      <w:r w:rsidR="00591307">
        <w:rPr>
          <w:rStyle w:val="EndnoteReference"/>
        </w:rPr>
        <w:endnoteReference w:id="18"/>
      </w:r>
    </w:p>
    <w:p w14:paraId="7366440F" w14:textId="585906E7" w:rsidR="002509D8" w:rsidRPr="002509D8" w:rsidRDefault="00943A47" w:rsidP="00191523">
      <w:pPr>
        <w:pStyle w:val="Heading1"/>
      </w:pPr>
      <w:bookmarkStart w:id="38" w:name="_Toc160780327"/>
      <w:r>
        <w:t>Broad scope of secrecy offence</w:t>
      </w:r>
      <w:r w:rsidR="00115408">
        <w:t>s</w:t>
      </w:r>
      <w:bookmarkEnd w:id="38"/>
    </w:p>
    <w:p w14:paraId="516F8B41" w14:textId="62929C90" w:rsidR="00BB6A84" w:rsidRPr="00BB6A84" w:rsidRDefault="00F43C27" w:rsidP="00F43C27">
      <w:pPr>
        <w:pStyle w:val="Heading2"/>
      </w:pPr>
      <w:bookmarkStart w:id="39" w:name="_Toc160780328"/>
      <w:r>
        <w:t>Key definitions</w:t>
      </w:r>
      <w:bookmarkEnd w:id="39"/>
    </w:p>
    <w:p w14:paraId="1A10FD41" w14:textId="5EE330F1" w:rsidR="0014654B" w:rsidRPr="0014654B" w:rsidRDefault="0014654B" w:rsidP="00EC02DF">
      <w:pPr>
        <w:pStyle w:val="ListNumber"/>
        <w:tabs>
          <w:tab w:val="clear" w:pos="360"/>
        </w:tabs>
        <w:ind w:left="1094" w:hanging="737"/>
        <w:rPr>
          <w:rFonts w:cs="Open Sans"/>
        </w:rPr>
      </w:pPr>
      <w:r>
        <w:t xml:space="preserve">Part 5.6 of the Criminal Code contains 11 </w:t>
      </w:r>
      <w:r w:rsidR="0009202A">
        <w:t xml:space="preserve">general </w:t>
      </w:r>
      <w:r>
        <w:t>secrecy offences</w:t>
      </w:r>
      <w:r w:rsidR="00B1562E">
        <w:t>:</w:t>
      </w:r>
      <w:r w:rsidR="004323A2">
        <w:t xml:space="preserve"> </w:t>
      </w:r>
      <w:r w:rsidR="00D1042E">
        <w:t>9</w:t>
      </w:r>
      <w:r w:rsidR="005E656B">
        <w:t> </w:t>
      </w:r>
      <w:r w:rsidR="00D1042E">
        <w:t xml:space="preserve">that apply to </w:t>
      </w:r>
      <w:r w:rsidR="00F31B14">
        <w:t xml:space="preserve">current and former </w:t>
      </w:r>
      <w:r w:rsidR="00D1042E">
        <w:t>Commonwealth officers (including contractors) and 2</w:t>
      </w:r>
      <w:r w:rsidR="005E656B">
        <w:t> </w:t>
      </w:r>
      <w:r w:rsidR="00D1042E">
        <w:t xml:space="preserve">that apply to non-Commonwealth officers. </w:t>
      </w:r>
    </w:p>
    <w:p w14:paraId="257822FA" w14:textId="73F6BBAB" w:rsidR="006A5BEA" w:rsidRPr="00D96B17" w:rsidRDefault="003C3D7B" w:rsidP="00D96B17">
      <w:pPr>
        <w:pStyle w:val="ListNumber"/>
        <w:tabs>
          <w:tab w:val="clear" w:pos="360"/>
        </w:tabs>
        <w:ind w:left="1094" w:hanging="737"/>
        <w:rPr>
          <w:rFonts w:cs="Open Sans"/>
        </w:rPr>
      </w:pPr>
      <w:r>
        <w:t>S</w:t>
      </w:r>
      <w:r w:rsidR="000313D2">
        <w:t xml:space="preserve">ections 122.1 </w:t>
      </w:r>
      <w:r w:rsidR="00281A83">
        <w:t>and 122.2</w:t>
      </w:r>
      <w:r w:rsidR="00AF3C10">
        <w:t xml:space="preserve"> </w:t>
      </w:r>
      <w:r w:rsidR="00AF7461">
        <w:t>provide for</w:t>
      </w:r>
      <w:r w:rsidR="00AF3C10">
        <w:t xml:space="preserve"> the most serious offences </w:t>
      </w:r>
      <w:r w:rsidR="00A10949">
        <w:t xml:space="preserve">and </w:t>
      </w:r>
      <w:r w:rsidR="003D7DB0">
        <w:t xml:space="preserve">apply to </w:t>
      </w:r>
      <w:r w:rsidR="00E15F22">
        <w:t xml:space="preserve">current and former </w:t>
      </w:r>
      <w:r w:rsidR="003D7DB0">
        <w:t>Commonwealth offic</w:t>
      </w:r>
      <w:r w:rsidR="00A10949">
        <w:t>er</w:t>
      </w:r>
      <w:r w:rsidR="003D7DB0">
        <w:t xml:space="preserve">s </w:t>
      </w:r>
      <w:r w:rsidR="005E135C">
        <w:t xml:space="preserve">who disclose or otherwise deal with ‘inherently harmful information’ or where </w:t>
      </w:r>
      <w:r w:rsidR="00E15F22">
        <w:t xml:space="preserve">the </w:t>
      </w:r>
      <w:r w:rsidR="007F7117">
        <w:t>disclosure</w:t>
      </w:r>
      <w:r w:rsidR="00A17A15">
        <w:t xml:space="preserve"> or other conduct</w:t>
      </w:r>
      <w:r w:rsidR="005E135C">
        <w:t xml:space="preserve"> ‘causes harm to Australia’s interests’</w:t>
      </w:r>
      <w:r w:rsidR="00D96B17">
        <w:t xml:space="preserve">. </w:t>
      </w:r>
      <w:r w:rsidR="00BF370A">
        <w:t xml:space="preserve"> </w:t>
      </w:r>
    </w:p>
    <w:p w14:paraId="3C2FF745" w14:textId="5B8A837C" w:rsidR="00AA5C01" w:rsidRDefault="00115755" w:rsidP="00AA5C01">
      <w:pPr>
        <w:pStyle w:val="ListNumber"/>
        <w:tabs>
          <w:tab w:val="clear" w:pos="360"/>
        </w:tabs>
        <w:ind w:left="1094" w:hanging="737"/>
        <w:rPr>
          <w:rFonts w:cs="Open Sans"/>
        </w:rPr>
      </w:pPr>
      <w:r w:rsidRPr="009D4804">
        <w:rPr>
          <w:rFonts w:cs="Open Sans"/>
        </w:rPr>
        <w:t xml:space="preserve">Section </w:t>
      </w:r>
      <w:r w:rsidR="00192802" w:rsidRPr="009D4804">
        <w:rPr>
          <w:rFonts w:cs="Open Sans"/>
        </w:rPr>
        <w:t xml:space="preserve">121.1 </w:t>
      </w:r>
      <w:r w:rsidR="00E8150C" w:rsidRPr="009D4804">
        <w:rPr>
          <w:rFonts w:cs="Open Sans"/>
        </w:rPr>
        <w:t>defines</w:t>
      </w:r>
      <w:r w:rsidR="00192802" w:rsidRPr="009D4804">
        <w:rPr>
          <w:rFonts w:cs="Open Sans"/>
        </w:rPr>
        <w:t xml:space="preserve"> </w:t>
      </w:r>
      <w:r w:rsidR="00133C61" w:rsidRPr="009D4804">
        <w:rPr>
          <w:rFonts w:cs="Open Sans"/>
        </w:rPr>
        <w:t>‘</w:t>
      </w:r>
      <w:r w:rsidR="00133C61" w:rsidRPr="00E225C2">
        <w:rPr>
          <w:rFonts w:cs="Open Sans"/>
          <w:b/>
          <w:bCs/>
        </w:rPr>
        <w:t>inherently harmful information</w:t>
      </w:r>
      <w:r w:rsidR="00133C61" w:rsidRPr="000A7113">
        <w:rPr>
          <w:rFonts w:cs="Open Sans"/>
        </w:rPr>
        <w:t>’</w:t>
      </w:r>
      <w:r w:rsidR="00133C61" w:rsidRPr="009D4804">
        <w:rPr>
          <w:rFonts w:cs="Open Sans"/>
        </w:rPr>
        <w:t xml:space="preserve"> </w:t>
      </w:r>
      <w:r w:rsidR="00E8150C" w:rsidRPr="009D4804">
        <w:rPr>
          <w:rFonts w:cs="Open Sans"/>
        </w:rPr>
        <w:t xml:space="preserve">to </w:t>
      </w:r>
      <w:r w:rsidR="006537DB">
        <w:rPr>
          <w:rFonts w:cs="Open Sans"/>
        </w:rPr>
        <w:t>mean</w:t>
      </w:r>
      <w:r w:rsidR="00460A90" w:rsidRPr="009D4804">
        <w:rPr>
          <w:rFonts w:cs="Open Sans"/>
        </w:rPr>
        <w:t>:</w:t>
      </w:r>
    </w:p>
    <w:p w14:paraId="5E2E03BC" w14:textId="6BE30955" w:rsidR="00AA5C01" w:rsidRPr="00485D59" w:rsidRDefault="00B45E97" w:rsidP="00B50E0C">
      <w:pPr>
        <w:pStyle w:val="ListNumber"/>
        <w:numPr>
          <w:ilvl w:val="0"/>
          <w:numId w:val="17"/>
        </w:numPr>
        <w:rPr>
          <w:rFonts w:cs="Open Sans"/>
          <w:sz w:val="22"/>
          <w:szCs w:val="22"/>
        </w:rPr>
      </w:pPr>
      <w:r>
        <w:rPr>
          <w:rFonts w:cs="Open Sans"/>
          <w:sz w:val="22"/>
          <w:szCs w:val="22"/>
        </w:rPr>
        <w:t>s</w:t>
      </w:r>
      <w:r w:rsidR="00460A90" w:rsidRPr="00485D59">
        <w:rPr>
          <w:rFonts w:cs="Open Sans"/>
          <w:sz w:val="22"/>
          <w:szCs w:val="22"/>
        </w:rPr>
        <w:t>ecurity classified information</w:t>
      </w:r>
      <w:r w:rsidR="00F80B20" w:rsidRPr="00485D59">
        <w:rPr>
          <w:rFonts w:cs="Open Sans"/>
          <w:sz w:val="22"/>
          <w:szCs w:val="22"/>
        </w:rPr>
        <w:t>;</w:t>
      </w:r>
      <w:r w:rsidR="00460A90" w:rsidRPr="00485D59">
        <w:rPr>
          <w:rFonts w:cs="Open Sans"/>
          <w:sz w:val="22"/>
          <w:szCs w:val="22"/>
        </w:rPr>
        <w:t xml:space="preserve"> </w:t>
      </w:r>
    </w:p>
    <w:p w14:paraId="2F5CBD76" w14:textId="721F7624" w:rsidR="00AA5C01" w:rsidRPr="00485D59" w:rsidRDefault="00460A90" w:rsidP="00B50E0C">
      <w:pPr>
        <w:pStyle w:val="ListNumber"/>
        <w:numPr>
          <w:ilvl w:val="0"/>
          <w:numId w:val="17"/>
        </w:numPr>
        <w:rPr>
          <w:rFonts w:cs="Open Sans"/>
          <w:sz w:val="22"/>
          <w:szCs w:val="22"/>
        </w:rPr>
      </w:pPr>
      <w:r w:rsidRPr="00485D59">
        <w:rPr>
          <w:rFonts w:cs="Open Sans"/>
          <w:color w:val="000000"/>
          <w:sz w:val="22"/>
          <w:szCs w:val="22"/>
        </w:rPr>
        <w:t>information that was obtained by, or made by or on behalf of, a domestic intelligence agency or a foreign intelligence agency in connection with the agency’s functions</w:t>
      </w:r>
      <w:r w:rsidR="00F80B20" w:rsidRPr="00485D59">
        <w:rPr>
          <w:rFonts w:cs="Open Sans"/>
          <w:color w:val="000000"/>
          <w:sz w:val="22"/>
          <w:szCs w:val="22"/>
        </w:rPr>
        <w:t>;</w:t>
      </w:r>
    </w:p>
    <w:p w14:paraId="1B73FD29" w14:textId="56DE75DF" w:rsidR="002716E5" w:rsidRPr="00485D59" w:rsidRDefault="00951C42" w:rsidP="00B50E0C">
      <w:pPr>
        <w:pStyle w:val="ListNumber"/>
        <w:numPr>
          <w:ilvl w:val="0"/>
          <w:numId w:val="17"/>
        </w:numPr>
        <w:rPr>
          <w:rFonts w:cs="Open Sans"/>
          <w:sz w:val="22"/>
          <w:szCs w:val="22"/>
        </w:rPr>
      </w:pPr>
      <w:r w:rsidRPr="00485D59">
        <w:rPr>
          <w:rFonts w:cs="Open Sans"/>
          <w:color w:val="000000"/>
          <w:sz w:val="22"/>
          <w:szCs w:val="22"/>
        </w:rPr>
        <w:t>information relating to the operations, capabilities or technologies of, or methods or sources used by, a domestic or foreign law enforcement agency.</w:t>
      </w:r>
    </w:p>
    <w:p w14:paraId="417A3DB2" w14:textId="3E533BE7" w:rsidR="00AA5C01" w:rsidRDefault="00727696" w:rsidP="00AA5C01">
      <w:pPr>
        <w:pStyle w:val="ListNumber"/>
        <w:tabs>
          <w:tab w:val="clear" w:pos="360"/>
        </w:tabs>
        <w:ind w:left="1094" w:hanging="737"/>
        <w:rPr>
          <w:rFonts w:cs="Open Sans"/>
        </w:rPr>
      </w:pPr>
      <w:r>
        <w:rPr>
          <w:rFonts w:cs="Open Sans"/>
        </w:rPr>
        <w:t xml:space="preserve">In the same section, </w:t>
      </w:r>
      <w:proofErr w:type="spellStart"/>
      <w:r w:rsidR="00EC5174" w:rsidRPr="009D4804">
        <w:rPr>
          <w:rFonts w:cs="Open Sans"/>
        </w:rPr>
        <w:t>‘</w:t>
      </w:r>
      <w:r w:rsidR="00EC5174" w:rsidRPr="00E225C2">
        <w:rPr>
          <w:rFonts w:cs="Open Sans"/>
          <w:b/>
          <w:bCs/>
        </w:rPr>
        <w:t>cause</w:t>
      </w:r>
      <w:proofErr w:type="spellEnd"/>
      <w:r w:rsidR="00EC5174" w:rsidRPr="00E225C2">
        <w:rPr>
          <w:rFonts w:cs="Open Sans"/>
          <w:b/>
          <w:bCs/>
        </w:rPr>
        <w:t xml:space="preserve"> harm to Australia’s interests</w:t>
      </w:r>
      <w:r w:rsidR="00EC5174" w:rsidRPr="006517BD">
        <w:rPr>
          <w:rFonts w:cs="Open Sans"/>
        </w:rPr>
        <w:t>’</w:t>
      </w:r>
      <w:r w:rsidR="00EC5174" w:rsidRPr="009D4804">
        <w:rPr>
          <w:rFonts w:cs="Open Sans"/>
        </w:rPr>
        <w:t xml:space="preserve"> </w:t>
      </w:r>
      <w:r w:rsidR="00AB73E7">
        <w:rPr>
          <w:rFonts w:cs="Open Sans"/>
        </w:rPr>
        <w:t>means to</w:t>
      </w:r>
      <w:r w:rsidR="00D215B9" w:rsidRPr="009D4804">
        <w:rPr>
          <w:rFonts w:cs="Open Sans"/>
        </w:rPr>
        <w:t>:</w:t>
      </w:r>
    </w:p>
    <w:p w14:paraId="71AE9384" w14:textId="77777777" w:rsidR="00AA5C01" w:rsidRPr="00485D59" w:rsidRDefault="00D215B9" w:rsidP="00B50E0C">
      <w:pPr>
        <w:pStyle w:val="ListNumber"/>
        <w:numPr>
          <w:ilvl w:val="0"/>
          <w:numId w:val="18"/>
        </w:numPr>
        <w:rPr>
          <w:rFonts w:cs="Open Sans"/>
          <w:sz w:val="22"/>
          <w:szCs w:val="22"/>
        </w:rPr>
      </w:pPr>
      <w:r w:rsidRPr="00485D59">
        <w:rPr>
          <w:rFonts w:cs="Open Sans"/>
          <w:color w:val="000000"/>
          <w:sz w:val="22"/>
          <w:szCs w:val="22"/>
        </w:rPr>
        <w:t>interfere with or prejudice the prevention, detection, investigation, prosecution or punishment of a criminal offence against a law of the Commonwealth; or</w:t>
      </w:r>
    </w:p>
    <w:p w14:paraId="402DF018" w14:textId="77777777" w:rsidR="00AA5C01" w:rsidRPr="00485D59" w:rsidRDefault="00D215B9" w:rsidP="00B50E0C">
      <w:pPr>
        <w:pStyle w:val="ListNumber"/>
        <w:numPr>
          <w:ilvl w:val="0"/>
          <w:numId w:val="18"/>
        </w:numPr>
        <w:rPr>
          <w:rFonts w:cs="Open Sans"/>
          <w:sz w:val="22"/>
          <w:szCs w:val="22"/>
        </w:rPr>
      </w:pPr>
      <w:r w:rsidRPr="00485D59">
        <w:rPr>
          <w:rFonts w:cs="Open Sans"/>
          <w:color w:val="000000"/>
          <w:sz w:val="22"/>
          <w:szCs w:val="22"/>
        </w:rPr>
        <w:t>interfere with or prejudice the performance of functions of the Australian Federal Police under:</w:t>
      </w:r>
    </w:p>
    <w:p w14:paraId="148ACABE" w14:textId="77777777" w:rsidR="00AA5C01" w:rsidRPr="00485D59" w:rsidRDefault="00D215B9" w:rsidP="00B50E0C">
      <w:pPr>
        <w:pStyle w:val="ListNumber"/>
        <w:numPr>
          <w:ilvl w:val="1"/>
          <w:numId w:val="18"/>
        </w:numPr>
        <w:rPr>
          <w:rFonts w:cs="Open Sans"/>
          <w:sz w:val="22"/>
          <w:szCs w:val="22"/>
        </w:rPr>
      </w:pPr>
      <w:r w:rsidRPr="00485D59">
        <w:rPr>
          <w:rFonts w:cs="Open Sans"/>
          <w:sz w:val="22"/>
          <w:szCs w:val="22"/>
        </w:rPr>
        <w:t>paragraph 8(1)(be) of the </w:t>
      </w:r>
      <w:r w:rsidRPr="00485D59">
        <w:rPr>
          <w:rFonts w:cs="Open Sans"/>
          <w:i/>
          <w:iCs/>
          <w:sz w:val="22"/>
          <w:szCs w:val="22"/>
        </w:rPr>
        <w:t>Australian Federal Police Act 1979</w:t>
      </w:r>
      <w:r w:rsidRPr="00485D59">
        <w:rPr>
          <w:rFonts w:cs="Open Sans"/>
          <w:sz w:val="22"/>
          <w:szCs w:val="22"/>
        </w:rPr>
        <w:t> (protective and custodial functions); o</w:t>
      </w:r>
      <w:r w:rsidR="00642964" w:rsidRPr="00485D59">
        <w:rPr>
          <w:rFonts w:cs="Open Sans"/>
          <w:sz w:val="22"/>
          <w:szCs w:val="22"/>
        </w:rPr>
        <w:t>r</w:t>
      </w:r>
    </w:p>
    <w:p w14:paraId="4C95123B" w14:textId="77777777" w:rsidR="00AA5C01" w:rsidRPr="00485D59" w:rsidRDefault="00D215B9" w:rsidP="00B50E0C">
      <w:pPr>
        <w:pStyle w:val="ListNumber"/>
        <w:numPr>
          <w:ilvl w:val="1"/>
          <w:numId w:val="18"/>
        </w:numPr>
        <w:rPr>
          <w:rFonts w:cs="Open Sans"/>
          <w:sz w:val="22"/>
          <w:szCs w:val="22"/>
        </w:rPr>
      </w:pPr>
      <w:r w:rsidRPr="00485D59">
        <w:rPr>
          <w:rFonts w:cs="Open Sans"/>
          <w:color w:val="000000"/>
          <w:sz w:val="22"/>
          <w:szCs w:val="22"/>
        </w:rPr>
        <w:t>the </w:t>
      </w:r>
      <w:r w:rsidRPr="00485D59">
        <w:rPr>
          <w:rFonts w:cs="Open Sans"/>
          <w:i/>
          <w:iCs/>
          <w:color w:val="000000"/>
          <w:sz w:val="22"/>
          <w:szCs w:val="22"/>
        </w:rPr>
        <w:t>Proceeds of Crime Act 2002</w:t>
      </w:r>
      <w:r w:rsidRPr="00485D59">
        <w:rPr>
          <w:rFonts w:cs="Open Sans"/>
          <w:color w:val="000000"/>
          <w:sz w:val="22"/>
          <w:szCs w:val="22"/>
        </w:rPr>
        <w:t>; or</w:t>
      </w:r>
    </w:p>
    <w:p w14:paraId="5E693554" w14:textId="77777777" w:rsidR="00AA5C01" w:rsidRPr="00485D59" w:rsidRDefault="00D215B9" w:rsidP="00B50E0C">
      <w:pPr>
        <w:pStyle w:val="ListNumber"/>
        <w:numPr>
          <w:ilvl w:val="0"/>
          <w:numId w:val="18"/>
        </w:numPr>
        <w:rPr>
          <w:rFonts w:cs="Open Sans"/>
          <w:sz w:val="22"/>
          <w:szCs w:val="22"/>
        </w:rPr>
      </w:pPr>
      <w:r w:rsidRPr="00485D59">
        <w:rPr>
          <w:rFonts w:cs="Open Sans"/>
          <w:color w:val="000000"/>
          <w:sz w:val="22"/>
          <w:szCs w:val="22"/>
        </w:rPr>
        <w:t>harm or prejudice Australia’s international relations in relation to information that was communicated in confidence</w:t>
      </w:r>
      <w:r w:rsidR="00642964" w:rsidRPr="00485D59">
        <w:rPr>
          <w:rFonts w:cs="Open Sans"/>
          <w:color w:val="000000"/>
          <w:sz w:val="22"/>
          <w:szCs w:val="22"/>
        </w:rPr>
        <w:t>;</w:t>
      </w:r>
    </w:p>
    <w:p w14:paraId="1D0743CF" w14:textId="77777777" w:rsidR="00AA5C01" w:rsidRPr="00485D59" w:rsidRDefault="00D215B9" w:rsidP="00B50E0C">
      <w:pPr>
        <w:pStyle w:val="ListNumber"/>
        <w:numPr>
          <w:ilvl w:val="1"/>
          <w:numId w:val="18"/>
        </w:numPr>
        <w:rPr>
          <w:rFonts w:cs="Open Sans"/>
          <w:sz w:val="22"/>
          <w:szCs w:val="22"/>
        </w:rPr>
      </w:pPr>
      <w:r w:rsidRPr="00485D59">
        <w:rPr>
          <w:rFonts w:cs="Open Sans"/>
          <w:color w:val="000000"/>
          <w:sz w:val="22"/>
          <w:szCs w:val="22"/>
        </w:rPr>
        <w:t>by, or on behalf of, the government of a foreign country, an authority of the government of a foreign country or an international organisation; and</w:t>
      </w:r>
    </w:p>
    <w:p w14:paraId="01A05D56" w14:textId="77777777" w:rsidR="00AA5C01" w:rsidRPr="00485D59" w:rsidRDefault="00D215B9" w:rsidP="00B50E0C">
      <w:pPr>
        <w:pStyle w:val="ListNumber"/>
        <w:numPr>
          <w:ilvl w:val="1"/>
          <w:numId w:val="18"/>
        </w:numPr>
        <w:rPr>
          <w:rFonts w:cs="Open Sans"/>
          <w:sz w:val="22"/>
          <w:szCs w:val="22"/>
        </w:rPr>
      </w:pPr>
      <w:r w:rsidRPr="00485D59">
        <w:rPr>
          <w:rFonts w:cs="Open Sans"/>
          <w:color w:val="000000"/>
          <w:sz w:val="22"/>
          <w:szCs w:val="22"/>
        </w:rPr>
        <w:t>to the Government of the Commonwealth, to an authority of the Commonwealth, or to a person receiving the communication on behalf of the Commonwealth or an authority of the Commonwealth; or</w:t>
      </w:r>
    </w:p>
    <w:p w14:paraId="44BE09B3" w14:textId="77777777" w:rsidR="00AA5C01" w:rsidRPr="00485D59" w:rsidRDefault="00D215B9" w:rsidP="00B50E0C">
      <w:pPr>
        <w:pStyle w:val="ListNumber"/>
        <w:numPr>
          <w:ilvl w:val="0"/>
          <w:numId w:val="18"/>
        </w:numPr>
        <w:rPr>
          <w:rFonts w:cs="Open Sans"/>
          <w:sz w:val="22"/>
          <w:szCs w:val="22"/>
        </w:rPr>
      </w:pPr>
      <w:r w:rsidRPr="00485D59">
        <w:rPr>
          <w:rFonts w:cs="Open Sans"/>
          <w:color w:val="000000"/>
          <w:sz w:val="22"/>
          <w:szCs w:val="22"/>
        </w:rPr>
        <w:t>harm or prejudice the health or safety of the Australian public or a section of the Australian public; or</w:t>
      </w:r>
    </w:p>
    <w:p w14:paraId="14D95326" w14:textId="20FC70E4" w:rsidR="00C702B1" w:rsidRPr="00485D59" w:rsidRDefault="00D215B9" w:rsidP="00B50E0C">
      <w:pPr>
        <w:pStyle w:val="ListNumber"/>
        <w:numPr>
          <w:ilvl w:val="0"/>
          <w:numId w:val="18"/>
        </w:numPr>
        <w:rPr>
          <w:rFonts w:cs="Open Sans"/>
          <w:sz w:val="22"/>
          <w:szCs w:val="22"/>
        </w:rPr>
      </w:pPr>
      <w:r w:rsidRPr="00485D59">
        <w:rPr>
          <w:rFonts w:cs="Open Sans"/>
          <w:color w:val="000000"/>
          <w:sz w:val="22"/>
          <w:szCs w:val="22"/>
        </w:rPr>
        <w:t>harm or prejudice the security or defence of Australia.</w:t>
      </w:r>
    </w:p>
    <w:p w14:paraId="3C726019" w14:textId="1D1A13B5" w:rsidR="003227AA" w:rsidRPr="003227AA" w:rsidRDefault="0095068C" w:rsidP="0095068C">
      <w:pPr>
        <w:pStyle w:val="ListNumber"/>
        <w:tabs>
          <w:tab w:val="clear" w:pos="360"/>
        </w:tabs>
        <w:ind w:left="1094" w:hanging="737"/>
        <w:rPr>
          <w:rFonts w:cs="Open Sans"/>
        </w:rPr>
      </w:pPr>
      <w:r>
        <w:t>A maximum penalty of 7 years imprisonment applies for a person who intentionally or reckless</w:t>
      </w:r>
      <w:r w:rsidR="00D50AC3">
        <w:t>ly</w:t>
      </w:r>
      <w:r>
        <w:t xml:space="preserve"> communicates ‘inherently harmful information’ obtained in connection with their work for the Commonwealth</w:t>
      </w:r>
      <w:r w:rsidR="00047B86">
        <w:t>,</w:t>
      </w:r>
      <w:r w:rsidR="00D50AC3">
        <w:t xml:space="preserve"> and </w:t>
      </w:r>
      <w:r w:rsidR="000F6838">
        <w:t>3 years for other dealings</w:t>
      </w:r>
      <w:r w:rsidR="00B55692">
        <w:t>.</w:t>
      </w:r>
      <w:r w:rsidR="003227AA">
        <w:rPr>
          <w:rStyle w:val="EndnoteReference"/>
        </w:rPr>
        <w:endnoteReference w:id="19"/>
      </w:r>
    </w:p>
    <w:p w14:paraId="40B3D103" w14:textId="2784591B" w:rsidR="00A9495E" w:rsidRDefault="00A9495E" w:rsidP="00A9495E">
      <w:pPr>
        <w:pStyle w:val="ListNumber"/>
        <w:tabs>
          <w:tab w:val="clear" w:pos="360"/>
        </w:tabs>
        <w:ind w:left="1094" w:hanging="737"/>
        <w:rPr>
          <w:rFonts w:cs="Open Sans"/>
        </w:rPr>
      </w:pPr>
      <w:r w:rsidRPr="00040797">
        <w:rPr>
          <w:rFonts w:eastAsia="Times New Roman"/>
        </w:rPr>
        <w:t>The Commission considers that the definitions</w:t>
      </w:r>
      <w:r>
        <w:rPr>
          <w:rFonts w:eastAsia="Times New Roman"/>
        </w:rPr>
        <w:t xml:space="preserve"> of the key terms</w:t>
      </w:r>
      <w:r w:rsidRPr="00040797">
        <w:rPr>
          <w:rFonts w:eastAsia="Times New Roman"/>
        </w:rPr>
        <w:t xml:space="preserve"> </w:t>
      </w:r>
      <w:r w:rsidR="00AC6A4F">
        <w:rPr>
          <w:rFonts w:eastAsia="Times New Roman"/>
        </w:rPr>
        <w:t xml:space="preserve">‘inherently harmful information’ and </w:t>
      </w:r>
      <w:proofErr w:type="spellStart"/>
      <w:r w:rsidR="00AC6A4F">
        <w:rPr>
          <w:rFonts w:eastAsia="Times New Roman"/>
        </w:rPr>
        <w:t>‘cause</w:t>
      </w:r>
      <w:proofErr w:type="spellEnd"/>
      <w:r w:rsidR="00AC6A4F">
        <w:rPr>
          <w:rFonts w:eastAsia="Times New Roman"/>
        </w:rPr>
        <w:t xml:space="preserve"> harm to Australia’s interests’ </w:t>
      </w:r>
      <w:r w:rsidRPr="00040797">
        <w:rPr>
          <w:rFonts w:eastAsia="Times New Roman"/>
        </w:rPr>
        <w:t>appear to be overly broad</w:t>
      </w:r>
      <w:r>
        <w:rPr>
          <w:rFonts w:eastAsia="Times New Roman"/>
        </w:rPr>
        <w:t xml:space="preserve"> and uncertain</w:t>
      </w:r>
      <w:r w:rsidRPr="00040797">
        <w:rPr>
          <w:rFonts w:eastAsia="Times New Roman"/>
        </w:rPr>
        <w:t xml:space="preserve">, in that they may well capture disclosures that are not in fact harmful or are not sufficiently harmful to warrant criminalisation. That is, they are not limited to prohibiting disclosures that are shown to damage the legitimate interests of the Commonwealth. </w:t>
      </w:r>
    </w:p>
    <w:p w14:paraId="65EF6970" w14:textId="32AE34EF" w:rsidR="0068046B" w:rsidRPr="00510033" w:rsidRDefault="00A527A3" w:rsidP="00510033">
      <w:pPr>
        <w:pStyle w:val="ListNumber"/>
        <w:tabs>
          <w:tab w:val="clear" w:pos="360"/>
        </w:tabs>
        <w:ind w:left="1094" w:hanging="737"/>
        <w:rPr>
          <w:rFonts w:cs="Open Sans"/>
        </w:rPr>
      </w:pPr>
      <w:r>
        <w:rPr>
          <w:rFonts w:cs="Open Sans"/>
        </w:rPr>
        <w:t>The</w:t>
      </w:r>
      <w:r w:rsidR="00B766D3">
        <w:rPr>
          <w:rFonts w:cs="Open Sans"/>
        </w:rPr>
        <w:t xml:space="preserve"> definition of </w:t>
      </w:r>
      <w:proofErr w:type="spellStart"/>
      <w:r w:rsidR="00B766D3">
        <w:rPr>
          <w:rFonts w:cs="Open Sans"/>
        </w:rPr>
        <w:t>‘cause</w:t>
      </w:r>
      <w:proofErr w:type="spellEnd"/>
      <w:r w:rsidR="00B766D3">
        <w:rPr>
          <w:rFonts w:cs="Open Sans"/>
        </w:rPr>
        <w:t xml:space="preserve"> harm to Australia’s interests’ </w:t>
      </w:r>
      <w:r w:rsidR="00B766D3" w:rsidRPr="009D42BE">
        <w:rPr>
          <w:rFonts w:cs="Open Sans"/>
        </w:rPr>
        <w:t>extends beyond damage or prejudice to</w:t>
      </w:r>
      <w:r w:rsidR="008A526D">
        <w:rPr>
          <w:rFonts w:cs="Open Sans"/>
        </w:rPr>
        <w:t xml:space="preserve"> include</w:t>
      </w:r>
      <w:r w:rsidR="00B766D3" w:rsidRPr="009D42BE">
        <w:rPr>
          <w:rFonts w:cs="Open Sans"/>
        </w:rPr>
        <w:t xml:space="preserve"> ‘interference’ with the relevant criminal proceeding. The </w:t>
      </w:r>
      <w:r w:rsidR="007D3CA6" w:rsidRPr="009D42BE">
        <w:rPr>
          <w:rFonts w:cs="Open Sans"/>
        </w:rPr>
        <w:t xml:space="preserve">Commission </w:t>
      </w:r>
      <w:r w:rsidR="000A30C2" w:rsidRPr="009D42BE">
        <w:rPr>
          <w:rFonts w:cs="Open Sans"/>
        </w:rPr>
        <w:t xml:space="preserve">agrees with the Law Council of Australia that </w:t>
      </w:r>
      <w:r w:rsidR="00B766D3" w:rsidRPr="009D42BE">
        <w:t xml:space="preserve">‘interference’ can be interpreted as a much lower threshold, and may therefore extend to a broad range of conduct, including </w:t>
      </w:r>
      <w:r w:rsidR="005216B7" w:rsidRPr="009D42BE">
        <w:t>‘</w:t>
      </w:r>
      <w:r w:rsidR="00B766D3" w:rsidRPr="009D42BE">
        <w:t>innocuous conduct</w:t>
      </w:r>
      <w:r w:rsidR="005216B7" w:rsidRPr="009D42BE">
        <w:t>’</w:t>
      </w:r>
      <w:r w:rsidR="00B766D3" w:rsidRPr="009D42BE">
        <w:t>.</w:t>
      </w:r>
      <w:r w:rsidR="00A9495E" w:rsidRPr="006517BD">
        <w:rPr>
          <w:rStyle w:val="EndnoteReference"/>
          <w:szCs w:val="20"/>
        </w:rPr>
        <w:endnoteReference w:id="20"/>
      </w:r>
      <w:r w:rsidR="00223E21">
        <w:t xml:space="preserve"> </w:t>
      </w:r>
      <w:r w:rsidR="007F5E1A">
        <w:t>It may</w:t>
      </w:r>
      <w:r w:rsidR="00B94E84">
        <w:t xml:space="preserve"> </w:t>
      </w:r>
      <w:r w:rsidR="00A86E0C">
        <w:t xml:space="preserve">also </w:t>
      </w:r>
      <w:r w:rsidR="00B94E84">
        <w:t>inhibit the</w:t>
      </w:r>
      <w:r w:rsidR="007F5E1A">
        <w:t xml:space="preserve"> </w:t>
      </w:r>
      <w:r w:rsidR="00B94E84">
        <w:t xml:space="preserve">legitimate criticism of law enforcement officials who have acted improperly. </w:t>
      </w:r>
      <w:r w:rsidR="00223E21">
        <w:t xml:space="preserve">It is </w:t>
      </w:r>
      <w:r w:rsidR="00FE1D04">
        <w:t>not appropriate</w:t>
      </w:r>
      <w:r w:rsidR="00223E21">
        <w:t xml:space="preserve"> for </w:t>
      </w:r>
      <w:r w:rsidR="009A70BC">
        <w:t xml:space="preserve">such a low threshold </w:t>
      </w:r>
      <w:r w:rsidR="00223E21">
        <w:t xml:space="preserve">to </w:t>
      </w:r>
      <w:r w:rsidR="009A70BC">
        <w:t>extend to a</w:t>
      </w:r>
      <w:r w:rsidR="00223E21">
        <w:t xml:space="preserve"> criminal proceeding. </w:t>
      </w:r>
    </w:p>
    <w:p w14:paraId="504C75FC" w14:textId="7D1F00AD" w:rsidR="004B35DB" w:rsidRDefault="001A202F" w:rsidP="00D64EE5">
      <w:pPr>
        <w:pStyle w:val="ListNumber"/>
        <w:tabs>
          <w:tab w:val="clear" w:pos="360"/>
        </w:tabs>
        <w:ind w:left="1094" w:hanging="737"/>
        <w:rPr>
          <w:rFonts w:cs="Open Sans"/>
        </w:rPr>
      </w:pPr>
      <w:r>
        <w:rPr>
          <w:rFonts w:cs="Open Sans"/>
        </w:rPr>
        <w:t xml:space="preserve">The </w:t>
      </w:r>
      <w:r w:rsidR="00625DE6">
        <w:rPr>
          <w:rFonts w:cs="Open Sans"/>
        </w:rPr>
        <w:t xml:space="preserve">definition </w:t>
      </w:r>
      <w:r w:rsidR="00A55395" w:rsidRPr="00F16AA8">
        <w:rPr>
          <w:rFonts w:cs="Open Sans"/>
        </w:rPr>
        <w:t xml:space="preserve">also </w:t>
      </w:r>
      <w:r w:rsidR="000B032B">
        <w:rPr>
          <w:rFonts w:cs="Open Sans"/>
        </w:rPr>
        <w:t xml:space="preserve">extends to </w:t>
      </w:r>
      <w:r w:rsidR="003D70E9" w:rsidRPr="00F16AA8">
        <w:rPr>
          <w:rFonts w:cs="Open Sans"/>
        </w:rPr>
        <w:t>inclu</w:t>
      </w:r>
      <w:r w:rsidR="000B032B">
        <w:rPr>
          <w:rFonts w:cs="Open Sans"/>
        </w:rPr>
        <w:t>de</w:t>
      </w:r>
      <w:r w:rsidR="003D70E9" w:rsidRPr="00F16AA8">
        <w:rPr>
          <w:rFonts w:cs="Open Sans"/>
        </w:rPr>
        <w:t xml:space="preserve"> </w:t>
      </w:r>
      <w:r w:rsidR="008A2193" w:rsidRPr="00F16AA8">
        <w:rPr>
          <w:rFonts w:cs="Open Sans"/>
        </w:rPr>
        <w:t xml:space="preserve">harm to Australia’s </w:t>
      </w:r>
      <w:r w:rsidR="00F16AA8">
        <w:rPr>
          <w:rFonts w:cs="Open Sans"/>
        </w:rPr>
        <w:t>‘</w:t>
      </w:r>
      <w:r w:rsidR="003D70E9" w:rsidRPr="00F16AA8">
        <w:rPr>
          <w:rFonts w:cs="Open Sans"/>
        </w:rPr>
        <w:t>international relations</w:t>
      </w:r>
      <w:r w:rsidR="00F16AA8">
        <w:rPr>
          <w:rFonts w:cs="Open Sans"/>
        </w:rPr>
        <w:t>’</w:t>
      </w:r>
      <w:r w:rsidR="0065002F">
        <w:rPr>
          <w:rFonts w:cs="Open Sans"/>
        </w:rPr>
        <w:t>,</w:t>
      </w:r>
      <w:r w:rsidR="002534F6">
        <w:rPr>
          <w:rFonts w:cs="Open Sans"/>
        </w:rPr>
        <w:t xml:space="preserve"> broadly</w:t>
      </w:r>
      <w:r w:rsidR="0065002F">
        <w:rPr>
          <w:rFonts w:cs="Open Sans"/>
        </w:rPr>
        <w:t xml:space="preserve"> defined</w:t>
      </w:r>
      <w:r w:rsidR="00E438A7">
        <w:rPr>
          <w:rFonts w:cs="Open Sans"/>
        </w:rPr>
        <w:t xml:space="preserve"> to include</w:t>
      </w:r>
      <w:r w:rsidR="0065002F">
        <w:rPr>
          <w:rFonts w:cs="Open Sans"/>
        </w:rPr>
        <w:t xml:space="preserve"> </w:t>
      </w:r>
      <w:r w:rsidR="0065002F">
        <w:t>‘political, military and economic relations with foreign governments and international organisations’</w:t>
      </w:r>
      <w:r w:rsidR="002534F6">
        <w:t>.</w:t>
      </w:r>
      <w:r w:rsidR="006E0D98">
        <w:rPr>
          <w:rStyle w:val="EndnoteReference"/>
        </w:rPr>
        <w:endnoteReference w:id="21"/>
      </w:r>
      <w:r w:rsidR="001E4ECE">
        <w:t xml:space="preserve"> </w:t>
      </w:r>
      <w:r w:rsidR="002534F6">
        <w:t>It</w:t>
      </w:r>
      <w:r w:rsidR="008C71E0">
        <w:t xml:space="preserve"> is unclear to what extent </w:t>
      </w:r>
      <w:r w:rsidR="00C558AB">
        <w:t>‘economic</w:t>
      </w:r>
      <w:r w:rsidR="00FA1557">
        <w:t>’</w:t>
      </w:r>
      <w:r w:rsidR="00C558AB">
        <w:t xml:space="preserve"> relations </w:t>
      </w:r>
      <w:r w:rsidR="00445C68">
        <w:t xml:space="preserve">may </w:t>
      </w:r>
      <w:r w:rsidR="00053F1C">
        <w:t xml:space="preserve">also </w:t>
      </w:r>
      <w:r w:rsidR="00445C68">
        <w:t>include</w:t>
      </w:r>
      <w:r w:rsidR="008C71E0">
        <w:t xml:space="preserve"> </w:t>
      </w:r>
      <w:r w:rsidR="00FA1557">
        <w:t>‘</w:t>
      </w:r>
      <w:r w:rsidR="008C71E0">
        <w:t>corporate</w:t>
      </w:r>
      <w:r w:rsidR="00FA1557">
        <w:t>’</w:t>
      </w:r>
      <w:r w:rsidR="008C71E0">
        <w:t xml:space="preserve"> </w:t>
      </w:r>
      <w:r w:rsidR="00FA1557">
        <w:t>interests</w:t>
      </w:r>
      <w:r w:rsidR="008C71E0">
        <w:t xml:space="preserve">. </w:t>
      </w:r>
      <w:r w:rsidR="00A04DB5">
        <w:t xml:space="preserve"> </w:t>
      </w:r>
    </w:p>
    <w:p w14:paraId="088E497C" w14:textId="0E0C2E28" w:rsidR="00D56B00" w:rsidRPr="00674AD4" w:rsidRDefault="00135F5E" w:rsidP="001E20F8">
      <w:pPr>
        <w:pStyle w:val="ListNumber"/>
        <w:tabs>
          <w:tab w:val="clear" w:pos="360"/>
        </w:tabs>
        <w:ind w:left="1094" w:hanging="737"/>
        <w:rPr>
          <w:rFonts w:cs="Open Sans"/>
        </w:rPr>
      </w:pPr>
      <w:r w:rsidRPr="006C6BF9">
        <w:rPr>
          <w:rFonts w:cs="Open Sans"/>
          <w:color w:val="0A0A0A"/>
          <w:shd w:val="clear" w:color="auto" w:fill="FEFEFE"/>
        </w:rPr>
        <w:t>The secrecy provisions should clearly define the conduct regulated to provide sufficient guidance to those affected</w:t>
      </w:r>
      <w:r w:rsidR="008E2867">
        <w:rPr>
          <w:rFonts w:cs="Open Sans"/>
          <w:color w:val="0A0A0A"/>
          <w:shd w:val="clear" w:color="auto" w:fill="FEFEFE"/>
        </w:rPr>
        <w:t>,</w:t>
      </w:r>
      <w:r w:rsidRPr="006C6BF9">
        <w:rPr>
          <w:rFonts w:cs="Open Sans"/>
          <w:color w:val="0A0A0A"/>
          <w:shd w:val="clear" w:color="auto" w:fill="FEFEFE"/>
        </w:rPr>
        <w:t xml:space="preserve"> which include journalists, civil society groups and academics, particularly as they extend beyond ‘communication’ to ‘other dealings’ and attract serious criminal sanction</w:t>
      </w:r>
      <w:r w:rsidR="00932CDD">
        <w:rPr>
          <w:rFonts w:cs="Open Sans"/>
          <w:color w:val="0A0A0A"/>
          <w:shd w:val="clear" w:color="auto" w:fill="FEFEFE"/>
        </w:rPr>
        <w:t>s</w:t>
      </w:r>
      <w:r w:rsidRPr="006C6BF9">
        <w:rPr>
          <w:rFonts w:cs="Open Sans"/>
          <w:color w:val="0A0A0A"/>
          <w:shd w:val="clear" w:color="auto" w:fill="FEFEFE"/>
        </w:rPr>
        <w:t xml:space="preserve">. </w:t>
      </w:r>
    </w:p>
    <w:p w14:paraId="198E5ABB" w14:textId="2B6D313C" w:rsidR="000A3FA1" w:rsidRPr="00674AD4" w:rsidRDefault="000A3FA1" w:rsidP="00F23C4F">
      <w:pPr>
        <w:pStyle w:val="ListNumber"/>
        <w:keepNext/>
        <w:numPr>
          <w:ilvl w:val="0"/>
          <w:numId w:val="0"/>
        </w:numPr>
        <w:ind w:left="1094"/>
        <w:rPr>
          <w:rFonts w:cs="Open Sans"/>
          <w:b/>
          <w:bCs/>
          <w:color w:val="0A0A0A"/>
          <w:shd w:val="clear" w:color="auto" w:fill="FEFEFE"/>
        </w:rPr>
      </w:pPr>
      <w:r w:rsidRPr="00674AD4">
        <w:rPr>
          <w:rFonts w:cs="Open Sans"/>
          <w:b/>
          <w:bCs/>
          <w:color w:val="0A0A0A"/>
          <w:shd w:val="clear" w:color="auto" w:fill="FEFEFE"/>
        </w:rPr>
        <w:t xml:space="preserve">Recommendation </w:t>
      </w:r>
      <w:r w:rsidR="00CE2A4D">
        <w:rPr>
          <w:rFonts w:cs="Open Sans"/>
          <w:b/>
          <w:bCs/>
          <w:color w:val="0A0A0A"/>
          <w:shd w:val="clear" w:color="auto" w:fill="FEFEFE"/>
        </w:rPr>
        <w:t>1</w:t>
      </w:r>
    </w:p>
    <w:p w14:paraId="373CCE2C" w14:textId="42A6CF1D" w:rsidR="000A3FA1" w:rsidRPr="001E20F8" w:rsidRDefault="00A94BF5" w:rsidP="00674AD4">
      <w:pPr>
        <w:pStyle w:val="ListNumber"/>
        <w:numPr>
          <w:ilvl w:val="0"/>
          <w:numId w:val="0"/>
        </w:numPr>
        <w:ind w:left="1080" w:hanging="360"/>
        <w:rPr>
          <w:rFonts w:cs="Open Sans"/>
        </w:rPr>
      </w:pPr>
      <w:r>
        <w:rPr>
          <w:rFonts w:cs="Open Sans"/>
        </w:rPr>
        <w:tab/>
      </w:r>
      <w:r w:rsidR="000A3FA1">
        <w:rPr>
          <w:rFonts w:cs="Open Sans"/>
        </w:rPr>
        <w:t xml:space="preserve">The </w:t>
      </w:r>
      <w:r w:rsidR="00516EA6">
        <w:rPr>
          <w:rFonts w:cs="Open Sans"/>
        </w:rPr>
        <w:t xml:space="preserve">key terms of ‘inherently harmful information’ and </w:t>
      </w:r>
      <w:proofErr w:type="spellStart"/>
      <w:r w:rsidR="00516EA6">
        <w:rPr>
          <w:rFonts w:cs="Open Sans"/>
        </w:rPr>
        <w:t>‘cause</w:t>
      </w:r>
      <w:proofErr w:type="spellEnd"/>
      <w:r w:rsidR="00516EA6">
        <w:rPr>
          <w:rFonts w:cs="Open Sans"/>
        </w:rPr>
        <w:t xml:space="preserve"> harm </w:t>
      </w:r>
      <w:r w:rsidR="00092291">
        <w:rPr>
          <w:rFonts w:cs="Open Sans"/>
        </w:rPr>
        <w:t xml:space="preserve">to Australia’s interests’ should </w:t>
      </w:r>
      <w:r w:rsidR="00DE64D8">
        <w:t xml:space="preserve">cover a narrowly defined category of information </w:t>
      </w:r>
      <w:r w:rsidR="0079588F">
        <w:t>where</w:t>
      </w:r>
      <w:r w:rsidR="00DE64D8">
        <w:t xml:space="preserve"> harm to an essential public interest is </w:t>
      </w:r>
      <w:r w:rsidR="009B1320">
        <w:t xml:space="preserve">necessarily </w:t>
      </w:r>
      <w:r w:rsidR="00DE64D8">
        <w:t>implicit, or protect against harm to the relationship of trust between individuals and the Government integral to the regulatory functions of government</w:t>
      </w:r>
      <w:r w:rsidR="00867EC4">
        <w:t xml:space="preserve">. </w:t>
      </w:r>
      <w:r w:rsidR="00DE42F3">
        <w:t xml:space="preserve">The phrase </w:t>
      </w:r>
      <w:r w:rsidR="00867EC4">
        <w:t xml:space="preserve">‘interfere with’ </w:t>
      </w:r>
      <w:r w:rsidR="004C696C">
        <w:t>should be removed</w:t>
      </w:r>
      <w:r w:rsidR="00DE42F3">
        <w:t xml:space="preserve"> from the</w:t>
      </w:r>
      <w:r w:rsidR="008E2867">
        <w:t xml:space="preserve"> definition of</w:t>
      </w:r>
      <w:r w:rsidR="00DE42F3">
        <w:t xml:space="preserve"> </w:t>
      </w:r>
      <w:proofErr w:type="spellStart"/>
      <w:r w:rsidR="00DE42F3">
        <w:t>‘cause</w:t>
      </w:r>
      <w:proofErr w:type="spellEnd"/>
      <w:r w:rsidR="00DE42F3">
        <w:t xml:space="preserve"> harm to Australia’s interests’ in section 121.1.</w:t>
      </w:r>
    </w:p>
    <w:p w14:paraId="1408B4C8" w14:textId="1EF88EE8" w:rsidR="00D91AE5" w:rsidRPr="00D91AE5" w:rsidRDefault="00086167" w:rsidP="00D56B00">
      <w:pPr>
        <w:pStyle w:val="Heading2"/>
      </w:pPr>
      <w:bookmarkStart w:id="40" w:name="_Toc160780329"/>
      <w:r>
        <w:t>Specific harm as an element of secrecy offences</w:t>
      </w:r>
      <w:bookmarkEnd w:id="40"/>
      <w:r>
        <w:t xml:space="preserve"> </w:t>
      </w:r>
    </w:p>
    <w:p w14:paraId="4B8AA2C9" w14:textId="77777777" w:rsidR="00602686" w:rsidRDefault="00560A02" w:rsidP="0022202B">
      <w:pPr>
        <w:pStyle w:val="ListNumber"/>
        <w:tabs>
          <w:tab w:val="clear" w:pos="360"/>
        </w:tabs>
        <w:ind w:left="1094" w:hanging="737"/>
        <w:rPr>
          <w:rFonts w:cs="Open Sans"/>
        </w:rPr>
      </w:pPr>
      <w:r>
        <w:rPr>
          <w:rFonts w:cs="Open Sans"/>
        </w:rPr>
        <w:t xml:space="preserve">As noted in the INSLM’s Issues paper, the </w:t>
      </w:r>
      <w:r w:rsidR="00681775">
        <w:rPr>
          <w:rFonts w:cs="Open Sans"/>
        </w:rPr>
        <w:t xml:space="preserve">offences in Part 5.6 do not all contain a specific harm element. </w:t>
      </w:r>
    </w:p>
    <w:p w14:paraId="63BDE792" w14:textId="4DD87D13" w:rsidR="00C33200" w:rsidRDefault="00EB77FA" w:rsidP="00290510">
      <w:pPr>
        <w:pStyle w:val="ListNumber"/>
        <w:tabs>
          <w:tab w:val="clear" w:pos="360"/>
        </w:tabs>
        <w:ind w:left="1094" w:hanging="737"/>
        <w:rPr>
          <w:rFonts w:cs="Open Sans"/>
        </w:rPr>
      </w:pPr>
      <w:r>
        <w:rPr>
          <w:rFonts w:cs="Open Sans"/>
        </w:rPr>
        <w:t>Section 122.1</w:t>
      </w:r>
      <w:r w:rsidR="00FD4998">
        <w:rPr>
          <w:rFonts w:cs="Open Sans"/>
        </w:rPr>
        <w:t>(1)(b)</w:t>
      </w:r>
      <w:r>
        <w:rPr>
          <w:rFonts w:cs="Open Sans"/>
        </w:rPr>
        <w:t xml:space="preserve"> </w:t>
      </w:r>
      <w:r w:rsidR="0025663D">
        <w:rPr>
          <w:rFonts w:cs="Open Sans"/>
        </w:rPr>
        <w:t xml:space="preserve">does not require proof of an express harm requirement, </w:t>
      </w:r>
      <w:r w:rsidR="007C48E9">
        <w:rPr>
          <w:rFonts w:cs="Open Sans"/>
        </w:rPr>
        <w:t>rather</w:t>
      </w:r>
      <w:r w:rsidR="0025663D">
        <w:rPr>
          <w:rFonts w:cs="Open Sans"/>
        </w:rPr>
        <w:t xml:space="preserve"> </w:t>
      </w:r>
      <w:r w:rsidR="000F5427">
        <w:rPr>
          <w:rFonts w:cs="Open Sans"/>
        </w:rPr>
        <w:t xml:space="preserve">there is deemed harm </w:t>
      </w:r>
      <w:r w:rsidR="001C66A1">
        <w:rPr>
          <w:rFonts w:cs="Open Sans"/>
        </w:rPr>
        <w:t>where a</w:t>
      </w:r>
      <w:r w:rsidR="00F20035">
        <w:rPr>
          <w:rFonts w:cs="Open Sans"/>
        </w:rPr>
        <w:t xml:space="preserve"> person communicates or deals</w:t>
      </w:r>
      <w:r w:rsidR="00466DBD">
        <w:rPr>
          <w:rFonts w:cs="Open Sans"/>
        </w:rPr>
        <w:t xml:space="preserve"> with </w:t>
      </w:r>
      <w:r w:rsidR="0025663D">
        <w:rPr>
          <w:rFonts w:cs="Open Sans"/>
        </w:rPr>
        <w:t xml:space="preserve">certain categories of information </w:t>
      </w:r>
      <w:r w:rsidR="00085943">
        <w:rPr>
          <w:rFonts w:cs="Open Sans"/>
        </w:rPr>
        <w:t>that fall within the definition of</w:t>
      </w:r>
      <w:r w:rsidR="0025663D">
        <w:rPr>
          <w:rFonts w:cs="Open Sans"/>
        </w:rPr>
        <w:t xml:space="preserve"> ‘</w:t>
      </w:r>
      <w:r w:rsidR="00681622" w:rsidRPr="00C73B28">
        <w:rPr>
          <w:rFonts w:cs="Open Sans"/>
        </w:rPr>
        <w:t>inherently harmful</w:t>
      </w:r>
      <w:r w:rsidR="00085943">
        <w:rPr>
          <w:rFonts w:cs="Open Sans"/>
        </w:rPr>
        <w:t xml:space="preserve"> information</w:t>
      </w:r>
      <w:r w:rsidR="00681622" w:rsidRPr="00C73B28">
        <w:rPr>
          <w:rFonts w:cs="Open Sans"/>
        </w:rPr>
        <w:t>’</w:t>
      </w:r>
      <w:r w:rsidR="004175A0">
        <w:rPr>
          <w:rFonts w:cs="Open Sans"/>
        </w:rPr>
        <w:t xml:space="preserve"> in section 121.1</w:t>
      </w:r>
      <w:r w:rsidR="0027706C">
        <w:rPr>
          <w:rFonts w:cs="Open Sans"/>
        </w:rPr>
        <w:t>.</w:t>
      </w:r>
      <w:r w:rsidR="00C927ED">
        <w:rPr>
          <w:rFonts w:cs="Open Sans"/>
        </w:rPr>
        <w:t xml:space="preserve"> </w:t>
      </w:r>
      <w:r w:rsidR="004175A0">
        <w:rPr>
          <w:rFonts w:cs="Open Sans"/>
        </w:rPr>
        <w:t xml:space="preserve">These categories </w:t>
      </w:r>
      <w:r w:rsidR="00C927ED">
        <w:rPr>
          <w:rFonts w:cs="Open Sans"/>
        </w:rPr>
        <w:t>includ</w:t>
      </w:r>
      <w:r w:rsidR="004175A0">
        <w:rPr>
          <w:rFonts w:cs="Open Sans"/>
        </w:rPr>
        <w:t>e</w:t>
      </w:r>
      <w:r w:rsidR="00C927ED">
        <w:rPr>
          <w:rFonts w:cs="Open Sans"/>
        </w:rPr>
        <w:t xml:space="preserve"> </w:t>
      </w:r>
      <w:r w:rsidR="004F5117">
        <w:rPr>
          <w:rFonts w:cs="Open Sans"/>
        </w:rPr>
        <w:t>‘security</w:t>
      </w:r>
      <w:r w:rsidR="00C927ED">
        <w:rPr>
          <w:rFonts w:cs="Open Sans"/>
        </w:rPr>
        <w:t xml:space="preserve"> classifi</w:t>
      </w:r>
      <w:r w:rsidR="004F5117">
        <w:rPr>
          <w:rFonts w:cs="Open Sans"/>
        </w:rPr>
        <w:t>ed information’</w:t>
      </w:r>
      <w:r w:rsidR="000726EE">
        <w:rPr>
          <w:rFonts w:cs="Open Sans"/>
        </w:rPr>
        <w:t xml:space="preserve"> and </w:t>
      </w:r>
      <w:r w:rsidR="00F32599">
        <w:rPr>
          <w:rFonts w:cs="Open Sans"/>
        </w:rPr>
        <w:t xml:space="preserve">information </w:t>
      </w:r>
      <w:r w:rsidR="00C726B5">
        <w:rPr>
          <w:rFonts w:cs="Open Sans"/>
        </w:rPr>
        <w:t>obtained or generated</w:t>
      </w:r>
      <w:r w:rsidR="00F14D19">
        <w:rPr>
          <w:rFonts w:cs="Open Sans"/>
        </w:rPr>
        <w:t xml:space="preserve"> by a</w:t>
      </w:r>
      <w:r w:rsidR="00E23C33">
        <w:rPr>
          <w:rFonts w:cs="Open Sans"/>
        </w:rPr>
        <w:t xml:space="preserve"> domestic intelligence agency or a foreign intelligence agency</w:t>
      </w:r>
      <w:r w:rsidR="00345928">
        <w:rPr>
          <w:rFonts w:cs="Open Sans"/>
        </w:rPr>
        <w:t>.</w:t>
      </w:r>
    </w:p>
    <w:p w14:paraId="13EB31A8" w14:textId="01938BA4" w:rsidR="00C01386" w:rsidRPr="00C01386" w:rsidRDefault="00814F31" w:rsidP="00C01386">
      <w:pPr>
        <w:pStyle w:val="ListNumber"/>
        <w:tabs>
          <w:tab w:val="clear" w:pos="360"/>
        </w:tabs>
        <w:ind w:left="1094" w:hanging="737"/>
        <w:rPr>
          <w:rFonts w:cs="Open Sans"/>
        </w:rPr>
      </w:pPr>
      <w:r w:rsidRPr="00C33200">
        <w:rPr>
          <w:rFonts w:cs="Open Sans"/>
        </w:rPr>
        <w:t>Section 122.2</w:t>
      </w:r>
      <w:r w:rsidR="00DD7DE6" w:rsidRPr="00C33200">
        <w:rPr>
          <w:rFonts w:cs="Open Sans"/>
        </w:rPr>
        <w:t>(1)</w:t>
      </w:r>
      <w:r w:rsidR="00FD4998" w:rsidRPr="00C33200">
        <w:rPr>
          <w:rFonts w:cs="Open Sans"/>
        </w:rPr>
        <w:t>(b)</w:t>
      </w:r>
      <w:r w:rsidRPr="00C33200">
        <w:rPr>
          <w:rFonts w:cs="Open Sans"/>
        </w:rPr>
        <w:t xml:space="preserve"> </w:t>
      </w:r>
      <w:r w:rsidR="003A7F5C" w:rsidRPr="00C33200">
        <w:rPr>
          <w:rFonts w:cs="Open Sans"/>
        </w:rPr>
        <w:t>does incorporate a</w:t>
      </w:r>
      <w:r w:rsidR="007B62CC">
        <w:rPr>
          <w:rFonts w:cs="Open Sans"/>
        </w:rPr>
        <w:t>n</w:t>
      </w:r>
      <w:r w:rsidR="003A7F5C" w:rsidRPr="00C33200">
        <w:rPr>
          <w:rFonts w:cs="Open Sans"/>
        </w:rPr>
        <w:t xml:space="preserve"> </w:t>
      </w:r>
      <w:r w:rsidR="007B62CC">
        <w:rPr>
          <w:rFonts w:cs="Open Sans"/>
        </w:rPr>
        <w:t xml:space="preserve">express </w:t>
      </w:r>
      <w:r w:rsidR="003A7F5C" w:rsidRPr="00C33200">
        <w:rPr>
          <w:rFonts w:cs="Open Sans"/>
        </w:rPr>
        <w:t>harm element</w:t>
      </w:r>
      <w:r w:rsidR="00C477A4" w:rsidRPr="00C33200">
        <w:rPr>
          <w:rFonts w:cs="Open Sans"/>
        </w:rPr>
        <w:t xml:space="preserve">, requiring that </w:t>
      </w:r>
      <w:r w:rsidR="0064151E" w:rsidRPr="00C33200">
        <w:rPr>
          <w:rFonts w:cs="Open Sans"/>
        </w:rPr>
        <w:t xml:space="preserve">the communication of information </w:t>
      </w:r>
      <w:r w:rsidR="0019763E">
        <w:rPr>
          <w:rFonts w:cs="Open Sans"/>
        </w:rPr>
        <w:t xml:space="preserve">or other conduct </w:t>
      </w:r>
      <w:r w:rsidR="00B91E10">
        <w:rPr>
          <w:rFonts w:cs="Open Sans"/>
        </w:rPr>
        <w:t>‘</w:t>
      </w:r>
      <w:r w:rsidR="0064151E" w:rsidRPr="00C33200">
        <w:rPr>
          <w:rFonts w:cs="Open Sans"/>
        </w:rPr>
        <w:t>causes</w:t>
      </w:r>
      <w:r w:rsidR="00D51A46" w:rsidRPr="00C33200">
        <w:rPr>
          <w:rFonts w:cs="Open Sans"/>
        </w:rPr>
        <w:t xml:space="preserve"> harm</w:t>
      </w:r>
      <w:r w:rsidR="003061D7">
        <w:rPr>
          <w:rFonts w:cs="Open Sans"/>
        </w:rPr>
        <w:t xml:space="preserve"> to Australia’s interests</w:t>
      </w:r>
      <w:r w:rsidR="00B91E10">
        <w:rPr>
          <w:rFonts w:cs="Open Sans"/>
        </w:rPr>
        <w:t>’</w:t>
      </w:r>
      <w:r w:rsidR="003061D7">
        <w:rPr>
          <w:rFonts w:cs="Open Sans"/>
        </w:rPr>
        <w:t>, or will or is likely to do so</w:t>
      </w:r>
      <w:r w:rsidR="00DD7DE6" w:rsidRPr="00C33200">
        <w:rPr>
          <w:rFonts w:cs="Open Sans"/>
        </w:rPr>
        <w:t>.</w:t>
      </w:r>
      <w:r w:rsidR="0070082B" w:rsidRPr="00C33200">
        <w:rPr>
          <w:rFonts w:cs="Open Sans"/>
        </w:rPr>
        <w:t xml:space="preserve"> However, </w:t>
      </w:r>
      <w:r w:rsidR="007856F3" w:rsidRPr="00C33200">
        <w:rPr>
          <w:rFonts w:cs="Open Sans"/>
        </w:rPr>
        <w:t xml:space="preserve">the definition extends </w:t>
      </w:r>
      <w:r w:rsidR="00DC483B" w:rsidRPr="00C33200">
        <w:rPr>
          <w:rFonts w:cs="Open Sans"/>
        </w:rPr>
        <w:t>beyond</w:t>
      </w:r>
      <w:r w:rsidR="00C33200" w:rsidRPr="00C33200">
        <w:rPr>
          <w:rFonts w:cs="Open Sans"/>
        </w:rPr>
        <w:t xml:space="preserve"> the</w:t>
      </w:r>
      <w:r w:rsidR="00DC483B" w:rsidRPr="00C33200">
        <w:rPr>
          <w:rFonts w:cs="Open Sans"/>
        </w:rPr>
        <w:t xml:space="preserve"> essential public interests </w:t>
      </w:r>
      <w:r w:rsidR="00C33200" w:rsidRPr="00C33200">
        <w:rPr>
          <w:rFonts w:cs="Open Sans"/>
        </w:rPr>
        <w:t>identified by the ALRC</w:t>
      </w:r>
      <w:r w:rsidR="00343D97">
        <w:rPr>
          <w:rFonts w:cs="Open Sans"/>
        </w:rPr>
        <w:t xml:space="preserve"> </w:t>
      </w:r>
      <w:r w:rsidR="000D67F1">
        <w:rPr>
          <w:rFonts w:cs="Open Sans"/>
        </w:rPr>
        <w:t xml:space="preserve">to warrant </w:t>
      </w:r>
      <w:r w:rsidR="00343D97">
        <w:rPr>
          <w:rFonts w:cs="Open Sans"/>
        </w:rPr>
        <w:t>criminal sanctions</w:t>
      </w:r>
      <w:r w:rsidR="007B7367">
        <w:rPr>
          <w:rFonts w:cs="Open Sans"/>
        </w:rPr>
        <w:t xml:space="preserve">. As previously mentioned, </w:t>
      </w:r>
      <w:r w:rsidR="00C614E9">
        <w:rPr>
          <w:rFonts w:cs="Open Sans"/>
        </w:rPr>
        <w:t>it also include</w:t>
      </w:r>
      <w:r w:rsidR="003002EC">
        <w:rPr>
          <w:rFonts w:cs="Open Sans"/>
        </w:rPr>
        <w:t>s</w:t>
      </w:r>
      <w:r w:rsidR="00C614E9">
        <w:rPr>
          <w:rFonts w:cs="Open Sans"/>
        </w:rPr>
        <w:t xml:space="preserve"> ‘interfering with’ </w:t>
      </w:r>
      <w:r w:rsidR="00195F38">
        <w:rPr>
          <w:rFonts w:cs="Open Sans"/>
        </w:rPr>
        <w:t xml:space="preserve">the prevention, detention, investigation, prosecution or punishment of a </w:t>
      </w:r>
      <w:r w:rsidR="00F57C77">
        <w:rPr>
          <w:rFonts w:cs="Open Sans"/>
        </w:rPr>
        <w:t>Commonwealth criminal offence.</w:t>
      </w:r>
      <w:r w:rsidR="00D74DAB">
        <w:rPr>
          <w:rStyle w:val="EndnoteReference"/>
          <w:rFonts w:cs="Open Sans"/>
        </w:rPr>
        <w:endnoteReference w:id="22"/>
      </w:r>
    </w:p>
    <w:p w14:paraId="67221315" w14:textId="6493CD64" w:rsidR="000135FB" w:rsidRDefault="000135FB" w:rsidP="0022202B">
      <w:pPr>
        <w:pStyle w:val="ListNumber"/>
        <w:tabs>
          <w:tab w:val="clear" w:pos="360"/>
        </w:tabs>
        <w:ind w:left="1094" w:hanging="737"/>
        <w:rPr>
          <w:rFonts w:cs="Open Sans"/>
        </w:rPr>
      </w:pPr>
      <w:r>
        <w:rPr>
          <w:rFonts w:cs="Open Sans"/>
        </w:rPr>
        <w:t xml:space="preserve">Section </w:t>
      </w:r>
      <w:r w:rsidR="000B536C">
        <w:rPr>
          <w:rFonts w:cs="Open Sans"/>
        </w:rPr>
        <w:t>122.4A which applies to disclosures by non-Commonwealth officers</w:t>
      </w:r>
      <w:r w:rsidR="00C04695">
        <w:rPr>
          <w:rFonts w:cs="Open Sans"/>
        </w:rPr>
        <w:t xml:space="preserve">, </w:t>
      </w:r>
      <w:r w:rsidR="00560CBA">
        <w:rPr>
          <w:rFonts w:cs="Open Sans"/>
        </w:rPr>
        <w:t xml:space="preserve">makes it an offence to </w:t>
      </w:r>
      <w:r w:rsidR="00B37AD3">
        <w:rPr>
          <w:rFonts w:cs="Open Sans"/>
        </w:rPr>
        <w:t>disclose</w:t>
      </w:r>
      <w:r w:rsidR="00560CBA">
        <w:rPr>
          <w:rFonts w:cs="Open Sans"/>
        </w:rPr>
        <w:t xml:space="preserve"> information</w:t>
      </w:r>
      <w:r w:rsidR="00E024BC">
        <w:rPr>
          <w:rFonts w:cs="Open Sans"/>
        </w:rPr>
        <w:t xml:space="preserve"> th</w:t>
      </w:r>
      <w:r w:rsidR="0063782F">
        <w:rPr>
          <w:rFonts w:cs="Open Sans"/>
        </w:rPr>
        <w:t>at has a</w:t>
      </w:r>
      <w:r w:rsidR="00E024BC">
        <w:rPr>
          <w:rFonts w:cs="Open Sans"/>
        </w:rPr>
        <w:t xml:space="preserve"> security classification of </w:t>
      </w:r>
      <w:r w:rsidR="00500849">
        <w:rPr>
          <w:rFonts w:cs="Open Sans"/>
        </w:rPr>
        <w:t>‘</w:t>
      </w:r>
      <w:r w:rsidR="00E024BC">
        <w:rPr>
          <w:rFonts w:cs="Open Sans"/>
        </w:rPr>
        <w:t>secret</w:t>
      </w:r>
      <w:r w:rsidR="00500849">
        <w:rPr>
          <w:rFonts w:cs="Open Sans"/>
        </w:rPr>
        <w:t>’</w:t>
      </w:r>
      <w:r w:rsidR="00E024BC">
        <w:rPr>
          <w:rFonts w:cs="Open Sans"/>
        </w:rPr>
        <w:t xml:space="preserve"> or </w:t>
      </w:r>
      <w:r w:rsidR="00500849">
        <w:rPr>
          <w:rFonts w:cs="Open Sans"/>
        </w:rPr>
        <w:t>‘</w:t>
      </w:r>
      <w:r w:rsidR="00E024BC">
        <w:rPr>
          <w:rFonts w:cs="Open Sans"/>
        </w:rPr>
        <w:t>top secret</w:t>
      </w:r>
      <w:r w:rsidR="00500849">
        <w:rPr>
          <w:rFonts w:cs="Open Sans"/>
        </w:rPr>
        <w:t>’</w:t>
      </w:r>
      <w:r w:rsidR="0063782F">
        <w:rPr>
          <w:rFonts w:cs="Open Sans"/>
        </w:rPr>
        <w:t xml:space="preserve"> </w:t>
      </w:r>
      <w:r w:rsidR="00560CBA">
        <w:rPr>
          <w:rFonts w:cs="Open Sans"/>
        </w:rPr>
        <w:t xml:space="preserve">or </w:t>
      </w:r>
      <w:r w:rsidR="0083369A">
        <w:rPr>
          <w:rFonts w:cs="Open Sans"/>
        </w:rPr>
        <w:t>where the communication</w:t>
      </w:r>
      <w:r w:rsidR="00B37AD3">
        <w:rPr>
          <w:rFonts w:cs="Open Sans"/>
        </w:rPr>
        <w:t xml:space="preserve"> interferes with or prejudices </w:t>
      </w:r>
      <w:r w:rsidR="00714615">
        <w:rPr>
          <w:rFonts w:cs="Open Sans"/>
        </w:rPr>
        <w:t>any</w:t>
      </w:r>
      <w:r w:rsidR="00294AA3">
        <w:rPr>
          <w:rFonts w:cs="Open Sans"/>
        </w:rPr>
        <w:t xml:space="preserve"> Commonwealth</w:t>
      </w:r>
      <w:r w:rsidR="002D78F8">
        <w:rPr>
          <w:rFonts w:cs="Open Sans"/>
        </w:rPr>
        <w:t xml:space="preserve"> criminal proceeding</w:t>
      </w:r>
      <w:r w:rsidR="004261A9">
        <w:rPr>
          <w:rFonts w:cs="Open Sans"/>
        </w:rPr>
        <w:t xml:space="preserve">. The </w:t>
      </w:r>
      <w:r w:rsidR="00D70B8F">
        <w:rPr>
          <w:rFonts w:cs="Open Sans"/>
        </w:rPr>
        <w:t>other types of information are consistent with</w:t>
      </w:r>
      <w:r w:rsidR="00874BE5">
        <w:rPr>
          <w:rFonts w:cs="Open Sans"/>
        </w:rPr>
        <w:t xml:space="preserve"> the definition of </w:t>
      </w:r>
      <w:proofErr w:type="spellStart"/>
      <w:r w:rsidR="00874BE5">
        <w:rPr>
          <w:rFonts w:cs="Open Sans"/>
        </w:rPr>
        <w:t>‘cause</w:t>
      </w:r>
      <w:proofErr w:type="spellEnd"/>
      <w:r w:rsidR="00874BE5">
        <w:rPr>
          <w:rFonts w:cs="Open Sans"/>
        </w:rPr>
        <w:t xml:space="preserve"> harm to Australia’s interests’</w:t>
      </w:r>
      <w:r w:rsidR="00D70B8F">
        <w:rPr>
          <w:rFonts w:cs="Open Sans"/>
        </w:rPr>
        <w:t xml:space="preserve"> </w:t>
      </w:r>
      <w:r w:rsidR="00874BE5">
        <w:rPr>
          <w:rFonts w:cs="Open Sans"/>
        </w:rPr>
        <w:t xml:space="preserve">in </w:t>
      </w:r>
      <w:r w:rsidR="00D70B8F">
        <w:rPr>
          <w:rFonts w:cs="Open Sans"/>
        </w:rPr>
        <w:t xml:space="preserve">section 122.2(1)(b). </w:t>
      </w:r>
    </w:p>
    <w:p w14:paraId="0FC2C552" w14:textId="676CF4AE" w:rsidR="0022202B" w:rsidRPr="00DE33C4" w:rsidRDefault="0022202B" w:rsidP="0022202B">
      <w:pPr>
        <w:pStyle w:val="ListNumber"/>
        <w:tabs>
          <w:tab w:val="clear" w:pos="360"/>
        </w:tabs>
        <w:ind w:left="1094" w:hanging="737"/>
        <w:rPr>
          <w:rFonts w:cs="Open Sans"/>
        </w:rPr>
      </w:pPr>
      <w:r w:rsidRPr="00541A30">
        <w:rPr>
          <w:rFonts w:cs="Open Sans"/>
        </w:rPr>
        <w:t>Th</w:t>
      </w:r>
      <w:r w:rsidR="00C07962">
        <w:rPr>
          <w:rFonts w:cs="Open Sans"/>
        </w:rPr>
        <w:t>e provisions are</w:t>
      </w:r>
      <w:r w:rsidRPr="00541A30">
        <w:rPr>
          <w:rFonts w:cs="Open Sans"/>
        </w:rPr>
        <w:t xml:space="preserve"> </w:t>
      </w:r>
      <w:r>
        <w:rPr>
          <w:rFonts w:cs="Open Sans"/>
        </w:rPr>
        <w:t>clearly wider and contrary to</w:t>
      </w:r>
      <w:r w:rsidRPr="00541A30">
        <w:rPr>
          <w:rFonts w:cs="Open Sans"/>
        </w:rPr>
        <w:t xml:space="preserve"> the recommendation </w:t>
      </w:r>
      <w:r w:rsidR="00205735">
        <w:rPr>
          <w:rFonts w:cs="Open Sans"/>
        </w:rPr>
        <w:t>in the</w:t>
      </w:r>
      <w:r w:rsidR="00091ACF" w:rsidRPr="00091ACF">
        <w:rPr>
          <w:rFonts w:cs="Open Sans"/>
        </w:rPr>
        <w:t xml:space="preserve"> </w:t>
      </w:r>
      <w:r w:rsidR="00091ACF" w:rsidRPr="00175160">
        <w:rPr>
          <w:rFonts w:cs="Open Sans"/>
        </w:rPr>
        <w:t xml:space="preserve">ALRC 2009 </w:t>
      </w:r>
      <w:r w:rsidR="00091ACF">
        <w:rPr>
          <w:rFonts w:cs="Open Sans"/>
        </w:rPr>
        <w:t>Secrecy Laws R</w:t>
      </w:r>
      <w:r w:rsidR="00091ACF" w:rsidRPr="00175160">
        <w:rPr>
          <w:rFonts w:cs="Open Sans"/>
        </w:rPr>
        <w:t>eport</w:t>
      </w:r>
      <w:r w:rsidR="00205735">
        <w:rPr>
          <w:rFonts w:cs="Open Sans"/>
        </w:rPr>
        <w:t>,</w:t>
      </w:r>
      <w:r w:rsidRPr="00541A30">
        <w:rPr>
          <w:rFonts w:cs="Open Sans"/>
        </w:rPr>
        <w:t xml:space="preserve"> </w:t>
      </w:r>
      <w:r>
        <w:t xml:space="preserve">that ‘most secrecy offences, and the general secrecy offence in particular, should include an express requirement to establish that an unauthorised disclosure of Commonwealth information caused, or was likely or intended to cause, harm to specified public interests’. </w:t>
      </w:r>
    </w:p>
    <w:p w14:paraId="3E188965" w14:textId="7A203A2A" w:rsidR="0022202B" w:rsidRPr="00F650DE" w:rsidRDefault="0022202B" w:rsidP="0022202B">
      <w:pPr>
        <w:pStyle w:val="ListNumber"/>
        <w:tabs>
          <w:tab w:val="clear" w:pos="360"/>
        </w:tabs>
        <w:ind w:left="1094" w:hanging="737"/>
        <w:rPr>
          <w:rFonts w:cs="Open Sans"/>
        </w:rPr>
      </w:pPr>
      <w:r>
        <w:t>The ALRC</w:t>
      </w:r>
      <w:r w:rsidR="00FA19A8">
        <w:t xml:space="preserve"> </w:t>
      </w:r>
      <w:r w:rsidR="00702E3F">
        <w:t>concluded that this</w:t>
      </w:r>
      <w:r>
        <w:t xml:space="preserve"> approach ‘balances the need to protect some information by means of the criminal law, with the public interest in open government and the fostering of a pro-disclosure culture in the Australian public sector’.</w:t>
      </w:r>
      <w:r w:rsidR="00C5458A">
        <w:rPr>
          <w:rStyle w:val="EndnoteReference"/>
        </w:rPr>
        <w:endnoteReference w:id="23"/>
      </w:r>
      <w:r w:rsidR="0093200E">
        <w:t xml:space="preserve"> </w:t>
      </w:r>
      <w:r>
        <w:rPr>
          <w:rFonts w:cs="Open Sans"/>
        </w:rPr>
        <w:t>The ALRC identified that the</w:t>
      </w:r>
      <w:r w:rsidRPr="00F650DE">
        <w:rPr>
          <w:rFonts w:cs="Open Sans"/>
        </w:rPr>
        <w:t xml:space="preserve"> essential public interests for general secrecy offences</w:t>
      </w:r>
      <w:r>
        <w:rPr>
          <w:rFonts w:cs="Open Sans"/>
        </w:rPr>
        <w:t xml:space="preserve"> should be</w:t>
      </w:r>
      <w:r w:rsidRPr="00F650DE">
        <w:rPr>
          <w:rFonts w:cs="Open Sans"/>
        </w:rPr>
        <w:t xml:space="preserve"> limited to ‘authorised disclosures’ that were likely to:</w:t>
      </w:r>
    </w:p>
    <w:p w14:paraId="4E5BC0C8" w14:textId="2C3D0B3F" w:rsidR="0022202B" w:rsidRPr="00442388" w:rsidRDefault="0022202B" w:rsidP="0022202B">
      <w:pPr>
        <w:pStyle w:val="ListNumber"/>
        <w:numPr>
          <w:ilvl w:val="0"/>
          <w:numId w:val="19"/>
        </w:numPr>
        <w:rPr>
          <w:rFonts w:cs="Open Sans"/>
        </w:rPr>
      </w:pPr>
      <w:r>
        <w:t>damage the security, defence or international relations of the Commonwealth</w:t>
      </w:r>
      <w:r w:rsidR="00BD644A">
        <w:t>;</w:t>
      </w:r>
    </w:p>
    <w:p w14:paraId="30FF915F" w14:textId="3CE54AED" w:rsidR="0022202B" w:rsidRPr="00442388" w:rsidRDefault="0022202B" w:rsidP="0022202B">
      <w:pPr>
        <w:pStyle w:val="ListNumber"/>
        <w:numPr>
          <w:ilvl w:val="0"/>
          <w:numId w:val="19"/>
        </w:numPr>
        <w:rPr>
          <w:rFonts w:cs="Open Sans"/>
        </w:rPr>
      </w:pPr>
      <w:r>
        <w:t>prejudice the prevention, detection, investigation, prosecution or punishment of criminal offences</w:t>
      </w:r>
      <w:r w:rsidR="00BD644A">
        <w:t>;</w:t>
      </w:r>
    </w:p>
    <w:p w14:paraId="5778C5BF" w14:textId="77777777" w:rsidR="0022202B" w:rsidRPr="00442388" w:rsidRDefault="0022202B" w:rsidP="0022202B">
      <w:pPr>
        <w:pStyle w:val="ListNumber"/>
        <w:numPr>
          <w:ilvl w:val="0"/>
          <w:numId w:val="19"/>
        </w:numPr>
        <w:rPr>
          <w:rFonts w:cs="Open Sans"/>
        </w:rPr>
      </w:pPr>
      <w:r>
        <w:t>endanger the life or physical safety of any person; or</w:t>
      </w:r>
    </w:p>
    <w:p w14:paraId="4F47213A" w14:textId="1A0FEE17" w:rsidR="0022202B" w:rsidRPr="00442388" w:rsidRDefault="0022202B" w:rsidP="0022202B">
      <w:pPr>
        <w:pStyle w:val="ListNumber"/>
        <w:numPr>
          <w:ilvl w:val="0"/>
          <w:numId w:val="19"/>
        </w:numPr>
        <w:rPr>
          <w:rFonts w:cs="Open Sans"/>
        </w:rPr>
      </w:pPr>
      <w:r>
        <w:t>prejudice the protection of public safety.</w:t>
      </w:r>
      <w:r w:rsidR="0054474A">
        <w:rPr>
          <w:rStyle w:val="EndnoteReference"/>
        </w:rPr>
        <w:endnoteReference w:id="24"/>
      </w:r>
    </w:p>
    <w:p w14:paraId="76D29D09" w14:textId="7C95FCB3" w:rsidR="0022202B" w:rsidRPr="00DB2A01" w:rsidRDefault="0022202B" w:rsidP="0022202B">
      <w:pPr>
        <w:pStyle w:val="ListNumber"/>
        <w:tabs>
          <w:tab w:val="clear" w:pos="360"/>
        </w:tabs>
        <w:ind w:left="1094" w:hanging="737"/>
        <w:rPr>
          <w:rFonts w:cs="Open Sans"/>
        </w:rPr>
      </w:pPr>
      <w:r>
        <w:rPr>
          <w:rFonts w:cs="Open Sans"/>
        </w:rPr>
        <w:t xml:space="preserve">The </w:t>
      </w:r>
      <w:r w:rsidR="00BD644A" w:rsidRPr="00B115C6">
        <w:rPr>
          <w:rFonts w:cs="Open Sans"/>
        </w:rPr>
        <w:t>AG</w:t>
      </w:r>
      <w:r w:rsidR="00BD644A">
        <w:rPr>
          <w:rFonts w:cs="Open Sans"/>
        </w:rPr>
        <w:t>D</w:t>
      </w:r>
      <w:r w:rsidR="00BD644A" w:rsidRPr="00B115C6">
        <w:rPr>
          <w:rFonts w:cs="Open Sans"/>
        </w:rPr>
        <w:t xml:space="preserve"> </w:t>
      </w:r>
      <w:r w:rsidR="00BD644A">
        <w:rPr>
          <w:rFonts w:cs="Open Sans"/>
        </w:rPr>
        <w:t xml:space="preserve">secrecy review </w:t>
      </w:r>
      <w:r>
        <w:rPr>
          <w:rFonts w:cs="Open Sans"/>
        </w:rPr>
        <w:t xml:space="preserve">also recommended that a </w:t>
      </w:r>
      <w:r>
        <w:t>harms-based approach should be taken in framing secrecy offences and that secrecy provisions should contain an express harm element, cover a narrowly defined category of information and the harm to an essential public interest is implicit, or protect against harm to the relationship of trust between individuals and the Government integral to the regulatory functions of government.</w:t>
      </w:r>
      <w:r w:rsidR="007C50BF">
        <w:rPr>
          <w:rStyle w:val="EndnoteReference"/>
        </w:rPr>
        <w:endnoteReference w:id="25"/>
      </w:r>
    </w:p>
    <w:p w14:paraId="2E0D2BC2" w14:textId="01FBB990" w:rsidR="007227BC" w:rsidRDefault="007227BC" w:rsidP="003C322C">
      <w:pPr>
        <w:pStyle w:val="ListNumber"/>
        <w:tabs>
          <w:tab w:val="clear" w:pos="360"/>
        </w:tabs>
        <w:ind w:left="1094" w:hanging="737"/>
        <w:rPr>
          <w:rFonts w:cs="Open Sans"/>
        </w:rPr>
      </w:pPr>
      <w:r>
        <w:t xml:space="preserve">The Commission considers that harm to ‘essential public interests’ </w:t>
      </w:r>
      <w:r w:rsidR="007B0C6C">
        <w:t>is</w:t>
      </w:r>
      <w:r>
        <w:t xml:space="preserve"> not necessarily implicit in the prescribed categories of information</w:t>
      </w:r>
      <w:r w:rsidR="007B0C6C">
        <w:t xml:space="preserve"> </w:t>
      </w:r>
      <w:r w:rsidR="005A4659">
        <w:t xml:space="preserve">specified </w:t>
      </w:r>
      <w:r w:rsidR="009B4B85">
        <w:t xml:space="preserve">by the provisions. </w:t>
      </w:r>
    </w:p>
    <w:p w14:paraId="11F958D0" w14:textId="0E9CBD0C" w:rsidR="00300FB7" w:rsidRPr="003C322C" w:rsidRDefault="0022202B" w:rsidP="003C322C">
      <w:pPr>
        <w:pStyle w:val="ListNumber"/>
        <w:tabs>
          <w:tab w:val="clear" w:pos="360"/>
        </w:tabs>
        <w:ind w:left="1094" w:hanging="737"/>
        <w:rPr>
          <w:rFonts w:cs="Open Sans"/>
        </w:rPr>
      </w:pPr>
      <w:r w:rsidRPr="008B35C3">
        <w:rPr>
          <w:rFonts w:cs="Open Sans"/>
        </w:rPr>
        <w:t xml:space="preserve">The requirement that disclosures should only be prohibited where they will result in some specific, identifiable harm reflects the principle that limitations on the right to freedom of expression are only justified when they are necessary to achieve a legitimate purpose. </w:t>
      </w:r>
    </w:p>
    <w:p w14:paraId="35934455" w14:textId="6463152E" w:rsidR="0022202B" w:rsidRPr="005B67ED" w:rsidRDefault="0022202B" w:rsidP="005B67ED">
      <w:pPr>
        <w:pStyle w:val="ListNumber"/>
        <w:tabs>
          <w:tab w:val="clear" w:pos="360"/>
        </w:tabs>
        <w:ind w:left="1094" w:hanging="737"/>
        <w:rPr>
          <w:rFonts w:cs="Open Sans"/>
        </w:rPr>
      </w:pPr>
      <w:r>
        <w:t xml:space="preserve">This is particularly so for disclosures by outsiders, including journalists and whistleblowers. </w:t>
      </w:r>
      <w:r w:rsidR="00F91548">
        <w:t>Laws</w:t>
      </w:r>
      <w:r>
        <w:t xml:space="preserve"> criminalising outsiders </w:t>
      </w:r>
      <w:r w:rsidR="00F91548">
        <w:t xml:space="preserve">have an even greater incentive </w:t>
      </w:r>
      <w:r w:rsidR="00C605C7">
        <w:t>to</w:t>
      </w:r>
      <w:r w:rsidR="0000151D">
        <w:t xml:space="preserve"> </w:t>
      </w:r>
      <w:r>
        <w:t>contain an express harm requirement.</w:t>
      </w:r>
    </w:p>
    <w:p w14:paraId="6DB14120" w14:textId="437BF582" w:rsidR="0022202B" w:rsidRPr="00452707" w:rsidRDefault="0022202B" w:rsidP="00445B45">
      <w:pPr>
        <w:pStyle w:val="ListNumber"/>
        <w:keepNext/>
        <w:numPr>
          <w:ilvl w:val="0"/>
          <w:numId w:val="0"/>
        </w:numPr>
        <w:ind w:left="1094"/>
        <w:rPr>
          <w:rFonts w:cs="Open Sans"/>
          <w:b/>
          <w:bCs/>
        </w:rPr>
      </w:pPr>
      <w:r w:rsidRPr="00452707">
        <w:rPr>
          <w:rFonts w:cs="Open Sans"/>
          <w:b/>
          <w:bCs/>
        </w:rPr>
        <w:t xml:space="preserve">Recommendation </w:t>
      </w:r>
      <w:r w:rsidR="007630FB">
        <w:rPr>
          <w:rFonts w:cs="Open Sans"/>
          <w:b/>
          <w:bCs/>
        </w:rPr>
        <w:t>2</w:t>
      </w:r>
    </w:p>
    <w:p w14:paraId="29138866" w14:textId="4754385C" w:rsidR="00C4214E" w:rsidRPr="002D77D9" w:rsidRDefault="0022202B" w:rsidP="002D77D9">
      <w:pPr>
        <w:pStyle w:val="ListNumber"/>
        <w:keepNext/>
        <w:numPr>
          <w:ilvl w:val="0"/>
          <w:numId w:val="0"/>
        </w:numPr>
        <w:ind w:left="1094"/>
      </w:pPr>
      <w:r>
        <w:rPr>
          <w:rFonts w:cs="Open Sans"/>
        </w:rPr>
        <w:t>The</w:t>
      </w:r>
      <w:r w:rsidR="000B0DA0">
        <w:rPr>
          <w:rFonts w:cs="Open Sans"/>
        </w:rPr>
        <w:t xml:space="preserve"> Commission’s primary recommendation is that the</w:t>
      </w:r>
      <w:r>
        <w:rPr>
          <w:rFonts w:cs="Open Sans"/>
        </w:rPr>
        <w:t xml:space="preserve"> general secrecy offences in Part 5.6 of the Criminal Code should include</w:t>
      </w:r>
      <w:r w:rsidR="00F337A2">
        <w:t xml:space="preserve"> an express requirement that, for an offence to be committed, the unauthorised disclosure caused, or was likely or intended to cause, harm to an essential public interest</w:t>
      </w:r>
      <w:r w:rsidR="006836E4">
        <w:t>. Those essential public interests should be</w:t>
      </w:r>
      <w:r w:rsidR="00B57BA1">
        <w:t xml:space="preserve"> confined to those identified by the ALRC </w:t>
      </w:r>
      <w:r w:rsidR="003432D5">
        <w:t>(</w:t>
      </w:r>
      <w:r w:rsidR="006836E4">
        <w:t xml:space="preserve">referred to </w:t>
      </w:r>
      <w:proofErr w:type="spellStart"/>
      <w:r w:rsidR="006836E4">
        <w:t>at</w:t>
      </w:r>
      <w:proofErr w:type="spellEnd"/>
      <w:r w:rsidR="003432D5">
        <w:t xml:space="preserve"> paragraph 38 of this submission). </w:t>
      </w:r>
    </w:p>
    <w:p w14:paraId="61AD80CB" w14:textId="0BF16F40" w:rsidR="001E20F8" w:rsidRDefault="001E20F8" w:rsidP="00445B45">
      <w:pPr>
        <w:pStyle w:val="ListNumber"/>
        <w:keepNext/>
        <w:numPr>
          <w:ilvl w:val="0"/>
          <w:numId w:val="0"/>
        </w:numPr>
        <w:ind w:left="1094"/>
        <w:rPr>
          <w:rFonts w:cs="Open Sans"/>
          <w:b/>
          <w:bCs/>
        </w:rPr>
      </w:pPr>
      <w:r w:rsidRPr="00445B45">
        <w:rPr>
          <w:rFonts w:cs="Open Sans"/>
          <w:b/>
          <w:bCs/>
        </w:rPr>
        <w:t>Recommendation</w:t>
      </w:r>
      <w:r w:rsidR="002F7B1A" w:rsidRPr="00445B45">
        <w:rPr>
          <w:rFonts w:cs="Open Sans"/>
          <w:b/>
          <w:bCs/>
        </w:rPr>
        <w:t xml:space="preserve"> </w:t>
      </w:r>
      <w:r w:rsidR="007630FB">
        <w:rPr>
          <w:rFonts w:cs="Open Sans"/>
          <w:b/>
          <w:bCs/>
        </w:rPr>
        <w:t>3</w:t>
      </w:r>
    </w:p>
    <w:p w14:paraId="7EF849B6" w14:textId="0EB6CB87" w:rsidR="00D24DCD" w:rsidRDefault="00D24DCD" w:rsidP="00445B45">
      <w:pPr>
        <w:pStyle w:val="ListNumber"/>
        <w:keepNext/>
        <w:numPr>
          <w:ilvl w:val="0"/>
          <w:numId w:val="0"/>
        </w:numPr>
        <w:ind w:left="1094"/>
      </w:pPr>
      <w:r>
        <w:t>In the absence of an ex</w:t>
      </w:r>
      <w:r w:rsidR="00D34C0D">
        <w:t>press harm requirement, the general secrecy offences should cover a narrowly defined category of information where the harm to an essential public interest is implicit</w:t>
      </w:r>
      <w:r w:rsidR="006D013C">
        <w:t xml:space="preserve"> or the harm</w:t>
      </w:r>
      <w:r w:rsidR="00A271FB">
        <w:t xml:space="preserve"> is to a relationship of trust between individuals and the Australian Government integral to the regulatory functions of government</w:t>
      </w:r>
      <w:r w:rsidR="00540C98">
        <w:t xml:space="preserve">. </w:t>
      </w:r>
    </w:p>
    <w:p w14:paraId="4CB1AA54" w14:textId="32563385" w:rsidR="002B3735" w:rsidRPr="002D77D9" w:rsidRDefault="00540C98" w:rsidP="002D77D9">
      <w:pPr>
        <w:pStyle w:val="ListNumber"/>
        <w:keepNext/>
        <w:numPr>
          <w:ilvl w:val="0"/>
          <w:numId w:val="0"/>
        </w:numPr>
        <w:rPr>
          <w:rFonts w:cs="Open Sans"/>
          <w:b/>
          <w:bCs/>
        </w:rPr>
      </w:pPr>
      <w:r>
        <w:rPr>
          <w:rFonts w:cs="Open Sans"/>
        </w:rPr>
        <w:tab/>
      </w:r>
      <w:r w:rsidRPr="002D77D9">
        <w:rPr>
          <w:rFonts w:cs="Open Sans"/>
          <w:b/>
          <w:bCs/>
        </w:rPr>
        <w:t xml:space="preserve">Recommendation </w:t>
      </w:r>
      <w:r w:rsidR="007630FB">
        <w:rPr>
          <w:rFonts w:cs="Open Sans"/>
          <w:b/>
          <w:bCs/>
        </w:rPr>
        <w:t>4</w:t>
      </w:r>
    </w:p>
    <w:p w14:paraId="1E1EFE56" w14:textId="2722FF64" w:rsidR="000A08F0" w:rsidRPr="002D77D9" w:rsidRDefault="00FF4209" w:rsidP="002D77D9">
      <w:pPr>
        <w:pStyle w:val="ListNumber"/>
        <w:keepNext/>
        <w:numPr>
          <w:ilvl w:val="0"/>
          <w:numId w:val="0"/>
        </w:numPr>
        <w:ind w:left="1094"/>
        <w:rPr>
          <w:rFonts w:cs="Open Sans"/>
        </w:rPr>
      </w:pPr>
      <w:r>
        <w:rPr>
          <w:rFonts w:cs="Open Sans"/>
        </w:rPr>
        <w:t>At the very least, an</w:t>
      </w:r>
      <w:r w:rsidR="00FE67FB" w:rsidRPr="002D77D9">
        <w:rPr>
          <w:rFonts w:cs="Open Sans"/>
        </w:rPr>
        <w:t xml:space="preserve"> express harm requirement should be included in the </w:t>
      </w:r>
      <w:r w:rsidR="00434EBE" w:rsidRPr="002D77D9">
        <w:rPr>
          <w:rFonts w:cs="Open Sans"/>
        </w:rPr>
        <w:t xml:space="preserve">offences relating to non-Commonwealth officers. </w:t>
      </w:r>
    </w:p>
    <w:p w14:paraId="4CF56EE5" w14:textId="2DBE387B" w:rsidR="004775B5" w:rsidRDefault="0055129A" w:rsidP="001713D7">
      <w:pPr>
        <w:pStyle w:val="Heading2"/>
      </w:pPr>
      <w:bookmarkStart w:id="41" w:name="_Toc160780330"/>
      <w:r>
        <w:t>Domestic intelligence agencies</w:t>
      </w:r>
      <w:bookmarkEnd w:id="41"/>
      <w:r>
        <w:t xml:space="preserve"> </w:t>
      </w:r>
    </w:p>
    <w:p w14:paraId="662B0A10" w14:textId="78D4F1E1" w:rsidR="00D8071E" w:rsidRPr="00D8071E" w:rsidRDefault="00D8071E" w:rsidP="00BF417D">
      <w:pPr>
        <w:pStyle w:val="ListNumber"/>
        <w:tabs>
          <w:tab w:val="clear" w:pos="360"/>
        </w:tabs>
        <w:ind w:left="1094" w:hanging="737"/>
        <w:rPr>
          <w:rFonts w:cs="Open Sans"/>
        </w:rPr>
      </w:pPr>
      <w:r>
        <w:rPr>
          <w:rFonts w:cs="Open Sans"/>
        </w:rPr>
        <w:t xml:space="preserve">The definition of ‘inherently harmful information’ </w:t>
      </w:r>
      <w:r w:rsidR="00005EEF">
        <w:rPr>
          <w:rFonts w:cs="Open Sans"/>
        </w:rPr>
        <w:t xml:space="preserve">in section 121.1 </w:t>
      </w:r>
      <w:r>
        <w:rPr>
          <w:rFonts w:cs="Open Sans"/>
        </w:rPr>
        <w:t>include</w:t>
      </w:r>
      <w:r w:rsidR="00522BE8">
        <w:rPr>
          <w:rFonts w:cs="Open Sans"/>
        </w:rPr>
        <w:t>s</w:t>
      </w:r>
      <w:r>
        <w:rPr>
          <w:rFonts w:cs="Open Sans"/>
        </w:rPr>
        <w:t xml:space="preserve"> </w:t>
      </w:r>
      <w:r w:rsidR="00E461C9" w:rsidRPr="002D77D9">
        <w:rPr>
          <w:rFonts w:cs="Open Sans"/>
        </w:rPr>
        <w:t xml:space="preserve">any </w:t>
      </w:r>
      <w:r w:rsidR="00F5614B">
        <w:rPr>
          <w:rFonts w:cs="Open Sans"/>
        </w:rPr>
        <w:t xml:space="preserve">information that was </w:t>
      </w:r>
      <w:r w:rsidR="006B27AE">
        <w:rPr>
          <w:rFonts w:cs="Open Sans"/>
        </w:rPr>
        <w:t xml:space="preserve">obtained or made </w:t>
      </w:r>
      <w:r w:rsidR="00A90617">
        <w:rPr>
          <w:rFonts w:cs="Open Sans"/>
        </w:rPr>
        <w:t>by a</w:t>
      </w:r>
      <w:r w:rsidR="00F5614B">
        <w:rPr>
          <w:rFonts w:cs="Open Sans"/>
        </w:rPr>
        <w:t xml:space="preserve"> domestic intelligence agenc</w:t>
      </w:r>
      <w:r w:rsidR="00196AA9">
        <w:rPr>
          <w:rFonts w:cs="Open Sans"/>
        </w:rPr>
        <w:t>y or a foreign intelligence agency in connection with the agency’s functions</w:t>
      </w:r>
      <w:r w:rsidR="00A90617">
        <w:rPr>
          <w:rFonts w:cs="Open Sans"/>
        </w:rPr>
        <w:t xml:space="preserve">. </w:t>
      </w:r>
      <w:r w:rsidR="00196AA9">
        <w:rPr>
          <w:rFonts w:cs="Open Sans"/>
        </w:rPr>
        <w:t xml:space="preserve"> </w:t>
      </w:r>
    </w:p>
    <w:p w14:paraId="6F4E21DF" w14:textId="03FDDC14" w:rsidR="005D1353" w:rsidRPr="00D550BC" w:rsidRDefault="0096439A" w:rsidP="00BF417D">
      <w:pPr>
        <w:pStyle w:val="ListNumber"/>
        <w:tabs>
          <w:tab w:val="clear" w:pos="360"/>
        </w:tabs>
        <w:ind w:left="1094" w:hanging="737"/>
        <w:rPr>
          <w:rFonts w:cs="Open Sans"/>
        </w:rPr>
      </w:pPr>
      <w:r>
        <w:t>The</w:t>
      </w:r>
      <w:r w:rsidR="003E63AC">
        <w:t xml:space="preserve"> Commission acknowledges </w:t>
      </w:r>
      <w:r w:rsidR="0017783E">
        <w:t xml:space="preserve">the generally accepted position </w:t>
      </w:r>
      <w:r w:rsidR="001804DA">
        <w:t>by</w:t>
      </w:r>
      <w:r w:rsidR="0017783E">
        <w:t xml:space="preserve"> the ALRC that </w:t>
      </w:r>
      <w:r w:rsidR="00C554EB">
        <w:t xml:space="preserve">harm </w:t>
      </w:r>
      <w:r w:rsidR="00E33EE9">
        <w:t>is</w:t>
      </w:r>
      <w:r w:rsidR="00C554EB">
        <w:t xml:space="preserve"> implicit in any disclosure of information obtained or generated by intelligence agencies and </w:t>
      </w:r>
      <w:r w:rsidR="00084419">
        <w:t>that specific secrecy offences could be justified in this context</w:t>
      </w:r>
      <w:r w:rsidR="00D550BC">
        <w:t xml:space="preserve">. </w:t>
      </w:r>
    </w:p>
    <w:p w14:paraId="7FABC870" w14:textId="4A2BC02C" w:rsidR="00D550BC" w:rsidRPr="005D1353" w:rsidRDefault="00D550BC" w:rsidP="00BF417D">
      <w:pPr>
        <w:pStyle w:val="ListNumber"/>
        <w:tabs>
          <w:tab w:val="clear" w:pos="360"/>
        </w:tabs>
        <w:ind w:left="1094" w:hanging="737"/>
        <w:rPr>
          <w:rFonts w:cs="Open Sans"/>
        </w:rPr>
      </w:pPr>
      <w:r>
        <w:t xml:space="preserve">The AGD secrecy review also </w:t>
      </w:r>
      <w:r w:rsidR="00B443AE">
        <w:t>considered:</w:t>
      </w:r>
    </w:p>
    <w:p w14:paraId="40E72453" w14:textId="73908C9D" w:rsidR="00E92180" w:rsidRPr="002D77D9" w:rsidRDefault="00B443AE" w:rsidP="002D77D9">
      <w:pPr>
        <w:pStyle w:val="ListNumber"/>
        <w:numPr>
          <w:ilvl w:val="0"/>
          <w:numId w:val="0"/>
        </w:numPr>
        <w:ind w:left="1440"/>
        <w:rPr>
          <w:sz w:val="22"/>
          <w:szCs w:val="22"/>
        </w:rPr>
      </w:pPr>
      <w:r>
        <w:rPr>
          <w:sz w:val="22"/>
          <w:szCs w:val="22"/>
        </w:rPr>
        <w:t>[</w:t>
      </w:r>
      <w:r w:rsidR="00E92180" w:rsidRPr="002D77D9">
        <w:rPr>
          <w:sz w:val="22"/>
          <w:szCs w:val="22"/>
        </w:rPr>
        <w:t>T</w:t>
      </w:r>
      <w:r>
        <w:rPr>
          <w:sz w:val="22"/>
          <w:szCs w:val="22"/>
        </w:rPr>
        <w:t>]</w:t>
      </w:r>
      <w:r w:rsidR="00E92180" w:rsidRPr="002D77D9">
        <w:rPr>
          <w:sz w:val="22"/>
          <w:szCs w:val="22"/>
        </w:rPr>
        <w:t>he harm to an essential public interest caused by the disclosure of some narrowly defined categories of information can be implied from the inherent sensitivity of these types of information. For example, the harm caused by the disclosure of some types of national security and law enforcement information – including information obtained or generated by intelligence agencies, the disclosure of which could cause grave harm to Australia’s national security and foreign partnerships – can be implied.</w:t>
      </w:r>
      <w:r w:rsidR="008876AE">
        <w:rPr>
          <w:rStyle w:val="EndnoteReference"/>
          <w:szCs w:val="22"/>
        </w:rPr>
        <w:endnoteReference w:id="26"/>
      </w:r>
    </w:p>
    <w:p w14:paraId="130AA3B4" w14:textId="05FCAD93" w:rsidR="00476240" w:rsidRPr="000D0A57" w:rsidRDefault="00CF40B3" w:rsidP="00BF417D">
      <w:pPr>
        <w:pStyle w:val="ListNumber"/>
        <w:tabs>
          <w:tab w:val="clear" w:pos="360"/>
        </w:tabs>
        <w:ind w:left="1094" w:hanging="737"/>
        <w:rPr>
          <w:rFonts w:cs="Open Sans"/>
        </w:rPr>
      </w:pPr>
      <w:r w:rsidRPr="000D0A57">
        <w:rPr>
          <w:rFonts w:cs="Open Sans"/>
        </w:rPr>
        <w:t>However, this does not mean that</w:t>
      </w:r>
      <w:r w:rsidRPr="001531C8">
        <w:rPr>
          <w:rFonts w:cs="Open Sans"/>
          <w:i/>
          <w:iCs/>
        </w:rPr>
        <w:t xml:space="preserve"> all</w:t>
      </w:r>
      <w:r w:rsidRPr="000D0A57">
        <w:rPr>
          <w:rFonts w:cs="Open Sans"/>
        </w:rPr>
        <w:t xml:space="preserve"> </w:t>
      </w:r>
      <w:r w:rsidR="00CE6012" w:rsidRPr="000D0A57">
        <w:rPr>
          <w:rFonts w:cs="Open Sans"/>
        </w:rPr>
        <w:t xml:space="preserve">information obtained </w:t>
      </w:r>
      <w:r w:rsidR="001D2982" w:rsidRPr="000D0A57">
        <w:rPr>
          <w:rFonts w:cs="Open Sans"/>
        </w:rPr>
        <w:t>by or generated in relation to a domestic intelligence agency in connection with the agency’s functions</w:t>
      </w:r>
      <w:r w:rsidR="00AC4915" w:rsidRPr="000D0A57">
        <w:rPr>
          <w:rFonts w:cs="Open Sans"/>
        </w:rPr>
        <w:t>,</w:t>
      </w:r>
      <w:r w:rsidR="00AC4915" w:rsidRPr="001531C8">
        <w:t xml:space="preserve"> as provided for in</w:t>
      </w:r>
      <w:r w:rsidR="00D8071E">
        <w:t xml:space="preserve"> </w:t>
      </w:r>
      <w:r w:rsidR="00630974" w:rsidRPr="001531C8">
        <w:t xml:space="preserve">section </w:t>
      </w:r>
      <w:r w:rsidR="008B415F" w:rsidRPr="001531C8">
        <w:t>121.</w:t>
      </w:r>
      <w:r w:rsidR="008B415F" w:rsidRPr="000D0A57">
        <w:rPr>
          <w:rFonts w:cs="Open Sans"/>
        </w:rPr>
        <w:t>1</w:t>
      </w:r>
      <w:r w:rsidR="00D8071E">
        <w:rPr>
          <w:rFonts w:cs="Open Sans"/>
        </w:rPr>
        <w:t>,</w:t>
      </w:r>
      <w:r w:rsidR="001D2982" w:rsidRPr="000D0A57">
        <w:rPr>
          <w:rFonts w:cs="Open Sans"/>
        </w:rPr>
        <w:t xml:space="preserve"> would cause harm if disclosed publicly</w:t>
      </w:r>
      <w:r w:rsidRPr="000D0A57">
        <w:rPr>
          <w:rFonts w:cs="Open Sans"/>
        </w:rPr>
        <w:t>.</w:t>
      </w:r>
      <w:r w:rsidRPr="001531C8">
        <w:rPr>
          <w:rStyle w:val="EndnoteReference"/>
          <w:rFonts w:cs="Open Sans"/>
          <w:sz w:val="24"/>
        </w:rPr>
        <w:endnoteReference w:id="27"/>
      </w:r>
      <w:r w:rsidRPr="000D0A57">
        <w:rPr>
          <w:rFonts w:cs="Open Sans"/>
        </w:rPr>
        <w:t xml:space="preserve"> </w:t>
      </w:r>
    </w:p>
    <w:p w14:paraId="4D9D4BBA" w14:textId="7AA7D44C" w:rsidR="007A3BF4" w:rsidRPr="007A3BF4" w:rsidRDefault="00FB1C0B" w:rsidP="00D31BD1">
      <w:pPr>
        <w:pStyle w:val="ListNumber"/>
        <w:tabs>
          <w:tab w:val="clear" w:pos="360"/>
        </w:tabs>
        <w:ind w:left="1094" w:hanging="737"/>
        <w:rPr>
          <w:rFonts w:cs="Open Sans"/>
        </w:rPr>
      </w:pPr>
      <w:r>
        <w:t>T</w:t>
      </w:r>
      <w:r w:rsidR="00624722">
        <w:t>he INSLM</w:t>
      </w:r>
      <w:r w:rsidR="00EB7156">
        <w:t>’s</w:t>
      </w:r>
      <w:r w:rsidR="00624722">
        <w:t xml:space="preserve"> Issues </w:t>
      </w:r>
      <w:r w:rsidR="001A0C93">
        <w:t>paper</w:t>
      </w:r>
      <w:r>
        <w:t xml:space="preserve"> highlights</w:t>
      </w:r>
      <w:r w:rsidR="00D20EC3">
        <w:t xml:space="preserve"> </w:t>
      </w:r>
      <w:r w:rsidR="007A3BF4">
        <w:t>the potential for broad application:</w:t>
      </w:r>
    </w:p>
    <w:p w14:paraId="71430574" w14:textId="7227631B" w:rsidR="00CF40B3" w:rsidRPr="00870DEE" w:rsidRDefault="007A3BF4" w:rsidP="007C1BFB">
      <w:pPr>
        <w:pStyle w:val="ListNumber"/>
        <w:numPr>
          <w:ilvl w:val="0"/>
          <w:numId w:val="43"/>
        </w:numPr>
        <w:rPr>
          <w:rFonts w:cs="Open Sans"/>
        </w:rPr>
      </w:pPr>
      <w:r>
        <w:t>to</w:t>
      </w:r>
      <w:r w:rsidR="0061111A">
        <w:t xml:space="preserve"> </w:t>
      </w:r>
      <w:r w:rsidR="00F8699A">
        <w:t>non-intelligence information</w:t>
      </w:r>
      <w:r>
        <w:t xml:space="preserve"> of agencies</w:t>
      </w:r>
      <w:r w:rsidR="007C1BFB">
        <w:t xml:space="preserve"> in the course of managing their affairs</w:t>
      </w:r>
      <w:r w:rsidR="00DE561B">
        <w:t xml:space="preserve">, </w:t>
      </w:r>
      <w:r w:rsidR="00BE3D4B">
        <w:t>for example</w:t>
      </w:r>
      <w:r w:rsidR="00DE561B">
        <w:t xml:space="preserve"> </w:t>
      </w:r>
      <w:r w:rsidR="007E611F">
        <w:t>d</w:t>
      </w:r>
      <w:r w:rsidR="00243EF4">
        <w:t xml:space="preserve">isclosures </w:t>
      </w:r>
      <w:r w:rsidR="00713F86">
        <w:t xml:space="preserve">relating to </w:t>
      </w:r>
      <w:r w:rsidR="00140B68">
        <w:t xml:space="preserve">‘widespread </w:t>
      </w:r>
      <w:r w:rsidR="00D55348">
        <w:t>sexual harassment’</w:t>
      </w:r>
      <w:r w:rsidR="000F243A">
        <w:t xml:space="preserve">, procurement fraud or other maladministration </w:t>
      </w:r>
      <w:r w:rsidR="00140B68">
        <w:t xml:space="preserve">that </w:t>
      </w:r>
      <w:r w:rsidR="0017187E">
        <w:t>could be caught</w:t>
      </w:r>
      <w:r w:rsidR="00625868">
        <w:t xml:space="preserve"> </w:t>
      </w:r>
      <w:r w:rsidR="009152A8">
        <w:t>as</w:t>
      </w:r>
      <w:r w:rsidR="00AF2C84">
        <w:t xml:space="preserve"> ‘inh</w:t>
      </w:r>
      <w:r w:rsidR="00625868">
        <w:t xml:space="preserve">erently harmful information’ </w:t>
      </w:r>
      <w:r w:rsidR="00852770">
        <w:t>but</w:t>
      </w:r>
      <w:r w:rsidR="007F3C31">
        <w:t xml:space="preserve"> could</w:t>
      </w:r>
      <w:r w:rsidR="00852770">
        <w:t xml:space="preserve"> </w:t>
      </w:r>
      <w:r w:rsidR="009F1A5E">
        <w:t xml:space="preserve">be </w:t>
      </w:r>
      <w:r w:rsidR="007F3C31">
        <w:t>publicly</w:t>
      </w:r>
      <w:r w:rsidR="000B26BA">
        <w:t xml:space="preserve"> disclos</w:t>
      </w:r>
      <w:r w:rsidR="007F3C31">
        <w:t xml:space="preserve">ed </w:t>
      </w:r>
      <w:r w:rsidR="000B26BA">
        <w:t>by other means</w:t>
      </w:r>
      <w:r w:rsidR="00B15C49">
        <w:t>;</w:t>
      </w:r>
      <w:r w:rsidR="00492F2B">
        <w:rPr>
          <w:rStyle w:val="EndnoteReference"/>
        </w:rPr>
        <w:endnoteReference w:id="28"/>
      </w:r>
      <w:r w:rsidR="000B26BA">
        <w:t xml:space="preserve"> </w:t>
      </w:r>
    </w:p>
    <w:p w14:paraId="3E70C425" w14:textId="678E851D" w:rsidR="008F7849" w:rsidRDefault="00CF09C3" w:rsidP="008F7849">
      <w:pPr>
        <w:pStyle w:val="ListNumber"/>
        <w:numPr>
          <w:ilvl w:val="0"/>
          <w:numId w:val="43"/>
        </w:numPr>
        <w:rPr>
          <w:rFonts w:cs="Open Sans"/>
        </w:rPr>
      </w:pPr>
      <w:r>
        <w:rPr>
          <w:rFonts w:cs="Open Sans"/>
        </w:rPr>
        <w:t>t</w:t>
      </w:r>
      <w:r w:rsidR="00870DEE">
        <w:rPr>
          <w:rFonts w:cs="Open Sans"/>
        </w:rPr>
        <w:t xml:space="preserve">o the expanded </w:t>
      </w:r>
      <w:r w:rsidR="00F07F43">
        <w:rPr>
          <w:rFonts w:cs="Open Sans"/>
        </w:rPr>
        <w:t>functions of</w:t>
      </w:r>
      <w:r w:rsidR="00F07F43">
        <w:t xml:space="preserve"> domestic intelligence</w:t>
      </w:r>
      <w:r w:rsidR="004B5965">
        <w:t xml:space="preserve"> agencies</w:t>
      </w:r>
      <w:r w:rsidR="00F07F43">
        <w:t xml:space="preserve"> in non-intelligence areas</w:t>
      </w:r>
      <w:r w:rsidR="00B15C49">
        <w:t>; and</w:t>
      </w:r>
    </w:p>
    <w:p w14:paraId="1469047F" w14:textId="73D8F4C9" w:rsidR="007A1F6E" w:rsidRPr="00630329" w:rsidRDefault="00B15C49" w:rsidP="001531C8">
      <w:pPr>
        <w:pStyle w:val="ListNumber"/>
        <w:numPr>
          <w:ilvl w:val="0"/>
          <w:numId w:val="43"/>
        </w:numPr>
        <w:rPr>
          <w:rFonts w:cs="Open Sans"/>
        </w:rPr>
      </w:pPr>
      <w:r>
        <w:t xml:space="preserve">notes that the provision is </w:t>
      </w:r>
      <w:r w:rsidR="00FC3790">
        <w:t xml:space="preserve">not time limited </w:t>
      </w:r>
      <w:r w:rsidR="00FD506E">
        <w:t xml:space="preserve">so </w:t>
      </w:r>
      <w:r w:rsidR="00D20EC3">
        <w:t xml:space="preserve">disclosures of </w:t>
      </w:r>
      <w:r w:rsidR="00C97EDC">
        <w:t xml:space="preserve">harmful </w:t>
      </w:r>
      <w:r w:rsidR="00D20EC3">
        <w:t>information</w:t>
      </w:r>
      <w:r w:rsidR="002E7CC9">
        <w:t xml:space="preserve"> </w:t>
      </w:r>
      <w:r w:rsidR="00991FA1">
        <w:t xml:space="preserve">in the past </w:t>
      </w:r>
      <w:r w:rsidR="00D20EC3">
        <w:t xml:space="preserve">are penalised in the same way as </w:t>
      </w:r>
      <w:r w:rsidR="004B5965">
        <w:t xml:space="preserve">present </w:t>
      </w:r>
      <w:r w:rsidR="00D20EC3">
        <w:t>harmful disclosures.</w:t>
      </w:r>
    </w:p>
    <w:p w14:paraId="3CA096BD" w14:textId="64FB556A" w:rsidR="00EF7335" w:rsidRPr="00EF7335" w:rsidRDefault="00CE7192" w:rsidP="00630329">
      <w:pPr>
        <w:pStyle w:val="ListNumber"/>
        <w:tabs>
          <w:tab w:val="clear" w:pos="360"/>
        </w:tabs>
        <w:ind w:left="1094" w:hanging="737"/>
        <w:rPr>
          <w:rFonts w:cs="Open Sans"/>
        </w:rPr>
      </w:pPr>
      <w:r>
        <w:rPr>
          <w:rFonts w:cs="Open Sans"/>
        </w:rPr>
        <w:t>The</w:t>
      </w:r>
      <w:r w:rsidR="001B6F90">
        <w:rPr>
          <w:rFonts w:cs="Open Sans"/>
        </w:rPr>
        <w:t xml:space="preserve"> category of </w:t>
      </w:r>
      <w:r w:rsidR="00105C87">
        <w:rPr>
          <w:rFonts w:cs="Open Sans"/>
        </w:rPr>
        <w:t>‘</w:t>
      </w:r>
      <w:r w:rsidR="001B6F90">
        <w:rPr>
          <w:rFonts w:cs="Open Sans"/>
        </w:rPr>
        <w:t>i</w:t>
      </w:r>
      <w:r w:rsidR="00B93A66">
        <w:rPr>
          <w:rFonts w:cs="Open Sans"/>
        </w:rPr>
        <w:t>nformation</w:t>
      </w:r>
      <w:r w:rsidR="00D226FF">
        <w:t xml:space="preserve"> relating to the operations, capabilities or technologies of, or methods or sources used by, a domestic or foreign law enforcement agency</w:t>
      </w:r>
      <w:r w:rsidR="00A2033F">
        <w:t>’</w:t>
      </w:r>
      <w:r>
        <w:t>, is similarly broad</w:t>
      </w:r>
      <w:r w:rsidR="006347FA">
        <w:t xml:space="preserve">. </w:t>
      </w:r>
      <w:r w:rsidR="00501352">
        <w:t xml:space="preserve">It does not follow that all information </w:t>
      </w:r>
      <w:r w:rsidR="008B05F3">
        <w:t xml:space="preserve">in this category would cause harm </w:t>
      </w:r>
      <w:r w:rsidR="00EF6FBA">
        <w:t>if disclosed publicly</w:t>
      </w:r>
      <w:r w:rsidR="00EF7335">
        <w:t>.</w:t>
      </w:r>
    </w:p>
    <w:p w14:paraId="77010D78" w14:textId="75A39523" w:rsidR="00353E8A" w:rsidRPr="001531C8" w:rsidRDefault="00630329" w:rsidP="001531C8">
      <w:pPr>
        <w:pStyle w:val="ListNumber"/>
        <w:tabs>
          <w:tab w:val="clear" w:pos="360"/>
        </w:tabs>
        <w:ind w:left="1094" w:hanging="737"/>
        <w:rPr>
          <w:rFonts w:cs="Open Sans"/>
        </w:rPr>
      </w:pPr>
      <w:r w:rsidRPr="009E2D9F">
        <w:t xml:space="preserve">The Commission </w:t>
      </w:r>
      <w:r w:rsidR="00B52A7F">
        <w:t>considers</w:t>
      </w:r>
      <w:r w:rsidR="00DD48E4" w:rsidRPr="009E2D9F">
        <w:t xml:space="preserve"> that </w:t>
      </w:r>
      <w:r w:rsidR="004164BD">
        <w:t>‘</w:t>
      </w:r>
      <w:r w:rsidR="00DD48E4" w:rsidRPr="001531C8">
        <w:t>t</w:t>
      </w:r>
      <w:r w:rsidRPr="009E2D9F">
        <w:t>here is a compelling public interest in the Australian public having at least a general awareness of these matters</w:t>
      </w:r>
      <w:r w:rsidR="00B56012" w:rsidRPr="001531C8">
        <w:t>’</w:t>
      </w:r>
      <w:r w:rsidR="00C375BE" w:rsidRPr="0027064C">
        <w:rPr>
          <w:rStyle w:val="EndnoteReference"/>
          <w:szCs w:val="20"/>
        </w:rPr>
        <w:endnoteReference w:id="29"/>
      </w:r>
      <w:r w:rsidR="002D7035" w:rsidRPr="001531C8">
        <w:t xml:space="preserve"> </w:t>
      </w:r>
      <w:r w:rsidR="00D8726D">
        <w:t xml:space="preserve">and that </w:t>
      </w:r>
      <w:r w:rsidR="00353E8A">
        <w:t>those who work in intelligence agencies are not immune</w:t>
      </w:r>
      <w:r w:rsidR="00AC63AE">
        <w:t xml:space="preserve"> </w:t>
      </w:r>
      <w:r w:rsidR="008E2867">
        <w:t xml:space="preserve">from scrutiny </w:t>
      </w:r>
      <w:r w:rsidR="00353E8A">
        <w:t xml:space="preserve">by virtue </w:t>
      </w:r>
      <w:r w:rsidR="006B4774">
        <w:t>of t</w:t>
      </w:r>
      <w:r w:rsidR="00CF358A">
        <w:t>heir profession</w:t>
      </w:r>
      <w:r w:rsidR="001807F0">
        <w:t>:</w:t>
      </w:r>
      <w:r w:rsidR="00A413D2" w:rsidRPr="001531C8">
        <w:rPr>
          <w:sz w:val="22"/>
          <w:szCs w:val="22"/>
        </w:rPr>
        <w:t xml:space="preserve"> </w:t>
      </w:r>
    </w:p>
    <w:p w14:paraId="754A2876" w14:textId="635D5B2A" w:rsidR="0023537C" w:rsidRPr="001531C8" w:rsidRDefault="00A413D2" w:rsidP="001531C8">
      <w:pPr>
        <w:pStyle w:val="ListNumber"/>
        <w:numPr>
          <w:ilvl w:val="0"/>
          <w:numId w:val="0"/>
        </w:numPr>
        <w:ind w:left="1440"/>
        <w:rPr>
          <w:rFonts w:cs="Open Sans"/>
          <w:sz w:val="22"/>
          <w:szCs w:val="22"/>
        </w:rPr>
      </w:pPr>
      <w:r w:rsidRPr="001531C8">
        <w:rPr>
          <w:sz w:val="22"/>
          <w:szCs w:val="22"/>
        </w:rPr>
        <w:t>The secrecy provisions should not shield them from the same scrutiny as any other government department. Budgets and other administrative matters relating to security and similar agencies are a matter of public interest. The laws should be amended to allow journalists to report on intelligence, security and military misconduct where exposure does not impact on the security of the nation. Enshrining a culture of secrecy over all matters relating to particular organisations can enable wrongdoing to occur unchecked, which itself poses a risk to the national interest.</w:t>
      </w:r>
      <w:r w:rsidR="001807F0" w:rsidRPr="000D27DE">
        <w:rPr>
          <w:rStyle w:val="EndnoteReference"/>
          <w:szCs w:val="22"/>
        </w:rPr>
        <w:endnoteReference w:id="30"/>
      </w:r>
    </w:p>
    <w:p w14:paraId="00A02D78" w14:textId="76748387" w:rsidR="00C703BE" w:rsidRPr="007C1B53" w:rsidRDefault="00485FB6" w:rsidP="001531C8">
      <w:pPr>
        <w:pStyle w:val="ListNumber"/>
        <w:tabs>
          <w:tab w:val="clear" w:pos="360"/>
        </w:tabs>
        <w:ind w:left="1094" w:hanging="737"/>
        <w:rPr>
          <w:rFonts w:cs="Open Sans"/>
        </w:rPr>
      </w:pPr>
      <w:r>
        <w:t>The Commission considers that c</w:t>
      </w:r>
      <w:r w:rsidR="00D13C37">
        <w:t>riminali</w:t>
      </w:r>
      <w:r w:rsidR="00FB285C">
        <w:t>s</w:t>
      </w:r>
      <w:r w:rsidR="00D13C37">
        <w:t xml:space="preserve">ing all information made or obtained in connection with </w:t>
      </w:r>
      <w:r w:rsidR="00300F5D">
        <w:t>a</w:t>
      </w:r>
      <w:r w:rsidR="00D13C37">
        <w:t xml:space="preserve"> domestic intelligence agency’s functions i</w:t>
      </w:r>
      <w:r w:rsidR="00C706D5">
        <w:t>s</w:t>
      </w:r>
      <w:r w:rsidR="00567AC4">
        <w:t xml:space="preserve"> </w:t>
      </w:r>
      <w:r w:rsidR="009A4906">
        <w:t xml:space="preserve">neither </w:t>
      </w:r>
      <w:r w:rsidR="00D13C37">
        <w:t>necessary or proportionate</w:t>
      </w:r>
      <w:r w:rsidR="00186938">
        <w:t xml:space="preserve"> to achieve </w:t>
      </w:r>
      <w:r w:rsidR="0049243E">
        <w:t>the</w:t>
      </w:r>
      <w:r w:rsidR="00186938">
        <w:t xml:space="preserve"> legitimate objective</w:t>
      </w:r>
      <w:r>
        <w:t xml:space="preserve"> of national security</w:t>
      </w:r>
      <w:r w:rsidR="001C72F6">
        <w:t>.</w:t>
      </w:r>
      <w:r w:rsidR="001D21FD" w:rsidRPr="001D21FD">
        <w:rPr>
          <w:rFonts w:cs="Open Sans"/>
        </w:rPr>
        <w:t xml:space="preserve"> </w:t>
      </w:r>
    </w:p>
    <w:p w14:paraId="79B97051" w14:textId="0690EAC8" w:rsidR="00D544A5" w:rsidRPr="001531C8" w:rsidRDefault="00D544A5" w:rsidP="001531C8">
      <w:pPr>
        <w:pStyle w:val="ListNumber"/>
        <w:numPr>
          <w:ilvl w:val="0"/>
          <w:numId w:val="0"/>
        </w:numPr>
        <w:ind w:left="1094"/>
        <w:rPr>
          <w:rFonts w:cs="Open Sans"/>
          <w:b/>
          <w:bCs/>
        </w:rPr>
      </w:pPr>
      <w:r w:rsidRPr="001531C8">
        <w:rPr>
          <w:b/>
          <w:bCs/>
        </w:rPr>
        <w:t xml:space="preserve">Recommendation </w:t>
      </w:r>
      <w:r w:rsidR="007630FB">
        <w:rPr>
          <w:b/>
          <w:bCs/>
        </w:rPr>
        <w:t>5</w:t>
      </w:r>
    </w:p>
    <w:p w14:paraId="733EF430" w14:textId="18CC1BBB" w:rsidR="007223F0" w:rsidRPr="00BD3C12" w:rsidRDefault="00183152" w:rsidP="007223F0">
      <w:pPr>
        <w:pStyle w:val="ListNumber"/>
        <w:numPr>
          <w:ilvl w:val="0"/>
          <w:numId w:val="0"/>
        </w:numPr>
        <w:ind w:left="1094"/>
      </w:pPr>
      <w:r>
        <w:t>The definition of ‘inherently harmful information</w:t>
      </w:r>
      <w:r w:rsidR="00E8798D">
        <w:t xml:space="preserve">’ in section 121.1 should be narrower in scope </w:t>
      </w:r>
      <w:r w:rsidR="006458E0">
        <w:t xml:space="preserve">and </w:t>
      </w:r>
      <w:r w:rsidR="00EF7335">
        <w:t xml:space="preserve">only apply to </w:t>
      </w:r>
      <w:r w:rsidR="008F4154">
        <w:t>disclosures of information</w:t>
      </w:r>
      <w:r w:rsidR="00A5117F">
        <w:t xml:space="preserve"> that </w:t>
      </w:r>
      <w:r w:rsidR="003E5496">
        <w:t>would</w:t>
      </w:r>
      <w:r w:rsidR="007223F0">
        <w:t xml:space="preserve"> </w:t>
      </w:r>
      <w:r w:rsidR="00A63CBB">
        <w:t xml:space="preserve">necessarily </w:t>
      </w:r>
      <w:r w:rsidR="007223F0">
        <w:t>cause</w:t>
      </w:r>
      <w:r w:rsidR="00A21822">
        <w:t xml:space="preserve"> </w:t>
      </w:r>
      <w:r w:rsidR="007223F0">
        <w:rPr>
          <w:rFonts w:cs="Open Sans"/>
        </w:rPr>
        <w:t xml:space="preserve">some specific, identifiable harm </w:t>
      </w:r>
      <w:r w:rsidR="0036426C">
        <w:rPr>
          <w:rFonts w:cs="Open Sans"/>
        </w:rPr>
        <w:t xml:space="preserve">to </w:t>
      </w:r>
      <w:r w:rsidR="007223F0">
        <w:rPr>
          <w:rFonts w:cs="Open Sans"/>
        </w:rPr>
        <w:t>an essential public interest</w:t>
      </w:r>
      <w:r w:rsidR="00ED46D6">
        <w:rPr>
          <w:rFonts w:cs="Open Sans"/>
        </w:rPr>
        <w:t>.</w:t>
      </w:r>
    </w:p>
    <w:p w14:paraId="64D5842E" w14:textId="51271123" w:rsidR="00D22EBD" w:rsidRPr="00135F5E" w:rsidRDefault="001713D7" w:rsidP="001713D7">
      <w:pPr>
        <w:pStyle w:val="Heading2"/>
      </w:pPr>
      <w:bookmarkStart w:id="42" w:name="_Toc160780331"/>
      <w:r>
        <w:t>Security classified information</w:t>
      </w:r>
      <w:bookmarkEnd w:id="42"/>
      <w:r>
        <w:t xml:space="preserve"> </w:t>
      </w:r>
    </w:p>
    <w:p w14:paraId="3B028F26" w14:textId="1E7ED9F5" w:rsidR="00405367" w:rsidRPr="002F474A" w:rsidRDefault="00FE4013" w:rsidP="002F474A">
      <w:pPr>
        <w:pStyle w:val="ListNumber"/>
        <w:tabs>
          <w:tab w:val="clear" w:pos="360"/>
        </w:tabs>
        <w:ind w:left="1094" w:hanging="737"/>
        <w:rPr>
          <w:rFonts w:cs="Open Sans"/>
        </w:rPr>
      </w:pPr>
      <w:r w:rsidRPr="00135F5E">
        <w:rPr>
          <w:rFonts w:cs="Open Sans"/>
          <w:shd w:val="clear" w:color="auto" w:fill="FFFFFF"/>
        </w:rPr>
        <w:t xml:space="preserve">‘Inherently harmful information’ includes the category of ‘security classified </w:t>
      </w:r>
      <w:r w:rsidRPr="004611D8">
        <w:rPr>
          <w:rFonts w:cs="Open Sans"/>
          <w:shd w:val="clear" w:color="auto" w:fill="FFFFFF"/>
        </w:rPr>
        <w:t>information’</w:t>
      </w:r>
      <w:r w:rsidR="008B2658" w:rsidRPr="004611D8">
        <w:rPr>
          <w:rFonts w:cs="Open Sans"/>
          <w:shd w:val="clear" w:color="auto" w:fill="FFFFFF"/>
        </w:rPr>
        <w:t xml:space="preserve">, </w:t>
      </w:r>
      <w:r w:rsidR="0006507C" w:rsidRPr="004611D8">
        <w:rPr>
          <w:rFonts w:cs="Open Sans"/>
          <w:shd w:val="clear" w:color="auto" w:fill="FFFFFF"/>
        </w:rPr>
        <w:t>defined as</w:t>
      </w:r>
      <w:r w:rsidR="008B2658" w:rsidRPr="004611D8">
        <w:rPr>
          <w:rFonts w:cs="Open Sans"/>
          <w:shd w:val="clear" w:color="auto" w:fill="FFFFFF"/>
        </w:rPr>
        <w:t xml:space="preserve"> information that has a </w:t>
      </w:r>
      <w:r w:rsidR="006B7634" w:rsidRPr="004611D8">
        <w:rPr>
          <w:rFonts w:cs="Open Sans"/>
          <w:shd w:val="clear" w:color="auto" w:fill="FFFFFF"/>
        </w:rPr>
        <w:t>‘</w:t>
      </w:r>
      <w:r w:rsidR="008B2658" w:rsidRPr="004611D8">
        <w:rPr>
          <w:rFonts w:cs="Open Sans"/>
          <w:shd w:val="clear" w:color="auto" w:fill="FFFFFF"/>
        </w:rPr>
        <w:t>security classification</w:t>
      </w:r>
      <w:r w:rsidR="006B7634" w:rsidRPr="004611D8">
        <w:rPr>
          <w:rFonts w:cs="Open Sans"/>
          <w:shd w:val="clear" w:color="auto" w:fill="FFFFFF"/>
        </w:rPr>
        <w:t>’</w:t>
      </w:r>
      <w:r w:rsidR="008B2658" w:rsidRPr="004611D8">
        <w:rPr>
          <w:rFonts w:cs="Open Sans"/>
          <w:shd w:val="clear" w:color="auto" w:fill="FFFFFF"/>
        </w:rPr>
        <w:t xml:space="preserve"> within the meaning of </w:t>
      </w:r>
      <w:r w:rsidR="00E87FC1" w:rsidRPr="004611D8">
        <w:rPr>
          <w:rFonts w:cs="Open Sans"/>
          <w:shd w:val="clear" w:color="auto" w:fill="FFFFFF"/>
        </w:rPr>
        <w:t>section 90.5</w:t>
      </w:r>
      <w:r w:rsidR="006258A5" w:rsidRPr="004611D8">
        <w:rPr>
          <w:rFonts w:cs="Open Sans"/>
          <w:shd w:val="clear" w:color="auto" w:fill="FFFFFF"/>
        </w:rPr>
        <w:t xml:space="preserve"> of the Criminal Code</w:t>
      </w:r>
      <w:r w:rsidR="000B7661" w:rsidRPr="004611D8">
        <w:rPr>
          <w:rFonts w:cs="Open Sans"/>
          <w:shd w:val="clear" w:color="auto" w:fill="FFFFFF"/>
        </w:rPr>
        <w:t xml:space="preserve">. </w:t>
      </w:r>
      <w:r w:rsidR="00324D83">
        <w:rPr>
          <w:rFonts w:cs="Open Sans"/>
          <w:shd w:val="clear" w:color="auto" w:fill="FFFFFF"/>
        </w:rPr>
        <w:t>Under that section,</w:t>
      </w:r>
      <w:r w:rsidR="0006507C" w:rsidRPr="004611D8">
        <w:rPr>
          <w:rFonts w:cs="Open Sans"/>
          <w:shd w:val="clear" w:color="auto" w:fill="FFFFFF"/>
        </w:rPr>
        <w:t xml:space="preserve"> </w:t>
      </w:r>
      <w:r w:rsidR="000B7661" w:rsidRPr="004611D8">
        <w:rPr>
          <w:rFonts w:cs="Open Sans"/>
          <w:shd w:val="clear" w:color="auto" w:fill="FFFFFF"/>
        </w:rPr>
        <w:t>‘security classif</w:t>
      </w:r>
      <w:r w:rsidR="00C459E8" w:rsidRPr="004611D8">
        <w:rPr>
          <w:rFonts w:cs="Open Sans"/>
          <w:shd w:val="clear" w:color="auto" w:fill="FFFFFF"/>
        </w:rPr>
        <w:t>ication’ means a classification of secret or top secret that is applied</w:t>
      </w:r>
      <w:r w:rsidR="00A57384" w:rsidRPr="004611D8">
        <w:rPr>
          <w:rFonts w:cs="Open Sans"/>
          <w:shd w:val="clear" w:color="auto" w:fill="FFFFFF"/>
        </w:rPr>
        <w:t xml:space="preserve"> </w:t>
      </w:r>
      <w:r w:rsidR="00A424AD" w:rsidRPr="004611D8">
        <w:rPr>
          <w:rFonts w:cs="Open Sans"/>
          <w:shd w:val="clear" w:color="auto" w:fill="FFFFFF"/>
        </w:rPr>
        <w:t>i</w:t>
      </w:r>
      <w:r w:rsidR="00C459E8" w:rsidRPr="004611D8">
        <w:rPr>
          <w:rFonts w:cs="Open Sans"/>
          <w:shd w:val="clear" w:color="auto" w:fill="FFFFFF"/>
        </w:rPr>
        <w:t xml:space="preserve">n accordance </w:t>
      </w:r>
      <w:r w:rsidR="00490816" w:rsidRPr="004611D8">
        <w:rPr>
          <w:rFonts w:cs="Open Sans"/>
          <w:shd w:val="clear" w:color="auto" w:fill="FFFFFF"/>
        </w:rPr>
        <w:t xml:space="preserve">with </w:t>
      </w:r>
      <w:r w:rsidR="00250A93" w:rsidRPr="004611D8">
        <w:t>the policy framework developed by the Commonwealth</w:t>
      </w:r>
      <w:r w:rsidR="008C5B2F">
        <w:t xml:space="preserve">. </w:t>
      </w:r>
      <w:r w:rsidR="00405367" w:rsidRPr="002F474A">
        <w:rPr>
          <w:rFonts w:eastAsia="Times New Roman" w:cs="Open Sans"/>
        </w:rPr>
        <w:t>Strict liability applies to th</w:t>
      </w:r>
      <w:r w:rsidR="006F0D17">
        <w:rPr>
          <w:rFonts w:eastAsia="Times New Roman" w:cs="Open Sans"/>
        </w:rPr>
        <w:t>e</w:t>
      </w:r>
      <w:r w:rsidR="00405367" w:rsidRPr="002F474A">
        <w:rPr>
          <w:rFonts w:eastAsia="Times New Roman" w:cs="Open Sans"/>
        </w:rPr>
        <w:t xml:space="preserve"> element</w:t>
      </w:r>
      <w:r w:rsidR="00E64755">
        <w:rPr>
          <w:rFonts w:eastAsia="Times New Roman" w:cs="Open Sans"/>
        </w:rPr>
        <w:t xml:space="preserve"> that a security classification is applied in accordance with such policy</w:t>
      </w:r>
      <w:r w:rsidR="002F474A">
        <w:rPr>
          <w:rFonts w:eastAsia="Times New Roman" w:cs="Open Sans"/>
        </w:rPr>
        <w:t>.</w:t>
      </w:r>
      <w:r w:rsidR="00405367" w:rsidRPr="004611D8">
        <w:rPr>
          <w:rStyle w:val="EndnoteReference"/>
        </w:rPr>
        <w:endnoteReference w:id="31"/>
      </w:r>
    </w:p>
    <w:p w14:paraId="3130FFE8" w14:textId="30B3F41F" w:rsidR="00F6506E" w:rsidRPr="006E2D35" w:rsidRDefault="00724159" w:rsidP="006E2D35">
      <w:pPr>
        <w:pStyle w:val="ListNumber"/>
        <w:tabs>
          <w:tab w:val="clear" w:pos="360"/>
        </w:tabs>
        <w:ind w:left="1094" w:hanging="737"/>
        <w:rPr>
          <w:rFonts w:cs="Open Sans"/>
        </w:rPr>
      </w:pPr>
      <w:r w:rsidRPr="006E2D35">
        <w:rPr>
          <w:rFonts w:cs="Open Sans"/>
          <w:shd w:val="clear" w:color="auto" w:fill="FFFFFF"/>
        </w:rPr>
        <w:t>The</w:t>
      </w:r>
      <w:r w:rsidR="00095BBD">
        <w:rPr>
          <w:rFonts w:cs="Open Sans"/>
          <w:shd w:val="clear" w:color="auto" w:fill="FFFFFF"/>
        </w:rPr>
        <w:t xml:space="preserve"> Commission notes that the</w:t>
      </w:r>
      <w:r w:rsidR="00ED514B" w:rsidRPr="006E2D35">
        <w:rPr>
          <w:rFonts w:cs="Open Sans"/>
          <w:shd w:val="clear" w:color="auto" w:fill="FFFFFF"/>
        </w:rPr>
        <w:t xml:space="preserve"> </w:t>
      </w:r>
      <w:r w:rsidR="004F1D3E" w:rsidRPr="00175160">
        <w:rPr>
          <w:rFonts w:cs="Open Sans"/>
        </w:rPr>
        <w:t xml:space="preserve">ALRC 2009 </w:t>
      </w:r>
      <w:r w:rsidR="004F1D3E">
        <w:rPr>
          <w:rFonts w:cs="Open Sans"/>
        </w:rPr>
        <w:t>Secrecy Laws R</w:t>
      </w:r>
      <w:r w:rsidR="004F1D3E" w:rsidRPr="00175160">
        <w:rPr>
          <w:rFonts w:cs="Open Sans"/>
        </w:rPr>
        <w:t>eport</w:t>
      </w:r>
      <w:r w:rsidR="004F1D3E" w:rsidRPr="006E2D35">
        <w:rPr>
          <w:rFonts w:cs="Open Sans"/>
          <w:shd w:val="clear" w:color="auto" w:fill="FFFFFF"/>
        </w:rPr>
        <w:t xml:space="preserve"> </w:t>
      </w:r>
      <w:r w:rsidR="00CF1A5C" w:rsidRPr="006E2D35">
        <w:rPr>
          <w:rFonts w:cs="Open Sans"/>
          <w:shd w:val="clear" w:color="auto" w:fill="FFFFFF"/>
        </w:rPr>
        <w:t xml:space="preserve">did not </w:t>
      </w:r>
      <w:r w:rsidR="00CF1A5C" w:rsidRPr="00135F5E">
        <w:t>recommend a secrecy offence to cover ‘national security classified information’</w:t>
      </w:r>
      <w:r w:rsidR="008B6E63" w:rsidRPr="00135F5E">
        <w:t xml:space="preserve">. It preferred </w:t>
      </w:r>
      <w:r w:rsidR="00CF1A5C" w:rsidRPr="00135F5E">
        <w:t>an approach that recognise</w:t>
      </w:r>
      <w:r w:rsidR="00095BBD">
        <w:t>d</w:t>
      </w:r>
      <w:r w:rsidR="00CF1A5C" w:rsidRPr="00135F5E">
        <w:t xml:space="preserve"> that particular government agencies that obtain and generate sensitive information of this kind may need an agency-specific secrecy offence</w:t>
      </w:r>
      <w:r w:rsidR="005D6438">
        <w:t xml:space="preserve">. </w:t>
      </w:r>
      <w:r w:rsidR="00B23A2C">
        <w:t xml:space="preserve">It </w:t>
      </w:r>
      <w:r w:rsidR="00B037D1">
        <w:t>stated that</w:t>
      </w:r>
      <w:r w:rsidR="00F6506E" w:rsidRPr="00135F5E">
        <w:t xml:space="preserve">: </w:t>
      </w:r>
    </w:p>
    <w:p w14:paraId="568E3FA7" w14:textId="62AB8274" w:rsidR="00731A74" w:rsidRPr="00B02F98" w:rsidRDefault="00880E48" w:rsidP="00B02F98">
      <w:pPr>
        <w:pStyle w:val="ListNumber"/>
        <w:numPr>
          <w:ilvl w:val="0"/>
          <w:numId w:val="0"/>
        </w:numPr>
        <w:ind w:left="1440"/>
      </w:pPr>
      <w:r w:rsidRPr="00C25DB7">
        <w:rPr>
          <w:sz w:val="22"/>
          <w:szCs w:val="22"/>
        </w:rPr>
        <w:t xml:space="preserve">while a category may be directed to protecting a legitimate public interest, the disclosure of information within that category will not always cause, </w:t>
      </w:r>
      <w:r w:rsidRPr="00A54E7C">
        <w:rPr>
          <w:sz w:val="22"/>
          <w:szCs w:val="22"/>
        </w:rPr>
        <w:t>or be likely to cause, harm</w:t>
      </w:r>
      <w:r w:rsidR="00AC3F75" w:rsidRPr="00A54E7C">
        <w:rPr>
          <w:sz w:val="22"/>
          <w:szCs w:val="22"/>
        </w:rPr>
        <w:t>.</w:t>
      </w:r>
      <w:r w:rsidR="007C7227" w:rsidRPr="00A54E7C">
        <w:rPr>
          <w:sz w:val="22"/>
          <w:szCs w:val="22"/>
        </w:rPr>
        <w:t xml:space="preserve"> In addition, the ALRC notes the findings of previous reports that the security classification assigned to information is not necessarily an accurate indicator of the harm that could be caused by the unauthorised disclosure of the information.</w:t>
      </w:r>
      <w:r w:rsidR="00340EB0">
        <w:rPr>
          <w:rStyle w:val="EndnoteReference"/>
        </w:rPr>
        <w:endnoteReference w:id="32"/>
      </w:r>
    </w:p>
    <w:p w14:paraId="66120D8A" w14:textId="77777777" w:rsidR="00D7430C" w:rsidRDefault="00767214" w:rsidP="00D7430C">
      <w:pPr>
        <w:pStyle w:val="ListNumber"/>
        <w:tabs>
          <w:tab w:val="clear" w:pos="360"/>
        </w:tabs>
        <w:ind w:left="1094" w:hanging="737"/>
      </w:pPr>
      <w:r>
        <w:t>S</w:t>
      </w:r>
      <w:r w:rsidR="00245516">
        <w:t>imilar views</w:t>
      </w:r>
      <w:r>
        <w:t xml:space="preserve"> were reflected </w:t>
      </w:r>
      <w:r w:rsidR="002B7B75">
        <w:t>by the</w:t>
      </w:r>
      <w:r>
        <w:t xml:space="preserve"> P</w:t>
      </w:r>
      <w:r w:rsidR="004005A9">
        <w:t xml:space="preserve">arliamentary </w:t>
      </w:r>
      <w:r>
        <w:t>J</w:t>
      </w:r>
      <w:r w:rsidR="004005A9">
        <w:t xml:space="preserve">oint Committee </w:t>
      </w:r>
      <w:r w:rsidR="002B7B75">
        <w:t xml:space="preserve">on </w:t>
      </w:r>
      <w:r>
        <w:t>I</w:t>
      </w:r>
      <w:r w:rsidR="004005A9">
        <w:t xml:space="preserve">ntelligence </w:t>
      </w:r>
      <w:r w:rsidR="00B44B16">
        <w:t xml:space="preserve">and </w:t>
      </w:r>
      <w:r>
        <w:t>S</w:t>
      </w:r>
      <w:r w:rsidR="004005A9">
        <w:t>ecurity</w:t>
      </w:r>
      <w:r w:rsidR="00B44B16">
        <w:t xml:space="preserve"> (PJCIS)</w:t>
      </w:r>
      <w:r>
        <w:t xml:space="preserve"> </w:t>
      </w:r>
      <w:r w:rsidR="002B7B75">
        <w:t xml:space="preserve">in </w:t>
      </w:r>
      <w:r w:rsidR="00317945">
        <w:t xml:space="preserve">its review of </w:t>
      </w:r>
      <w:r w:rsidR="00D97D1E">
        <w:t xml:space="preserve">the proposed provisions </w:t>
      </w:r>
      <w:r w:rsidR="00613123">
        <w:t>of</w:t>
      </w:r>
      <w:r w:rsidR="00566E9F">
        <w:t xml:space="preserve"> the EFI Act. </w:t>
      </w:r>
      <w:r w:rsidR="00D7430C">
        <w:t>Submitters to the PJCIS noted a number of problems with a broad security classification being the basis for criminal sanctions, including:</w:t>
      </w:r>
    </w:p>
    <w:p w14:paraId="5D9E5B1F" w14:textId="77777777" w:rsidR="00D7430C" w:rsidRDefault="00D7430C" w:rsidP="00D7430C">
      <w:pPr>
        <w:pStyle w:val="ListNumber"/>
        <w:numPr>
          <w:ilvl w:val="0"/>
          <w:numId w:val="41"/>
        </w:numPr>
      </w:pPr>
      <w:r>
        <w:t>evidence that documents are routinely ‘over-classified’ or classified incorrectly</w:t>
      </w:r>
    </w:p>
    <w:p w14:paraId="1F1A94FF" w14:textId="77777777" w:rsidR="00D7430C" w:rsidRDefault="00D7430C" w:rsidP="00D7430C">
      <w:pPr>
        <w:pStyle w:val="ListNumber"/>
        <w:numPr>
          <w:ilvl w:val="0"/>
          <w:numId w:val="41"/>
        </w:numPr>
      </w:pPr>
      <w:r>
        <w:t>evidence that classification decisions are not routinely re-evaluated over time</w:t>
      </w:r>
    </w:p>
    <w:p w14:paraId="59D2C138" w14:textId="77777777" w:rsidR="00D7430C" w:rsidRDefault="00D7430C" w:rsidP="00D7430C">
      <w:pPr>
        <w:pStyle w:val="ListNumber"/>
        <w:numPr>
          <w:ilvl w:val="0"/>
          <w:numId w:val="41"/>
        </w:numPr>
      </w:pPr>
      <w:r>
        <w:t xml:space="preserve">the approach of basing liability on the label attaching to a document did not necessarily reflect the harm that would be caused by its release </w:t>
      </w:r>
    </w:p>
    <w:p w14:paraId="054B5F3C" w14:textId="77777777" w:rsidR="00D7430C" w:rsidRDefault="00D7430C" w:rsidP="00D7430C">
      <w:pPr>
        <w:pStyle w:val="ListNumber"/>
        <w:numPr>
          <w:ilvl w:val="0"/>
          <w:numId w:val="41"/>
        </w:numPr>
      </w:pPr>
      <w:r>
        <w:t>there was no mechanism to test the appropriateness of document classifications.</w:t>
      </w:r>
      <w:r>
        <w:rPr>
          <w:rStyle w:val="EndnoteReference"/>
        </w:rPr>
        <w:endnoteReference w:id="33"/>
      </w:r>
    </w:p>
    <w:p w14:paraId="409B559C" w14:textId="4556B3B2" w:rsidR="00281208" w:rsidRPr="00281208" w:rsidRDefault="008D754C" w:rsidP="00D227FC">
      <w:pPr>
        <w:pStyle w:val="ListNumber"/>
        <w:tabs>
          <w:tab w:val="clear" w:pos="360"/>
        </w:tabs>
        <w:ind w:left="1094" w:hanging="737"/>
        <w:rPr>
          <w:rFonts w:cs="Open Sans"/>
        </w:rPr>
      </w:pPr>
      <w:r>
        <w:t>For example, the then I</w:t>
      </w:r>
      <w:r w:rsidR="00281208">
        <w:t xml:space="preserve">nspector General of Intelligence and Security </w:t>
      </w:r>
      <w:r w:rsidR="00BC635B">
        <w:t xml:space="preserve">(IGIS) </w:t>
      </w:r>
      <w:r w:rsidR="00281208">
        <w:t>advised the PJCIS that:</w:t>
      </w:r>
    </w:p>
    <w:p w14:paraId="519E6597" w14:textId="589549FA" w:rsidR="007339DC" w:rsidRPr="007339DC" w:rsidRDefault="007339DC" w:rsidP="00E83CFB">
      <w:pPr>
        <w:pStyle w:val="ListNumber"/>
        <w:numPr>
          <w:ilvl w:val="0"/>
          <w:numId w:val="0"/>
        </w:numPr>
        <w:ind w:left="1440"/>
        <w:rPr>
          <w:rFonts w:cs="Open Sans"/>
        </w:rPr>
      </w:pPr>
      <w:r w:rsidRPr="007339DC">
        <w:rPr>
          <w:rFonts w:cs="Open Sans"/>
          <w:sz w:val="22"/>
          <w:szCs w:val="22"/>
        </w:rPr>
        <w:t>As Inspector-General, I frequently see documents that appear to be overclassified or documents that may have been correctly classified when created but would now warrant a lower classification because of the passage of time or authorised public disclosure of related information.</w:t>
      </w:r>
      <w:r w:rsidR="00392474">
        <w:rPr>
          <w:rStyle w:val="EndnoteReference"/>
        </w:rPr>
        <w:endnoteReference w:id="34"/>
      </w:r>
    </w:p>
    <w:p w14:paraId="35433A2F" w14:textId="53732071" w:rsidR="004A1C4B" w:rsidRDefault="00BC635B" w:rsidP="00D227FC">
      <w:pPr>
        <w:pStyle w:val="ListNumber"/>
        <w:tabs>
          <w:tab w:val="clear" w:pos="360"/>
        </w:tabs>
        <w:ind w:left="1094" w:hanging="737"/>
        <w:rPr>
          <w:rFonts w:cs="Open Sans"/>
        </w:rPr>
      </w:pPr>
      <w:r>
        <w:rPr>
          <w:rFonts w:cs="Open Sans"/>
        </w:rPr>
        <w:t>At that time, t</w:t>
      </w:r>
      <w:r w:rsidR="00CD6D56">
        <w:rPr>
          <w:rFonts w:cs="Open Sans"/>
        </w:rPr>
        <w:t xml:space="preserve">he IGIS observed that there was a tendency to </w:t>
      </w:r>
      <w:r w:rsidR="004A1C4B">
        <w:rPr>
          <w:rFonts w:cs="Open Sans"/>
        </w:rPr>
        <w:t xml:space="preserve">over-classify documents </w:t>
      </w:r>
      <w:r w:rsidR="00E13637">
        <w:rPr>
          <w:rFonts w:cs="Open Sans"/>
        </w:rPr>
        <w:t>‘</w:t>
      </w:r>
      <w:r w:rsidR="004A1C4B">
        <w:rPr>
          <w:rFonts w:cs="Open Sans"/>
        </w:rPr>
        <w:t>to be safe</w:t>
      </w:r>
      <w:r w:rsidR="00E13637">
        <w:rPr>
          <w:rFonts w:cs="Open Sans"/>
        </w:rPr>
        <w:t>’</w:t>
      </w:r>
      <w:r w:rsidR="001F6EC2">
        <w:rPr>
          <w:rFonts w:cs="Open Sans"/>
        </w:rPr>
        <w:t>,</w:t>
      </w:r>
      <w:r w:rsidR="00392474">
        <w:rPr>
          <w:rStyle w:val="EndnoteReference"/>
        </w:rPr>
        <w:endnoteReference w:id="35"/>
      </w:r>
      <w:r w:rsidR="004A1C4B">
        <w:rPr>
          <w:rFonts w:cs="Open Sans"/>
        </w:rPr>
        <w:t xml:space="preserve"> </w:t>
      </w:r>
      <w:r w:rsidR="001F6EC2">
        <w:rPr>
          <w:rFonts w:cs="Open Sans"/>
        </w:rPr>
        <w:t xml:space="preserve">although </w:t>
      </w:r>
      <w:r w:rsidR="00AF4E7F">
        <w:rPr>
          <w:rFonts w:cs="Open Sans"/>
        </w:rPr>
        <w:t xml:space="preserve">the Commission notes the later IGIS report referred to at [2.34] of the INSLM’s </w:t>
      </w:r>
      <w:r w:rsidR="00985DA3">
        <w:rPr>
          <w:rFonts w:cs="Open Sans"/>
        </w:rPr>
        <w:t>issues paper that found no evidence of ‘systemic issues’ related to inappropriate classification of documents from intelligence agencies.</w:t>
      </w:r>
    </w:p>
    <w:p w14:paraId="19D852C4" w14:textId="2F52B621" w:rsidR="006D1706" w:rsidRDefault="00AD56C0" w:rsidP="00D227FC">
      <w:pPr>
        <w:pStyle w:val="ListNumber"/>
        <w:tabs>
          <w:tab w:val="clear" w:pos="360"/>
        </w:tabs>
        <w:ind w:left="1094" w:hanging="737"/>
        <w:rPr>
          <w:rFonts w:cs="Open Sans"/>
        </w:rPr>
      </w:pPr>
      <w:r>
        <w:rPr>
          <w:rFonts w:cs="Open Sans"/>
        </w:rPr>
        <w:t>E</w:t>
      </w:r>
      <w:r w:rsidR="006D1706">
        <w:rPr>
          <w:rFonts w:cs="Open Sans"/>
        </w:rPr>
        <w:t xml:space="preserve">vidence </w:t>
      </w:r>
      <w:r>
        <w:rPr>
          <w:rFonts w:cs="Open Sans"/>
        </w:rPr>
        <w:t xml:space="preserve">of </w:t>
      </w:r>
      <w:r w:rsidR="00D52359">
        <w:rPr>
          <w:rFonts w:cs="Open Sans"/>
        </w:rPr>
        <w:t xml:space="preserve">over-classification and failure to reclassify documents </w:t>
      </w:r>
      <w:r w:rsidR="006D1706">
        <w:rPr>
          <w:rFonts w:cs="Open Sans"/>
        </w:rPr>
        <w:t>had been given to the ALRC as part of its previous review.</w:t>
      </w:r>
      <w:r w:rsidR="00E06816">
        <w:rPr>
          <w:rFonts w:cs="Open Sans"/>
        </w:rPr>
        <w:t xml:space="preserve">  A </w:t>
      </w:r>
      <w:r w:rsidR="00140324">
        <w:rPr>
          <w:rFonts w:cs="Open Sans"/>
        </w:rPr>
        <w:t xml:space="preserve">UK White Paper </w:t>
      </w:r>
      <w:r w:rsidR="003808C2">
        <w:rPr>
          <w:rFonts w:cs="Open Sans"/>
        </w:rPr>
        <w:t xml:space="preserve">prepared at the time of developing the </w:t>
      </w:r>
      <w:r w:rsidR="003808C2" w:rsidRPr="00E83CFB">
        <w:rPr>
          <w:rFonts w:cs="Open Sans"/>
          <w:i/>
          <w:iCs/>
        </w:rPr>
        <w:t>Official Secrets Act</w:t>
      </w:r>
      <w:r w:rsidR="003808C2">
        <w:rPr>
          <w:rFonts w:cs="Open Sans"/>
        </w:rPr>
        <w:t xml:space="preserve"> was candid about the </w:t>
      </w:r>
      <w:r w:rsidR="00823887">
        <w:rPr>
          <w:rFonts w:cs="Open Sans"/>
        </w:rPr>
        <w:t>problems with deeming provisions based on security classifications, saying:</w:t>
      </w:r>
    </w:p>
    <w:p w14:paraId="6B32D38E" w14:textId="5A5E7AFE" w:rsidR="00823887" w:rsidRDefault="000D1AD0" w:rsidP="00E83CFB">
      <w:pPr>
        <w:pStyle w:val="ListNumber"/>
        <w:numPr>
          <w:ilvl w:val="0"/>
          <w:numId w:val="0"/>
        </w:numPr>
        <w:ind w:left="1440"/>
        <w:rPr>
          <w:rFonts w:cs="Open Sans"/>
        </w:rPr>
      </w:pPr>
      <w:r w:rsidRPr="000D1AD0">
        <w:rPr>
          <w:rFonts w:cs="Open Sans"/>
          <w:sz w:val="22"/>
          <w:szCs w:val="22"/>
        </w:rPr>
        <w:t>The fact that a document will be classified at a certain grade is not evidence of likely harm; it is only evidence of the view of the person who awarded the classification. Moreover, it is evidence only of the view taken at the time of classification; circumstances may have changed by the date of the disclosure</w:t>
      </w:r>
      <w:r>
        <w:rPr>
          <w:rFonts w:cs="Open Sans"/>
          <w:sz w:val="22"/>
          <w:szCs w:val="22"/>
        </w:rPr>
        <w:t>.</w:t>
      </w:r>
      <w:r w:rsidR="00752D8F">
        <w:rPr>
          <w:rStyle w:val="EndnoteReference"/>
          <w:rFonts w:cs="Open Sans"/>
        </w:rPr>
        <w:endnoteReference w:id="36"/>
      </w:r>
    </w:p>
    <w:p w14:paraId="7EFDF373" w14:textId="4C82AB7B" w:rsidR="00997761" w:rsidRDefault="00A90414" w:rsidP="00D227FC">
      <w:pPr>
        <w:pStyle w:val="ListNumber"/>
        <w:tabs>
          <w:tab w:val="clear" w:pos="360"/>
        </w:tabs>
        <w:ind w:left="1094" w:hanging="737"/>
        <w:rPr>
          <w:rFonts w:cs="Open Sans"/>
        </w:rPr>
      </w:pPr>
      <w:r>
        <w:t xml:space="preserve">While there may be guidelines produced by the Executive from time to time about how such security classifications are to be applied, </w:t>
      </w:r>
      <w:r w:rsidR="00D70208">
        <w:t>t</w:t>
      </w:r>
      <w:r w:rsidR="00A54E7C">
        <w:t xml:space="preserve">he Commission </w:t>
      </w:r>
      <w:r w:rsidR="0045549E">
        <w:t>considers that</w:t>
      </w:r>
      <w:r w:rsidR="00A54E7C">
        <w:t xml:space="preserve"> </w:t>
      </w:r>
      <w:r w:rsidR="00DE68E7">
        <w:t xml:space="preserve">it is not appropriate for </w:t>
      </w:r>
      <w:r w:rsidR="0007107B">
        <w:t>the ‘Protective Security Policy Framework’</w:t>
      </w:r>
      <w:r w:rsidR="00D743D3">
        <w:t xml:space="preserve">, </w:t>
      </w:r>
      <w:r w:rsidR="00DE68E7">
        <w:t>to be a</w:t>
      </w:r>
      <w:r w:rsidR="00202119">
        <w:t xml:space="preserve"> determinant of</w:t>
      </w:r>
      <w:r w:rsidR="0007107B">
        <w:t xml:space="preserve"> an element of a serious offence</w:t>
      </w:r>
      <w:r w:rsidR="00DE68E7">
        <w:t>.</w:t>
      </w:r>
      <w:r w:rsidR="002A258A" w:rsidRPr="002A258A">
        <w:t xml:space="preserve"> </w:t>
      </w:r>
      <w:r w:rsidR="002A258A">
        <w:t xml:space="preserve">Setting the parameters of a criminal offence by reference to policy or guidelines, which </w:t>
      </w:r>
      <w:r w:rsidR="001A0BBB">
        <w:t xml:space="preserve">can be </w:t>
      </w:r>
      <w:r w:rsidR="00EB49C3">
        <w:t xml:space="preserve">changed </w:t>
      </w:r>
      <w:r w:rsidR="002A258A">
        <w:t>at any time without Parliamentary oversight or a mechanism for disallowance</w:t>
      </w:r>
      <w:r w:rsidR="00D227FC">
        <w:t xml:space="preserve">, is inconsistent with </w:t>
      </w:r>
      <w:r w:rsidR="00D227FC" w:rsidRPr="005850B9">
        <w:rPr>
          <w:rFonts w:cs="Open Sans"/>
        </w:rPr>
        <w:t>Australia’s international obligation</w:t>
      </w:r>
      <w:r w:rsidR="00D227FC">
        <w:rPr>
          <w:rFonts w:cs="Open Sans"/>
        </w:rPr>
        <w:t>s.</w:t>
      </w:r>
      <w:r w:rsidR="00482C7B">
        <w:rPr>
          <w:rStyle w:val="EndnoteReference"/>
          <w:rFonts w:cs="Open Sans"/>
        </w:rPr>
        <w:endnoteReference w:id="37"/>
      </w:r>
      <w:r w:rsidR="00D227FC">
        <w:rPr>
          <w:rFonts w:cs="Open Sans"/>
        </w:rPr>
        <w:t xml:space="preserve"> </w:t>
      </w:r>
    </w:p>
    <w:p w14:paraId="6EB428C0" w14:textId="6D048CC7" w:rsidR="00487448" w:rsidRPr="00D227FC" w:rsidRDefault="00997761" w:rsidP="00D227FC">
      <w:pPr>
        <w:pStyle w:val="ListNumber"/>
        <w:tabs>
          <w:tab w:val="clear" w:pos="360"/>
        </w:tabs>
        <w:ind w:left="1094" w:hanging="737"/>
        <w:rPr>
          <w:rFonts w:cs="Open Sans"/>
        </w:rPr>
      </w:pPr>
      <w:r>
        <w:rPr>
          <w:rFonts w:cs="Open Sans"/>
        </w:rPr>
        <w:t>The Commission considers that any criminal offence that is based on the security classification of documents requires a way of ensuring that those classifications were actually applied correctly</w:t>
      </w:r>
      <w:r w:rsidR="004C55E4">
        <w:rPr>
          <w:rFonts w:cs="Open Sans"/>
        </w:rPr>
        <w:t xml:space="preserve"> and are still valid</w:t>
      </w:r>
      <w:r>
        <w:rPr>
          <w:rFonts w:cs="Open Sans"/>
        </w:rPr>
        <w:t xml:space="preserve">.  </w:t>
      </w:r>
      <w:r w:rsidR="00FA67DF" w:rsidRPr="00D227FC">
        <w:rPr>
          <w:rFonts w:cs="Open Sans"/>
        </w:rPr>
        <w:t>It is not appropriate in those circumstances for strict liability to apply to that element.</w:t>
      </w:r>
    </w:p>
    <w:p w14:paraId="669F5EA7" w14:textId="08D52957" w:rsidR="00487448" w:rsidRDefault="009E37E3" w:rsidP="00445B45">
      <w:pPr>
        <w:pStyle w:val="ListNumber"/>
        <w:keepNext/>
        <w:numPr>
          <w:ilvl w:val="0"/>
          <w:numId w:val="0"/>
        </w:numPr>
        <w:ind w:left="1094"/>
        <w:rPr>
          <w:rFonts w:cs="Open Sans"/>
        </w:rPr>
      </w:pPr>
      <w:r w:rsidRPr="00487448">
        <w:rPr>
          <w:b/>
          <w:bCs/>
        </w:rPr>
        <w:t xml:space="preserve">Recommendation </w:t>
      </w:r>
      <w:r w:rsidR="007630FB">
        <w:rPr>
          <w:b/>
          <w:bCs/>
        </w:rPr>
        <w:t>6</w:t>
      </w:r>
    </w:p>
    <w:p w14:paraId="1278695C" w14:textId="6DF780B2" w:rsidR="004A72B0" w:rsidRPr="00453A99" w:rsidRDefault="009E37E3" w:rsidP="00453A99">
      <w:pPr>
        <w:pStyle w:val="ListNumber"/>
        <w:numPr>
          <w:ilvl w:val="0"/>
          <w:numId w:val="0"/>
        </w:numPr>
        <w:ind w:left="1094"/>
        <w:rPr>
          <w:rFonts w:cs="Open Sans"/>
        </w:rPr>
      </w:pPr>
      <w:r w:rsidRPr="00BB45D3">
        <w:t xml:space="preserve">Strict liability should not apply to </w:t>
      </w:r>
      <w:r w:rsidR="00453A99" w:rsidRPr="004611D8">
        <w:rPr>
          <w:rFonts w:eastAsia="Times New Roman" w:cs="Open Sans"/>
        </w:rPr>
        <w:t>the element that</w:t>
      </w:r>
      <w:r w:rsidR="00453A99">
        <w:rPr>
          <w:rFonts w:eastAsia="Times New Roman" w:cs="Open Sans"/>
        </w:rPr>
        <w:t xml:space="preserve"> </w:t>
      </w:r>
      <w:r w:rsidR="00453A99" w:rsidRPr="004611D8">
        <w:t>a classification is applied in accordance with the policy framework developed by the Commonwealth</w:t>
      </w:r>
      <w:r w:rsidR="001C4EC0">
        <w:t>.</w:t>
      </w:r>
    </w:p>
    <w:p w14:paraId="3E0FB42F" w14:textId="1BD3F4E8" w:rsidR="000756CE" w:rsidRPr="007D417E" w:rsidRDefault="00625B22" w:rsidP="00E224AF">
      <w:pPr>
        <w:pStyle w:val="Heading2"/>
        <w:rPr>
          <w:szCs w:val="28"/>
        </w:rPr>
      </w:pPr>
      <w:bookmarkStart w:id="43" w:name="_Toc160780332"/>
      <w:r w:rsidRPr="007D417E">
        <w:rPr>
          <w:szCs w:val="28"/>
        </w:rPr>
        <w:t>‘Dealing with’ information</w:t>
      </w:r>
      <w:bookmarkEnd w:id="43"/>
      <w:r w:rsidRPr="007D417E">
        <w:rPr>
          <w:szCs w:val="28"/>
        </w:rPr>
        <w:t xml:space="preserve"> </w:t>
      </w:r>
    </w:p>
    <w:p w14:paraId="544F2586" w14:textId="048013F2" w:rsidR="00776D5B" w:rsidRPr="00C16E92" w:rsidRDefault="00390E9D" w:rsidP="002A6AA2">
      <w:pPr>
        <w:pStyle w:val="ListNumber"/>
        <w:tabs>
          <w:tab w:val="clear" w:pos="360"/>
        </w:tabs>
        <w:ind w:left="1094" w:hanging="737"/>
        <w:rPr>
          <w:rFonts w:cs="Open Sans"/>
        </w:rPr>
      </w:pPr>
      <w:r w:rsidRPr="00C16E92">
        <w:t xml:space="preserve">The offences in sections 122.1(2) and 122.2(2) prohibit ‘dealing with’ inherently harmful information or information that causes, will cause or is likely to cause harm to Australia’s interests by Commonwealth officers. </w:t>
      </w:r>
    </w:p>
    <w:p w14:paraId="5FD4963B" w14:textId="2F64891E" w:rsidR="00F532E0" w:rsidRPr="00C16E92" w:rsidRDefault="00390E9D" w:rsidP="00F532E0">
      <w:pPr>
        <w:pStyle w:val="ListNumber"/>
        <w:tabs>
          <w:tab w:val="clear" w:pos="360"/>
        </w:tabs>
        <w:ind w:left="1094" w:hanging="737"/>
        <w:rPr>
          <w:rFonts w:cs="Open Sans"/>
        </w:rPr>
      </w:pPr>
      <w:r w:rsidRPr="00C16E92">
        <w:t>‘Deal’ covers a wide range of conduct, including receiving, possessing or otherwise making the secrecy-regulated information available.</w:t>
      </w:r>
      <w:r w:rsidR="003820CA">
        <w:rPr>
          <w:rStyle w:val="EndnoteReference"/>
        </w:rPr>
        <w:endnoteReference w:id="38"/>
      </w:r>
      <w:r w:rsidR="00647ADB" w:rsidRPr="00C16E92">
        <w:t xml:space="preserve"> </w:t>
      </w:r>
    </w:p>
    <w:p w14:paraId="0F165FB1" w14:textId="21B889B3" w:rsidR="00EA12AB" w:rsidRPr="00EA12AB" w:rsidRDefault="00293C77" w:rsidP="00293C77">
      <w:pPr>
        <w:pStyle w:val="ListNumber"/>
        <w:tabs>
          <w:tab w:val="clear" w:pos="360"/>
        </w:tabs>
        <w:ind w:left="1094" w:hanging="737"/>
        <w:rPr>
          <w:rFonts w:cs="Open Sans"/>
        </w:rPr>
      </w:pPr>
      <w:r w:rsidRPr="000C4B19">
        <w:t>The ‘dealing with’ offence also applies to any person (not just officials) who disclose</w:t>
      </w:r>
      <w:r w:rsidR="00BB422C" w:rsidRPr="000C4B19">
        <w:t>s</w:t>
      </w:r>
      <w:r w:rsidRPr="000C4B19">
        <w:t xml:space="preserve"> specified types of information, including information that has a security classification of SECRET or TOP SECRET applied in accordance with a policy framework developed by the Commonwealth.</w:t>
      </w:r>
      <w:r w:rsidRPr="000C4B19">
        <w:rPr>
          <w:rStyle w:val="EndnoteReference"/>
          <w:szCs w:val="20"/>
        </w:rPr>
        <w:endnoteReference w:id="39"/>
      </w:r>
      <w:r w:rsidRPr="000C4B19">
        <w:t xml:space="preserve"> </w:t>
      </w:r>
      <w:r w:rsidR="00430A0A">
        <w:t xml:space="preserve">Provisions that apply to </w:t>
      </w:r>
      <w:r w:rsidR="00430A0A" w:rsidRPr="00771419">
        <w:t>‘outsiders’</w:t>
      </w:r>
      <w:r w:rsidR="00430A0A">
        <w:t xml:space="preserve"> </w:t>
      </w:r>
      <w:r w:rsidR="00430A0A" w:rsidRPr="00771419">
        <w:t>require careful consideration of Australia’s obligations under the ICCP</w:t>
      </w:r>
      <w:r w:rsidR="00430A0A">
        <w:t xml:space="preserve">R. </w:t>
      </w:r>
      <w:r w:rsidR="00430A0A" w:rsidRPr="00771419">
        <w:t xml:space="preserve">Non-Commonwealth officers </w:t>
      </w:r>
      <w:r w:rsidR="00EA12AB" w:rsidRPr="00771419">
        <w:t>have no formal relationship with the Commonwealth and no duty of confidence.</w:t>
      </w:r>
      <w:r w:rsidR="00EA12AB" w:rsidRPr="000C4B19">
        <w:rPr>
          <w:rStyle w:val="EndnoteReference"/>
          <w:szCs w:val="20"/>
        </w:rPr>
        <w:endnoteReference w:id="40"/>
      </w:r>
    </w:p>
    <w:p w14:paraId="3DDAEB1A" w14:textId="715038DE" w:rsidR="00D75FDA" w:rsidRPr="00771419" w:rsidRDefault="00B41505" w:rsidP="00D75FDA">
      <w:pPr>
        <w:pStyle w:val="ListNumber"/>
        <w:tabs>
          <w:tab w:val="clear" w:pos="360"/>
        </w:tabs>
        <w:ind w:left="1094" w:hanging="737"/>
        <w:rPr>
          <w:rFonts w:cs="Open Sans"/>
        </w:rPr>
      </w:pPr>
      <w:r w:rsidRPr="00771419">
        <w:rPr>
          <w:rFonts w:cs="Open Sans"/>
        </w:rPr>
        <w:t>P</w:t>
      </w:r>
      <w:r w:rsidR="00F532E0" w:rsidRPr="00771419">
        <w:rPr>
          <w:rFonts w:cs="Open Sans"/>
        </w:rPr>
        <w:t>revious concerns</w:t>
      </w:r>
      <w:r w:rsidR="00D25E19" w:rsidRPr="00771419">
        <w:rPr>
          <w:rFonts w:cs="Open Sans"/>
        </w:rPr>
        <w:t xml:space="preserve"> </w:t>
      </w:r>
      <w:r w:rsidRPr="00771419">
        <w:rPr>
          <w:rFonts w:cs="Open Sans"/>
        </w:rPr>
        <w:t xml:space="preserve">have been raised </w:t>
      </w:r>
      <w:r w:rsidR="000266FF" w:rsidRPr="00771419">
        <w:rPr>
          <w:rFonts w:cs="Open Sans"/>
        </w:rPr>
        <w:t>that the</w:t>
      </w:r>
      <w:r w:rsidR="0088211D" w:rsidRPr="00771419">
        <w:rPr>
          <w:rFonts w:cs="Open Sans"/>
        </w:rPr>
        <w:t xml:space="preserve"> </w:t>
      </w:r>
      <w:r w:rsidR="00482C49" w:rsidRPr="00771419">
        <w:rPr>
          <w:rFonts w:cs="Open Sans"/>
        </w:rPr>
        <w:t xml:space="preserve">offence of </w:t>
      </w:r>
      <w:r w:rsidR="0088211D" w:rsidRPr="00771419">
        <w:rPr>
          <w:rFonts w:cs="Open Sans"/>
        </w:rPr>
        <w:t xml:space="preserve">‘dealing with’ information </w:t>
      </w:r>
      <w:r w:rsidR="000266FF" w:rsidRPr="00771419">
        <w:rPr>
          <w:rFonts w:cs="Open Sans"/>
        </w:rPr>
        <w:t>has the</w:t>
      </w:r>
      <w:r w:rsidR="0088211D" w:rsidRPr="00771419">
        <w:rPr>
          <w:rFonts w:cs="Open Sans"/>
        </w:rPr>
        <w:t xml:space="preserve"> </w:t>
      </w:r>
      <w:r w:rsidR="007E57FF" w:rsidRPr="00771419">
        <w:rPr>
          <w:rFonts w:cs="Open Sans"/>
        </w:rPr>
        <w:t xml:space="preserve">potential for criminal liability to attach to </w:t>
      </w:r>
      <w:r w:rsidR="00CC4EAC" w:rsidRPr="00771419">
        <w:rPr>
          <w:rFonts w:cs="Open Sans"/>
        </w:rPr>
        <w:t xml:space="preserve">the </w:t>
      </w:r>
      <w:r w:rsidR="00BB0FCA" w:rsidRPr="00771419">
        <w:rPr>
          <w:rFonts w:cs="Open Sans"/>
        </w:rPr>
        <w:t>‘</w:t>
      </w:r>
      <w:r w:rsidR="006E374D" w:rsidRPr="00771419">
        <w:rPr>
          <w:rFonts w:cs="Open Sans"/>
        </w:rPr>
        <w:t>mere receipt</w:t>
      </w:r>
      <w:r w:rsidR="00BB0FCA" w:rsidRPr="00771419">
        <w:rPr>
          <w:rFonts w:cs="Open Sans"/>
        </w:rPr>
        <w:t>’</w:t>
      </w:r>
      <w:r w:rsidR="006E374D" w:rsidRPr="00771419">
        <w:rPr>
          <w:rFonts w:cs="Open Sans"/>
        </w:rPr>
        <w:t xml:space="preserve"> </w:t>
      </w:r>
      <w:r w:rsidR="005E739D" w:rsidRPr="00771419">
        <w:rPr>
          <w:rFonts w:cs="Open Sans"/>
        </w:rPr>
        <w:t xml:space="preserve">or possession </w:t>
      </w:r>
      <w:r w:rsidR="007E57FF" w:rsidRPr="00771419">
        <w:rPr>
          <w:rFonts w:cs="Open Sans"/>
        </w:rPr>
        <w:t>of information</w:t>
      </w:r>
      <w:r w:rsidR="0088211D" w:rsidRPr="00771419">
        <w:rPr>
          <w:rFonts w:cs="Open Sans"/>
        </w:rPr>
        <w:t>.</w:t>
      </w:r>
      <w:r w:rsidR="007D60FB" w:rsidRPr="000C4B19">
        <w:rPr>
          <w:rStyle w:val="EndnoteReference"/>
          <w:rFonts w:cs="Open Sans"/>
          <w:szCs w:val="20"/>
        </w:rPr>
        <w:endnoteReference w:id="41"/>
      </w:r>
    </w:p>
    <w:p w14:paraId="5A5372C6" w14:textId="2DCA19BF" w:rsidR="006E73D6" w:rsidRPr="006E73D6" w:rsidRDefault="006E73D6" w:rsidP="006E73D6">
      <w:pPr>
        <w:pStyle w:val="ListNumber"/>
        <w:tabs>
          <w:tab w:val="clear" w:pos="360"/>
        </w:tabs>
        <w:ind w:left="1094" w:hanging="737"/>
        <w:rPr>
          <w:rFonts w:cs="Open Sans"/>
        </w:rPr>
      </w:pPr>
      <w:r>
        <w:t xml:space="preserve">The AGD </w:t>
      </w:r>
      <w:r w:rsidR="0016008D">
        <w:t>Secrecy R</w:t>
      </w:r>
      <w:r>
        <w:t>eview considered that unsolicited receipt or other unwitting dealings will not be sufficient to reach the threshold of intention required by the general secrecy offence provisions in Part 5.6.</w:t>
      </w:r>
      <w:r>
        <w:rPr>
          <w:rStyle w:val="EndnoteReference"/>
        </w:rPr>
        <w:endnoteReference w:id="42"/>
      </w:r>
      <w:r>
        <w:t xml:space="preserve"> </w:t>
      </w:r>
    </w:p>
    <w:p w14:paraId="3ABEAC03" w14:textId="7AF71E04" w:rsidR="00BA6B18" w:rsidRPr="00BA6B18" w:rsidRDefault="00B7587E" w:rsidP="00053E0C">
      <w:pPr>
        <w:pStyle w:val="ListNumber"/>
        <w:tabs>
          <w:tab w:val="clear" w:pos="360"/>
        </w:tabs>
        <w:ind w:left="1094" w:hanging="737"/>
        <w:rPr>
          <w:rFonts w:cs="Open Sans"/>
        </w:rPr>
      </w:pPr>
      <w:r>
        <w:t>However, t</w:t>
      </w:r>
      <w:r w:rsidR="009C394F">
        <w:t xml:space="preserve">he </w:t>
      </w:r>
      <w:r w:rsidR="009C394F" w:rsidRPr="00E26CC8">
        <w:t>P</w:t>
      </w:r>
      <w:r w:rsidR="00371458" w:rsidRPr="00E26CC8">
        <w:t>arli</w:t>
      </w:r>
      <w:r w:rsidR="00E26CC8" w:rsidRPr="00E26CC8">
        <w:t xml:space="preserve">amentary </w:t>
      </w:r>
      <w:r w:rsidR="00252DA7" w:rsidRPr="00E26CC8">
        <w:t>J</w:t>
      </w:r>
      <w:r w:rsidR="00E26CC8" w:rsidRPr="00E26CC8">
        <w:t>oint Committee on Human Rights</w:t>
      </w:r>
      <w:r w:rsidR="00FD63A4">
        <w:t xml:space="preserve"> (PJCHR)</w:t>
      </w:r>
      <w:r w:rsidR="00E26CC8" w:rsidRPr="00E26CC8">
        <w:t xml:space="preserve"> </w:t>
      </w:r>
      <w:r w:rsidR="00D62B4E" w:rsidRPr="00E26CC8">
        <w:t>has</w:t>
      </w:r>
      <w:r w:rsidR="00D62B4E">
        <w:t xml:space="preserve"> </w:t>
      </w:r>
      <w:r w:rsidR="009C394F">
        <w:t>noted</w:t>
      </w:r>
      <w:r w:rsidR="00BA6B18">
        <w:t>:</w:t>
      </w:r>
    </w:p>
    <w:p w14:paraId="1AAE350F" w14:textId="51F0ADAD" w:rsidR="00C0546A" w:rsidRPr="00BA6B18" w:rsidRDefault="00E44BBE" w:rsidP="00BA6B18">
      <w:pPr>
        <w:pStyle w:val="ListNumber"/>
        <w:numPr>
          <w:ilvl w:val="0"/>
          <w:numId w:val="0"/>
        </w:numPr>
        <w:ind w:left="1440"/>
        <w:rPr>
          <w:rFonts w:cs="Open Sans"/>
          <w:sz w:val="22"/>
          <w:szCs w:val="22"/>
        </w:rPr>
      </w:pPr>
      <w:r w:rsidRPr="00BA6B18">
        <w:rPr>
          <w:sz w:val="22"/>
          <w:szCs w:val="22"/>
        </w:rPr>
        <w:t xml:space="preserve">given that </w:t>
      </w:r>
      <w:r w:rsidR="0049584F">
        <w:rPr>
          <w:sz w:val="22"/>
          <w:szCs w:val="22"/>
        </w:rPr>
        <w:t>‘</w:t>
      </w:r>
      <w:r w:rsidRPr="00BA6B18">
        <w:rPr>
          <w:sz w:val="22"/>
          <w:szCs w:val="22"/>
        </w:rPr>
        <w:t>deals</w:t>
      </w:r>
      <w:r w:rsidR="0049584F">
        <w:rPr>
          <w:sz w:val="22"/>
          <w:szCs w:val="22"/>
        </w:rPr>
        <w:t>’</w:t>
      </w:r>
      <w:r w:rsidRPr="00BA6B18">
        <w:rPr>
          <w:sz w:val="22"/>
          <w:szCs w:val="22"/>
        </w:rPr>
        <w:t xml:space="preserve"> is defined to include </w:t>
      </w:r>
      <w:r w:rsidR="0049584F">
        <w:rPr>
          <w:sz w:val="22"/>
          <w:szCs w:val="22"/>
        </w:rPr>
        <w:t>‘</w:t>
      </w:r>
      <w:r w:rsidRPr="00BA6B18">
        <w:rPr>
          <w:sz w:val="22"/>
          <w:szCs w:val="22"/>
        </w:rPr>
        <w:t>receive</w:t>
      </w:r>
      <w:r w:rsidR="0049584F">
        <w:rPr>
          <w:sz w:val="22"/>
          <w:szCs w:val="22"/>
        </w:rPr>
        <w:t>’</w:t>
      </w:r>
      <w:r w:rsidRPr="00BA6B18">
        <w:rPr>
          <w:sz w:val="22"/>
          <w:szCs w:val="22"/>
        </w:rPr>
        <w:t xml:space="preserve"> there may still be a degree of uncertainty or confusion as to whether a person does or does not have the requisite intention with respect to that conduct (that is, receiving information).</w:t>
      </w:r>
      <w:r w:rsidR="008B72CD" w:rsidRPr="00792249">
        <w:rPr>
          <w:rStyle w:val="EndnoteReference"/>
          <w:szCs w:val="20"/>
        </w:rPr>
        <w:endnoteReference w:id="43"/>
      </w:r>
      <w:r w:rsidR="001B7C26" w:rsidRPr="00BA6B18">
        <w:rPr>
          <w:sz w:val="22"/>
          <w:szCs w:val="22"/>
        </w:rPr>
        <w:t xml:space="preserve"> </w:t>
      </w:r>
    </w:p>
    <w:p w14:paraId="3BD7767A" w14:textId="2455DBA4" w:rsidR="00B75A32" w:rsidRDefault="0028347B" w:rsidP="00B75A32">
      <w:pPr>
        <w:pStyle w:val="ListNumber"/>
        <w:tabs>
          <w:tab w:val="clear" w:pos="360"/>
        </w:tabs>
        <w:ind w:left="1094" w:hanging="737"/>
      </w:pPr>
      <w:r>
        <w:t>T</w:t>
      </w:r>
      <w:r w:rsidR="005E2981">
        <w:t>he</w:t>
      </w:r>
      <w:r w:rsidR="00002748">
        <w:t xml:space="preserve"> uncertainty and breadth of the provisions </w:t>
      </w:r>
      <w:r w:rsidR="005E2981">
        <w:t xml:space="preserve">may </w:t>
      </w:r>
      <w:r>
        <w:t>suggest</w:t>
      </w:r>
      <w:r w:rsidR="00C4412E">
        <w:t>,</w:t>
      </w:r>
      <w:r w:rsidR="000D0EA2">
        <w:t xml:space="preserve"> in practical terms</w:t>
      </w:r>
      <w:r w:rsidR="00C4412E">
        <w:t>,</w:t>
      </w:r>
      <w:r w:rsidR="000D0EA2">
        <w:t xml:space="preserve"> that</w:t>
      </w:r>
      <w:r w:rsidR="00D70BD2" w:rsidRPr="002F5CEF">
        <w:t xml:space="preserve"> the</w:t>
      </w:r>
      <w:r>
        <w:t>re is</w:t>
      </w:r>
      <w:r w:rsidR="00D70BD2" w:rsidRPr="002F5CEF">
        <w:t xml:space="preserve"> </w:t>
      </w:r>
      <w:r w:rsidR="00CD663E">
        <w:t xml:space="preserve">an obligation </w:t>
      </w:r>
      <w:r w:rsidR="000D0EA2">
        <w:t xml:space="preserve">on a person </w:t>
      </w:r>
      <w:r w:rsidR="00CD663E">
        <w:t xml:space="preserve">to </w:t>
      </w:r>
      <w:r w:rsidR="00A60FDA" w:rsidRPr="002F5CEF">
        <w:t>proactively act to avoid receiving ‘classified information</w:t>
      </w:r>
      <w:r w:rsidR="008B6D48" w:rsidRPr="002F5CEF">
        <w:t>’</w:t>
      </w:r>
      <w:r w:rsidR="00694530">
        <w:t>.</w:t>
      </w:r>
      <w:r w:rsidR="001F3A2C">
        <w:t xml:space="preserve"> </w:t>
      </w:r>
      <w:r w:rsidR="00BB660E">
        <w:t>Th</w:t>
      </w:r>
      <w:r w:rsidR="00F8670E">
        <w:t>e</w:t>
      </w:r>
      <w:r w:rsidR="001F5378">
        <w:t xml:space="preserve"> Commission considers that this</w:t>
      </w:r>
      <w:r w:rsidR="00BB660E">
        <w:t xml:space="preserve"> would be inconsistent with the general principles of criminal responsibility and shifts the burden </w:t>
      </w:r>
      <w:r w:rsidR="00D21D36">
        <w:t xml:space="preserve">of protecting potentially sensitive Commonwealth information to people who do not work for the </w:t>
      </w:r>
      <w:r w:rsidR="00D21D36" w:rsidRPr="00BE60A0">
        <w:t>Commonwealth.</w:t>
      </w:r>
      <w:r w:rsidR="00BE60A0">
        <w:rPr>
          <w:rStyle w:val="EndnoteReference"/>
        </w:rPr>
        <w:endnoteReference w:id="44"/>
      </w:r>
      <w:r w:rsidR="00D21D36" w:rsidRPr="00BE60A0">
        <w:t xml:space="preserve"> </w:t>
      </w:r>
    </w:p>
    <w:p w14:paraId="79012587" w14:textId="41C6E880" w:rsidR="009E5E0A" w:rsidRPr="009E5E0A" w:rsidRDefault="00DE42C8" w:rsidP="008774C4">
      <w:pPr>
        <w:pStyle w:val="ListNumber"/>
        <w:tabs>
          <w:tab w:val="clear" w:pos="360"/>
        </w:tabs>
        <w:ind w:left="1094" w:hanging="737"/>
        <w:rPr>
          <w:rFonts w:cs="Open Sans"/>
        </w:rPr>
      </w:pPr>
      <w:r>
        <w:rPr>
          <w:rFonts w:cs="Open Sans"/>
        </w:rPr>
        <w:t>As illustrated by the raids by the AFP of the home of journalist Annika Smethurst and the Sydney offices of the Australian Broadcasting Corporation</w:t>
      </w:r>
      <w:r w:rsidR="00066BCB">
        <w:rPr>
          <w:rFonts w:cs="Open Sans"/>
        </w:rPr>
        <w:t xml:space="preserve">, </w:t>
      </w:r>
      <w:r w:rsidR="00796724">
        <w:rPr>
          <w:rFonts w:cs="Open Sans"/>
        </w:rPr>
        <w:t>journalists and media organisat</w:t>
      </w:r>
      <w:r w:rsidR="00273B12">
        <w:rPr>
          <w:rFonts w:cs="Open Sans"/>
        </w:rPr>
        <w:t>ions can become the subjects of law enforcement and intelligence powers</w:t>
      </w:r>
      <w:r w:rsidR="003E7B68">
        <w:rPr>
          <w:rFonts w:cs="Open Sans"/>
        </w:rPr>
        <w:t xml:space="preserve"> based on the leaking of secret documents</w:t>
      </w:r>
      <w:r w:rsidR="00273B12">
        <w:rPr>
          <w:rFonts w:cs="Open Sans"/>
        </w:rPr>
        <w:t>. The nature of their work involves the receipt, possession, and dissemination of information, including information that others (including</w:t>
      </w:r>
      <w:r w:rsidR="00BE1645">
        <w:rPr>
          <w:rFonts w:cs="Open Sans"/>
        </w:rPr>
        <w:t xml:space="preserve"> governments) might prefer not to be disclosed</w:t>
      </w:r>
      <w:r w:rsidR="008774C4">
        <w:rPr>
          <w:rFonts w:cs="Open Sans"/>
        </w:rPr>
        <w:t xml:space="preserve">. </w:t>
      </w:r>
      <w:r w:rsidR="00AC5458">
        <w:rPr>
          <w:rFonts w:cs="Open Sans"/>
        </w:rPr>
        <w:t xml:space="preserve">While journalists may need to make decisions about whether or not to publish </w:t>
      </w:r>
      <w:r w:rsidR="00C56B38">
        <w:rPr>
          <w:rFonts w:cs="Open Sans"/>
        </w:rPr>
        <w:t xml:space="preserve">material that is provided to them, in light of their assessment of the scope of secrecy offences and available defences, </w:t>
      </w:r>
      <w:r w:rsidR="001137A8">
        <w:rPr>
          <w:rFonts w:cs="Open Sans"/>
        </w:rPr>
        <w:t xml:space="preserve">the Commission considers that it would be inappropriate to expose them to criminal sanctions merely for the </w:t>
      </w:r>
      <w:r w:rsidR="003E7B68">
        <w:rPr>
          <w:rFonts w:cs="Open Sans"/>
        </w:rPr>
        <w:t>initial receipt of information.</w:t>
      </w:r>
    </w:p>
    <w:p w14:paraId="2566D053" w14:textId="1943A1CA" w:rsidR="008774C4" w:rsidRPr="008774C4" w:rsidRDefault="009E5E0A" w:rsidP="008774C4">
      <w:pPr>
        <w:pStyle w:val="ListNumber"/>
        <w:tabs>
          <w:tab w:val="clear" w:pos="360"/>
        </w:tabs>
        <w:ind w:left="1094" w:hanging="737"/>
        <w:rPr>
          <w:rFonts w:cs="Open Sans"/>
        </w:rPr>
      </w:pPr>
      <w:r>
        <w:rPr>
          <w:rFonts w:cs="Open Sans"/>
        </w:rPr>
        <w:t xml:space="preserve">The freedom of the press is guaranteed in </w:t>
      </w:r>
      <w:r w:rsidR="00C1111B">
        <w:rPr>
          <w:rFonts w:cs="Open Sans"/>
        </w:rPr>
        <w:t>a</w:t>
      </w:r>
      <w:r>
        <w:rPr>
          <w:rFonts w:cs="Open Sans"/>
        </w:rPr>
        <w:t>rticle 19</w:t>
      </w:r>
      <w:r w:rsidR="00C35258">
        <w:rPr>
          <w:rFonts w:cs="Open Sans"/>
        </w:rPr>
        <w:t xml:space="preserve"> </w:t>
      </w:r>
      <w:r w:rsidR="004F5E82">
        <w:rPr>
          <w:rFonts w:cs="Open Sans"/>
        </w:rPr>
        <w:t xml:space="preserve">of the ICCPR </w:t>
      </w:r>
      <w:r w:rsidR="00C35258">
        <w:rPr>
          <w:rFonts w:cs="Open Sans"/>
        </w:rPr>
        <w:t>and</w:t>
      </w:r>
      <w:r>
        <w:rPr>
          <w:rFonts w:cs="Open Sans"/>
        </w:rPr>
        <w:t xml:space="preserve"> </w:t>
      </w:r>
      <w:r>
        <w:t xml:space="preserve">it is vital that </w:t>
      </w:r>
      <w:r w:rsidR="00C35258">
        <w:t xml:space="preserve">laws </w:t>
      </w:r>
      <w:r w:rsidR="007E36BC">
        <w:t>which engage the right</w:t>
      </w:r>
      <w:r>
        <w:t xml:space="preserve"> are carefully crafted to ensure that they apply only in circumstances where strictly necessary</w:t>
      </w:r>
      <w:r w:rsidR="009E6889">
        <w:t>,</w:t>
      </w:r>
      <w:r>
        <w:t xml:space="preserve"> in pursuit of a compelling public interest</w:t>
      </w:r>
      <w:r w:rsidR="005C0C86">
        <w:t>,</w:t>
      </w:r>
      <w:r>
        <w:t xml:space="preserve"> such as the protection of the community or of national security</w:t>
      </w:r>
      <w:r w:rsidR="005421C6">
        <w:t>.</w:t>
      </w:r>
    </w:p>
    <w:p w14:paraId="6E5FF124" w14:textId="2981AF2B" w:rsidR="00B0467E" w:rsidRDefault="00B0467E" w:rsidP="0097696A">
      <w:pPr>
        <w:pStyle w:val="ListNumber"/>
        <w:keepNext/>
        <w:numPr>
          <w:ilvl w:val="0"/>
          <w:numId w:val="0"/>
        </w:numPr>
        <w:ind w:left="1094"/>
        <w:rPr>
          <w:rFonts w:cs="Open Sans"/>
          <w:b/>
          <w:bCs/>
        </w:rPr>
      </w:pPr>
      <w:r w:rsidRPr="00B0467E">
        <w:rPr>
          <w:rFonts w:cs="Open Sans"/>
          <w:b/>
          <w:bCs/>
        </w:rPr>
        <w:t xml:space="preserve">Recommendation </w:t>
      </w:r>
      <w:r w:rsidR="007630FB">
        <w:rPr>
          <w:rFonts w:cs="Open Sans"/>
          <w:b/>
          <w:bCs/>
        </w:rPr>
        <w:t>7</w:t>
      </w:r>
    </w:p>
    <w:p w14:paraId="1D714D8D" w14:textId="0A88CAFB" w:rsidR="00B0467E" w:rsidRPr="005C0C86" w:rsidRDefault="001142BA" w:rsidP="005C0C86">
      <w:pPr>
        <w:pStyle w:val="ListNumber"/>
        <w:numPr>
          <w:ilvl w:val="0"/>
          <w:numId w:val="0"/>
        </w:numPr>
        <w:ind w:left="1094"/>
        <w:rPr>
          <w:rFonts w:cs="Open Sans"/>
        </w:rPr>
      </w:pPr>
      <w:r>
        <w:t xml:space="preserve">The general secrecy offence provisions in Part 5.6 should expressly </w:t>
      </w:r>
      <w:r w:rsidR="009E3F64">
        <w:t>provide</w:t>
      </w:r>
      <w:r>
        <w:t xml:space="preserve"> that unsolicited receipt or other </w:t>
      </w:r>
      <w:r w:rsidR="00261DAD">
        <w:t>unintentional</w:t>
      </w:r>
      <w:r w:rsidR="00113F17">
        <w:t xml:space="preserve"> dealings will not be sufficient to reach the threshold of intention </w:t>
      </w:r>
      <w:r w:rsidR="007F1945">
        <w:t xml:space="preserve">required by those provisions. </w:t>
      </w:r>
    </w:p>
    <w:p w14:paraId="51203C6D" w14:textId="4D9386A2" w:rsidR="00293753" w:rsidRPr="00293753" w:rsidRDefault="00CF1CE6" w:rsidP="00346374">
      <w:pPr>
        <w:pStyle w:val="Heading1"/>
        <w:rPr>
          <w:rFonts w:cs="Open Sans"/>
        </w:rPr>
      </w:pPr>
      <w:bookmarkStart w:id="44" w:name="_Toc160780333"/>
      <w:r w:rsidRPr="0069402C">
        <w:t>Propo</w:t>
      </w:r>
      <w:r w:rsidR="00603BB8">
        <w:t>s</w:t>
      </w:r>
      <w:r w:rsidRPr="0069402C">
        <w:t>ed new general secrecy offence</w:t>
      </w:r>
      <w:bookmarkEnd w:id="44"/>
      <w:r w:rsidRPr="0069402C">
        <w:t xml:space="preserve"> </w:t>
      </w:r>
    </w:p>
    <w:p w14:paraId="51BA02B8" w14:textId="462BFB4E" w:rsidR="00A449BF" w:rsidRDefault="004D2AD0" w:rsidP="003A6BA6">
      <w:pPr>
        <w:pStyle w:val="ListNumber"/>
        <w:tabs>
          <w:tab w:val="clear" w:pos="360"/>
        </w:tabs>
        <w:ind w:left="1094" w:hanging="737"/>
        <w:rPr>
          <w:rFonts w:cs="Open Sans"/>
        </w:rPr>
      </w:pPr>
      <w:r>
        <w:rPr>
          <w:rFonts w:cs="Open Sans"/>
        </w:rPr>
        <w:t xml:space="preserve">Section 122.4 </w:t>
      </w:r>
      <w:r w:rsidR="003A22B7">
        <w:rPr>
          <w:rFonts w:cs="Open Sans"/>
        </w:rPr>
        <w:t xml:space="preserve">currently </w:t>
      </w:r>
      <w:r w:rsidR="00D42602">
        <w:rPr>
          <w:rFonts w:cs="Open Sans"/>
        </w:rPr>
        <w:t>provides for a</w:t>
      </w:r>
      <w:r w:rsidR="00E23F62">
        <w:rPr>
          <w:rFonts w:cs="Open Sans"/>
        </w:rPr>
        <w:t xml:space="preserve"> general</w:t>
      </w:r>
      <w:r w:rsidR="003742E8">
        <w:rPr>
          <w:rFonts w:cs="Open Sans"/>
        </w:rPr>
        <w:t xml:space="preserve"> offence relating to the </w:t>
      </w:r>
      <w:r w:rsidR="00553438">
        <w:rPr>
          <w:rFonts w:cs="Open Sans"/>
        </w:rPr>
        <w:t>unauthorised disclosure of information</w:t>
      </w:r>
      <w:r w:rsidR="00C37DB8">
        <w:rPr>
          <w:rFonts w:cs="Open Sans"/>
        </w:rPr>
        <w:t xml:space="preserve"> by</w:t>
      </w:r>
      <w:r w:rsidR="00354A8E">
        <w:rPr>
          <w:rFonts w:cs="Open Sans"/>
        </w:rPr>
        <w:t xml:space="preserve"> Commonwealth officers</w:t>
      </w:r>
      <w:r w:rsidR="005B5545">
        <w:rPr>
          <w:rFonts w:cs="Open Sans"/>
        </w:rPr>
        <w:t xml:space="preserve"> who breach a </w:t>
      </w:r>
      <w:r w:rsidR="00553438">
        <w:rPr>
          <w:rFonts w:cs="Open Sans"/>
        </w:rPr>
        <w:t xml:space="preserve">duty imposed by another law not to disclose </w:t>
      </w:r>
      <w:r w:rsidR="007B7765">
        <w:rPr>
          <w:rFonts w:cs="Open Sans"/>
        </w:rPr>
        <w:t xml:space="preserve">the </w:t>
      </w:r>
      <w:r w:rsidR="00553438">
        <w:rPr>
          <w:rFonts w:cs="Open Sans"/>
        </w:rPr>
        <w:t xml:space="preserve">information. </w:t>
      </w:r>
      <w:r w:rsidR="00C37DB8">
        <w:rPr>
          <w:rFonts w:cs="Open Sans"/>
        </w:rPr>
        <w:t xml:space="preserve">This offence is due to sunset </w:t>
      </w:r>
      <w:r w:rsidR="00C740BE">
        <w:rPr>
          <w:rFonts w:cs="Open Sans"/>
        </w:rPr>
        <w:t>on</w:t>
      </w:r>
      <w:r w:rsidR="00FA44F1">
        <w:rPr>
          <w:rFonts w:cs="Open Sans"/>
        </w:rPr>
        <w:t xml:space="preserve"> 29 December 2024</w:t>
      </w:r>
      <w:r w:rsidR="00455CA6">
        <w:rPr>
          <w:rFonts w:cs="Open Sans"/>
        </w:rPr>
        <w:t>.</w:t>
      </w:r>
      <w:r w:rsidR="00030F5C">
        <w:rPr>
          <w:rStyle w:val="EndnoteReference"/>
          <w:rFonts w:cs="Open Sans"/>
        </w:rPr>
        <w:endnoteReference w:id="45"/>
      </w:r>
      <w:r w:rsidR="00455CA6">
        <w:rPr>
          <w:rFonts w:cs="Open Sans"/>
        </w:rPr>
        <w:t xml:space="preserve"> </w:t>
      </w:r>
    </w:p>
    <w:p w14:paraId="2DD335C8" w14:textId="2CFC7705" w:rsidR="00790606" w:rsidRPr="003A6BA6" w:rsidRDefault="00455CA6" w:rsidP="003A6BA6">
      <w:pPr>
        <w:pStyle w:val="ListNumber"/>
        <w:tabs>
          <w:tab w:val="clear" w:pos="360"/>
        </w:tabs>
        <w:ind w:left="1094" w:hanging="737"/>
        <w:rPr>
          <w:rFonts w:cs="Open Sans"/>
        </w:rPr>
      </w:pPr>
      <w:r>
        <w:rPr>
          <w:rFonts w:cs="Open Sans"/>
        </w:rPr>
        <w:t xml:space="preserve">The </w:t>
      </w:r>
      <w:r w:rsidR="003A22B7">
        <w:rPr>
          <w:rFonts w:cs="Open Sans"/>
        </w:rPr>
        <w:t xml:space="preserve">AGD has proposed to replace it with </w:t>
      </w:r>
      <w:r w:rsidR="00C13C5D">
        <w:rPr>
          <w:rFonts w:cs="Open Sans"/>
        </w:rPr>
        <w:t>an</w:t>
      </w:r>
      <w:r w:rsidR="00FA44F1">
        <w:rPr>
          <w:rFonts w:cs="Open Sans"/>
        </w:rPr>
        <w:t xml:space="preserve"> offence</w:t>
      </w:r>
      <w:r w:rsidR="006C689C">
        <w:rPr>
          <w:rFonts w:cs="Open Sans"/>
        </w:rPr>
        <w:t xml:space="preserve"> i</w:t>
      </w:r>
      <w:r w:rsidR="006C689C">
        <w:t xml:space="preserve">nformed by the duty not to disclose information that applies to APS employees under </w:t>
      </w:r>
      <w:r w:rsidR="00970E78">
        <w:t>reg</w:t>
      </w:r>
      <w:r w:rsidR="00684DBB">
        <w:t> </w:t>
      </w:r>
      <w:r w:rsidR="006C689C">
        <w:t xml:space="preserve">7 of the </w:t>
      </w:r>
      <w:r w:rsidR="006C689C" w:rsidRPr="00E83CFB">
        <w:t>Public Service Regulations 2023</w:t>
      </w:r>
      <w:r w:rsidR="00970E78">
        <w:t xml:space="preserve"> (Cth)</w:t>
      </w:r>
      <w:r w:rsidR="003A6BA6">
        <w:t xml:space="preserve">, </w:t>
      </w:r>
      <w:r w:rsidR="006C689C">
        <w:t xml:space="preserve">but </w:t>
      </w:r>
      <w:r w:rsidR="00CD540A">
        <w:t xml:space="preserve">that is </w:t>
      </w:r>
      <w:r w:rsidR="006C689C">
        <w:t>sufficiently broad to capture all individuals providing services to the Commonwealth, whether paid or no</w:t>
      </w:r>
      <w:r w:rsidR="00210029">
        <w:t>t.</w:t>
      </w:r>
      <w:r w:rsidR="003906E2">
        <w:rPr>
          <w:rStyle w:val="EndnoteReference"/>
        </w:rPr>
        <w:endnoteReference w:id="46"/>
      </w:r>
      <w:r w:rsidR="00210029">
        <w:t xml:space="preserve"> </w:t>
      </w:r>
    </w:p>
    <w:p w14:paraId="5A3271A2" w14:textId="1A8E0B60" w:rsidR="00F45779" w:rsidRPr="00F45779" w:rsidRDefault="007A0330" w:rsidP="00F45779">
      <w:pPr>
        <w:pStyle w:val="ListNumber"/>
        <w:tabs>
          <w:tab w:val="clear" w:pos="360"/>
        </w:tabs>
        <w:ind w:left="1094" w:hanging="737"/>
        <w:rPr>
          <w:rFonts w:cs="Open Sans"/>
        </w:rPr>
      </w:pPr>
      <w:r>
        <w:t xml:space="preserve">The proposed offence </w:t>
      </w:r>
      <w:r w:rsidR="003E6FEB">
        <w:t>seeks</w:t>
      </w:r>
      <w:r w:rsidR="00EB0FFE">
        <w:t xml:space="preserve"> to</w:t>
      </w:r>
      <w:r w:rsidR="00A41954">
        <w:t xml:space="preserve"> </w:t>
      </w:r>
      <w:r w:rsidR="00FF6D79">
        <w:t>ensure that Commonwealth officers</w:t>
      </w:r>
      <w:r w:rsidR="001072E6">
        <w:t xml:space="preserve"> and contracted service providers</w:t>
      </w:r>
      <w:r w:rsidR="00D974D7">
        <w:t xml:space="preserve"> </w:t>
      </w:r>
      <w:r w:rsidR="0043620F">
        <w:t xml:space="preserve">do not disclose information obtained in connection with their employment or the provision of the service, where that disclosure would be </w:t>
      </w:r>
      <w:r w:rsidR="00C460A4">
        <w:t>‘</w:t>
      </w:r>
      <w:r w:rsidR="0043620F">
        <w:t>prejudicial to the effective working of government</w:t>
      </w:r>
      <w:r w:rsidR="00C460A4">
        <w:t>’</w:t>
      </w:r>
      <w:r w:rsidR="0043620F">
        <w:t xml:space="preserve"> or where the information was communicated to them in confidence and the disclosure would breach that confidentiality obligation.</w:t>
      </w:r>
      <w:r w:rsidR="00EB0FFE">
        <w:t xml:space="preserve"> </w:t>
      </w:r>
      <w:r w:rsidR="00375861">
        <w:t xml:space="preserve">Embarrassment to the government </w:t>
      </w:r>
      <w:r w:rsidR="004E5C98">
        <w:t>would not be s</w:t>
      </w:r>
      <w:r w:rsidR="00375861">
        <w:t>ufficient to establish prejudice</w:t>
      </w:r>
      <w:r w:rsidR="00F45779">
        <w:t>.</w:t>
      </w:r>
    </w:p>
    <w:p w14:paraId="4142F170" w14:textId="2B21A279" w:rsidR="004C3966" w:rsidRDefault="00973389" w:rsidP="004C3966">
      <w:pPr>
        <w:pStyle w:val="ListNumber"/>
        <w:tabs>
          <w:tab w:val="clear" w:pos="360"/>
        </w:tabs>
        <w:ind w:left="1094" w:hanging="737"/>
        <w:rPr>
          <w:rFonts w:cs="Open Sans"/>
        </w:rPr>
      </w:pPr>
      <w:r>
        <w:rPr>
          <w:rFonts w:cs="Open Sans"/>
        </w:rPr>
        <w:t xml:space="preserve">The </w:t>
      </w:r>
      <w:r w:rsidR="00D73015">
        <w:rPr>
          <w:rFonts w:cs="Open Sans"/>
        </w:rPr>
        <w:t xml:space="preserve">AGD </w:t>
      </w:r>
      <w:r w:rsidR="00B0315A">
        <w:rPr>
          <w:rFonts w:cs="Open Sans"/>
        </w:rPr>
        <w:t>suggest</w:t>
      </w:r>
      <w:r w:rsidR="00E0014F">
        <w:rPr>
          <w:rFonts w:cs="Open Sans"/>
        </w:rPr>
        <w:t>s</w:t>
      </w:r>
      <w:r w:rsidR="00352C08">
        <w:rPr>
          <w:rFonts w:cs="Open Sans"/>
        </w:rPr>
        <w:t xml:space="preserve"> that </w:t>
      </w:r>
      <w:r>
        <w:rPr>
          <w:rFonts w:cs="Open Sans"/>
        </w:rPr>
        <w:t>a</w:t>
      </w:r>
      <w:r w:rsidR="00BB6612">
        <w:rPr>
          <w:rFonts w:cs="Open Sans"/>
        </w:rPr>
        <w:t xml:space="preserve"> new general </w:t>
      </w:r>
      <w:r w:rsidR="00F60B8C">
        <w:rPr>
          <w:rFonts w:cs="Open Sans"/>
        </w:rPr>
        <w:t xml:space="preserve">secrecy </w:t>
      </w:r>
      <w:r w:rsidR="00BB6612">
        <w:rPr>
          <w:rFonts w:cs="Open Sans"/>
        </w:rPr>
        <w:t xml:space="preserve">offence would further support the reduction of specific secrecy offences and </w:t>
      </w:r>
      <w:r w:rsidR="00F60B8C">
        <w:rPr>
          <w:rFonts w:cs="Open Sans"/>
        </w:rPr>
        <w:t xml:space="preserve">is intended to address potential </w:t>
      </w:r>
      <w:r w:rsidR="00455FDB">
        <w:rPr>
          <w:rFonts w:cs="Open Sans"/>
        </w:rPr>
        <w:t>gap</w:t>
      </w:r>
      <w:r w:rsidR="00F60B8C">
        <w:rPr>
          <w:rFonts w:cs="Open Sans"/>
        </w:rPr>
        <w:t>s as</w:t>
      </w:r>
      <w:r w:rsidR="00455FDB">
        <w:rPr>
          <w:rFonts w:cs="Open Sans"/>
        </w:rPr>
        <w:t xml:space="preserve"> highlighted by the alleged PwC Australia breach</w:t>
      </w:r>
      <w:r w:rsidR="004A1112">
        <w:rPr>
          <w:rFonts w:cs="Open Sans"/>
        </w:rPr>
        <w:t>.</w:t>
      </w:r>
      <w:r w:rsidR="00846ECE">
        <w:rPr>
          <w:rFonts w:cs="Open Sans"/>
        </w:rPr>
        <w:t xml:space="preserve"> </w:t>
      </w:r>
      <w:r w:rsidR="00A111D6">
        <w:rPr>
          <w:rFonts w:cs="Open Sans"/>
        </w:rPr>
        <w:t>However, the</w:t>
      </w:r>
      <w:r w:rsidR="004A1112">
        <w:rPr>
          <w:rFonts w:cs="Open Sans"/>
        </w:rPr>
        <w:t xml:space="preserve"> Commission </w:t>
      </w:r>
      <w:r w:rsidR="00662AEF">
        <w:rPr>
          <w:rFonts w:cs="Open Sans"/>
        </w:rPr>
        <w:t>is</w:t>
      </w:r>
      <w:r w:rsidR="004A1112">
        <w:rPr>
          <w:rFonts w:cs="Open Sans"/>
        </w:rPr>
        <w:t xml:space="preserve"> concerned that an </w:t>
      </w:r>
      <w:r w:rsidR="008F6D47">
        <w:rPr>
          <w:rFonts w:cs="Open Sans"/>
        </w:rPr>
        <w:t xml:space="preserve">offence based </w:t>
      </w:r>
      <w:r w:rsidR="004A1112">
        <w:rPr>
          <w:rFonts w:cs="Open Sans"/>
        </w:rPr>
        <w:t>on</w:t>
      </w:r>
      <w:r w:rsidR="00A14C07">
        <w:rPr>
          <w:rFonts w:cs="Open Sans"/>
        </w:rPr>
        <w:t xml:space="preserve"> </w:t>
      </w:r>
      <w:r w:rsidR="005E3C8C">
        <w:rPr>
          <w:rFonts w:cs="Open Sans"/>
        </w:rPr>
        <w:t>such</w:t>
      </w:r>
      <w:r w:rsidR="007B1E61">
        <w:rPr>
          <w:rFonts w:cs="Open Sans"/>
        </w:rPr>
        <w:t xml:space="preserve"> </w:t>
      </w:r>
      <w:r w:rsidR="00823CD9">
        <w:rPr>
          <w:rFonts w:cs="Open Sans"/>
        </w:rPr>
        <w:t>broad</w:t>
      </w:r>
      <w:r w:rsidR="00DB4E07">
        <w:rPr>
          <w:rFonts w:cs="Open Sans"/>
        </w:rPr>
        <w:t xml:space="preserve"> </w:t>
      </w:r>
      <w:r w:rsidR="007B1E61">
        <w:rPr>
          <w:rFonts w:cs="Open Sans"/>
        </w:rPr>
        <w:t xml:space="preserve">thresholds </w:t>
      </w:r>
      <w:r w:rsidR="008F6D47">
        <w:rPr>
          <w:rFonts w:cs="Open Sans"/>
        </w:rPr>
        <w:t>m</w:t>
      </w:r>
      <w:r w:rsidR="00F76447">
        <w:rPr>
          <w:rFonts w:cs="Open Sans"/>
        </w:rPr>
        <w:t xml:space="preserve">ay be inconsistent with the implied </w:t>
      </w:r>
      <w:r w:rsidR="00E83843">
        <w:rPr>
          <w:rFonts w:cs="Open Sans"/>
        </w:rPr>
        <w:t xml:space="preserve">right to </w:t>
      </w:r>
      <w:r w:rsidR="00F76447">
        <w:rPr>
          <w:rFonts w:cs="Open Sans"/>
        </w:rPr>
        <w:t xml:space="preserve">freedom of </w:t>
      </w:r>
      <w:r w:rsidR="00CD0AC1">
        <w:rPr>
          <w:rFonts w:cs="Open Sans"/>
        </w:rPr>
        <w:t>expression</w:t>
      </w:r>
      <w:r w:rsidR="00F76447">
        <w:rPr>
          <w:rFonts w:cs="Open Sans"/>
        </w:rPr>
        <w:t xml:space="preserve"> in </w:t>
      </w:r>
      <w:r w:rsidR="008D6CE2">
        <w:rPr>
          <w:rFonts w:cs="Open Sans"/>
        </w:rPr>
        <w:t>a</w:t>
      </w:r>
      <w:r w:rsidR="00F76447">
        <w:rPr>
          <w:rFonts w:cs="Open Sans"/>
        </w:rPr>
        <w:t>rticle 19</w:t>
      </w:r>
      <w:r w:rsidR="00A93E40">
        <w:rPr>
          <w:rFonts w:cs="Open Sans"/>
        </w:rPr>
        <w:t xml:space="preserve"> of the ICCPR</w:t>
      </w:r>
      <w:r w:rsidR="00F76447">
        <w:rPr>
          <w:rFonts w:cs="Open Sans"/>
        </w:rPr>
        <w:t xml:space="preserve">. </w:t>
      </w:r>
    </w:p>
    <w:p w14:paraId="4A7FD0CC" w14:textId="23F97C3E" w:rsidR="00284ACE" w:rsidRPr="00284ACE" w:rsidRDefault="005E374C" w:rsidP="001473A0">
      <w:pPr>
        <w:pStyle w:val="ListNumber"/>
        <w:tabs>
          <w:tab w:val="clear" w:pos="360"/>
        </w:tabs>
        <w:ind w:left="1094" w:hanging="737"/>
        <w:rPr>
          <w:rFonts w:cs="Open Sans"/>
        </w:rPr>
      </w:pPr>
      <w:r>
        <w:t>The ALRC</w:t>
      </w:r>
      <w:r w:rsidR="004C3966">
        <w:t xml:space="preserve"> </w:t>
      </w:r>
      <w:r w:rsidR="00962685">
        <w:t xml:space="preserve">did not consider that ‘prejudice to the effective working of government’ was an essential public interest to justify protection </w:t>
      </w:r>
      <w:r w:rsidR="00D56967">
        <w:t>by a secrecy offence</w:t>
      </w:r>
      <w:r w:rsidR="00F94CC7">
        <w:t xml:space="preserve">. </w:t>
      </w:r>
      <w:r w:rsidR="00DB033D">
        <w:t xml:space="preserve">Rather, that </w:t>
      </w:r>
      <w:r w:rsidR="00A212BC">
        <w:t>‘</w:t>
      </w:r>
      <w:r w:rsidR="00A8577E">
        <w:t>prejudice to the effective working of government was a suitable statement of harm in the context of administrative disciplinary sanctions</w:t>
      </w:r>
      <w:r w:rsidR="00A212BC">
        <w:t>’</w:t>
      </w:r>
      <w:r w:rsidR="001413CE">
        <w:t xml:space="preserve"> </w:t>
      </w:r>
      <w:r w:rsidR="0001664D">
        <w:t xml:space="preserve">such as those </w:t>
      </w:r>
      <w:r w:rsidR="007E3A37">
        <w:t xml:space="preserve">available under the APS </w:t>
      </w:r>
      <w:r w:rsidR="00A0434A">
        <w:t xml:space="preserve">Code of Conduct obligations found in s 13 of the </w:t>
      </w:r>
      <w:r w:rsidR="00A0434A" w:rsidRPr="00E83CFB">
        <w:rPr>
          <w:i/>
          <w:iCs/>
        </w:rPr>
        <w:t>Public Service Act 1999</w:t>
      </w:r>
      <w:r w:rsidR="00A0434A">
        <w:t xml:space="preserve"> (Cth)</w:t>
      </w:r>
      <w:r w:rsidR="007E3A37">
        <w:t>, to which reg 7 of the Public Service Regulations give content</w:t>
      </w:r>
      <w:r w:rsidR="00BF0302">
        <w:t>.</w:t>
      </w:r>
      <w:r w:rsidR="00185943">
        <w:rPr>
          <w:rStyle w:val="EndnoteReference"/>
        </w:rPr>
        <w:endnoteReference w:id="47"/>
      </w:r>
      <w:r w:rsidR="00BF0302">
        <w:t xml:space="preserve"> </w:t>
      </w:r>
    </w:p>
    <w:p w14:paraId="75FF1C40" w14:textId="77777777" w:rsidR="006F3F76" w:rsidRPr="006F3F76" w:rsidRDefault="00F94CC7" w:rsidP="00244303">
      <w:pPr>
        <w:pStyle w:val="ListNumber"/>
        <w:tabs>
          <w:tab w:val="clear" w:pos="360"/>
        </w:tabs>
        <w:ind w:left="1094" w:hanging="737"/>
        <w:rPr>
          <w:rFonts w:cs="Open Sans"/>
        </w:rPr>
      </w:pPr>
      <w:r>
        <w:t xml:space="preserve">The Commission agrees with </w:t>
      </w:r>
      <w:r w:rsidR="00D509C2">
        <w:t xml:space="preserve">the ALRC’s </w:t>
      </w:r>
      <w:r w:rsidR="0035727E">
        <w:t>consideration that ‘to warrant a criminal penalty, disclosures must harm more than the effective working of government or commercial or personal interests</w:t>
      </w:r>
      <w:r w:rsidR="00683518">
        <w:t>’</w:t>
      </w:r>
      <w:r w:rsidR="0035727E">
        <w:t>.</w:t>
      </w:r>
      <w:r w:rsidR="0035727E">
        <w:rPr>
          <w:rStyle w:val="EndnoteReference"/>
        </w:rPr>
        <w:endnoteReference w:id="48"/>
      </w:r>
      <w:r w:rsidR="0035727E">
        <w:t xml:space="preserve"> </w:t>
      </w:r>
    </w:p>
    <w:p w14:paraId="7E4942DB" w14:textId="5C745703" w:rsidR="00543665" w:rsidRPr="00C81562" w:rsidRDefault="00F22DA4" w:rsidP="00C81562">
      <w:pPr>
        <w:pStyle w:val="ListNumber"/>
        <w:tabs>
          <w:tab w:val="clear" w:pos="360"/>
        </w:tabs>
        <w:ind w:left="1094" w:hanging="737"/>
        <w:rPr>
          <w:rFonts w:cs="Open Sans"/>
        </w:rPr>
      </w:pPr>
      <w:r>
        <w:rPr>
          <w:rFonts w:cs="Open Sans"/>
        </w:rPr>
        <w:t>The</w:t>
      </w:r>
      <w:r w:rsidR="00037B2A">
        <w:rPr>
          <w:rFonts w:cs="Open Sans"/>
        </w:rPr>
        <w:t xml:space="preserve"> </w:t>
      </w:r>
      <w:r>
        <w:rPr>
          <w:rFonts w:cs="Open Sans"/>
        </w:rPr>
        <w:t>low thresholds</w:t>
      </w:r>
      <w:r w:rsidR="00E60058">
        <w:rPr>
          <w:rFonts w:cs="Open Sans"/>
        </w:rPr>
        <w:t xml:space="preserve"> </w:t>
      </w:r>
      <w:r w:rsidR="00BA4264">
        <w:rPr>
          <w:rFonts w:cs="Open Sans"/>
        </w:rPr>
        <w:t>contemplated by th</w:t>
      </w:r>
      <w:r w:rsidR="0041340E">
        <w:rPr>
          <w:rFonts w:cs="Open Sans"/>
        </w:rPr>
        <w:t>e proposed</w:t>
      </w:r>
      <w:r w:rsidR="00BA4264">
        <w:rPr>
          <w:rFonts w:cs="Open Sans"/>
        </w:rPr>
        <w:t xml:space="preserve"> ‘catch</w:t>
      </w:r>
      <w:r w:rsidR="00DE6580">
        <w:rPr>
          <w:rFonts w:cs="Open Sans"/>
        </w:rPr>
        <w:t xml:space="preserve"> all’ </w:t>
      </w:r>
      <w:r w:rsidR="00AF7A94">
        <w:rPr>
          <w:rFonts w:cs="Open Sans"/>
        </w:rPr>
        <w:t>offence</w:t>
      </w:r>
      <w:r w:rsidR="0041340E">
        <w:rPr>
          <w:rFonts w:cs="Open Sans"/>
        </w:rPr>
        <w:t xml:space="preserve"> do not </w:t>
      </w:r>
      <w:r w:rsidR="003939AD">
        <w:rPr>
          <w:rFonts w:cs="Open Sans"/>
        </w:rPr>
        <w:t xml:space="preserve">strike the right balance between the public interest in open and accountable government </w:t>
      </w:r>
      <w:r w:rsidR="00E077D4">
        <w:rPr>
          <w:rFonts w:cs="Open Sans"/>
        </w:rPr>
        <w:t xml:space="preserve">and </w:t>
      </w:r>
      <w:r w:rsidR="00C8757E">
        <w:rPr>
          <w:rFonts w:cs="Open Sans"/>
        </w:rPr>
        <w:t>adequate protection for Commonwealth information that should legitimately be kept confidential.</w:t>
      </w:r>
      <w:r w:rsidR="00C81562">
        <w:rPr>
          <w:rFonts w:cs="Open Sans"/>
        </w:rPr>
        <w:t xml:space="preserve"> </w:t>
      </w:r>
      <w:r w:rsidR="00DA5035" w:rsidRPr="00C81562">
        <w:rPr>
          <w:rFonts w:cs="Open Sans"/>
        </w:rPr>
        <w:t>In the absence of tighter framing, t</w:t>
      </w:r>
      <w:r w:rsidR="001957B6" w:rsidRPr="00C81562">
        <w:rPr>
          <w:rFonts w:cs="Open Sans"/>
        </w:rPr>
        <w:t>he</w:t>
      </w:r>
      <w:r w:rsidR="00851E03" w:rsidRPr="00C81562">
        <w:rPr>
          <w:rFonts w:cs="Open Sans"/>
        </w:rPr>
        <w:t xml:space="preserve"> </w:t>
      </w:r>
      <w:r w:rsidR="00851E03">
        <w:t>requirement of prejudice to the effective working of governm</w:t>
      </w:r>
      <w:r w:rsidR="006F3F76">
        <w:t>e</w:t>
      </w:r>
      <w:r w:rsidR="00851E03">
        <w:t xml:space="preserve">nt </w:t>
      </w:r>
      <w:r w:rsidR="00D632EE">
        <w:t xml:space="preserve">and </w:t>
      </w:r>
      <w:r w:rsidR="001957B6">
        <w:t>enforcing the confidentiality obligations of Commonwealth officers when dealing with sensitive information, is more appropriately dealt with by way of administrative and disciplinary frameworks</w:t>
      </w:r>
      <w:r w:rsidR="00282067" w:rsidRPr="00C81562">
        <w:rPr>
          <w:rFonts w:cs="Open Sans"/>
        </w:rPr>
        <w:t xml:space="preserve">. </w:t>
      </w:r>
    </w:p>
    <w:p w14:paraId="7FC1F9B8" w14:textId="64588AE7" w:rsidR="00DB4162" w:rsidRPr="0079021E" w:rsidRDefault="00CF1CE6" w:rsidP="0079021E">
      <w:pPr>
        <w:pStyle w:val="ListNumber"/>
        <w:tabs>
          <w:tab w:val="clear" w:pos="360"/>
        </w:tabs>
        <w:ind w:left="1094" w:hanging="737"/>
        <w:rPr>
          <w:rFonts w:cs="Open Sans"/>
        </w:rPr>
      </w:pPr>
      <w:r w:rsidRPr="00293753">
        <w:rPr>
          <w:rFonts w:eastAsia="Times New Roman" w:cs="Open Sans"/>
        </w:rPr>
        <w:t>I</w:t>
      </w:r>
      <w:r w:rsidR="00D314F4">
        <w:rPr>
          <w:rFonts w:eastAsia="Times New Roman" w:cs="Open Sans"/>
        </w:rPr>
        <w:t xml:space="preserve">t </w:t>
      </w:r>
      <w:r w:rsidR="008D48CB">
        <w:rPr>
          <w:rFonts w:eastAsia="Times New Roman" w:cs="Open Sans"/>
        </w:rPr>
        <w:t xml:space="preserve">is proposed that </w:t>
      </w:r>
      <w:r w:rsidR="008D48CB">
        <w:t xml:space="preserve">the new general secrecy offence would not override existing whistleblowing frameworks and individuals </w:t>
      </w:r>
      <w:r w:rsidR="00426081">
        <w:t>could</w:t>
      </w:r>
      <w:r w:rsidR="008D48CB">
        <w:t xml:space="preserve"> continue to provide information under the </w:t>
      </w:r>
      <w:r w:rsidR="008D48CB" w:rsidRPr="005F6DF6">
        <w:rPr>
          <w:i/>
          <w:iCs/>
        </w:rPr>
        <w:t>P</w:t>
      </w:r>
      <w:r w:rsidR="00772E1B" w:rsidRPr="005F6DF6">
        <w:rPr>
          <w:i/>
          <w:iCs/>
        </w:rPr>
        <w:t>ublic Interest Disclosure</w:t>
      </w:r>
      <w:r w:rsidR="008D48CB" w:rsidRPr="005F6DF6">
        <w:rPr>
          <w:i/>
          <w:iCs/>
        </w:rPr>
        <w:t xml:space="preserve"> Act </w:t>
      </w:r>
      <w:r w:rsidR="005F6DF6" w:rsidRPr="005F6DF6">
        <w:rPr>
          <w:i/>
          <w:iCs/>
        </w:rPr>
        <w:t>2013</w:t>
      </w:r>
      <w:r w:rsidR="005F6DF6">
        <w:t xml:space="preserve"> </w:t>
      </w:r>
      <w:r w:rsidR="004D45A1">
        <w:t xml:space="preserve">(Cth) </w:t>
      </w:r>
      <w:r w:rsidR="005F6DF6">
        <w:t xml:space="preserve">(PID Act) </w:t>
      </w:r>
      <w:r w:rsidR="008D48CB">
        <w:t>and to integrity bodies</w:t>
      </w:r>
      <w:r w:rsidR="00426081">
        <w:t xml:space="preserve">. The Commission </w:t>
      </w:r>
      <w:r w:rsidR="003C2992">
        <w:t>has</w:t>
      </w:r>
      <w:r w:rsidR="00F432E9">
        <w:t xml:space="preserve"> </w:t>
      </w:r>
      <w:r w:rsidR="00426081">
        <w:t xml:space="preserve">highlighted </w:t>
      </w:r>
      <w:r w:rsidR="008613C2">
        <w:t xml:space="preserve">some of the </w:t>
      </w:r>
      <w:r w:rsidR="00AE6EC9">
        <w:t xml:space="preserve">existing </w:t>
      </w:r>
      <w:r w:rsidR="008613C2">
        <w:t>deficiencies</w:t>
      </w:r>
      <w:r w:rsidR="00F265BC">
        <w:t xml:space="preserve"> in</w:t>
      </w:r>
      <w:r w:rsidR="006A574F">
        <w:t xml:space="preserve"> the </w:t>
      </w:r>
      <w:r w:rsidR="00DA6B3C">
        <w:t>protection of whistleblowers</w:t>
      </w:r>
      <w:r w:rsidR="008613C2">
        <w:t xml:space="preserve"> </w:t>
      </w:r>
      <w:r w:rsidR="007B1D6A">
        <w:t xml:space="preserve">as part of the </w:t>
      </w:r>
      <w:r w:rsidR="00243449">
        <w:t>government’s public sector whis</w:t>
      </w:r>
      <w:r w:rsidR="00F4513B">
        <w:t>tleblowing refo</w:t>
      </w:r>
      <w:r w:rsidR="00BA15E1">
        <w:t>rms</w:t>
      </w:r>
      <w:r w:rsidR="002A2EC4">
        <w:t>.</w:t>
      </w:r>
      <w:r w:rsidR="00184F3F">
        <w:rPr>
          <w:rStyle w:val="EndnoteReference"/>
        </w:rPr>
        <w:endnoteReference w:id="49"/>
      </w:r>
      <w:r w:rsidR="002A2EC4">
        <w:t xml:space="preserve"> </w:t>
      </w:r>
      <w:r w:rsidR="00F265BC">
        <w:t xml:space="preserve">These include </w:t>
      </w:r>
      <w:r w:rsidR="00B96EDA">
        <w:t xml:space="preserve">the lack </w:t>
      </w:r>
      <w:r w:rsidR="00C41BDA">
        <w:t xml:space="preserve">of adequate protection </w:t>
      </w:r>
      <w:r w:rsidR="002A2EC4">
        <w:t xml:space="preserve">for preparatory acts </w:t>
      </w:r>
      <w:r w:rsidR="00D145FB">
        <w:t>under the PID Act</w:t>
      </w:r>
      <w:r w:rsidR="00D50008">
        <w:t>,</w:t>
      </w:r>
      <w:r w:rsidR="00D145FB">
        <w:t xml:space="preserve"> </w:t>
      </w:r>
      <w:r w:rsidR="00D16F3C">
        <w:t>even if</w:t>
      </w:r>
      <w:r w:rsidR="008A3A08">
        <w:t xml:space="preserve"> </w:t>
      </w:r>
      <w:r w:rsidR="0002265E">
        <w:t xml:space="preserve">the </w:t>
      </w:r>
      <w:r w:rsidR="00D16F3C">
        <w:t>conduct was in the public interest</w:t>
      </w:r>
      <w:r w:rsidR="003E0350">
        <w:t xml:space="preserve"> </w:t>
      </w:r>
      <w:r w:rsidR="00473381">
        <w:t>(</w:t>
      </w:r>
      <w:r w:rsidR="003E0350">
        <w:t xml:space="preserve">as highlighted </w:t>
      </w:r>
      <w:r w:rsidR="00AB4483">
        <w:t>in</w:t>
      </w:r>
      <w:r w:rsidR="003E0350">
        <w:t xml:space="preserve"> the case of Richard Boyle</w:t>
      </w:r>
      <w:r w:rsidR="00917B66">
        <w:t xml:space="preserve"> </w:t>
      </w:r>
      <w:r w:rsidR="006353FD">
        <w:t>and</w:t>
      </w:r>
      <w:r w:rsidR="00FF25F4">
        <w:t xml:space="preserve"> the ATO</w:t>
      </w:r>
      <w:r w:rsidR="006353FD">
        <w:t xml:space="preserve">’s </w:t>
      </w:r>
      <w:r w:rsidR="00B57B93">
        <w:t>use of garnishee notices</w:t>
      </w:r>
      <w:r w:rsidR="00E139C2">
        <w:t>)</w:t>
      </w:r>
      <w:r w:rsidR="00D50008">
        <w:t>,</w:t>
      </w:r>
      <w:r w:rsidR="00D16F3C">
        <w:t xml:space="preserve"> </w:t>
      </w:r>
      <w:r w:rsidR="001F4211">
        <w:t>and</w:t>
      </w:r>
      <w:r w:rsidR="00D50008">
        <w:t xml:space="preserve"> </w:t>
      </w:r>
      <w:r w:rsidR="001F4211">
        <w:t>the</w:t>
      </w:r>
      <w:r w:rsidR="007F6708">
        <w:t xml:space="preserve"> absence </w:t>
      </w:r>
      <w:r w:rsidR="00337F74">
        <w:t xml:space="preserve">of civil </w:t>
      </w:r>
      <w:r w:rsidR="00C61A6A">
        <w:t>actions for compensation for</w:t>
      </w:r>
      <w:r w:rsidR="00337F74">
        <w:t xml:space="preserve"> reprisals </w:t>
      </w:r>
      <w:r w:rsidR="008A721C">
        <w:t xml:space="preserve">under the </w:t>
      </w:r>
      <w:r w:rsidR="008A721C" w:rsidRPr="00C759ED">
        <w:rPr>
          <w:i/>
          <w:iCs/>
        </w:rPr>
        <w:t>N</w:t>
      </w:r>
      <w:r w:rsidR="006A2241" w:rsidRPr="00C759ED">
        <w:rPr>
          <w:i/>
          <w:iCs/>
        </w:rPr>
        <w:t>ational Anti</w:t>
      </w:r>
      <w:r w:rsidR="00C759ED" w:rsidRPr="00C759ED">
        <w:rPr>
          <w:i/>
          <w:iCs/>
        </w:rPr>
        <w:t>-</w:t>
      </w:r>
      <w:r w:rsidR="006A2241" w:rsidRPr="00C759ED">
        <w:rPr>
          <w:i/>
          <w:iCs/>
        </w:rPr>
        <w:t>Corruptio</w:t>
      </w:r>
      <w:r w:rsidR="00C759ED" w:rsidRPr="00C759ED">
        <w:rPr>
          <w:i/>
          <w:iCs/>
        </w:rPr>
        <w:t>n Commission Act</w:t>
      </w:r>
      <w:r w:rsidR="006A2241" w:rsidRPr="00C759ED">
        <w:rPr>
          <w:i/>
          <w:iCs/>
        </w:rPr>
        <w:t xml:space="preserve"> </w:t>
      </w:r>
      <w:r w:rsidR="00C759ED" w:rsidRPr="00C759ED">
        <w:rPr>
          <w:i/>
          <w:iCs/>
        </w:rPr>
        <w:t>2022</w:t>
      </w:r>
      <w:r w:rsidR="001917E4">
        <w:t xml:space="preserve"> (Cth)</w:t>
      </w:r>
      <w:r w:rsidR="00C759ED">
        <w:t xml:space="preserve">. </w:t>
      </w:r>
    </w:p>
    <w:p w14:paraId="2F6CDAAC" w14:textId="52F6E979" w:rsidR="00F650A9" w:rsidRPr="007A6074" w:rsidRDefault="00E5185A" w:rsidP="009A65BD">
      <w:pPr>
        <w:pStyle w:val="ListNumber"/>
        <w:tabs>
          <w:tab w:val="clear" w:pos="360"/>
        </w:tabs>
        <w:ind w:left="1094" w:hanging="737"/>
        <w:rPr>
          <w:rFonts w:cs="Open Sans"/>
        </w:rPr>
      </w:pPr>
      <w:r>
        <w:t>The</w:t>
      </w:r>
      <w:r w:rsidR="000839DA">
        <w:t xml:space="preserve"> Commission </w:t>
      </w:r>
      <w:r w:rsidR="009A65BD">
        <w:t>reiterate</w:t>
      </w:r>
      <w:r w:rsidR="00017CAA">
        <w:t>s</w:t>
      </w:r>
      <w:r w:rsidR="00C61A6A">
        <w:t xml:space="preserve"> that</w:t>
      </w:r>
      <w:r w:rsidR="00E072D1">
        <w:t xml:space="preserve"> </w:t>
      </w:r>
      <w:r w:rsidR="009F136F">
        <w:t xml:space="preserve">‘[t]he </w:t>
      </w:r>
      <w:r>
        <w:t>policy rationale for granting immunities for making a public interest disclosure is that the public benefit of being able to investigate allegations of serious wrongdoing is more important than adherence to a secrecy norm that would have otherwise prevented that alleged wrongdoing from being investigated</w:t>
      </w:r>
      <w:r w:rsidR="009F136F">
        <w:t>’</w:t>
      </w:r>
      <w:r>
        <w:t>.</w:t>
      </w:r>
      <w:r w:rsidR="0095383A">
        <w:rPr>
          <w:rStyle w:val="EndnoteReference"/>
        </w:rPr>
        <w:endnoteReference w:id="50"/>
      </w:r>
    </w:p>
    <w:p w14:paraId="41C43E9D" w14:textId="77777777" w:rsidR="00B174DC" w:rsidRPr="009A65BD" w:rsidRDefault="00B174DC" w:rsidP="00B174DC">
      <w:pPr>
        <w:pStyle w:val="ListNumber"/>
        <w:tabs>
          <w:tab w:val="clear" w:pos="360"/>
        </w:tabs>
        <w:ind w:left="1094" w:hanging="737"/>
        <w:rPr>
          <w:rFonts w:cs="Open Sans"/>
        </w:rPr>
      </w:pPr>
      <w:r>
        <w:t xml:space="preserve">Strengthening protections for whistleblowers who make disclosures that are in the public interest gives effect to the right to freedom of expression and the public’s right to know, as established under article 19 of the ICCPR. </w:t>
      </w:r>
    </w:p>
    <w:p w14:paraId="53320E73" w14:textId="77777777" w:rsidR="00EE4067" w:rsidRDefault="002E5729" w:rsidP="004A13AE">
      <w:pPr>
        <w:pStyle w:val="ListNumber"/>
        <w:tabs>
          <w:tab w:val="clear" w:pos="360"/>
        </w:tabs>
        <w:ind w:left="1094" w:hanging="737"/>
        <w:rPr>
          <w:rFonts w:cs="Open Sans"/>
        </w:rPr>
      </w:pPr>
      <w:r>
        <w:rPr>
          <w:rFonts w:cs="Open Sans"/>
        </w:rPr>
        <w:t xml:space="preserve">The Commission </w:t>
      </w:r>
      <w:r w:rsidR="002903AF">
        <w:rPr>
          <w:rFonts w:cs="Open Sans"/>
        </w:rPr>
        <w:t xml:space="preserve">considers that a question arises as to </w:t>
      </w:r>
      <w:r w:rsidRPr="001F6513">
        <w:rPr>
          <w:rFonts w:cs="Open Sans"/>
        </w:rPr>
        <w:t xml:space="preserve">whether </w:t>
      </w:r>
      <w:r w:rsidR="00BD562B">
        <w:rPr>
          <w:rFonts w:cs="Open Sans"/>
        </w:rPr>
        <w:t>the proposed</w:t>
      </w:r>
      <w:r w:rsidR="00004C15">
        <w:rPr>
          <w:rFonts w:cs="Open Sans"/>
        </w:rPr>
        <w:t xml:space="preserve">, </w:t>
      </w:r>
      <w:r w:rsidR="00922012">
        <w:rPr>
          <w:rFonts w:cs="Open Sans"/>
        </w:rPr>
        <w:t>potentially broader</w:t>
      </w:r>
      <w:r w:rsidR="00AB36BF" w:rsidRPr="001F6513">
        <w:rPr>
          <w:rFonts w:cs="Open Sans"/>
        </w:rPr>
        <w:t xml:space="preserve"> general secrecy offence</w:t>
      </w:r>
      <w:r w:rsidR="00C81FB8">
        <w:rPr>
          <w:rFonts w:cs="Open Sans"/>
        </w:rPr>
        <w:t xml:space="preserve"> is necessa</w:t>
      </w:r>
      <w:r w:rsidR="00BD562B">
        <w:rPr>
          <w:rFonts w:cs="Open Sans"/>
        </w:rPr>
        <w:t>ry</w:t>
      </w:r>
      <w:r w:rsidR="00AB36BF" w:rsidRPr="001F6513">
        <w:rPr>
          <w:rFonts w:cs="Open Sans"/>
        </w:rPr>
        <w:t xml:space="preserve"> </w:t>
      </w:r>
      <w:r w:rsidR="001F6513">
        <w:rPr>
          <w:rFonts w:cs="Open Sans"/>
        </w:rPr>
        <w:t xml:space="preserve">to replace the </w:t>
      </w:r>
      <w:r w:rsidR="00AE12AF">
        <w:rPr>
          <w:rFonts w:cs="Open Sans"/>
        </w:rPr>
        <w:t>‘unauthorised disclosure’ of information by Commonwealth officers</w:t>
      </w:r>
      <w:r w:rsidR="00273486" w:rsidRPr="001F6513">
        <w:rPr>
          <w:rFonts w:cs="Open Sans"/>
        </w:rPr>
        <w:t xml:space="preserve"> </w:t>
      </w:r>
      <w:r w:rsidR="00AE12AF">
        <w:rPr>
          <w:rFonts w:cs="Open Sans"/>
        </w:rPr>
        <w:t>in</w:t>
      </w:r>
      <w:r w:rsidR="00AB36BF" w:rsidRPr="001F6513">
        <w:rPr>
          <w:rFonts w:cs="Open Sans"/>
        </w:rPr>
        <w:t xml:space="preserve"> section 122.4</w:t>
      </w:r>
      <w:r w:rsidR="0025556B">
        <w:rPr>
          <w:rFonts w:cs="Open Sans"/>
        </w:rPr>
        <w:t>,</w:t>
      </w:r>
      <w:r w:rsidR="00EE2613">
        <w:rPr>
          <w:rFonts w:cs="Open Sans"/>
        </w:rPr>
        <w:t xml:space="preserve"> </w:t>
      </w:r>
      <w:r w:rsidR="00004C15">
        <w:rPr>
          <w:rFonts w:cs="Open Sans"/>
        </w:rPr>
        <w:t>noting</w:t>
      </w:r>
      <w:r w:rsidR="001D75AB">
        <w:rPr>
          <w:rFonts w:cs="Open Sans"/>
        </w:rPr>
        <w:t xml:space="preserve"> the ALRC’s </w:t>
      </w:r>
      <w:r w:rsidR="008D0E9C">
        <w:rPr>
          <w:rFonts w:cs="Open Sans"/>
        </w:rPr>
        <w:t xml:space="preserve">recommendation that </w:t>
      </w:r>
      <w:r w:rsidR="00C07FEF">
        <w:rPr>
          <w:rFonts w:cs="Open Sans"/>
        </w:rPr>
        <w:t xml:space="preserve">administrative and disciplinary frameworks were more appropriate for these kinds of disclosures. </w:t>
      </w:r>
    </w:p>
    <w:p w14:paraId="5DC643D8" w14:textId="57476164" w:rsidR="004A13AE" w:rsidRDefault="00A80C44" w:rsidP="004A13AE">
      <w:pPr>
        <w:pStyle w:val="ListNumber"/>
        <w:tabs>
          <w:tab w:val="clear" w:pos="360"/>
        </w:tabs>
        <w:ind w:left="1094" w:hanging="737"/>
        <w:rPr>
          <w:rFonts w:cs="Open Sans"/>
        </w:rPr>
      </w:pPr>
      <w:r>
        <w:rPr>
          <w:rFonts w:cs="Open Sans"/>
        </w:rPr>
        <w:t xml:space="preserve">The ALRC has also preferred the approach that ‘particular government agencies that obtain and generate sensitive information of this kind may need an agency-specific offence’. </w:t>
      </w:r>
    </w:p>
    <w:p w14:paraId="46416A00" w14:textId="722D3791" w:rsidR="00024AFE" w:rsidRPr="000A3411" w:rsidRDefault="004A13AE" w:rsidP="000A3411">
      <w:pPr>
        <w:pStyle w:val="ListNumber"/>
        <w:tabs>
          <w:tab w:val="clear" w:pos="360"/>
        </w:tabs>
        <w:ind w:left="1094" w:hanging="737"/>
        <w:rPr>
          <w:rFonts w:cs="Open Sans"/>
        </w:rPr>
      </w:pPr>
      <w:r>
        <w:rPr>
          <w:rFonts w:cs="Open Sans"/>
        </w:rPr>
        <w:t xml:space="preserve">The general secrecy offences in sections 122.1 and 122.2 </w:t>
      </w:r>
      <w:r w:rsidR="00E84494">
        <w:rPr>
          <w:rFonts w:cs="Open Sans"/>
        </w:rPr>
        <w:t xml:space="preserve">which </w:t>
      </w:r>
      <w:r>
        <w:rPr>
          <w:rFonts w:cs="Open Sans"/>
        </w:rPr>
        <w:t>already apply to Commonwealth Officers</w:t>
      </w:r>
      <w:r w:rsidR="0025556B">
        <w:rPr>
          <w:rFonts w:cs="Open Sans"/>
        </w:rPr>
        <w:t xml:space="preserve"> and their contractors</w:t>
      </w:r>
      <w:r w:rsidR="00ED1981">
        <w:rPr>
          <w:rFonts w:cs="Open Sans"/>
        </w:rPr>
        <w:t>,</w:t>
      </w:r>
      <w:r w:rsidR="00CD1BAD">
        <w:rPr>
          <w:rFonts w:cs="Open Sans"/>
        </w:rPr>
        <w:t xml:space="preserve"> </w:t>
      </w:r>
      <w:r w:rsidR="00D227FA">
        <w:rPr>
          <w:rFonts w:cs="Open Sans"/>
        </w:rPr>
        <w:t>aim to</w:t>
      </w:r>
      <w:r w:rsidR="00460DC1">
        <w:rPr>
          <w:rFonts w:cs="Open Sans"/>
        </w:rPr>
        <w:t xml:space="preserve"> </w:t>
      </w:r>
      <w:r>
        <w:rPr>
          <w:rFonts w:cs="Open Sans"/>
        </w:rPr>
        <w:t>captur</w:t>
      </w:r>
      <w:r w:rsidR="00D227FA">
        <w:rPr>
          <w:rFonts w:cs="Open Sans"/>
        </w:rPr>
        <w:t>e</w:t>
      </w:r>
      <w:r>
        <w:rPr>
          <w:rFonts w:cs="Open Sans"/>
        </w:rPr>
        <w:t xml:space="preserve"> conduct that is sufficiently serious to warrant criminal penalties</w:t>
      </w:r>
      <w:r w:rsidR="00995D39">
        <w:rPr>
          <w:rFonts w:cs="Open Sans"/>
        </w:rPr>
        <w:t>.</w:t>
      </w:r>
      <w:r w:rsidR="0039737F">
        <w:rPr>
          <w:rFonts w:cs="Open Sans"/>
        </w:rPr>
        <w:t xml:space="preserve"> </w:t>
      </w:r>
    </w:p>
    <w:p w14:paraId="7CD6F3D7" w14:textId="789B46E2" w:rsidR="00935CE2" w:rsidRPr="00721E96" w:rsidRDefault="007A6074" w:rsidP="00721E96">
      <w:pPr>
        <w:pStyle w:val="ListNumber"/>
        <w:tabs>
          <w:tab w:val="clear" w:pos="360"/>
        </w:tabs>
        <w:ind w:left="1094" w:hanging="737"/>
        <w:rPr>
          <w:rFonts w:cs="Open Sans"/>
        </w:rPr>
      </w:pPr>
      <w:r>
        <w:t xml:space="preserve">The Commission notes that there does not appear to be </w:t>
      </w:r>
      <w:r w:rsidR="00700FDC">
        <w:t xml:space="preserve">a general offence as broad as the one proposed </w:t>
      </w:r>
      <w:r w:rsidR="00755679">
        <w:t xml:space="preserve">in the </w:t>
      </w:r>
      <w:r w:rsidR="009F5002">
        <w:t xml:space="preserve">other </w:t>
      </w:r>
      <w:r w:rsidR="00755679">
        <w:t>5-Eyes countries</w:t>
      </w:r>
      <w:r w:rsidR="009F5002">
        <w:t>.</w:t>
      </w:r>
      <w:r w:rsidR="004053FE">
        <w:rPr>
          <w:rStyle w:val="EndnoteReference"/>
        </w:rPr>
        <w:endnoteReference w:id="51"/>
      </w:r>
    </w:p>
    <w:p w14:paraId="20B75050" w14:textId="32203F5F" w:rsidR="009A65BD" w:rsidRPr="009A65BD" w:rsidRDefault="009A65BD" w:rsidP="0097696A">
      <w:pPr>
        <w:pStyle w:val="ListNumber"/>
        <w:keepNext/>
        <w:numPr>
          <w:ilvl w:val="0"/>
          <w:numId w:val="0"/>
        </w:numPr>
        <w:ind w:left="1094"/>
        <w:rPr>
          <w:b/>
          <w:bCs/>
        </w:rPr>
      </w:pPr>
      <w:r w:rsidRPr="009A65BD">
        <w:rPr>
          <w:b/>
          <w:bCs/>
        </w:rPr>
        <w:t xml:space="preserve">Recommendation </w:t>
      </w:r>
      <w:r w:rsidR="007630FB">
        <w:rPr>
          <w:b/>
          <w:bCs/>
        </w:rPr>
        <w:t>8</w:t>
      </w:r>
    </w:p>
    <w:p w14:paraId="4F0075F3" w14:textId="4937E108" w:rsidR="00BE278D" w:rsidRDefault="00892FC0" w:rsidP="009A65BD">
      <w:pPr>
        <w:pStyle w:val="ListNumber"/>
        <w:numPr>
          <w:ilvl w:val="0"/>
          <w:numId w:val="0"/>
        </w:numPr>
        <w:ind w:left="1094"/>
        <w:rPr>
          <w:rFonts w:cs="Open Sans"/>
        </w:rPr>
      </w:pPr>
      <w:r>
        <w:rPr>
          <w:rFonts w:cs="Open Sans"/>
        </w:rPr>
        <w:t xml:space="preserve">The Commission considers the proposed new general secrecy offence </w:t>
      </w:r>
      <w:r w:rsidR="007D0A0C">
        <w:rPr>
          <w:rFonts w:cs="Open Sans"/>
        </w:rPr>
        <w:t>which target</w:t>
      </w:r>
      <w:r w:rsidR="00A1308D">
        <w:rPr>
          <w:rFonts w:cs="Open Sans"/>
        </w:rPr>
        <w:t>s</w:t>
      </w:r>
      <w:r w:rsidR="007D0A0C">
        <w:rPr>
          <w:rFonts w:cs="Open Sans"/>
        </w:rPr>
        <w:t xml:space="preserve"> </w:t>
      </w:r>
      <w:r w:rsidR="00A061E7">
        <w:rPr>
          <w:rFonts w:cs="Open Sans"/>
        </w:rPr>
        <w:t xml:space="preserve">‘unauthorised disclosures’ of information by Commonwealth officers </w:t>
      </w:r>
      <w:r w:rsidR="001159E4">
        <w:rPr>
          <w:rFonts w:cs="Open Sans"/>
        </w:rPr>
        <w:t xml:space="preserve">is </w:t>
      </w:r>
      <w:r w:rsidR="004A7192">
        <w:rPr>
          <w:rFonts w:cs="Open Sans"/>
        </w:rPr>
        <w:t>un</w:t>
      </w:r>
      <w:r w:rsidR="006C0F1A">
        <w:rPr>
          <w:rFonts w:cs="Open Sans"/>
        </w:rPr>
        <w:t>necessary</w:t>
      </w:r>
      <w:r w:rsidR="001159E4">
        <w:rPr>
          <w:rFonts w:cs="Open Sans"/>
        </w:rPr>
        <w:t xml:space="preserve"> </w:t>
      </w:r>
      <w:r w:rsidR="00A6610F">
        <w:rPr>
          <w:rFonts w:cs="Open Sans"/>
        </w:rPr>
        <w:t>and</w:t>
      </w:r>
      <w:r w:rsidR="00EB24A6">
        <w:rPr>
          <w:rFonts w:cs="Open Sans"/>
        </w:rPr>
        <w:t xml:space="preserve"> current section 122.4 which it intends to replace,</w:t>
      </w:r>
      <w:r w:rsidR="00030A8B">
        <w:rPr>
          <w:rFonts w:cs="Open Sans"/>
        </w:rPr>
        <w:t xml:space="preserve"> should be permitted to sunset on </w:t>
      </w:r>
      <w:r w:rsidR="001159E4">
        <w:rPr>
          <w:rFonts w:cs="Open Sans"/>
        </w:rPr>
        <w:t xml:space="preserve">29 December 2024. </w:t>
      </w:r>
      <w:r w:rsidR="00323C1D">
        <w:rPr>
          <w:rFonts w:cs="Open Sans"/>
        </w:rPr>
        <w:t xml:space="preserve"> </w:t>
      </w:r>
    </w:p>
    <w:p w14:paraId="2B0E04D9" w14:textId="21D65CB8" w:rsidR="00DD7D53" w:rsidRPr="001531C8" w:rsidRDefault="00DD7D53" w:rsidP="009A65BD">
      <w:pPr>
        <w:pStyle w:val="ListNumber"/>
        <w:numPr>
          <w:ilvl w:val="0"/>
          <w:numId w:val="0"/>
        </w:numPr>
        <w:ind w:left="1094"/>
        <w:rPr>
          <w:rFonts w:cs="Open Sans"/>
          <w:b/>
          <w:bCs/>
        </w:rPr>
      </w:pPr>
      <w:r w:rsidRPr="001531C8">
        <w:rPr>
          <w:rFonts w:cs="Open Sans"/>
          <w:b/>
          <w:bCs/>
        </w:rPr>
        <w:t xml:space="preserve">Recommendation </w:t>
      </w:r>
      <w:r w:rsidR="007630FB">
        <w:rPr>
          <w:rFonts w:cs="Open Sans"/>
          <w:b/>
          <w:bCs/>
        </w:rPr>
        <w:t>9</w:t>
      </w:r>
    </w:p>
    <w:p w14:paraId="079DF1F2" w14:textId="7C2AD422" w:rsidR="009A65BD" w:rsidRPr="009A65BD" w:rsidRDefault="00DD7D53" w:rsidP="009A65BD">
      <w:pPr>
        <w:pStyle w:val="ListNumber"/>
        <w:numPr>
          <w:ilvl w:val="0"/>
          <w:numId w:val="0"/>
        </w:numPr>
        <w:ind w:left="1094"/>
        <w:rPr>
          <w:rFonts w:cs="Open Sans"/>
        </w:rPr>
      </w:pPr>
      <w:r>
        <w:rPr>
          <w:rFonts w:cs="Open Sans"/>
        </w:rPr>
        <w:t>If t</w:t>
      </w:r>
      <w:r w:rsidR="0087235B">
        <w:rPr>
          <w:rFonts w:cs="Open Sans"/>
        </w:rPr>
        <w:t>he proposed</w:t>
      </w:r>
      <w:r w:rsidR="00BB6225">
        <w:rPr>
          <w:rFonts w:cs="Open Sans"/>
        </w:rPr>
        <w:t xml:space="preserve"> new general secrecy offence </w:t>
      </w:r>
      <w:r>
        <w:rPr>
          <w:rFonts w:cs="Open Sans"/>
        </w:rPr>
        <w:t xml:space="preserve">is introduced, it </w:t>
      </w:r>
      <w:r w:rsidR="00BB6225">
        <w:rPr>
          <w:rFonts w:cs="Open Sans"/>
        </w:rPr>
        <w:t xml:space="preserve">should be </w:t>
      </w:r>
      <w:r w:rsidR="008A46FB">
        <w:rPr>
          <w:rFonts w:cs="Open Sans"/>
        </w:rPr>
        <w:t>narrow</w:t>
      </w:r>
      <w:r w:rsidR="002C39B6">
        <w:rPr>
          <w:rFonts w:cs="Open Sans"/>
        </w:rPr>
        <w:t xml:space="preserve">ed in scope to capture </w:t>
      </w:r>
      <w:r w:rsidR="00024134">
        <w:rPr>
          <w:rFonts w:cs="Open Sans"/>
        </w:rPr>
        <w:t xml:space="preserve">unauthorised disclosures </w:t>
      </w:r>
      <w:r w:rsidR="00645B29">
        <w:rPr>
          <w:rFonts w:cs="Open Sans"/>
        </w:rPr>
        <w:t>of information that</w:t>
      </w:r>
      <w:r w:rsidR="00D46585">
        <w:rPr>
          <w:rFonts w:cs="Open Sans"/>
        </w:rPr>
        <w:t xml:space="preserve"> will result in some specific, identifiable harm </w:t>
      </w:r>
      <w:r w:rsidR="006A5FB5">
        <w:rPr>
          <w:rFonts w:cs="Open Sans"/>
        </w:rPr>
        <w:t>to</w:t>
      </w:r>
      <w:r w:rsidR="00D46585">
        <w:rPr>
          <w:rFonts w:cs="Open Sans"/>
        </w:rPr>
        <w:t xml:space="preserve"> an essential public interest.  </w:t>
      </w:r>
    </w:p>
    <w:p w14:paraId="071446D3" w14:textId="64A932D9" w:rsidR="009A65BD" w:rsidRPr="0097696A" w:rsidRDefault="005F0288" w:rsidP="0097696A">
      <w:pPr>
        <w:pStyle w:val="ListNumber"/>
        <w:keepNext/>
        <w:numPr>
          <w:ilvl w:val="0"/>
          <w:numId w:val="0"/>
        </w:numPr>
        <w:ind w:left="1094"/>
        <w:rPr>
          <w:b/>
          <w:bCs/>
        </w:rPr>
      </w:pPr>
      <w:r w:rsidRPr="0097696A">
        <w:rPr>
          <w:b/>
          <w:bCs/>
        </w:rPr>
        <w:t xml:space="preserve">Recommendation </w:t>
      </w:r>
      <w:r w:rsidR="007630FB">
        <w:rPr>
          <w:b/>
          <w:bCs/>
        </w:rPr>
        <w:t>10</w:t>
      </w:r>
    </w:p>
    <w:p w14:paraId="56DC1E01" w14:textId="137FBFA7" w:rsidR="00543665" w:rsidRPr="00ED2C18" w:rsidRDefault="00B462D8" w:rsidP="00ED2C18">
      <w:pPr>
        <w:pStyle w:val="ListNumber"/>
        <w:numPr>
          <w:ilvl w:val="0"/>
          <w:numId w:val="0"/>
        </w:numPr>
        <w:ind w:left="1094"/>
        <w:rPr>
          <w:rFonts w:eastAsia="Times New Roman" w:cs="Open Sans"/>
        </w:rPr>
      </w:pPr>
      <w:r w:rsidRPr="00A85B7F">
        <w:rPr>
          <w:rFonts w:eastAsia="Times New Roman" w:cs="Open Sans"/>
        </w:rPr>
        <w:t xml:space="preserve">If </w:t>
      </w:r>
      <w:r w:rsidR="004531B1">
        <w:rPr>
          <w:rFonts w:eastAsia="Times New Roman" w:cs="Open Sans"/>
        </w:rPr>
        <w:t>the proposed</w:t>
      </w:r>
      <w:r w:rsidR="004531B1" w:rsidRPr="00A85B7F">
        <w:rPr>
          <w:rFonts w:eastAsia="Times New Roman" w:cs="Open Sans"/>
        </w:rPr>
        <w:t xml:space="preserve"> </w:t>
      </w:r>
      <w:r w:rsidR="00CF1CE6" w:rsidRPr="00A85B7F">
        <w:rPr>
          <w:rFonts w:eastAsia="Times New Roman" w:cs="Open Sans"/>
        </w:rPr>
        <w:t xml:space="preserve">new general </w:t>
      </w:r>
      <w:r w:rsidR="00041E38" w:rsidRPr="00A85B7F">
        <w:rPr>
          <w:rFonts w:eastAsia="Times New Roman" w:cs="Open Sans"/>
        </w:rPr>
        <w:t xml:space="preserve">secrecy </w:t>
      </w:r>
      <w:r w:rsidR="00CF1CE6" w:rsidRPr="00A85B7F">
        <w:rPr>
          <w:rFonts w:eastAsia="Times New Roman" w:cs="Open Sans"/>
        </w:rPr>
        <w:t xml:space="preserve">offence is introduced, </w:t>
      </w:r>
      <w:r w:rsidR="006A7EF1" w:rsidRPr="00A85B7F">
        <w:rPr>
          <w:rFonts w:eastAsia="Times New Roman" w:cs="Open Sans"/>
        </w:rPr>
        <w:t>there should be</w:t>
      </w:r>
      <w:r w:rsidR="009C5A19">
        <w:rPr>
          <w:rFonts w:eastAsia="Times New Roman" w:cs="Open Sans"/>
        </w:rPr>
        <w:t xml:space="preserve"> strengthened </w:t>
      </w:r>
      <w:r w:rsidR="00BE56E0" w:rsidRPr="00A85B7F">
        <w:rPr>
          <w:rFonts w:eastAsia="Times New Roman" w:cs="Open Sans"/>
        </w:rPr>
        <w:t>protections</w:t>
      </w:r>
      <w:r w:rsidR="00281183">
        <w:rPr>
          <w:rFonts w:eastAsia="Times New Roman" w:cs="Open Sans"/>
        </w:rPr>
        <w:t xml:space="preserve"> within the</w:t>
      </w:r>
      <w:r w:rsidR="00BE56E0" w:rsidRPr="00A85B7F">
        <w:rPr>
          <w:rFonts w:eastAsia="Times New Roman" w:cs="Open Sans"/>
        </w:rPr>
        <w:t xml:space="preserve"> existing frameworks </w:t>
      </w:r>
      <w:r w:rsidR="00012E82">
        <w:rPr>
          <w:rFonts w:eastAsia="Times New Roman" w:cs="Open Sans"/>
        </w:rPr>
        <w:t>to</w:t>
      </w:r>
      <w:r w:rsidR="00BE56E0" w:rsidRPr="00A85B7F">
        <w:rPr>
          <w:rFonts w:eastAsia="Times New Roman" w:cs="Open Sans"/>
        </w:rPr>
        <w:t xml:space="preserve"> better protect whistleblowers who </w:t>
      </w:r>
      <w:r w:rsidR="00DC0DD9" w:rsidRPr="00A85B7F">
        <w:rPr>
          <w:rFonts w:eastAsia="Times New Roman" w:cs="Open Sans"/>
        </w:rPr>
        <w:t xml:space="preserve">make disclosures </w:t>
      </w:r>
      <w:r w:rsidR="00A85B7F" w:rsidRPr="00A85B7F">
        <w:rPr>
          <w:rFonts w:eastAsia="Times New Roman" w:cs="Open Sans"/>
        </w:rPr>
        <w:t xml:space="preserve">that are in the public interest. </w:t>
      </w:r>
    </w:p>
    <w:p w14:paraId="541E9F4F" w14:textId="7D9C7515" w:rsidR="00C45A70" w:rsidRPr="00C45A70" w:rsidRDefault="005F57D2" w:rsidP="00C45A70">
      <w:pPr>
        <w:pStyle w:val="Heading1"/>
      </w:pPr>
      <w:bookmarkStart w:id="45" w:name="_Toc160780334"/>
      <w:r w:rsidRPr="005F57D2">
        <w:t>Safeguards outside the Criminal Code</w:t>
      </w:r>
      <w:bookmarkEnd w:id="45"/>
    </w:p>
    <w:p w14:paraId="58928EE5" w14:textId="102E849F" w:rsidR="00C45A70" w:rsidRPr="00DE2523" w:rsidRDefault="00E52D94" w:rsidP="001D64E4">
      <w:pPr>
        <w:pStyle w:val="ListNumber"/>
        <w:tabs>
          <w:tab w:val="clear" w:pos="360"/>
        </w:tabs>
        <w:ind w:left="1094" w:hanging="737"/>
        <w:rPr>
          <w:rFonts w:cs="Open Sans"/>
        </w:rPr>
      </w:pPr>
      <w:r>
        <w:t>S</w:t>
      </w:r>
      <w:r w:rsidR="00C45A70">
        <w:t xml:space="preserve">afeguards that exist outside of the Criminal </w:t>
      </w:r>
      <w:r w:rsidR="00D74833">
        <w:t>Code</w:t>
      </w:r>
      <w:r w:rsidR="0045784E">
        <w:t>,</w:t>
      </w:r>
      <w:r w:rsidR="00D74833">
        <w:t xml:space="preserve"> which are</w:t>
      </w:r>
      <w:r w:rsidR="00793043">
        <w:t xml:space="preserve"> </w:t>
      </w:r>
      <w:r w:rsidR="00C45A70">
        <w:t>intended to ensure any investigations and prosecutions for a suspected breach of the Criminal Code are in the public interest</w:t>
      </w:r>
      <w:r w:rsidR="0045784E">
        <w:t>, include</w:t>
      </w:r>
      <w:r w:rsidR="00C95885">
        <w:t xml:space="preserve"> the</w:t>
      </w:r>
      <w:r w:rsidR="006C41D7">
        <w:t>:</w:t>
      </w:r>
      <w:r w:rsidR="0045784E">
        <w:t xml:space="preserve"> </w:t>
      </w:r>
      <w:r w:rsidR="00844657">
        <w:t xml:space="preserve"> </w:t>
      </w:r>
    </w:p>
    <w:p w14:paraId="37942CA9" w14:textId="56130A62" w:rsidR="00FA0C73" w:rsidRPr="00FA0C73" w:rsidRDefault="00DE2523" w:rsidP="00FA0C73">
      <w:pPr>
        <w:pStyle w:val="ListNumber"/>
        <w:numPr>
          <w:ilvl w:val="0"/>
          <w:numId w:val="21"/>
        </w:numPr>
        <w:rPr>
          <w:rFonts w:cs="Open Sans"/>
        </w:rPr>
      </w:pPr>
      <w:r>
        <w:rPr>
          <w:rFonts w:cs="Open Sans"/>
        </w:rPr>
        <w:t xml:space="preserve">AFP’s </w:t>
      </w:r>
      <w:r w:rsidR="004E396F">
        <w:t>‘Operational Prioritisation Model’</w:t>
      </w:r>
      <w:r w:rsidR="00844657">
        <w:t xml:space="preserve"> </w:t>
      </w:r>
      <w:r w:rsidR="006B013A">
        <w:t>–</w:t>
      </w:r>
      <w:r w:rsidR="00844657">
        <w:t xml:space="preserve"> </w:t>
      </w:r>
      <w:r w:rsidR="006B013A">
        <w:t xml:space="preserve">informs decisions on operational priorities </w:t>
      </w:r>
      <w:r w:rsidR="00A72B7E">
        <w:t xml:space="preserve">and </w:t>
      </w:r>
      <w:r w:rsidR="00A07822">
        <w:t>requires consideration of the potential harm to individuals, the community or Australia</w:t>
      </w:r>
      <w:r w:rsidR="007F209B">
        <w:rPr>
          <w:rFonts w:cs="Open Sans"/>
        </w:rPr>
        <w:t xml:space="preserve"> </w:t>
      </w:r>
    </w:p>
    <w:p w14:paraId="211F7100" w14:textId="6039D015" w:rsidR="00C45A70" w:rsidRPr="00DB4162" w:rsidRDefault="007F209B" w:rsidP="00F014AB">
      <w:pPr>
        <w:pStyle w:val="ListNumber"/>
        <w:numPr>
          <w:ilvl w:val="0"/>
          <w:numId w:val="21"/>
        </w:numPr>
        <w:rPr>
          <w:rFonts w:cs="Open Sans"/>
        </w:rPr>
      </w:pPr>
      <w:r>
        <w:t xml:space="preserve">AFP </w:t>
      </w:r>
      <w:r w:rsidR="004E396F">
        <w:t>National Guideline on sensitive investigations</w:t>
      </w:r>
      <w:r w:rsidR="000F598D">
        <w:t xml:space="preserve"> </w:t>
      </w:r>
      <w:r w:rsidR="00374C24">
        <w:t>–</w:t>
      </w:r>
      <w:r w:rsidR="000F598D">
        <w:t xml:space="preserve"> </w:t>
      </w:r>
      <w:r w:rsidR="00374C24">
        <w:t xml:space="preserve">extends to </w:t>
      </w:r>
      <w:r w:rsidR="000F598D">
        <w:t xml:space="preserve">any investigation of a </w:t>
      </w:r>
      <w:r w:rsidR="000F598D" w:rsidRPr="00DB4162">
        <w:t xml:space="preserve">‘professional journalist or </w:t>
      </w:r>
      <w:r w:rsidR="00F82A6C" w:rsidRPr="00DB4162">
        <w:t xml:space="preserve">news media </w:t>
      </w:r>
      <w:r w:rsidR="000F598D" w:rsidRPr="00DB4162">
        <w:t>organisation’</w:t>
      </w:r>
      <w:r w:rsidR="00F014AB" w:rsidRPr="00DB4162">
        <w:t xml:space="preserve"> that is of significant interest to the Australian community</w:t>
      </w:r>
      <w:r w:rsidR="00F014AB" w:rsidRPr="00DB4162">
        <w:rPr>
          <w:rFonts w:cs="Open Sans"/>
        </w:rPr>
        <w:t>.</w:t>
      </w:r>
      <w:r w:rsidR="000F598D" w:rsidRPr="00DB4162">
        <w:t xml:space="preserve"> </w:t>
      </w:r>
      <w:r w:rsidR="000B0811" w:rsidRPr="00DB4162">
        <w:t xml:space="preserve">Provides </w:t>
      </w:r>
      <w:r w:rsidR="000F598D" w:rsidRPr="00DB4162">
        <w:t xml:space="preserve">additional scrutiny </w:t>
      </w:r>
      <w:r w:rsidR="00AE10DA">
        <w:t>through</w:t>
      </w:r>
      <w:r w:rsidR="000F598D" w:rsidRPr="00DB4162">
        <w:t xml:space="preserve"> senior staff involvement, regular review, wider consultation </w:t>
      </w:r>
      <w:r w:rsidR="00AE10DA">
        <w:t>and</w:t>
      </w:r>
      <w:r w:rsidR="008F41D5" w:rsidRPr="00DB4162">
        <w:t xml:space="preserve"> </w:t>
      </w:r>
      <w:r w:rsidR="00A903BE" w:rsidRPr="00DB4162">
        <w:t xml:space="preserve">escalation </w:t>
      </w:r>
      <w:r w:rsidR="006D5718">
        <w:t xml:space="preserve">of matters </w:t>
      </w:r>
      <w:r w:rsidR="00956CB6" w:rsidRPr="00DB4162">
        <w:t xml:space="preserve">to </w:t>
      </w:r>
      <w:r w:rsidR="00934F09" w:rsidRPr="00DB4162">
        <w:t>the Sensitive Investigations Oversight Board</w:t>
      </w:r>
      <w:r w:rsidR="008F41D5" w:rsidRPr="00DB4162">
        <w:t>.</w:t>
      </w:r>
    </w:p>
    <w:p w14:paraId="3DE371EC" w14:textId="4E60B8F9" w:rsidR="00B73413" w:rsidRPr="00DB4162" w:rsidRDefault="007E4853" w:rsidP="00AC7F83">
      <w:pPr>
        <w:pStyle w:val="ListNumber"/>
        <w:numPr>
          <w:ilvl w:val="0"/>
          <w:numId w:val="21"/>
        </w:numPr>
      </w:pPr>
      <w:r w:rsidRPr="00DB4162">
        <w:t>Ministerial Direction from the Attorney-General</w:t>
      </w:r>
      <w:r w:rsidR="00EE4F01" w:rsidRPr="00DB4162">
        <w:t xml:space="preserve"> </w:t>
      </w:r>
      <w:r w:rsidR="009E33B5" w:rsidRPr="00DB4162">
        <w:t xml:space="preserve">issued to the AFP </w:t>
      </w:r>
      <w:r w:rsidR="00EE4F01" w:rsidRPr="00DB4162">
        <w:t>–</w:t>
      </w:r>
      <w:r w:rsidR="009E33B5" w:rsidRPr="00DB4162">
        <w:t xml:space="preserve"> </w:t>
      </w:r>
      <w:r w:rsidR="00FD1ED1">
        <w:t xml:space="preserve">who </w:t>
      </w:r>
      <w:r w:rsidR="00AC7F83" w:rsidRPr="00DB4162">
        <w:t>expects</w:t>
      </w:r>
      <w:r w:rsidR="0095415B" w:rsidRPr="00DB4162">
        <w:t xml:space="preserve"> </w:t>
      </w:r>
      <w:r w:rsidR="00AC7F83" w:rsidRPr="00DB4162">
        <w:t>that</w:t>
      </w:r>
      <w:r w:rsidR="0095415B" w:rsidRPr="00DB4162">
        <w:t xml:space="preserve"> the AFP </w:t>
      </w:r>
      <w:r w:rsidR="00374C24">
        <w:t>considers</w:t>
      </w:r>
      <w:r w:rsidR="00AC7F83" w:rsidRPr="00DB4162">
        <w:t xml:space="preserve"> </w:t>
      </w:r>
      <w:r w:rsidR="00B73413" w:rsidRPr="00DB4162">
        <w:t>the importance of a free and open press</w:t>
      </w:r>
      <w:r w:rsidR="00C14C9A">
        <w:t xml:space="preserve"> and </w:t>
      </w:r>
      <w:r w:rsidR="005A49DB">
        <w:t>the</w:t>
      </w:r>
      <w:r w:rsidR="00B73413" w:rsidRPr="00DB4162">
        <w:t xml:space="preserve"> broader public interest implications before considering investigative action involving a professional journalist or news media organisation.</w:t>
      </w:r>
    </w:p>
    <w:p w14:paraId="052D7758" w14:textId="7715341A" w:rsidR="000D3244" w:rsidRPr="00262A30" w:rsidRDefault="007E4853" w:rsidP="00AC7F83">
      <w:pPr>
        <w:pStyle w:val="ListNumber"/>
        <w:tabs>
          <w:tab w:val="clear" w:pos="360"/>
        </w:tabs>
        <w:ind w:left="1094" w:hanging="737"/>
      </w:pPr>
      <w:r w:rsidRPr="00262A30">
        <w:rPr>
          <w:rFonts w:cs="Open Sans"/>
        </w:rPr>
        <w:t>The</w:t>
      </w:r>
      <w:r w:rsidR="000D3244" w:rsidRPr="00262A30">
        <w:rPr>
          <w:rFonts w:cs="Open Sans"/>
        </w:rPr>
        <w:t xml:space="preserve"> </w:t>
      </w:r>
      <w:r w:rsidR="000D3244" w:rsidRPr="00262A30">
        <w:t xml:space="preserve">‘Prosecution </w:t>
      </w:r>
      <w:r w:rsidR="000F492D">
        <w:t xml:space="preserve">Policy </w:t>
      </w:r>
      <w:r w:rsidR="000D3244" w:rsidRPr="00262A30">
        <w:t>of the Commonwealth’</w:t>
      </w:r>
      <w:r w:rsidR="00AC7F83" w:rsidRPr="00262A30">
        <w:t xml:space="preserve"> also requires that </w:t>
      </w:r>
      <w:r w:rsidR="009F0E91" w:rsidRPr="00262A30">
        <w:t xml:space="preserve">before </w:t>
      </w:r>
      <w:r w:rsidR="00366524" w:rsidRPr="00262A30">
        <w:t>the CDPP prosecute the case</w:t>
      </w:r>
      <w:r w:rsidR="009F0E91" w:rsidRPr="00262A30">
        <w:t xml:space="preserve">, </w:t>
      </w:r>
      <w:r w:rsidR="00366524" w:rsidRPr="00262A30">
        <w:t xml:space="preserve">it must be evident from the facts of the case, and all the surrounding circumstances, that the prosecution would be in the public interest. </w:t>
      </w:r>
      <w:r w:rsidR="009A0CD6">
        <w:t>T</w:t>
      </w:r>
      <w:r w:rsidR="00366524" w:rsidRPr="00262A30">
        <w:t xml:space="preserve">he CDPP considers a range of factors </w:t>
      </w:r>
      <w:r w:rsidR="009216B0">
        <w:t>i</w:t>
      </w:r>
      <w:r w:rsidR="009A0CD6" w:rsidRPr="00262A30">
        <w:t>n assessing the ‘public interest’</w:t>
      </w:r>
      <w:r w:rsidR="009A0CD6">
        <w:t xml:space="preserve">, </w:t>
      </w:r>
      <w:r w:rsidR="00366524" w:rsidRPr="00262A30">
        <w:t>including actual or potential harm</w:t>
      </w:r>
      <w:r w:rsidR="001459D6">
        <w:t>, alternatives such as</w:t>
      </w:r>
      <w:r w:rsidR="002E7B51" w:rsidRPr="00262A30">
        <w:t xml:space="preserve"> disciplinary proceedings</w:t>
      </w:r>
      <w:r w:rsidR="001459D6">
        <w:t xml:space="preserve"> and </w:t>
      </w:r>
      <w:r w:rsidR="002E7B51" w:rsidRPr="00262A30">
        <w:t>possible defences.</w:t>
      </w:r>
    </w:p>
    <w:p w14:paraId="0F59A7E6" w14:textId="2D1949E5" w:rsidR="00AB0F15" w:rsidRPr="009812B1" w:rsidRDefault="00901ED4" w:rsidP="005B65D0">
      <w:pPr>
        <w:pStyle w:val="ListNumber"/>
        <w:tabs>
          <w:tab w:val="clear" w:pos="360"/>
        </w:tabs>
        <w:ind w:left="1094" w:hanging="737"/>
        <w:rPr>
          <w:rFonts w:cs="Open Sans"/>
        </w:rPr>
      </w:pPr>
      <w:r>
        <w:t xml:space="preserve">While these policies provide </w:t>
      </w:r>
      <w:r w:rsidR="00D5465D">
        <w:t xml:space="preserve">some protection and oversight, </w:t>
      </w:r>
      <w:r w:rsidR="005C15FE" w:rsidRPr="00262A30">
        <w:rPr>
          <w:rFonts w:cs="Open Sans"/>
        </w:rPr>
        <w:t>t</w:t>
      </w:r>
      <w:r w:rsidR="00ED51BA" w:rsidRPr="00262A30">
        <w:rPr>
          <w:rFonts w:cs="Open Sans"/>
        </w:rPr>
        <w:t>he decision</w:t>
      </w:r>
      <w:r w:rsidR="00732981" w:rsidRPr="00262A30">
        <w:rPr>
          <w:rFonts w:cs="Open Sans"/>
        </w:rPr>
        <w:t xml:space="preserve">s </w:t>
      </w:r>
      <w:r w:rsidR="005C15FE" w:rsidRPr="00262A30">
        <w:rPr>
          <w:rFonts w:cs="Open Sans"/>
        </w:rPr>
        <w:t>that are made</w:t>
      </w:r>
      <w:r w:rsidR="00732981" w:rsidRPr="00262A30">
        <w:rPr>
          <w:rFonts w:cs="Open Sans"/>
        </w:rPr>
        <w:t xml:space="preserve"> </w:t>
      </w:r>
      <w:r w:rsidR="00E9225E">
        <w:rPr>
          <w:rFonts w:cs="Open Sans"/>
        </w:rPr>
        <w:t>in accordan</w:t>
      </w:r>
      <w:r w:rsidR="00554C25">
        <w:rPr>
          <w:rFonts w:cs="Open Sans"/>
        </w:rPr>
        <w:t>ce</w:t>
      </w:r>
      <w:r w:rsidR="00E9225E">
        <w:rPr>
          <w:rFonts w:cs="Open Sans"/>
        </w:rPr>
        <w:t xml:space="preserve"> </w:t>
      </w:r>
      <w:r w:rsidR="00554C25">
        <w:rPr>
          <w:rFonts w:cs="Open Sans"/>
        </w:rPr>
        <w:t>with those</w:t>
      </w:r>
      <w:r w:rsidR="006B22FD">
        <w:rPr>
          <w:rFonts w:cs="Open Sans"/>
        </w:rPr>
        <w:t xml:space="preserve"> policies</w:t>
      </w:r>
      <w:r w:rsidR="00554C25">
        <w:rPr>
          <w:rFonts w:cs="Open Sans"/>
        </w:rPr>
        <w:t xml:space="preserve">, </w:t>
      </w:r>
      <w:r w:rsidR="000C0428" w:rsidRPr="00262A30">
        <w:rPr>
          <w:rFonts w:cs="Open Sans"/>
        </w:rPr>
        <w:t>are</w:t>
      </w:r>
      <w:r w:rsidR="00ED51BA" w:rsidRPr="00262A30">
        <w:rPr>
          <w:rFonts w:cs="Open Sans"/>
        </w:rPr>
        <w:t xml:space="preserve"> not reviewable</w:t>
      </w:r>
      <w:r w:rsidR="00554C25">
        <w:rPr>
          <w:rFonts w:cs="Open Sans"/>
        </w:rPr>
        <w:t>. They</w:t>
      </w:r>
      <w:r w:rsidR="00113D69" w:rsidRPr="00262A30">
        <w:rPr>
          <w:rFonts w:cs="Open Sans"/>
        </w:rPr>
        <w:t xml:space="preserve"> can </w:t>
      </w:r>
      <w:r w:rsidR="00554C25">
        <w:rPr>
          <w:rFonts w:cs="Open Sans"/>
        </w:rPr>
        <w:t xml:space="preserve">also </w:t>
      </w:r>
      <w:r w:rsidR="00113D69" w:rsidRPr="00262A30">
        <w:rPr>
          <w:rFonts w:cs="Open Sans"/>
        </w:rPr>
        <w:t xml:space="preserve">be subject to change at any time with no broader </w:t>
      </w:r>
      <w:r w:rsidR="00113D69" w:rsidRPr="009812B1">
        <w:rPr>
          <w:rFonts w:cs="Open Sans"/>
        </w:rPr>
        <w:t>oversight</w:t>
      </w:r>
      <w:r w:rsidR="00281247">
        <w:rPr>
          <w:rFonts w:cs="Open Sans"/>
        </w:rPr>
        <w:t xml:space="preserve">. These factors </w:t>
      </w:r>
      <w:r w:rsidR="00B86533">
        <w:rPr>
          <w:rFonts w:cs="Open Sans"/>
        </w:rPr>
        <w:t xml:space="preserve">limit </w:t>
      </w:r>
      <w:r w:rsidR="00113D69" w:rsidRPr="009812B1">
        <w:rPr>
          <w:rFonts w:cs="Open Sans"/>
        </w:rPr>
        <w:t>the</w:t>
      </w:r>
      <w:r w:rsidR="00AB0F15" w:rsidRPr="009812B1">
        <w:rPr>
          <w:rFonts w:cs="Open Sans"/>
        </w:rPr>
        <w:t>ir</w:t>
      </w:r>
      <w:r w:rsidR="00FB0214" w:rsidRPr="009812B1">
        <w:rPr>
          <w:rFonts w:cs="Open Sans"/>
        </w:rPr>
        <w:t xml:space="preserve"> meaningful protection. </w:t>
      </w:r>
    </w:p>
    <w:p w14:paraId="1475AF21" w14:textId="1EF0883B" w:rsidR="00414AED" w:rsidRPr="00577CDC" w:rsidRDefault="002F0322" w:rsidP="00577CDC">
      <w:pPr>
        <w:pStyle w:val="ListNumber"/>
        <w:tabs>
          <w:tab w:val="clear" w:pos="360"/>
        </w:tabs>
        <w:ind w:left="1094" w:hanging="737"/>
        <w:rPr>
          <w:rFonts w:cs="Open Sans"/>
        </w:rPr>
      </w:pPr>
      <w:r w:rsidRPr="009812B1">
        <w:rPr>
          <w:rFonts w:cs="Open Sans"/>
        </w:rPr>
        <w:t xml:space="preserve">The Commission considers that </w:t>
      </w:r>
      <w:r w:rsidR="00BA034E" w:rsidRPr="009812B1">
        <w:rPr>
          <w:rFonts w:cs="Open Sans"/>
        </w:rPr>
        <w:t>u</w:t>
      </w:r>
      <w:r w:rsidR="00F800A4" w:rsidRPr="009812B1">
        <w:rPr>
          <w:rFonts w:cs="Open Sans"/>
        </w:rPr>
        <w:t xml:space="preserve">ltimately, </w:t>
      </w:r>
      <w:r w:rsidR="00E76EE2">
        <w:rPr>
          <w:rFonts w:cs="Open Sans"/>
        </w:rPr>
        <w:t>policies</w:t>
      </w:r>
      <w:r w:rsidR="00BA76FB">
        <w:rPr>
          <w:rFonts w:cs="Open Sans"/>
        </w:rPr>
        <w:t xml:space="preserve"> and guidelines</w:t>
      </w:r>
      <w:r w:rsidR="00F800A4" w:rsidRPr="009812B1">
        <w:rPr>
          <w:rFonts w:cs="Open Sans"/>
        </w:rPr>
        <w:t xml:space="preserve"> </w:t>
      </w:r>
      <w:r w:rsidR="00BA034E" w:rsidRPr="009812B1">
        <w:rPr>
          <w:rFonts w:cs="Open Sans"/>
        </w:rPr>
        <w:t>do not replace</w:t>
      </w:r>
      <w:r w:rsidR="005E752A" w:rsidRPr="009812B1">
        <w:rPr>
          <w:rFonts w:cs="Open Sans"/>
        </w:rPr>
        <w:t xml:space="preserve"> </w:t>
      </w:r>
      <w:r w:rsidR="00417D5F">
        <w:rPr>
          <w:rFonts w:cs="Open Sans"/>
        </w:rPr>
        <w:t xml:space="preserve">the need for </w:t>
      </w:r>
      <w:r w:rsidR="00726DCC">
        <w:rPr>
          <w:rFonts w:cs="Open Sans"/>
        </w:rPr>
        <w:t>more tightly frame</w:t>
      </w:r>
      <w:r w:rsidR="00126257">
        <w:rPr>
          <w:rFonts w:cs="Open Sans"/>
        </w:rPr>
        <w:t>d</w:t>
      </w:r>
      <w:r w:rsidR="00726DCC">
        <w:rPr>
          <w:rFonts w:cs="Open Sans"/>
        </w:rPr>
        <w:t xml:space="preserve"> </w:t>
      </w:r>
      <w:r w:rsidR="009812B1" w:rsidRPr="009812B1">
        <w:rPr>
          <w:rFonts w:cs="Open Sans"/>
          <w:shd w:val="clear" w:color="auto" w:fill="FFFFFF"/>
        </w:rPr>
        <w:t xml:space="preserve">secrecy provisions </w:t>
      </w:r>
      <w:r w:rsidR="005375E7">
        <w:rPr>
          <w:rFonts w:cs="Open Sans"/>
          <w:shd w:val="clear" w:color="auto" w:fill="FFFFFF"/>
        </w:rPr>
        <w:t>in Part</w:t>
      </w:r>
      <w:r w:rsidR="00D13104">
        <w:rPr>
          <w:rFonts w:cs="Open Sans"/>
          <w:shd w:val="clear" w:color="auto" w:fill="FFFFFF"/>
        </w:rPr>
        <w:t> </w:t>
      </w:r>
      <w:r w:rsidR="005375E7">
        <w:rPr>
          <w:rFonts w:cs="Open Sans"/>
          <w:shd w:val="clear" w:color="auto" w:fill="FFFFFF"/>
        </w:rPr>
        <w:t>5.6. of the Criminal Code</w:t>
      </w:r>
      <w:r w:rsidR="00726DCC">
        <w:rPr>
          <w:rFonts w:cs="Open Sans"/>
          <w:shd w:val="clear" w:color="auto" w:fill="FFFFFF"/>
        </w:rPr>
        <w:t>,</w:t>
      </w:r>
      <w:r w:rsidR="00EF1B9C">
        <w:rPr>
          <w:rFonts w:cs="Open Sans"/>
          <w:shd w:val="clear" w:color="auto" w:fill="FFFFFF"/>
        </w:rPr>
        <w:t xml:space="preserve"> </w:t>
      </w:r>
      <w:r w:rsidR="00440BD2">
        <w:rPr>
          <w:rFonts w:cs="Open Sans"/>
          <w:shd w:val="clear" w:color="auto" w:fill="FFFFFF"/>
        </w:rPr>
        <w:t xml:space="preserve">that are </w:t>
      </w:r>
      <w:r w:rsidR="00726DCC">
        <w:rPr>
          <w:rFonts w:cs="Open Sans"/>
          <w:shd w:val="clear" w:color="auto" w:fill="FFFFFF"/>
        </w:rPr>
        <w:t xml:space="preserve">aimed at targeting </w:t>
      </w:r>
      <w:r w:rsidR="00577CDC">
        <w:rPr>
          <w:rFonts w:cs="Open Sans"/>
          <w:shd w:val="clear" w:color="auto" w:fill="FFFFFF"/>
        </w:rPr>
        <w:t>disclosure</w:t>
      </w:r>
      <w:r w:rsidR="00726DCC">
        <w:rPr>
          <w:rFonts w:cs="Open Sans"/>
          <w:shd w:val="clear" w:color="auto" w:fill="FFFFFF"/>
        </w:rPr>
        <w:t>s</w:t>
      </w:r>
      <w:r w:rsidR="00577CDC">
        <w:rPr>
          <w:rFonts w:cs="Open Sans"/>
          <w:shd w:val="clear" w:color="auto" w:fill="FFFFFF"/>
        </w:rPr>
        <w:t xml:space="preserve"> </w:t>
      </w:r>
      <w:r w:rsidR="00440BD2">
        <w:rPr>
          <w:rFonts w:cs="Open Sans"/>
          <w:shd w:val="clear" w:color="auto" w:fill="FFFFFF"/>
        </w:rPr>
        <w:t>that harm</w:t>
      </w:r>
      <w:r w:rsidR="009812B1" w:rsidRPr="009812B1">
        <w:rPr>
          <w:rFonts w:cs="Open Sans"/>
          <w:shd w:val="clear" w:color="auto" w:fill="FFFFFF"/>
        </w:rPr>
        <w:t xml:space="preserve"> essential public interest</w:t>
      </w:r>
      <w:r w:rsidR="00440BD2">
        <w:rPr>
          <w:rFonts w:cs="Open Sans"/>
          <w:shd w:val="clear" w:color="auto" w:fill="FFFFFF"/>
        </w:rPr>
        <w:t>s</w:t>
      </w:r>
      <w:r w:rsidR="009812B1" w:rsidRPr="009812B1">
        <w:rPr>
          <w:rFonts w:cs="Open Sans"/>
          <w:shd w:val="clear" w:color="auto" w:fill="FFFFFF"/>
        </w:rPr>
        <w:t xml:space="preserve">. </w:t>
      </w:r>
    </w:p>
    <w:p w14:paraId="65AF0B95" w14:textId="77777777" w:rsidR="00293753" w:rsidRDefault="00CF1CE6" w:rsidP="005F57D2">
      <w:pPr>
        <w:pStyle w:val="Heading1"/>
        <w:rPr>
          <w:rFonts w:cs="Open Sans"/>
        </w:rPr>
      </w:pPr>
      <w:bookmarkStart w:id="46" w:name="_Toc160780335"/>
      <w:r w:rsidRPr="00DF2432">
        <w:t>Defences and other issues</w:t>
      </w:r>
      <w:bookmarkEnd w:id="46"/>
      <w:r w:rsidRPr="00DF2432">
        <w:t xml:space="preserve"> </w:t>
      </w:r>
    </w:p>
    <w:p w14:paraId="5DCA7E9C" w14:textId="7E229E30" w:rsidR="00455DBE" w:rsidRPr="00455DBE" w:rsidRDefault="00455DBE" w:rsidP="005F57D2">
      <w:pPr>
        <w:pStyle w:val="Heading2"/>
      </w:pPr>
      <w:bookmarkStart w:id="47" w:name="_Toc160780336"/>
      <w:r w:rsidRPr="00455DBE">
        <w:t>Journalists</w:t>
      </w:r>
      <w:r w:rsidR="000F6CE4">
        <w:t>’</w:t>
      </w:r>
      <w:r w:rsidRPr="00455DBE">
        <w:t xml:space="preserve"> defence</w:t>
      </w:r>
      <w:bookmarkEnd w:id="47"/>
      <w:r w:rsidRPr="00455DBE">
        <w:t xml:space="preserve"> </w:t>
      </w:r>
    </w:p>
    <w:p w14:paraId="3C2B1A8A" w14:textId="51E87482" w:rsidR="006D327F" w:rsidRDefault="00EE557B" w:rsidP="00455DBE">
      <w:pPr>
        <w:pStyle w:val="ListNumber"/>
        <w:tabs>
          <w:tab w:val="clear" w:pos="360"/>
        </w:tabs>
        <w:ind w:left="1094" w:hanging="737"/>
      </w:pPr>
      <w:r>
        <w:t xml:space="preserve">Section 122.5(6) </w:t>
      </w:r>
      <w:r w:rsidR="00A437B0">
        <w:t>provides that</w:t>
      </w:r>
      <w:r w:rsidR="0060633F">
        <w:t xml:space="preserve"> it is a defence to a prosecution for a general secrecy offence if the person communicated, removed, held or otherwise dealt with relevant information:</w:t>
      </w:r>
    </w:p>
    <w:p w14:paraId="7AABBCCA" w14:textId="77777777" w:rsidR="006D327F" w:rsidRDefault="0060633F" w:rsidP="006D327F">
      <w:pPr>
        <w:pStyle w:val="ListNumber"/>
        <w:numPr>
          <w:ilvl w:val="0"/>
          <w:numId w:val="20"/>
        </w:numPr>
      </w:pPr>
      <w:r>
        <w:t>in their capacity as a person engaged in the business of reporting news, presenting current affairs or expressing editorial or other content in news media, and</w:t>
      </w:r>
    </w:p>
    <w:p w14:paraId="2DF8AF1B" w14:textId="77777777" w:rsidR="006D327F" w:rsidRDefault="0060633F" w:rsidP="006D327F">
      <w:pPr>
        <w:pStyle w:val="ListNumber"/>
        <w:numPr>
          <w:ilvl w:val="0"/>
          <w:numId w:val="20"/>
        </w:numPr>
      </w:pPr>
      <w:r>
        <w:t xml:space="preserve">at the time, the person reasonably believed that engaging in that conduct was in the public interest. </w:t>
      </w:r>
    </w:p>
    <w:p w14:paraId="7514E61D" w14:textId="31C5AD8E" w:rsidR="00D24E9A" w:rsidRDefault="000F6CE4" w:rsidP="00D24E9A">
      <w:pPr>
        <w:pStyle w:val="ListNumber"/>
        <w:tabs>
          <w:tab w:val="clear" w:pos="360"/>
        </w:tabs>
        <w:ind w:left="1094" w:hanging="737"/>
        <w:rPr>
          <w:rFonts w:cs="Open Sans"/>
        </w:rPr>
      </w:pPr>
      <w:r>
        <w:t xml:space="preserve">The scope of the journalists’ defence </w:t>
      </w:r>
      <w:r w:rsidR="00E0229B">
        <w:t>creates uncertainty in identifying who is ‘engaged in the business of reporting news’</w:t>
      </w:r>
      <w:r w:rsidR="00F00F03">
        <w:t>.</w:t>
      </w:r>
      <w:r w:rsidR="004E1CE6">
        <w:t xml:space="preserve"> </w:t>
      </w:r>
      <w:r w:rsidR="00D34A79">
        <w:t>As noted by the Law Council of Australia</w:t>
      </w:r>
      <w:r w:rsidR="00266AFC">
        <w:t>,</w:t>
      </w:r>
      <w:r w:rsidR="00D34A79">
        <w:t xml:space="preserve"> </w:t>
      </w:r>
      <w:r w:rsidR="00266AFC">
        <w:t xml:space="preserve">‘the arbitrary definition of journalist or a person engaged in </w:t>
      </w:r>
      <w:r w:rsidR="00BC6F83">
        <w:t>“</w:t>
      </w:r>
      <w:r w:rsidR="00266AFC">
        <w:t>news media</w:t>
      </w:r>
      <w:r w:rsidR="00BC6F83">
        <w:t>”</w:t>
      </w:r>
      <w:r w:rsidR="00266AFC">
        <w:t xml:space="preserve"> is an insufficiently precise criterion to condition criminal liability and is likely to produce unjustifiable discrepancies’.</w:t>
      </w:r>
      <w:r w:rsidR="00D95729">
        <w:t xml:space="preserve"> </w:t>
      </w:r>
      <w:r w:rsidR="00387229">
        <w:t xml:space="preserve">For example: </w:t>
      </w:r>
    </w:p>
    <w:p w14:paraId="74CAF2F6" w14:textId="24FF90CD" w:rsidR="00CF1976" w:rsidRPr="00D24E9A" w:rsidRDefault="00CF1976" w:rsidP="00D24E9A">
      <w:pPr>
        <w:pStyle w:val="ListNumber"/>
        <w:numPr>
          <w:ilvl w:val="0"/>
          <w:numId w:val="0"/>
        </w:numPr>
        <w:ind w:left="1440"/>
        <w:rPr>
          <w:sz w:val="22"/>
          <w:szCs w:val="22"/>
        </w:rPr>
      </w:pPr>
      <w:r w:rsidRPr="00D24E9A">
        <w:rPr>
          <w:sz w:val="22"/>
          <w:szCs w:val="22"/>
        </w:rPr>
        <w:t>A person who supplied information (e.g. about malpractice i</w:t>
      </w:r>
      <w:r w:rsidR="00D24E9A" w:rsidRPr="00D24E9A">
        <w:rPr>
          <w:sz w:val="22"/>
          <w:szCs w:val="22"/>
        </w:rPr>
        <w:t xml:space="preserve">n </w:t>
      </w:r>
      <w:r w:rsidRPr="00D24E9A">
        <w:rPr>
          <w:sz w:val="22"/>
          <w:szCs w:val="22"/>
        </w:rPr>
        <w:t>the prosecution process) to a journalist would have no defence but the person who reported it in the news media would have a defence. The policy of punishing those who deal with such information outside the news media also requires justification.</w:t>
      </w:r>
      <w:bookmarkStart w:id="48" w:name="_ftnref160"/>
      <w:r w:rsidR="00F33A5C">
        <w:rPr>
          <w:rStyle w:val="EndnoteReference"/>
          <w:szCs w:val="22"/>
        </w:rPr>
        <w:endnoteReference w:id="52"/>
      </w:r>
      <w:bookmarkEnd w:id="48"/>
    </w:p>
    <w:p w14:paraId="31CF3B79" w14:textId="1EB040C6" w:rsidR="00CE190F" w:rsidRPr="008F016B" w:rsidRDefault="005B2BB3" w:rsidP="008F016B">
      <w:pPr>
        <w:pStyle w:val="ListNumber"/>
        <w:tabs>
          <w:tab w:val="clear" w:pos="360"/>
        </w:tabs>
        <w:ind w:left="1094" w:hanging="737"/>
        <w:rPr>
          <w:rFonts w:cs="Open Sans"/>
        </w:rPr>
      </w:pPr>
      <w:r>
        <w:t>Further, it is</w:t>
      </w:r>
      <w:r w:rsidR="00D95729">
        <w:t xml:space="preserve"> unclear whether </w:t>
      </w:r>
      <w:r w:rsidR="00EE424A">
        <w:t xml:space="preserve">the defence applies </w:t>
      </w:r>
      <w:r w:rsidR="00BA567C">
        <w:t xml:space="preserve">more broadly to other persons </w:t>
      </w:r>
      <w:r w:rsidR="00003A64">
        <w:t xml:space="preserve">who are </w:t>
      </w:r>
      <w:r w:rsidR="00C63AAE">
        <w:t>not strictly speaking</w:t>
      </w:r>
      <w:r w:rsidR="00003A64">
        <w:t>,</w:t>
      </w:r>
      <w:r w:rsidR="00C63AAE">
        <w:t xml:space="preserve"> in the ‘business’ of reporting news</w:t>
      </w:r>
      <w:r w:rsidR="008D4C54">
        <w:t xml:space="preserve"> </w:t>
      </w:r>
      <w:r w:rsidR="00C63AAE">
        <w:t>such as</w:t>
      </w:r>
      <w:r w:rsidR="008D4C54">
        <w:t xml:space="preserve"> ‘freelance or self-employed commentators including internet bloggers, who may be remunerated for intermitte</w:t>
      </w:r>
      <w:r w:rsidR="00E51023">
        <w:t>nt</w:t>
      </w:r>
      <w:r w:rsidR="008D4C54">
        <w:t xml:space="preserve"> reporting work</w:t>
      </w:r>
      <w:r w:rsidR="00EE424A">
        <w:t>’</w:t>
      </w:r>
      <w:r w:rsidR="008D4C54">
        <w:t>.</w:t>
      </w:r>
      <w:r w:rsidR="00A257B4">
        <w:rPr>
          <w:rStyle w:val="EndnoteReference"/>
        </w:rPr>
        <w:endnoteReference w:id="53"/>
      </w:r>
      <w:r w:rsidR="008F016B">
        <w:rPr>
          <w:rFonts w:cs="Open Sans"/>
        </w:rPr>
        <w:t xml:space="preserve"> </w:t>
      </w:r>
    </w:p>
    <w:p w14:paraId="338BC2AD" w14:textId="6AB1A7CC" w:rsidR="00A14B67" w:rsidRPr="00A14B67" w:rsidRDefault="0086435A" w:rsidP="00A14B67">
      <w:pPr>
        <w:pStyle w:val="ListNumber"/>
        <w:tabs>
          <w:tab w:val="clear" w:pos="360"/>
        </w:tabs>
        <w:ind w:left="1094" w:hanging="737"/>
        <w:rPr>
          <w:rFonts w:cs="Open Sans"/>
          <w:i/>
          <w:iCs/>
        </w:rPr>
      </w:pPr>
      <w:r>
        <w:t>Part of t</w:t>
      </w:r>
      <w:r w:rsidR="00383B79">
        <w:t>he</w:t>
      </w:r>
      <w:r w:rsidR="00996332">
        <w:t xml:space="preserve"> difficult</w:t>
      </w:r>
      <w:r w:rsidR="00030090">
        <w:t>y is that the term</w:t>
      </w:r>
      <w:r w:rsidR="002E49A3">
        <w:t xml:space="preserve"> </w:t>
      </w:r>
      <w:r w:rsidR="00030090">
        <w:t>‘</w:t>
      </w:r>
      <w:r w:rsidR="002E49A3">
        <w:t>public interest</w:t>
      </w:r>
      <w:r w:rsidR="001E7236">
        <w:t>’</w:t>
      </w:r>
      <w:r w:rsidR="002E49A3">
        <w:t xml:space="preserve"> is not defined</w:t>
      </w:r>
      <w:r w:rsidR="00720EC9">
        <w:t xml:space="preserve"> in the defence</w:t>
      </w:r>
      <w:r w:rsidR="006D0DFC">
        <w:t>. There are some matters that are specified</w:t>
      </w:r>
      <w:r w:rsidR="00740BFC">
        <w:t xml:space="preserve"> as </w:t>
      </w:r>
      <w:r w:rsidR="00740BFC" w:rsidRPr="00740BFC">
        <w:rPr>
          <w:i/>
          <w:iCs/>
        </w:rPr>
        <w:t>not</w:t>
      </w:r>
      <w:r w:rsidR="00740BFC">
        <w:t xml:space="preserve"> in the public interest (such as the dealing </w:t>
      </w:r>
      <w:r w:rsidR="00CE0CA4">
        <w:t xml:space="preserve">with </w:t>
      </w:r>
      <w:r w:rsidR="00740BFC">
        <w:t>or holding of information that would publish the identity of an intelligence officer, contravene witness protection laws or harm</w:t>
      </w:r>
      <w:r w:rsidR="00FD22C2">
        <w:t>/</w:t>
      </w:r>
      <w:r w:rsidR="00740BFC">
        <w:t>prejudice the health or safety of the public),</w:t>
      </w:r>
      <w:r w:rsidR="00316781">
        <w:t xml:space="preserve"> however</w:t>
      </w:r>
      <w:r w:rsidR="001944EB">
        <w:t xml:space="preserve"> no guidance is provided for factors that </w:t>
      </w:r>
      <w:r w:rsidR="00A14B67">
        <w:t>‘</w:t>
      </w:r>
      <w:r w:rsidR="002E49A3">
        <w:t>favour allowing the dealing with or holding of information</w:t>
      </w:r>
      <w:r w:rsidR="00EC0FE5">
        <w:t>’</w:t>
      </w:r>
      <w:r w:rsidR="002E49A3">
        <w:t xml:space="preserve"> in the public interest</w:t>
      </w:r>
      <w:r w:rsidR="00FD22C2">
        <w:t>:</w:t>
      </w:r>
    </w:p>
    <w:p w14:paraId="514FB265" w14:textId="06E53723" w:rsidR="002E49A3" w:rsidRPr="00187DE7" w:rsidRDefault="002E49A3" w:rsidP="00187DE7">
      <w:pPr>
        <w:pStyle w:val="ListNumber"/>
        <w:numPr>
          <w:ilvl w:val="0"/>
          <w:numId w:val="0"/>
        </w:numPr>
        <w:ind w:left="1440"/>
        <w:rPr>
          <w:rFonts w:cs="Open Sans"/>
          <w:i/>
          <w:iCs/>
          <w:sz w:val="22"/>
          <w:szCs w:val="22"/>
        </w:rPr>
      </w:pPr>
      <w:r w:rsidRPr="00187DE7">
        <w:rPr>
          <w:sz w:val="22"/>
          <w:szCs w:val="22"/>
        </w:rPr>
        <w:t xml:space="preserve">The determination will therefore rely on judicial interpretation under the common law. In the absence of factors or criteria which suggests what may amount to the public interest, there may be uncertainty for journalists in the likely application of the defence provision. </w:t>
      </w:r>
      <w:r w:rsidR="00520008" w:rsidRPr="00520008">
        <w:rPr>
          <w:sz w:val="22"/>
          <w:szCs w:val="22"/>
        </w:rPr>
        <w:t>This may have a chilling effect on fair and accurate reporting.</w:t>
      </w:r>
      <w:r w:rsidR="00812026">
        <w:rPr>
          <w:rStyle w:val="EndnoteReference"/>
          <w:szCs w:val="22"/>
        </w:rPr>
        <w:endnoteReference w:id="54"/>
      </w:r>
    </w:p>
    <w:p w14:paraId="474B79A3" w14:textId="265B8CC0" w:rsidR="00872152" w:rsidRPr="00872152" w:rsidRDefault="00DA1188" w:rsidP="00872152">
      <w:pPr>
        <w:pStyle w:val="ListNumber"/>
        <w:tabs>
          <w:tab w:val="clear" w:pos="360"/>
        </w:tabs>
        <w:ind w:left="1094" w:hanging="737"/>
        <w:rPr>
          <w:rFonts w:cs="Open Sans"/>
          <w:i/>
          <w:iCs/>
        </w:rPr>
      </w:pPr>
      <w:r>
        <w:t xml:space="preserve">The Commission agrees with the Law Council of Australia that </w:t>
      </w:r>
      <w:r w:rsidR="00513A64">
        <w:t xml:space="preserve">there </w:t>
      </w:r>
      <w:r w:rsidR="00F64AF0">
        <w:t xml:space="preserve">would </w:t>
      </w:r>
      <w:r w:rsidR="00513A64">
        <w:t xml:space="preserve">be value </w:t>
      </w:r>
      <w:r w:rsidR="00123952">
        <w:t>in</w:t>
      </w:r>
      <w:r w:rsidR="00416B56">
        <w:t xml:space="preserve"> </w:t>
      </w:r>
      <w:r w:rsidR="0090352F">
        <w:t>amending the journalists’</w:t>
      </w:r>
      <w:r w:rsidR="007D25E6">
        <w:t xml:space="preserve"> defence</w:t>
      </w:r>
      <w:r w:rsidR="00515173">
        <w:t xml:space="preserve"> to </w:t>
      </w:r>
      <w:r w:rsidR="005637F7">
        <w:t xml:space="preserve">non-exhaustively </w:t>
      </w:r>
      <w:r w:rsidR="00515173">
        <w:t>identify factors that may be considered for the purposes of determining whether the dealing with or holding of information may be in the public interest.</w:t>
      </w:r>
      <w:r w:rsidR="007D25E6">
        <w:t xml:space="preserve"> </w:t>
      </w:r>
    </w:p>
    <w:p w14:paraId="2DAE5DF3" w14:textId="7C9663C2" w:rsidR="00E248F2" w:rsidRPr="0097696A" w:rsidRDefault="00E248F2" w:rsidP="0097696A">
      <w:pPr>
        <w:pStyle w:val="ListNumber"/>
        <w:keepNext/>
        <w:numPr>
          <w:ilvl w:val="0"/>
          <w:numId w:val="0"/>
        </w:numPr>
        <w:ind w:left="1094"/>
        <w:rPr>
          <w:b/>
          <w:bCs/>
        </w:rPr>
      </w:pPr>
      <w:r w:rsidRPr="0097696A">
        <w:rPr>
          <w:b/>
          <w:bCs/>
        </w:rPr>
        <w:t xml:space="preserve">Recommendation </w:t>
      </w:r>
      <w:r w:rsidR="002D77D9">
        <w:rPr>
          <w:b/>
          <w:bCs/>
        </w:rPr>
        <w:t>1</w:t>
      </w:r>
      <w:r w:rsidR="007630FB">
        <w:rPr>
          <w:b/>
          <w:bCs/>
        </w:rPr>
        <w:t>1</w:t>
      </w:r>
    </w:p>
    <w:p w14:paraId="1556FEB2" w14:textId="77777777" w:rsidR="00E248F2" w:rsidRDefault="00E248F2" w:rsidP="00E248F2">
      <w:pPr>
        <w:pStyle w:val="ListNumber"/>
        <w:numPr>
          <w:ilvl w:val="0"/>
          <w:numId w:val="0"/>
        </w:numPr>
        <w:ind w:left="1094"/>
      </w:pPr>
      <w:r>
        <w:t xml:space="preserve">Section 122.5(6) should be amended to clarify the scope of persons ‘engaged in the business of reporting news’ and the term ‘news media’.  </w:t>
      </w:r>
    </w:p>
    <w:p w14:paraId="4575B277" w14:textId="6D4095A6" w:rsidR="00E248F2" w:rsidRPr="00345505" w:rsidRDefault="00E248F2" w:rsidP="001D3549">
      <w:pPr>
        <w:pStyle w:val="ListNumber"/>
        <w:keepNext/>
        <w:numPr>
          <w:ilvl w:val="0"/>
          <w:numId w:val="0"/>
        </w:numPr>
        <w:ind w:left="1094"/>
        <w:rPr>
          <w:b/>
          <w:bCs/>
        </w:rPr>
      </w:pPr>
      <w:r w:rsidRPr="00345505">
        <w:rPr>
          <w:b/>
          <w:bCs/>
        </w:rPr>
        <w:t>Recommendation</w:t>
      </w:r>
      <w:r w:rsidR="002F7B1A">
        <w:rPr>
          <w:b/>
          <w:bCs/>
        </w:rPr>
        <w:t xml:space="preserve"> </w:t>
      </w:r>
      <w:r w:rsidR="002D77D9">
        <w:rPr>
          <w:b/>
          <w:bCs/>
        </w:rPr>
        <w:t>1</w:t>
      </w:r>
      <w:r w:rsidR="007630FB">
        <w:rPr>
          <w:b/>
          <w:bCs/>
        </w:rPr>
        <w:t>2</w:t>
      </w:r>
    </w:p>
    <w:p w14:paraId="67138FEA" w14:textId="75F89B38" w:rsidR="00DE505E" w:rsidRPr="00EF0042" w:rsidRDefault="00ED7F64" w:rsidP="00DF6079">
      <w:pPr>
        <w:pStyle w:val="ListNumber"/>
        <w:numPr>
          <w:ilvl w:val="0"/>
          <w:numId w:val="0"/>
        </w:numPr>
        <w:ind w:left="1094"/>
      </w:pPr>
      <w:r>
        <w:t>S</w:t>
      </w:r>
      <w:r w:rsidR="00E248F2">
        <w:t xml:space="preserve">ection 122.5(6) </w:t>
      </w:r>
      <w:r>
        <w:t xml:space="preserve">should be amended </w:t>
      </w:r>
      <w:r w:rsidR="00E248F2">
        <w:t>to identify factors that may be considered for the purposes of determining whether the dealing with or holding of information may be in the public interest.</w:t>
      </w:r>
    </w:p>
    <w:p w14:paraId="6AD1266D" w14:textId="4559EF2B" w:rsidR="003B7C90" w:rsidRPr="003B7C90" w:rsidRDefault="003B7C90" w:rsidP="005F57D2">
      <w:pPr>
        <w:pStyle w:val="Heading2"/>
        <w:rPr>
          <w:rFonts w:cs="Open Sans"/>
        </w:rPr>
      </w:pPr>
      <w:bookmarkStart w:id="49" w:name="_Toc160780337"/>
      <w:r w:rsidRPr="003B7C90">
        <w:t>Reverse onus of proof</w:t>
      </w:r>
      <w:bookmarkEnd w:id="49"/>
      <w:r w:rsidRPr="003B7C90">
        <w:t xml:space="preserve"> </w:t>
      </w:r>
    </w:p>
    <w:p w14:paraId="2E1BCCB7" w14:textId="26C6C7D3" w:rsidR="00003A33" w:rsidRPr="00003A33" w:rsidRDefault="00C974A6" w:rsidP="00003A33">
      <w:pPr>
        <w:pStyle w:val="ListNumber"/>
        <w:tabs>
          <w:tab w:val="clear" w:pos="360"/>
        </w:tabs>
        <w:ind w:left="1094" w:hanging="737"/>
        <w:rPr>
          <w:rFonts w:cs="Open Sans"/>
        </w:rPr>
      </w:pPr>
      <w:r>
        <w:rPr>
          <w:rFonts w:cs="Open Sans"/>
        </w:rPr>
        <w:t xml:space="preserve">Section </w:t>
      </w:r>
      <w:r w:rsidR="00E044D5">
        <w:rPr>
          <w:rFonts w:cs="Open Sans"/>
        </w:rPr>
        <w:t xml:space="preserve">122.5 </w:t>
      </w:r>
      <w:r w:rsidR="0011450A">
        <w:rPr>
          <w:rFonts w:cs="Open Sans"/>
        </w:rPr>
        <w:t xml:space="preserve">places the evidentiary burden on the defendant to require them to </w:t>
      </w:r>
      <w:r w:rsidR="00E55392">
        <w:t xml:space="preserve">present evidence showing that they </w:t>
      </w:r>
      <w:r w:rsidR="00DA2CF9">
        <w:t>‘</w:t>
      </w:r>
      <w:r w:rsidR="00E55392">
        <w:t>reasonably believed</w:t>
      </w:r>
      <w:r w:rsidR="00DA2CF9">
        <w:t>’</w:t>
      </w:r>
      <w:r w:rsidR="00E55392">
        <w:t xml:space="preserve"> that engaging in the conduct</w:t>
      </w:r>
      <w:r w:rsidR="00583D00">
        <w:t xml:space="preserve"> such as </w:t>
      </w:r>
      <w:r w:rsidR="00E55392">
        <w:t xml:space="preserve">publishing the information, was in the </w:t>
      </w:r>
      <w:r w:rsidR="00DA2CF9">
        <w:t>‘</w:t>
      </w:r>
      <w:r w:rsidR="00E55392">
        <w:t>public interest</w:t>
      </w:r>
      <w:r w:rsidR="00DA2CF9">
        <w:t>’</w:t>
      </w:r>
      <w:r w:rsidR="00E55392">
        <w:t xml:space="preserve">. </w:t>
      </w:r>
      <w:r w:rsidR="002F77BB">
        <w:t>Once the defendant’s evidential burden is discharged, the prosecution must prove beyond a reasonable doubt that the person did not hold or deal with the information in the public interest.</w:t>
      </w:r>
    </w:p>
    <w:p w14:paraId="386C7FE0" w14:textId="4D51DD3F" w:rsidR="00F74F10" w:rsidRPr="000F2D11" w:rsidRDefault="00D03E47" w:rsidP="000F2D11">
      <w:pPr>
        <w:pStyle w:val="ListNumber"/>
        <w:tabs>
          <w:tab w:val="clear" w:pos="360"/>
        </w:tabs>
        <w:ind w:left="1094" w:hanging="737"/>
        <w:rPr>
          <w:rFonts w:cs="Open Sans"/>
        </w:rPr>
      </w:pPr>
      <w:r>
        <w:t xml:space="preserve">The Commission acknowledges that it is a general principle of criminal law that a defendant bears the onus </w:t>
      </w:r>
      <w:r w:rsidR="00903383">
        <w:t xml:space="preserve">of </w:t>
      </w:r>
      <w:r>
        <w:t>proving a defence where the matter is peculiarly within the defendant’s knowledge.</w:t>
      </w:r>
      <w:r w:rsidR="00CB6432">
        <w:rPr>
          <w:rStyle w:val="EndnoteReference"/>
        </w:rPr>
        <w:endnoteReference w:id="55"/>
      </w:r>
      <w:r w:rsidR="008001A3">
        <w:t xml:space="preserve"> </w:t>
      </w:r>
    </w:p>
    <w:p w14:paraId="70072C2B" w14:textId="77777777" w:rsidR="00C2673E" w:rsidRPr="00581543" w:rsidRDefault="00C2673E" w:rsidP="00C2673E">
      <w:pPr>
        <w:pStyle w:val="ListNumber"/>
        <w:tabs>
          <w:tab w:val="clear" w:pos="360"/>
        </w:tabs>
        <w:ind w:left="1094" w:hanging="737"/>
        <w:rPr>
          <w:rFonts w:cs="Open Sans"/>
        </w:rPr>
      </w:pPr>
      <w:r>
        <w:rPr>
          <w:rFonts w:cs="Open Sans"/>
        </w:rPr>
        <w:t xml:space="preserve">The AGD review considered that the evidential burden ‘strikes an appropriate balance’ and that ‘journalists </w:t>
      </w:r>
      <w:r>
        <w:t>should readily be able to point to evidence that there is a reasonable possibility that their conduct was in the public interest’.</w:t>
      </w:r>
      <w:r>
        <w:rPr>
          <w:rStyle w:val="EndnoteReference"/>
        </w:rPr>
        <w:endnoteReference w:id="56"/>
      </w:r>
      <w:r>
        <w:t xml:space="preserve"> </w:t>
      </w:r>
    </w:p>
    <w:p w14:paraId="09C5D04C" w14:textId="04295965" w:rsidR="001772AB" w:rsidRPr="001772AB" w:rsidRDefault="00C2673E" w:rsidP="00150E00">
      <w:pPr>
        <w:pStyle w:val="ListNumber"/>
        <w:tabs>
          <w:tab w:val="clear" w:pos="360"/>
        </w:tabs>
        <w:ind w:left="1094" w:hanging="737"/>
        <w:rPr>
          <w:rFonts w:cs="Open Sans"/>
        </w:rPr>
      </w:pPr>
      <w:r>
        <w:t xml:space="preserve">The </w:t>
      </w:r>
      <w:r w:rsidR="00AC5621">
        <w:t>P</w:t>
      </w:r>
      <w:r w:rsidR="00714487">
        <w:t>J</w:t>
      </w:r>
      <w:r w:rsidR="00AC5621">
        <w:t>CHR</w:t>
      </w:r>
      <w:r w:rsidR="009D6BEA">
        <w:t xml:space="preserve"> </w:t>
      </w:r>
      <w:r w:rsidR="00C8556B">
        <w:t xml:space="preserve">has </w:t>
      </w:r>
      <w:r w:rsidR="00AC5621">
        <w:t>observed</w:t>
      </w:r>
      <w:r>
        <w:t xml:space="preserve"> however</w:t>
      </w:r>
      <w:r w:rsidR="001772AB">
        <w:t xml:space="preserve"> that: </w:t>
      </w:r>
    </w:p>
    <w:p w14:paraId="019F0377" w14:textId="63C2AF7D" w:rsidR="00E64FB2" w:rsidRDefault="000F2D11" w:rsidP="002D77D9">
      <w:pPr>
        <w:pStyle w:val="ListNumber"/>
        <w:numPr>
          <w:ilvl w:val="0"/>
          <w:numId w:val="0"/>
        </w:numPr>
        <w:ind w:left="1440"/>
        <w:rPr>
          <w:rFonts w:cs="Open Sans"/>
        </w:rPr>
      </w:pPr>
      <w:r w:rsidRPr="001772AB">
        <w:rPr>
          <w:sz w:val="22"/>
          <w:szCs w:val="22"/>
        </w:rPr>
        <w:t xml:space="preserve">The justification for reversing the evidential burden of proof is generally that the defendant </w:t>
      </w:r>
      <w:r w:rsidR="00375B45">
        <w:rPr>
          <w:sz w:val="22"/>
          <w:szCs w:val="22"/>
        </w:rPr>
        <w:t>‘</w:t>
      </w:r>
      <w:r w:rsidRPr="001772AB">
        <w:rPr>
          <w:sz w:val="22"/>
          <w:szCs w:val="22"/>
        </w:rPr>
        <w:t>should be readily able to point to</w:t>
      </w:r>
      <w:r w:rsidR="00375B45">
        <w:rPr>
          <w:sz w:val="22"/>
          <w:szCs w:val="22"/>
        </w:rPr>
        <w:t>’</w:t>
      </w:r>
      <w:r w:rsidRPr="001772AB">
        <w:rPr>
          <w:sz w:val="22"/>
          <w:szCs w:val="22"/>
        </w:rPr>
        <w:t xml:space="preserve"> the relevant evidence or the defendant is </w:t>
      </w:r>
      <w:r w:rsidR="00453604">
        <w:rPr>
          <w:sz w:val="22"/>
          <w:szCs w:val="22"/>
        </w:rPr>
        <w:t>‘</w:t>
      </w:r>
      <w:r w:rsidRPr="001772AB">
        <w:rPr>
          <w:sz w:val="22"/>
          <w:szCs w:val="22"/>
        </w:rPr>
        <w:t>best placed</w:t>
      </w:r>
      <w:r w:rsidR="00453604">
        <w:rPr>
          <w:sz w:val="22"/>
          <w:szCs w:val="22"/>
        </w:rPr>
        <w:t>’</w:t>
      </w:r>
      <w:r w:rsidRPr="001772AB">
        <w:rPr>
          <w:sz w:val="22"/>
          <w:szCs w:val="22"/>
        </w:rPr>
        <w:t xml:space="preserve"> to know of the relevant evidence. However, this does not appear to be sufficient to constitute a proportionate limitation on human rights. It was unclear that reversing the evidential burden is necessary as opposed to including additional elements within the offence provisions themselves.</w:t>
      </w:r>
      <w:r w:rsidR="002938CB">
        <w:rPr>
          <w:rStyle w:val="EndnoteReference"/>
          <w:szCs w:val="22"/>
        </w:rPr>
        <w:endnoteReference w:id="57"/>
      </w:r>
    </w:p>
    <w:p w14:paraId="0EE5028E" w14:textId="5A2747A9" w:rsidR="00917E1D" w:rsidRDefault="00917E1D" w:rsidP="00917E1D">
      <w:pPr>
        <w:pStyle w:val="ListNumber"/>
        <w:tabs>
          <w:tab w:val="clear" w:pos="360"/>
        </w:tabs>
        <w:ind w:left="1094" w:hanging="737"/>
        <w:rPr>
          <w:rFonts w:cs="Open Sans"/>
        </w:rPr>
      </w:pPr>
      <w:r>
        <w:t xml:space="preserve">The uncertainty of ‘public interest’ factors does not instil confidence that </w:t>
      </w:r>
      <w:r w:rsidRPr="00E31E4A">
        <w:t xml:space="preserve">a matter would be ‘peculiarly within the knowledge of the defendant’. </w:t>
      </w:r>
      <w:r w:rsidR="000B3569">
        <w:t xml:space="preserve">It does not appear that journalists </w:t>
      </w:r>
      <w:r w:rsidR="003517FF">
        <w:t xml:space="preserve">would be </w:t>
      </w:r>
      <w:r w:rsidR="00CA1A8E">
        <w:t>better placed</w:t>
      </w:r>
      <w:r w:rsidR="00333F70">
        <w:t xml:space="preserve"> than the prosecution to assess </w:t>
      </w:r>
      <w:r w:rsidR="003517FF">
        <w:t>what factors would be in the public interest</w:t>
      </w:r>
      <w:r w:rsidR="00CA1A8E">
        <w:t xml:space="preserve"> for the purposes of </w:t>
      </w:r>
      <w:r w:rsidR="00DE400E">
        <w:t xml:space="preserve">the </w:t>
      </w:r>
      <w:r w:rsidR="00C465BE">
        <w:t xml:space="preserve">defence </w:t>
      </w:r>
      <w:r w:rsidR="003F2623">
        <w:t>in section 122.5</w:t>
      </w:r>
      <w:r w:rsidR="00607CFC">
        <w:t>(6)</w:t>
      </w:r>
      <w:r w:rsidR="003517FF">
        <w:t>.</w:t>
      </w:r>
      <w:r w:rsidR="00D00AA1">
        <w:t xml:space="preserve"> </w:t>
      </w:r>
      <w:r w:rsidRPr="00E31E4A">
        <w:t>It may mean that journalists are not readily able to discharg</w:t>
      </w:r>
      <w:r>
        <w:t>e</w:t>
      </w:r>
      <w:r w:rsidRPr="00E31E4A">
        <w:t xml:space="preserve"> their evidential burden</w:t>
      </w:r>
      <w:r>
        <w:t xml:space="preserve"> and lead to a chilling effect. The reverse onus</w:t>
      </w:r>
      <w:r w:rsidRPr="00E31E4A">
        <w:rPr>
          <w:rFonts w:cs="Open Sans"/>
        </w:rPr>
        <w:t xml:space="preserve"> does not appear to be a proportionate limitation on the rights to be presumed innocent.</w:t>
      </w:r>
      <w:r w:rsidR="009369BA">
        <w:rPr>
          <w:rFonts w:cs="Open Sans"/>
        </w:rPr>
        <w:t xml:space="preserve"> </w:t>
      </w:r>
    </w:p>
    <w:p w14:paraId="41A7DA55" w14:textId="185DD7F4" w:rsidR="00931C8C" w:rsidRPr="00150E00" w:rsidRDefault="00931C8C" w:rsidP="00931C8C">
      <w:pPr>
        <w:pStyle w:val="ListNumber"/>
        <w:tabs>
          <w:tab w:val="clear" w:pos="360"/>
        </w:tabs>
        <w:ind w:left="1094" w:hanging="737"/>
        <w:rPr>
          <w:rFonts w:cs="Open Sans"/>
        </w:rPr>
      </w:pPr>
      <w:r>
        <w:t xml:space="preserve">The Commission considers that the </w:t>
      </w:r>
      <w:r w:rsidRPr="008001A3">
        <w:rPr>
          <w:rFonts w:cs="Open Sans"/>
        </w:rPr>
        <w:t xml:space="preserve">current onus on the defendant </w:t>
      </w:r>
      <w:r>
        <w:t>imposes an unreasonable burden on the freedom of expression and risks</w:t>
      </w:r>
      <w:r w:rsidRPr="009376EF">
        <w:rPr>
          <w:rFonts w:cs="Open Sans"/>
        </w:rPr>
        <w:t xml:space="preserve"> interfering with the right to be presumed innocent until proven guilty according to law as provided for in article 14(2) of the ICCPR.</w:t>
      </w:r>
      <w:r>
        <w:rPr>
          <w:rFonts w:cs="Open Sans"/>
        </w:rPr>
        <w:t xml:space="preserve"> </w:t>
      </w:r>
    </w:p>
    <w:p w14:paraId="5F7AC64D" w14:textId="41C32CFB" w:rsidR="00494573" w:rsidRDefault="00332655" w:rsidP="00494573">
      <w:pPr>
        <w:pStyle w:val="ListNumber"/>
        <w:tabs>
          <w:tab w:val="clear" w:pos="360"/>
        </w:tabs>
        <w:ind w:left="1094" w:hanging="737"/>
        <w:rPr>
          <w:rFonts w:cs="Open Sans"/>
        </w:rPr>
      </w:pPr>
      <w:r>
        <w:t xml:space="preserve">The AGD </w:t>
      </w:r>
      <w:r w:rsidR="00252C5D">
        <w:t>consider</w:t>
      </w:r>
      <w:r w:rsidR="00DA784A">
        <w:t>ed</w:t>
      </w:r>
      <w:r w:rsidR="00252C5D">
        <w:t xml:space="preserve"> that:</w:t>
      </w:r>
    </w:p>
    <w:p w14:paraId="46B85A75" w14:textId="3945E50B" w:rsidR="00494573" w:rsidRPr="00494573" w:rsidRDefault="00494573" w:rsidP="00494573">
      <w:pPr>
        <w:pStyle w:val="ListNumber"/>
        <w:numPr>
          <w:ilvl w:val="0"/>
          <w:numId w:val="0"/>
        </w:numPr>
        <w:ind w:left="1440"/>
        <w:rPr>
          <w:rFonts w:cs="Open Sans"/>
          <w:sz w:val="22"/>
          <w:szCs w:val="22"/>
        </w:rPr>
      </w:pPr>
      <w:r w:rsidRPr="00494573">
        <w:rPr>
          <w:sz w:val="22"/>
          <w:szCs w:val="22"/>
        </w:rPr>
        <w:t>If the evidential burden were reversed, it would be very difficult for the prosecution to prove beyond a reasonable doubt that a journalist’s conduct was not in the public interest, given the concept of public interest is very broad. This would undermine the ability to prosecute the general secrecy offences, and their overall deterrent effect.</w:t>
      </w:r>
      <w:r w:rsidR="008C371B">
        <w:rPr>
          <w:rStyle w:val="EndnoteReference"/>
          <w:szCs w:val="22"/>
        </w:rPr>
        <w:endnoteReference w:id="58"/>
      </w:r>
    </w:p>
    <w:p w14:paraId="050FC19D" w14:textId="6D65D7BC" w:rsidR="005116B8" w:rsidRDefault="00816E49" w:rsidP="00E76D70">
      <w:pPr>
        <w:pStyle w:val="ListNumber"/>
        <w:tabs>
          <w:tab w:val="clear" w:pos="360"/>
        </w:tabs>
        <w:ind w:left="1094" w:hanging="737"/>
        <w:rPr>
          <w:rFonts w:cs="Open Sans"/>
        </w:rPr>
      </w:pPr>
      <w:r>
        <w:rPr>
          <w:rFonts w:cs="Open Sans"/>
        </w:rPr>
        <w:t>The</w:t>
      </w:r>
      <w:r w:rsidR="00FD09AB">
        <w:rPr>
          <w:rFonts w:cs="Open Sans"/>
        </w:rPr>
        <w:t xml:space="preserve"> Commission takes the view </w:t>
      </w:r>
      <w:r w:rsidR="007D63EF">
        <w:rPr>
          <w:rFonts w:cs="Open Sans"/>
        </w:rPr>
        <w:t xml:space="preserve">however </w:t>
      </w:r>
      <w:r w:rsidR="00FD09AB">
        <w:rPr>
          <w:rFonts w:cs="Open Sans"/>
        </w:rPr>
        <w:t>that</w:t>
      </w:r>
      <w:r w:rsidR="00E40E64">
        <w:rPr>
          <w:rFonts w:cs="Open Sans"/>
        </w:rPr>
        <w:t xml:space="preserve"> this</w:t>
      </w:r>
      <w:r w:rsidR="00FD09AB">
        <w:rPr>
          <w:rFonts w:cs="Open Sans"/>
        </w:rPr>
        <w:t xml:space="preserve"> </w:t>
      </w:r>
      <w:r w:rsidR="00E40E64">
        <w:rPr>
          <w:rFonts w:cs="Open Sans"/>
        </w:rPr>
        <w:t xml:space="preserve">highlights </w:t>
      </w:r>
      <w:r w:rsidR="00DA784A">
        <w:rPr>
          <w:rFonts w:cs="Open Sans"/>
        </w:rPr>
        <w:t xml:space="preserve">the support </w:t>
      </w:r>
      <w:r w:rsidR="004E3DDF">
        <w:rPr>
          <w:rFonts w:cs="Open Sans"/>
        </w:rPr>
        <w:t xml:space="preserve">for </w:t>
      </w:r>
      <w:r w:rsidR="004F364C">
        <w:rPr>
          <w:rFonts w:cs="Open Sans"/>
        </w:rPr>
        <w:t xml:space="preserve">guidance concerning </w:t>
      </w:r>
      <w:r w:rsidR="009734EB">
        <w:rPr>
          <w:rFonts w:cs="Open Sans"/>
        </w:rPr>
        <w:t xml:space="preserve">favourable </w:t>
      </w:r>
      <w:r w:rsidR="004E3DDF">
        <w:rPr>
          <w:rFonts w:cs="Open Sans"/>
        </w:rPr>
        <w:t>public interest factors</w:t>
      </w:r>
      <w:r w:rsidR="004F364C">
        <w:rPr>
          <w:rFonts w:cs="Open Sans"/>
        </w:rPr>
        <w:t xml:space="preserve"> and that</w:t>
      </w:r>
      <w:r w:rsidR="00E9539F">
        <w:rPr>
          <w:rFonts w:cs="Open Sans"/>
        </w:rPr>
        <w:t xml:space="preserve"> </w:t>
      </w:r>
      <w:r w:rsidR="004F364C">
        <w:rPr>
          <w:rFonts w:cs="Open Sans"/>
        </w:rPr>
        <w:t>a</w:t>
      </w:r>
      <w:r w:rsidR="00E9539F">
        <w:rPr>
          <w:rFonts w:cs="Open Sans"/>
        </w:rPr>
        <w:t xml:space="preserve"> high bar </w:t>
      </w:r>
      <w:r w:rsidR="005D1FA4">
        <w:rPr>
          <w:rFonts w:cs="Open Sans"/>
        </w:rPr>
        <w:t xml:space="preserve">for </w:t>
      </w:r>
      <w:r w:rsidR="00821623">
        <w:rPr>
          <w:rFonts w:cs="Open Sans"/>
        </w:rPr>
        <w:t xml:space="preserve">the </w:t>
      </w:r>
      <w:r w:rsidR="005D1FA4">
        <w:rPr>
          <w:rFonts w:cs="Open Sans"/>
        </w:rPr>
        <w:t>prosecution</w:t>
      </w:r>
      <w:r w:rsidR="000E5737">
        <w:rPr>
          <w:rFonts w:cs="Open Sans"/>
        </w:rPr>
        <w:t xml:space="preserve"> of very serious secrecy offences</w:t>
      </w:r>
      <w:r w:rsidR="005D1FA4">
        <w:rPr>
          <w:rFonts w:cs="Open Sans"/>
        </w:rPr>
        <w:t xml:space="preserve"> is </w:t>
      </w:r>
      <w:r w:rsidR="00630FF9">
        <w:rPr>
          <w:rFonts w:cs="Open Sans"/>
        </w:rPr>
        <w:t xml:space="preserve">necessary </w:t>
      </w:r>
      <w:r w:rsidR="00821623">
        <w:rPr>
          <w:rFonts w:cs="Open Sans"/>
        </w:rPr>
        <w:t>to protect</w:t>
      </w:r>
      <w:r w:rsidR="00B64EB2">
        <w:rPr>
          <w:rFonts w:cs="Open Sans"/>
        </w:rPr>
        <w:t xml:space="preserve"> the</w:t>
      </w:r>
      <w:r w:rsidR="00E76D70">
        <w:rPr>
          <w:rFonts w:cs="Open Sans"/>
        </w:rPr>
        <w:t xml:space="preserve"> legitimate</w:t>
      </w:r>
      <w:r w:rsidR="00630FF9">
        <w:rPr>
          <w:rFonts w:cs="Open Sans"/>
        </w:rPr>
        <w:t xml:space="preserve"> </w:t>
      </w:r>
      <w:r w:rsidR="00B64EB2">
        <w:rPr>
          <w:rFonts w:cs="Open Sans"/>
        </w:rPr>
        <w:t>work of journalists</w:t>
      </w:r>
      <w:r w:rsidR="008F5107">
        <w:rPr>
          <w:rFonts w:cs="Open Sans"/>
        </w:rPr>
        <w:t xml:space="preserve"> and civil society groups. </w:t>
      </w:r>
    </w:p>
    <w:p w14:paraId="48F374B5" w14:textId="367CD9B3" w:rsidR="008B54AE" w:rsidRPr="001D3549" w:rsidRDefault="008B54AE" w:rsidP="001D3549">
      <w:pPr>
        <w:pStyle w:val="ListNumber"/>
        <w:keepNext/>
        <w:numPr>
          <w:ilvl w:val="0"/>
          <w:numId w:val="0"/>
        </w:numPr>
        <w:ind w:left="1094"/>
        <w:rPr>
          <w:b/>
          <w:bCs/>
        </w:rPr>
      </w:pPr>
      <w:r w:rsidRPr="001D3549">
        <w:rPr>
          <w:b/>
          <w:bCs/>
        </w:rPr>
        <w:t xml:space="preserve">Recommendation </w:t>
      </w:r>
      <w:r w:rsidR="002D77D9">
        <w:rPr>
          <w:b/>
          <w:bCs/>
        </w:rPr>
        <w:t>1</w:t>
      </w:r>
      <w:r w:rsidR="007630FB">
        <w:rPr>
          <w:b/>
          <w:bCs/>
        </w:rPr>
        <w:t>3</w:t>
      </w:r>
    </w:p>
    <w:p w14:paraId="485E1F26" w14:textId="6FB6AE34" w:rsidR="008B54AE" w:rsidRPr="002105DA" w:rsidRDefault="002105DA" w:rsidP="002105DA">
      <w:pPr>
        <w:pStyle w:val="ListNumber"/>
        <w:numPr>
          <w:ilvl w:val="0"/>
          <w:numId w:val="0"/>
        </w:numPr>
        <w:ind w:left="1094"/>
        <w:rPr>
          <w:rFonts w:cs="Open Sans"/>
          <w:b/>
          <w:bCs/>
        </w:rPr>
      </w:pPr>
      <w:r>
        <w:t xml:space="preserve">Section 122.5(6) should be amended to </w:t>
      </w:r>
      <w:r w:rsidR="00C04366">
        <w:t xml:space="preserve">remove the evidential </w:t>
      </w:r>
      <w:r w:rsidR="00B6507E">
        <w:t xml:space="preserve">burden on the defendant </w:t>
      </w:r>
      <w:r>
        <w:t xml:space="preserve">to establish that the disclosure </w:t>
      </w:r>
      <w:r w:rsidR="001745B1">
        <w:t>was</w:t>
      </w:r>
      <w:r>
        <w:t xml:space="preserve"> in the public interest.</w:t>
      </w:r>
    </w:p>
    <w:p w14:paraId="1C21E5B6" w14:textId="7917526A" w:rsidR="00EF0042" w:rsidRPr="00EF0042" w:rsidRDefault="00EF0042" w:rsidP="005F57D2">
      <w:pPr>
        <w:pStyle w:val="Heading2"/>
      </w:pPr>
      <w:bookmarkStart w:id="50" w:name="_Toc160780338"/>
      <w:r w:rsidRPr="00EF0042">
        <w:t>Other defences</w:t>
      </w:r>
      <w:bookmarkEnd w:id="50"/>
    </w:p>
    <w:p w14:paraId="11DC23EC" w14:textId="77777777" w:rsidR="000F3375" w:rsidRDefault="008736A5" w:rsidP="000F3375">
      <w:pPr>
        <w:pStyle w:val="ListNumber"/>
        <w:tabs>
          <w:tab w:val="clear" w:pos="360"/>
        </w:tabs>
        <w:ind w:left="1094" w:hanging="737"/>
        <w:rPr>
          <w:rFonts w:cs="Open Sans"/>
        </w:rPr>
      </w:pPr>
      <w:r>
        <w:rPr>
          <w:rFonts w:cs="Open Sans"/>
        </w:rPr>
        <w:t xml:space="preserve">Section 122.5 also sets out other defences to the general secrecy offences, including </w:t>
      </w:r>
      <w:r w:rsidR="000B74C3">
        <w:rPr>
          <w:rFonts w:cs="Open Sans"/>
        </w:rPr>
        <w:t>wher</w:t>
      </w:r>
      <w:r w:rsidR="006039B5">
        <w:rPr>
          <w:rFonts w:cs="Open Sans"/>
        </w:rPr>
        <w:t>e i</w:t>
      </w:r>
      <w:r w:rsidR="000B74C3" w:rsidRPr="006039B5">
        <w:rPr>
          <w:rFonts w:cs="Open Sans"/>
        </w:rPr>
        <w:t>nformation is communicated for the purpose of obtaining or providing legal advice</w:t>
      </w:r>
      <w:r w:rsidR="006039B5">
        <w:rPr>
          <w:rFonts w:cs="Open Sans"/>
        </w:rPr>
        <w:t xml:space="preserve">, and where </w:t>
      </w:r>
      <w:r w:rsidR="00FB0327">
        <w:t>the information is communicated to a court or tribunal</w:t>
      </w:r>
      <w:r w:rsidR="006039B5">
        <w:t>.</w:t>
      </w:r>
      <w:r w:rsidR="00FB0327">
        <w:t xml:space="preserve"> </w:t>
      </w:r>
    </w:p>
    <w:p w14:paraId="162BFDDC" w14:textId="2715996A" w:rsidR="00C51614" w:rsidRPr="00C51614" w:rsidRDefault="008E4B9E" w:rsidP="00C51614">
      <w:pPr>
        <w:pStyle w:val="ListNumber"/>
        <w:tabs>
          <w:tab w:val="clear" w:pos="360"/>
        </w:tabs>
        <w:ind w:left="1094" w:hanging="737"/>
        <w:rPr>
          <w:rFonts w:cs="Open Sans"/>
        </w:rPr>
      </w:pPr>
      <w:r>
        <w:t>The Commission agrees with t</w:t>
      </w:r>
      <w:r w:rsidR="00DC6A6C">
        <w:t xml:space="preserve">he Law Council </w:t>
      </w:r>
      <w:r>
        <w:t xml:space="preserve">of Australia’s </w:t>
      </w:r>
      <w:r w:rsidR="006A68D8">
        <w:t xml:space="preserve">recommendation that </w:t>
      </w:r>
      <w:r w:rsidR="00DC6A6C">
        <w:t>the</w:t>
      </w:r>
      <w:r w:rsidR="005B12BD">
        <w:t>se defences require</w:t>
      </w:r>
      <w:r w:rsidR="00DC6A6C">
        <w:t xml:space="preserve"> reconsideration and should be reframed as</w:t>
      </w:r>
      <w:r w:rsidR="005B12BD">
        <w:t xml:space="preserve"> exceptions in </w:t>
      </w:r>
      <w:r w:rsidR="00C51614">
        <w:t>Part 5.6</w:t>
      </w:r>
      <w:r w:rsidR="008359EE">
        <w:t>:</w:t>
      </w:r>
    </w:p>
    <w:p w14:paraId="73007752" w14:textId="639EB690" w:rsidR="008E4B9E" w:rsidRPr="002C7F80" w:rsidRDefault="00DC6A6C" w:rsidP="00C51614">
      <w:pPr>
        <w:pStyle w:val="ListNumber"/>
        <w:numPr>
          <w:ilvl w:val="0"/>
          <w:numId w:val="0"/>
        </w:numPr>
        <w:ind w:left="1440"/>
        <w:rPr>
          <w:rFonts w:cs="Open Sans"/>
          <w:sz w:val="22"/>
          <w:szCs w:val="22"/>
        </w:rPr>
      </w:pPr>
      <w:r w:rsidRPr="002C7F80">
        <w:rPr>
          <w:sz w:val="22"/>
          <w:szCs w:val="22"/>
        </w:rPr>
        <w:t>There is an important distinction between an ‘exception’, which limits the scope of conduct proscribed by a secrecy offence, and a ‘defence’, which may be relied on to excuse conduct that is prohibited by a secrecy offence.</w:t>
      </w:r>
      <w:r w:rsidR="00C51614" w:rsidRPr="002C7F80">
        <w:rPr>
          <w:sz w:val="22"/>
          <w:szCs w:val="22"/>
        </w:rPr>
        <w:t xml:space="preserve"> </w:t>
      </w:r>
      <w:r w:rsidRPr="002C7F80">
        <w:rPr>
          <w:sz w:val="22"/>
          <w:szCs w:val="22"/>
        </w:rPr>
        <w:t xml:space="preserve">Such an exception (as opposed to a defence) would be in line with other secrecy offences such as paragraph 35P(3)(e) of the ASIO Act. </w:t>
      </w:r>
      <w:r w:rsidR="002C7F80" w:rsidRPr="002C7F80">
        <w:rPr>
          <w:sz w:val="22"/>
          <w:szCs w:val="22"/>
        </w:rPr>
        <w:t xml:space="preserve">This </w:t>
      </w:r>
      <w:r w:rsidRPr="002C7F80">
        <w:rPr>
          <w:sz w:val="22"/>
          <w:szCs w:val="22"/>
        </w:rPr>
        <w:t>is particularly important given the definition of ‘causing harm to Australia’s interests’ in paragraph 121.1(c) includes ‘harm or prejudice Australia’s international relations in relation to information that was communicated in confidence’. This would potentially capture a lawyer engaged to represent a government, authority or organisation, who communicates or receives information on behalf of their client.</w:t>
      </w:r>
      <w:r w:rsidR="00F802AD">
        <w:rPr>
          <w:rStyle w:val="EndnoteReference"/>
          <w:szCs w:val="22"/>
        </w:rPr>
        <w:endnoteReference w:id="59"/>
      </w:r>
      <w:r w:rsidRPr="002C7F80">
        <w:rPr>
          <w:sz w:val="22"/>
          <w:szCs w:val="22"/>
        </w:rPr>
        <w:t xml:space="preserve"> </w:t>
      </w:r>
    </w:p>
    <w:p w14:paraId="43C18922" w14:textId="339DBE63" w:rsidR="00763EAA" w:rsidRPr="001D3549" w:rsidRDefault="00545A83" w:rsidP="001D3549">
      <w:pPr>
        <w:pStyle w:val="ListNumber"/>
        <w:keepNext/>
        <w:numPr>
          <w:ilvl w:val="0"/>
          <w:numId w:val="0"/>
        </w:numPr>
        <w:ind w:left="1094"/>
        <w:rPr>
          <w:b/>
          <w:bCs/>
        </w:rPr>
      </w:pPr>
      <w:r w:rsidRPr="008E522E">
        <w:rPr>
          <w:b/>
          <w:bCs/>
        </w:rPr>
        <w:t xml:space="preserve">Recommendation </w:t>
      </w:r>
      <w:r w:rsidR="002F7B1A">
        <w:rPr>
          <w:b/>
          <w:bCs/>
        </w:rPr>
        <w:t>1</w:t>
      </w:r>
      <w:r w:rsidR="007630FB">
        <w:rPr>
          <w:b/>
          <w:bCs/>
        </w:rPr>
        <w:t>4</w:t>
      </w:r>
    </w:p>
    <w:p w14:paraId="126BDFAF" w14:textId="41C7CA2B" w:rsidR="00763EAA" w:rsidRDefault="00597574" w:rsidP="005B65D0">
      <w:pPr>
        <w:pStyle w:val="ListNumber"/>
        <w:numPr>
          <w:ilvl w:val="0"/>
          <w:numId w:val="0"/>
        </w:numPr>
        <w:ind w:left="1094"/>
      </w:pPr>
      <w:r>
        <w:t>Section 122.5</w:t>
      </w:r>
      <w:r w:rsidR="003706AA">
        <w:t xml:space="preserve"> should be amended to include an exception for where the conduct is engaged in for the purpose of obtaining legal </w:t>
      </w:r>
      <w:r w:rsidR="007B79A2">
        <w:t xml:space="preserve">advice </w:t>
      </w:r>
      <w:r w:rsidR="00994BD9">
        <w:t xml:space="preserve">or if the disclosure was for the purposes of any legal proceedings </w:t>
      </w:r>
      <w:r w:rsidR="00F8344B">
        <w:t xml:space="preserve">concerning the offence. </w:t>
      </w:r>
    </w:p>
    <w:p w14:paraId="659F7A32" w14:textId="2108E609" w:rsidR="00293753" w:rsidRDefault="00CF1CE6" w:rsidP="00B84A2E">
      <w:pPr>
        <w:pStyle w:val="Heading2"/>
        <w:rPr>
          <w:rFonts w:cs="Open Sans"/>
        </w:rPr>
      </w:pPr>
      <w:bookmarkStart w:id="51" w:name="_Toc160780339"/>
      <w:r w:rsidRPr="00DF2432">
        <w:t xml:space="preserve">Role of </w:t>
      </w:r>
      <w:r w:rsidR="00634774">
        <w:t xml:space="preserve">the </w:t>
      </w:r>
      <w:r w:rsidRPr="00DF2432">
        <w:t>Attorney-General</w:t>
      </w:r>
      <w:bookmarkEnd w:id="51"/>
      <w:r w:rsidRPr="00DF2432">
        <w:t xml:space="preserve"> </w:t>
      </w:r>
    </w:p>
    <w:p w14:paraId="69FF2346" w14:textId="467ED2C6" w:rsidR="00CF1CE6" w:rsidRPr="00F0532F" w:rsidRDefault="00891B1A" w:rsidP="00AB5C1D">
      <w:pPr>
        <w:pStyle w:val="ListNumber"/>
        <w:tabs>
          <w:tab w:val="clear" w:pos="360"/>
        </w:tabs>
        <w:ind w:left="1094" w:hanging="737"/>
        <w:rPr>
          <w:rFonts w:cs="Open Sans"/>
        </w:rPr>
      </w:pPr>
      <w:r w:rsidRPr="00F0532F">
        <w:t xml:space="preserve">Section </w:t>
      </w:r>
      <w:r w:rsidR="00481D22" w:rsidRPr="00F0532F">
        <w:t xml:space="preserve">123.5 </w:t>
      </w:r>
      <w:r w:rsidR="00C9723A" w:rsidRPr="00F0532F">
        <w:t>requires</w:t>
      </w:r>
      <w:r w:rsidR="00481D22" w:rsidRPr="00F0532F">
        <w:t xml:space="preserve"> that the written consent</w:t>
      </w:r>
      <w:r w:rsidR="003E2F6A" w:rsidRPr="00F0532F">
        <w:t xml:space="preserve"> of the Attorney-General </w:t>
      </w:r>
      <w:r w:rsidR="006C1ED4" w:rsidRPr="00F0532F">
        <w:t>is</w:t>
      </w:r>
      <w:r w:rsidR="003E2F6A" w:rsidRPr="00F0532F">
        <w:t xml:space="preserve"> obtained before committing a person for trial for an offence against</w:t>
      </w:r>
      <w:r w:rsidR="00867839" w:rsidRPr="00F0532F">
        <w:t xml:space="preserve"> Part 5.6. </w:t>
      </w:r>
      <w:r w:rsidR="00301B0A" w:rsidRPr="00F0532F">
        <w:t>For proceedings that relate to security classified information,</w:t>
      </w:r>
      <w:r w:rsidR="00341332">
        <w:t xml:space="preserve"> </w:t>
      </w:r>
      <w:r w:rsidR="00301B0A" w:rsidRPr="00F0532F">
        <w:t>a further requirement that the Attorney-General certify the appropriateness of the security classification applies.</w:t>
      </w:r>
      <w:r w:rsidR="00E35F69">
        <w:rPr>
          <w:rStyle w:val="EndnoteReference"/>
        </w:rPr>
        <w:endnoteReference w:id="60"/>
      </w:r>
      <w:r w:rsidR="00301B0A" w:rsidRPr="00F0532F">
        <w:t xml:space="preserve"> </w:t>
      </w:r>
    </w:p>
    <w:p w14:paraId="3CDF182E" w14:textId="17EB7938" w:rsidR="00A178EF" w:rsidRPr="00F0532F" w:rsidRDefault="00B36C89" w:rsidP="00293753">
      <w:pPr>
        <w:pStyle w:val="ListNumber"/>
        <w:tabs>
          <w:tab w:val="clear" w:pos="360"/>
        </w:tabs>
        <w:ind w:left="1094" w:hanging="737"/>
        <w:rPr>
          <w:rFonts w:cs="Open Sans"/>
        </w:rPr>
      </w:pPr>
      <w:r w:rsidRPr="00F0532F">
        <w:rPr>
          <w:rFonts w:cs="Open Sans"/>
          <w:shd w:val="clear" w:color="auto" w:fill="FFFFFF"/>
        </w:rPr>
        <w:t>In considering the</w:t>
      </w:r>
      <w:r w:rsidR="00A7370E">
        <w:rPr>
          <w:rFonts w:cs="Open Sans"/>
          <w:shd w:val="clear" w:color="auto" w:fill="FFFFFF"/>
        </w:rPr>
        <w:t xml:space="preserve"> </w:t>
      </w:r>
      <w:r w:rsidRPr="00F0532F">
        <w:rPr>
          <w:rFonts w:cs="Open Sans"/>
          <w:shd w:val="clear" w:color="auto" w:fill="FFFFFF"/>
        </w:rPr>
        <w:t>EFI Bill, t</w:t>
      </w:r>
      <w:r w:rsidR="00A178EF" w:rsidRPr="00F0532F">
        <w:rPr>
          <w:rFonts w:cs="Open Sans"/>
          <w:shd w:val="clear" w:color="auto" w:fill="FFFFFF"/>
        </w:rPr>
        <w:t>he PJCIS considered that, due to the broad scope of the proposed secrecy offences and ‘the potential for highly sensitive cases to arise, including in relation to journalists and national security matters’, it was appropriate that the Bill be amended so that the Attorney-General be required to consent to any prosecution and be required to consider applicable defences.</w:t>
      </w:r>
      <w:bookmarkStart w:id="52" w:name="_ftnref97"/>
      <w:r w:rsidR="00071F73">
        <w:rPr>
          <w:rStyle w:val="EndnoteReference"/>
          <w:rFonts w:cs="Open Sans"/>
          <w:shd w:val="clear" w:color="auto" w:fill="FFFFFF"/>
        </w:rPr>
        <w:endnoteReference w:id="61"/>
      </w:r>
      <w:bookmarkEnd w:id="52"/>
      <w:r w:rsidR="006956C1" w:rsidRPr="00F0532F">
        <w:rPr>
          <w:rFonts w:cs="Open Sans"/>
        </w:rPr>
        <w:t xml:space="preserve"> </w:t>
      </w:r>
    </w:p>
    <w:p w14:paraId="16C0E500" w14:textId="21C8F896" w:rsidR="007352BF" w:rsidRPr="00E05867" w:rsidRDefault="00AA4406" w:rsidP="00E05867">
      <w:pPr>
        <w:pStyle w:val="ListNumber"/>
        <w:tabs>
          <w:tab w:val="clear" w:pos="360"/>
        </w:tabs>
        <w:ind w:left="1094" w:hanging="737"/>
        <w:rPr>
          <w:rFonts w:cs="Open Sans"/>
        </w:rPr>
      </w:pPr>
      <w:r w:rsidRPr="00F0532F">
        <w:rPr>
          <w:rFonts w:cs="Open Sans"/>
        </w:rPr>
        <w:t>While the</w:t>
      </w:r>
      <w:r w:rsidR="00BD1BB3" w:rsidRPr="00F0532F">
        <w:rPr>
          <w:rFonts w:cs="Open Sans"/>
        </w:rPr>
        <w:t xml:space="preserve"> </w:t>
      </w:r>
      <w:r w:rsidR="00135B85">
        <w:rPr>
          <w:rFonts w:cs="Open Sans"/>
        </w:rPr>
        <w:t>consent</w:t>
      </w:r>
      <w:r w:rsidR="00BD1BB3" w:rsidRPr="00F0532F">
        <w:rPr>
          <w:rFonts w:cs="Open Sans"/>
        </w:rPr>
        <w:t xml:space="preserve"> of the Attorney-General to </w:t>
      </w:r>
      <w:r w:rsidR="008F3A4A">
        <w:rPr>
          <w:rFonts w:cs="Open Sans"/>
        </w:rPr>
        <w:t>prosecute</w:t>
      </w:r>
      <w:r w:rsidR="00542B36" w:rsidRPr="00F0532F">
        <w:rPr>
          <w:rFonts w:cs="Open Sans"/>
        </w:rPr>
        <w:t xml:space="preserve"> may </w:t>
      </w:r>
      <w:r w:rsidR="00FC79E2" w:rsidRPr="00F0532F">
        <w:rPr>
          <w:rFonts w:cs="Open Sans"/>
        </w:rPr>
        <w:t xml:space="preserve">provide </w:t>
      </w:r>
      <w:r w:rsidR="007C2424" w:rsidRPr="00F0532F">
        <w:rPr>
          <w:rFonts w:cs="Open Sans"/>
        </w:rPr>
        <w:t xml:space="preserve">an </w:t>
      </w:r>
      <w:r w:rsidR="00203CFF" w:rsidRPr="00F0532F">
        <w:t>additional safeguard to protect public interest journalism</w:t>
      </w:r>
      <w:r w:rsidR="009B54BE" w:rsidRPr="00F0532F">
        <w:t>,</w:t>
      </w:r>
      <w:r w:rsidR="00C11558">
        <w:t xml:space="preserve"> that</w:t>
      </w:r>
      <w:r w:rsidR="00FD227C">
        <w:t xml:space="preserve"> </w:t>
      </w:r>
      <w:r w:rsidR="006956C1">
        <w:t>discretion rests</w:t>
      </w:r>
      <w:r w:rsidR="00FD227C">
        <w:t xml:space="preserve"> </w:t>
      </w:r>
      <w:r w:rsidR="00033069">
        <w:t>within</w:t>
      </w:r>
      <w:r w:rsidR="00FD227C">
        <w:t xml:space="preserve"> </w:t>
      </w:r>
      <w:r w:rsidR="000827B2">
        <w:t xml:space="preserve">the </w:t>
      </w:r>
      <w:r w:rsidR="00FD227C">
        <w:t xml:space="preserve">executive arm of government and </w:t>
      </w:r>
      <w:r w:rsidR="00673732" w:rsidRPr="00F0532F">
        <w:t>introduce</w:t>
      </w:r>
      <w:r w:rsidR="00F359D6">
        <w:t>s</w:t>
      </w:r>
      <w:r w:rsidR="00673732" w:rsidRPr="00F0532F">
        <w:t xml:space="preserve"> a political element to prosecutions.</w:t>
      </w:r>
      <w:r w:rsidR="00810925">
        <w:t xml:space="preserve"> </w:t>
      </w:r>
    </w:p>
    <w:p w14:paraId="684B4476" w14:textId="202203F9" w:rsidR="00111D46" w:rsidRPr="00111D46" w:rsidRDefault="006154BF" w:rsidP="00111D46">
      <w:pPr>
        <w:pStyle w:val="ListNumber"/>
        <w:tabs>
          <w:tab w:val="clear" w:pos="360"/>
        </w:tabs>
        <w:ind w:left="1094" w:hanging="737"/>
        <w:rPr>
          <w:rFonts w:cs="Open Sans"/>
        </w:rPr>
      </w:pPr>
      <w:r>
        <w:t>The Commission</w:t>
      </w:r>
      <w:r w:rsidR="008C5163">
        <w:t xml:space="preserve"> consider</w:t>
      </w:r>
      <w:r w:rsidR="00DA32C8">
        <w:t>s</w:t>
      </w:r>
      <w:r w:rsidR="00B16E9D">
        <w:t>,</w:t>
      </w:r>
      <w:r w:rsidR="008C5163">
        <w:t xml:space="preserve"> </w:t>
      </w:r>
      <w:r w:rsidR="00BD24AE">
        <w:t>however</w:t>
      </w:r>
      <w:r w:rsidR="00B16E9D">
        <w:t>,</w:t>
      </w:r>
      <w:r w:rsidR="00601F80">
        <w:t xml:space="preserve"> </w:t>
      </w:r>
      <w:r w:rsidR="00691298">
        <w:t xml:space="preserve">that </w:t>
      </w:r>
      <w:r w:rsidR="000613AE">
        <w:t xml:space="preserve">it </w:t>
      </w:r>
      <w:r w:rsidR="00AB0BFC">
        <w:t xml:space="preserve">remains </w:t>
      </w:r>
      <w:r w:rsidR="000613AE">
        <w:t xml:space="preserve">appropriate to retain the requirement </w:t>
      </w:r>
      <w:r w:rsidR="0005529D">
        <w:t>in light of the additional safeguard it provides</w:t>
      </w:r>
      <w:r w:rsidR="009032AE">
        <w:t xml:space="preserve"> </w:t>
      </w:r>
      <w:r w:rsidR="0051493C">
        <w:t xml:space="preserve">against </w:t>
      </w:r>
      <w:r w:rsidR="00902377">
        <w:t>inappropriate prosecutions.</w:t>
      </w:r>
      <w:r w:rsidR="00EA1ACB">
        <w:t xml:space="preserve"> </w:t>
      </w:r>
      <w:r w:rsidR="00A0325D">
        <w:t xml:space="preserve">The </w:t>
      </w:r>
      <w:r w:rsidR="002C5F46">
        <w:t>requirement</w:t>
      </w:r>
      <w:r w:rsidR="00337CEE">
        <w:t xml:space="preserve"> for consent</w:t>
      </w:r>
      <w:r w:rsidR="002C5F46">
        <w:t xml:space="preserve"> </w:t>
      </w:r>
      <w:r w:rsidR="00E96D0C">
        <w:t xml:space="preserve">provides an additional opportunity for scrutiny of processes, in recognition of the public interest served by journalism. </w:t>
      </w:r>
      <w:r w:rsidR="00AB0BFC">
        <w:t xml:space="preserve">The requirement </w:t>
      </w:r>
      <w:r w:rsidR="00337CEE">
        <w:t>for certification</w:t>
      </w:r>
      <w:r w:rsidR="00B16314">
        <w:t xml:space="preserve"> may also provide </w:t>
      </w:r>
      <w:r w:rsidR="009773FA">
        <w:t>‘</w:t>
      </w:r>
      <w:r w:rsidR="00B16314">
        <w:t xml:space="preserve">a </w:t>
      </w:r>
      <w:r>
        <w:t>safeguard again</w:t>
      </w:r>
      <w:r w:rsidR="00DB787F">
        <w:t>st over-classification of information and in recognition that the sensitivity of information can change over time’.</w:t>
      </w:r>
      <w:r w:rsidR="003B082A">
        <w:rPr>
          <w:rStyle w:val="EndnoteReference"/>
        </w:rPr>
        <w:endnoteReference w:id="62"/>
      </w:r>
      <w:r w:rsidR="00DB787F">
        <w:t xml:space="preserve"> </w:t>
      </w:r>
    </w:p>
    <w:p w14:paraId="57A792DB" w14:textId="09E53EF2" w:rsidR="0020055E" w:rsidRPr="00111D46" w:rsidRDefault="002A6CA4" w:rsidP="00111D46">
      <w:pPr>
        <w:pStyle w:val="ListNumber"/>
        <w:tabs>
          <w:tab w:val="clear" w:pos="360"/>
        </w:tabs>
        <w:ind w:left="1094" w:hanging="737"/>
        <w:rPr>
          <w:rFonts w:cs="Open Sans"/>
        </w:rPr>
      </w:pPr>
      <w:r>
        <w:t>The</w:t>
      </w:r>
      <w:r w:rsidR="001A6CE3">
        <w:t>se measure</w:t>
      </w:r>
      <w:r w:rsidR="003B082A">
        <w:t xml:space="preserve">s </w:t>
      </w:r>
      <w:r w:rsidR="00403257">
        <w:t xml:space="preserve">work alongside the </w:t>
      </w:r>
      <w:r w:rsidR="007352BF">
        <w:t>independence of the C</w:t>
      </w:r>
      <w:r w:rsidR="00403257">
        <w:t xml:space="preserve">DPP </w:t>
      </w:r>
      <w:r w:rsidR="00C235CC">
        <w:t>to decide</w:t>
      </w:r>
      <w:r w:rsidR="00111D46">
        <w:t xml:space="preserve"> whether </w:t>
      </w:r>
      <w:r w:rsidR="007352BF">
        <w:t>to prosecute secrecy offences under Part 5.6</w:t>
      </w:r>
      <w:r w:rsidR="000D101A">
        <w:t xml:space="preserve"> </w:t>
      </w:r>
      <w:r w:rsidR="00111D46">
        <w:t xml:space="preserve">while </w:t>
      </w:r>
      <w:r w:rsidR="003228B2">
        <w:t xml:space="preserve">also </w:t>
      </w:r>
      <w:r w:rsidR="00E64BD2">
        <w:t>promot</w:t>
      </w:r>
      <w:r w:rsidR="00111D46">
        <w:t>ing</w:t>
      </w:r>
      <w:r w:rsidR="00E64BD2">
        <w:t xml:space="preserve"> the right</w:t>
      </w:r>
      <w:r w:rsidR="000D101A">
        <w:t xml:space="preserve"> to liberty </w:t>
      </w:r>
      <w:r w:rsidR="00E64BD2">
        <w:t>in article 9(1) of the ICCPR</w:t>
      </w:r>
      <w:r w:rsidR="0080405A">
        <w:t xml:space="preserve"> </w:t>
      </w:r>
      <w:r w:rsidR="0020055E">
        <w:t>by requiring the Attorney-General to ‘consider whether the conduct was authorised and therefore whether the accused has a defence available’.</w:t>
      </w:r>
      <w:r w:rsidR="00240563">
        <w:rPr>
          <w:rStyle w:val="EndnoteReference"/>
        </w:rPr>
        <w:endnoteReference w:id="63"/>
      </w:r>
    </w:p>
    <w:p w14:paraId="46D9A6D8" w14:textId="1AB8CFF5" w:rsidR="00DF0D35" w:rsidRPr="00DF0D35" w:rsidRDefault="001A14CC" w:rsidP="00DF0D35">
      <w:pPr>
        <w:pStyle w:val="ListNumber"/>
        <w:tabs>
          <w:tab w:val="clear" w:pos="360"/>
        </w:tabs>
        <w:ind w:left="1094" w:hanging="737"/>
        <w:rPr>
          <w:rFonts w:cs="Open Sans"/>
        </w:rPr>
      </w:pPr>
      <w:r>
        <w:rPr>
          <w:rFonts w:cs="Open Sans"/>
        </w:rPr>
        <w:t>The types of</w:t>
      </w:r>
      <w:r w:rsidR="006344CE">
        <w:rPr>
          <w:rFonts w:cs="Open Sans"/>
        </w:rPr>
        <w:t xml:space="preserve"> matters </w:t>
      </w:r>
      <w:r>
        <w:rPr>
          <w:rFonts w:cs="Open Sans"/>
        </w:rPr>
        <w:t>that the</w:t>
      </w:r>
      <w:r w:rsidR="00E32098">
        <w:rPr>
          <w:rFonts w:cs="Open Sans"/>
        </w:rPr>
        <w:t xml:space="preserve"> Attorney</w:t>
      </w:r>
      <w:r w:rsidR="005137B6">
        <w:rPr>
          <w:rFonts w:cs="Open Sans"/>
        </w:rPr>
        <w:t>-General</w:t>
      </w:r>
      <w:r>
        <w:rPr>
          <w:rFonts w:cs="Open Sans"/>
        </w:rPr>
        <w:t xml:space="preserve"> should</w:t>
      </w:r>
      <w:r w:rsidR="00E32098">
        <w:rPr>
          <w:rFonts w:cs="Open Sans"/>
        </w:rPr>
        <w:t xml:space="preserve"> have regard to</w:t>
      </w:r>
      <w:r>
        <w:rPr>
          <w:rFonts w:cs="Open Sans"/>
        </w:rPr>
        <w:t xml:space="preserve"> </w:t>
      </w:r>
      <w:r w:rsidR="00F27E38">
        <w:rPr>
          <w:rFonts w:cs="Open Sans"/>
        </w:rPr>
        <w:t>in providing consent should be closely tied to the</w:t>
      </w:r>
      <w:r w:rsidR="00DF0D35">
        <w:rPr>
          <w:rFonts w:cs="Open Sans"/>
        </w:rPr>
        <w:t xml:space="preserve"> publi</w:t>
      </w:r>
      <w:r w:rsidR="005E36FC">
        <w:rPr>
          <w:rFonts w:cs="Open Sans"/>
        </w:rPr>
        <w:t>c</w:t>
      </w:r>
      <w:r w:rsidR="00DF0D35">
        <w:rPr>
          <w:rFonts w:cs="Open Sans"/>
        </w:rPr>
        <w:t xml:space="preserve"> interest in the particular matter being reported on</w:t>
      </w:r>
      <w:r w:rsidR="00F27E38">
        <w:rPr>
          <w:rFonts w:cs="Open Sans"/>
        </w:rPr>
        <w:t xml:space="preserve"> and the</w:t>
      </w:r>
      <w:r w:rsidR="00DF0D35">
        <w:rPr>
          <w:rFonts w:cs="Open Sans"/>
        </w:rPr>
        <w:t xml:space="preserve"> overall public interest in transparency </w:t>
      </w:r>
      <w:r w:rsidR="00D741CE">
        <w:rPr>
          <w:rFonts w:cs="Open Sans"/>
        </w:rPr>
        <w:t xml:space="preserve">and accountability </w:t>
      </w:r>
      <w:r w:rsidR="00DF0D35">
        <w:rPr>
          <w:rFonts w:cs="Open Sans"/>
        </w:rPr>
        <w:t>of government</w:t>
      </w:r>
      <w:r w:rsidR="00F27E38">
        <w:rPr>
          <w:rFonts w:cs="Open Sans"/>
        </w:rPr>
        <w:t xml:space="preserve">. </w:t>
      </w:r>
      <w:r w:rsidR="009074AB">
        <w:rPr>
          <w:rFonts w:cs="Open Sans"/>
        </w:rPr>
        <w:t xml:space="preserve">The AGD has </w:t>
      </w:r>
      <w:r w:rsidR="005137B6">
        <w:rPr>
          <w:rFonts w:cs="Open Sans"/>
        </w:rPr>
        <w:t xml:space="preserve">noted that for </w:t>
      </w:r>
      <w:r w:rsidR="00232C26">
        <w:rPr>
          <w:rFonts w:cs="Open Sans"/>
        </w:rPr>
        <w:t xml:space="preserve">other </w:t>
      </w:r>
      <w:r w:rsidR="005137B6">
        <w:rPr>
          <w:rFonts w:cs="Open Sans"/>
        </w:rPr>
        <w:t xml:space="preserve">offences </w:t>
      </w:r>
      <w:r w:rsidR="00232C26">
        <w:rPr>
          <w:rFonts w:cs="Open Sans"/>
        </w:rPr>
        <w:t xml:space="preserve">in the Criminal Code </w:t>
      </w:r>
      <w:r w:rsidR="005137B6">
        <w:rPr>
          <w:rFonts w:cs="Open Sans"/>
        </w:rPr>
        <w:t>that affect Australia’s internation</w:t>
      </w:r>
      <w:r w:rsidR="009723A6">
        <w:rPr>
          <w:rFonts w:cs="Open Sans"/>
        </w:rPr>
        <w:t>a</w:t>
      </w:r>
      <w:r w:rsidR="00232C26">
        <w:rPr>
          <w:rFonts w:cs="Open Sans"/>
        </w:rPr>
        <w:t>l</w:t>
      </w:r>
      <w:r w:rsidR="005137B6">
        <w:rPr>
          <w:rFonts w:cs="Open Sans"/>
        </w:rPr>
        <w:t xml:space="preserve"> relations or national security, </w:t>
      </w:r>
      <w:r w:rsidR="008B70B1">
        <w:rPr>
          <w:rFonts w:cs="Open Sans"/>
        </w:rPr>
        <w:t>the</w:t>
      </w:r>
      <w:r w:rsidR="009723A6">
        <w:rPr>
          <w:rFonts w:cs="Open Sans"/>
        </w:rPr>
        <w:t xml:space="preserve"> requirement for </w:t>
      </w:r>
      <w:r w:rsidR="008B70B1">
        <w:rPr>
          <w:rFonts w:cs="Open Sans"/>
        </w:rPr>
        <w:t xml:space="preserve">consent, ‘allows the </w:t>
      </w:r>
      <w:r w:rsidR="005137B6">
        <w:rPr>
          <w:rFonts w:cs="Open Sans"/>
        </w:rPr>
        <w:t>Attorney-General</w:t>
      </w:r>
      <w:r w:rsidR="008B70B1">
        <w:rPr>
          <w:rFonts w:cs="Open Sans"/>
        </w:rPr>
        <w:t xml:space="preserve"> </w:t>
      </w:r>
      <w:r w:rsidR="00232C26">
        <w:t>to have regard to considerations beyond those which the CDPP considers in deciding whether to prosecute, such as international law, practice and comity, international relations and other public interest considerations</w:t>
      </w:r>
      <w:r w:rsidR="00ED5DEE">
        <w:t>’</w:t>
      </w:r>
      <w:r w:rsidR="00232C26">
        <w:t>.</w:t>
      </w:r>
      <w:r w:rsidR="00ED5DEE">
        <w:rPr>
          <w:rStyle w:val="EndnoteReference"/>
        </w:rPr>
        <w:endnoteReference w:id="64"/>
      </w:r>
    </w:p>
    <w:p w14:paraId="73B489C3" w14:textId="52B19EA2" w:rsidR="0090438F" w:rsidRPr="00F20EFD" w:rsidRDefault="001C651F" w:rsidP="00F20EFD">
      <w:pPr>
        <w:pStyle w:val="ListNumber"/>
        <w:tabs>
          <w:tab w:val="clear" w:pos="360"/>
        </w:tabs>
        <w:ind w:left="1094" w:hanging="737"/>
        <w:rPr>
          <w:rFonts w:cs="Open Sans"/>
        </w:rPr>
      </w:pPr>
      <w:r w:rsidRPr="00F53F9F">
        <w:rPr>
          <w:rFonts w:cs="Open Sans"/>
          <w:shd w:val="clear" w:color="auto" w:fill="FFFFFF"/>
        </w:rPr>
        <w:t>Relevantly</w:t>
      </w:r>
      <w:r w:rsidR="00BF460E" w:rsidRPr="00F53F9F">
        <w:rPr>
          <w:rFonts w:cs="Open Sans"/>
          <w:shd w:val="clear" w:color="auto" w:fill="FFFFFF"/>
        </w:rPr>
        <w:t>,</w:t>
      </w:r>
      <w:r w:rsidRPr="00F53F9F">
        <w:rPr>
          <w:rFonts w:cs="Open Sans"/>
          <w:shd w:val="clear" w:color="auto" w:fill="FFFFFF"/>
        </w:rPr>
        <w:t xml:space="preserve"> the Commission considers that</w:t>
      </w:r>
      <w:r w:rsidR="00BF460E" w:rsidRPr="00F53F9F">
        <w:rPr>
          <w:rFonts w:cs="Open Sans"/>
          <w:shd w:val="clear" w:color="auto" w:fill="FFFFFF"/>
        </w:rPr>
        <w:t xml:space="preserve"> </w:t>
      </w:r>
      <w:r w:rsidR="00F22CB7">
        <w:rPr>
          <w:rFonts w:cs="Open Sans"/>
          <w:shd w:val="clear" w:color="auto" w:fill="FFFFFF"/>
        </w:rPr>
        <w:t>tighter</w:t>
      </w:r>
      <w:r w:rsidR="00835E04" w:rsidRPr="00F53F9F">
        <w:rPr>
          <w:rFonts w:cs="Open Sans"/>
          <w:shd w:val="clear" w:color="auto" w:fill="FFFFFF"/>
        </w:rPr>
        <w:t xml:space="preserve"> framed secrecy provisions </w:t>
      </w:r>
      <w:r w:rsidR="00C62515">
        <w:rPr>
          <w:rFonts w:cs="Open Sans"/>
          <w:shd w:val="clear" w:color="auto" w:fill="FFFFFF"/>
        </w:rPr>
        <w:t>that more</w:t>
      </w:r>
      <w:r w:rsidR="00F22CB7">
        <w:rPr>
          <w:rFonts w:cs="Open Sans"/>
          <w:shd w:val="clear" w:color="auto" w:fill="FFFFFF"/>
        </w:rPr>
        <w:t xml:space="preserve"> accurately </w:t>
      </w:r>
      <w:r w:rsidR="00835E04" w:rsidRPr="00F53F9F">
        <w:rPr>
          <w:rFonts w:cs="Open Sans"/>
          <w:shd w:val="clear" w:color="auto" w:fill="FFFFFF"/>
        </w:rPr>
        <w:t xml:space="preserve">target disclosures </w:t>
      </w:r>
      <w:r w:rsidR="00C62515">
        <w:rPr>
          <w:rFonts w:cs="Open Sans"/>
          <w:shd w:val="clear" w:color="auto" w:fill="FFFFFF"/>
        </w:rPr>
        <w:t>resulting</w:t>
      </w:r>
      <w:r w:rsidR="00864FBA" w:rsidRPr="00F53F9F">
        <w:rPr>
          <w:rFonts w:cs="Open Sans"/>
          <w:shd w:val="clear" w:color="auto" w:fill="FFFFFF"/>
        </w:rPr>
        <w:t xml:space="preserve"> in a specific harm to an essential public interest</w:t>
      </w:r>
      <w:r w:rsidR="00C62515">
        <w:rPr>
          <w:rFonts w:cs="Open Sans"/>
          <w:shd w:val="clear" w:color="auto" w:fill="FFFFFF"/>
        </w:rPr>
        <w:t>,</w:t>
      </w:r>
      <w:r w:rsidR="00864FBA" w:rsidRPr="00F53F9F">
        <w:rPr>
          <w:rFonts w:cs="Open Sans"/>
          <w:shd w:val="clear" w:color="auto" w:fill="FFFFFF"/>
        </w:rPr>
        <w:t xml:space="preserve"> </w:t>
      </w:r>
      <w:r w:rsidR="00074D77" w:rsidRPr="00F53F9F">
        <w:rPr>
          <w:rFonts w:cs="Open Sans"/>
          <w:shd w:val="clear" w:color="auto" w:fill="FFFFFF"/>
        </w:rPr>
        <w:t>is</w:t>
      </w:r>
      <w:r w:rsidR="00544981" w:rsidRPr="00F53F9F">
        <w:rPr>
          <w:rFonts w:cs="Open Sans"/>
          <w:shd w:val="clear" w:color="auto" w:fill="FFFFFF"/>
        </w:rPr>
        <w:t xml:space="preserve"> an essential precursor to protect individual rights.  </w:t>
      </w:r>
      <w:r w:rsidR="00074D77" w:rsidRPr="00F53F9F">
        <w:rPr>
          <w:rFonts w:cs="Open Sans"/>
          <w:shd w:val="clear" w:color="auto" w:fill="FFFFFF"/>
        </w:rPr>
        <w:t xml:space="preserve"> </w:t>
      </w:r>
    </w:p>
    <w:p w14:paraId="162484BB" w14:textId="77777777" w:rsidR="0090438F" w:rsidRDefault="0090438F" w:rsidP="001D07B9">
      <w:pPr>
        <w:pStyle w:val="ListNumber"/>
        <w:numPr>
          <w:ilvl w:val="0"/>
          <w:numId w:val="0"/>
        </w:numPr>
        <w:rPr>
          <w:b/>
          <w:bCs/>
          <w:sz w:val="28"/>
          <w:szCs w:val="28"/>
        </w:rPr>
      </w:pPr>
    </w:p>
    <w:p w14:paraId="585528A0" w14:textId="718F0DD5" w:rsidR="002F7B1A" w:rsidRDefault="002F7B1A" w:rsidP="001D07B9">
      <w:pPr>
        <w:pStyle w:val="ListNumber"/>
        <w:numPr>
          <w:ilvl w:val="0"/>
          <w:numId w:val="0"/>
        </w:numPr>
        <w:rPr>
          <w:b/>
          <w:bCs/>
          <w:sz w:val="28"/>
          <w:szCs w:val="28"/>
        </w:rPr>
      </w:pPr>
      <w:r>
        <w:rPr>
          <w:b/>
          <w:bCs/>
          <w:sz w:val="28"/>
          <w:szCs w:val="28"/>
        </w:rPr>
        <w:br w:type="page"/>
      </w:r>
    </w:p>
    <w:p w14:paraId="49F3D261" w14:textId="77777777" w:rsidR="002F7B1A" w:rsidRDefault="002F7B1A" w:rsidP="001D07B9">
      <w:pPr>
        <w:pStyle w:val="ListNumber"/>
        <w:numPr>
          <w:ilvl w:val="0"/>
          <w:numId w:val="0"/>
        </w:numPr>
        <w:rPr>
          <w:b/>
          <w:bCs/>
          <w:sz w:val="28"/>
          <w:szCs w:val="28"/>
        </w:rPr>
      </w:pPr>
    </w:p>
    <w:p w14:paraId="740F601C" w14:textId="3DD6A397" w:rsidR="002B2C8B" w:rsidRPr="001D07B9" w:rsidRDefault="001D07B9" w:rsidP="001D07B9">
      <w:pPr>
        <w:pStyle w:val="ListNumber"/>
        <w:numPr>
          <w:ilvl w:val="0"/>
          <w:numId w:val="0"/>
        </w:numPr>
        <w:rPr>
          <w:b/>
          <w:bCs/>
          <w:sz w:val="28"/>
          <w:szCs w:val="28"/>
        </w:rPr>
      </w:pPr>
      <w:r w:rsidRPr="005A1BFD">
        <w:rPr>
          <w:b/>
          <w:bCs/>
          <w:sz w:val="28"/>
          <w:szCs w:val="28"/>
        </w:rPr>
        <w:t>Endnotes</w:t>
      </w:r>
    </w:p>
    <w:sectPr w:rsidR="002B2C8B" w:rsidRPr="001D07B9" w:rsidSect="00202BC4">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F36B" w14:textId="77777777" w:rsidR="00202BC4" w:rsidRDefault="00202BC4" w:rsidP="00F14C6D">
      <w:r>
        <w:separator/>
      </w:r>
    </w:p>
  </w:endnote>
  <w:endnote w:type="continuationSeparator" w:id="0">
    <w:p w14:paraId="68EA9411" w14:textId="77777777" w:rsidR="00202BC4" w:rsidRDefault="00202BC4" w:rsidP="00F14C6D">
      <w:r>
        <w:continuationSeparator/>
      </w:r>
    </w:p>
  </w:endnote>
  <w:endnote w:type="continuationNotice" w:id="1">
    <w:p w14:paraId="3618D7A8" w14:textId="77777777" w:rsidR="00202BC4" w:rsidRDefault="00202BC4">
      <w:pPr>
        <w:spacing w:before="0" w:after="0"/>
      </w:pPr>
    </w:p>
  </w:endnote>
  <w:endnote w:id="2">
    <w:p w14:paraId="0BB5103F" w14:textId="117E7BCD" w:rsidR="00BD561D" w:rsidRDefault="009E1AA6" w:rsidP="00BD561D">
      <w:pPr>
        <w:pStyle w:val="EndnoteText"/>
      </w:pPr>
      <w:r>
        <w:rPr>
          <w:rStyle w:val="EndnoteReference"/>
        </w:rPr>
        <w:endnoteRef/>
      </w:r>
      <w:r>
        <w:t xml:space="preserve"> </w:t>
      </w:r>
      <w:r w:rsidR="00AC014E">
        <w:t xml:space="preserve">Australian Law Reform Commission, </w:t>
      </w:r>
      <w:r w:rsidR="00AC014E" w:rsidRPr="009B476B">
        <w:rPr>
          <w:i/>
          <w:iCs/>
        </w:rPr>
        <w:t>Secrecy Laws and Open Government in Australia</w:t>
      </w:r>
      <w:r w:rsidR="00F35C9D">
        <w:t xml:space="preserve">, </w:t>
      </w:r>
      <w:r w:rsidR="00AC014E">
        <w:t>Report No 112</w:t>
      </w:r>
      <w:r w:rsidR="0005153C">
        <w:t xml:space="preserve"> (December 2009)</w:t>
      </w:r>
      <w:r w:rsidR="00AC014E">
        <w:t xml:space="preserve"> (‘</w:t>
      </w:r>
      <w:r w:rsidR="00AC014E" w:rsidRPr="00256A93">
        <w:rPr>
          <w:i/>
          <w:iCs/>
        </w:rPr>
        <w:t>ALRC 2009 Secrecy Laws Report’</w:t>
      </w:r>
      <w:r w:rsidR="00AC014E">
        <w:t>)</w:t>
      </w:r>
      <w:r w:rsidR="00355EA5">
        <w:t>, available at</w:t>
      </w:r>
      <w:r w:rsidR="002454AE">
        <w:t>:</w:t>
      </w:r>
      <w:r w:rsidR="00355EA5">
        <w:t xml:space="preserve"> </w:t>
      </w:r>
      <w:hyperlink r:id="rId1" w:history="1">
        <w:r w:rsidR="00BD561D" w:rsidRPr="00EA5C24">
          <w:rPr>
            <w:rStyle w:val="Hyperlink"/>
          </w:rPr>
          <w:t>https://www.alrc.gov.au/wp-content/uploads/2019/08/ALRC112.pdf</w:t>
        </w:r>
      </w:hyperlink>
      <w:r w:rsidR="001E5B5D">
        <w:t>.</w:t>
      </w:r>
    </w:p>
  </w:endnote>
  <w:endnote w:id="3">
    <w:p w14:paraId="65FE00C6" w14:textId="2B12F645" w:rsidR="00BD561D" w:rsidRDefault="00AC014E" w:rsidP="001E5B5D">
      <w:pPr>
        <w:pStyle w:val="EndnoteText"/>
      </w:pPr>
      <w:r>
        <w:rPr>
          <w:rStyle w:val="EndnoteReference"/>
        </w:rPr>
        <w:endnoteRef/>
      </w:r>
      <w:r>
        <w:t xml:space="preserve"> </w:t>
      </w:r>
      <w:r w:rsidR="003B6CEE">
        <w:t xml:space="preserve">Attorney-General’s Department, </w:t>
      </w:r>
      <w:r w:rsidR="003B6CEE" w:rsidRPr="00217F66">
        <w:rPr>
          <w:i/>
          <w:iCs/>
        </w:rPr>
        <w:t>Review of Secrecy Provisions</w:t>
      </w:r>
      <w:r w:rsidR="00271477">
        <w:t>,</w:t>
      </w:r>
      <w:r w:rsidR="003B6CEE">
        <w:t xml:space="preserve"> Final Report</w:t>
      </w:r>
      <w:r w:rsidR="00A26339">
        <w:t xml:space="preserve"> </w:t>
      </w:r>
      <w:r w:rsidR="00217F66">
        <w:t>(</w:t>
      </w:r>
      <w:r w:rsidR="003B6CEE">
        <w:t>21 November 2023) (‘</w:t>
      </w:r>
      <w:r w:rsidR="003B6CEE" w:rsidRPr="00256A93">
        <w:rPr>
          <w:i/>
          <w:iCs/>
        </w:rPr>
        <w:t>AGD Secrecy Review’</w:t>
      </w:r>
      <w:r w:rsidR="003B6CEE">
        <w:t>)</w:t>
      </w:r>
      <w:r w:rsidR="00BD561D">
        <w:t>, available at</w:t>
      </w:r>
      <w:r w:rsidR="002454AE">
        <w:t>:</w:t>
      </w:r>
      <w:r w:rsidR="00BD561D">
        <w:t xml:space="preserve"> </w:t>
      </w:r>
      <w:hyperlink r:id="rId2" w:history="1">
        <w:r w:rsidR="00BD561D" w:rsidRPr="00EA5C24">
          <w:rPr>
            <w:rStyle w:val="Hyperlink"/>
          </w:rPr>
          <w:t>https://www.ag.gov.au/sites/default/files/2023-11/secrecy-provisions-review-final-report.pdf</w:t>
        </w:r>
      </w:hyperlink>
      <w:r w:rsidR="001E5B5D">
        <w:t>.</w:t>
      </w:r>
    </w:p>
  </w:endnote>
  <w:endnote w:id="4">
    <w:p w14:paraId="12759A97" w14:textId="4A8D68FF" w:rsidR="00237399" w:rsidRDefault="008F299A" w:rsidP="002454AE">
      <w:pPr>
        <w:pStyle w:val="EndnoteText"/>
      </w:pPr>
      <w:r>
        <w:rPr>
          <w:rStyle w:val="EndnoteReference"/>
        </w:rPr>
        <w:endnoteRef/>
      </w:r>
      <w:r>
        <w:t xml:space="preserve"> </w:t>
      </w:r>
      <w:r w:rsidR="00141432">
        <w:t xml:space="preserve">Australian Human Rights Commission, </w:t>
      </w:r>
      <w:r w:rsidR="00141432" w:rsidRPr="00A15B43">
        <w:rPr>
          <w:i/>
          <w:iCs/>
        </w:rPr>
        <w:t>Submission</w:t>
      </w:r>
      <w:r w:rsidR="008513FC">
        <w:rPr>
          <w:i/>
          <w:iCs/>
        </w:rPr>
        <w:t xml:space="preserve"> No </w:t>
      </w:r>
      <w:r w:rsidR="002454AE">
        <w:rPr>
          <w:i/>
          <w:iCs/>
        </w:rPr>
        <w:t>17</w:t>
      </w:r>
      <w:r w:rsidR="00141432" w:rsidRPr="00A15B43">
        <w:rPr>
          <w:i/>
          <w:iCs/>
        </w:rPr>
        <w:t xml:space="preserve"> </w:t>
      </w:r>
      <w:r w:rsidR="00A15B43" w:rsidRPr="00A15B43">
        <w:rPr>
          <w:i/>
          <w:iCs/>
        </w:rPr>
        <w:t>to</w:t>
      </w:r>
      <w:r w:rsidR="00141432" w:rsidRPr="00A15B43">
        <w:rPr>
          <w:i/>
          <w:iCs/>
        </w:rPr>
        <w:t xml:space="preserve"> </w:t>
      </w:r>
      <w:r w:rsidR="00A15B43" w:rsidRPr="00A15B43">
        <w:rPr>
          <w:i/>
          <w:iCs/>
        </w:rPr>
        <w:t>the PJCIS Inquiry into the National Security Legislation Amendment (Espionage and Foreign Interference) Bill 2017</w:t>
      </w:r>
      <w:r w:rsidR="00A15B43">
        <w:t xml:space="preserve"> (</w:t>
      </w:r>
      <w:r w:rsidR="001400B1">
        <w:t>24 January 201</w:t>
      </w:r>
      <w:r w:rsidR="00417B85">
        <w:t>8</w:t>
      </w:r>
      <w:r w:rsidR="001400B1">
        <w:t>), available a</w:t>
      </w:r>
      <w:r w:rsidR="002454AE">
        <w:t>t:</w:t>
      </w:r>
      <w:r w:rsidR="00D429C3">
        <w:t xml:space="preserve"> </w:t>
      </w:r>
      <w:hyperlink r:id="rId3" w:history="1">
        <w:r w:rsidR="00D429C3" w:rsidRPr="00EA5C24">
          <w:rPr>
            <w:rStyle w:val="Hyperlink"/>
          </w:rPr>
          <w:t>https://www.aph.gov.au/Parliamentary_Business/Committees/Joint/Intelligence_and_Security/EspionageFInterference/Submissions</w:t>
        </w:r>
      </w:hyperlink>
    </w:p>
  </w:endnote>
  <w:endnote w:id="5">
    <w:p w14:paraId="42023667" w14:textId="52D6AA43" w:rsidR="000F0628" w:rsidRDefault="000F0628">
      <w:pPr>
        <w:pStyle w:val="EndnoteText"/>
      </w:pPr>
      <w:r>
        <w:rPr>
          <w:rStyle w:val="EndnoteReference"/>
        </w:rPr>
        <w:endnoteRef/>
      </w:r>
      <w:r>
        <w:t xml:space="preserve"> </w:t>
      </w:r>
      <w:r w:rsidRPr="007928DA">
        <w:rPr>
          <w:rFonts w:cs="Arial"/>
          <w:i/>
          <w:iCs/>
          <w:szCs w:val="22"/>
        </w:rPr>
        <w:t>International Covenant on Civil and Political Rights,</w:t>
      </w:r>
      <w:r w:rsidRPr="007928DA">
        <w:rPr>
          <w:rFonts w:cs="Arial"/>
          <w:szCs w:val="22"/>
        </w:rPr>
        <w:t xml:space="preserve"> opened for </w:t>
      </w:r>
      <w:r w:rsidRPr="007928DA">
        <w:rPr>
          <w:rFonts w:cs="Arial"/>
        </w:rPr>
        <w:t>signature 16 December 1966, 999 UNTS 171 (entered into force 23 March 1976).</w:t>
      </w:r>
    </w:p>
  </w:endnote>
  <w:endnote w:id="6">
    <w:p w14:paraId="3A11F168" w14:textId="1F4C92C5" w:rsidR="005B1FD6" w:rsidRDefault="005B1FD6">
      <w:pPr>
        <w:pStyle w:val="EndnoteText"/>
      </w:pPr>
      <w:r>
        <w:rPr>
          <w:rStyle w:val="EndnoteReference"/>
        </w:rPr>
        <w:endnoteRef/>
      </w:r>
      <w:r>
        <w:t xml:space="preserve"> </w:t>
      </w:r>
      <w:r w:rsidR="002A1F7A" w:rsidRPr="00BD6AF0">
        <w:rPr>
          <w:i/>
          <w:iCs/>
        </w:rPr>
        <w:t>ALRC</w:t>
      </w:r>
      <w:r w:rsidR="00A26339" w:rsidRPr="00BD6AF0">
        <w:rPr>
          <w:i/>
          <w:iCs/>
        </w:rPr>
        <w:t xml:space="preserve"> 2009 Secrecy Laws Report</w:t>
      </w:r>
      <w:r w:rsidR="00A26339">
        <w:t xml:space="preserve">, </w:t>
      </w:r>
      <w:r w:rsidR="00357076">
        <w:t xml:space="preserve">at </w:t>
      </w:r>
      <w:r w:rsidR="00C02D35">
        <w:t xml:space="preserve">[5.92]. </w:t>
      </w:r>
    </w:p>
  </w:endnote>
  <w:endnote w:id="7">
    <w:p w14:paraId="25AC60A8" w14:textId="77777777" w:rsidR="00E842D4" w:rsidRDefault="00E842D4" w:rsidP="00E842D4">
      <w:pPr>
        <w:pStyle w:val="EndnoteText"/>
      </w:pPr>
      <w:r>
        <w:rPr>
          <w:rStyle w:val="EndnoteReference"/>
        </w:rPr>
        <w:endnoteRef/>
      </w:r>
      <w:r>
        <w:t xml:space="preserve"> </w:t>
      </w:r>
      <w:r w:rsidRPr="007928DA">
        <w:rPr>
          <w:rFonts w:cs="Arial"/>
          <w:i/>
          <w:iCs/>
          <w:szCs w:val="22"/>
        </w:rPr>
        <w:t>International Covenant on Civil and Political Rights,</w:t>
      </w:r>
      <w:r w:rsidRPr="007928DA">
        <w:rPr>
          <w:rFonts w:cs="Arial"/>
          <w:szCs w:val="22"/>
        </w:rPr>
        <w:t xml:space="preserve"> opened for </w:t>
      </w:r>
      <w:r w:rsidRPr="007928DA">
        <w:rPr>
          <w:rFonts w:cs="Arial"/>
        </w:rPr>
        <w:t>signature 16 December 1966, 999 UNTS 171 (entered into force 23 March 1976).</w:t>
      </w:r>
    </w:p>
  </w:endnote>
  <w:endnote w:id="8">
    <w:p w14:paraId="6104E512" w14:textId="77777777" w:rsidR="00E842D4" w:rsidRDefault="00E842D4" w:rsidP="00E842D4">
      <w:pPr>
        <w:pStyle w:val="EndnoteText"/>
      </w:pPr>
      <w:r>
        <w:rPr>
          <w:rStyle w:val="EndnoteReference"/>
        </w:rPr>
        <w:endnoteRef/>
      </w:r>
      <w:r>
        <w:t xml:space="preserve"> UN Human Rights Committee, </w:t>
      </w:r>
      <w:r w:rsidRPr="002325EF">
        <w:rPr>
          <w:i/>
        </w:rPr>
        <w:t>General Comment 34</w:t>
      </w:r>
      <w:r>
        <w:rPr>
          <w:i/>
        </w:rPr>
        <w:t xml:space="preserve">:  </w:t>
      </w:r>
      <w:r w:rsidRPr="006326D9">
        <w:rPr>
          <w:i/>
        </w:rPr>
        <w:t>Article 19: Freedoms of opinion and expression</w:t>
      </w:r>
      <w:r>
        <w:t>, 102</w:t>
      </w:r>
      <w:r w:rsidRPr="006326D9">
        <w:rPr>
          <w:vertAlign w:val="superscript"/>
        </w:rPr>
        <w:t>nd</w:t>
      </w:r>
      <w:r>
        <w:t xml:space="preserve"> </w:t>
      </w:r>
      <w:r>
        <w:t xml:space="preserve">Sess, </w:t>
      </w:r>
      <w:r w:rsidRPr="002325EF">
        <w:t>(</w:t>
      </w:r>
      <w:r>
        <w:t xml:space="preserve">12 September </w:t>
      </w:r>
      <w:r w:rsidRPr="002325EF">
        <w:t xml:space="preserve">2011), UN Doc. CCPR/C/GC/34, </w:t>
      </w:r>
      <w:r>
        <w:t>[2]-[3].</w:t>
      </w:r>
    </w:p>
  </w:endnote>
  <w:endnote w:id="9">
    <w:p w14:paraId="13D4CDCA" w14:textId="77777777" w:rsidR="00E842D4" w:rsidRDefault="00E842D4" w:rsidP="00E842D4">
      <w:pPr>
        <w:pStyle w:val="EndnoteText"/>
      </w:pPr>
      <w:r>
        <w:rPr>
          <w:rStyle w:val="EndnoteReference"/>
        </w:rPr>
        <w:endnoteRef/>
      </w:r>
      <w:r>
        <w:t xml:space="preserve"> UN Human Rights Committee, </w:t>
      </w:r>
      <w:r w:rsidRPr="002325EF">
        <w:rPr>
          <w:i/>
        </w:rPr>
        <w:t>General Comment 34</w:t>
      </w:r>
      <w:r>
        <w:rPr>
          <w:i/>
        </w:rPr>
        <w:t xml:space="preserve">:  </w:t>
      </w:r>
      <w:r w:rsidRPr="006326D9">
        <w:rPr>
          <w:i/>
        </w:rPr>
        <w:t>Article 19: Freedoms of opinion and expression</w:t>
      </w:r>
      <w:r>
        <w:t>, 102</w:t>
      </w:r>
      <w:r w:rsidRPr="006326D9">
        <w:rPr>
          <w:vertAlign w:val="superscript"/>
        </w:rPr>
        <w:t>nd</w:t>
      </w:r>
      <w:r>
        <w:t xml:space="preserve"> </w:t>
      </w:r>
      <w:r>
        <w:t xml:space="preserve">Sess, </w:t>
      </w:r>
      <w:r w:rsidRPr="002325EF">
        <w:t>(</w:t>
      </w:r>
      <w:r>
        <w:t xml:space="preserve">12 September </w:t>
      </w:r>
      <w:r w:rsidRPr="002325EF">
        <w:t>2011), UN Doc. CCPR/C/GC/34,</w:t>
      </w:r>
      <w:r>
        <w:t xml:space="preserve"> [22].  </w:t>
      </w:r>
    </w:p>
  </w:endnote>
  <w:endnote w:id="10">
    <w:p w14:paraId="4BE74C9E" w14:textId="77777777" w:rsidR="00196C02" w:rsidRDefault="00196C02" w:rsidP="00196C02">
      <w:pPr>
        <w:pStyle w:val="EndnoteText"/>
      </w:pPr>
      <w:r>
        <w:rPr>
          <w:rStyle w:val="EndnoteReference"/>
        </w:rPr>
        <w:endnoteRef/>
      </w:r>
      <w:r>
        <w:t xml:space="preserve"> </w:t>
      </w:r>
      <w:r w:rsidRPr="0067438B">
        <w:rPr>
          <w:i/>
          <w:iCs/>
        </w:rPr>
        <w:t>International Covenant on Civil and Political Rights</w:t>
      </w:r>
      <w:r>
        <w:t>, article 19(3)(a).</w:t>
      </w:r>
    </w:p>
  </w:endnote>
  <w:endnote w:id="11">
    <w:p w14:paraId="03731CF3" w14:textId="77777777" w:rsidR="00196C02" w:rsidRDefault="00196C02" w:rsidP="00196C02">
      <w:pPr>
        <w:pStyle w:val="EndnoteText"/>
      </w:pPr>
      <w:r>
        <w:rPr>
          <w:rStyle w:val="EndnoteReference"/>
        </w:rPr>
        <w:endnoteRef/>
      </w:r>
      <w:r>
        <w:t xml:space="preserve"> </w:t>
      </w:r>
      <w:r w:rsidRPr="0067438B">
        <w:rPr>
          <w:i/>
          <w:iCs/>
        </w:rPr>
        <w:t>International Covenant on Civil and Political Rights</w:t>
      </w:r>
      <w:r>
        <w:t>, article 19(3)(b).</w:t>
      </w:r>
    </w:p>
  </w:endnote>
  <w:endnote w:id="12">
    <w:p w14:paraId="73C043CE" w14:textId="77777777" w:rsidR="00EA1BEA" w:rsidRDefault="00EA1BEA" w:rsidP="00EA1BEA">
      <w:pPr>
        <w:pStyle w:val="EndnoteText"/>
      </w:pPr>
      <w:r>
        <w:rPr>
          <w:rStyle w:val="EndnoteReference"/>
        </w:rPr>
        <w:endnoteRef/>
      </w:r>
      <w:r>
        <w:t xml:space="preserve"> </w:t>
      </w:r>
      <w:r w:rsidRPr="002C01EB">
        <w:t xml:space="preserve">UN Human Rights Committee, </w:t>
      </w:r>
      <w:r w:rsidRPr="002C01EB">
        <w:rPr>
          <w:i/>
        </w:rPr>
        <w:t>General Comment 34:  Article 19: Freedoms of opinion and expression</w:t>
      </w:r>
      <w:r w:rsidRPr="002C01EB">
        <w:t>, 102</w:t>
      </w:r>
      <w:r w:rsidRPr="002C01EB">
        <w:rPr>
          <w:vertAlign w:val="superscript"/>
        </w:rPr>
        <w:t>nd</w:t>
      </w:r>
      <w:r w:rsidRPr="002C01EB">
        <w:t xml:space="preserve"> </w:t>
      </w:r>
      <w:r w:rsidRPr="002C01EB">
        <w:t xml:space="preserve">Sess, (12 September 2011), UN Doc. CCPR/C/GC/34, </w:t>
      </w:r>
      <w:r>
        <w:rPr>
          <w:rFonts w:cs="Arial"/>
          <w:szCs w:val="22"/>
        </w:rPr>
        <w:t>[25].</w:t>
      </w:r>
    </w:p>
  </w:endnote>
  <w:endnote w:id="13">
    <w:p w14:paraId="5C990249" w14:textId="23745BA1" w:rsidR="00EA1BEA" w:rsidRDefault="00EA1BEA" w:rsidP="00EA1BEA">
      <w:pPr>
        <w:pStyle w:val="EndnoteText"/>
      </w:pPr>
      <w:r>
        <w:rPr>
          <w:rStyle w:val="EndnoteReference"/>
        </w:rPr>
        <w:endnoteRef/>
      </w:r>
      <w:r>
        <w:t xml:space="preserve"> </w:t>
      </w:r>
      <w:r w:rsidR="00357076" w:rsidRPr="002C01EB">
        <w:t xml:space="preserve">UN Human Rights Committee, </w:t>
      </w:r>
      <w:r w:rsidR="00357076" w:rsidRPr="002C01EB">
        <w:rPr>
          <w:i/>
        </w:rPr>
        <w:t>General Comment 34:  Article 19: Freedoms of opinion and expression</w:t>
      </w:r>
      <w:r w:rsidR="00357076" w:rsidRPr="002C01EB">
        <w:t>, 102</w:t>
      </w:r>
      <w:r w:rsidR="00357076" w:rsidRPr="002C01EB">
        <w:rPr>
          <w:vertAlign w:val="superscript"/>
        </w:rPr>
        <w:t>nd</w:t>
      </w:r>
      <w:r w:rsidR="00357076" w:rsidRPr="002C01EB">
        <w:t xml:space="preserve"> </w:t>
      </w:r>
      <w:r w:rsidR="00357076" w:rsidRPr="002C01EB">
        <w:t xml:space="preserve">Sess, (12 September 2011), UN Doc. CCPR/C/GC/34, </w:t>
      </w:r>
      <w:r>
        <w:rPr>
          <w:rFonts w:cs="Arial"/>
          <w:szCs w:val="22"/>
        </w:rPr>
        <w:t>[34].</w:t>
      </w:r>
    </w:p>
  </w:endnote>
  <w:endnote w:id="14">
    <w:p w14:paraId="1901A6C9" w14:textId="13E19336" w:rsidR="00C8510B" w:rsidRPr="00B735E1" w:rsidRDefault="00C8510B" w:rsidP="00C8510B">
      <w:pPr>
        <w:pStyle w:val="EndnoteText"/>
      </w:pPr>
      <w:r w:rsidRPr="00B735E1">
        <w:rPr>
          <w:rStyle w:val="EndnoteReference"/>
        </w:rPr>
        <w:endnoteRef/>
      </w:r>
      <w:r w:rsidRPr="00B735E1">
        <w:t xml:space="preserve"> </w:t>
      </w:r>
      <w:r w:rsidR="00357076" w:rsidRPr="00B735E1">
        <w:t xml:space="preserve">UN Human Rights Committee, </w:t>
      </w:r>
      <w:r w:rsidR="00357076" w:rsidRPr="00B735E1">
        <w:rPr>
          <w:i/>
        </w:rPr>
        <w:t>General Comment 34:  Article 19: Freedoms of opinion and expression</w:t>
      </w:r>
      <w:r w:rsidR="00357076" w:rsidRPr="00B735E1">
        <w:t>, 102</w:t>
      </w:r>
      <w:r w:rsidR="00357076" w:rsidRPr="00B735E1">
        <w:rPr>
          <w:vertAlign w:val="superscript"/>
        </w:rPr>
        <w:t>nd</w:t>
      </w:r>
      <w:r w:rsidR="00357076" w:rsidRPr="00B735E1">
        <w:t xml:space="preserve"> </w:t>
      </w:r>
      <w:r w:rsidR="00357076" w:rsidRPr="00B735E1">
        <w:t xml:space="preserve">Sess, (12 September 2011), UN Doc. CCPR/C/GC/34, </w:t>
      </w:r>
      <w:r w:rsidRPr="00B735E1">
        <w:t xml:space="preserve">[30]. </w:t>
      </w:r>
    </w:p>
  </w:endnote>
  <w:endnote w:id="15">
    <w:p w14:paraId="7D63B177" w14:textId="4DB30CDF" w:rsidR="008F4FA2" w:rsidRPr="00B735E1" w:rsidRDefault="00E842D4" w:rsidP="005A0108">
      <w:pPr>
        <w:pStyle w:val="EndnoteText"/>
      </w:pPr>
      <w:r w:rsidRPr="00B735E1">
        <w:rPr>
          <w:rStyle w:val="EndnoteReference"/>
        </w:rPr>
        <w:endnoteRef/>
      </w:r>
      <w:r w:rsidRPr="00B735E1">
        <w:t xml:space="preserve"> Explanatory Memorandum to the </w:t>
      </w:r>
      <w:r w:rsidRPr="00B735E1">
        <w:rPr>
          <w:i/>
          <w:iCs/>
        </w:rPr>
        <w:t>National Security Legislation Amendment (Espionage and Foreign Interference) Bill 2017</w:t>
      </w:r>
      <w:r w:rsidRPr="00B735E1">
        <w:t>, [40], [42].</w:t>
      </w:r>
    </w:p>
  </w:endnote>
  <w:endnote w:id="16">
    <w:p w14:paraId="096D2FC7" w14:textId="1AA555F9" w:rsidR="00E842D4" w:rsidRPr="00B735E1" w:rsidRDefault="00E842D4" w:rsidP="00E842D4">
      <w:pPr>
        <w:pStyle w:val="EndnoteText"/>
      </w:pPr>
      <w:r w:rsidRPr="00B735E1">
        <w:rPr>
          <w:rStyle w:val="EndnoteReference"/>
        </w:rPr>
        <w:endnoteRef/>
      </w:r>
      <w:r w:rsidRPr="00B735E1">
        <w:t xml:space="preserve"> </w:t>
      </w:r>
      <w:r w:rsidR="00AE7E91" w:rsidRPr="00B735E1">
        <w:t xml:space="preserve">Australian Human Rights Commission, </w:t>
      </w:r>
      <w:r w:rsidR="00AE7E91" w:rsidRPr="00B735E1">
        <w:rPr>
          <w:i/>
          <w:iCs/>
        </w:rPr>
        <w:t>Submission No 17 to the PJCIS Inquiry into the National Security Legislation Amendment (Espionage and Foreign Interference) Bill 2017</w:t>
      </w:r>
      <w:r w:rsidR="00AE7E91" w:rsidRPr="00B735E1">
        <w:t xml:space="preserve"> (24 January 2018), </w:t>
      </w:r>
      <w:r w:rsidR="00B735E1" w:rsidRPr="00B735E1">
        <w:t xml:space="preserve">p 3. </w:t>
      </w:r>
    </w:p>
  </w:endnote>
  <w:endnote w:id="17">
    <w:p w14:paraId="536A5060" w14:textId="77BC8552" w:rsidR="0048503A" w:rsidRPr="00B735E1" w:rsidRDefault="0048503A">
      <w:pPr>
        <w:pStyle w:val="EndnoteText"/>
      </w:pPr>
      <w:r w:rsidRPr="00B735E1">
        <w:rPr>
          <w:rStyle w:val="EndnoteReference"/>
        </w:rPr>
        <w:endnoteRef/>
      </w:r>
      <w:r w:rsidRPr="00B735E1">
        <w:t xml:space="preserve"> </w:t>
      </w:r>
      <w:r w:rsidR="00A63409" w:rsidRPr="00B735E1">
        <w:t xml:space="preserve"> </w:t>
      </w:r>
      <w:r w:rsidR="00E03B1E" w:rsidRPr="00B735E1">
        <w:t xml:space="preserve">UN </w:t>
      </w:r>
      <w:r w:rsidR="00A06449" w:rsidRPr="00B735E1">
        <w:t xml:space="preserve">Human Rights </w:t>
      </w:r>
      <w:r w:rsidR="00E03B1E" w:rsidRPr="00B735E1">
        <w:t>Committee</w:t>
      </w:r>
      <w:r w:rsidR="00A06449" w:rsidRPr="00B735E1">
        <w:t xml:space="preserve">, </w:t>
      </w:r>
      <w:r w:rsidR="00A06449" w:rsidRPr="00B735E1">
        <w:rPr>
          <w:i/>
          <w:iCs/>
        </w:rPr>
        <w:t>General Comment No. 32:</w:t>
      </w:r>
      <w:r w:rsidR="00623531" w:rsidRPr="00B735E1">
        <w:t xml:space="preserve">  </w:t>
      </w:r>
      <w:r w:rsidR="00A06449" w:rsidRPr="00B735E1">
        <w:rPr>
          <w:i/>
          <w:iCs/>
        </w:rPr>
        <w:t>Article 14: Right to equality before courts and tribunals and to a fair trial</w:t>
      </w:r>
      <w:r w:rsidR="00640CCA" w:rsidRPr="00B735E1">
        <w:t>, 19</w:t>
      </w:r>
      <w:r w:rsidR="00640CCA" w:rsidRPr="00B735E1">
        <w:rPr>
          <w:vertAlign w:val="superscript"/>
        </w:rPr>
        <w:t>th</w:t>
      </w:r>
      <w:r w:rsidR="00640CCA" w:rsidRPr="00B735E1">
        <w:t xml:space="preserve"> </w:t>
      </w:r>
      <w:r w:rsidR="00640CCA" w:rsidRPr="00B735E1">
        <w:t>Sess, (23 August 2007), UN Doc. CCPR/C/GC/</w:t>
      </w:r>
      <w:r w:rsidR="00623531" w:rsidRPr="00B735E1">
        <w:t xml:space="preserve">32, </w:t>
      </w:r>
      <w:r w:rsidR="00A63409" w:rsidRPr="00B735E1">
        <w:t>[30]</w:t>
      </w:r>
      <w:r w:rsidR="00623531" w:rsidRPr="00B735E1">
        <w:t>.</w:t>
      </w:r>
    </w:p>
  </w:endnote>
  <w:endnote w:id="18">
    <w:p w14:paraId="19838362" w14:textId="2AC88657" w:rsidR="00C07225" w:rsidRDefault="00591307" w:rsidP="00D4275E">
      <w:pPr>
        <w:pStyle w:val="EndnoteText"/>
      </w:pPr>
      <w:r w:rsidRPr="00B735E1">
        <w:rPr>
          <w:rStyle w:val="EndnoteReference"/>
        </w:rPr>
        <w:endnoteRef/>
      </w:r>
      <w:r w:rsidRPr="00B735E1">
        <w:t xml:space="preserve"> P</w:t>
      </w:r>
      <w:r w:rsidR="0041595C" w:rsidRPr="00B735E1">
        <w:t xml:space="preserve">arliamentary </w:t>
      </w:r>
      <w:r w:rsidRPr="00B735E1">
        <w:t>J</w:t>
      </w:r>
      <w:r w:rsidR="0041595C" w:rsidRPr="00B735E1">
        <w:t xml:space="preserve">oint </w:t>
      </w:r>
      <w:r w:rsidRPr="00B735E1">
        <w:t>C</w:t>
      </w:r>
      <w:r w:rsidR="0041595C" w:rsidRPr="00B735E1">
        <w:t xml:space="preserve">ommittee on </w:t>
      </w:r>
      <w:r w:rsidR="001A3C18" w:rsidRPr="00B735E1">
        <w:t>Human Rights</w:t>
      </w:r>
      <w:r w:rsidR="00211EEF" w:rsidRPr="00B735E1">
        <w:t>,</w:t>
      </w:r>
      <w:r w:rsidRPr="00B735E1">
        <w:t xml:space="preserve"> </w:t>
      </w:r>
      <w:r w:rsidRPr="00B735E1">
        <w:rPr>
          <w:i/>
          <w:iCs/>
        </w:rPr>
        <w:t>Guidance Note 2 – Offence provisions, civil penalties</w:t>
      </w:r>
      <w:r w:rsidRPr="00211EEF">
        <w:rPr>
          <w:i/>
          <w:iCs/>
        </w:rPr>
        <w:t xml:space="preserve"> and human rights</w:t>
      </w:r>
      <w:r w:rsidR="001A3C18">
        <w:t xml:space="preserve"> (December 2014,</w:t>
      </w:r>
      <w:r w:rsidR="00B24EBD">
        <w:t xml:space="preserve"> p 2, available at </w:t>
      </w:r>
      <w:hyperlink r:id="rId4" w:history="1">
        <w:r w:rsidR="00C07225" w:rsidRPr="00536100">
          <w:rPr>
            <w:rStyle w:val="Hyperlink"/>
          </w:rPr>
          <w:t>https://www.aph.gov.au/-/media/Committees/Senate/committee/humanrights_ctte/guidance_notes/guidance_note_2/guidance_note_2.pdf?la=en&amp;hash=7D924E6F330668005C288BCDCDAC6ADE1719502D</w:t>
        </w:r>
      </w:hyperlink>
    </w:p>
  </w:endnote>
  <w:endnote w:id="19">
    <w:p w14:paraId="0B5B7B92" w14:textId="32074C25" w:rsidR="003227AA" w:rsidRDefault="003227AA">
      <w:pPr>
        <w:pStyle w:val="EndnoteText"/>
      </w:pPr>
      <w:r>
        <w:rPr>
          <w:rStyle w:val="EndnoteReference"/>
        </w:rPr>
        <w:endnoteRef/>
      </w:r>
      <w:r>
        <w:t xml:space="preserve"> </w:t>
      </w:r>
      <w:r w:rsidR="00B66ACD">
        <w:t>S</w:t>
      </w:r>
      <w:r w:rsidR="00772EDC">
        <w:t>ection</w:t>
      </w:r>
      <w:r w:rsidR="009F135F">
        <w:t xml:space="preserve"> </w:t>
      </w:r>
      <w:r w:rsidR="00B66ACD">
        <w:t>122.3 provides fo</w:t>
      </w:r>
      <w:r w:rsidR="00FA6571">
        <w:t>r aggravated offences which attract</w:t>
      </w:r>
      <w:r>
        <w:t xml:space="preserve"> the maximum penalty </w:t>
      </w:r>
      <w:r w:rsidR="00FA6571">
        <w:t>of</w:t>
      </w:r>
      <w:r>
        <w:t xml:space="preserve"> 10 years imprisonment for conduct involving communication and 5 years for other dealings.</w:t>
      </w:r>
    </w:p>
  </w:endnote>
  <w:endnote w:id="20">
    <w:p w14:paraId="4CFF534E" w14:textId="1947C123" w:rsidR="008C0D05" w:rsidRDefault="00A9495E" w:rsidP="00141432">
      <w:pPr>
        <w:pStyle w:val="EndnoteText"/>
      </w:pPr>
      <w:r>
        <w:rPr>
          <w:rStyle w:val="EndnoteReference"/>
        </w:rPr>
        <w:endnoteRef/>
      </w:r>
      <w:r>
        <w:t xml:space="preserve"> </w:t>
      </w:r>
      <w:r w:rsidR="009F135F">
        <w:t>Law Council of Australia</w:t>
      </w:r>
      <w:r w:rsidR="008C0D05">
        <w:t xml:space="preserve">, </w:t>
      </w:r>
      <w:r w:rsidR="008C0D05" w:rsidRPr="00A3314F">
        <w:rPr>
          <w:i/>
          <w:iCs/>
        </w:rPr>
        <w:t xml:space="preserve">Submission to </w:t>
      </w:r>
      <w:r w:rsidR="00A84162" w:rsidRPr="00A3314F">
        <w:rPr>
          <w:i/>
          <w:iCs/>
        </w:rPr>
        <w:t>the AGD Review of Secrecy Provisions</w:t>
      </w:r>
      <w:r w:rsidR="003D2311">
        <w:t xml:space="preserve"> (22 May 2023), </w:t>
      </w:r>
      <w:r w:rsidR="00D03A85">
        <w:t xml:space="preserve">[62]. </w:t>
      </w:r>
    </w:p>
  </w:endnote>
  <w:endnote w:id="21">
    <w:p w14:paraId="598C9952" w14:textId="49ABF6CD" w:rsidR="006E0D98" w:rsidRDefault="006E0D98">
      <w:pPr>
        <w:pStyle w:val="EndnoteText"/>
      </w:pPr>
      <w:r>
        <w:rPr>
          <w:rStyle w:val="EndnoteReference"/>
        </w:rPr>
        <w:endnoteRef/>
      </w:r>
      <w:r>
        <w:t xml:space="preserve"> </w:t>
      </w:r>
      <w:r w:rsidR="00D4275E">
        <w:t>‘</w:t>
      </w:r>
      <w:r w:rsidR="00DD754B">
        <w:t>International relations</w:t>
      </w:r>
      <w:r w:rsidR="00D4275E">
        <w:t>’</w:t>
      </w:r>
      <w:r w:rsidR="00DD754B">
        <w:t xml:space="preserve"> has the meaning given by s 10 of the </w:t>
      </w:r>
      <w:r w:rsidR="00DD754B" w:rsidRPr="006258A5">
        <w:rPr>
          <w:i/>
          <w:iCs/>
        </w:rPr>
        <w:t>National Security Information (Criminal and Civil Proceedings) Act 2004</w:t>
      </w:r>
      <w:r w:rsidR="00960ABA">
        <w:rPr>
          <w:i/>
          <w:iCs/>
        </w:rPr>
        <w:t xml:space="preserve"> (</w:t>
      </w:r>
      <w:r w:rsidR="00960ABA" w:rsidRPr="00960ABA">
        <w:t>Cth)</w:t>
      </w:r>
      <w:r w:rsidR="00DD754B" w:rsidRPr="00960ABA">
        <w:t>.</w:t>
      </w:r>
      <w:r w:rsidR="00DD754B">
        <w:t xml:space="preserve"> </w:t>
      </w:r>
    </w:p>
  </w:endnote>
  <w:endnote w:id="22">
    <w:p w14:paraId="7CF01C80" w14:textId="68B56CBE" w:rsidR="00D74DAB" w:rsidRDefault="00D74DAB">
      <w:pPr>
        <w:pStyle w:val="EndnoteText"/>
      </w:pPr>
      <w:r>
        <w:rPr>
          <w:rStyle w:val="EndnoteReference"/>
        </w:rPr>
        <w:endnoteRef/>
      </w:r>
      <w:r>
        <w:t xml:space="preserve"> Criminal Code, s 121.1(1)(a).</w:t>
      </w:r>
    </w:p>
  </w:endnote>
  <w:endnote w:id="23">
    <w:p w14:paraId="3477AC12" w14:textId="7AC986ED" w:rsidR="00C5458A" w:rsidRDefault="00C5458A">
      <w:pPr>
        <w:pStyle w:val="EndnoteText"/>
      </w:pPr>
      <w:r>
        <w:rPr>
          <w:rStyle w:val="EndnoteReference"/>
        </w:rPr>
        <w:endnoteRef/>
      </w:r>
      <w:r>
        <w:t xml:space="preserve"> </w:t>
      </w:r>
      <w:r w:rsidR="00E54D98" w:rsidRPr="0012139F">
        <w:rPr>
          <w:i/>
          <w:iCs/>
        </w:rPr>
        <w:t>ALRC 2009 Secrecy Laws Report</w:t>
      </w:r>
      <w:r w:rsidR="00E54D98">
        <w:t xml:space="preserve">, at </w:t>
      </w:r>
      <w:r w:rsidR="009C3E6E">
        <w:t>[4.168].</w:t>
      </w:r>
    </w:p>
  </w:endnote>
  <w:endnote w:id="24">
    <w:p w14:paraId="702D9C94" w14:textId="5431BCB4" w:rsidR="0054474A" w:rsidRDefault="0054474A">
      <w:pPr>
        <w:pStyle w:val="EndnoteText"/>
      </w:pPr>
      <w:r>
        <w:rPr>
          <w:rStyle w:val="EndnoteReference"/>
        </w:rPr>
        <w:endnoteRef/>
      </w:r>
      <w:r>
        <w:t xml:space="preserve"> </w:t>
      </w:r>
      <w:r w:rsidR="00FD02A8" w:rsidRPr="0012139F">
        <w:rPr>
          <w:i/>
          <w:iCs/>
        </w:rPr>
        <w:t>ALRC 2009 Secrecy Laws Report</w:t>
      </w:r>
      <w:r w:rsidR="00FD02A8">
        <w:t xml:space="preserve">, </w:t>
      </w:r>
      <w:r w:rsidR="00567034">
        <w:t>p</w:t>
      </w:r>
      <w:r>
        <w:t xml:space="preserve"> 23-34</w:t>
      </w:r>
      <w:r w:rsidR="00567034">
        <w:t>.</w:t>
      </w:r>
    </w:p>
  </w:endnote>
  <w:endnote w:id="25">
    <w:p w14:paraId="05BB1E1B" w14:textId="3C542C89" w:rsidR="007C50BF" w:rsidRDefault="007C50BF">
      <w:pPr>
        <w:pStyle w:val="EndnoteText"/>
      </w:pPr>
      <w:r w:rsidRPr="0056163D">
        <w:rPr>
          <w:rStyle w:val="EndnoteReference"/>
        </w:rPr>
        <w:endnoteRef/>
      </w:r>
      <w:r w:rsidRPr="0056163D">
        <w:t xml:space="preserve"> </w:t>
      </w:r>
      <w:r w:rsidR="0009604C" w:rsidRPr="0012139F">
        <w:rPr>
          <w:i/>
          <w:iCs/>
        </w:rPr>
        <w:t>AGD Secrecy Review</w:t>
      </w:r>
      <w:r w:rsidR="0009604C" w:rsidRPr="0056163D">
        <w:t>, at [</w:t>
      </w:r>
      <w:r w:rsidR="0056163D" w:rsidRPr="0056163D">
        <w:t>62</w:t>
      </w:r>
      <w:r w:rsidR="0009604C" w:rsidRPr="0056163D">
        <w:t>].</w:t>
      </w:r>
      <w:r w:rsidR="0009604C">
        <w:t xml:space="preserve"> </w:t>
      </w:r>
    </w:p>
  </w:endnote>
  <w:endnote w:id="26">
    <w:p w14:paraId="322D2220" w14:textId="312A3E73" w:rsidR="008876AE" w:rsidRDefault="008876AE">
      <w:pPr>
        <w:pStyle w:val="EndnoteText"/>
      </w:pPr>
      <w:r>
        <w:rPr>
          <w:rStyle w:val="EndnoteReference"/>
        </w:rPr>
        <w:endnoteRef/>
      </w:r>
      <w:r>
        <w:t xml:space="preserve"> </w:t>
      </w:r>
      <w:r w:rsidRPr="0012139F">
        <w:rPr>
          <w:i/>
          <w:iCs/>
        </w:rPr>
        <w:t>AGD Secrecy Review</w:t>
      </w:r>
      <w:r w:rsidRPr="0056163D">
        <w:t>, at [6</w:t>
      </w:r>
      <w:r>
        <w:t>5</w:t>
      </w:r>
      <w:r w:rsidRPr="0056163D">
        <w:t>].</w:t>
      </w:r>
    </w:p>
  </w:endnote>
  <w:endnote w:id="27">
    <w:p w14:paraId="31685ECB" w14:textId="77777777" w:rsidR="00CF40B3" w:rsidRDefault="00CF40B3" w:rsidP="00CF40B3">
      <w:pPr>
        <w:pStyle w:val="EndnoteText"/>
      </w:pPr>
      <w:r>
        <w:rPr>
          <w:rStyle w:val="EndnoteReference"/>
        </w:rPr>
        <w:endnoteRef/>
      </w:r>
      <w:r>
        <w:t xml:space="preserve"> </w:t>
      </w:r>
      <w:r w:rsidRPr="0012139F">
        <w:rPr>
          <w:i/>
          <w:iCs/>
        </w:rPr>
        <w:t>ALRC 2009 Secrecy Laws Report</w:t>
      </w:r>
      <w:r>
        <w:t>, at [4.167].</w:t>
      </w:r>
    </w:p>
  </w:endnote>
  <w:endnote w:id="28">
    <w:p w14:paraId="54B704D6" w14:textId="5E044507" w:rsidR="00492F2B" w:rsidRDefault="00492F2B" w:rsidP="00821956">
      <w:pPr>
        <w:pStyle w:val="EndnoteText"/>
      </w:pPr>
      <w:r>
        <w:rPr>
          <w:rStyle w:val="EndnoteReference"/>
        </w:rPr>
        <w:endnoteRef/>
      </w:r>
      <w:r>
        <w:t xml:space="preserve"> </w:t>
      </w:r>
      <w:r w:rsidR="00821956" w:rsidRPr="00F71A2A">
        <w:t>I</w:t>
      </w:r>
      <w:r w:rsidR="00821956">
        <w:t xml:space="preserve">ndependent </w:t>
      </w:r>
      <w:r w:rsidR="00821956" w:rsidRPr="00F71A2A">
        <w:t>N</w:t>
      </w:r>
      <w:r w:rsidR="00821956">
        <w:t xml:space="preserve">ational </w:t>
      </w:r>
      <w:r w:rsidR="00821956" w:rsidRPr="00F71A2A">
        <w:t>S</w:t>
      </w:r>
      <w:r w:rsidR="00821956">
        <w:t xml:space="preserve">ecurity </w:t>
      </w:r>
      <w:r w:rsidR="00821956" w:rsidRPr="00F71A2A">
        <w:t>L</w:t>
      </w:r>
      <w:r w:rsidR="00821956">
        <w:t xml:space="preserve">egislation </w:t>
      </w:r>
      <w:r w:rsidR="00821956" w:rsidRPr="00F71A2A">
        <w:t>M</w:t>
      </w:r>
      <w:r w:rsidR="00821956">
        <w:t>onitor,</w:t>
      </w:r>
      <w:r w:rsidR="00821956" w:rsidRPr="00E73853">
        <w:t xml:space="preserve"> Issues paper in relation to the Review of secrecy offences in Part 5.6 of the </w:t>
      </w:r>
      <w:r w:rsidR="00821956" w:rsidRPr="00E73853">
        <w:rPr>
          <w:i/>
          <w:iCs/>
        </w:rPr>
        <w:t>Criminal Code 1995</w:t>
      </w:r>
      <w:r w:rsidR="00821956" w:rsidRPr="00E73853">
        <w:t xml:space="preserve"> (January 2024</w:t>
      </w:r>
      <w:r w:rsidR="00821956">
        <w:t xml:space="preserve">), </w:t>
      </w:r>
      <w:r w:rsidR="00D3435E">
        <w:t>[2.46].</w:t>
      </w:r>
    </w:p>
  </w:endnote>
  <w:endnote w:id="29">
    <w:p w14:paraId="0B2585B5" w14:textId="62AA0297" w:rsidR="00C375BE" w:rsidRDefault="00C375BE" w:rsidP="00BA338B">
      <w:pPr>
        <w:pStyle w:val="EndnoteText"/>
      </w:pPr>
      <w:r>
        <w:rPr>
          <w:rStyle w:val="EndnoteReference"/>
        </w:rPr>
        <w:endnoteRef/>
      </w:r>
      <w:r>
        <w:t xml:space="preserve"> Australia’s Right</w:t>
      </w:r>
      <w:r w:rsidR="00A375FC">
        <w:t xml:space="preserve"> to Know</w:t>
      </w:r>
      <w:r w:rsidR="0037285C">
        <w:t>,</w:t>
      </w:r>
      <w:r w:rsidR="0037285C" w:rsidRPr="0037285C">
        <w:rPr>
          <w:i/>
          <w:iCs/>
        </w:rPr>
        <w:t xml:space="preserve"> </w:t>
      </w:r>
      <w:r w:rsidR="0037285C" w:rsidRPr="006F54C8">
        <w:rPr>
          <w:i/>
          <w:iCs/>
        </w:rPr>
        <w:t>Submission to the AGD Review of Secrecy Provisions</w:t>
      </w:r>
      <w:r w:rsidR="0037285C" w:rsidRPr="006F54C8">
        <w:t xml:space="preserve"> (</w:t>
      </w:r>
      <w:r w:rsidR="0037285C">
        <w:t>5</w:t>
      </w:r>
      <w:r w:rsidR="0037285C" w:rsidRPr="006F54C8">
        <w:t xml:space="preserve"> May 2023), </w:t>
      </w:r>
      <w:r w:rsidR="00A375FC">
        <w:t>[2.1(c)]</w:t>
      </w:r>
      <w:r w:rsidR="00BA338B">
        <w:t>.</w:t>
      </w:r>
    </w:p>
  </w:endnote>
  <w:endnote w:id="30">
    <w:p w14:paraId="0F7F4136" w14:textId="6FB6FD8A" w:rsidR="001807F0" w:rsidRDefault="001807F0">
      <w:pPr>
        <w:pStyle w:val="EndnoteText"/>
      </w:pPr>
      <w:r>
        <w:rPr>
          <w:rStyle w:val="EndnoteReference"/>
        </w:rPr>
        <w:endnoteRef/>
      </w:r>
      <w:r>
        <w:t xml:space="preserve"> </w:t>
      </w:r>
      <w:r w:rsidR="00B0437F">
        <w:t>Alliance for Journalists Freedom</w:t>
      </w:r>
      <w:r>
        <w:t>,</w:t>
      </w:r>
      <w:r w:rsidRPr="0037285C">
        <w:rPr>
          <w:i/>
          <w:iCs/>
        </w:rPr>
        <w:t xml:space="preserve"> </w:t>
      </w:r>
      <w:r w:rsidRPr="006F54C8">
        <w:rPr>
          <w:i/>
          <w:iCs/>
        </w:rPr>
        <w:t>Submission to the AGD Review of Secrecy Provisions</w:t>
      </w:r>
      <w:r w:rsidRPr="006F54C8">
        <w:t xml:space="preserve"> (</w:t>
      </w:r>
      <w:r w:rsidR="00CF358A">
        <w:t>10</w:t>
      </w:r>
      <w:r w:rsidRPr="006F54C8">
        <w:t xml:space="preserve"> May 2023), </w:t>
      </w:r>
      <w:r w:rsidR="00CF358A">
        <w:t>p</w:t>
      </w:r>
      <w:r>
        <w:t xml:space="preserve"> 8. </w:t>
      </w:r>
    </w:p>
  </w:endnote>
  <w:endnote w:id="31">
    <w:p w14:paraId="6C3A6EAE" w14:textId="085EADE0" w:rsidR="00405367" w:rsidRPr="008606A4" w:rsidRDefault="00405367" w:rsidP="00405367">
      <w:pPr>
        <w:pStyle w:val="EndnoteText"/>
      </w:pPr>
      <w:r w:rsidRPr="008606A4">
        <w:rPr>
          <w:rStyle w:val="EndnoteReference"/>
        </w:rPr>
        <w:endnoteRef/>
      </w:r>
      <w:r w:rsidRPr="008606A4">
        <w:t xml:space="preserve"> </w:t>
      </w:r>
      <w:r w:rsidR="005748C4" w:rsidRPr="008606A4">
        <w:rPr>
          <w:i/>
          <w:iCs/>
        </w:rPr>
        <w:t>Criminal Code</w:t>
      </w:r>
      <w:r w:rsidR="005748C4" w:rsidRPr="008606A4">
        <w:t xml:space="preserve"> (Cth), s</w:t>
      </w:r>
      <w:r w:rsidRPr="008606A4">
        <w:t xml:space="preserve"> 90.5(1A)</w:t>
      </w:r>
      <w:r w:rsidR="00FD02A8" w:rsidRPr="008606A4">
        <w:t xml:space="preserve">. </w:t>
      </w:r>
    </w:p>
  </w:endnote>
  <w:endnote w:id="32">
    <w:p w14:paraId="16FC08B5" w14:textId="111E19DE" w:rsidR="00975660" w:rsidRDefault="00340EB0" w:rsidP="002668B3">
      <w:pPr>
        <w:pStyle w:val="EndnoteText"/>
      </w:pPr>
      <w:r w:rsidRPr="008606A4">
        <w:rPr>
          <w:rStyle w:val="EndnoteReference"/>
        </w:rPr>
        <w:endnoteRef/>
      </w:r>
      <w:r w:rsidRPr="008606A4">
        <w:t xml:space="preserve"> </w:t>
      </w:r>
      <w:r w:rsidR="00915D8F" w:rsidRPr="0012139F">
        <w:rPr>
          <w:i/>
          <w:iCs/>
        </w:rPr>
        <w:t>ALRC 2009 Secrecy Laws Report</w:t>
      </w:r>
      <w:r w:rsidRPr="008606A4">
        <w:t xml:space="preserve">, </w:t>
      </w:r>
      <w:r w:rsidR="00975660" w:rsidRPr="008606A4">
        <w:t xml:space="preserve">at </w:t>
      </w:r>
      <w:r w:rsidR="007A634A" w:rsidRPr="008606A4">
        <w:t>[8.61]</w:t>
      </w:r>
      <w:r w:rsidR="00975660" w:rsidRPr="008606A4">
        <w:t>.</w:t>
      </w:r>
    </w:p>
  </w:endnote>
  <w:endnote w:id="33">
    <w:p w14:paraId="563C2DDF" w14:textId="4C1C1C35" w:rsidR="00D7430C" w:rsidRPr="00837FA0" w:rsidRDefault="00D7430C" w:rsidP="00BC3CEC">
      <w:pPr>
        <w:pStyle w:val="EndnoteText"/>
      </w:pPr>
      <w:r>
        <w:rPr>
          <w:rStyle w:val="EndnoteReference"/>
        </w:rPr>
        <w:endnoteRef/>
      </w:r>
      <w:r w:rsidRPr="00837FA0">
        <w:t xml:space="preserve"> </w:t>
      </w:r>
      <w:r w:rsidR="00304946" w:rsidRPr="00837FA0">
        <w:t>Parliamentary Joint Committee on Intelligence and Security</w:t>
      </w:r>
      <w:r w:rsidRPr="00837FA0">
        <w:t xml:space="preserve">, </w:t>
      </w:r>
      <w:r w:rsidRPr="00BC3CEC">
        <w:rPr>
          <w:rStyle w:val="EndnoteReference"/>
          <w:i/>
          <w:iCs/>
          <w:vertAlign w:val="baseline"/>
        </w:rPr>
        <w:t>Advisory Report on the National Security Legislation Amendment (Espionage and Foreign Interference) Bill 2017</w:t>
      </w:r>
      <w:r w:rsidRPr="00837FA0">
        <w:t xml:space="preserve">, (2018) at [3.110]ff. </w:t>
      </w:r>
    </w:p>
  </w:endnote>
  <w:endnote w:id="34">
    <w:p w14:paraId="528510D8" w14:textId="6CCC3800" w:rsidR="00392474" w:rsidRPr="00837FA0" w:rsidRDefault="00392474" w:rsidP="00392474">
      <w:pPr>
        <w:pStyle w:val="EndnoteText"/>
      </w:pPr>
      <w:r>
        <w:rPr>
          <w:rStyle w:val="EndnoteReference"/>
        </w:rPr>
        <w:endnoteRef/>
      </w:r>
      <w:r w:rsidRPr="00837FA0">
        <w:t xml:space="preserve"> Parliamentary Joint Committee on Intelligence and Security, </w:t>
      </w:r>
      <w:r w:rsidRPr="00BC3CEC">
        <w:rPr>
          <w:rStyle w:val="EndnoteReference"/>
          <w:i/>
          <w:iCs/>
          <w:vertAlign w:val="baseline"/>
        </w:rPr>
        <w:t>Advisory Report on the National Security Legislation Amendment (Espionage and Foreign Interference) Bill 2017</w:t>
      </w:r>
      <w:r w:rsidRPr="00837FA0">
        <w:t>, (2018) at [3.11</w:t>
      </w:r>
      <w:r>
        <w:t>4</w:t>
      </w:r>
      <w:r w:rsidRPr="00837FA0">
        <w:t xml:space="preserve">].  </w:t>
      </w:r>
    </w:p>
  </w:endnote>
  <w:endnote w:id="35">
    <w:p w14:paraId="7154F389" w14:textId="5DB08815" w:rsidR="00392474" w:rsidRPr="00837FA0" w:rsidRDefault="00392474" w:rsidP="00392474">
      <w:pPr>
        <w:pStyle w:val="EndnoteText"/>
      </w:pPr>
      <w:r>
        <w:rPr>
          <w:rStyle w:val="EndnoteReference"/>
        </w:rPr>
        <w:endnoteRef/>
      </w:r>
      <w:r w:rsidRPr="00837FA0">
        <w:t xml:space="preserve"> Parliamentary Joint Committee on Intelligence and Security, </w:t>
      </w:r>
      <w:r w:rsidRPr="00BC3CEC">
        <w:rPr>
          <w:rStyle w:val="EndnoteReference"/>
          <w:i/>
          <w:iCs/>
          <w:vertAlign w:val="baseline"/>
        </w:rPr>
        <w:t>Advisory Report on the National Security Legislation Amendment (Espionage and Foreign Interference) Bill 2017</w:t>
      </w:r>
      <w:r w:rsidRPr="00837FA0">
        <w:t>, (2018) at [3.11</w:t>
      </w:r>
      <w:r>
        <w:t>5</w:t>
      </w:r>
      <w:r w:rsidRPr="00837FA0">
        <w:t xml:space="preserve">].  </w:t>
      </w:r>
    </w:p>
  </w:endnote>
  <w:endnote w:id="36">
    <w:p w14:paraId="122DA84D" w14:textId="77777777" w:rsidR="00752D8F" w:rsidRDefault="00752D8F" w:rsidP="00752D8F">
      <w:pPr>
        <w:pStyle w:val="EndnoteText"/>
      </w:pPr>
      <w:r>
        <w:rPr>
          <w:rStyle w:val="EndnoteReference"/>
        </w:rPr>
        <w:endnoteRef/>
      </w:r>
      <w:r>
        <w:t xml:space="preserve"> </w:t>
      </w:r>
      <w:r w:rsidRPr="0012139F">
        <w:rPr>
          <w:i/>
          <w:iCs/>
        </w:rPr>
        <w:t>ALRC 2009 Secrecy Laws Report</w:t>
      </w:r>
      <w:r>
        <w:t xml:space="preserve">, at [8.51] </w:t>
      </w:r>
      <w:r w:rsidRPr="00837FA0">
        <w:t>and reports cited in that paragraph</w:t>
      </w:r>
      <w:r>
        <w:t>.</w:t>
      </w:r>
    </w:p>
  </w:endnote>
  <w:endnote w:id="37">
    <w:p w14:paraId="3CF7A570" w14:textId="7885177D" w:rsidR="00482C7B" w:rsidRDefault="00482C7B">
      <w:pPr>
        <w:pStyle w:val="EndnoteText"/>
      </w:pPr>
      <w:r>
        <w:rPr>
          <w:rStyle w:val="EndnoteReference"/>
        </w:rPr>
        <w:endnoteRef/>
      </w:r>
      <w:r w:rsidR="00B47907">
        <w:t xml:space="preserve"> I</w:t>
      </w:r>
      <w:r w:rsidR="0004512F">
        <w:t xml:space="preserve">ndependent </w:t>
      </w:r>
      <w:r w:rsidR="0003297A">
        <w:t xml:space="preserve">National Security Legislation Monitor, </w:t>
      </w:r>
      <w:r w:rsidR="00EF2201" w:rsidRPr="0003700D">
        <w:t>Additional Information – Secrecy Review</w:t>
      </w:r>
      <w:r w:rsidR="00EF2201" w:rsidRPr="0003700D">
        <w:rPr>
          <w:i/>
          <w:iCs/>
        </w:rPr>
        <w:t>,</w:t>
      </w:r>
      <w:r w:rsidR="00EF2201">
        <w:t xml:space="preserve"> </w:t>
      </w:r>
      <w:r w:rsidR="00490E2D" w:rsidRPr="00602CD1">
        <w:rPr>
          <w:i/>
          <w:iCs/>
        </w:rPr>
        <w:t>Academic Roundtable</w:t>
      </w:r>
      <w:r w:rsidR="004E789E">
        <w:rPr>
          <w:i/>
          <w:iCs/>
        </w:rPr>
        <w:t xml:space="preserve"> on Part 5.</w:t>
      </w:r>
      <w:r w:rsidR="004E789E" w:rsidRPr="0003700D">
        <w:t>6</w:t>
      </w:r>
      <w:r w:rsidR="0003700D" w:rsidRPr="0003700D">
        <w:t xml:space="preserve"> (1 February 2024)</w:t>
      </w:r>
      <w:r w:rsidR="00602CD1" w:rsidRPr="0003700D">
        <w:t>,</w:t>
      </w:r>
      <w:r w:rsidR="00602CD1">
        <w:t xml:space="preserve"> p</w:t>
      </w:r>
      <w:r w:rsidR="00490E2D">
        <w:t xml:space="preserve"> 2</w:t>
      </w:r>
      <w:r w:rsidR="00602CD1">
        <w:t xml:space="preserve">. </w:t>
      </w:r>
    </w:p>
  </w:endnote>
  <w:endnote w:id="38">
    <w:p w14:paraId="3EECFFB1" w14:textId="7CE7F315" w:rsidR="003820CA" w:rsidRDefault="003820CA">
      <w:pPr>
        <w:pStyle w:val="EndnoteText"/>
      </w:pPr>
      <w:r>
        <w:rPr>
          <w:rStyle w:val="EndnoteReference"/>
        </w:rPr>
        <w:endnoteRef/>
      </w:r>
      <w:r>
        <w:t xml:space="preserve"> </w:t>
      </w:r>
      <w:r w:rsidR="00343408" w:rsidRPr="005748C4">
        <w:rPr>
          <w:i/>
          <w:iCs/>
        </w:rPr>
        <w:t>Criminal Code</w:t>
      </w:r>
      <w:r w:rsidR="00343408">
        <w:t xml:space="preserve"> (Cth), Part 5.2. </w:t>
      </w:r>
    </w:p>
  </w:endnote>
  <w:endnote w:id="39">
    <w:p w14:paraId="644458DD" w14:textId="7DB45A3A" w:rsidR="00343408" w:rsidRDefault="00293C77" w:rsidP="002668B3">
      <w:pPr>
        <w:pStyle w:val="EndnoteText"/>
      </w:pPr>
      <w:r>
        <w:rPr>
          <w:rStyle w:val="EndnoteReference"/>
        </w:rPr>
        <w:endnoteRef/>
      </w:r>
      <w:r>
        <w:t xml:space="preserve"> </w:t>
      </w:r>
      <w:r w:rsidR="00343408" w:rsidRPr="005748C4">
        <w:rPr>
          <w:i/>
          <w:iCs/>
        </w:rPr>
        <w:t>Criminal Code</w:t>
      </w:r>
      <w:r w:rsidR="00343408">
        <w:t xml:space="preserve"> (Cth), </w:t>
      </w:r>
      <w:r>
        <w:t>s 122.4A.</w:t>
      </w:r>
    </w:p>
  </w:endnote>
  <w:endnote w:id="40">
    <w:p w14:paraId="605CB53D" w14:textId="20427A42" w:rsidR="00EA12AB" w:rsidRDefault="00EA12AB" w:rsidP="00EA12AB">
      <w:pPr>
        <w:pStyle w:val="EndnoteText"/>
      </w:pPr>
      <w:r w:rsidRPr="00F71A2A">
        <w:rPr>
          <w:rStyle w:val="EndnoteReference"/>
        </w:rPr>
        <w:endnoteRef/>
      </w:r>
      <w:r w:rsidRPr="00F71A2A">
        <w:t xml:space="preserve"> I</w:t>
      </w:r>
      <w:r w:rsidR="00446B16">
        <w:t xml:space="preserve">ndependent </w:t>
      </w:r>
      <w:r w:rsidRPr="00F71A2A">
        <w:t>N</w:t>
      </w:r>
      <w:r w:rsidR="00446B16">
        <w:t xml:space="preserve">ational </w:t>
      </w:r>
      <w:r w:rsidRPr="00F71A2A">
        <w:t>S</w:t>
      </w:r>
      <w:r w:rsidR="00446B16">
        <w:t xml:space="preserve">ecurity </w:t>
      </w:r>
      <w:r w:rsidRPr="00F71A2A">
        <w:t>L</w:t>
      </w:r>
      <w:r w:rsidR="00446B16">
        <w:t xml:space="preserve">egislation </w:t>
      </w:r>
      <w:r w:rsidRPr="00F71A2A">
        <w:t>M</w:t>
      </w:r>
      <w:r w:rsidR="00446B16">
        <w:t>onitor</w:t>
      </w:r>
      <w:r w:rsidR="00BA1E14" w:rsidRPr="00F71A2A">
        <w:t xml:space="preserve">, </w:t>
      </w:r>
      <w:r w:rsidR="00BA1E14" w:rsidRPr="00F71A2A">
        <w:rPr>
          <w:i/>
          <w:iCs/>
        </w:rPr>
        <w:t>Report on the impact on journalists of section 35P of the ASIO Act</w:t>
      </w:r>
      <w:r w:rsidR="00BA1E14" w:rsidRPr="00F71A2A">
        <w:t xml:space="preserve"> (October 2015), at</w:t>
      </w:r>
      <w:r w:rsidRPr="00F71A2A">
        <w:t xml:space="preserve"> [43]</w:t>
      </w:r>
    </w:p>
  </w:endnote>
  <w:endnote w:id="41">
    <w:p w14:paraId="10E67126" w14:textId="00F6DA1B" w:rsidR="007D60FB" w:rsidRDefault="007D60FB">
      <w:pPr>
        <w:pStyle w:val="EndnoteText"/>
      </w:pPr>
      <w:r>
        <w:rPr>
          <w:rStyle w:val="EndnoteReference"/>
        </w:rPr>
        <w:endnoteRef/>
      </w:r>
      <w:r>
        <w:t xml:space="preserve"> </w:t>
      </w:r>
      <w:r w:rsidR="00343408" w:rsidRPr="005748C4">
        <w:rPr>
          <w:i/>
          <w:iCs/>
        </w:rPr>
        <w:t>Criminal Code</w:t>
      </w:r>
      <w:r w:rsidR="00343408">
        <w:t xml:space="preserve"> (Cth), </w:t>
      </w:r>
      <w:r w:rsidR="00824DFE">
        <w:t>s</w:t>
      </w:r>
      <w:r w:rsidR="00343408">
        <w:t xml:space="preserve"> </w:t>
      </w:r>
      <w:r w:rsidR="00824DFE">
        <w:t>90.1</w:t>
      </w:r>
      <w:r w:rsidR="00343408">
        <w:t>.</w:t>
      </w:r>
      <w:r w:rsidR="00824DFE">
        <w:t xml:space="preserve"> </w:t>
      </w:r>
    </w:p>
  </w:endnote>
  <w:endnote w:id="42">
    <w:p w14:paraId="4E66F457" w14:textId="013CCF20" w:rsidR="006E73D6" w:rsidRPr="007A6768" w:rsidRDefault="006E73D6" w:rsidP="006E73D6">
      <w:pPr>
        <w:pStyle w:val="EndnoteText"/>
      </w:pPr>
      <w:r w:rsidRPr="007A6768">
        <w:rPr>
          <w:rStyle w:val="EndnoteReference"/>
        </w:rPr>
        <w:endnoteRef/>
      </w:r>
      <w:r w:rsidRPr="007A6768">
        <w:t xml:space="preserve"> </w:t>
      </w:r>
      <w:r w:rsidR="00A60A6B" w:rsidRPr="0012139F">
        <w:rPr>
          <w:i/>
          <w:iCs/>
        </w:rPr>
        <w:t>AGD Secrecy Review</w:t>
      </w:r>
      <w:r w:rsidR="00A60A6B" w:rsidRPr="007A6768">
        <w:t xml:space="preserve">, </w:t>
      </w:r>
      <w:r w:rsidR="00722D4E" w:rsidRPr="007A6768">
        <w:t xml:space="preserve">at </w:t>
      </w:r>
      <w:r w:rsidR="00A60A6B" w:rsidRPr="007A6768">
        <w:t>[</w:t>
      </w:r>
      <w:r w:rsidRPr="007A6768">
        <w:t>16</w:t>
      </w:r>
      <w:r w:rsidR="00CC69AC">
        <w:t>1</w:t>
      </w:r>
      <w:r w:rsidR="00602CD1" w:rsidRPr="007A6768">
        <w:t>].</w:t>
      </w:r>
    </w:p>
  </w:endnote>
  <w:endnote w:id="43">
    <w:p w14:paraId="13AA9ED3" w14:textId="371E272B" w:rsidR="008B72CD" w:rsidRPr="007A6768" w:rsidRDefault="008B72CD">
      <w:pPr>
        <w:pStyle w:val="EndnoteText"/>
      </w:pPr>
      <w:r w:rsidRPr="007A6768">
        <w:rPr>
          <w:rStyle w:val="EndnoteReference"/>
        </w:rPr>
        <w:endnoteRef/>
      </w:r>
      <w:r w:rsidRPr="007A6768">
        <w:t xml:space="preserve"> </w:t>
      </w:r>
      <w:r w:rsidR="005F2946" w:rsidRPr="007A6768">
        <w:t>Parliamentary Joint Committee on Intelligence and Security</w:t>
      </w:r>
      <w:r w:rsidR="002668B3" w:rsidRPr="007A6768">
        <w:t xml:space="preserve">, </w:t>
      </w:r>
      <w:r w:rsidR="002668B3" w:rsidRPr="007A6768">
        <w:rPr>
          <w:i/>
          <w:iCs/>
        </w:rPr>
        <w:t>Advisory Report on the</w:t>
      </w:r>
      <w:r w:rsidR="002668B3" w:rsidRPr="007A6768">
        <w:t xml:space="preserve"> </w:t>
      </w:r>
      <w:r w:rsidR="002668B3" w:rsidRPr="007A6768">
        <w:rPr>
          <w:i/>
          <w:iCs/>
        </w:rPr>
        <w:t>National Security Legislation Amendment (Espionage and Foreign Interference) Bill 2017</w:t>
      </w:r>
      <w:r w:rsidR="00CC16F9" w:rsidRPr="007A6768">
        <w:t xml:space="preserve"> </w:t>
      </w:r>
      <w:r w:rsidR="002668B3" w:rsidRPr="007A6768">
        <w:t>(2018)</w:t>
      </w:r>
      <w:r w:rsidR="00722D4E" w:rsidRPr="007A6768">
        <w:t>,</w:t>
      </w:r>
      <w:r w:rsidR="002668B3" w:rsidRPr="007A6768">
        <w:t xml:space="preserve"> [</w:t>
      </w:r>
      <w:r w:rsidRPr="007A6768">
        <w:t>2.305</w:t>
      </w:r>
      <w:r w:rsidR="002668B3" w:rsidRPr="007A6768">
        <w:t>]</w:t>
      </w:r>
      <w:r w:rsidR="00722D4E" w:rsidRPr="007A6768">
        <w:t xml:space="preserve"> – [2.306]</w:t>
      </w:r>
      <w:r w:rsidR="002668B3" w:rsidRPr="007A6768">
        <w:t xml:space="preserve">. </w:t>
      </w:r>
    </w:p>
  </w:endnote>
  <w:endnote w:id="44">
    <w:p w14:paraId="0CD7EAAA" w14:textId="3E5866AE" w:rsidR="00BE60A0" w:rsidRDefault="00BE60A0">
      <w:pPr>
        <w:pStyle w:val="EndnoteText"/>
      </w:pPr>
      <w:r>
        <w:rPr>
          <w:rStyle w:val="EndnoteReference"/>
        </w:rPr>
        <w:endnoteRef/>
      </w:r>
      <w:r>
        <w:t xml:space="preserve"> </w:t>
      </w:r>
      <w:r w:rsidR="00131AEB" w:rsidRPr="00F71A2A">
        <w:t>I</w:t>
      </w:r>
      <w:r w:rsidR="00131AEB">
        <w:t xml:space="preserve">ndependent </w:t>
      </w:r>
      <w:r w:rsidR="00131AEB" w:rsidRPr="00F71A2A">
        <w:t>N</w:t>
      </w:r>
      <w:r w:rsidR="00131AEB">
        <w:t xml:space="preserve">ational </w:t>
      </w:r>
      <w:r w:rsidR="00131AEB" w:rsidRPr="00F71A2A">
        <w:t>S</w:t>
      </w:r>
      <w:r w:rsidR="00131AEB">
        <w:t xml:space="preserve">ecurity </w:t>
      </w:r>
      <w:r w:rsidR="00131AEB" w:rsidRPr="00F71A2A">
        <w:t>L</w:t>
      </w:r>
      <w:r w:rsidR="00131AEB">
        <w:t xml:space="preserve">egislation </w:t>
      </w:r>
      <w:r w:rsidR="00131AEB" w:rsidRPr="00F71A2A">
        <w:t>M</w:t>
      </w:r>
      <w:r w:rsidR="00131AEB">
        <w:t>onitor,</w:t>
      </w:r>
      <w:r w:rsidR="00131AEB" w:rsidRPr="00E73853">
        <w:t xml:space="preserve"> Issues paper in relation to the Review of secrecy offences in Part 5.6 of the </w:t>
      </w:r>
      <w:r w:rsidR="00131AEB" w:rsidRPr="00E73853">
        <w:rPr>
          <w:i/>
          <w:iCs/>
        </w:rPr>
        <w:t>Criminal Code 1995</w:t>
      </w:r>
      <w:r w:rsidR="00131AEB" w:rsidRPr="00E73853">
        <w:t xml:space="preserve"> (January 2024), </w:t>
      </w:r>
      <w:r w:rsidR="0023058F">
        <w:t>Issue 27.</w:t>
      </w:r>
    </w:p>
  </w:endnote>
  <w:endnote w:id="45">
    <w:p w14:paraId="2983C8F3" w14:textId="392D781F" w:rsidR="00030F5C" w:rsidRDefault="00030F5C">
      <w:pPr>
        <w:pStyle w:val="EndnoteText"/>
      </w:pPr>
      <w:r w:rsidRPr="007A6768">
        <w:rPr>
          <w:rStyle w:val="EndnoteReference"/>
        </w:rPr>
        <w:endnoteRef/>
      </w:r>
      <w:r w:rsidRPr="007A6768">
        <w:t xml:space="preserve"> </w:t>
      </w:r>
      <w:r w:rsidR="00787EA3" w:rsidRPr="007A6768">
        <w:rPr>
          <w:i/>
          <w:iCs/>
        </w:rPr>
        <w:t>Criminal Code</w:t>
      </w:r>
      <w:r w:rsidR="00787EA3" w:rsidRPr="007A6768">
        <w:t xml:space="preserve"> (Cth), s</w:t>
      </w:r>
      <w:r w:rsidRPr="007A6768">
        <w:t xml:space="preserve"> 122.4(3).</w:t>
      </w:r>
      <w:r>
        <w:t xml:space="preserve"> </w:t>
      </w:r>
    </w:p>
  </w:endnote>
  <w:endnote w:id="46">
    <w:p w14:paraId="6F9CF940" w14:textId="4FE6B1E7" w:rsidR="003906E2" w:rsidRDefault="003906E2">
      <w:pPr>
        <w:pStyle w:val="EndnoteText"/>
      </w:pPr>
      <w:r>
        <w:rPr>
          <w:rStyle w:val="EndnoteReference"/>
        </w:rPr>
        <w:endnoteRef/>
      </w:r>
      <w:r>
        <w:t xml:space="preserve"> </w:t>
      </w:r>
      <w:r w:rsidR="00792590" w:rsidRPr="00BD6AF0">
        <w:rPr>
          <w:i/>
          <w:iCs/>
        </w:rPr>
        <w:t>AGD Secrecy Review</w:t>
      </w:r>
      <w:r w:rsidR="00921D1F">
        <w:t>,</w:t>
      </w:r>
      <w:r w:rsidR="00792590">
        <w:t xml:space="preserve"> [141]–[151].</w:t>
      </w:r>
    </w:p>
  </w:endnote>
  <w:endnote w:id="47">
    <w:p w14:paraId="326FCEAA" w14:textId="17A2CD12" w:rsidR="00185943" w:rsidRDefault="00185943">
      <w:pPr>
        <w:pStyle w:val="EndnoteText"/>
      </w:pPr>
      <w:r>
        <w:rPr>
          <w:rStyle w:val="EndnoteReference"/>
        </w:rPr>
        <w:endnoteRef/>
      </w:r>
      <w:r>
        <w:t xml:space="preserve"> </w:t>
      </w:r>
      <w:r w:rsidR="00921D1F" w:rsidRPr="0012139F">
        <w:rPr>
          <w:i/>
          <w:iCs/>
        </w:rPr>
        <w:t>ALRC 2009 Secrecy Laws Report</w:t>
      </w:r>
      <w:r w:rsidR="00921D1F">
        <w:t>, at</w:t>
      </w:r>
      <w:r>
        <w:t xml:space="preserve"> </w:t>
      </w:r>
      <w:r w:rsidR="00921D1F">
        <w:t>[</w:t>
      </w:r>
      <w:r>
        <w:t>12.52</w:t>
      </w:r>
      <w:r w:rsidR="00921D1F">
        <w:t xml:space="preserve">]. </w:t>
      </w:r>
    </w:p>
  </w:endnote>
  <w:endnote w:id="48">
    <w:p w14:paraId="5DEA8EED" w14:textId="6301D281" w:rsidR="007B4C71" w:rsidRDefault="0035727E" w:rsidP="00ED5B77">
      <w:pPr>
        <w:pStyle w:val="EndnoteText"/>
      </w:pPr>
      <w:r>
        <w:rPr>
          <w:rStyle w:val="EndnoteReference"/>
        </w:rPr>
        <w:endnoteRef/>
      </w:r>
      <w:r>
        <w:t xml:space="preserve"> </w:t>
      </w:r>
      <w:r w:rsidR="00A60A6B" w:rsidRPr="0012139F">
        <w:rPr>
          <w:i/>
          <w:iCs/>
        </w:rPr>
        <w:t>ALRC 2009 Secrecy Laws Report</w:t>
      </w:r>
      <w:r w:rsidR="00A60A6B">
        <w:t>, a</w:t>
      </w:r>
      <w:r>
        <w:t>t [8.5]</w:t>
      </w:r>
      <w:r w:rsidR="00A60A6B">
        <w:t>.</w:t>
      </w:r>
      <w:r>
        <w:t xml:space="preserve"> </w:t>
      </w:r>
    </w:p>
  </w:endnote>
  <w:endnote w:id="49">
    <w:p w14:paraId="44B71619" w14:textId="21DC33C5" w:rsidR="00184F3F" w:rsidRDefault="00184F3F">
      <w:pPr>
        <w:pStyle w:val="EndnoteText"/>
      </w:pPr>
      <w:r>
        <w:rPr>
          <w:rStyle w:val="EndnoteReference"/>
        </w:rPr>
        <w:endnoteRef/>
      </w:r>
      <w:r>
        <w:t xml:space="preserve"> A</w:t>
      </w:r>
      <w:r w:rsidR="00ED5B77">
        <w:t>ustralian Human Rights Commission,</w:t>
      </w:r>
      <w:r>
        <w:t xml:space="preserve"> </w:t>
      </w:r>
      <w:r w:rsidR="009D307D">
        <w:rPr>
          <w:i/>
          <w:iCs/>
        </w:rPr>
        <w:t>S</w:t>
      </w:r>
      <w:r w:rsidRPr="003E0A8B">
        <w:rPr>
          <w:i/>
          <w:iCs/>
        </w:rPr>
        <w:t xml:space="preserve">ubmission </w:t>
      </w:r>
      <w:r w:rsidR="00ED5B77" w:rsidRPr="003E0A8B">
        <w:rPr>
          <w:i/>
          <w:iCs/>
        </w:rPr>
        <w:t xml:space="preserve">to the </w:t>
      </w:r>
      <w:r w:rsidR="00D8196D" w:rsidRPr="003E0A8B">
        <w:rPr>
          <w:i/>
          <w:iCs/>
        </w:rPr>
        <w:t>AGD in relation to the Public sector whistleblowing reforms – stage 2</w:t>
      </w:r>
      <w:r w:rsidR="003E0A8B">
        <w:t xml:space="preserve"> (22 December 2023), at</w:t>
      </w:r>
      <w:r w:rsidR="0095532C">
        <w:t xml:space="preserve"> </w:t>
      </w:r>
      <w:r w:rsidR="00C94766">
        <w:t>[</w:t>
      </w:r>
      <w:r w:rsidR="00C94766" w:rsidRPr="006B161E">
        <w:t xml:space="preserve">111] </w:t>
      </w:r>
      <w:r w:rsidR="0094508E" w:rsidRPr="006B161E">
        <w:t>–</w:t>
      </w:r>
      <w:r w:rsidR="00C94766" w:rsidRPr="006B161E">
        <w:t xml:space="preserve"> </w:t>
      </w:r>
      <w:r w:rsidR="0094508E" w:rsidRPr="006B161E">
        <w:t>[132]</w:t>
      </w:r>
      <w:r w:rsidR="006B161E" w:rsidRPr="006B161E">
        <w:t>.</w:t>
      </w:r>
    </w:p>
  </w:endnote>
  <w:endnote w:id="50">
    <w:p w14:paraId="6567A105" w14:textId="49265BDB" w:rsidR="0095383A" w:rsidRPr="00E73853" w:rsidRDefault="0095383A">
      <w:pPr>
        <w:pStyle w:val="EndnoteText"/>
      </w:pPr>
      <w:r>
        <w:rPr>
          <w:rStyle w:val="EndnoteReference"/>
        </w:rPr>
        <w:endnoteRef/>
      </w:r>
      <w:r>
        <w:t xml:space="preserve"> </w:t>
      </w:r>
      <w:r w:rsidR="00A32839">
        <w:t xml:space="preserve">Australian Human Rights Commission, </w:t>
      </w:r>
      <w:r w:rsidR="00A32839" w:rsidRPr="003E0A8B">
        <w:rPr>
          <w:i/>
          <w:iCs/>
        </w:rPr>
        <w:t xml:space="preserve">submission to the AGD in relation to the Public sector </w:t>
      </w:r>
      <w:r w:rsidR="00A32839" w:rsidRPr="00E73853">
        <w:rPr>
          <w:i/>
          <w:iCs/>
        </w:rPr>
        <w:t>whistleblowing reforms – stage 2</w:t>
      </w:r>
      <w:r w:rsidR="00A32839" w:rsidRPr="00E73853">
        <w:t xml:space="preserve"> (22 December 2023), at </w:t>
      </w:r>
      <w:r w:rsidR="0072373A" w:rsidRPr="00E73853">
        <w:t xml:space="preserve">[115]. </w:t>
      </w:r>
    </w:p>
  </w:endnote>
  <w:endnote w:id="51">
    <w:p w14:paraId="2EA04883" w14:textId="04146B47" w:rsidR="004053FE" w:rsidRDefault="004053FE">
      <w:pPr>
        <w:pStyle w:val="EndnoteText"/>
      </w:pPr>
      <w:r w:rsidRPr="00E73853">
        <w:rPr>
          <w:rStyle w:val="EndnoteReference"/>
        </w:rPr>
        <w:endnoteRef/>
      </w:r>
      <w:r w:rsidRPr="00E73853">
        <w:t xml:space="preserve"> </w:t>
      </w:r>
      <w:r w:rsidR="00446B16" w:rsidRPr="00F71A2A">
        <w:t>I</w:t>
      </w:r>
      <w:r w:rsidR="00446B16">
        <w:t xml:space="preserve">ndependent </w:t>
      </w:r>
      <w:r w:rsidR="00446B16" w:rsidRPr="00F71A2A">
        <w:t>N</w:t>
      </w:r>
      <w:r w:rsidR="00446B16">
        <w:t xml:space="preserve">ational </w:t>
      </w:r>
      <w:r w:rsidR="00446B16" w:rsidRPr="00F71A2A">
        <w:t>S</w:t>
      </w:r>
      <w:r w:rsidR="00446B16">
        <w:t xml:space="preserve">ecurity </w:t>
      </w:r>
      <w:r w:rsidR="00446B16" w:rsidRPr="00F71A2A">
        <w:t>L</w:t>
      </w:r>
      <w:r w:rsidR="00446B16">
        <w:t xml:space="preserve">egislation </w:t>
      </w:r>
      <w:r w:rsidR="00446B16" w:rsidRPr="00F71A2A">
        <w:t>M</w:t>
      </w:r>
      <w:r w:rsidR="00446B16">
        <w:t>onitor,</w:t>
      </w:r>
      <w:r w:rsidR="005D45A1" w:rsidRPr="00E73853">
        <w:t xml:space="preserve"> Issues paper</w:t>
      </w:r>
      <w:r w:rsidR="00A93581" w:rsidRPr="00E73853">
        <w:t xml:space="preserve"> </w:t>
      </w:r>
      <w:r w:rsidR="005E5263" w:rsidRPr="00E73853">
        <w:t>in relation to</w:t>
      </w:r>
      <w:r w:rsidR="00A93581" w:rsidRPr="00E73853">
        <w:t xml:space="preserve"> the</w:t>
      </w:r>
      <w:r w:rsidR="00E73853" w:rsidRPr="00E73853">
        <w:t xml:space="preserve"> </w:t>
      </w:r>
      <w:r w:rsidR="00A93581" w:rsidRPr="00E73853">
        <w:t>Re</w:t>
      </w:r>
      <w:r w:rsidR="005E5263" w:rsidRPr="00E73853">
        <w:t xml:space="preserve">view of secrecy offences in Part 5.6 of the </w:t>
      </w:r>
      <w:r w:rsidR="005E5263" w:rsidRPr="00E73853">
        <w:rPr>
          <w:i/>
          <w:iCs/>
        </w:rPr>
        <w:t>Criminal Code 1995</w:t>
      </w:r>
      <w:r w:rsidR="005E5263" w:rsidRPr="00E73853">
        <w:t xml:space="preserve"> </w:t>
      </w:r>
      <w:r w:rsidR="00A93581" w:rsidRPr="00E73853">
        <w:t>(January 2024), at</w:t>
      </w:r>
      <w:r w:rsidR="005D45A1" w:rsidRPr="00E73853">
        <w:t xml:space="preserve"> [2.88]</w:t>
      </w:r>
      <w:r w:rsidR="00A93581" w:rsidRPr="00E73853">
        <w:t>.</w:t>
      </w:r>
    </w:p>
  </w:endnote>
  <w:endnote w:id="52">
    <w:p w14:paraId="7194D171" w14:textId="2DE684FB" w:rsidR="00F33A5C" w:rsidRPr="006F54C8" w:rsidRDefault="00F33A5C">
      <w:pPr>
        <w:pStyle w:val="EndnoteText"/>
      </w:pPr>
      <w:r w:rsidRPr="006F54C8">
        <w:rPr>
          <w:rStyle w:val="EndnoteReference"/>
        </w:rPr>
        <w:endnoteRef/>
      </w:r>
      <w:r w:rsidRPr="006F54C8">
        <w:t xml:space="preserve"> </w:t>
      </w:r>
      <w:r w:rsidR="00EF3D4B" w:rsidRPr="006F54C8">
        <w:t xml:space="preserve">Law Council of Australia, </w:t>
      </w:r>
      <w:r w:rsidR="00EF3D4B" w:rsidRPr="006F54C8">
        <w:rPr>
          <w:i/>
          <w:iCs/>
        </w:rPr>
        <w:t>Submission to the AGD Review of Secrecy Provisions</w:t>
      </w:r>
      <w:r w:rsidR="00EF3D4B" w:rsidRPr="006F54C8">
        <w:t xml:space="preserve"> (22 May 2023), </w:t>
      </w:r>
      <w:r w:rsidRPr="006F54C8">
        <w:t>[88]</w:t>
      </w:r>
      <w:r w:rsidR="00EF3D4B" w:rsidRPr="006F54C8">
        <w:t>.</w:t>
      </w:r>
    </w:p>
  </w:endnote>
  <w:endnote w:id="53">
    <w:p w14:paraId="74C55606" w14:textId="55E618CC" w:rsidR="00A257B4" w:rsidRPr="006F54C8" w:rsidRDefault="00A257B4">
      <w:pPr>
        <w:pStyle w:val="EndnoteText"/>
      </w:pPr>
      <w:r w:rsidRPr="006F54C8">
        <w:rPr>
          <w:rStyle w:val="EndnoteReference"/>
        </w:rPr>
        <w:endnoteRef/>
      </w:r>
      <w:r w:rsidR="00C73A42" w:rsidRPr="006F54C8">
        <w:t xml:space="preserve"> </w:t>
      </w:r>
      <w:r w:rsidR="00EF3D4B" w:rsidRPr="006F54C8">
        <w:t xml:space="preserve">Law Council of Australia, </w:t>
      </w:r>
      <w:r w:rsidR="00EF3D4B" w:rsidRPr="006F54C8">
        <w:rPr>
          <w:i/>
          <w:iCs/>
        </w:rPr>
        <w:t>Submission to the AGD Review of Secrecy Provisions</w:t>
      </w:r>
      <w:r w:rsidR="00EF3D4B" w:rsidRPr="006F54C8">
        <w:t xml:space="preserve"> (22 May 2023), </w:t>
      </w:r>
      <w:r w:rsidR="00C73A42" w:rsidRPr="006F54C8">
        <w:t>[93]</w:t>
      </w:r>
      <w:r w:rsidR="00EF3D4B" w:rsidRPr="006F54C8">
        <w:t>.</w:t>
      </w:r>
    </w:p>
  </w:endnote>
  <w:endnote w:id="54">
    <w:p w14:paraId="2280E1A7" w14:textId="0048BF3A" w:rsidR="00812026" w:rsidRPr="006F54C8" w:rsidRDefault="00812026">
      <w:pPr>
        <w:pStyle w:val="EndnoteText"/>
      </w:pPr>
      <w:r w:rsidRPr="006F54C8">
        <w:rPr>
          <w:rStyle w:val="EndnoteReference"/>
        </w:rPr>
        <w:endnoteRef/>
      </w:r>
      <w:r w:rsidRPr="006F54C8">
        <w:t xml:space="preserve"> </w:t>
      </w:r>
      <w:r w:rsidR="00EF3D4B" w:rsidRPr="006F54C8">
        <w:t xml:space="preserve">Law Council of Australia, </w:t>
      </w:r>
      <w:r w:rsidR="00EF3D4B" w:rsidRPr="006F54C8">
        <w:rPr>
          <w:i/>
          <w:iCs/>
        </w:rPr>
        <w:t>Submission to the AGD Review of Secrecy Provisions</w:t>
      </w:r>
      <w:r w:rsidR="00EF3D4B" w:rsidRPr="006F54C8">
        <w:t xml:space="preserve"> (22 May 2023), </w:t>
      </w:r>
      <w:r w:rsidRPr="006F54C8">
        <w:t>[94]</w:t>
      </w:r>
      <w:r w:rsidR="00EF3D4B" w:rsidRPr="006F54C8">
        <w:t>.</w:t>
      </w:r>
    </w:p>
  </w:endnote>
  <w:endnote w:id="55">
    <w:p w14:paraId="51EDB1D0" w14:textId="58CECF0C" w:rsidR="00CB6432" w:rsidRDefault="00CB6432">
      <w:pPr>
        <w:pStyle w:val="EndnoteText"/>
      </w:pPr>
      <w:r w:rsidRPr="006F54C8">
        <w:rPr>
          <w:rStyle w:val="EndnoteReference"/>
        </w:rPr>
        <w:endnoteRef/>
      </w:r>
      <w:r w:rsidRPr="006F54C8">
        <w:t xml:space="preserve"> </w:t>
      </w:r>
      <w:r w:rsidR="00870403" w:rsidRPr="006F54C8">
        <w:t xml:space="preserve">Attorney-General’s Department, </w:t>
      </w:r>
      <w:r w:rsidR="006F54C8" w:rsidRPr="006F54C8">
        <w:rPr>
          <w:i/>
          <w:iCs/>
        </w:rPr>
        <w:t xml:space="preserve">A </w:t>
      </w:r>
      <w:r w:rsidR="00870403" w:rsidRPr="006F54C8">
        <w:rPr>
          <w:i/>
          <w:iCs/>
        </w:rPr>
        <w:t>Guide to Framing Commonwealth Offences, Infringement Notices and Enforcement Powers</w:t>
      </w:r>
      <w:r w:rsidR="00870403" w:rsidRPr="006F54C8">
        <w:t xml:space="preserve"> (September 2011)</w:t>
      </w:r>
      <w:r w:rsidR="004A03D1" w:rsidRPr="006F54C8">
        <w:t xml:space="preserve">, </w:t>
      </w:r>
      <w:r w:rsidR="001A6527" w:rsidRPr="006F54C8">
        <w:t>at [</w:t>
      </w:r>
      <w:r w:rsidR="004A03D1" w:rsidRPr="006F54C8">
        <w:t>4.3.1</w:t>
      </w:r>
      <w:r w:rsidR="001A6527" w:rsidRPr="006F54C8">
        <w:t>]</w:t>
      </w:r>
      <w:r w:rsidR="00C379A2">
        <w:t xml:space="preserve">; </w:t>
      </w:r>
      <w:r w:rsidR="00C379A2" w:rsidRPr="00C379A2">
        <w:rPr>
          <w:i/>
          <w:iCs/>
        </w:rPr>
        <w:t>Criminal Code</w:t>
      </w:r>
      <w:r w:rsidR="00C379A2">
        <w:t xml:space="preserve"> (Cth), s 13.3(3)</w:t>
      </w:r>
      <w:r w:rsidR="001A6527" w:rsidRPr="006F54C8">
        <w:t>.</w:t>
      </w:r>
      <w:r w:rsidR="004A03D1">
        <w:t xml:space="preserve"> </w:t>
      </w:r>
    </w:p>
  </w:endnote>
  <w:endnote w:id="56">
    <w:p w14:paraId="5E365A31" w14:textId="728E79F4" w:rsidR="00C2673E" w:rsidRDefault="00C2673E" w:rsidP="00C2673E">
      <w:pPr>
        <w:pStyle w:val="EndnoteText"/>
      </w:pPr>
      <w:r>
        <w:rPr>
          <w:rStyle w:val="EndnoteReference"/>
        </w:rPr>
        <w:endnoteRef/>
      </w:r>
      <w:r>
        <w:t xml:space="preserve"> </w:t>
      </w:r>
      <w:r w:rsidR="003E28A8" w:rsidRPr="00BD6AF0">
        <w:rPr>
          <w:i/>
          <w:iCs/>
        </w:rPr>
        <w:t>AGD Secrecy Review</w:t>
      </w:r>
      <w:r w:rsidR="003E28A8">
        <w:t>, at [212].</w:t>
      </w:r>
    </w:p>
  </w:endnote>
  <w:endnote w:id="57">
    <w:p w14:paraId="75587DC2" w14:textId="1757DC75" w:rsidR="002938CB" w:rsidRDefault="002938CB">
      <w:pPr>
        <w:pStyle w:val="EndnoteText"/>
      </w:pPr>
      <w:r>
        <w:rPr>
          <w:rStyle w:val="EndnoteReference"/>
        </w:rPr>
        <w:endnoteRef/>
      </w:r>
      <w:r>
        <w:t xml:space="preserve"> </w:t>
      </w:r>
      <w:r w:rsidR="00600A77">
        <w:t>P</w:t>
      </w:r>
      <w:r w:rsidR="0084032F">
        <w:t xml:space="preserve">arliamentary </w:t>
      </w:r>
      <w:r w:rsidR="00F26513">
        <w:t>Joint Committee on Human Rights</w:t>
      </w:r>
      <w:r w:rsidR="00600A77">
        <w:t xml:space="preserve">, Human </w:t>
      </w:r>
      <w:r w:rsidR="00AA4671">
        <w:t xml:space="preserve">rights scrutiny </w:t>
      </w:r>
      <w:r w:rsidR="00600A77">
        <w:t xml:space="preserve">report, </w:t>
      </w:r>
      <w:r w:rsidR="00AA4671">
        <w:t>Report 2 of 2018 (</w:t>
      </w:r>
      <w:r w:rsidR="00600A77">
        <w:t xml:space="preserve">13 </w:t>
      </w:r>
      <w:r w:rsidR="00AA4671">
        <w:t>F</w:t>
      </w:r>
      <w:r w:rsidR="00600A77">
        <w:t>ebruary 2018</w:t>
      </w:r>
      <w:r w:rsidR="00AA4671">
        <w:t>)</w:t>
      </w:r>
      <w:r w:rsidR="00DB6129">
        <w:t>,</w:t>
      </w:r>
      <w:r w:rsidR="00AA4671">
        <w:t xml:space="preserve"> </w:t>
      </w:r>
      <w:r w:rsidR="00DB6129">
        <w:t>at</w:t>
      </w:r>
      <w:r w:rsidR="001C491B">
        <w:t xml:space="preserve"> </w:t>
      </w:r>
      <w:r>
        <w:t>[1.53]</w:t>
      </w:r>
    </w:p>
  </w:endnote>
  <w:endnote w:id="58">
    <w:p w14:paraId="4970ADC3" w14:textId="5B285DF9" w:rsidR="008C371B" w:rsidRDefault="008C371B">
      <w:pPr>
        <w:pStyle w:val="EndnoteText"/>
      </w:pPr>
      <w:r>
        <w:rPr>
          <w:rStyle w:val="EndnoteReference"/>
        </w:rPr>
        <w:endnoteRef/>
      </w:r>
      <w:r>
        <w:t xml:space="preserve"> </w:t>
      </w:r>
      <w:r w:rsidR="00CC16F9" w:rsidRPr="00BD6AF0">
        <w:rPr>
          <w:i/>
          <w:iCs/>
        </w:rPr>
        <w:t>AGD Secrecy Review</w:t>
      </w:r>
      <w:r w:rsidR="00CC16F9">
        <w:t>, at</w:t>
      </w:r>
      <w:r w:rsidR="002D60CD">
        <w:t xml:space="preserve"> [212]</w:t>
      </w:r>
      <w:r w:rsidR="00CC16F9">
        <w:t>.</w:t>
      </w:r>
    </w:p>
  </w:endnote>
  <w:endnote w:id="59">
    <w:p w14:paraId="5ACE972B" w14:textId="0DCC3A21" w:rsidR="00F802AD" w:rsidRDefault="00F802AD">
      <w:pPr>
        <w:pStyle w:val="EndnoteText"/>
      </w:pPr>
      <w:r>
        <w:rPr>
          <w:rStyle w:val="EndnoteReference"/>
        </w:rPr>
        <w:endnoteRef/>
      </w:r>
      <w:r>
        <w:t xml:space="preserve"> </w:t>
      </w:r>
      <w:r w:rsidRPr="006F54C8">
        <w:t xml:space="preserve">Law Council of Australia, </w:t>
      </w:r>
      <w:r w:rsidRPr="006F54C8">
        <w:rPr>
          <w:i/>
          <w:iCs/>
        </w:rPr>
        <w:t>Submission to the AGD Review of Secrecy Provisions</w:t>
      </w:r>
      <w:r w:rsidRPr="006F54C8">
        <w:t xml:space="preserve"> (22 May 2023), </w:t>
      </w:r>
      <w:r>
        <w:t>[85].</w:t>
      </w:r>
    </w:p>
  </w:endnote>
  <w:endnote w:id="60">
    <w:p w14:paraId="6E3A55D4" w14:textId="6E64CE53" w:rsidR="00E35F69" w:rsidRDefault="00E35F69">
      <w:pPr>
        <w:pStyle w:val="EndnoteText"/>
      </w:pPr>
      <w:r>
        <w:rPr>
          <w:rStyle w:val="EndnoteReference"/>
        </w:rPr>
        <w:endnoteRef/>
      </w:r>
      <w:r>
        <w:t xml:space="preserve"> </w:t>
      </w:r>
      <w:r w:rsidR="00787EA3" w:rsidRPr="005748C4">
        <w:rPr>
          <w:i/>
          <w:iCs/>
        </w:rPr>
        <w:t>Criminal Code</w:t>
      </w:r>
      <w:r w:rsidR="00787EA3">
        <w:t xml:space="preserve"> (Cth), s 123.5.</w:t>
      </w:r>
    </w:p>
  </w:endnote>
  <w:endnote w:id="61">
    <w:p w14:paraId="2A74C540" w14:textId="0F9D2FC4" w:rsidR="00071F73" w:rsidRDefault="00071F73">
      <w:pPr>
        <w:pStyle w:val="EndnoteText"/>
      </w:pPr>
      <w:r>
        <w:rPr>
          <w:rStyle w:val="EndnoteReference"/>
        </w:rPr>
        <w:endnoteRef/>
      </w:r>
      <w:r>
        <w:t xml:space="preserve"> </w:t>
      </w:r>
      <w:r w:rsidR="00446B16">
        <w:t xml:space="preserve">Parliamentary Joint Committee on </w:t>
      </w:r>
      <w:r w:rsidR="00446B16" w:rsidRPr="00832577">
        <w:t>Intelligence and Security</w:t>
      </w:r>
      <w:r w:rsidR="00CC16F9" w:rsidRPr="00832577">
        <w:t xml:space="preserve">, </w:t>
      </w:r>
      <w:r w:rsidR="00CC16F9" w:rsidRPr="00832577">
        <w:rPr>
          <w:i/>
          <w:iCs/>
        </w:rPr>
        <w:t>Advisory Report on the</w:t>
      </w:r>
      <w:r w:rsidR="00CC16F9" w:rsidRPr="00832577">
        <w:t xml:space="preserve"> </w:t>
      </w:r>
      <w:r w:rsidR="00CC16F9" w:rsidRPr="00832577">
        <w:rPr>
          <w:i/>
          <w:iCs/>
        </w:rPr>
        <w:t>National Security Legislation Amendment (Espionage and Foreign Interference) Bill 2017</w:t>
      </w:r>
      <w:r w:rsidR="00CC16F9" w:rsidRPr="00832577">
        <w:t xml:space="preserve"> (2018),</w:t>
      </w:r>
      <w:r w:rsidR="00095410" w:rsidRPr="00832577">
        <w:t xml:space="preserve"> </w:t>
      </w:r>
      <w:r w:rsidR="00832577" w:rsidRPr="00832577">
        <w:t>at [</w:t>
      </w:r>
      <w:r w:rsidR="00095410" w:rsidRPr="00832577">
        <w:t>5.140</w:t>
      </w:r>
      <w:r w:rsidR="00832577" w:rsidRPr="00832577">
        <w:t>].</w:t>
      </w:r>
    </w:p>
  </w:endnote>
  <w:endnote w:id="62">
    <w:p w14:paraId="2C30FAEB" w14:textId="5D71202A" w:rsidR="003B082A" w:rsidRDefault="003B082A">
      <w:pPr>
        <w:pStyle w:val="EndnoteText"/>
      </w:pPr>
      <w:r>
        <w:rPr>
          <w:rStyle w:val="EndnoteReference"/>
        </w:rPr>
        <w:endnoteRef/>
      </w:r>
      <w:r>
        <w:t xml:space="preserve"> </w:t>
      </w:r>
      <w:r w:rsidRPr="00BD6AF0">
        <w:rPr>
          <w:i/>
          <w:iCs/>
        </w:rPr>
        <w:t>AGD Secrecy Review</w:t>
      </w:r>
      <w:r>
        <w:t>, at</w:t>
      </w:r>
      <w:r w:rsidR="009D40AC">
        <w:t xml:space="preserve"> [226], [</w:t>
      </w:r>
      <w:r w:rsidR="00F86F12">
        <w:t>168]</w:t>
      </w:r>
    </w:p>
  </w:endnote>
  <w:endnote w:id="63">
    <w:p w14:paraId="1D98A678" w14:textId="418B3E04" w:rsidR="00240563" w:rsidRDefault="00240563" w:rsidP="00ED5DEE">
      <w:pPr>
        <w:pStyle w:val="EndnoteText"/>
      </w:pPr>
      <w:r>
        <w:rPr>
          <w:rStyle w:val="EndnoteReference"/>
        </w:rPr>
        <w:endnoteRef/>
      </w:r>
      <w:r>
        <w:t xml:space="preserve"> </w:t>
      </w:r>
      <w:r w:rsidR="00CD39D6">
        <w:t xml:space="preserve">Revised </w:t>
      </w:r>
      <w:r w:rsidRPr="00B735E1">
        <w:t xml:space="preserve">Explanatory Memorandum to the </w:t>
      </w:r>
      <w:r w:rsidRPr="00B735E1">
        <w:rPr>
          <w:i/>
          <w:iCs/>
        </w:rPr>
        <w:t>National Security Legislation Amendment (Espionage and Foreign Interference) Bill 2017</w:t>
      </w:r>
      <w:r w:rsidRPr="00B735E1">
        <w:t>,</w:t>
      </w:r>
      <w:r w:rsidR="00CD39D6">
        <w:t xml:space="preserve"> at</w:t>
      </w:r>
      <w:r w:rsidRPr="00B735E1">
        <w:t xml:space="preserve"> [</w:t>
      </w:r>
      <w:r>
        <w:t xml:space="preserve">24]. </w:t>
      </w:r>
    </w:p>
  </w:endnote>
  <w:endnote w:id="64">
    <w:p w14:paraId="3F0EA5DF" w14:textId="5BC490BA" w:rsidR="00ED5DEE" w:rsidRDefault="00ED5DEE">
      <w:pPr>
        <w:pStyle w:val="EndnoteText"/>
      </w:pPr>
      <w:r>
        <w:rPr>
          <w:rStyle w:val="EndnoteReference"/>
        </w:rPr>
        <w:endnoteRef/>
      </w:r>
      <w:r>
        <w:t xml:space="preserve"> </w:t>
      </w:r>
      <w:r w:rsidRPr="00BD6AF0">
        <w:rPr>
          <w:i/>
          <w:iCs/>
        </w:rPr>
        <w:t>AGD Secrecy Review</w:t>
      </w:r>
      <w:r>
        <w:t>, at [223].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A2C5" w14:textId="77777777" w:rsidR="00AC636D" w:rsidRPr="000465F1" w:rsidRDefault="00AC636D" w:rsidP="000465F1">
    <w:pPr>
      <w:pStyle w:val="Footer"/>
    </w:pPr>
    <w:r w:rsidRPr="000465F1">
      <w:t>ABN 47 996 232 602</w:t>
    </w:r>
  </w:p>
  <w:p w14:paraId="7D982E63" w14:textId="77777777" w:rsidR="00AC636D" w:rsidRPr="000465F1" w:rsidRDefault="00AC636D" w:rsidP="000465F1">
    <w:pPr>
      <w:pStyle w:val="Footer"/>
    </w:pPr>
    <w:r w:rsidRPr="000465F1">
      <w:t>Level 3, 175 Pitt Street, Sydney NSW 2000</w:t>
    </w:r>
  </w:p>
  <w:p w14:paraId="52388F77" w14:textId="77777777" w:rsidR="00AC636D" w:rsidRPr="000465F1" w:rsidRDefault="00AC636D" w:rsidP="000465F1">
    <w:pPr>
      <w:pStyle w:val="Footer"/>
    </w:pPr>
    <w:r w:rsidRPr="000465F1">
      <w:t>GPO Box 5218, Sydney NSW 2001</w:t>
    </w:r>
  </w:p>
  <w:p w14:paraId="5EE499AD" w14:textId="77777777" w:rsidR="00AC636D" w:rsidRPr="000465F1" w:rsidRDefault="00AC636D" w:rsidP="000465F1">
    <w:pPr>
      <w:pStyle w:val="Footer"/>
    </w:pPr>
    <w:r w:rsidRPr="000465F1">
      <w:t>General enquiries 1300 369 711</w:t>
    </w:r>
  </w:p>
  <w:p w14:paraId="02E86CB3" w14:textId="77777777" w:rsidR="00AC636D" w:rsidRPr="000465F1" w:rsidRDefault="00AC636D" w:rsidP="000465F1">
    <w:pPr>
      <w:pStyle w:val="Footer"/>
    </w:pPr>
    <w:r w:rsidRPr="000465F1">
      <w:t>Complaints info line 1300 656 419</w:t>
    </w:r>
  </w:p>
  <w:p w14:paraId="299EC341"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58F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92BF"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52EB"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D235" w14:textId="77777777" w:rsidR="00202BC4" w:rsidRDefault="00202BC4" w:rsidP="00F14C6D">
      <w:r>
        <w:separator/>
      </w:r>
    </w:p>
  </w:footnote>
  <w:footnote w:type="continuationSeparator" w:id="0">
    <w:p w14:paraId="502C4783" w14:textId="77777777" w:rsidR="00202BC4" w:rsidRDefault="00202BC4" w:rsidP="00F14C6D">
      <w:r>
        <w:continuationSeparator/>
      </w:r>
    </w:p>
  </w:footnote>
  <w:footnote w:type="continuationNotice" w:id="1">
    <w:p w14:paraId="6301CB26" w14:textId="77777777" w:rsidR="00202BC4" w:rsidRDefault="00202B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B8BF" w14:textId="77777777" w:rsidR="00BF6406" w:rsidRPr="000465F1" w:rsidRDefault="00D97576" w:rsidP="000465F1">
    <w:pPr>
      <w:pStyle w:val="Header"/>
    </w:pPr>
    <w:r>
      <w:pict w14:anchorId="04113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74B93CEB"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0D1E" w14:textId="77777777" w:rsidR="00B34946" w:rsidRPr="000465F1" w:rsidRDefault="00D97576" w:rsidP="000465F1">
    <w:r>
      <w:pict w14:anchorId="22EFD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12491AA9"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0878" w14:textId="77777777" w:rsidR="00CC2AA0" w:rsidRDefault="00D97576" w:rsidP="002012F7">
    <w:pPr>
      <w:pStyle w:val="Header"/>
    </w:pPr>
    <w:r>
      <w:pict w14:anchorId="667C0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3E5DDDEE">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32CBCDB1" w14:textId="77777777" w:rsidR="008B3899" w:rsidRDefault="008B3899" w:rsidP="002012F7">
    <w:pPr>
      <w:pStyle w:val="Header"/>
    </w:pPr>
  </w:p>
  <w:p w14:paraId="4F9EE0EF"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BB12" w14:textId="5A82E3B6" w:rsidR="0015239E" w:rsidRPr="000465F1" w:rsidRDefault="0015239E" w:rsidP="0015239E">
    <w:pPr>
      <w:pStyle w:val="Header"/>
    </w:pPr>
    <w:r w:rsidRPr="000465F1">
      <w:t>Australian Human Rights Commission</w:t>
    </w:r>
  </w:p>
  <w:p w14:paraId="76516D5A" w14:textId="4BA8DB1B" w:rsidR="004F1276" w:rsidRDefault="004F1276" w:rsidP="004F1276">
    <w:pPr>
      <w:pStyle w:val="HeaderDocumentDate"/>
    </w:pPr>
    <w:r>
      <w:rPr>
        <w:rStyle w:val="HeaderDocumentTitle"/>
      </w:rPr>
      <w:t>Review of secrecy offences in Part 5.6 of the Criminal Code</w:t>
    </w:r>
    <w:r w:rsidRPr="001F62CC">
      <w:rPr>
        <w:rStyle w:val="HeaderDocumentTitle"/>
      </w:rPr>
      <w:t>,</w:t>
    </w:r>
    <w:r>
      <w:t xml:space="preserve"> </w:t>
    </w:r>
    <w:r w:rsidR="0031051A">
      <w:t>8</w:t>
    </w:r>
    <w:r>
      <w:t xml:space="preserve"> March 2024</w:t>
    </w:r>
  </w:p>
  <w:p w14:paraId="27CF49D2" w14:textId="77777777" w:rsidR="00C00733" w:rsidRPr="000465F1" w:rsidRDefault="00C00733" w:rsidP="00C00733">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8DBF" w14:textId="3A66EB23" w:rsidR="00BF6406" w:rsidRPr="000465F1" w:rsidRDefault="00BF6406" w:rsidP="00CA5D90">
    <w:pPr>
      <w:pStyle w:val="Header"/>
    </w:pPr>
    <w:bookmarkStart w:id="53" w:name="_Hlk514672172"/>
    <w:bookmarkStart w:id="54" w:name="_Hlk514672173"/>
    <w:r w:rsidRPr="000465F1">
      <w:t>Australian Human Rights Commission</w:t>
    </w:r>
  </w:p>
  <w:bookmarkEnd w:id="53"/>
  <w:bookmarkEnd w:id="54"/>
  <w:p w14:paraId="55139EAB" w14:textId="68526D7E" w:rsidR="00C00733" w:rsidRDefault="00B16BBA" w:rsidP="00C00733">
    <w:pPr>
      <w:pStyle w:val="HeaderDocumentDate"/>
    </w:pPr>
    <w:r>
      <w:rPr>
        <w:rStyle w:val="HeaderDocumentTitle"/>
      </w:rPr>
      <w:t xml:space="preserve">Review of </w:t>
    </w:r>
    <w:r w:rsidR="004F1276">
      <w:rPr>
        <w:rStyle w:val="HeaderDocumentTitle"/>
      </w:rPr>
      <w:t>secrecy offences in Part 5.6 of the Criminal Code</w:t>
    </w:r>
    <w:r w:rsidR="00C00733" w:rsidRPr="001F62CC">
      <w:rPr>
        <w:rStyle w:val="HeaderDocumentTitle"/>
      </w:rPr>
      <w:t>,</w:t>
    </w:r>
    <w:r w:rsidR="00C00733">
      <w:t xml:space="preserve"> </w:t>
    </w:r>
    <w:r w:rsidR="0031051A">
      <w:t>8</w:t>
    </w:r>
    <w:r w:rsidR="00477D62">
      <w:t xml:space="preserve"> </w:t>
    </w:r>
    <w:r w:rsidR="004F1276">
      <w:t xml:space="preserve">March </w:t>
    </w:r>
    <w:r w:rsidR="00477D62">
      <w:t>2024</w:t>
    </w:r>
  </w:p>
  <w:p w14:paraId="7DC704B7" w14:textId="77777777" w:rsidR="00C00733" w:rsidRPr="000465F1" w:rsidRDefault="00C00733" w:rsidP="00C00733">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A798" w14:textId="77777777" w:rsidR="0063009F" w:rsidRPr="000465F1" w:rsidRDefault="0063009F" w:rsidP="0063009F">
    <w:pPr>
      <w:pStyle w:val="Header"/>
    </w:pPr>
    <w:r w:rsidRPr="000465F1">
      <w:t>Australian Human Rights Commission</w:t>
    </w:r>
  </w:p>
  <w:p w14:paraId="4892653C" w14:textId="04DD3D76" w:rsidR="0063009F" w:rsidRPr="000465F1" w:rsidRDefault="00AE564D" w:rsidP="0063009F">
    <w:pPr>
      <w:pStyle w:val="HeaderDocumentDate"/>
    </w:pPr>
    <w:r>
      <w:rPr>
        <w:rStyle w:val="HeaderDocumentTitle"/>
      </w:rPr>
      <w:t xml:space="preserve">Review of </w:t>
    </w:r>
    <w:r w:rsidR="009B4F82">
      <w:rPr>
        <w:rStyle w:val="HeaderDocumentTitle"/>
      </w:rPr>
      <w:t xml:space="preserve">Secrecy </w:t>
    </w:r>
    <w:r w:rsidR="00F52BF0">
      <w:rPr>
        <w:rStyle w:val="HeaderDocumentTitle"/>
      </w:rPr>
      <w:t>Offences in Part 5.6 of the Criminal Code Act 1995</w:t>
    </w:r>
    <w:r w:rsidR="0063009F" w:rsidRPr="001F62CC">
      <w:rPr>
        <w:rStyle w:val="HeaderDocumentTitle"/>
      </w:rPr>
      <w:t>,</w:t>
    </w:r>
    <w:r w:rsidR="00C4594B">
      <w:rPr>
        <w:rStyle w:val="HeaderDocumentTitle"/>
      </w:rPr>
      <w:t xml:space="preserve"> </w:t>
    </w:r>
    <w:r w:rsidR="0031051A">
      <w:rPr>
        <w:rStyle w:val="HeaderDocumentTitle"/>
        <w:b w:val="0"/>
        <w:bCs/>
      </w:rPr>
      <w:t>8</w:t>
    </w:r>
    <w:r w:rsidR="00F52BF0">
      <w:rPr>
        <w:rStyle w:val="HeaderDocumentTitle"/>
      </w:rPr>
      <w:t xml:space="preserve"> </w:t>
    </w:r>
    <w:r w:rsidR="00F52BF0">
      <w:rPr>
        <w:rStyle w:val="HeaderDocumentTitle"/>
        <w:b w:val="0"/>
        <w:bCs/>
      </w:rPr>
      <w:t>March</w:t>
    </w:r>
    <w:r w:rsidR="00C4594B" w:rsidRPr="00F53D6D">
      <w:rPr>
        <w:rStyle w:val="HeaderDocumentTitle"/>
        <w:b w:val="0"/>
        <w:bCs/>
      </w:rPr>
      <w:t xml:space="preserve"> 2024</w:t>
    </w:r>
    <w:r w:rsidR="006300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AHRCHeading2"/>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EE9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A465A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68E1490"/>
    <w:multiLevelType w:val="hybridMultilevel"/>
    <w:tmpl w:val="29CE4502"/>
    <w:lvl w:ilvl="0" w:tplc="0C090001">
      <w:start w:val="1"/>
      <w:numFmt w:val="bullet"/>
      <w:lvlText w:val=""/>
      <w:lvlJc w:val="left"/>
      <w:pPr>
        <w:ind w:left="1814" w:hanging="360"/>
      </w:pPr>
      <w:rPr>
        <w:rFonts w:ascii="Symbol" w:hAnsi="Symbol" w:hint="default"/>
      </w:rPr>
    </w:lvl>
    <w:lvl w:ilvl="1" w:tplc="0C090003">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1" w15:restartNumberingAfterBreak="0">
    <w:nsid w:val="09314FCD"/>
    <w:multiLevelType w:val="multilevel"/>
    <w:tmpl w:val="3FE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47F48"/>
    <w:multiLevelType w:val="hybridMultilevel"/>
    <w:tmpl w:val="8EA0253E"/>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3" w15:restartNumberingAfterBreak="0">
    <w:nsid w:val="12FE5007"/>
    <w:multiLevelType w:val="hybridMultilevel"/>
    <w:tmpl w:val="E65A8FAC"/>
    <w:lvl w:ilvl="0" w:tplc="3154ABAE">
      <w:start w:val="1"/>
      <w:numFmt w:val="bullet"/>
      <w:lvlText w:val=""/>
      <w:lvlJc w:val="left"/>
      <w:pPr>
        <w:ind w:left="1020" w:hanging="360"/>
      </w:pPr>
      <w:rPr>
        <w:rFonts w:ascii="Symbol" w:hAnsi="Symbol"/>
      </w:rPr>
    </w:lvl>
    <w:lvl w:ilvl="1" w:tplc="C4D227DE">
      <w:start w:val="1"/>
      <w:numFmt w:val="bullet"/>
      <w:lvlText w:val=""/>
      <w:lvlJc w:val="left"/>
      <w:pPr>
        <w:ind w:left="1020" w:hanging="360"/>
      </w:pPr>
      <w:rPr>
        <w:rFonts w:ascii="Symbol" w:hAnsi="Symbol"/>
      </w:rPr>
    </w:lvl>
    <w:lvl w:ilvl="2" w:tplc="CF2083CC">
      <w:start w:val="1"/>
      <w:numFmt w:val="bullet"/>
      <w:lvlText w:val=""/>
      <w:lvlJc w:val="left"/>
      <w:pPr>
        <w:ind w:left="1020" w:hanging="360"/>
      </w:pPr>
      <w:rPr>
        <w:rFonts w:ascii="Symbol" w:hAnsi="Symbol"/>
      </w:rPr>
    </w:lvl>
    <w:lvl w:ilvl="3" w:tplc="95E6183A">
      <w:start w:val="1"/>
      <w:numFmt w:val="bullet"/>
      <w:lvlText w:val=""/>
      <w:lvlJc w:val="left"/>
      <w:pPr>
        <w:ind w:left="1020" w:hanging="360"/>
      </w:pPr>
      <w:rPr>
        <w:rFonts w:ascii="Symbol" w:hAnsi="Symbol"/>
      </w:rPr>
    </w:lvl>
    <w:lvl w:ilvl="4" w:tplc="C4CEA47C">
      <w:start w:val="1"/>
      <w:numFmt w:val="bullet"/>
      <w:lvlText w:val=""/>
      <w:lvlJc w:val="left"/>
      <w:pPr>
        <w:ind w:left="1020" w:hanging="360"/>
      </w:pPr>
      <w:rPr>
        <w:rFonts w:ascii="Symbol" w:hAnsi="Symbol"/>
      </w:rPr>
    </w:lvl>
    <w:lvl w:ilvl="5" w:tplc="939E9E74">
      <w:start w:val="1"/>
      <w:numFmt w:val="bullet"/>
      <w:lvlText w:val=""/>
      <w:lvlJc w:val="left"/>
      <w:pPr>
        <w:ind w:left="1020" w:hanging="360"/>
      </w:pPr>
      <w:rPr>
        <w:rFonts w:ascii="Symbol" w:hAnsi="Symbol"/>
      </w:rPr>
    </w:lvl>
    <w:lvl w:ilvl="6" w:tplc="46548CBE">
      <w:start w:val="1"/>
      <w:numFmt w:val="bullet"/>
      <w:lvlText w:val=""/>
      <w:lvlJc w:val="left"/>
      <w:pPr>
        <w:ind w:left="1020" w:hanging="360"/>
      </w:pPr>
      <w:rPr>
        <w:rFonts w:ascii="Symbol" w:hAnsi="Symbol"/>
      </w:rPr>
    </w:lvl>
    <w:lvl w:ilvl="7" w:tplc="C52A6090">
      <w:start w:val="1"/>
      <w:numFmt w:val="bullet"/>
      <w:lvlText w:val=""/>
      <w:lvlJc w:val="left"/>
      <w:pPr>
        <w:ind w:left="1020" w:hanging="360"/>
      </w:pPr>
      <w:rPr>
        <w:rFonts w:ascii="Symbol" w:hAnsi="Symbol"/>
      </w:rPr>
    </w:lvl>
    <w:lvl w:ilvl="8" w:tplc="F216FECC">
      <w:start w:val="1"/>
      <w:numFmt w:val="bullet"/>
      <w:lvlText w:val=""/>
      <w:lvlJc w:val="left"/>
      <w:pPr>
        <w:ind w:left="1020" w:hanging="360"/>
      </w:pPr>
      <w:rPr>
        <w:rFonts w:ascii="Symbol" w:hAnsi="Symbol"/>
      </w:rPr>
    </w:lvl>
  </w:abstractNum>
  <w:abstractNum w:abstractNumId="14" w15:restartNumberingAfterBreak="0">
    <w:nsid w:val="1AB67572"/>
    <w:multiLevelType w:val="hybridMultilevel"/>
    <w:tmpl w:val="C46CE11E"/>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5" w15:restartNumberingAfterBreak="0">
    <w:nsid w:val="1DCB237C"/>
    <w:multiLevelType w:val="hybridMultilevel"/>
    <w:tmpl w:val="7CC2C564"/>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3DECE6C">
      <w:start w:val="74"/>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DE6381"/>
    <w:multiLevelType w:val="hybridMultilevel"/>
    <w:tmpl w:val="3BC67ADC"/>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1C3345"/>
    <w:multiLevelType w:val="hybridMultilevel"/>
    <w:tmpl w:val="3ADEA4DA"/>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9" w15:restartNumberingAfterBreak="0">
    <w:nsid w:val="34D62FE3"/>
    <w:multiLevelType w:val="hybridMultilevel"/>
    <w:tmpl w:val="929CE6F2"/>
    <w:lvl w:ilvl="0" w:tplc="857A3324">
      <w:start w:val="1"/>
      <w:numFmt w:val="bullet"/>
      <w:lvlText w:val=""/>
      <w:lvlJc w:val="left"/>
      <w:pPr>
        <w:ind w:left="1800" w:hanging="360"/>
      </w:pPr>
      <w:rPr>
        <w:rFonts w:ascii="Symbol" w:eastAsia="MS Mincho" w:hAnsi="Symbol" w:cs="Times New Roman" w:hint="default"/>
      </w:rPr>
    </w:lvl>
    <w:lvl w:ilvl="1" w:tplc="0C090003">
      <w:start w:val="1"/>
      <w:numFmt w:val="bullet"/>
      <w:lvlText w:val="o"/>
      <w:lvlJc w:val="left"/>
      <w:pPr>
        <w:ind w:left="1786" w:hanging="360"/>
      </w:pPr>
      <w:rPr>
        <w:rFonts w:ascii="Courier New" w:hAnsi="Courier New" w:cs="Courier New" w:hint="default"/>
      </w:rPr>
    </w:lvl>
    <w:lvl w:ilvl="2" w:tplc="0C090005">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FF7A73"/>
    <w:multiLevelType w:val="multilevel"/>
    <w:tmpl w:val="589A937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ascii="Open Sans" w:eastAsia="Times New Roman" w:hAnsi="Open Sans" w:cs="Open Sans"/>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FC4328F"/>
    <w:multiLevelType w:val="hybridMultilevel"/>
    <w:tmpl w:val="BE6A5D4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4" w15:restartNumberingAfterBreak="0">
    <w:nsid w:val="62EB23D9"/>
    <w:multiLevelType w:val="hybridMultilevel"/>
    <w:tmpl w:val="F5B60AE6"/>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5" w15:restartNumberingAfterBreak="0">
    <w:nsid w:val="74390126"/>
    <w:multiLevelType w:val="hybridMultilevel"/>
    <w:tmpl w:val="934C3F8C"/>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6" w15:restartNumberingAfterBreak="0">
    <w:nsid w:val="7C5529A6"/>
    <w:multiLevelType w:val="multilevel"/>
    <w:tmpl w:val="0D5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857936">
    <w:abstractNumId w:val="21"/>
  </w:num>
  <w:num w:numId="2" w16cid:durableId="968512467">
    <w:abstractNumId w:val="9"/>
  </w:num>
  <w:num w:numId="3" w16cid:durableId="357590179">
    <w:abstractNumId w:val="7"/>
  </w:num>
  <w:num w:numId="4" w16cid:durableId="609971234">
    <w:abstractNumId w:val="6"/>
  </w:num>
  <w:num w:numId="5" w16cid:durableId="183904104">
    <w:abstractNumId w:val="5"/>
  </w:num>
  <w:num w:numId="6" w16cid:durableId="865872548">
    <w:abstractNumId w:val="4"/>
  </w:num>
  <w:num w:numId="7" w16cid:durableId="1839072849">
    <w:abstractNumId w:val="8"/>
  </w:num>
  <w:num w:numId="8" w16cid:durableId="1243569187">
    <w:abstractNumId w:val="1"/>
  </w:num>
  <w:num w:numId="9" w16cid:durableId="1920170503">
    <w:abstractNumId w:val="0"/>
  </w:num>
  <w:num w:numId="10" w16cid:durableId="1637560895">
    <w:abstractNumId w:val="3"/>
  </w:num>
  <w:num w:numId="11" w16cid:durableId="1477379611">
    <w:abstractNumId w:val="2"/>
  </w:num>
  <w:num w:numId="12" w16cid:durableId="467747658">
    <w:abstractNumId w:val="22"/>
  </w:num>
  <w:num w:numId="13" w16cid:durableId="488399831">
    <w:abstractNumId w:val="20"/>
  </w:num>
  <w:num w:numId="14" w16cid:durableId="1556113945">
    <w:abstractNumId w:val="17"/>
  </w:num>
  <w:num w:numId="15" w16cid:durableId="1186597339">
    <w:abstractNumId w:val="15"/>
  </w:num>
  <w:num w:numId="16" w16cid:durableId="1797720925">
    <w:abstractNumId w:val="14"/>
  </w:num>
  <w:num w:numId="17" w16cid:durableId="489250589">
    <w:abstractNumId w:val="16"/>
  </w:num>
  <w:num w:numId="18" w16cid:durableId="881480852">
    <w:abstractNumId w:val="10"/>
  </w:num>
  <w:num w:numId="19" w16cid:durableId="215554930">
    <w:abstractNumId w:val="18"/>
  </w:num>
  <w:num w:numId="20" w16cid:durableId="850950865">
    <w:abstractNumId w:val="25"/>
  </w:num>
  <w:num w:numId="21" w16cid:durableId="557862386">
    <w:abstractNumId w:val="12"/>
  </w:num>
  <w:num w:numId="22" w16cid:durableId="1977376067">
    <w:abstractNumId w:val="26"/>
  </w:num>
  <w:num w:numId="23" w16cid:durableId="1721589308">
    <w:abstractNumId w:val="8"/>
  </w:num>
  <w:num w:numId="24" w16cid:durableId="1204903249">
    <w:abstractNumId w:val="8"/>
    <w:lvlOverride w:ilvl="0">
      <w:startOverride w:val="1"/>
    </w:lvlOverride>
  </w:num>
  <w:num w:numId="25" w16cid:durableId="537161414">
    <w:abstractNumId w:val="11"/>
  </w:num>
  <w:num w:numId="26" w16cid:durableId="736172322">
    <w:abstractNumId w:val="24"/>
  </w:num>
  <w:num w:numId="27" w16cid:durableId="758407572">
    <w:abstractNumId w:val="8"/>
  </w:num>
  <w:num w:numId="28" w16cid:durableId="231625045">
    <w:abstractNumId w:val="8"/>
  </w:num>
  <w:num w:numId="29" w16cid:durableId="34473341">
    <w:abstractNumId w:val="8"/>
  </w:num>
  <w:num w:numId="30" w16cid:durableId="189805899">
    <w:abstractNumId w:val="8"/>
  </w:num>
  <w:num w:numId="31" w16cid:durableId="500044816">
    <w:abstractNumId w:val="8"/>
  </w:num>
  <w:num w:numId="32" w16cid:durableId="1865248825">
    <w:abstractNumId w:val="8"/>
  </w:num>
  <w:num w:numId="33" w16cid:durableId="1755517694">
    <w:abstractNumId w:val="8"/>
  </w:num>
  <w:num w:numId="34" w16cid:durableId="1819221785">
    <w:abstractNumId w:val="8"/>
  </w:num>
  <w:num w:numId="35" w16cid:durableId="1509905226">
    <w:abstractNumId w:val="8"/>
  </w:num>
  <w:num w:numId="36" w16cid:durableId="1996105934">
    <w:abstractNumId w:val="8"/>
  </w:num>
  <w:num w:numId="37" w16cid:durableId="19481035">
    <w:abstractNumId w:val="8"/>
  </w:num>
  <w:num w:numId="38" w16cid:durableId="681668782">
    <w:abstractNumId w:val="8"/>
  </w:num>
  <w:num w:numId="39" w16cid:durableId="769617611">
    <w:abstractNumId w:val="8"/>
  </w:num>
  <w:num w:numId="40" w16cid:durableId="1508133085">
    <w:abstractNumId w:val="8"/>
  </w:num>
  <w:num w:numId="41" w16cid:durableId="1467040146">
    <w:abstractNumId w:val="19"/>
  </w:num>
  <w:num w:numId="42" w16cid:durableId="734737698">
    <w:abstractNumId w:val="8"/>
  </w:num>
  <w:num w:numId="43" w16cid:durableId="350766683">
    <w:abstractNumId w:val="23"/>
  </w:num>
  <w:num w:numId="44" w16cid:durableId="943994960">
    <w:abstractNumId w:val="13"/>
  </w:num>
  <w:num w:numId="45" w16cid:durableId="1535969928">
    <w:abstractNumId w:val="8"/>
  </w:num>
  <w:num w:numId="46" w16cid:durableId="183556225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24"/>
    <w:rsid w:val="000003A0"/>
    <w:rsid w:val="0000081F"/>
    <w:rsid w:val="00000CA8"/>
    <w:rsid w:val="00000D08"/>
    <w:rsid w:val="00001025"/>
    <w:rsid w:val="000010D1"/>
    <w:rsid w:val="00001315"/>
    <w:rsid w:val="0000141A"/>
    <w:rsid w:val="0000151D"/>
    <w:rsid w:val="000015EC"/>
    <w:rsid w:val="00001980"/>
    <w:rsid w:val="00001DC0"/>
    <w:rsid w:val="00001F22"/>
    <w:rsid w:val="00002341"/>
    <w:rsid w:val="00002748"/>
    <w:rsid w:val="00002D4C"/>
    <w:rsid w:val="00002E88"/>
    <w:rsid w:val="00003094"/>
    <w:rsid w:val="0000360B"/>
    <w:rsid w:val="00003A33"/>
    <w:rsid w:val="00003A64"/>
    <w:rsid w:val="00003EA5"/>
    <w:rsid w:val="000042FB"/>
    <w:rsid w:val="000048C0"/>
    <w:rsid w:val="00004C15"/>
    <w:rsid w:val="00004CD5"/>
    <w:rsid w:val="00004EF6"/>
    <w:rsid w:val="00004FDA"/>
    <w:rsid w:val="0000538C"/>
    <w:rsid w:val="000053ED"/>
    <w:rsid w:val="000057CA"/>
    <w:rsid w:val="00005BE9"/>
    <w:rsid w:val="00005D45"/>
    <w:rsid w:val="00005EEF"/>
    <w:rsid w:val="000064D9"/>
    <w:rsid w:val="000066ED"/>
    <w:rsid w:val="00006C61"/>
    <w:rsid w:val="00006C80"/>
    <w:rsid w:val="0000774E"/>
    <w:rsid w:val="00007C15"/>
    <w:rsid w:val="00010C20"/>
    <w:rsid w:val="0001113F"/>
    <w:rsid w:val="000112C8"/>
    <w:rsid w:val="00011668"/>
    <w:rsid w:val="000116E1"/>
    <w:rsid w:val="000118C3"/>
    <w:rsid w:val="00012066"/>
    <w:rsid w:val="00012778"/>
    <w:rsid w:val="00012976"/>
    <w:rsid w:val="00012E82"/>
    <w:rsid w:val="000130D9"/>
    <w:rsid w:val="000135FB"/>
    <w:rsid w:val="00013E6C"/>
    <w:rsid w:val="0001448F"/>
    <w:rsid w:val="00014AAE"/>
    <w:rsid w:val="00014D3A"/>
    <w:rsid w:val="00015762"/>
    <w:rsid w:val="00015A9C"/>
    <w:rsid w:val="00015AE2"/>
    <w:rsid w:val="00015B5D"/>
    <w:rsid w:val="000161C2"/>
    <w:rsid w:val="0001664D"/>
    <w:rsid w:val="000166B6"/>
    <w:rsid w:val="00016A3B"/>
    <w:rsid w:val="00016DA8"/>
    <w:rsid w:val="00017196"/>
    <w:rsid w:val="00017CAA"/>
    <w:rsid w:val="00020448"/>
    <w:rsid w:val="00020F6F"/>
    <w:rsid w:val="0002131F"/>
    <w:rsid w:val="00021B41"/>
    <w:rsid w:val="00021B77"/>
    <w:rsid w:val="00021C47"/>
    <w:rsid w:val="00021D95"/>
    <w:rsid w:val="0002224C"/>
    <w:rsid w:val="0002265E"/>
    <w:rsid w:val="00022C31"/>
    <w:rsid w:val="00022F60"/>
    <w:rsid w:val="0002336C"/>
    <w:rsid w:val="00024030"/>
    <w:rsid w:val="00024134"/>
    <w:rsid w:val="00024434"/>
    <w:rsid w:val="0002476A"/>
    <w:rsid w:val="00024AFE"/>
    <w:rsid w:val="00024F79"/>
    <w:rsid w:val="00025203"/>
    <w:rsid w:val="00025860"/>
    <w:rsid w:val="00025A8B"/>
    <w:rsid w:val="00025D4A"/>
    <w:rsid w:val="00025F19"/>
    <w:rsid w:val="00026048"/>
    <w:rsid w:val="000264A2"/>
    <w:rsid w:val="000266D9"/>
    <w:rsid w:val="000266FF"/>
    <w:rsid w:val="00026FBC"/>
    <w:rsid w:val="0002721A"/>
    <w:rsid w:val="000274E8"/>
    <w:rsid w:val="00027625"/>
    <w:rsid w:val="00030090"/>
    <w:rsid w:val="0003093B"/>
    <w:rsid w:val="00030A8B"/>
    <w:rsid w:val="00030B2D"/>
    <w:rsid w:val="00030F5C"/>
    <w:rsid w:val="000311E1"/>
    <w:rsid w:val="000313D2"/>
    <w:rsid w:val="00031899"/>
    <w:rsid w:val="0003190D"/>
    <w:rsid w:val="00031B18"/>
    <w:rsid w:val="00031FC5"/>
    <w:rsid w:val="0003297A"/>
    <w:rsid w:val="00032B46"/>
    <w:rsid w:val="00033069"/>
    <w:rsid w:val="000338FF"/>
    <w:rsid w:val="00033FBB"/>
    <w:rsid w:val="000344C1"/>
    <w:rsid w:val="00034716"/>
    <w:rsid w:val="00034AFA"/>
    <w:rsid w:val="00034DE9"/>
    <w:rsid w:val="00035D76"/>
    <w:rsid w:val="00035F19"/>
    <w:rsid w:val="00036793"/>
    <w:rsid w:val="00036BE4"/>
    <w:rsid w:val="00036C3C"/>
    <w:rsid w:val="0003700D"/>
    <w:rsid w:val="0003762D"/>
    <w:rsid w:val="00037B2A"/>
    <w:rsid w:val="00037D01"/>
    <w:rsid w:val="00037F1A"/>
    <w:rsid w:val="00037F65"/>
    <w:rsid w:val="00037F6C"/>
    <w:rsid w:val="00040797"/>
    <w:rsid w:val="00040A31"/>
    <w:rsid w:val="00040AFF"/>
    <w:rsid w:val="00040DDD"/>
    <w:rsid w:val="00041A06"/>
    <w:rsid w:val="00041BE4"/>
    <w:rsid w:val="00041E38"/>
    <w:rsid w:val="00041F6D"/>
    <w:rsid w:val="00041FDC"/>
    <w:rsid w:val="00042157"/>
    <w:rsid w:val="000421A4"/>
    <w:rsid w:val="000423F5"/>
    <w:rsid w:val="0004286F"/>
    <w:rsid w:val="000428C8"/>
    <w:rsid w:val="00042E12"/>
    <w:rsid w:val="00042EBB"/>
    <w:rsid w:val="00042FF4"/>
    <w:rsid w:val="00043007"/>
    <w:rsid w:val="00043018"/>
    <w:rsid w:val="000430B8"/>
    <w:rsid w:val="00043ED9"/>
    <w:rsid w:val="000448BA"/>
    <w:rsid w:val="00044A7E"/>
    <w:rsid w:val="00045092"/>
    <w:rsid w:val="0004512F"/>
    <w:rsid w:val="00045712"/>
    <w:rsid w:val="00045784"/>
    <w:rsid w:val="00045AA7"/>
    <w:rsid w:val="00045BF1"/>
    <w:rsid w:val="00045C4B"/>
    <w:rsid w:val="00045E51"/>
    <w:rsid w:val="00046156"/>
    <w:rsid w:val="000462CC"/>
    <w:rsid w:val="000465F1"/>
    <w:rsid w:val="00046680"/>
    <w:rsid w:val="00046F59"/>
    <w:rsid w:val="00046F93"/>
    <w:rsid w:val="000476E3"/>
    <w:rsid w:val="00047B86"/>
    <w:rsid w:val="00047CCC"/>
    <w:rsid w:val="00047CE4"/>
    <w:rsid w:val="00047DBE"/>
    <w:rsid w:val="00047ECA"/>
    <w:rsid w:val="00050457"/>
    <w:rsid w:val="000509D0"/>
    <w:rsid w:val="00050B49"/>
    <w:rsid w:val="000511CF"/>
    <w:rsid w:val="0005146C"/>
    <w:rsid w:val="0005153C"/>
    <w:rsid w:val="00051732"/>
    <w:rsid w:val="00051AF8"/>
    <w:rsid w:val="00051B0A"/>
    <w:rsid w:val="00051DC2"/>
    <w:rsid w:val="00052245"/>
    <w:rsid w:val="00052529"/>
    <w:rsid w:val="0005295F"/>
    <w:rsid w:val="00053607"/>
    <w:rsid w:val="00053894"/>
    <w:rsid w:val="00053B1B"/>
    <w:rsid w:val="00053E0C"/>
    <w:rsid w:val="00053F1C"/>
    <w:rsid w:val="00054B44"/>
    <w:rsid w:val="0005529D"/>
    <w:rsid w:val="00055650"/>
    <w:rsid w:val="00056086"/>
    <w:rsid w:val="0005657B"/>
    <w:rsid w:val="00057217"/>
    <w:rsid w:val="00057381"/>
    <w:rsid w:val="000576E9"/>
    <w:rsid w:val="000579B1"/>
    <w:rsid w:val="00060394"/>
    <w:rsid w:val="0006111A"/>
    <w:rsid w:val="000611F3"/>
    <w:rsid w:val="000613AE"/>
    <w:rsid w:val="0006189F"/>
    <w:rsid w:val="00061C6C"/>
    <w:rsid w:val="00061FB5"/>
    <w:rsid w:val="00062846"/>
    <w:rsid w:val="00062EC2"/>
    <w:rsid w:val="00062F8B"/>
    <w:rsid w:val="00063486"/>
    <w:rsid w:val="0006371E"/>
    <w:rsid w:val="0006398B"/>
    <w:rsid w:val="00063A89"/>
    <w:rsid w:val="00063B27"/>
    <w:rsid w:val="00063D19"/>
    <w:rsid w:val="00063ED2"/>
    <w:rsid w:val="000643E1"/>
    <w:rsid w:val="00064A2E"/>
    <w:rsid w:val="00064BA6"/>
    <w:rsid w:val="00064EF0"/>
    <w:rsid w:val="00064FF3"/>
    <w:rsid w:val="0006507C"/>
    <w:rsid w:val="000657C5"/>
    <w:rsid w:val="0006587D"/>
    <w:rsid w:val="00066BCB"/>
    <w:rsid w:val="00066C2B"/>
    <w:rsid w:val="00066D28"/>
    <w:rsid w:val="00067139"/>
    <w:rsid w:val="00067340"/>
    <w:rsid w:val="0006744F"/>
    <w:rsid w:val="00067499"/>
    <w:rsid w:val="0007025F"/>
    <w:rsid w:val="0007044F"/>
    <w:rsid w:val="00070F74"/>
    <w:rsid w:val="0007107B"/>
    <w:rsid w:val="00071412"/>
    <w:rsid w:val="00071F73"/>
    <w:rsid w:val="00071FAC"/>
    <w:rsid w:val="0007228F"/>
    <w:rsid w:val="000723C4"/>
    <w:rsid w:val="000726EE"/>
    <w:rsid w:val="00072A59"/>
    <w:rsid w:val="00072EDA"/>
    <w:rsid w:val="00073579"/>
    <w:rsid w:val="000736C0"/>
    <w:rsid w:val="0007373D"/>
    <w:rsid w:val="000737B7"/>
    <w:rsid w:val="00073A2D"/>
    <w:rsid w:val="00073C9E"/>
    <w:rsid w:val="000740B1"/>
    <w:rsid w:val="00074D77"/>
    <w:rsid w:val="000756CE"/>
    <w:rsid w:val="00075F1D"/>
    <w:rsid w:val="00076339"/>
    <w:rsid w:val="000764E8"/>
    <w:rsid w:val="00076B85"/>
    <w:rsid w:val="00076E13"/>
    <w:rsid w:val="00076EEE"/>
    <w:rsid w:val="000779FA"/>
    <w:rsid w:val="00077AC2"/>
    <w:rsid w:val="00080440"/>
    <w:rsid w:val="0008084A"/>
    <w:rsid w:val="00080F4A"/>
    <w:rsid w:val="000814CB"/>
    <w:rsid w:val="000818A6"/>
    <w:rsid w:val="00081B58"/>
    <w:rsid w:val="00081DA2"/>
    <w:rsid w:val="00081F2A"/>
    <w:rsid w:val="00081FEF"/>
    <w:rsid w:val="0008210F"/>
    <w:rsid w:val="0008234A"/>
    <w:rsid w:val="000827B2"/>
    <w:rsid w:val="00082A98"/>
    <w:rsid w:val="00082C89"/>
    <w:rsid w:val="00082DC3"/>
    <w:rsid w:val="00082FC1"/>
    <w:rsid w:val="000839DA"/>
    <w:rsid w:val="00083ADC"/>
    <w:rsid w:val="00083E1B"/>
    <w:rsid w:val="0008407A"/>
    <w:rsid w:val="0008424A"/>
    <w:rsid w:val="00084419"/>
    <w:rsid w:val="0008446F"/>
    <w:rsid w:val="00084A92"/>
    <w:rsid w:val="00084C4C"/>
    <w:rsid w:val="00085259"/>
    <w:rsid w:val="0008544C"/>
    <w:rsid w:val="0008547F"/>
    <w:rsid w:val="00085943"/>
    <w:rsid w:val="00085A7E"/>
    <w:rsid w:val="00086167"/>
    <w:rsid w:val="00086A67"/>
    <w:rsid w:val="0008771F"/>
    <w:rsid w:val="00087FB8"/>
    <w:rsid w:val="00090DEC"/>
    <w:rsid w:val="00090F75"/>
    <w:rsid w:val="0009100A"/>
    <w:rsid w:val="0009114B"/>
    <w:rsid w:val="00091172"/>
    <w:rsid w:val="00091ACF"/>
    <w:rsid w:val="00091F0A"/>
    <w:rsid w:val="0009202A"/>
    <w:rsid w:val="000921B9"/>
    <w:rsid w:val="00092291"/>
    <w:rsid w:val="00092636"/>
    <w:rsid w:val="00093F85"/>
    <w:rsid w:val="00094641"/>
    <w:rsid w:val="000948AB"/>
    <w:rsid w:val="00094C68"/>
    <w:rsid w:val="00095410"/>
    <w:rsid w:val="00095584"/>
    <w:rsid w:val="000956AF"/>
    <w:rsid w:val="000958F2"/>
    <w:rsid w:val="00095BBD"/>
    <w:rsid w:val="00095EB3"/>
    <w:rsid w:val="0009604C"/>
    <w:rsid w:val="00096E4C"/>
    <w:rsid w:val="00096FE9"/>
    <w:rsid w:val="00097924"/>
    <w:rsid w:val="00097F83"/>
    <w:rsid w:val="00097FA2"/>
    <w:rsid w:val="000A08F0"/>
    <w:rsid w:val="000A0ED3"/>
    <w:rsid w:val="000A147C"/>
    <w:rsid w:val="000A16DA"/>
    <w:rsid w:val="000A1DB8"/>
    <w:rsid w:val="000A2510"/>
    <w:rsid w:val="000A26C9"/>
    <w:rsid w:val="000A30C2"/>
    <w:rsid w:val="000A3411"/>
    <w:rsid w:val="000A3FA1"/>
    <w:rsid w:val="000A41A8"/>
    <w:rsid w:val="000A4320"/>
    <w:rsid w:val="000A43AF"/>
    <w:rsid w:val="000A4859"/>
    <w:rsid w:val="000A48AC"/>
    <w:rsid w:val="000A4E25"/>
    <w:rsid w:val="000A512D"/>
    <w:rsid w:val="000A520E"/>
    <w:rsid w:val="000A54A0"/>
    <w:rsid w:val="000A5749"/>
    <w:rsid w:val="000A5B84"/>
    <w:rsid w:val="000A6451"/>
    <w:rsid w:val="000A658C"/>
    <w:rsid w:val="000A7113"/>
    <w:rsid w:val="000A720E"/>
    <w:rsid w:val="000B028D"/>
    <w:rsid w:val="000B032B"/>
    <w:rsid w:val="000B0603"/>
    <w:rsid w:val="000B06D8"/>
    <w:rsid w:val="000B0811"/>
    <w:rsid w:val="000B08CA"/>
    <w:rsid w:val="000B0A5D"/>
    <w:rsid w:val="000B0DA0"/>
    <w:rsid w:val="000B1BCE"/>
    <w:rsid w:val="000B1C7D"/>
    <w:rsid w:val="000B1E3C"/>
    <w:rsid w:val="000B26BA"/>
    <w:rsid w:val="000B29F1"/>
    <w:rsid w:val="000B2B72"/>
    <w:rsid w:val="000B2C3A"/>
    <w:rsid w:val="000B32EA"/>
    <w:rsid w:val="000B33C4"/>
    <w:rsid w:val="000B3569"/>
    <w:rsid w:val="000B37EE"/>
    <w:rsid w:val="000B3B33"/>
    <w:rsid w:val="000B42B7"/>
    <w:rsid w:val="000B42BE"/>
    <w:rsid w:val="000B47B9"/>
    <w:rsid w:val="000B4A7F"/>
    <w:rsid w:val="000B4DEE"/>
    <w:rsid w:val="000B4FA0"/>
    <w:rsid w:val="000B536C"/>
    <w:rsid w:val="000B5998"/>
    <w:rsid w:val="000B5A20"/>
    <w:rsid w:val="000B5B68"/>
    <w:rsid w:val="000B61BE"/>
    <w:rsid w:val="000B62E9"/>
    <w:rsid w:val="000B6B7B"/>
    <w:rsid w:val="000B6BF4"/>
    <w:rsid w:val="000B6BF5"/>
    <w:rsid w:val="000B6C49"/>
    <w:rsid w:val="000B6ED2"/>
    <w:rsid w:val="000B7279"/>
    <w:rsid w:val="000B731B"/>
    <w:rsid w:val="000B73C5"/>
    <w:rsid w:val="000B74C3"/>
    <w:rsid w:val="000B7661"/>
    <w:rsid w:val="000B7DA8"/>
    <w:rsid w:val="000C030A"/>
    <w:rsid w:val="000C03F5"/>
    <w:rsid w:val="000C0428"/>
    <w:rsid w:val="000C09DD"/>
    <w:rsid w:val="000C0B3C"/>
    <w:rsid w:val="000C233F"/>
    <w:rsid w:val="000C2418"/>
    <w:rsid w:val="000C2762"/>
    <w:rsid w:val="000C28A4"/>
    <w:rsid w:val="000C31EF"/>
    <w:rsid w:val="000C3314"/>
    <w:rsid w:val="000C3499"/>
    <w:rsid w:val="000C3784"/>
    <w:rsid w:val="000C4B19"/>
    <w:rsid w:val="000C5085"/>
    <w:rsid w:val="000C553C"/>
    <w:rsid w:val="000C5608"/>
    <w:rsid w:val="000C589A"/>
    <w:rsid w:val="000C5955"/>
    <w:rsid w:val="000C59D8"/>
    <w:rsid w:val="000C5DA6"/>
    <w:rsid w:val="000C5F7F"/>
    <w:rsid w:val="000C63AC"/>
    <w:rsid w:val="000C6F41"/>
    <w:rsid w:val="000D02CA"/>
    <w:rsid w:val="000D089F"/>
    <w:rsid w:val="000D0A57"/>
    <w:rsid w:val="000D0C0A"/>
    <w:rsid w:val="000D0EA2"/>
    <w:rsid w:val="000D101A"/>
    <w:rsid w:val="000D1AD0"/>
    <w:rsid w:val="000D20DA"/>
    <w:rsid w:val="000D225A"/>
    <w:rsid w:val="000D27DE"/>
    <w:rsid w:val="000D3244"/>
    <w:rsid w:val="000D37E9"/>
    <w:rsid w:val="000D3CE1"/>
    <w:rsid w:val="000D3E4D"/>
    <w:rsid w:val="000D413D"/>
    <w:rsid w:val="000D417E"/>
    <w:rsid w:val="000D4239"/>
    <w:rsid w:val="000D4C88"/>
    <w:rsid w:val="000D57DE"/>
    <w:rsid w:val="000D60C4"/>
    <w:rsid w:val="000D60EE"/>
    <w:rsid w:val="000D615A"/>
    <w:rsid w:val="000D616D"/>
    <w:rsid w:val="000D6753"/>
    <w:rsid w:val="000D67F1"/>
    <w:rsid w:val="000D6985"/>
    <w:rsid w:val="000E016B"/>
    <w:rsid w:val="000E04E3"/>
    <w:rsid w:val="000E08B6"/>
    <w:rsid w:val="000E0B0E"/>
    <w:rsid w:val="000E1243"/>
    <w:rsid w:val="000E130A"/>
    <w:rsid w:val="000E1613"/>
    <w:rsid w:val="000E2317"/>
    <w:rsid w:val="000E23A2"/>
    <w:rsid w:val="000E2A1B"/>
    <w:rsid w:val="000E2B19"/>
    <w:rsid w:val="000E3375"/>
    <w:rsid w:val="000E3AFE"/>
    <w:rsid w:val="000E3B8C"/>
    <w:rsid w:val="000E4113"/>
    <w:rsid w:val="000E4A7D"/>
    <w:rsid w:val="000E4C15"/>
    <w:rsid w:val="000E4C60"/>
    <w:rsid w:val="000E4D05"/>
    <w:rsid w:val="000E4F62"/>
    <w:rsid w:val="000E54DE"/>
    <w:rsid w:val="000E5737"/>
    <w:rsid w:val="000E67C7"/>
    <w:rsid w:val="000E696A"/>
    <w:rsid w:val="000E6AAF"/>
    <w:rsid w:val="000E6C07"/>
    <w:rsid w:val="000E784F"/>
    <w:rsid w:val="000F03B9"/>
    <w:rsid w:val="000F0401"/>
    <w:rsid w:val="000F0628"/>
    <w:rsid w:val="000F06D6"/>
    <w:rsid w:val="000F0F42"/>
    <w:rsid w:val="000F0F48"/>
    <w:rsid w:val="000F0FF9"/>
    <w:rsid w:val="000F1F21"/>
    <w:rsid w:val="000F2051"/>
    <w:rsid w:val="000F21AA"/>
    <w:rsid w:val="000F243A"/>
    <w:rsid w:val="000F27BC"/>
    <w:rsid w:val="000F2D11"/>
    <w:rsid w:val="000F3375"/>
    <w:rsid w:val="000F36FB"/>
    <w:rsid w:val="000F46A0"/>
    <w:rsid w:val="000F492D"/>
    <w:rsid w:val="000F4AC1"/>
    <w:rsid w:val="000F4E23"/>
    <w:rsid w:val="000F4E64"/>
    <w:rsid w:val="000F4F84"/>
    <w:rsid w:val="000F505B"/>
    <w:rsid w:val="000F5149"/>
    <w:rsid w:val="000F533A"/>
    <w:rsid w:val="000F5427"/>
    <w:rsid w:val="000F5446"/>
    <w:rsid w:val="000F598D"/>
    <w:rsid w:val="000F5A6F"/>
    <w:rsid w:val="000F5B6C"/>
    <w:rsid w:val="000F5C81"/>
    <w:rsid w:val="000F5F47"/>
    <w:rsid w:val="000F640F"/>
    <w:rsid w:val="000F6838"/>
    <w:rsid w:val="000F6CE4"/>
    <w:rsid w:val="000F7376"/>
    <w:rsid w:val="000F783A"/>
    <w:rsid w:val="000F7901"/>
    <w:rsid w:val="000F7D59"/>
    <w:rsid w:val="0010015C"/>
    <w:rsid w:val="00100299"/>
    <w:rsid w:val="00100AA1"/>
    <w:rsid w:val="001011C7"/>
    <w:rsid w:val="0010138D"/>
    <w:rsid w:val="0010291A"/>
    <w:rsid w:val="00102D46"/>
    <w:rsid w:val="001031E2"/>
    <w:rsid w:val="0010334B"/>
    <w:rsid w:val="001046A9"/>
    <w:rsid w:val="00105359"/>
    <w:rsid w:val="00105650"/>
    <w:rsid w:val="00105C87"/>
    <w:rsid w:val="00105F90"/>
    <w:rsid w:val="00105F9C"/>
    <w:rsid w:val="00105FF9"/>
    <w:rsid w:val="0010683E"/>
    <w:rsid w:val="00106977"/>
    <w:rsid w:val="00106B74"/>
    <w:rsid w:val="00106FFC"/>
    <w:rsid w:val="001072E6"/>
    <w:rsid w:val="0010769E"/>
    <w:rsid w:val="0010770E"/>
    <w:rsid w:val="00107752"/>
    <w:rsid w:val="00107DFB"/>
    <w:rsid w:val="001104EE"/>
    <w:rsid w:val="00110587"/>
    <w:rsid w:val="0011109B"/>
    <w:rsid w:val="0011131F"/>
    <w:rsid w:val="00111BD8"/>
    <w:rsid w:val="00111D46"/>
    <w:rsid w:val="00112897"/>
    <w:rsid w:val="00112DDC"/>
    <w:rsid w:val="001137A8"/>
    <w:rsid w:val="00113BAE"/>
    <w:rsid w:val="00113C21"/>
    <w:rsid w:val="00113D69"/>
    <w:rsid w:val="00113E50"/>
    <w:rsid w:val="00113F17"/>
    <w:rsid w:val="0011424B"/>
    <w:rsid w:val="001142BA"/>
    <w:rsid w:val="0011450A"/>
    <w:rsid w:val="001145E6"/>
    <w:rsid w:val="00114803"/>
    <w:rsid w:val="00114B91"/>
    <w:rsid w:val="00114BD1"/>
    <w:rsid w:val="00114C15"/>
    <w:rsid w:val="00114D78"/>
    <w:rsid w:val="0011500F"/>
    <w:rsid w:val="001151C8"/>
    <w:rsid w:val="00115408"/>
    <w:rsid w:val="00115570"/>
    <w:rsid w:val="00115755"/>
    <w:rsid w:val="001157E6"/>
    <w:rsid w:val="00115875"/>
    <w:rsid w:val="001159E4"/>
    <w:rsid w:val="001159F0"/>
    <w:rsid w:val="00115F6C"/>
    <w:rsid w:val="001162FD"/>
    <w:rsid w:val="001178A0"/>
    <w:rsid w:val="00117AD4"/>
    <w:rsid w:val="00117BA2"/>
    <w:rsid w:val="00117FC8"/>
    <w:rsid w:val="00120899"/>
    <w:rsid w:val="0012114E"/>
    <w:rsid w:val="0012139F"/>
    <w:rsid w:val="00121C19"/>
    <w:rsid w:val="00121E14"/>
    <w:rsid w:val="00121E59"/>
    <w:rsid w:val="0012276E"/>
    <w:rsid w:val="00123952"/>
    <w:rsid w:val="00123D9D"/>
    <w:rsid w:val="00123DB9"/>
    <w:rsid w:val="001243D1"/>
    <w:rsid w:val="0012449C"/>
    <w:rsid w:val="001245B9"/>
    <w:rsid w:val="00124988"/>
    <w:rsid w:val="0012503F"/>
    <w:rsid w:val="0012518B"/>
    <w:rsid w:val="001258CA"/>
    <w:rsid w:val="00125A30"/>
    <w:rsid w:val="00125D33"/>
    <w:rsid w:val="00125E7D"/>
    <w:rsid w:val="00126257"/>
    <w:rsid w:val="00127172"/>
    <w:rsid w:val="00127BF7"/>
    <w:rsid w:val="00127C2F"/>
    <w:rsid w:val="00127F7C"/>
    <w:rsid w:val="00130A44"/>
    <w:rsid w:val="00130CF5"/>
    <w:rsid w:val="00130DC9"/>
    <w:rsid w:val="00131439"/>
    <w:rsid w:val="001318BD"/>
    <w:rsid w:val="00131AEB"/>
    <w:rsid w:val="00132398"/>
    <w:rsid w:val="00132591"/>
    <w:rsid w:val="0013298E"/>
    <w:rsid w:val="0013386C"/>
    <w:rsid w:val="00133937"/>
    <w:rsid w:val="00133C61"/>
    <w:rsid w:val="00134111"/>
    <w:rsid w:val="00134636"/>
    <w:rsid w:val="00134774"/>
    <w:rsid w:val="001349B5"/>
    <w:rsid w:val="00134EDE"/>
    <w:rsid w:val="00134FE6"/>
    <w:rsid w:val="00135B85"/>
    <w:rsid w:val="00135F5E"/>
    <w:rsid w:val="0013660D"/>
    <w:rsid w:val="00136C7B"/>
    <w:rsid w:val="0013701D"/>
    <w:rsid w:val="00137659"/>
    <w:rsid w:val="00137F05"/>
    <w:rsid w:val="00137F2E"/>
    <w:rsid w:val="00137FAF"/>
    <w:rsid w:val="001400B1"/>
    <w:rsid w:val="001400F5"/>
    <w:rsid w:val="001401A2"/>
    <w:rsid w:val="001401CA"/>
    <w:rsid w:val="001401E5"/>
    <w:rsid w:val="00140274"/>
    <w:rsid w:val="00140324"/>
    <w:rsid w:val="00140B68"/>
    <w:rsid w:val="00140E7D"/>
    <w:rsid w:val="0014107D"/>
    <w:rsid w:val="00141081"/>
    <w:rsid w:val="001413CE"/>
    <w:rsid w:val="00141432"/>
    <w:rsid w:val="00141E65"/>
    <w:rsid w:val="001421D5"/>
    <w:rsid w:val="00142637"/>
    <w:rsid w:val="0014289D"/>
    <w:rsid w:val="00142996"/>
    <w:rsid w:val="00142B29"/>
    <w:rsid w:val="00142FF1"/>
    <w:rsid w:val="00143478"/>
    <w:rsid w:val="0014368F"/>
    <w:rsid w:val="00143A10"/>
    <w:rsid w:val="00144428"/>
    <w:rsid w:val="00144600"/>
    <w:rsid w:val="0014496B"/>
    <w:rsid w:val="00145326"/>
    <w:rsid w:val="001455C1"/>
    <w:rsid w:val="001459D6"/>
    <w:rsid w:val="00145DB6"/>
    <w:rsid w:val="00145E09"/>
    <w:rsid w:val="001460BC"/>
    <w:rsid w:val="001463CC"/>
    <w:rsid w:val="0014654B"/>
    <w:rsid w:val="00146D0F"/>
    <w:rsid w:val="00146EB5"/>
    <w:rsid w:val="001473A0"/>
    <w:rsid w:val="001475F8"/>
    <w:rsid w:val="0014793B"/>
    <w:rsid w:val="00147A05"/>
    <w:rsid w:val="00147F34"/>
    <w:rsid w:val="001509A7"/>
    <w:rsid w:val="00150E00"/>
    <w:rsid w:val="0015120A"/>
    <w:rsid w:val="00151263"/>
    <w:rsid w:val="00151391"/>
    <w:rsid w:val="0015164B"/>
    <w:rsid w:val="00151BE5"/>
    <w:rsid w:val="00151C76"/>
    <w:rsid w:val="0015239E"/>
    <w:rsid w:val="00152636"/>
    <w:rsid w:val="00152C10"/>
    <w:rsid w:val="00152C8C"/>
    <w:rsid w:val="001531C8"/>
    <w:rsid w:val="00153485"/>
    <w:rsid w:val="00153A93"/>
    <w:rsid w:val="00153C94"/>
    <w:rsid w:val="00154331"/>
    <w:rsid w:val="00154BFC"/>
    <w:rsid w:val="00155318"/>
    <w:rsid w:val="00156107"/>
    <w:rsid w:val="00156A55"/>
    <w:rsid w:val="00157020"/>
    <w:rsid w:val="0016008D"/>
    <w:rsid w:val="001600E3"/>
    <w:rsid w:val="001600FF"/>
    <w:rsid w:val="00160E78"/>
    <w:rsid w:val="001612AF"/>
    <w:rsid w:val="001615E2"/>
    <w:rsid w:val="00161771"/>
    <w:rsid w:val="00161E29"/>
    <w:rsid w:val="0016217E"/>
    <w:rsid w:val="0016266F"/>
    <w:rsid w:val="00162A8D"/>
    <w:rsid w:val="00162CEB"/>
    <w:rsid w:val="00162EFF"/>
    <w:rsid w:val="0016309B"/>
    <w:rsid w:val="00163208"/>
    <w:rsid w:val="00163465"/>
    <w:rsid w:val="00163D7E"/>
    <w:rsid w:val="001645ED"/>
    <w:rsid w:val="00164637"/>
    <w:rsid w:val="0016495D"/>
    <w:rsid w:val="00164E1B"/>
    <w:rsid w:val="001652E8"/>
    <w:rsid w:val="00165470"/>
    <w:rsid w:val="00165BAC"/>
    <w:rsid w:val="00165E1F"/>
    <w:rsid w:val="00165E3C"/>
    <w:rsid w:val="00165EBB"/>
    <w:rsid w:val="00165EDE"/>
    <w:rsid w:val="0016608C"/>
    <w:rsid w:val="00166882"/>
    <w:rsid w:val="00166907"/>
    <w:rsid w:val="00167BE0"/>
    <w:rsid w:val="00167F2C"/>
    <w:rsid w:val="001708F6"/>
    <w:rsid w:val="00170CF6"/>
    <w:rsid w:val="00170F70"/>
    <w:rsid w:val="001713D7"/>
    <w:rsid w:val="0017187E"/>
    <w:rsid w:val="00171DC5"/>
    <w:rsid w:val="00171EDC"/>
    <w:rsid w:val="00171F30"/>
    <w:rsid w:val="00171F93"/>
    <w:rsid w:val="001722AB"/>
    <w:rsid w:val="00172759"/>
    <w:rsid w:val="001727D4"/>
    <w:rsid w:val="00172D6D"/>
    <w:rsid w:val="00173514"/>
    <w:rsid w:val="00173BF4"/>
    <w:rsid w:val="00173CE9"/>
    <w:rsid w:val="00173FB5"/>
    <w:rsid w:val="001740D4"/>
    <w:rsid w:val="0017425A"/>
    <w:rsid w:val="001745B1"/>
    <w:rsid w:val="00174828"/>
    <w:rsid w:val="00174C9E"/>
    <w:rsid w:val="00174D9A"/>
    <w:rsid w:val="00175160"/>
    <w:rsid w:val="00175215"/>
    <w:rsid w:val="00175E67"/>
    <w:rsid w:val="0017613E"/>
    <w:rsid w:val="001764A1"/>
    <w:rsid w:val="00176CA0"/>
    <w:rsid w:val="00176F68"/>
    <w:rsid w:val="00177071"/>
    <w:rsid w:val="001772AB"/>
    <w:rsid w:val="0017753F"/>
    <w:rsid w:val="0017777B"/>
    <w:rsid w:val="0017783E"/>
    <w:rsid w:val="00177901"/>
    <w:rsid w:val="00177DD8"/>
    <w:rsid w:val="0018039F"/>
    <w:rsid w:val="001804DA"/>
    <w:rsid w:val="001807F0"/>
    <w:rsid w:val="00180820"/>
    <w:rsid w:val="0018134A"/>
    <w:rsid w:val="00181804"/>
    <w:rsid w:val="00181AF2"/>
    <w:rsid w:val="00181ECE"/>
    <w:rsid w:val="00181F09"/>
    <w:rsid w:val="0018218F"/>
    <w:rsid w:val="0018223D"/>
    <w:rsid w:val="00182888"/>
    <w:rsid w:val="00182A28"/>
    <w:rsid w:val="00182AE6"/>
    <w:rsid w:val="00183152"/>
    <w:rsid w:val="0018330A"/>
    <w:rsid w:val="0018362A"/>
    <w:rsid w:val="0018369B"/>
    <w:rsid w:val="001838AD"/>
    <w:rsid w:val="00183C36"/>
    <w:rsid w:val="001845C1"/>
    <w:rsid w:val="00184BF7"/>
    <w:rsid w:val="00184F3F"/>
    <w:rsid w:val="00185943"/>
    <w:rsid w:val="0018637D"/>
    <w:rsid w:val="001864DB"/>
    <w:rsid w:val="00186938"/>
    <w:rsid w:val="001869FD"/>
    <w:rsid w:val="00186ABD"/>
    <w:rsid w:val="001871C9"/>
    <w:rsid w:val="001873BC"/>
    <w:rsid w:val="001875C8"/>
    <w:rsid w:val="00187BA2"/>
    <w:rsid w:val="00187C1E"/>
    <w:rsid w:val="00187CD9"/>
    <w:rsid w:val="00187DE7"/>
    <w:rsid w:val="00190806"/>
    <w:rsid w:val="00190ABD"/>
    <w:rsid w:val="00191523"/>
    <w:rsid w:val="001917E4"/>
    <w:rsid w:val="001927E0"/>
    <w:rsid w:val="00192802"/>
    <w:rsid w:val="0019293C"/>
    <w:rsid w:val="00192F86"/>
    <w:rsid w:val="001932B1"/>
    <w:rsid w:val="001934E6"/>
    <w:rsid w:val="00193595"/>
    <w:rsid w:val="00193C82"/>
    <w:rsid w:val="00194011"/>
    <w:rsid w:val="001944CB"/>
    <w:rsid w:val="001944EB"/>
    <w:rsid w:val="00194C52"/>
    <w:rsid w:val="00194D90"/>
    <w:rsid w:val="001951C2"/>
    <w:rsid w:val="00195387"/>
    <w:rsid w:val="001957B6"/>
    <w:rsid w:val="00195D94"/>
    <w:rsid w:val="00195E2B"/>
    <w:rsid w:val="00195E39"/>
    <w:rsid w:val="00195EDE"/>
    <w:rsid w:val="00195EE4"/>
    <w:rsid w:val="00195F38"/>
    <w:rsid w:val="00196372"/>
    <w:rsid w:val="001968FD"/>
    <w:rsid w:val="00196AA9"/>
    <w:rsid w:val="00196C02"/>
    <w:rsid w:val="00196D39"/>
    <w:rsid w:val="00196E4D"/>
    <w:rsid w:val="00196EDA"/>
    <w:rsid w:val="0019763E"/>
    <w:rsid w:val="00197A03"/>
    <w:rsid w:val="00197AB4"/>
    <w:rsid w:val="00197B36"/>
    <w:rsid w:val="001A00F3"/>
    <w:rsid w:val="001A057F"/>
    <w:rsid w:val="001A0BBB"/>
    <w:rsid w:val="001A0C93"/>
    <w:rsid w:val="001A0FE4"/>
    <w:rsid w:val="001A1016"/>
    <w:rsid w:val="001A135C"/>
    <w:rsid w:val="001A14CC"/>
    <w:rsid w:val="001A1511"/>
    <w:rsid w:val="001A17D1"/>
    <w:rsid w:val="001A197A"/>
    <w:rsid w:val="001A198F"/>
    <w:rsid w:val="001A19C5"/>
    <w:rsid w:val="001A1A5C"/>
    <w:rsid w:val="001A1F81"/>
    <w:rsid w:val="001A202F"/>
    <w:rsid w:val="001A275B"/>
    <w:rsid w:val="001A2F2D"/>
    <w:rsid w:val="001A33B5"/>
    <w:rsid w:val="001A3B02"/>
    <w:rsid w:val="001A3C18"/>
    <w:rsid w:val="001A406D"/>
    <w:rsid w:val="001A46C1"/>
    <w:rsid w:val="001A4B1D"/>
    <w:rsid w:val="001A517F"/>
    <w:rsid w:val="001A5185"/>
    <w:rsid w:val="001A528F"/>
    <w:rsid w:val="001A5AAE"/>
    <w:rsid w:val="001A5DFD"/>
    <w:rsid w:val="001A6335"/>
    <w:rsid w:val="001A6527"/>
    <w:rsid w:val="001A6CE3"/>
    <w:rsid w:val="001A72F9"/>
    <w:rsid w:val="001A7E73"/>
    <w:rsid w:val="001A7F25"/>
    <w:rsid w:val="001B0281"/>
    <w:rsid w:val="001B0353"/>
    <w:rsid w:val="001B041B"/>
    <w:rsid w:val="001B0CCA"/>
    <w:rsid w:val="001B0EE8"/>
    <w:rsid w:val="001B2D16"/>
    <w:rsid w:val="001B2D18"/>
    <w:rsid w:val="001B2E2A"/>
    <w:rsid w:val="001B30C4"/>
    <w:rsid w:val="001B33B9"/>
    <w:rsid w:val="001B37CD"/>
    <w:rsid w:val="001B3C40"/>
    <w:rsid w:val="001B5038"/>
    <w:rsid w:val="001B509B"/>
    <w:rsid w:val="001B50E5"/>
    <w:rsid w:val="001B5910"/>
    <w:rsid w:val="001B6947"/>
    <w:rsid w:val="001B6A25"/>
    <w:rsid w:val="001B6A2D"/>
    <w:rsid w:val="001B6EB4"/>
    <w:rsid w:val="001B6F67"/>
    <w:rsid w:val="001B6F90"/>
    <w:rsid w:val="001B6FF8"/>
    <w:rsid w:val="001B7230"/>
    <w:rsid w:val="001B7B3E"/>
    <w:rsid w:val="001B7C26"/>
    <w:rsid w:val="001C0411"/>
    <w:rsid w:val="001C0603"/>
    <w:rsid w:val="001C0E27"/>
    <w:rsid w:val="001C12BD"/>
    <w:rsid w:val="001C19A3"/>
    <w:rsid w:val="001C1F8B"/>
    <w:rsid w:val="001C2307"/>
    <w:rsid w:val="001C2A51"/>
    <w:rsid w:val="001C2AA9"/>
    <w:rsid w:val="001C326F"/>
    <w:rsid w:val="001C34E1"/>
    <w:rsid w:val="001C3819"/>
    <w:rsid w:val="001C3A6D"/>
    <w:rsid w:val="001C3D9D"/>
    <w:rsid w:val="001C449F"/>
    <w:rsid w:val="001C44BC"/>
    <w:rsid w:val="001C47F2"/>
    <w:rsid w:val="001C491B"/>
    <w:rsid w:val="001C4C78"/>
    <w:rsid w:val="001C4EC0"/>
    <w:rsid w:val="001C5192"/>
    <w:rsid w:val="001C5198"/>
    <w:rsid w:val="001C5216"/>
    <w:rsid w:val="001C5FC4"/>
    <w:rsid w:val="001C651F"/>
    <w:rsid w:val="001C65CD"/>
    <w:rsid w:val="001C66A1"/>
    <w:rsid w:val="001C682B"/>
    <w:rsid w:val="001C6837"/>
    <w:rsid w:val="001C722C"/>
    <w:rsid w:val="001C72F6"/>
    <w:rsid w:val="001C7541"/>
    <w:rsid w:val="001C763D"/>
    <w:rsid w:val="001C77E7"/>
    <w:rsid w:val="001C7930"/>
    <w:rsid w:val="001C7E33"/>
    <w:rsid w:val="001D07B9"/>
    <w:rsid w:val="001D0AAD"/>
    <w:rsid w:val="001D0F52"/>
    <w:rsid w:val="001D10A8"/>
    <w:rsid w:val="001D140E"/>
    <w:rsid w:val="001D1598"/>
    <w:rsid w:val="001D19F0"/>
    <w:rsid w:val="001D21FD"/>
    <w:rsid w:val="001D22FE"/>
    <w:rsid w:val="001D2982"/>
    <w:rsid w:val="001D2AA9"/>
    <w:rsid w:val="001D2AED"/>
    <w:rsid w:val="001D2B7B"/>
    <w:rsid w:val="001D30B7"/>
    <w:rsid w:val="001D3549"/>
    <w:rsid w:val="001D3B1C"/>
    <w:rsid w:val="001D3B41"/>
    <w:rsid w:val="001D3B81"/>
    <w:rsid w:val="001D3E4E"/>
    <w:rsid w:val="001D4634"/>
    <w:rsid w:val="001D4647"/>
    <w:rsid w:val="001D46B6"/>
    <w:rsid w:val="001D4823"/>
    <w:rsid w:val="001D56B2"/>
    <w:rsid w:val="001D583D"/>
    <w:rsid w:val="001D5E6F"/>
    <w:rsid w:val="001D5F58"/>
    <w:rsid w:val="001D606D"/>
    <w:rsid w:val="001D64A1"/>
    <w:rsid w:val="001D64E4"/>
    <w:rsid w:val="001D6F51"/>
    <w:rsid w:val="001D70C1"/>
    <w:rsid w:val="001D74C9"/>
    <w:rsid w:val="001D75AB"/>
    <w:rsid w:val="001D7C74"/>
    <w:rsid w:val="001D7C97"/>
    <w:rsid w:val="001D7D4B"/>
    <w:rsid w:val="001D7FCD"/>
    <w:rsid w:val="001E025E"/>
    <w:rsid w:val="001E0526"/>
    <w:rsid w:val="001E05F6"/>
    <w:rsid w:val="001E164D"/>
    <w:rsid w:val="001E1654"/>
    <w:rsid w:val="001E18FB"/>
    <w:rsid w:val="001E1EC1"/>
    <w:rsid w:val="001E20F8"/>
    <w:rsid w:val="001E2924"/>
    <w:rsid w:val="001E324E"/>
    <w:rsid w:val="001E4253"/>
    <w:rsid w:val="001E45F6"/>
    <w:rsid w:val="001E4997"/>
    <w:rsid w:val="001E4ECE"/>
    <w:rsid w:val="001E4F6B"/>
    <w:rsid w:val="001E506E"/>
    <w:rsid w:val="001E5545"/>
    <w:rsid w:val="001E5676"/>
    <w:rsid w:val="001E5793"/>
    <w:rsid w:val="001E58D2"/>
    <w:rsid w:val="001E5A4F"/>
    <w:rsid w:val="001E5B59"/>
    <w:rsid w:val="001E5B5D"/>
    <w:rsid w:val="001E5C0D"/>
    <w:rsid w:val="001E7236"/>
    <w:rsid w:val="001E76E2"/>
    <w:rsid w:val="001F080F"/>
    <w:rsid w:val="001F1285"/>
    <w:rsid w:val="001F27F6"/>
    <w:rsid w:val="001F2956"/>
    <w:rsid w:val="001F2B19"/>
    <w:rsid w:val="001F2BBB"/>
    <w:rsid w:val="001F360E"/>
    <w:rsid w:val="001F3A2C"/>
    <w:rsid w:val="001F4211"/>
    <w:rsid w:val="001F4A7B"/>
    <w:rsid w:val="001F4FB1"/>
    <w:rsid w:val="001F51CE"/>
    <w:rsid w:val="001F5234"/>
    <w:rsid w:val="001F52FD"/>
    <w:rsid w:val="001F5378"/>
    <w:rsid w:val="001F5D28"/>
    <w:rsid w:val="001F6011"/>
    <w:rsid w:val="001F614F"/>
    <w:rsid w:val="001F62CC"/>
    <w:rsid w:val="001F6513"/>
    <w:rsid w:val="001F671C"/>
    <w:rsid w:val="001F6E32"/>
    <w:rsid w:val="001F6EC2"/>
    <w:rsid w:val="001F6F5D"/>
    <w:rsid w:val="001F7164"/>
    <w:rsid w:val="001F774C"/>
    <w:rsid w:val="001F7798"/>
    <w:rsid w:val="001F7DF5"/>
    <w:rsid w:val="002001A2"/>
    <w:rsid w:val="0020055E"/>
    <w:rsid w:val="00200677"/>
    <w:rsid w:val="0020085B"/>
    <w:rsid w:val="00200CDE"/>
    <w:rsid w:val="002012F7"/>
    <w:rsid w:val="00201A1B"/>
    <w:rsid w:val="00202119"/>
    <w:rsid w:val="00202550"/>
    <w:rsid w:val="002027F6"/>
    <w:rsid w:val="00202A46"/>
    <w:rsid w:val="00202B4A"/>
    <w:rsid w:val="00202BC4"/>
    <w:rsid w:val="00203C0A"/>
    <w:rsid w:val="00203C3F"/>
    <w:rsid w:val="00203CFF"/>
    <w:rsid w:val="00203E1E"/>
    <w:rsid w:val="00203F1D"/>
    <w:rsid w:val="00205735"/>
    <w:rsid w:val="00205A29"/>
    <w:rsid w:val="00205CFB"/>
    <w:rsid w:val="00205DB9"/>
    <w:rsid w:val="00205FB6"/>
    <w:rsid w:val="00206254"/>
    <w:rsid w:val="002068EB"/>
    <w:rsid w:val="002069A1"/>
    <w:rsid w:val="00206E2B"/>
    <w:rsid w:val="00210029"/>
    <w:rsid w:val="002105DA"/>
    <w:rsid w:val="00210921"/>
    <w:rsid w:val="00211175"/>
    <w:rsid w:val="002112C4"/>
    <w:rsid w:val="0021181D"/>
    <w:rsid w:val="00211BF6"/>
    <w:rsid w:val="00211EEF"/>
    <w:rsid w:val="0021291D"/>
    <w:rsid w:val="00212DD7"/>
    <w:rsid w:val="00213717"/>
    <w:rsid w:val="00213864"/>
    <w:rsid w:val="00213D51"/>
    <w:rsid w:val="00214112"/>
    <w:rsid w:val="0021441D"/>
    <w:rsid w:val="00215579"/>
    <w:rsid w:val="00215C67"/>
    <w:rsid w:val="00215E8E"/>
    <w:rsid w:val="0021611B"/>
    <w:rsid w:val="00216484"/>
    <w:rsid w:val="00216BE5"/>
    <w:rsid w:val="002175CD"/>
    <w:rsid w:val="00217D3B"/>
    <w:rsid w:val="00217F66"/>
    <w:rsid w:val="002207B7"/>
    <w:rsid w:val="00220C50"/>
    <w:rsid w:val="002213AF"/>
    <w:rsid w:val="00221763"/>
    <w:rsid w:val="00221786"/>
    <w:rsid w:val="00221893"/>
    <w:rsid w:val="002219DD"/>
    <w:rsid w:val="00221C10"/>
    <w:rsid w:val="00221E5E"/>
    <w:rsid w:val="0022202B"/>
    <w:rsid w:val="00222044"/>
    <w:rsid w:val="002223DA"/>
    <w:rsid w:val="002225EB"/>
    <w:rsid w:val="0022323D"/>
    <w:rsid w:val="00223245"/>
    <w:rsid w:val="00223E21"/>
    <w:rsid w:val="00223F32"/>
    <w:rsid w:val="00224A49"/>
    <w:rsid w:val="00224AE2"/>
    <w:rsid w:val="002254F3"/>
    <w:rsid w:val="002256D8"/>
    <w:rsid w:val="00225823"/>
    <w:rsid w:val="00225E76"/>
    <w:rsid w:val="00225ED3"/>
    <w:rsid w:val="00226112"/>
    <w:rsid w:val="00226628"/>
    <w:rsid w:val="00226EC7"/>
    <w:rsid w:val="00227A59"/>
    <w:rsid w:val="00230056"/>
    <w:rsid w:val="002300BE"/>
    <w:rsid w:val="002301D8"/>
    <w:rsid w:val="0023058F"/>
    <w:rsid w:val="00231017"/>
    <w:rsid w:val="00231487"/>
    <w:rsid w:val="0023199B"/>
    <w:rsid w:val="00231ED1"/>
    <w:rsid w:val="002322CB"/>
    <w:rsid w:val="00232375"/>
    <w:rsid w:val="0023248A"/>
    <w:rsid w:val="0023263B"/>
    <w:rsid w:val="00232C26"/>
    <w:rsid w:val="002331AD"/>
    <w:rsid w:val="00233339"/>
    <w:rsid w:val="00233378"/>
    <w:rsid w:val="00233578"/>
    <w:rsid w:val="00233878"/>
    <w:rsid w:val="0023474E"/>
    <w:rsid w:val="002347BB"/>
    <w:rsid w:val="002349F9"/>
    <w:rsid w:val="0023537C"/>
    <w:rsid w:val="00236A79"/>
    <w:rsid w:val="00237399"/>
    <w:rsid w:val="002376CC"/>
    <w:rsid w:val="00237AC6"/>
    <w:rsid w:val="00240223"/>
    <w:rsid w:val="00240563"/>
    <w:rsid w:val="002408A5"/>
    <w:rsid w:val="00240ED3"/>
    <w:rsid w:val="0024108B"/>
    <w:rsid w:val="00241517"/>
    <w:rsid w:val="00241523"/>
    <w:rsid w:val="00241CAA"/>
    <w:rsid w:val="00241CB6"/>
    <w:rsid w:val="00241FFE"/>
    <w:rsid w:val="00242624"/>
    <w:rsid w:val="00242A93"/>
    <w:rsid w:val="00243449"/>
    <w:rsid w:val="0024344B"/>
    <w:rsid w:val="002437F6"/>
    <w:rsid w:val="00243CA4"/>
    <w:rsid w:val="00243DBB"/>
    <w:rsid w:val="00243EF4"/>
    <w:rsid w:val="00244026"/>
    <w:rsid w:val="00244287"/>
    <w:rsid w:val="00244303"/>
    <w:rsid w:val="00244305"/>
    <w:rsid w:val="00244308"/>
    <w:rsid w:val="00244DE4"/>
    <w:rsid w:val="0024515B"/>
    <w:rsid w:val="002454AE"/>
    <w:rsid w:val="00245516"/>
    <w:rsid w:val="0024557E"/>
    <w:rsid w:val="0024565B"/>
    <w:rsid w:val="0024579E"/>
    <w:rsid w:val="00245805"/>
    <w:rsid w:val="00245901"/>
    <w:rsid w:val="00245F6E"/>
    <w:rsid w:val="002471FD"/>
    <w:rsid w:val="00247616"/>
    <w:rsid w:val="00247AAE"/>
    <w:rsid w:val="00247C67"/>
    <w:rsid w:val="00247C69"/>
    <w:rsid w:val="00250115"/>
    <w:rsid w:val="002507CF"/>
    <w:rsid w:val="0025089D"/>
    <w:rsid w:val="0025098D"/>
    <w:rsid w:val="002509D8"/>
    <w:rsid w:val="00250A93"/>
    <w:rsid w:val="002514E7"/>
    <w:rsid w:val="002515FB"/>
    <w:rsid w:val="00251714"/>
    <w:rsid w:val="00251D82"/>
    <w:rsid w:val="00251F0B"/>
    <w:rsid w:val="0025218F"/>
    <w:rsid w:val="00252928"/>
    <w:rsid w:val="00252A08"/>
    <w:rsid w:val="00252C5D"/>
    <w:rsid w:val="00252C9F"/>
    <w:rsid w:val="00252DA7"/>
    <w:rsid w:val="0025305D"/>
    <w:rsid w:val="002534F6"/>
    <w:rsid w:val="00253791"/>
    <w:rsid w:val="002538C7"/>
    <w:rsid w:val="00253999"/>
    <w:rsid w:val="00253C02"/>
    <w:rsid w:val="00254C64"/>
    <w:rsid w:val="00255006"/>
    <w:rsid w:val="0025556B"/>
    <w:rsid w:val="002556B5"/>
    <w:rsid w:val="0025575E"/>
    <w:rsid w:val="00255D5B"/>
    <w:rsid w:val="00255E8B"/>
    <w:rsid w:val="0025663D"/>
    <w:rsid w:val="0025695E"/>
    <w:rsid w:val="00256A93"/>
    <w:rsid w:val="00257072"/>
    <w:rsid w:val="0025769A"/>
    <w:rsid w:val="002578AD"/>
    <w:rsid w:val="00257FC7"/>
    <w:rsid w:val="002606A6"/>
    <w:rsid w:val="00260B7F"/>
    <w:rsid w:val="00260BA6"/>
    <w:rsid w:val="00260D18"/>
    <w:rsid w:val="00260D83"/>
    <w:rsid w:val="00260D89"/>
    <w:rsid w:val="0026193A"/>
    <w:rsid w:val="00261AC0"/>
    <w:rsid w:val="00261CDF"/>
    <w:rsid w:val="00261DAD"/>
    <w:rsid w:val="00262117"/>
    <w:rsid w:val="002623C0"/>
    <w:rsid w:val="002624C7"/>
    <w:rsid w:val="00262A30"/>
    <w:rsid w:val="00262AC9"/>
    <w:rsid w:val="00262BE1"/>
    <w:rsid w:val="00262F4D"/>
    <w:rsid w:val="0026304D"/>
    <w:rsid w:val="002630BC"/>
    <w:rsid w:val="002630CD"/>
    <w:rsid w:val="00263142"/>
    <w:rsid w:val="002631B5"/>
    <w:rsid w:val="002632EA"/>
    <w:rsid w:val="00263636"/>
    <w:rsid w:val="00263AD5"/>
    <w:rsid w:val="00264225"/>
    <w:rsid w:val="002644D4"/>
    <w:rsid w:val="0026476E"/>
    <w:rsid w:val="00264961"/>
    <w:rsid w:val="00264A5C"/>
    <w:rsid w:val="00264EC8"/>
    <w:rsid w:val="0026508C"/>
    <w:rsid w:val="0026512B"/>
    <w:rsid w:val="002656A7"/>
    <w:rsid w:val="002666AB"/>
    <w:rsid w:val="002667C6"/>
    <w:rsid w:val="002668B3"/>
    <w:rsid w:val="002669C8"/>
    <w:rsid w:val="00266AFC"/>
    <w:rsid w:val="00266C33"/>
    <w:rsid w:val="00267011"/>
    <w:rsid w:val="00267389"/>
    <w:rsid w:val="002675C4"/>
    <w:rsid w:val="00267873"/>
    <w:rsid w:val="00267E84"/>
    <w:rsid w:val="00267F3B"/>
    <w:rsid w:val="002703BB"/>
    <w:rsid w:val="00270620"/>
    <w:rsid w:val="0027064C"/>
    <w:rsid w:val="0027065C"/>
    <w:rsid w:val="002708A9"/>
    <w:rsid w:val="00270C59"/>
    <w:rsid w:val="0027131A"/>
    <w:rsid w:val="00271477"/>
    <w:rsid w:val="002716E5"/>
    <w:rsid w:val="00271762"/>
    <w:rsid w:val="0027192E"/>
    <w:rsid w:val="00271B36"/>
    <w:rsid w:val="00271CEA"/>
    <w:rsid w:val="00271D3C"/>
    <w:rsid w:val="00272F28"/>
    <w:rsid w:val="00273296"/>
    <w:rsid w:val="00273421"/>
    <w:rsid w:val="00273486"/>
    <w:rsid w:val="00273496"/>
    <w:rsid w:val="00273B12"/>
    <w:rsid w:val="0027412F"/>
    <w:rsid w:val="002742DA"/>
    <w:rsid w:val="00274BF1"/>
    <w:rsid w:val="00274D95"/>
    <w:rsid w:val="00275A18"/>
    <w:rsid w:val="00275C65"/>
    <w:rsid w:val="00275C6A"/>
    <w:rsid w:val="00276011"/>
    <w:rsid w:val="002760E8"/>
    <w:rsid w:val="00276206"/>
    <w:rsid w:val="0027656D"/>
    <w:rsid w:val="0027692C"/>
    <w:rsid w:val="00276A2D"/>
    <w:rsid w:val="00276CC4"/>
    <w:rsid w:val="00276CEA"/>
    <w:rsid w:val="00276D3A"/>
    <w:rsid w:val="0027706C"/>
    <w:rsid w:val="002775ED"/>
    <w:rsid w:val="00277633"/>
    <w:rsid w:val="00277BE5"/>
    <w:rsid w:val="00280844"/>
    <w:rsid w:val="00281183"/>
    <w:rsid w:val="00281208"/>
    <w:rsid w:val="0028122D"/>
    <w:rsid w:val="00281247"/>
    <w:rsid w:val="0028132F"/>
    <w:rsid w:val="00281341"/>
    <w:rsid w:val="00281A83"/>
    <w:rsid w:val="0028202E"/>
    <w:rsid w:val="00282067"/>
    <w:rsid w:val="002826BA"/>
    <w:rsid w:val="00283289"/>
    <w:rsid w:val="0028347B"/>
    <w:rsid w:val="00283577"/>
    <w:rsid w:val="002835CE"/>
    <w:rsid w:val="002836A9"/>
    <w:rsid w:val="00283A20"/>
    <w:rsid w:val="00283CD0"/>
    <w:rsid w:val="00284831"/>
    <w:rsid w:val="002848B7"/>
    <w:rsid w:val="00284ACE"/>
    <w:rsid w:val="00284F59"/>
    <w:rsid w:val="0028506A"/>
    <w:rsid w:val="002850B0"/>
    <w:rsid w:val="002852B5"/>
    <w:rsid w:val="002853A2"/>
    <w:rsid w:val="002854BC"/>
    <w:rsid w:val="0028577F"/>
    <w:rsid w:val="00285A5C"/>
    <w:rsid w:val="00285DBD"/>
    <w:rsid w:val="002863D7"/>
    <w:rsid w:val="002865BA"/>
    <w:rsid w:val="00286BFB"/>
    <w:rsid w:val="00286F21"/>
    <w:rsid w:val="002873B4"/>
    <w:rsid w:val="002874C9"/>
    <w:rsid w:val="0028766F"/>
    <w:rsid w:val="00287A0E"/>
    <w:rsid w:val="00287A11"/>
    <w:rsid w:val="002903AF"/>
    <w:rsid w:val="00290510"/>
    <w:rsid w:val="002911DD"/>
    <w:rsid w:val="002913F4"/>
    <w:rsid w:val="00291A0C"/>
    <w:rsid w:val="00291A6B"/>
    <w:rsid w:val="002920DA"/>
    <w:rsid w:val="0029224E"/>
    <w:rsid w:val="0029271E"/>
    <w:rsid w:val="002928D2"/>
    <w:rsid w:val="00292AB5"/>
    <w:rsid w:val="00292C24"/>
    <w:rsid w:val="00292E30"/>
    <w:rsid w:val="00293208"/>
    <w:rsid w:val="00293315"/>
    <w:rsid w:val="00293753"/>
    <w:rsid w:val="002938CB"/>
    <w:rsid w:val="00293A8F"/>
    <w:rsid w:val="00293C77"/>
    <w:rsid w:val="00293FA5"/>
    <w:rsid w:val="0029400B"/>
    <w:rsid w:val="002944C8"/>
    <w:rsid w:val="00294562"/>
    <w:rsid w:val="00294AA3"/>
    <w:rsid w:val="00294C43"/>
    <w:rsid w:val="00294D98"/>
    <w:rsid w:val="00295120"/>
    <w:rsid w:val="0029583B"/>
    <w:rsid w:val="0029661D"/>
    <w:rsid w:val="00296CD1"/>
    <w:rsid w:val="00296D4C"/>
    <w:rsid w:val="00297939"/>
    <w:rsid w:val="00297DC6"/>
    <w:rsid w:val="002A0852"/>
    <w:rsid w:val="002A0BA5"/>
    <w:rsid w:val="002A0CF8"/>
    <w:rsid w:val="002A0DF7"/>
    <w:rsid w:val="002A0F51"/>
    <w:rsid w:val="002A0FBB"/>
    <w:rsid w:val="002A11C0"/>
    <w:rsid w:val="002A1286"/>
    <w:rsid w:val="002A150B"/>
    <w:rsid w:val="002A155C"/>
    <w:rsid w:val="002A1982"/>
    <w:rsid w:val="002A1E13"/>
    <w:rsid w:val="002A1EE8"/>
    <w:rsid w:val="002A1F7A"/>
    <w:rsid w:val="002A2238"/>
    <w:rsid w:val="002A238A"/>
    <w:rsid w:val="002A258A"/>
    <w:rsid w:val="002A2A07"/>
    <w:rsid w:val="002A2E8F"/>
    <w:rsid w:val="002A2EC4"/>
    <w:rsid w:val="002A3172"/>
    <w:rsid w:val="002A3C87"/>
    <w:rsid w:val="002A3CFB"/>
    <w:rsid w:val="002A42DB"/>
    <w:rsid w:val="002A43C2"/>
    <w:rsid w:val="002A4427"/>
    <w:rsid w:val="002A4CA8"/>
    <w:rsid w:val="002A4E0F"/>
    <w:rsid w:val="002A4EC0"/>
    <w:rsid w:val="002A53A4"/>
    <w:rsid w:val="002A589A"/>
    <w:rsid w:val="002A58CE"/>
    <w:rsid w:val="002A5D8D"/>
    <w:rsid w:val="002A658B"/>
    <w:rsid w:val="002A69FC"/>
    <w:rsid w:val="002A6A79"/>
    <w:rsid w:val="002A6AA2"/>
    <w:rsid w:val="002A6B77"/>
    <w:rsid w:val="002A6CA4"/>
    <w:rsid w:val="002A6F05"/>
    <w:rsid w:val="002A7195"/>
    <w:rsid w:val="002B02FE"/>
    <w:rsid w:val="002B1050"/>
    <w:rsid w:val="002B12B4"/>
    <w:rsid w:val="002B1512"/>
    <w:rsid w:val="002B155B"/>
    <w:rsid w:val="002B16FD"/>
    <w:rsid w:val="002B17CD"/>
    <w:rsid w:val="002B1AEB"/>
    <w:rsid w:val="002B1B65"/>
    <w:rsid w:val="002B26A8"/>
    <w:rsid w:val="002B286C"/>
    <w:rsid w:val="002B296D"/>
    <w:rsid w:val="002B2B74"/>
    <w:rsid w:val="002B2C61"/>
    <w:rsid w:val="002B2C8B"/>
    <w:rsid w:val="002B2FBB"/>
    <w:rsid w:val="002B34BB"/>
    <w:rsid w:val="002B3722"/>
    <w:rsid w:val="002B3735"/>
    <w:rsid w:val="002B3AB4"/>
    <w:rsid w:val="002B45F5"/>
    <w:rsid w:val="002B46A4"/>
    <w:rsid w:val="002B51BF"/>
    <w:rsid w:val="002B58D7"/>
    <w:rsid w:val="002B5AA9"/>
    <w:rsid w:val="002B5DCB"/>
    <w:rsid w:val="002B5F7F"/>
    <w:rsid w:val="002B63B4"/>
    <w:rsid w:val="002B6DA6"/>
    <w:rsid w:val="002B6DB5"/>
    <w:rsid w:val="002B6E89"/>
    <w:rsid w:val="002B7B72"/>
    <w:rsid w:val="002B7B75"/>
    <w:rsid w:val="002B7D74"/>
    <w:rsid w:val="002C02DB"/>
    <w:rsid w:val="002C06C8"/>
    <w:rsid w:val="002C07FD"/>
    <w:rsid w:val="002C101D"/>
    <w:rsid w:val="002C1866"/>
    <w:rsid w:val="002C2002"/>
    <w:rsid w:val="002C23E6"/>
    <w:rsid w:val="002C29E8"/>
    <w:rsid w:val="002C316D"/>
    <w:rsid w:val="002C36B4"/>
    <w:rsid w:val="002C39B6"/>
    <w:rsid w:val="002C4218"/>
    <w:rsid w:val="002C442E"/>
    <w:rsid w:val="002C5763"/>
    <w:rsid w:val="002C5C66"/>
    <w:rsid w:val="002C5C95"/>
    <w:rsid w:val="002C5F46"/>
    <w:rsid w:val="002C7324"/>
    <w:rsid w:val="002C78C8"/>
    <w:rsid w:val="002C7A90"/>
    <w:rsid w:val="002C7D35"/>
    <w:rsid w:val="002C7F80"/>
    <w:rsid w:val="002D0150"/>
    <w:rsid w:val="002D0515"/>
    <w:rsid w:val="002D05CB"/>
    <w:rsid w:val="002D0B5E"/>
    <w:rsid w:val="002D0D54"/>
    <w:rsid w:val="002D14F7"/>
    <w:rsid w:val="002D1D74"/>
    <w:rsid w:val="002D24AC"/>
    <w:rsid w:val="002D27A7"/>
    <w:rsid w:val="002D2BE7"/>
    <w:rsid w:val="002D2E29"/>
    <w:rsid w:val="002D2E89"/>
    <w:rsid w:val="002D398B"/>
    <w:rsid w:val="002D3D0C"/>
    <w:rsid w:val="002D3EF7"/>
    <w:rsid w:val="002D420F"/>
    <w:rsid w:val="002D43B8"/>
    <w:rsid w:val="002D4771"/>
    <w:rsid w:val="002D4D42"/>
    <w:rsid w:val="002D55A7"/>
    <w:rsid w:val="002D5B3A"/>
    <w:rsid w:val="002D5EF3"/>
    <w:rsid w:val="002D60CD"/>
    <w:rsid w:val="002D69AC"/>
    <w:rsid w:val="002D6F3F"/>
    <w:rsid w:val="002D7035"/>
    <w:rsid w:val="002D7155"/>
    <w:rsid w:val="002D77D9"/>
    <w:rsid w:val="002D7878"/>
    <w:rsid w:val="002D78F8"/>
    <w:rsid w:val="002D7AA0"/>
    <w:rsid w:val="002E015B"/>
    <w:rsid w:val="002E051E"/>
    <w:rsid w:val="002E0FD5"/>
    <w:rsid w:val="002E10D6"/>
    <w:rsid w:val="002E1837"/>
    <w:rsid w:val="002E19D6"/>
    <w:rsid w:val="002E238B"/>
    <w:rsid w:val="002E2757"/>
    <w:rsid w:val="002E2762"/>
    <w:rsid w:val="002E2CF5"/>
    <w:rsid w:val="002E3013"/>
    <w:rsid w:val="002E333A"/>
    <w:rsid w:val="002E3907"/>
    <w:rsid w:val="002E3EF6"/>
    <w:rsid w:val="002E49A3"/>
    <w:rsid w:val="002E4CB1"/>
    <w:rsid w:val="002E4EE2"/>
    <w:rsid w:val="002E52B5"/>
    <w:rsid w:val="002E5729"/>
    <w:rsid w:val="002E5A1B"/>
    <w:rsid w:val="002E7036"/>
    <w:rsid w:val="002E70D2"/>
    <w:rsid w:val="002E7897"/>
    <w:rsid w:val="002E7B51"/>
    <w:rsid w:val="002E7CC9"/>
    <w:rsid w:val="002E7D51"/>
    <w:rsid w:val="002F0322"/>
    <w:rsid w:val="002F0FED"/>
    <w:rsid w:val="002F122C"/>
    <w:rsid w:val="002F1503"/>
    <w:rsid w:val="002F16B1"/>
    <w:rsid w:val="002F16E5"/>
    <w:rsid w:val="002F183D"/>
    <w:rsid w:val="002F1A43"/>
    <w:rsid w:val="002F1B8B"/>
    <w:rsid w:val="002F2A40"/>
    <w:rsid w:val="002F3E3F"/>
    <w:rsid w:val="002F4238"/>
    <w:rsid w:val="002F474A"/>
    <w:rsid w:val="002F4CE1"/>
    <w:rsid w:val="002F5656"/>
    <w:rsid w:val="002F5AC3"/>
    <w:rsid w:val="002F5CEF"/>
    <w:rsid w:val="002F5D2E"/>
    <w:rsid w:val="002F5E07"/>
    <w:rsid w:val="002F5E96"/>
    <w:rsid w:val="002F5F27"/>
    <w:rsid w:val="002F6525"/>
    <w:rsid w:val="002F6613"/>
    <w:rsid w:val="002F7006"/>
    <w:rsid w:val="002F74C6"/>
    <w:rsid w:val="002F769E"/>
    <w:rsid w:val="002F76D1"/>
    <w:rsid w:val="002F77BB"/>
    <w:rsid w:val="002F785F"/>
    <w:rsid w:val="002F7AD3"/>
    <w:rsid w:val="002F7B1A"/>
    <w:rsid w:val="002F7E94"/>
    <w:rsid w:val="002F7FBA"/>
    <w:rsid w:val="00300124"/>
    <w:rsid w:val="0030012D"/>
    <w:rsid w:val="003002EC"/>
    <w:rsid w:val="00300415"/>
    <w:rsid w:val="0030053D"/>
    <w:rsid w:val="00300599"/>
    <w:rsid w:val="00300F1D"/>
    <w:rsid w:val="00300F22"/>
    <w:rsid w:val="00300F5D"/>
    <w:rsid w:val="00300FB7"/>
    <w:rsid w:val="00300FD3"/>
    <w:rsid w:val="0030188A"/>
    <w:rsid w:val="003018A5"/>
    <w:rsid w:val="00301B0A"/>
    <w:rsid w:val="00301DED"/>
    <w:rsid w:val="00302047"/>
    <w:rsid w:val="00302408"/>
    <w:rsid w:val="003025C2"/>
    <w:rsid w:val="00302EC9"/>
    <w:rsid w:val="00303130"/>
    <w:rsid w:val="00303692"/>
    <w:rsid w:val="00303FFE"/>
    <w:rsid w:val="00304093"/>
    <w:rsid w:val="0030489D"/>
    <w:rsid w:val="00304946"/>
    <w:rsid w:val="00304A37"/>
    <w:rsid w:val="00304BBA"/>
    <w:rsid w:val="003054CD"/>
    <w:rsid w:val="003056B6"/>
    <w:rsid w:val="00305DEC"/>
    <w:rsid w:val="00305FE8"/>
    <w:rsid w:val="003060BC"/>
    <w:rsid w:val="003061D7"/>
    <w:rsid w:val="0030645B"/>
    <w:rsid w:val="00306711"/>
    <w:rsid w:val="003069F0"/>
    <w:rsid w:val="00306C6B"/>
    <w:rsid w:val="00307AA4"/>
    <w:rsid w:val="00307DD6"/>
    <w:rsid w:val="0031040E"/>
    <w:rsid w:val="0031051A"/>
    <w:rsid w:val="003109D6"/>
    <w:rsid w:val="00310D0F"/>
    <w:rsid w:val="00310ED4"/>
    <w:rsid w:val="0031181D"/>
    <w:rsid w:val="0031194F"/>
    <w:rsid w:val="00311F9C"/>
    <w:rsid w:val="00312301"/>
    <w:rsid w:val="00312350"/>
    <w:rsid w:val="0031250E"/>
    <w:rsid w:val="003137A3"/>
    <w:rsid w:val="003138FA"/>
    <w:rsid w:val="00313AE8"/>
    <w:rsid w:val="00314391"/>
    <w:rsid w:val="00314712"/>
    <w:rsid w:val="0031492A"/>
    <w:rsid w:val="00315383"/>
    <w:rsid w:val="003154BB"/>
    <w:rsid w:val="003158C9"/>
    <w:rsid w:val="00315FF7"/>
    <w:rsid w:val="003162AE"/>
    <w:rsid w:val="00316670"/>
    <w:rsid w:val="00316719"/>
    <w:rsid w:val="00316781"/>
    <w:rsid w:val="00316C1A"/>
    <w:rsid w:val="003171E1"/>
    <w:rsid w:val="00317945"/>
    <w:rsid w:val="00320A75"/>
    <w:rsid w:val="00320A8C"/>
    <w:rsid w:val="0032155A"/>
    <w:rsid w:val="00321884"/>
    <w:rsid w:val="00321B7E"/>
    <w:rsid w:val="003226DF"/>
    <w:rsid w:val="003227AA"/>
    <w:rsid w:val="003228B2"/>
    <w:rsid w:val="00322A40"/>
    <w:rsid w:val="00323463"/>
    <w:rsid w:val="0032379F"/>
    <w:rsid w:val="003237EC"/>
    <w:rsid w:val="00323929"/>
    <w:rsid w:val="00323C1D"/>
    <w:rsid w:val="00323C73"/>
    <w:rsid w:val="00324020"/>
    <w:rsid w:val="00324378"/>
    <w:rsid w:val="003243EA"/>
    <w:rsid w:val="00324D83"/>
    <w:rsid w:val="00325609"/>
    <w:rsid w:val="00326274"/>
    <w:rsid w:val="003264A3"/>
    <w:rsid w:val="003265A5"/>
    <w:rsid w:val="00326D6E"/>
    <w:rsid w:val="00326F73"/>
    <w:rsid w:val="003273F6"/>
    <w:rsid w:val="0032793D"/>
    <w:rsid w:val="003300CA"/>
    <w:rsid w:val="0033018E"/>
    <w:rsid w:val="003308C8"/>
    <w:rsid w:val="00330ACF"/>
    <w:rsid w:val="00330C6B"/>
    <w:rsid w:val="00330D72"/>
    <w:rsid w:val="00331125"/>
    <w:rsid w:val="00331141"/>
    <w:rsid w:val="00331AFD"/>
    <w:rsid w:val="00331E02"/>
    <w:rsid w:val="00332376"/>
    <w:rsid w:val="00332655"/>
    <w:rsid w:val="003329A3"/>
    <w:rsid w:val="0033322D"/>
    <w:rsid w:val="00333401"/>
    <w:rsid w:val="0033354C"/>
    <w:rsid w:val="00333E0F"/>
    <w:rsid w:val="00333EC1"/>
    <w:rsid w:val="00333F70"/>
    <w:rsid w:val="0033440F"/>
    <w:rsid w:val="00334515"/>
    <w:rsid w:val="00334889"/>
    <w:rsid w:val="0033551F"/>
    <w:rsid w:val="00335AFE"/>
    <w:rsid w:val="00335BAC"/>
    <w:rsid w:val="0033638A"/>
    <w:rsid w:val="00336665"/>
    <w:rsid w:val="00336908"/>
    <w:rsid w:val="00337AB6"/>
    <w:rsid w:val="00337CEE"/>
    <w:rsid w:val="00337F74"/>
    <w:rsid w:val="00337F7F"/>
    <w:rsid w:val="00337F9D"/>
    <w:rsid w:val="00340324"/>
    <w:rsid w:val="00340883"/>
    <w:rsid w:val="00340B05"/>
    <w:rsid w:val="00340D7E"/>
    <w:rsid w:val="00340EB0"/>
    <w:rsid w:val="00341332"/>
    <w:rsid w:val="00341352"/>
    <w:rsid w:val="00341488"/>
    <w:rsid w:val="0034173D"/>
    <w:rsid w:val="00341758"/>
    <w:rsid w:val="00341EF1"/>
    <w:rsid w:val="0034226B"/>
    <w:rsid w:val="003423F4"/>
    <w:rsid w:val="003426FF"/>
    <w:rsid w:val="003427DF"/>
    <w:rsid w:val="00342934"/>
    <w:rsid w:val="00342EF9"/>
    <w:rsid w:val="00343212"/>
    <w:rsid w:val="003432D5"/>
    <w:rsid w:val="00343408"/>
    <w:rsid w:val="00343903"/>
    <w:rsid w:val="00343AE9"/>
    <w:rsid w:val="00343C45"/>
    <w:rsid w:val="00343D97"/>
    <w:rsid w:val="00343F23"/>
    <w:rsid w:val="00344758"/>
    <w:rsid w:val="003448DB"/>
    <w:rsid w:val="00345505"/>
    <w:rsid w:val="0034583B"/>
    <w:rsid w:val="00345928"/>
    <w:rsid w:val="00345BD3"/>
    <w:rsid w:val="00345D03"/>
    <w:rsid w:val="00345DB5"/>
    <w:rsid w:val="00345E39"/>
    <w:rsid w:val="00345F9C"/>
    <w:rsid w:val="003460AE"/>
    <w:rsid w:val="00346272"/>
    <w:rsid w:val="00346374"/>
    <w:rsid w:val="00346A8E"/>
    <w:rsid w:val="00346ADE"/>
    <w:rsid w:val="00346BC8"/>
    <w:rsid w:val="00347142"/>
    <w:rsid w:val="00347E4B"/>
    <w:rsid w:val="00347F7A"/>
    <w:rsid w:val="00350016"/>
    <w:rsid w:val="003507D2"/>
    <w:rsid w:val="00350C8B"/>
    <w:rsid w:val="00350D1A"/>
    <w:rsid w:val="00350D1B"/>
    <w:rsid w:val="00350FA5"/>
    <w:rsid w:val="003511C7"/>
    <w:rsid w:val="003517FF"/>
    <w:rsid w:val="00351CAC"/>
    <w:rsid w:val="00351EC9"/>
    <w:rsid w:val="00351FDD"/>
    <w:rsid w:val="00352473"/>
    <w:rsid w:val="003525E7"/>
    <w:rsid w:val="00352C08"/>
    <w:rsid w:val="00353A19"/>
    <w:rsid w:val="00353E8A"/>
    <w:rsid w:val="00354A8E"/>
    <w:rsid w:val="003550C3"/>
    <w:rsid w:val="003552A5"/>
    <w:rsid w:val="00355662"/>
    <w:rsid w:val="0035592C"/>
    <w:rsid w:val="00355D1C"/>
    <w:rsid w:val="00355EA5"/>
    <w:rsid w:val="003565A8"/>
    <w:rsid w:val="003566EA"/>
    <w:rsid w:val="00356967"/>
    <w:rsid w:val="00356C2D"/>
    <w:rsid w:val="00357076"/>
    <w:rsid w:val="00357140"/>
    <w:rsid w:val="0035727E"/>
    <w:rsid w:val="00357596"/>
    <w:rsid w:val="003601DD"/>
    <w:rsid w:val="00360355"/>
    <w:rsid w:val="00360540"/>
    <w:rsid w:val="00360BDE"/>
    <w:rsid w:val="00360BE2"/>
    <w:rsid w:val="003618C1"/>
    <w:rsid w:val="00361B5B"/>
    <w:rsid w:val="00361C42"/>
    <w:rsid w:val="00361CEB"/>
    <w:rsid w:val="0036257E"/>
    <w:rsid w:val="00362CBD"/>
    <w:rsid w:val="00362F0C"/>
    <w:rsid w:val="0036349C"/>
    <w:rsid w:val="003634FA"/>
    <w:rsid w:val="0036383D"/>
    <w:rsid w:val="00363C14"/>
    <w:rsid w:val="0036426C"/>
    <w:rsid w:val="003642B9"/>
    <w:rsid w:val="0036439C"/>
    <w:rsid w:val="003646DA"/>
    <w:rsid w:val="00365072"/>
    <w:rsid w:val="003651B7"/>
    <w:rsid w:val="003651F7"/>
    <w:rsid w:val="003651F8"/>
    <w:rsid w:val="00365634"/>
    <w:rsid w:val="00365A50"/>
    <w:rsid w:val="00366094"/>
    <w:rsid w:val="00366524"/>
    <w:rsid w:val="00366F91"/>
    <w:rsid w:val="00367974"/>
    <w:rsid w:val="00367BC1"/>
    <w:rsid w:val="003702DC"/>
    <w:rsid w:val="003703D6"/>
    <w:rsid w:val="003706AA"/>
    <w:rsid w:val="003708C0"/>
    <w:rsid w:val="00370AE6"/>
    <w:rsid w:val="00370E83"/>
    <w:rsid w:val="00371458"/>
    <w:rsid w:val="0037285C"/>
    <w:rsid w:val="00372976"/>
    <w:rsid w:val="00372BA6"/>
    <w:rsid w:val="00372C79"/>
    <w:rsid w:val="00372F19"/>
    <w:rsid w:val="0037314B"/>
    <w:rsid w:val="00373725"/>
    <w:rsid w:val="00373F53"/>
    <w:rsid w:val="003741D0"/>
    <w:rsid w:val="003742E8"/>
    <w:rsid w:val="0037436F"/>
    <w:rsid w:val="0037466A"/>
    <w:rsid w:val="00374852"/>
    <w:rsid w:val="00374C24"/>
    <w:rsid w:val="00374F4C"/>
    <w:rsid w:val="00375438"/>
    <w:rsid w:val="0037552D"/>
    <w:rsid w:val="00375861"/>
    <w:rsid w:val="003759F8"/>
    <w:rsid w:val="00375B45"/>
    <w:rsid w:val="00375CD9"/>
    <w:rsid w:val="003762F0"/>
    <w:rsid w:val="0037663F"/>
    <w:rsid w:val="00376939"/>
    <w:rsid w:val="00376E94"/>
    <w:rsid w:val="003771F5"/>
    <w:rsid w:val="003777B3"/>
    <w:rsid w:val="00377E08"/>
    <w:rsid w:val="00377F2B"/>
    <w:rsid w:val="003808C2"/>
    <w:rsid w:val="00380A4D"/>
    <w:rsid w:val="00380AFF"/>
    <w:rsid w:val="00380C87"/>
    <w:rsid w:val="00381010"/>
    <w:rsid w:val="00381B43"/>
    <w:rsid w:val="003820CA"/>
    <w:rsid w:val="003822D2"/>
    <w:rsid w:val="003826C1"/>
    <w:rsid w:val="00382F99"/>
    <w:rsid w:val="00383605"/>
    <w:rsid w:val="00383B79"/>
    <w:rsid w:val="003840DD"/>
    <w:rsid w:val="00384A5F"/>
    <w:rsid w:val="00384C1B"/>
    <w:rsid w:val="00384F5C"/>
    <w:rsid w:val="00385405"/>
    <w:rsid w:val="0038564D"/>
    <w:rsid w:val="00385A6D"/>
    <w:rsid w:val="003863DF"/>
    <w:rsid w:val="00386615"/>
    <w:rsid w:val="003868B3"/>
    <w:rsid w:val="00386BCB"/>
    <w:rsid w:val="003871D1"/>
    <w:rsid w:val="00387229"/>
    <w:rsid w:val="003874E8"/>
    <w:rsid w:val="00387544"/>
    <w:rsid w:val="0038778B"/>
    <w:rsid w:val="0039004C"/>
    <w:rsid w:val="003906E2"/>
    <w:rsid w:val="00390CEC"/>
    <w:rsid w:val="00390E9D"/>
    <w:rsid w:val="003913D5"/>
    <w:rsid w:val="00391471"/>
    <w:rsid w:val="00391BEB"/>
    <w:rsid w:val="00391D52"/>
    <w:rsid w:val="00392474"/>
    <w:rsid w:val="0039263B"/>
    <w:rsid w:val="00392D38"/>
    <w:rsid w:val="00392E46"/>
    <w:rsid w:val="00393608"/>
    <w:rsid w:val="00393801"/>
    <w:rsid w:val="003938D1"/>
    <w:rsid w:val="003939AD"/>
    <w:rsid w:val="00393B5F"/>
    <w:rsid w:val="00393CF2"/>
    <w:rsid w:val="00393D52"/>
    <w:rsid w:val="00393D6D"/>
    <w:rsid w:val="0039416A"/>
    <w:rsid w:val="00394658"/>
    <w:rsid w:val="003950F4"/>
    <w:rsid w:val="00395274"/>
    <w:rsid w:val="003955C2"/>
    <w:rsid w:val="00395752"/>
    <w:rsid w:val="00395771"/>
    <w:rsid w:val="00395886"/>
    <w:rsid w:val="0039608F"/>
    <w:rsid w:val="00396462"/>
    <w:rsid w:val="003964FB"/>
    <w:rsid w:val="00396828"/>
    <w:rsid w:val="00396BBA"/>
    <w:rsid w:val="00396DFC"/>
    <w:rsid w:val="00396E18"/>
    <w:rsid w:val="0039703B"/>
    <w:rsid w:val="0039737F"/>
    <w:rsid w:val="00397DD2"/>
    <w:rsid w:val="003A08F9"/>
    <w:rsid w:val="003A10EC"/>
    <w:rsid w:val="003A168E"/>
    <w:rsid w:val="003A1A4A"/>
    <w:rsid w:val="003A22B7"/>
    <w:rsid w:val="003A27EB"/>
    <w:rsid w:val="003A2AD3"/>
    <w:rsid w:val="003A3749"/>
    <w:rsid w:val="003A38EF"/>
    <w:rsid w:val="003A48B7"/>
    <w:rsid w:val="003A4990"/>
    <w:rsid w:val="003A4FD1"/>
    <w:rsid w:val="003A513E"/>
    <w:rsid w:val="003A53B3"/>
    <w:rsid w:val="003A5514"/>
    <w:rsid w:val="003A5CB2"/>
    <w:rsid w:val="003A5D36"/>
    <w:rsid w:val="003A6184"/>
    <w:rsid w:val="003A62A6"/>
    <w:rsid w:val="003A65C4"/>
    <w:rsid w:val="003A6677"/>
    <w:rsid w:val="003A6BA6"/>
    <w:rsid w:val="003A7070"/>
    <w:rsid w:val="003A7422"/>
    <w:rsid w:val="003A7508"/>
    <w:rsid w:val="003A7A1A"/>
    <w:rsid w:val="003A7D09"/>
    <w:rsid w:val="003A7E41"/>
    <w:rsid w:val="003A7F5C"/>
    <w:rsid w:val="003B077C"/>
    <w:rsid w:val="003B082A"/>
    <w:rsid w:val="003B094E"/>
    <w:rsid w:val="003B1509"/>
    <w:rsid w:val="003B165A"/>
    <w:rsid w:val="003B17AB"/>
    <w:rsid w:val="003B20B4"/>
    <w:rsid w:val="003B21F4"/>
    <w:rsid w:val="003B2B22"/>
    <w:rsid w:val="003B2B6B"/>
    <w:rsid w:val="003B2B73"/>
    <w:rsid w:val="003B3636"/>
    <w:rsid w:val="003B390E"/>
    <w:rsid w:val="003B3C54"/>
    <w:rsid w:val="003B40AB"/>
    <w:rsid w:val="003B4632"/>
    <w:rsid w:val="003B5185"/>
    <w:rsid w:val="003B540D"/>
    <w:rsid w:val="003B57EA"/>
    <w:rsid w:val="003B6384"/>
    <w:rsid w:val="003B6492"/>
    <w:rsid w:val="003B6720"/>
    <w:rsid w:val="003B6CEE"/>
    <w:rsid w:val="003B6DF5"/>
    <w:rsid w:val="003B6F09"/>
    <w:rsid w:val="003B7612"/>
    <w:rsid w:val="003B7C90"/>
    <w:rsid w:val="003C01AD"/>
    <w:rsid w:val="003C0387"/>
    <w:rsid w:val="003C03CB"/>
    <w:rsid w:val="003C05C6"/>
    <w:rsid w:val="003C0854"/>
    <w:rsid w:val="003C0E04"/>
    <w:rsid w:val="003C1121"/>
    <w:rsid w:val="003C143F"/>
    <w:rsid w:val="003C1747"/>
    <w:rsid w:val="003C1DF8"/>
    <w:rsid w:val="003C237D"/>
    <w:rsid w:val="003C2403"/>
    <w:rsid w:val="003C28A7"/>
    <w:rsid w:val="003C2978"/>
    <w:rsid w:val="003C2992"/>
    <w:rsid w:val="003C2A34"/>
    <w:rsid w:val="003C2CBD"/>
    <w:rsid w:val="003C304A"/>
    <w:rsid w:val="003C322C"/>
    <w:rsid w:val="003C36E5"/>
    <w:rsid w:val="003C3BD9"/>
    <w:rsid w:val="003C3BE0"/>
    <w:rsid w:val="003C3D7B"/>
    <w:rsid w:val="003C42E0"/>
    <w:rsid w:val="003C45B8"/>
    <w:rsid w:val="003C4783"/>
    <w:rsid w:val="003C5125"/>
    <w:rsid w:val="003C595E"/>
    <w:rsid w:val="003C5AA1"/>
    <w:rsid w:val="003C5ED5"/>
    <w:rsid w:val="003C61FD"/>
    <w:rsid w:val="003C6560"/>
    <w:rsid w:val="003C6591"/>
    <w:rsid w:val="003C6801"/>
    <w:rsid w:val="003C6868"/>
    <w:rsid w:val="003C6BC9"/>
    <w:rsid w:val="003C6F48"/>
    <w:rsid w:val="003C742A"/>
    <w:rsid w:val="003C7486"/>
    <w:rsid w:val="003C74D8"/>
    <w:rsid w:val="003C75A1"/>
    <w:rsid w:val="003D0FA9"/>
    <w:rsid w:val="003D12AA"/>
    <w:rsid w:val="003D1435"/>
    <w:rsid w:val="003D152C"/>
    <w:rsid w:val="003D1EE7"/>
    <w:rsid w:val="003D2311"/>
    <w:rsid w:val="003D269E"/>
    <w:rsid w:val="003D305F"/>
    <w:rsid w:val="003D34EB"/>
    <w:rsid w:val="003D37C6"/>
    <w:rsid w:val="003D3BAA"/>
    <w:rsid w:val="003D3E51"/>
    <w:rsid w:val="003D4ACF"/>
    <w:rsid w:val="003D52BA"/>
    <w:rsid w:val="003D5439"/>
    <w:rsid w:val="003D5E40"/>
    <w:rsid w:val="003D67FF"/>
    <w:rsid w:val="003D6B66"/>
    <w:rsid w:val="003D70E9"/>
    <w:rsid w:val="003D70EC"/>
    <w:rsid w:val="003D75B9"/>
    <w:rsid w:val="003D7DB0"/>
    <w:rsid w:val="003D7FF7"/>
    <w:rsid w:val="003E0350"/>
    <w:rsid w:val="003E048F"/>
    <w:rsid w:val="003E04E4"/>
    <w:rsid w:val="003E0876"/>
    <w:rsid w:val="003E0A8B"/>
    <w:rsid w:val="003E0C51"/>
    <w:rsid w:val="003E0D20"/>
    <w:rsid w:val="003E0D73"/>
    <w:rsid w:val="003E12DD"/>
    <w:rsid w:val="003E1448"/>
    <w:rsid w:val="003E1D69"/>
    <w:rsid w:val="003E2691"/>
    <w:rsid w:val="003E27C4"/>
    <w:rsid w:val="003E27FD"/>
    <w:rsid w:val="003E28A8"/>
    <w:rsid w:val="003E2C91"/>
    <w:rsid w:val="003E2E5F"/>
    <w:rsid w:val="003E2F6A"/>
    <w:rsid w:val="003E306E"/>
    <w:rsid w:val="003E3993"/>
    <w:rsid w:val="003E3D07"/>
    <w:rsid w:val="003E3FB4"/>
    <w:rsid w:val="003E466A"/>
    <w:rsid w:val="003E5218"/>
    <w:rsid w:val="003E5496"/>
    <w:rsid w:val="003E5DEF"/>
    <w:rsid w:val="003E63AC"/>
    <w:rsid w:val="003E64D8"/>
    <w:rsid w:val="003E67FA"/>
    <w:rsid w:val="003E6CFB"/>
    <w:rsid w:val="003E6FEB"/>
    <w:rsid w:val="003E7144"/>
    <w:rsid w:val="003E71E0"/>
    <w:rsid w:val="003E7398"/>
    <w:rsid w:val="003E764E"/>
    <w:rsid w:val="003E7A8C"/>
    <w:rsid w:val="003E7B68"/>
    <w:rsid w:val="003E7BAD"/>
    <w:rsid w:val="003E7FD9"/>
    <w:rsid w:val="003F1260"/>
    <w:rsid w:val="003F1674"/>
    <w:rsid w:val="003F1938"/>
    <w:rsid w:val="003F2155"/>
    <w:rsid w:val="003F23F6"/>
    <w:rsid w:val="003F2623"/>
    <w:rsid w:val="003F2F7B"/>
    <w:rsid w:val="003F3194"/>
    <w:rsid w:val="003F3ED5"/>
    <w:rsid w:val="003F43D5"/>
    <w:rsid w:val="003F4402"/>
    <w:rsid w:val="003F44D4"/>
    <w:rsid w:val="003F492F"/>
    <w:rsid w:val="003F4B99"/>
    <w:rsid w:val="003F5188"/>
    <w:rsid w:val="003F5A38"/>
    <w:rsid w:val="003F5DA7"/>
    <w:rsid w:val="003F5F2E"/>
    <w:rsid w:val="003F5F61"/>
    <w:rsid w:val="003F62AB"/>
    <w:rsid w:val="003F6A84"/>
    <w:rsid w:val="003F6BAD"/>
    <w:rsid w:val="003F6D2E"/>
    <w:rsid w:val="003F6E98"/>
    <w:rsid w:val="003F7496"/>
    <w:rsid w:val="003F74CF"/>
    <w:rsid w:val="004000A3"/>
    <w:rsid w:val="0040044E"/>
    <w:rsid w:val="004005A9"/>
    <w:rsid w:val="00400B4F"/>
    <w:rsid w:val="00400BE4"/>
    <w:rsid w:val="004011F6"/>
    <w:rsid w:val="00401592"/>
    <w:rsid w:val="00402AC7"/>
    <w:rsid w:val="00402AEF"/>
    <w:rsid w:val="00402E50"/>
    <w:rsid w:val="00402ECB"/>
    <w:rsid w:val="00402F3C"/>
    <w:rsid w:val="00403208"/>
    <w:rsid w:val="00403257"/>
    <w:rsid w:val="0040329B"/>
    <w:rsid w:val="004032B2"/>
    <w:rsid w:val="00403C86"/>
    <w:rsid w:val="00403E3C"/>
    <w:rsid w:val="0040497E"/>
    <w:rsid w:val="00404F55"/>
    <w:rsid w:val="00405022"/>
    <w:rsid w:val="00405367"/>
    <w:rsid w:val="004053DD"/>
    <w:rsid w:val="004053FE"/>
    <w:rsid w:val="00405CFF"/>
    <w:rsid w:val="00405E96"/>
    <w:rsid w:val="0040622B"/>
    <w:rsid w:val="00406543"/>
    <w:rsid w:val="00407029"/>
    <w:rsid w:val="00407134"/>
    <w:rsid w:val="0040717E"/>
    <w:rsid w:val="00407250"/>
    <w:rsid w:val="0040776F"/>
    <w:rsid w:val="00407A7F"/>
    <w:rsid w:val="00407F58"/>
    <w:rsid w:val="00410FEB"/>
    <w:rsid w:val="00411747"/>
    <w:rsid w:val="004122AD"/>
    <w:rsid w:val="00412801"/>
    <w:rsid w:val="00412D6E"/>
    <w:rsid w:val="00413162"/>
    <w:rsid w:val="0041340E"/>
    <w:rsid w:val="00413FFD"/>
    <w:rsid w:val="004144C6"/>
    <w:rsid w:val="004149E7"/>
    <w:rsid w:val="00414AED"/>
    <w:rsid w:val="004155DA"/>
    <w:rsid w:val="0041590D"/>
    <w:rsid w:val="0041595C"/>
    <w:rsid w:val="00416322"/>
    <w:rsid w:val="004164BD"/>
    <w:rsid w:val="0041673A"/>
    <w:rsid w:val="00416B56"/>
    <w:rsid w:val="00416F90"/>
    <w:rsid w:val="00417242"/>
    <w:rsid w:val="00417313"/>
    <w:rsid w:val="004173C6"/>
    <w:rsid w:val="004175A0"/>
    <w:rsid w:val="00417AC5"/>
    <w:rsid w:val="00417B85"/>
    <w:rsid w:val="00417D5F"/>
    <w:rsid w:val="00417F71"/>
    <w:rsid w:val="0042050A"/>
    <w:rsid w:val="004205E4"/>
    <w:rsid w:val="004210E5"/>
    <w:rsid w:val="004219A8"/>
    <w:rsid w:val="00421DD0"/>
    <w:rsid w:val="00421F7C"/>
    <w:rsid w:val="004223DA"/>
    <w:rsid w:val="00422417"/>
    <w:rsid w:val="00422735"/>
    <w:rsid w:val="00422AAE"/>
    <w:rsid w:val="00422FA7"/>
    <w:rsid w:val="00423073"/>
    <w:rsid w:val="004233E4"/>
    <w:rsid w:val="00423793"/>
    <w:rsid w:val="004239AC"/>
    <w:rsid w:val="00424076"/>
    <w:rsid w:val="00424233"/>
    <w:rsid w:val="0042500A"/>
    <w:rsid w:val="0042561D"/>
    <w:rsid w:val="0042578C"/>
    <w:rsid w:val="00425993"/>
    <w:rsid w:val="00425AE9"/>
    <w:rsid w:val="00426081"/>
    <w:rsid w:val="004261A9"/>
    <w:rsid w:val="0042691D"/>
    <w:rsid w:val="00426E89"/>
    <w:rsid w:val="00426FFF"/>
    <w:rsid w:val="0042716C"/>
    <w:rsid w:val="00427720"/>
    <w:rsid w:val="00427A86"/>
    <w:rsid w:val="00430104"/>
    <w:rsid w:val="00430529"/>
    <w:rsid w:val="00430A0A"/>
    <w:rsid w:val="00430A7B"/>
    <w:rsid w:val="00430E1E"/>
    <w:rsid w:val="00431053"/>
    <w:rsid w:val="00431FF6"/>
    <w:rsid w:val="004323A2"/>
    <w:rsid w:val="0043306D"/>
    <w:rsid w:val="00433395"/>
    <w:rsid w:val="00433CF7"/>
    <w:rsid w:val="00434729"/>
    <w:rsid w:val="00434EBE"/>
    <w:rsid w:val="004352A7"/>
    <w:rsid w:val="004358E9"/>
    <w:rsid w:val="0043620F"/>
    <w:rsid w:val="004364E2"/>
    <w:rsid w:val="00437017"/>
    <w:rsid w:val="00437449"/>
    <w:rsid w:val="0043792A"/>
    <w:rsid w:val="00437B19"/>
    <w:rsid w:val="0044038A"/>
    <w:rsid w:val="00440BD2"/>
    <w:rsid w:val="00440D58"/>
    <w:rsid w:val="004411F8"/>
    <w:rsid w:val="00441D4A"/>
    <w:rsid w:val="00441E75"/>
    <w:rsid w:val="00442388"/>
    <w:rsid w:val="0044296C"/>
    <w:rsid w:val="0044339B"/>
    <w:rsid w:val="004435AB"/>
    <w:rsid w:val="004439D8"/>
    <w:rsid w:val="00444117"/>
    <w:rsid w:val="00444417"/>
    <w:rsid w:val="00444968"/>
    <w:rsid w:val="00444989"/>
    <w:rsid w:val="00444BE3"/>
    <w:rsid w:val="00444E1F"/>
    <w:rsid w:val="00444EDE"/>
    <w:rsid w:val="00445064"/>
    <w:rsid w:val="00445122"/>
    <w:rsid w:val="00445710"/>
    <w:rsid w:val="00445B45"/>
    <w:rsid w:val="00445C68"/>
    <w:rsid w:val="00445CB5"/>
    <w:rsid w:val="00445DC7"/>
    <w:rsid w:val="00446447"/>
    <w:rsid w:val="00446695"/>
    <w:rsid w:val="00446B16"/>
    <w:rsid w:val="00446E3C"/>
    <w:rsid w:val="0044761B"/>
    <w:rsid w:val="0044774D"/>
    <w:rsid w:val="00450B25"/>
    <w:rsid w:val="004512EF"/>
    <w:rsid w:val="00451879"/>
    <w:rsid w:val="00452183"/>
    <w:rsid w:val="004522E3"/>
    <w:rsid w:val="004523AA"/>
    <w:rsid w:val="004526E1"/>
    <w:rsid w:val="00452707"/>
    <w:rsid w:val="00452CAF"/>
    <w:rsid w:val="00452CC0"/>
    <w:rsid w:val="004531B1"/>
    <w:rsid w:val="00453604"/>
    <w:rsid w:val="00453A99"/>
    <w:rsid w:val="00453CEA"/>
    <w:rsid w:val="00453FB3"/>
    <w:rsid w:val="0045439B"/>
    <w:rsid w:val="004544A2"/>
    <w:rsid w:val="00454ECB"/>
    <w:rsid w:val="0045549E"/>
    <w:rsid w:val="00455A8A"/>
    <w:rsid w:val="00455CA6"/>
    <w:rsid w:val="00455DBE"/>
    <w:rsid w:val="00455FDB"/>
    <w:rsid w:val="0045644F"/>
    <w:rsid w:val="00456BBF"/>
    <w:rsid w:val="00456C28"/>
    <w:rsid w:val="0045784E"/>
    <w:rsid w:val="0045793D"/>
    <w:rsid w:val="00460A90"/>
    <w:rsid w:val="00460DC1"/>
    <w:rsid w:val="00460EE0"/>
    <w:rsid w:val="004611D8"/>
    <w:rsid w:val="00461425"/>
    <w:rsid w:val="004618CC"/>
    <w:rsid w:val="00461AC4"/>
    <w:rsid w:val="00462361"/>
    <w:rsid w:val="004624D2"/>
    <w:rsid w:val="0046323B"/>
    <w:rsid w:val="00463266"/>
    <w:rsid w:val="004638E0"/>
    <w:rsid w:val="00463957"/>
    <w:rsid w:val="004639F1"/>
    <w:rsid w:val="00464309"/>
    <w:rsid w:val="00464534"/>
    <w:rsid w:val="00464652"/>
    <w:rsid w:val="00464754"/>
    <w:rsid w:val="00464D56"/>
    <w:rsid w:val="00465DDD"/>
    <w:rsid w:val="004661CA"/>
    <w:rsid w:val="00466597"/>
    <w:rsid w:val="00466DBD"/>
    <w:rsid w:val="00467144"/>
    <w:rsid w:val="00467ACF"/>
    <w:rsid w:val="00470237"/>
    <w:rsid w:val="004702FA"/>
    <w:rsid w:val="00470869"/>
    <w:rsid w:val="00470A16"/>
    <w:rsid w:val="00470C7F"/>
    <w:rsid w:val="004710CD"/>
    <w:rsid w:val="004712A6"/>
    <w:rsid w:val="004712E5"/>
    <w:rsid w:val="004712FB"/>
    <w:rsid w:val="00471698"/>
    <w:rsid w:val="0047169B"/>
    <w:rsid w:val="00471739"/>
    <w:rsid w:val="00471BB7"/>
    <w:rsid w:val="00471F40"/>
    <w:rsid w:val="004725C9"/>
    <w:rsid w:val="004729D6"/>
    <w:rsid w:val="004729F6"/>
    <w:rsid w:val="00472A67"/>
    <w:rsid w:val="00472BE8"/>
    <w:rsid w:val="00472C0B"/>
    <w:rsid w:val="00472DCA"/>
    <w:rsid w:val="00472EFF"/>
    <w:rsid w:val="00473381"/>
    <w:rsid w:val="00474063"/>
    <w:rsid w:val="00474347"/>
    <w:rsid w:val="004743DA"/>
    <w:rsid w:val="004743FB"/>
    <w:rsid w:val="0047466F"/>
    <w:rsid w:val="00474E91"/>
    <w:rsid w:val="00474EC8"/>
    <w:rsid w:val="004751C3"/>
    <w:rsid w:val="00475B50"/>
    <w:rsid w:val="00475EC1"/>
    <w:rsid w:val="00476240"/>
    <w:rsid w:val="004765C5"/>
    <w:rsid w:val="00476793"/>
    <w:rsid w:val="00476ECD"/>
    <w:rsid w:val="00476F15"/>
    <w:rsid w:val="004775B5"/>
    <w:rsid w:val="00477D62"/>
    <w:rsid w:val="004800AE"/>
    <w:rsid w:val="00480204"/>
    <w:rsid w:val="0048058F"/>
    <w:rsid w:val="00480696"/>
    <w:rsid w:val="00480CEE"/>
    <w:rsid w:val="00481B2A"/>
    <w:rsid w:val="00481D22"/>
    <w:rsid w:val="00482091"/>
    <w:rsid w:val="00482707"/>
    <w:rsid w:val="00482847"/>
    <w:rsid w:val="004828C8"/>
    <w:rsid w:val="00482C49"/>
    <w:rsid w:val="00482C7B"/>
    <w:rsid w:val="00482F01"/>
    <w:rsid w:val="0048376D"/>
    <w:rsid w:val="00483880"/>
    <w:rsid w:val="00483E66"/>
    <w:rsid w:val="00484B57"/>
    <w:rsid w:val="0048503A"/>
    <w:rsid w:val="00485213"/>
    <w:rsid w:val="00485564"/>
    <w:rsid w:val="004857E4"/>
    <w:rsid w:val="0048593A"/>
    <w:rsid w:val="00485A51"/>
    <w:rsid w:val="00485A7E"/>
    <w:rsid w:val="00485D3C"/>
    <w:rsid w:val="00485D59"/>
    <w:rsid w:val="00485FB6"/>
    <w:rsid w:val="0048643D"/>
    <w:rsid w:val="00486955"/>
    <w:rsid w:val="00486F41"/>
    <w:rsid w:val="00486F9C"/>
    <w:rsid w:val="004872B7"/>
    <w:rsid w:val="004873E4"/>
    <w:rsid w:val="00487448"/>
    <w:rsid w:val="004877AB"/>
    <w:rsid w:val="00487C4B"/>
    <w:rsid w:val="00487F3A"/>
    <w:rsid w:val="004902B1"/>
    <w:rsid w:val="00490816"/>
    <w:rsid w:val="0049087B"/>
    <w:rsid w:val="00490D22"/>
    <w:rsid w:val="00490E2D"/>
    <w:rsid w:val="004911D7"/>
    <w:rsid w:val="004912B3"/>
    <w:rsid w:val="0049152A"/>
    <w:rsid w:val="004917B4"/>
    <w:rsid w:val="00491A8A"/>
    <w:rsid w:val="00491B23"/>
    <w:rsid w:val="00491D35"/>
    <w:rsid w:val="00491F52"/>
    <w:rsid w:val="004920E9"/>
    <w:rsid w:val="004921DC"/>
    <w:rsid w:val="00492357"/>
    <w:rsid w:val="0049243E"/>
    <w:rsid w:val="004926EE"/>
    <w:rsid w:val="00492F2B"/>
    <w:rsid w:val="004930AB"/>
    <w:rsid w:val="00493109"/>
    <w:rsid w:val="004934C8"/>
    <w:rsid w:val="004935D5"/>
    <w:rsid w:val="00493A8B"/>
    <w:rsid w:val="00493BEB"/>
    <w:rsid w:val="00494572"/>
    <w:rsid w:val="00494573"/>
    <w:rsid w:val="004945DE"/>
    <w:rsid w:val="004947B3"/>
    <w:rsid w:val="00494E49"/>
    <w:rsid w:val="00495373"/>
    <w:rsid w:val="0049584F"/>
    <w:rsid w:val="00495B15"/>
    <w:rsid w:val="00495E2A"/>
    <w:rsid w:val="00495EE9"/>
    <w:rsid w:val="00496254"/>
    <w:rsid w:val="004964F1"/>
    <w:rsid w:val="0049677C"/>
    <w:rsid w:val="00496932"/>
    <w:rsid w:val="00496C71"/>
    <w:rsid w:val="00496CF5"/>
    <w:rsid w:val="00496F09"/>
    <w:rsid w:val="0049750D"/>
    <w:rsid w:val="004976EF"/>
    <w:rsid w:val="00497F7E"/>
    <w:rsid w:val="00497FAA"/>
    <w:rsid w:val="004A03D1"/>
    <w:rsid w:val="004A048F"/>
    <w:rsid w:val="004A093C"/>
    <w:rsid w:val="004A0947"/>
    <w:rsid w:val="004A0A91"/>
    <w:rsid w:val="004A0CBE"/>
    <w:rsid w:val="004A1112"/>
    <w:rsid w:val="004A13AE"/>
    <w:rsid w:val="004A1797"/>
    <w:rsid w:val="004A187B"/>
    <w:rsid w:val="004A1C4B"/>
    <w:rsid w:val="004A1ED0"/>
    <w:rsid w:val="004A233F"/>
    <w:rsid w:val="004A2796"/>
    <w:rsid w:val="004A2B68"/>
    <w:rsid w:val="004A2D11"/>
    <w:rsid w:val="004A2D3C"/>
    <w:rsid w:val="004A33E1"/>
    <w:rsid w:val="004A3B42"/>
    <w:rsid w:val="004A3BF1"/>
    <w:rsid w:val="004A3EAD"/>
    <w:rsid w:val="004A46D3"/>
    <w:rsid w:val="004A46E3"/>
    <w:rsid w:val="004A46FE"/>
    <w:rsid w:val="004A479E"/>
    <w:rsid w:val="004A4858"/>
    <w:rsid w:val="004A496F"/>
    <w:rsid w:val="004A4C79"/>
    <w:rsid w:val="004A4EEA"/>
    <w:rsid w:val="004A524C"/>
    <w:rsid w:val="004A5320"/>
    <w:rsid w:val="004A5B06"/>
    <w:rsid w:val="004A7192"/>
    <w:rsid w:val="004A72B0"/>
    <w:rsid w:val="004A72BA"/>
    <w:rsid w:val="004A777E"/>
    <w:rsid w:val="004A7ABE"/>
    <w:rsid w:val="004B0050"/>
    <w:rsid w:val="004B0091"/>
    <w:rsid w:val="004B012C"/>
    <w:rsid w:val="004B0834"/>
    <w:rsid w:val="004B0C41"/>
    <w:rsid w:val="004B2791"/>
    <w:rsid w:val="004B27EE"/>
    <w:rsid w:val="004B2BD6"/>
    <w:rsid w:val="004B2D7B"/>
    <w:rsid w:val="004B3345"/>
    <w:rsid w:val="004B33A9"/>
    <w:rsid w:val="004B342D"/>
    <w:rsid w:val="004B3477"/>
    <w:rsid w:val="004B35DB"/>
    <w:rsid w:val="004B3704"/>
    <w:rsid w:val="004B3F9B"/>
    <w:rsid w:val="004B42EA"/>
    <w:rsid w:val="004B49D8"/>
    <w:rsid w:val="004B4C65"/>
    <w:rsid w:val="004B4D25"/>
    <w:rsid w:val="004B4E00"/>
    <w:rsid w:val="004B5965"/>
    <w:rsid w:val="004B5B7A"/>
    <w:rsid w:val="004B5E8A"/>
    <w:rsid w:val="004B61BF"/>
    <w:rsid w:val="004B707C"/>
    <w:rsid w:val="004B76AB"/>
    <w:rsid w:val="004B79AF"/>
    <w:rsid w:val="004B7DE9"/>
    <w:rsid w:val="004B7EAC"/>
    <w:rsid w:val="004C0460"/>
    <w:rsid w:val="004C070E"/>
    <w:rsid w:val="004C0958"/>
    <w:rsid w:val="004C0997"/>
    <w:rsid w:val="004C09F5"/>
    <w:rsid w:val="004C0D1E"/>
    <w:rsid w:val="004C1D4C"/>
    <w:rsid w:val="004C1E44"/>
    <w:rsid w:val="004C202F"/>
    <w:rsid w:val="004C24E9"/>
    <w:rsid w:val="004C26FA"/>
    <w:rsid w:val="004C2E04"/>
    <w:rsid w:val="004C34AE"/>
    <w:rsid w:val="004C3966"/>
    <w:rsid w:val="004C3FB1"/>
    <w:rsid w:val="004C4014"/>
    <w:rsid w:val="004C4280"/>
    <w:rsid w:val="004C45DC"/>
    <w:rsid w:val="004C466C"/>
    <w:rsid w:val="004C47AF"/>
    <w:rsid w:val="004C4F55"/>
    <w:rsid w:val="004C5361"/>
    <w:rsid w:val="004C55E4"/>
    <w:rsid w:val="004C5BFE"/>
    <w:rsid w:val="004C6099"/>
    <w:rsid w:val="004C639A"/>
    <w:rsid w:val="004C696C"/>
    <w:rsid w:val="004C71A1"/>
    <w:rsid w:val="004C7412"/>
    <w:rsid w:val="004D01F7"/>
    <w:rsid w:val="004D04BF"/>
    <w:rsid w:val="004D073C"/>
    <w:rsid w:val="004D0847"/>
    <w:rsid w:val="004D0978"/>
    <w:rsid w:val="004D0C40"/>
    <w:rsid w:val="004D14B2"/>
    <w:rsid w:val="004D15B9"/>
    <w:rsid w:val="004D1701"/>
    <w:rsid w:val="004D1749"/>
    <w:rsid w:val="004D1E8A"/>
    <w:rsid w:val="004D1E9E"/>
    <w:rsid w:val="004D227E"/>
    <w:rsid w:val="004D24F4"/>
    <w:rsid w:val="004D288F"/>
    <w:rsid w:val="004D2AD0"/>
    <w:rsid w:val="004D3449"/>
    <w:rsid w:val="004D36BC"/>
    <w:rsid w:val="004D3883"/>
    <w:rsid w:val="004D402E"/>
    <w:rsid w:val="004D453E"/>
    <w:rsid w:val="004D45A1"/>
    <w:rsid w:val="004D4B16"/>
    <w:rsid w:val="004D4DBE"/>
    <w:rsid w:val="004D515E"/>
    <w:rsid w:val="004D540D"/>
    <w:rsid w:val="004D5B12"/>
    <w:rsid w:val="004D5CE5"/>
    <w:rsid w:val="004D5E60"/>
    <w:rsid w:val="004D6740"/>
    <w:rsid w:val="004D6A95"/>
    <w:rsid w:val="004D764F"/>
    <w:rsid w:val="004D77C6"/>
    <w:rsid w:val="004D7B83"/>
    <w:rsid w:val="004D7EA9"/>
    <w:rsid w:val="004E0091"/>
    <w:rsid w:val="004E011D"/>
    <w:rsid w:val="004E01AF"/>
    <w:rsid w:val="004E0861"/>
    <w:rsid w:val="004E08F6"/>
    <w:rsid w:val="004E0AE1"/>
    <w:rsid w:val="004E0DFA"/>
    <w:rsid w:val="004E0DFF"/>
    <w:rsid w:val="004E1528"/>
    <w:rsid w:val="004E1CE6"/>
    <w:rsid w:val="004E2409"/>
    <w:rsid w:val="004E2634"/>
    <w:rsid w:val="004E2821"/>
    <w:rsid w:val="004E282C"/>
    <w:rsid w:val="004E3232"/>
    <w:rsid w:val="004E3654"/>
    <w:rsid w:val="004E396F"/>
    <w:rsid w:val="004E3D1A"/>
    <w:rsid w:val="004E3DDF"/>
    <w:rsid w:val="004E4096"/>
    <w:rsid w:val="004E4670"/>
    <w:rsid w:val="004E487B"/>
    <w:rsid w:val="004E4B16"/>
    <w:rsid w:val="004E5454"/>
    <w:rsid w:val="004E5591"/>
    <w:rsid w:val="004E5A16"/>
    <w:rsid w:val="004E5AB8"/>
    <w:rsid w:val="004E5AF0"/>
    <w:rsid w:val="004E5B68"/>
    <w:rsid w:val="004E5C98"/>
    <w:rsid w:val="004E64AB"/>
    <w:rsid w:val="004E6C2D"/>
    <w:rsid w:val="004E7395"/>
    <w:rsid w:val="004E7584"/>
    <w:rsid w:val="004E789E"/>
    <w:rsid w:val="004E7F96"/>
    <w:rsid w:val="004F0FCB"/>
    <w:rsid w:val="004F1276"/>
    <w:rsid w:val="004F1C7C"/>
    <w:rsid w:val="004F1D3E"/>
    <w:rsid w:val="004F1E06"/>
    <w:rsid w:val="004F2280"/>
    <w:rsid w:val="004F293B"/>
    <w:rsid w:val="004F2A51"/>
    <w:rsid w:val="004F364C"/>
    <w:rsid w:val="004F455D"/>
    <w:rsid w:val="004F5117"/>
    <w:rsid w:val="004F549B"/>
    <w:rsid w:val="004F5E82"/>
    <w:rsid w:val="004F6215"/>
    <w:rsid w:val="004F6EE5"/>
    <w:rsid w:val="004F6FC6"/>
    <w:rsid w:val="004F7127"/>
    <w:rsid w:val="004F7408"/>
    <w:rsid w:val="004F7875"/>
    <w:rsid w:val="00500849"/>
    <w:rsid w:val="00500C6D"/>
    <w:rsid w:val="00501352"/>
    <w:rsid w:val="00501A35"/>
    <w:rsid w:val="00501C2C"/>
    <w:rsid w:val="005022DF"/>
    <w:rsid w:val="005024BA"/>
    <w:rsid w:val="0050277A"/>
    <w:rsid w:val="005027CF"/>
    <w:rsid w:val="00502D04"/>
    <w:rsid w:val="00502DF7"/>
    <w:rsid w:val="0050341C"/>
    <w:rsid w:val="00503D4F"/>
    <w:rsid w:val="00504304"/>
    <w:rsid w:val="00504661"/>
    <w:rsid w:val="00504FA7"/>
    <w:rsid w:val="0050527D"/>
    <w:rsid w:val="005054B3"/>
    <w:rsid w:val="00505558"/>
    <w:rsid w:val="0050583D"/>
    <w:rsid w:val="0050591A"/>
    <w:rsid w:val="0050615D"/>
    <w:rsid w:val="005063E0"/>
    <w:rsid w:val="005067B5"/>
    <w:rsid w:val="005068C1"/>
    <w:rsid w:val="005068F1"/>
    <w:rsid w:val="00506E25"/>
    <w:rsid w:val="00506EE0"/>
    <w:rsid w:val="00507D36"/>
    <w:rsid w:val="00507F9B"/>
    <w:rsid w:val="00510033"/>
    <w:rsid w:val="00510390"/>
    <w:rsid w:val="005107E8"/>
    <w:rsid w:val="00510BB2"/>
    <w:rsid w:val="0051142E"/>
    <w:rsid w:val="005114C7"/>
    <w:rsid w:val="005116B8"/>
    <w:rsid w:val="00511840"/>
    <w:rsid w:val="00511A49"/>
    <w:rsid w:val="00511AF5"/>
    <w:rsid w:val="005123F0"/>
    <w:rsid w:val="00513057"/>
    <w:rsid w:val="00513540"/>
    <w:rsid w:val="005137B6"/>
    <w:rsid w:val="00513941"/>
    <w:rsid w:val="00513A49"/>
    <w:rsid w:val="00513A64"/>
    <w:rsid w:val="00513D37"/>
    <w:rsid w:val="00514047"/>
    <w:rsid w:val="00514236"/>
    <w:rsid w:val="005146B3"/>
    <w:rsid w:val="0051475E"/>
    <w:rsid w:val="005148CF"/>
    <w:rsid w:val="0051493C"/>
    <w:rsid w:val="00514B0F"/>
    <w:rsid w:val="00514F1C"/>
    <w:rsid w:val="00515173"/>
    <w:rsid w:val="005151FA"/>
    <w:rsid w:val="0051530B"/>
    <w:rsid w:val="005153A2"/>
    <w:rsid w:val="005154D6"/>
    <w:rsid w:val="005155B3"/>
    <w:rsid w:val="00515616"/>
    <w:rsid w:val="00515717"/>
    <w:rsid w:val="00515B13"/>
    <w:rsid w:val="00516D6E"/>
    <w:rsid w:val="00516EA6"/>
    <w:rsid w:val="00517030"/>
    <w:rsid w:val="005171E3"/>
    <w:rsid w:val="0051754B"/>
    <w:rsid w:val="005175C5"/>
    <w:rsid w:val="005177C2"/>
    <w:rsid w:val="00517E03"/>
    <w:rsid w:val="00517F03"/>
    <w:rsid w:val="00517FC0"/>
    <w:rsid w:val="00520008"/>
    <w:rsid w:val="00520073"/>
    <w:rsid w:val="005201E8"/>
    <w:rsid w:val="00520328"/>
    <w:rsid w:val="0052099E"/>
    <w:rsid w:val="00520B0D"/>
    <w:rsid w:val="00520E40"/>
    <w:rsid w:val="00520F61"/>
    <w:rsid w:val="00521101"/>
    <w:rsid w:val="005216B7"/>
    <w:rsid w:val="00521C63"/>
    <w:rsid w:val="00522BE8"/>
    <w:rsid w:val="00522F94"/>
    <w:rsid w:val="00523C25"/>
    <w:rsid w:val="005244C3"/>
    <w:rsid w:val="00524F45"/>
    <w:rsid w:val="00524FF6"/>
    <w:rsid w:val="005258FE"/>
    <w:rsid w:val="00525B23"/>
    <w:rsid w:val="0052628D"/>
    <w:rsid w:val="0052675B"/>
    <w:rsid w:val="005267FD"/>
    <w:rsid w:val="00526D05"/>
    <w:rsid w:val="00526FE6"/>
    <w:rsid w:val="005272A9"/>
    <w:rsid w:val="0052740B"/>
    <w:rsid w:val="00527FDE"/>
    <w:rsid w:val="00530353"/>
    <w:rsid w:val="0053051D"/>
    <w:rsid w:val="0053053C"/>
    <w:rsid w:val="005309CF"/>
    <w:rsid w:val="00531114"/>
    <w:rsid w:val="00531256"/>
    <w:rsid w:val="00531AB1"/>
    <w:rsid w:val="00532044"/>
    <w:rsid w:val="005325E6"/>
    <w:rsid w:val="005330BA"/>
    <w:rsid w:val="005333DB"/>
    <w:rsid w:val="00534126"/>
    <w:rsid w:val="0053445F"/>
    <w:rsid w:val="00534979"/>
    <w:rsid w:val="0053522C"/>
    <w:rsid w:val="00536257"/>
    <w:rsid w:val="00536303"/>
    <w:rsid w:val="0053635C"/>
    <w:rsid w:val="00536374"/>
    <w:rsid w:val="005365E2"/>
    <w:rsid w:val="00536AA1"/>
    <w:rsid w:val="00536D82"/>
    <w:rsid w:val="00536FEA"/>
    <w:rsid w:val="00537567"/>
    <w:rsid w:val="005375E7"/>
    <w:rsid w:val="00540207"/>
    <w:rsid w:val="00540307"/>
    <w:rsid w:val="005408FC"/>
    <w:rsid w:val="00540973"/>
    <w:rsid w:val="00540C98"/>
    <w:rsid w:val="00541019"/>
    <w:rsid w:val="005413A6"/>
    <w:rsid w:val="0054157E"/>
    <w:rsid w:val="00541A30"/>
    <w:rsid w:val="00541B5B"/>
    <w:rsid w:val="00541F62"/>
    <w:rsid w:val="005421C6"/>
    <w:rsid w:val="00542285"/>
    <w:rsid w:val="005422C0"/>
    <w:rsid w:val="0054265F"/>
    <w:rsid w:val="0054283F"/>
    <w:rsid w:val="00542874"/>
    <w:rsid w:val="005428DC"/>
    <w:rsid w:val="00542B36"/>
    <w:rsid w:val="00542B8E"/>
    <w:rsid w:val="00543665"/>
    <w:rsid w:val="00543721"/>
    <w:rsid w:val="005444BB"/>
    <w:rsid w:val="0054473A"/>
    <w:rsid w:val="0054474A"/>
    <w:rsid w:val="00544981"/>
    <w:rsid w:val="00544BDB"/>
    <w:rsid w:val="00544C16"/>
    <w:rsid w:val="00544D24"/>
    <w:rsid w:val="00544FB3"/>
    <w:rsid w:val="0054506E"/>
    <w:rsid w:val="0054558D"/>
    <w:rsid w:val="00545A83"/>
    <w:rsid w:val="00545B77"/>
    <w:rsid w:val="005469F5"/>
    <w:rsid w:val="00547A4C"/>
    <w:rsid w:val="00547E99"/>
    <w:rsid w:val="005500AC"/>
    <w:rsid w:val="00550823"/>
    <w:rsid w:val="0055129A"/>
    <w:rsid w:val="005517D5"/>
    <w:rsid w:val="00551A00"/>
    <w:rsid w:val="00551ABF"/>
    <w:rsid w:val="00551DB7"/>
    <w:rsid w:val="00552350"/>
    <w:rsid w:val="005526B3"/>
    <w:rsid w:val="00552935"/>
    <w:rsid w:val="00552949"/>
    <w:rsid w:val="00552A84"/>
    <w:rsid w:val="00552EF8"/>
    <w:rsid w:val="00553438"/>
    <w:rsid w:val="00553F95"/>
    <w:rsid w:val="0055409B"/>
    <w:rsid w:val="0055464C"/>
    <w:rsid w:val="005546B2"/>
    <w:rsid w:val="00554C25"/>
    <w:rsid w:val="005550E9"/>
    <w:rsid w:val="00555B84"/>
    <w:rsid w:val="00555CA4"/>
    <w:rsid w:val="005560ED"/>
    <w:rsid w:val="005560EE"/>
    <w:rsid w:val="0055624F"/>
    <w:rsid w:val="005566BF"/>
    <w:rsid w:val="00556C50"/>
    <w:rsid w:val="005576AB"/>
    <w:rsid w:val="00557770"/>
    <w:rsid w:val="00557811"/>
    <w:rsid w:val="00557B9E"/>
    <w:rsid w:val="00557C03"/>
    <w:rsid w:val="00560A02"/>
    <w:rsid w:val="00560A84"/>
    <w:rsid w:val="00560A94"/>
    <w:rsid w:val="00560CBA"/>
    <w:rsid w:val="00560F8E"/>
    <w:rsid w:val="0056163D"/>
    <w:rsid w:val="005616BD"/>
    <w:rsid w:val="005629C9"/>
    <w:rsid w:val="005631E7"/>
    <w:rsid w:val="0056342D"/>
    <w:rsid w:val="005636DC"/>
    <w:rsid w:val="005637F7"/>
    <w:rsid w:val="0056390E"/>
    <w:rsid w:val="00563F9D"/>
    <w:rsid w:val="00564208"/>
    <w:rsid w:val="00564563"/>
    <w:rsid w:val="005645AC"/>
    <w:rsid w:val="00564FEE"/>
    <w:rsid w:val="0056508B"/>
    <w:rsid w:val="00565C77"/>
    <w:rsid w:val="00566115"/>
    <w:rsid w:val="00566263"/>
    <w:rsid w:val="005663BF"/>
    <w:rsid w:val="00566E9F"/>
    <w:rsid w:val="00567034"/>
    <w:rsid w:val="0056724D"/>
    <w:rsid w:val="005672B1"/>
    <w:rsid w:val="0056786B"/>
    <w:rsid w:val="00567AC4"/>
    <w:rsid w:val="00567E3D"/>
    <w:rsid w:val="00567EA8"/>
    <w:rsid w:val="00570842"/>
    <w:rsid w:val="0057092F"/>
    <w:rsid w:val="00570A1E"/>
    <w:rsid w:val="00570AFD"/>
    <w:rsid w:val="005710F4"/>
    <w:rsid w:val="00571659"/>
    <w:rsid w:val="00571CEB"/>
    <w:rsid w:val="005733FB"/>
    <w:rsid w:val="0057386F"/>
    <w:rsid w:val="0057388A"/>
    <w:rsid w:val="00573AE4"/>
    <w:rsid w:val="00573D99"/>
    <w:rsid w:val="00573E58"/>
    <w:rsid w:val="005746AE"/>
    <w:rsid w:val="005747E0"/>
    <w:rsid w:val="005748C4"/>
    <w:rsid w:val="005749B5"/>
    <w:rsid w:val="00574EC8"/>
    <w:rsid w:val="00574F75"/>
    <w:rsid w:val="005752B9"/>
    <w:rsid w:val="0057563A"/>
    <w:rsid w:val="005757CE"/>
    <w:rsid w:val="00575A04"/>
    <w:rsid w:val="00575B6E"/>
    <w:rsid w:val="00576A4A"/>
    <w:rsid w:val="005770DB"/>
    <w:rsid w:val="0057737B"/>
    <w:rsid w:val="005779FD"/>
    <w:rsid w:val="00577CDC"/>
    <w:rsid w:val="0058005D"/>
    <w:rsid w:val="005801DB"/>
    <w:rsid w:val="005803AE"/>
    <w:rsid w:val="005804D3"/>
    <w:rsid w:val="00580ABF"/>
    <w:rsid w:val="00580FFA"/>
    <w:rsid w:val="00581543"/>
    <w:rsid w:val="00581AFA"/>
    <w:rsid w:val="00581C9A"/>
    <w:rsid w:val="00583D00"/>
    <w:rsid w:val="00584128"/>
    <w:rsid w:val="00584A2D"/>
    <w:rsid w:val="005850B9"/>
    <w:rsid w:val="0058560B"/>
    <w:rsid w:val="00585BC0"/>
    <w:rsid w:val="00586699"/>
    <w:rsid w:val="00586FBA"/>
    <w:rsid w:val="0058726A"/>
    <w:rsid w:val="005873C4"/>
    <w:rsid w:val="005879DC"/>
    <w:rsid w:val="00587A7E"/>
    <w:rsid w:val="005902A8"/>
    <w:rsid w:val="0059064A"/>
    <w:rsid w:val="005907F0"/>
    <w:rsid w:val="005909A3"/>
    <w:rsid w:val="00590B2F"/>
    <w:rsid w:val="0059107F"/>
    <w:rsid w:val="00591278"/>
    <w:rsid w:val="00591307"/>
    <w:rsid w:val="00591868"/>
    <w:rsid w:val="00591951"/>
    <w:rsid w:val="00591D5D"/>
    <w:rsid w:val="00591E4C"/>
    <w:rsid w:val="005923E9"/>
    <w:rsid w:val="00592572"/>
    <w:rsid w:val="00592793"/>
    <w:rsid w:val="00592AF9"/>
    <w:rsid w:val="00592D3D"/>
    <w:rsid w:val="00593000"/>
    <w:rsid w:val="00593C5A"/>
    <w:rsid w:val="00593D58"/>
    <w:rsid w:val="00593F82"/>
    <w:rsid w:val="005944B7"/>
    <w:rsid w:val="005949A3"/>
    <w:rsid w:val="00594C78"/>
    <w:rsid w:val="00594EC0"/>
    <w:rsid w:val="005952BD"/>
    <w:rsid w:val="0059538E"/>
    <w:rsid w:val="005954C6"/>
    <w:rsid w:val="00595D2D"/>
    <w:rsid w:val="00595E22"/>
    <w:rsid w:val="00595F6C"/>
    <w:rsid w:val="00596396"/>
    <w:rsid w:val="00596E1A"/>
    <w:rsid w:val="005973E0"/>
    <w:rsid w:val="00597574"/>
    <w:rsid w:val="00597859"/>
    <w:rsid w:val="00597A20"/>
    <w:rsid w:val="00597A5C"/>
    <w:rsid w:val="00597B8D"/>
    <w:rsid w:val="005A0108"/>
    <w:rsid w:val="005A0569"/>
    <w:rsid w:val="005A0964"/>
    <w:rsid w:val="005A0AE7"/>
    <w:rsid w:val="005A0BD5"/>
    <w:rsid w:val="005A0FC1"/>
    <w:rsid w:val="005A16DC"/>
    <w:rsid w:val="005A1D56"/>
    <w:rsid w:val="005A20A5"/>
    <w:rsid w:val="005A2109"/>
    <w:rsid w:val="005A2198"/>
    <w:rsid w:val="005A285E"/>
    <w:rsid w:val="005A2DC5"/>
    <w:rsid w:val="005A2E9D"/>
    <w:rsid w:val="005A2EB9"/>
    <w:rsid w:val="005A321A"/>
    <w:rsid w:val="005A4659"/>
    <w:rsid w:val="005A46FB"/>
    <w:rsid w:val="005A49DB"/>
    <w:rsid w:val="005A4B1C"/>
    <w:rsid w:val="005A4E8F"/>
    <w:rsid w:val="005A5B2E"/>
    <w:rsid w:val="005A607B"/>
    <w:rsid w:val="005A644F"/>
    <w:rsid w:val="005A6553"/>
    <w:rsid w:val="005A6C82"/>
    <w:rsid w:val="005A6DA6"/>
    <w:rsid w:val="005A778E"/>
    <w:rsid w:val="005A7948"/>
    <w:rsid w:val="005A7E2E"/>
    <w:rsid w:val="005B01A0"/>
    <w:rsid w:val="005B0897"/>
    <w:rsid w:val="005B0C13"/>
    <w:rsid w:val="005B0EBE"/>
    <w:rsid w:val="005B12BD"/>
    <w:rsid w:val="005B13D1"/>
    <w:rsid w:val="005B16FA"/>
    <w:rsid w:val="005B1FD6"/>
    <w:rsid w:val="005B206F"/>
    <w:rsid w:val="005B228F"/>
    <w:rsid w:val="005B23DE"/>
    <w:rsid w:val="005B279D"/>
    <w:rsid w:val="005B2BB3"/>
    <w:rsid w:val="005B2C29"/>
    <w:rsid w:val="005B2F4F"/>
    <w:rsid w:val="005B3289"/>
    <w:rsid w:val="005B36F6"/>
    <w:rsid w:val="005B3791"/>
    <w:rsid w:val="005B3B70"/>
    <w:rsid w:val="005B478A"/>
    <w:rsid w:val="005B5049"/>
    <w:rsid w:val="005B5317"/>
    <w:rsid w:val="005B5545"/>
    <w:rsid w:val="005B5C28"/>
    <w:rsid w:val="005B5FCC"/>
    <w:rsid w:val="005B60F5"/>
    <w:rsid w:val="005B617C"/>
    <w:rsid w:val="005B65D0"/>
    <w:rsid w:val="005B65FB"/>
    <w:rsid w:val="005B67C2"/>
    <w:rsid w:val="005B67ED"/>
    <w:rsid w:val="005B6EFC"/>
    <w:rsid w:val="005B6FC7"/>
    <w:rsid w:val="005B7439"/>
    <w:rsid w:val="005B78E5"/>
    <w:rsid w:val="005B7938"/>
    <w:rsid w:val="005B7A9C"/>
    <w:rsid w:val="005B7BA1"/>
    <w:rsid w:val="005B7DF5"/>
    <w:rsid w:val="005B7FB7"/>
    <w:rsid w:val="005C0902"/>
    <w:rsid w:val="005C0903"/>
    <w:rsid w:val="005C0AF1"/>
    <w:rsid w:val="005C0C86"/>
    <w:rsid w:val="005C1127"/>
    <w:rsid w:val="005C15FE"/>
    <w:rsid w:val="005C181A"/>
    <w:rsid w:val="005C188F"/>
    <w:rsid w:val="005C19D1"/>
    <w:rsid w:val="005C1A10"/>
    <w:rsid w:val="005C20BB"/>
    <w:rsid w:val="005C2144"/>
    <w:rsid w:val="005C2ECF"/>
    <w:rsid w:val="005C3B50"/>
    <w:rsid w:val="005C3D17"/>
    <w:rsid w:val="005C43BB"/>
    <w:rsid w:val="005C4677"/>
    <w:rsid w:val="005C485D"/>
    <w:rsid w:val="005C4884"/>
    <w:rsid w:val="005C4FBE"/>
    <w:rsid w:val="005C51C7"/>
    <w:rsid w:val="005C585F"/>
    <w:rsid w:val="005C5D41"/>
    <w:rsid w:val="005C5F8E"/>
    <w:rsid w:val="005C71AB"/>
    <w:rsid w:val="005D013E"/>
    <w:rsid w:val="005D0A2B"/>
    <w:rsid w:val="005D0B00"/>
    <w:rsid w:val="005D0B43"/>
    <w:rsid w:val="005D0EDB"/>
    <w:rsid w:val="005D1353"/>
    <w:rsid w:val="005D16F9"/>
    <w:rsid w:val="005D18DC"/>
    <w:rsid w:val="005D1F34"/>
    <w:rsid w:val="005D1FA4"/>
    <w:rsid w:val="005D2063"/>
    <w:rsid w:val="005D2409"/>
    <w:rsid w:val="005D2AF3"/>
    <w:rsid w:val="005D357B"/>
    <w:rsid w:val="005D371A"/>
    <w:rsid w:val="005D383D"/>
    <w:rsid w:val="005D38E0"/>
    <w:rsid w:val="005D3B55"/>
    <w:rsid w:val="005D3D82"/>
    <w:rsid w:val="005D40C0"/>
    <w:rsid w:val="005D45A1"/>
    <w:rsid w:val="005D477A"/>
    <w:rsid w:val="005D4823"/>
    <w:rsid w:val="005D4A35"/>
    <w:rsid w:val="005D4DF9"/>
    <w:rsid w:val="005D5D9B"/>
    <w:rsid w:val="005D6438"/>
    <w:rsid w:val="005D6898"/>
    <w:rsid w:val="005D6A57"/>
    <w:rsid w:val="005D6B06"/>
    <w:rsid w:val="005D736C"/>
    <w:rsid w:val="005D7397"/>
    <w:rsid w:val="005D7534"/>
    <w:rsid w:val="005D7719"/>
    <w:rsid w:val="005D7EA2"/>
    <w:rsid w:val="005E013A"/>
    <w:rsid w:val="005E135C"/>
    <w:rsid w:val="005E1737"/>
    <w:rsid w:val="005E261C"/>
    <w:rsid w:val="005E276E"/>
    <w:rsid w:val="005E296B"/>
    <w:rsid w:val="005E2981"/>
    <w:rsid w:val="005E2B12"/>
    <w:rsid w:val="005E2D74"/>
    <w:rsid w:val="005E2EC0"/>
    <w:rsid w:val="005E325D"/>
    <w:rsid w:val="005E36FC"/>
    <w:rsid w:val="005E374C"/>
    <w:rsid w:val="005E378F"/>
    <w:rsid w:val="005E39D2"/>
    <w:rsid w:val="005E3ABD"/>
    <w:rsid w:val="005E3C8C"/>
    <w:rsid w:val="005E457F"/>
    <w:rsid w:val="005E4C1F"/>
    <w:rsid w:val="005E4C6C"/>
    <w:rsid w:val="005E503E"/>
    <w:rsid w:val="005E5263"/>
    <w:rsid w:val="005E57BF"/>
    <w:rsid w:val="005E5D32"/>
    <w:rsid w:val="005E656B"/>
    <w:rsid w:val="005E6E9E"/>
    <w:rsid w:val="005E6FFE"/>
    <w:rsid w:val="005E739D"/>
    <w:rsid w:val="005E752A"/>
    <w:rsid w:val="005E7AC7"/>
    <w:rsid w:val="005E7D24"/>
    <w:rsid w:val="005F006E"/>
    <w:rsid w:val="005F0288"/>
    <w:rsid w:val="005F034B"/>
    <w:rsid w:val="005F137A"/>
    <w:rsid w:val="005F1496"/>
    <w:rsid w:val="005F15CC"/>
    <w:rsid w:val="005F18F3"/>
    <w:rsid w:val="005F192D"/>
    <w:rsid w:val="005F1B57"/>
    <w:rsid w:val="005F1FBB"/>
    <w:rsid w:val="005F207B"/>
    <w:rsid w:val="005F2314"/>
    <w:rsid w:val="005F2946"/>
    <w:rsid w:val="005F2AD4"/>
    <w:rsid w:val="005F31BF"/>
    <w:rsid w:val="005F3252"/>
    <w:rsid w:val="005F3356"/>
    <w:rsid w:val="005F35C2"/>
    <w:rsid w:val="005F3B44"/>
    <w:rsid w:val="005F3D23"/>
    <w:rsid w:val="005F3F50"/>
    <w:rsid w:val="005F4091"/>
    <w:rsid w:val="005F518D"/>
    <w:rsid w:val="005F57D2"/>
    <w:rsid w:val="005F58D6"/>
    <w:rsid w:val="005F5BE4"/>
    <w:rsid w:val="005F5F2F"/>
    <w:rsid w:val="005F6379"/>
    <w:rsid w:val="005F6649"/>
    <w:rsid w:val="005F67E1"/>
    <w:rsid w:val="005F6DF6"/>
    <w:rsid w:val="005F7023"/>
    <w:rsid w:val="005F7552"/>
    <w:rsid w:val="005F7624"/>
    <w:rsid w:val="005F776D"/>
    <w:rsid w:val="005F7B29"/>
    <w:rsid w:val="00600645"/>
    <w:rsid w:val="00600721"/>
    <w:rsid w:val="00600921"/>
    <w:rsid w:val="00600A77"/>
    <w:rsid w:val="00600A9B"/>
    <w:rsid w:val="0060124E"/>
    <w:rsid w:val="006019F8"/>
    <w:rsid w:val="00601A4B"/>
    <w:rsid w:val="00601A4F"/>
    <w:rsid w:val="00601BCF"/>
    <w:rsid w:val="00601F80"/>
    <w:rsid w:val="00602029"/>
    <w:rsid w:val="00602303"/>
    <w:rsid w:val="00602686"/>
    <w:rsid w:val="006027D7"/>
    <w:rsid w:val="00602CD1"/>
    <w:rsid w:val="006031E0"/>
    <w:rsid w:val="00603724"/>
    <w:rsid w:val="00603992"/>
    <w:rsid w:val="006039B5"/>
    <w:rsid w:val="00603BB8"/>
    <w:rsid w:val="00603D67"/>
    <w:rsid w:val="006041E5"/>
    <w:rsid w:val="006047E3"/>
    <w:rsid w:val="0060492F"/>
    <w:rsid w:val="0060508B"/>
    <w:rsid w:val="00605424"/>
    <w:rsid w:val="00605471"/>
    <w:rsid w:val="00605D61"/>
    <w:rsid w:val="0060633F"/>
    <w:rsid w:val="0060658B"/>
    <w:rsid w:val="00606E60"/>
    <w:rsid w:val="0060722C"/>
    <w:rsid w:val="00607A64"/>
    <w:rsid w:val="00607C3B"/>
    <w:rsid w:val="00607CFC"/>
    <w:rsid w:val="006108E9"/>
    <w:rsid w:val="00610938"/>
    <w:rsid w:val="00610C7A"/>
    <w:rsid w:val="0061111A"/>
    <w:rsid w:val="006111EA"/>
    <w:rsid w:val="00611428"/>
    <w:rsid w:val="0061175B"/>
    <w:rsid w:val="00611D27"/>
    <w:rsid w:val="00611FD9"/>
    <w:rsid w:val="0061271D"/>
    <w:rsid w:val="00612D29"/>
    <w:rsid w:val="00613123"/>
    <w:rsid w:val="00613A32"/>
    <w:rsid w:val="00613B9C"/>
    <w:rsid w:val="00614448"/>
    <w:rsid w:val="00614561"/>
    <w:rsid w:val="006146CB"/>
    <w:rsid w:val="00614CA5"/>
    <w:rsid w:val="00614DAD"/>
    <w:rsid w:val="006154BF"/>
    <w:rsid w:val="00615873"/>
    <w:rsid w:val="00615A5B"/>
    <w:rsid w:val="00615FDE"/>
    <w:rsid w:val="006161DF"/>
    <w:rsid w:val="00616676"/>
    <w:rsid w:val="00616771"/>
    <w:rsid w:val="00616839"/>
    <w:rsid w:val="00616D70"/>
    <w:rsid w:val="00616F88"/>
    <w:rsid w:val="006174D1"/>
    <w:rsid w:val="0061767C"/>
    <w:rsid w:val="00617BA2"/>
    <w:rsid w:val="00617F63"/>
    <w:rsid w:val="00620D3E"/>
    <w:rsid w:val="00620FAC"/>
    <w:rsid w:val="006211EE"/>
    <w:rsid w:val="006216D7"/>
    <w:rsid w:val="00621C15"/>
    <w:rsid w:val="00621C23"/>
    <w:rsid w:val="00621D3F"/>
    <w:rsid w:val="00622508"/>
    <w:rsid w:val="006226FF"/>
    <w:rsid w:val="00622B15"/>
    <w:rsid w:val="00622C17"/>
    <w:rsid w:val="00623247"/>
    <w:rsid w:val="00623531"/>
    <w:rsid w:val="00623728"/>
    <w:rsid w:val="00623F07"/>
    <w:rsid w:val="006240BF"/>
    <w:rsid w:val="0062438B"/>
    <w:rsid w:val="006243FC"/>
    <w:rsid w:val="0062453B"/>
    <w:rsid w:val="006245C0"/>
    <w:rsid w:val="00624722"/>
    <w:rsid w:val="006247A5"/>
    <w:rsid w:val="00625868"/>
    <w:rsid w:val="006258A5"/>
    <w:rsid w:val="00625B22"/>
    <w:rsid w:val="00625C43"/>
    <w:rsid w:val="00625DE6"/>
    <w:rsid w:val="0062671C"/>
    <w:rsid w:val="00626AB8"/>
    <w:rsid w:val="00627405"/>
    <w:rsid w:val="0062756E"/>
    <w:rsid w:val="00627656"/>
    <w:rsid w:val="0063009F"/>
    <w:rsid w:val="0063018C"/>
    <w:rsid w:val="00630329"/>
    <w:rsid w:val="006307AF"/>
    <w:rsid w:val="00630916"/>
    <w:rsid w:val="00630974"/>
    <w:rsid w:val="00630BF1"/>
    <w:rsid w:val="00630DB4"/>
    <w:rsid w:val="00630FF9"/>
    <w:rsid w:val="00631448"/>
    <w:rsid w:val="00631D1D"/>
    <w:rsid w:val="006327D7"/>
    <w:rsid w:val="00632954"/>
    <w:rsid w:val="00632B13"/>
    <w:rsid w:val="0063305B"/>
    <w:rsid w:val="0063325F"/>
    <w:rsid w:val="00633384"/>
    <w:rsid w:val="0063372F"/>
    <w:rsid w:val="0063409C"/>
    <w:rsid w:val="006340B7"/>
    <w:rsid w:val="006344CE"/>
    <w:rsid w:val="00634774"/>
    <w:rsid w:val="006347FA"/>
    <w:rsid w:val="006352E3"/>
    <w:rsid w:val="006353FD"/>
    <w:rsid w:val="006356C5"/>
    <w:rsid w:val="00635B11"/>
    <w:rsid w:val="00635FEB"/>
    <w:rsid w:val="00636465"/>
    <w:rsid w:val="00636B17"/>
    <w:rsid w:val="00636B2E"/>
    <w:rsid w:val="00636CBF"/>
    <w:rsid w:val="00636D0E"/>
    <w:rsid w:val="00636D29"/>
    <w:rsid w:val="0063734F"/>
    <w:rsid w:val="0063782F"/>
    <w:rsid w:val="00637C29"/>
    <w:rsid w:val="006405E7"/>
    <w:rsid w:val="00640869"/>
    <w:rsid w:val="0064095E"/>
    <w:rsid w:val="00640CCA"/>
    <w:rsid w:val="0064151E"/>
    <w:rsid w:val="00641FCE"/>
    <w:rsid w:val="00642033"/>
    <w:rsid w:val="0064246D"/>
    <w:rsid w:val="006426D4"/>
    <w:rsid w:val="00642964"/>
    <w:rsid w:val="00642C5C"/>
    <w:rsid w:val="0064323B"/>
    <w:rsid w:val="0064399F"/>
    <w:rsid w:val="006439A3"/>
    <w:rsid w:val="00643D44"/>
    <w:rsid w:val="00643FAD"/>
    <w:rsid w:val="00643FF9"/>
    <w:rsid w:val="006445D9"/>
    <w:rsid w:val="0064492E"/>
    <w:rsid w:val="00645080"/>
    <w:rsid w:val="006450AE"/>
    <w:rsid w:val="00645451"/>
    <w:rsid w:val="00645813"/>
    <w:rsid w:val="00645891"/>
    <w:rsid w:val="006458E0"/>
    <w:rsid w:val="00645B29"/>
    <w:rsid w:val="006465E9"/>
    <w:rsid w:val="00646700"/>
    <w:rsid w:val="006469D2"/>
    <w:rsid w:val="00646CF1"/>
    <w:rsid w:val="00647024"/>
    <w:rsid w:val="006471F4"/>
    <w:rsid w:val="00647618"/>
    <w:rsid w:val="00647ADB"/>
    <w:rsid w:val="00647CDB"/>
    <w:rsid w:val="00647F03"/>
    <w:rsid w:val="00650026"/>
    <w:rsid w:val="0065002F"/>
    <w:rsid w:val="006501D6"/>
    <w:rsid w:val="0065039E"/>
    <w:rsid w:val="00650555"/>
    <w:rsid w:val="006507CE"/>
    <w:rsid w:val="0065083B"/>
    <w:rsid w:val="00650E26"/>
    <w:rsid w:val="00650E4A"/>
    <w:rsid w:val="006510ED"/>
    <w:rsid w:val="006511D0"/>
    <w:rsid w:val="006511FE"/>
    <w:rsid w:val="0065139E"/>
    <w:rsid w:val="00651463"/>
    <w:rsid w:val="00651580"/>
    <w:rsid w:val="0065164E"/>
    <w:rsid w:val="006517BD"/>
    <w:rsid w:val="0065192D"/>
    <w:rsid w:val="00651C79"/>
    <w:rsid w:val="00651F22"/>
    <w:rsid w:val="0065216C"/>
    <w:rsid w:val="0065275E"/>
    <w:rsid w:val="006529A1"/>
    <w:rsid w:val="00652B67"/>
    <w:rsid w:val="00652CC4"/>
    <w:rsid w:val="00652FCE"/>
    <w:rsid w:val="00652FDD"/>
    <w:rsid w:val="00653059"/>
    <w:rsid w:val="006533C5"/>
    <w:rsid w:val="006537DB"/>
    <w:rsid w:val="00653AEC"/>
    <w:rsid w:val="00654793"/>
    <w:rsid w:val="006548ED"/>
    <w:rsid w:val="00654D02"/>
    <w:rsid w:val="00654E90"/>
    <w:rsid w:val="00655134"/>
    <w:rsid w:val="00655783"/>
    <w:rsid w:val="00655A85"/>
    <w:rsid w:val="00655FF8"/>
    <w:rsid w:val="006563A8"/>
    <w:rsid w:val="006566CD"/>
    <w:rsid w:val="00656D66"/>
    <w:rsid w:val="00656F07"/>
    <w:rsid w:val="00657D68"/>
    <w:rsid w:val="00657F56"/>
    <w:rsid w:val="00660325"/>
    <w:rsid w:val="00660DC5"/>
    <w:rsid w:val="0066101E"/>
    <w:rsid w:val="00661424"/>
    <w:rsid w:val="00661511"/>
    <w:rsid w:val="00661538"/>
    <w:rsid w:val="00661804"/>
    <w:rsid w:val="006622D0"/>
    <w:rsid w:val="0066256F"/>
    <w:rsid w:val="006625D5"/>
    <w:rsid w:val="00662808"/>
    <w:rsid w:val="0066282C"/>
    <w:rsid w:val="00662AEF"/>
    <w:rsid w:val="00662DD5"/>
    <w:rsid w:val="006630BE"/>
    <w:rsid w:val="006631F5"/>
    <w:rsid w:val="0066401D"/>
    <w:rsid w:val="006642F0"/>
    <w:rsid w:val="006644A1"/>
    <w:rsid w:val="0066457C"/>
    <w:rsid w:val="00664BA6"/>
    <w:rsid w:val="00664D65"/>
    <w:rsid w:val="00664E9B"/>
    <w:rsid w:val="006651D2"/>
    <w:rsid w:val="006652AC"/>
    <w:rsid w:val="00665493"/>
    <w:rsid w:val="00665913"/>
    <w:rsid w:val="00665AFE"/>
    <w:rsid w:val="00666290"/>
    <w:rsid w:val="00666688"/>
    <w:rsid w:val="006667A5"/>
    <w:rsid w:val="00666989"/>
    <w:rsid w:val="00666CE9"/>
    <w:rsid w:val="00666E06"/>
    <w:rsid w:val="00667081"/>
    <w:rsid w:val="006675D8"/>
    <w:rsid w:val="00667601"/>
    <w:rsid w:val="0066768E"/>
    <w:rsid w:val="00670709"/>
    <w:rsid w:val="006708E6"/>
    <w:rsid w:val="00670C66"/>
    <w:rsid w:val="00671597"/>
    <w:rsid w:val="00671642"/>
    <w:rsid w:val="0067241B"/>
    <w:rsid w:val="0067290A"/>
    <w:rsid w:val="00672A1A"/>
    <w:rsid w:val="00672FC5"/>
    <w:rsid w:val="00673287"/>
    <w:rsid w:val="00673502"/>
    <w:rsid w:val="00673732"/>
    <w:rsid w:val="00673978"/>
    <w:rsid w:val="00673C4D"/>
    <w:rsid w:val="00674305"/>
    <w:rsid w:val="00674AD4"/>
    <w:rsid w:val="00674B1F"/>
    <w:rsid w:val="00674BD0"/>
    <w:rsid w:val="00674C71"/>
    <w:rsid w:val="00675192"/>
    <w:rsid w:val="00675A50"/>
    <w:rsid w:val="006766EF"/>
    <w:rsid w:val="006771CE"/>
    <w:rsid w:val="00680066"/>
    <w:rsid w:val="0068046B"/>
    <w:rsid w:val="0068058A"/>
    <w:rsid w:val="006805CF"/>
    <w:rsid w:val="0068078B"/>
    <w:rsid w:val="00680ABB"/>
    <w:rsid w:val="00680B88"/>
    <w:rsid w:val="00681462"/>
    <w:rsid w:val="00681622"/>
    <w:rsid w:val="00681775"/>
    <w:rsid w:val="00681B9A"/>
    <w:rsid w:val="00682345"/>
    <w:rsid w:val="00682816"/>
    <w:rsid w:val="0068292A"/>
    <w:rsid w:val="00682B75"/>
    <w:rsid w:val="00682E75"/>
    <w:rsid w:val="00683518"/>
    <w:rsid w:val="00683597"/>
    <w:rsid w:val="006836E4"/>
    <w:rsid w:val="00684132"/>
    <w:rsid w:val="006843A8"/>
    <w:rsid w:val="006845B6"/>
    <w:rsid w:val="00684B89"/>
    <w:rsid w:val="00684BCD"/>
    <w:rsid w:val="00684DBB"/>
    <w:rsid w:val="00684E5F"/>
    <w:rsid w:val="00685038"/>
    <w:rsid w:val="006851BB"/>
    <w:rsid w:val="006857E8"/>
    <w:rsid w:val="00685A82"/>
    <w:rsid w:val="00686821"/>
    <w:rsid w:val="00686B76"/>
    <w:rsid w:val="00687722"/>
    <w:rsid w:val="00687895"/>
    <w:rsid w:val="00687FAB"/>
    <w:rsid w:val="00690106"/>
    <w:rsid w:val="0069069C"/>
    <w:rsid w:val="00690E21"/>
    <w:rsid w:val="00691298"/>
    <w:rsid w:val="00691687"/>
    <w:rsid w:val="00691CB3"/>
    <w:rsid w:val="00691CFB"/>
    <w:rsid w:val="00692840"/>
    <w:rsid w:val="00692ADA"/>
    <w:rsid w:val="00692B34"/>
    <w:rsid w:val="00692C78"/>
    <w:rsid w:val="00692FA3"/>
    <w:rsid w:val="00693B34"/>
    <w:rsid w:val="00693BD6"/>
    <w:rsid w:val="00693EA0"/>
    <w:rsid w:val="0069402C"/>
    <w:rsid w:val="00694530"/>
    <w:rsid w:val="00694593"/>
    <w:rsid w:val="00694883"/>
    <w:rsid w:val="006950A8"/>
    <w:rsid w:val="006956C1"/>
    <w:rsid w:val="00695A40"/>
    <w:rsid w:val="0069618E"/>
    <w:rsid w:val="006964A2"/>
    <w:rsid w:val="00696B43"/>
    <w:rsid w:val="00696C17"/>
    <w:rsid w:val="00696C1E"/>
    <w:rsid w:val="00696EB4"/>
    <w:rsid w:val="0069704E"/>
    <w:rsid w:val="00697081"/>
    <w:rsid w:val="00697838"/>
    <w:rsid w:val="006978C5"/>
    <w:rsid w:val="006A031F"/>
    <w:rsid w:val="006A0371"/>
    <w:rsid w:val="006A1018"/>
    <w:rsid w:val="006A17A8"/>
    <w:rsid w:val="006A1E48"/>
    <w:rsid w:val="006A2241"/>
    <w:rsid w:val="006A2263"/>
    <w:rsid w:val="006A2573"/>
    <w:rsid w:val="006A266D"/>
    <w:rsid w:val="006A2F11"/>
    <w:rsid w:val="006A32CF"/>
    <w:rsid w:val="006A38BB"/>
    <w:rsid w:val="006A3CBA"/>
    <w:rsid w:val="006A4B75"/>
    <w:rsid w:val="006A5257"/>
    <w:rsid w:val="006A5435"/>
    <w:rsid w:val="006A56C3"/>
    <w:rsid w:val="006A56CC"/>
    <w:rsid w:val="006A574F"/>
    <w:rsid w:val="006A5BEA"/>
    <w:rsid w:val="006A5C80"/>
    <w:rsid w:val="006A5FB5"/>
    <w:rsid w:val="006A6689"/>
    <w:rsid w:val="006A68D8"/>
    <w:rsid w:val="006A6B32"/>
    <w:rsid w:val="006A6BB3"/>
    <w:rsid w:val="006A7199"/>
    <w:rsid w:val="006A7378"/>
    <w:rsid w:val="006A7595"/>
    <w:rsid w:val="006A7833"/>
    <w:rsid w:val="006A7EF1"/>
    <w:rsid w:val="006B013A"/>
    <w:rsid w:val="006B055E"/>
    <w:rsid w:val="006B0C2E"/>
    <w:rsid w:val="006B1120"/>
    <w:rsid w:val="006B13A5"/>
    <w:rsid w:val="006B161E"/>
    <w:rsid w:val="006B1718"/>
    <w:rsid w:val="006B17F3"/>
    <w:rsid w:val="006B19F6"/>
    <w:rsid w:val="006B1C47"/>
    <w:rsid w:val="006B1CC6"/>
    <w:rsid w:val="006B21B4"/>
    <w:rsid w:val="006B22FD"/>
    <w:rsid w:val="006B2636"/>
    <w:rsid w:val="006B2741"/>
    <w:rsid w:val="006B27AE"/>
    <w:rsid w:val="006B3DE1"/>
    <w:rsid w:val="006B3E90"/>
    <w:rsid w:val="006B41DD"/>
    <w:rsid w:val="006B4774"/>
    <w:rsid w:val="006B5095"/>
    <w:rsid w:val="006B6168"/>
    <w:rsid w:val="006B61B1"/>
    <w:rsid w:val="006B6BB8"/>
    <w:rsid w:val="006B6F1B"/>
    <w:rsid w:val="006B724B"/>
    <w:rsid w:val="006B73A1"/>
    <w:rsid w:val="006B7634"/>
    <w:rsid w:val="006B79C6"/>
    <w:rsid w:val="006B7B29"/>
    <w:rsid w:val="006B7C63"/>
    <w:rsid w:val="006C0264"/>
    <w:rsid w:val="006C0642"/>
    <w:rsid w:val="006C0F1A"/>
    <w:rsid w:val="006C1C9F"/>
    <w:rsid w:val="006C1ED4"/>
    <w:rsid w:val="006C2818"/>
    <w:rsid w:val="006C2D39"/>
    <w:rsid w:val="006C2DF1"/>
    <w:rsid w:val="006C2DFD"/>
    <w:rsid w:val="006C38AC"/>
    <w:rsid w:val="006C39D1"/>
    <w:rsid w:val="006C41D7"/>
    <w:rsid w:val="006C4E06"/>
    <w:rsid w:val="006C532D"/>
    <w:rsid w:val="006C53EC"/>
    <w:rsid w:val="006C607B"/>
    <w:rsid w:val="006C689C"/>
    <w:rsid w:val="006C6A19"/>
    <w:rsid w:val="006C6A30"/>
    <w:rsid w:val="006C6B7A"/>
    <w:rsid w:val="006C6BF9"/>
    <w:rsid w:val="006C6F07"/>
    <w:rsid w:val="006C7744"/>
    <w:rsid w:val="006C7D5E"/>
    <w:rsid w:val="006D013C"/>
    <w:rsid w:val="006D023A"/>
    <w:rsid w:val="006D03C5"/>
    <w:rsid w:val="006D0407"/>
    <w:rsid w:val="006D0787"/>
    <w:rsid w:val="006D0B4B"/>
    <w:rsid w:val="006D0DFC"/>
    <w:rsid w:val="006D0FCF"/>
    <w:rsid w:val="006D1581"/>
    <w:rsid w:val="006D1706"/>
    <w:rsid w:val="006D18F8"/>
    <w:rsid w:val="006D1C61"/>
    <w:rsid w:val="006D2EE2"/>
    <w:rsid w:val="006D3006"/>
    <w:rsid w:val="006D327F"/>
    <w:rsid w:val="006D3367"/>
    <w:rsid w:val="006D3373"/>
    <w:rsid w:val="006D33E9"/>
    <w:rsid w:val="006D345A"/>
    <w:rsid w:val="006D36A1"/>
    <w:rsid w:val="006D43F0"/>
    <w:rsid w:val="006D43FE"/>
    <w:rsid w:val="006D4422"/>
    <w:rsid w:val="006D4711"/>
    <w:rsid w:val="006D4B51"/>
    <w:rsid w:val="006D4BF4"/>
    <w:rsid w:val="006D4BF6"/>
    <w:rsid w:val="006D4FCC"/>
    <w:rsid w:val="006D5218"/>
    <w:rsid w:val="006D5718"/>
    <w:rsid w:val="006D5BD2"/>
    <w:rsid w:val="006D5C32"/>
    <w:rsid w:val="006D5EE5"/>
    <w:rsid w:val="006D6465"/>
    <w:rsid w:val="006D646A"/>
    <w:rsid w:val="006D6C4E"/>
    <w:rsid w:val="006D6D39"/>
    <w:rsid w:val="006D6D7E"/>
    <w:rsid w:val="006D7231"/>
    <w:rsid w:val="006D752B"/>
    <w:rsid w:val="006D75A4"/>
    <w:rsid w:val="006D7A1D"/>
    <w:rsid w:val="006D7ACD"/>
    <w:rsid w:val="006E03D9"/>
    <w:rsid w:val="006E0B10"/>
    <w:rsid w:val="006E0BAF"/>
    <w:rsid w:val="006E0D98"/>
    <w:rsid w:val="006E0EBF"/>
    <w:rsid w:val="006E113D"/>
    <w:rsid w:val="006E14EF"/>
    <w:rsid w:val="006E1791"/>
    <w:rsid w:val="006E1BF4"/>
    <w:rsid w:val="006E220F"/>
    <w:rsid w:val="006E23A6"/>
    <w:rsid w:val="006E23DD"/>
    <w:rsid w:val="006E2D35"/>
    <w:rsid w:val="006E315F"/>
    <w:rsid w:val="006E3265"/>
    <w:rsid w:val="006E33F0"/>
    <w:rsid w:val="006E374D"/>
    <w:rsid w:val="006E375B"/>
    <w:rsid w:val="006E3B79"/>
    <w:rsid w:val="006E465A"/>
    <w:rsid w:val="006E47D9"/>
    <w:rsid w:val="006E489A"/>
    <w:rsid w:val="006E5826"/>
    <w:rsid w:val="006E5990"/>
    <w:rsid w:val="006E5A37"/>
    <w:rsid w:val="006E5B4D"/>
    <w:rsid w:val="006E5C07"/>
    <w:rsid w:val="006E5D35"/>
    <w:rsid w:val="006E5DE0"/>
    <w:rsid w:val="006E615D"/>
    <w:rsid w:val="006E67A2"/>
    <w:rsid w:val="006E6D09"/>
    <w:rsid w:val="006E6D3B"/>
    <w:rsid w:val="006E6EA9"/>
    <w:rsid w:val="006E6F69"/>
    <w:rsid w:val="006E73D6"/>
    <w:rsid w:val="006E752A"/>
    <w:rsid w:val="006E77CC"/>
    <w:rsid w:val="006F00D7"/>
    <w:rsid w:val="006F07F3"/>
    <w:rsid w:val="006F0D17"/>
    <w:rsid w:val="006F0D37"/>
    <w:rsid w:val="006F0DC8"/>
    <w:rsid w:val="006F0EF7"/>
    <w:rsid w:val="006F0F06"/>
    <w:rsid w:val="006F1CF9"/>
    <w:rsid w:val="006F1D84"/>
    <w:rsid w:val="006F273E"/>
    <w:rsid w:val="006F27DC"/>
    <w:rsid w:val="006F2A4E"/>
    <w:rsid w:val="006F2DBD"/>
    <w:rsid w:val="006F337D"/>
    <w:rsid w:val="006F3783"/>
    <w:rsid w:val="006F3A2A"/>
    <w:rsid w:val="006F3C08"/>
    <w:rsid w:val="006F3F76"/>
    <w:rsid w:val="006F413E"/>
    <w:rsid w:val="006F4142"/>
    <w:rsid w:val="006F4277"/>
    <w:rsid w:val="006F44D7"/>
    <w:rsid w:val="006F49EA"/>
    <w:rsid w:val="006F4B6D"/>
    <w:rsid w:val="006F4F8E"/>
    <w:rsid w:val="006F54C8"/>
    <w:rsid w:val="006F55FF"/>
    <w:rsid w:val="006F5B9C"/>
    <w:rsid w:val="006F5BA0"/>
    <w:rsid w:val="006F5D57"/>
    <w:rsid w:val="006F607F"/>
    <w:rsid w:val="006F63AD"/>
    <w:rsid w:val="006F667F"/>
    <w:rsid w:val="006F69D4"/>
    <w:rsid w:val="006F6CEB"/>
    <w:rsid w:val="006F70A9"/>
    <w:rsid w:val="006F7A18"/>
    <w:rsid w:val="006F7CF5"/>
    <w:rsid w:val="006F7D15"/>
    <w:rsid w:val="0070045C"/>
    <w:rsid w:val="0070082B"/>
    <w:rsid w:val="00700987"/>
    <w:rsid w:val="00700AE7"/>
    <w:rsid w:val="00700B8A"/>
    <w:rsid w:val="00700EE5"/>
    <w:rsid w:val="00700FDC"/>
    <w:rsid w:val="0070102D"/>
    <w:rsid w:val="00701192"/>
    <w:rsid w:val="00701612"/>
    <w:rsid w:val="00701A2E"/>
    <w:rsid w:val="00701E00"/>
    <w:rsid w:val="00702093"/>
    <w:rsid w:val="0070260A"/>
    <w:rsid w:val="00702676"/>
    <w:rsid w:val="007027C0"/>
    <w:rsid w:val="00702D6B"/>
    <w:rsid w:val="00702E3F"/>
    <w:rsid w:val="00703291"/>
    <w:rsid w:val="00703433"/>
    <w:rsid w:val="00703522"/>
    <w:rsid w:val="007036A6"/>
    <w:rsid w:val="00703863"/>
    <w:rsid w:val="00703879"/>
    <w:rsid w:val="00703EF9"/>
    <w:rsid w:val="0070428E"/>
    <w:rsid w:val="00705304"/>
    <w:rsid w:val="007053F4"/>
    <w:rsid w:val="007055E5"/>
    <w:rsid w:val="00705B3D"/>
    <w:rsid w:val="00705C52"/>
    <w:rsid w:val="007068DA"/>
    <w:rsid w:val="007070A4"/>
    <w:rsid w:val="00707442"/>
    <w:rsid w:val="00707736"/>
    <w:rsid w:val="00707978"/>
    <w:rsid w:val="0071043C"/>
    <w:rsid w:val="007105F6"/>
    <w:rsid w:val="00710C0F"/>
    <w:rsid w:val="00710E2E"/>
    <w:rsid w:val="00710E75"/>
    <w:rsid w:val="00710EC8"/>
    <w:rsid w:val="0071156E"/>
    <w:rsid w:val="00711BA9"/>
    <w:rsid w:val="00711EBC"/>
    <w:rsid w:val="00711F1C"/>
    <w:rsid w:val="00712781"/>
    <w:rsid w:val="00712846"/>
    <w:rsid w:val="0071290A"/>
    <w:rsid w:val="00712EC2"/>
    <w:rsid w:val="00713167"/>
    <w:rsid w:val="0071320C"/>
    <w:rsid w:val="00713343"/>
    <w:rsid w:val="00713C2D"/>
    <w:rsid w:val="00713CB9"/>
    <w:rsid w:val="00713E68"/>
    <w:rsid w:val="00713F86"/>
    <w:rsid w:val="00714160"/>
    <w:rsid w:val="00714487"/>
    <w:rsid w:val="007145AE"/>
    <w:rsid w:val="007145CE"/>
    <w:rsid w:val="00714615"/>
    <w:rsid w:val="007149A2"/>
    <w:rsid w:val="00714A3E"/>
    <w:rsid w:val="00714AAA"/>
    <w:rsid w:val="00714CC6"/>
    <w:rsid w:val="00714FF5"/>
    <w:rsid w:val="0071502C"/>
    <w:rsid w:val="0071676A"/>
    <w:rsid w:val="007168F7"/>
    <w:rsid w:val="0071749A"/>
    <w:rsid w:val="0071755C"/>
    <w:rsid w:val="007175B6"/>
    <w:rsid w:val="007177A2"/>
    <w:rsid w:val="007200DE"/>
    <w:rsid w:val="007202D9"/>
    <w:rsid w:val="0072036E"/>
    <w:rsid w:val="007205F4"/>
    <w:rsid w:val="00720EC9"/>
    <w:rsid w:val="00720F79"/>
    <w:rsid w:val="007216FC"/>
    <w:rsid w:val="007217EA"/>
    <w:rsid w:val="007219D2"/>
    <w:rsid w:val="00721E11"/>
    <w:rsid w:val="00721E96"/>
    <w:rsid w:val="007221C2"/>
    <w:rsid w:val="0072224D"/>
    <w:rsid w:val="007223F0"/>
    <w:rsid w:val="007227BC"/>
    <w:rsid w:val="00722D4E"/>
    <w:rsid w:val="00723613"/>
    <w:rsid w:val="0072373A"/>
    <w:rsid w:val="00723982"/>
    <w:rsid w:val="00723A90"/>
    <w:rsid w:val="00724157"/>
    <w:rsid w:val="00724159"/>
    <w:rsid w:val="007242E2"/>
    <w:rsid w:val="0072437B"/>
    <w:rsid w:val="00724C2E"/>
    <w:rsid w:val="00724DE7"/>
    <w:rsid w:val="00725660"/>
    <w:rsid w:val="00725722"/>
    <w:rsid w:val="007265A3"/>
    <w:rsid w:val="00726BEB"/>
    <w:rsid w:val="00726DCC"/>
    <w:rsid w:val="00726FE8"/>
    <w:rsid w:val="00727516"/>
    <w:rsid w:val="00727696"/>
    <w:rsid w:val="00730559"/>
    <w:rsid w:val="00730BD2"/>
    <w:rsid w:val="00731757"/>
    <w:rsid w:val="00731A74"/>
    <w:rsid w:val="00731D29"/>
    <w:rsid w:val="00731FAF"/>
    <w:rsid w:val="0073271A"/>
    <w:rsid w:val="00732981"/>
    <w:rsid w:val="007334DC"/>
    <w:rsid w:val="00733842"/>
    <w:rsid w:val="007339DC"/>
    <w:rsid w:val="0073442E"/>
    <w:rsid w:val="0073467A"/>
    <w:rsid w:val="007346D4"/>
    <w:rsid w:val="0073470B"/>
    <w:rsid w:val="007348D5"/>
    <w:rsid w:val="007352BF"/>
    <w:rsid w:val="00735BC1"/>
    <w:rsid w:val="00735EA2"/>
    <w:rsid w:val="0073670F"/>
    <w:rsid w:val="00736CBF"/>
    <w:rsid w:val="007377E1"/>
    <w:rsid w:val="00737853"/>
    <w:rsid w:val="007379EC"/>
    <w:rsid w:val="00737D7E"/>
    <w:rsid w:val="00740020"/>
    <w:rsid w:val="00740BFC"/>
    <w:rsid w:val="00740ED8"/>
    <w:rsid w:val="00740FC7"/>
    <w:rsid w:val="007411E4"/>
    <w:rsid w:val="007416E5"/>
    <w:rsid w:val="007419C7"/>
    <w:rsid w:val="00741C77"/>
    <w:rsid w:val="0074218B"/>
    <w:rsid w:val="007421B1"/>
    <w:rsid w:val="00742DA4"/>
    <w:rsid w:val="00742E71"/>
    <w:rsid w:val="00742F31"/>
    <w:rsid w:val="00743E07"/>
    <w:rsid w:val="00744058"/>
    <w:rsid w:val="00744974"/>
    <w:rsid w:val="00744B91"/>
    <w:rsid w:val="00744F66"/>
    <w:rsid w:val="007451B9"/>
    <w:rsid w:val="007452BE"/>
    <w:rsid w:val="007452CB"/>
    <w:rsid w:val="00746651"/>
    <w:rsid w:val="00746A93"/>
    <w:rsid w:val="00746F8F"/>
    <w:rsid w:val="0074795C"/>
    <w:rsid w:val="007479D1"/>
    <w:rsid w:val="0075024A"/>
    <w:rsid w:val="00750B17"/>
    <w:rsid w:val="007511F2"/>
    <w:rsid w:val="00751680"/>
    <w:rsid w:val="00751BB4"/>
    <w:rsid w:val="0075231F"/>
    <w:rsid w:val="00752460"/>
    <w:rsid w:val="00752C93"/>
    <w:rsid w:val="00752CFE"/>
    <w:rsid w:val="00752D8F"/>
    <w:rsid w:val="0075305C"/>
    <w:rsid w:val="007540BF"/>
    <w:rsid w:val="00754175"/>
    <w:rsid w:val="0075450D"/>
    <w:rsid w:val="007546EA"/>
    <w:rsid w:val="00754E9F"/>
    <w:rsid w:val="007552DF"/>
    <w:rsid w:val="00755679"/>
    <w:rsid w:val="007559A9"/>
    <w:rsid w:val="00756541"/>
    <w:rsid w:val="00756983"/>
    <w:rsid w:val="00756A0A"/>
    <w:rsid w:val="00756D22"/>
    <w:rsid w:val="00756D3A"/>
    <w:rsid w:val="00756DA0"/>
    <w:rsid w:val="00756F4C"/>
    <w:rsid w:val="0075735D"/>
    <w:rsid w:val="007575C1"/>
    <w:rsid w:val="00760B07"/>
    <w:rsid w:val="00761B64"/>
    <w:rsid w:val="00761C00"/>
    <w:rsid w:val="007620C9"/>
    <w:rsid w:val="007627B7"/>
    <w:rsid w:val="00762D65"/>
    <w:rsid w:val="007630FB"/>
    <w:rsid w:val="007631AF"/>
    <w:rsid w:val="007633BC"/>
    <w:rsid w:val="007637A8"/>
    <w:rsid w:val="00763C0A"/>
    <w:rsid w:val="00763EAA"/>
    <w:rsid w:val="00764368"/>
    <w:rsid w:val="007644AF"/>
    <w:rsid w:val="007647F2"/>
    <w:rsid w:val="0076484E"/>
    <w:rsid w:val="00765477"/>
    <w:rsid w:val="00765B58"/>
    <w:rsid w:val="00766012"/>
    <w:rsid w:val="007661E1"/>
    <w:rsid w:val="0076620E"/>
    <w:rsid w:val="0076622F"/>
    <w:rsid w:val="007664A9"/>
    <w:rsid w:val="00766EDA"/>
    <w:rsid w:val="00767214"/>
    <w:rsid w:val="00767B72"/>
    <w:rsid w:val="00767F0B"/>
    <w:rsid w:val="00767F65"/>
    <w:rsid w:val="0077048A"/>
    <w:rsid w:val="00770814"/>
    <w:rsid w:val="00770DCB"/>
    <w:rsid w:val="00771078"/>
    <w:rsid w:val="00771419"/>
    <w:rsid w:val="00771A33"/>
    <w:rsid w:val="00771DB0"/>
    <w:rsid w:val="00771DE1"/>
    <w:rsid w:val="00771E52"/>
    <w:rsid w:val="00772165"/>
    <w:rsid w:val="007721E0"/>
    <w:rsid w:val="007725E0"/>
    <w:rsid w:val="00772C67"/>
    <w:rsid w:val="00772C8D"/>
    <w:rsid w:val="00772E1B"/>
    <w:rsid w:val="00772EDC"/>
    <w:rsid w:val="007733AF"/>
    <w:rsid w:val="00773809"/>
    <w:rsid w:val="00774347"/>
    <w:rsid w:val="00774F66"/>
    <w:rsid w:val="00775075"/>
    <w:rsid w:val="007750D9"/>
    <w:rsid w:val="00775413"/>
    <w:rsid w:val="00775466"/>
    <w:rsid w:val="00775485"/>
    <w:rsid w:val="00775797"/>
    <w:rsid w:val="00775F98"/>
    <w:rsid w:val="00776136"/>
    <w:rsid w:val="007761FE"/>
    <w:rsid w:val="00776822"/>
    <w:rsid w:val="00776AE0"/>
    <w:rsid w:val="00776AFB"/>
    <w:rsid w:val="00776D5B"/>
    <w:rsid w:val="0077747B"/>
    <w:rsid w:val="007777B0"/>
    <w:rsid w:val="00777951"/>
    <w:rsid w:val="00777BD9"/>
    <w:rsid w:val="007800A4"/>
    <w:rsid w:val="007800F6"/>
    <w:rsid w:val="00780195"/>
    <w:rsid w:val="007801CF"/>
    <w:rsid w:val="007805FB"/>
    <w:rsid w:val="007806F0"/>
    <w:rsid w:val="00780AD2"/>
    <w:rsid w:val="0078100A"/>
    <w:rsid w:val="007812C7"/>
    <w:rsid w:val="00781678"/>
    <w:rsid w:val="00781E38"/>
    <w:rsid w:val="00782829"/>
    <w:rsid w:val="00783532"/>
    <w:rsid w:val="00783691"/>
    <w:rsid w:val="00783B2A"/>
    <w:rsid w:val="00783E70"/>
    <w:rsid w:val="00783F16"/>
    <w:rsid w:val="00783F91"/>
    <w:rsid w:val="00784169"/>
    <w:rsid w:val="00784274"/>
    <w:rsid w:val="007843FB"/>
    <w:rsid w:val="007845FB"/>
    <w:rsid w:val="007846B5"/>
    <w:rsid w:val="00784C98"/>
    <w:rsid w:val="00784CC1"/>
    <w:rsid w:val="00784DE6"/>
    <w:rsid w:val="007850BA"/>
    <w:rsid w:val="007852F9"/>
    <w:rsid w:val="00785549"/>
    <w:rsid w:val="007856F3"/>
    <w:rsid w:val="00785D5E"/>
    <w:rsid w:val="00786571"/>
    <w:rsid w:val="00786C52"/>
    <w:rsid w:val="00787008"/>
    <w:rsid w:val="007879ED"/>
    <w:rsid w:val="00787EA3"/>
    <w:rsid w:val="0079021E"/>
    <w:rsid w:val="007903D6"/>
    <w:rsid w:val="00790606"/>
    <w:rsid w:val="00790845"/>
    <w:rsid w:val="00790AAE"/>
    <w:rsid w:val="007912CB"/>
    <w:rsid w:val="00791FF8"/>
    <w:rsid w:val="00792249"/>
    <w:rsid w:val="00792590"/>
    <w:rsid w:val="007925E1"/>
    <w:rsid w:val="0079284E"/>
    <w:rsid w:val="00793043"/>
    <w:rsid w:val="007932C8"/>
    <w:rsid w:val="0079358F"/>
    <w:rsid w:val="0079360D"/>
    <w:rsid w:val="0079375C"/>
    <w:rsid w:val="00793EC1"/>
    <w:rsid w:val="00793F34"/>
    <w:rsid w:val="007947ED"/>
    <w:rsid w:val="00794932"/>
    <w:rsid w:val="00795829"/>
    <w:rsid w:val="0079588F"/>
    <w:rsid w:val="007958B6"/>
    <w:rsid w:val="00795C2C"/>
    <w:rsid w:val="00795D44"/>
    <w:rsid w:val="00795EDF"/>
    <w:rsid w:val="00796068"/>
    <w:rsid w:val="007963D4"/>
    <w:rsid w:val="00796447"/>
    <w:rsid w:val="0079648C"/>
    <w:rsid w:val="00796685"/>
    <w:rsid w:val="00796724"/>
    <w:rsid w:val="00796981"/>
    <w:rsid w:val="0079750E"/>
    <w:rsid w:val="0079797D"/>
    <w:rsid w:val="00797B50"/>
    <w:rsid w:val="00797E01"/>
    <w:rsid w:val="007A027C"/>
    <w:rsid w:val="007A0330"/>
    <w:rsid w:val="007A0512"/>
    <w:rsid w:val="007A0AC6"/>
    <w:rsid w:val="007A0F39"/>
    <w:rsid w:val="007A1F6E"/>
    <w:rsid w:val="007A2321"/>
    <w:rsid w:val="007A26A6"/>
    <w:rsid w:val="007A2732"/>
    <w:rsid w:val="007A2DE0"/>
    <w:rsid w:val="007A3113"/>
    <w:rsid w:val="007A3794"/>
    <w:rsid w:val="007A37DF"/>
    <w:rsid w:val="007A389B"/>
    <w:rsid w:val="007A3BF4"/>
    <w:rsid w:val="007A48C4"/>
    <w:rsid w:val="007A4E55"/>
    <w:rsid w:val="007A5C1B"/>
    <w:rsid w:val="007A5D95"/>
    <w:rsid w:val="007A6074"/>
    <w:rsid w:val="007A634A"/>
    <w:rsid w:val="007A6547"/>
    <w:rsid w:val="007A6768"/>
    <w:rsid w:val="007A6D7F"/>
    <w:rsid w:val="007A73BB"/>
    <w:rsid w:val="007A7721"/>
    <w:rsid w:val="007A7734"/>
    <w:rsid w:val="007A7945"/>
    <w:rsid w:val="007B06EA"/>
    <w:rsid w:val="007B0C6C"/>
    <w:rsid w:val="007B0ED8"/>
    <w:rsid w:val="007B159D"/>
    <w:rsid w:val="007B1C61"/>
    <w:rsid w:val="007B1D6A"/>
    <w:rsid w:val="007B1E61"/>
    <w:rsid w:val="007B2181"/>
    <w:rsid w:val="007B2620"/>
    <w:rsid w:val="007B2AA0"/>
    <w:rsid w:val="007B2C3A"/>
    <w:rsid w:val="007B2EDC"/>
    <w:rsid w:val="007B3A8C"/>
    <w:rsid w:val="007B40F0"/>
    <w:rsid w:val="007B4C71"/>
    <w:rsid w:val="007B55D0"/>
    <w:rsid w:val="007B5644"/>
    <w:rsid w:val="007B5BFF"/>
    <w:rsid w:val="007B62C1"/>
    <w:rsid w:val="007B62CC"/>
    <w:rsid w:val="007B63C1"/>
    <w:rsid w:val="007B645B"/>
    <w:rsid w:val="007B6ECC"/>
    <w:rsid w:val="007B6FFE"/>
    <w:rsid w:val="007B7367"/>
    <w:rsid w:val="007B775E"/>
    <w:rsid w:val="007B7765"/>
    <w:rsid w:val="007B79A2"/>
    <w:rsid w:val="007C04A7"/>
    <w:rsid w:val="007C0B88"/>
    <w:rsid w:val="007C103A"/>
    <w:rsid w:val="007C11A6"/>
    <w:rsid w:val="007C18E7"/>
    <w:rsid w:val="007C1A9F"/>
    <w:rsid w:val="007C1B53"/>
    <w:rsid w:val="007C1BFB"/>
    <w:rsid w:val="007C1CB4"/>
    <w:rsid w:val="007C1CE3"/>
    <w:rsid w:val="007C1EAB"/>
    <w:rsid w:val="007C2424"/>
    <w:rsid w:val="007C283C"/>
    <w:rsid w:val="007C2DAC"/>
    <w:rsid w:val="007C2FC2"/>
    <w:rsid w:val="007C3054"/>
    <w:rsid w:val="007C351D"/>
    <w:rsid w:val="007C3595"/>
    <w:rsid w:val="007C4377"/>
    <w:rsid w:val="007C4803"/>
    <w:rsid w:val="007C48E9"/>
    <w:rsid w:val="007C4A87"/>
    <w:rsid w:val="007C509C"/>
    <w:rsid w:val="007C50BF"/>
    <w:rsid w:val="007C5265"/>
    <w:rsid w:val="007C55BB"/>
    <w:rsid w:val="007C564A"/>
    <w:rsid w:val="007C58DF"/>
    <w:rsid w:val="007C5AD4"/>
    <w:rsid w:val="007C5F3A"/>
    <w:rsid w:val="007C618A"/>
    <w:rsid w:val="007C63B2"/>
    <w:rsid w:val="007C63FB"/>
    <w:rsid w:val="007C6433"/>
    <w:rsid w:val="007C6578"/>
    <w:rsid w:val="007C6C93"/>
    <w:rsid w:val="007C6E61"/>
    <w:rsid w:val="007C7191"/>
    <w:rsid w:val="007C7227"/>
    <w:rsid w:val="007C72F6"/>
    <w:rsid w:val="007C75BA"/>
    <w:rsid w:val="007C7771"/>
    <w:rsid w:val="007D0308"/>
    <w:rsid w:val="007D0431"/>
    <w:rsid w:val="007D0A0C"/>
    <w:rsid w:val="007D0F95"/>
    <w:rsid w:val="007D112B"/>
    <w:rsid w:val="007D1507"/>
    <w:rsid w:val="007D15B9"/>
    <w:rsid w:val="007D17FB"/>
    <w:rsid w:val="007D18B3"/>
    <w:rsid w:val="007D19B0"/>
    <w:rsid w:val="007D1B05"/>
    <w:rsid w:val="007D1BD6"/>
    <w:rsid w:val="007D1DCB"/>
    <w:rsid w:val="007D2143"/>
    <w:rsid w:val="007D25E6"/>
    <w:rsid w:val="007D26D0"/>
    <w:rsid w:val="007D2DBD"/>
    <w:rsid w:val="007D2E9C"/>
    <w:rsid w:val="007D2F00"/>
    <w:rsid w:val="007D36CF"/>
    <w:rsid w:val="007D3B49"/>
    <w:rsid w:val="007D3CA6"/>
    <w:rsid w:val="007D417E"/>
    <w:rsid w:val="007D49B6"/>
    <w:rsid w:val="007D49B7"/>
    <w:rsid w:val="007D52CD"/>
    <w:rsid w:val="007D5755"/>
    <w:rsid w:val="007D58F6"/>
    <w:rsid w:val="007D59BF"/>
    <w:rsid w:val="007D60FB"/>
    <w:rsid w:val="007D6269"/>
    <w:rsid w:val="007D63EF"/>
    <w:rsid w:val="007D655B"/>
    <w:rsid w:val="007D6CAF"/>
    <w:rsid w:val="007D73DF"/>
    <w:rsid w:val="007D7697"/>
    <w:rsid w:val="007D7815"/>
    <w:rsid w:val="007D79AD"/>
    <w:rsid w:val="007D7AC5"/>
    <w:rsid w:val="007D7F97"/>
    <w:rsid w:val="007E063C"/>
    <w:rsid w:val="007E0AF9"/>
    <w:rsid w:val="007E13E4"/>
    <w:rsid w:val="007E14E4"/>
    <w:rsid w:val="007E17F2"/>
    <w:rsid w:val="007E18F9"/>
    <w:rsid w:val="007E1EB2"/>
    <w:rsid w:val="007E2FE3"/>
    <w:rsid w:val="007E36B6"/>
    <w:rsid w:val="007E36BC"/>
    <w:rsid w:val="007E3A37"/>
    <w:rsid w:val="007E3F24"/>
    <w:rsid w:val="007E4008"/>
    <w:rsid w:val="007E467F"/>
    <w:rsid w:val="007E4853"/>
    <w:rsid w:val="007E48AF"/>
    <w:rsid w:val="007E4C9C"/>
    <w:rsid w:val="007E54B8"/>
    <w:rsid w:val="007E54C3"/>
    <w:rsid w:val="007E57FF"/>
    <w:rsid w:val="007E5979"/>
    <w:rsid w:val="007E5AB6"/>
    <w:rsid w:val="007E5B88"/>
    <w:rsid w:val="007E5E35"/>
    <w:rsid w:val="007E5EC8"/>
    <w:rsid w:val="007E611F"/>
    <w:rsid w:val="007E6746"/>
    <w:rsid w:val="007E67BA"/>
    <w:rsid w:val="007E69F7"/>
    <w:rsid w:val="007E6E5A"/>
    <w:rsid w:val="007E70AD"/>
    <w:rsid w:val="007E70B4"/>
    <w:rsid w:val="007E735F"/>
    <w:rsid w:val="007E75B7"/>
    <w:rsid w:val="007E7A53"/>
    <w:rsid w:val="007E7A83"/>
    <w:rsid w:val="007F02C8"/>
    <w:rsid w:val="007F042D"/>
    <w:rsid w:val="007F0D0B"/>
    <w:rsid w:val="007F0E52"/>
    <w:rsid w:val="007F0EDA"/>
    <w:rsid w:val="007F1375"/>
    <w:rsid w:val="007F1591"/>
    <w:rsid w:val="007F1824"/>
    <w:rsid w:val="007F1945"/>
    <w:rsid w:val="007F1B29"/>
    <w:rsid w:val="007F2032"/>
    <w:rsid w:val="007F209B"/>
    <w:rsid w:val="007F26C6"/>
    <w:rsid w:val="007F2736"/>
    <w:rsid w:val="007F2F19"/>
    <w:rsid w:val="007F2FF8"/>
    <w:rsid w:val="007F3338"/>
    <w:rsid w:val="007F35E9"/>
    <w:rsid w:val="007F390B"/>
    <w:rsid w:val="007F3B77"/>
    <w:rsid w:val="007F3C31"/>
    <w:rsid w:val="007F4262"/>
    <w:rsid w:val="007F43D9"/>
    <w:rsid w:val="007F4773"/>
    <w:rsid w:val="007F4815"/>
    <w:rsid w:val="007F4BFE"/>
    <w:rsid w:val="007F4F9D"/>
    <w:rsid w:val="007F5860"/>
    <w:rsid w:val="007F5909"/>
    <w:rsid w:val="007F5B2A"/>
    <w:rsid w:val="007F5E1A"/>
    <w:rsid w:val="007F6053"/>
    <w:rsid w:val="007F6708"/>
    <w:rsid w:val="007F6939"/>
    <w:rsid w:val="007F69F7"/>
    <w:rsid w:val="007F6ACF"/>
    <w:rsid w:val="007F700E"/>
    <w:rsid w:val="007F7117"/>
    <w:rsid w:val="007F7465"/>
    <w:rsid w:val="007F763D"/>
    <w:rsid w:val="008001A3"/>
    <w:rsid w:val="008007A8"/>
    <w:rsid w:val="008008C6"/>
    <w:rsid w:val="008008D9"/>
    <w:rsid w:val="00800BD8"/>
    <w:rsid w:val="00801321"/>
    <w:rsid w:val="00801BA8"/>
    <w:rsid w:val="00802170"/>
    <w:rsid w:val="0080282A"/>
    <w:rsid w:val="0080405A"/>
    <w:rsid w:val="0080412A"/>
    <w:rsid w:val="008042D9"/>
    <w:rsid w:val="008043AD"/>
    <w:rsid w:val="00805319"/>
    <w:rsid w:val="00805B9C"/>
    <w:rsid w:val="00805E52"/>
    <w:rsid w:val="00806FC4"/>
    <w:rsid w:val="00807433"/>
    <w:rsid w:val="008100E6"/>
    <w:rsid w:val="00810664"/>
    <w:rsid w:val="00810925"/>
    <w:rsid w:val="00810FFD"/>
    <w:rsid w:val="00811DB6"/>
    <w:rsid w:val="00812026"/>
    <w:rsid w:val="00812530"/>
    <w:rsid w:val="00812B59"/>
    <w:rsid w:val="0081331C"/>
    <w:rsid w:val="00813819"/>
    <w:rsid w:val="00813B8B"/>
    <w:rsid w:val="00814F31"/>
    <w:rsid w:val="00814FC0"/>
    <w:rsid w:val="00815508"/>
    <w:rsid w:val="008157AB"/>
    <w:rsid w:val="00815A7B"/>
    <w:rsid w:val="00815B63"/>
    <w:rsid w:val="008163A0"/>
    <w:rsid w:val="00816E1E"/>
    <w:rsid w:val="00816E49"/>
    <w:rsid w:val="008173B8"/>
    <w:rsid w:val="00817648"/>
    <w:rsid w:val="00817B3B"/>
    <w:rsid w:val="00817C73"/>
    <w:rsid w:val="00820235"/>
    <w:rsid w:val="0082050C"/>
    <w:rsid w:val="00820C72"/>
    <w:rsid w:val="00820D6C"/>
    <w:rsid w:val="0082157D"/>
    <w:rsid w:val="00821623"/>
    <w:rsid w:val="00821802"/>
    <w:rsid w:val="00821956"/>
    <w:rsid w:val="008219CE"/>
    <w:rsid w:val="00822F49"/>
    <w:rsid w:val="00823005"/>
    <w:rsid w:val="008233D6"/>
    <w:rsid w:val="0082380A"/>
    <w:rsid w:val="00823887"/>
    <w:rsid w:val="00823A0C"/>
    <w:rsid w:val="00823CD9"/>
    <w:rsid w:val="008244FB"/>
    <w:rsid w:val="00824B0F"/>
    <w:rsid w:val="00824DFE"/>
    <w:rsid w:val="008254B4"/>
    <w:rsid w:val="00825A3D"/>
    <w:rsid w:val="00825BB8"/>
    <w:rsid w:val="00826907"/>
    <w:rsid w:val="00827C46"/>
    <w:rsid w:val="008305EC"/>
    <w:rsid w:val="008307C1"/>
    <w:rsid w:val="00830C74"/>
    <w:rsid w:val="00830CFB"/>
    <w:rsid w:val="00831206"/>
    <w:rsid w:val="00831291"/>
    <w:rsid w:val="00831308"/>
    <w:rsid w:val="00831C1D"/>
    <w:rsid w:val="00831E1F"/>
    <w:rsid w:val="00831E5F"/>
    <w:rsid w:val="008321D1"/>
    <w:rsid w:val="00832262"/>
    <w:rsid w:val="00832577"/>
    <w:rsid w:val="008329CD"/>
    <w:rsid w:val="008330B1"/>
    <w:rsid w:val="0083357A"/>
    <w:rsid w:val="0083360D"/>
    <w:rsid w:val="0083369A"/>
    <w:rsid w:val="00833BE9"/>
    <w:rsid w:val="008342DA"/>
    <w:rsid w:val="008343D0"/>
    <w:rsid w:val="008347C5"/>
    <w:rsid w:val="00835187"/>
    <w:rsid w:val="008352AC"/>
    <w:rsid w:val="008353E1"/>
    <w:rsid w:val="00835563"/>
    <w:rsid w:val="00835933"/>
    <w:rsid w:val="008359EE"/>
    <w:rsid w:val="00835E04"/>
    <w:rsid w:val="008360E1"/>
    <w:rsid w:val="00836259"/>
    <w:rsid w:val="008362D5"/>
    <w:rsid w:val="00836351"/>
    <w:rsid w:val="00836948"/>
    <w:rsid w:val="00837FA0"/>
    <w:rsid w:val="0084032F"/>
    <w:rsid w:val="0084067F"/>
    <w:rsid w:val="0084072C"/>
    <w:rsid w:val="00841729"/>
    <w:rsid w:val="008418AF"/>
    <w:rsid w:val="00842791"/>
    <w:rsid w:val="00843302"/>
    <w:rsid w:val="008438CB"/>
    <w:rsid w:val="00843AE9"/>
    <w:rsid w:val="00843B15"/>
    <w:rsid w:val="00844530"/>
    <w:rsid w:val="00844657"/>
    <w:rsid w:val="008449B9"/>
    <w:rsid w:val="008450DC"/>
    <w:rsid w:val="00845265"/>
    <w:rsid w:val="00845608"/>
    <w:rsid w:val="00845F97"/>
    <w:rsid w:val="00846D8D"/>
    <w:rsid w:val="00846ECE"/>
    <w:rsid w:val="0084715C"/>
    <w:rsid w:val="00847191"/>
    <w:rsid w:val="0084735D"/>
    <w:rsid w:val="00847794"/>
    <w:rsid w:val="00847959"/>
    <w:rsid w:val="00847A70"/>
    <w:rsid w:val="00847DD0"/>
    <w:rsid w:val="0085066B"/>
    <w:rsid w:val="00850901"/>
    <w:rsid w:val="00850B49"/>
    <w:rsid w:val="00850ED2"/>
    <w:rsid w:val="00851397"/>
    <w:rsid w:val="008513FC"/>
    <w:rsid w:val="0085192F"/>
    <w:rsid w:val="00851E03"/>
    <w:rsid w:val="00852001"/>
    <w:rsid w:val="00852770"/>
    <w:rsid w:val="008537BC"/>
    <w:rsid w:val="008537EF"/>
    <w:rsid w:val="00853C4E"/>
    <w:rsid w:val="00853E22"/>
    <w:rsid w:val="00854F13"/>
    <w:rsid w:val="008552C0"/>
    <w:rsid w:val="00856054"/>
    <w:rsid w:val="0085694B"/>
    <w:rsid w:val="008569D0"/>
    <w:rsid w:val="00856AFC"/>
    <w:rsid w:val="00857334"/>
    <w:rsid w:val="00857554"/>
    <w:rsid w:val="00857727"/>
    <w:rsid w:val="008577A2"/>
    <w:rsid w:val="00857DCD"/>
    <w:rsid w:val="008604F3"/>
    <w:rsid w:val="0086053C"/>
    <w:rsid w:val="0086066A"/>
    <w:rsid w:val="008606A4"/>
    <w:rsid w:val="00860CA2"/>
    <w:rsid w:val="008613C2"/>
    <w:rsid w:val="008615D8"/>
    <w:rsid w:val="008616DC"/>
    <w:rsid w:val="00861956"/>
    <w:rsid w:val="00861B18"/>
    <w:rsid w:val="00862493"/>
    <w:rsid w:val="0086254F"/>
    <w:rsid w:val="00862A21"/>
    <w:rsid w:val="00863451"/>
    <w:rsid w:val="00863854"/>
    <w:rsid w:val="00863E32"/>
    <w:rsid w:val="0086435A"/>
    <w:rsid w:val="008644ED"/>
    <w:rsid w:val="00864772"/>
    <w:rsid w:val="00864988"/>
    <w:rsid w:val="00864AEB"/>
    <w:rsid w:val="00864FBA"/>
    <w:rsid w:val="0086518A"/>
    <w:rsid w:val="0086651F"/>
    <w:rsid w:val="00866AC7"/>
    <w:rsid w:val="008674A2"/>
    <w:rsid w:val="00867839"/>
    <w:rsid w:val="008679D7"/>
    <w:rsid w:val="00867EC4"/>
    <w:rsid w:val="008701FC"/>
    <w:rsid w:val="00870403"/>
    <w:rsid w:val="00870DEE"/>
    <w:rsid w:val="00870F2F"/>
    <w:rsid w:val="008712B3"/>
    <w:rsid w:val="0087175D"/>
    <w:rsid w:val="00871983"/>
    <w:rsid w:val="00871B4D"/>
    <w:rsid w:val="008720FA"/>
    <w:rsid w:val="00872152"/>
    <w:rsid w:val="00872193"/>
    <w:rsid w:val="0087235B"/>
    <w:rsid w:val="008724DE"/>
    <w:rsid w:val="00872A42"/>
    <w:rsid w:val="008736A5"/>
    <w:rsid w:val="008739F7"/>
    <w:rsid w:val="00873ECB"/>
    <w:rsid w:val="00874BE5"/>
    <w:rsid w:val="00874D07"/>
    <w:rsid w:val="00874E27"/>
    <w:rsid w:val="00875722"/>
    <w:rsid w:val="00875804"/>
    <w:rsid w:val="008758D9"/>
    <w:rsid w:val="0087620A"/>
    <w:rsid w:val="0087639E"/>
    <w:rsid w:val="0087693E"/>
    <w:rsid w:val="00876B8C"/>
    <w:rsid w:val="008774C4"/>
    <w:rsid w:val="00877603"/>
    <w:rsid w:val="00877B8E"/>
    <w:rsid w:val="008800E0"/>
    <w:rsid w:val="008808E8"/>
    <w:rsid w:val="00880E48"/>
    <w:rsid w:val="0088120F"/>
    <w:rsid w:val="008813E3"/>
    <w:rsid w:val="0088159D"/>
    <w:rsid w:val="00881B95"/>
    <w:rsid w:val="00881F88"/>
    <w:rsid w:val="008820BD"/>
    <w:rsid w:val="0088211D"/>
    <w:rsid w:val="00882123"/>
    <w:rsid w:val="008829F7"/>
    <w:rsid w:val="00882B0A"/>
    <w:rsid w:val="00882C98"/>
    <w:rsid w:val="0088395B"/>
    <w:rsid w:val="00884540"/>
    <w:rsid w:val="008859F4"/>
    <w:rsid w:val="008860A7"/>
    <w:rsid w:val="00886400"/>
    <w:rsid w:val="00886B98"/>
    <w:rsid w:val="00886D1A"/>
    <w:rsid w:val="008876AE"/>
    <w:rsid w:val="00887DC1"/>
    <w:rsid w:val="0089049F"/>
    <w:rsid w:val="00890EF6"/>
    <w:rsid w:val="00891175"/>
    <w:rsid w:val="00891733"/>
    <w:rsid w:val="00891B1A"/>
    <w:rsid w:val="00891E17"/>
    <w:rsid w:val="00892204"/>
    <w:rsid w:val="0089240B"/>
    <w:rsid w:val="008924EE"/>
    <w:rsid w:val="0089258D"/>
    <w:rsid w:val="008925B3"/>
    <w:rsid w:val="008926DA"/>
    <w:rsid w:val="00892BE2"/>
    <w:rsid w:val="00892D35"/>
    <w:rsid w:val="00892D4D"/>
    <w:rsid w:val="00892DEB"/>
    <w:rsid w:val="00892FC0"/>
    <w:rsid w:val="00893799"/>
    <w:rsid w:val="00893860"/>
    <w:rsid w:val="00894E05"/>
    <w:rsid w:val="00894E16"/>
    <w:rsid w:val="00895389"/>
    <w:rsid w:val="00895C1F"/>
    <w:rsid w:val="00895E2F"/>
    <w:rsid w:val="00895E9A"/>
    <w:rsid w:val="008960D5"/>
    <w:rsid w:val="0089691A"/>
    <w:rsid w:val="00896FD5"/>
    <w:rsid w:val="0089702C"/>
    <w:rsid w:val="00897248"/>
    <w:rsid w:val="008A0097"/>
    <w:rsid w:val="008A03F1"/>
    <w:rsid w:val="008A0558"/>
    <w:rsid w:val="008A0E32"/>
    <w:rsid w:val="008A1027"/>
    <w:rsid w:val="008A2193"/>
    <w:rsid w:val="008A2657"/>
    <w:rsid w:val="008A2BA2"/>
    <w:rsid w:val="008A2BE1"/>
    <w:rsid w:val="008A35FB"/>
    <w:rsid w:val="008A360E"/>
    <w:rsid w:val="008A3A08"/>
    <w:rsid w:val="008A3D57"/>
    <w:rsid w:val="008A44B8"/>
    <w:rsid w:val="008A4576"/>
    <w:rsid w:val="008A4655"/>
    <w:rsid w:val="008A46FB"/>
    <w:rsid w:val="008A482F"/>
    <w:rsid w:val="008A4D4C"/>
    <w:rsid w:val="008A526D"/>
    <w:rsid w:val="008A57E8"/>
    <w:rsid w:val="008A58E7"/>
    <w:rsid w:val="008A60EF"/>
    <w:rsid w:val="008A67E6"/>
    <w:rsid w:val="008A6B22"/>
    <w:rsid w:val="008A721C"/>
    <w:rsid w:val="008A7235"/>
    <w:rsid w:val="008A7E0B"/>
    <w:rsid w:val="008B023C"/>
    <w:rsid w:val="008B04B1"/>
    <w:rsid w:val="008B05F3"/>
    <w:rsid w:val="008B10AF"/>
    <w:rsid w:val="008B1A58"/>
    <w:rsid w:val="008B1BF3"/>
    <w:rsid w:val="008B225B"/>
    <w:rsid w:val="008B23BC"/>
    <w:rsid w:val="008B2658"/>
    <w:rsid w:val="008B3496"/>
    <w:rsid w:val="008B35C3"/>
    <w:rsid w:val="008B3899"/>
    <w:rsid w:val="008B3F12"/>
    <w:rsid w:val="008B415F"/>
    <w:rsid w:val="008B4453"/>
    <w:rsid w:val="008B495F"/>
    <w:rsid w:val="008B4A8B"/>
    <w:rsid w:val="008B4B60"/>
    <w:rsid w:val="008B4E9A"/>
    <w:rsid w:val="008B51EF"/>
    <w:rsid w:val="008B54AE"/>
    <w:rsid w:val="008B57DE"/>
    <w:rsid w:val="008B5923"/>
    <w:rsid w:val="008B5E7A"/>
    <w:rsid w:val="008B5F19"/>
    <w:rsid w:val="008B6A1D"/>
    <w:rsid w:val="008B6B2B"/>
    <w:rsid w:val="008B6D2C"/>
    <w:rsid w:val="008B6D48"/>
    <w:rsid w:val="008B6E35"/>
    <w:rsid w:val="008B6E63"/>
    <w:rsid w:val="008B70B1"/>
    <w:rsid w:val="008B7186"/>
    <w:rsid w:val="008B72CD"/>
    <w:rsid w:val="008B7339"/>
    <w:rsid w:val="008B77CE"/>
    <w:rsid w:val="008B7837"/>
    <w:rsid w:val="008C08D2"/>
    <w:rsid w:val="008C0968"/>
    <w:rsid w:val="008C0D05"/>
    <w:rsid w:val="008C148D"/>
    <w:rsid w:val="008C1834"/>
    <w:rsid w:val="008C19FC"/>
    <w:rsid w:val="008C1AFD"/>
    <w:rsid w:val="008C1EB1"/>
    <w:rsid w:val="008C1ED1"/>
    <w:rsid w:val="008C2E4D"/>
    <w:rsid w:val="008C3611"/>
    <w:rsid w:val="008C371B"/>
    <w:rsid w:val="008C3850"/>
    <w:rsid w:val="008C3B4A"/>
    <w:rsid w:val="008C4039"/>
    <w:rsid w:val="008C428C"/>
    <w:rsid w:val="008C48CD"/>
    <w:rsid w:val="008C5163"/>
    <w:rsid w:val="008C59C8"/>
    <w:rsid w:val="008C5B2F"/>
    <w:rsid w:val="008C61B7"/>
    <w:rsid w:val="008C62A8"/>
    <w:rsid w:val="008C63DC"/>
    <w:rsid w:val="008C671F"/>
    <w:rsid w:val="008C6A88"/>
    <w:rsid w:val="008C6B96"/>
    <w:rsid w:val="008C71E0"/>
    <w:rsid w:val="008C7780"/>
    <w:rsid w:val="008C7F22"/>
    <w:rsid w:val="008D0DF1"/>
    <w:rsid w:val="008D0E9C"/>
    <w:rsid w:val="008D20D6"/>
    <w:rsid w:val="008D30CC"/>
    <w:rsid w:val="008D40C3"/>
    <w:rsid w:val="008D4428"/>
    <w:rsid w:val="008D48CB"/>
    <w:rsid w:val="008D4C54"/>
    <w:rsid w:val="008D55C0"/>
    <w:rsid w:val="008D5DE4"/>
    <w:rsid w:val="008D60F3"/>
    <w:rsid w:val="008D67BA"/>
    <w:rsid w:val="008D6B15"/>
    <w:rsid w:val="008D6CE2"/>
    <w:rsid w:val="008D6FCC"/>
    <w:rsid w:val="008D70A1"/>
    <w:rsid w:val="008D74D0"/>
    <w:rsid w:val="008D754C"/>
    <w:rsid w:val="008D778B"/>
    <w:rsid w:val="008D7EDB"/>
    <w:rsid w:val="008E065E"/>
    <w:rsid w:val="008E08C6"/>
    <w:rsid w:val="008E0AC7"/>
    <w:rsid w:val="008E0FBE"/>
    <w:rsid w:val="008E1435"/>
    <w:rsid w:val="008E1CED"/>
    <w:rsid w:val="008E1DC8"/>
    <w:rsid w:val="008E262C"/>
    <w:rsid w:val="008E2852"/>
    <w:rsid w:val="008E2867"/>
    <w:rsid w:val="008E3206"/>
    <w:rsid w:val="008E3231"/>
    <w:rsid w:val="008E328C"/>
    <w:rsid w:val="008E3BA0"/>
    <w:rsid w:val="008E3C55"/>
    <w:rsid w:val="008E3D60"/>
    <w:rsid w:val="008E3F4C"/>
    <w:rsid w:val="008E3F9A"/>
    <w:rsid w:val="008E428A"/>
    <w:rsid w:val="008E4A21"/>
    <w:rsid w:val="008E4B94"/>
    <w:rsid w:val="008E4B9E"/>
    <w:rsid w:val="008E522E"/>
    <w:rsid w:val="008E570C"/>
    <w:rsid w:val="008E5836"/>
    <w:rsid w:val="008E59D4"/>
    <w:rsid w:val="008E5ED1"/>
    <w:rsid w:val="008E5F3B"/>
    <w:rsid w:val="008E611C"/>
    <w:rsid w:val="008E6D08"/>
    <w:rsid w:val="008E76EA"/>
    <w:rsid w:val="008E7CE9"/>
    <w:rsid w:val="008F016B"/>
    <w:rsid w:val="008F03DE"/>
    <w:rsid w:val="008F062E"/>
    <w:rsid w:val="008F0EED"/>
    <w:rsid w:val="008F1651"/>
    <w:rsid w:val="008F1769"/>
    <w:rsid w:val="008F1CE5"/>
    <w:rsid w:val="008F2150"/>
    <w:rsid w:val="008F2467"/>
    <w:rsid w:val="008F286B"/>
    <w:rsid w:val="008F2987"/>
    <w:rsid w:val="008F299A"/>
    <w:rsid w:val="008F3774"/>
    <w:rsid w:val="008F38CE"/>
    <w:rsid w:val="008F3A4A"/>
    <w:rsid w:val="008F3C73"/>
    <w:rsid w:val="008F4089"/>
    <w:rsid w:val="008F4154"/>
    <w:rsid w:val="008F41D5"/>
    <w:rsid w:val="008F4392"/>
    <w:rsid w:val="008F43E1"/>
    <w:rsid w:val="008F47A1"/>
    <w:rsid w:val="008F4A6C"/>
    <w:rsid w:val="008F4FA2"/>
    <w:rsid w:val="008F5107"/>
    <w:rsid w:val="008F56B2"/>
    <w:rsid w:val="008F6115"/>
    <w:rsid w:val="008F65E4"/>
    <w:rsid w:val="008F6D47"/>
    <w:rsid w:val="008F6FE7"/>
    <w:rsid w:val="008F7831"/>
    <w:rsid w:val="008F7849"/>
    <w:rsid w:val="008F7972"/>
    <w:rsid w:val="008F79DF"/>
    <w:rsid w:val="00900103"/>
    <w:rsid w:val="009002CF"/>
    <w:rsid w:val="00900B64"/>
    <w:rsid w:val="0090127F"/>
    <w:rsid w:val="00901589"/>
    <w:rsid w:val="0090165F"/>
    <w:rsid w:val="00901B82"/>
    <w:rsid w:val="00901ED4"/>
    <w:rsid w:val="00901FD6"/>
    <w:rsid w:val="00902377"/>
    <w:rsid w:val="009029E6"/>
    <w:rsid w:val="00902FBB"/>
    <w:rsid w:val="009032AE"/>
    <w:rsid w:val="00903383"/>
    <w:rsid w:val="0090352F"/>
    <w:rsid w:val="00903814"/>
    <w:rsid w:val="009038B2"/>
    <w:rsid w:val="0090438F"/>
    <w:rsid w:val="009044E8"/>
    <w:rsid w:val="00904ADD"/>
    <w:rsid w:val="00905038"/>
    <w:rsid w:val="00905AD8"/>
    <w:rsid w:val="00905C89"/>
    <w:rsid w:val="00905F61"/>
    <w:rsid w:val="009061EB"/>
    <w:rsid w:val="00906FB8"/>
    <w:rsid w:val="0090714A"/>
    <w:rsid w:val="009074AB"/>
    <w:rsid w:val="009100D5"/>
    <w:rsid w:val="009100DC"/>
    <w:rsid w:val="009106A9"/>
    <w:rsid w:val="00910E23"/>
    <w:rsid w:val="009113FB"/>
    <w:rsid w:val="00911482"/>
    <w:rsid w:val="00911DD2"/>
    <w:rsid w:val="00912B09"/>
    <w:rsid w:val="00912B55"/>
    <w:rsid w:val="00913A41"/>
    <w:rsid w:val="00913B24"/>
    <w:rsid w:val="00913C62"/>
    <w:rsid w:val="00913E9E"/>
    <w:rsid w:val="00913FA7"/>
    <w:rsid w:val="00914556"/>
    <w:rsid w:val="009148E6"/>
    <w:rsid w:val="00914B1F"/>
    <w:rsid w:val="00914D0A"/>
    <w:rsid w:val="00914D89"/>
    <w:rsid w:val="009150B9"/>
    <w:rsid w:val="009152A8"/>
    <w:rsid w:val="00915500"/>
    <w:rsid w:val="00915D8F"/>
    <w:rsid w:val="009163AC"/>
    <w:rsid w:val="00916653"/>
    <w:rsid w:val="009167DE"/>
    <w:rsid w:val="0091698A"/>
    <w:rsid w:val="00916C96"/>
    <w:rsid w:val="00917464"/>
    <w:rsid w:val="009174C4"/>
    <w:rsid w:val="00917B66"/>
    <w:rsid w:val="00917B89"/>
    <w:rsid w:val="00917E1D"/>
    <w:rsid w:val="009201EE"/>
    <w:rsid w:val="00920495"/>
    <w:rsid w:val="00920696"/>
    <w:rsid w:val="0092077F"/>
    <w:rsid w:val="0092080C"/>
    <w:rsid w:val="00920E4F"/>
    <w:rsid w:val="00920E91"/>
    <w:rsid w:val="0092114D"/>
    <w:rsid w:val="00921290"/>
    <w:rsid w:val="009216B0"/>
    <w:rsid w:val="00921AB9"/>
    <w:rsid w:val="00921AD7"/>
    <w:rsid w:val="00921D1F"/>
    <w:rsid w:val="00922012"/>
    <w:rsid w:val="009221B2"/>
    <w:rsid w:val="0092261E"/>
    <w:rsid w:val="00922AB6"/>
    <w:rsid w:val="00922ADB"/>
    <w:rsid w:val="00922FC6"/>
    <w:rsid w:val="0092342E"/>
    <w:rsid w:val="009236A9"/>
    <w:rsid w:val="009237FE"/>
    <w:rsid w:val="00923A77"/>
    <w:rsid w:val="00923B04"/>
    <w:rsid w:val="00923B72"/>
    <w:rsid w:val="009241AA"/>
    <w:rsid w:val="00924206"/>
    <w:rsid w:val="00924460"/>
    <w:rsid w:val="00924709"/>
    <w:rsid w:val="00925091"/>
    <w:rsid w:val="009258F3"/>
    <w:rsid w:val="00925A02"/>
    <w:rsid w:val="0092601F"/>
    <w:rsid w:val="009261B9"/>
    <w:rsid w:val="0092697D"/>
    <w:rsid w:val="00926E09"/>
    <w:rsid w:val="00926E28"/>
    <w:rsid w:val="00927093"/>
    <w:rsid w:val="0092723F"/>
    <w:rsid w:val="009273F7"/>
    <w:rsid w:val="009274BE"/>
    <w:rsid w:val="0092767C"/>
    <w:rsid w:val="009278C3"/>
    <w:rsid w:val="00927900"/>
    <w:rsid w:val="00927FE8"/>
    <w:rsid w:val="0093003C"/>
    <w:rsid w:val="00930729"/>
    <w:rsid w:val="00930BC2"/>
    <w:rsid w:val="00931505"/>
    <w:rsid w:val="00931C8C"/>
    <w:rsid w:val="00931F7F"/>
    <w:rsid w:val="0093200E"/>
    <w:rsid w:val="00932049"/>
    <w:rsid w:val="009321A0"/>
    <w:rsid w:val="0093231C"/>
    <w:rsid w:val="00932729"/>
    <w:rsid w:val="0093287F"/>
    <w:rsid w:val="00932C24"/>
    <w:rsid w:val="00932CDD"/>
    <w:rsid w:val="00932E47"/>
    <w:rsid w:val="00932F8D"/>
    <w:rsid w:val="00933CBB"/>
    <w:rsid w:val="00933E64"/>
    <w:rsid w:val="00934072"/>
    <w:rsid w:val="00934B72"/>
    <w:rsid w:val="00934DB2"/>
    <w:rsid w:val="00934F09"/>
    <w:rsid w:val="00934FB3"/>
    <w:rsid w:val="00935CE2"/>
    <w:rsid w:val="00935DD0"/>
    <w:rsid w:val="00935E45"/>
    <w:rsid w:val="009364B8"/>
    <w:rsid w:val="009369BA"/>
    <w:rsid w:val="00936B33"/>
    <w:rsid w:val="00936EE8"/>
    <w:rsid w:val="009376EF"/>
    <w:rsid w:val="009376FD"/>
    <w:rsid w:val="00937A7C"/>
    <w:rsid w:val="009414BA"/>
    <w:rsid w:val="00941C66"/>
    <w:rsid w:val="00942079"/>
    <w:rsid w:val="0094318F"/>
    <w:rsid w:val="009432CF"/>
    <w:rsid w:val="00943478"/>
    <w:rsid w:val="0094351C"/>
    <w:rsid w:val="00943893"/>
    <w:rsid w:val="00943A47"/>
    <w:rsid w:val="00943B11"/>
    <w:rsid w:val="00944487"/>
    <w:rsid w:val="00944EB2"/>
    <w:rsid w:val="00944F85"/>
    <w:rsid w:val="00944FC0"/>
    <w:rsid w:val="0094508E"/>
    <w:rsid w:val="009451E1"/>
    <w:rsid w:val="00945319"/>
    <w:rsid w:val="00945416"/>
    <w:rsid w:val="009460B5"/>
    <w:rsid w:val="009464CB"/>
    <w:rsid w:val="009466C6"/>
    <w:rsid w:val="00946BDB"/>
    <w:rsid w:val="00946D4F"/>
    <w:rsid w:val="009476AC"/>
    <w:rsid w:val="009477C0"/>
    <w:rsid w:val="009477CD"/>
    <w:rsid w:val="00947915"/>
    <w:rsid w:val="00947D61"/>
    <w:rsid w:val="00947ED8"/>
    <w:rsid w:val="0095068C"/>
    <w:rsid w:val="00950C86"/>
    <w:rsid w:val="00950E09"/>
    <w:rsid w:val="00950F5C"/>
    <w:rsid w:val="00951832"/>
    <w:rsid w:val="00951C42"/>
    <w:rsid w:val="009534D8"/>
    <w:rsid w:val="0095383A"/>
    <w:rsid w:val="009539FA"/>
    <w:rsid w:val="00953F5B"/>
    <w:rsid w:val="0095415B"/>
    <w:rsid w:val="009548C7"/>
    <w:rsid w:val="00954BBC"/>
    <w:rsid w:val="0095532C"/>
    <w:rsid w:val="009555A1"/>
    <w:rsid w:val="0095569B"/>
    <w:rsid w:val="00955DDB"/>
    <w:rsid w:val="009562F4"/>
    <w:rsid w:val="009564B9"/>
    <w:rsid w:val="0095655C"/>
    <w:rsid w:val="009569C6"/>
    <w:rsid w:val="00956AF1"/>
    <w:rsid w:val="00956CB6"/>
    <w:rsid w:val="0096025F"/>
    <w:rsid w:val="00960302"/>
    <w:rsid w:val="00960934"/>
    <w:rsid w:val="00960ABA"/>
    <w:rsid w:val="00961319"/>
    <w:rsid w:val="00961F3B"/>
    <w:rsid w:val="00962598"/>
    <w:rsid w:val="0096267C"/>
    <w:rsid w:val="00962685"/>
    <w:rsid w:val="00962A5F"/>
    <w:rsid w:val="00962AE0"/>
    <w:rsid w:val="009639A8"/>
    <w:rsid w:val="00963CAD"/>
    <w:rsid w:val="0096439A"/>
    <w:rsid w:val="00964D12"/>
    <w:rsid w:val="009653C9"/>
    <w:rsid w:val="0096562A"/>
    <w:rsid w:val="0096595B"/>
    <w:rsid w:val="00965CC6"/>
    <w:rsid w:val="009663FD"/>
    <w:rsid w:val="0096641A"/>
    <w:rsid w:val="00966423"/>
    <w:rsid w:val="00966511"/>
    <w:rsid w:val="00966926"/>
    <w:rsid w:val="00966C2F"/>
    <w:rsid w:val="00966CBF"/>
    <w:rsid w:val="00966F59"/>
    <w:rsid w:val="0096742A"/>
    <w:rsid w:val="009674CE"/>
    <w:rsid w:val="00967563"/>
    <w:rsid w:val="00967946"/>
    <w:rsid w:val="00970328"/>
    <w:rsid w:val="009706D6"/>
    <w:rsid w:val="009708E5"/>
    <w:rsid w:val="00970C37"/>
    <w:rsid w:val="00970DF7"/>
    <w:rsid w:val="00970E78"/>
    <w:rsid w:val="009718DE"/>
    <w:rsid w:val="00971C00"/>
    <w:rsid w:val="00971C5B"/>
    <w:rsid w:val="00971CFA"/>
    <w:rsid w:val="00972021"/>
    <w:rsid w:val="00972277"/>
    <w:rsid w:val="009723A6"/>
    <w:rsid w:val="00972579"/>
    <w:rsid w:val="00972736"/>
    <w:rsid w:val="00972AA7"/>
    <w:rsid w:val="00972EA8"/>
    <w:rsid w:val="009732EA"/>
    <w:rsid w:val="00973389"/>
    <w:rsid w:val="009734EB"/>
    <w:rsid w:val="009735B5"/>
    <w:rsid w:val="00973F06"/>
    <w:rsid w:val="009740AE"/>
    <w:rsid w:val="009745F4"/>
    <w:rsid w:val="0097474B"/>
    <w:rsid w:val="00974EAD"/>
    <w:rsid w:val="0097512B"/>
    <w:rsid w:val="00975660"/>
    <w:rsid w:val="0097597A"/>
    <w:rsid w:val="009761C8"/>
    <w:rsid w:val="009766E3"/>
    <w:rsid w:val="0097696A"/>
    <w:rsid w:val="00976BBA"/>
    <w:rsid w:val="00976C03"/>
    <w:rsid w:val="00976CB2"/>
    <w:rsid w:val="00976DD8"/>
    <w:rsid w:val="0097729A"/>
    <w:rsid w:val="0097737F"/>
    <w:rsid w:val="009773FA"/>
    <w:rsid w:val="0097783E"/>
    <w:rsid w:val="00977E8E"/>
    <w:rsid w:val="0098005F"/>
    <w:rsid w:val="00980C88"/>
    <w:rsid w:val="00980E21"/>
    <w:rsid w:val="0098124F"/>
    <w:rsid w:val="009812B1"/>
    <w:rsid w:val="00981A65"/>
    <w:rsid w:val="00981EAE"/>
    <w:rsid w:val="00982404"/>
    <w:rsid w:val="00982AFE"/>
    <w:rsid w:val="00982EDA"/>
    <w:rsid w:val="0098324F"/>
    <w:rsid w:val="009839A1"/>
    <w:rsid w:val="00983EAE"/>
    <w:rsid w:val="00984BCA"/>
    <w:rsid w:val="00985B4D"/>
    <w:rsid w:val="00985DA3"/>
    <w:rsid w:val="00986085"/>
    <w:rsid w:val="00986CB1"/>
    <w:rsid w:val="00986EA8"/>
    <w:rsid w:val="00986FEF"/>
    <w:rsid w:val="009872F7"/>
    <w:rsid w:val="0098772F"/>
    <w:rsid w:val="00990250"/>
    <w:rsid w:val="009909F7"/>
    <w:rsid w:val="00990B11"/>
    <w:rsid w:val="00990F91"/>
    <w:rsid w:val="0099118A"/>
    <w:rsid w:val="0099169D"/>
    <w:rsid w:val="0099189B"/>
    <w:rsid w:val="00991C86"/>
    <w:rsid w:val="00991E04"/>
    <w:rsid w:val="00991FA1"/>
    <w:rsid w:val="00992449"/>
    <w:rsid w:val="00992E2C"/>
    <w:rsid w:val="009937E5"/>
    <w:rsid w:val="00994A05"/>
    <w:rsid w:val="00994BD9"/>
    <w:rsid w:val="009950B9"/>
    <w:rsid w:val="00995D39"/>
    <w:rsid w:val="00996332"/>
    <w:rsid w:val="00996629"/>
    <w:rsid w:val="00996D2E"/>
    <w:rsid w:val="00997761"/>
    <w:rsid w:val="009A0CD6"/>
    <w:rsid w:val="009A1259"/>
    <w:rsid w:val="009A19B3"/>
    <w:rsid w:val="009A1BE0"/>
    <w:rsid w:val="009A22E7"/>
    <w:rsid w:val="009A2788"/>
    <w:rsid w:val="009A34CD"/>
    <w:rsid w:val="009A3DEE"/>
    <w:rsid w:val="009A3F13"/>
    <w:rsid w:val="009A4821"/>
    <w:rsid w:val="009A4906"/>
    <w:rsid w:val="009A4FC2"/>
    <w:rsid w:val="009A5873"/>
    <w:rsid w:val="009A5CB1"/>
    <w:rsid w:val="009A5F49"/>
    <w:rsid w:val="009A65BD"/>
    <w:rsid w:val="009A70BC"/>
    <w:rsid w:val="009A7278"/>
    <w:rsid w:val="009A7337"/>
    <w:rsid w:val="009A77AD"/>
    <w:rsid w:val="009A780C"/>
    <w:rsid w:val="009A7A80"/>
    <w:rsid w:val="009A7CEC"/>
    <w:rsid w:val="009B05AB"/>
    <w:rsid w:val="009B0778"/>
    <w:rsid w:val="009B0860"/>
    <w:rsid w:val="009B0E40"/>
    <w:rsid w:val="009B120B"/>
    <w:rsid w:val="009B1320"/>
    <w:rsid w:val="009B17FE"/>
    <w:rsid w:val="009B1867"/>
    <w:rsid w:val="009B1EB4"/>
    <w:rsid w:val="009B24AE"/>
    <w:rsid w:val="009B2A68"/>
    <w:rsid w:val="009B2AF4"/>
    <w:rsid w:val="009B2D19"/>
    <w:rsid w:val="009B2D3D"/>
    <w:rsid w:val="009B4682"/>
    <w:rsid w:val="009B4705"/>
    <w:rsid w:val="009B476B"/>
    <w:rsid w:val="009B49D0"/>
    <w:rsid w:val="009B4B85"/>
    <w:rsid w:val="009B4F82"/>
    <w:rsid w:val="009B541A"/>
    <w:rsid w:val="009B54BE"/>
    <w:rsid w:val="009B5E22"/>
    <w:rsid w:val="009B5EE8"/>
    <w:rsid w:val="009B6D71"/>
    <w:rsid w:val="009B6E7A"/>
    <w:rsid w:val="009B7358"/>
    <w:rsid w:val="009B7694"/>
    <w:rsid w:val="009B77B6"/>
    <w:rsid w:val="009B79ED"/>
    <w:rsid w:val="009B7D7F"/>
    <w:rsid w:val="009C002B"/>
    <w:rsid w:val="009C04E2"/>
    <w:rsid w:val="009C1CCB"/>
    <w:rsid w:val="009C22C0"/>
    <w:rsid w:val="009C2B78"/>
    <w:rsid w:val="009C2F7B"/>
    <w:rsid w:val="009C30AC"/>
    <w:rsid w:val="009C368F"/>
    <w:rsid w:val="009C394F"/>
    <w:rsid w:val="009C3BDE"/>
    <w:rsid w:val="009C3C3F"/>
    <w:rsid w:val="009C3E01"/>
    <w:rsid w:val="009C3E6E"/>
    <w:rsid w:val="009C41D4"/>
    <w:rsid w:val="009C4AA1"/>
    <w:rsid w:val="009C4D88"/>
    <w:rsid w:val="009C4DF1"/>
    <w:rsid w:val="009C50BE"/>
    <w:rsid w:val="009C5758"/>
    <w:rsid w:val="009C5A19"/>
    <w:rsid w:val="009C5A27"/>
    <w:rsid w:val="009C5C05"/>
    <w:rsid w:val="009C6013"/>
    <w:rsid w:val="009C650D"/>
    <w:rsid w:val="009C6552"/>
    <w:rsid w:val="009C65C1"/>
    <w:rsid w:val="009C68D4"/>
    <w:rsid w:val="009C6A6B"/>
    <w:rsid w:val="009C6B19"/>
    <w:rsid w:val="009C6C5C"/>
    <w:rsid w:val="009C6F3D"/>
    <w:rsid w:val="009C78A3"/>
    <w:rsid w:val="009C7FE4"/>
    <w:rsid w:val="009D019B"/>
    <w:rsid w:val="009D0271"/>
    <w:rsid w:val="009D02CD"/>
    <w:rsid w:val="009D03A4"/>
    <w:rsid w:val="009D0B04"/>
    <w:rsid w:val="009D121B"/>
    <w:rsid w:val="009D15E8"/>
    <w:rsid w:val="009D16BF"/>
    <w:rsid w:val="009D16F3"/>
    <w:rsid w:val="009D21A1"/>
    <w:rsid w:val="009D307D"/>
    <w:rsid w:val="009D361A"/>
    <w:rsid w:val="009D3DC1"/>
    <w:rsid w:val="009D3EE5"/>
    <w:rsid w:val="009D40AC"/>
    <w:rsid w:val="009D4228"/>
    <w:rsid w:val="009D42BE"/>
    <w:rsid w:val="009D47B3"/>
    <w:rsid w:val="009D47BA"/>
    <w:rsid w:val="009D47CB"/>
    <w:rsid w:val="009D4804"/>
    <w:rsid w:val="009D48A1"/>
    <w:rsid w:val="009D494F"/>
    <w:rsid w:val="009D51D6"/>
    <w:rsid w:val="009D52C1"/>
    <w:rsid w:val="009D5C97"/>
    <w:rsid w:val="009D608D"/>
    <w:rsid w:val="009D61C9"/>
    <w:rsid w:val="009D661B"/>
    <w:rsid w:val="009D67F6"/>
    <w:rsid w:val="009D6861"/>
    <w:rsid w:val="009D6A41"/>
    <w:rsid w:val="009D6BEA"/>
    <w:rsid w:val="009D717B"/>
    <w:rsid w:val="009D763E"/>
    <w:rsid w:val="009D7AC8"/>
    <w:rsid w:val="009E0376"/>
    <w:rsid w:val="009E08D1"/>
    <w:rsid w:val="009E0B1E"/>
    <w:rsid w:val="009E0FE1"/>
    <w:rsid w:val="009E1041"/>
    <w:rsid w:val="009E1068"/>
    <w:rsid w:val="009E1270"/>
    <w:rsid w:val="009E159D"/>
    <w:rsid w:val="009E1678"/>
    <w:rsid w:val="009E171B"/>
    <w:rsid w:val="009E1AA6"/>
    <w:rsid w:val="009E22F9"/>
    <w:rsid w:val="009E28F0"/>
    <w:rsid w:val="009E2D9F"/>
    <w:rsid w:val="009E2FAE"/>
    <w:rsid w:val="009E311D"/>
    <w:rsid w:val="009E317D"/>
    <w:rsid w:val="009E33B5"/>
    <w:rsid w:val="009E37E3"/>
    <w:rsid w:val="009E39DF"/>
    <w:rsid w:val="009E3A1F"/>
    <w:rsid w:val="009E3D85"/>
    <w:rsid w:val="009E3F64"/>
    <w:rsid w:val="009E4163"/>
    <w:rsid w:val="009E4A72"/>
    <w:rsid w:val="009E4BD0"/>
    <w:rsid w:val="009E4FC6"/>
    <w:rsid w:val="009E5009"/>
    <w:rsid w:val="009E564A"/>
    <w:rsid w:val="009E5E0A"/>
    <w:rsid w:val="009E6556"/>
    <w:rsid w:val="009E6889"/>
    <w:rsid w:val="009E6ECE"/>
    <w:rsid w:val="009E79F0"/>
    <w:rsid w:val="009E7EFE"/>
    <w:rsid w:val="009F00DC"/>
    <w:rsid w:val="009F06DC"/>
    <w:rsid w:val="009F06E4"/>
    <w:rsid w:val="009F0865"/>
    <w:rsid w:val="009F0B7F"/>
    <w:rsid w:val="009F0E91"/>
    <w:rsid w:val="009F0EAF"/>
    <w:rsid w:val="009F1053"/>
    <w:rsid w:val="009F135F"/>
    <w:rsid w:val="009F136F"/>
    <w:rsid w:val="009F14C8"/>
    <w:rsid w:val="009F1A5E"/>
    <w:rsid w:val="009F1B36"/>
    <w:rsid w:val="009F1C7A"/>
    <w:rsid w:val="009F212E"/>
    <w:rsid w:val="009F23EC"/>
    <w:rsid w:val="009F2563"/>
    <w:rsid w:val="009F2764"/>
    <w:rsid w:val="009F27B0"/>
    <w:rsid w:val="009F29E0"/>
    <w:rsid w:val="009F2CE2"/>
    <w:rsid w:val="009F37B1"/>
    <w:rsid w:val="009F3B3A"/>
    <w:rsid w:val="009F48EE"/>
    <w:rsid w:val="009F5002"/>
    <w:rsid w:val="009F51BC"/>
    <w:rsid w:val="009F5800"/>
    <w:rsid w:val="009F6900"/>
    <w:rsid w:val="009F6E7D"/>
    <w:rsid w:val="00A00718"/>
    <w:rsid w:val="00A00BBC"/>
    <w:rsid w:val="00A00E75"/>
    <w:rsid w:val="00A0166D"/>
    <w:rsid w:val="00A02289"/>
    <w:rsid w:val="00A022C1"/>
    <w:rsid w:val="00A0271A"/>
    <w:rsid w:val="00A02D6B"/>
    <w:rsid w:val="00A02E9A"/>
    <w:rsid w:val="00A02FB3"/>
    <w:rsid w:val="00A0325D"/>
    <w:rsid w:val="00A03411"/>
    <w:rsid w:val="00A034FE"/>
    <w:rsid w:val="00A03626"/>
    <w:rsid w:val="00A037BF"/>
    <w:rsid w:val="00A03969"/>
    <w:rsid w:val="00A03CB2"/>
    <w:rsid w:val="00A04003"/>
    <w:rsid w:val="00A0406E"/>
    <w:rsid w:val="00A04096"/>
    <w:rsid w:val="00A041FE"/>
    <w:rsid w:val="00A04281"/>
    <w:rsid w:val="00A0434A"/>
    <w:rsid w:val="00A04844"/>
    <w:rsid w:val="00A04DB5"/>
    <w:rsid w:val="00A05213"/>
    <w:rsid w:val="00A0532A"/>
    <w:rsid w:val="00A05493"/>
    <w:rsid w:val="00A05C0A"/>
    <w:rsid w:val="00A05C2F"/>
    <w:rsid w:val="00A05C62"/>
    <w:rsid w:val="00A061E7"/>
    <w:rsid w:val="00A063B1"/>
    <w:rsid w:val="00A06449"/>
    <w:rsid w:val="00A06CD8"/>
    <w:rsid w:val="00A07126"/>
    <w:rsid w:val="00A07822"/>
    <w:rsid w:val="00A07FAD"/>
    <w:rsid w:val="00A100B5"/>
    <w:rsid w:val="00A10572"/>
    <w:rsid w:val="00A10661"/>
    <w:rsid w:val="00A108DB"/>
    <w:rsid w:val="00A10949"/>
    <w:rsid w:val="00A10EAC"/>
    <w:rsid w:val="00A111D6"/>
    <w:rsid w:val="00A11307"/>
    <w:rsid w:val="00A1164F"/>
    <w:rsid w:val="00A11ACD"/>
    <w:rsid w:val="00A11D8E"/>
    <w:rsid w:val="00A12313"/>
    <w:rsid w:val="00A125CA"/>
    <w:rsid w:val="00A12EE3"/>
    <w:rsid w:val="00A1308D"/>
    <w:rsid w:val="00A1388B"/>
    <w:rsid w:val="00A13AF3"/>
    <w:rsid w:val="00A13C7C"/>
    <w:rsid w:val="00A14460"/>
    <w:rsid w:val="00A144F1"/>
    <w:rsid w:val="00A1472B"/>
    <w:rsid w:val="00A147B2"/>
    <w:rsid w:val="00A14A78"/>
    <w:rsid w:val="00A14B67"/>
    <w:rsid w:val="00A14C07"/>
    <w:rsid w:val="00A15230"/>
    <w:rsid w:val="00A15B43"/>
    <w:rsid w:val="00A16081"/>
    <w:rsid w:val="00A1612B"/>
    <w:rsid w:val="00A1734A"/>
    <w:rsid w:val="00A178C8"/>
    <w:rsid w:val="00A178EF"/>
    <w:rsid w:val="00A17A15"/>
    <w:rsid w:val="00A17B0F"/>
    <w:rsid w:val="00A20000"/>
    <w:rsid w:val="00A20165"/>
    <w:rsid w:val="00A2033F"/>
    <w:rsid w:val="00A2045F"/>
    <w:rsid w:val="00A2056C"/>
    <w:rsid w:val="00A20AEA"/>
    <w:rsid w:val="00A21115"/>
    <w:rsid w:val="00A212A8"/>
    <w:rsid w:val="00A212BC"/>
    <w:rsid w:val="00A21388"/>
    <w:rsid w:val="00A21822"/>
    <w:rsid w:val="00A21DD8"/>
    <w:rsid w:val="00A21F83"/>
    <w:rsid w:val="00A222B2"/>
    <w:rsid w:val="00A222C1"/>
    <w:rsid w:val="00A2286F"/>
    <w:rsid w:val="00A22BC9"/>
    <w:rsid w:val="00A23152"/>
    <w:rsid w:val="00A233F5"/>
    <w:rsid w:val="00A235D3"/>
    <w:rsid w:val="00A235E7"/>
    <w:rsid w:val="00A23A91"/>
    <w:rsid w:val="00A249DA"/>
    <w:rsid w:val="00A24AA3"/>
    <w:rsid w:val="00A250A6"/>
    <w:rsid w:val="00A253F8"/>
    <w:rsid w:val="00A257B4"/>
    <w:rsid w:val="00A2588D"/>
    <w:rsid w:val="00A258A2"/>
    <w:rsid w:val="00A25ABA"/>
    <w:rsid w:val="00A25CA7"/>
    <w:rsid w:val="00A25FE3"/>
    <w:rsid w:val="00A26339"/>
    <w:rsid w:val="00A263EB"/>
    <w:rsid w:val="00A26933"/>
    <w:rsid w:val="00A27124"/>
    <w:rsid w:val="00A271FB"/>
    <w:rsid w:val="00A27791"/>
    <w:rsid w:val="00A27ABE"/>
    <w:rsid w:val="00A301DB"/>
    <w:rsid w:val="00A303FE"/>
    <w:rsid w:val="00A3062B"/>
    <w:rsid w:val="00A306D1"/>
    <w:rsid w:val="00A30856"/>
    <w:rsid w:val="00A30DDA"/>
    <w:rsid w:val="00A312E0"/>
    <w:rsid w:val="00A31471"/>
    <w:rsid w:val="00A31586"/>
    <w:rsid w:val="00A32060"/>
    <w:rsid w:val="00A32608"/>
    <w:rsid w:val="00A32839"/>
    <w:rsid w:val="00A3290C"/>
    <w:rsid w:val="00A32EC9"/>
    <w:rsid w:val="00A32F25"/>
    <w:rsid w:val="00A3304A"/>
    <w:rsid w:val="00A3309B"/>
    <w:rsid w:val="00A3314F"/>
    <w:rsid w:val="00A33839"/>
    <w:rsid w:val="00A33AEF"/>
    <w:rsid w:val="00A33D0D"/>
    <w:rsid w:val="00A340A3"/>
    <w:rsid w:val="00A345B9"/>
    <w:rsid w:val="00A3485C"/>
    <w:rsid w:val="00A349A6"/>
    <w:rsid w:val="00A34ECA"/>
    <w:rsid w:val="00A34F3F"/>
    <w:rsid w:val="00A35115"/>
    <w:rsid w:val="00A3524A"/>
    <w:rsid w:val="00A352FA"/>
    <w:rsid w:val="00A355F9"/>
    <w:rsid w:val="00A35C1E"/>
    <w:rsid w:val="00A363B7"/>
    <w:rsid w:val="00A36832"/>
    <w:rsid w:val="00A36911"/>
    <w:rsid w:val="00A36DA1"/>
    <w:rsid w:val="00A375FC"/>
    <w:rsid w:val="00A37ED8"/>
    <w:rsid w:val="00A4007C"/>
    <w:rsid w:val="00A40343"/>
    <w:rsid w:val="00A41355"/>
    <w:rsid w:val="00A413D2"/>
    <w:rsid w:val="00A41648"/>
    <w:rsid w:val="00A41954"/>
    <w:rsid w:val="00A41A31"/>
    <w:rsid w:val="00A41CE2"/>
    <w:rsid w:val="00A42370"/>
    <w:rsid w:val="00A424AD"/>
    <w:rsid w:val="00A42872"/>
    <w:rsid w:val="00A42C5E"/>
    <w:rsid w:val="00A43763"/>
    <w:rsid w:val="00A43765"/>
    <w:rsid w:val="00A437B0"/>
    <w:rsid w:val="00A437B6"/>
    <w:rsid w:val="00A4384A"/>
    <w:rsid w:val="00A43B68"/>
    <w:rsid w:val="00A43B92"/>
    <w:rsid w:val="00A43C3D"/>
    <w:rsid w:val="00A446A2"/>
    <w:rsid w:val="00A44711"/>
    <w:rsid w:val="00A449BF"/>
    <w:rsid w:val="00A44A82"/>
    <w:rsid w:val="00A44BA0"/>
    <w:rsid w:val="00A450EB"/>
    <w:rsid w:val="00A4519D"/>
    <w:rsid w:val="00A4607C"/>
    <w:rsid w:val="00A463FA"/>
    <w:rsid w:val="00A4671D"/>
    <w:rsid w:val="00A468EB"/>
    <w:rsid w:val="00A46A5A"/>
    <w:rsid w:val="00A46B67"/>
    <w:rsid w:val="00A46D9E"/>
    <w:rsid w:val="00A50D1A"/>
    <w:rsid w:val="00A5117F"/>
    <w:rsid w:val="00A5123A"/>
    <w:rsid w:val="00A5127D"/>
    <w:rsid w:val="00A51291"/>
    <w:rsid w:val="00A514BA"/>
    <w:rsid w:val="00A5190C"/>
    <w:rsid w:val="00A51C29"/>
    <w:rsid w:val="00A527A3"/>
    <w:rsid w:val="00A52AFD"/>
    <w:rsid w:val="00A52CF4"/>
    <w:rsid w:val="00A52FC8"/>
    <w:rsid w:val="00A535F5"/>
    <w:rsid w:val="00A53CB7"/>
    <w:rsid w:val="00A53F31"/>
    <w:rsid w:val="00A54251"/>
    <w:rsid w:val="00A54290"/>
    <w:rsid w:val="00A544D3"/>
    <w:rsid w:val="00A5472C"/>
    <w:rsid w:val="00A5499A"/>
    <w:rsid w:val="00A54E7C"/>
    <w:rsid w:val="00A55395"/>
    <w:rsid w:val="00A5567A"/>
    <w:rsid w:val="00A55BAD"/>
    <w:rsid w:val="00A55C13"/>
    <w:rsid w:val="00A56049"/>
    <w:rsid w:val="00A56385"/>
    <w:rsid w:val="00A56E65"/>
    <w:rsid w:val="00A57384"/>
    <w:rsid w:val="00A574BE"/>
    <w:rsid w:val="00A57644"/>
    <w:rsid w:val="00A60A6B"/>
    <w:rsid w:val="00A60AF4"/>
    <w:rsid w:val="00A60FDA"/>
    <w:rsid w:val="00A615A3"/>
    <w:rsid w:val="00A615C2"/>
    <w:rsid w:val="00A616D8"/>
    <w:rsid w:val="00A6179E"/>
    <w:rsid w:val="00A61A01"/>
    <w:rsid w:val="00A61CA7"/>
    <w:rsid w:val="00A623A1"/>
    <w:rsid w:val="00A6264B"/>
    <w:rsid w:val="00A63025"/>
    <w:rsid w:val="00A63409"/>
    <w:rsid w:val="00A635C1"/>
    <w:rsid w:val="00A635CB"/>
    <w:rsid w:val="00A63824"/>
    <w:rsid w:val="00A63BA7"/>
    <w:rsid w:val="00A63CBB"/>
    <w:rsid w:val="00A63D0F"/>
    <w:rsid w:val="00A642EE"/>
    <w:rsid w:val="00A64316"/>
    <w:rsid w:val="00A64C50"/>
    <w:rsid w:val="00A657FE"/>
    <w:rsid w:val="00A65AA7"/>
    <w:rsid w:val="00A65C5B"/>
    <w:rsid w:val="00A6610F"/>
    <w:rsid w:val="00A66810"/>
    <w:rsid w:val="00A66C83"/>
    <w:rsid w:val="00A671F1"/>
    <w:rsid w:val="00A67215"/>
    <w:rsid w:val="00A67590"/>
    <w:rsid w:val="00A678A2"/>
    <w:rsid w:val="00A67FA3"/>
    <w:rsid w:val="00A7069E"/>
    <w:rsid w:val="00A70B93"/>
    <w:rsid w:val="00A71315"/>
    <w:rsid w:val="00A719E7"/>
    <w:rsid w:val="00A72645"/>
    <w:rsid w:val="00A72670"/>
    <w:rsid w:val="00A726B2"/>
    <w:rsid w:val="00A728B9"/>
    <w:rsid w:val="00A7291D"/>
    <w:rsid w:val="00A72AB8"/>
    <w:rsid w:val="00A72B7E"/>
    <w:rsid w:val="00A7307F"/>
    <w:rsid w:val="00A73431"/>
    <w:rsid w:val="00A7370E"/>
    <w:rsid w:val="00A73954"/>
    <w:rsid w:val="00A7403B"/>
    <w:rsid w:val="00A74078"/>
    <w:rsid w:val="00A7415F"/>
    <w:rsid w:val="00A741A0"/>
    <w:rsid w:val="00A742D7"/>
    <w:rsid w:val="00A74378"/>
    <w:rsid w:val="00A743A2"/>
    <w:rsid w:val="00A749E8"/>
    <w:rsid w:val="00A74D2D"/>
    <w:rsid w:val="00A750EE"/>
    <w:rsid w:val="00A75237"/>
    <w:rsid w:val="00A75603"/>
    <w:rsid w:val="00A756A8"/>
    <w:rsid w:val="00A75B9D"/>
    <w:rsid w:val="00A75C15"/>
    <w:rsid w:val="00A7600F"/>
    <w:rsid w:val="00A768D0"/>
    <w:rsid w:val="00A76BA4"/>
    <w:rsid w:val="00A76D39"/>
    <w:rsid w:val="00A800DE"/>
    <w:rsid w:val="00A804D9"/>
    <w:rsid w:val="00A8066E"/>
    <w:rsid w:val="00A80835"/>
    <w:rsid w:val="00A80C44"/>
    <w:rsid w:val="00A80EEF"/>
    <w:rsid w:val="00A8109E"/>
    <w:rsid w:val="00A81329"/>
    <w:rsid w:val="00A81746"/>
    <w:rsid w:val="00A82364"/>
    <w:rsid w:val="00A8236B"/>
    <w:rsid w:val="00A8275F"/>
    <w:rsid w:val="00A829BD"/>
    <w:rsid w:val="00A82C06"/>
    <w:rsid w:val="00A82C33"/>
    <w:rsid w:val="00A83892"/>
    <w:rsid w:val="00A83B48"/>
    <w:rsid w:val="00A83C4A"/>
    <w:rsid w:val="00A84073"/>
    <w:rsid w:val="00A84162"/>
    <w:rsid w:val="00A8424C"/>
    <w:rsid w:val="00A842CA"/>
    <w:rsid w:val="00A84B3D"/>
    <w:rsid w:val="00A84DB0"/>
    <w:rsid w:val="00A84ED7"/>
    <w:rsid w:val="00A855FE"/>
    <w:rsid w:val="00A8573B"/>
    <w:rsid w:val="00A8577E"/>
    <w:rsid w:val="00A85A9C"/>
    <w:rsid w:val="00A85B7F"/>
    <w:rsid w:val="00A85BBC"/>
    <w:rsid w:val="00A85D65"/>
    <w:rsid w:val="00A85FAA"/>
    <w:rsid w:val="00A86582"/>
    <w:rsid w:val="00A86692"/>
    <w:rsid w:val="00A86E0C"/>
    <w:rsid w:val="00A871FF"/>
    <w:rsid w:val="00A876A3"/>
    <w:rsid w:val="00A876BD"/>
    <w:rsid w:val="00A87C46"/>
    <w:rsid w:val="00A87D43"/>
    <w:rsid w:val="00A87F4D"/>
    <w:rsid w:val="00A90002"/>
    <w:rsid w:val="00A90143"/>
    <w:rsid w:val="00A903BE"/>
    <w:rsid w:val="00A90414"/>
    <w:rsid w:val="00A90617"/>
    <w:rsid w:val="00A911BE"/>
    <w:rsid w:val="00A911D3"/>
    <w:rsid w:val="00A914FF"/>
    <w:rsid w:val="00A9168D"/>
    <w:rsid w:val="00A91866"/>
    <w:rsid w:val="00A918AD"/>
    <w:rsid w:val="00A92444"/>
    <w:rsid w:val="00A9269C"/>
    <w:rsid w:val="00A92915"/>
    <w:rsid w:val="00A92BB3"/>
    <w:rsid w:val="00A92F92"/>
    <w:rsid w:val="00A93426"/>
    <w:rsid w:val="00A93581"/>
    <w:rsid w:val="00A935C6"/>
    <w:rsid w:val="00A93843"/>
    <w:rsid w:val="00A93B76"/>
    <w:rsid w:val="00A93E40"/>
    <w:rsid w:val="00A947BD"/>
    <w:rsid w:val="00A9495E"/>
    <w:rsid w:val="00A94B26"/>
    <w:rsid w:val="00A94B99"/>
    <w:rsid w:val="00A94BF5"/>
    <w:rsid w:val="00A95311"/>
    <w:rsid w:val="00A957C1"/>
    <w:rsid w:val="00A958F7"/>
    <w:rsid w:val="00A95D86"/>
    <w:rsid w:val="00A95DFE"/>
    <w:rsid w:val="00A96060"/>
    <w:rsid w:val="00A96892"/>
    <w:rsid w:val="00A96944"/>
    <w:rsid w:val="00A96E12"/>
    <w:rsid w:val="00A97BD7"/>
    <w:rsid w:val="00A97C79"/>
    <w:rsid w:val="00A97D1A"/>
    <w:rsid w:val="00AA01BF"/>
    <w:rsid w:val="00AA03A5"/>
    <w:rsid w:val="00AA12C1"/>
    <w:rsid w:val="00AA17CB"/>
    <w:rsid w:val="00AA2051"/>
    <w:rsid w:val="00AA235E"/>
    <w:rsid w:val="00AA25FC"/>
    <w:rsid w:val="00AA28F0"/>
    <w:rsid w:val="00AA2986"/>
    <w:rsid w:val="00AA2D63"/>
    <w:rsid w:val="00AA2DA8"/>
    <w:rsid w:val="00AA2E19"/>
    <w:rsid w:val="00AA3065"/>
    <w:rsid w:val="00AA3153"/>
    <w:rsid w:val="00AA33F0"/>
    <w:rsid w:val="00AA3851"/>
    <w:rsid w:val="00AA40D0"/>
    <w:rsid w:val="00AA4406"/>
    <w:rsid w:val="00AA4425"/>
    <w:rsid w:val="00AA4477"/>
    <w:rsid w:val="00AA4671"/>
    <w:rsid w:val="00AA49B4"/>
    <w:rsid w:val="00AA4D55"/>
    <w:rsid w:val="00AA4F61"/>
    <w:rsid w:val="00AA548B"/>
    <w:rsid w:val="00AA5C01"/>
    <w:rsid w:val="00AA62A0"/>
    <w:rsid w:val="00AA69A4"/>
    <w:rsid w:val="00AA69DA"/>
    <w:rsid w:val="00AA6A27"/>
    <w:rsid w:val="00AA70C4"/>
    <w:rsid w:val="00AA7136"/>
    <w:rsid w:val="00AA7877"/>
    <w:rsid w:val="00AA7DA9"/>
    <w:rsid w:val="00AB0108"/>
    <w:rsid w:val="00AB01F8"/>
    <w:rsid w:val="00AB074B"/>
    <w:rsid w:val="00AB0BFC"/>
    <w:rsid w:val="00AB0F15"/>
    <w:rsid w:val="00AB109C"/>
    <w:rsid w:val="00AB1327"/>
    <w:rsid w:val="00AB1807"/>
    <w:rsid w:val="00AB1C85"/>
    <w:rsid w:val="00AB2046"/>
    <w:rsid w:val="00AB2BA5"/>
    <w:rsid w:val="00AB2DFE"/>
    <w:rsid w:val="00AB36BF"/>
    <w:rsid w:val="00AB41DF"/>
    <w:rsid w:val="00AB4483"/>
    <w:rsid w:val="00AB466E"/>
    <w:rsid w:val="00AB47A7"/>
    <w:rsid w:val="00AB4989"/>
    <w:rsid w:val="00AB4D90"/>
    <w:rsid w:val="00AB4EB8"/>
    <w:rsid w:val="00AB552A"/>
    <w:rsid w:val="00AB5C1D"/>
    <w:rsid w:val="00AB5E46"/>
    <w:rsid w:val="00AB5EDF"/>
    <w:rsid w:val="00AB606B"/>
    <w:rsid w:val="00AB6B1E"/>
    <w:rsid w:val="00AB73E7"/>
    <w:rsid w:val="00AB74CB"/>
    <w:rsid w:val="00AB7C8F"/>
    <w:rsid w:val="00AC014E"/>
    <w:rsid w:val="00AC1B55"/>
    <w:rsid w:val="00AC1C2B"/>
    <w:rsid w:val="00AC2024"/>
    <w:rsid w:val="00AC20E4"/>
    <w:rsid w:val="00AC2192"/>
    <w:rsid w:val="00AC2243"/>
    <w:rsid w:val="00AC24CC"/>
    <w:rsid w:val="00AC2693"/>
    <w:rsid w:val="00AC2695"/>
    <w:rsid w:val="00AC2EF0"/>
    <w:rsid w:val="00AC3243"/>
    <w:rsid w:val="00AC3384"/>
    <w:rsid w:val="00AC3635"/>
    <w:rsid w:val="00AC3F75"/>
    <w:rsid w:val="00AC4007"/>
    <w:rsid w:val="00AC4915"/>
    <w:rsid w:val="00AC4975"/>
    <w:rsid w:val="00AC5458"/>
    <w:rsid w:val="00AC54F0"/>
    <w:rsid w:val="00AC55CD"/>
    <w:rsid w:val="00AC5621"/>
    <w:rsid w:val="00AC5E9E"/>
    <w:rsid w:val="00AC6101"/>
    <w:rsid w:val="00AC636D"/>
    <w:rsid w:val="00AC63AE"/>
    <w:rsid w:val="00AC6448"/>
    <w:rsid w:val="00AC6A4F"/>
    <w:rsid w:val="00AC6D09"/>
    <w:rsid w:val="00AC7502"/>
    <w:rsid w:val="00AC772C"/>
    <w:rsid w:val="00AC785B"/>
    <w:rsid w:val="00AC7871"/>
    <w:rsid w:val="00AC7F83"/>
    <w:rsid w:val="00AD0573"/>
    <w:rsid w:val="00AD0760"/>
    <w:rsid w:val="00AD08C5"/>
    <w:rsid w:val="00AD0B4E"/>
    <w:rsid w:val="00AD11F0"/>
    <w:rsid w:val="00AD13BA"/>
    <w:rsid w:val="00AD17E8"/>
    <w:rsid w:val="00AD1B73"/>
    <w:rsid w:val="00AD30F8"/>
    <w:rsid w:val="00AD33BD"/>
    <w:rsid w:val="00AD3627"/>
    <w:rsid w:val="00AD3DB8"/>
    <w:rsid w:val="00AD4678"/>
    <w:rsid w:val="00AD46F2"/>
    <w:rsid w:val="00AD47FC"/>
    <w:rsid w:val="00AD4C08"/>
    <w:rsid w:val="00AD5022"/>
    <w:rsid w:val="00AD55A2"/>
    <w:rsid w:val="00AD56C0"/>
    <w:rsid w:val="00AD5769"/>
    <w:rsid w:val="00AD588D"/>
    <w:rsid w:val="00AD6851"/>
    <w:rsid w:val="00AD6873"/>
    <w:rsid w:val="00AD713C"/>
    <w:rsid w:val="00AD7E76"/>
    <w:rsid w:val="00AE0314"/>
    <w:rsid w:val="00AE10DA"/>
    <w:rsid w:val="00AE11DC"/>
    <w:rsid w:val="00AE12AE"/>
    <w:rsid w:val="00AE12AF"/>
    <w:rsid w:val="00AE12C8"/>
    <w:rsid w:val="00AE19F5"/>
    <w:rsid w:val="00AE26F0"/>
    <w:rsid w:val="00AE2802"/>
    <w:rsid w:val="00AE2C6D"/>
    <w:rsid w:val="00AE2EEF"/>
    <w:rsid w:val="00AE31EE"/>
    <w:rsid w:val="00AE3422"/>
    <w:rsid w:val="00AE3A9B"/>
    <w:rsid w:val="00AE3BA2"/>
    <w:rsid w:val="00AE3E2D"/>
    <w:rsid w:val="00AE4442"/>
    <w:rsid w:val="00AE46B5"/>
    <w:rsid w:val="00AE470A"/>
    <w:rsid w:val="00AE4F3F"/>
    <w:rsid w:val="00AE549A"/>
    <w:rsid w:val="00AE564D"/>
    <w:rsid w:val="00AE5DDC"/>
    <w:rsid w:val="00AE5E27"/>
    <w:rsid w:val="00AE6BC4"/>
    <w:rsid w:val="00AE6E14"/>
    <w:rsid w:val="00AE6EC9"/>
    <w:rsid w:val="00AE6ED6"/>
    <w:rsid w:val="00AE700D"/>
    <w:rsid w:val="00AE7076"/>
    <w:rsid w:val="00AE7576"/>
    <w:rsid w:val="00AE7E91"/>
    <w:rsid w:val="00AE7FE6"/>
    <w:rsid w:val="00AF031A"/>
    <w:rsid w:val="00AF0571"/>
    <w:rsid w:val="00AF0669"/>
    <w:rsid w:val="00AF0770"/>
    <w:rsid w:val="00AF093D"/>
    <w:rsid w:val="00AF12F0"/>
    <w:rsid w:val="00AF18CB"/>
    <w:rsid w:val="00AF1A62"/>
    <w:rsid w:val="00AF1ABE"/>
    <w:rsid w:val="00AF1C45"/>
    <w:rsid w:val="00AF1C6A"/>
    <w:rsid w:val="00AF22F5"/>
    <w:rsid w:val="00AF2C84"/>
    <w:rsid w:val="00AF3C10"/>
    <w:rsid w:val="00AF4991"/>
    <w:rsid w:val="00AF4C6F"/>
    <w:rsid w:val="00AF4E7F"/>
    <w:rsid w:val="00AF5054"/>
    <w:rsid w:val="00AF5086"/>
    <w:rsid w:val="00AF50CE"/>
    <w:rsid w:val="00AF5136"/>
    <w:rsid w:val="00AF534C"/>
    <w:rsid w:val="00AF5B3B"/>
    <w:rsid w:val="00AF61E4"/>
    <w:rsid w:val="00AF7461"/>
    <w:rsid w:val="00AF7926"/>
    <w:rsid w:val="00AF7A26"/>
    <w:rsid w:val="00AF7A94"/>
    <w:rsid w:val="00B00071"/>
    <w:rsid w:val="00B00CFF"/>
    <w:rsid w:val="00B00D7B"/>
    <w:rsid w:val="00B00E90"/>
    <w:rsid w:val="00B00F61"/>
    <w:rsid w:val="00B0162D"/>
    <w:rsid w:val="00B01C34"/>
    <w:rsid w:val="00B01F18"/>
    <w:rsid w:val="00B01F6B"/>
    <w:rsid w:val="00B01FB7"/>
    <w:rsid w:val="00B02192"/>
    <w:rsid w:val="00B025A6"/>
    <w:rsid w:val="00B02F98"/>
    <w:rsid w:val="00B0315A"/>
    <w:rsid w:val="00B034C5"/>
    <w:rsid w:val="00B037D1"/>
    <w:rsid w:val="00B03E2E"/>
    <w:rsid w:val="00B0437F"/>
    <w:rsid w:val="00B044FE"/>
    <w:rsid w:val="00B0467E"/>
    <w:rsid w:val="00B04C1B"/>
    <w:rsid w:val="00B0510A"/>
    <w:rsid w:val="00B05914"/>
    <w:rsid w:val="00B05C84"/>
    <w:rsid w:val="00B069D6"/>
    <w:rsid w:val="00B0791F"/>
    <w:rsid w:val="00B07A74"/>
    <w:rsid w:val="00B07DAE"/>
    <w:rsid w:val="00B07F4F"/>
    <w:rsid w:val="00B100FB"/>
    <w:rsid w:val="00B101CA"/>
    <w:rsid w:val="00B1030F"/>
    <w:rsid w:val="00B107B4"/>
    <w:rsid w:val="00B112C3"/>
    <w:rsid w:val="00B113BE"/>
    <w:rsid w:val="00B1148E"/>
    <w:rsid w:val="00B115AC"/>
    <w:rsid w:val="00B115C6"/>
    <w:rsid w:val="00B11C8F"/>
    <w:rsid w:val="00B11CFE"/>
    <w:rsid w:val="00B12024"/>
    <w:rsid w:val="00B127B5"/>
    <w:rsid w:val="00B12817"/>
    <w:rsid w:val="00B12A94"/>
    <w:rsid w:val="00B13224"/>
    <w:rsid w:val="00B138F5"/>
    <w:rsid w:val="00B13DDE"/>
    <w:rsid w:val="00B140E3"/>
    <w:rsid w:val="00B141B4"/>
    <w:rsid w:val="00B14321"/>
    <w:rsid w:val="00B147E7"/>
    <w:rsid w:val="00B14864"/>
    <w:rsid w:val="00B15303"/>
    <w:rsid w:val="00B154B9"/>
    <w:rsid w:val="00B1562E"/>
    <w:rsid w:val="00B1579C"/>
    <w:rsid w:val="00B15974"/>
    <w:rsid w:val="00B15C49"/>
    <w:rsid w:val="00B16076"/>
    <w:rsid w:val="00B160AA"/>
    <w:rsid w:val="00B16280"/>
    <w:rsid w:val="00B16314"/>
    <w:rsid w:val="00B163DD"/>
    <w:rsid w:val="00B16A81"/>
    <w:rsid w:val="00B16BBA"/>
    <w:rsid w:val="00B16D48"/>
    <w:rsid w:val="00B16E9D"/>
    <w:rsid w:val="00B16ECC"/>
    <w:rsid w:val="00B17014"/>
    <w:rsid w:val="00B174DC"/>
    <w:rsid w:val="00B174F4"/>
    <w:rsid w:val="00B176A0"/>
    <w:rsid w:val="00B17749"/>
    <w:rsid w:val="00B2039C"/>
    <w:rsid w:val="00B2047E"/>
    <w:rsid w:val="00B21287"/>
    <w:rsid w:val="00B2233F"/>
    <w:rsid w:val="00B223E3"/>
    <w:rsid w:val="00B22C52"/>
    <w:rsid w:val="00B237FB"/>
    <w:rsid w:val="00B23A2C"/>
    <w:rsid w:val="00B23DBC"/>
    <w:rsid w:val="00B24471"/>
    <w:rsid w:val="00B246A7"/>
    <w:rsid w:val="00B24AA7"/>
    <w:rsid w:val="00B24B1D"/>
    <w:rsid w:val="00B24D54"/>
    <w:rsid w:val="00B24EBD"/>
    <w:rsid w:val="00B25160"/>
    <w:rsid w:val="00B255CB"/>
    <w:rsid w:val="00B25A57"/>
    <w:rsid w:val="00B25CAA"/>
    <w:rsid w:val="00B25E45"/>
    <w:rsid w:val="00B25FDA"/>
    <w:rsid w:val="00B26758"/>
    <w:rsid w:val="00B26C33"/>
    <w:rsid w:val="00B26EFE"/>
    <w:rsid w:val="00B272FC"/>
    <w:rsid w:val="00B275AE"/>
    <w:rsid w:val="00B277E0"/>
    <w:rsid w:val="00B27B53"/>
    <w:rsid w:val="00B27BC5"/>
    <w:rsid w:val="00B27E31"/>
    <w:rsid w:val="00B31021"/>
    <w:rsid w:val="00B31373"/>
    <w:rsid w:val="00B3164D"/>
    <w:rsid w:val="00B31E0A"/>
    <w:rsid w:val="00B320EE"/>
    <w:rsid w:val="00B32FFB"/>
    <w:rsid w:val="00B33039"/>
    <w:rsid w:val="00B337E8"/>
    <w:rsid w:val="00B33B79"/>
    <w:rsid w:val="00B34292"/>
    <w:rsid w:val="00B34946"/>
    <w:rsid w:val="00B34AA6"/>
    <w:rsid w:val="00B34B1B"/>
    <w:rsid w:val="00B35777"/>
    <w:rsid w:val="00B35AD4"/>
    <w:rsid w:val="00B35EB2"/>
    <w:rsid w:val="00B3668F"/>
    <w:rsid w:val="00B36C89"/>
    <w:rsid w:val="00B36FCB"/>
    <w:rsid w:val="00B377D1"/>
    <w:rsid w:val="00B37861"/>
    <w:rsid w:val="00B37AD3"/>
    <w:rsid w:val="00B37BC8"/>
    <w:rsid w:val="00B40D31"/>
    <w:rsid w:val="00B40E50"/>
    <w:rsid w:val="00B41025"/>
    <w:rsid w:val="00B41505"/>
    <w:rsid w:val="00B41942"/>
    <w:rsid w:val="00B41985"/>
    <w:rsid w:val="00B4291D"/>
    <w:rsid w:val="00B430A2"/>
    <w:rsid w:val="00B43288"/>
    <w:rsid w:val="00B438E2"/>
    <w:rsid w:val="00B43ED5"/>
    <w:rsid w:val="00B442A9"/>
    <w:rsid w:val="00B443AE"/>
    <w:rsid w:val="00B4466C"/>
    <w:rsid w:val="00B44B16"/>
    <w:rsid w:val="00B44D55"/>
    <w:rsid w:val="00B4548F"/>
    <w:rsid w:val="00B457F0"/>
    <w:rsid w:val="00B458D4"/>
    <w:rsid w:val="00B45E97"/>
    <w:rsid w:val="00B462D8"/>
    <w:rsid w:val="00B46418"/>
    <w:rsid w:val="00B46DE8"/>
    <w:rsid w:val="00B4728D"/>
    <w:rsid w:val="00B47907"/>
    <w:rsid w:val="00B47CDA"/>
    <w:rsid w:val="00B50318"/>
    <w:rsid w:val="00B505CA"/>
    <w:rsid w:val="00B50A16"/>
    <w:rsid w:val="00B50D25"/>
    <w:rsid w:val="00B50E0C"/>
    <w:rsid w:val="00B511EB"/>
    <w:rsid w:val="00B51261"/>
    <w:rsid w:val="00B51280"/>
    <w:rsid w:val="00B5185D"/>
    <w:rsid w:val="00B519FD"/>
    <w:rsid w:val="00B51EEB"/>
    <w:rsid w:val="00B520BC"/>
    <w:rsid w:val="00B52A7F"/>
    <w:rsid w:val="00B52E4A"/>
    <w:rsid w:val="00B52FC5"/>
    <w:rsid w:val="00B53481"/>
    <w:rsid w:val="00B539CC"/>
    <w:rsid w:val="00B53C93"/>
    <w:rsid w:val="00B53EF0"/>
    <w:rsid w:val="00B54683"/>
    <w:rsid w:val="00B54B72"/>
    <w:rsid w:val="00B54E19"/>
    <w:rsid w:val="00B55692"/>
    <w:rsid w:val="00B556AA"/>
    <w:rsid w:val="00B5593D"/>
    <w:rsid w:val="00B55E64"/>
    <w:rsid w:val="00B56012"/>
    <w:rsid w:val="00B563B1"/>
    <w:rsid w:val="00B5799E"/>
    <w:rsid w:val="00B57B93"/>
    <w:rsid w:val="00B57BA1"/>
    <w:rsid w:val="00B57BB8"/>
    <w:rsid w:val="00B57F7C"/>
    <w:rsid w:val="00B60CF4"/>
    <w:rsid w:val="00B60D6E"/>
    <w:rsid w:val="00B614C2"/>
    <w:rsid w:val="00B61B8D"/>
    <w:rsid w:val="00B62797"/>
    <w:rsid w:val="00B62CDA"/>
    <w:rsid w:val="00B62EC3"/>
    <w:rsid w:val="00B62FA6"/>
    <w:rsid w:val="00B63368"/>
    <w:rsid w:val="00B63379"/>
    <w:rsid w:val="00B633E1"/>
    <w:rsid w:val="00B6340D"/>
    <w:rsid w:val="00B63628"/>
    <w:rsid w:val="00B63943"/>
    <w:rsid w:val="00B63D24"/>
    <w:rsid w:val="00B63EE8"/>
    <w:rsid w:val="00B64416"/>
    <w:rsid w:val="00B648EA"/>
    <w:rsid w:val="00B64EB2"/>
    <w:rsid w:val="00B6507E"/>
    <w:rsid w:val="00B6516F"/>
    <w:rsid w:val="00B65172"/>
    <w:rsid w:val="00B6531A"/>
    <w:rsid w:val="00B657F2"/>
    <w:rsid w:val="00B65EB3"/>
    <w:rsid w:val="00B66109"/>
    <w:rsid w:val="00B66ACD"/>
    <w:rsid w:val="00B71C3F"/>
    <w:rsid w:val="00B7266A"/>
    <w:rsid w:val="00B7297D"/>
    <w:rsid w:val="00B7308C"/>
    <w:rsid w:val="00B73413"/>
    <w:rsid w:val="00B735E1"/>
    <w:rsid w:val="00B73E91"/>
    <w:rsid w:val="00B742DC"/>
    <w:rsid w:val="00B7465D"/>
    <w:rsid w:val="00B7474A"/>
    <w:rsid w:val="00B74A43"/>
    <w:rsid w:val="00B74C18"/>
    <w:rsid w:val="00B74C20"/>
    <w:rsid w:val="00B74FA8"/>
    <w:rsid w:val="00B756CC"/>
    <w:rsid w:val="00B7585F"/>
    <w:rsid w:val="00B7587E"/>
    <w:rsid w:val="00B759E5"/>
    <w:rsid w:val="00B75A32"/>
    <w:rsid w:val="00B75C64"/>
    <w:rsid w:val="00B75F76"/>
    <w:rsid w:val="00B761C3"/>
    <w:rsid w:val="00B766D3"/>
    <w:rsid w:val="00B76A95"/>
    <w:rsid w:val="00B77000"/>
    <w:rsid w:val="00B77627"/>
    <w:rsid w:val="00B779B8"/>
    <w:rsid w:val="00B779F3"/>
    <w:rsid w:val="00B77F5A"/>
    <w:rsid w:val="00B80165"/>
    <w:rsid w:val="00B803D3"/>
    <w:rsid w:val="00B80402"/>
    <w:rsid w:val="00B80CFD"/>
    <w:rsid w:val="00B80F52"/>
    <w:rsid w:val="00B812F1"/>
    <w:rsid w:val="00B81382"/>
    <w:rsid w:val="00B819E9"/>
    <w:rsid w:val="00B81A75"/>
    <w:rsid w:val="00B8203D"/>
    <w:rsid w:val="00B82097"/>
    <w:rsid w:val="00B8221C"/>
    <w:rsid w:val="00B82284"/>
    <w:rsid w:val="00B82AAB"/>
    <w:rsid w:val="00B82F9A"/>
    <w:rsid w:val="00B83455"/>
    <w:rsid w:val="00B83AED"/>
    <w:rsid w:val="00B83BFB"/>
    <w:rsid w:val="00B83DA8"/>
    <w:rsid w:val="00B84A2E"/>
    <w:rsid w:val="00B850C9"/>
    <w:rsid w:val="00B855A4"/>
    <w:rsid w:val="00B85B5F"/>
    <w:rsid w:val="00B85E27"/>
    <w:rsid w:val="00B86533"/>
    <w:rsid w:val="00B86C64"/>
    <w:rsid w:val="00B8754B"/>
    <w:rsid w:val="00B87CB4"/>
    <w:rsid w:val="00B87D93"/>
    <w:rsid w:val="00B90014"/>
    <w:rsid w:val="00B90D58"/>
    <w:rsid w:val="00B90EE1"/>
    <w:rsid w:val="00B90F70"/>
    <w:rsid w:val="00B910FD"/>
    <w:rsid w:val="00B91384"/>
    <w:rsid w:val="00B91601"/>
    <w:rsid w:val="00B91E10"/>
    <w:rsid w:val="00B91FDF"/>
    <w:rsid w:val="00B91FE8"/>
    <w:rsid w:val="00B924E6"/>
    <w:rsid w:val="00B92A64"/>
    <w:rsid w:val="00B92A8A"/>
    <w:rsid w:val="00B93380"/>
    <w:rsid w:val="00B936AF"/>
    <w:rsid w:val="00B93941"/>
    <w:rsid w:val="00B93A5F"/>
    <w:rsid w:val="00B93A66"/>
    <w:rsid w:val="00B93BF1"/>
    <w:rsid w:val="00B93C18"/>
    <w:rsid w:val="00B93C4E"/>
    <w:rsid w:val="00B948EB"/>
    <w:rsid w:val="00B94E84"/>
    <w:rsid w:val="00B94E86"/>
    <w:rsid w:val="00B951DE"/>
    <w:rsid w:val="00B9532C"/>
    <w:rsid w:val="00B958C6"/>
    <w:rsid w:val="00B96125"/>
    <w:rsid w:val="00B96EDA"/>
    <w:rsid w:val="00B9712F"/>
    <w:rsid w:val="00B97329"/>
    <w:rsid w:val="00B97406"/>
    <w:rsid w:val="00B97540"/>
    <w:rsid w:val="00B97637"/>
    <w:rsid w:val="00BA034E"/>
    <w:rsid w:val="00BA03CC"/>
    <w:rsid w:val="00BA09E8"/>
    <w:rsid w:val="00BA0BE9"/>
    <w:rsid w:val="00BA1312"/>
    <w:rsid w:val="00BA15E1"/>
    <w:rsid w:val="00BA1A2A"/>
    <w:rsid w:val="00BA1E14"/>
    <w:rsid w:val="00BA1FF0"/>
    <w:rsid w:val="00BA262D"/>
    <w:rsid w:val="00BA27E1"/>
    <w:rsid w:val="00BA29A7"/>
    <w:rsid w:val="00BA2CD2"/>
    <w:rsid w:val="00BA2E91"/>
    <w:rsid w:val="00BA2F0F"/>
    <w:rsid w:val="00BA2FCD"/>
    <w:rsid w:val="00BA32FD"/>
    <w:rsid w:val="00BA338B"/>
    <w:rsid w:val="00BA3F69"/>
    <w:rsid w:val="00BA4264"/>
    <w:rsid w:val="00BA446C"/>
    <w:rsid w:val="00BA4656"/>
    <w:rsid w:val="00BA47FA"/>
    <w:rsid w:val="00BA49AD"/>
    <w:rsid w:val="00BA4AA4"/>
    <w:rsid w:val="00BA4BDB"/>
    <w:rsid w:val="00BA4C3F"/>
    <w:rsid w:val="00BA4D37"/>
    <w:rsid w:val="00BA506C"/>
    <w:rsid w:val="00BA567C"/>
    <w:rsid w:val="00BA5698"/>
    <w:rsid w:val="00BA5780"/>
    <w:rsid w:val="00BA584F"/>
    <w:rsid w:val="00BA6379"/>
    <w:rsid w:val="00BA6647"/>
    <w:rsid w:val="00BA67A6"/>
    <w:rsid w:val="00BA6B18"/>
    <w:rsid w:val="00BA727A"/>
    <w:rsid w:val="00BA746B"/>
    <w:rsid w:val="00BA76FB"/>
    <w:rsid w:val="00BA7A11"/>
    <w:rsid w:val="00BA7AE1"/>
    <w:rsid w:val="00BB02C9"/>
    <w:rsid w:val="00BB0FCA"/>
    <w:rsid w:val="00BB1501"/>
    <w:rsid w:val="00BB16DA"/>
    <w:rsid w:val="00BB1796"/>
    <w:rsid w:val="00BB19F4"/>
    <w:rsid w:val="00BB1FD9"/>
    <w:rsid w:val="00BB1FDD"/>
    <w:rsid w:val="00BB25C4"/>
    <w:rsid w:val="00BB300C"/>
    <w:rsid w:val="00BB30A8"/>
    <w:rsid w:val="00BB32AD"/>
    <w:rsid w:val="00BB32B1"/>
    <w:rsid w:val="00BB3A8E"/>
    <w:rsid w:val="00BB3D2B"/>
    <w:rsid w:val="00BB422C"/>
    <w:rsid w:val="00BB44A7"/>
    <w:rsid w:val="00BB45D3"/>
    <w:rsid w:val="00BB4685"/>
    <w:rsid w:val="00BB4A64"/>
    <w:rsid w:val="00BB4C47"/>
    <w:rsid w:val="00BB5477"/>
    <w:rsid w:val="00BB56D3"/>
    <w:rsid w:val="00BB59DA"/>
    <w:rsid w:val="00BB5BC1"/>
    <w:rsid w:val="00BB6225"/>
    <w:rsid w:val="00BB656C"/>
    <w:rsid w:val="00BB660E"/>
    <w:rsid w:val="00BB6612"/>
    <w:rsid w:val="00BB6A84"/>
    <w:rsid w:val="00BC0091"/>
    <w:rsid w:val="00BC0924"/>
    <w:rsid w:val="00BC12D2"/>
    <w:rsid w:val="00BC16E2"/>
    <w:rsid w:val="00BC1A9C"/>
    <w:rsid w:val="00BC1D80"/>
    <w:rsid w:val="00BC21F4"/>
    <w:rsid w:val="00BC2D79"/>
    <w:rsid w:val="00BC2DFC"/>
    <w:rsid w:val="00BC3525"/>
    <w:rsid w:val="00BC3CD6"/>
    <w:rsid w:val="00BC3CEC"/>
    <w:rsid w:val="00BC4002"/>
    <w:rsid w:val="00BC42B7"/>
    <w:rsid w:val="00BC45A0"/>
    <w:rsid w:val="00BC46B2"/>
    <w:rsid w:val="00BC5259"/>
    <w:rsid w:val="00BC5614"/>
    <w:rsid w:val="00BC615F"/>
    <w:rsid w:val="00BC635B"/>
    <w:rsid w:val="00BC6673"/>
    <w:rsid w:val="00BC6F83"/>
    <w:rsid w:val="00BC77D1"/>
    <w:rsid w:val="00BC7977"/>
    <w:rsid w:val="00BC79EB"/>
    <w:rsid w:val="00BC7D67"/>
    <w:rsid w:val="00BD081F"/>
    <w:rsid w:val="00BD0A86"/>
    <w:rsid w:val="00BD0D70"/>
    <w:rsid w:val="00BD0EBC"/>
    <w:rsid w:val="00BD1381"/>
    <w:rsid w:val="00BD1BB3"/>
    <w:rsid w:val="00BD1C9D"/>
    <w:rsid w:val="00BD1EBF"/>
    <w:rsid w:val="00BD24AE"/>
    <w:rsid w:val="00BD28C0"/>
    <w:rsid w:val="00BD36CC"/>
    <w:rsid w:val="00BD3B5B"/>
    <w:rsid w:val="00BD3C12"/>
    <w:rsid w:val="00BD42A3"/>
    <w:rsid w:val="00BD4915"/>
    <w:rsid w:val="00BD49AF"/>
    <w:rsid w:val="00BD4BC5"/>
    <w:rsid w:val="00BD561D"/>
    <w:rsid w:val="00BD562B"/>
    <w:rsid w:val="00BD5A73"/>
    <w:rsid w:val="00BD5B4E"/>
    <w:rsid w:val="00BD6005"/>
    <w:rsid w:val="00BD644A"/>
    <w:rsid w:val="00BD67D9"/>
    <w:rsid w:val="00BD688E"/>
    <w:rsid w:val="00BD697E"/>
    <w:rsid w:val="00BD6AF0"/>
    <w:rsid w:val="00BD71FF"/>
    <w:rsid w:val="00BD75A4"/>
    <w:rsid w:val="00BD762E"/>
    <w:rsid w:val="00BD7DED"/>
    <w:rsid w:val="00BD7FCF"/>
    <w:rsid w:val="00BE0338"/>
    <w:rsid w:val="00BE0366"/>
    <w:rsid w:val="00BE0E82"/>
    <w:rsid w:val="00BE1269"/>
    <w:rsid w:val="00BE15A7"/>
    <w:rsid w:val="00BE1645"/>
    <w:rsid w:val="00BE1668"/>
    <w:rsid w:val="00BE1DAC"/>
    <w:rsid w:val="00BE2780"/>
    <w:rsid w:val="00BE278D"/>
    <w:rsid w:val="00BE29CC"/>
    <w:rsid w:val="00BE2BFF"/>
    <w:rsid w:val="00BE3A5E"/>
    <w:rsid w:val="00BE3D4B"/>
    <w:rsid w:val="00BE3E77"/>
    <w:rsid w:val="00BE458E"/>
    <w:rsid w:val="00BE4FFD"/>
    <w:rsid w:val="00BE516C"/>
    <w:rsid w:val="00BE52F4"/>
    <w:rsid w:val="00BE5644"/>
    <w:rsid w:val="00BE56E0"/>
    <w:rsid w:val="00BE59FD"/>
    <w:rsid w:val="00BE5A8D"/>
    <w:rsid w:val="00BE60A0"/>
    <w:rsid w:val="00BE635F"/>
    <w:rsid w:val="00BE69D3"/>
    <w:rsid w:val="00BE744A"/>
    <w:rsid w:val="00BE781A"/>
    <w:rsid w:val="00BE7864"/>
    <w:rsid w:val="00BE7B4D"/>
    <w:rsid w:val="00BE7E00"/>
    <w:rsid w:val="00BF0302"/>
    <w:rsid w:val="00BF15F4"/>
    <w:rsid w:val="00BF1756"/>
    <w:rsid w:val="00BF1AC5"/>
    <w:rsid w:val="00BF1E11"/>
    <w:rsid w:val="00BF3244"/>
    <w:rsid w:val="00BF370A"/>
    <w:rsid w:val="00BF37D3"/>
    <w:rsid w:val="00BF3B32"/>
    <w:rsid w:val="00BF3B7A"/>
    <w:rsid w:val="00BF40E4"/>
    <w:rsid w:val="00BF417D"/>
    <w:rsid w:val="00BF460E"/>
    <w:rsid w:val="00BF51B6"/>
    <w:rsid w:val="00BF533B"/>
    <w:rsid w:val="00BF5602"/>
    <w:rsid w:val="00BF5F23"/>
    <w:rsid w:val="00BF6307"/>
    <w:rsid w:val="00BF6406"/>
    <w:rsid w:val="00BF69AF"/>
    <w:rsid w:val="00BF7028"/>
    <w:rsid w:val="00BF7A4D"/>
    <w:rsid w:val="00BF7B09"/>
    <w:rsid w:val="00C00087"/>
    <w:rsid w:val="00C0024B"/>
    <w:rsid w:val="00C00294"/>
    <w:rsid w:val="00C00733"/>
    <w:rsid w:val="00C01386"/>
    <w:rsid w:val="00C014DE"/>
    <w:rsid w:val="00C014FB"/>
    <w:rsid w:val="00C01D76"/>
    <w:rsid w:val="00C01EA5"/>
    <w:rsid w:val="00C01EF1"/>
    <w:rsid w:val="00C022B8"/>
    <w:rsid w:val="00C0278C"/>
    <w:rsid w:val="00C02D35"/>
    <w:rsid w:val="00C0318C"/>
    <w:rsid w:val="00C03246"/>
    <w:rsid w:val="00C03370"/>
    <w:rsid w:val="00C03498"/>
    <w:rsid w:val="00C03585"/>
    <w:rsid w:val="00C04101"/>
    <w:rsid w:val="00C0414A"/>
    <w:rsid w:val="00C04366"/>
    <w:rsid w:val="00C04695"/>
    <w:rsid w:val="00C04737"/>
    <w:rsid w:val="00C04852"/>
    <w:rsid w:val="00C04F90"/>
    <w:rsid w:val="00C05069"/>
    <w:rsid w:val="00C0546A"/>
    <w:rsid w:val="00C05BD5"/>
    <w:rsid w:val="00C05D10"/>
    <w:rsid w:val="00C0604C"/>
    <w:rsid w:val="00C0616B"/>
    <w:rsid w:val="00C064DC"/>
    <w:rsid w:val="00C06A8D"/>
    <w:rsid w:val="00C06B49"/>
    <w:rsid w:val="00C06BE3"/>
    <w:rsid w:val="00C06D16"/>
    <w:rsid w:val="00C07215"/>
    <w:rsid w:val="00C07225"/>
    <w:rsid w:val="00C07883"/>
    <w:rsid w:val="00C07962"/>
    <w:rsid w:val="00C07FEF"/>
    <w:rsid w:val="00C10281"/>
    <w:rsid w:val="00C102E0"/>
    <w:rsid w:val="00C10325"/>
    <w:rsid w:val="00C1054F"/>
    <w:rsid w:val="00C108A7"/>
    <w:rsid w:val="00C10C8E"/>
    <w:rsid w:val="00C1111B"/>
    <w:rsid w:val="00C11558"/>
    <w:rsid w:val="00C1155E"/>
    <w:rsid w:val="00C1175F"/>
    <w:rsid w:val="00C1184A"/>
    <w:rsid w:val="00C12168"/>
    <w:rsid w:val="00C12273"/>
    <w:rsid w:val="00C13291"/>
    <w:rsid w:val="00C13671"/>
    <w:rsid w:val="00C13A22"/>
    <w:rsid w:val="00C13A33"/>
    <w:rsid w:val="00C13B20"/>
    <w:rsid w:val="00C13C5D"/>
    <w:rsid w:val="00C13C78"/>
    <w:rsid w:val="00C14204"/>
    <w:rsid w:val="00C144F0"/>
    <w:rsid w:val="00C14599"/>
    <w:rsid w:val="00C14697"/>
    <w:rsid w:val="00C149BD"/>
    <w:rsid w:val="00C14C9A"/>
    <w:rsid w:val="00C14FFA"/>
    <w:rsid w:val="00C15154"/>
    <w:rsid w:val="00C15385"/>
    <w:rsid w:val="00C157DE"/>
    <w:rsid w:val="00C158C7"/>
    <w:rsid w:val="00C16367"/>
    <w:rsid w:val="00C166BA"/>
    <w:rsid w:val="00C16B9B"/>
    <w:rsid w:val="00C16D5E"/>
    <w:rsid w:val="00C16E92"/>
    <w:rsid w:val="00C176AF"/>
    <w:rsid w:val="00C20997"/>
    <w:rsid w:val="00C214D0"/>
    <w:rsid w:val="00C21A06"/>
    <w:rsid w:val="00C21EA3"/>
    <w:rsid w:val="00C2200D"/>
    <w:rsid w:val="00C22016"/>
    <w:rsid w:val="00C22246"/>
    <w:rsid w:val="00C22674"/>
    <w:rsid w:val="00C22A96"/>
    <w:rsid w:val="00C22C89"/>
    <w:rsid w:val="00C22FF6"/>
    <w:rsid w:val="00C23131"/>
    <w:rsid w:val="00C234CC"/>
    <w:rsid w:val="00C235CC"/>
    <w:rsid w:val="00C2390E"/>
    <w:rsid w:val="00C24C52"/>
    <w:rsid w:val="00C24F51"/>
    <w:rsid w:val="00C25B84"/>
    <w:rsid w:val="00C25BDA"/>
    <w:rsid w:val="00C25DB7"/>
    <w:rsid w:val="00C260E0"/>
    <w:rsid w:val="00C260E5"/>
    <w:rsid w:val="00C263F1"/>
    <w:rsid w:val="00C2673E"/>
    <w:rsid w:val="00C26C70"/>
    <w:rsid w:val="00C27D6D"/>
    <w:rsid w:val="00C302B6"/>
    <w:rsid w:val="00C3074B"/>
    <w:rsid w:val="00C313C3"/>
    <w:rsid w:val="00C3152D"/>
    <w:rsid w:val="00C3166E"/>
    <w:rsid w:val="00C3206C"/>
    <w:rsid w:val="00C322D6"/>
    <w:rsid w:val="00C3237B"/>
    <w:rsid w:val="00C32994"/>
    <w:rsid w:val="00C32A51"/>
    <w:rsid w:val="00C32B86"/>
    <w:rsid w:val="00C33104"/>
    <w:rsid w:val="00C33200"/>
    <w:rsid w:val="00C332D4"/>
    <w:rsid w:val="00C33B7F"/>
    <w:rsid w:val="00C33F46"/>
    <w:rsid w:val="00C34427"/>
    <w:rsid w:val="00C3465F"/>
    <w:rsid w:val="00C35158"/>
    <w:rsid w:val="00C351EF"/>
    <w:rsid w:val="00C35258"/>
    <w:rsid w:val="00C354C0"/>
    <w:rsid w:val="00C35549"/>
    <w:rsid w:val="00C35CFF"/>
    <w:rsid w:val="00C36329"/>
    <w:rsid w:val="00C366BF"/>
    <w:rsid w:val="00C36C23"/>
    <w:rsid w:val="00C36E14"/>
    <w:rsid w:val="00C36EA4"/>
    <w:rsid w:val="00C375BE"/>
    <w:rsid w:val="00C379A2"/>
    <w:rsid w:val="00C37A4F"/>
    <w:rsid w:val="00C37AB9"/>
    <w:rsid w:val="00C37C1B"/>
    <w:rsid w:val="00C37D61"/>
    <w:rsid w:val="00C37DB8"/>
    <w:rsid w:val="00C4106D"/>
    <w:rsid w:val="00C412AB"/>
    <w:rsid w:val="00C4138A"/>
    <w:rsid w:val="00C41618"/>
    <w:rsid w:val="00C4181F"/>
    <w:rsid w:val="00C418A6"/>
    <w:rsid w:val="00C41B2F"/>
    <w:rsid w:val="00C41BDA"/>
    <w:rsid w:val="00C41E8A"/>
    <w:rsid w:val="00C4214E"/>
    <w:rsid w:val="00C42210"/>
    <w:rsid w:val="00C42276"/>
    <w:rsid w:val="00C422C9"/>
    <w:rsid w:val="00C429E3"/>
    <w:rsid w:val="00C42B84"/>
    <w:rsid w:val="00C42B9D"/>
    <w:rsid w:val="00C4412E"/>
    <w:rsid w:val="00C443B9"/>
    <w:rsid w:val="00C44564"/>
    <w:rsid w:val="00C44DAC"/>
    <w:rsid w:val="00C44DD8"/>
    <w:rsid w:val="00C450F3"/>
    <w:rsid w:val="00C45215"/>
    <w:rsid w:val="00C4594B"/>
    <w:rsid w:val="00C459E8"/>
    <w:rsid w:val="00C45A70"/>
    <w:rsid w:val="00C45CED"/>
    <w:rsid w:val="00C45F13"/>
    <w:rsid w:val="00C46026"/>
    <w:rsid w:val="00C460A4"/>
    <w:rsid w:val="00C465BE"/>
    <w:rsid w:val="00C46CB0"/>
    <w:rsid w:val="00C475AB"/>
    <w:rsid w:val="00C477A4"/>
    <w:rsid w:val="00C47AC4"/>
    <w:rsid w:val="00C47C50"/>
    <w:rsid w:val="00C5023D"/>
    <w:rsid w:val="00C5037B"/>
    <w:rsid w:val="00C51011"/>
    <w:rsid w:val="00C51382"/>
    <w:rsid w:val="00C513D8"/>
    <w:rsid w:val="00C51614"/>
    <w:rsid w:val="00C51C42"/>
    <w:rsid w:val="00C5242F"/>
    <w:rsid w:val="00C52935"/>
    <w:rsid w:val="00C52B9A"/>
    <w:rsid w:val="00C52BB2"/>
    <w:rsid w:val="00C52EF1"/>
    <w:rsid w:val="00C52FEB"/>
    <w:rsid w:val="00C53270"/>
    <w:rsid w:val="00C532B6"/>
    <w:rsid w:val="00C53383"/>
    <w:rsid w:val="00C533F0"/>
    <w:rsid w:val="00C537AB"/>
    <w:rsid w:val="00C53CCE"/>
    <w:rsid w:val="00C53FA7"/>
    <w:rsid w:val="00C542E3"/>
    <w:rsid w:val="00C54558"/>
    <w:rsid w:val="00C5458A"/>
    <w:rsid w:val="00C549F4"/>
    <w:rsid w:val="00C554EB"/>
    <w:rsid w:val="00C55834"/>
    <w:rsid w:val="00C558AB"/>
    <w:rsid w:val="00C560AC"/>
    <w:rsid w:val="00C561AC"/>
    <w:rsid w:val="00C561C0"/>
    <w:rsid w:val="00C56513"/>
    <w:rsid w:val="00C56B38"/>
    <w:rsid w:val="00C571D6"/>
    <w:rsid w:val="00C5781C"/>
    <w:rsid w:val="00C578B5"/>
    <w:rsid w:val="00C600D1"/>
    <w:rsid w:val="00C600F6"/>
    <w:rsid w:val="00C60343"/>
    <w:rsid w:val="00C605C7"/>
    <w:rsid w:val="00C605DC"/>
    <w:rsid w:val="00C60A72"/>
    <w:rsid w:val="00C614E9"/>
    <w:rsid w:val="00C61568"/>
    <w:rsid w:val="00C61A6A"/>
    <w:rsid w:val="00C62265"/>
    <w:rsid w:val="00C6230D"/>
    <w:rsid w:val="00C62505"/>
    <w:rsid w:val="00C62515"/>
    <w:rsid w:val="00C62659"/>
    <w:rsid w:val="00C62EDE"/>
    <w:rsid w:val="00C62F1C"/>
    <w:rsid w:val="00C6327D"/>
    <w:rsid w:val="00C63AAE"/>
    <w:rsid w:val="00C642E9"/>
    <w:rsid w:val="00C65DF2"/>
    <w:rsid w:val="00C65E1B"/>
    <w:rsid w:val="00C667D4"/>
    <w:rsid w:val="00C668FF"/>
    <w:rsid w:val="00C66BAF"/>
    <w:rsid w:val="00C66D2C"/>
    <w:rsid w:val="00C671A7"/>
    <w:rsid w:val="00C6774E"/>
    <w:rsid w:val="00C67922"/>
    <w:rsid w:val="00C67971"/>
    <w:rsid w:val="00C70195"/>
    <w:rsid w:val="00C701A0"/>
    <w:rsid w:val="00C702B1"/>
    <w:rsid w:val="00C702CE"/>
    <w:rsid w:val="00C703BE"/>
    <w:rsid w:val="00C706D5"/>
    <w:rsid w:val="00C70956"/>
    <w:rsid w:val="00C70A75"/>
    <w:rsid w:val="00C71C3F"/>
    <w:rsid w:val="00C726B5"/>
    <w:rsid w:val="00C72702"/>
    <w:rsid w:val="00C72FA9"/>
    <w:rsid w:val="00C73950"/>
    <w:rsid w:val="00C739EA"/>
    <w:rsid w:val="00C73A42"/>
    <w:rsid w:val="00C73B28"/>
    <w:rsid w:val="00C73DF3"/>
    <w:rsid w:val="00C740BE"/>
    <w:rsid w:val="00C74514"/>
    <w:rsid w:val="00C74C19"/>
    <w:rsid w:val="00C751BB"/>
    <w:rsid w:val="00C752B5"/>
    <w:rsid w:val="00C7553D"/>
    <w:rsid w:val="00C75614"/>
    <w:rsid w:val="00C759ED"/>
    <w:rsid w:val="00C76260"/>
    <w:rsid w:val="00C7662D"/>
    <w:rsid w:val="00C76683"/>
    <w:rsid w:val="00C768D0"/>
    <w:rsid w:val="00C76A25"/>
    <w:rsid w:val="00C76A39"/>
    <w:rsid w:val="00C76C93"/>
    <w:rsid w:val="00C76D97"/>
    <w:rsid w:val="00C76F02"/>
    <w:rsid w:val="00C7701F"/>
    <w:rsid w:val="00C7727C"/>
    <w:rsid w:val="00C779CD"/>
    <w:rsid w:val="00C77D8F"/>
    <w:rsid w:val="00C801C6"/>
    <w:rsid w:val="00C8025D"/>
    <w:rsid w:val="00C803D2"/>
    <w:rsid w:val="00C806A2"/>
    <w:rsid w:val="00C80AB1"/>
    <w:rsid w:val="00C80BC5"/>
    <w:rsid w:val="00C80E1E"/>
    <w:rsid w:val="00C80E5E"/>
    <w:rsid w:val="00C81562"/>
    <w:rsid w:val="00C815ED"/>
    <w:rsid w:val="00C81FB8"/>
    <w:rsid w:val="00C81FD6"/>
    <w:rsid w:val="00C8227F"/>
    <w:rsid w:val="00C82443"/>
    <w:rsid w:val="00C83A0F"/>
    <w:rsid w:val="00C83BEB"/>
    <w:rsid w:val="00C83E25"/>
    <w:rsid w:val="00C83F8F"/>
    <w:rsid w:val="00C8409E"/>
    <w:rsid w:val="00C84533"/>
    <w:rsid w:val="00C84875"/>
    <w:rsid w:val="00C84C0C"/>
    <w:rsid w:val="00C84C73"/>
    <w:rsid w:val="00C84D7E"/>
    <w:rsid w:val="00C8510B"/>
    <w:rsid w:val="00C854D4"/>
    <w:rsid w:val="00C8556B"/>
    <w:rsid w:val="00C856C2"/>
    <w:rsid w:val="00C8574E"/>
    <w:rsid w:val="00C85E4E"/>
    <w:rsid w:val="00C8657C"/>
    <w:rsid w:val="00C86897"/>
    <w:rsid w:val="00C86E35"/>
    <w:rsid w:val="00C87275"/>
    <w:rsid w:val="00C8757E"/>
    <w:rsid w:val="00C87F28"/>
    <w:rsid w:val="00C90556"/>
    <w:rsid w:val="00C90A6E"/>
    <w:rsid w:val="00C90D94"/>
    <w:rsid w:val="00C912D0"/>
    <w:rsid w:val="00C91397"/>
    <w:rsid w:val="00C916C7"/>
    <w:rsid w:val="00C918B1"/>
    <w:rsid w:val="00C91BE9"/>
    <w:rsid w:val="00C920FA"/>
    <w:rsid w:val="00C92668"/>
    <w:rsid w:val="00C9272C"/>
    <w:rsid w:val="00C927ED"/>
    <w:rsid w:val="00C92817"/>
    <w:rsid w:val="00C928F6"/>
    <w:rsid w:val="00C92B14"/>
    <w:rsid w:val="00C92C77"/>
    <w:rsid w:val="00C92C90"/>
    <w:rsid w:val="00C92DBA"/>
    <w:rsid w:val="00C94242"/>
    <w:rsid w:val="00C94472"/>
    <w:rsid w:val="00C94766"/>
    <w:rsid w:val="00C94951"/>
    <w:rsid w:val="00C94BC3"/>
    <w:rsid w:val="00C94C64"/>
    <w:rsid w:val="00C95091"/>
    <w:rsid w:val="00C950AD"/>
    <w:rsid w:val="00C95154"/>
    <w:rsid w:val="00C9573A"/>
    <w:rsid w:val="00C95885"/>
    <w:rsid w:val="00C9597B"/>
    <w:rsid w:val="00C95A71"/>
    <w:rsid w:val="00C96837"/>
    <w:rsid w:val="00C96B45"/>
    <w:rsid w:val="00C96BB3"/>
    <w:rsid w:val="00C96D1E"/>
    <w:rsid w:val="00C96D2D"/>
    <w:rsid w:val="00C9723A"/>
    <w:rsid w:val="00C974A6"/>
    <w:rsid w:val="00C976DC"/>
    <w:rsid w:val="00C97DF6"/>
    <w:rsid w:val="00C97EDC"/>
    <w:rsid w:val="00C97F54"/>
    <w:rsid w:val="00C97F7B"/>
    <w:rsid w:val="00CA0231"/>
    <w:rsid w:val="00CA0D78"/>
    <w:rsid w:val="00CA10A6"/>
    <w:rsid w:val="00CA1488"/>
    <w:rsid w:val="00CA1492"/>
    <w:rsid w:val="00CA188B"/>
    <w:rsid w:val="00CA1A4A"/>
    <w:rsid w:val="00CA1A8E"/>
    <w:rsid w:val="00CA1F57"/>
    <w:rsid w:val="00CA36B1"/>
    <w:rsid w:val="00CA36F3"/>
    <w:rsid w:val="00CA457B"/>
    <w:rsid w:val="00CA4855"/>
    <w:rsid w:val="00CA498D"/>
    <w:rsid w:val="00CA4F91"/>
    <w:rsid w:val="00CA5547"/>
    <w:rsid w:val="00CA5D90"/>
    <w:rsid w:val="00CA6415"/>
    <w:rsid w:val="00CA65B0"/>
    <w:rsid w:val="00CA678C"/>
    <w:rsid w:val="00CA68A0"/>
    <w:rsid w:val="00CA6CCA"/>
    <w:rsid w:val="00CA6D0F"/>
    <w:rsid w:val="00CA6DC9"/>
    <w:rsid w:val="00CA7251"/>
    <w:rsid w:val="00CA7512"/>
    <w:rsid w:val="00CA79DD"/>
    <w:rsid w:val="00CB0106"/>
    <w:rsid w:val="00CB060E"/>
    <w:rsid w:val="00CB06E6"/>
    <w:rsid w:val="00CB06FC"/>
    <w:rsid w:val="00CB0A24"/>
    <w:rsid w:val="00CB133B"/>
    <w:rsid w:val="00CB2146"/>
    <w:rsid w:val="00CB22D6"/>
    <w:rsid w:val="00CB24FE"/>
    <w:rsid w:val="00CB2A06"/>
    <w:rsid w:val="00CB33DF"/>
    <w:rsid w:val="00CB3BDD"/>
    <w:rsid w:val="00CB45BA"/>
    <w:rsid w:val="00CB4AB9"/>
    <w:rsid w:val="00CB4E7F"/>
    <w:rsid w:val="00CB5B14"/>
    <w:rsid w:val="00CB5BC5"/>
    <w:rsid w:val="00CB5FAF"/>
    <w:rsid w:val="00CB61A3"/>
    <w:rsid w:val="00CB6432"/>
    <w:rsid w:val="00CB6A7D"/>
    <w:rsid w:val="00CB6B17"/>
    <w:rsid w:val="00CC00B1"/>
    <w:rsid w:val="00CC0289"/>
    <w:rsid w:val="00CC0580"/>
    <w:rsid w:val="00CC07D5"/>
    <w:rsid w:val="00CC0F97"/>
    <w:rsid w:val="00CC16F9"/>
    <w:rsid w:val="00CC2014"/>
    <w:rsid w:val="00CC2AA0"/>
    <w:rsid w:val="00CC2E10"/>
    <w:rsid w:val="00CC33EC"/>
    <w:rsid w:val="00CC40B7"/>
    <w:rsid w:val="00CC41A1"/>
    <w:rsid w:val="00CC4EAC"/>
    <w:rsid w:val="00CC5B70"/>
    <w:rsid w:val="00CC668C"/>
    <w:rsid w:val="00CC69AC"/>
    <w:rsid w:val="00CC7537"/>
    <w:rsid w:val="00CC7BF2"/>
    <w:rsid w:val="00CC7E5E"/>
    <w:rsid w:val="00CC7F0E"/>
    <w:rsid w:val="00CD059F"/>
    <w:rsid w:val="00CD0AA6"/>
    <w:rsid w:val="00CD0AC1"/>
    <w:rsid w:val="00CD130E"/>
    <w:rsid w:val="00CD1BAD"/>
    <w:rsid w:val="00CD27A6"/>
    <w:rsid w:val="00CD288D"/>
    <w:rsid w:val="00CD293B"/>
    <w:rsid w:val="00CD30C1"/>
    <w:rsid w:val="00CD39D6"/>
    <w:rsid w:val="00CD3FF5"/>
    <w:rsid w:val="00CD4085"/>
    <w:rsid w:val="00CD45A6"/>
    <w:rsid w:val="00CD4D10"/>
    <w:rsid w:val="00CD4D1C"/>
    <w:rsid w:val="00CD540A"/>
    <w:rsid w:val="00CD5642"/>
    <w:rsid w:val="00CD570C"/>
    <w:rsid w:val="00CD58FD"/>
    <w:rsid w:val="00CD5C94"/>
    <w:rsid w:val="00CD6190"/>
    <w:rsid w:val="00CD6494"/>
    <w:rsid w:val="00CD65DE"/>
    <w:rsid w:val="00CD663E"/>
    <w:rsid w:val="00CD6D56"/>
    <w:rsid w:val="00CD718E"/>
    <w:rsid w:val="00CD7255"/>
    <w:rsid w:val="00CD7B7F"/>
    <w:rsid w:val="00CD7C70"/>
    <w:rsid w:val="00CE0583"/>
    <w:rsid w:val="00CE0787"/>
    <w:rsid w:val="00CE090D"/>
    <w:rsid w:val="00CE0B49"/>
    <w:rsid w:val="00CE0CA4"/>
    <w:rsid w:val="00CE0DAB"/>
    <w:rsid w:val="00CE1561"/>
    <w:rsid w:val="00CE15D1"/>
    <w:rsid w:val="00CE190F"/>
    <w:rsid w:val="00CE19AE"/>
    <w:rsid w:val="00CE21AF"/>
    <w:rsid w:val="00CE2391"/>
    <w:rsid w:val="00CE2A4D"/>
    <w:rsid w:val="00CE3211"/>
    <w:rsid w:val="00CE32D3"/>
    <w:rsid w:val="00CE3890"/>
    <w:rsid w:val="00CE3C1D"/>
    <w:rsid w:val="00CE3CBA"/>
    <w:rsid w:val="00CE3EBC"/>
    <w:rsid w:val="00CE443B"/>
    <w:rsid w:val="00CE458E"/>
    <w:rsid w:val="00CE5FC5"/>
    <w:rsid w:val="00CE6012"/>
    <w:rsid w:val="00CE63A9"/>
    <w:rsid w:val="00CE7192"/>
    <w:rsid w:val="00CE7506"/>
    <w:rsid w:val="00CE7AD3"/>
    <w:rsid w:val="00CF0030"/>
    <w:rsid w:val="00CF09C3"/>
    <w:rsid w:val="00CF103A"/>
    <w:rsid w:val="00CF1069"/>
    <w:rsid w:val="00CF1106"/>
    <w:rsid w:val="00CF16DA"/>
    <w:rsid w:val="00CF1976"/>
    <w:rsid w:val="00CF1A5C"/>
    <w:rsid w:val="00CF1CC9"/>
    <w:rsid w:val="00CF1CE6"/>
    <w:rsid w:val="00CF20B8"/>
    <w:rsid w:val="00CF2885"/>
    <w:rsid w:val="00CF3113"/>
    <w:rsid w:val="00CF358A"/>
    <w:rsid w:val="00CF3ABD"/>
    <w:rsid w:val="00CF3C04"/>
    <w:rsid w:val="00CF40B3"/>
    <w:rsid w:val="00CF42B8"/>
    <w:rsid w:val="00CF4B53"/>
    <w:rsid w:val="00CF4D83"/>
    <w:rsid w:val="00CF4E20"/>
    <w:rsid w:val="00CF58E9"/>
    <w:rsid w:val="00CF6010"/>
    <w:rsid w:val="00CF695D"/>
    <w:rsid w:val="00CF769B"/>
    <w:rsid w:val="00CF788A"/>
    <w:rsid w:val="00D00327"/>
    <w:rsid w:val="00D0048E"/>
    <w:rsid w:val="00D0049A"/>
    <w:rsid w:val="00D007DC"/>
    <w:rsid w:val="00D0084F"/>
    <w:rsid w:val="00D00AA1"/>
    <w:rsid w:val="00D00CBB"/>
    <w:rsid w:val="00D014B0"/>
    <w:rsid w:val="00D01A93"/>
    <w:rsid w:val="00D02403"/>
    <w:rsid w:val="00D0252C"/>
    <w:rsid w:val="00D02823"/>
    <w:rsid w:val="00D02A42"/>
    <w:rsid w:val="00D03307"/>
    <w:rsid w:val="00D037F5"/>
    <w:rsid w:val="00D03A85"/>
    <w:rsid w:val="00D03A98"/>
    <w:rsid w:val="00D03DFE"/>
    <w:rsid w:val="00D03E47"/>
    <w:rsid w:val="00D0465E"/>
    <w:rsid w:val="00D04C1D"/>
    <w:rsid w:val="00D04FD7"/>
    <w:rsid w:val="00D057D4"/>
    <w:rsid w:val="00D05BF8"/>
    <w:rsid w:val="00D05E71"/>
    <w:rsid w:val="00D06274"/>
    <w:rsid w:val="00D06283"/>
    <w:rsid w:val="00D064F7"/>
    <w:rsid w:val="00D068F2"/>
    <w:rsid w:val="00D0698D"/>
    <w:rsid w:val="00D06CDD"/>
    <w:rsid w:val="00D06D4D"/>
    <w:rsid w:val="00D071A9"/>
    <w:rsid w:val="00D07650"/>
    <w:rsid w:val="00D0773A"/>
    <w:rsid w:val="00D10135"/>
    <w:rsid w:val="00D1042E"/>
    <w:rsid w:val="00D10AEB"/>
    <w:rsid w:val="00D10DC3"/>
    <w:rsid w:val="00D11473"/>
    <w:rsid w:val="00D115B2"/>
    <w:rsid w:val="00D1195A"/>
    <w:rsid w:val="00D11A8E"/>
    <w:rsid w:val="00D11EE8"/>
    <w:rsid w:val="00D11F29"/>
    <w:rsid w:val="00D12567"/>
    <w:rsid w:val="00D12588"/>
    <w:rsid w:val="00D12BCD"/>
    <w:rsid w:val="00D12EB7"/>
    <w:rsid w:val="00D12F4F"/>
    <w:rsid w:val="00D130FE"/>
    <w:rsid w:val="00D13104"/>
    <w:rsid w:val="00D13175"/>
    <w:rsid w:val="00D13276"/>
    <w:rsid w:val="00D132D0"/>
    <w:rsid w:val="00D13472"/>
    <w:rsid w:val="00D13C37"/>
    <w:rsid w:val="00D145FB"/>
    <w:rsid w:val="00D147AC"/>
    <w:rsid w:val="00D150E8"/>
    <w:rsid w:val="00D15280"/>
    <w:rsid w:val="00D1532A"/>
    <w:rsid w:val="00D15799"/>
    <w:rsid w:val="00D1597C"/>
    <w:rsid w:val="00D15E86"/>
    <w:rsid w:val="00D16380"/>
    <w:rsid w:val="00D16410"/>
    <w:rsid w:val="00D16CBB"/>
    <w:rsid w:val="00D16DED"/>
    <w:rsid w:val="00D16F3C"/>
    <w:rsid w:val="00D17129"/>
    <w:rsid w:val="00D174F5"/>
    <w:rsid w:val="00D203CE"/>
    <w:rsid w:val="00D20E9E"/>
    <w:rsid w:val="00D20EC3"/>
    <w:rsid w:val="00D20FD3"/>
    <w:rsid w:val="00D214DE"/>
    <w:rsid w:val="00D215B9"/>
    <w:rsid w:val="00D21BBD"/>
    <w:rsid w:val="00D21D36"/>
    <w:rsid w:val="00D21D83"/>
    <w:rsid w:val="00D21DBE"/>
    <w:rsid w:val="00D226FF"/>
    <w:rsid w:val="00D227FA"/>
    <w:rsid w:val="00D227FC"/>
    <w:rsid w:val="00D22EBD"/>
    <w:rsid w:val="00D22FD9"/>
    <w:rsid w:val="00D2358D"/>
    <w:rsid w:val="00D23AB3"/>
    <w:rsid w:val="00D23F02"/>
    <w:rsid w:val="00D23F91"/>
    <w:rsid w:val="00D240F5"/>
    <w:rsid w:val="00D243A4"/>
    <w:rsid w:val="00D244AB"/>
    <w:rsid w:val="00D2451E"/>
    <w:rsid w:val="00D24DCD"/>
    <w:rsid w:val="00D24E9A"/>
    <w:rsid w:val="00D24EAB"/>
    <w:rsid w:val="00D250A5"/>
    <w:rsid w:val="00D2529D"/>
    <w:rsid w:val="00D2534B"/>
    <w:rsid w:val="00D25472"/>
    <w:rsid w:val="00D25789"/>
    <w:rsid w:val="00D25C9F"/>
    <w:rsid w:val="00D25E19"/>
    <w:rsid w:val="00D2606C"/>
    <w:rsid w:val="00D26D64"/>
    <w:rsid w:val="00D27103"/>
    <w:rsid w:val="00D27EA2"/>
    <w:rsid w:val="00D303B6"/>
    <w:rsid w:val="00D30418"/>
    <w:rsid w:val="00D3075C"/>
    <w:rsid w:val="00D30985"/>
    <w:rsid w:val="00D309D2"/>
    <w:rsid w:val="00D314F4"/>
    <w:rsid w:val="00D31ACC"/>
    <w:rsid w:val="00D31B01"/>
    <w:rsid w:val="00D31BD1"/>
    <w:rsid w:val="00D31D3B"/>
    <w:rsid w:val="00D31F1F"/>
    <w:rsid w:val="00D32189"/>
    <w:rsid w:val="00D328C5"/>
    <w:rsid w:val="00D32B88"/>
    <w:rsid w:val="00D32C72"/>
    <w:rsid w:val="00D32FC7"/>
    <w:rsid w:val="00D33306"/>
    <w:rsid w:val="00D33357"/>
    <w:rsid w:val="00D33825"/>
    <w:rsid w:val="00D33A46"/>
    <w:rsid w:val="00D33B13"/>
    <w:rsid w:val="00D33B52"/>
    <w:rsid w:val="00D33C63"/>
    <w:rsid w:val="00D33E32"/>
    <w:rsid w:val="00D3435E"/>
    <w:rsid w:val="00D343FA"/>
    <w:rsid w:val="00D34529"/>
    <w:rsid w:val="00D34963"/>
    <w:rsid w:val="00D34A79"/>
    <w:rsid w:val="00D34C0D"/>
    <w:rsid w:val="00D3523A"/>
    <w:rsid w:val="00D3558E"/>
    <w:rsid w:val="00D35784"/>
    <w:rsid w:val="00D359C7"/>
    <w:rsid w:val="00D35BA5"/>
    <w:rsid w:val="00D35EE9"/>
    <w:rsid w:val="00D36C47"/>
    <w:rsid w:val="00D36D50"/>
    <w:rsid w:val="00D36E4F"/>
    <w:rsid w:val="00D36E65"/>
    <w:rsid w:val="00D372DA"/>
    <w:rsid w:val="00D373D1"/>
    <w:rsid w:val="00D37851"/>
    <w:rsid w:val="00D3797C"/>
    <w:rsid w:val="00D404DB"/>
    <w:rsid w:val="00D4092F"/>
    <w:rsid w:val="00D40972"/>
    <w:rsid w:val="00D40A38"/>
    <w:rsid w:val="00D40E6A"/>
    <w:rsid w:val="00D40FAA"/>
    <w:rsid w:val="00D418FF"/>
    <w:rsid w:val="00D419A0"/>
    <w:rsid w:val="00D42602"/>
    <w:rsid w:val="00D42706"/>
    <w:rsid w:val="00D4275E"/>
    <w:rsid w:val="00D428C1"/>
    <w:rsid w:val="00D429C3"/>
    <w:rsid w:val="00D42F2E"/>
    <w:rsid w:val="00D433CC"/>
    <w:rsid w:val="00D4346E"/>
    <w:rsid w:val="00D437E8"/>
    <w:rsid w:val="00D43C78"/>
    <w:rsid w:val="00D44177"/>
    <w:rsid w:val="00D441D1"/>
    <w:rsid w:val="00D44375"/>
    <w:rsid w:val="00D44425"/>
    <w:rsid w:val="00D4460B"/>
    <w:rsid w:val="00D44A89"/>
    <w:rsid w:val="00D44B0A"/>
    <w:rsid w:val="00D46585"/>
    <w:rsid w:val="00D46B11"/>
    <w:rsid w:val="00D4713F"/>
    <w:rsid w:val="00D471C4"/>
    <w:rsid w:val="00D4752D"/>
    <w:rsid w:val="00D47AB2"/>
    <w:rsid w:val="00D47B41"/>
    <w:rsid w:val="00D47F16"/>
    <w:rsid w:val="00D50008"/>
    <w:rsid w:val="00D501A6"/>
    <w:rsid w:val="00D50468"/>
    <w:rsid w:val="00D509C2"/>
    <w:rsid w:val="00D50AC3"/>
    <w:rsid w:val="00D50BB1"/>
    <w:rsid w:val="00D51004"/>
    <w:rsid w:val="00D51123"/>
    <w:rsid w:val="00D5129C"/>
    <w:rsid w:val="00D514A5"/>
    <w:rsid w:val="00D51706"/>
    <w:rsid w:val="00D51A46"/>
    <w:rsid w:val="00D51E7D"/>
    <w:rsid w:val="00D51F29"/>
    <w:rsid w:val="00D52006"/>
    <w:rsid w:val="00D52359"/>
    <w:rsid w:val="00D525B3"/>
    <w:rsid w:val="00D52BF6"/>
    <w:rsid w:val="00D52D9D"/>
    <w:rsid w:val="00D52E0B"/>
    <w:rsid w:val="00D542AC"/>
    <w:rsid w:val="00D544A5"/>
    <w:rsid w:val="00D54526"/>
    <w:rsid w:val="00D5465D"/>
    <w:rsid w:val="00D54896"/>
    <w:rsid w:val="00D54967"/>
    <w:rsid w:val="00D5499A"/>
    <w:rsid w:val="00D54E01"/>
    <w:rsid w:val="00D54F6D"/>
    <w:rsid w:val="00D55054"/>
    <w:rsid w:val="00D55095"/>
    <w:rsid w:val="00D550BC"/>
    <w:rsid w:val="00D55348"/>
    <w:rsid w:val="00D55654"/>
    <w:rsid w:val="00D558ED"/>
    <w:rsid w:val="00D56967"/>
    <w:rsid w:val="00D56B00"/>
    <w:rsid w:val="00D56CFF"/>
    <w:rsid w:val="00D57220"/>
    <w:rsid w:val="00D57445"/>
    <w:rsid w:val="00D5765B"/>
    <w:rsid w:val="00D576BB"/>
    <w:rsid w:val="00D578C6"/>
    <w:rsid w:val="00D57ADE"/>
    <w:rsid w:val="00D6036F"/>
    <w:rsid w:val="00D60490"/>
    <w:rsid w:val="00D60A25"/>
    <w:rsid w:val="00D613AC"/>
    <w:rsid w:val="00D6159D"/>
    <w:rsid w:val="00D61A18"/>
    <w:rsid w:val="00D61B30"/>
    <w:rsid w:val="00D61DCF"/>
    <w:rsid w:val="00D62927"/>
    <w:rsid w:val="00D62B08"/>
    <w:rsid w:val="00D62B4E"/>
    <w:rsid w:val="00D62BFF"/>
    <w:rsid w:val="00D632EE"/>
    <w:rsid w:val="00D6378E"/>
    <w:rsid w:val="00D63AEF"/>
    <w:rsid w:val="00D6467E"/>
    <w:rsid w:val="00D6496A"/>
    <w:rsid w:val="00D64E8F"/>
    <w:rsid w:val="00D64EE5"/>
    <w:rsid w:val="00D651E9"/>
    <w:rsid w:val="00D6521F"/>
    <w:rsid w:val="00D65923"/>
    <w:rsid w:val="00D65C76"/>
    <w:rsid w:val="00D6603E"/>
    <w:rsid w:val="00D665F6"/>
    <w:rsid w:val="00D66667"/>
    <w:rsid w:val="00D70208"/>
    <w:rsid w:val="00D703B5"/>
    <w:rsid w:val="00D70474"/>
    <w:rsid w:val="00D70706"/>
    <w:rsid w:val="00D707A3"/>
    <w:rsid w:val="00D7084A"/>
    <w:rsid w:val="00D70B8F"/>
    <w:rsid w:val="00D70BC2"/>
    <w:rsid w:val="00D70BD2"/>
    <w:rsid w:val="00D70D4B"/>
    <w:rsid w:val="00D711DF"/>
    <w:rsid w:val="00D71310"/>
    <w:rsid w:val="00D713DD"/>
    <w:rsid w:val="00D71DB3"/>
    <w:rsid w:val="00D71E7B"/>
    <w:rsid w:val="00D72366"/>
    <w:rsid w:val="00D72389"/>
    <w:rsid w:val="00D728EB"/>
    <w:rsid w:val="00D72A93"/>
    <w:rsid w:val="00D73015"/>
    <w:rsid w:val="00D734C7"/>
    <w:rsid w:val="00D73A11"/>
    <w:rsid w:val="00D73CE2"/>
    <w:rsid w:val="00D741CD"/>
    <w:rsid w:val="00D741CE"/>
    <w:rsid w:val="00D7430C"/>
    <w:rsid w:val="00D743D3"/>
    <w:rsid w:val="00D74592"/>
    <w:rsid w:val="00D74833"/>
    <w:rsid w:val="00D74AE8"/>
    <w:rsid w:val="00D74DAB"/>
    <w:rsid w:val="00D750A5"/>
    <w:rsid w:val="00D7542B"/>
    <w:rsid w:val="00D75600"/>
    <w:rsid w:val="00D75D36"/>
    <w:rsid w:val="00D75FDA"/>
    <w:rsid w:val="00D7634E"/>
    <w:rsid w:val="00D774F8"/>
    <w:rsid w:val="00D77DA6"/>
    <w:rsid w:val="00D77F52"/>
    <w:rsid w:val="00D80046"/>
    <w:rsid w:val="00D8064A"/>
    <w:rsid w:val="00D8071E"/>
    <w:rsid w:val="00D80EF0"/>
    <w:rsid w:val="00D814CB"/>
    <w:rsid w:val="00D8158D"/>
    <w:rsid w:val="00D8196D"/>
    <w:rsid w:val="00D820B8"/>
    <w:rsid w:val="00D829F8"/>
    <w:rsid w:val="00D830CC"/>
    <w:rsid w:val="00D83383"/>
    <w:rsid w:val="00D8351F"/>
    <w:rsid w:val="00D8359F"/>
    <w:rsid w:val="00D83A48"/>
    <w:rsid w:val="00D8425F"/>
    <w:rsid w:val="00D84503"/>
    <w:rsid w:val="00D84824"/>
    <w:rsid w:val="00D84DD6"/>
    <w:rsid w:val="00D85348"/>
    <w:rsid w:val="00D854C0"/>
    <w:rsid w:val="00D857E2"/>
    <w:rsid w:val="00D8585A"/>
    <w:rsid w:val="00D85E92"/>
    <w:rsid w:val="00D85F63"/>
    <w:rsid w:val="00D86037"/>
    <w:rsid w:val="00D8614E"/>
    <w:rsid w:val="00D86550"/>
    <w:rsid w:val="00D866DA"/>
    <w:rsid w:val="00D86A11"/>
    <w:rsid w:val="00D86EA8"/>
    <w:rsid w:val="00D8726D"/>
    <w:rsid w:val="00D875A5"/>
    <w:rsid w:val="00D877C5"/>
    <w:rsid w:val="00D87850"/>
    <w:rsid w:val="00D9022D"/>
    <w:rsid w:val="00D913F9"/>
    <w:rsid w:val="00D91AE5"/>
    <w:rsid w:val="00D91C8B"/>
    <w:rsid w:val="00D91F08"/>
    <w:rsid w:val="00D920AB"/>
    <w:rsid w:val="00D929B6"/>
    <w:rsid w:val="00D92A14"/>
    <w:rsid w:val="00D937C6"/>
    <w:rsid w:val="00D93C00"/>
    <w:rsid w:val="00D93C1B"/>
    <w:rsid w:val="00D93D5F"/>
    <w:rsid w:val="00D9411B"/>
    <w:rsid w:val="00D944DE"/>
    <w:rsid w:val="00D95729"/>
    <w:rsid w:val="00D95961"/>
    <w:rsid w:val="00D95AB3"/>
    <w:rsid w:val="00D95C43"/>
    <w:rsid w:val="00D9628E"/>
    <w:rsid w:val="00D9659F"/>
    <w:rsid w:val="00D969D9"/>
    <w:rsid w:val="00D96B17"/>
    <w:rsid w:val="00D96BD8"/>
    <w:rsid w:val="00D97117"/>
    <w:rsid w:val="00D9720F"/>
    <w:rsid w:val="00D974D7"/>
    <w:rsid w:val="00D97576"/>
    <w:rsid w:val="00D978C1"/>
    <w:rsid w:val="00D97B97"/>
    <w:rsid w:val="00D97BFE"/>
    <w:rsid w:val="00D97D1E"/>
    <w:rsid w:val="00D97DF9"/>
    <w:rsid w:val="00D97F67"/>
    <w:rsid w:val="00DA03AB"/>
    <w:rsid w:val="00DA10C8"/>
    <w:rsid w:val="00DA1188"/>
    <w:rsid w:val="00DA1732"/>
    <w:rsid w:val="00DA1974"/>
    <w:rsid w:val="00DA1D32"/>
    <w:rsid w:val="00DA2031"/>
    <w:rsid w:val="00DA20AE"/>
    <w:rsid w:val="00DA26B3"/>
    <w:rsid w:val="00DA2CF9"/>
    <w:rsid w:val="00DA2F73"/>
    <w:rsid w:val="00DA32C8"/>
    <w:rsid w:val="00DA342E"/>
    <w:rsid w:val="00DA3510"/>
    <w:rsid w:val="00DA3575"/>
    <w:rsid w:val="00DA37BE"/>
    <w:rsid w:val="00DA3CC2"/>
    <w:rsid w:val="00DA3D7E"/>
    <w:rsid w:val="00DA44C5"/>
    <w:rsid w:val="00DA45B5"/>
    <w:rsid w:val="00DA462A"/>
    <w:rsid w:val="00DA4FCA"/>
    <w:rsid w:val="00DA4FDC"/>
    <w:rsid w:val="00DA5035"/>
    <w:rsid w:val="00DA53BF"/>
    <w:rsid w:val="00DA5C64"/>
    <w:rsid w:val="00DA62BF"/>
    <w:rsid w:val="00DA63A0"/>
    <w:rsid w:val="00DA6472"/>
    <w:rsid w:val="00DA6597"/>
    <w:rsid w:val="00DA6B3C"/>
    <w:rsid w:val="00DA6E5B"/>
    <w:rsid w:val="00DA7076"/>
    <w:rsid w:val="00DA73D5"/>
    <w:rsid w:val="00DA7438"/>
    <w:rsid w:val="00DA784A"/>
    <w:rsid w:val="00DA7A55"/>
    <w:rsid w:val="00DB033D"/>
    <w:rsid w:val="00DB0D12"/>
    <w:rsid w:val="00DB1684"/>
    <w:rsid w:val="00DB17C4"/>
    <w:rsid w:val="00DB17F2"/>
    <w:rsid w:val="00DB1986"/>
    <w:rsid w:val="00DB1AB4"/>
    <w:rsid w:val="00DB1DB8"/>
    <w:rsid w:val="00DB259A"/>
    <w:rsid w:val="00DB265E"/>
    <w:rsid w:val="00DB29DA"/>
    <w:rsid w:val="00DB2A01"/>
    <w:rsid w:val="00DB2E3D"/>
    <w:rsid w:val="00DB312A"/>
    <w:rsid w:val="00DB321E"/>
    <w:rsid w:val="00DB32FC"/>
    <w:rsid w:val="00DB368F"/>
    <w:rsid w:val="00DB4162"/>
    <w:rsid w:val="00DB49E4"/>
    <w:rsid w:val="00DB4C1B"/>
    <w:rsid w:val="00DB4DC4"/>
    <w:rsid w:val="00DB4E07"/>
    <w:rsid w:val="00DB4F96"/>
    <w:rsid w:val="00DB595D"/>
    <w:rsid w:val="00DB59FE"/>
    <w:rsid w:val="00DB6006"/>
    <w:rsid w:val="00DB6129"/>
    <w:rsid w:val="00DB6CA8"/>
    <w:rsid w:val="00DB6F51"/>
    <w:rsid w:val="00DB736C"/>
    <w:rsid w:val="00DB73F6"/>
    <w:rsid w:val="00DB787F"/>
    <w:rsid w:val="00DB7D52"/>
    <w:rsid w:val="00DC07AC"/>
    <w:rsid w:val="00DC0C18"/>
    <w:rsid w:val="00DC0C96"/>
    <w:rsid w:val="00DC0DD9"/>
    <w:rsid w:val="00DC103B"/>
    <w:rsid w:val="00DC104E"/>
    <w:rsid w:val="00DC1085"/>
    <w:rsid w:val="00DC15C2"/>
    <w:rsid w:val="00DC1A48"/>
    <w:rsid w:val="00DC1CE3"/>
    <w:rsid w:val="00DC1CE4"/>
    <w:rsid w:val="00DC1CF0"/>
    <w:rsid w:val="00DC24FF"/>
    <w:rsid w:val="00DC307B"/>
    <w:rsid w:val="00DC3150"/>
    <w:rsid w:val="00DC343B"/>
    <w:rsid w:val="00DC378F"/>
    <w:rsid w:val="00DC37D9"/>
    <w:rsid w:val="00DC3911"/>
    <w:rsid w:val="00DC403B"/>
    <w:rsid w:val="00DC4125"/>
    <w:rsid w:val="00DC4204"/>
    <w:rsid w:val="00DC462F"/>
    <w:rsid w:val="00DC483B"/>
    <w:rsid w:val="00DC499A"/>
    <w:rsid w:val="00DC5355"/>
    <w:rsid w:val="00DC5740"/>
    <w:rsid w:val="00DC6252"/>
    <w:rsid w:val="00DC6A6C"/>
    <w:rsid w:val="00DC6B74"/>
    <w:rsid w:val="00DC6D4C"/>
    <w:rsid w:val="00DC7220"/>
    <w:rsid w:val="00DC7C3C"/>
    <w:rsid w:val="00DC7F21"/>
    <w:rsid w:val="00DC7F52"/>
    <w:rsid w:val="00DD01E2"/>
    <w:rsid w:val="00DD088D"/>
    <w:rsid w:val="00DD0ABE"/>
    <w:rsid w:val="00DD0AE7"/>
    <w:rsid w:val="00DD0E86"/>
    <w:rsid w:val="00DD1338"/>
    <w:rsid w:val="00DD177E"/>
    <w:rsid w:val="00DD196E"/>
    <w:rsid w:val="00DD1D25"/>
    <w:rsid w:val="00DD22B7"/>
    <w:rsid w:val="00DD2DA5"/>
    <w:rsid w:val="00DD2FE3"/>
    <w:rsid w:val="00DD3C0C"/>
    <w:rsid w:val="00DD4126"/>
    <w:rsid w:val="00DD4636"/>
    <w:rsid w:val="00DD4728"/>
    <w:rsid w:val="00DD47FF"/>
    <w:rsid w:val="00DD48E4"/>
    <w:rsid w:val="00DD4ADF"/>
    <w:rsid w:val="00DD5AAF"/>
    <w:rsid w:val="00DD5FA4"/>
    <w:rsid w:val="00DD6264"/>
    <w:rsid w:val="00DD671D"/>
    <w:rsid w:val="00DD6A21"/>
    <w:rsid w:val="00DD6D8A"/>
    <w:rsid w:val="00DD704F"/>
    <w:rsid w:val="00DD754B"/>
    <w:rsid w:val="00DD7D53"/>
    <w:rsid w:val="00DD7DE6"/>
    <w:rsid w:val="00DD7F4F"/>
    <w:rsid w:val="00DE0111"/>
    <w:rsid w:val="00DE05D2"/>
    <w:rsid w:val="00DE10D6"/>
    <w:rsid w:val="00DE12F5"/>
    <w:rsid w:val="00DE15BF"/>
    <w:rsid w:val="00DE1755"/>
    <w:rsid w:val="00DE18A7"/>
    <w:rsid w:val="00DE18FF"/>
    <w:rsid w:val="00DE2523"/>
    <w:rsid w:val="00DE2A8B"/>
    <w:rsid w:val="00DE2B68"/>
    <w:rsid w:val="00DE2EFB"/>
    <w:rsid w:val="00DE2F2D"/>
    <w:rsid w:val="00DE328B"/>
    <w:rsid w:val="00DE33C4"/>
    <w:rsid w:val="00DE3ADB"/>
    <w:rsid w:val="00DE3C46"/>
    <w:rsid w:val="00DE400E"/>
    <w:rsid w:val="00DE42C8"/>
    <w:rsid w:val="00DE42F3"/>
    <w:rsid w:val="00DE45EB"/>
    <w:rsid w:val="00DE4808"/>
    <w:rsid w:val="00DE4DE7"/>
    <w:rsid w:val="00DE505E"/>
    <w:rsid w:val="00DE52E3"/>
    <w:rsid w:val="00DE561B"/>
    <w:rsid w:val="00DE60CA"/>
    <w:rsid w:val="00DE64D8"/>
    <w:rsid w:val="00DE6580"/>
    <w:rsid w:val="00DE68E7"/>
    <w:rsid w:val="00DE68EC"/>
    <w:rsid w:val="00DE6B59"/>
    <w:rsid w:val="00DE6FC9"/>
    <w:rsid w:val="00DE7186"/>
    <w:rsid w:val="00DE7A35"/>
    <w:rsid w:val="00DE7BFA"/>
    <w:rsid w:val="00DE7C00"/>
    <w:rsid w:val="00DF0498"/>
    <w:rsid w:val="00DF0D35"/>
    <w:rsid w:val="00DF15FD"/>
    <w:rsid w:val="00DF1781"/>
    <w:rsid w:val="00DF1E4B"/>
    <w:rsid w:val="00DF20B8"/>
    <w:rsid w:val="00DF2432"/>
    <w:rsid w:val="00DF25B7"/>
    <w:rsid w:val="00DF2786"/>
    <w:rsid w:val="00DF27EE"/>
    <w:rsid w:val="00DF28D0"/>
    <w:rsid w:val="00DF29DB"/>
    <w:rsid w:val="00DF2FEB"/>
    <w:rsid w:val="00DF357E"/>
    <w:rsid w:val="00DF368E"/>
    <w:rsid w:val="00DF3FB6"/>
    <w:rsid w:val="00DF49BC"/>
    <w:rsid w:val="00DF4D3A"/>
    <w:rsid w:val="00DF5D77"/>
    <w:rsid w:val="00DF6055"/>
    <w:rsid w:val="00DF6079"/>
    <w:rsid w:val="00DF6466"/>
    <w:rsid w:val="00DF6B22"/>
    <w:rsid w:val="00DF6E7E"/>
    <w:rsid w:val="00DF70D7"/>
    <w:rsid w:val="00DF7390"/>
    <w:rsid w:val="00DF7EB7"/>
    <w:rsid w:val="00E000CD"/>
    <w:rsid w:val="00E0014F"/>
    <w:rsid w:val="00E002CD"/>
    <w:rsid w:val="00E00AEE"/>
    <w:rsid w:val="00E0123F"/>
    <w:rsid w:val="00E0161A"/>
    <w:rsid w:val="00E019C5"/>
    <w:rsid w:val="00E0229B"/>
    <w:rsid w:val="00E0235A"/>
    <w:rsid w:val="00E024BC"/>
    <w:rsid w:val="00E02517"/>
    <w:rsid w:val="00E02596"/>
    <w:rsid w:val="00E025DB"/>
    <w:rsid w:val="00E02B13"/>
    <w:rsid w:val="00E02D98"/>
    <w:rsid w:val="00E03109"/>
    <w:rsid w:val="00E031BE"/>
    <w:rsid w:val="00E0332D"/>
    <w:rsid w:val="00E03B1E"/>
    <w:rsid w:val="00E04002"/>
    <w:rsid w:val="00E04075"/>
    <w:rsid w:val="00E044D5"/>
    <w:rsid w:val="00E045D1"/>
    <w:rsid w:val="00E0488B"/>
    <w:rsid w:val="00E0539C"/>
    <w:rsid w:val="00E05867"/>
    <w:rsid w:val="00E05909"/>
    <w:rsid w:val="00E05F0C"/>
    <w:rsid w:val="00E06173"/>
    <w:rsid w:val="00E0639D"/>
    <w:rsid w:val="00E0672F"/>
    <w:rsid w:val="00E06816"/>
    <w:rsid w:val="00E06DCA"/>
    <w:rsid w:val="00E072D1"/>
    <w:rsid w:val="00E075AD"/>
    <w:rsid w:val="00E077D4"/>
    <w:rsid w:val="00E105F0"/>
    <w:rsid w:val="00E10810"/>
    <w:rsid w:val="00E10F5F"/>
    <w:rsid w:val="00E10F70"/>
    <w:rsid w:val="00E111A2"/>
    <w:rsid w:val="00E111D6"/>
    <w:rsid w:val="00E11497"/>
    <w:rsid w:val="00E115E2"/>
    <w:rsid w:val="00E11C3F"/>
    <w:rsid w:val="00E11D47"/>
    <w:rsid w:val="00E12C7D"/>
    <w:rsid w:val="00E13132"/>
    <w:rsid w:val="00E13596"/>
    <w:rsid w:val="00E13637"/>
    <w:rsid w:val="00E139C2"/>
    <w:rsid w:val="00E13EC3"/>
    <w:rsid w:val="00E141C8"/>
    <w:rsid w:val="00E14512"/>
    <w:rsid w:val="00E14833"/>
    <w:rsid w:val="00E14924"/>
    <w:rsid w:val="00E1505B"/>
    <w:rsid w:val="00E153F0"/>
    <w:rsid w:val="00E1565E"/>
    <w:rsid w:val="00E157FD"/>
    <w:rsid w:val="00E15C4D"/>
    <w:rsid w:val="00E15D1C"/>
    <w:rsid w:val="00E15F22"/>
    <w:rsid w:val="00E1675F"/>
    <w:rsid w:val="00E169DF"/>
    <w:rsid w:val="00E16B62"/>
    <w:rsid w:val="00E16C49"/>
    <w:rsid w:val="00E170F6"/>
    <w:rsid w:val="00E17561"/>
    <w:rsid w:val="00E176F8"/>
    <w:rsid w:val="00E17DF7"/>
    <w:rsid w:val="00E203A8"/>
    <w:rsid w:val="00E210E8"/>
    <w:rsid w:val="00E218D0"/>
    <w:rsid w:val="00E22388"/>
    <w:rsid w:val="00E224AF"/>
    <w:rsid w:val="00E225C2"/>
    <w:rsid w:val="00E22970"/>
    <w:rsid w:val="00E229C1"/>
    <w:rsid w:val="00E229D4"/>
    <w:rsid w:val="00E22C29"/>
    <w:rsid w:val="00E237A3"/>
    <w:rsid w:val="00E23C33"/>
    <w:rsid w:val="00E23E5A"/>
    <w:rsid w:val="00E23F62"/>
    <w:rsid w:val="00E2429D"/>
    <w:rsid w:val="00E248F2"/>
    <w:rsid w:val="00E24D4E"/>
    <w:rsid w:val="00E24FA3"/>
    <w:rsid w:val="00E250DC"/>
    <w:rsid w:val="00E25D9C"/>
    <w:rsid w:val="00E262EE"/>
    <w:rsid w:val="00E2638B"/>
    <w:rsid w:val="00E26617"/>
    <w:rsid w:val="00E26B28"/>
    <w:rsid w:val="00E26CC8"/>
    <w:rsid w:val="00E2724D"/>
    <w:rsid w:val="00E2729D"/>
    <w:rsid w:val="00E27374"/>
    <w:rsid w:val="00E30662"/>
    <w:rsid w:val="00E30862"/>
    <w:rsid w:val="00E31263"/>
    <w:rsid w:val="00E31465"/>
    <w:rsid w:val="00E3151D"/>
    <w:rsid w:val="00E31E4A"/>
    <w:rsid w:val="00E32098"/>
    <w:rsid w:val="00E32313"/>
    <w:rsid w:val="00E328B8"/>
    <w:rsid w:val="00E328CD"/>
    <w:rsid w:val="00E32918"/>
    <w:rsid w:val="00E33108"/>
    <w:rsid w:val="00E339EC"/>
    <w:rsid w:val="00E33A4E"/>
    <w:rsid w:val="00E33EE9"/>
    <w:rsid w:val="00E33F75"/>
    <w:rsid w:val="00E345C0"/>
    <w:rsid w:val="00E3489E"/>
    <w:rsid w:val="00E34932"/>
    <w:rsid w:val="00E3498C"/>
    <w:rsid w:val="00E34B02"/>
    <w:rsid w:val="00E359E3"/>
    <w:rsid w:val="00E35BCD"/>
    <w:rsid w:val="00E35F69"/>
    <w:rsid w:val="00E36071"/>
    <w:rsid w:val="00E362F0"/>
    <w:rsid w:val="00E3645C"/>
    <w:rsid w:val="00E366F1"/>
    <w:rsid w:val="00E36B95"/>
    <w:rsid w:val="00E36C02"/>
    <w:rsid w:val="00E37193"/>
    <w:rsid w:val="00E37402"/>
    <w:rsid w:val="00E3742E"/>
    <w:rsid w:val="00E4003F"/>
    <w:rsid w:val="00E40C2F"/>
    <w:rsid w:val="00E40E64"/>
    <w:rsid w:val="00E41779"/>
    <w:rsid w:val="00E41DCD"/>
    <w:rsid w:val="00E425C2"/>
    <w:rsid w:val="00E42627"/>
    <w:rsid w:val="00E42915"/>
    <w:rsid w:val="00E4310D"/>
    <w:rsid w:val="00E438A7"/>
    <w:rsid w:val="00E43D86"/>
    <w:rsid w:val="00E4427D"/>
    <w:rsid w:val="00E443F8"/>
    <w:rsid w:val="00E4481D"/>
    <w:rsid w:val="00E44BBE"/>
    <w:rsid w:val="00E45766"/>
    <w:rsid w:val="00E458F6"/>
    <w:rsid w:val="00E45954"/>
    <w:rsid w:val="00E45FDE"/>
    <w:rsid w:val="00E461C9"/>
    <w:rsid w:val="00E46704"/>
    <w:rsid w:val="00E4688B"/>
    <w:rsid w:val="00E46CD4"/>
    <w:rsid w:val="00E46E6B"/>
    <w:rsid w:val="00E471BF"/>
    <w:rsid w:val="00E47F52"/>
    <w:rsid w:val="00E50211"/>
    <w:rsid w:val="00E504EB"/>
    <w:rsid w:val="00E50B4F"/>
    <w:rsid w:val="00E50BFC"/>
    <w:rsid w:val="00E51023"/>
    <w:rsid w:val="00E5109F"/>
    <w:rsid w:val="00E51396"/>
    <w:rsid w:val="00E5185A"/>
    <w:rsid w:val="00E51A47"/>
    <w:rsid w:val="00E5205B"/>
    <w:rsid w:val="00E520E5"/>
    <w:rsid w:val="00E522B6"/>
    <w:rsid w:val="00E527C6"/>
    <w:rsid w:val="00E52871"/>
    <w:rsid w:val="00E52D94"/>
    <w:rsid w:val="00E531D9"/>
    <w:rsid w:val="00E53546"/>
    <w:rsid w:val="00E5365F"/>
    <w:rsid w:val="00E54401"/>
    <w:rsid w:val="00E5473D"/>
    <w:rsid w:val="00E54979"/>
    <w:rsid w:val="00E54D98"/>
    <w:rsid w:val="00E55392"/>
    <w:rsid w:val="00E557F0"/>
    <w:rsid w:val="00E558A1"/>
    <w:rsid w:val="00E55F24"/>
    <w:rsid w:val="00E56CCE"/>
    <w:rsid w:val="00E56E22"/>
    <w:rsid w:val="00E574BB"/>
    <w:rsid w:val="00E57537"/>
    <w:rsid w:val="00E576EF"/>
    <w:rsid w:val="00E5799E"/>
    <w:rsid w:val="00E57D5A"/>
    <w:rsid w:val="00E60058"/>
    <w:rsid w:val="00E60DB2"/>
    <w:rsid w:val="00E61059"/>
    <w:rsid w:val="00E61C32"/>
    <w:rsid w:val="00E61E99"/>
    <w:rsid w:val="00E62A4A"/>
    <w:rsid w:val="00E62A76"/>
    <w:rsid w:val="00E62F55"/>
    <w:rsid w:val="00E63228"/>
    <w:rsid w:val="00E63380"/>
    <w:rsid w:val="00E63628"/>
    <w:rsid w:val="00E63F7D"/>
    <w:rsid w:val="00E64190"/>
    <w:rsid w:val="00E643E4"/>
    <w:rsid w:val="00E64755"/>
    <w:rsid w:val="00E64901"/>
    <w:rsid w:val="00E64BD2"/>
    <w:rsid w:val="00E64FB2"/>
    <w:rsid w:val="00E652D8"/>
    <w:rsid w:val="00E65300"/>
    <w:rsid w:val="00E65909"/>
    <w:rsid w:val="00E6604F"/>
    <w:rsid w:val="00E66CF1"/>
    <w:rsid w:val="00E67072"/>
    <w:rsid w:val="00E6745C"/>
    <w:rsid w:val="00E6764E"/>
    <w:rsid w:val="00E678CE"/>
    <w:rsid w:val="00E67FD8"/>
    <w:rsid w:val="00E709F0"/>
    <w:rsid w:val="00E70A65"/>
    <w:rsid w:val="00E71899"/>
    <w:rsid w:val="00E71B66"/>
    <w:rsid w:val="00E71D58"/>
    <w:rsid w:val="00E72528"/>
    <w:rsid w:val="00E72631"/>
    <w:rsid w:val="00E72B6E"/>
    <w:rsid w:val="00E72C4C"/>
    <w:rsid w:val="00E73853"/>
    <w:rsid w:val="00E73A7D"/>
    <w:rsid w:val="00E73B04"/>
    <w:rsid w:val="00E73FCF"/>
    <w:rsid w:val="00E74137"/>
    <w:rsid w:val="00E745BE"/>
    <w:rsid w:val="00E74FE7"/>
    <w:rsid w:val="00E75062"/>
    <w:rsid w:val="00E752F3"/>
    <w:rsid w:val="00E75461"/>
    <w:rsid w:val="00E7577F"/>
    <w:rsid w:val="00E75D21"/>
    <w:rsid w:val="00E76162"/>
    <w:rsid w:val="00E76D70"/>
    <w:rsid w:val="00E76EE2"/>
    <w:rsid w:val="00E76FBF"/>
    <w:rsid w:val="00E773DE"/>
    <w:rsid w:val="00E80291"/>
    <w:rsid w:val="00E80CF7"/>
    <w:rsid w:val="00E80D59"/>
    <w:rsid w:val="00E80DA4"/>
    <w:rsid w:val="00E81071"/>
    <w:rsid w:val="00E8118A"/>
    <w:rsid w:val="00E8123D"/>
    <w:rsid w:val="00E812E8"/>
    <w:rsid w:val="00E8150C"/>
    <w:rsid w:val="00E818F5"/>
    <w:rsid w:val="00E81E27"/>
    <w:rsid w:val="00E828CF"/>
    <w:rsid w:val="00E831EB"/>
    <w:rsid w:val="00E834C5"/>
    <w:rsid w:val="00E83843"/>
    <w:rsid w:val="00E83CFB"/>
    <w:rsid w:val="00E842D4"/>
    <w:rsid w:val="00E84494"/>
    <w:rsid w:val="00E845FC"/>
    <w:rsid w:val="00E8497B"/>
    <w:rsid w:val="00E84D50"/>
    <w:rsid w:val="00E84E6F"/>
    <w:rsid w:val="00E84F3B"/>
    <w:rsid w:val="00E84FB0"/>
    <w:rsid w:val="00E85163"/>
    <w:rsid w:val="00E853C1"/>
    <w:rsid w:val="00E85B4D"/>
    <w:rsid w:val="00E86372"/>
    <w:rsid w:val="00E8651D"/>
    <w:rsid w:val="00E86BD9"/>
    <w:rsid w:val="00E86BF8"/>
    <w:rsid w:val="00E87023"/>
    <w:rsid w:val="00E87195"/>
    <w:rsid w:val="00E871EF"/>
    <w:rsid w:val="00E873A5"/>
    <w:rsid w:val="00E87950"/>
    <w:rsid w:val="00E8798D"/>
    <w:rsid w:val="00E87DD7"/>
    <w:rsid w:val="00E87FC1"/>
    <w:rsid w:val="00E903C0"/>
    <w:rsid w:val="00E90665"/>
    <w:rsid w:val="00E90D2D"/>
    <w:rsid w:val="00E90FF2"/>
    <w:rsid w:val="00E91084"/>
    <w:rsid w:val="00E912C3"/>
    <w:rsid w:val="00E916F3"/>
    <w:rsid w:val="00E91A81"/>
    <w:rsid w:val="00E92045"/>
    <w:rsid w:val="00E92050"/>
    <w:rsid w:val="00E92180"/>
    <w:rsid w:val="00E9225E"/>
    <w:rsid w:val="00E92448"/>
    <w:rsid w:val="00E92AFF"/>
    <w:rsid w:val="00E92DB0"/>
    <w:rsid w:val="00E93260"/>
    <w:rsid w:val="00E944D2"/>
    <w:rsid w:val="00E94910"/>
    <w:rsid w:val="00E94B0B"/>
    <w:rsid w:val="00E950D4"/>
    <w:rsid w:val="00E9539F"/>
    <w:rsid w:val="00E9540B"/>
    <w:rsid w:val="00E959C1"/>
    <w:rsid w:val="00E95FA3"/>
    <w:rsid w:val="00E95FA9"/>
    <w:rsid w:val="00E96727"/>
    <w:rsid w:val="00E96A13"/>
    <w:rsid w:val="00E96CF5"/>
    <w:rsid w:val="00E96D0C"/>
    <w:rsid w:val="00E971FA"/>
    <w:rsid w:val="00E97258"/>
    <w:rsid w:val="00E97B0A"/>
    <w:rsid w:val="00EA0158"/>
    <w:rsid w:val="00EA0CA0"/>
    <w:rsid w:val="00EA109C"/>
    <w:rsid w:val="00EA12AB"/>
    <w:rsid w:val="00EA1931"/>
    <w:rsid w:val="00EA1ACB"/>
    <w:rsid w:val="00EA1BEA"/>
    <w:rsid w:val="00EA201E"/>
    <w:rsid w:val="00EA21E1"/>
    <w:rsid w:val="00EA2908"/>
    <w:rsid w:val="00EA2F69"/>
    <w:rsid w:val="00EA3145"/>
    <w:rsid w:val="00EA31AB"/>
    <w:rsid w:val="00EA3A91"/>
    <w:rsid w:val="00EA44D9"/>
    <w:rsid w:val="00EA45FE"/>
    <w:rsid w:val="00EA4A8D"/>
    <w:rsid w:val="00EA53DC"/>
    <w:rsid w:val="00EA5B51"/>
    <w:rsid w:val="00EA6866"/>
    <w:rsid w:val="00EA6F75"/>
    <w:rsid w:val="00EA7989"/>
    <w:rsid w:val="00EA7F3B"/>
    <w:rsid w:val="00EB0055"/>
    <w:rsid w:val="00EB0290"/>
    <w:rsid w:val="00EB0FFE"/>
    <w:rsid w:val="00EB1692"/>
    <w:rsid w:val="00EB1767"/>
    <w:rsid w:val="00EB193A"/>
    <w:rsid w:val="00EB1F2C"/>
    <w:rsid w:val="00EB24A6"/>
    <w:rsid w:val="00EB2607"/>
    <w:rsid w:val="00EB2611"/>
    <w:rsid w:val="00EB27EE"/>
    <w:rsid w:val="00EB2B91"/>
    <w:rsid w:val="00EB3313"/>
    <w:rsid w:val="00EB383B"/>
    <w:rsid w:val="00EB3922"/>
    <w:rsid w:val="00EB402C"/>
    <w:rsid w:val="00EB4417"/>
    <w:rsid w:val="00EB49C3"/>
    <w:rsid w:val="00EB4CB9"/>
    <w:rsid w:val="00EB4FB5"/>
    <w:rsid w:val="00EB55BB"/>
    <w:rsid w:val="00EB56B7"/>
    <w:rsid w:val="00EB6664"/>
    <w:rsid w:val="00EB6A76"/>
    <w:rsid w:val="00EB6DB4"/>
    <w:rsid w:val="00EB7095"/>
    <w:rsid w:val="00EB7156"/>
    <w:rsid w:val="00EB723D"/>
    <w:rsid w:val="00EB7768"/>
    <w:rsid w:val="00EB77FA"/>
    <w:rsid w:val="00EB7FB2"/>
    <w:rsid w:val="00EC01F6"/>
    <w:rsid w:val="00EC02DF"/>
    <w:rsid w:val="00EC032D"/>
    <w:rsid w:val="00EC0ABF"/>
    <w:rsid w:val="00EC0AC4"/>
    <w:rsid w:val="00EC0CA5"/>
    <w:rsid w:val="00EC0E83"/>
    <w:rsid w:val="00EC0FE5"/>
    <w:rsid w:val="00EC17A0"/>
    <w:rsid w:val="00EC1BB3"/>
    <w:rsid w:val="00EC220F"/>
    <w:rsid w:val="00EC2500"/>
    <w:rsid w:val="00EC2512"/>
    <w:rsid w:val="00EC2C66"/>
    <w:rsid w:val="00EC306E"/>
    <w:rsid w:val="00EC30D9"/>
    <w:rsid w:val="00EC4886"/>
    <w:rsid w:val="00EC5174"/>
    <w:rsid w:val="00EC5399"/>
    <w:rsid w:val="00EC5549"/>
    <w:rsid w:val="00EC6532"/>
    <w:rsid w:val="00EC65CD"/>
    <w:rsid w:val="00EC66BC"/>
    <w:rsid w:val="00EC6DA0"/>
    <w:rsid w:val="00EC6DF9"/>
    <w:rsid w:val="00EC7069"/>
    <w:rsid w:val="00EC715E"/>
    <w:rsid w:val="00EC7E1E"/>
    <w:rsid w:val="00ED0EC3"/>
    <w:rsid w:val="00ED11DB"/>
    <w:rsid w:val="00ED183B"/>
    <w:rsid w:val="00ED1981"/>
    <w:rsid w:val="00ED19A1"/>
    <w:rsid w:val="00ED1E43"/>
    <w:rsid w:val="00ED2374"/>
    <w:rsid w:val="00ED23F8"/>
    <w:rsid w:val="00ED2B8B"/>
    <w:rsid w:val="00ED2C18"/>
    <w:rsid w:val="00ED318A"/>
    <w:rsid w:val="00ED3215"/>
    <w:rsid w:val="00ED3B6D"/>
    <w:rsid w:val="00ED3E84"/>
    <w:rsid w:val="00ED4341"/>
    <w:rsid w:val="00ED46D6"/>
    <w:rsid w:val="00ED4BF4"/>
    <w:rsid w:val="00ED4D7A"/>
    <w:rsid w:val="00ED514B"/>
    <w:rsid w:val="00ED51BA"/>
    <w:rsid w:val="00ED52E4"/>
    <w:rsid w:val="00ED54E7"/>
    <w:rsid w:val="00ED5928"/>
    <w:rsid w:val="00ED5B77"/>
    <w:rsid w:val="00ED5DEE"/>
    <w:rsid w:val="00ED5F4F"/>
    <w:rsid w:val="00ED6036"/>
    <w:rsid w:val="00ED606C"/>
    <w:rsid w:val="00ED626F"/>
    <w:rsid w:val="00ED65BF"/>
    <w:rsid w:val="00ED6843"/>
    <w:rsid w:val="00ED6881"/>
    <w:rsid w:val="00ED6ABF"/>
    <w:rsid w:val="00ED6E25"/>
    <w:rsid w:val="00ED7F64"/>
    <w:rsid w:val="00EE08F5"/>
    <w:rsid w:val="00EE0AA4"/>
    <w:rsid w:val="00EE0EF2"/>
    <w:rsid w:val="00EE107A"/>
    <w:rsid w:val="00EE10A4"/>
    <w:rsid w:val="00EE1392"/>
    <w:rsid w:val="00EE168D"/>
    <w:rsid w:val="00EE1992"/>
    <w:rsid w:val="00EE1A43"/>
    <w:rsid w:val="00EE205F"/>
    <w:rsid w:val="00EE2242"/>
    <w:rsid w:val="00EE2613"/>
    <w:rsid w:val="00EE28DC"/>
    <w:rsid w:val="00EE2BF0"/>
    <w:rsid w:val="00EE3661"/>
    <w:rsid w:val="00EE3801"/>
    <w:rsid w:val="00EE3A21"/>
    <w:rsid w:val="00EE3EA3"/>
    <w:rsid w:val="00EE3EB5"/>
    <w:rsid w:val="00EE4067"/>
    <w:rsid w:val="00EE424A"/>
    <w:rsid w:val="00EE481F"/>
    <w:rsid w:val="00EE4DA1"/>
    <w:rsid w:val="00EE4F01"/>
    <w:rsid w:val="00EE4FE9"/>
    <w:rsid w:val="00EE50E5"/>
    <w:rsid w:val="00EE557B"/>
    <w:rsid w:val="00EE5A24"/>
    <w:rsid w:val="00EE5BDE"/>
    <w:rsid w:val="00EE6425"/>
    <w:rsid w:val="00EE660D"/>
    <w:rsid w:val="00EE665A"/>
    <w:rsid w:val="00EE695F"/>
    <w:rsid w:val="00EE7357"/>
    <w:rsid w:val="00EE7559"/>
    <w:rsid w:val="00EE758B"/>
    <w:rsid w:val="00EE7BE4"/>
    <w:rsid w:val="00EE7BF8"/>
    <w:rsid w:val="00EE7C4E"/>
    <w:rsid w:val="00EF0042"/>
    <w:rsid w:val="00EF0903"/>
    <w:rsid w:val="00EF1A05"/>
    <w:rsid w:val="00EF1B9C"/>
    <w:rsid w:val="00EF2201"/>
    <w:rsid w:val="00EF241A"/>
    <w:rsid w:val="00EF27C5"/>
    <w:rsid w:val="00EF2AF1"/>
    <w:rsid w:val="00EF2B5B"/>
    <w:rsid w:val="00EF2B9F"/>
    <w:rsid w:val="00EF2BE3"/>
    <w:rsid w:val="00EF2EC2"/>
    <w:rsid w:val="00EF3185"/>
    <w:rsid w:val="00EF33C9"/>
    <w:rsid w:val="00EF3CC3"/>
    <w:rsid w:val="00EF3D3D"/>
    <w:rsid w:val="00EF3D4B"/>
    <w:rsid w:val="00EF3D6D"/>
    <w:rsid w:val="00EF3E68"/>
    <w:rsid w:val="00EF3EB8"/>
    <w:rsid w:val="00EF47DC"/>
    <w:rsid w:val="00EF52C0"/>
    <w:rsid w:val="00EF5557"/>
    <w:rsid w:val="00EF55F4"/>
    <w:rsid w:val="00EF56A2"/>
    <w:rsid w:val="00EF5883"/>
    <w:rsid w:val="00EF5C12"/>
    <w:rsid w:val="00EF5DD0"/>
    <w:rsid w:val="00EF62E6"/>
    <w:rsid w:val="00EF6FBA"/>
    <w:rsid w:val="00EF7335"/>
    <w:rsid w:val="00EF7445"/>
    <w:rsid w:val="00EF7953"/>
    <w:rsid w:val="00EF79BD"/>
    <w:rsid w:val="00EF79C6"/>
    <w:rsid w:val="00F00F03"/>
    <w:rsid w:val="00F01001"/>
    <w:rsid w:val="00F01450"/>
    <w:rsid w:val="00F014AB"/>
    <w:rsid w:val="00F01921"/>
    <w:rsid w:val="00F022FE"/>
    <w:rsid w:val="00F02652"/>
    <w:rsid w:val="00F029B1"/>
    <w:rsid w:val="00F02D3C"/>
    <w:rsid w:val="00F035E7"/>
    <w:rsid w:val="00F03A08"/>
    <w:rsid w:val="00F03BED"/>
    <w:rsid w:val="00F03E00"/>
    <w:rsid w:val="00F04113"/>
    <w:rsid w:val="00F041B9"/>
    <w:rsid w:val="00F0491E"/>
    <w:rsid w:val="00F0498E"/>
    <w:rsid w:val="00F04BEF"/>
    <w:rsid w:val="00F051B6"/>
    <w:rsid w:val="00F0532F"/>
    <w:rsid w:val="00F060AE"/>
    <w:rsid w:val="00F06424"/>
    <w:rsid w:val="00F06478"/>
    <w:rsid w:val="00F06EF3"/>
    <w:rsid w:val="00F0731A"/>
    <w:rsid w:val="00F07487"/>
    <w:rsid w:val="00F0799D"/>
    <w:rsid w:val="00F07F43"/>
    <w:rsid w:val="00F10338"/>
    <w:rsid w:val="00F104AC"/>
    <w:rsid w:val="00F10551"/>
    <w:rsid w:val="00F107A0"/>
    <w:rsid w:val="00F111C0"/>
    <w:rsid w:val="00F111D6"/>
    <w:rsid w:val="00F11EC9"/>
    <w:rsid w:val="00F12574"/>
    <w:rsid w:val="00F127A8"/>
    <w:rsid w:val="00F1284E"/>
    <w:rsid w:val="00F13176"/>
    <w:rsid w:val="00F131FD"/>
    <w:rsid w:val="00F13912"/>
    <w:rsid w:val="00F13C56"/>
    <w:rsid w:val="00F14262"/>
    <w:rsid w:val="00F14560"/>
    <w:rsid w:val="00F145A4"/>
    <w:rsid w:val="00F145B1"/>
    <w:rsid w:val="00F147D9"/>
    <w:rsid w:val="00F14B90"/>
    <w:rsid w:val="00F14C6D"/>
    <w:rsid w:val="00F14D19"/>
    <w:rsid w:val="00F1518C"/>
    <w:rsid w:val="00F15AC4"/>
    <w:rsid w:val="00F15E80"/>
    <w:rsid w:val="00F16100"/>
    <w:rsid w:val="00F16182"/>
    <w:rsid w:val="00F1631C"/>
    <w:rsid w:val="00F1637B"/>
    <w:rsid w:val="00F1651A"/>
    <w:rsid w:val="00F167FA"/>
    <w:rsid w:val="00F16AA8"/>
    <w:rsid w:val="00F171CB"/>
    <w:rsid w:val="00F174A5"/>
    <w:rsid w:val="00F1752D"/>
    <w:rsid w:val="00F175C7"/>
    <w:rsid w:val="00F17648"/>
    <w:rsid w:val="00F20035"/>
    <w:rsid w:val="00F20EFD"/>
    <w:rsid w:val="00F20FEB"/>
    <w:rsid w:val="00F21232"/>
    <w:rsid w:val="00F218B2"/>
    <w:rsid w:val="00F21B60"/>
    <w:rsid w:val="00F220A5"/>
    <w:rsid w:val="00F22118"/>
    <w:rsid w:val="00F22CB7"/>
    <w:rsid w:val="00F22DA4"/>
    <w:rsid w:val="00F2334B"/>
    <w:rsid w:val="00F23C4F"/>
    <w:rsid w:val="00F23CA4"/>
    <w:rsid w:val="00F24B45"/>
    <w:rsid w:val="00F24C64"/>
    <w:rsid w:val="00F24DE8"/>
    <w:rsid w:val="00F24FB7"/>
    <w:rsid w:val="00F253B7"/>
    <w:rsid w:val="00F26513"/>
    <w:rsid w:val="00F265BC"/>
    <w:rsid w:val="00F2677F"/>
    <w:rsid w:val="00F26ADB"/>
    <w:rsid w:val="00F270AD"/>
    <w:rsid w:val="00F2719C"/>
    <w:rsid w:val="00F272A9"/>
    <w:rsid w:val="00F27526"/>
    <w:rsid w:val="00F27A99"/>
    <w:rsid w:val="00F27E38"/>
    <w:rsid w:val="00F3013E"/>
    <w:rsid w:val="00F31003"/>
    <w:rsid w:val="00F31B14"/>
    <w:rsid w:val="00F31FA1"/>
    <w:rsid w:val="00F32365"/>
    <w:rsid w:val="00F32599"/>
    <w:rsid w:val="00F3262E"/>
    <w:rsid w:val="00F327CC"/>
    <w:rsid w:val="00F327FC"/>
    <w:rsid w:val="00F335B0"/>
    <w:rsid w:val="00F337A2"/>
    <w:rsid w:val="00F339F9"/>
    <w:rsid w:val="00F33A5C"/>
    <w:rsid w:val="00F341FC"/>
    <w:rsid w:val="00F34362"/>
    <w:rsid w:val="00F34902"/>
    <w:rsid w:val="00F34BC9"/>
    <w:rsid w:val="00F34D5E"/>
    <w:rsid w:val="00F34E9F"/>
    <w:rsid w:val="00F34F11"/>
    <w:rsid w:val="00F34FCD"/>
    <w:rsid w:val="00F352D7"/>
    <w:rsid w:val="00F35362"/>
    <w:rsid w:val="00F355FF"/>
    <w:rsid w:val="00F358A8"/>
    <w:rsid w:val="00F359D6"/>
    <w:rsid w:val="00F35C9D"/>
    <w:rsid w:val="00F35F2A"/>
    <w:rsid w:val="00F3662B"/>
    <w:rsid w:val="00F369D1"/>
    <w:rsid w:val="00F36D45"/>
    <w:rsid w:val="00F37F41"/>
    <w:rsid w:val="00F409B7"/>
    <w:rsid w:val="00F40EB1"/>
    <w:rsid w:val="00F41835"/>
    <w:rsid w:val="00F41B7A"/>
    <w:rsid w:val="00F424E8"/>
    <w:rsid w:val="00F42811"/>
    <w:rsid w:val="00F4294A"/>
    <w:rsid w:val="00F42AEF"/>
    <w:rsid w:val="00F431EE"/>
    <w:rsid w:val="00F432E9"/>
    <w:rsid w:val="00F43B9C"/>
    <w:rsid w:val="00F43C27"/>
    <w:rsid w:val="00F441FE"/>
    <w:rsid w:val="00F445DD"/>
    <w:rsid w:val="00F44F06"/>
    <w:rsid w:val="00F44F25"/>
    <w:rsid w:val="00F4513B"/>
    <w:rsid w:val="00F451B5"/>
    <w:rsid w:val="00F452B8"/>
    <w:rsid w:val="00F452E6"/>
    <w:rsid w:val="00F453D3"/>
    <w:rsid w:val="00F45779"/>
    <w:rsid w:val="00F45876"/>
    <w:rsid w:val="00F45CE9"/>
    <w:rsid w:val="00F467F1"/>
    <w:rsid w:val="00F46F59"/>
    <w:rsid w:val="00F47143"/>
    <w:rsid w:val="00F4729D"/>
    <w:rsid w:val="00F47676"/>
    <w:rsid w:val="00F476C6"/>
    <w:rsid w:val="00F47F5A"/>
    <w:rsid w:val="00F5046E"/>
    <w:rsid w:val="00F50645"/>
    <w:rsid w:val="00F5119C"/>
    <w:rsid w:val="00F513AE"/>
    <w:rsid w:val="00F51ABE"/>
    <w:rsid w:val="00F51B1A"/>
    <w:rsid w:val="00F51C61"/>
    <w:rsid w:val="00F51DB2"/>
    <w:rsid w:val="00F52861"/>
    <w:rsid w:val="00F528E9"/>
    <w:rsid w:val="00F52BF0"/>
    <w:rsid w:val="00F5306D"/>
    <w:rsid w:val="00F532E0"/>
    <w:rsid w:val="00F533BA"/>
    <w:rsid w:val="00F53AA3"/>
    <w:rsid w:val="00F53AC1"/>
    <w:rsid w:val="00F53BEC"/>
    <w:rsid w:val="00F53D6D"/>
    <w:rsid w:val="00F53F9F"/>
    <w:rsid w:val="00F5433B"/>
    <w:rsid w:val="00F5614B"/>
    <w:rsid w:val="00F5654B"/>
    <w:rsid w:val="00F570EA"/>
    <w:rsid w:val="00F57782"/>
    <w:rsid w:val="00F57C77"/>
    <w:rsid w:val="00F60641"/>
    <w:rsid w:val="00F60969"/>
    <w:rsid w:val="00F60B8C"/>
    <w:rsid w:val="00F611A5"/>
    <w:rsid w:val="00F61F58"/>
    <w:rsid w:val="00F623AF"/>
    <w:rsid w:val="00F629F9"/>
    <w:rsid w:val="00F62E72"/>
    <w:rsid w:val="00F62E8B"/>
    <w:rsid w:val="00F63482"/>
    <w:rsid w:val="00F6463B"/>
    <w:rsid w:val="00F64AF0"/>
    <w:rsid w:val="00F64CEE"/>
    <w:rsid w:val="00F6506E"/>
    <w:rsid w:val="00F650A9"/>
    <w:rsid w:val="00F650DE"/>
    <w:rsid w:val="00F6558E"/>
    <w:rsid w:val="00F6638F"/>
    <w:rsid w:val="00F6670F"/>
    <w:rsid w:val="00F66955"/>
    <w:rsid w:val="00F669DC"/>
    <w:rsid w:val="00F66C5B"/>
    <w:rsid w:val="00F66FD2"/>
    <w:rsid w:val="00F670AF"/>
    <w:rsid w:val="00F670B7"/>
    <w:rsid w:val="00F67622"/>
    <w:rsid w:val="00F6762B"/>
    <w:rsid w:val="00F7010D"/>
    <w:rsid w:val="00F707A9"/>
    <w:rsid w:val="00F70C90"/>
    <w:rsid w:val="00F70E5A"/>
    <w:rsid w:val="00F71253"/>
    <w:rsid w:val="00F71A2A"/>
    <w:rsid w:val="00F71C22"/>
    <w:rsid w:val="00F71D65"/>
    <w:rsid w:val="00F7213B"/>
    <w:rsid w:val="00F7299D"/>
    <w:rsid w:val="00F72DD0"/>
    <w:rsid w:val="00F72E0E"/>
    <w:rsid w:val="00F73528"/>
    <w:rsid w:val="00F738BB"/>
    <w:rsid w:val="00F73BFF"/>
    <w:rsid w:val="00F73C87"/>
    <w:rsid w:val="00F74259"/>
    <w:rsid w:val="00F7446A"/>
    <w:rsid w:val="00F74F10"/>
    <w:rsid w:val="00F74FEC"/>
    <w:rsid w:val="00F75090"/>
    <w:rsid w:val="00F7512B"/>
    <w:rsid w:val="00F75159"/>
    <w:rsid w:val="00F75676"/>
    <w:rsid w:val="00F756AC"/>
    <w:rsid w:val="00F75F62"/>
    <w:rsid w:val="00F7630D"/>
    <w:rsid w:val="00F76447"/>
    <w:rsid w:val="00F76481"/>
    <w:rsid w:val="00F766AF"/>
    <w:rsid w:val="00F77083"/>
    <w:rsid w:val="00F7731F"/>
    <w:rsid w:val="00F77757"/>
    <w:rsid w:val="00F77B22"/>
    <w:rsid w:val="00F800A4"/>
    <w:rsid w:val="00F801AF"/>
    <w:rsid w:val="00F8022F"/>
    <w:rsid w:val="00F802AD"/>
    <w:rsid w:val="00F807E4"/>
    <w:rsid w:val="00F80B20"/>
    <w:rsid w:val="00F80BE5"/>
    <w:rsid w:val="00F81D4E"/>
    <w:rsid w:val="00F82158"/>
    <w:rsid w:val="00F825E5"/>
    <w:rsid w:val="00F82854"/>
    <w:rsid w:val="00F8295A"/>
    <w:rsid w:val="00F82A6C"/>
    <w:rsid w:val="00F82D2C"/>
    <w:rsid w:val="00F8302E"/>
    <w:rsid w:val="00F83354"/>
    <w:rsid w:val="00F8344B"/>
    <w:rsid w:val="00F83726"/>
    <w:rsid w:val="00F851C4"/>
    <w:rsid w:val="00F85567"/>
    <w:rsid w:val="00F85AA1"/>
    <w:rsid w:val="00F85FD8"/>
    <w:rsid w:val="00F865D9"/>
    <w:rsid w:val="00F8670E"/>
    <w:rsid w:val="00F86933"/>
    <w:rsid w:val="00F8699A"/>
    <w:rsid w:val="00F86DAB"/>
    <w:rsid w:val="00F86F12"/>
    <w:rsid w:val="00F87006"/>
    <w:rsid w:val="00F877CF"/>
    <w:rsid w:val="00F87D5F"/>
    <w:rsid w:val="00F90532"/>
    <w:rsid w:val="00F905B9"/>
    <w:rsid w:val="00F90C98"/>
    <w:rsid w:val="00F91488"/>
    <w:rsid w:val="00F91548"/>
    <w:rsid w:val="00F91647"/>
    <w:rsid w:val="00F917B7"/>
    <w:rsid w:val="00F9196F"/>
    <w:rsid w:val="00F92D02"/>
    <w:rsid w:val="00F93103"/>
    <w:rsid w:val="00F93828"/>
    <w:rsid w:val="00F93908"/>
    <w:rsid w:val="00F94349"/>
    <w:rsid w:val="00F9452B"/>
    <w:rsid w:val="00F94623"/>
    <w:rsid w:val="00F94CC7"/>
    <w:rsid w:val="00F95329"/>
    <w:rsid w:val="00F973C5"/>
    <w:rsid w:val="00F97653"/>
    <w:rsid w:val="00F977F3"/>
    <w:rsid w:val="00FA06B2"/>
    <w:rsid w:val="00FA0A1B"/>
    <w:rsid w:val="00FA0BE7"/>
    <w:rsid w:val="00FA0C73"/>
    <w:rsid w:val="00FA1557"/>
    <w:rsid w:val="00FA168C"/>
    <w:rsid w:val="00FA19A8"/>
    <w:rsid w:val="00FA19AF"/>
    <w:rsid w:val="00FA1D11"/>
    <w:rsid w:val="00FA1E23"/>
    <w:rsid w:val="00FA23B0"/>
    <w:rsid w:val="00FA2726"/>
    <w:rsid w:val="00FA3077"/>
    <w:rsid w:val="00FA3151"/>
    <w:rsid w:val="00FA3789"/>
    <w:rsid w:val="00FA383A"/>
    <w:rsid w:val="00FA3E5D"/>
    <w:rsid w:val="00FA44F1"/>
    <w:rsid w:val="00FA45A2"/>
    <w:rsid w:val="00FA4916"/>
    <w:rsid w:val="00FA4D9E"/>
    <w:rsid w:val="00FA528E"/>
    <w:rsid w:val="00FA5488"/>
    <w:rsid w:val="00FA57E5"/>
    <w:rsid w:val="00FA5FC7"/>
    <w:rsid w:val="00FA6571"/>
    <w:rsid w:val="00FA67DF"/>
    <w:rsid w:val="00FA702D"/>
    <w:rsid w:val="00FA7036"/>
    <w:rsid w:val="00FA738E"/>
    <w:rsid w:val="00FA754D"/>
    <w:rsid w:val="00FA7CF2"/>
    <w:rsid w:val="00FA7E5C"/>
    <w:rsid w:val="00FB0121"/>
    <w:rsid w:val="00FB01CA"/>
    <w:rsid w:val="00FB0214"/>
    <w:rsid w:val="00FB0327"/>
    <w:rsid w:val="00FB0A25"/>
    <w:rsid w:val="00FB0C45"/>
    <w:rsid w:val="00FB0F49"/>
    <w:rsid w:val="00FB1692"/>
    <w:rsid w:val="00FB193D"/>
    <w:rsid w:val="00FB1C0B"/>
    <w:rsid w:val="00FB21F4"/>
    <w:rsid w:val="00FB2337"/>
    <w:rsid w:val="00FB2443"/>
    <w:rsid w:val="00FB2579"/>
    <w:rsid w:val="00FB285C"/>
    <w:rsid w:val="00FB32EA"/>
    <w:rsid w:val="00FB3422"/>
    <w:rsid w:val="00FB3547"/>
    <w:rsid w:val="00FB3CDB"/>
    <w:rsid w:val="00FB4AD5"/>
    <w:rsid w:val="00FB512D"/>
    <w:rsid w:val="00FB5489"/>
    <w:rsid w:val="00FB573D"/>
    <w:rsid w:val="00FB57BE"/>
    <w:rsid w:val="00FB606C"/>
    <w:rsid w:val="00FB6253"/>
    <w:rsid w:val="00FB67B5"/>
    <w:rsid w:val="00FB6812"/>
    <w:rsid w:val="00FB6C0C"/>
    <w:rsid w:val="00FC0300"/>
    <w:rsid w:val="00FC089E"/>
    <w:rsid w:val="00FC0D20"/>
    <w:rsid w:val="00FC0D77"/>
    <w:rsid w:val="00FC14BD"/>
    <w:rsid w:val="00FC1679"/>
    <w:rsid w:val="00FC1A66"/>
    <w:rsid w:val="00FC2608"/>
    <w:rsid w:val="00FC2AAA"/>
    <w:rsid w:val="00FC36B7"/>
    <w:rsid w:val="00FC3790"/>
    <w:rsid w:val="00FC3885"/>
    <w:rsid w:val="00FC3AB4"/>
    <w:rsid w:val="00FC3F08"/>
    <w:rsid w:val="00FC4441"/>
    <w:rsid w:val="00FC47D2"/>
    <w:rsid w:val="00FC4CBE"/>
    <w:rsid w:val="00FC4DAE"/>
    <w:rsid w:val="00FC5059"/>
    <w:rsid w:val="00FC5081"/>
    <w:rsid w:val="00FC5316"/>
    <w:rsid w:val="00FC55B7"/>
    <w:rsid w:val="00FC56A5"/>
    <w:rsid w:val="00FC5743"/>
    <w:rsid w:val="00FC59DD"/>
    <w:rsid w:val="00FC5C2F"/>
    <w:rsid w:val="00FC5D45"/>
    <w:rsid w:val="00FC5E86"/>
    <w:rsid w:val="00FC640C"/>
    <w:rsid w:val="00FC66AF"/>
    <w:rsid w:val="00FC70E4"/>
    <w:rsid w:val="00FC7944"/>
    <w:rsid w:val="00FC79E2"/>
    <w:rsid w:val="00FC7E2A"/>
    <w:rsid w:val="00FC7F6F"/>
    <w:rsid w:val="00FD01B5"/>
    <w:rsid w:val="00FD02A8"/>
    <w:rsid w:val="00FD03CC"/>
    <w:rsid w:val="00FD07B8"/>
    <w:rsid w:val="00FD0997"/>
    <w:rsid w:val="00FD09AB"/>
    <w:rsid w:val="00FD0E2C"/>
    <w:rsid w:val="00FD11E5"/>
    <w:rsid w:val="00FD12D8"/>
    <w:rsid w:val="00FD1ED1"/>
    <w:rsid w:val="00FD227C"/>
    <w:rsid w:val="00FD22C2"/>
    <w:rsid w:val="00FD2432"/>
    <w:rsid w:val="00FD2745"/>
    <w:rsid w:val="00FD2895"/>
    <w:rsid w:val="00FD35F0"/>
    <w:rsid w:val="00FD3B1A"/>
    <w:rsid w:val="00FD4169"/>
    <w:rsid w:val="00FD417F"/>
    <w:rsid w:val="00FD4186"/>
    <w:rsid w:val="00FD4307"/>
    <w:rsid w:val="00FD4337"/>
    <w:rsid w:val="00FD4672"/>
    <w:rsid w:val="00FD46B9"/>
    <w:rsid w:val="00FD48C0"/>
    <w:rsid w:val="00FD492A"/>
    <w:rsid w:val="00FD4998"/>
    <w:rsid w:val="00FD4FC0"/>
    <w:rsid w:val="00FD506E"/>
    <w:rsid w:val="00FD53E9"/>
    <w:rsid w:val="00FD563A"/>
    <w:rsid w:val="00FD5BF0"/>
    <w:rsid w:val="00FD63A4"/>
    <w:rsid w:val="00FD65F2"/>
    <w:rsid w:val="00FD6681"/>
    <w:rsid w:val="00FD6E96"/>
    <w:rsid w:val="00FD76A6"/>
    <w:rsid w:val="00FD76A7"/>
    <w:rsid w:val="00FD7B18"/>
    <w:rsid w:val="00FE0031"/>
    <w:rsid w:val="00FE06FA"/>
    <w:rsid w:val="00FE1145"/>
    <w:rsid w:val="00FE17AE"/>
    <w:rsid w:val="00FE18FD"/>
    <w:rsid w:val="00FE1D04"/>
    <w:rsid w:val="00FE20EE"/>
    <w:rsid w:val="00FE2885"/>
    <w:rsid w:val="00FE2D02"/>
    <w:rsid w:val="00FE308F"/>
    <w:rsid w:val="00FE38F2"/>
    <w:rsid w:val="00FE395F"/>
    <w:rsid w:val="00FE3C8D"/>
    <w:rsid w:val="00FE3D94"/>
    <w:rsid w:val="00FE3DBA"/>
    <w:rsid w:val="00FE4013"/>
    <w:rsid w:val="00FE416A"/>
    <w:rsid w:val="00FE4379"/>
    <w:rsid w:val="00FE4825"/>
    <w:rsid w:val="00FE4889"/>
    <w:rsid w:val="00FE4AC3"/>
    <w:rsid w:val="00FE4E0B"/>
    <w:rsid w:val="00FE521C"/>
    <w:rsid w:val="00FE5838"/>
    <w:rsid w:val="00FE5C6C"/>
    <w:rsid w:val="00FE6625"/>
    <w:rsid w:val="00FE67FB"/>
    <w:rsid w:val="00FE6926"/>
    <w:rsid w:val="00FE6DFA"/>
    <w:rsid w:val="00FE73BD"/>
    <w:rsid w:val="00FE7E4D"/>
    <w:rsid w:val="00FF0436"/>
    <w:rsid w:val="00FF0926"/>
    <w:rsid w:val="00FF0DB3"/>
    <w:rsid w:val="00FF151D"/>
    <w:rsid w:val="00FF16FA"/>
    <w:rsid w:val="00FF1DC9"/>
    <w:rsid w:val="00FF1F43"/>
    <w:rsid w:val="00FF1F91"/>
    <w:rsid w:val="00FF2004"/>
    <w:rsid w:val="00FF25F4"/>
    <w:rsid w:val="00FF2BFB"/>
    <w:rsid w:val="00FF2E8F"/>
    <w:rsid w:val="00FF3507"/>
    <w:rsid w:val="00FF3897"/>
    <w:rsid w:val="00FF3E3E"/>
    <w:rsid w:val="00FF4209"/>
    <w:rsid w:val="00FF42EE"/>
    <w:rsid w:val="00FF5124"/>
    <w:rsid w:val="00FF640F"/>
    <w:rsid w:val="00FF6D79"/>
    <w:rsid w:val="00FF74B3"/>
    <w:rsid w:val="00FF7B9E"/>
    <w:rsid w:val="00FF7D38"/>
    <w:rsid w:val="00FF7DF7"/>
    <w:rsid w:val="00FF7F92"/>
    <w:rsid w:val="04D29C3D"/>
    <w:rsid w:val="63D7EB09"/>
    <w:rsid w:val="67DB48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38C0D"/>
  <w15:chartTrackingRefBased/>
  <w15:docId w15:val="{BB9CDB51-5AA4-42EC-B918-8FD9EB8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uiPriority w:val="9"/>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uiPriority w:val="9"/>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115875"/>
    <w:pPr>
      <w:numPr>
        <w:numId w:val="2"/>
      </w:numPr>
      <w:tabs>
        <w:tab w:val="clear" w:pos="360"/>
        <w:tab w:val="num" w:pos="730"/>
      </w:tabs>
      <w:spacing w:before="0"/>
      <w:ind w:left="1418" w:hanging="284"/>
    </w:pPr>
    <w:rPr>
      <w:iCs/>
    </w:r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tabs>
        <w:tab w:val="num" w:pos="1492"/>
      </w:tabs>
      <w:ind w:left="1492" w:hanging="360"/>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 Char,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qFormat/>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5E7D24"/>
    <w:rPr>
      <w:rFonts w:ascii="Open Sans" w:eastAsia="MS Mincho" w:hAnsi="Open Sans"/>
      <w:sz w:val="24"/>
      <w:szCs w:val="24"/>
    </w:rPr>
  </w:style>
  <w:style w:type="character" w:styleId="UnresolvedMention">
    <w:name w:val="Unresolved Mention"/>
    <w:basedOn w:val="DefaultParagraphFont"/>
    <w:uiPriority w:val="99"/>
    <w:semiHidden/>
    <w:unhideWhenUsed/>
    <w:rsid w:val="00F40EB1"/>
    <w:rPr>
      <w:color w:val="605E5C"/>
      <w:shd w:val="clear" w:color="auto" w:fill="E1DFDD"/>
    </w:rPr>
  </w:style>
  <w:style w:type="character" w:customStyle="1" w:styleId="ListParagraphChar">
    <w:name w:val="List Paragraph Char"/>
    <w:aliases w:val="L Char,List Paragraph1 Char,List Paragraph11 Char,Recommendation Char,EOT List Paragraph Char,Bullet point Char,List Paragraph Number Char"/>
    <w:link w:val="ListParagraph"/>
    <w:uiPriority w:val="34"/>
    <w:locked/>
    <w:rsid w:val="003A65C4"/>
    <w:rPr>
      <w:rFonts w:ascii="Open Sans" w:eastAsia="MS Mincho" w:hAnsi="Open Sans"/>
      <w:sz w:val="24"/>
      <w:szCs w:val="24"/>
    </w:rPr>
  </w:style>
  <w:style w:type="paragraph" w:customStyle="1" w:styleId="Blockquote">
    <w:name w:val="Block quote"/>
    <w:basedOn w:val="Normal"/>
    <w:link w:val="BlockquoteChar"/>
    <w:qFormat/>
    <w:rsid w:val="003A65C4"/>
    <w:pPr>
      <w:spacing w:line="259" w:lineRule="auto"/>
      <w:ind w:left="1089" w:right="6"/>
    </w:pPr>
    <w:rPr>
      <w:sz w:val="22"/>
    </w:rPr>
  </w:style>
  <w:style w:type="character" w:customStyle="1" w:styleId="BlockquoteChar">
    <w:name w:val="Block quote Char"/>
    <w:basedOn w:val="DefaultParagraphFont"/>
    <w:link w:val="Blockquote"/>
    <w:rsid w:val="003A65C4"/>
    <w:rPr>
      <w:rFonts w:ascii="Open Sans" w:eastAsia="MS Mincho" w:hAnsi="Open Sans"/>
      <w:sz w:val="22"/>
      <w:szCs w:val="24"/>
    </w:rPr>
  </w:style>
  <w:style w:type="character" w:customStyle="1" w:styleId="markedcontent">
    <w:name w:val="markedcontent"/>
    <w:basedOn w:val="DefaultParagraphFont"/>
    <w:rsid w:val="000B7279"/>
  </w:style>
  <w:style w:type="paragraph" w:customStyle="1" w:styleId="AHRCHeading2">
    <w:name w:val="AHRC Heading 2"/>
    <w:basedOn w:val="Heading2"/>
    <w:link w:val="AHRCHeading2Char"/>
    <w:qFormat/>
    <w:rsid w:val="000B7279"/>
    <w:pPr>
      <w:numPr>
        <w:numId w:val="9"/>
      </w:numPr>
      <w:spacing w:line="259" w:lineRule="auto"/>
    </w:pPr>
  </w:style>
  <w:style w:type="character" w:customStyle="1" w:styleId="AHRCHeading2Char">
    <w:name w:val="AHRC Heading 2 Char"/>
    <w:basedOn w:val="Heading2Char"/>
    <w:link w:val="AHRCHeading2"/>
    <w:rsid w:val="000B7279"/>
    <w:rPr>
      <w:rFonts w:ascii="Open Sans" w:eastAsia="MS Mincho" w:hAnsi="Open Sans"/>
      <w:b/>
      <w:sz w:val="28"/>
      <w:szCs w:val="26"/>
    </w:rPr>
  </w:style>
  <w:style w:type="paragraph" w:customStyle="1" w:styleId="paragraph">
    <w:name w:val="paragraph"/>
    <w:basedOn w:val="Normal"/>
    <w:rsid w:val="00CA6DC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CA6DC9"/>
  </w:style>
  <w:style w:type="character" w:customStyle="1" w:styleId="eop">
    <w:name w:val="eop"/>
    <w:basedOn w:val="DefaultParagraphFont"/>
    <w:rsid w:val="00CA6DC9"/>
  </w:style>
  <w:style w:type="character" w:customStyle="1" w:styleId="superscript">
    <w:name w:val="superscript"/>
    <w:basedOn w:val="DefaultParagraphFont"/>
    <w:rsid w:val="00CA6DC9"/>
  </w:style>
  <w:style w:type="paragraph" w:styleId="FootnoteText">
    <w:name w:val="footnote text"/>
    <w:aliases w:val="5_G,Footnote Text Char Char Char Char Char,Footnote Text Char Char Char Char,Footnote reference,FA Fu,Footnote Text Char Char Char,Char,Footnote Reference1"/>
    <w:basedOn w:val="Normal"/>
    <w:link w:val="FootnoteTextChar"/>
    <w:uiPriority w:val="99"/>
    <w:unhideWhenUsed/>
    <w:locked/>
    <w:rsid w:val="00E237A3"/>
    <w:pPr>
      <w:keepNext/>
      <w:keepLines/>
      <w:spacing w:before="0" w:after="0"/>
      <w:textboxTightWrap w:val="firstAndLastLine"/>
    </w:pPr>
    <w:rPr>
      <w:rFonts w:asciiTheme="minorHAnsi" w:eastAsiaTheme="minorHAnsi" w:hAnsiTheme="minorHAnsi" w:cstheme="minorBidi"/>
      <w:sz w:val="20"/>
      <w:szCs w:val="20"/>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1,Footnote Reference1 Char"/>
    <w:basedOn w:val="DefaultParagraphFont"/>
    <w:link w:val="FootnoteText"/>
    <w:uiPriority w:val="99"/>
    <w:rsid w:val="00E237A3"/>
    <w:rPr>
      <w:rFonts w:asciiTheme="minorHAnsi" w:eastAsiaTheme="minorHAnsi" w:hAnsiTheme="minorHAnsi" w:cstheme="minorBidi"/>
      <w:lang w:eastAsia="en-US"/>
    </w:rPr>
  </w:style>
  <w:style w:type="character" w:styleId="FootnoteReference">
    <w:name w:val="footnote reference"/>
    <w:aliases w:val="4_G,Footnote number"/>
    <w:basedOn w:val="DefaultParagraphFont"/>
    <w:uiPriority w:val="99"/>
    <w:unhideWhenUsed/>
    <w:locked/>
    <w:rsid w:val="00E237A3"/>
    <w:rPr>
      <w:vertAlign w:val="superscript"/>
    </w:rPr>
  </w:style>
  <w:style w:type="paragraph" w:customStyle="1" w:styleId="definition">
    <w:name w:val="definition"/>
    <w:basedOn w:val="Normal"/>
    <w:rsid w:val="002331AD"/>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2331A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20085">
      <w:bodyDiv w:val="1"/>
      <w:marLeft w:val="0"/>
      <w:marRight w:val="0"/>
      <w:marTop w:val="0"/>
      <w:marBottom w:val="0"/>
      <w:divBdr>
        <w:top w:val="none" w:sz="0" w:space="0" w:color="auto"/>
        <w:left w:val="none" w:sz="0" w:space="0" w:color="auto"/>
        <w:bottom w:val="none" w:sz="0" w:space="0" w:color="auto"/>
        <w:right w:val="none" w:sz="0" w:space="0" w:color="auto"/>
      </w:divBdr>
    </w:div>
    <w:div w:id="447505825">
      <w:bodyDiv w:val="1"/>
      <w:marLeft w:val="0"/>
      <w:marRight w:val="0"/>
      <w:marTop w:val="0"/>
      <w:marBottom w:val="0"/>
      <w:divBdr>
        <w:top w:val="none" w:sz="0" w:space="0" w:color="auto"/>
        <w:left w:val="none" w:sz="0" w:space="0" w:color="auto"/>
        <w:bottom w:val="none" w:sz="0" w:space="0" w:color="auto"/>
        <w:right w:val="none" w:sz="0" w:space="0" w:color="auto"/>
      </w:divBdr>
    </w:div>
    <w:div w:id="520781537">
      <w:bodyDiv w:val="1"/>
      <w:marLeft w:val="0"/>
      <w:marRight w:val="0"/>
      <w:marTop w:val="0"/>
      <w:marBottom w:val="0"/>
      <w:divBdr>
        <w:top w:val="none" w:sz="0" w:space="0" w:color="auto"/>
        <w:left w:val="none" w:sz="0" w:space="0" w:color="auto"/>
        <w:bottom w:val="none" w:sz="0" w:space="0" w:color="auto"/>
        <w:right w:val="none" w:sz="0" w:space="0" w:color="auto"/>
      </w:divBdr>
      <w:divsChild>
        <w:div w:id="755395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959042">
      <w:bodyDiv w:val="1"/>
      <w:marLeft w:val="0"/>
      <w:marRight w:val="0"/>
      <w:marTop w:val="0"/>
      <w:marBottom w:val="0"/>
      <w:divBdr>
        <w:top w:val="none" w:sz="0" w:space="0" w:color="auto"/>
        <w:left w:val="none" w:sz="0" w:space="0" w:color="auto"/>
        <w:bottom w:val="none" w:sz="0" w:space="0" w:color="auto"/>
        <w:right w:val="none" w:sz="0" w:space="0" w:color="auto"/>
      </w:divBdr>
      <w:divsChild>
        <w:div w:id="34120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868421">
      <w:bodyDiv w:val="1"/>
      <w:marLeft w:val="0"/>
      <w:marRight w:val="0"/>
      <w:marTop w:val="0"/>
      <w:marBottom w:val="0"/>
      <w:divBdr>
        <w:top w:val="none" w:sz="0" w:space="0" w:color="auto"/>
        <w:left w:val="none" w:sz="0" w:space="0" w:color="auto"/>
        <w:bottom w:val="none" w:sz="0" w:space="0" w:color="auto"/>
        <w:right w:val="none" w:sz="0" w:space="0" w:color="auto"/>
      </w:divBdr>
    </w:div>
    <w:div w:id="67053020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9184292">
      <w:bodyDiv w:val="1"/>
      <w:marLeft w:val="0"/>
      <w:marRight w:val="0"/>
      <w:marTop w:val="0"/>
      <w:marBottom w:val="0"/>
      <w:divBdr>
        <w:top w:val="none" w:sz="0" w:space="0" w:color="auto"/>
        <w:left w:val="none" w:sz="0" w:space="0" w:color="auto"/>
        <w:bottom w:val="none" w:sz="0" w:space="0" w:color="auto"/>
        <w:right w:val="none" w:sz="0" w:space="0" w:color="auto"/>
      </w:divBdr>
    </w:div>
    <w:div w:id="765347763">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3741397">
      <w:bodyDiv w:val="1"/>
      <w:marLeft w:val="0"/>
      <w:marRight w:val="0"/>
      <w:marTop w:val="0"/>
      <w:marBottom w:val="0"/>
      <w:divBdr>
        <w:top w:val="none" w:sz="0" w:space="0" w:color="auto"/>
        <w:left w:val="none" w:sz="0" w:space="0" w:color="auto"/>
        <w:bottom w:val="none" w:sz="0" w:space="0" w:color="auto"/>
        <w:right w:val="none" w:sz="0" w:space="0" w:color="auto"/>
      </w:divBdr>
    </w:div>
    <w:div w:id="816385674">
      <w:bodyDiv w:val="1"/>
      <w:marLeft w:val="0"/>
      <w:marRight w:val="0"/>
      <w:marTop w:val="0"/>
      <w:marBottom w:val="0"/>
      <w:divBdr>
        <w:top w:val="none" w:sz="0" w:space="0" w:color="auto"/>
        <w:left w:val="none" w:sz="0" w:space="0" w:color="auto"/>
        <w:bottom w:val="none" w:sz="0" w:space="0" w:color="auto"/>
        <w:right w:val="none" w:sz="0" w:space="0" w:color="auto"/>
      </w:divBdr>
    </w:div>
    <w:div w:id="930815374">
      <w:bodyDiv w:val="1"/>
      <w:marLeft w:val="0"/>
      <w:marRight w:val="0"/>
      <w:marTop w:val="0"/>
      <w:marBottom w:val="0"/>
      <w:divBdr>
        <w:top w:val="none" w:sz="0" w:space="0" w:color="auto"/>
        <w:left w:val="none" w:sz="0" w:space="0" w:color="auto"/>
        <w:bottom w:val="none" w:sz="0" w:space="0" w:color="auto"/>
        <w:right w:val="none" w:sz="0" w:space="0" w:color="auto"/>
      </w:divBdr>
    </w:div>
    <w:div w:id="956642716">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0888076">
      <w:bodyDiv w:val="1"/>
      <w:marLeft w:val="0"/>
      <w:marRight w:val="0"/>
      <w:marTop w:val="0"/>
      <w:marBottom w:val="0"/>
      <w:divBdr>
        <w:top w:val="none" w:sz="0" w:space="0" w:color="auto"/>
        <w:left w:val="none" w:sz="0" w:space="0" w:color="auto"/>
        <w:bottom w:val="none" w:sz="0" w:space="0" w:color="auto"/>
        <w:right w:val="none" w:sz="0" w:space="0" w:color="auto"/>
      </w:divBdr>
    </w:div>
    <w:div w:id="987637097">
      <w:bodyDiv w:val="1"/>
      <w:marLeft w:val="0"/>
      <w:marRight w:val="0"/>
      <w:marTop w:val="0"/>
      <w:marBottom w:val="0"/>
      <w:divBdr>
        <w:top w:val="none" w:sz="0" w:space="0" w:color="auto"/>
        <w:left w:val="none" w:sz="0" w:space="0" w:color="auto"/>
        <w:bottom w:val="none" w:sz="0" w:space="0" w:color="auto"/>
        <w:right w:val="none" w:sz="0" w:space="0" w:color="auto"/>
      </w:divBdr>
    </w:div>
    <w:div w:id="1282348583">
      <w:bodyDiv w:val="1"/>
      <w:marLeft w:val="0"/>
      <w:marRight w:val="0"/>
      <w:marTop w:val="0"/>
      <w:marBottom w:val="0"/>
      <w:divBdr>
        <w:top w:val="none" w:sz="0" w:space="0" w:color="auto"/>
        <w:left w:val="none" w:sz="0" w:space="0" w:color="auto"/>
        <w:bottom w:val="none" w:sz="0" w:space="0" w:color="auto"/>
        <w:right w:val="none" w:sz="0" w:space="0" w:color="auto"/>
      </w:divBdr>
      <w:divsChild>
        <w:div w:id="1217813384">
          <w:marLeft w:val="0"/>
          <w:marRight w:val="0"/>
          <w:marTop w:val="0"/>
          <w:marBottom w:val="0"/>
          <w:divBdr>
            <w:top w:val="none" w:sz="0" w:space="0" w:color="auto"/>
            <w:left w:val="none" w:sz="0" w:space="0" w:color="auto"/>
            <w:bottom w:val="none" w:sz="0" w:space="0" w:color="auto"/>
            <w:right w:val="none" w:sz="0" w:space="0" w:color="auto"/>
          </w:divBdr>
          <w:divsChild>
            <w:div w:id="166986755">
              <w:marLeft w:val="0"/>
              <w:marRight w:val="0"/>
              <w:marTop w:val="0"/>
              <w:marBottom w:val="0"/>
              <w:divBdr>
                <w:top w:val="none" w:sz="0" w:space="0" w:color="auto"/>
                <w:left w:val="none" w:sz="0" w:space="0" w:color="auto"/>
                <w:bottom w:val="none" w:sz="0" w:space="0" w:color="auto"/>
                <w:right w:val="none" w:sz="0" w:space="0" w:color="auto"/>
              </w:divBdr>
            </w:div>
            <w:div w:id="345132393">
              <w:marLeft w:val="0"/>
              <w:marRight w:val="0"/>
              <w:marTop w:val="0"/>
              <w:marBottom w:val="0"/>
              <w:divBdr>
                <w:top w:val="none" w:sz="0" w:space="0" w:color="auto"/>
                <w:left w:val="none" w:sz="0" w:space="0" w:color="auto"/>
                <w:bottom w:val="none" w:sz="0" w:space="0" w:color="auto"/>
                <w:right w:val="none" w:sz="0" w:space="0" w:color="auto"/>
              </w:divBdr>
            </w:div>
            <w:div w:id="669144168">
              <w:marLeft w:val="0"/>
              <w:marRight w:val="0"/>
              <w:marTop w:val="0"/>
              <w:marBottom w:val="0"/>
              <w:divBdr>
                <w:top w:val="none" w:sz="0" w:space="0" w:color="auto"/>
                <w:left w:val="none" w:sz="0" w:space="0" w:color="auto"/>
                <w:bottom w:val="none" w:sz="0" w:space="0" w:color="auto"/>
                <w:right w:val="none" w:sz="0" w:space="0" w:color="auto"/>
              </w:divBdr>
            </w:div>
            <w:div w:id="770396162">
              <w:marLeft w:val="0"/>
              <w:marRight w:val="0"/>
              <w:marTop w:val="0"/>
              <w:marBottom w:val="0"/>
              <w:divBdr>
                <w:top w:val="none" w:sz="0" w:space="0" w:color="auto"/>
                <w:left w:val="none" w:sz="0" w:space="0" w:color="auto"/>
                <w:bottom w:val="none" w:sz="0" w:space="0" w:color="auto"/>
                <w:right w:val="none" w:sz="0" w:space="0" w:color="auto"/>
              </w:divBdr>
            </w:div>
            <w:div w:id="1197625131">
              <w:marLeft w:val="0"/>
              <w:marRight w:val="0"/>
              <w:marTop w:val="0"/>
              <w:marBottom w:val="0"/>
              <w:divBdr>
                <w:top w:val="none" w:sz="0" w:space="0" w:color="auto"/>
                <w:left w:val="none" w:sz="0" w:space="0" w:color="auto"/>
                <w:bottom w:val="none" w:sz="0" w:space="0" w:color="auto"/>
                <w:right w:val="none" w:sz="0" w:space="0" w:color="auto"/>
              </w:divBdr>
            </w:div>
            <w:div w:id="1334213589">
              <w:marLeft w:val="0"/>
              <w:marRight w:val="0"/>
              <w:marTop w:val="0"/>
              <w:marBottom w:val="0"/>
              <w:divBdr>
                <w:top w:val="none" w:sz="0" w:space="0" w:color="auto"/>
                <w:left w:val="none" w:sz="0" w:space="0" w:color="auto"/>
                <w:bottom w:val="none" w:sz="0" w:space="0" w:color="auto"/>
                <w:right w:val="none" w:sz="0" w:space="0" w:color="auto"/>
              </w:divBdr>
            </w:div>
            <w:div w:id="1642540165">
              <w:marLeft w:val="0"/>
              <w:marRight w:val="0"/>
              <w:marTop w:val="0"/>
              <w:marBottom w:val="0"/>
              <w:divBdr>
                <w:top w:val="none" w:sz="0" w:space="0" w:color="auto"/>
                <w:left w:val="none" w:sz="0" w:space="0" w:color="auto"/>
                <w:bottom w:val="none" w:sz="0" w:space="0" w:color="auto"/>
                <w:right w:val="none" w:sz="0" w:space="0" w:color="auto"/>
              </w:divBdr>
            </w:div>
            <w:div w:id="1731810776">
              <w:marLeft w:val="0"/>
              <w:marRight w:val="0"/>
              <w:marTop w:val="0"/>
              <w:marBottom w:val="0"/>
              <w:divBdr>
                <w:top w:val="none" w:sz="0" w:space="0" w:color="auto"/>
                <w:left w:val="none" w:sz="0" w:space="0" w:color="auto"/>
                <w:bottom w:val="none" w:sz="0" w:space="0" w:color="auto"/>
                <w:right w:val="none" w:sz="0" w:space="0" w:color="auto"/>
              </w:divBdr>
            </w:div>
          </w:divsChild>
        </w:div>
        <w:div w:id="1418674116">
          <w:marLeft w:val="0"/>
          <w:marRight w:val="0"/>
          <w:marTop w:val="0"/>
          <w:marBottom w:val="0"/>
          <w:divBdr>
            <w:top w:val="none" w:sz="0" w:space="0" w:color="auto"/>
            <w:left w:val="none" w:sz="0" w:space="0" w:color="auto"/>
            <w:bottom w:val="none" w:sz="0" w:space="0" w:color="auto"/>
            <w:right w:val="none" w:sz="0" w:space="0" w:color="auto"/>
          </w:divBdr>
          <w:divsChild>
            <w:div w:id="344285286">
              <w:marLeft w:val="0"/>
              <w:marRight w:val="0"/>
              <w:marTop w:val="0"/>
              <w:marBottom w:val="0"/>
              <w:divBdr>
                <w:top w:val="none" w:sz="0" w:space="0" w:color="auto"/>
                <w:left w:val="none" w:sz="0" w:space="0" w:color="auto"/>
                <w:bottom w:val="none" w:sz="0" w:space="0" w:color="auto"/>
                <w:right w:val="none" w:sz="0" w:space="0" w:color="auto"/>
              </w:divBdr>
            </w:div>
            <w:div w:id="6508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1053">
      <w:bodyDiv w:val="1"/>
      <w:marLeft w:val="0"/>
      <w:marRight w:val="0"/>
      <w:marTop w:val="0"/>
      <w:marBottom w:val="0"/>
      <w:divBdr>
        <w:top w:val="none" w:sz="0" w:space="0" w:color="auto"/>
        <w:left w:val="none" w:sz="0" w:space="0" w:color="auto"/>
        <w:bottom w:val="none" w:sz="0" w:space="0" w:color="auto"/>
        <w:right w:val="none" w:sz="0" w:space="0" w:color="auto"/>
      </w:divBdr>
    </w:div>
    <w:div w:id="1372805637">
      <w:bodyDiv w:val="1"/>
      <w:marLeft w:val="0"/>
      <w:marRight w:val="0"/>
      <w:marTop w:val="0"/>
      <w:marBottom w:val="0"/>
      <w:divBdr>
        <w:top w:val="none" w:sz="0" w:space="0" w:color="auto"/>
        <w:left w:val="none" w:sz="0" w:space="0" w:color="auto"/>
        <w:bottom w:val="none" w:sz="0" w:space="0" w:color="auto"/>
        <w:right w:val="none" w:sz="0" w:space="0" w:color="auto"/>
      </w:divBdr>
    </w:div>
    <w:div w:id="1397389251">
      <w:bodyDiv w:val="1"/>
      <w:marLeft w:val="0"/>
      <w:marRight w:val="0"/>
      <w:marTop w:val="0"/>
      <w:marBottom w:val="0"/>
      <w:divBdr>
        <w:top w:val="none" w:sz="0" w:space="0" w:color="auto"/>
        <w:left w:val="none" w:sz="0" w:space="0" w:color="auto"/>
        <w:bottom w:val="none" w:sz="0" w:space="0" w:color="auto"/>
        <w:right w:val="none" w:sz="0" w:space="0" w:color="auto"/>
      </w:divBdr>
    </w:div>
    <w:div w:id="1556237315">
      <w:bodyDiv w:val="1"/>
      <w:marLeft w:val="0"/>
      <w:marRight w:val="0"/>
      <w:marTop w:val="0"/>
      <w:marBottom w:val="0"/>
      <w:divBdr>
        <w:top w:val="none" w:sz="0" w:space="0" w:color="auto"/>
        <w:left w:val="none" w:sz="0" w:space="0" w:color="auto"/>
        <w:bottom w:val="none" w:sz="0" w:space="0" w:color="auto"/>
        <w:right w:val="none" w:sz="0" w:space="0" w:color="auto"/>
      </w:divBdr>
    </w:div>
    <w:div w:id="1634557370">
      <w:bodyDiv w:val="1"/>
      <w:marLeft w:val="0"/>
      <w:marRight w:val="0"/>
      <w:marTop w:val="0"/>
      <w:marBottom w:val="0"/>
      <w:divBdr>
        <w:top w:val="none" w:sz="0" w:space="0" w:color="auto"/>
        <w:left w:val="none" w:sz="0" w:space="0" w:color="auto"/>
        <w:bottom w:val="none" w:sz="0" w:space="0" w:color="auto"/>
        <w:right w:val="none" w:sz="0" w:space="0" w:color="auto"/>
      </w:divBdr>
    </w:div>
    <w:div w:id="1732921177">
      <w:bodyDiv w:val="1"/>
      <w:marLeft w:val="0"/>
      <w:marRight w:val="0"/>
      <w:marTop w:val="0"/>
      <w:marBottom w:val="0"/>
      <w:divBdr>
        <w:top w:val="none" w:sz="0" w:space="0" w:color="auto"/>
        <w:left w:val="none" w:sz="0" w:space="0" w:color="auto"/>
        <w:bottom w:val="none" w:sz="0" w:space="0" w:color="auto"/>
        <w:right w:val="none" w:sz="0" w:space="0" w:color="auto"/>
      </w:divBdr>
    </w:div>
    <w:div w:id="1904488558">
      <w:bodyDiv w:val="1"/>
      <w:marLeft w:val="0"/>
      <w:marRight w:val="0"/>
      <w:marTop w:val="0"/>
      <w:marBottom w:val="0"/>
      <w:divBdr>
        <w:top w:val="none" w:sz="0" w:space="0" w:color="auto"/>
        <w:left w:val="none" w:sz="0" w:space="0" w:color="auto"/>
        <w:bottom w:val="none" w:sz="0" w:space="0" w:color="auto"/>
        <w:right w:val="none" w:sz="0" w:space="0" w:color="auto"/>
      </w:divBdr>
      <w:divsChild>
        <w:div w:id="140272586">
          <w:marLeft w:val="0"/>
          <w:marRight w:val="0"/>
          <w:marTop w:val="0"/>
          <w:marBottom w:val="0"/>
          <w:divBdr>
            <w:top w:val="none" w:sz="0" w:space="0" w:color="auto"/>
            <w:left w:val="none" w:sz="0" w:space="0" w:color="auto"/>
            <w:bottom w:val="none" w:sz="0" w:space="0" w:color="auto"/>
            <w:right w:val="none" w:sz="0" w:space="0" w:color="auto"/>
          </w:divBdr>
        </w:div>
        <w:div w:id="609626037">
          <w:marLeft w:val="0"/>
          <w:marRight w:val="0"/>
          <w:marTop w:val="0"/>
          <w:marBottom w:val="0"/>
          <w:divBdr>
            <w:top w:val="none" w:sz="0" w:space="0" w:color="auto"/>
            <w:left w:val="none" w:sz="0" w:space="0" w:color="auto"/>
            <w:bottom w:val="none" w:sz="0" w:space="0" w:color="auto"/>
            <w:right w:val="none" w:sz="0" w:space="0" w:color="auto"/>
          </w:divBdr>
        </w:div>
        <w:div w:id="618293433">
          <w:marLeft w:val="0"/>
          <w:marRight w:val="0"/>
          <w:marTop w:val="0"/>
          <w:marBottom w:val="0"/>
          <w:divBdr>
            <w:top w:val="none" w:sz="0" w:space="0" w:color="auto"/>
            <w:left w:val="none" w:sz="0" w:space="0" w:color="auto"/>
            <w:bottom w:val="none" w:sz="0" w:space="0" w:color="auto"/>
            <w:right w:val="none" w:sz="0" w:space="0" w:color="auto"/>
          </w:divBdr>
        </w:div>
        <w:div w:id="779496499">
          <w:marLeft w:val="0"/>
          <w:marRight w:val="0"/>
          <w:marTop w:val="0"/>
          <w:marBottom w:val="0"/>
          <w:divBdr>
            <w:top w:val="none" w:sz="0" w:space="0" w:color="auto"/>
            <w:left w:val="none" w:sz="0" w:space="0" w:color="auto"/>
            <w:bottom w:val="none" w:sz="0" w:space="0" w:color="auto"/>
            <w:right w:val="none" w:sz="0" w:space="0" w:color="auto"/>
          </w:divBdr>
        </w:div>
        <w:div w:id="829516322">
          <w:marLeft w:val="0"/>
          <w:marRight w:val="0"/>
          <w:marTop w:val="0"/>
          <w:marBottom w:val="0"/>
          <w:divBdr>
            <w:top w:val="none" w:sz="0" w:space="0" w:color="auto"/>
            <w:left w:val="none" w:sz="0" w:space="0" w:color="auto"/>
            <w:bottom w:val="none" w:sz="0" w:space="0" w:color="auto"/>
            <w:right w:val="none" w:sz="0" w:space="0" w:color="auto"/>
          </w:divBdr>
        </w:div>
        <w:div w:id="1371415247">
          <w:marLeft w:val="0"/>
          <w:marRight w:val="0"/>
          <w:marTop w:val="0"/>
          <w:marBottom w:val="0"/>
          <w:divBdr>
            <w:top w:val="none" w:sz="0" w:space="0" w:color="auto"/>
            <w:left w:val="none" w:sz="0" w:space="0" w:color="auto"/>
            <w:bottom w:val="none" w:sz="0" w:space="0" w:color="auto"/>
            <w:right w:val="none" w:sz="0" w:space="0" w:color="auto"/>
          </w:divBdr>
        </w:div>
        <w:div w:id="1474565548">
          <w:marLeft w:val="0"/>
          <w:marRight w:val="0"/>
          <w:marTop w:val="0"/>
          <w:marBottom w:val="0"/>
          <w:divBdr>
            <w:top w:val="none" w:sz="0" w:space="0" w:color="auto"/>
            <w:left w:val="none" w:sz="0" w:space="0" w:color="auto"/>
            <w:bottom w:val="none" w:sz="0" w:space="0" w:color="auto"/>
            <w:right w:val="none" w:sz="0" w:space="0" w:color="auto"/>
          </w:divBdr>
        </w:div>
        <w:div w:id="1656642749">
          <w:marLeft w:val="0"/>
          <w:marRight w:val="0"/>
          <w:marTop w:val="0"/>
          <w:marBottom w:val="0"/>
          <w:divBdr>
            <w:top w:val="none" w:sz="0" w:space="0" w:color="auto"/>
            <w:left w:val="none" w:sz="0" w:space="0" w:color="auto"/>
            <w:bottom w:val="none" w:sz="0" w:space="0" w:color="auto"/>
            <w:right w:val="none" w:sz="0" w:space="0" w:color="auto"/>
          </w:divBdr>
        </w:div>
        <w:div w:id="1800029273">
          <w:marLeft w:val="0"/>
          <w:marRight w:val="0"/>
          <w:marTop w:val="0"/>
          <w:marBottom w:val="0"/>
          <w:divBdr>
            <w:top w:val="none" w:sz="0" w:space="0" w:color="auto"/>
            <w:left w:val="none" w:sz="0" w:space="0" w:color="auto"/>
            <w:bottom w:val="none" w:sz="0" w:space="0" w:color="auto"/>
            <w:right w:val="none" w:sz="0" w:space="0" w:color="auto"/>
          </w:divBdr>
        </w:div>
      </w:divsChild>
    </w:div>
    <w:div w:id="1913082016">
      <w:bodyDiv w:val="1"/>
      <w:marLeft w:val="0"/>
      <w:marRight w:val="0"/>
      <w:marTop w:val="0"/>
      <w:marBottom w:val="0"/>
      <w:divBdr>
        <w:top w:val="none" w:sz="0" w:space="0" w:color="auto"/>
        <w:left w:val="none" w:sz="0" w:space="0" w:color="auto"/>
        <w:bottom w:val="none" w:sz="0" w:space="0" w:color="auto"/>
        <w:right w:val="none" w:sz="0" w:space="0" w:color="auto"/>
      </w:divBdr>
    </w:div>
    <w:div w:id="2059887809">
      <w:bodyDiv w:val="1"/>
      <w:marLeft w:val="0"/>
      <w:marRight w:val="0"/>
      <w:marTop w:val="0"/>
      <w:marBottom w:val="0"/>
      <w:divBdr>
        <w:top w:val="none" w:sz="0" w:space="0" w:color="auto"/>
        <w:left w:val="none" w:sz="0" w:space="0" w:color="auto"/>
        <w:bottom w:val="none" w:sz="0" w:space="0" w:color="auto"/>
        <w:right w:val="none" w:sz="0" w:space="0" w:color="auto"/>
      </w:divBdr>
    </w:div>
    <w:div w:id="2113501836">
      <w:bodyDiv w:val="1"/>
      <w:marLeft w:val="0"/>
      <w:marRight w:val="0"/>
      <w:marTop w:val="0"/>
      <w:marBottom w:val="0"/>
      <w:divBdr>
        <w:top w:val="none" w:sz="0" w:space="0" w:color="auto"/>
        <w:left w:val="none" w:sz="0" w:space="0" w:color="auto"/>
        <w:bottom w:val="none" w:sz="0" w:space="0" w:color="auto"/>
        <w:right w:val="none" w:sz="0" w:space="0" w:color="auto"/>
      </w:divBdr>
      <w:divsChild>
        <w:div w:id="475537089">
          <w:marLeft w:val="0"/>
          <w:marRight w:val="0"/>
          <w:marTop w:val="0"/>
          <w:marBottom w:val="0"/>
          <w:divBdr>
            <w:top w:val="none" w:sz="0" w:space="0" w:color="auto"/>
            <w:left w:val="none" w:sz="0" w:space="0" w:color="auto"/>
            <w:bottom w:val="none" w:sz="0" w:space="0" w:color="auto"/>
            <w:right w:val="none" w:sz="0" w:space="0" w:color="auto"/>
          </w:divBdr>
        </w:div>
        <w:div w:id="1174297745">
          <w:marLeft w:val="0"/>
          <w:marRight w:val="0"/>
          <w:marTop w:val="0"/>
          <w:marBottom w:val="0"/>
          <w:divBdr>
            <w:top w:val="none" w:sz="0" w:space="0" w:color="auto"/>
            <w:left w:val="none" w:sz="0" w:space="0" w:color="auto"/>
            <w:bottom w:val="none" w:sz="0" w:space="0" w:color="auto"/>
            <w:right w:val="none" w:sz="0" w:space="0" w:color="auto"/>
          </w:divBdr>
        </w:div>
        <w:div w:id="1417098174">
          <w:marLeft w:val="0"/>
          <w:marRight w:val="0"/>
          <w:marTop w:val="0"/>
          <w:marBottom w:val="0"/>
          <w:divBdr>
            <w:top w:val="none" w:sz="0" w:space="0" w:color="auto"/>
            <w:left w:val="none" w:sz="0" w:space="0" w:color="auto"/>
            <w:bottom w:val="none" w:sz="0" w:space="0" w:color="auto"/>
            <w:right w:val="none" w:sz="0" w:space="0" w:color="auto"/>
          </w:divBdr>
        </w:div>
        <w:div w:id="1510756110">
          <w:marLeft w:val="0"/>
          <w:marRight w:val="0"/>
          <w:marTop w:val="0"/>
          <w:marBottom w:val="0"/>
          <w:divBdr>
            <w:top w:val="none" w:sz="0" w:space="0" w:color="auto"/>
            <w:left w:val="none" w:sz="0" w:space="0" w:color="auto"/>
            <w:bottom w:val="none" w:sz="0" w:space="0" w:color="auto"/>
            <w:right w:val="none" w:sz="0" w:space="0" w:color="auto"/>
          </w:divBdr>
        </w:div>
        <w:div w:id="165775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s://www.aph.gov.au/Parliamentary_Business/Committees/Joint/Intelligence_and_Security/EspionageFInterference/Submissions" TargetMode="External"/><Relationship Id="rId2" Type="http://schemas.openxmlformats.org/officeDocument/2006/relationships/hyperlink" Target="https://www.ag.gov.au/sites/default/files/2023-11/secrecy-provisions-review-final-report.pdf" TargetMode="External"/><Relationship Id="rId1" Type="http://schemas.openxmlformats.org/officeDocument/2006/relationships/hyperlink" Target="https://www.alrc.gov.au/wp-content/uploads/2019/08/ALRC112.pdf" TargetMode="External"/><Relationship Id="rId4" Type="http://schemas.openxmlformats.org/officeDocument/2006/relationships/hyperlink" Target="https://www.aph.gov.au/-/media/Committees/Senate/committee/humanrights_ctte/guidance_notes/guidance_note_2/guidance_note_2.pdf?la=en&amp;hash=7D924E6F330668005C288BCDCDAC6ADE1719502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DGE6U7RJ2EFV-31920988-9516</_dlc_DocId>
    <_dlc_DocIdUrl xmlns="6500fe01-343b-4fb9-a1b0-68ac19d62e01">
      <Url>https://australianhrc.sharepoint.com/sites/LegalServ/_layouts/15/DocIdRedir.aspx?ID=DGE6U7RJ2EFV-31920988-9516</Url>
      <Description>DGE6U7RJ2EFV-31920988-9516</Description>
    </_dlc_DocIdUrl>
    <Received_x002f_Sent xmlns="57f1fb52-79b9-4278-9d54-1e5db41bfcda" xsi:nil="true"/>
    <EmailasAttachment xmlns="1a69bdef-c635-48ac-9cf9-b687dab64bb7">
      <Url xsi:nil="true"/>
      <Description xsi:nil="true"/>
    </EmailasAttachment>
    <Divider xmlns="6500fe01-343b-4fb9-a1b0-68ac19d62e01"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SharedWithUsers xmlns="57f1fb52-79b9-4278-9d54-1e5db41bfcda">
      <UserInfo>
        <DisplayName>Graeme Edgerton</DisplayName>
        <AccountId>41</AccountId>
        <AccountType/>
      </UserInfo>
      <UserInfo>
        <DisplayName>Jane Fraser</DisplayName>
        <AccountId>3984</AccountId>
        <AccountType/>
      </UserInfo>
      <UserInfo>
        <DisplayName>Rosalind Croucher</DisplayName>
        <AccountId>702</AccountId>
        <AccountType/>
      </UserInfo>
      <UserInfo>
        <DisplayName>Lorraine Finlay</DisplayName>
        <AccountId>3657</AccountId>
        <AccountType/>
      </UserInfo>
      <UserInfo>
        <DisplayName>Joanna Maxwell</DisplayName>
        <AccountId>3401</AccountId>
        <AccountType/>
      </UserInfo>
      <UserInfo>
        <DisplayName>Demitra Nikas</DisplayName>
        <AccountId>4823</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5" ma:contentTypeDescription="Create a new document." ma:contentTypeScope="" ma:versionID="3b0b3f709c7efbc6b48a3a3e76236411">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7b31b69b82b738c53fd5b4e1ed806bb5"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2.xml><?xml version="1.0" encoding="utf-8"?>
<ds:datastoreItem xmlns:ds="http://schemas.openxmlformats.org/officeDocument/2006/customXml" ds:itemID="{9D234E28-B345-4108-8EB3-981E9AB2F75F}">
  <ds:schemaRefs>
    <ds:schemaRef ds:uri="1a69bdef-c635-48ac-9cf9-b687dab64bb7"/>
    <ds:schemaRef ds:uri="http://www.w3.org/XML/1998/namespace"/>
    <ds:schemaRef ds:uri="http://purl.org/dc/elements/1.1/"/>
    <ds:schemaRef ds:uri="http://purl.org/dc/terms/"/>
    <ds:schemaRef ds:uri="57f1fb52-79b9-4278-9d54-1e5db41bfcd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500fe01-343b-4fb9-a1b0-68ac19d62e01"/>
    <ds:schemaRef ds:uri="http://purl.org/dc/dcmitype/"/>
  </ds:schemaRefs>
</ds:datastoreItem>
</file>

<file path=customXml/itemProps3.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4.xml><?xml version="1.0" encoding="utf-8"?>
<ds:datastoreItem xmlns:ds="http://schemas.openxmlformats.org/officeDocument/2006/customXml" ds:itemID="{4F34AA96-A58B-43DA-B129-7114907A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6.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7.xml><?xml version="1.0" encoding="utf-8"?>
<ds:datastoreItem xmlns:ds="http://schemas.openxmlformats.org/officeDocument/2006/customXml" ds:itemID="{EA7F9B59-8D46-4D77-8521-E94F0A2325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7941</Words>
  <Characters>45267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53102</CharactersWithSpaces>
  <SharedDoc>false</SharedDoc>
  <HLinks>
    <vt:vector size="138" baseType="variant">
      <vt:variant>
        <vt:i4>1179697</vt:i4>
      </vt:variant>
      <vt:variant>
        <vt:i4>110</vt:i4>
      </vt:variant>
      <vt:variant>
        <vt:i4>0</vt:i4>
      </vt:variant>
      <vt:variant>
        <vt:i4>5</vt:i4>
      </vt:variant>
      <vt:variant>
        <vt:lpwstr/>
      </vt:variant>
      <vt:variant>
        <vt:lpwstr>_Toc160692970</vt:lpwstr>
      </vt:variant>
      <vt:variant>
        <vt:i4>1245233</vt:i4>
      </vt:variant>
      <vt:variant>
        <vt:i4>104</vt:i4>
      </vt:variant>
      <vt:variant>
        <vt:i4>0</vt:i4>
      </vt:variant>
      <vt:variant>
        <vt:i4>5</vt:i4>
      </vt:variant>
      <vt:variant>
        <vt:lpwstr/>
      </vt:variant>
      <vt:variant>
        <vt:lpwstr>_Toc160692969</vt:lpwstr>
      </vt:variant>
      <vt:variant>
        <vt:i4>1245233</vt:i4>
      </vt:variant>
      <vt:variant>
        <vt:i4>98</vt:i4>
      </vt:variant>
      <vt:variant>
        <vt:i4>0</vt:i4>
      </vt:variant>
      <vt:variant>
        <vt:i4>5</vt:i4>
      </vt:variant>
      <vt:variant>
        <vt:lpwstr/>
      </vt:variant>
      <vt:variant>
        <vt:lpwstr>_Toc160692968</vt:lpwstr>
      </vt:variant>
      <vt:variant>
        <vt:i4>1245233</vt:i4>
      </vt:variant>
      <vt:variant>
        <vt:i4>92</vt:i4>
      </vt:variant>
      <vt:variant>
        <vt:i4>0</vt:i4>
      </vt:variant>
      <vt:variant>
        <vt:i4>5</vt:i4>
      </vt:variant>
      <vt:variant>
        <vt:lpwstr/>
      </vt:variant>
      <vt:variant>
        <vt:lpwstr>_Toc160692967</vt:lpwstr>
      </vt:variant>
      <vt:variant>
        <vt:i4>1245233</vt:i4>
      </vt:variant>
      <vt:variant>
        <vt:i4>86</vt:i4>
      </vt:variant>
      <vt:variant>
        <vt:i4>0</vt:i4>
      </vt:variant>
      <vt:variant>
        <vt:i4>5</vt:i4>
      </vt:variant>
      <vt:variant>
        <vt:lpwstr/>
      </vt:variant>
      <vt:variant>
        <vt:lpwstr>_Toc160692966</vt:lpwstr>
      </vt:variant>
      <vt:variant>
        <vt:i4>1245233</vt:i4>
      </vt:variant>
      <vt:variant>
        <vt:i4>80</vt:i4>
      </vt:variant>
      <vt:variant>
        <vt:i4>0</vt:i4>
      </vt:variant>
      <vt:variant>
        <vt:i4>5</vt:i4>
      </vt:variant>
      <vt:variant>
        <vt:lpwstr/>
      </vt:variant>
      <vt:variant>
        <vt:lpwstr>_Toc160692965</vt:lpwstr>
      </vt:variant>
      <vt:variant>
        <vt:i4>1245233</vt:i4>
      </vt:variant>
      <vt:variant>
        <vt:i4>74</vt:i4>
      </vt:variant>
      <vt:variant>
        <vt:i4>0</vt:i4>
      </vt:variant>
      <vt:variant>
        <vt:i4>5</vt:i4>
      </vt:variant>
      <vt:variant>
        <vt:lpwstr/>
      </vt:variant>
      <vt:variant>
        <vt:lpwstr>_Toc160692964</vt:lpwstr>
      </vt:variant>
      <vt:variant>
        <vt:i4>1245233</vt:i4>
      </vt:variant>
      <vt:variant>
        <vt:i4>68</vt:i4>
      </vt:variant>
      <vt:variant>
        <vt:i4>0</vt:i4>
      </vt:variant>
      <vt:variant>
        <vt:i4>5</vt:i4>
      </vt:variant>
      <vt:variant>
        <vt:lpwstr/>
      </vt:variant>
      <vt:variant>
        <vt:lpwstr>_Toc160692963</vt:lpwstr>
      </vt:variant>
      <vt:variant>
        <vt:i4>1245233</vt:i4>
      </vt:variant>
      <vt:variant>
        <vt:i4>62</vt:i4>
      </vt:variant>
      <vt:variant>
        <vt:i4>0</vt:i4>
      </vt:variant>
      <vt:variant>
        <vt:i4>5</vt:i4>
      </vt:variant>
      <vt:variant>
        <vt:lpwstr/>
      </vt:variant>
      <vt:variant>
        <vt:lpwstr>_Toc160692962</vt:lpwstr>
      </vt:variant>
      <vt:variant>
        <vt:i4>1245233</vt:i4>
      </vt:variant>
      <vt:variant>
        <vt:i4>56</vt:i4>
      </vt:variant>
      <vt:variant>
        <vt:i4>0</vt:i4>
      </vt:variant>
      <vt:variant>
        <vt:i4>5</vt:i4>
      </vt:variant>
      <vt:variant>
        <vt:lpwstr/>
      </vt:variant>
      <vt:variant>
        <vt:lpwstr>_Toc160692961</vt:lpwstr>
      </vt:variant>
      <vt:variant>
        <vt:i4>1245233</vt:i4>
      </vt:variant>
      <vt:variant>
        <vt:i4>50</vt:i4>
      </vt:variant>
      <vt:variant>
        <vt:i4>0</vt:i4>
      </vt:variant>
      <vt:variant>
        <vt:i4>5</vt:i4>
      </vt:variant>
      <vt:variant>
        <vt:lpwstr/>
      </vt:variant>
      <vt:variant>
        <vt:lpwstr>_Toc160692960</vt:lpwstr>
      </vt:variant>
      <vt:variant>
        <vt:i4>1048625</vt:i4>
      </vt:variant>
      <vt:variant>
        <vt:i4>44</vt:i4>
      </vt:variant>
      <vt:variant>
        <vt:i4>0</vt:i4>
      </vt:variant>
      <vt:variant>
        <vt:i4>5</vt:i4>
      </vt:variant>
      <vt:variant>
        <vt:lpwstr/>
      </vt:variant>
      <vt:variant>
        <vt:lpwstr>_Toc160692959</vt:lpwstr>
      </vt:variant>
      <vt:variant>
        <vt:i4>1048625</vt:i4>
      </vt:variant>
      <vt:variant>
        <vt:i4>38</vt:i4>
      </vt:variant>
      <vt:variant>
        <vt:i4>0</vt:i4>
      </vt:variant>
      <vt:variant>
        <vt:i4>5</vt:i4>
      </vt:variant>
      <vt:variant>
        <vt:lpwstr/>
      </vt:variant>
      <vt:variant>
        <vt:lpwstr>_Toc160692958</vt:lpwstr>
      </vt:variant>
      <vt:variant>
        <vt:i4>1048625</vt:i4>
      </vt:variant>
      <vt:variant>
        <vt:i4>32</vt:i4>
      </vt:variant>
      <vt:variant>
        <vt:i4>0</vt:i4>
      </vt:variant>
      <vt:variant>
        <vt:i4>5</vt:i4>
      </vt:variant>
      <vt:variant>
        <vt:lpwstr/>
      </vt:variant>
      <vt:variant>
        <vt:lpwstr>_Toc160692957</vt:lpwstr>
      </vt:variant>
      <vt:variant>
        <vt:i4>1048625</vt:i4>
      </vt:variant>
      <vt:variant>
        <vt:i4>26</vt:i4>
      </vt:variant>
      <vt:variant>
        <vt:i4>0</vt:i4>
      </vt:variant>
      <vt:variant>
        <vt:i4>5</vt:i4>
      </vt:variant>
      <vt:variant>
        <vt:lpwstr/>
      </vt:variant>
      <vt:variant>
        <vt:lpwstr>_Toc160692956</vt:lpwstr>
      </vt:variant>
      <vt:variant>
        <vt:i4>1048625</vt:i4>
      </vt:variant>
      <vt:variant>
        <vt:i4>20</vt:i4>
      </vt:variant>
      <vt:variant>
        <vt:i4>0</vt:i4>
      </vt:variant>
      <vt:variant>
        <vt:i4>5</vt:i4>
      </vt:variant>
      <vt:variant>
        <vt:lpwstr/>
      </vt:variant>
      <vt:variant>
        <vt:lpwstr>_Toc160692955</vt:lpwstr>
      </vt:variant>
      <vt:variant>
        <vt:i4>1048625</vt:i4>
      </vt:variant>
      <vt:variant>
        <vt:i4>14</vt:i4>
      </vt:variant>
      <vt:variant>
        <vt:i4>0</vt:i4>
      </vt:variant>
      <vt:variant>
        <vt:i4>5</vt:i4>
      </vt:variant>
      <vt:variant>
        <vt:lpwstr/>
      </vt:variant>
      <vt:variant>
        <vt:lpwstr>_Toc160692954</vt:lpwstr>
      </vt:variant>
      <vt:variant>
        <vt:i4>1048625</vt:i4>
      </vt:variant>
      <vt:variant>
        <vt:i4>8</vt:i4>
      </vt:variant>
      <vt:variant>
        <vt:i4>0</vt:i4>
      </vt:variant>
      <vt:variant>
        <vt:i4>5</vt:i4>
      </vt:variant>
      <vt:variant>
        <vt:lpwstr/>
      </vt:variant>
      <vt:variant>
        <vt:lpwstr>_Toc160692953</vt:lpwstr>
      </vt:variant>
      <vt:variant>
        <vt:i4>1048625</vt:i4>
      </vt:variant>
      <vt:variant>
        <vt:i4>2</vt:i4>
      </vt:variant>
      <vt:variant>
        <vt:i4>0</vt:i4>
      </vt:variant>
      <vt:variant>
        <vt:i4>5</vt:i4>
      </vt:variant>
      <vt:variant>
        <vt:lpwstr/>
      </vt:variant>
      <vt:variant>
        <vt:lpwstr>_Toc160692952</vt:lpwstr>
      </vt:variant>
      <vt:variant>
        <vt:i4>2621502</vt:i4>
      </vt:variant>
      <vt:variant>
        <vt:i4>9</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2555913</vt:i4>
      </vt:variant>
      <vt:variant>
        <vt:i4>6</vt:i4>
      </vt:variant>
      <vt:variant>
        <vt:i4>0</vt:i4>
      </vt:variant>
      <vt:variant>
        <vt:i4>5</vt:i4>
      </vt:variant>
      <vt:variant>
        <vt:lpwstr>https://www.aph.gov.au/Parliamentary_Business/Committees/Joint/Intelligence_and_Security/EspionageFInterference/Submissions</vt:lpwstr>
      </vt:variant>
      <vt:variant>
        <vt:lpwstr/>
      </vt:variant>
      <vt:variant>
        <vt:i4>1638492</vt:i4>
      </vt:variant>
      <vt:variant>
        <vt:i4>3</vt:i4>
      </vt:variant>
      <vt:variant>
        <vt:i4>0</vt:i4>
      </vt:variant>
      <vt:variant>
        <vt:i4>5</vt:i4>
      </vt:variant>
      <vt:variant>
        <vt:lpwstr>https://www.ag.gov.au/sites/default/files/2023-11/secrecy-provisions-review-final-report.pdf</vt:lpwstr>
      </vt:variant>
      <vt:variant>
        <vt:lpwstr/>
      </vt:variant>
      <vt:variant>
        <vt:i4>7143551</vt:i4>
      </vt:variant>
      <vt:variant>
        <vt:i4>0</vt:i4>
      </vt:variant>
      <vt:variant>
        <vt:i4>0</vt:i4>
      </vt:variant>
      <vt:variant>
        <vt:i4>5</vt:i4>
      </vt:variant>
      <vt:variant>
        <vt:lpwstr>https://www.alrc.gov.au/wp-content/uploads/2019/08/ALRC112.pdf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AHRC User</dc:creator>
  <cp:keywords/>
  <cp:lastModifiedBy>Demitra Nikas</cp:lastModifiedBy>
  <cp:revision>2</cp:revision>
  <cp:lastPrinted>2023-06-22T10:31:00Z</cp:lastPrinted>
  <dcterms:created xsi:type="dcterms:W3CDTF">2024-07-15T00:54:00Z</dcterms:created>
  <dcterms:modified xsi:type="dcterms:W3CDTF">2024-07-15T00:54:00Z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c1a932a7-cf36-428e-9c99-235323f3d36d</vt:lpwstr>
  </property>
</Properties>
</file>