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87C3" w14:textId="77777777" w:rsidR="00642A54" w:rsidRDefault="00642A54" w:rsidP="00B00AD5">
      <w:pPr>
        <w:spacing w:before="0"/>
        <w:jc w:val="right"/>
        <w:rPr>
          <w:rFonts w:eastAsia="Times New Roman"/>
          <w:bCs/>
          <w:color w:val="237BBC"/>
          <w:kern w:val="32"/>
          <w:sz w:val="56"/>
          <w:szCs w:val="32"/>
        </w:rPr>
      </w:pPr>
      <w:r w:rsidRPr="00642A54">
        <w:rPr>
          <w:rFonts w:eastAsia="Times New Roman"/>
          <w:bCs/>
          <w:color w:val="237BBC"/>
          <w:kern w:val="32"/>
          <w:sz w:val="56"/>
          <w:szCs w:val="32"/>
        </w:rPr>
        <w:t>Monitoring of Places of Detention (Optional Protocol to the Convention Against Torture) Bill 2022</w:t>
      </w:r>
    </w:p>
    <w:p w14:paraId="00D89034" w14:textId="132DE4E5" w:rsidR="00233A98" w:rsidRDefault="00233A98" w:rsidP="00B00AD5">
      <w:pPr>
        <w:spacing w:before="0"/>
        <w:jc w:val="right"/>
        <w:rPr>
          <w:rFonts w:cs="Arial"/>
          <w:color w:val="237BBC"/>
          <w:sz w:val="28"/>
        </w:rPr>
      </w:pPr>
      <w:r>
        <w:rPr>
          <w:rFonts w:cs="Arial"/>
          <w:color w:val="237BBC"/>
          <w:sz w:val="28"/>
        </w:rPr>
        <w:t>Submission to the</w:t>
      </w:r>
      <w:r w:rsidR="00B00AD5">
        <w:rPr>
          <w:rFonts w:cs="Arial"/>
          <w:color w:val="237BBC"/>
          <w:sz w:val="28"/>
        </w:rPr>
        <w:t xml:space="preserve"> </w:t>
      </w:r>
      <w:r w:rsidR="00642A54">
        <w:rPr>
          <w:rFonts w:cs="Arial"/>
          <w:color w:val="237BBC"/>
          <w:sz w:val="28"/>
        </w:rPr>
        <w:t>Queensland</w:t>
      </w:r>
      <w:r>
        <w:rPr>
          <w:rFonts w:cs="Arial"/>
          <w:color w:val="237BBC"/>
          <w:sz w:val="28"/>
        </w:rPr>
        <w:t xml:space="preserve"> </w:t>
      </w:r>
      <w:r w:rsidR="00642A54" w:rsidRPr="00642A54">
        <w:rPr>
          <w:rFonts w:cs="Arial"/>
          <w:color w:val="237BBC"/>
          <w:sz w:val="28"/>
        </w:rPr>
        <w:t>Legal Affairs and Safety Committee</w:t>
      </w:r>
    </w:p>
    <w:p w14:paraId="35197C7A" w14:textId="77E11CFB" w:rsidR="009E4BD0" w:rsidRPr="00AC636D" w:rsidRDefault="00B06643" w:rsidP="00440EE6">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rPr>
          <w:rFonts w:cs="Arial"/>
          <w:color w:val="237BBC"/>
          <w:sz w:val="28"/>
        </w:rPr>
        <w:t>09</w:t>
      </w:r>
      <w:r w:rsidR="0094363A">
        <w:rPr>
          <w:rFonts w:cs="Arial"/>
          <w:color w:val="237BBC"/>
          <w:sz w:val="28"/>
        </w:rPr>
        <w:t xml:space="preserve"> </w:t>
      </w:r>
      <w:r w:rsidR="00642A54">
        <w:rPr>
          <w:rFonts w:cs="Arial"/>
          <w:color w:val="237BBC"/>
          <w:sz w:val="28"/>
        </w:rPr>
        <w:t>January</w:t>
      </w:r>
      <w:r w:rsidR="00233A98">
        <w:rPr>
          <w:rFonts w:cs="Arial"/>
          <w:color w:val="237BBC"/>
          <w:sz w:val="28"/>
        </w:rPr>
        <w:t xml:space="preserve"> 202</w:t>
      </w:r>
      <w:r w:rsidR="00642A54">
        <w:rPr>
          <w:rFonts w:cs="Arial"/>
          <w:color w:val="237BBC"/>
          <w:sz w:val="28"/>
        </w:rPr>
        <w:t>3</w:t>
      </w:r>
    </w:p>
    <w:p w14:paraId="5CE35587" w14:textId="77777777" w:rsidR="00A25D23" w:rsidRDefault="000B5B68" w:rsidP="00C60343">
      <w:pPr>
        <w:pStyle w:val="TOC1"/>
      </w:pPr>
      <w:bookmarkStart w:id="0" w:name="_Toc209316062"/>
      <w:bookmarkEnd w:id="0"/>
      <w:r>
        <w:lastRenderedPageBreak/>
        <w:t>Contents</w:t>
      </w:r>
      <w:r w:rsidRPr="000465F1">
        <w:fldChar w:fldCharType="begin"/>
      </w:r>
      <w:r>
        <w:instrText xml:space="preserve"> TOC \o "1-3" \h \z \u </w:instrText>
      </w:r>
      <w:r w:rsidRPr="000465F1">
        <w:fldChar w:fldCharType="separate"/>
      </w:r>
    </w:p>
    <w:p w14:paraId="1854F117" w14:textId="7A143390" w:rsidR="00A25D23" w:rsidRDefault="006D377F">
      <w:pPr>
        <w:pStyle w:val="TOC1"/>
        <w:rPr>
          <w:rFonts w:asciiTheme="minorHAnsi" w:eastAsiaTheme="minorEastAsia" w:hAnsiTheme="minorHAnsi" w:cstheme="minorBidi"/>
          <w:b w:val="0"/>
          <w:sz w:val="22"/>
          <w:szCs w:val="22"/>
        </w:rPr>
      </w:pPr>
      <w:hyperlink w:anchor="_Toc89418775" w:history="1">
        <w:r w:rsidR="00A25D23" w:rsidRPr="00FD1F87">
          <w:rPr>
            <w:rStyle w:val="Hyperlink"/>
          </w:rPr>
          <w:t>1</w:t>
        </w:r>
        <w:r w:rsidR="00A25D23">
          <w:rPr>
            <w:rFonts w:asciiTheme="minorHAnsi" w:eastAsiaTheme="minorEastAsia" w:hAnsiTheme="minorHAnsi" w:cstheme="minorBidi"/>
            <w:b w:val="0"/>
            <w:sz w:val="22"/>
            <w:szCs w:val="22"/>
          </w:rPr>
          <w:tab/>
        </w:r>
        <w:r w:rsidR="00A25D23" w:rsidRPr="00FD1F87">
          <w:rPr>
            <w:rStyle w:val="Hyperlink"/>
          </w:rPr>
          <w:t>Introduction</w:t>
        </w:r>
        <w:r w:rsidR="00A25D23">
          <w:rPr>
            <w:webHidden/>
          </w:rPr>
          <w:tab/>
        </w:r>
        <w:r w:rsidR="00A25D23">
          <w:rPr>
            <w:webHidden/>
          </w:rPr>
          <w:fldChar w:fldCharType="begin"/>
        </w:r>
        <w:r w:rsidR="00A25D23">
          <w:rPr>
            <w:webHidden/>
          </w:rPr>
          <w:instrText xml:space="preserve"> PAGEREF _Toc89418775 \h </w:instrText>
        </w:r>
        <w:r w:rsidR="00A25D23">
          <w:rPr>
            <w:webHidden/>
          </w:rPr>
        </w:r>
        <w:r w:rsidR="00A25D23">
          <w:rPr>
            <w:webHidden/>
          </w:rPr>
          <w:fldChar w:fldCharType="separate"/>
        </w:r>
        <w:r w:rsidR="00F11222">
          <w:rPr>
            <w:webHidden/>
          </w:rPr>
          <w:t>3</w:t>
        </w:r>
        <w:r w:rsidR="00A25D23">
          <w:rPr>
            <w:webHidden/>
          </w:rPr>
          <w:fldChar w:fldCharType="end"/>
        </w:r>
      </w:hyperlink>
    </w:p>
    <w:p w14:paraId="0DB1B90E" w14:textId="4A7DDF66" w:rsidR="00A25D23" w:rsidRDefault="006D377F">
      <w:pPr>
        <w:pStyle w:val="TOC1"/>
        <w:rPr>
          <w:rFonts w:asciiTheme="minorHAnsi" w:eastAsiaTheme="minorEastAsia" w:hAnsiTheme="minorHAnsi" w:cstheme="minorBidi"/>
          <w:b w:val="0"/>
          <w:sz w:val="22"/>
          <w:szCs w:val="22"/>
        </w:rPr>
      </w:pPr>
      <w:hyperlink w:anchor="_Toc89418776" w:history="1">
        <w:r w:rsidR="00A25D23" w:rsidRPr="00FD1F87">
          <w:rPr>
            <w:rStyle w:val="Hyperlink"/>
          </w:rPr>
          <w:t>2</w:t>
        </w:r>
        <w:r w:rsidR="00A25D23">
          <w:rPr>
            <w:rFonts w:asciiTheme="minorHAnsi" w:eastAsiaTheme="minorEastAsia" w:hAnsiTheme="minorHAnsi" w:cstheme="minorBidi"/>
            <w:b w:val="0"/>
            <w:sz w:val="22"/>
            <w:szCs w:val="22"/>
          </w:rPr>
          <w:tab/>
        </w:r>
        <w:r w:rsidR="00B41CE3">
          <w:rPr>
            <w:rStyle w:val="Hyperlink"/>
          </w:rPr>
          <w:t>The OPCAT Bill</w:t>
        </w:r>
        <w:r w:rsidR="00A25D23">
          <w:rPr>
            <w:webHidden/>
          </w:rPr>
          <w:tab/>
        </w:r>
        <w:r w:rsidR="0042761A">
          <w:rPr>
            <w:webHidden/>
          </w:rPr>
          <w:t>4</w:t>
        </w:r>
      </w:hyperlink>
    </w:p>
    <w:p w14:paraId="7614FC50" w14:textId="02BF6457" w:rsidR="00A25D23" w:rsidRDefault="006D377F">
      <w:pPr>
        <w:pStyle w:val="TOC1"/>
        <w:rPr>
          <w:rFonts w:asciiTheme="minorHAnsi" w:eastAsiaTheme="minorEastAsia" w:hAnsiTheme="minorHAnsi" w:cstheme="minorBidi"/>
          <w:b w:val="0"/>
          <w:sz w:val="22"/>
          <w:szCs w:val="22"/>
        </w:rPr>
      </w:pPr>
      <w:hyperlink w:anchor="_Toc89418777" w:history="1">
        <w:r w:rsidR="00A25D23" w:rsidRPr="00FD1F87">
          <w:rPr>
            <w:rStyle w:val="Hyperlink"/>
          </w:rPr>
          <w:t>3</w:t>
        </w:r>
        <w:r w:rsidR="00A25D23">
          <w:rPr>
            <w:rFonts w:asciiTheme="minorHAnsi" w:eastAsiaTheme="minorEastAsia" w:hAnsiTheme="minorHAnsi" w:cstheme="minorBidi"/>
            <w:b w:val="0"/>
            <w:sz w:val="22"/>
            <w:szCs w:val="22"/>
          </w:rPr>
          <w:tab/>
        </w:r>
        <w:r w:rsidR="00A25D23" w:rsidRPr="00FD1F87">
          <w:rPr>
            <w:rStyle w:val="Hyperlink"/>
          </w:rPr>
          <w:t>Recommendations</w:t>
        </w:r>
        <w:r w:rsidR="00A25D23">
          <w:rPr>
            <w:webHidden/>
          </w:rPr>
          <w:tab/>
        </w:r>
        <w:r w:rsidR="009923F6">
          <w:rPr>
            <w:webHidden/>
          </w:rPr>
          <w:t>8</w:t>
        </w:r>
      </w:hyperlink>
    </w:p>
    <w:p w14:paraId="3183A56E" w14:textId="2E621D84" w:rsidR="005C2DD9" w:rsidRDefault="000B5B68" w:rsidP="005C2DD9">
      <w:pPr>
        <w:pStyle w:val="Heading1"/>
        <w:numPr>
          <w:ilvl w:val="0"/>
          <w:numId w:val="0"/>
        </w:numPr>
        <w:ind w:left="851" w:hanging="851"/>
        <w:rPr>
          <w:b w:val="0"/>
          <w:bCs w:val="0"/>
        </w:rPr>
      </w:pPr>
      <w:r w:rsidRPr="000465F1">
        <w:fldChar w:fldCharType="end"/>
      </w:r>
      <w:bookmarkStart w:id="1" w:name="_Toc207761830"/>
      <w:bookmarkStart w:id="2" w:name="_Toc209578266"/>
      <w:bookmarkStart w:id="3" w:name="_Toc209941766"/>
      <w:r w:rsidR="005C2DD9">
        <w:br w:type="page"/>
      </w:r>
    </w:p>
    <w:p w14:paraId="7B7BD4D0" w14:textId="2028C5A1" w:rsidR="003724A9" w:rsidRDefault="007E40B3" w:rsidP="00A27ABE">
      <w:pPr>
        <w:pStyle w:val="Heading1"/>
      </w:pPr>
      <w:bookmarkStart w:id="4" w:name="_Toc89418775"/>
      <w:r>
        <w:lastRenderedPageBreak/>
        <w:t>Introduction</w:t>
      </w:r>
      <w:bookmarkEnd w:id="4"/>
    </w:p>
    <w:p w14:paraId="6DD150D3" w14:textId="3E3E0BDF" w:rsidR="004D0CB1" w:rsidRDefault="00AA3B06" w:rsidP="00097B13">
      <w:pPr>
        <w:pStyle w:val="ListNumber"/>
        <w:tabs>
          <w:tab w:val="clear" w:pos="360"/>
          <w:tab w:val="num" w:pos="720"/>
        </w:tabs>
        <w:ind w:left="720" w:hanging="357"/>
        <w:contextualSpacing w:val="0"/>
      </w:pPr>
      <w:r>
        <w:t>The Australian Human Rights Commission</w:t>
      </w:r>
      <w:r w:rsidR="000777D1">
        <w:t xml:space="preserve"> (the Commission)</w:t>
      </w:r>
      <w:r>
        <w:t xml:space="preserve"> </w:t>
      </w:r>
      <w:r w:rsidR="00481F79">
        <w:t xml:space="preserve">welcomes the opportunity to </w:t>
      </w:r>
      <w:r>
        <w:t xml:space="preserve">make this </w:t>
      </w:r>
      <w:r w:rsidR="00042553">
        <w:t xml:space="preserve">submission to the </w:t>
      </w:r>
      <w:r w:rsidR="00642A54" w:rsidRPr="00642A54">
        <w:t>Queensland Legal Affairs and Safety Committee</w:t>
      </w:r>
      <w:r w:rsidR="003320F0">
        <w:t xml:space="preserve"> </w:t>
      </w:r>
      <w:r w:rsidR="00087202">
        <w:t>with respect to</w:t>
      </w:r>
      <w:r w:rsidR="00042553">
        <w:t xml:space="preserve"> its </w:t>
      </w:r>
      <w:r w:rsidR="00642A54">
        <w:t>consideration</w:t>
      </w:r>
      <w:r w:rsidR="002B3303">
        <w:t xml:space="preserve"> o</w:t>
      </w:r>
      <w:r w:rsidR="00642A54">
        <w:t>f</w:t>
      </w:r>
      <w:r w:rsidR="007E709F" w:rsidRPr="007E709F">
        <w:t xml:space="preserve"> </w:t>
      </w:r>
      <w:r w:rsidR="00087202">
        <w:t>the</w:t>
      </w:r>
      <w:r w:rsidR="007E709F" w:rsidRPr="007E709F">
        <w:t xml:space="preserve"> </w:t>
      </w:r>
      <w:r w:rsidR="00642A54" w:rsidRPr="00642A54">
        <w:t xml:space="preserve">Monitoring of Places of Detention (Optional Protocol to the Convention Against Torture) Bill 2022 </w:t>
      </w:r>
      <w:r w:rsidR="00B0245B">
        <w:t>(Bill).</w:t>
      </w:r>
      <w:r w:rsidR="00420BF6" w:rsidRPr="00420BF6">
        <w:t xml:space="preserve"> </w:t>
      </w:r>
    </w:p>
    <w:p w14:paraId="3D0FF3B7" w14:textId="58255E06" w:rsidR="0081195B" w:rsidRDefault="0081195B" w:rsidP="00097B13">
      <w:pPr>
        <w:pStyle w:val="ListNumber"/>
        <w:tabs>
          <w:tab w:val="clear" w:pos="360"/>
          <w:tab w:val="num" w:pos="720"/>
        </w:tabs>
        <w:ind w:left="720" w:hanging="357"/>
        <w:contextualSpacing w:val="0"/>
      </w:pPr>
      <w:r>
        <w:t>Under</w:t>
      </w:r>
      <w:r w:rsidR="001713CC">
        <w:t xml:space="preserve"> the</w:t>
      </w:r>
      <w:r>
        <w:t xml:space="preserve"> O</w:t>
      </w:r>
      <w:r w:rsidR="001713CC">
        <w:t xml:space="preserve">ptional </w:t>
      </w:r>
      <w:r>
        <w:t>P</w:t>
      </w:r>
      <w:r w:rsidR="001713CC">
        <w:t xml:space="preserve">rotocol </w:t>
      </w:r>
      <w:r w:rsidR="00F06D0B">
        <w:t xml:space="preserve">to the </w:t>
      </w:r>
      <w:r>
        <w:t>C</w:t>
      </w:r>
      <w:r w:rsidR="00F06D0B">
        <w:t xml:space="preserve">onvention </w:t>
      </w:r>
      <w:r>
        <w:t>A</w:t>
      </w:r>
      <w:r w:rsidR="00F06D0B">
        <w:t xml:space="preserve">gainst </w:t>
      </w:r>
      <w:r>
        <w:t>T</w:t>
      </w:r>
      <w:r w:rsidR="00F06D0B">
        <w:t>orture and Other Cruel, Inhuman or Degrading Treatment or Punishment (OPCAT)</w:t>
      </w:r>
      <w:r>
        <w:t>, State Parties agree to establish an independent National Preventive Mechanism (NPM) to conduct inspections of all places of detention and closed environments, and to also agree to international inspections of places of detention by the United Nation</w:t>
      </w:r>
      <w:r w:rsidR="00837015">
        <w:t>s</w:t>
      </w:r>
      <w:r>
        <w:t xml:space="preserve"> Subcommittee on the Prevention of Torture (</w:t>
      </w:r>
      <w:r w:rsidR="00C13C0F">
        <w:t xml:space="preserve">UN </w:t>
      </w:r>
      <w:r>
        <w:t xml:space="preserve">SPT). </w:t>
      </w:r>
    </w:p>
    <w:p w14:paraId="6B665CBA" w14:textId="79140C4A" w:rsidR="00FE6572" w:rsidRDefault="0081195B" w:rsidP="00FE6572">
      <w:pPr>
        <w:pStyle w:val="ListNumber"/>
        <w:tabs>
          <w:tab w:val="clear" w:pos="360"/>
          <w:tab w:val="num" w:pos="720"/>
        </w:tabs>
        <w:ind w:left="720" w:hanging="357"/>
        <w:contextualSpacing w:val="0"/>
      </w:pPr>
      <w:r>
        <w:t xml:space="preserve">Australia ratified OPCAT in 2017 and has chosen to adopt a multiple-body monitoring system, with each state and territory asked to designate their own NPM within their </w:t>
      </w:r>
      <w:r w:rsidR="00311A40">
        <w:t xml:space="preserve">respective </w:t>
      </w:r>
      <w:r>
        <w:t>jurisdictions.</w:t>
      </w:r>
      <w:r w:rsidR="007E467E">
        <w:rPr>
          <w:rStyle w:val="EndnoteReference"/>
        </w:rPr>
        <w:endnoteReference w:id="2"/>
      </w:r>
      <w:r>
        <w:t xml:space="preserve">  </w:t>
      </w:r>
    </w:p>
    <w:p w14:paraId="32CF6057" w14:textId="0F4F4C04" w:rsidR="0078225C" w:rsidRDefault="0081195B" w:rsidP="00FE6572">
      <w:pPr>
        <w:pStyle w:val="ListNumber"/>
        <w:tabs>
          <w:tab w:val="clear" w:pos="360"/>
          <w:tab w:val="num" w:pos="720"/>
        </w:tabs>
        <w:ind w:left="720" w:hanging="357"/>
        <w:contextualSpacing w:val="0"/>
      </w:pPr>
      <w:r>
        <w:t>At the time of ratification, Australia made a declaration under Article 24 of OPCAT delaying the obligation to establish an NPM for three years. This extension</w:t>
      </w:r>
      <w:r w:rsidR="004A0A45">
        <w:t xml:space="preserve"> formally</w:t>
      </w:r>
      <w:r>
        <w:t xml:space="preserve"> ended on 20 January 2022</w:t>
      </w:r>
      <w:r w:rsidR="00AF126A">
        <w:t xml:space="preserve">. </w:t>
      </w:r>
      <w:r w:rsidR="00DA7CD8">
        <w:t>H</w:t>
      </w:r>
      <w:r w:rsidR="008E3841">
        <w:t xml:space="preserve">owever, </w:t>
      </w:r>
      <w:r w:rsidR="00DA7CD8">
        <w:t xml:space="preserve">on 20 December 2021, the Commonwealth Government formally requested a postponement for an additional year. </w:t>
      </w:r>
    </w:p>
    <w:p w14:paraId="3C057F2C" w14:textId="62D9B8F5" w:rsidR="001669DA" w:rsidRDefault="00DA7CD8" w:rsidP="001669DA">
      <w:pPr>
        <w:pStyle w:val="ListNumber"/>
        <w:tabs>
          <w:tab w:val="clear" w:pos="360"/>
          <w:tab w:val="num" w:pos="720"/>
        </w:tabs>
        <w:ind w:left="720" w:hanging="357"/>
        <w:contextualSpacing w:val="0"/>
      </w:pPr>
      <w:r>
        <w:t xml:space="preserve">The main reasons cited for the </w:t>
      </w:r>
      <w:r w:rsidR="00AF126A">
        <w:t xml:space="preserve">postponement </w:t>
      </w:r>
      <w:r>
        <w:t xml:space="preserve">request were the COVID-19 pandemic and considerations relating to Australia’s </w:t>
      </w:r>
      <w:r w:rsidR="00480672">
        <w:t xml:space="preserve">federal </w:t>
      </w:r>
      <w:r>
        <w:t>system of government.</w:t>
      </w:r>
      <w:r w:rsidR="0078225C">
        <w:t xml:space="preserve"> </w:t>
      </w:r>
      <w:r>
        <w:t>The formal request was granted by the U</w:t>
      </w:r>
      <w:r w:rsidR="00FE6572">
        <w:t xml:space="preserve">nited </w:t>
      </w:r>
      <w:r>
        <w:t>N</w:t>
      </w:r>
      <w:r w:rsidR="00FE6572">
        <w:t>ations</w:t>
      </w:r>
      <w:r>
        <w:t xml:space="preserve"> Committee</w:t>
      </w:r>
      <w:r w:rsidR="00FE6572">
        <w:t xml:space="preserve"> </w:t>
      </w:r>
      <w:r>
        <w:t>against Torture (UN Committee), and 20 January 2023 was set as the new date</w:t>
      </w:r>
      <w:r w:rsidR="00FE6572">
        <w:t xml:space="preserve"> </w:t>
      </w:r>
      <w:r>
        <w:t>for compliance</w:t>
      </w:r>
      <w:r w:rsidR="00FE6572">
        <w:t>.</w:t>
      </w:r>
    </w:p>
    <w:p w14:paraId="6406BAF3" w14:textId="32B01E64" w:rsidR="001669DA" w:rsidRDefault="001669DA" w:rsidP="001669DA">
      <w:pPr>
        <w:pStyle w:val="ListNumber"/>
        <w:tabs>
          <w:tab w:val="clear" w:pos="360"/>
          <w:tab w:val="num" w:pos="720"/>
        </w:tabs>
        <w:ind w:left="720" w:hanging="357"/>
        <w:contextualSpacing w:val="0"/>
      </w:pPr>
      <w:r>
        <w:t xml:space="preserve">In February 2017, the then Commonwealth Attorney-General invited the Commission to lead a consultation on how Australia should implement </w:t>
      </w:r>
      <w:r w:rsidRPr="003D3EF7">
        <w:t>OPCAT</w:t>
      </w:r>
      <w:r>
        <w:t xml:space="preserve">. </w:t>
      </w:r>
    </w:p>
    <w:p w14:paraId="0A3D2948" w14:textId="4E1A80D9" w:rsidR="00497111" w:rsidRDefault="001669DA" w:rsidP="001669DA">
      <w:pPr>
        <w:pStyle w:val="ListNumber"/>
        <w:tabs>
          <w:tab w:val="clear" w:pos="360"/>
          <w:tab w:val="num" w:pos="720"/>
        </w:tabs>
        <w:ind w:left="720" w:hanging="357"/>
        <w:contextualSpacing w:val="0"/>
      </w:pPr>
      <w:r w:rsidRPr="001669DA">
        <w:t xml:space="preserve">On 29 June 2020 the Commission published </w:t>
      </w:r>
      <w:r w:rsidRPr="00F41414">
        <w:rPr>
          <w:i/>
          <w:iCs/>
        </w:rPr>
        <w:t>Implementing OPCAT in Australia</w:t>
      </w:r>
      <w:r w:rsidRPr="001669DA">
        <w:t xml:space="preserve">.  This was the final step for the Commission’s OPCAT project, and followed extensive consultations conducted by the Commission in 2017 and 2018. The final report contained 17 recommendations as to how Australia should implement OPCAT. </w:t>
      </w:r>
    </w:p>
    <w:p w14:paraId="03AEEB82" w14:textId="5192CF15" w:rsidR="0012457E" w:rsidRDefault="000777D1" w:rsidP="00CD6936">
      <w:pPr>
        <w:pStyle w:val="ListNumber"/>
        <w:tabs>
          <w:tab w:val="clear" w:pos="360"/>
          <w:tab w:val="num" w:pos="720"/>
        </w:tabs>
        <w:ind w:left="720" w:hanging="357"/>
        <w:contextualSpacing w:val="0"/>
      </w:pPr>
      <w:r>
        <w:t>On 9 September 2022, the Commission partnered with the RMIT University</w:t>
      </w:r>
      <w:r w:rsidR="00CD6936">
        <w:t xml:space="preserve"> </w:t>
      </w:r>
      <w:r>
        <w:t xml:space="preserve">College of Business and Law to hold a </w:t>
      </w:r>
      <w:r w:rsidRPr="00B17A6F">
        <w:t>National OPCAT Symposium</w:t>
      </w:r>
      <w:r w:rsidR="00B17A6F">
        <w:rPr>
          <w:i/>
          <w:iCs/>
        </w:rPr>
        <w:t xml:space="preserve"> </w:t>
      </w:r>
      <w:r>
        <w:t>in Melbourne.</w:t>
      </w:r>
      <w:r w:rsidR="00B17A6F" w:rsidRPr="00B17A6F">
        <w:rPr>
          <w:rStyle w:val="EndnoteReference"/>
        </w:rPr>
        <w:endnoteReference w:id="3"/>
      </w:r>
      <w:r w:rsidR="00B17A6F">
        <w:t xml:space="preserve"> </w:t>
      </w:r>
      <w:r>
        <w:t>The aim of the Symposium was to bring together relevan</w:t>
      </w:r>
      <w:r w:rsidR="00CD6936">
        <w:t xml:space="preserve">t </w:t>
      </w:r>
      <w:r>
        <w:lastRenderedPageBreak/>
        <w:t>stakeholders from the</w:t>
      </w:r>
      <w:r w:rsidR="00CD6936">
        <w:t xml:space="preserve"> </w:t>
      </w:r>
      <w:r>
        <w:t>Commonwealth, State and Territor</w:t>
      </w:r>
      <w:r w:rsidR="00CD6936">
        <w:t xml:space="preserve">ies </w:t>
      </w:r>
      <w:r>
        <w:t>to take stock of what has been achieved to date; identify</w:t>
      </w:r>
      <w:r w:rsidR="00CD6936">
        <w:t xml:space="preserve"> </w:t>
      </w:r>
      <w:r>
        <w:t xml:space="preserve">any existing barriers to progress; and </w:t>
      </w:r>
      <w:r w:rsidR="00895DE9">
        <w:t xml:space="preserve">highlight </w:t>
      </w:r>
      <w:r>
        <w:t xml:space="preserve">what </w:t>
      </w:r>
      <w:r w:rsidR="00223C16">
        <w:t>remains</w:t>
      </w:r>
      <w:r>
        <w:t xml:space="preserve"> to be done to</w:t>
      </w:r>
      <w:r w:rsidR="00CD6936">
        <w:t xml:space="preserve"> </w:t>
      </w:r>
      <w:r>
        <w:t>reach full OPCAT compliance in Australia by the extended deadline</w:t>
      </w:r>
      <w:r w:rsidR="00CD6936">
        <w:t>.</w:t>
      </w:r>
    </w:p>
    <w:p w14:paraId="4A72A19E" w14:textId="387EFC92" w:rsidR="003666E2" w:rsidRDefault="00223C16" w:rsidP="003666E2">
      <w:pPr>
        <w:pStyle w:val="ListNumber"/>
        <w:tabs>
          <w:tab w:val="clear" w:pos="360"/>
          <w:tab w:val="num" w:pos="720"/>
        </w:tabs>
        <w:ind w:left="720" w:hanging="357"/>
        <w:contextualSpacing w:val="0"/>
      </w:pPr>
      <w:r>
        <w:t xml:space="preserve">Informed by the </w:t>
      </w:r>
      <w:r w:rsidRPr="00223C16">
        <w:t>National OPCAT Symposium, the</w:t>
      </w:r>
      <w:r>
        <w:t xml:space="preserve"> Commission produced a</w:t>
      </w:r>
      <w:r w:rsidRPr="00223C16">
        <w:t xml:space="preserve"> </w:t>
      </w:r>
      <w:r w:rsidRPr="00223C16">
        <w:rPr>
          <w:i/>
          <w:iCs/>
        </w:rPr>
        <w:t>Road Map to OPCA</w:t>
      </w:r>
      <w:r w:rsidRPr="00DC38ED">
        <w:rPr>
          <w:i/>
          <w:iCs/>
        </w:rPr>
        <w:t>T Compliance</w:t>
      </w:r>
      <w:r w:rsidR="006C490A">
        <w:t>,</w:t>
      </w:r>
      <w:r w:rsidR="00DC38ED" w:rsidRPr="000401E9">
        <w:rPr>
          <w:rStyle w:val="EndnoteReference"/>
        </w:rPr>
        <w:endnoteReference w:id="4"/>
      </w:r>
      <w:r w:rsidRPr="00223C16">
        <w:t xml:space="preserve"> provid</w:t>
      </w:r>
      <w:r w:rsidR="00E94FAA">
        <w:t>ing</w:t>
      </w:r>
      <w:r w:rsidR="00E94FAA" w:rsidRPr="00E94FAA">
        <w:t xml:space="preserve"> key information and principles as well as five recommendations to help guide the implementation process</w:t>
      </w:r>
      <w:r w:rsidR="00E94FAA">
        <w:t>.</w:t>
      </w:r>
    </w:p>
    <w:p w14:paraId="4F8FF1B3" w14:textId="2CA5979B" w:rsidR="00AC658D" w:rsidRDefault="003666E2" w:rsidP="003666E2">
      <w:pPr>
        <w:pStyle w:val="ListNumber"/>
        <w:tabs>
          <w:tab w:val="clear" w:pos="360"/>
          <w:tab w:val="num" w:pos="720"/>
        </w:tabs>
        <w:ind w:left="720" w:hanging="357"/>
        <w:contextualSpacing w:val="0"/>
      </w:pPr>
      <w:r>
        <w:t>While the Commission is not a designated NPM or NPM-coordinator (and therefore has no formal implementation responsibilities), continuing to promote OPCAT compliance and providing an independent perspective on the actions Australia needs to take to ensure compliance with our international human rights obligations under OPCAT falls within our broader statutory mandate.</w:t>
      </w:r>
    </w:p>
    <w:bookmarkEnd w:id="1"/>
    <w:bookmarkEnd w:id="2"/>
    <w:bookmarkEnd w:id="3"/>
    <w:p w14:paraId="58A01F5B" w14:textId="614849E1" w:rsidR="00510390" w:rsidRDefault="00B41CE3" w:rsidP="00A27ABE">
      <w:pPr>
        <w:pStyle w:val="Heading1"/>
      </w:pPr>
      <w:r>
        <w:t>The OPCAT Bill</w:t>
      </w:r>
    </w:p>
    <w:p w14:paraId="0D02C349" w14:textId="465601D3" w:rsidR="00222353" w:rsidRPr="001E01CD" w:rsidRDefault="00C22CA0" w:rsidP="005C1342">
      <w:pPr>
        <w:pStyle w:val="ListNumber"/>
        <w:tabs>
          <w:tab w:val="clear" w:pos="360"/>
          <w:tab w:val="num" w:pos="717"/>
        </w:tabs>
        <w:ind w:left="714" w:hanging="357"/>
        <w:contextualSpacing w:val="0"/>
      </w:pPr>
      <w:r w:rsidRPr="00C22CA0">
        <w:t>The Commission strongly supports the introduction</w:t>
      </w:r>
      <w:r>
        <w:t xml:space="preserve"> of</w:t>
      </w:r>
      <w:r w:rsidR="00112D56">
        <w:t xml:space="preserve"> dedicated</w:t>
      </w:r>
      <w:r>
        <w:t xml:space="preserve"> legislation </w:t>
      </w:r>
      <w:r w:rsidR="005034DC">
        <w:t xml:space="preserve">that </w:t>
      </w:r>
      <w:r w:rsidR="00DD2A1C" w:rsidRPr="00DD2A1C">
        <w:t>facilitate</w:t>
      </w:r>
      <w:r w:rsidR="00222353">
        <w:t>s</w:t>
      </w:r>
      <w:r w:rsidR="00DD2A1C" w:rsidRPr="00DD2A1C">
        <w:t xml:space="preserve"> visits by the </w:t>
      </w:r>
      <w:r w:rsidR="00DD2A1C">
        <w:t>UN SPT</w:t>
      </w:r>
      <w:r w:rsidR="00DD2A1C" w:rsidRPr="00DD2A1C">
        <w:t xml:space="preserve"> to places of d</w:t>
      </w:r>
      <w:r w:rsidR="0024493D">
        <w:t>eprivation of liberty</w:t>
      </w:r>
      <w:r w:rsidR="00DD2A1C" w:rsidRPr="00DD2A1C">
        <w:t xml:space="preserve"> in Queensland.</w:t>
      </w:r>
      <w:r w:rsidR="00222353">
        <w:t xml:space="preserve"> </w:t>
      </w:r>
      <w:r w:rsidR="005C1342">
        <w:t xml:space="preserve">The Commission notes in </w:t>
      </w:r>
      <w:r w:rsidR="00222353">
        <w:t xml:space="preserve">particular the </w:t>
      </w:r>
      <w:r w:rsidR="00222353" w:rsidRPr="00222353">
        <w:t>remov</w:t>
      </w:r>
      <w:r w:rsidR="00222353">
        <w:t>al</w:t>
      </w:r>
      <w:r w:rsidR="005C1342">
        <w:t xml:space="preserve"> of</w:t>
      </w:r>
      <w:r w:rsidR="0024493D">
        <w:t xml:space="preserve"> the</w:t>
      </w:r>
      <w:r w:rsidR="00222353" w:rsidRPr="00222353">
        <w:t xml:space="preserve"> legislative barriers that restrict</w:t>
      </w:r>
      <w:r w:rsidR="005C1342">
        <w:t>ed the UN SPT from</w:t>
      </w:r>
      <w:r w:rsidR="00222353" w:rsidRPr="00222353">
        <w:t xml:space="preserve"> physical access to inpatient units of authorised mental health services under the </w:t>
      </w:r>
      <w:r w:rsidR="00222353" w:rsidRPr="005C1342">
        <w:rPr>
          <w:i/>
          <w:iCs/>
        </w:rPr>
        <w:t>Mental Health Act 2016</w:t>
      </w:r>
      <w:r w:rsidR="00222353" w:rsidRPr="00222353">
        <w:t xml:space="preserve"> </w:t>
      </w:r>
      <w:r w:rsidR="005C1342">
        <w:t>and</w:t>
      </w:r>
      <w:r w:rsidR="00222353" w:rsidRPr="00222353">
        <w:t xml:space="preserve"> to the forensic disability service under the </w:t>
      </w:r>
      <w:r w:rsidR="00222353" w:rsidRPr="005C1342">
        <w:rPr>
          <w:i/>
          <w:iCs/>
        </w:rPr>
        <w:t>Forensic Disability Act 2011</w:t>
      </w:r>
      <w:r w:rsidR="005C1342">
        <w:rPr>
          <w:i/>
          <w:iCs/>
        </w:rPr>
        <w:t>.</w:t>
      </w:r>
      <w:r w:rsidR="004569C6" w:rsidRPr="00A659F9">
        <w:rPr>
          <w:rStyle w:val="EndnoteReference"/>
        </w:rPr>
        <w:endnoteReference w:id="5"/>
      </w:r>
    </w:p>
    <w:p w14:paraId="1BD3C247" w14:textId="6654FF9A" w:rsidR="004914F8" w:rsidRDefault="001E01CD" w:rsidP="004914F8">
      <w:pPr>
        <w:pStyle w:val="ListNumber"/>
        <w:tabs>
          <w:tab w:val="clear" w:pos="360"/>
          <w:tab w:val="num" w:pos="717"/>
        </w:tabs>
        <w:ind w:left="714" w:hanging="357"/>
        <w:contextualSpacing w:val="0"/>
      </w:pPr>
      <w:r>
        <w:t>Many provisions of the Bill are consistent with the objective of OPCAT.</w:t>
      </w:r>
      <w:r w:rsidR="00296056">
        <w:t xml:space="preserve"> The Bill enables the UN SPT to </w:t>
      </w:r>
      <w:r w:rsidR="00296056" w:rsidRPr="00634C6A">
        <w:t>make unannounced visits</w:t>
      </w:r>
      <w:r w:rsidR="00AC083B">
        <w:t xml:space="preserve"> and </w:t>
      </w:r>
      <w:r w:rsidR="00296056" w:rsidRPr="00C8148B">
        <w:t>conduct private interviews with detainees and any person they wish to interview</w:t>
      </w:r>
      <w:r w:rsidR="00AC083B">
        <w:t>. It also</w:t>
      </w:r>
      <w:r w:rsidR="00B757A5">
        <w:t xml:space="preserve"> </w:t>
      </w:r>
      <w:r w:rsidR="00B757A5" w:rsidRPr="00B757A5">
        <w:t xml:space="preserve">prohibits reprisal or sanction against anyone assisting the </w:t>
      </w:r>
      <w:r w:rsidR="00B757A5">
        <w:t>UN SPT</w:t>
      </w:r>
      <w:r w:rsidR="00B757A5" w:rsidRPr="00B757A5">
        <w:t xml:space="preserve"> in its functions through the inclusion of</w:t>
      </w:r>
      <w:r w:rsidR="0004214A">
        <w:t xml:space="preserve"> a</w:t>
      </w:r>
      <w:r w:rsidR="00B757A5" w:rsidRPr="00B757A5">
        <w:t xml:space="preserve"> protection</w:t>
      </w:r>
      <w:r w:rsidR="002C55BB">
        <w:t>s f</w:t>
      </w:r>
      <w:r w:rsidR="0004214A">
        <w:t>rom reprisal clause</w:t>
      </w:r>
      <w:r w:rsidR="00296056">
        <w:t>.</w:t>
      </w:r>
      <w:r w:rsidR="00296056">
        <w:rPr>
          <w:rStyle w:val="EndnoteReference"/>
        </w:rPr>
        <w:endnoteReference w:id="6"/>
      </w:r>
    </w:p>
    <w:p w14:paraId="7E686C1B" w14:textId="4DD36584" w:rsidR="004914F8" w:rsidRDefault="004914F8" w:rsidP="00F76929">
      <w:pPr>
        <w:pStyle w:val="ListNumber"/>
        <w:tabs>
          <w:tab w:val="clear" w:pos="360"/>
          <w:tab w:val="num" w:pos="717"/>
        </w:tabs>
        <w:ind w:left="714" w:hanging="357"/>
        <w:contextualSpacing w:val="0"/>
      </w:pPr>
      <w:r w:rsidRPr="004914F8">
        <w:t xml:space="preserve">The Commission endorses these elements of the Bill. </w:t>
      </w:r>
      <w:r w:rsidR="004D076B">
        <w:t>In other respects, h</w:t>
      </w:r>
      <w:r w:rsidRPr="004914F8">
        <w:t>owever, the Commission considers that the Bill could be strengthened.</w:t>
      </w:r>
    </w:p>
    <w:p w14:paraId="29D5AFA7" w14:textId="7B7ACD36" w:rsidR="00D22EE6" w:rsidRDefault="002B6A35" w:rsidP="00097B13">
      <w:pPr>
        <w:pStyle w:val="ListNumber"/>
        <w:tabs>
          <w:tab w:val="clear" w:pos="360"/>
          <w:tab w:val="num" w:pos="717"/>
        </w:tabs>
        <w:ind w:left="714" w:hanging="357"/>
        <w:contextualSpacing w:val="0"/>
      </w:pPr>
      <w:r>
        <w:t xml:space="preserve">The Commission’s </w:t>
      </w:r>
      <w:r w:rsidR="00E23DD3">
        <w:t xml:space="preserve">recommended amendments to </w:t>
      </w:r>
      <w:r>
        <w:t>the Bill are as follows.</w:t>
      </w:r>
    </w:p>
    <w:p w14:paraId="37CFF6D6" w14:textId="5F71C4D9" w:rsidR="00CA2D60" w:rsidRDefault="002B6A35" w:rsidP="00CA2D60">
      <w:pPr>
        <w:pStyle w:val="ListNumber"/>
        <w:tabs>
          <w:tab w:val="clear" w:pos="360"/>
          <w:tab w:val="num" w:pos="717"/>
        </w:tabs>
        <w:ind w:left="714" w:hanging="357"/>
        <w:contextualSpacing w:val="0"/>
      </w:pPr>
      <w:r w:rsidRPr="00D22EE6">
        <w:rPr>
          <w:b/>
          <w:bCs/>
        </w:rPr>
        <w:t>First</w:t>
      </w:r>
      <w:r>
        <w:t xml:space="preserve">, </w:t>
      </w:r>
      <w:r w:rsidR="000E5EB9">
        <w:t xml:space="preserve">the Bill currently </w:t>
      </w:r>
      <w:r w:rsidR="00037E52" w:rsidRPr="00037E52">
        <w:t xml:space="preserve">defines </w:t>
      </w:r>
      <w:r w:rsidR="00035F3A">
        <w:t>‘</w:t>
      </w:r>
      <w:r w:rsidR="00037E52" w:rsidRPr="00037E52">
        <w:t>places of detention</w:t>
      </w:r>
      <w:r w:rsidR="00035F3A">
        <w:t>’</w:t>
      </w:r>
      <w:r w:rsidR="00037E52" w:rsidRPr="00037E52">
        <w:t xml:space="preserve"> that fall within its scope</w:t>
      </w:r>
      <w:r w:rsidR="00037E52">
        <w:t xml:space="preserve"> to include</w:t>
      </w:r>
      <w:r w:rsidR="00B61870">
        <w:t xml:space="preserve"> </w:t>
      </w:r>
      <w:r w:rsidR="00B61870" w:rsidRPr="00B61870">
        <w:t>a community corrections centre, prison or work camp</w:t>
      </w:r>
      <w:r w:rsidR="00B61870">
        <w:t xml:space="preserve">; </w:t>
      </w:r>
      <w:r w:rsidR="006168F0">
        <w:t xml:space="preserve">a youth </w:t>
      </w:r>
      <w:r w:rsidR="006168F0" w:rsidRPr="006168F0">
        <w:t>detention centre</w:t>
      </w:r>
      <w:r w:rsidR="006168F0">
        <w:t xml:space="preserve">; </w:t>
      </w:r>
      <w:r w:rsidR="006168F0" w:rsidRPr="006168F0">
        <w:t>inpatient unit of an authorised mental health service</w:t>
      </w:r>
      <w:r w:rsidR="006168F0">
        <w:t xml:space="preserve">; </w:t>
      </w:r>
      <w:r w:rsidR="00EC27CA">
        <w:t xml:space="preserve">a </w:t>
      </w:r>
      <w:r w:rsidR="00EC27CA" w:rsidRPr="00EC27CA">
        <w:t>forensic disability service</w:t>
      </w:r>
      <w:r w:rsidR="00EC27CA">
        <w:t xml:space="preserve">; </w:t>
      </w:r>
      <w:r w:rsidR="00EC27CA" w:rsidRPr="00EC27CA">
        <w:t>a court cell;</w:t>
      </w:r>
      <w:r w:rsidR="00796CC6">
        <w:t xml:space="preserve"> </w:t>
      </w:r>
      <w:r w:rsidR="00796CC6" w:rsidRPr="00796CC6">
        <w:t>a watch-house</w:t>
      </w:r>
      <w:r w:rsidR="00796CC6">
        <w:t xml:space="preserve">; a holding cell or another place in a police station where a person is detained; </w:t>
      </w:r>
      <w:r w:rsidR="00694612">
        <w:t xml:space="preserve">a place where a person is detained, other than a private residence, prescribed by </w:t>
      </w:r>
      <w:r w:rsidR="00694612">
        <w:lastRenderedPageBreak/>
        <w:t>regulation as a place of detention</w:t>
      </w:r>
      <w:r w:rsidR="008021A2">
        <w:t>; a vehicle primarily used or operated for the purpose of transporting a person who is detained to or from a place.</w:t>
      </w:r>
      <w:r w:rsidR="008021A2">
        <w:rPr>
          <w:rStyle w:val="EndnoteReference"/>
        </w:rPr>
        <w:endnoteReference w:id="7"/>
      </w:r>
    </w:p>
    <w:p w14:paraId="196D9E1A" w14:textId="70C0608C" w:rsidR="00B92275" w:rsidRDefault="00CA2D60" w:rsidP="00B92275">
      <w:pPr>
        <w:pStyle w:val="ListNumber"/>
        <w:tabs>
          <w:tab w:val="clear" w:pos="360"/>
          <w:tab w:val="num" w:pos="717"/>
        </w:tabs>
        <w:ind w:left="714" w:hanging="357"/>
        <w:contextualSpacing w:val="0"/>
      </w:pPr>
      <w:r>
        <w:t>In clarifying the scope of the Bill, the Explanatory Note states ‘the Bill does not operate to prevent the Subcommittee from visiting other places where a person may be deprived of their liberty</w:t>
      </w:r>
      <w:r w:rsidR="006D44DF">
        <w:t>’</w:t>
      </w:r>
      <w:r>
        <w:t>.</w:t>
      </w:r>
      <w:r>
        <w:rPr>
          <w:rStyle w:val="EndnoteReference"/>
        </w:rPr>
        <w:endnoteReference w:id="8"/>
      </w:r>
      <w:r w:rsidR="008F45CE">
        <w:t xml:space="preserve"> While this explanation is welcome, the Commission notes other Australian jurisdictions </w:t>
      </w:r>
      <w:r w:rsidR="00110A3E">
        <w:t>have</w:t>
      </w:r>
      <w:r w:rsidR="00FD7888">
        <w:t xml:space="preserve"> </w:t>
      </w:r>
      <w:r w:rsidR="00110A3E">
        <w:t>included</w:t>
      </w:r>
      <w:r w:rsidR="00812792">
        <w:t xml:space="preserve"> a </w:t>
      </w:r>
      <w:r w:rsidR="00710434">
        <w:t>direct</w:t>
      </w:r>
      <w:r w:rsidR="00812792">
        <w:t xml:space="preserve"> reference</w:t>
      </w:r>
      <w:r w:rsidR="007D37AA">
        <w:t xml:space="preserve"> in their </w:t>
      </w:r>
      <w:r w:rsidR="00F407C1">
        <w:t>definition</w:t>
      </w:r>
      <w:r w:rsidR="00812792">
        <w:t xml:space="preserve"> to</w:t>
      </w:r>
      <w:r w:rsidR="00212700">
        <w:t xml:space="preserve"> </w:t>
      </w:r>
      <w:r w:rsidR="005C374D">
        <w:t xml:space="preserve">the UN SPT’s authority to visit </w:t>
      </w:r>
      <w:r w:rsidR="00812792" w:rsidRPr="00812792">
        <w:t>any place that the Subcommittee must be allowed to visit under Article 4 of the Optional Protocol</w:t>
      </w:r>
      <w:r w:rsidR="007D37AA">
        <w:t>,</w:t>
      </w:r>
      <w:r w:rsidR="00812792" w:rsidRPr="00812792">
        <w:t xml:space="preserve"> that is subject to the jurisdiction and contro</w:t>
      </w:r>
      <w:r w:rsidR="00212700">
        <w:t>l of the</w:t>
      </w:r>
      <w:r w:rsidR="00553F2E">
        <w:t xml:space="preserve"> relevant</w:t>
      </w:r>
      <w:r w:rsidR="00212700">
        <w:t xml:space="preserve"> State or Terri</w:t>
      </w:r>
      <w:r w:rsidR="00064613">
        <w:t>tory.</w:t>
      </w:r>
      <w:r w:rsidR="00553F2E">
        <w:rPr>
          <w:rStyle w:val="EndnoteReference"/>
        </w:rPr>
        <w:endnoteReference w:id="9"/>
      </w:r>
      <w:r w:rsidR="00064613">
        <w:t xml:space="preserve"> </w:t>
      </w:r>
    </w:p>
    <w:p w14:paraId="7BCC46EE" w14:textId="1F44DF8F" w:rsidR="003C0D77" w:rsidRDefault="00C94456" w:rsidP="003C0D77">
      <w:pPr>
        <w:pStyle w:val="ListNumber"/>
        <w:tabs>
          <w:tab w:val="clear" w:pos="360"/>
          <w:tab w:val="num" w:pos="717"/>
        </w:tabs>
        <w:ind w:left="714" w:hanging="357"/>
        <w:contextualSpacing w:val="0"/>
      </w:pPr>
      <w:r>
        <w:t>The importance of</w:t>
      </w:r>
      <w:r w:rsidR="00F407C1">
        <w:t xml:space="preserve"> adopting</w:t>
      </w:r>
      <w:r>
        <w:t xml:space="preserve"> this</w:t>
      </w:r>
      <w:r w:rsidR="00D27A6C">
        <w:t xml:space="preserve"> broad</w:t>
      </w:r>
      <w:r>
        <w:t xml:space="preserve"> approach</w:t>
      </w:r>
      <w:r w:rsidR="00573839">
        <w:t xml:space="preserve"> </w:t>
      </w:r>
      <w:r w:rsidR="004A5C9F">
        <w:t xml:space="preserve">was </w:t>
      </w:r>
      <w:r w:rsidR="00573839">
        <w:t xml:space="preserve">recently </w:t>
      </w:r>
      <w:r w:rsidR="00D27A6C">
        <w:t>emphasised</w:t>
      </w:r>
      <w:r w:rsidR="00573839">
        <w:t xml:space="preserve"> by the UN Committee</w:t>
      </w:r>
      <w:r w:rsidR="001B6F3F">
        <w:t xml:space="preserve"> in its </w:t>
      </w:r>
      <w:r w:rsidR="00FF72C3">
        <w:t xml:space="preserve">Concluding </w:t>
      </w:r>
      <w:r w:rsidR="00671155">
        <w:t xml:space="preserve">observations </w:t>
      </w:r>
      <w:r w:rsidR="00B92275">
        <w:t>on the sixth period</w:t>
      </w:r>
      <w:r w:rsidR="00914C8E">
        <w:t>ic</w:t>
      </w:r>
      <w:r w:rsidR="00B92275">
        <w:t xml:space="preserve"> report of Australia</w:t>
      </w:r>
      <w:r w:rsidR="00D27A6C">
        <w:t>. The UN Committee</w:t>
      </w:r>
      <w:r w:rsidR="00B92275">
        <w:t xml:space="preserve"> </w:t>
      </w:r>
      <w:r w:rsidR="004806D0">
        <w:t>‘</w:t>
      </w:r>
      <w:r w:rsidR="00B92275">
        <w:t>reminds</w:t>
      </w:r>
      <w:r w:rsidR="004806D0">
        <w:t xml:space="preserve"> </w:t>
      </w:r>
      <w:r w:rsidR="00B92275">
        <w:t>the State party of its commitment to ensure that unfettered access to all places o</w:t>
      </w:r>
      <w:r w:rsidR="004806D0">
        <w:t xml:space="preserve">f </w:t>
      </w:r>
      <w:r w:rsidR="00B92275">
        <w:t>deprivation of liberty in all jurisdictions is granted to the Subcommittee so that it can</w:t>
      </w:r>
      <w:r w:rsidR="004806D0">
        <w:t xml:space="preserve"> </w:t>
      </w:r>
      <w:r w:rsidR="00B92275">
        <w:t>carry out its mandate in line with the provisions of the Optional Protocol</w:t>
      </w:r>
      <w:r w:rsidR="00BB4E6B">
        <w:t>’</w:t>
      </w:r>
      <w:r w:rsidR="00B92275">
        <w:t>.</w:t>
      </w:r>
      <w:r w:rsidR="00051026">
        <w:rPr>
          <w:rStyle w:val="EndnoteReference"/>
        </w:rPr>
        <w:endnoteReference w:id="10"/>
      </w:r>
    </w:p>
    <w:p w14:paraId="33512B50" w14:textId="200D2E8C" w:rsidR="00623FB0" w:rsidRDefault="007D2D2F" w:rsidP="00623FB0">
      <w:pPr>
        <w:pStyle w:val="ListNumber"/>
        <w:tabs>
          <w:tab w:val="clear" w:pos="360"/>
          <w:tab w:val="num" w:pos="717"/>
        </w:tabs>
        <w:ind w:left="714" w:hanging="357"/>
        <w:contextualSpacing w:val="0"/>
      </w:pPr>
      <w:r w:rsidRPr="007D2D2F">
        <w:t>The Commission strongly recommends that</w:t>
      </w:r>
      <w:r w:rsidR="00C360DD">
        <w:t xml:space="preserve"> the Bill be amended </w:t>
      </w:r>
      <w:r w:rsidR="00C360DD" w:rsidRPr="00C360DD">
        <w:t xml:space="preserve">to </w:t>
      </w:r>
      <w:r w:rsidR="001A3534">
        <w:t>ensure</w:t>
      </w:r>
      <w:r w:rsidR="00466675">
        <w:t xml:space="preserve"> that the scope of the UN SPT’s access to places of deprivation of liberty</w:t>
      </w:r>
      <w:r w:rsidR="008A4056">
        <w:t xml:space="preserve"> within Queensland</w:t>
      </w:r>
      <w:r w:rsidR="00466675">
        <w:t xml:space="preserve"> is not limited to the list of places </w:t>
      </w:r>
      <w:r w:rsidR="001A3534">
        <w:t xml:space="preserve">currently </w:t>
      </w:r>
      <w:r w:rsidR="00466675">
        <w:t>identified in proposed s</w:t>
      </w:r>
      <w:r w:rsidR="00942900">
        <w:t xml:space="preserve"> </w:t>
      </w:r>
      <w:r w:rsidR="00466675">
        <w:t>4.</w:t>
      </w:r>
    </w:p>
    <w:p w14:paraId="263379C5" w14:textId="10B2BD9B" w:rsidR="00934120" w:rsidRDefault="00934120" w:rsidP="00623FB0">
      <w:pPr>
        <w:pStyle w:val="ListNumber"/>
        <w:tabs>
          <w:tab w:val="clear" w:pos="360"/>
          <w:tab w:val="num" w:pos="717"/>
        </w:tabs>
        <w:ind w:left="714" w:hanging="357"/>
        <w:contextualSpacing w:val="0"/>
      </w:pPr>
      <w:r w:rsidRPr="00623FB0">
        <w:rPr>
          <w:b/>
          <w:bCs/>
        </w:rPr>
        <w:t>Secondly</w:t>
      </w:r>
      <w:r>
        <w:t xml:space="preserve">, </w:t>
      </w:r>
      <w:r w:rsidR="000B67EC">
        <w:t>under proposed s 9</w:t>
      </w:r>
      <w:r w:rsidR="00BB4E6B">
        <w:t>,</w:t>
      </w:r>
      <w:r w:rsidR="000B67EC">
        <w:t xml:space="preserve"> </w:t>
      </w:r>
      <w:r>
        <w:t>the Bill allows</w:t>
      </w:r>
      <w:r w:rsidR="000B67EC">
        <w:t xml:space="preserve"> the responsible Minister for a place of detention to temporarily </w:t>
      </w:r>
      <w:r w:rsidR="00957054">
        <w:t>object to the UN SPT</w:t>
      </w:r>
      <w:r w:rsidR="00E34274">
        <w:t xml:space="preserve"> visiting that </w:t>
      </w:r>
      <w:r w:rsidR="00EF2E55">
        <w:t>place</w:t>
      </w:r>
      <w:r w:rsidR="002B27F6">
        <w:t xml:space="preserve">, and does so in a </w:t>
      </w:r>
      <w:r w:rsidR="00CC63D5">
        <w:t>manner</w:t>
      </w:r>
      <w:r w:rsidR="00B760FF">
        <w:t xml:space="preserve"> consistent with the reasons </w:t>
      </w:r>
      <w:r w:rsidR="00776FB7">
        <w:t xml:space="preserve">outlined </w:t>
      </w:r>
      <w:r w:rsidR="00B760FF">
        <w:t>in Article 14(2) of OPCAT.</w:t>
      </w:r>
      <w:r w:rsidR="00B760FF">
        <w:rPr>
          <w:rStyle w:val="EndnoteReference"/>
        </w:rPr>
        <w:endnoteReference w:id="11"/>
      </w:r>
      <w:r w:rsidR="000D2ADC">
        <w:t xml:space="preserve"> Proposed s 10 </w:t>
      </w:r>
      <w:r w:rsidR="008119F7">
        <w:t xml:space="preserve">goes on to </w:t>
      </w:r>
      <w:r w:rsidR="000D2ADC">
        <w:t xml:space="preserve">allow a detaining authority to </w:t>
      </w:r>
      <w:r w:rsidR="00A82B57">
        <w:t>temporarily prohibit or restrict access to a place of detention</w:t>
      </w:r>
      <w:r w:rsidR="00623FB0">
        <w:t xml:space="preserve"> </w:t>
      </w:r>
      <w:r w:rsidR="00BF0248">
        <w:t xml:space="preserve">on grounds relating to the </w:t>
      </w:r>
      <w:r w:rsidR="00623FB0">
        <w:t>‘security, good order and management of the place of detention; or health and safety of a person in the place of detention (including a member of the subcommittee and an accompanying person)</w:t>
      </w:r>
      <w:r w:rsidR="00DD49FE">
        <w:t>’</w:t>
      </w:r>
      <w:r w:rsidR="00623FB0">
        <w:t>.</w:t>
      </w:r>
      <w:r w:rsidR="00CC63D5">
        <w:rPr>
          <w:rStyle w:val="EndnoteReference"/>
        </w:rPr>
        <w:endnoteReference w:id="12"/>
      </w:r>
      <w:r w:rsidR="00E6038B">
        <w:t xml:space="preserve"> </w:t>
      </w:r>
    </w:p>
    <w:p w14:paraId="28035743" w14:textId="30413ECD" w:rsidR="00C8586E" w:rsidRDefault="00E6038B" w:rsidP="00623FB0">
      <w:pPr>
        <w:pStyle w:val="ListNumber"/>
        <w:tabs>
          <w:tab w:val="clear" w:pos="360"/>
          <w:tab w:val="num" w:pos="717"/>
        </w:tabs>
        <w:ind w:left="714" w:hanging="357"/>
        <w:contextualSpacing w:val="0"/>
      </w:pPr>
      <w:r>
        <w:t>The Commission recommends the grounds</w:t>
      </w:r>
      <w:r w:rsidR="00D94D58">
        <w:t xml:space="preserve"> contained in proposed s</w:t>
      </w:r>
      <w:r w:rsidR="00DD49FE">
        <w:t xml:space="preserve"> </w:t>
      </w:r>
      <w:r w:rsidR="00D94D58">
        <w:t>102(a)(i) and (ii)</w:t>
      </w:r>
      <w:r>
        <w:t xml:space="preserve"> be</w:t>
      </w:r>
      <w:r w:rsidR="00062F25">
        <w:t xml:space="preserve"> explicitly</w:t>
      </w:r>
      <w:r>
        <w:t xml:space="preserve"> linked to</w:t>
      </w:r>
      <w:r w:rsidR="00206EE6">
        <w:t xml:space="preserve"> the ‘serious disorder in the place of detention’</w:t>
      </w:r>
      <w:r w:rsidR="00D12EF2">
        <w:t xml:space="preserve"> ground in</w:t>
      </w:r>
      <w:r w:rsidR="0088530B">
        <w:t xml:space="preserve"> proposed</w:t>
      </w:r>
      <w:r>
        <w:t xml:space="preserve"> </w:t>
      </w:r>
      <w:r w:rsidR="0088530B">
        <w:t>s 9(2)(d)</w:t>
      </w:r>
      <w:r w:rsidR="00062F25">
        <w:t xml:space="preserve"> </w:t>
      </w:r>
      <w:r w:rsidR="00E250F5">
        <w:t>to</w:t>
      </w:r>
      <w:r w:rsidR="00F83048">
        <w:t xml:space="preserve"> avoid the perception of</w:t>
      </w:r>
      <w:r w:rsidR="00845115">
        <w:t xml:space="preserve"> objectionable</w:t>
      </w:r>
      <w:r w:rsidR="00F83048">
        <w:t xml:space="preserve"> grounds beyond those contained in Article 14(2) of the OPCAT</w:t>
      </w:r>
      <w:r w:rsidR="00845115">
        <w:t xml:space="preserve">. </w:t>
      </w:r>
    </w:p>
    <w:p w14:paraId="6A7D2026" w14:textId="4F1900E6" w:rsidR="00806942" w:rsidRDefault="008B0E1F" w:rsidP="00806942">
      <w:pPr>
        <w:pStyle w:val="ListNumber"/>
        <w:tabs>
          <w:tab w:val="clear" w:pos="360"/>
          <w:tab w:val="num" w:pos="717"/>
        </w:tabs>
        <w:ind w:left="714" w:hanging="357"/>
        <w:contextualSpacing w:val="0"/>
      </w:pPr>
      <w:r>
        <w:t>The Commission also recommends that proposed s 10(2)(b)</w:t>
      </w:r>
      <w:r w:rsidR="00C8586E">
        <w:t xml:space="preserve"> be omitted from the Bill. The term ‘essential operations’ is broad</w:t>
      </w:r>
      <w:r w:rsidR="009D6025">
        <w:t xml:space="preserve"> and general in nature</w:t>
      </w:r>
      <w:r w:rsidR="00C8586E">
        <w:t xml:space="preserve"> and </w:t>
      </w:r>
      <w:r w:rsidR="009D6025">
        <w:t>could</w:t>
      </w:r>
      <w:r w:rsidR="00C8586E">
        <w:t xml:space="preserve"> include</w:t>
      </w:r>
      <w:r w:rsidR="00C30F26">
        <w:t xml:space="preserve"> </w:t>
      </w:r>
      <w:r w:rsidR="00F04B79">
        <w:t xml:space="preserve">(for example) </w:t>
      </w:r>
      <w:r w:rsidR="00C30F26">
        <w:t>scenarios where an objection aris</w:t>
      </w:r>
      <w:r w:rsidR="009D6025">
        <w:t>es</w:t>
      </w:r>
      <w:r w:rsidR="00C30F26">
        <w:t xml:space="preserve"> from a</w:t>
      </w:r>
      <w:r w:rsidR="009D6025">
        <w:t xml:space="preserve"> place of detention</w:t>
      </w:r>
      <w:r w:rsidR="00F40165">
        <w:t xml:space="preserve"> being under</w:t>
      </w:r>
      <w:r w:rsidR="00F40165" w:rsidRPr="00F40165">
        <w:t xml:space="preserve"> broad lock downs </w:t>
      </w:r>
      <w:r w:rsidR="007A01F8">
        <w:t>because of</w:t>
      </w:r>
      <w:r w:rsidR="00F40165">
        <w:t xml:space="preserve"> in</w:t>
      </w:r>
      <w:r w:rsidR="00F40165" w:rsidRPr="00F40165">
        <w:t>sufficient staffing on the day of the visit</w:t>
      </w:r>
      <w:r w:rsidR="00F40165">
        <w:t>. In such</w:t>
      </w:r>
      <w:r w:rsidR="007A01F8">
        <w:t xml:space="preserve"> a</w:t>
      </w:r>
      <w:r w:rsidR="00F40165">
        <w:t xml:space="preserve"> s</w:t>
      </w:r>
      <w:r w:rsidR="00C265D4">
        <w:t>cenario</w:t>
      </w:r>
      <w:r w:rsidR="00F40165">
        <w:t xml:space="preserve">, </w:t>
      </w:r>
      <w:r w:rsidR="007A01F8">
        <w:t>it would be</w:t>
      </w:r>
      <w:r w:rsidR="00C265D4">
        <w:t xml:space="preserve"> </w:t>
      </w:r>
      <w:r w:rsidR="00206EE6">
        <w:lastRenderedPageBreak/>
        <w:t>even more</w:t>
      </w:r>
      <w:r w:rsidR="00C265D4">
        <w:t xml:space="preserve"> </w:t>
      </w:r>
      <w:r w:rsidR="002E4D64">
        <w:t>important to ensure that the</w:t>
      </w:r>
      <w:r w:rsidR="008C0A36">
        <w:t xml:space="preserve"> UN SPT </w:t>
      </w:r>
      <w:r w:rsidR="002E4D64">
        <w:t xml:space="preserve">was granted access </w:t>
      </w:r>
      <w:r w:rsidR="008C0A36">
        <w:t>to visit</w:t>
      </w:r>
      <w:r w:rsidR="002E4D64">
        <w:t xml:space="preserve"> </w:t>
      </w:r>
      <w:r w:rsidR="00E87628">
        <w:t xml:space="preserve">and allowed </w:t>
      </w:r>
      <w:r w:rsidR="008C0A36">
        <w:t>to fulfil its mandate.</w:t>
      </w:r>
    </w:p>
    <w:p w14:paraId="2254965D" w14:textId="6DC37522" w:rsidR="00E6038B" w:rsidRDefault="008C0A36" w:rsidP="00806942">
      <w:pPr>
        <w:pStyle w:val="ListNumber"/>
        <w:tabs>
          <w:tab w:val="clear" w:pos="360"/>
          <w:tab w:val="num" w:pos="717"/>
          <w:tab w:val="num" w:pos="785"/>
        </w:tabs>
        <w:ind w:left="714" w:hanging="357"/>
        <w:contextualSpacing w:val="0"/>
      </w:pPr>
      <w:r>
        <w:t>Noting there may arise occasions where the UN SPT and</w:t>
      </w:r>
      <w:r w:rsidR="00A62CF1">
        <w:t xml:space="preserve"> the</w:t>
      </w:r>
      <w:r>
        <w:t xml:space="preserve"> detaining authority may </w:t>
      </w:r>
      <w:r w:rsidR="00A62CF1">
        <w:t xml:space="preserve">disagree that an objection is </w:t>
      </w:r>
      <w:r w:rsidR="005115C1">
        <w:t>‘</w:t>
      </w:r>
      <w:r w:rsidR="00A62CF1">
        <w:t>necessary and appropriate</w:t>
      </w:r>
      <w:r w:rsidR="005115C1">
        <w:t>’</w:t>
      </w:r>
      <w:r w:rsidR="00A62CF1">
        <w:t xml:space="preserve">, the Commission recommends a clause be added to </w:t>
      </w:r>
      <w:r w:rsidR="00D1665B">
        <w:t>proposed s 10(4)</w:t>
      </w:r>
      <w:r w:rsidR="00881424">
        <w:t xml:space="preserve"> to </w:t>
      </w:r>
      <w:r w:rsidR="003F47AF">
        <w:t xml:space="preserve">grant </w:t>
      </w:r>
      <w:r w:rsidR="00881424">
        <w:t>the responsible Minister t</w:t>
      </w:r>
      <w:r w:rsidR="004F19EC">
        <w:t>he</w:t>
      </w:r>
      <w:r w:rsidR="00881424">
        <w:t xml:space="preserve"> </w:t>
      </w:r>
      <w:r w:rsidR="00E250F5">
        <w:t>power</w:t>
      </w:r>
      <w:r w:rsidR="00881424">
        <w:t xml:space="preserve"> to</w:t>
      </w:r>
      <w:r w:rsidR="00B02C73">
        <w:t xml:space="preserve"> over</w:t>
      </w:r>
      <w:r w:rsidR="003B2E1B">
        <w:t xml:space="preserve">ride a temporary objection by a detaining </w:t>
      </w:r>
      <w:r w:rsidR="0095733F">
        <w:t>authority</w:t>
      </w:r>
      <w:r w:rsidR="0072482D">
        <w:t>. This addition</w:t>
      </w:r>
      <w:r w:rsidR="00B43BA0">
        <w:t>al clause</w:t>
      </w:r>
      <w:r w:rsidR="0072482D">
        <w:t xml:space="preserve"> is consistent with the UN SPT </w:t>
      </w:r>
      <w:r w:rsidR="00D56F52">
        <w:t xml:space="preserve">guidelines in relation to </w:t>
      </w:r>
      <w:r w:rsidR="00FC07CD">
        <w:t xml:space="preserve">visits to States parties that advise delegations </w:t>
      </w:r>
      <w:r w:rsidR="0072482D">
        <w:t>to</w:t>
      </w:r>
      <w:r w:rsidR="00B43BA0">
        <w:t xml:space="preserve"> contact the relevant Minister where</w:t>
      </w:r>
      <w:r w:rsidR="00806942">
        <w:t xml:space="preserve"> ‘the intervention of the focal point does not solve the problem</w:t>
      </w:r>
      <w:r w:rsidR="00D0501F">
        <w:t>’</w:t>
      </w:r>
      <w:r w:rsidR="00E22B4C">
        <w:t>,</w:t>
      </w:r>
      <w:r w:rsidR="00806942">
        <w:rPr>
          <w:rStyle w:val="EndnoteReference"/>
        </w:rPr>
        <w:endnoteReference w:id="13"/>
      </w:r>
      <w:r w:rsidR="00E22B4C">
        <w:t xml:space="preserve"> in circumstances where </w:t>
      </w:r>
      <w:r w:rsidR="00FC07CD">
        <w:t>a delegation</w:t>
      </w:r>
      <w:r w:rsidR="00E22B4C">
        <w:t xml:space="preserve"> </w:t>
      </w:r>
      <w:r w:rsidR="00E22B4C" w:rsidRPr="00E22B4C">
        <w:t>encounters difficulties when exercising its mandate</w:t>
      </w:r>
      <w:r w:rsidR="00FC07CD">
        <w:t xml:space="preserve"> during a visit to a place of detention</w:t>
      </w:r>
      <w:r w:rsidR="00E22B4C">
        <w:t>.</w:t>
      </w:r>
    </w:p>
    <w:p w14:paraId="70567952" w14:textId="0B49107A" w:rsidR="003B2310" w:rsidRDefault="00934120" w:rsidP="00C47271">
      <w:pPr>
        <w:pStyle w:val="ListNumber"/>
        <w:tabs>
          <w:tab w:val="clear" w:pos="360"/>
          <w:tab w:val="num" w:pos="717"/>
        </w:tabs>
        <w:ind w:left="714" w:hanging="357"/>
        <w:contextualSpacing w:val="0"/>
      </w:pPr>
      <w:r>
        <w:rPr>
          <w:b/>
          <w:bCs/>
        </w:rPr>
        <w:t>Thirdly</w:t>
      </w:r>
      <w:r w:rsidR="008A4056">
        <w:t xml:space="preserve">, the Bill </w:t>
      </w:r>
      <w:r w:rsidR="003479BC">
        <w:t>prohibits</w:t>
      </w:r>
      <w:r w:rsidR="00A978DF">
        <w:t xml:space="preserve"> the UN SPT</w:t>
      </w:r>
      <w:r w:rsidR="00C74B3D">
        <w:t xml:space="preserve"> from </w:t>
      </w:r>
      <w:r w:rsidR="00A978DF">
        <w:t>access</w:t>
      </w:r>
      <w:r w:rsidR="00C74B3D">
        <w:t>ing</w:t>
      </w:r>
      <w:r w:rsidR="00A978DF">
        <w:t xml:space="preserve"> </w:t>
      </w:r>
      <w:r w:rsidR="003479BC">
        <w:t>detainee information</w:t>
      </w:r>
      <w:r w:rsidR="00A978DF">
        <w:t xml:space="preserve"> </w:t>
      </w:r>
      <w:r w:rsidR="0031433E">
        <w:t>in a place</w:t>
      </w:r>
      <w:r w:rsidR="006156A7">
        <w:t xml:space="preserve"> the </w:t>
      </w:r>
      <w:r w:rsidR="007F4A49">
        <w:t xml:space="preserve">UN SPT </w:t>
      </w:r>
      <w:r w:rsidR="00C36AF4">
        <w:t>has not</w:t>
      </w:r>
      <w:r w:rsidR="00C47271">
        <w:t xml:space="preserve"> yet</w:t>
      </w:r>
      <w:r w:rsidR="006156A7">
        <w:t xml:space="preserve"> visit</w:t>
      </w:r>
      <w:r w:rsidR="00C36AF4">
        <w:t>ed.</w:t>
      </w:r>
      <w:r w:rsidR="00D476A8">
        <w:rPr>
          <w:rStyle w:val="EndnoteReference"/>
        </w:rPr>
        <w:endnoteReference w:id="14"/>
      </w:r>
      <w:r w:rsidR="00D476A8">
        <w:t xml:space="preserve"> </w:t>
      </w:r>
      <w:r w:rsidR="003B2310">
        <w:t>The Commission notes an identical prohibition is made in Victoria’s</w:t>
      </w:r>
      <w:r w:rsidR="00C74B3D">
        <w:t xml:space="preserve"> OPCAT</w:t>
      </w:r>
      <w:r w:rsidR="003B2310">
        <w:t xml:space="preserve"> </w:t>
      </w:r>
      <w:r w:rsidR="003A6E0A">
        <w:t>legislation</w:t>
      </w:r>
      <w:r w:rsidR="005931F0">
        <w:t>.</w:t>
      </w:r>
      <w:r w:rsidR="003A6E0A">
        <w:rPr>
          <w:rStyle w:val="EndnoteReference"/>
        </w:rPr>
        <w:endnoteReference w:id="15"/>
      </w:r>
    </w:p>
    <w:p w14:paraId="079A8B0E" w14:textId="65D8AC50" w:rsidR="008A755C" w:rsidRDefault="008A755C" w:rsidP="008A755C">
      <w:pPr>
        <w:pStyle w:val="ListNumber"/>
        <w:tabs>
          <w:tab w:val="clear" w:pos="360"/>
          <w:tab w:val="num" w:pos="717"/>
        </w:tabs>
        <w:ind w:left="714" w:hanging="357"/>
        <w:contextualSpacing w:val="0"/>
      </w:pPr>
      <w:r>
        <w:t>The Bill recognises that the UN SPT requires access to information to enable it to make an ‘evaluation of any needs or measures that should be adopted to strengthen the protection of people deprived of their liberty against torture and other cruel, inhuman or degrading treatment or punishment</w:t>
      </w:r>
      <w:r w:rsidR="00D0501F">
        <w:t>’</w:t>
      </w:r>
      <w:r>
        <w:t>.</w:t>
      </w:r>
      <w:r>
        <w:rPr>
          <w:rStyle w:val="EndnoteReference"/>
        </w:rPr>
        <w:endnoteReference w:id="16"/>
      </w:r>
    </w:p>
    <w:p w14:paraId="735963D1" w14:textId="6F22A493" w:rsidR="005B4487" w:rsidRDefault="00C1706C" w:rsidP="005B4487">
      <w:pPr>
        <w:pStyle w:val="ListNumber"/>
        <w:tabs>
          <w:tab w:val="clear" w:pos="360"/>
          <w:tab w:val="num" w:pos="717"/>
        </w:tabs>
        <w:ind w:left="714" w:hanging="357"/>
        <w:contextualSpacing w:val="0"/>
      </w:pPr>
      <w:r>
        <w:t xml:space="preserve">During a UN SPT visit, State Parties are obliged to provide the </w:t>
      </w:r>
      <w:r w:rsidR="005B4487">
        <w:t>Subcommittee</w:t>
      </w:r>
      <w:r>
        <w:t xml:space="preserve"> ‘with all necessary information, including all documentation that it requests, both prior to and during the visit</w:t>
      </w:r>
      <w:r w:rsidR="00914EAB">
        <w:t>’</w:t>
      </w:r>
      <w:r>
        <w:t>.</w:t>
      </w:r>
      <w:r>
        <w:rPr>
          <w:rStyle w:val="EndnoteReference"/>
        </w:rPr>
        <w:endnoteReference w:id="17"/>
      </w:r>
      <w:r>
        <w:t xml:space="preserve"> </w:t>
      </w:r>
      <w:r w:rsidR="002E5D83">
        <w:t xml:space="preserve">The </w:t>
      </w:r>
      <w:r w:rsidR="002F0B90">
        <w:t xml:space="preserve">restriction </w:t>
      </w:r>
      <w:r w:rsidR="002229A0">
        <w:t xml:space="preserve">in </w:t>
      </w:r>
      <w:r w:rsidR="0059456C">
        <w:t>proposed</w:t>
      </w:r>
      <w:r w:rsidR="009F2E7B">
        <w:t xml:space="preserve"> s 14</w:t>
      </w:r>
      <w:r w:rsidR="002229A0">
        <w:t xml:space="preserve"> contradicts</w:t>
      </w:r>
      <w:r w:rsidR="002F0B90">
        <w:t xml:space="preserve"> the</w:t>
      </w:r>
      <w:r w:rsidR="00110F0B">
        <w:t xml:space="preserve"> requirement</w:t>
      </w:r>
      <w:r w:rsidR="005B4487">
        <w:t>s</w:t>
      </w:r>
      <w:r w:rsidR="00110F0B">
        <w:t xml:space="preserve"> of</w:t>
      </w:r>
      <w:r w:rsidR="002F0B90">
        <w:t xml:space="preserve"> </w:t>
      </w:r>
      <w:r w:rsidR="00217B4B">
        <w:t>OPCAT</w:t>
      </w:r>
      <w:r w:rsidR="00B823D7">
        <w:t>.</w:t>
      </w:r>
      <w:r w:rsidR="007670AB">
        <w:rPr>
          <w:rStyle w:val="EndnoteReference"/>
        </w:rPr>
        <w:endnoteReference w:id="18"/>
      </w:r>
      <w:r w:rsidR="00B823D7">
        <w:t xml:space="preserve"> In particular, </w:t>
      </w:r>
      <w:r w:rsidR="00FD1C4E">
        <w:t>this prohibition</w:t>
      </w:r>
      <w:r w:rsidR="002E210B">
        <w:t xml:space="preserve"> </w:t>
      </w:r>
      <w:r w:rsidR="00F27735">
        <w:t>gives rise to concerns about possible reprisals against detainees</w:t>
      </w:r>
      <w:r w:rsidR="00356092">
        <w:t xml:space="preserve"> going unaddressed</w:t>
      </w:r>
      <w:r w:rsidR="00F27735">
        <w:t>.</w:t>
      </w:r>
      <w:r w:rsidR="00246575">
        <w:rPr>
          <w:rStyle w:val="EndnoteReference"/>
        </w:rPr>
        <w:endnoteReference w:id="19"/>
      </w:r>
    </w:p>
    <w:p w14:paraId="18FBEC55" w14:textId="1D3567D7" w:rsidR="0014374B" w:rsidRDefault="00146211" w:rsidP="0014374B">
      <w:pPr>
        <w:pStyle w:val="ListNumber"/>
        <w:tabs>
          <w:tab w:val="clear" w:pos="360"/>
          <w:tab w:val="num" w:pos="717"/>
        </w:tabs>
        <w:ind w:left="714" w:hanging="357"/>
        <w:contextualSpacing w:val="0"/>
      </w:pPr>
      <w:r>
        <w:t>If</w:t>
      </w:r>
      <w:r w:rsidR="005A602B">
        <w:t>,</w:t>
      </w:r>
      <w:r>
        <w:t xml:space="preserve"> for example</w:t>
      </w:r>
      <w:r w:rsidR="00E96343">
        <w:t>,</w:t>
      </w:r>
      <w:r>
        <w:t xml:space="preserve"> </w:t>
      </w:r>
      <w:r w:rsidR="004F6C56" w:rsidRPr="004F6C56">
        <w:t xml:space="preserve">the UN SPT </w:t>
      </w:r>
      <w:r w:rsidR="002229A0">
        <w:t>is</w:t>
      </w:r>
      <w:r w:rsidR="002229A0" w:rsidRPr="004F6C56">
        <w:t xml:space="preserve"> </w:t>
      </w:r>
      <w:r w:rsidR="004F6C56" w:rsidRPr="004F6C56">
        <w:t xml:space="preserve">made aware that </w:t>
      </w:r>
      <w:r w:rsidR="005A602B">
        <w:t>an individual</w:t>
      </w:r>
      <w:r w:rsidR="005A602B" w:rsidRPr="004F6C56">
        <w:t xml:space="preserve"> </w:t>
      </w:r>
      <w:r w:rsidR="004F6C56" w:rsidRPr="004F6C56">
        <w:t>o</w:t>
      </w:r>
      <w:r w:rsidR="00E96343">
        <w:t>r</w:t>
      </w:r>
      <w:r>
        <w:t xml:space="preserve"> group of</w:t>
      </w:r>
      <w:r w:rsidR="004F6C56" w:rsidRPr="004F6C56">
        <w:t xml:space="preserve"> people</w:t>
      </w:r>
      <w:r w:rsidR="0014374B">
        <w:t xml:space="preserve"> </w:t>
      </w:r>
      <w:r w:rsidR="004F6C56" w:rsidRPr="004F6C56">
        <w:t xml:space="preserve">are transferred from a </w:t>
      </w:r>
      <w:r>
        <w:t>facility</w:t>
      </w:r>
      <w:r w:rsidR="00217B4B">
        <w:t xml:space="preserve"> they are visiting</w:t>
      </w:r>
      <w:r w:rsidR="004F6C56" w:rsidRPr="004F6C56">
        <w:t xml:space="preserve"> prior to</w:t>
      </w:r>
      <w:r w:rsidR="00217B4B">
        <w:t xml:space="preserve"> or soon after</w:t>
      </w:r>
      <w:r w:rsidR="004F6C56" w:rsidRPr="004F6C56">
        <w:t xml:space="preserve"> their arrival</w:t>
      </w:r>
      <w:r w:rsidR="00E96343">
        <w:t>,</w:t>
      </w:r>
      <w:r w:rsidR="004F6C56" w:rsidRPr="004F6C56">
        <w:t xml:space="preserve"> this provision prohibits them from accessing </w:t>
      </w:r>
      <w:r w:rsidR="00A76D1B">
        <w:t xml:space="preserve">the </w:t>
      </w:r>
      <w:r w:rsidR="00E96343">
        <w:t>information</w:t>
      </w:r>
      <w:r w:rsidR="00A76D1B">
        <w:t xml:space="preserve"> of those persons</w:t>
      </w:r>
      <w:r w:rsidR="00217B4B">
        <w:t xml:space="preserve"> at the site of transfer</w:t>
      </w:r>
      <w:r w:rsidR="00435521">
        <w:t xml:space="preserve"> (if they have not visited that site)</w:t>
      </w:r>
      <w:r w:rsidR="004F6C56" w:rsidRPr="004F6C56">
        <w:t xml:space="preserve"> to determine </w:t>
      </w:r>
      <w:r w:rsidR="00A76D1B">
        <w:t>whether</w:t>
      </w:r>
      <w:r w:rsidR="00A76D1B" w:rsidRPr="004F6C56">
        <w:t xml:space="preserve"> </w:t>
      </w:r>
      <w:r w:rsidR="004F6C56" w:rsidRPr="004F6C56">
        <w:t>the transfer was</w:t>
      </w:r>
      <w:r w:rsidR="00A76D1B">
        <w:t xml:space="preserve"> potentially</w:t>
      </w:r>
      <w:r w:rsidR="00B571FE">
        <w:t xml:space="preserve"> </w:t>
      </w:r>
      <w:r w:rsidR="00B571FE" w:rsidRPr="00B571FE">
        <w:t xml:space="preserve">an act </w:t>
      </w:r>
      <w:r w:rsidR="00E15A07">
        <w:t>intended to</w:t>
      </w:r>
      <w:r w:rsidR="00B571FE" w:rsidRPr="00B571FE">
        <w:t xml:space="preserve"> frustrat</w:t>
      </w:r>
      <w:r w:rsidR="00E15A07">
        <w:t>e</w:t>
      </w:r>
      <w:r w:rsidR="00B571FE" w:rsidRPr="00B571FE">
        <w:t xml:space="preserve"> </w:t>
      </w:r>
      <w:r w:rsidR="00C4578E">
        <w:t xml:space="preserve">the </w:t>
      </w:r>
      <w:r w:rsidR="00A80A2F">
        <w:t xml:space="preserve">UN SPT’s </w:t>
      </w:r>
      <w:r w:rsidR="00B571FE" w:rsidRPr="00B571FE">
        <w:t>mandate</w:t>
      </w:r>
      <w:r w:rsidR="00784A01">
        <w:t>.</w:t>
      </w:r>
    </w:p>
    <w:p w14:paraId="4FD8E6FD" w14:textId="115B0EB8" w:rsidR="002E5D83" w:rsidRDefault="00E15A07" w:rsidP="0014374B">
      <w:pPr>
        <w:pStyle w:val="ListNumber"/>
        <w:tabs>
          <w:tab w:val="clear" w:pos="360"/>
          <w:tab w:val="num" w:pos="717"/>
        </w:tabs>
        <w:ind w:left="714" w:hanging="357"/>
        <w:contextualSpacing w:val="0"/>
      </w:pPr>
      <w:r>
        <w:t xml:space="preserve">The </w:t>
      </w:r>
      <w:r w:rsidR="00E96343">
        <w:t>UN SPT</w:t>
      </w:r>
      <w:r>
        <w:t>’s policy</w:t>
      </w:r>
      <w:r w:rsidR="00E96343">
        <w:t xml:space="preserve"> on reprisals</w:t>
      </w:r>
      <w:r w:rsidR="00C1350E">
        <w:t xml:space="preserve"> additionally</w:t>
      </w:r>
      <w:r>
        <w:t xml:space="preserve"> states that</w:t>
      </w:r>
      <w:r w:rsidR="00E96343">
        <w:t>, ‘when allegations of intimidation or reprisals are received, and with the consent of the individual or group concerned when appropriate, the Subcommittee will, as appropriate,</w:t>
      </w:r>
      <w:r w:rsidR="00C50D5A">
        <w:t xml:space="preserve"> </w:t>
      </w:r>
      <w:r w:rsidR="00E96343">
        <w:t>contact the State party to request information</w:t>
      </w:r>
      <w:r w:rsidR="00C50D5A">
        <w:t>’</w:t>
      </w:r>
      <w:r w:rsidR="00415724">
        <w:rPr>
          <w:rStyle w:val="EndnoteReference"/>
        </w:rPr>
        <w:endnoteReference w:id="20"/>
      </w:r>
      <w:r w:rsidR="00415724">
        <w:t xml:space="preserve"> and ‘take steps to ensure that they are provided with all relevant information relating to those allegations</w:t>
      </w:r>
      <w:r w:rsidR="00417D96">
        <w:t>’</w:t>
      </w:r>
      <w:r w:rsidR="00415724">
        <w:t>.</w:t>
      </w:r>
      <w:r w:rsidR="00C1706C">
        <w:rPr>
          <w:rStyle w:val="EndnoteReference"/>
        </w:rPr>
        <w:endnoteReference w:id="21"/>
      </w:r>
      <w:r w:rsidR="00415724">
        <w:t xml:space="preserve"> </w:t>
      </w:r>
      <w:r w:rsidR="00C1350E">
        <w:t>In such a scenario</w:t>
      </w:r>
      <w:r w:rsidR="0014374B">
        <w:t>, the</w:t>
      </w:r>
      <w:r w:rsidR="00C1350E">
        <w:t xml:space="preserve"> proposed s</w:t>
      </w:r>
      <w:r w:rsidR="003552E8">
        <w:t xml:space="preserve"> </w:t>
      </w:r>
      <w:r w:rsidR="00C1350E">
        <w:t>14 of the Bill directly frustrates the purpose</w:t>
      </w:r>
      <w:r w:rsidR="0014374B">
        <w:t>s</w:t>
      </w:r>
      <w:r w:rsidR="00C1350E">
        <w:t xml:space="preserve"> of proposed s</w:t>
      </w:r>
      <w:r w:rsidR="003552E8">
        <w:t xml:space="preserve"> </w:t>
      </w:r>
      <w:r w:rsidR="00C1350E">
        <w:t>13</w:t>
      </w:r>
      <w:r w:rsidR="00E706E0">
        <w:t xml:space="preserve"> and </w:t>
      </w:r>
      <w:r w:rsidR="009F2E7B">
        <w:t xml:space="preserve">can be </w:t>
      </w:r>
      <w:r w:rsidR="009F2E7B">
        <w:lastRenderedPageBreak/>
        <w:t xml:space="preserve">considered as undermining </w:t>
      </w:r>
      <w:r w:rsidR="00E706E0">
        <w:t>the reprisal protections</w:t>
      </w:r>
      <w:r w:rsidR="0014374B">
        <w:t xml:space="preserve"> provided</w:t>
      </w:r>
      <w:r w:rsidR="00E706E0">
        <w:t xml:space="preserve"> in pro</w:t>
      </w:r>
      <w:r w:rsidR="005B4487">
        <w:t>p</w:t>
      </w:r>
      <w:r w:rsidR="00E706E0">
        <w:t>o</w:t>
      </w:r>
      <w:r w:rsidR="005B4487">
        <w:t>s</w:t>
      </w:r>
      <w:r w:rsidR="00E706E0">
        <w:t>ed s</w:t>
      </w:r>
      <w:r w:rsidR="003552E8">
        <w:t xml:space="preserve"> </w:t>
      </w:r>
      <w:r w:rsidR="005B4487">
        <w:t>19 of the Bill.</w:t>
      </w:r>
    </w:p>
    <w:p w14:paraId="592DDB9E" w14:textId="5D2DEB72" w:rsidR="00EF36E6" w:rsidRDefault="00EF36E6" w:rsidP="0014374B">
      <w:pPr>
        <w:pStyle w:val="ListNumber"/>
        <w:tabs>
          <w:tab w:val="clear" w:pos="360"/>
          <w:tab w:val="num" w:pos="717"/>
        </w:tabs>
        <w:ind w:left="714" w:hanging="357"/>
        <w:contextualSpacing w:val="0"/>
      </w:pPr>
      <w:r>
        <w:t>The Commission recommends that proposed s</w:t>
      </w:r>
      <w:r w:rsidR="003552E8">
        <w:t xml:space="preserve"> </w:t>
      </w:r>
      <w:r>
        <w:t>14 be removed</w:t>
      </w:r>
      <w:r w:rsidR="004A638E">
        <w:t xml:space="preserve"> from the Bill</w:t>
      </w:r>
      <w:r>
        <w:t xml:space="preserve">. </w:t>
      </w:r>
    </w:p>
    <w:p w14:paraId="72E4EBE1" w14:textId="020D301B" w:rsidR="006B40AC" w:rsidRDefault="006B40AC" w:rsidP="0014374B">
      <w:pPr>
        <w:pStyle w:val="ListNumber"/>
        <w:tabs>
          <w:tab w:val="clear" w:pos="360"/>
          <w:tab w:val="num" w:pos="717"/>
        </w:tabs>
        <w:ind w:left="714" w:hanging="357"/>
        <w:contextualSpacing w:val="0"/>
      </w:pPr>
      <w:r>
        <w:rPr>
          <w:b/>
          <w:bCs/>
        </w:rPr>
        <w:t>Lastly</w:t>
      </w:r>
      <w:r w:rsidR="00FB520F">
        <w:t xml:space="preserve">, the Commission acknowledges </w:t>
      </w:r>
      <w:r w:rsidR="00127503">
        <w:t>the Queensland Government</w:t>
      </w:r>
      <w:r w:rsidR="002E1C99">
        <w:t>’s obligation to designate a National Preventive Mechanism (NPM)</w:t>
      </w:r>
      <w:r w:rsidR="002E1C99">
        <w:rPr>
          <w:rStyle w:val="EndnoteReference"/>
        </w:rPr>
        <w:endnoteReference w:id="22"/>
      </w:r>
      <w:r w:rsidR="00127503">
        <w:t xml:space="preserve"> </w:t>
      </w:r>
      <w:r w:rsidR="00F03280">
        <w:t xml:space="preserve">under OPCAT </w:t>
      </w:r>
      <w:r w:rsidR="00D33220">
        <w:t>remains</w:t>
      </w:r>
      <w:r w:rsidR="00FB520F">
        <w:t xml:space="preserve"> </w:t>
      </w:r>
      <w:r w:rsidR="00D33220">
        <w:t>‘</w:t>
      </w:r>
      <w:r w:rsidR="00F03280" w:rsidRPr="00F03280">
        <w:t>outside the bill’s scope</w:t>
      </w:r>
      <w:r w:rsidR="00D33220">
        <w:t>’</w:t>
      </w:r>
      <w:r w:rsidR="001D6B58">
        <w:t xml:space="preserve"> </w:t>
      </w:r>
      <w:r w:rsidR="00625758">
        <w:t>and is subject to ‘</w:t>
      </w:r>
      <w:r w:rsidR="00625758" w:rsidRPr="00625758">
        <w:t>continuing discussions with the Commonwealth</w:t>
      </w:r>
      <w:r w:rsidR="00B461E7">
        <w:t>’</w:t>
      </w:r>
      <w:r w:rsidR="001D6B58">
        <w:t>.</w:t>
      </w:r>
      <w:r w:rsidR="001D6B58" w:rsidRPr="001D6B58">
        <w:rPr>
          <w:rStyle w:val="EndnoteReference"/>
        </w:rPr>
        <w:t xml:space="preserve"> </w:t>
      </w:r>
      <w:r w:rsidR="001D6B58">
        <w:rPr>
          <w:rStyle w:val="EndnoteReference"/>
        </w:rPr>
        <w:endnoteReference w:id="23"/>
      </w:r>
      <w:r w:rsidR="006B4D8B">
        <w:t xml:space="preserve"> </w:t>
      </w:r>
    </w:p>
    <w:p w14:paraId="63CEA246" w14:textId="01916F6A" w:rsidR="00FB520F" w:rsidRDefault="006B4D8B" w:rsidP="0014374B">
      <w:pPr>
        <w:pStyle w:val="ListNumber"/>
        <w:tabs>
          <w:tab w:val="clear" w:pos="360"/>
          <w:tab w:val="num" w:pos="717"/>
        </w:tabs>
        <w:ind w:left="714" w:hanging="357"/>
        <w:contextualSpacing w:val="0"/>
      </w:pPr>
      <w:r>
        <w:t xml:space="preserve">The </w:t>
      </w:r>
      <w:r w:rsidR="002E0A91">
        <w:t>UN Committee</w:t>
      </w:r>
      <w:r w:rsidR="008F5347">
        <w:t xml:space="preserve"> recent</w:t>
      </w:r>
      <w:r w:rsidR="00E1321F">
        <w:t xml:space="preserve">ly </w:t>
      </w:r>
      <w:r w:rsidR="00D73AD9">
        <w:t xml:space="preserve">emphasised the importance of ensuring that Australia is </w:t>
      </w:r>
      <w:r w:rsidR="00B7024E">
        <w:t>in ‘</w:t>
      </w:r>
      <w:r w:rsidR="002E0A91" w:rsidRPr="002E0A91">
        <w:t>full compliance with its obligations under the Optional Protocol by the agreed deadline</w:t>
      </w:r>
      <w:r w:rsidR="00B7024E">
        <w:t>.’</w:t>
      </w:r>
      <w:r w:rsidR="008F5347">
        <w:rPr>
          <w:rStyle w:val="EndnoteReference"/>
        </w:rPr>
        <w:endnoteReference w:id="24"/>
      </w:r>
    </w:p>
    <w:p w14:paraId="54553A9C" w14:textId="13E9290F" w:rsidR="00C50A1B" w:rsidRDefault="00F048A4" w:rsidP="008B5AE4">
      <w:pPr>
        <w:pStyle w:val="ListNumber"/>
        <w:tabs>
          <w:tab w:val="clear" w:pos="360"/>
          <w:tab w:val="num" w:pos="717"/>
        </w:tabs>
        <w:ind w:left="714" w:hanging="357"/>
        <w:contextualSpacing w:val="0"/>
      </w:pPr>
      <w:r>
        <w:t xml:space="preserve">The Commission </w:t>
      </w:r>
      <w:r w:rsidR="00D54275">
        <w:t xml:space="preserve">strongly encourages </w:t>
      </w:r>
      <w:r>
        <w:t>the Queensland Government to designate its NPM(s)</w:t>
      </w:r>
      <w:r w:rsidR="005E595C">
        <w:t xml:space="preserve"> </w:t>
      </w:r>
      <w:r w:rsidR="00CB552E">
        <w:t xml:space="preserve">promptly, </w:t>
      </w:r>
      <w:r w:rsidR="005E595C">
        <w:t>before the 20 January 2023 extended deadline</w:t>
      </w:r>
      <w:r w:rsidR="0003362B">
        <w:t>, g</w:t>
      </w:r>
      <w:r w:rsidR="00B842A6">
        <w:t>iving</w:t>
      </w:r>
      <w:r w:rsidR="00A60997">
        <w:t xml:space="preserve"> due consideration to the ‘Paris Principles’</w:t>
      </w:r>
      <w:r w:rsidR="00A60997">
        <w:rPr>
          <w:rStyle w:val="EndnoteReference"/>
        </w:rPr>
        <w:endnoteReference w:id="25"/>
      </w:r>
      <w:r w:rsidR="00C50A1B">
        <w:t xml:space="preserve"> </w:t>
      </w:r>
      <w:r w:rsidR="005E595C">
        <w:t xml:space="preserve">and </w:t>
      </w:r>
      <w:r w:rsidR="008B5AE4">
        <w:t>provid</w:t>
      </w:r>
      <w:r w:rsidR="00B842A6">
        <w:t>ing</w:t>
      </w:r>
      <w:r w:rsidR="008B5AE4">
        <w:t xml:space="preserve"> a legislative basis for</w:t>
      </w:r>
      <w:r w:rsidR="00B4325D">
        <w:t xml:space="preserve"> </w:t>
      </w:r>
      <w:r w:rsidR="00805EED">
        <w:t>all</w:t>
      </w:r>
      <w:r w:rsidR="008B5AE4">
        <w:t xml:space="preserve"> </w:t>
      </w:r>
      <w:r w:rsidR="0003362B">
        <w:t xml:space="preserve">NPM </w:t>
      </w:r>
      <w:r w:rsidR="008B5AE4">
        <w:t xml:space="preserve">activities. </w:t>
      </w:r>
      <w:r w:rsidR="00F53F2E">
        <w:t>Enabling l</w:t>
      </w:r>
      <w:r w:rsidR="00C50A1B">
        <w:t xml:space="preserve">egislation should provide </w:t>
      </w:r>
      <w:r w:rsidR="00C50A1B" w:rsidRPr="005034DC">
        <w:t>unfettered powers of access to all places of de</w:t>
      </w:r>
      <w:r w:rsidR="008B5AE4">
        <w:t>privation of liberty</w:t>
      </w:r>
      <w:r w:rsidR="00C50A1B" w:rsidRPr="005034DC">
        <w:t xml:space="preserve"> by</w:t>
      </w:r>
      <w:r w:rsidR="008B5AE4">
        <w:t xml:space="preserve"> the</w:t>
      </w:r>
      <w:r w:rsidR="00C50A1B" w:rsidRPr="005034DC">
        <w:t xml:space="preserve"> NPM; provide a clear foundation for</w:t>
      </w:r>
      <w:r w:rsidR="00B4325D">
        <w:t xml:space="preserve"> those</w:t>
      </w:r>
      <w:r w:rsidR="00C50A1B" w:rsidRPr="005034DC">
        <w:t xml:space="preserve"> visits</w:t>
      </w:r>
      <w:r w:rsidR="00C50A1B">
        <w:t xml:space="preserve">; </w:t>
      </w:r>
      <w:r w:rsidR="00C50A1B" w:rsidRPr="005034DC">
        <w:t xml:space="preserve">ensure access to facilities and information; and secure the continued, long-term, and effective operation of </w:t>
      </w:r>
      <w:r w:rsidR="005A6292">
        <w:t>the NPM</w:t>
      </w:r>
      <w:r w:rsidR="00C50A1B" w:rsidRPr="005034DC">
        <w:t>.</w:t>
      </w:r>
      <w:r w:rsidR="00C50A1B">
        <w:rPr>
          <w:rStyle w:val="EndnoteReference"/>
        </w:rPr>
        <w:endnoteReference w:id="26"/>
      </w:r>
    </w:p>
    <w:p w14:paraId="7578FEF5" w14:textId="1877B7AB" w:rsidR="001956B8" w:rsidRDefault="005A6292" w:rsidP="00316454">
      <w:pPr>
        <w:pStyle w:val="ListNumber"/>
        <w:tabs>
          <w:tab w:val="clear" w:pos="360"/>
          <w:tab w:val="num" w:pos="717"/>
        </w:tabs>
        <w:ind w:left="714" w:hanging="357"/>
        <w:contextualSpacing w:val="0"/>
      </w:pPr>
      <w:r>
        <w:t>Legislation</w:t>
      </w:r>
      <w:r w:rsidR="001956B8">
        <w:t xml:space="preserve"> should</w:t>
      </w:r>
      <w:r w:rsidR="00C50A1B">
        <w:t xml:space="preserve"> </w:t>
      </w:r>
      <w:r w:rsidR="002072DC">
        <w:t>require</w:t>
      </w:r>
      <w:r w:rsidR="00C50A1B">
        <w:t xml:space="preserve"> the NPM to </w:t>
      </w:r>
      <w:r w:rsidR="00C50A1B" w:rsidRPr="00C02C3A">
        <w:t>regularly examine the treatment of people deprived of their liberty</w:t>
      </w:r>
      <w:r w:rsidR="005E052B">
        <w:t>,</w:t>
      </w:r>
      <w:r w:rsidR="00C50A1B">
        <w:rPr>
          <w:rStyle w:val="EndnoteReference"/>
        </w:rPr>
        <w:endnoteReference w:id="27"/>
      </w:r>
      <w:r w:rsidR="005E052B">
        <w:t xml:space="preserve"> as well as </w:t>
      </w:r>
      <w:r w:rsidR="00E249AF">
        <w:t>enabling the</w:t>
      </w:r>
      <w:r w:rsidR="00C50A1B">
        <w:t xml:space="preserve"> NPM to </w:t>
      </w:r>
      <w:r w:rsidR="00C50A1B" w:rsidRPr="00634C6A">
        <w:t>make unannounced visits</w:t>
      </w:r>
      <w:r w:rsidR="00C50A1B">
        <w:t>, offer</w:t>
      </w:r>
      <w:r w:rsidR="00C50A1B" w:rsidRPr="00CB56AC">
        <w:t xml:space="preserve"> recommendations</w:t>
      </w:r>
      <w:r w:rsidR="00C50A1B">
        <w:t xml:space="preserve"> </w:t>
      </w:r>
      <w:r w:rsidR="00C50A1B" w:rsidRPr="00CB56AC">
        <w:t>to improve the treatment of people deprived of their liberty</w:t>
      </w:r>
      <w:r w:rsidR="007F5AA3">
        <w:t>,</w:t>
      </w:r>
      <w:r w:rsidR="00C50A1B">
        <w:t xml:space="preserve"> and </w:t>
      </w:r>
      <w:r w:rsidR="00C50A1B" w:rsidRPr="00C8148B">
        <w:t>conduct private interviews with detainees and any person they wish to interview</w:t>
      </w:r>
      <w:r w:rsidR="00C50A1B">
        <w:t>.</w:t>
      </w:r>
      <w:r w:rsidR="00C50A1B">
        <w:rPr>
          <w:rStyle w:val="EndnoteReference"/>
        </w:rPr>
        <w:endnoteReference w:id="28"/>
      </w:r>
      <w:r w:rsidR="00316454">
        <w:t xml:space="preserve"> </w:t>
      </w:r>
    </w:p>
    <w:p w14:paraId="420F1ED6" w14:textId="45CE9135" w:rsidR="00C50A1B" w:rsidRDefault="001D7ACF" w:rsidP="00316454">
      <w:pPr>
        <w:pStyle w:val="ListNumber"/>
        <w:tabs>
          <w:tab w:val="clear" w:pos="360"/>
          <w:tab w:val="num" w:pos="717"/>
        </w:tabs>
        <w:ind w:left="714" w:hanging="357"/>
        <w:contextualSpacing w:val="0"/>
      </w:pPr>
      <w:r>
        <w:t xml:space="preserve">Legislation should </w:t>
      </w:r>
      <w:r w:rsidR="00C50A1B">
        <w:t xml:space="preserve">also provide for the outward-facing functions of </w:t>
      </w:r>
      <w:r>
        <w:t>the</w:t>
      </w:r>
      <w:r w:rsidR="00C50A1B">
        <w:t xml:space="preserve"> NPM, including the ability to make proposals on existing and draft legislation and policy; and the ability to regularly publish reports.</w:t>
      </w:r>
      <w:r w:rsidR="00C50A1B">
        <w:rPr>
          <w:rStyle w:val="EndnoteReference"/>
        </w:rPr>
        <w:endnoteReference w:id="29"/>
      </w:r>
    </w:p>
    <w:p w14:paraId="4225D8E4" w14:textId="52358C98" w:rsidR="00A60997" w:rsidRDefault="00A65699" w:rsidP="00A60997">
      <w:pPr>
        <w:pStyle w:val="ListNumber"/>
        <w:tabs>
          <w:tab w:val="clear" w:pos="360"/>
          <w:tab w:val="num" w:pos="717"/>
        </w:tabs>
        <w:ind w:left="714" w:hanging="357"/>
        <w:contextualSpacing w:val="0"/>
      </w:pPr>
      <w:r>
        <w:t>Legislation should a</w:t>
      </w:r>
      <w:r w:rsidR="00316454">
        <w:t>dditionally</w:t>
      </w:r>
      <w:r>
        <w:t xml:space="preserve"> </w:t>
      </w:r>
      <w:r w:rsidR="00C50A1B">
        <w:t xml:space="preserve">safeguard the functional independence of the NPM by ensuring the NPM </w:t>
      </w:r>
      <w:r w:rsidR="001956B8">
        <w:t>is</w:t>
      </w:r>
      <w:r w:rsidR="00C50A1B">
        <w:t xml:space="preserve"> not subject to the direction or control </w:t>
      </w:r>
      <w:r w:rsidR="002D0DC9">
        <w:t xml:space="preserve">of </w:t>
      </w:r>
      <w:r w:rsidR="00C50A1B">
        <w:t>a Minister, as well as introducing eligibility and conflict of interest criteria for NPM staff.</w:t>
      </w:r>
      <w:r w:rsidR="00C50A1B">
        <w:rPr>
          <w:rStyle w:val="EndnoteReference"/>
        </w:rPr>
        <w:endnoteReference w:id="30"/>
      </w:r>
      <w:r w:rsidR="00C50A1B">
        <w:t xml:space="preserve"> </w:t>
      </w:r>
    </w:p>
    <w:p w14:paraId="33B9A9C6" w14:textId="6706ACBC" w:rsidR="00F76929" w:rsidRPr="009923F6" w:rsidRDefault="00805EED" w:rsidP="00FF3613">
      <w:pPr>
        <w:pStyle w:val="ListNumber"/>
        <w:tabs>
          <w:tab w:val="clear" w:pos="360"/>
          <w:tab w:val="num" w:pos="717"/>
        </w:tabs>
        <w:ind w:left="714" w:hanging="357"/>
        <w:contextualSpacing w:val="0"/>
      </w:pPr>
      <w:r>
        <w:t>In establishing its NPM(s), the Queensland Government is</w:t>
      </w:r>
      <w:r w:rsidR="005E595C">
        <w:t xml:space="preserve"> also</w:t>
      </w:r>
      <w:r>
        <w:t xml:space="preserve"> </w:t>
      </w:r>
      <w:r w:rsidR="005E595C">
        <w:t>encouraged</w:t>
      </w:r>
      <w:r w:rsidR="0009745A">
        <w:t xml:space="preserve"> to</w:t>
      </w:r>
      <w:r w:rsidR="00FF3613">
        <w:t xml:space="preserve"> </w:t>
      </w:r>
      <w:r w:rsidR="0009745A">
        <w:t>incorporate the ‘</w:t>
      </w:r>
      <w:r w:rsidR="0009745A" w:rsidRPr="0009745A">
        <w:t>Principles for Best Practice</w:t>
      </w:r>
      <w:r w:rsidR="0009745A">
        <w:t xml:space="preserve">’ contained in the Commission’s </w:t>
      </w:r>
      <w:r w:rsidR="0009745A" w:rsidRPr="00223C16">
        <w:rPr>
          <w:i/>
          <w:iCs/>
        </w:rPr>
        <w:t>Road Map to OPCA</w:t>
      </w:r>
      <w:r w:rsidR="0009745A" w:rsidRPr="00DC38ED">
        <w:rPr>
          <w:i/>
          <w:iCs/>
        </w:rPr>
        <w:t>T Compliance</w:t>
      </w:r>
      <w:r w:rsidR="0009745A">
        <w:rPr>
          <w:i/>
          <w:iCs/>
        </w:rPr>
        <w:t>.</w:t>
      </w:r>
      <w:r w:rsidR="0009745A">
        <w:rPr>
          <w:rStyle w:val="EndnoteReference"/>
          <w:i/>
          <w:iCs/>
        </w:rPr>
        <w:endnoteReference w:id="31"/>
      </w:r>
    </w:p>
    <w:p w14:paraId="08099625" w14:textId="77777777" w:rsidR="009923F6" w:rsidRDefault="009923F6" w:rsidP="009923F6">
      <w:pPr>
        <w:pStyle w:val="ListNumber"/>
        <w:numPr>
          <w:ilvl w:val="0"/>
          <w:numId w:val="0"/>
        </w:numPr>
        <w:ind w:left="357"/>
        <w:contextualSpacing w:val="0"/>
      </w:pPr>
    </w:p>
    <w:p w14:paraId="11DFC033" w14:textId="7324084B" w:rsidR="009F2764" w:rsidRDefault="00CF748E" w:rsidP="009E08D1">
      <w:pPr>
        <w:pStyle w:val="Heading1"/>
      </w:pPr>
      <w:bookmarkStart w:id="5" w:name="_Toc89418777"/>
      <w:r>
        <w:lastRenderedPageBreak/>
        <w:t>Recommendations</w:t>
      </w:r>
      <w:bookmarkEnd w:id="5"/>
    </w:p>
    <w:p w14:paraId="422D09EF" w14:textId="3AC79D49" w:rsidR="00CE1A00" w:rsidRDefault="00CE1A00" w:rsidP="00F607BD">
      <w:pPr>
        <w:pStyle w:val="ListNumber"/>
        <w:tabs>
          <w:tab w:val="clear" w:pos="360"/>
        </w:tabs>
        <w:ind w:left="1094" w:hanging="737"/>
        <w:contextualSpacing w:val="0"/>
      </w:pPr>
      <w:r>
        <w:t>The Commission makes the following</w:t>
      </w:r>
      <w:r w:rsidR="008F0B35">
        <w:t xml:space="preserve"> </w:t>
      </w:r>
      <w:r>
        <w:t>recommendation</w:t>
      </w:r>
      <w:r w:rsidR="00770EF4">
        <w:t>s</w:t>
      </w:r>
      <w:r w:rsidR="00CC52A9">
        <w:t>.</w:t>
      </w:r>
    </w:p>
    <w:p w14:paraId="0029D1AE" w14:textId="476A783A" w:rsidR="00C41235" w:rsidRPr="00C41235" w:rsidRDefault="00C41235" w:rsidP="00C41235">
      <w:pPr>
        <w:pStyle w:val="ListNumber"/>
        <w:keepNext/>
        <w:numPr>
          <w:ilvl w:val="0"/>
          <w:numId w:val="0"/>
        </w:numPr>
        <w:ind w:left="1094"/>
        <w:contextualSpacing w:val="0"/>
        <w:rPr>
          <w:b/>
          <w:bCs/>
        </w:rPr>
      </w:pPr>
      <w:r w:rsidRPr="00C41235">
        <w:rPr>
          <w:b/>
          <w:bCs/>
        </w:rPr>
        <w:t>Recommendation 1</w:t>
      </w:r>
    </w:p>
    <w:p w14:paraId="18FC94F7" w14:textId="14F9B81C" w:rsidR="00C17B50" w:rsidRDefault="00C41235" w:rsidP="008E3898">
      <w:pPr>
        <w:pStyle w:val="ListNumber"/>
        <w:numPr>
          <w:ilvl w:val="0"/>
          <w:numId w:val="0"/>
        </w:numPr>
        <w:ind w:left="1094"/>
        <w:contextualSpacing w:val="0"/>
      </w:pPr>
      <w:r>
        <w:t>The Commission recommends that</w:t>
      </w:r>
      <w:r w:rsidR="008E3898">
        <w:t xml:space="preserve"> </w:t>
      </w:r>
      <w:r w:rsidR="00D815AE">
        <w:t>proposed</w:t>
      </w:r>
      <w:r w:rsidR="00E96017">
        <w:t xml:space="preserve"> </w:t>
      </w:r>
      <w:r w:rsidR="00D815AE">
        <w:t>s </w:t>
      </w:r>
      <w:r w:rsidR="000623B7">
        <w:t>4</w:t>
      </w:r>
      <w:r w:rsidR="009C0A8D">
        <w:t xml:space="preserve"> </w:t>
      </w:r>
      <w:r w:rsidR="00E96017">
        <w:t xml:space="preserve">be amended </w:t>
      </w:r>
      <w:r w:rsidR="000623B7">
        <w:t>t</w:t>
      </w:r>
      <w:r w:rsidR="00E96017">
        <w:t>o</w:t>
      </w:r>
      <w:r w:rsidR="000623B7">
        <w:t xml:space="preserve"> </w:t>
      </w:r>
      <w:r w:rsidR="00D45DEC">
        <w:t>ensure</w:t>
      </w:r>
      <w:r w:rsidR="00E9142F" w:rsidRPr="00E9142F">
        <w:t xml:space="preserve"> that the scope of the UN SPT’s access to places of deprivation of liberty within Queensland is not limited to the list of places </w:t>
      </w:r>
      <w:r w:rsidR="00D45DEC">
        <w:t xml:space="preserve">currently </w:t>
      </w:r>
      <w:r w:rsidR="00E9142F" w:rsidRPr="00E9142F">
        <w:t>identified in</w:t>
      </w:r>
      <w:r w:rsidR="00E9142F">
        <w:t xml:space="preserve"> the</w:t>
      </w:r>
      <w:r w:rsidR="00E9142F" w:rsidRPr="00E9142F">
        <w:t xml:space="preserve"> proposed section</w:t>
      </w:r>
      <w:r w:rsidR="00E9142F">
        <w:t>.</w:t>
      </w:r>
    </w:p>
    <w:p w14:paraId="01AF201A" w14:textId="77777777" w:rsidR="009923F6" w:rsidRPr="00C41235" w:rsidRDefault="009923F6" w:rsidP="009923F6">
      <w:pPr>
        <w:pStyle w:val="ListNumber"/>
        <w:keepNext/>
        <w:numPr>
          <w:ilvl w:val="0"/>
          <w:numId w:val="0"/>
        </w:numPr>
        <w:ind w:left="1094"/>
        <w:contextualSpacing w:val="0"/>
        <w:rPr>
          <w:b/>
          <w:bCs/>
        </w:rPr>
      </w:pPr>
      <w:r w:rsidRPr="00C41235">
        <w:rPr>
          <w:b/>
          <w:bCs/>
        </w:rPr>
        <w:t xml:space="preserve">Recommendation </w:t>
      </w:r>
      <w:r>
        <w:rPr>
          <w:b/>
          <w:bCs/>
        </w:rPr>
        <w:t>2</w:t>
      </w:r>
    </w:p>
    <w:p w14:paraId="4402F6D1" w14:textId="5C1CB8FB" w:rsidR="009923F6" w:rsidRDefault="009923F6" w:rsidP="008E3898">
      <w:pPr>
        <w:pStyle w:val="ListNumber"/>
        <w:numPr>
          <w:ilvl w:val="0"/>
          <w:numId w:val="0"/>
        </w:numPr>
        <w:ind w:left="1094"/>
        <w:contextualSpacing w:val="0"/>
      </w:pPr>
      <w:r>
        <w:t xml:space="preserve">The Commission recommends </w:t>
      </w:r>
      <w:r w:rsidRPr="009923F6">
        <w:t>the grounds contained in proposed s102(a)(i) and (ii) be explicitly linked to the ‘serious disorder in the place of detention’ grounds in proposed s 9(2)(d) to avoid the perception of objectionable grounds beyond those contained in Article 14(2) of OPCAT.</w:t>
      </w:r>
    </w:p>
    <w:p w14:paraId="2477364A" w14:textId="6AB0B1E4" w:rsidR="009923F6" w:rsidRPr="00C41235" w:rsidRDefault="009923F6" w:rsidP="009923F6">
      <w:pPr>
        <w:pStyle w:val="ListNumber"/>
        <w:keepNext/>
        <w:numPr>
          <w:ilvl w:val="0"/>
          <w:numId w:val="0"/>
        </w:numPr>
        <w:ind w:left="1094"/>
        <w:contextualSpacing w:val="0"/>
        <w:rPr>
          <w:b/>
          <w:bCs/>
        </w:rPr>
      </w:pPr>
      <w:r w:rsidRPr="00C41235">
        <w:rPr>
          <w:b/>
          <w:bCs/>
        </w:rPr>
        <w:t xml:space="preserve">Recommendation </w:t>
      </w:r>
      <w:r>
        <w:rPr>
          <w:b/>
          <w:bCs/>
        </w:rPr>
        <w:t>3</w:t>
      </w:r>
    </w:p>
    <w:p w14:paraId="62B803A4" w14:textId="5BF86209" w:rsidR="009923F6" w:rsidRDefault="009923F6" w:rsidP="008E3898">
      <w:pPr>
        <w:pStyle w:val="ListNumber"/>
        <w:numPr>
          <w:ilvl w:val="0"/>
          <w:numId w:val="0"/>
        </w:numPr>
        <w:ind w:left="1094"/>
        <w:contextualSpacing w:val="0"/>
      </w:pPr>
      <w:r>
        <w:t>The Commission recommends that proposed s 10(2)(b) be omitted from the Bill.</w:t>
      </w:r>
    </w:p>
    <w:p w14:paraId="1C40ECC0" w14:textId="77777777" w:rsidR="009923F6" w:rsidRDefault="009923F6" w:rsidP="009923F6">
      <w:pPr>
        <w:pStyle w:val="ListNumber"/>
        <w:keepNext/>
        <w:numPr>
          <w:ilvl w:val="0"/>
          <w:numId w:val="0"/>
        </w:numPr>
        <w:ind w:left="1094"/>
        <w:contextualSpacing w:val="0"/>
        <w:rPr>
          <w:b/>
          <w:bCs/>
        </w:rPr>
      </w:pPr>
      <w:r w:rsidRPr="00C41235">
        <w:rPr>
          <w:b/>
          <w:bCs/>
        </w:rPr>
        <w:t xml:space="preserve">Recommendation </w:t>
      </w:r>
      <w:r>
        <w:rPr>
          <w:b/>
          <w:bCs/>
        </w:rPr>
        <w:t>4</w:t>
      </w:r>
    </w:p>
    <w:p w14:paraId="753A0D69" w14:textId="6EEED899" w:rsidR="009923F6" w:rsidRDefault="009923F6" w:rsidP="009923F6">
      <w:pPr>
        <w:pStyle w:val="ListNumber"/>
        <w:keepNext/>
        <w:numPr>
          <w:ilvl w:val="0"/>
          <w:numId w:val="0"/>
        </w:numPr>
        <w:ind w:left="1094"/>
        <w:contextualSpacing w:val="0"/>
      </w:pPr>
      <w:r w:rsidRPr="009923F6">
        <w:t>The Commission recommends a clause be added to proposed s 10(4) to enable the responsible Minister the power to override a temporary objection by a detaining authority.</w:t>
      </w:r>
    </w:p>
    <w:p w14:paraId="6D2BF114" w14:textId="4FE4FCFF" w:rsidR="00797540" w:rsidRPr="009923F6" w:rsidRDefault="00797540" w:rsidP="009923F6">
      <w:pPr>
        <w:pStyle w:val="ListNumber"/>
        <w:keepNext/>
        <w:numPr>
          <w:ilvl w:val="0"/>
          <w:numId w:val="0"/>
        </w:numPr>
        <w:ind w:left="1094"/>
        <w:contextualSpacing w:val="0"/>
      </w:pPr>
      <w:r w:rsidRPr="00C41235">
        <w:rPr>
          <w:b/>
          <w:bCs/>
        </w:rPr>
        <w:t xml:space="preserve">Recommendation </w:t>
      </w:r>
      <w:r w:rsidR="009923F6">
        <w:rPr>
          <w:b/>
          <w:bCs/>
        </w:rPr>
        <w:t>5</w:t>
      </w:r>
    </w:p>
    <w:p w14:paraId="564122FF" w14:textId="7283C21F" w:rsidR="00797540" w:rsidRPr="00797540" w:rsidRDefault="00797540" w:rsidP="008E3898">
      <w:pPr>
        <w:pStyle w:val="ListNumber"/>
        <w:numPr>
          <w:ilvl w:val="0"/>
          <w:numId w:val="0"/>
        </w:numPr>
        <w:ind w:left="1094"/>
        <w:contextualSpacing w:val="0"/>
        <w:rPr>
          <w:b/>
          <w:bCs/>
        </w:rPr>
      </w:pPr>
      <w:r>
        <w:t>The Commission recommends that</w:t>
      </w:r>
      <w:r w:rsidR="008E3898">
        <w:t xml:space="preserve"> </w:t>
      </w:r>
      <w:r w:rsidR="008F5825">
        <w:t>proposed s </w:t>
      </w:r>
      <w:r w:rsidR="0083691E">
        <w:t>14</w:t>
      </w:r>
      <w:r>
        <w:t xml:space="preserve"> </w:t>
      </w:r>
      <w:r w:rsidR="0083691E" w:rsidRPr="0083691E">
        <w:t>be removed from the Bill.</w:t>
      </w:r>
    </w:p>
    <w:p w14:paraId="4CF0A16A" w14:textId="5C3B3900" w:rsidR="007405ED" w:rsidRPr="00DB7FDD" w:rsidRDefault="007405ED" w:rsidP="00DB3CFC">
      <w:pPr>
        <w:pStyle w:val="ListNumber"/>
        <w:keepNext/>
        <w:numPr>
          <w:ilvl w:val="0"/>
          <w:numId w:val="0"/>
        </w:numPr>
        <w:ind w:left="1134"/>
        <w:contextualSpacing w:val="0"/>
        <w:rPr>
          <w:b/>
          <w:bCs/>
        </w:rPr>
      </w:pPr>
      <w:r w:rsidRPr="00DB7FDD">
        <w:rPr>
          <w:b/>
          <w:bCs/>
        </w:rPr>
        <w:t xml:space="preserve">Recommendation </w:t>
      </w:r>
      <w:r w:rsidR="009923F6">
        <w:rPr>
          <w:b/>
          <w:bCs/>
        </w:rPr>
        <w:t>6</w:t>
      </w:r>
    </w:p>
    <w:p w14:paraId="29E5B136" w14:textId="6135FD3E" w:rsidR="00F834D8" w:rsidRDefault="003728C0" w:rsidP="00E906A8">
      <w:pPr>
        <w:pStyle w:val="ListNumber"/>
        <w:numPr>
          <w:ilvl w:val="0"/>
          <w:numId w:val="0"/>
        </w:numPr>
        <w:ind w:left="1094"/>
        <w:contextualSpacing w:val="0"/>
      </w:pPr>
      <w:r>
        <w:t>The Commission recommends that</w:t>
      </w:r>
      <w:r w:rsidR="008E3898">
        <w:t xml:space="preserve"> </w:t>
      </w:r>
      <w:r w:rsidR="00CA046C">
        <w:t>the Queensland Government, as a matter of priority</w:t>
      </w:r>
      <w:r w:rsidR="005E595C">
        <w:t xml:space="preserve"> and before the 20 January 2023 </w:t>
      </w:r>
      <w:r w:rsidR="00D324FF">
        <w:t xml:space="preserve">extended </w:t>
      </w:r>
      <w:r w:rsidR="005E595C">
        <w:t>deadline</w:t>
      </w:r>
      <w:r w:rsidR="007D6C8E">
        <w:t>, d</w:t>
      </w:r>
      <w:r w:rsidR="007D6C8E" w:rsidRPr="00CA046C">
        <w:t xml:space="preserve">esignate </w:t>
      </w:r>
      <w:r w:rsidR="00CA046C" w:rsidRPr="00CA046C">
        <w:t>its NPM(s) giving due consideration to</w:t>
      </w:r>
      <w:r w:rsidR="00F834D8">
        <w:t>:</w:t>
      </w:r>
      <w:r w:rsidR="00CA046C" w:rsidRPr="00CA046C">
        <w:t xml:space="preserve"> </w:t>
      </w:r>
    </w:p>
    <w:p w14:paraId="7159815F" w14:textId="5E242821" w:rsidR="00F834D8" w:rsidRDefault="00CA046C" w:rsidP="00F834D8">
      <w:pPr>
        <w:pStyle w:val="ListNumber"/>
        <w:numPr>
          <w:ilvl w:val="0"/>
          <w:numId w:val="22"/>
        </w:numPr>
        <w:contextualSpacing w:val="0"/>
      </w:pPr>
      <w:r w:rsidRPr="00CA046C">
        <w:t>the ‘Paris Principles’</w:t>
      </w:r>
      <w:r w:rsidR="008C0888">
        <w:t>,</w:t>
      </w:r>
      <w:r w:rsidRPr="00CA046C">
        <w:t xml:space="preserve"> </w:t>
      </w:r>
    </w:p>
    <w:p w14:paraId="7D466178" w14:textId="6F4114B4" w:rsidR="00F834D8" w:rsidRDefault="00CA046C" w:rsidP="00F834D8">
      <w:pPr>
        <w:pStyle w:val="ListNumber"/>
        <w:numPr>
          <w:ilvl w:val="0"/>
          <w:numId w:val="22"/>
        </w:numPr>
        <w:contextualSpacing w:val="0"/>
      </w:pPr>
      <w:r w:rsidRPr="00CA046C">
        <w:t xml:space="preserve">providing a legislative basis for all </w:t>
      </w:r>
      <w:r w:rsidR="007D6C8E">
        <w:t>NPM</w:t>
      </w:r>
      <w:r w:rsidR="007D6C8E" w:rsidRPr="00CA046C">
        <w:t xml:space="preserve"> </w:t>
      </w:r>
      <w:r w:rsidRPr="00CA046C">
        <w:t>activities</w:t>
      </w:r>
      <w:r w:rsidR="008C0888">
        <w:t>;</w:t>
      </w:r>
      <w:r w:rsidR="00F834D8">
        <w:t xml:space="preserve"> and</w:t>
      </w:r>
      <w:r w:rsidR="008C0888">
        <w:t>,</w:t>
      </w:r>
      <w:r w:rsidR="00FB0697">
        <w:t xml:space="preserve"> </w:t>
      </w:r>
    </w:p>
    <w:p w14:paraId="3D7E9F5A" w14:textId="303FC6C9" w:rsidR="006627E5" w:rsidRDefault="00EE73E6" w:rsidP="00F834D8">
      <w:pPr>
        <w:pStyle w:val="ListNumber"/>
        <w:numPr>
          <w:ilvl w:val="0"/>
          <w:numId w:val="22"/>
        </w:numPr>
        <w:contextualSpacing w:val="0"/>
      </w:pPr>
      <w:r w:rsidRPr="00EE73E6">
        <w:t>incorporat</w:t>
      </w:r>
      <w:r w:rsidR="00F834D8">
        <w:t>ing</w:t>
      </w:r>
      <w:r w:rsidRPr="00EE73E6">
        <w:t xml:space="preserve"> the ‘Principles for Best Practice’ contained in the Commission’s Road Map to OPCAT Compliance.</w:t>
      </w:r>
    </w:p>
    <w:p w14:paraId="35ECA159" w14:textId="70AC9F2C" w:rsidR="008C0888" w:rsidRDefault="008C0888" w:rsidP="00A25086">
      <w:pPr>
        <w:pStyle w:val="ListNumber"/>
        <w:numPr>
          <w:ilvl w:val="0"/>
          <w:numId w:val="0"/>
        </w:numPr>
        <w:contextualSpacing w:val="0"/>
      </w:pPr>
    </w:p>
    <w:p w14:paraId="29634B9A" w14:textId="3472D224" w:rsidR="003C1C81" w:rsidRDefault="003C1C81">
      <w:pPr>
        <w:spacing w:before="0" w:after="0"/>
      </w:pPr>
      <w:r>
        <w:br w:type="page"/>
      </w:r>
    </w:p>
    <w:p w14:paraId="33F47211" w14:textId="77777777" w:rsidR="009923F6" w:rsidRPr="006627E5" w:rsidRDefault="009923F6" w:rsidP="00A25086">
      <w:pPr>
        <w:pStyle w:val="ListNumber"/>
        <w:numPr>
          <w:ilvl w:val="0"/>
          <w:numId w:val="0"/>
        </w:numPr>
        <w:contextualSpacing w:val="0"/>
      </w:pPr>
    </w:p>
    <w:p w14:paraId="3F7B78AB" w14:textId="4B8F51A4" w:rsidR="007F1B1F" w:rsidRPr="007F1B1F" w:rsidRDefault="007F1B1F" w:rsidP="007F1B1F">
      <w:pPr>
        <w:pStyle w:val="ListNumber"/>
        <w:numPr>
          <w:ilvl w:val="0"/>
          <w:numId w:val="0"/>
        </w:numPr>
        <w:ind w:left="360" w:hanging="360"/>
        <w:contextualSpacing w:val="0"/>
        <w:rPr>
          <w:b/>
          <w:bCs/>
          <w:sz w:val="28"/>
          <w:szCs w:val="28"/>
        </w:rPr>
      </w:pPr>
      <w:r w:rsidRPr="007F1B1F">
        <w:rPr>
          <w:b/>
          <w:bCs/>
          <w:sz w:val="28"/>
          <w:szCs w:val="28"/>
        </w:rPr>
        <w:t>Endnotes</w:t>
      </w:r>
    </w:p>
    <w:sectPr w:rsidR="007F1B1F" w:rsidRPr="007F1B1F" w:rsidSect="00460EE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4023" w14:textId="77777777" w:rsidR="00AD2C34" w:rsidRDefault="00AD2C34" w:rsidP="00F14C6D">
      <w:r>
        <w:separator/>
      </w:r>
    </w:p>
  </w:endnote>
  <w:endnote w:type="continuationSeparator" w:id="0">
    <w:p w14:paraId="20203185" w14:textId="77777777" w:rsidR="00AD2C34" w:rsidRDefault="00AD2C34" w:rsidP="00F14C6D">
      <w:r>
        <w:continuationSeparator/>
      </w:r>
    </w:p>
  </w:endnote>
  <w:endnote w:type="continuationNotice" w:id="1">
    <w:p w14:paraId="5D80878F" w14:textId="77777777" w:rsidR="009A54CE" w:rsidRDefault="009A54CE">
      <w:pPr>
        <w:spacing w:before="0" w:after="0"/>
      </w:pPr>
    </w:p>
  </w:endnote>
  <w:endnote w:id="2">
    <w:p w14:paraId="11285F88" w14:textId="4F782502" w:rsidR="007E467E" w:rsidRDefault="007E467E" w:rsidP="00B17D41">
      <w:pPr>
        <w:pStyle w:val="EndnoteText"/>
      </w:pPr>
      <w:r>
        <w:rPr>
          <w:rStyle w:val="EndnoteReference"/>
        </w:rPr>
        <w:endnoteRef/>
      </w:r>
      <w:r w:rsidR="00B06643">
        <w:t xml:space="preserve"> Commonwealth of Australia, </w:t>
      </w:r>
      <w:r w:rsidR="00D546D5" w:rsidRPr="00B06643">
        <w:rPr>
          <w:i/>
          <w:iCs/>
        </w:rPr>
        <w:t>S</w:t>
      </w:r>
      <w:r w:rsidR="00D546D5" w:rsidRPr="00B06643">
        <w:rPr>
          <w:i/>
          <w:iCs/>
        </w:rPr>
        <w:t>enate</w:t>
      </w:r>
      <w:r w:rsidR="00D546D5" w:rsidRPr="00B06643">
        <w:rPr>
          <w:i/>
          <w:iCs/>
        </w:rPr>
        <w:t xml:space="preserve"> L</w:t>
      </w:r>
      <w:r w:rsidR="00D546D5" w:rsidRPr="00B06643">
        <w:rPr>
          <w:i/>
          <w:iCs/>
        </w:rPr>
        <w:t>egal And</w:t>
      </w:r>
      <w:r w:rsidR="00D546D5" w:rsidRPr="00B06643">
        <w:rPr>
          <w:i/>
          <w:iCs/>
        </w:rPr>
        <w:t xml:space="preserve"> </w:t>
      </w:r>
      <w:r w:rsidR="00D546D5" w:rsidRPr="00B06643">
        <w:rPr>
          <w:i/>
          <w:iCs/>
        </w:rPr>
        <w:t>Constitutional</w:t>
      </w:r>
      <w:r w:rsidR="00D546D5" w:rsidRPr="00B06643">
        <w:rPr>
          <w:i/>
          <w:iCs/>
        </w:rPr>
        <w:t xml:space="preserve"> A</w:t>
      </w:r>
      <w:r w:rsidR="00D546D5" w:rsidRPr="00B06643">
        <w:rPr>
          <w:i/>
          <w:iCs/>
        </w:rPr>
        <w:t>ffairs</w:t>
      </w:r>
      <w:r w:rsidR="00D546D5" w:rsidRPr="00B06643">
        <w:rPr>
          <w:i/>
          <w:iCs/>
        </w:rPr>
        <w:t xml:space="preserve"> L</w:t>
      </w:r>
      <w:r w:rsidR="00D546D5" w:rsidRPr="00B06643">
        <w:rPr>
          <w:i/>
          <w:iCs/>
        </w:rPr>
        <w:t>egislation</w:t>
      </w:r>
      <w:r w:rsidR="00F55F99" w:rsidRPr="00B06643">
        <w:rPr>
          <w:i/>
          <w:iCs/>
        </w:rPr>
        <w:t xml:space="preserve"> Committee,</w:t>
      </w:r>
      <w:r w:rsidR="00F55F99">
        <w:t xml:space="preserve"> </w:t>
      </w:r>
      <w:r w:rsidR="00F179C4" w:rsidRPr="008A6B4F">
        <w:rPr>
          <w:i/>
          <w:iCs/>
        </w:rPr>
        <w:t>Official Committee Hansard</w:t>
      </w:r>
      <w:r w:rsidR="00F179C4">
        <w:t>,</w:t>
      </w:r>
      <w:r w:rsidR="008A6B4F">
        <w:t xml:space="preserve"> </w:t>
      </w:r>
      <w:r w:rsidR="00F179C4" w:rsidRPr="00F179C4">
        <w:t>W</w:t>
      </w:r>
      <w:r w:rsidR="00F179C4">
        <w:t>ednesday</w:t>
      </w:r>
      <w:r w:rsidR="00F179C4" w:rsidRPr="00F179C4">
        <w:t>, 23 M</w:t>
      </w:r>
      <w:r w:rsidR="00F179C4">
        <w:t>ay</w:t>
      </w:r>
      <w:r w:rsidR="00F179C4" w:rsidRPr="00F179C4">
        <w:t xml:space="preserve"> 2018</w:t>
      </w:r>
      <w:r w:rsidR="00980398">
        <w:t>, 122.</w:t>
      </w:r>
      <w:r w:rsidR="00B10A64">
        <w:t xml:space="preserve"> </w:t>
      </w:r>
      <w:hyperlink r:id="rId1" w:history="1">
        <w:r w:rsidR="00B06643" w:rsidRPr="00A841CF">
          <w:rPr>
            <w:rStyle w:val="Hyperlink"/>
          </w:rPr>
          <w:t>https://parlinfo.aph.gov.au/parlInfo/download/committees/estimate/3cae4e3c-b6d4-4b18-b464-b5e055c40682/toc_pdf/Legal%20and%20Constitutional%20Affairs%20Legislation%20Committee_2018_05_23_6149_Official.pdf;fileType=application%2Fpdf</w:t>
        </w:r>
      </w:hyperlink>
      <w:r w:rsidR="00B10A64">
        <w:t xml:space="preserve"> </w:t>
      </w:r>
      <w:r w:rsidR="00F179C4" w:rsidRPr="00F179C4">
        <w:t xml:space="preserve"> </w:t>
      </w:r>
      <w:r w:rsidR="005B35B7">
        <w:t>"Ultimately it will be up to each state and territory to set up its own mechanism. As part of a collaborative and cooperative process, the Commonwealth is engaging with states and territories to seek to coordinate both their own establishment of the NPM and then the broader range of elements that will be necessary to</w:t>
      </w:r>
      <w:r w:rsidR="005B35B7">
        <w:t xml:space="preserve"> </w:t>
      </w:r>
      <w:r w:rsidR="005B35B7">
        <w:t>implement the NPM obligations under OPCAT.</w:t>
      </w:r>
      <w:r w:rsidR="00B17D41">
        <w:t>”</w:t>
      </w:r>
      <w:r w:rsidR="005B35B7">
        <w:t xml:space="preserve"> </w:t>
      </w:r>
    </w:p>
  </w:endnote>
  <w:endnote w:id="3">
    <w:p w14:paraId="544FD3FE" w14:textId="77777777" w:rsidR="00B17A6F" w:rsidRDefault="00B17A6F" w:rsidP="00B17A6F">
      <w:pPr>
        <w:pStyle w:val="EndnoteText"/>
      </w:pPr>
      <w:r>
        <w:rPr>
          <w:rStyle w:val="EndnoteReference"/>
        </w:rPr>
        <w:endnoteRef/>
      </w:r>
      <w:r>
        <w:t xml:space="preserve"> Australian Human Rights Commission, </w:t>
      </w:r>
      <w:r w:rsidRPr="00EB1EA5">
        <w:rPr>
          <w:i/>
          <w:iCs/>
        </w:rPr>
        <w:t>National OPCAT Symposium</w:t>
      </w:r>
      <w:r>
        <w:t xml:space="preserve">, 9 September 2022. </w:t>
      </w:r>
      <w:hyperlink r:id="rId2" w:history="1">
        <w:r w:rsidRPr="003962A9">
          <w:rPr>
            <w:rStyle w:val="Hyperlink"/>
          </w:rPr>
          <w:t>https://www.youtube.com/watch?v=104KcIS6eRY</w:t>
        </w:r>
      </w:hyperlink>
      <w:r>
        <w:t xml:space="preserve"> </w:t>
      </w:r>
    </w:p>
  </w:endnote>
  <w:endnote w:id="4">
    <w:p w14:paraId="2BAA7127" w14:textId="77777777" w:rsidR="00DC38ED" w:rsidRPr="00881CF6" w:rsidRDefault="00DC38ED" w:rsidP="00DC38ED">
      <w:pPr>
        <w:pStyle w:val="EndnoteText"/>
      </w:pPr>
      <w:r>
        <w:rPr>
          <w:rStyle w:val="EndnoteReference"/>
        </w:rPr>
        <w:endnoteRef/>
      </w:r>
      <w:r>
        <w:t xml:space="preserve"> Australian Human Rights Commission, </w:t>
      </w:r>
      <w:r w:rsidRPr="00001BCC">
        <w:rPr>
          <w:i/>
          <w:iCs/>
        </w:rPr>
        <w:t>Road</w:t>
      </w:r>
      <w:r>
        <w:rPr>
          <w:i/>
          <w:iCs/>
        </w:rPr>
        <w:t xml:space="preserve"> M</w:t>
      </w:r>
      <w:r w:rsidRPr="00001BCC">
        <w:rPr>
          <w:i/>
          <w:iCs/>
        </w:rPr>
        <w:t>ap to OPCAT Compliance</w:t>
      </w:r>
      <w:r>
        <w:rPr>
          <w:i/>
          <w:iCs/>
        </w:rPr>
        <w:t xml:space="preserve">, </w:t>
      </w:r>
      <w:r>
        <w:t xml:space="preserve">17 October 2022. </w:t>
      </w:r>
      <w:hyperlink r:id="rId3" w:history="1">
        <w:r w:rsidRPr="003962A9">
          <w:rPr>
            <w:rStyle w:val="Hyperlink"/>
          </w:rPr>
          <w:t>https://humanrights.gov.au/sites/default/files/opcat_road_map_0.pdf</w:t>
        </w:r>
      </w:hyperlink>
      <w:r>
        <w:t xml:space="preserve"> </w:t>
      </w:r>
    </w:p>
  </w:endnote>
  <w:endnote w:id="5">
    <w:p w14:paraId="23200917" w14:textId="290A99BF" w:rsidR="004569C6" w:rsidRPr="0088704F" w:rsidRDefault="004569C6">
      <w:pPr>
        <w:pStyle w:val="EndnoteText"/>
      </w:pPr>
      <w:r>
        <w:rPr>
          <w:rStyle w:val="EndnoteReference"/>
        </w:rPr>
        <w:endnoteRef/>
      </w:r>
      <w:r>
        <w:t xml:space="preserve"> </w:t>
      </w:r>
      <w:r w:rsidR="0088704F">
        <w:t xml:space="preserve">United Nations Office of the High Commissioner for Human Rights. </w:t>
      </w:r>
      <w:r w:rsidR="0088704F" w:rsidRPr="0088704F">
        <w:rPr>
          <w:i/>
          <w:iCs/>
        </w:rPr>
        <w:t>UN torture prevention body suspends visit to Australia citing lack of co-operation</w:t>
      </w:r>
      <w:r w:rsidR="0088704F">
        <w:rPr>
          <w:i/>
          <w:iCs/>
        </w:rPr>
        <w:t xml:space="preserve">, </w:t>
      </w:r>
      <w:r w:rsidR="0088704F">
        <w:t xml:space="preserve">23 October 2022. </w:t>
      </w:r>
      <w:hyperlink r:id="rId4" w:history="1">
        <w:r w:rsidR="000F0369" w:rsidRPr="003962A9">
          <w:rPr>
            <w:rStyle w:val="Hyperlink"/>
          </w:rPr>
          <w:t>https://www.ohchr.org/en/press-releases/2022/10/un-torture-prevention-body-suspends-visit-australia-citing-lack-co-operation</w:t>
        </w:r>
      </w:hyperlink>
      <w:r w:rsidR="000F0369">
        <w:t xml:space="preserve"> </w:t>
      </w:r>
    </w:p>
  </w:endnote>
  <w:endnote w:id="6">
    <w:p w14:paraId="24C05D1F" w14:textId="0F4E5557" w:rsidR="00296056" w:rsidRDefault="00296056">
      <w:pPr>
        <w:pStyle w:val="EndnoteText"/>
      </w:pPr>
      <w:r>
        <w:rPr>
          <w:rStyle w:val="EndnoteReference"/>
        </w:rPr>
        <w:endnoteRef/>
      </w:r>
      <w:r>
        <w:t xml:space="preserve"> </w:t>
      </w:r>
      <w:r w:rsidR="00A659F9">
        <w:t xml:space="preserve">Article 11(a), </w:t>
      </w:r>
      <w:r w:rsidR="0076549C">
        <w:t>14(c)</w:t>
      </w:r>
      <w:r w:rsidR="00B7235E">
        <w:t xml:space="preserve">, </w:t>
      </w:r>
      <w:r w:rsidR="00D955EC">
        <w:t>14(d)</w:t>
      </w:r>
      <w:r w:rsidR="00B7235E">
        <w:t xml:space="preserve"> and 15</w:t>
      </w:r>
      <w:r w:rsidR="00D955EC">
        <w:t>,</w:t>
      </w:r>
      <w:r w:rsidR="00A659F9">
        <w:t xml:space="preserve"> OPCAT</w:t>
      </w:r>
      <w:r w:rsidR="00D955EC">
        <w:t xml:space="preserve">; proposed </w:t>
      </w:r>
      <w:r w:rsidR="00D6450C">
        <w:t>s</w:t>
      </w:r>
      <w:r w:rsidR="00D955EC">
        <w:t>s</w:t>
      </w:r>
      <w:r w:rsidR="00D6450C">
        <w:t xml:space="preserve"> </w:t>
      </w:r>
      <w:r w:rsidR="00CB73B2">
        <w:t>7</w:t>
      </w:r>
      <w:r w:rsidR="00D6450C">
        <w:t xml:space="preserve"> </w:t>
      </w:r>
      <w:r w:rsidR="00C709E4">
        <w:t>8,</w:t>
      </w:r>
      <w:r w:rsidR="00B7235E">
        <w:t xml:space="preserve"> </w:t>
      </w:r>
      <w:r w:rsidR="00C55D7D">
        <w:t>16, 18</w:t>
      </w:r>
      <w:r w:rsidR="00D6450C">
        <w:t xml:space="preserve"> </w:t>
      </w:r>
      <w:r w:rsidR="00CF5E5E">
        <w:t xml:space="preserve">19, 20. </w:t>
      </w:r>
    </w:p>
  </w:endnote>
  <w:endnote w:id="7">
    <w:p w14:paraId="72D05635" w14:textId="218042F4" w:rsidR="008021A2" w:rsidRDefault="008021A2">
      <w:pPr>
        <w:pStyle w:val="EndnoteText"/>
      </w:pPr>
      <w:r>
        <w:rPr>
          <w:rStyle w:val="EndnoteReference"/>
        </w:rPr>
        <w:endnoteRef/>
      </w:r>
      <w:r>
        <w:t xml:space="preserve"> </w:t>
      </w:r>
      <w:r w:rsidR="00013585">
        <w:t>Proposed s</w:t>
      </w:r>
      <w:r w:rsidR="00D6450C">
        <w:t xml:space="preserve"> </w:t>
      </w:r>
      <w:r w:rsidR="00013585">
        <w:t>4.</w:t>
      </w:r>
    </w:p>
  </w:endnote>
  <w:endnote w:id="8">
    <w:p w14:paraId="6FEE59F4" w14:textId="4B2C9564" w:rsidR="00CA2D60" w:rsidRDefault="00CA2D60" w:rsidP="003A1D58">
      <w:pPr>
        <w:pStyle w:val="EndnoteText"/>
      </w:pPr>
      <w:r>
        <w:rPr>
          <w:rStyle w:val="EndnoteReference"/>
        </w:rPr>
        <w:endnoteRef/>
      </w:r>
      <w:r>
        <w:t xml:space="preserve"> </w:t>
      </w:r>
      <w:r w:rsidR="003A1D58">
        <w:t xml:space="preserve">Queensland Government, </w:t>
      </w:r>
      <w:r w:rsidR="003A1D58" w:rsidRPr="003A1D58">
        <w:rPr>
          <w:i/>
          <w:iCs/>
        </w:rPr>
        <w:t>Monitoring of Places of Detention (Optional Protocol to the Convention Against Torture) Bill 2022 Explanatory Notes</w:t>
      </w:r>
      <w:r w:rsidR="003A1D58">
        <w:t xml:space="preserve">, </w:t>
      </w:r>
      <w:r w:rsidR="00060BE3">
        <w:t xml:space="preserve">2. </w:t>
      </w:r>
      <w:hyperlink r:id="rId5" w:history="1">
        <w:r w:rsidR="00060BE3" w:rsidRPr="00981E0E">
          <w:rPr>
            <w:rStyle w:val="Hyperlink"/>
          </w:rPr>
          <w:t>https://documents.parliament.qld.gov.au/tp/2022/5722T2033-B2C3.pdf</w:t>
        </w:r>
      </w:hyperlink>
      <w:r w:rsidR="00060BE3">
        <w:t xml:space="preserve"> </w:t>
      </w:r>
    </w:p>
  </w:endnote>
  <w:endnote w:id="9">
    <w:p w14:paraId="31D4D714" w14:textId="5CD0F9F9" w:rsidR="00553F2E" w:rsidRPr="00443ABC" w:rsidRDefault="00553F2E" w:rsidP="00443ABC">
      <w:pPr>
        <w:pStyle w:val="EndnoteText"/>
        <w:rPr>
          <w:i/>
          <w:iCs/>
        </w:rPr>
      </w:pPr>
      <w:r>
        <w:rPr>
          <w:rStyle w:val="EndnoteReference"/>
        </w:rPr>
        <w:endnoteRef/>
      </w:r>
      <w:r>
        <w:t xml:space="preserve"> </w:t>
      </w:r>
      <w:r w:rsidR="006C154B">
        <w:t xml:space="preserve">See </w:t>
      </w:r>
      <w:r w:rsidR="006C154B" w:rsidRPr="00DB3CFC">
        <w:rPr>
          <w:i/>
          <w:iCs/>
        </w:rPr>
        <w:t>OPCAT Implementation Act 2021</w:t>
      </w:r>
      <w:r w:rsidR="006C154B" w:rsidRPr="00BA295A">
        <w:t xml:space="preserve"> </w:t>
      </w:r>
      <w:r w:rsidR="006C154B">
        <w:t>(Tas), s5</w:t>
      </w:r>
      <w:r w:rsidR="00D656B6">
        <w:t xml:space="preserve">, </w:t>
      </w:r>
      <w:r w:rsidR="00D656B6" w:rsidRPr="00443ABC">
        <w:rPr>
          <w:i/>
          <w:iCs/>
        </w:rPr>
        <w:t>Monitoring of Places of Detention</w:t>
      </w:r>
      <w:r w:rsidR="00443ABC">
        <w:rPr>
          <w:i/>
          <w:iCs/>
        </w:rPr>
        <w:t xml:space="preserve"> </w:t>
      </w:r>
      <w:r w:rsidR="00D656B6" w:rsidRPr="00443ABC">
        <w:rPr>
          <w:i/>
          <w:iCs/>
        </w:rPr>
        <w:t>(Optional Protocol to the Convention</w:t>
      </w:r>
      <w:r w:rsidR="00443ABC" w:rsidRPr="00443ABC">
        <w:rPr>
          <w:i/>
          <w:iCs/>
        </w:rPr>
        <w:t xml:space="preserve"> </w:t>
      </w:r>
      <w:r w:rsidR="00D656B6" w:rsidRPr="00443ABC">
        <w:rPr>
          <w:i/>
          <w:iCs/>
        </w:rPr>
        <w:t>Against Torture) Act 2018</w:t>
      </w:r>
      <w:r w:rsidR="00D656B6">
        <w:t xml:space="preserve"> (ACT)</w:t>
      </w:r>
      <w:r w:rsidR="00443ABC">
        <w:t>, s7</w:t>
      </w:r>
      <w:r w:rsidR="006C154B">
        <w:t xml:space="preserve"> and </w:t>
      </w:r>
      <w:r w:rsidR="00246FD4" w:rsidRPr="00246FD4">
        <w:rPr>
          <w:i/>
          <w:iCs/>
        </w:rPr>
        <w:t xml:space="preserve">Monitoring of Places of Detention (Optional Protocol to the Convention Against Torture) </w:t>
      </w:r>
      <w:r w:rsidR="005964A7">
        <w:rPr>
          <w:i/>
          <w:iCs/>
        </w:rPr>
        <w:t>Act</w:t>
      </w:r>
      <w:r w:rsidR="00246FD4" w:rsidRPr="00246FD4">
        <w:rPr>
          <w:i/>
          <w:iCs/>
        </w:rPr>
        <w:t xml:space="preserve"> 2018 </w:t>
      </w:r>
      <w:r w:rsidR="00246FD4" w:rsidRPr="00443ABC">
        <w:t>(NT),</w:t>
      </w:r>
      <w:r w:rsidR="00246FD4">
        <w:t xml:space="preserve"> s</w:t>
      </w:r>
      <w:r w:rsidR="00D6450C">
        <w:t xml:space="preserve"> </w:t>
      </w:r>
      <w:r w:rsidR="00246FD4">
        <w:t>4.</w:t>
      </w:r>
    </w:p>
  </w:endnote>
  <w:endnote w:id="10">
    <w:p w14:paraId="3D96772A" w14:textId="086BEC4E" w:rsidR="00051026" w:rsidRDefault="00051026" w:rsidP="007171E9">
      <w:pPr>
        <w:pStyle w:val="EndnoteText"/>
      </w:pPr>
      <w:r>
        <w:rPr>
          <w:rStyle w:val="EndnoteReference"/>
        </w:rPr>
        <w:endnoteRef/>
      </w:r>
      <w:r>
        <w:t xml:space="preserve"> </w:t>
      </w:r>
      <w:r w:rsidR="007171E9">
        <w:t xml:space="preserve">United Nations </w:t>
      </w:r>
      <w:r w:rsidR="007171E9" w:rsidRPr="007171E9">
        <w:t>Committee against Torture</w:t>
      </w:r>
      <w:r w:rsidR="007171E9">
        <w:t xml:space="preserve">, </w:t>
      </w:r>
      <w:r w:rsidR="007171E9" w:rsidRPr="00F407C1">
        <w:rPr>
          <w:i/>
          <w:iCs/>
        </w:rPr>
        <w:t>Concluding observations on the sixth periodic report of Australia</w:t>
      </w:r>
      <w:r w:rsidR="00243479" w:rsidRPr="00F407C1">
        <w:rPr>
          <w:i/>
          <w:iCs/>
        </w:rPr>
        <w:t xml:space="preserve"> CAT/C/AUS/CO/6</w:t>
      </w:r>
      <w:r w:rsidR="00243479">
        <w:t xml:space="preserve">, </w:t>
      </w:r>
      <w:r w:rsidR="00215A59">
        <w:t xml:space="preserve">05 December 2022 </w:t>
      </w:r>
      <w:r w:rsidR="00F407C1">
        <w:t xml:space="preserve">[44] </w:t>
      </w:r>
      <w:hyperlink r:id="rId6" w:history="1">
        <w:r w:rsidR="00F407C1" w:rsidRPr="00981E0E">
          <w:rPr>
            <w:rStyle w:val="Hyperlink"/>
          </w:rPr>
          <w:t>https://docstore.ohchr.org/SelfServices/FilesHandler.ashx?enc=6QkG1d%2FPPRiCAqhKb7yhsoQ6oVJgGLf6YX4ROs1VbzEru4wycL%2FqQoIrzLep%2BJZyT2kIvroOhuMbJG1ioCx4Z3eXyrZ%2FkEdUDMwgHAnBoh0v9T4FjuSgv4v9weZd7XDc</w:t>
        </w:r>
      </w:hyperlink>
      <w:r w:rsidR="00F407C1">
        <w:t xml:space="preserve"> </w:t>
      </w:r>
    </w:p>
  </w:endnote>
  <w:endnote w:id="11">
    <w:p w14:paraId="1D641E5E" w14:textId="3ADF1BA9" w:rsidR="00B760FF" w:rsidRDefault="00B760FF">
      <w:pPr>
        <w:pStyle w:val="EndnoteText"/>
      </w:pPr>
      <w:r>
        <w:rPr>
          <w:rStyle w:val="EndnoteReference"/>
        </w:rPr>
        <w:endnoteRef/>
      </w:r>
      <w:r>
        <w:t xml:space="preserve"> Proposed s</w:t>
      </w:r>
      <w:r w:rsidR="00D6450C">
        <w:t xml:space="preserve"> </w:t>
      </w:r>
      <w:r w:rsidR="003D35A0">
        <w:t>9.</w:t>
      </w:r>
    </w:p>
  </w:endnote>
  <w:endnote w:id="12">
    <w:p w14:paraId="1E284761" w14:textId="2F55310C" w:rsidR="00CC63D5" w:rsidRDefault="00CC63D5">
      <w:pPr>
        <w:pStyle w:val="EndnoteText"/>
      </w:pPr>
      <w:r>
        <w:rPr>
          <w:rStyle w:val="EndnoteReference"/>
        </w:rPr>
        <w:endnoteRef/>
      </w:r>
      <w:r>
        <w:t xml:space="preserve"> Proposed s102(a)(i) and (ii).</w:t>
      </w:r>
    </w:p>
  </w:endnote>
  <w:endnote w:id="13">
    <w:p w14:paraId="3BBDCC75" w14:textId="6A6EBB86" w:rsidR="00806942" w:rsidRDefault="00806942" w:rsidP="00DB3059">
      <w:pPr>
        <w:pStyle w:val="EndnoteText"/>
      </w:pPr>
      <w:r>
        <w:rPr>
          <w:rStyle w:val="EndnoteReference"/>
        </w:rPr>
        <w:endnoteRef/>
      </w:r>
      <w:r>
        <w:t xml:space="preserve"> </w:t>
      </w:r>
      <w:r w:rsidR="006C024A">
        <w:t xml:space="preserve">United Nations Subcommittee on Prevention of Torture and Other Cruel, Inhuman or Degrading Treatment or Punishment, </w:t>
      </w:r>
      <w:r w:rsidR="00DB3059" w:rsidRPr="001E6CE9">
        <w:rPr>
          <w:i/>
          <w:iCs/>
        </w:rPr>
        <w:t xml:space="preserve">Guidelines of the Subcommittee on Prevention of Torture and Other Cruel, Inhuman or Degrading Treatment or Punishment in relation to visits to States parties under article 11 (a) of the Optional Protocol, </w:t>
      </w:r>
      <w:r w:rsidR="001E6CE9" w:rsidRPr="001E6CE9">
        <w:rPr>
          <w:i/>
          <w:iCs/>
        </w:rPr>
        <w:t>CAT/OP/5</w:t>
      </w:r>
      <w:r w:rsidR="001E6CE9">
        <w:rPr>
          <w:i/>
          <w:iCs/>
        </w:rPr>
        <w:t xml:space="preserve">, </w:t>
      </w:r>
      <w:r w:rsidR="001E6CE9" w:rsidRPr="001E6CE9">
        <w:t>4 February 2015</w:t>
      </w:r>
      <w:r w:rsidR="001E6CE9">
        <w:t xml:space="preserve"> [27] </w:t>
      </w:r>
      <w:hyperlink r:id="rId7" w:history="1">
        <w:r w:rsidR="00E250F5" w:rsidRPr="00F2303D">
          <w:rPr>
            <w:rStyle w:val="Hyperlink"/>
          </w:rPr>
          <w:t>https://docstore.ohchr.org/SelfServices/FilesHandler.ashx?enc=6QkG1d%2FPPRiCAqhKb7yhspBWXPdWhQqJYvyJvHUnwYTNUa95ebIVInneJ3MWTd20LX%2BU0Q4IfaZ9lpVJ%2FKvxfMha1rxo4Rqlz%2BhcUdbalLU%3D</w:t>
        </w:r>
      </w:hyperlink>
      <w:r w:rsidR="00E250F5">
        <w:t xml:space="preserve"> </w:t>
      </w:r>
    </w:p>
  </w:endnote>
  <w:endnote w:id="14">
    <w:p w14:paraId="2314E5B6" w14:textId="2A4B48AC" w:rsidR="00D476A8" w:rsidRDefault="00D476A8">
      <w:pPr>
        <w:pStyle w:val="EndnoteText"/>
      </w:pPr>
      <w:r>
        <w:rPr>
          <w:rStyle w:val="EndnoteReference"/>
        </w:rPr>
        <w:endnoteRef/>
      </w:r>
      <w:r>
        <w:t xml:space="preserve"> Proposed s</w:t>
      </w:r>
      <w:r w:rsidR="00D6450C">
        <w:t xml:space="preserve"> </w:t>
      </w:r>
      <w:r>
        <w:t>14.</w:t>
      </w:r>
    </w:p>
  </w:endnote>
  <w:endnote w:id="15">
    <w:p w14:paraId="26CAFAE2" w14:textId="5C5CA22F" w:rsidR="003A6E0A" w:rsidRDefault="003A6E0A" w:rsidP="003A6E0A">
      <w:pPr>
        <w:pStyle w:val="EndnoteText"/>
      </w:pPr>
      <w:r>
        <w:rPr>
          <w:rStyle w:val="EndnoteReference"/>
        </w:rPr>
        <w:endnoteRef/>
      </w:r>
      <w:r>
        <w:t xml:space="preserve"> </w:t>
      </w:r>
      <w:r w:rsidRPr="003A6E0A">
        <w:rPr>
          <w:i/>
          <w:iCs/>
        </w:rPr>
        <w:t>Monitoring of Places of Detention by the United Nations Subcommittee on Prevention of Torture (OPCAT) Act 2022</w:t>
      </w:r>
      <w:r>
        <w:t xml:space="preserve"> (Vic)</w:t>
      </w:r>
      <w:r w:rsidR="00C74B3D">
        <w:t>, s</w:t>
      </w:r>
      <w:r w:rsidR="00D6450C">
        <w:t xml:space="preserve"> </w:t>
      </w:r>
      <w:r w:rsidR="00C74B3D">
        <w:t>13.</w:t>
      </w:r>
    </w:p>
  </w:endnote>
  <w:endnote w:id="16">
    <w:p w14:paraId="0941975E" w14:textId="216DAC69" w:rsidR="008A755C" w:rsidRDefault="008A755C" w:rsidP="008A755C">
      <w:pPr>
        <w:pStyle w:val="EndnoteText"/>
      </w:pPr>
      <w:r>
        <w:rPr>
          <w:rStyle w:val="EndnoteReference"/>
        </w:rPr>
        <w:endnoteRef/>
      </w:r>
      <w:r>
        <w:t xml:space="preserve"> Proposed s</w:t>
      </w:r>
      <w:r w:rsidR="00D6450C">
        <w:t xml:space="preserve"> </w:t>
      </w:r>
      <w:r>
        <w:t>13(1).</w:t>
      </w:r>
    </w:p>
  </w:endnote>
  <w:endnote w:id="17">
    <w:p w14:paraId="72DFAF52" w14:textId="77777777" w:rsidR="00C1706C" w:rsidRDefault="00C1706C" w:rsidP="00C1706C">
      <w:pPr>
        <w:pStyle w:val="EndnoteText"/>
      </w:pPr>
      <w:r>
        <w:rPr>
          <w:rStyle w:val="EndnoteReference"/>
        </w:rPr>
        <w:endnoteRef/>
      </w:r>
      <w:r>
        <w:t xml:space="preserve"> United Nations Subcommittee on Prevention of Torture and Other Cruel, Inhuman or Degrading Treatment or Punishment, </w:t>
      </w:r>
      <w:r w:rsidRPr="00F448E6">
        <w:rPr>
          <w:i/>
          <w:iCs/>
        </w:rPr>
        <w:t>Obligations of States parties to the Optional Protocol to the Convention against Torture and Other Cruel, Inhuman or Degrading Treatment or Punishment to facilitate the visits of the Subcommittee on Prevention of Torture and Other Cruel, Inhuman or Degrading Treatment or Punishment: Statement adopted by the Subcommittee on Prevention of Torture and Other Cruel, Inhuman or Degrading Treatment or Punishment at its twenty-forth session (17–21 November 2014) CAT/OP/24/1</w:t>
      </w:r>
      <w:r>
        <w:rPr>
          <w:i/>
          <w:iCs/>
        </w:rPr>
        <w:t xml:space="preserve">, </w:t>
      </w:r>
      <w:r>
        <w:t xml:space="preserve">09 December 2014 [2] </w:t>
      </w:r>
      <w:hyperlink r:id="rId8" w:history="1">
        <w:r w:rsidRPr="00981E0E">
          <w:rPr>
            <w:rStyle w:val="Hyperlink"/>
          </w:rPr>
          <w:t>https://docstore.ohchr.org/SelfServices/FilesHandler.ashx?enc=6QkG1d%2FPPRiCAqhKb7yhsjnEml3pVQ0icfTjppmRXmgbQREsSgOr7iT08SZNvzwjQVMWVgLlFiCbdJZdFma%2B0HRbC3uXqct4Esgj13s2JTG7s4q2jtxBNuU8zQdohmHx</w:t>
        </w:r>
      </w:hyperlink>
      <w:r>
        <w:t xml:space="preserve">  </w:t>
      </w:r>
    </w:p>
  </w:endnote>
  <w:endnote w:id="18">
    <w:p w14:paraId="7F9FB89A" w14:textId="40B0DB01" w:rsidR="007670AB" w:rsidRDefault="007670AB">
      <w:pPr>
        <w:pStyle w:val="EndnoteText"/>
      </w:pPr>
      <w:r>
        <w:rPr>
          <w:rStyle w:val="EndnoteReference"/>
        </w:rPr>
        <w:endnoteRef/>
      </w:r>
      <w:r>
        <w:t xml:space="preserve"> Article 11 (iii), 12(b) and 14(b), OPCAT</w:t>
      </w:r>
    </w:p>
  </w:endnote>
  <w:endnote w:id="19">
    <w:p w14:paraId="64763313" w14:textId="054DF177" w:rsidR="00246575" w:rsidRDefault="00246575">
      <w:pPr>
        <w:pStyle w:val="EndnoteText"/>
      </w:pPr>
      <w:r>
        <w:rPr>
          <w:rStyle w:val="EndnoteReference"/>
        </w:rPr>
        <w:endnoteRef/>
      </w:r>
      <w:r>
        <w:t xml:space="preserve"> </w:t>
      </w:r>
      <w:r w:rsidR="00F015BB">
        <w:t>Article 15, OPCAT.</w:t>
      </w:r>
    </w:p>
  </w:endnote>
  <w:endnote w:id="20">
    <w:p w14:paraId="75AEF791" w14:textId="4A80230A" w:rsidR="00415724" w:rsidRDefault="00415724" w:rsidP="00E97353">
      <w:pPr>
        <w:pStyle w:val="EndnoteText"/>
      </w:pPr>
      <w:r>
        <w:rPr>
          <w:rStyle w:val="EndnoteReference"/>
        </w:rPr>
        <w:endnoteRef/>
      </w:r>
      <w:r>
        <w:t xml:space="preserve"> </w:t>
      </w:r>
      <w:r w:rsidR="00E97353">
        <w:t xml:space="preserve">United Nations Subcommittee on Prevention of Torture and Other Cruel, Inhuman or Degrading Treatment or Punishment, </w:t>
      </w:r>
      <w:r w:rsidR="00E97353" w:rsidRPr="00B248CF">
        <w:rPr>
          <w:i/>
          <w:iCs/>
        </w:rPr>
        <w:t>Policy of the Subcommittee on Prevention of Torture and Other Cruel, Inhuman or Degrading Treatment or Punishment on reprisals in relation to its visiting mandate</w:t>
      </w:r>
      <w:r w:rsidR="00B248CF" w:rsidRPr="00B248CF">
        <w:rPr>
          <w:i/>
          <w:iCs/>
        </w:rPr>
        <w:t xml:space="preserve"> CAT/OP/6/Rev.1</w:t>
      </w:r>
      <w:r w:rsidR="00B248CF">
        <w:t>, 13 May 2016</w:t>
      </w:r>
      <w:r w:rsidR="00C20640">
        <w:t xml:space="preserve"> [19] </w:t>
      </w:r>
      <w:hyperlink r:id="rId9" w:history="1">
        <w:r w:rsidR="00C1706C" w:rsidRPr="00981E0E">
          <w:rPr>
            <w:rStyle w:val="Hyperlink"/>
          </w:rPr>
          <w:t>https://docstore.ohchr.org/SelfServices/FilesHandler.ashx?enc=6QkG1d%2FPPRiCAqhKb7yhsqHOQYAKuTnYaAWoeAID%2BPTkfdDvxgIp1zLftO2g5%2BGMy7yB7pEB4C3YneAVVY%2BV%2FuXMRBsRFXHfi7TuhfCBw%2FTruLPE6iFXvrMt%2Bwvef923</w:t>
        </w:r>
      </w:hyperlink>
      <w:r w:rsidR="00C1706C">
        <w:t xml:space="preserve"> </w:t>
      </w:r>
    </w:p>
  </w:endnote>
  <w:endnote w:id="21">
    <w:p w14:paraId="460F02DA" w14:textId="18269B50" w:rsidR="00C1706C" w:rsidRDefault="00C1706C">
      <w:pPr>
        <w:pStyle w:val="EndnoteText"/>
      </w:pPr>
      <w:r>
        <w:rPr>
          <w:rStyle w:val="EndnoteReference"/>
        </w:rPr>
        <w:endnoteRef/>
      </w:r>
      <w:r>
        <w:t xml:space="preserve"> United Nations Subcommittee on Prevention of Torture and Other Cruel, Inhuman or Degrading Treatment or Punishment, </w:t>
      </w:r>
      <w:r w:rsidRPr="00B248CF">
        <w:rPr>
          <w:i/>
          <w:iCs/>
        </w:rPr>
        <w:t>Policy of the Subcommittee on Prevention of Torture and Other Cruel, Inhuman or Degrading Treatment or Punishment on reprisals in relation to its visiting mandate CAT/OP/6/Rev.1</w:t>
      </w:r>
      <w:r>
        <w:t xml:space="preserve">, 13 May 2016 [10] </w:t>
      </w:r>
      <w:hyperlink r:id="rId10" w:history="1">
        <w:r w:rsidRPr="00981E0E">
          <w:rPr>
            <w:rStyle w:val="Hyperlink"/>
          </w:rPr>
          <w:t>https://docstore.ohchr.org/SelfServices/FilesHandler.ashx?enc=6QkG1d%2FPPRiCAqhKb7yhsqHOQYAKuTnYaAWoeAID%2BPTkfdDvxgIp1zLftO2g5%2BGMy7yB7pEB4C3YneAVVY%2BV%2FuXMRBsRFXHfi7TuhfCBw%2FTruLPE6iFXvrMt%2Bwvef923</w:t>
        </w:r>
      </w:hyperlink>
    </w:p>
  </w:endnote>
  <w:endnote w:id="22">
    <w:p w14:paraId="5B990EA7" w14:textId="7247627D" w:rsidR="002E1C99" w:rsidRDefault="002E1C99">
      <w:pPr>
        <w:pStyle w:val="EndnoteText"/>
      </w:pPr>
      <w:r>
        <w:rPr>
          <w:rStyle w:val="EndnoteReference"/>
        </w:rPr>
        <w:endnoteRef/>
      </w:r>
      <w:r>
        <w:t xml:space="preserve"> </w:t>
      </w:r>
      <w:r w:rsidR="00F03280">
        <w:t>Articles 17</w:t>
      </w:r>
      <w:r w:rsidR="00D6450C">
        <w:t>–</w:t>
      </w:r>
      <w:r w:rsidR="00F03280">
        <w:t>13, OPCAT.</w:t>
      </w:r>
    </w:p>
  </w:endnote>
  <w:endnote w:id="23">
    <w:p w14:paraId="4FA909EA" w14:textId="77777777" w:rsidR="001D6B58" w:rsidRPr="00872781" w:rsidRDefault="001D6B58" w:rsidP="001D6B58">
      <w:pPr>
        <w:pStyle w:val="EndnoteText"/>
        <w:rPr>
          <w:i/>
          <w:iCs/>
        </w:rPr>
      </w:pPr>
      <w:r>
        <w:rPr>
          <w:rStyle w:val="EndnoteReference"/>
        </w:rPr>
        <w:endnoteRef/>
      </w:r>
      <w:r>
        <w:t xml:space="preserve"> Queensland Parliament, </w:t>
      </w:r>
      <w:r w:rsidRPr="00872781">
        <w:rPr>
          <w:i/>
          <w:iCs/>
        </w:rPr>
        <w:t xml:space="preserve">Record Of Proceedings, First Sessions of the Fifty-Seventh Parliament  </w:t>
      </w:r>
    </w:p>
    <w:p w14:paraId="22EE2C54" w14:textId="77777777" w:rsidR="001D6B58" w:rsidRPr="00872781" w:rsidRDefault="001D6B58" w:rsidP="001D6B58">
      <w:pPr>
        <w:pStyle w:val="EndnoteText"/>
      </w:pPr>
      <w:r w:rsidRPr="00872781">
        <w:rPr>
          <w:i/>
          <w:iCs/>
        </w:rPr>
        <w:t>Thursday, 1 December 2022</w:t>
      </w:r>
      <w:r>
        <w:rPr>
          <w:i/>
          <w:iCs/>
        </w:rPr>
        <w:t xml:space="preserve">, </w:t>
      </w:r>
      <w:r>
        <w:t xml:space="preserve">[3845] </w:t>
      </w:r>
      <w:hyperlink r:id="rId11" w:anchor="page=29" w:history="1">
        <w:r w:rsidRPr="00981E0E">
          <w:rPr>
            <w:rStyle w:val="Hyperlink"/>
          </w:rPr>
          <w:t>https://documents.parliament.qld.gov.au/events/han/2022/2022_12_01_WEEKLY.pdf#page=29</w:t>
        </w:r>
      </w:hyperlink>
      <w:r>
        <w:t xml:space="preserve"> </w:t>
      </w:r>
    </w:p>
  </w:endnote>
  <w:endnote w:id="24">
    <w:p w14:paraId="201031E0" w14:textId="379A3A0A" w:rsidR="008F5347" w:rsidRDefault="008F5347">
      <w:pPr>
        <w:pStyle w:val="EndnoteText"/>
      </w:pPr>
      <w:r>
        <w:rPr>
          <w:rStyle w:val="EndnoteReference"/>
        </w:rPr>
        <w:endnoteRef/>
      </w:r>
      <w:r>
        <w:t xml:space="preserve"> United Nations </w:t>
      </w:r>
      <w:r w:rsidRPr="007171E9">
        <w:t>Committee against Torture</w:t>
      </w:r>
      <w:r>
        <w:t xml:space="preserve">, </w:t>
      </w:r>
      <w:r w:rsidRPr="00F407C1">
        <w:rPr>
          <w:i/>
          <w:iCs/>
        </w:rPr>
        <w:t>Concluding observations on the sixth periodic report of Australia CAT/C/AUS/CO/6</w:t>
      </w:r>
      <w:r>
        <w:t xml:space="preserve">, 05 December 2022 [41] </w:t>
      </w:r>
      <w:hyperlink r:id="rId12" w:history="1">
        <w:r w:rsidRPr="00981E0E">
          <w:rPr>
            <w:rStyle w:val="Hyperlink"/>
          </w:rPr>
          <w:t>https://docstore.ohchr.org/SelfServices/FilesHandler.ashx?enc=6QkG1d%2FPPRiCAqhKb7yhsoQ6oVJgGLf6YX4ROs1VbzEru4wycL%2FqQoIrzLep%2BJZyT2kIvroOhuMbJG1ioCx4Z3eXyrZ%2FkEdUDMwgHAnBoh0v9T4FjuSgv4v9weZd7XDc</w:t>
        </w:r>
      </w:hyperlink>
    </w:p>
  </w:endnote>
  <w:endnote w:id="25">
    <w:p w14:paraId="6CC0EF8D" w14:textId="1403D8F1" w:rsidR="00A60997" w:rsidRDefault="00A60997">
      <w:pPr>
        <w:pStyle w:val="EndnoteText"/>
      </w:pPr>
      <w:r>
        <w:rPr>
          <w:rStyle w:val="EndnoteReference"/>
        </w:rPr>
        <w:endnoteRef/>
      </w:r>
      <w:r>
        <w:t xml:space="preserve"> </w:t>
      </w:r>
      <w:r w:rsidR="00166688" w:rsidRPr="00166688">
        <w:t>Article 18(4)</w:t>
      </w:r>
      <w:r w:rsidR="00166688">
        <w:t xml:space="preserve">, </w:t>
      </w:r>
      <w:r w:rsidR="00166688" w:rsidRPr="00166688">
        <w:t>OPCAT</w:t>
      </w:r>
      <w:r w:rsidR="00166688">
        <w:t>.</w:t>
      </w:r>
    </w:p>
  </w:endnote>
  <w:endnote w:id="26">
    <w:p w14:paraId="1057DBEA" w14:textId="77777777" w:rsidR="00C50A1B" w:rsidRDefault="00C50A1B" w:rsidP="00C50A1B">
      <w:pPr>
        <w:pStyle w:val="EndnoteText"/>
      </w:pPr>
      <w:r>
        <w:rPr>
          <w:rStyle w:val="EndnoteReference"/>
        </w:rPr>
        <w:endnoteRef/>
      </w:r>
      <w:r>
        <w:t xml:space="preserve"> Australian Human Rights Commission, </w:t>
      </w:r>
      <w:r w:rsidRPr="00882661">
        <w:rPr>
          <w:i/>
          <w:iCs/>
        </w:rPr>
        <w:t>Implementing OPCAT in Australia</w:t>
      </w:r>
      <w:r>
        <w:t xml:space="preserve">, 29 June 2020, p 55 </w:t>
      </w:r>
      <w:hyperlink r:id="rId13" w:history="1">
        <w:r w:rsidRPr="00817122">
          <w:rPr>
            <w:rStyle w:val="Hyperlink"/>
          </w:rPr>
          <w:t>https://humanrights.gov.au/our-work/rights-and-freedoms/publications/implementing-opcat-australia-2020</w:t>
        </w:r>
      </w:hyperlink>
    </w:p>
  </w:endnote>
  <w:endnote w:id="27">
    <w:p w14:paraId="159C5283" w14:textId="4C352F1B" w:rsidR="00C50A1B" w:rsidRDefault="00C50A1B" w:rsidP="00C50A1B">
      <w:pPr>
        <w:pStyle w:val="EndnoteText"/>
      </w:pPr>
      <w:r>
        <w:rPr>
          <w:rStyle w:val="EndnoteReference"/>
        </w:rPr>
        <w:endnoteRef/>
      </w:r>
      <w:r>
        <w:t xml:space="preserve"> Article 19(2), OPCAT</w:t>
      </w:r>
      <w:r w:rsidR="00413A7B">
        <w:t>.</w:t>
      </w:r>
    </w:p>
  </w:endnote>
  <w:endnote w:id="28">
    <w:p w14:paraId="29162F67" w14:textId="2F5CFFC4" w:rsidR="00C50A1B" w:rsidRDefault="00C50A1B" w:rsidP="00C50A1B">
      <w:pPr>
        <w:pStyle w:val="EndnoteText"/>
      </w:pPr>
      <w:r>
        <w:rPr>
          <w:rStyle w:val="EndnoteReference"/>
        </w:rPr>
        <w:endnoteRef/>
      </w:r>
      <w:r>
        <w:t xml:space="preserve"> Articles </w:t>
      </w:r>
      <w:r w:rsidRPr="001D3C93">
        <w:t>12(a), 14(c)</w:t>
      </w:r>
      <w:r>
        <w:t xml:space="preserve">, 19(a), </w:t>
      </w:r>
      <w:r w:rsidRPr="001D3C93">
        <w:t>20(c)</w:t>
      </w:r>
      <w:r>
        <w:t xml:space="preserve"> and 20(d), OPCAT</w:t>
      </w:r>
      <w:r w:rsidR="00413A7B">
        <w:t>.</w:t>
      </w:r>
    </w:p>
  </w:endnote>
  <w:endnote w:id="29">
    <w:p w14:paraId="532544A7" w14:textId="2F732D27" w:rsidR="00C50A1B" w:rsidRDefault="00C50A1B" w:rsidP="00C50A1B">
      <w:pPr>
        <w:pStyle w:val="EndnoteText"/>
      </w:pPr>
      <w:r>
        <w:rPr>
          <w:rStyle w:val="EndnoteReference"/>
        </w:rPr>
        <w:endnoteRef/>
      </w:r>
      <w:r>
        <w:t xml:space="preserve"> Articles 19(c) and 23, OPCAT;</w:t>
      </w:r>
      <w:r w:rsidR="00413A7B">
        <w:t xml:space="preserve"> </w:t>
      </w:r>
      <w:r>
        <w:t xml:space="preserve">See also Australian Human Rights Commission, </w:t>
      </w:r>
      <w:r w:rsidRPr="00882661">
        <w:rPr>
          <w:i/>
          <w:iCs/>
        </w:rPr>
        <w:t>Implementing OPCAT in Australia</w:t>
      </w:r>
      <w:r>
        <w:t>, 29 June 2020, 29</w:t>
      </w:r>
      <w:r w:rsidR="00D6450C">
        <w:t>–</w:t>
      </w:r>
      <w:r>
        <w:t xml:space="preserve">31 and 36 </w:t>
      </w:r>
      <w:hyperlink r:id="rId14" w:history="1">
        <w:r w:rsidRPr="00817122">
          <w:rPr>
            <w:rStyle w:val="Hyperlink"/>
          </w:rPr>
          <w:t>https://humanrights.gov.au/our-work/rights-and-freedoms/publications/implementing-opcat-australia-2020</w:t>
        </w:r>
      </w:hyperlink>
      <w:r>
        <w:rPr>
          <w:rStyle w:val="Hyperlink"/>
        </w:rPr>
        <w:t>.</w:t>
      </w:r>
      <w:r>
        <w:t xml:space="preserve"> While OPCAT does not expressly require NPMs to publish reports of their visits, or recommendations to government, it does require States Parties to publish annual reports. The Commission considers that all reporting by the NPMs should be made public. </w:t>
      </w:r>
      <w:r w:rsidR="00415AA7">
        <w:t>T</w:t>
      </w:r>
      <w:r>
        <w:t xml:space="preserve">ransparency </w:t>
      </w:r>
      <w:r w:rsidR="00415AA7">
        <w:t>with respect to the operation of NPMs</w:t>
      </w:r>
      <w:r>
        <w:t xml:space="preserve"> is an important mechanism to ensure accountability, both of the NPM and authorities for places of detention. Reporting should therefore be regular and comprehensive.</w:t>
      </w:r>
    </w:p>
  </w:endnote>
  <w:endnote w:id="30">
    <w:p w14:paraId="57C7AA63" w14:textId="3F7E929F" w:rsidR="00C50A1B" w:rsidRDefault="00C50A1B" w:rsidP="00C50A1B">
      <w:pPr>
        <w:pStyle w:val="EndnoteText"/>
      </w:pPr>
      <w:r>
        <w:rPr>
          <w:rStyle w:val="EndnoteReference"/>
        </w:rPr>
        <w:endnoteRef/>
      </w:r>
      <w:r>
        <w:t xml:space="preserve"> Article 18(1), OPCAT</w:t>
      </w:r>
      <w:r w:rsidR="00413A7B">
        <w:t>.</w:t>
      </w:r>
    </w:p>
  </w:endnote>
  <w:endnote w:id="31">
    <w:p w14:paraId="38C9DC07" w14:textId="1210D2BE" w:rsidR="0009745A" w:rsidRDefault="0009745A">
      <w:pPr>
        <w:pStyle w:val="EndnoteText"/>
      </w:pPr>
      <w:r>
        <w:rPr>
          <w:rStyle w:val="EndnoteReference"/>
        </w:rPr>
        <w:endnoteRef/>
      </w:r>
      <w:r>
        <w:t xml:space="preserve"> </w:t>
      </w:r>
      <w:r w:rsidR="00522474">
        <w:t xml:space="preserve">Australian Human Rights Commission, </w:t>
      </w:r>
      <w:r w:rsidR="00522474" w:rsidRPr="00001BCC">
        <w:rPr>
          <w:i/>
          <w:iCs/>
        </w:rPr>
        <w:t>Road</w:t>
      </w:r>
      <w:r w:rsidR="00522474">
        <w:rPr>
          <w:i/>
          <w:iCs/>
        </w:rPr>
        <w:t xml:space="preserve"> M</w:t>
      </w:r>
      <w:r w:rsidR="00522474" w:rsidRPr="00001BCC">
        <w:rPr>
          <w:i/>
          <w:iCs/>
        </w:rPr>
        <w:t>ap to OPCAT Compliance</w:t>
      </w:r>
      <w:r w:rsidR="00522474">
        <w:rPr>
          <w:i/>
          <w:iCs/>
        </w:rPr>
        <w:t xml:space="preserve">, </w:t>
      </w:r>
      <w:r w:rsidR="00522474">
        <w:t>17 October 2022, 12</w:t>
      </w:r>
      <w:r w:rsidR="00D6450C">
        <w:t>–</w:t>
      </w:r>
      <w:r w:rsidR="00522474">
        <w:t xml:space="preserve">15 </w:t>
      </w:r>
      <w:hyperlink r:id="rId15" w:history="1">
        <w:r w:rsidR="00522474" w:rsidRPr="00981E0E">
          <w:rPr>
            <w:rStyle w:val="Hyperlink"/>
          </w:rPr>
          <w:t>https://humanrights.gov.au/sites/default/files/opcat_road_map_0.pdf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0713" w14:textId="77777777" w:rsidR="00AC636D" w:rsidRPr="000465F1" w:rsidRDefault="00AC636D" w:rsidP="000465F1">
    <w:pPr>
      <w:pStyle w:val="Footer"/>
    </w:pPr>
    <w:r w:rsidRPr="000465F1">
      <w:t>ABN 47 996 232 602</w:t>
    </w:r>
  </w:p>
  <w:p w14:paraId="580A3679" w14:textId="77777777" w:rsidR="00AC636D" w:rsidRPr="000465F1" w:rsidRDefault="00AC636D" w:rsidP="000465F1">
    <w:pPr>
      <w:pStyle w:val="Footer"/>
    </w:pPr>
    <w:r w:rsidRPr="000465F1">
      <w:t>GPO Box 5218, Sydney NSW 2001</w:t>
    </w:r>
  </w:p>
  <w:p w14:paraId="1AD8A03E" w14:textId="77777777" w:rsidR="00AC636D" w:rsidRPr="000465F1" w:rsidRDefault="00AC636D" w:rsidP="000465F1">
    <w:pPr>
      <w:pStyle w:val="Footer"/>
    </w:pPr>
    <w:r w:rsidRPr="000465F1">
      <w:t>General enquiries 1300 369 711</w:t>
    </w:r>
  </w:p>
  <w:p w14:paraId="03882DAA" w14:textId="77777777" w:rsidR="00AC636D" w:rsidRPr="000465F1" w:rsidRDefault="00990B81" w:rsidP="000465F1">
    <w:pPr>
      <w:pStyle w:val="Footer"/>
    </w:pPr>
    <w:r>
      <w:t>National Info Service</w:t>
    </w:r>
    <w:r w:rsidR="00AC636D" w:rsidRPr="000465F1">
      <w:t xml:space="preserve"> 1300 656 419</w:t>
    </w:r>
  </w:p>
  <w:p w14:paraId="1A4C7CA5"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3A50"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7974"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53D"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8E78F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F149" w14:textId="77777777" w:rsidR="00AD2C34" w:rsidRDefault="00AD2C34" w:rsidP="00F14C6D">
      <w:r>
        <w:separator/>
      </w:r>
    </w:p>
  </w:footnote>
  <w:footnote w:type="continuationSeparator" w:id="0">
    <w:p w14:paraId="586E14DF" w14:textId="77777777" w:rsidR="00AD2C34" w:rsidRDefault="00AD2C34" w:rsidP="00F14C6D">
      <w:r>
        <w:continuationSeparator/>
      </w:r>
    </w:p>
  </w:footnote>
  <w:footnote w:type="continuationNotice" w:id="1">
    <w:p w14:paraId="37EF5516" w14:textId="77777777" w:rsidR="009A54CE" w:rsidRDefault="009A54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7317" w14:textId="77777777" w:rsidR="00BF6406" w:rsidRPr="000465F1" w:rsidRDefault="006D377F" w:rsidP="000465F1">
    <w:pPr>
      <w:pStyle w:val="Header"/>
    </w:pPr>
    <w:r>
      <w:pict w14:anchorId="5B021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17A8F274"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C6E9" w14:textId="77777777" w:rsidR="00B34946" w:rsidRPr="000465F1" w:rsidRDefault="006D377F" w:rsidP="000465F1">
    <w:r>
      <w:pict w14:anchorId="7B41F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6C6AC2F7"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3C55" w14:textId="77777777" w:rsidR="00CC2AA0" w:rsidRDefault="006D377F" w:rsidP="002012F7">
    <w:pPr>
      <w:pStyle w:val="Header"/>
    </w:pPr>
    <w:r>
      <w:pict w14:anchorId="2BE21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1CAB3B40">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11824460" w14:textId="77777777" w:rsidR="008B3899" w:rsidRDefault="008B3899" w:rsidP="002012F7">
    <w:pPr>
      <w:pStyle w:val="Header"/>
    </w:pPr>
  </w:p>
  <w:p w14:paraId="4D85D2E4"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A6E7" w14:textId="77777777" w:rsidR="00B00AD5" w:rsidRPr="000465F1" w:rsidRDefault="00B00AD5" w:rsidP="00B00AD5">
    <w:pPr>
      <w:pStyle w:val="Header"/>
    </w:pPr>
    <w:r w:rsidRPr="000465F1">
      <w:t>Australian Human Rights Commission</w:t>
    </w:r>
  </w:p>
  <w:p w14:paraId="7E45BA37" w14:textId="2793F190" w:rsidR="00B00AD5" w:rsidRDefault="00642A54" w:rsidP="00B00AD5">
    <w:pPr>
      <w:pStyle w:val="HeaderDocumentDate"/>
    </w:pPr>
    <w:r w:rsidRPr="00642A54">
      <w:rPr>
        <w:rStyle w:val="HeaderDocumentTitle"/>
      </w:rPr>
      <w:t>Monitoring of Places of Detention (Optional Protocol to the Convention Against Torture) Bill 2022</w:t>
    </w:r>
    <w:r>
      <w:rPr>
        <w:rStyle w:val="HeaderDocumentTitle"/>
      </w:rPr>
      <w:t xml:space="preserve"> </w:t>
    </w:r>
    <w:r w:rsidR="00B06643">
      <w:t>09</w:t>
    </w:r>
    <w:r w:rsidR="0094363A">
      <w:t xml:space="preserve"> </w:t>
    </w:r>
    <w:r>
      <w:t>Janu</w:t>
    </w:r>
    <w:r w:rsidR="00B00AD5">
      <w:t>ary 202</w:t>
    </w:r>
    <w:r>
      <w:t>3</w:t>
    </w:r>
  </w:p>
  <w:p w14:paraId="653E4D9B" w14:textId="77777777" w:rsidR="00045466" w:rsidRPr="000465F1" w:rsidRDefault="00045466"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B8A" w14:textId="77777777" w:rsidR="00B00AD5" w:rsidRPr="000465F1" w:rsidRDefault="00B00AD5" w:rsidP="00B00AD5">
    <w:pPr>
      <w:pStyle w:val="Header"/>
    </w:pPr>
    <w:r w:rsidRPr="000465F1">
      <w:t>Australian Human Rights Commission</w:t>
    </w:r>
  </w:p>
  <w:p w14:paraId="2D90B64E" w14:textId="3B7069C8" w:rsidR="00B00AD5" w:rsidRDefault="00642A54" w:rsidP="00B00AD5">
    <w:pPr>
      <w:pStyle w:val="HeaderDocumentDate"/>
    </w:pPr>
    <w:r w:rsidRPr="00642A54">
      <w:rPr>
        <w:rStyle w:val="HeaderDocumentTitle"/>
      </w:rPr>
      <w:t>Monitoring of Places of Detention (Optional Protocol to the Convention Against Torture) Bill 2022</w:t>
    </w:r>
    <w:r>
      <w:rPr>
        <w:rStyle w:val="HeaderDocumentTitle"/>
      </w:rPr>
      <w:t xml:space="preserve"> </w:t>
    </w:r>
    <w:r w:rsidR="00B06643">
      <w:t>09</w:t>
    </w:r>
    <w:r w:rsidR="00B41CE3">
      <w:t xml:space="preserve"> </w:t>
    </w:r>
    <w:r>
      <w:t>Janua</w:t>
    </w:r>
    <w:r w:rsidR="00B00AD5">
      <w:t>ry 202</w:t>
    </w:r>
    <w:r>
      <w:t>3</w:t>
    </w:r>
  </w:p>
  <w:p w14:paraId="459AF1EE" w14:textId="77777777" w:rsidR="00045466" w:rsidRPr="000465F1" w:rsidRDefault="0004546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F82" w14:textId="77777777" w:rsidR="0063009F" w:rsidRPr="000465F1" w:rsidRDefault="0063009F" w:rsidP="0063009F">
    <w:pPr>
      <w:pStyle w:val="Header"/>
    </w:pPr>
    <w:r w:rsidRPr="000465F1">
      <w:t>Australian Human Rights Commission</w:t>
    </w:r>
  </w:p>
  <w:p w14:paraId="73112914" w14:textId="4316A9FB" w:rsidR="0063009F" w:rsidRDefault="00642A54" w:rsidP="0063009F">
    <w:pPr>
      <w:pStyle w:val="HeaderDocumentDate"/>
    </w:pPr>
    <w:r w:rsidRPr="00642A54">
      <w:rPr>
        <w:rStyle w:val="HeaderDocumentTitle"/>
      </w:rPr>
      <w:t>Monitoring of Places of Detention (Optional Protocol to the Convention Against Torture) Bill 2022</w:t>
    </w:r>
    <w:r>
      <w:rPr>
        <w:rStyle w:val="HeaderDocumentTitle"/>
      </w:rPr>
      <w:t xml:space="preserve"> </w:t>
    </w:r>
    <w:r w:rsidR="00B06643">
      <w:t>09</w:t>
    </w:r>
    <w:r w:rsidR="00B41CE3">
      <w:t xml:space="preserve"> </w:t>
    </w:r>
    <w:r>
      <w:t>January</w:t>
    </w:r>
    <w:r w:rsidR="00B81CC6">
      <w:t xml:space="preserve"> 202</w:t>
    </w:r>
    <w:r w:rsidR="00B00AD5">
      <w:t>2</w:t>
    </w:r>
  </w:p>
  <w:p w14:paraId="06DC400E" w14:textId="77777777" w:rsidR="00045466" w:rsidRPr="000465F1" w:rsidRDefault="00045466"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A7E0A"/>
    <w:lvl w:ilvl="0">
      <w:start w:val="1"/>
      <w:numFmt w:val="decimal"/>
      <w:pStyle w:val="ListNumber"/>
      <w:lvlText w:val="%1."/>
      <w:lvlJc w:val="left"/>
      <w:pPr>
        <w:tabs>
          <w:tab w:val="num" w:pos="785"/>
        </w:tabs>
        <w:ind w:left="785"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0716100"/>
    <w:multiLevelType w:val="hybridMultilevel"/>
    <w:tmpl w:val="D9B47F7C"/>
    <w:lvl w:ilvl="0" w:tplc="4E98B34C">
      <w:start w:val="6"/>
      <w:numFmt w:val="bullet"/>
      <w:lvlText w:val=""/>
      <w:lvlJc w:val="left"/>
      <w:pPr>
        <w:ind w:left="717" w:hanging="360"/>
      </w:pPr>
      <w:rPr>
        <w:rFonts w:ascii="Symbol" w:eastAsia="MS Mincho" w:hAnsi="Symbol"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47176F1"/>
    <w:multiLevelType w:val="hybridMultilevel"/>
    <w:tmpl w:val="9E6074CE"/>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2" w15:restartNumberingAfterBreak="0">
    <w:nsid w:val="150A429B"/>
    <w:multiLevelType w:val="hybridMultilevel"/>
    <w:tmpl w:val="E57E906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08D78BF"/>
    <w:multiLevelType w:val="hybridMultilevel"/>
    <w:tmpl w:val="EFE274A6"/>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522A6623"/>
    <w:multiLevelType w:val="hybridMultilevel"/>
    <w:tmpl w:val="FB3E120A"/>
    <w:lvl w:ilvl="0" w:tplc="7248A2E6">
      <w:start w:val="1"/>
      <w:numFmt w:val="lowerLetter"/>
      <w:lvlText w:val="(%1)"/>
      <w:lvlJc w:val="left"/>
      <w:pPr>
        <w:ind w:left="360" w:hanging="360"/>
      </w:pPr>
      <w:rPr>
        <w:rFonts w:ascii="Open Sans" w:eastAsia="MS Mincho" w:hAnsi="Open Sans"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3E1812"/>
    <w:multiLevelType w:val="hybridMultilevel"/>
    <w:tmpl w:val="4242630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6DCD112F"/>
    <w:multiLevelType w:val="hybridMultilevel"/>
    <w:tmpl w:val="627A4430"/>
    <w:lvl w:ilvl="0" w:tplc="0C090001">
      <w:start w:val="1"/>
      <w:numFmt w:val="bullet"/>
      <w:lvlText w:val=""/>
      <w:lvlJc w:val="left"/>
      <w:pPr>
        <w:ind w:left="882" w:hanging="360"/>
      </w:pPr>
      <w:rPr>
        <w:rFonts w:ascii="Symbol" w:hAnsi="Symbol" w:hint="default"/>
      </w:rPr>
    </w:lvl>
    <w:lvl w:ilvl="1" w:tplc="0C090003">
      <w:start w:val="1"/>
      <w:numFmt w:val="bullet"/>
      <w:lvlText w:val="o"/>
      <w:lvlJc w:val="left"/>
      <w:pPr>
        <w:ind w:left="1602" w:hanging="360"/>
      </w:pPr>
      <w:rPr>
        <w:rFonts w:ascii="Courier New" w:hAnsi="Courier New" w:cs="Courier New" w:hint="default"/>
      </w:rPr>
    </w:lvl>
    <w:lvl w:ilvl="2" w:tplc="0C090005">
      <w:start w:val="1"/>
      <w:numFmt w:val="bullet"/>
      <w:lvlText w:val=""/>
      <w:lvlJc w:val="left"/>
      <w:pPr>
        <w:ind w:left="2322" w:hanging="360"/>
      </w:pPr>
      <w:rPr>
        <w:rFonts w:ascii="Wingdings" w:hAnsi="Wingdings" w:hint="default"/>
      </w:rPr>
    </w:lvl>
    <w:lvl w:ilvl="3" w:tplc="0C090001" w:tentative="1">
      <w:start w:val="1"/>
      <w:numFmt w:val="bullet"/>
      <w:lvlText w:val=""/>
      <w:lvlJc w:val="left"/>
      <w:pPr>
        <w:ind w:left="3042" w:hanging="360"/>
      </w:pPr>
      <w:rPr>
        <w:rFonts w:ascii="Symbol" w:hAnsi="Symbol" w:hint="default"/>
      </w:rPr>
    </w:lvl>
    <w:lvl w:ilvl="4" w:tplc="0C090003" w:tentative="1">
      <w:start w:val="1"/>
      <w:numFmt w:val="bullet"/>
      <w:lvlText w:val="o"/>
      <w:lvlJc w:val="left"/>
      <w:pPr>
        <w:ind w:left="3762" w:hanging="360"/>
      </w:pPr>
      <w:rPr>
        <w:rFonts w:ascii="Courier New" w:hAnsi="Courier New" w:cs="Courier New" w:hint="default"/>
      </w:rPr>
    </w:lvl>
    <w:lvl w:ilvl="5" w:tplc="0C090005" w:tentative="1">
      <w:start w:val="1"/>
      <w:numFmt w:val="bullet"/>
      <w:lvlText w:val=""/>
      <w:lvlJc w:val="left"/>
      <w:pPr>
        <w:ind w:left="4482" w:hanging="360"/>
      </w:pPr>
      <w:rPr>
        <w:rFonts w:ascii="Wingdings" w:hAnsi="Wingdings" w:hint="default"/>
      </w:rPr>
    </w:lvl>
    <w:lvl w:ilvl="6" w:tplc="0C090001" w:tentative="1">
      <w:start w:val="1"/>
      <w:numFmt w:val="bullet"/>
      <w:lvlText w:val=""/>
      <w:lvlJc w:val="left"/>
      <w:pPr>
        <w:ind w:left="5202" w:hanging="360"/>
      </w:pPr>
      <w:rPr>
        <w:rFonts w:ascii="Symbol" w:hAnsi="Symbol" w:hint="default"/>
      </w:rPr>
    </w:lvl>
    <w:lvl w:ilvl="7" w:tplc="0C090003" w:tentative="1">
      <w:start w:val="1"/>
      <w:numFmt w:val="bullet"/>
      <w:lvlText w:val="o"/>
      <w:lvlJc w:val="left"/>
      <w:pPr>
        <w:ind w:left="5922" w:hanging="360"/>
      </w:pPr>
      <w:rPr>
        <w:rFonts w:ascii="Courier New" w:hAnsi="Courier New" w:cs="Courier New" w:hint="default"/>
      </w:rPr>
    </w:lvl>
    <w:lvl w:ilvl="8" w:tplc="0C090005" w:tentative="1">
      <w:start w:val="1"/>
      <w:numFmt w:val="bullet"/>
      <w:lvlText w:val=""/>
      <w:lvlJc w:val="left"/>
      <w:pPr>
        <w:ind w:left="6642" w:hanging="360"/>
      </w:pPr>
      <w:rPr>
        <w:rFonts w:ascii="Wingdings" w:hAnsi="Wingdings" w:hint="default"/>
      </w:rPr>
    </w:lvl>
  </w:abstractNum>
  <w:num w:numId="1" w16cid:durableId="279342318">
    <w:abstractNumId w:val="16"/>
  </w:num>
  <w:num w:numId="2" w16cid:durableId="549340147">
    <w:abstractNumId w:val="9"/>
  </w:num>
  <w:num w:numId="3" w16cid:durableId="673383969">
    <w:abstractNumId w:val="7"/>
  </w:num>
  <w:num w:numId="4" w16cid:durableId="911085369">
    <w:abstractNumId w:val="6"/>
  </w:num>
  <w:num w:numId="5" w16cid:durableId="1196431399">
    <w:abstractNumId w:val="5"/>
  </w:num>
  <w:num w:numId="6" w16cid:durableId="367534151">
    <w:abstractNumId w:val="4"/>
  </w:num>
  <w:num w:numId="7" w16cid:durableId="1860046116">
    <w:abstractNumId w:val="8"/>
  </w:num>
  <w:num w:numId="8" w16cid:durableId="1273365860">
    <w:abstractNumId w:val="1"/>
  </w:num>
  <w:num w:numId="9" w16cid:durableId="1413119536">
    <w:abstractNumId w:val="0"/>
  </w:num>
  <w:num w:numId="10" w16cid:durableId="959459480">
    <w:abstractNumId w:val="3"/>
  </w:num>
  <w:num w:numId="11" w16cid:durableId="517159428">
    <w:abstractNumId w:val="2"/>
  </w:num>
  <w:num w:numId="12" w16cid:durableId="1368797927">
    <w:abstractNumId w:val="17"/>
  </w:num>
  <w:num w:numId="13" w16cid:durableId="1910379236">
    <w:abstractNumId w:val="15"/>
  </w:num>
  <w:num w:numId="14" w16cid:durableId="160704773">
    <w:abstractNumId w:val="14"/>
  </w:num>
  <w:num w:numId="15" w16cid:durableId="2045132765">
    <w:abstractNumId w:val="13"/>
  </w:num>
  <w:num w:numId="16" w16cid:durableId="32849699">
    <w:abstractNumId w:val="10"/>
  </w:num>
  <w:num w:numId="17" w16cid:durableId="1367020053">
    <w:abstractNumId w:val="18"/>
  </w:num>
  <w:num w:numId="18" w16cid:durableId="1905556315">
    <w:abstractNumId w:val="21"/>
  </w:num>
  <w:num w:numId="19" w16cid:durableId="1103064385">
    <w:abstractNumId w:val="19"/>
  </w:num>
  <w:num w:numId="20" w16cid:durableId="1483307306">
    <w:abstractNumId w:val="20"/>
  </w:num>
  <w:num w:numId="21" w16cid:durableId="1911186046">
    <w:abstractNumId w:val="11"/>
  </w:num>
  <w:num w:numId="22" w16cid:durableId="78330774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8B"/>
    <w:rsid w:val="000015C5"/>
    <w:rsid w:val="000015EC"/>
    <w:rsid w:val="00001BCC"/>
    <w:rsid w:val="00002923"/>
    <w:rsid w:val="00003DCD"/>
    <w:rsid w:val="00003EA5"/>
    <w:rsid w:val="0000528D"/>
    <w:rsid w:val="00005751"/>
    <w:rsid w:val="0001257E"/>
    <w:rsid w:val="00013585"/>
    <w:rsid w:val="000161C2"/>
    <w:rsid w:val="00020232"/>
    <w:rsid w:val="00020356"/>
    <w:rsid w:val="00020EE6"/>
    <w:rsid w:val="00022396"/>
    <w:rsid w:val="00023DDF"/>
    <w:rsid w:val="00023FB4"/>
    <w:rsid w:val="0002476A"/>
    <w:rsid w:val="00024B47"/>
    <w:rsid w:val="00025367"/>
    <w:rsid w:val="00027522"/>
    <w:rsid w:val="000316F0"/>
    <w:rsid w:val="0003240C"/>
    <w:rsid w:val="0003303C"/>
    <w:rsid w:val="00033132"/>
    <w:rsid w:val="0003362B"/>
    <w:rsid w:val="00033672"/>
    <w:rsid w:val="00034BEC"/>
    <w:rsid w:val="00035F3A"/>
    <w:rsid w:val="00036BE4"/>
    <w:rsid w:val="00037E52"/>
    <w:rsid w:val="000401E9"/>
    <w:rsid w:val="0004052E"/>
    <w:rsid w:val="00040D3E"/>
    <w:rsid w:val="0004214A"/>
    <w:rsid w:val="00042553"/>
    <w:rsid w:val="000428F7"/>
    <w:rsid w:val="000430B8"/>
    <w:rsid w:val="00045466"/>
    <w:rsid w:val="00045712"/>
    <w:rsid w:val="00045C4B"/>
    <w:rsid w:val="000465F1"/>
    <w:rsid w:val="000478CC"/>
    <w:rsid w:val="0005024D"/>
    <w:rsid w:val="0005099F"/>
    <w:rsid w:val="00051026"/>
    <w:rsid w:val="00051573"/>
    <w:rsid w:val="00051AE6"/>
    <w:rsid w:val="00051C5E"/>
    <w:rsid w:val="0005366D"/>
    <w:rsid w:val="00054D8C"/>
    <w:rsid w:val="00054E90"/>
    <w:rsid w:val="00054F7B"/>
    <w:rsid w:val="00055B84"/>
    <w:rsid w:val="00055D71"/>
    <w:rsid w:val="000574A5"/>
    <w:rsid w:val="0005795F"/>
    <w:rsid w:val="000579B1"/>
    <w:rsid w:val="00060612"/>
    <w:rsid w:val="00060BE3"/>
    <w:rsid w:val="00061C6C"/>
    <w:rsid w:val="00061D2A"/>
    <w:rsid w:val="000623B7"/>
    <w:rsid w:val="00062F25"/>
    <w:rsid w:val="000637D1"/>
    <w:rsid w:val="00064613"/>
    <w:rsid w:val="00065483"/>
    <w:rsid w:val="00065ECD"/>
    <w:rsid w:val="00065F25"/>
    <w:rsid w:val="0006666E"/>
    <w:rsid w:val="00066C68"/>
    <w:rsid w:val="000676AD"/>
    <w:rsid w:val="00072EDA"/>
    <w:rsid w:val="00076293"/>
    <w:rsid w:val="000777D1"/>
    <w:rsid w:val="0008009E"/>
    <w:rsid w:val="000803C1"/>
    <w:rsid w:val="00084901"/>
    <w:rsid w:val="00086D9C"/>
    <w:rsid w:val="00087202"/>
    <w:rsid w:val="0008749C"/>
    <w:rsid w:val="000901BC"/>
    <w:rsid w:val="0009084A"/>
    <w:rsid w:val="00090DBB"/>
    <w:rsid w:val="00090FB0"/>
    <w:rsid w:val="00091C0E"/>
    <w:rsid w:val="0009201B"/>
    <w:rsid w:val="000942FD"/>
    <w:rsid w:val="00094A7B"/>
    <w:rsid w:val="00094A91"/>
    <w:rsid w:val="000956AE"/>
    <w:rsid w:val="00095949"/>
    <w:rsid w:val="00095C25"/>
    <w:rsid w:val="00096451"/>
    <w:rsid w:val="00096C39"/>
    <w:rsid w:val="0009745A"/>
    <w:rsid w:val="000975E1"/>
    <w:rsid w:val="00097B13"/>
    <w:rsid w:val="000A1DB8"/>
    <w:rsid w:val="000A26A9"/>
    <w:rsid w:val="000A2E98"/>
    <w:rsid w:val="000A317B"/>
    <w:rsid w:val="000A3AAB"/>
    <w:rsid w:val="000A4390"/>
    <w:rsid w:val="000A439A"/>
    <w:rsid w:val="000A48AC"/>
    <w:rsid w:val="000A520E"/>
    <w:rsid w:val="000A593B"/>
    <w:rsid w:val="000B0603"/>
    <w:rsid w:val="000B0A5D"/>
    <w:rsid w:val="000B2020"/>
    <w:rsid w:val="000B3599"/>
    <w:rsid w:val="000B3DA4"/>
    <w:rsid w:val="000B5B68"/>
    <w:rsid w:val="000B67EC"/>
    <w:rsid w:val="000C3C71"/>
    <w:rsid w:val="000C469A"/>
    <w:rsid w:val="000C5608"/>
    <w:rsid w:val="000C5DA6"/>
    <w:rsid w:val="000C6E58"/>
    <w:rsid w:val="000D0365"/>
    <w:rsid w:val="000D2ADC"/>
    <w:rsid w:val="000D5C57"/>
    <w:rsid w:val="000E0E45"/>
    <w:rsid w:val="000E130A"/>
    <w:rsid w:val="000E4A24"/>
    <w:rsid w:val="000E5EB9"/>
    <w:rsid w:val="000E6838"/>
    <w:rsid w:val="000E6CD4"/>
    <w:rsid w:val="000E7B3F"/>
    <w:rsid w:val="000E7C36"/>
    <w:rsid w:val="000F0369"/>
    <w:rsid w:val="000F0451"/>
    <w:rsid w:val="000F1745"/>
    <w:rsid w:val="000F2656"/>
    <w:rsid w:val="000F4134"/>
    <w:rsid w:val="000F4E1C"/>
    <w:rsid w:val="000F59BA"/>
    <w:rsid w:val="000F614A"/>
    <w:rsid w:val="000F7CB8"/>
    <w:rsid w:val="00100864"/>
    <w:rsid w:val="001014E9"/>
    <w:rsid w:val="0010210A"/>
    <w:rsid w:val="001036E2"/>
    <w:rsid w:val="00106F4E"/>
    <w:rsid w:val="00110A3E"/>
    <w:rsid w:val="00110F0B"/>
    <w:rsid w:val="001115C3"/>
    <w:rsid w:val="00112289"/>
    <w:rsid w:val="00112CFC"/>
    <w:rsid w:val="00112D56"/>
    <w:rsid w:val="001131F7"/>
    <w:rsid w:val="001137B9"/>
    <w:rsid w:val="0011541D"/>
    <w:rsid w:val="00115CBF"/>
    <w:rsid w:val="00116913"/>
    <w:rsid w:val="00117161"/>
    <w:rsid w:val="00117BFF"/>
    <w:rsid w:val="00117D18"/>
    <w:rsid w:val="00120236"/>
    <w:rsid w:val="00122808"/>
    <w:rsid w:val="00122852"/>
    <w:rsid w:val="00122E23"/>
    <w:rsid w:val="0012457E"/>
    <w:rsid w:val="00124C1B"/>
    <w:rsid w:val="00125B71"/>
    <w:rsid w:val="00125E76"/>
    <w:rsid w:val="00126BF8"/>
    <w:rsid w:val="00127503"/>
    <w:rsid w:val="0012781C"/>
    <w:rsid w:val="00132970"/>
    <w:rsid w:val="00134774"/>
    <w:rsid w:val="00135F3C"/>
    <w:rsid w:val="00136C62"/>
    <w:rsid w:val="00140274"/>
    <w:rsid w:val="00140473"/>
    <w:rsid w:val="00141A79"/>
    <w:rsid w:val="00142F29"/>
    <w:rsid w:val="0014374B"/>
    <w:rsid w:val="00145AB2"/>
    <w:rsid w:val="00145D60"/>
    <w:rsid w:val="00146211"/>
    <w:rsid w:val="00146F35"/>
    <w:rsid w:val="00147376"/>
    <w:rsid w:val="00147E6A"/>
    <w:rsid w:val="00150227"/>
    <w:rsid w:val="00151263"/>
    <w:rsid w:val="00151D7A"/>
    <w:rsid w:val="0015239E"/>
    <w:rsid w:val="00152F93"/>
    <w:rsid w:val="001535AE"/>
    <w:rsid w:val="001536CB"/>
    <w:rsid w:val="00155244"/>
    <w:rsid w:val="00155FCB"/>
    <w:rsid w:val="001564BB"/>
    <w:rsid w:val="0016164E"/>
    <w:rsid w:val="0016266F"/>
    <w:rsid w:val="00162A8D"/>
    <w:rsid w:val="001640FF"/>
    <w:rsid w:val="001641DE"/>
    <w:rsid w:val="0016496F"/>
    <w:rsid w:val="0016597E"/>
    <w:rsid w:val="00165E3C"/>
    <w:rsid w:val="00166688"/>
    <w:rsid w:val="00166969"/>
    <w:rsid w:val="001669DA"/>
    <w:rsid w:val="00166D7D"/>
    <w:rsid w:val="001700DF"/>
    <w:rsid w:val="001701D1"/>
    <w:rsid w:val="001705D1"/>
    <w:rsid w:val="00170658"/>
    <w:rsid w:val="001710A9"/>
    <w:rsid w:val="001713CC"/>
    <w:rsid w:val="001714BB"/>
    <w:rsid w:val="00172238"/>
    <w:rsid w:val="00172956"/>
    <w:rsid w:val="00172DB7"/>
    <w:rsid w:val="00173C30"/>
    <w:rsid w:val="00173FB5"/>
    <w:rsid w:val="00174D9A"/>
    <w:rsid w:val="00175817"/>
    <w:rsid w:val="001767EA"/>
    <w:rsid w:val="00177F54"/>
    <w:rsid w:val="001806AD"/>
    <w:rsid w:val="00180D56"/>
    <w:rsid w:val="00182380"/>
    <w:rsid w:val="00182D97"/>
    <w:rsid w:val="001839D6"/>
    <w:rsid w:val="00183D65"/>
    <w:rsid w:val="00184FBA"/>
    <w:rsid w:val="00186B04"/>
    <w:rsid w:val="001876B3"/>
    <w:rsid w:val="00187E41"/>
    <w:rsid w:val="00190FDD"/>
    <w:rsid w:val="001910A6"/>
    <w:rsid w:val="00193A31"/>
    <w:rsid w:val="0019494F"/>
    <w:rsid w:val="001956B8"/>
    <w:rsid w:val="00195EDE"/>
    <w:rsid w:val="00196476"/>
    <w:rsid w:val="00196F06"/>
    <w:rsid w:val="00197559"/>
    <w:rsid w:val="001A1C14"/>
    <w:rsid w:val="001A24F4"/>
    <w:rsid w:val="001A3534"/>
    <w:rsid w:val="001A54D8"/>
    <w:rsid w:val="001A610A"/>
    <w:rsid w:val="001A616E"/>
    <w:rsid w:val="001A6AE0"/>
    <w:rsid w:val="001B0353"/>
    <w:rsid w:val="001B0873"/>
    <w:rsid w:val="001B166B"/>
    <w:rsid w:val="001B1A55"/>
    <w:rsid w:val="001B49CC"/>
    <w:rsid w:val="001B4A16"/>
    <w:rsid w:val="001B4CB9"/>
    <w:rsid w:val="001B57A0"/>
    <w:rsid w:val="001B6F3F"/>
    <w:rsid w:val="001C1F8B"/>
    <w:rsid w:val="001C2728"/>
    <w:rsid w:val="001C28AD"/>
    <w:rsid w:val="001C30D6"/>
    <w:rsid w:val="001C336F"/>
    <w:rsid w:val="001C5B99"/>
    <w:rsid w:val="001C6329"/>
    <w:rsid w:val="001C6767"/>
    <w:rsid w:val="001D010C"/>
    <w:rsid w:val="001D01C9"/>
    <w:rsid w:val="001D04ED"/>
    <w:rsid w:val="001D0858"/>
    <w:rsid w:val="001D0B35"/>
    <w:rsid w:val="001D0DCE"/>
    <w:rsid w:val="001D1503"/>
    <w:rsid w:val="001D1D3B"/>
    <w:rsid w:val="001D2B20"/>
    <w:rsid w:val="001D380E"/>
    <w:rsid w:val="001D53BD"/>
    <w:rsid w:val="001D56EF"/>
    <w:rsid w:val="001D5A83"/>
    <w:rsid w:val="001D6B58"/>
    <w:rsid w:val="001D77DA"/>
    <w:rsid w:val="001D7ACF"/>
    <w:rsid w:val="001D7BC3"/>
    <w:rsid w:val="001E01CD"/>
    <w:rsid w:val="001E0207"/>
    <w:rsid w:val="001E0267"/>
    <w:rsid w:val="001E0F36"/>
    <w:rsid w:val="001E11EA"/>
    <w:rsid w:val="001E2228"/>
    <w:rsid w:val="001E337F"/>
    <w:rsid w:val="001E3613"/>
    <w:rsid w:val="001E3AF2"/>
    <w:rsid w:val="001E3F94"/>
    <w:rsid w:val="001E4501"/>
    <w:rsid w:val="001E46D7"/>
    <w:rsid w:val="001E4DCB"/>
    <w:rsid w:val="001E5676"/>
    <w:rsid w:val="001E5E32"/>
    <w:rsid w:val="001E5FF6"/>
    <w:rsid w:val="001E61DD"/>
    <w:rsid w:val="001E65A9"/>
    <w:rsid w:val="001E66FD"/>
    <w:rsid w:val="001E6CE9"/>
    <w:rsid w:val="001E7711"/>
    <w:rsid w:val="001E779C"/>
    <w:rsid w:val="001F0C14"/>
    <w:rsid w:val="001F165B"/>
    <w:rsid w:val="001F1DA7"/>
    <w:rsid w:val="001F2166"/>
    <w:rsid w:val="001F2BBB"/>
    <w:rsid w:val="001F2F68"/>
    <w:rsid w:val="001F4B2A"/>
    <w:rsid w:val="001F52FD"/>
    <w:rsid w:val="001F62CC"/>
    <w:rsid w:val="001F7400"/>
    <w:rsid w:val="001F76B8"/>
    <w:rsid w:val="002005D9"/>
    <w:rsid w:val="00200677"/>
    <w:rsid w:val="00200CE1"/>
    <w:rsid w:val="002012F7"/>
    <w:rsid w:val="00201B0C"/>
    <w:rsid w:val="002027F6"/>
    <w:rsid w:val="00204626"/>
    <w:rsid w:val="002060A4"/>
    <w:rsid w:val="002061BA"/>
    <w:rsid w:val="002068EB"/>
    <w:rsid w:val="00206EE6"/>
    <w:rsid w:val="002072DC"/>
    <w:rsid w:val="00211B6F"/>
    <w:rsid w:val="00212700"/>
    <w:rsid w:val="00213805"/>
    <w:rsid w:val="00213956"/>
    <w:rsid w:val="002148B4"/>
    <w:rsid w:val="00215A59"/>
    <w:rsid w:val="00216CAA"/>
    <w:rsid w:val="002170B2"/>
    <w:rsid w:val="0021785E"/>
    <w:rsid w:val="00217B4B"/>
    <w:rsid w:val="0022092D"/>
    <w:rsid w:val="002209C7"/>
    <w:rsid w:val="002211F7"/>
    <w:rsid w:val="00221C86"/>
    <w:rsid w:val="00222353"/>
    <w:rsid w:val="002223FA"/>
    <w:rsid w:val="002229A0"/>
    <w:rsid w:val="00223C16"/>
    <w:rsid w:val="00224B1D"/>
    <w:rsid w:val="00225B4C"/>
    <w:rsid w:val="002264B2"/>
    <w:rsid w:val="00226751"/>
    <w:rsid w:val="002278FE"/>
    <w:rsid w:val="002309AA"/>
    <w:rsid w:val="00230B09"/>
    <w:rsid w:val="00231ED1"/>
    <w:rsid w:val="0023257A"/>
    <w:rsid w:val="00232925"/>
    <w:rsid w:val="002329AE"/>
    <w:rsid w:val="00232D15"/>
    <w:rsid w:val="002330BC"/>
    <w:rsid w:val="0023338C"/>
    <w:rsid w:val="00233A98"/>
    <w:rsid w:val="00233E63"/>
    <w:rsid w:val="002358CF"/>
    <w:rsid w:val="002375D0"/>
    <w:rsid w:val="00240401"/>
    <w:rsid w:val="00241523"/>
    <w:rsid w:val="002425AA"/>
    <w:rsid w:val="00242624"/>
    <w:rsid w:val="00243479"/>
    <w:rsid w:val="0024493D"/>
    <w:rsid w:val="0024557E"/>
    <w:rsid w:val="00245B14"/>
    <w:rsid w:val="00246575"/>
    <w:rsid w:val="00246FD4"/>
    <w:rsid w:val="002471FD"/>
    <w:rsid w:val="002529A2"/>
    <w:rsid w:val="00252BF2"/>
    <w:rsid w:val="00253E5D"/>
    <w:rsid w:val="00257288"/>
    <w:rsid w:val="0026136A"/>
    <w:rsid w:val="002632EA"/>
    <w:rsid w:val="00263405"/>
    <w:rsid w:val="00263B27"/>
    <w:rsid w:val="00264655"/>
    <w:rsid w:val="00265F9D"/>
    <w:rsid w:val="002663EC"/>
    <w:rsid w:val="0026716B"/>
    <w:rsid w:val="0026719A"/>
    <w:rsid w:val="002701BE"/>
    <w:rsid w:val="0027036E"/>
    <w:rsid w:val="0027163D"/>
    <w:rsid w:val="00273162"/>
    <w:rsid w:val="00275768"/>
    <w:rsid w:val="00277660"/>
    <w:rsid w:val="00280356"/>
    <w:rsid w:val="002808A4"/>
    <w:rsid w:val="002808CD"/>
    <w:rsid w:val="00281063"/>
    <w:rsid w:val="00282BED"/>
    <w:rsid w:val="00282F19"/>
    <w:rsid w:val="00284368"/>
    <w:rsid w:val="0028506A"/>
    <w:rsid w:val="002850B0"/>
    <w:rsid w:val="002863D7"/>
    <w:rsid w:val="00286A48"/>
    <w:rsid w:val="002873B4"/>
    <w:rsid w:val="00287471"/>
    <w:rsid w:val="0029021B"/>
    <w:rsid w:val="00291641"/>
    <w:rsid w:val="002923BD"/>
    <w:rsid w:val="00292A5F"/>
    <w:rsid w:val="00292AB5"/>
    <w:rsid w:val="00292C15"/>
    <w:rsid w:val="00293653"/>
    <w:rsid w:val="00293CB8"/>
    <w:rsid w:val="00296056"/>
    <w:rsid w:val="00296818"/>
    <w:rsid w:val="00297732"/>
    <w:rsid w:val="002A0211"/>
    <w:rsid w:val="002A12B6"/>
    <w:rsid w:val="002A3BED"/>
    <w:rsid w:val="002A3CBD"/>
    <w:rsid w:val="002A43C2"/>
    <w:rsid w:val="002A675E"/>
    <w:rsid w:val="002A72BA"/>
    <w:rsid w:val="002A77D3"/>
    <w:rsid w:val="002B15C8"/>
    <w:rsid w:val="002B1B65"/>
    <w:rsid w:val="002B27F6"/>
    <w:rsid w:val="002B2E0E"/>
    <w:rsid w:val="002B3303"/>
    <w:rsid w:val="002B3D3D"/>
    <w:rsid w:val="002B6A35"/>
    <w:rsid w:val="002B6BFD"/>
    <w:rsid w:val="002C02DB"/>
    <w:rsid w:val="002C1866"/>
    <w:rsid w:val="002C1AE9"/>
    <w:rsid w:val="002C23F2"/>
    <w:rsid w:val="002C267F"/>
    <w:rsid w:val="002C3138"/>
    <w:rsid w:val="002C3E4B"/>
    <w:rsid w:val="002C5011"/>
    <w:rsid w:val="002C55BB"/>
    <w:rsid w:val="002C5943"/>
    <w:rsid w:val="002C59BE"/>
    <w:rsid w:val="002C60CC"/>
    <w:rsid w:val="002C6810"/>
    <w:rsid w:val="002D09EA"/>
    <w:rsid w:val="002D0DC9"/>
    <w:rsid w:val="002D1721"/>
    <w:rsid w:val="002D1FB7"/>
    <w:rsid w:val="002D4872"/>
    <w:rsid w:val="002D62FB"/>
    <w:rsid w:val="002D7A70"/>
    <w:rsid w:val="002E0A91"/>
    <w:rsid w:val="002E0E99"/>
    <w:rsid w:val="002E1C99"/>
    <w:rsid w:val="002E210B"/>
    <w:rsid w:val="002E294F"/>
    <w:rsid w:val="002E2D45"/>
    <w:rsid w:val="002E4594"/>
    <w:rsid w:val="002E45F9"/>
    <w:rsid w:val="002E4D64"/>
    <w:rsid w:val="002E4DEB"/>
    <w:rsid w:val="002E5A1B"/>
    <w:rsid w:val="002E5D83"/>
    <w:rsid w:val="002E5DCE"/>
    <w:rsid w:val="002E6119"/>
    <w:rsid w:val="002E61A7"/>
    <w:rsid w:val="002E7F34"/>
    <w:rsid w:val="002F02BA"/>
    <w:rsid w:val="002F0B90"/>
    <w:rsid w:val="002F35AF"/>
    <w:rsid w:val="002F4CE1"/>
    <w:rsid w:val="002F5775"/>
    <w:rsid w:val="002F5E96"/>
    <w:rsid w:val="002F6A63"/>
    <w:rsid w:val="002F7E0C"/>
    <w:rsid w:val="0030053D"/>
    <w:rsid w:val="003005AB"/>
    <w:rsid w:val="00300754"/>
    <w:rsid w:val="00300F22"/>
    <w:rsid w:val="00301CCE"/>
    <w:rsid w:val="00301D15"/>
    <w:rsid w:val="00302BD7"/>
    <w:rsid w:val="00303A48"/>
    <w:rsid w:val="00304441"/>
    <w:rsid w:val="00304A37"/>
    <w:rsid w:val="003054E2"/>
    <w:rsid w:val="0031040E"/>
    <w:rsid w:val="00310ED4"/>
    <w:rsid w:val="00311468"/>
    <w:rsid w:val="00311A40"/>
    <w:rsid w:val="00311DD6"/>
    <w:rsid w:val="00312301"/>
    <w:rsid w:val="003132F4"/>
    <w:rsid w:val="00313D78"/>
    <w:rsid w:val="0031433E"/>
    <w:rsid w:val="0031492A"/>
    <w:rsid w:val="00316454"/>
    <w:rsid w:val="00316B01"/>
    <w:rsid w:val="00316C1A"/>
    <w:rsid w:val="00316F87"/>
    <w:rsid w:val="003203ED"/>
    <w:rsid w:val="00321FEC"/>
    <w:rsid w:val="0032231F"/>
    <w:rsid w:val="003235CC"/>
    <w:rsid w:val="00323C73"/>
    <w:rsid w:val="003242C2"/>
    <w:rsid w:val="003247A2"/>
    <w:rsid w:val="00324864"/>
    <w:rsid w:val="00325B93"/>
    <w:rsid w:val="00325CB8"/>
    <w:rsid w:val="00331141"/>
    <w:rsid w:val="003320F0"/>
    <w:rsid w:val="003328CA"/>
    <w:rsid w:val="00333204"/>
    <w:rsid w:val="0033545E"/>
    <w:rsid w:val="003403F0"/>
    <w:rsid w:val="00341249"/>
    <w:rsid w:val="00341B3C"/>
    <w:rsid w:val="003423F4"/>
    <w:rsid w:val="00343F2A"/>
    <w:rsid w:val="003446C2"/>
    <w:rsid w:val="00344758"/>
    <w:rsid w:val="00344898"/>
    <w:rsid w:val="003459E6"/>
    <w:rsid w:val="00347142"/>
    <w:rsid w:val="00347784"/>
    <w:rsid w:val="003479BC"/>
    <w:rsid w:val="00350C9F"/>
    <w:rsid w:val="00350D1B"/>
    <w:rsid w:val="00352282"/>
    <w:rsid w:val="0035246E"/>
    <w:rsid w:val="00354232"/>
    <w:rsid w:val="003552E8"/>
    <w:rsid w:val="00355BA8"/>
    <w:rsid w:val="00356092"/>
    <w:rsid w:val="003565A8"/>
    <w:rsid w:val="003566EA"/>
    <w:rsid w:val="003603A2"/>
    <w:rsid w:val="003620F5"/>
    <w:rsid w:val="003628E2"/>
    <w:rsid w:val="00362E65"/>
    <w:rsid w:val="00364504"/>
    <w:rsid w:val="00365A76"/>
    <w:rsid w:val="003666E2"/>
    <w:rsid w:val="00367531"/>
    <w:rsid w:val="0036797F"/>
    <w:rsid w:val="00370BF4"/>
    <w:rsid w:val="003711DF"/>
    <w:rsid w:val="00371F89"/>
    <w:rsid w:val="003724A9"/>
    <w:rsid w:val="003728C0"/>
    <w:rsid w:val="0037294A"/>
    <w:rsid w:val="00372C79"/>
    <w:rsid w:val="00372FD3"/>
    <w:rsid w:val="00373868"/>
    <w:rsid w:val="0037472D"/>
    <w:rsid w:val="00375788"/>
    <w:rsid w:val="00381F72"/>
    <w:rsid w:val="00383805"/>
    <w:rsid w:val="00386DE8"/>
    <w:rsid w:val="00386E96"/>
    <w:rsid w:val="003870DF"/>
    <w:rsid w:val="003910D4"/>
    <w:rsid w:val="00393A0D"/>
    <w:rsid w:val="00393D23"/>
    <w:rsid w:val="00394497"/>
    <w:rsid w:val="00394AF5"/>
    <w:rsid w:val="00394D62"/>
    <w:rsid w:val="00396D5C"/>
    <w:rsid w:val="00397C85"/>
    <w:rsid w:val="003A168E"/>
    <w:rsid w:val="003A1D58"/>
    <w:rsid w:val="003A20F0"/>
    <w:rsid w:val="003A241D"/>
    <w:rsid w:val="003A36F4"/>
    <w:rsid w:val="003A3A89"/>
    <w:rsid w:val="003A3E63"/>
    <w:rsid w:val="003A3FEF"/>
    <w:rsid w:val="003A4545"/>
    <w:rsid w:val="003A48B7"/>
    <w:rsid w:val="003A5450"/>
    <w:rsid w:val="003A5598"/>
    <w:rsid w:val="003A5773"/>
    <w:rsid w:val="003A5DBD"/>
    <w:rsid w:val="003A6D66"/>
    <w:rsid w:val="003A6E0A"/>
    <w:rsid w:val="003A7748"/>
    <w:rsid w:val="003B0C5D"/>
    <w:rsid w:val="003B2310"/>
    <w:rsid w:val="003B2E1B"/>
    <w:rsid w:val="003B368F"/>
    <w:rsid w:val="003B602A"/>
    <w:rsid w:val="003B7BCF"/>
    <w:rsid w:val="003B7F12"/>
    <w:rsid w:val="003C0BA8"/>
    <w:rsid w:val="003C0D77"/>
    <w:rsid w:val="003C13EE"/>
    <w:rsid w:val="003C1C81"/>
    <w:rsid w:val="003C435C"/>
    <w:rsid w:val="003C4DEC"/>
    <w:rsid w:val="003C6405"/>
    <w:rsid w:val="003C6641"/>
    <w:rsid w:val="003C684F"/>
    <w:rsid w:val="003C69A5"/>
    <w:rsid w:val="003C745C"/>
    <w:rsid w:val="003C7A57"/>
    <w:rsid w:val="003D0696"/>
    <w:rsid w:val="003D0A49"/>
    <w:rsid w:val="003D2C20"/>
    <w:rsid w:val="003D35A0"/>
    <w:rsid w:val="003D3EF7"/>
    <w:rsid w:val="003D4306"/>
    <w:rsid w:val="003D4FD3"/>
    <w:rsid w:val="003D52FA"/>
    <w:rsid w:val="003D6085"/>
    <w:rsid w:val="003D6232"/>
    <w:rsid w:val="003D7D52"/>
    <w:rsid w:val="003E1979"/>
    <w:rsid w:val="003E39D3"/>
    <w:rsid w:val="003E47B4"/>
    <w:rsid w:val="003E5DEF"/>
    <w:rsid w:val="003E5E64"/>
    <w:rsid w:val="003E636F"/>
    <w:rsid w:val="003E65F1"/>
    <w:rsid w:val="003E7FB0"/>
    <w:rsid w:val="003F09A0"/>
    <w:rsid w:val="003F0B14"/>
    <w:rsid w:val="003F3407"/>
    <w:rsid w:val="003F47AF"/>
    <w:rsid w:val="003F6B74"/>
    <w:rsid w:val="003F7044"/>
    <w:rsid w:val="00400AB0"/>
    <w:rsid w:val="004038D5"/>
    <w:rsid w:val="0040397E"/>
    <w:rsid w:val="00403DEA"/>
    <w:rsid w:val="0040497E"/>
    <w:rsid w:val="004057E2"/>
    <w:rsid w:val="00406CC7"/>
    <w:rsid w:val="00407022"/>
    <w:rsid w:val="004078F2"/>
    <w:rsid w:val="00413A7B"/>
    <w:rsid w:val="00415724"/>
    <w:rsid w:val="00415AA7"/>
    <w:rsid w:val="004178E5"/>
    <w:rsid w:val="00417D96"/>
    <w:rsid w:val="00420BF6"/>
    <w:rsid w:val="004211FC"/>
    <w:rsid w:val="004214A0"/>
    <w:rsid w:val="00422053"/>
    <w:rsid w:val="00422250"/>
    <w:rsid w:val="00422417"/>
    <w:rsid w:val="00423336"/>
    <w:rsid w:val="00424233"/>
    <w:rsid w:val="004255EC"/>
    <w:rsid w:val="0042761A"/>
    <w:rsid w:val="004277EB"/>
    <w:rsid w:val="00430C81"/>
    <w:rsid w:val="00433148"/>
    <w:rsid w:val="0043389C"/>
    <w:rsid w:val="00433CCF"/>
    <w:rsid w:val="00433DE0"/>
    <w:rsid w:val="00434945"/>
    <w:rsid w:val="00435521"/>
    <w:rsid w:val="00440609"/>
    <w:rsid w:val="00440EE6"/>
    <w:rsid w:val="0044130E"/>
    <w:rsid w:val="00443ABC"/>
    <w:rsid w:val="00445CB5"/>
    <w:rsid w:val="00447851"/>
    <w:rsid w:val="004501FD"/>
    <w:rsid w:val="004539A7"/>
    <w:rsid w:val="0045680D"/>
    <w:rsid w:val="004569C6"/>
    <w:rsid w:val="00460EE0"/>
    <w:rsid w:val="00461782"/>
    <w:rsid w:val="004618EA"/>
    <w:rsid w:val="0046284D"/>
    <w:rsid w:val="00464051"/>
    <w:rsid w:val="00464E7B"/>
    <w:rsid w:val="00465819"/>
    <w:rsid w:val="00466675"/>
    <w:rsid w:val="00466D10"/>
    <w:rsid w:val="00467D51"/>
    <w:rsid w:val="004712FB"/>
    <w:rsid w:val="0047179A"/>
    <w:rsid w:val="00471BB7"/>
    <w:rsid w:val="00472EFF"/>
    <w:rsid w:val="00474058"/>
    <w:rsid w:val="00474063"/>
    <w:rsid w:val="0047589F"/>
    <w:rsid w:val="00476793"/>
    <w:rsid w:val="004778A2"/>
    <w:rsid w:val="00480672"/>
    <w:rsid w:val="004806D0"/>
    <w:rsid w:val="00481B2A"/>
    <w:rsid w:val="00481CC5"/>
    <w:rsid w:val="00481F79"/>
    <w:rsid w:val="00482091"/>
    <w:rsid w:val="0048292E"/>
    <w:rsid w:val="0048335A"/>
    <w:rsid w:val="0048368B"/>
    <w:rsid w:val="00484C9D"/>
    <w:rsid w:val="0048531F"/>
    <w:rsid w:val="004863C8"/>
    <w:rsid w:val="0048728F"/>
    <w:rsid w:val="00490FA4"/>
    <w:rsid w:val="004913F9"/>
    <w:rsid w:val="004914F8"/>
    <w:rsid w:val="00492036"/>
    <w:rsid w:val="0049300D"/>
    <w:rsid w:val="00495A7C"/>
    <w:rsid w:val="00496715"/>
    <w:rsid w:val="00496857"/>
    <w:rsid w:val="00496C3E"/>
    <w:rsid w:val="00497111"/>
    <w:rsid w:val="00497873"/>
    <w:rsid w:val="00497B9C"/>
    <w:rsid w:val="00497BBB"/>
    <w:rsid w:val="00497E83"/>
    <w:rsid w:val="004A0A45"/>
    <w:rsid w:val="004A187B"/>
    <w:rsid w:val="004A2D3C"/>
    <w:rsid w:val="004A5C9F"/>
    <w:rsid w:val="004A5DE5"/>
    <w:rsid w:val="004A638E"/>
    <w:rsid w:val="004B192D"/>
    <w:rsid w:val="004B274A"/>
    <w:rsid w:val="004B3E80"/>
    <w:rsid w:val="004B5E8C"/>
    <w:rsid w:val="004B6299"/>
    <w:rsid w:val="004B673C"/>
    <w:rsid w:val="004C18E3"/>
    <w:rsid w:val="004C1FB1"/>
    <w:rsid w:val="004C2457"/>
    <w:rsid w:val="004C2811"/>
    <w:rsid w:val="004C48B5"/>
    <w:rsid w:val="004C7412"/>
    <w:rsid w:val="004D04BF"/>
    <w:rsid w:val="004D076B"/>
    <w:rsid w:val="004D0CB1"/>
    <w:rsid w:val="004D3DC2"/>
    <w:rsid w:val="004D4883"/>
    <w:rsid w:val="004D4A49"/>
    <w:rsid w:val="004D4A65"/>
    <w:rsid w:val="004D5D3A"/>
    <w:rsid w:val="004D6305"/>
    <w:rsid w:val="004D7817"/>
    <w:rsid w:val="004E0DFF"/>
    <w:rsid w:val="004E2094"/>
    <w:rsid w:val="004E24F1"/>
    <w:rsid w:val="004E7B77"/>
    <w:rsid w:val="004F1952"/>
    <w:rsid w:val="004F19EC"/>
    <w:rsid w:val="004F1C7C"/>
    <w:rsid w:val="004F32C7"/>
    <w:rsid w:val="004F5975"/>
    <w:rsid w:val="004F5EE5"/>
    <w:rsid w:val="004F6C56"/>
    <w:rsid w:val="00500757"/>
    <w:rsid w:val="005020DA"/>
    <w:rsid w:val="00502B59"/>
    <w:rsid w:val="005034DC"/>
    <w:rsid w:val="00504930"/>
    <w:rsid w:val="005072BF"/>
    <w:rsid w:val="00507DA1"/>
    <w:rsid w:val="00510390"/>
    <w:rsid w:val="0051123E"/>
    <w:rsid w:val="00511320"/>
    <w:rsid w:val="005115C1"/>
    <w:rsid w:val="005123F0"/>
    <w:rsid w:val="005131EE"/>
    <w:rsid w:val="00513540"/>
    <w:rsid w:val="00513941"/>
    <w:rsid w:val="00517CA9"/>
    <w:rsid w:val="0052024F"/>
    <w:rsid w:val="0052136C"/>
    <w:rsid w:val="00522474"/>
    <w:rsid w:val="00522769"/>
    <w:rsid w:val="005239F4"/>
    <w:rsid w:val="005253BC"/>
    <w:rsid w:val="0052659D"/>
    <w:rsid w:val="00527BDF"/>
    <w:rsid w:val="0053051D"/>
    <w:rsid w:val="00532B6B"/>
    <w:rsid w:val="00533A98"/>
    <w:rsid w:val="00533F9C"/>
    <w:rsid w:val="00534A99"/>
    <w:rsid w:val="0053745E"/>
    <w:rsid w:val="00537881"/>
    <w:rsid w:val="005448CD"/>
    <w:rsid w:val="005456EA"/>
    <w:rsid w:val="00546DB8"/>
    <w:rsid w:val="0054734C"/>
    <w:rsid w:val="00547D2F"/>
    <w:rsid w:val="00552B37"/>
    <w:rsid w:val="00553583"/>
    <w:rsid w:val="00553F2E"/>
    <w:rsid w:val="00554232"/>
    <w:rsid w:val="00554D1D"/>
    <w:rsid w:val="005569B9"/>
    <w:rsid w:val="00560CC3"/>
    <w:rsid w:val="00561019"/>
    <w:rsid w:val="00561CD3"/>
    <w:rsid w:val="0056205D"/>
    <w:rsid w:val="00563CFF"/>
    <w:rsid w:val="00563F7E"/>
    <w:rsid w:val="00564208"/>
    <w:rsid w:val="00564E8E"/>
    <w:rsid w:val="00565CA1"/>
    <w:rsid w:val="00565E94"/>
    <w:rsid w:val="00565FCF"/>
    <w:rsid w:val="00570995"/>
    <w:rsid w:val="005711B7"/>
    <w:rsid w:val="00571CEB"/>
    <w:rsid w:val="00572B09"/>
    <w:rsid w:val="00573839"/>
    <w:rsid w:val="0057456B"/>
    <w:rsid w:val="005758D2"/>
    <w:rsid w:val="00575E73"/>
    <w:rsid w:val="00576131"/>
    <w:rsid w:val="00576132"/>
    <w:rsid w:val="005767D8"/>
    <w:rsid w:val="0057715E"/>
    <w:rsid w:val="00577A89"/>
    <w:rsid w:val="00577CC5"/>
    <w:rsid w:val="005837BB"/>
    <w:rsid w:val="00583DEB"/>
    <w:rsid w:val="00583F7B"/>
    <w:rsid w:val="005841B5"/>
    <w:rsid w:val="0058590B"/>
    <w:rsid w:val="00586E2E"/>
    <w:rsid w:val="00587315"/>
    <w:rsid w:val="00590F25"/>
    <w:rsid w:val="00591811"/>
    <w:rsid w:val="00591926"/>
    <w:rsid w:val="00591951"/>
    <w:rsid w:val="00592866"/>
    <w:rsid w:val="0059288F"/>
    <w:rsid w:val="00592A8A"/>
    <w:rsid w:val="005931F0"/>
    <w:rsid w:val="005943DB"/>
    <w:rsid w:val="0059456C"/>
    <w:rsid w:val="005950E0"/>
    <w:rsid w:val="005964A7"/>
    <w:rsid w:val="00596E3F"/>
    <w:rsid w:val="00597E45"/>
    <w:rsid w:val="005A0637"/>
    <w:rsid w:val="005A0964"/>
    <w:rsid w:val="005A582B"/>
    <w:rsid w:val="005A602B"/>
    <w:rsid w:val="005A626A"/>
    <w:rsid w:val="005A6292"/>
    <w:rsid w:val="005A7F49"/>
    <w:rsid w:val="005B0323"/>
    <w:rsid w:val="005B0D15"/>
    <w:rsid w:val="005B26F5"/>
    <w:rsid w:val="005B2A29"/>
    <w:rsid w:val="005B2BBC"/>
    <w:rsid w:val="005B35B7"/>
    <w:rsid w:val="005B36F6"/>
    <w:rsid w:val="005B3C07"/>
    <w:rsid w:val="005B4487"/>
    <w:rsid w:val="005B5053"/>
    <w:rsid w:val="005B709D"/>
    <w:rsid w:val="005C0083"/>
    <w:rsid w:val="005C0971"/>
    <w:rsid w:val="005C1342"/>
    <w:rsid w:val="005C158B"/>
    <w:rsid w:val="005C2DD9"/>
    <w:rsid w:val="005C2ECF"/>
    <w:rsid w:val="005C374D"/>
    <w:rsid w:val="005C425C"/>
    <w:rsid w:val="005C47F7"/>
    <w:rsid w:val="005C5A84"/>
    <w:rsid w:val="005C5D41"/>
    <w:rsid w:val="005C6816"/>
    <w:rsid w:val="005C6CBA"/>
    <w:rsid w:val="005C6E61"/>
    <w:rsid w:val="005C7082"/>
    <w:rsid w:val="005C7BE3"/>
    <w:rsid w:val="005D1F34"/>
    <w:rsid w:val="005D29FF"/>
    <w:rsid w:val="005D3581"/>
    <w:rsid w:val="005D383D"/>
    <w:rsid w:val="005E052B"/>
    <w:rsid w:val="005E2234"/>
    <w:rsid w:val="005E244C"/>
    <w:rsid w:val="005E3E3F"/>
    <w:rsid w:val="005E52A8"/>
    <w:rsid w:val="005E595C"/>
    <w:rsid w:val="005E59BA"/>
    <w:rsid w:val="005E5FA3"/>
    <w:rsid w:val="005E5FBB"/>
    <w:rsid w:val="005E6735"/>
    <w:rsid w:val="005F004B"/>
    <w:rsid w:val="005F0CBB"/>
    <w:rsid w:val="005F39AC"/>
    <w:rsid w:val="005F4361"/>
    <w:rsid w:val="005F4613"/>
    <w:rsid w:val="005F773C"/>
    <w:rsid w:val="005F78FF"/>
    <w:rsid w:val="00601130"/>
    <w:rsid w:val="0060153B"/>
    <w:rsid w:val="006019B8"/>
    <w:rsid w:val="00601B17"/>
    <w:rsid w:val="00602209"/>
    <w:rsid w:val="00603D8E"/>
    <w:rsid w:val="00604620"/>
    <w:rsid w:val="0060657D"/>
    <w:rsid w:val="00610D29"/>
    <w:rsid w:val="006117A8"/>
    <w:rsid w:val="006127C6"/>
    <w:rsid w:val="00613617"/>
    <w:rsid w:val="00613E1D"/>
    <w:rsid w:val="00614385"/>
    <w:rsid w:val="0061529A"/>
    <w:rsid w:val="006155A9"/>
    <w:rsid w:val="006156A7"/>
    <w:rsid w:val="0061614B"/>
    <w:rsid w:val="006168F0"/>
    <w:rsid w:val="00616F88"/>
    <w:rsid w:val="006216B8"/>
    <w:rsid w:val="00622508"/>
    <w:rsid w:val="006225C3"/>
    <w:rsid w:val="00623FB0"/>
    <w:rsid w:val="00625758"/>
    <w:rsid w:val="00627443"/>
    <w:rsid w:val="0063009F"/>
    <w:rsid w:val="006303C0"/>
    <w:rsid w:val="00630FD8"/>
    <w:rsid w:val="00631B8A"/>
    <w:rsid w:val="00631E41"/>
    <w:rsid w:val="00633BA4"/>
    <w:rsid w:val="00634844"/>
    <w:rsid w:val="00634C6A"/>
    <w:rsid w:val="00634D46"/>
    <w:rsid w:val="006356C5"/>
    <w:rsid w:val="006359DA"/>
    <w:rsid w:val="00635C88"/>
    <w:rsid w:val="0064024A"/>
    <w:rsid w:val="00640A77"/>
    <w:rsid w:val="00642A54"/>
    <w:rsid w:val="00643AEE"/>
    <w:rsid w:val="00646288"/>
    <w:rsid w:val="0065064C"/>
    <w:rsid w:val="00650E26"/>
    <w:rsid w:val="00653119"/>
    <w:rsid w:val="0065353A"/>
    <w:rsid w:val="00653BD7"/>
    <w:rsid w:val="00653E29"/>
    <w:rsid w:val="0065436C"/>
    <w:rsid w:val="00654793"/>
    <w:rsid w:val="006547C2"/>
    <w:rsid w:val="006562E3"/>
    <w:rsid w:val="00660E35"/>
    <w:rsid w:val="006613F6"/>
    <w:rsid w:val="006627E5"/>
    <w:rsid w:val="00663081"/>
    <w:rsid w:val="00665217"/>
    <w:rsid w:val="00667DD0"/>
    <w:rsid w:val="006703F8"/>
    <w:rsid w:val="00671155"/>
    <w:rsid w:val="00671689"/>
    <w:rsid w:val="00673C0C"/>
    <w:rsid w:val="006750B0"/>
    <w:rsid w:val="006750BE"/>
    <w:rsid w:val="0067554F"/>
    <w:rsid w:val="006769BD"/>
    <w:rsid w:val="00676B77"/>
    <w:rsid w:val="00686F6F"/>
    <w:rsid w:val="006877AE"/>
    <w:rsid w:val="00690C4A"/>
    <w:rsid w:val="0069113D"/>
    <w:rsid w:val="006937F7"/>
    <w:rsid w:val="00694612"/>
    <w:rsid w:val="00694A06"/>
    <w:rsid w:val="0069534C"/>
    <w:rsid w:val="00695377"/>
    <w:rsid w:val="00695DCA"/>
    <w:rsid w:val="00696AB3"/>
    <w:rsid w:val="006A0638"/>
    <w:rsid w:val="006A2EC3"/>
    <w:rsid w:val="006A3883"/>
    <w:rsid w:val="006A39C6"/>
    <w:rsid w:val="006A3B1E"/>
    <w:rsid w:val="006A60C3"/>
    <w:rsid w:val="006A687F"/>
    <w:rsid w:val="006A6BB3"/>
    <w:rsid w:val="006A7B7F"/>
    <w:rsid w:val="006A7BF2"/>
    <w:rsid w:val="006B169D"/>
    <w:rsid w:val="006B1E43"/>
    <w:rsid w:val="006B2B81"/>
    <w:rsid w:val="006B3126"/>
    <w:rsid w:val="006B3C84"/>
    <w:rsid w:val="006B3DE1"/>
    <w:rsid w:val="006B40AC"/>
    <w:rsid w:val="006B4D8B"/>
    <w:rsid w:val="006B6850"/>
    <w:rsid w:val="006B6EAC"/>
    <w:rsid w:val="006B7DE2"/>
    <w:rsid w:val="006C024A"/>
    <w:rsid w:val="006C0642"/>
    <w:rsid w:val="006C08F9"/>
    <w:rsid w:val="006C10E3"/>
    <w:rsid w:val="006C11B4"/>
    <w:rsid w:val="006C1361"/>
    <w:rsid w:val="006C154B"/>
    <w:rsid w:val="006C2A3C"/>
    <w:rsid w:val="006C34AF"/>
    <w:rsid w:val="006C3C7B"/>
    <w:rsid w:val="006C490A"/>
    <w:rsid w:val="006C5B47"/>
    <w:rsid w:val="006C5FA1"/>
    <w:rsid w:val="006C759E"/>
    <w:rsid w:val="006C799F"/>
    <w:rsid w:val="006D0407"/>
    <w:rsid w:val="006D2625"/>
    <w:rsid w:val="006D3F2E"/>
    <w:rsid w:val="006D44DF"/>
    <w:rsid w:val="006D5EE5"/>
    <w:rsid w:val="006D71CE"/>
    <w:rsid w:val="006D7E92"/>
    <w:rsid w:val="006E0085"/>
    <w:rsid w:val="006E02B4"/>
    <w:rsid w:val="006E09CB"/>
    <w:rsid w:val="006E620E"/>
    <w:rsid w:val="006E67DA"/>
    <w:rsid w:val="006E6D3B"/>
    <w:rsid w:val="006E7225"/>
    <w:rsid w:val="006F03A9"/>
    <w:rsid w:val="006F08D3"/>
    <w:rsid w:val="006F0F80"/>
    <w:rsid w:val="006F22BC"/>
    <w:rsid w:val="006F43EB"/>
    <w:rsid w:val="006F46EE"/>
    <w:rsid w:val="007015CB"/>
    <w:rsid w:val="00701F0A"/>
    <w:rsid w:val="00702BB7"/>
    <w:rsid w:val="00703060"/>
    <w:rsid w:val="0070565E"/>
    <w:rsid w:val="00710434"/>
    <w:rsid w:val="00714787"/>
    <w:rsid w:val="00714FF5"/>
    <w:rsid w:val="00715D17"/>
    <w:rsid w:val="007171E9"/>
    <w:rsid w:val="0072482D"/>
    <w:rsid w:val="00724AC9"/>
    <w:rsid w:val="00726F7F"/>
    <w:rsid w:val="00727A7C"/>
    <w:rsid w:val="00730BD2"/>
    <w:rsid w:val="00730E77"/>
    <w:rsid w:val="00734556"/>
    <w:rsid w:val="007358C0"/>
    <w:rsid w:val="007405ED"/>
    <w:rsid w:val="00740BD6"/>
    <w:rsid w:val="00740E57"/>
    <w:rsid w:val="00742C0B"/>
    <w:rsid w:val="00744E0B"/>
    <w:rsid w:val="007456FA"/>
    <w:rsid w:val="0074629F"/>
    <w:rsid w:val="007473F0"/>
    <w:rsid w:val="0075053B"/>
    <w:rsid w:val="00750B60"/>
    <w:rsid w:val="00751978"/>
    <w:rsid w:val="0075263A"/>
    <w:rsid w:val="0075263D"/>
    <w:rsid w:val="00752D62"/>
    <w:rsid w:val="007540BF"/>
    <w:rsid w:val="0075418E"/>
    <w:rsid w:val="007607E0"/>
    <w:rsid w:val="00760871"/>
    <w:rsid w:val="00760E47"/>
    <w:rsid w:val="00761E17"/>
    <w:rsid w:val="00762416"/>
    <w:rsid w:val="00762591"/>
    <w:rsid w:val="00762D64"/>
    <w:rsid w:val="007637A8"/>
    <w:rsid w:val="0076549C"/>
    <w:rsid w:val="00765B58"/>
    <w:rsid w:val="00765B87"/>
    <w:rsid w:val="007670AB"/>
    <w:rsid w:val="00770DCB"/>
    <w:rsid w:val="00770EF4"/>
    <w:rsid w:val="00771C36"/>
    <w:rsid w:val="00772292"/>
    <w:rsid w:val="00772B32"/>
    <w:rsid w:val="007740D5"/>
    <w:rsid w:val="00774A13"/>
    <w:rsid w:val="00775485"/>
    <w:rsid w:val="00776C8A"/>
    <w:rsid w:val="00776FB7"/>
    <w:rsid w:val="0078225C"/>
    <w:rsid w:val="00783532"/>
    <w:rsid w:val="007845AF"/>
    <w:rsid w:val="007846B5"/>
    <w:rsid w:val="00784A01"/>
    <w:rsid w:val="007854B6"/>
    <w:rsid w:val="00792199"/>
    <w:rsid w:val="00792778"/>
    <w:rsid w:val="00792862"/>
    <w:rsid w:val="0079295F"/>
    <w:rsid w:val="00793309"/>
    <w:rsid w:val="00793651"/>
    <w:rsid w:val="00794263"/>
    <w:rsid w:val="00795176"/>
    <w:rsid w:val="00795E32"/>
    <w:rsid w:val="00796CC6"/>
    <w:rsid w:val="00796E04"/>
    <w:rsid w:val="00797540"/>
    <w:rsid w:val="007A01F8"/>
    <w:rsid w:val="007A3338"/>
    <w:rsid w:val="007A3843"/>
    <w:rsid w:val="007A559E"/>
    <w:rsid w:val="007B06EA"/>
    <w:rsid w:val="007B2E6E"/>
    <w:rsid w:val="007B3234"/>
    <w:rsid w:val="007B5F0C"/>
    <w:rsid w:val="007B761D"/>
    <w:rsid w:val="007C16CC"/>
    <w:rsid w:val="007C31C2"/>
    <w:rsid w:val="007C4C81"/>
    <w:rsid w:val="007C5CF6"/>
    <w:rsid w:val="007C67C1"/>
    <w:rsid w:val="007C6CE9"/>
    <w:rsid w:val="007C72CA"/>
    <w:rsid w:val="007D2035"/>
    <w:rsid w:val="007D2470"/>
    <w:rsid w:val="007D2997"/>
    <w:rsid w:val="007D2A26"/>
    <w:rsid w:val="007D2D2F"/>
    <w:rsid w:val="007D2F00"/>
    <w:rsid w:val="007D34F7"/>
    <w:rsid w:val="007D36E9"/>
    <w:rsid w:val="007D37AA"/>
    <w:rsid w:val="007D6C8E"/>
    <w:rsid w:val="007D769A"/>
    <w:rsid w:val="007D7FB8"/>
    <w:rsid w:val="007E122D"/>
    <w:rsid w:val="007E1598"/>
    <w:rsid w:val="007E1D89"/>
    <w:rsid w:val="007E2F6C"/>
    <w:rsid w:val="007E34B5"/>
    <w:rsid w:val="007E3C38"/>
    <w:rsid w:val="007E40B3"/>
    <w:rsid w:val="007E467E"/>
    <w:rsid w:val="007E5450"/>
    <w:rsid w:val="007E5B88"/>
    <w:rsid w:val="007E709F"/>
    <w:rsid w:val="007F0D0B"/>
    <w:rsid w:val="007F1B1F"/>
    <w:rsid w:val="007F40A0"/>
    <w:rsid w:val="007F4A49"/>
    <w:rsid w:val="007F5AA3"/>
    <w:rsid w:val="007F6088"/>
    <w:rsid w:val="007F60FD"/>
    <w:rsid w:val="007F74EC"/>
    <w:rsid w:val="008007A8"/>
    <w:rsid w:val="008021A2"/>
    <w:rsid w:val="00802FF7"/>
    <w:rsid w:val="00803665"/>
    <w:rsid w:val="008042D9"/>
    <w:rsid w:val="00805EED"/>
    <w:rsid w:val="00806942"/>
    <w:rsid w:val="0081195B"/>
    <w:rsid w:val="008119F7"/>
    <w:rsid w:val="00812792"/>
    <w:rsid w:val="008130CE"/>
    <w:rsid w:val="0081348A"/>
    <w:rsid w:val="00813688"/>
    <w:rsid w:val="00814FC0"/>
    <w:rsid w:val="00815337"/>
    <w:rsid w:val="00817C73"/>
    <w:rsid w:val="00820082"/>
    <w:rsid w:val="008219E8"/>
    <w:rsid w:val="00823005"/>
    <w:rsid w:val="008251B5"/>
    <w:rsid w:val="00826A82"/>
    <w:rsid w:val="00826BAA"/>
    <w:rsid w:val="00827BCA"/>
    <w:rsid w:val="00830206"/>
    <w:rsid w:val="008307A1"/>
    <w:rsid w:val="0083215E"/>
    <w:rsid w:val="008322BB"/>
    <w:rsid w:val="008329C8"/>
    <w:rsid w:val="00836431"/>
    <w:rsid w:val="0083691E"/>
    <w:rsid w:val="00837015"/>
    <w:rsid w:val="00837C32"/>
    <w:rsid w:val="008402B7"/>
    <w:rsid w:val="0084142F"/>
    <w:rsid w:val="00841463"/>
    <w:rsid w:val="00841A89"/>
    <w:rsid w:val="008449B9"/>
    <w:rsid w:val="00845115"/>
    <w:rsid w:val="00845FA7"/>
    <w:rsid w:val="008464C4"/>
    <w:rsid w:val="00847191"/>
    <w:rsid w:val="00847A87"/>
    <w:rsid w:val="008505D5"/>
    <w:rsid w:val="008506CA"/>
    <w:rsid w:val="008528CB"/>
    <w:rsid w:val="00856D96"/>
    <w:rsid w:val="00857D92"/>
    <w:rsid w:val="0086254F"/>
    <w:rsid w:val="00864E23"/>
    <w:rsid w:val="00866355"/>
    <w:rsid w:val="0086749C"/>
    <w:rsid w:val="00867D5B"/>
    <w:rsid w:val="00870023"/>
    <w:rsid w:val="0087002B"/>
    <w:rsid w:val="00870451"/>
    <w:rsid w:val="008713D7"/>
    <w:rsid w:val="008724DE"/>
    <w:rsid w:val="00872781"/>
    <w:rsid w:val="0087281A"/>
    <w:rsid w:val="0087448B"/>
    <w:rsid w:val="008746D3"/>
    <w:rsid w:val="00874A3D"/>
    <w:rsid w:val="00874C37"/>
    <w:rsid w:val="008758D9"/>
    <w:rsid w:val="0087665F"/>
    <w:rsid w:val="00880580"/>
    <w:rsid w:val="00880B50"/>
    <w:rsid w:val="00881424"/>
    <w:rsid w:val="00881CF6"/>
    <w:rsid w:val="008824AC"/>
    <w:rsid w:val="00882661"/>
    <w:rsid w:val="00882B0A"/>
    <w:rsid w:val="00883006"/>
    <w:rsid w:val="008839B3"/>
    <w:rsid w:val="00884B3C"/>
    <w:rsid w:val="0088530B"/>
    <w:rsid w:val="00886048"/>
    <w:rsid w:val="00886051"/>
    <w:rsid w:val="0088704F"/>
    <w:rsid w:val="00890D0F"/>
    <w:rsid w:val="0089133E"/>
    <w:rsid w:val="0089332A"/>
    <w:rsid w:val="008937A8"/>
    <w:rsid w:val="0089467E"/>
    <w:rsid w:val="00895031"/>
    <w:rsid w:val="00895DE9"/>
    <w:rsid w:val="00897BD6"/>
    <w:rsid w:val="00897C79"/>
    <w:rsid w:val="008A3D57"/>
    <w:rsid w:val="008A3E57"/>
    <w:rsid w:val="008A3EFF"/>
    <w:rsid w:val="008A4056"/>
    <w:rsid w:val="008A4D92"/>
    <w:rsid w:val="008A5D40"/>
    <w:rsid w:val="008A649F"/>
    <w:rsid w:val="008A6B4F"/>
    <w:rsid w:val="008A6B54"/>
    <w:rsid w:val="008A7237"/>
    <w:rsid w:val="008A7305"/>
    <w:rsid w:val="008A755C"/>
    <w:rsid w:val="008B0E1F"/>
    <w:rsid w:val="008B1044"/>
    <w:rsid w:val="008B1289"/>
    <w:rsid w:val="008B23BC"/>
    <w:rsid w:val="008B26FA"/>
    <w:rsid w:val="008B3899"/>
    <w:rsid w:val="008B46E1"/>
    <w:rsid w:val="008B488D"/>
    <w:rsid w:val="008B4EC7"/>
    <w:rsid w:val="008B5AE4"/>
    <w:rsid w:val="008B6754"/>
    <w:rsid w:val="008B6798"/>
    <w:rsid w:val="008B6CC3"/>
    <w:rsid w:val="008B7439"/>
    <w:rsid w:val="008C00F7"/>
    <w:rsid w:val="008C0888"/>
    <w:rsid w:val="008C0A36"/>
    <w:rsid w:val="008C1CBF"/>
    <w:rsid w:val="008C30BC"/>
    <w:rsid w:val="008C65C0"/>
    <w:rsid w:val="008C67E3"/>
    <w:rsid w:val="008D00A1"/>
    <w:rsid w:val="008D0222"/>
    <w:rsid w:val="008D02CB"/>
    <w:rsid w:val="008D0947"/>
    <w:rsid w:val="008D3D0E"/>
    <w:rsid w:val="008D7D68"/>
    <w:rsid w:val="008E0624"/>
    <w:rsid w:val="008E16C6"/>
    <w:rsid w:val="008E21A7"/>
    <w:rsid w:val="008E21C3"/>
    <w:rsid w:val="008E2EE8"/>
    <w:rsid w:val="008E2FD9"/>
    <w:rsid w:val="008E303B"/>
    <w:rsid w:val="008E328C"/>
    <w:rsid w:val="008E3841"/>
    <w:rsid w:val="008E3898"/>
    <w:rsid w:val="008E3D60"/>
    <w:rsid w:val="008E3F4C"/>
    <w:rsid w:val="008E4AE4"/>
    <w:rsid w:val="008E58B3"/>
    <w:rsid w:val="008E6D11"/>
    <w:rsid w:val="008E71B2"/>
    <w:rsid w:val="008E78F0"/>
    <w:rsid w:val="008F062E"/>
    <w:rsid w:val="008F0A82"/>
    <w:rsid w:val="008F0B35"/>
    <w:rsid w:val="008F18D5"/>
    <w:rsid w:val="008F45CE"/>
    <w:rsid w:val="008F4A07"/>
    <w:rsid w:val="008F514F"/>
    <w:rsid w:val="008F5347"/>
    <w:rsid w:val="008F5825"/>
    <w:rsid w:val="008F6D8A"/>
    <w:rsid w:val="008F7300"/>
    <w:rsid w:val="0090104F"/>
    <w:rsid w:val="0090165F"/>
    <w:rsid w:val="00901B82"/>
    <w:rsid w:val="00907017"/>
    <w:rsid w:val="00912058"/>
    <w:rsid w:val="00912371"/>
    <w:rsid w:val="009127CE"/>
    <w:rsid w:val="00912B09"/>
    <w:rsid w:val="0091311F"/>
    <w:rsid w:val="00914C8E"/>
    <w:rsid w:val="00914EAB"/>
    <w:rsid w:val="00914F0D"/>
    <w:rsid w:val="0091657E"/>
    <w:rsid w:val="00916E14"/>
    <w:rsid w:val="00917080"/>
    <w:rsid w:val="0091791D"/>
    <w:rsid w:val="00917B08"/>
    <w:rsid w:val="00917C1A"/>
    <w:rsid w:val="009223BF"/>
    <w:rsid w:val="00923275"/>
    <w:rsid w:val="00923FE7"/>
    <w:rsid w:val="00924D51"/>
    <w:rsid w:val="00925A7A"/>
    <w:rsid w:val="00926448"/>
    <w:rsid w:val="00926862"/>
    <w:rsid w:val="00927ECA"/>
    <w:rsid w:val="0093021A"/>
    <w:rsid w:val="00930B21"/>
    <w:rsid w:val="009310D9"/>
    <w:rsid w:val="0093163D"/>
    <w:rsid w:val="00931C92"/>
    <w:rsid w:val="00932FC2"/>
    <w:rsid w:val="009333B0"/>
    <w:rsid w:val="00933BD3"/>
    <w:rsid w:val="00934120"/>
    <w:rsid w:val="00935494"/>
    <w:rsid w:val="0093556F"/>
    <w:rsid w:val="00935613"/>
    <w:rsid w:val="009365A5"/>
    <w:rsid w:val="009368EC"/>
    <w:rsid w:val="0094115D"/>
    <w:rsid w:val="00941778"/>
    <w:rsid w:val="00942900"/>
    <w:rsid w:val="00942C99"/>
    <w:rsid w:val="009432CF"/>
    <w:rsid w:val="0094363A"/>
    <w:rsid w:val="00944487"/>
    <w:rsid w:val="00944E6B"/>
    <w:rsid w:val="00945F44"/>
    <w:rsid w:val="009476A5"/>
    <w:rsid w:val="009519FC"/>
    <w:rsid w:val="00952336"/>
    <w:rsid w:val="0095326F"/>
    <w:rsid w:val="00953460"/>
    <w:rsid w:val="009559A6"/>
    <w:rsid w:val="00955C36"/>
    <w:rsid w:val="00956074"/>
    <w:rsid w:val="00957054"/>
    <w:rsid w:val="00957336"/>
    <w:rsid w:val="0095733F"/>
    <w:rsid w:val="009578CC"/>
    <w:rsid w:val="00957D51"/>
    <w:rsid w:val="00960B9D"/>
    <w:rsid w:val="009628F2"/>
    <w:rsid w:val="00962AE3"/>
    <w:rsid w:val="009637FC"/>
    <w:rsid w:val="00963FBB"/>
    <w:rsid w:val="009654F9"/>
    <w:rsid w:val="0096600E"/>
    <w:rsid w:val="00966355"/>
    <w:rsid w:val="00966C2F"/>
    <w:rsid w:val="00966F8B"/>
    <w:rsid w:val="0096742A"/>
    <w:rsid w:val="00967B6D"/>
    <w:rsid w:val="009741A9"/>
    <w:rsid w:val="0097512B"/>
    <w:rsid w:val="00975D2C"/>
    <w:rsid w:val="00976E15"/>
    <w:rsid w:val="00976EC6"/>
    <w:rsid w:val="00980398"/>
    <w:rsid w:val="00980656"/>
    <w:rsid w:val="009806DD"/>
    <w:rsid w:val="00981132"/>
    <w:rsid w:val="00982404"/>
    <w:rsid w:val="00982E00"/>
    <w:rsid w:val="0098615F"/>
    <w:rsid w:val="00986527"/>
    <w:rsid w:val="00986B81"/>
    <w:rsid w:val="0099020B"/>
    <w:rsid w:val="009909C7"/>
    <w:rsid w:val="00990B81"/>
    <w:rsid w:val="009923F6"/>
    <w:rsid w:val="00992B88"/>
    <w:rsid w:val="00995038"/>
    <w:rsid w:val="009961C8"/>
    <w:rsid w:val="00996525"/>
    <w:rsid w:val="0099732E"/>
    <w:rsid w:val="00997A20"/>
    <w:rsid w:val="00997B69"/>
    <w:rsid w:val="009A01DA"/>
    <w:rsid w:val="009A1259"/>
    <w:rsid w:val="009A1521"/>
    <w:rsid w:val="009A1C54"/>
    <w:rsid w:val="009A23C5"/>
    <w:rsid w:val="009A3750"/>
    <w:rsid w:val="009A38AE"/>
    <w:rsid w:val="009A3A29"/>
    <w:rsid w:val="009A3D9B"/>
    <w:rsid w:val="009A51AA"/>
    <w:rsid w:val="009A54CE"/>
    <w:rsid w:val="009A654E"/>
    <w:rsid w:val="009A79A2"/>
    <w:rsid w:val="009A7D85"/>
    <w:rsid w:val="009B0A1F"/>
    <w:rsid w:val="009B1121"/>
    <w:rsid w:val="009B1CCE"/>
    <w:rsid w:val="009B1D5B"/>
    <w:rsid w:val="009B237D"/>
    <w:rsid w:val="009B40A5"/>
    <w:rsid w:val="009B68B2"/>
    <w:rsid w:val="009C0A8D"/>
    <w:rsid w:val="009C1115"/>
    <w:rsid w:val="009C6FF2"/>
    <w:rsid w:val="009C7639"/>
    <w:rsid w:val="009C77C2"/>
    <w:rsid w:val="009D0829"/>
    <w:rsid w:val="009D12BB"/>
    <w:rsid w:val="009D15E1"/>
    <w:rsid w:val="009D41DA"/>
    <w:rsid w:val="009D492B"/>
    <w:rsid w:val="009D50C4"/>
    <w:rsid w:val="009D5552"/>
    <w:rsid w:val="009D6025"/>
    <w:rsid w:val="009D67F6"/>
    <w:rsid w:val="009E03B5"/>
    <w:rsid w:val="009E08D1"/>
    <w:rsid w:val="009E0FE1"/>
    <w:rsid w:val="009E2BAA"/>
    <w:rsid w:val="009E3D3B"/>
    <w:rsid w:val="009E422A"/>
    <w:rsid w:val="009E4BD0"/>
    <w:rsid w:val="009E6BF2"/>
    <w:rsid w:val="009F00B9"/>
    <w:rsid w:val="009F00BC"/>
    <w:rsid w:val="009F2142"/>
    <w:rsid w:val="009F2764"/>
    <w:rsid w:val="009F2E7B"/>
    <w:rsid w:val="009F3A48"/>
    <w:rsid w:val="009F49AB"/>
    <w:rsid w:val="009F4E66"/>
    <w:rsid w:val="009F6181"/>
    <w:rsid w:val="009F6E7B"/>
    <w:rsid w:val="009F7D00"/>
    <w:rsid w:val="00A0406E"/>
    <w:rsid w:val="00A11307"/>
    <w:rsid w:val="00A122E7"/>
    <w:rsid w:val="00A129E2"/>
    <w:rsid w:val="00A12A2A"/>
    <w:rsid w:val="00A12B9D"/>
    <w:rsid w:val="00A13AF3"/>
    <w:rsid w:val="00A13BC9"/>
    <w:rsid w:val="00A16B7E"/>
    <w:rsid w:val="00A210DD"/>
    <w:rsid w:val="00A21388"/>
    <w:rsid w:val="00A21682"/>
    <w:rsid w:val="00A217F0"/>
    <w:rsid w:val="00A21ABD"/>
    <w:rsid w:val="00A24D0F"/>
    <w:rsid w:val="00A25086"/>
    <w:rsid w:val="00A25620"/>
    <w:rsid w:val="00A25CF2"/>
    <w:rsid w:val="00A25D23"/>
    <w:rsid w:val="00A261B0"/>
    <w:rsid w:val="00A270D2"/>
    <w:rsid w:val="00A27700"/>
    <w:rsid w:val="00A27791"/>
    <w:rsid w:val="00A277EF"/>
    <w:rsid w:val="00A27ABE"/>
    <w:rsid w:val="00A31C25"/>
    <w:rsid w:val="00A351B7"/>
    <w:rsid w:val="00A355F9"/>
    <w:rsid w:val="00A35C5F"/>
    <w:rsid w:val="00A35E89"/>
    <w:rsid w:val="00A37814"/>
    <w:rsid w:val="00A4026A"/>
    <w:rsid w:val="00A40CAD"/>
    <w:rsid w:val="00A41355"/>
    <w:rsid w:val="00A41A2F"/>
    <w:rsid w:val="00A42D8E"/>
    <w:rsid w:val="00A437B6"/>
    <w:rsid w:val="00A43B92"/>
    <w:rsid w:val="00A4508A"/>
    <w:rsid w:val="00A476DC"/>
    <w:rsid w:val="00A50071"/>
    <w:rsid w:val="00A5033B"/>
    <w:rsid w:val="00A507A1"/>
    <w:rsid w:val="00A50F8F"/>
    <w:rsid w:val="00A5147E"/>
    <w:rsid w:val="00A5228F"/>
    <w:rsid w:val="00A52A60"/>
    <w:rsid w:val="00A53512"/>
    <w:rsid w:val="00A53A0B"/>
    <w:rsid w:val="00A54251"/>
    <w:rsid w:val="00A54E39"/>
    <w:rsid w:val="00A5581F"/>
    <w:rsid w:val="00A57DDC"/>
    <w:rsid w:val="00A60091"/>
    <w:rsid w:val="00A60149"/>
    <w:rsid w:val="00A60997"/>
    <w:rsid w:val="00A6179E"/>
    <w:rsid w:val="00A62243"/>
    <w:rsid w:val="00A62CF1"/>
    <w:rsid w:val="00A6356B"/>
    <w:rsid w:val="00A63E19"/>
    <w:rsid w:val="00A64316"/>
    <w:rsid w:val="00A65699"/>
    <w:rsid w:val="00A659F9"/>
    <w:rsid w:val="00A709D5"/>
    <w:rsid w:val="00A715C5"/>
    <w:rsid w:val="00A7240B"/>
    <w:rsid w:val="00A72FDE"/>
    <w:rsid w:val="00A732CF"/>
    <w:rsid w:val="00A76D1B"/>
    <w:rsid w:val="00A802EE"/>
    <w:rsid w:val="00A804D9"/>
    <w:rsid w:val="00A80A2F"/>
    <w:rsid w:val="00A82B57"/>
    <w:rsid w:val="00A83605"/>
    <w:rsid w:val="00A85152"/>
    <w:rsid w:val="00A8573B"/>
    <w:rsid w:val="00A86E4E"/>
    <w:rsid w:val="00A92915"/>
    <w:rsid w:val="00A92F92"/>
    <w:rsid w:val="00A93CAF"/>
    <w:rsid w:val="00A94AC6"/>
    <w:rsid w:val="00A96732"/>
    <w:rsid w:val="00A96892"/>
    <w:rsid w:val="00A96BE6"/>
    <w:rsid w:val="00A96C9A"/>
    <w:rsid w:val="00A978DF"/>
    <w:rsid w:val="00AA0575"/>
    <w:rsid w:val="00AA2051"/>
    <w:rsid w:val="00AA2B95"/>
    <w:rsid w:val="00AA3521"/>
    <w:rsid w:val="00AA3B06"/>
    <w:rsid w:val="00AA3E68"/>
    <w:rsid w:val="00AA4E8D"/>
    <w:rsid w:val="00AA6964"/>
    <w:rsid w:val="00AA70C4"/>
    <w:rsid w:val="00AA716C"/>
    <w:rsid w:val="00AA736E"/>
    <w:rsid w:val="00AB022B"/>
    <w:rsid w:val="00AB0D41"/>
    <w:rsid w:val="00AB16AA"/>
    <w:rsid w:val="00AB33CC"/>
    <w:rsid w:val="00AB717E"/>
    <w:rsid w:val="00AB7C8F"/>
    <w:rsid w:val="00AC083B"/>
    <w:rsid w:val="00AC2192"/>
    <w:rsid w:val="00AC220A"/>
    <w:rsid w:val="00AC24B4"/>
    <w:rsid w:val="00AC3BB2"/>
    <w:rsid w:val="00AC4FA7"/>
    <w:rsid w:val="00AC636D"/>
    <w:rsid w:val="00AC658D"/>
    <w:rsid w:val="00AC66A2"/>
    <w:rsid w:val="00AC71B1"/>
    <w:rsid w:val="00AC7AA4"/>
    <w:rsid w:val="00AD296F"/>
    <w:rsid w:val="00AD2C34"/>
    <w:rsid w:val="00AD41D3"/>
    <w:rsid w:val="00AD6782"/>
    <w:rsid w:val="00AD6E12"/>
    <w:rsid w:val="00AE61EC"/>
    <w:rsid w:val="00AE660F"/>
    <w:rsid w:val="00AE6939"/>
    <w:rsid w:val="00AE6D89"/>
    <w:rsid w:val="00AE7215"/>
    <w:rsid w:val="00AF028B"/>
    <w:rsid w:val="00AF0291"/>
    <w:rsid w:val="00AF0827"/>
    <w:rsid w:val="00AF126A"/>
    <w:rsid w:val="00AF19D1"/>
    <w:rsid w:val="00AF2946"/>
    <w:rsid w:val="00AF423D"/>
    <w:rsid w:val="00AF5053"/>
    <w:rsid w:val="00AF5527"/>
    <w:rsid w:val="00AF6AEA"/>
    <w:rsid w:val="00AF7D4E"/>
    <w:rsid w:val="00B0080D"/>
    <w:rsid w:val="00B00AB6"/>
    <w:rsid w:val="00B00AD5"/>
    <w:rsid w:val="00B00F61"/>
    <w:rsid w:val="00B01132"/>
    <w:rsid w:val="00B0245B"/>
    <w:rsid w:val="00B02537"/>
    <w:rsid w:val="00B02C73"/>
    <w:rsid w:val="00B02F21"/>
    <w:rsid w:val="00B05894"/>
    <w:rsid w:val="00B06643"/>
    <w:rsid w:val="00B0681D"/>
    <w:rsid w:val="00B0762E"/>
    <w:rsid w:val="00B07BE3"/>
    <w:rsid w:val="00B07DE8"/>
    <w:rsid w:val="00B10864"/>
    <w:rsid w:val="00B10A64"/>
    <w:rsid w:val="00B11748"/>
    <w:rsid w:val="00B11A04"/>
    <w:rsid w:val="00B12AC0"/>
    <w:rsid w:val="00B12DD7"/>
    <w:rsid w:val="00B13708"/>
    <w:rsid w:val="00B179F7"/>
    <w:rsid w:val="00B17A6F"/>
    <w:rsid w:val="00B17D41"/>
    <w:rsid w:val="00B2101F"/>
    <w:rsid w:val="00B21461"/>
    <w:rsid w:val="00B216C0"/>
    <w:rsid w:val="00B217B8"/>
    <w:rsid w:val="00B228A2"/>
    <w:rsid w:val="00B237FB"/>
    <w:rsid w:val="00B24738"/>
    <w:rsid w:val="00B248CF"/>
    <w:rsid w:val="00B24B1D"/>
    <w:rsid w:val="00B2501B"/>
    <w:rsid w:val="00B25BA5"/>
    <w:rsid w:val="00B261D0"/>
    <w:rsid w:val="00B26C33"/>
    <w:rsid w:val="00B26CBF"/>
    <w:rsid w:val="00B276D1"/>
    <w:rsid w:val="00B277E0"/>
    <w:rsid w:val="00B30C05"/>
    <w:rsid w:val="00B31298"/>
    <w:rsid w:val="00B31B46"/>
    <w:rsid w:val="00B31CE8"/>
    <w:rsid w:val="00B31D74"/>
    <w:rsid w:val="00B3354F"/>
    <w:rsid w:val="00B34946"/>
    <w:rsid w:val="00B35FB0"/>
    <w:rsid w:val="00B36014"/>
    <w:rsid w:val="00B36171"/>
    <w:rsid w:val="00B41CE3"/>
    <w:rsid w:val="00B4325D"/>
    <w:rsid w:val="00B433B2"/>
    <w:rsid w:val="00B43BA0"/>
    <w:rsid w:val="00B440FA"/>
    <w:rsid w:val="00B461E7"/>
    <w:rsid w:val="00B469BC"/>
    <w:rsid w:val="00B47552"/>
    <w:rsid w:val="00B519FD"/>
    <w:rsid w:val="00B520BC"/>
    <w:rsid w:val="00B52BFA"/>
    <w:rsid w:val="00B539CC"/>
    <w:rsid w:val="00B54687"/>
    <w:rsid w:val="00B548E1"/>
    <w:rsid w:val="00B567DE"/>
    <w:rsid w:val="00B56D2B"/>
    <w:rsid w:val="00B571FE"/>
    <w:rsid w:val="00B57CE2"/>
    <w:rsid w:val="00B616C6"/>
    <w:rsid w:val="00B61870"/>
    <w:rsid w:val="00B62BEE"/>
    <w:rsid w:val="00B63D24"/>
    <w:rsid w:val="00B63DF0"/>
    <w:rsid w:val="00B651F5"/>
    <w:rsid w:val="00B6655C"/>
    <w:rsid w:val="00B6782F"/>
    <w:rsid w:val="00B7024E"/>
    <w:rsid w:val="00B71124"/>
    <w:rsid w:val="00B7235E"/>
    <w:rsid w:val="00B74301"/>
    <w:rsid w:val="00B74A51"/>
    <w:rsid w:val="00B757A5"/>
    <w:rsid w:val="00B758EF"/>
    <w:rsid w:val="00B75ABB"/>
    <w:rsid w:val="00B760FF"/>
    <w:rsid w:val="00B77459"/>
    <w:rsid w:val="00B80592"/>
    <w:rsid w:val="00B8150D"/>
    <w:rsid w:val="00B81CC6"/>
    <w:rsid w:val="00B823D7"/>
    <w:rsid w:val="00B830E1"/>
    <w:rsid w:val="00B8417B"/>
    <w:rsid w:val="00B842A6"/>
    <w:rsid w:val="00B847D6"/>
    <w:rsid w:val="00B84FB7"/>
    <w:rsid w:val="00B85D99"/>
    <w:rsid w:val="00B87415"/>
    <w:rsid w:val="00B87F64"/>
    <w:rsid w:val="00B90C5D"/>
    <w:rsid w:val="00B91138"/>
    <w:rsid w:val="00B9165A"/>
    <w:rsid w:val="00B91873"/>
    <w:rsid w:val="00B919EC"/>
    <w:rsid w:val="00B92275"/>
    <w:rsid w:val="00B924E6"/>
    <w:rsid w:val="00B93678"/>
    <w:rsid w:val="00B93702"/>
    <w:rsid w:val="00B959B6"/>
    <w:rsid w:val="00B966BD"/>
    <w:rsid w:val="00B97ED3"/>
    <w:rsid w:val="00B97FCE"/>
    <w:rsid w:val="00BA262D"/>
    <w:rsid w:val="00BA295A"/>
    <w:rsid w:val="00BA4CD2"/>
    <w:rsid w:val="00BA5698"/>
    <w:rsid w:val="00BA5C71"/>
    <w:rsid w:val="00BA607E"/>
    <w:rsid w:val="00BA7100"/>
    <w:rsid w:val="00BA77AD"/>
    <w:rsid w:val="00BA7DF4"/>
    <w:rsid w:val="00BB26D9"/>
    <w:rsid w:val="00BB3A8E"/>
    <w:rsid w:val="00BB3E9C"/>
    <w:rsid w:val="00BB4040"/>
    <w:rsid w:val="00BB4E6B"/>
    <w:rsid w:val="00BB6AD2"/>
    <w:rsid w:val="00BB6B33"/>
    <w:rsid w:val="00BC0011"/>
    <w:rsid w:val="00BC01F0"/>
    <w:rsid w:val="00BC0B03"/>
    <w:rsid w:val="00BC11A0"/>
    <w:rsid w:val="00BC3FB9"/>
    <w:rsid w:val="00BC65C5"/>
    <w:rsid w:val="00BC79EB"/>
    <w:rsid w:val="00BC7B3A"/>
    <w:rsid w:val="00BD00F3"/>
    <w:rsid w:val="00BD0969"/>
    <w:rsid w:val="00BD16A2"/>
    <w:rsid w:val="00BD3439"/>
    <w:rsid w:val="00BD5D19"/>
    <w:rsid w:val="00BD5F40"/>
    <w:rsid w:val="00BD7FCF"/>
    <w:rsid w:val="00BE0E45"/>
    <w:rsid w:val="00BE0FE8"/>
    <w:rsid w:val="00BE14C3"/>
    <w:rsid w:val="00BE258A"/>
    <w:rsid w:val="00BE2655"/>
    <w:rsid w:val="00BE294E"/>
    <w:rsid w:val="00BE2A76"/>
    <w:rsid w:val="00BE2D34"/>
    <w:rsid w:val="00BE4507"/>
    <w:rsid w:val="00BE57E2"/>
    <w:rsid w:val="00BE5CDE"/>
    <w:rsid w:val="00BE6B28"/>
    <w:rsid w:val="00BF0248"/>
    <w:rsid w:val="00BF0D34"/>
    <w:rsid w:val="00BF1542"/>
    <w:rsid w:val="00BF5514"/>
    <w:rsid w:val="00BF6406"/>
    <w:rsid w:val="00BF7AC7"/>
    <w:rsid w:val="00C0003D"/>
    <w:rsid w:val="00C00603"/>
    <w:rsid w:val="00C01004"/>
    <w:rsid w:val="00C02C3A"/>
    <w:rsid w:val="00C05C8B"/>
    <w:rsid w:val="00C064DC"/>
    <w:rsid w:val="00C07DFE"/>
    <w:rsid w:val="00C1147B"/>
    <w:rsid w:val="00C132CA"/>
    <w:rsid w:val="00C1350E"/>
    <w:rsid w:val="00C13C0F"/>
    <w:rsid w:val="00C149BD"/>
    <w:rsid w:val="00C16023"/>
    <w:rsid w:val="00C16E81"/>
    <w:rsid w:val="00C1706C"/>
    <w:rsid w:val="00C17B50"/>
    <w:rsid w:val="00C20640"/>
    <w:rsid w:val="00C208F8"/>
    <w:rsid w:val="00C22698"/>
    <w:rsid w:val="00C22BB9"/>
    <w:rsid w:val="00C22CA0"/>
    <w:rsid w:val="00C2466C"/>
    <w:rsid w:val="00C257FF"/>
    <w:rsid w:val="00C25BDA"/>
    <w:rsid w:val="00C2620E"/>
    <w:rsid w:val="00C265D4"/>
    <w:rsid w:val="00C266CF"/>
    <w:rsid w:val="00C302C8"/>
    <w:rsid w:val="00C30F26"/>
    <w:rsid w:val="00C313D8"/>
    <w:rsid w:val="00C31E20"/>
    <w:rsid w:val="00C33104"/>
    <w:rsid w:val="00C332D4"/>
    <w:rsid w:val="00C343B4"/>
    <w:rsid w:val="00C355B2"/>
    <w:rsid w:val="00C357F3"/>
    <w:rsid w:val="00C360DD"/>
    <w:rsid w:val="00C36AF4"/>
    <w:rsid w:val="00C40FBC"/>
    <w:rsid w:val="00C41235"/>
    <w:rsid w:val="00C41FF0"/>
    <w:rsid w:val="00C426FD"/>
    <w:rsid w:val="00C42AA2"/>
    <w:rsid w:val="00C4526C"/>
    <w:rsid w:val="00C4578E"/>
    <w:rsid w:val="00C46EC9"/>
    <w:rsid w:val="00C471D1"/>
    <w:rsid w:val="00C47271"/>
    <w:rsid w:val="00C4776D"/>
    <w:rsid w:val="00C47AE4"/>
    <w:rsid w:val="00C47B6E"/>
    <w:rsid w:val="00C50A1B"/>
    <w:rsid w:val="00C50D5A"/>
    <w:rsid w:val="00C51011"/>
    <w:rsid w:val="00C512EE"/>
    <w:rsid w:val="00C559BD"/>
    <w:rsid w:val="00C55D7D"/>
    <w:rsid w:val="00C560AC"/>
    <w:rsid w:val="00C5781C"/>
    <w:rsid w:val="00C57CA2"/>
    <w:rsid w:val="00C60343"/>
    <w:rsid w:val="00C60540"/>
    <w:rsid w:val="00C60813"/>
    <w:rsid w:val="00C60AB7"/>
    <w:rsid w:val="00C63223"/>
    <w:rsid w:val="00C65659"/>
    <w:rsid w:val="00C663F0"/>
    <w:rsid w:val="00C66674"/>
    <w:rsid w:val="00C6748F"/>
    <w:rsid w:val="00C67672"/>
    <w:rsid w:val="00C709E4"/>
    <w:rsid w:val="00C70B00"/>
    <w:rsid w:val="00C70E07"/>
    <w:rsid w:val="00C7387B"/>
    <w:rsid w:val="00C738D5"/>
    <w:rsid w:val="00C73F1F"/>
    <w:rsid w:val="00C74AEC"/>
    <w:rsid w:val="00C74B3D"/>
    <w:rsid w:val="00C75198"/>
    <w:rsid w:val="00C76572"/>
    <w:rsid w:val="00C80E38"/>
    <w:rsid w:val="00C8148B"/>
    <w:rsid w:val="00C8361C"/>
    <w:rsid w:val="00C83B89"/>
    <w:rsid w:val="00C854D4"/>
    <w:rsid w:val="00C8586E"/>
    <w:rsid w:val="00C90556"/>
    <w:rsid w:val="00C91F2E"/>
    <w:rsid w:val="00C94456"/>
    <w:rsid w:val="00C95D09"/>
    <w:rsid w:val="00C95D9D"/>
    <w:rsid w:val="00CA046C"/>
    <w:rsid w:val="00CA0D78"/>
    <w:rsid w:val="00CA175B"/>
    <w:rsid w:val="00CA19B3"/>
    <w:rsid w:val="00CA2D60"/>
    <w:rsid w:val="00CA4855"/>
    <w:rsid w:val="00CA5010"/>
    <w:rsid w:val="00CA5D90"/>
    <w:rsid w:val="00CA6C8A"/>
    <w:rsid w:val="00CA7E73"/>
    <w:rsid w:val="00CB139C"/>
    <w:rsid w:val="00CB1F98"/>
    <w:rsid w:val="00CB24FE"/>
    <w:rsid w:val="00CB2A3B"/>
    <w:rsid w:val="00CB3D19"/>
    <w:rsid w:val="00CB4785"/>
    <w:rsid w:val="00CB552E"/>
    <w:rsid w:val="00CB56AC"/>
    <w:rsid w:val="00CB68F1"/>
    <w:rsid w:val="00CB6E11"/>
    <w:rsid w:val="00CB707B"/>
    <w:rsid w:val="00CB73B2"/>
    <w:rsid w:val="00CC010F"/>
    <w:rsid w:val="00CC03D7"/>
    <w:rsid w:val="00CC20C5"/>
    <w:rsid w:val="00CC2AA0"/>
    <w:rsid w:val="00CC510E"/>
    <w:rsid w:val="00CC52A9"/>
    <w:rsid w:val="00CC52C9"/>
    <w:rsid w:val="00CC5301"/>
    <w:rsid w:val="00CC63D5"/>
    <w:rsid w:val="00CC67B2"/>
    <w:rsid w:val="00CD04C3"/>
    <w:rsid w:val="00CD3249"/>
    <w:rsid w:val="00CD511A"/>
    <w:rsid w:val="00CD58FD"/>
    <w:rsid w:val="00CD6936"/>
    <w:rsid w:val="00CD6EE5"/>
    <w:rsid w:val="00CE1A00"/>
    <w:rsid w:val="00CE2991"/>
    <w:rsid w:val="00CE2F5E"/>
    <w:rsid w:val="00CE407B"/>
    <w:rsid w:val="00CE4DD2"/>
    <w:rsid w:val="00CE5D15"/>
    <w:rsid w:val="00CE60E3"/>
    <w:rsid w:val="00CE7301"/>
    <w:rsid w:val="00CF0AC3"/>
    <w:rsid w:val="00CF3C45"/>
    <w:rsid w:val="00CF5D6E"/>
    <w:rsid w:val="00CF5E5E"/>
    <w:rsid w:val="00CF6C7C"/>
    <w:rsid w:val="00CF748E"/>
    <w:rsid w:val="00D0122A"/>
    <w:rsid w:val="00D01865"/>
    <w:rsid w:val="00D02A36"/>
    <w:rsid w:val="00D03307"/>
    <w:rsid w:val="00D04128"/>
    <w:rsid w:val="00D0501F"/>
    <w:rsid w:val="00D0683F"/>
    <w:rsid w:val="00D10C57"/>
    <w:rsid w:val="00D117AB"/>
    <w:rsid w:val="00D11928"/>
    <w:rsid w:val="00D12B3A"/>
    <w:rsid w:val="00D12ED6"/>
    <w:rsid w:val="00D12EF2"/>
    <w:rsid w:val="00D13417"/>
    <w:rsid w:val="00D159EA"/>
    <w:rsid w:val="00D1665B"/>
    <w:rsid w:val="00D20714"/>
    <w:rsid w:val="00D20B68"/>
    <w:rsid w:val="00D21975"/>
    <w:rsid w:val="00D22EE6"/>
    <w:rsid w:val="00D249DD"/>
    <w:rsid w:val="00D24F64"/>
    <w:rsid w:val="00D26E6A"/>
    <w:rsid w:val="00D27A6C"/>
    <w:rsid w:val="00D307FD"/>
    <w:rsid w:val="00D3111B"/>
    <w:rsid w:val="00D3159C"/>
    <w:rsid w:val="00D316D4"/>
    <w:rsid w:val="00D31A44"/>
    <w:rsid w:val="00D32166"/>
    <w:rsid w:val="00D324FF"/>
    <w:rsid w:val="00D32B62"/>
    <w:rsid w:val="00D33220"/>
    <w:rsid w:val="00D3332C"/>
    <w:rsid w:val="00D343FA"/>
    <w:rsid w:val="00D418FF"/>
    <w:rsid w:val="00D42377"/>
    <w:rsid w:val="00D426C8"/>
    <w:rsid w:val="00D430FE"/>
    <w:rsid w:val="00D4322C"/>
    <w:rsid w:val="00D44E9A"/>
    <w:rsid w:val="00D45463"/>
    <w:rsid w:val="00D45DEC"/>
    <w:rsid w:val="00D4661B"/>
    <w:rsid w:val="00D46D0F"/>
    <w:rsid w:val="00D476A8"/>
    <w:rsid w:val="00D47DA5"/>
    <w:rsid w:val="00D50694"/>
    <w:rsid w:val="00D54275"/>
    <w:rsid w:val="00D546D5"/>
    <w:rsid w:val="00D556D6"/>
    <w:rsid w:val="00D55F84"/>
    <w:rsid w:val="00D56F52"/>
    <w:rsid w:val="00D5726B"/>
    <w:rsid w:val="00D57ADA"/>
    <w:rsid w:val="00D61AB4"/>
    <w:rsid w:val="00D6222D"/>
    <w:rsid w:val="00D63B8E"/>
    <w:rsid w:val="00D6450C"/>
    <w:rsid w:val="00D656B6"/>
    <w:rsid w:val="00D65C76"/>
    <w:rsid w:val="00D67359"/>
    <w:rsid w:val="00D6747D"/>
    <w:rsid w:val="00D67825"/>
    <w:rsid w:val="00D70656"/>
    <w:rsid w:val="00D719BD"/>
    <w:rsid w:val="00D734C7"/>
    <w:rsid w:val="00D73AD9"/>
    <w:rsid w:val="00D740E5"/>
    <w:rsid w:val="00D7542B"/>
    <w:rsid w:val="00D7717D"/>
    <w:rsid w:val="00D7747F"/>
    <w:rsid w:val="00D80516"/>
    <w:rsid w:val="00D80A84"/>
    <w:rsid w:val="00D815AE"/>
    <w:rsid w:val="00D82413"/>
    <w:rsid w:val="00D82A34"/>
    <w:rsid w:val="00D8333B"/>
    <w:rsid w:val="00D8351F"/>
    <w:rsid w:val="00D8462A"/>
    <w:rsid w:val="00D851A7"/>
    <w:rsid w:val="00D853F1"/>
    <w:rsid w:val="00D87541"/>
    <w:rsid w:val="00D909C3"/>
    <w:rsid w:val="00D90A6A"/>
    <w:rsid w:val="00D92195"/>
    <w:rsid w:val="00D92F86"/>
    <w:rsid w:val="00D94BAC"/>
    <w:rsid w:val="00D94D58"/>
    <w:rsid w:val="00D955EC"/>
    <w:rsid w:val="00D96A9C"/>
    <w:rsid w:val="00D975CB"/>
    <w:rsid w:val="00D97FA3"/>
    <w:rsid w:val="00DA1C82"/>
    <w:rsid w:val="00DA1D32"/>
    <w:rsid w:val="00DA2F73"/>
    <w:rsid w:val="00DA55B4"/>
    <w:rsid w:val="00DA60DE"/>
    <w:rsid w:val="00DA6300"/>
    <w:rsid w:val="00DA7A55"/>
    <w:rsid w:val="00DA7CD8"/>
    <w:rsid w:val="00DB0CDF"/>
    <w:rsid w:val="00DB10E6"/>
    <w:rsid w:val="00DB130E"/>
    <w:rsid w:val="00DB181A"/>
    <w:rsid w:val="00DB2355"/>
    <w:rsid w:val="00DB29E5"/>
    <w:rsid w:val="00DB3059"/>
    <w:rsid w:val="00DB3074"/>
    <w:rsid w:val="00DB3CFC"/>
    <w:rsid w:val="00DB458C"/>
    <w:rsid w:val="00DB5309"/>
    <w:rsid w:val="00DB7FDD"/>
    <w:rsid w:val="00DC0659"/>
    <w:rsid w:val="00DC13D2"/>
    <w:rsid w:val="00DC307B"/>
    <w:rsid w:val="00DC342F"/>
    <w:rsid w:val="00DC343B"/>
    <w:rsid w:val="00DC38ED"/>
    <w:rsid w:val="00DC462F"/>
    <w:rsid w:val="00DC499A"/>
    <w:rsid w:val="00DC6F1A"/>
    <w:rsid w:val="00DC6FEC"/>
    <w:rsid w:val="00DD03B5"/>
    <w:rsid w:val="00DD0794"/>
    <w:rsid w:val="00DD181E"/>
    <w:rsid w:val="00DD271A"/>
    <w:rsid w:val="00DD2A1C"/>
    <w:rsid w:val="00DD33FD"/>
    <w:rsid w:val="00DD3754"/>
    <w:rsid w:val="00DD49FE"/>
    <w:rsid w:val="00DD4BC4"/>
    <w:rsid w:val="00DD50E2"/>
    <w:rsid w:val="00DD63D2"/>
    <w:rsid w:val="00DD6A21"/>
    <w:rsid w:val="00DE05A6"/>
    <w:rsid w:val="00DE08BD"/>
    <w:rsid w:val="00DE18A7"/>
    <w:rsid w:val="00DE19CA"/>
    <w:rsid w:val="00DE238B"/>
    <w:rsid w:val="00DE2E5B"/>
    <w:rsid w:val="00DE2EFB"/>
    <w:rsid w:val="00DE331C"/>
    <w:rsid w:val="00DE40C7"/>
    <w:rsid w:val="00DE4243"/>
    <w:rsid w:val="00DE448D"/>
    <w:rsid w:val="00DE4D2D"/>
    <w:rsid w:val="00DE5DA5"/>
    <w:rsid w:val="00DE60CA"/>
    <w:rsid w:val="00DE6A86"/>
    <w:rsid w:val="00DE70B8"/>
    <w:rsid w:val="00DE7FFE"/>
    <w:rsid w:val="00DF01B6"/>
    <w:rsid w:val="00DF2301"/>
    <w:rsid w:val="00DF277F"/>
    <w:rsid w:val="00DF357D"/>
    <w:rsid w:val="00DF3E3F"/>
    <w:rsid w:val="00DF3F63"/>
    <w:rsid w:val="00DF4575"/>
    <w:rsid w:val="00DF6163"/>
    <w:rsid w:val="00DF75AB"/>
    <w:rsid w:val="00DF7864"/>
    <w:rsid w:val="00DF7BDF"/>
    <w:rsid w:val="00E02517"/>
    <w:rsid w:val="00E03818"/>
    <w:rsid w:val="00E03D16"/>
    <w:rsid w:val="00E050B2"/>
    <w:rsid w:val="00E10114"/>
    <w:rsid w:val="00E10792"/>
    <w:rsid w:val="00E116B5"/>
    <w:rsid w:val="00E11AC4"/>
    <w:rsid w:val="00E1235F"/>
    <w:rsid w:val="00E1321F"/>
    <w:rsid w:val="00E14303"/>
    <w:rsid w:val="00E14310"/>
    <w:rsid w:val="00E14833"/>
    <w:rsid w:val="00E15A07"/>
    <w:rsid w:val="00E160C2"/>
    <w:rsid w:val="00E1675F"/>
    <w:rsid w:val="00E16A5C"/>
    <w:rsid w:val="00E1707A"/>
    <w:rsid w:val="00E204EF"/>
    <w:rsid w:val="00E22B4C"/>
    <w:rsid w:val="00E23DB3"/>
    <w:rsid w:val="00E23DD3"/>
    <w:rsid w:val="00E249AF"/>
    <w:rsid w:val="00E24D24"/>
    <w:rsid w:val="00E24FA3"/>
    <w:rsid w:val="00E250F5"/>
    <w:rsid w:val="00E262AC"/>
    <w:rsid w:val="00E26639"/>
    <w:rsid w:val="00E26734"/>
    <w:rsid w:val="00E269BB"/>
    <w:rsid w:val="00E26B28"/>
    <w:rsid w:val="00E276A4"/>
    <w:rsid w:val="00E3027C"/>
    <w:rsid w:val="00E308D1"/>
    <w:rsid w:val="00E31465"/>
    <w:rsid w:val="00E31CC0"/>
    <w:rsid w:val="00E328CD"/>
    <w:rsid w:val="00E330FD"/>
    <w:rsid w:val="00E34274"/>
    <w:rsid w:val="00E3489E"/>
    <w:rsid w:val="00E350EC"/>
    <w:rsid w:val="00E3546C"/>
    <w:rsid w:val="00E3558B"/>
    <w:rsid w:val="00E362F0"/>
    <w:rsid w:val="00E36B95"/>
    <w:rsid w:val="00E37595"/>
    <w:rsid w:val="00E37FE8"/>
    <w:rsid w:val="00E4003F"/>
    <w:rsid w:val="00E41E44"/>
    <w:rsid w:val="00E458F6"/>
    <w:rsid w:val="00E45954"/>
    <w:rsid w:val="00E46704"/>
    <w:rsid w:val="00E47707"/>
    <w:rsid w:val="00E4792A"/>
    <w:rsid w:val="00E51085"/>
    <w:rsid w:val="00E51D1F"/>
    <w:rsid w:val="00E5247D"/>
    <w:rsid w:val="00E53507"/>
    <w:rsid w:val="00E53546"/>
    <w:rsid w:val="00E555DB"/>
    <w:rsid w:val="00E55F24"/>
    <w:rsid w:val="00E57135"/>
    <w:rsid w:val="00E57DE2"/>
    <w:rsid w:val="00E6038B"/>
    <w:rsid w:val="00E61068"/>
    <w:rsid w:val="00E61807"/>
    <w:rsid w:val="00E62B17"/>
    <w:rsid w:val="00E66D3F"/>
    <w:rsid w:val="00E6736E"/>
    <w:rsid w:val="00E67F20"/>
    <w:rsid w:val="00E706E0"/>
    <w:rsid w:val="00E70E2C"/>
    <w:rsid w:val="00E70EB3"/>
    <w:rsid w:val="00E71A9F"/>
    <w:rsid w:val="00E72076"/>
    <w:rsid w:val="00E730BB"/>
    <w:rsid w:val="00E74A8B"/>
    <w:rsid w:val="00E752E7"/>
    <w:rsid w:val="00E77E63"/>
    <w:rsid w:val="00E77E7A"/>
    <w:rsid w:val="00E83393"/>
    <w:rsid w:val="00E838E0"/>
    <w:rsid w:val="00E83D4C"/>
    <w:rsid w:val="00E8450C"/>
    <w:rsid w:val="00E84E5D"/>
    <w:rsid w:val="00E86276"/>
    <w:rsid w:val="00E87628"/>
    <w:rsid w:val="00E87FEA"/>
    <w:rsid w:val="00E906A8"/>
    <w:rsid w:val="00E90ADB"/>
    <w:rsid w:val="00E9142F"/>
    <w:rsid w:val="00E92209"/>
    <w:rsid w:val="00E932D9"/>
    <w:rsid w:val="00E9339C"/>
    <w:rsid w:val="00E93409"/>
    <w:rsid w:val="00E948B2"/>
    <w:rsid w:val="00E94FAA"/>
    <w:rsid w:val="00E95081"/>
    <w:rsid w:val="00E95B97"/>
    <w:rsid w:val="00E96017"/>
    <w:rsid w:val="00E96343"/>
    <w:rsid w:val="00E96825"/>
    <w:rsid w:val="00E96852"/>
    <w:rsid w:val="00E9693F"/>
    <w:rsid w:val="00E97353"/>
    <w:rsid w:val="00EA022E"/>
    <w:rsid w:val="00EA2FF1"/>
    <w:rsid w:val="00EA321E"/>
    <w:rsid w:val="00EA41B4"/>
    <w:rsid w:val="00EA44D9"/>
    <w:rsid w:val="00EA471C"/>
    <w:rsid w:val="00EA4C62"/>
    <w:rsid w:val="00EA588E"/>
    <w:rsid w:val="00EA6D81"/>
    <w:rsid w:val="00EB1EA5"/>
    <w:rsid w:val="00EB3DC6"/>
    <w:rsid w:val="00EB65F8"/>
    <w:rsid w:val="00EB6A76"/>
    <w:rsid w:val="00EB7CA0"/>
    <w:rsid w:val="00EC0112"/>
    <w:rsid w:val="00EC04AF"/>
    <w:rsid w:val="00EC0709"/>
    <w:rsid w:val="00EC27C7"/>
    <w:rsid w:val="00EC27CA"/>
    <w:rsid w:val="00EC2BD7"/>
    <w:rsid w:val="00EC7769"/>
    <w:rsid w:val="00ED1BA0"/>
    <w:rsid w:val="00ED1F0D"/>
    <w:rsid w:val="00ED4479"/>
    <w:rsid w:val="00ED460F"/>
    <w:rsid w:val="00ED4E50"/>
    <w:rsid w:val="00ED77B4"/>
    <w:rsid w:val="00EE0511"/>
    <w:rsid w:val="00EE05EC"/>
    <w:rsid w:val="00EE1722"/>
    <w:rsid w:val="00EE1C48"/>
    <w:rsid w:val="00EE2C65"/>
    <w:rsid w:val="00EE385D"/>
    <w:rsid w:val="00EE4AD5"/>
    <w:rsid w:val="00EE4E07"/>
    <w:rsid w:val="00EE52DB"/>
    <w:rsid w:val="00EE598B"/>
    <w:rsid w:val="00EE5A3E"/>
    <w:rsid w:val="00EE73E6"/>
    <w:rsid w:val="00EE77EF"/>
    <w:rsid w:val="00EF155E"/>
    <w:rsid w:val="00EF1CA8"/>
    <w:rsid w:val="00EF2E55"/>
    <w:rsid w:val="00EF3116"/>
    <w:rsid w:val="00EF36E6"/>
    <w:rsid w:val="00EF4034"/>
    <w:rsid w:val="00EF4DC0"/>
    <w:rsid w:val="00EF5C19"/>
    <w:rsid w:val="00EF7E53"/>
    <w:rsid w:val="00F00145"/>
    <w:rsid w:val="00F00549"/>
    <w:rsid w:val="00F006B3"/>
    <w:rsid w:val="00F015BB"/>
    <w:rsid w:val="00F02421"/>
    <w:rsid w:val="00F029CA"/>
    <w:rsid w:val="00F03280"/>
    <w:rsid w:val="00F03544"/>
    <w:rsid w:val="00F0375A"/>
    <w:rsid w:val="00F0446E"/>
    <w:rsid w:val="00F048A4"/>
    <w:rsid w:val="00F04B79"/>
    <w:rsid w:val="00F05350"/>
    <w:rsid w:val="00F066D4"/>
    <w:rsid w:val="00F06D0B"/>
    <w:rsid w:val="00F06EF8"/>
    <w:rsid w:val="00F075C3"/>
    <w:rsid w:val="00F0799D"/>
    <w:rsid w:val="00F107A0"/>
    <w:rsid w:val="00F10BA1"/>
    <w:rsid w:val="00F11222"/>
    <w:rsid w:val="00F122E3"/>
    <w:rsid w:val="00F127A8"/>
    <w:rsid w:val="00F12A07"/>
    <w:rsid w:val="00F12A77"/>
    <w:rsid w:val="00F14AC4"/>
    <w:rsid w:val="00F14C6D"/>
    <w:rsid w:val="00F15515"/>
    <w:rsid w:val="00F179C4"/>
    <w:rsid w:val="00F17A61"/>
    <w:rsid w:val="00F17C2C"/>
    <w:rsid w:val="00F20C24"/>
    <w:rsid w:val="00F220A5"/>
    <w:rsid w:val="00F23411"/>
    <w:rsid w:val="00F24BDE"/>
    <w:rsid w:val="00F26CF0"/>
    <w:rsid w:val="00F27735"/>
    <w:rsid w:val="00F314DE"/>
    <w:rsid w:val="00F318F2"/>
    <w:rsid w:val="00F33303"/>
    <w:rsid w:val="00F340F0"/>
    <w:rsid w:val="00F34362"/>
    <w:rsid w:val="00F34425"/>
    <w:rsid w:val="00F34BC9"/>
    <w:rsid w:val="00F36187"/>
    <w:rsid w:val="00F364AB"/>
    <w:rsid w:val="00F40165"/>
    <w:rsid w:val="00F407C1"/>
    <w:rsid w:val="00F40DC6"/>
    <w:rsid w:val="00F41414"/>
    <w:rsid w:val="00F418CA"/>
    <w:rsid w:val="00F42EA5"/>
    <w:rsid w:val="00F443B0"/>
    <w:rsid w:val="00F448E6"/>
    <w:rsid w:val="00F46931"/>
    <w:rsid w:val="00F47160"/>
    <w:rsid w:val="00F513AE"/>
    <w:rsid w:val="00F51528"/>
    <w:rsid w:val="00F518C8"/>
    <w:rsid w:val="00F53F2E"/>
    <w:rsid w:val="00F545CE"/>
    <w:rsid w:val="00F55F99"/>
    <w:rsid w:val="00F5652F"/>
    <w:rsid w:val="00F56CA8"/>
    <w:rsid w:val="00F57F50"/>
    <w:rsid w:val="00F607BD"/>
    <w:rsid w:val="00F60EF7"/>
    <w:rsid w:val="00F626FC"/>
    <w:rsid w:val="00F62FAB"/>
    <w:rsid w:val="00F64CFC"/>
    <w:rsid w:val="00F67892"/>
    <w:rsid w:val="00F70177"/>
    <w:rsid w:val="00F76929"/>
    <w:rsid w:val="00F77C16"/>
    <w:rsid w:val="00F8011C"/>
    <w:rsid w:val="00F81C6D"/>
    <w:rsid w:val="00F8302E"/>
    <w:rsid w:val="00F83048"/>
    <w:rsid w:val="00F834D8"/>
    <w:rsid w:val="00F8373F"/>
    <w:rsid w:val="00F83AB0"/>
    <w:rsid w:val="00F85562"/>
    <w:rsid w:val="00F86DAB"/>
    <w:rsid w:val="00F8756A"/>
    <w:rsid w:val="00F909B7"/>
    <w:rsid w:val="00F91F16"/>
    <w:rsid w:val="00F92ECD"/>
    <w:rsid w:val="00F9366F"/>
    <w:rsid w:val="00F9398E"/>
    <w:rsid w:val="00F95AAA"/>
    <w:rsid w:val="00F96425"/>
    <w:rsid w:val="00F969BF"/>
    <w:rsid w:val="00F9705E"/>
    <w:rsid w:val="00FA1FF6"/>
    <w:rsid w:val="00FA22A8"/>
    <w:rsid w:val="00FA22C3"/>
    <w:rsid w:val="00FA33F5"/>
    <w:rsid w:val="00FA4916"/>
    <w:rsid w:val="00FA5A8B"/>
    <w:rsid w:val="00FA6BBE"/>
    <w:rsid w:val="00FA6FFA"/>
    <w:rsid w:val="00FA7E5C"/>
    <w:rsid w:val="00FB04B1"/>
    <w:rsid w:val="00FB0697"/>
    <w:rsid w:val="00FB193D"/>
    <w:rsid w:val="00FB3422"/>
    <w:rsid w:val="00FB369B"/>
    <w:rsid w:val="00FB4191"/>
    <w:rsid w:val="00FB428D"/>
    <w:rsid w:val="00FB520F"/>
    <w:rsid w:val="00FC07CD"/>
    <w:rsid w:val="00FC2383"/>
    <w:rsid w:val="00FC4880"/>
    <w:rsid w:val="00FC560B"/>
    <w:rsid w:val="00FC7E12"/>
    <w:rsid w:val="00FD0032"/>
    <w:rsid w:val="00FD01B5"/>
    <w:rsid w:val="00FD049D"/>
    <w:rsid w:val="00FD1C4E"/>
    <w:rsid w:val="00FD2C64"/>
    <w:rsid w:val="00FD3E09"/>
    <w:rsid w:val="00FD42CB"/>
    <w:rsid w:val="00FD5BF0"/>
    <w:rsid w:val="00FD5D3F"/>
    <w:rsid w:val="00FD660B"/>
    <w:rsid w:val="00FD7888"/>
    <w:rsid w:val="00FE0970"/>
    <w:rsid w:val="00FE145A"/>
    <w:rsid w:val="00FE1C32"/>
    <w:rsid w:val="00FE2EBC"/>
    <w:rsid w:val="00FE37AC"/>
    <w:rsid w:val="00FE3A92"/>
    <w:rsid w:val="00FE4AFB"/>
    <w:rsid w:val="00FE544E"/>
    <w:rsid w:val="00FE6572"/>
    <w:rsid w:val="00FE7C02"/>
    <w:rsid w:val="00FF3518"/>
    <w:rsid w:val="00FF3613"/>
    <w:rsid w:val="00FF3AD5"/>
    <w:rsid w:val="00FF3CB1"/>
    <w:rsid w:val="00FF6C60"/>
    <w:rsid w:val="00FF6CB8"/>
    <w:rsid w:val="00FF70AC"/>
    <w:rsid w:val="00FF72C3"/>
    <w:rsid w:val="00FF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24BCE"/>
  <w15:chartTrackingRefBased/>
  <w15:docId w15:val="{932FB15C-FEEB-4F58-9681-3D27EE18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785"/>
        <w:tab w:val="num" w:pos="360"/>
        <w:tab w:val="left" w:pos="1134"/>
      </w:tabs>
      <w:spacing w:before="120" w:after="120"/>
      <w:ind w:left="360"/>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E350EC"/>
    <w:rPr>
      <w:color w:val="605E5C"/>
      <w:shd w:val="clear" w:color="auto" w:fill="E1DFDD"/>
    </w:rPr>
  </w:style>
  <w:style w:type="paragraph" w:styleId="FootnoteText">
    <w:name w:val="footnote text"/>
    <w:basedOn w:val="Normal"/>
    <w:link w:val="FootnoteTextChar"/>
    <w:locked/>
    <w:rsid w:val="00D430FE"/>
    <w:pPr>
      <w:spacing w:before="0" w:after="0"/>
    </w:pPr>
    <w:rPr>
      <w:sz w:val="20"/>
      <w:szCs w:val="20"/>
    </w:rPr>
  </w:style>
  <w:style w:type="character" w:customStyle="1" w:styleId="FootnoteTextChar">
    <w:name w:val="Footnote Text Char"/>
    <w:basedOn w:val="DefaultParagraphFont"/>
    <w:link w:val="FootnoteText"/>
    <w:rsid w:val="00D430FE"/>
    <w:rPr>
      <w:rFonts w:ascii="Open Sans" w:eastAsia="MS Mincho" w:hAnsi="Open Sans"/>
    </w:rPr>
  </w:style>
  <w:style w:type="character" w:styleId="FootnoteReference">
    <w:name w:val="footnote reference"/>
    <w:basedOn w:val="DefaultParagraphFont"/>
    <w:locked/>
    <w:rsid w:val="00D430FE"/>
    <w:rPr>
      <w:vertAlign w:val="superscript"/>
    </w:rPr>
  </w:style>
  <w:style w:type="paragraph" w:styleId="Revision">
    <w:name w:val="Revision"/>
    <w:hidden/>
    <w:uiPriority w:val="99"/>
    <w:semiHidden/>
    <w:rsid w:val="00221C86"/>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3714">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docstore.ohchr.org/SelfServices/FilesHandler.ashx?enc=6QkG1d%2FPPRiCAqhKb7yhsjnEml3pVQ0icfTjppmRXmgbQREsSgOr7iT08SZNvzwjQVMWVgLlFiCbdJZdFma%2B0HRbC3uXqct4Esgj13s2JTG7s4q2jtxBNuU8zQdohmHx" TargetMode="External"/><Relationship Id="rId13" Type="http://schemas.openxmlformats.org/officeDocument/2006/relationships/hyperlink" Target="https://humanrights.gov.au/our-work/rights-and-freedoms/publications/implementing-opcat-australia-2020" TargetMode="External"/><Relationship Id="rId3" Type="http://schemas.openxmlformats.org/officeDocument/2006/relationships/hyperlink" Target="https://humanrights.gov.au/sites/default/files/opcat_road_map_0.pdf" TargetMode="External"/><Relationship Id="rId7" Type="http://schemas.openxmlformats.org/officeDocument/2006/relationships/hyperlink" Target="https://docstore.ohchr.org/SelfServices/FilesHandler.ashx?enc=6QkG1d%2FPPRiCAqhKb7yhspBWXPdWhQqJYvyJvHUnwYTNUa95ebIVInneJ3MWTd20LX%2BU0Q4IfaZ9lpVJ%2FKvxfMha1rxo4Rqlz%2BhcUdbalLU%3D" TargetMode="External"/><Relationship Id="rId12" Type="http://schemas.openxmlformats.org/officeDocument/2006/relationships/hyperlink" Target="https://docstore.ohchr.org/SelfServices/FilesHandler.ashx?enc=6QkG1d%2FPPRiCAqhKb7yhsoQ6oVJgGLf6YX4ROs1VbzEru4wycL%2FqQoIrzLep%2BJZyT2kIvroOhuMbJG1ioCx4Z3eXyrZ%2FkEdUDMwgHAnBoh0v9T4FjuSgv4v9weZd7XDc" TargetMode="External"/><Relationship Id="rId2" Type="http://schemas.openxmlformats.org/officeDocument/2006/relationships/hyperlink" Target="https://www.youtube.com/watch?v=104KcIS6eRY" TargetMode="External"/><Relationship Id="rId1" Type="http://schemas.openxmlformats.org/officeDocument/2006/relationships/hyperlink" Target="https://parlinfo.aph.gov.au/parlInfo/download/committees/estimate/3cae4e3c-b6d4-4b18-b464-b5e055c40682/toc_pdf/Legal%20and%20Constitutional%20Affairs%20Legislation%20Committee_2018_05_23_6149_Official.pdf;fileType=application%2Fpdf" TargetMode="External"/><Relationship Id="rId6" Type="http://schemas.openxmlformats.org/officeDocument/2006/relationships/hyperlink" Target="https://docstore.ohchr.org/SelfServices/FilesHandler.ashx?enc=6QkG1d%2FPPRiCAqhKb7yhsoQ6oVJgGLf6YX4ROs1VbzEru4wycL%2FqQoIrzLep%2BJZyT2kIvroOhuMbJG1ioCx4Z3eXyrZ%2FkEdUDMwgHAnBoh0v9T4FjuSgv4v9weZd7XDc" TargetMode="External"/><Relationship Id="rId11" Type="http://schemas.openxmlformats.org/officeDocument/2006/relationships/hyperlink" Target="https://documents.parliament.qld.gov.au/events/han/2022/2022_12_01_WEEKLY.pdf" TargetMode="External"/><Relationship Id="rId5" Type="http://schemas.openxmlformats.org/officeDocument/2006/relationships/hyperlink" Target="https://documents.parliament.qld.gov.au/tp/2022/5722T2033-B2C3.pdf" TargetMode="External"/><Relationship Id="rId15" Type="http://schemas.openxmlformats.org/officeDocument/2006/relationships/hyperlink" Target="https://humanrights.gov.au/sites/default/files/opcat_road_map_0.pdf" TargetMode="External"/><Relationship Id="rId10" Type="http://schemas.openxmlformats.org/officeDocument/2006/relationships/hyperlink" Target="https://docstore.ohchr.org/SelfServices/FilesHandler.ashx?enc=6QkG1d%2FPPRiCAqhKb7yhsqHOQYAKuTnYaAWoeAID%2BPTkfdDvxgIp1zLftO2g5%2BGMy7yB7pEB4C3YneAVVY%2BV%2FuXMRBsRFXHfi7TuhfCBw%2FTruLPE6iFXvrMt%2Bwvef923" TargetMode="External"/><Relationship Id="rId4" Type="http://schemas.openxmlformats.org/officeDocument/2006/relationships/hyperlink" Target="https://www.ohchr.org/en/press-releases/2022/10/un-torture-prevention-body-suspends-visit-australia-citing-lack-co-operation" TargetMode="External"/><Relationship Id="rId9" Type="http://schemas.openxmlformats.org/officeDocument/2006/relationships/hyperlink" Target="https://docstore.ohchr.org/SelfServices/FilesHandler.ashx?enc=6QkG1d%2FPPRiCAqhKb7yhsqHOQYAKuTnYaAWoeAID%2BPTkfdDvxgIp1zLftO2g5%2BGMy7yB7pEB4C3YneAVVY%2BV%2FuXMRBsRFXHfi7TuhfCBw%2FTruLPE6iFXvrMt%2Bwvef923" TargetMode="External"/><Relationship Id="rId14" Type="http://schemas.openxmlformats.org/officeDocument/2006/relationships/hyperlink" Target="https://humanrights.gov.au/our-work/rights-and-freedoms/publications/implementing-opcat-australia-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WCE3WTZKT7T4-1802055712-44</_dlc_DocId>
    <_dlc_DocIdUrl xmlns="6500fe01-343b-4fb9-a1b0-68ac19d62e01">
      <Url>https://australianhrc.sharepoint.com/sites/HumanRightsScrutiny/_layouts/15/DocIdRedir.aspx?ID=WCE3WTZKT7T4-1802055712-44</Url>
      <Description>WCE3WTZKT7T4-1802055712-44</Description>
    </_dlc_DocIdUrl>
    <Divider xmlns="6500fe01-343b-4fb9-a1b0-68ac19d62e01" xsi:nil="true"/>
    <lcf76f155ced4ddcb4097134ff3c332f xmlns="22295e1a-24f5-47c0-8a54-e56712581c32">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ct:contentTypeSchema xmlns:ct="http://schemas.microsoft.com/office/2006/metadata/contentType" xmlns:ma="http://schemas.microsoft.com/office/2006/metadata/properties/metaAttributes" ct:_="" ma:_="" ma:contentTypeName="Document" ma:contentTypeID="0x010100302C182FDAA35E499C733FC078124A4C" ma:contentTypeVersion="7" ma:contentTypeDescription="Create a new document." ma:contentTypeScope="" ma:versionID="4b293147556bcfba26e52d4bcf33bb11">
  <xsd:schema xmlns:xsd="http://www.w3.org/2001/XMLSchema" xmlns:xs="http://www.w3.org/2001/XMLSchema" xmlns:p="http://schemas.microsoft.com/office/2006/metadata/properties" xmlns:ns2="6500fe01-343b-4fb9-a1b0-68ac19d62e01" xmlns:ns3="22295e1a-24f5-47c0-8a54-e56712581c32" targetNamespace="http://schemas.microsoft.com/office/2006/metadata/properties" ma:root="true" ma:fieldsID="5bff2df8b9aca5ab7323de3f3c8a8bf9" ns2:_="" ns3:_="">
    <xsd:import namespace="6500fe01-343b-4fb9-a1b0-68ac19d62e01"/>
    <xsd:import namespace="22295e1a-24f5-47c0-8a54-e56712581c32"/>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295e1a-24f5-47c0-8a54-e56712581c3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FBCA4-297A-4636-8A01-F92221CAE384}">
  <ds:schemaRefs>
    <ds:schemaRef ds:uri="http://schemas.microsoft.com/office/2006/metadata/customXsn"/>
  </ds:schemaRefs>
</ds:datastoreItem>
</file>

<file path=customXml/itemProps2.xml><?xml version="1.0" encoding="utf-8"?>
<ds:datastoreItem xmlns:ds="http://schemas.openxmlformats.org/officeDocument/2006/customXml" ds:itemID="{9F6D1B6B-A796-48AB-A1B2-2D084C3FF0F0}">
  <ds:schemaRef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22295e1a-24f5-47c0-8a54-e56712581c32"/>
    <ds:schemaRef ds:uri="http://schemas.microsoft.com/office/2006/metadata/properties"/>
    <ds:schemaRef ds:uri="6500fe01-343b-4fb9-a1b0-68ac19d62e01"/>
    <ds:schemaRef ds:uri="http://purl.org/dc/dcmitype/"/>
    <ds:schemaRef ds:uri="http://purl.org/dc/terms/"/>
  </ds:schemaRefs>
</ds:datastoreItem>
</file>

<file path=customXml/itemProps3.xml><?xml version="1.0" encoding="utf-8"?>
<ds:datastoreItem xmlns:ds="http://schemas.openxmlformats.org/officeDocument/2006/customXml" ds:itemID="{2298C5E2-9461-4DB5-BBCC-80CF04E52698}">
  <ds:schemaRefs>
    <ds:schemaRef ds:uri="http://schemas.microsoft.com/sharepoint/events"/>
  </ds:schemaRefs>
</ds:datastoreItem>
</file>

<file path=customXml/itemProps4.xml><?xml version="1.0" encoding="utf-8"?>
<ds:datastoreItem xmlns:ds="http://schemas.openxmlformats.org/officeDocument/2006/customXml" ds:itemID="{56E6B83B-146E-4AC4-A37E-93BE923A109C}">
  <ds:schemaRefs>
    <ds:schemaRef ds:uri="http://schemas.microsoft.com/sharepoint/v3/contenttype/forms"/>
  </ds:schemaRefs>
</ds:datastoreItem>
</file>

<file path=customXml/itemProps5.xml><?xml version="1.0" encoding="utf-8"?>
<ds:datastoreItem xmlns:ds="http://schemas.openxmlformats.org/officeDocument/2006/customXml" ds:itemID="{B9D4B9BB-F549-4D49-83AC-E2D91173C7AE}">
  <ds:schemaRefs>
    <ds:schemaRef ds:uri="http://schemas.openxmlformats.org/officeDocument/2006/bibliography"/>
  </ds:schemaRefs>
</ds:datastoreItem>
</file>

<file path=customXml/itemProps6.xml><?xml version="1.0" encoding="utf-8"?>
<ds:datastoreItem xmlns:ds="http://schemas.openxmlformats.org/officeDocument/2006/customXml" ds:itemID="{7D4C5A4E-C724-4F7F-9505-C3058BB50787}">
  <ds:schemaRefs>
    <ds:schemaRef ds:uri="Microsoft.SharePoint.Taxonomy.ContentTypeSync"/>
  </ds:schemaRefs>
</ds:datastoreItem>
</file>

<file path=customXml/itemProps7.xml><?xml version="1.0" encoding="utf-8"?>
<ds:datastoreItem xmlns:ds="http://schemas.openxmlformats.org/officeDocument/2006/customXml" ds:itemID="{1C977DDF-56F9-45E1-80A6-0C72621CA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2295e1a-24f5-47c0-8a54-e5671258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13627</CharactersWithSpaces>
  <SharedDoc>false</SharedDoc>
  <HLinks>
    <vt:vector size="108" baseType="variant">
      <vt:variant>
        <vt:i4>2031667</vt:i4>
      </vt:variant>
      <vt:variant>
        <vt:i4>11</vt:i4>
      </vt:variant>
      <vt:variant>
        <vt:i4>0</vt:i4>
      </vt:variant>
      <vt:variant>
        <vt:i4>5</vt:i4>
      </vt:variant>
      <vt:variant>
        <vt:lpwstr/>
      </vt:variant>
      <vt:variant>
        <vt:lpwstr>_Toc89418777</vt:lpwstr>
      </vt:variant>
      <vt:variant>
        <vt:i4>1966131</vt:i4>
      </vt:variant>
      <vt:variant>
        <vt:i4>8</vt:i4>
      </vt:variant>
      <vt:variant>
        <vt:i4>0</vt:i4>
      </vt:variant>
      <vt:variant>
        <vt:i4>5</vt:i4>
      </vt:variant>
      <vt:variant>
        <vt:lpwstr/>
      </vt:variant>
      <vt:variant>
        <vt:lpwstr>_Toc89418776</vt:lpwstr>
      </vt:variant>
      <vt:variant>
        <vt:i4>1900595</vt:i4>
      </vt:variant>
      <vt:variant>
        <vt:i4>2</vt:i4>
      </vt:variant>
      <vt:variant>
        <vt:i4>0</vt:i4>
      </vt:variant>
      <vt:variant>
        <vt:i4>5</vt:i4>
      </vt:variant>
      <vt:variant>
        <vt:lpwstr/>
      </vt:variant>
      <vt:variant>
        <vt:lpwstr>_Toc89418775</vt:lpwstr>
      </vt:variant>
      <vt:variant>
        <vt:i4>3145817</vt:i4>
      </vt:variant>
      <vt:variant>
        <vt:i4>42</vt:i4>
      </vt:variant>
      <vt:variant>
        <vt:i4>0</vt:i4>
      </vt:variant>
      <vt:variant>
        <vt:i4>5</vt:i4>
      </vt:variant>
      <vt:variant>
        <vt:lpwstr>https://humanrights.gov.au/sites/default/files/opcat_road_map_0.pdf</vt:lpwstr>
      </vt:variant>
      <vt:variant>
        <vt:lpwstr/>
      </vt:variant>
      <vt:variant>
        <vt:i4>4128885</vt:i4>
      </vt:variant>
      <vt:variant>
        <vt:i4>39</vt:i4>
      </vt:variant>
      <vt:variant>
        <vt:i4>0</vt:i4>
      </vt:variant>
      <vt:variant>
        <vt:i4>5</vt:i4>
      </vt:variant>
      <vt:variant>
        <vt:lpwstr>https://humanrights.gov.au/our-work/rights-and-freedoms/publications/implementing-opcat-australia-2020</vt:lpwstr>
      </vt:variant>
      <vt:variant>
        <vt:lpwstr/>
      </vt:variant>
      <vt:variant>
        <vt:i4>4128885</vt:i4>
      </vt:variant>
      <vt:variant>
        <vt:i4>36</vt:i4>
      </vt:variant>
      <vt:variant>
        <vt:i4>0</vt:i4>
      </vt:variant>
      <vt:variant>
        <vt:i4>5</vt:i4>
      </vt:variant>
      <vt:variant>
        <vt:lpwstr>https://humanrights.gov.au/our-work/rights-and-freedoms/publications/implementing-opcat-australia-2020</vt:lpwstr>
      </vt:variant>
      <vt:variant>
        <vt:lpwstr/>
      </vt:variant>
      <vt:variant>
        <vt:i4>7077990</vt:i4>
      </vt:variant>
      <vt:variant>
        <vt:i4>33</vt:i4>
      </vt:variant>
      <vt:variant>
        <vt:i4>0</vt:i4>
      </vt:variant>
      <vt:variant>
        <vt:i4>5</vt:i4>
      </vt:variant>
      <vt:variant>
        <vt:lpwstr>https://docstore.ohchr.org/SelfServices/FilesHandler.ashx?enc=6QkG1d%2FPPRiCAqhKb7yhsoQ6oVJgGLf6YX4ROs1VbzEru4wycL%2FqQoIrzLep%2BJZyT2kIvroOhuMbJG1ioCx4Z3eXyrZ%2FkEdUDMwgHAnBoh0v9T4FjuSgv4v9weZd7XDc</vt:lpwstr>
      </vt:variant>
      <vt:variant>
        <vt:lpwstr/>
      </vt:variant>
      <vt:variant>
        <vt:i4>1966143</vt:i4>
      </vt:variant>
      <vt:variant>
        <vt:i4>30</vt:i4>
      </vt:variant>
      <vt:variant>
        <vt:i4>0</vt:i4>
      </vt:variant>
      <vt:variant>
        <vt:i4>5</vt:i4>
      </vt:variant>
      <vt:variant>
        <vt:lpwstr>https://documents.parliament.qld.gov.au/events/han/2022/2022_12_01_WEEKLY.pdf</vt:lpwstr>
      </vt:variant>
      <vt:variant>
        <vt:lpwstr>page=29</vt:lpwstr>
      </vt:variant>
      <vt:variant>
        <vt:i4>5570560</vt:i4>
      </vt:variant>
      <vt:variant>
        <vt:i4>27</vt:i4>
      </vt:variant>
      <vt:variant>
        <vt:i4>0</vt:i4>
      </vt:variant>
      <vt:variant>
        <vt:i4>5</vt:i4>
      </vt:variant>
      <vt:variant>
        <vt:lpwstr>https://docstore.ohchr.org/SelfServices/FilesHandler.ashx?enc=6QkG1d%2FPPRiCAqhKb7yhsqHOQYAKuTnYaAWoeAID%2BPTkfdDvxgIp1zLftO2g5%2BGMy7yB7pEB4C3YneAVVY%2BV%2FuXMRBsRFXHfi7TuhfCBw%2FTruLPE6iFXvrMt%2Bwvef923</vt:lpwstr>
      </vt:variant>
      <vt:variant>
        <vt:lpwstr/>
      </vt:variant>
      <vt:variant>
        <vt:i4>5570560</vt:i4>
      </vt:variant>
      <vt:variant>
        <vt:i4>24</vt:i4>
      </vt:variant>
      <vt:variant>
        <vt:i4>0</vt:i4>
      </vt:variant>
      <vt:variant>
        <vt:i4>5</vt:i4>
      </vt:variant>
      <vt:variant>
        <vt:lpwstr>https://docstore.ohchr.org/SelfServices/FilesHandler.ashx?enc=6QkG1d%2FPPRiCAqhKb7yhsqHOQYAKuTnYaAWoeAID%2BPTkfdDvxgIp1zLftO2g5%2BGMy7yB7pEB4C3YneAVVY%2BV%2FuXMRBsRFXHfi7TuhfCBw%2FTruLPE6iFXvrMt%2Bwvef923</vt:lpwstr>
      </vt:variant>
      <vt:variant>
        <vt:lpwstr/>
      </vt:variant>
      <vt:variant>
        <vt:i4>2949179</vt:i4>
      </vt:variant>
      <vt:variant>
        <vt:i4>21</vt:i4>
      </vt:variant>
      <vt:variant>
        <vt:i4>0</vt:i4>
      </vt:variant>
      <vt:variant>
        <vt:i4>5</vt:i4>
      </vt:variant>
      <vt:variant>
        <vt:lpwstr>https://docstore.ohchr.org/SelfServices/FilesHandler.ashx?enc=6QkG1d%2FPPRiCAqhKb7yhsjnEml3pVQ0icfTjppmRXmgbQREsSgOr7iT08SZNvzwjQVMWVgLlFiCbdJZdFma%2B0HRbC3uXqct4Esgj13s2JTG7s4q2jtxBNuU8zQdohmHx</vt:lpwstr>
      </vt:variant>
      <vt:variant>
        <vt:lpwstr/>
      </vt:variant>
      <vt:variant>
        <vt:i4>5439507</vt:i4>
      </vt:variant>
      <vt:variant>
        <vt:i4>18</vt:i4>
      </vt:variant>
      <vt:variant>
        <vt:i4>0</vt:i4>
      </vt:variant>
      <vt:variant>
        <vt:i4>5</vt:i4>
      </vt:variant>
      <vt:variant>
        <vt:lpwstr>https://docstore.ohchr.org/SelfServices/FilesHandler.ashx?enc=6QkG1d%2FPPRiCAqhKb7yhspBWXPdWhQqJYvyJvHUnwYTNUa95ebIVInneJ3MWTd20LX%2BU0Q4IfaZ9lpVJ%2FKvxfMha1rxo4Rqlz%2BhcUdbalLU%3D</vt:lpwstr>
      </vt:variant>
      <vt:variant>
        <vt:lpwstr/>
      </vt:variant>
      <vt:variant>
        <vt:i4>7077990</vt:i4>
      </vt:variant>
      <vt:variant>
        <vt:i4>15</vt:i4>
      </vt:variant>
      <vt:variant>
        <vt:i4>0</vt:i4>
      </vt:variant>
      <vt:variant>
        <vt:i4>5</vt:i4>
      </vt:variant>
      <vt:variant>
        <vt:lpwstr>https://docstore.ohchr.org/SelfServices/FilesHandler.ashx?enc=6QkG1d%2FPPRiCAqhKb7yhsoQ6oVJgGLf6YX4ROs1VbzEru4wycL%2FqQoIrzLep%2BJZyT2kIvroOhuMbJG1ioCx4Z3eXyrZ%2FkEdUDMwgHAnBoh0v9T4FjuSgv4v9weZd7XDc</vt:lpwstr>
      </vt:variant>
      <vt:variant>
        <vt:lpwstr/>
      </vt:variant>
      <vt:variant>
        <vt:i4>6422629</vt:i4>
      </vt:variant>
      <vt:variant>
        <vt:i4>12</vt:i4>
      </vt:variant>
      <vt:variant>
        <vt:i4>0</vt:i4>
      </vt:variant>
      <vt:variant>
        <vt:i4>5</vt:i4>
      </vt:variant>
      <vt:variant>
        <vt:lpwstr>https://documents.parliament.qld.gov.au/tp/2022/5722T2033-B2C3.pdf</vt:lpwstr>
      </vt:variant>
      <vt:variant>
        <vt:lpwstr/>
      </vt:variant>
      <vt:variant>
        <vt:i4>5308440</vt:i4>
      </vt:variant>
      <vt:variant>
        <vt:i4>9</vt:i4>
      </vt:variant>
      <vt:variant>
        <vt:i4>0</vt:i4>
      </vt:variant>
      <vt:variant>
        <vt:i4>5</vt:i4>
      </vt:variant>
      <vt:variant>
        <vt:lpwstr>https://www.ohchr.org/en/press-releases/2022/10/un-torture-prevention-body-suspends-visit-australia-citing-lack-co-operation</vt:lpwstr>
      </vt:variant>
      <vt:variant>
        <vt:lpwstr/>
      </vt:variant>
      <vt:variant>
        <vt:i4>3145817</vt:i4>
      </vt:variant>
      <vt:variant>
        <vt:i4>6</vt:i4>
      </vt:variant>
      <vt:variant>
        <vt:i4>0</vt:i4>
      </vt:variant>
      <vt:variant>
        <vt:i4>5</vt:i4>
      </vt:variant>
      <vt:variant>
        <vt:lpwstr>https://humanrights.gov.au/sites/default/files/opcat_road_map_0.pdf</vt:lpwstr>
      </vt:variant>
      <vt:variant>
        <vt:lpwstr/>
      </vt:variant>
      <vt:variant>
        <vt:i4>2687039</vt:i4>
      </vt:variant>
      <vt:variant>
        <vt:i4>3</vt:i4>
      </vt:variant>
      <vt:variant>
        <vt:i4>0</vt:i4>
      </vt:variant>
      <vt:variant>
        <vt:i4>5</vt:i4>
      </vt:variant>
      <vt:variant>
        <vt:lpwstr>https://www.youtube.com/watch?v=104KcIS6eRY</vt:lpwstr>
      </vt:variant>
      <vt:variant>
        <vt:lpwstr/>
      </vt:variant>
      <vt:variant>
        <vt:i4>2752631</vt:i4>
      </vt:variant>
      <vt:variant>
        <vt:i4>0</vt:i4>
      </vt:variant>
      <vt:variant>
        <vt:i4>0</vt:i4>
      </vt:variant>
      <vt:variant>
        <vt:i4>5</vt:i4>
      </vt:variant>
      <vt:variant>
        <vt:lpwstr>https://parlinfo.aph.gov.au/parlInfo/download/committees/estimate/3cae4e3c-b6d4-4b18-b464-b5e055c40682/toc_pdf/Legal and Constitutional Affairs Legislation Committee_2018_05_23_6149_Official.pdf;fileType=application%2Fpdf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AHRC User</dc:creator>
  <cp:keywords/>
  <cp:lastModifiedBy>Steven Caruana</cp:lastModifiedBy>
  <cp:revision>2</cp:revision>
  <cp:lastPrinted>2023-01-03T08:58:00Z</cp:lastPrinted>
  <dcterms:created xsi:type="dcterms:W3CDTF">2023-01-09T01:18:00Z</dcterms:created>
  <dcterms:modified xsi:type="dcterms:W3CDTF">2023-01-09T01:18:00Z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0x010100302C182FDAA35E499C733FC078124A4C</vt:lpwstr>
  </property>
  <property fmtid="{D5CDD505-2E9C-101B-9397-08002B2CF9AE}" pid="3" name="_dlc_DocIdItemGuid">
    <vt:lpwstr>1d077108-9d02-45a5-a880-876fcdc3e994</vt:lpwstr>
  </property>
  <property fmtid="{D5CDD505-2E9C-101B-9397-08002B2CF9AE}" pid="4" name="TaxKeyword">
    <vt:lpwstr/>
  </property>
  <property fmtid="{D5CDD505-2E9C-101B-9397-08002B2CF9AE}" pid="5" name="Document Type">
    <vt:lpwstr/>
  </property>
  <property fmtid="{D5CDD505-2E9C-101B-9397-08002B2CF9AE}" pid="6" name="MediaServiceImageTags">
    <vt:lpwstr/>
  </property>
</Properties>
</file>