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A33337" w:rsidP="00591951">
      <w:pPr>
        <w:tabs>
          <w:tab w:val="left" w:pos="3014"/>
        </w:tabs>
        <w:spacing w:after="3000"/>
        <w:rPr>
          <w:rStyle w:val="FootnoteReference"/>
        </w:rPr>
      </w:pPr>
      <w:r>
        <w:rPr>
          <w:noProof/>
        </w:rPr>
        <mc:AlternateContent>
          <mc:Choice Requires="wps">
            <w:drawing>
              <wp:anchor distT="0" distB="0" distL="114300" distR="114300" simplePos="0" relativeHeight="251658240" behindDoc="0" locked="0" layoutInCell="1" allowOverlap="1" wp14:anchorId="48020106" wp14:editId="0FEE0CD6">
                <wp:simplePos x="0" y="0"/>
                <wp:positionH relativeFrom="column">
                  <wp:posOffset>1395095</wp:posOffset>
                </wp:positionH>
                <wp:positionV relativeFrom="paragraph">
                  <wp:posOffset>1453516</wp:posOffset>
                </wp:positionV>
                <wp:extent cx="4339590"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9590" cy="514350"/>
                        </a:xfrm>
                        <a:prstGeom prst="rect">
                          <a:avLst/>
                        </a:prstGeom>
                        <a:noFill/>
                        <a:ln w="6350">
                          <a:noFill/>
                        </a:ln>
                        <a:effectLst/>
                      </wps:spPr>
                      <wps:txbx>
                        <w:txbxContent>
                          <w:p w:rsidR="00F03BCE" w:rsidRPr="00B74219" w:rsidRDefault="00F03BCE" w:rsidP="00A11307">
                            <w:pPr>
                              <w:pStyle w:val="Subtitle"/>
                            </w:pPr>
                            <w:bookmarkStart w:id="0" w:name="_Toc378800968"/>
                            <w:bookmarkStart w:id="1" w:name="_Toc378803026"/>
                            <w:bookmarkStart w:id="2" w:name="_Toc378803149"/>
                            <w:bookmarkStart w:id="3" w:name="_Toc378857497"/>
                            <w:bookmarkStart w:id="4" w:name="_Toc378928883"/>
                            <w:bookmarkStart w:id="5" w:name="_Toc379195331"/>
                            <w:r>
                              <w:t xml:space="preserve">TOWARDS </w:t>
                            </w:r>
                            <w:r w:rsidRPr="00A33337">
                              <w:t xml:space="preserve">Disability Justice Strategies </w:t>
                            </w:r>
                            <w:r>
                              <w:t>FEbruary 2014</w:t>
                            </w:r>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9.85pt;margin-top:114.45pt;width:341.7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" filled="f" stroked="f" strokeweight=".5pt">
                <v:path arrowok="t"/>
                <v:textbox>
                  <w:txbxContent>
                    <w:p w:rsidR="00615069" w:rsidRPr="00B74219" w:rsidRDefault="00615069" w:rsidP="00A11307">
                      <w:pPr>
                        <w:pStyle w:val="Subtitle"/>
                      </w:pPr>
                      <w:bookmarkStart w:id="6" w:name="_Toc378800968"/>
                      <w:bookmarkStart w:id="7" w:name="_Toc378803026"/>
                      <w:bookmarkStart w:id="8" w:name="_Toc378803149"/>
                      <w:bookmarkStart w:id="9" w:name="_Toc378857497"/>
                      <w:bookmarkStart w:id="10" w:name="_Toc378928883"/>
                      <w:bookmarkStart w:id="11" w:name="_Toc379195331"/>
                      <w:r>
                        <w:t xml:space="preserve">TOWARDS </w:t>
                      </w:r>
                      <w:r w:rsidRPr="00A33337">
                        <w:t xml:space="preserve">Disability Justice Strategies </w:t>
                      </w:r>
                      <w:r>
                        <w:t>FEbruary 2014</w:t>
                      </w:r>
                      <w:bookmarkEnd w:id="6"/>
                      <w:bookmarkEnd w:id="7"/>
                      <w:bookmarkEnd w:id="8"/>
                      <w:bookmarkEnd w:id="9"/>
                      <w:bookmarkEnd w:id="10"/>
                      <w:bookmarkEnd w:id="11"/>
                    </w:p>
                  </w:txbxContent>
                </v:textbox>
              </v:shape>
            </w:pict>
          </mc:Fallback>
        </mc:AlternateContent>
      </w:r>
      <w:r w:rsidR="00442832">
        <w:rPr>
          <w:noProof/>
        </w:rPr>
        <mc:AlternateContent>
          <mc:Choice Requires="wps">
            <w:drawing>
              <wp:anchor distT="0" distB="0" distL="114300" distR="114300" simplePos="0" relativeHeight="251657216" behindDoc="0" locked="0" layoutInCell="1" allowOverlap="1" wp14:anchorId="64B238C9" wp14:editId="24395F19">
                <wp:simplePos x="0" y="0"/>
                <wp:positionH relativeFrom="column">
                  <wp:posOffset>2490470</wp:posOffset>
                </wp:positionH>
                <wp:positionV relativeFrom="paragraph">
                  <wp:posOffset>-41909</wp:posOffset>
                </wp:positionV>
                <wp:extent cx="3244215" cy="1028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028700"/>
                        </a:xfrm>
                        <a:prstGeom prst="rect">
                          <a:avLst/>
                        </a:prstGeom>
                        <a:noFill/>
                        <a:ln w="6350">
                          <a:noFill/>
                        </a:ln>
                        <a:effectLst/>
                      </wps:spPr>
                      <wps:txbx>
                        <w:txbxContent>
                          <w:p w:rsidR="00F03BCE" w:rsidRDefault="00F03BCE" w:rsidP="00FD01B5">
                            <w:pPr>
                              <w:pStyle w:val="MainTitle"/>
                            </w:pPr>
                            <w:r>
                              <w:t>Equal Before the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96.1pt;margin-top:-3.3pt;width:255.4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" filled="f" stroked="f" strokeweight=".5pt">
                <v:path arrowok="t"/>
                <v:textbox>
                  <w:txbxContent>
                    <w:p w:rsidR="00615069" w:rsidRDefault="00615069" w:rsidP="00FD01B5">
                      <w:pPr>
                        <w:pStyle w:val="MainTitle"/>
                      </w:pPr>
                      <w:r>
                        <w:t>Equal Before the Law</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6" w:name="_Toc209316062"/>
      <w:bookmarkEnd w:id="6"/>
    </w:p>
    <w:p w:rsidR="00B63D24" w:rsidRPr="00907336" w:rsidRDefault="00B63D24" w:rsidP="00B63D24">
      <w:pPr>
        <w:rPr>
          <w:b/>
          <w:sz w:val="28"/>
          <w:szCs w:val="28"/>
        </w:rPr>
      </w:pPr>
      <w:bookmarkStart w:id="7" w:name="_Toc207761829"/>
      <w:r w:rsidRPr="00907336">
        <w:rPr>
          <w:b/>
          <w:sz w:val="28"/>
          <w:szCs w:val="28"/>
        </w:rPr>
        <w:lastRenderedPageBreak/>
        <w:t>Table of Contents</w:t>
      </w:r>
      <w:bookmarkEnd w:id="7"/>
    </w:p>
    <w:p w:rsidR="00BF670F" w:rsidRPr="00BF670F" w:rsidRDefault="00B63D24" w:rsidP="00BF670F">
      <w:pPr>
        <w:pStyle w:val="TOC2"/>
        <w:ind w:left="0" w:firstLine="0"/>
        <w:rPr>
          <w:rFonts w:asciiTheme="minorHAnsi" w:eastAsiaTheme="minorEastAsia" w:hAnsiTheme="minorHAnsi" w:cstheme="minorBidi"/>
          <w:b w:val="0"/>
          <w:i w:val="0"/>
          <w:szCs w:val="22"/>
        </w:rPr>
      </w:pPr>
      <w:r>
        <w:fldChar w:fldCharType="begin"/>
      </w:r>
      <w:r>
        <w:instrText xml:space="preserve"> TOC \o "1-4" \h \z \u </w:instrText>
      </w:r>
      <w:r>
        <w:fldChar w:fldCharType="separate"/>
      </w:r>
      <w:hyperlink w:anchor="_Toc379195332" w:history="1">
        <w:r w:rsidR="00BF670F" w:rsidRPr="00BF670F">
          <w:rPr>
            <w:rStyle w:val="Hyperlink"/>
            <w:i w:val="0"/>
          </w:rPr>
          <w:t>Foreword</w:t>
        </w:r>
        <w:r w:rsidR="00BF670F" w:rsidRPr="00BF670F">
          <w:rPr>
            <w:i w:val="0"/>
            <w:webHidden/>
          </w:rPr>
          <w:tab/>
        </w:r>
        <w:r w:rsidR="00BF670F" w:rsidRPr="00BF670F">
          <w:rPr>
            <w:i w:val="0"/>
            <w:webHidden/>
          </w:rPr>
          <w:fldChar w:fldCharType="begin"/>
        </w:r>
        <w:r w:rsidR="00BF670F" w:rsidRPr="00BF670F">
          <w:rPr>
            <w:i w:val="0"/>
            <w:webHidden/>
          </w:rPr>
          <w:instrText xml:space="preserve"> PAGEREF _Toc379195332 \h </w:instrText>
        </w:r>
        <w:r w:rsidR="00BF670F" w:rsidRPr="00BF670F">
          <w:rPr>
            <w:i w:val="0"/>
            <w:webHidden/>
          </w:rPr>
        </w:r>
        <w:r w:rsidR="00BF670F" w:rsidRPr="00BF670F">
          <w:rPr>
            <w:i w:val="0"/>
            <w:webHidden/>
          </w:rPr>
          <w:fldChar w:fldCharType="separate"/>
        </w:r>
        <w:r w:rsidR="007A2C96">
          <w:rPr>
            <w:i w:val="0"/>
            <w:webHidden/>
          </w:rPr>
          <w:t>4</w:t>
        </w:r>
        <w:r w:rsidR="00BF670F" w:rsidRPr="00BF670F">
          <w:rPr>
            <w:i w:val="0"/>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33" w:history="1">
        <w:r w:rsidR="00BF670F" w:rsidRPr="00E57D01">
          <w:rPr>
            <w:rStyle w:val="Hyperlink"/>
          </w:rPr>
          <w:t>Summary</w:t>
        </w:r>
        <w:r w:rsidR="00BF670F">
          <w:rPr>
            <w:webHidden/>
          </w:rPr>
          <w:tab/>
        </w:r>
        <w:r w:rsidR="00BF670F">
          <w:rPr>
            <w:webHidden/>
          </w:rPr>
          <w:fldChar w:fldCharType="begin"/>
        </w:r>
        <w:r w:rsidR="00BF670F">
          <w:rPr>
            <w:webHidden/>
          </w:rPr>
          <w:instrText xml:space="preserve"> PAGEREF _Toc379195333 \h </w:instrText>
        </w:r>
        <w:r w:rsidR="00BF670F">
          <w:rPr>
            <w:webHidden/>
          </w:rPr>
        </w:r>
        <w:r w:rsidR="00BF670F">
          <w:rPr>
            <w:webHidden/>
          </w:rPr>
          <w:fldChar w:fldCharType="separate"/>
        </w:r>
        <w:r w:rsidR="007A2C96">
          <w:rPr>
            <w:webHidden/>
          </w:rPr>
          <w:t>5</w:t>
        </w:r>
        <w:r w:rsidR="00BF670F">
          <w:rPr>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34" w:history="1">
        <w:r w:rsidR="00BF670F" w:rsidRPr="00E57D01">
          <w:rPr>
            <w:rStyle w:val="Hyperlink"/>
          </w:rPr>
          <w:t>1</w:t>
        </w:r>
        <w:r w:rsidR="00BF670F">
          <w:rPr>
            <w:rFonts w:asciiTheme="minorHAnsi" w:eastAsiaTheme="minorEastAsia" w:hAnsiTheme="minorHAnsi" w:cstheme="minorBidi"/>
            <w:b w:val="0"/>
            <w:szCs w:val="22"/>
          </w:rPr>
          <w:tab/>
        </w:r>
        <w:r w:rsidR="00BF670F" w:rsidRPr="00E57D01">
          <w:rPr>
            <w:rStyle w:val="Hyperlink"/>
          </w:rPr>
          <w:t>Disability Justice Strategies – an introduction</w:t>
        </w:r>
        <w:r w:rsidR="00BF670F">
          <w:rPr>
            <w:webHidden/>
          </w:rPr>
          <w:tab/>
        </w:r>
        <w:r w:rsidR="00BF670F">
          <w:rPr>
            <w:webHidden/>
          </w:rPr>
          <w:fldChar w:fldCharType="begin"/>
        </w:r>
        <w:r w:rsidR="00BF670F">
          <w:rPr>
            <w:webHidden/>
          </w:rPr>
          <w:instrText xml:space="preserve"> PAGEREF _Toc379195334 \h </w:instrText>
        </w:r>
        <w:r w:rsidR="00BF670F">
          <w:rPr>
            <w:webHidden/>
          </w:rPr>
        </w:r>
        <w:r w:rsidR="00BF670F">
          <w:rPr>
            <w:webHidden/>
          </w:rPr>
          <w:fldChar w:fldCharType="separate"/>
        </w:r>
        <w:r w:rsidR="007A2C96">
          <w:rPr>
            <w:webHidden/>
          </w:rPr>
          <w:t>8</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35" w:history="1">
        <w:r w:rsidR="00BF670F" w:rsidRPr="00E57D01">
          <w:rPr>
            <w:rStyle w:val="Hyperlink"/>
          </w:rPr>
          <w:t>1.1</w:t>
        </w:r>
        <w:r w:rsidR="00BF670F">
          <w:rPr>
            <w:rFonts w:asciiTheme="minorHAnsi" w:eastAsiaTheme="minorEastAsia" w:hAnsiTheme="minorHAnsi" w:cstheme="minorBidi"/>
            <w:b w:val="0"/>
            <w:i w:val="0"/>
            <w:sz w:val="22"/>
            <w:szCs w:val="22"/>
          </w:rPr>
          <w:tab/>
        </w:r>
        <w:r w:rsidR="00BF670F" w:rsidRPr="00E57D01">
          <w:rPr>
            <w:rStyle w:val="Hyperlink"/>
          </w:rPr>
          <w:t>Barriers</w:t>
        </w:r>
        <w:r w:rsidR="00BF670F">
          <w:rPr>
            <w:webHidden/>
          </w:rPr>
          <w:tab/>
        </w:r>
        <w:r w:rsidR="00BF670F">
          <w:rPr>
            <w:webHidden/>
          </w:rPr>
          <w:fldChar w:fldCharType="begin"/>
        </w:r>
        <w:r w:rsidR="00BF670F">
          <w:rPr>
            <w:webHidden/>
          </w:rPr>
          <w:instrText xml:space="preserve"> PAGEREF _Toc379195335 \h </w:instrText>
        </w:r>
        <w:r w:rsidR="00BF670F">
          <w:rPr>
            <w:webHidden/>
          </w:rPr>
        </w:r>
        <w:r w:rsidR="00BF670F">
          <w:rPr>
            <w:webHidden/>
          </w:rPr>
          <w:fldChar w:fldCharType="separate"/>
        </w:r>
        <w:r w:rsidR="007A2C96">
          <w:rPr>
            <w:webHidden/>
          </w:rPr>
          <w:t>8</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36" w:history="1">
        <w:r w:rsidR="00BF670F" w:rsidRPr="00E57D01">
          <w:rPr>
            <w:rStyle w:val="Hyperlink"/>
            <w:rFonts w:cs="Arial"/>
          </w:rPr>
          <w:t>1.2</w:t>
        </w:r>
        <w:r w:rsidR="00BF670F">
          <w:rPr>
            <w:rFonts w:asciiTheme="minorHAnsi" w:eastAsiaTheme="minorEastAsia" w:hAnsiTheme="minorHAnsi" w:cstheme="minorBidi"/>
            <w:b w:val="0"/>
            <w:i w:val="0"/>
            <w:sz w:val="22"/>
            <w:szCs w:val="22"/>
          </w:rPr>
          <w:tab/>
        </w:r>
        <w:r w:rsidR="00BF670F" w:rsidRPr="00E57D01">
          <w:rPr>
            <w:rStyle w:val="Hyperlink"/>
            <w:rFonts w:cs="Arial"/>
          </w:rPr>
          <w:t>A way forward</w:t>
        </w:r>
        <w:r w:rsidR="00BF670F">
          <w:rPr>
            <w:webHidden/>
          </w:rPr>
          <w:tab/>
        </w:r>
        <w:r w:rsidR="00BF670F">
          <w:rPr>
            <w:webHidden/>
          </w:rPr>
          <w:fldChar w:fldCharType="begin"/>
        </w:r>
        <w:r w:rsidR="00BF670F">
          <w:rPr>
            <w:webHidden/>
          </w:rPr>
          <w:instrText xml:space="preserve"> PAGEREF _Toc379195336 \h </w:instrText>
        </w:r>
        <w:r w:rsidR="00BF670F">
          <w:rPr>
            <w:webHidden/>
          </w:rPr>
        </w:r>
        <w:r w:rsidR="00BF670F">
          <w:rPr>
            <w:webHidden/>
          </w:rPr>
          <w:fldChar w:fldCharType="separate"/>
        </w:r>
        <w:r w:rsidR="007A2C96">
          <w:rPr>
            <w:webHidden/>
          </w:rPr>
          <w:t>9</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37" w:history="1">
        <w:r w:rsidR="00BF670F" w:rsidRPr="00E57D01">
          <w:rPr>
            <w:rStyle w:val="Hyperlink"/>
          </w:rPr>
          <w:t>1.3</w:t>
        </w:r>
        <w:r w:rsidR="00BF670F">
          <w:rPr>
            <w:rFonts w:asciiTheme="minorHAnsi" w:eastAsiaTheme="minorEastAsia" w:hAnsiTheme="minorHAnsi" w:cstheme="minorBidi"/>
            <w:b w:val="0"/>
            <w:i w:val="0"/>
            <w:sz w:val="22"/>
            <w:szCs w:val="22"/>
          </w:rPr>
          <w:tab/>
        </w:r>
        <w:r w:rsidR="00BF670F" w:rsidRPr="00E57D01">
          <w:rPr>
            <w:rStyle w:val="Hyperlink"/>
          </w:rPr>
          <w:t>Human rights-based approach to improving access to justice</w:t>
        </w:r>
        <w:r w:rsidR="00BF670F">
          <w:rPr>
            <w:webHidden/>
          </w:rPr>
          <w:tab/>
        </w:r>
        <w:r w:rsidR="00BF670F">
          <w:rPr>
            <w:webHidden/>
          </w:rPr>
          <w:fldChar w:fldCharType="begin"/>
        </w:r>
        <w:r w:rsidR="00BF670F">
          <w:rPr>
            <w:webHidden/>
          </w:rPr>
          <w:instrText xml:space="preserve"> PAGEREF _Toc379195337 \h </w:instrText>
        </w:r>
        <w:r w:rsidR="00BF670F">
          <w:rPr>
            <w:webHidden/>
          </w:rPr>
        </w:r>
        <w:r w:rsidR="00BF670F">
          <w:rPr>
            <w:webHidden/>
          </w:rPr>
          <w:fldChar w:fldCharType="separate"/>
        </w:r>
        <w:r w:rsidR="007A2C96">
          <w:rPr>
            <w:webHidden/>
          </w:rPr>
          <w:t>9</w:t>
        </w:r>
        <w:r w:rsidR="00BF670F">
          <w:rPr>
            <w:webHidden/>
          </w:rPr>
          <w:fldChar w:fldCharType="end"/>
        </w:r>
      </w:hyperlink>
    </w:p>
    <w:p w:rsidR="00BF670F" w:rsidRDefault="00F03BCE">
      <w:pPr>
        <w:pStyle w:val="TOC3"/>
        <w:rPr>
          <w:rFonts w:asciiTheme="minorHAnsi" w:eastAsiaTheme="minorEastAsia" w:hAnsiTheme="minorHAnsi" w:cstheme="minorBidi"/>
          <w:i w:val="0"/>
          <w:sz w:val="22"/>
          <w:szCs w:val="22"/>
        </w:rPr>
      </w:pPr>
      <w:hyperlink w:anchor="_Toc379195338" w:history="1">
        <w:r w:rsidR="00BF670F" w:rsidRPr="00E57D01">
          <w:rPr>
            <w:rStyle w:val="Hyperlink"/>
          </w:rPr>
          <w:t>(a)</w:t>
        </w:r>
        <w:r w:rsidR="00BF670F">
          <w:rPr>
            <w:rFonts w:asciiTheme="minorHAnsi" w:eastAsiaTheme="minorEastAsia" w:hAnsiTheme="minorHAnsi" w:cstheme="minorBidi"/>
            <w:i w:val="0"/>
            <w:sz w:val="22"/>
            <w:szCs w:val="22"/>
          </w:rPr>
          <w:tab/>
        </w:r>
        <w:r w:rsidR="00BF670F" w:rsidRPr="00E57D01">
          <w:rPr>
            <w:rStyle w:val="Hyperlink"/>
          </w:rPr>
          <w:t>Participation</w:t>
        </w:r>
        <w:r w:rsidR="00BF670F">
          <w:rPr>
            <w:webHidden/>
          </w:rPr>
          <w:tab/>
        </w:r>
        <w:r w:rsidR="00BF670F">
          <w:rPr>
            <w:webHidden/>
          </w:rPr>
          <w:fldChar w:fldCharType="begin"/>
        </w:r>
        <w:r w:rsidR="00BF670F">
          <w:rPr>
            <w:webHidden/>
          </w:rPr>
          <w:instrText xml:space="preserve"> PAGEREF _Toc379195338 \h </w:instrText>
        </w:r>
        <w:r w:rsidR="00BF670F">
          <w:rPr>
            <w:webHidden/>
          </w:rPr>
        </w:r>
        <w:r w:rsidR="00BF670F">
          <w:rPr>
            <w:webHidden/>
          </w:rPr>
          <w:fldChar w:fldCharType="separate"/>
        </w:r>
        <w:r w:rsidR="007A2C96">
          <w:rPr>
            <w:webHidden/>
          </w:rPr>
          <w:t>10</w:t>
        </w:r>
        <w:r w:rsidR="00BF670F">
          <w:rPr>
            <w:webHidden/>
          </w:rPr>
          <w:fldChar w:fldCharType="end"/>
        </w:r>
      </w:hyperlink>
    </w:p>
    <w:p w:rsidR="00BF670F" w:rsidRDefault="00F03BCE">
      <w:pPr>
        <w:pStyle w:val="TOC3"/>
        <w:rPr>
          <w:rFonts w:asciiTheme="minorHAnsi" w:eastAsiaTheme="minorEastAsia" w:hAnsiTheme="minorHAnsi" w:cstheme="minorBidi"/>
          <w:i w:val="0"/>
          <w:sz w:val="22"/>
          <w:szCs w:val="22"/>
        </w:rPr>
      </w:pPr>
      <w:hyperlink w:anchor="_Toc379195339" w:history="1">
        <w:r w:rsidR="00BF670F" w:rsidRPr="00E57D01">
          <w:rPr>
            <w:rStyle w:val="Hyperlink"/>
          </w:rPr>
          <w:t>(b)</w:t>
        </w:r>
        <w:r w:rsidR="00BF670F">
          <w:rPr>
            <w:rFonts w:asciiTheme="minorHAnsi" w:eastAsiaTheme="minorEastAsia" w:hAnsiTheme="minorHAnsi" w:cstheme="minorBidi"/>
            <w:i w:val="0"/>
            <w:sz w:val="22"/>
            <w:szCs w:val="22"/>
          </w:rPr>
          <w:tab/>
        </w:r>
        <w:r w:rsidR="00BF670F" w:rsidRPr="00E57D01">
          <w:rPr>
            <w:rStyle w:val="Hyperlink"/>
          </w:rPr>
          <w:t>Accountability</w:t>
        </w:r>
        <w:r w:rsidR="00BF670F">
          <w:rPr>
            <w:webHidden/>
          </w:rPr>
          <w:tab/>
        </w:r>
        <w:r w:rsidR="00BF670F">
          <w:rPr>
            <w:webHidden/>
          </w:rPr>
          <w:fldChar w:fldCharType="begin"/>
        </w:r>
        <w:r w:rsidR="00BF670F">
          <w:rPr>
            <w:webHidden/>
          </w:rPr>
          <w:instrText xml:space="preserve"> PAGEREF _Toc379195339 \h </w:instrText>
        </w:r>
        <w:r w:rsidR="00BF670F">
          <w:rPr>
            <w:webHidden/>
          </w:rPr>
        </w:r>
        <w:r w:rsidR="00BF670F">
          <w:rPr>
            <w:webHidden/>
          </w:rPr>
          <w:fldChar w:fldCharType="separate"/>
        </w:r>
        <w:r w:rsidR="007A2C96">
          <w:rPr>
            <w:webHidden/>
          </w:rPr>
          <w:t>10</w:t>
        </w:r>
        <w:r w:rsidR="00BF670F">
          <w:rPr>
            <w:webHidden/>
          </w:rPr>
          <w:fldChar w:fldCharType="end"/>
        </w:r>
      </w:hyperlink>
    </w:p>
    <w:p w:rsidR="00BF670F" w:rsidRDefault="00F03BCE">
      <w:pPr>
        <w:pStyle w:val="TOC3"/>
        <w:rPr>
          <w:rFonts w:asciiTheme="minorHAnsi" w:eastAsiaTheme="minorEastAsia" w:hAnsiTheme="minorHAnsi" w:cstheme="minorBidi"/>
          <w:i w:val="0"/>
          <w:sz w:val="22"/>
          <w:szCs w:val="22"/>
        </w:rPr>
      </w:pPr>
      <w:hyperlink w:anchor="_Toc379195340" w:history="1">
        <w:r w:rsidR="00BF670F" w:rsidRPr="00E57D01">
          <w:rPr>
            <w:rStyle w:val="Hyperlink"/>
          </w:rPr>
          <w:t>(c)</w:t>
        </w:r>
        <w:r w:rsidR="00BF670F">
          <w:rPr>
            <w:rFonts w:asciiTheme="minorHAnsi" w:eastAsiaTheme="minorEastAsia" w:hAnsiTheme="minorHAnsi" w:cstheme="minorBidi"/>
            <w:i w:val="0"/>
            <w:sz w:val="22"/>
            <w:szCs w:val="22"/>
          </w:rPr>
          <w:tab/>
        </w:r>
        <w:r w:rsidR="00BF670F" w:rsidRPr="00E57D01">
          <w:rPr>
            <w:rStyle w:val="Hyperlink"/>
          </w:rPr>
          <w:t>Equality</w:t>
        </w:r>
        <w:r w:rsidR="00BF670F">
          <w:rPr>
            <w:webHidden/>
          </w:rPr>
          <w:tab/>
        </w:r>
        <w:r w:rsidR="00BF670F">
          <w:rPr>
            <w:webHidden/>
          </w:rPr>
          <w:fldChar w:fldCharType="begin"/>
        </w:r>
        <w:r w:rsidR="00BF670F">
          <w:rPr>
            <w:webHidden/>
          </w:rPr>
          <w:instrText xml:space="preserve"> PAGEREF _Toc379195340 \h </w:instrText>
        </w:r>
        <w:r w:rsidR="00BF670F">
          <w:rPr>
            <w:webHidden/>
          </w:rPr>
        </w:r>
        <w:r w:rsidR="00BF670F">
          <w:rPr>
            <w:webHidden/>
          </w:rPr>
          <w:fldChar w:fldCharType="separate"/>
        </w:r>
        <w:r w:rsidR="007A2C96">
          <w:rPr>
            <w:webHidden/>
          </w:rPr>
          <w:t>10</w:t>
        </w:r>
        <w:r w:rsidR="00BF670F">
          <w:rPr>
            <w:webHidden/>
          </w:rPr>
          <w:fldChar w:fldCharType="end"/>
        </w:r>
      </w:hyperlink>
    </w:p>
    <w:p w:rsidR="00BF670F" w:rsidRDefault="00F03BCE">
      <w:pPr>
        <w:pStyle w:val="TOC3"/>
        <w:rPr>
          <w:rFonts w:asciiTheme="minorHAnsi" w:eastAsiaTheme="minorEastAsia" w:hAnsiTheme="minorHAnsi" w:cstheme="minorBidi"/>
          <w:i w:val="0"/>
          <w:sz w:val="22"/>
          <w:szCs w:val="22"/>
        </w:rPr>
      </w:pPr>
      <w:hyperlink w:anchor="_Toc379195341" w:history="1">
        <w:r w:rsidR="00BF670F" w:rsidRPr="00E57D01">
          <w:rPr>
            <w:rStyle w:val="Hyperlink"/>
          </w:rPr>
          <w:t>(d)</w:t>
        </w:r>
        <w:r w:rsidR="00BF670F">
          <w:rPr>
            <w:rFonts w:asciiTheme="minorHAnsi" w:eastAsiaTheme="minorEastAsia" w:hAnsiTheme="minorHAnsi" w:cstheme="minorBidi"/>
            <w:i w:val="0"/>
            <w:sz w:val="22"/>
            <w:szCs w:val="22"/>
          </w:rPr>
          <w:tab/>
        </w:r>
        <w:r w:rsidR="00BF670F" w:rsidRPr="00E57D01">
          <w:rPr>
            <w:rStyle w:val="Hyperlink"/>
          </w:rPr>
          <w:t>Empowerment</w:t>
        </w:r>
        <w:r w:rsidR="00BF670F">
          <w:rPr>
            <w:webHidden/>
          </w:rPr>
          <w:tab/>
        </w:r>
        <w:r w:rsidR="00BF670F">
          <w:rPr>
            <w:webHidden/>
          </w:rPr>
          <w:fldChar w:fldCharType="begin"/>
        </w:r>
        <w:r w:rsidR="00BF670F">
          <w:rPr>
            <w:webHidden/>
          </w:rPr>
          <w:instrText xml:space="preserve"> PAGEREF _Toc379195341 \h </w:instrText>
        </w:r>
        <w:r w:rsidR="00BF670F">
          <w:rPr>
            <w:webHidden/>
          </w:rPr>
        </w:r>
        <w:r w:rsidR="00BF670F">
          <w:rPr>
            <w:webHidden/>
          </w:rPr>
          <w:fldChar w:fldCharType="separate"/>
        </w:r>
        <w:r w:rsidR="007A2C96">
          <w:rPr>
            <w:webHidden/>
          </w:rPr>
          <w:t>10</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42" w:history="1">
        <w:r w:rsidR="00BF670F" w:rsidRPr="00E57D01">
          <w:rPr>
            <w:rStyle w:val="Hyperlink"/>
            <w:rFonts w:eastAsia="Times New Roman"/>
          </w:rPr>
          <w:t>1.4</w:t>
        </w:r>
        <w:r w:rsidR="00BF670F">
          <w:rPr>
            <w:rFonts w:asciiTheme="minorHAnsi" w:eastAsiaTheme="minorEastAsia" w:hAnsiTheme="minorHAnsi" w:cstheme="minorBidi"/>
            <w:b w:val="0"/>
            <w:i w:val="0"/>
            <w:sz w:val="22"/>
            <w:szCs w:val="22"/>
          </w:rPr>
          <w:tab/>
        </w:r>
        <w:r w:rsidR="00BF670F" w:rsidRPr="00E57D01">
          <w:rPr>
            <w:rStyle w:val="Hyperlink"/>
            <w:rFonts w:eastAsia="Times New Roman"/>
          </w:rPr>
          <w:t>Provision of necessary modifications and adjustments</w:t>
        </w:r>
        <w:r w:rsidR="00BF670F">
          <w:rPr>
            <w:webHidden/>
          </w:rPr>
          <w:tab/>
        </w:r>
        <w:r w:rsidR="00BF670F">
          <w:rPr>
            <w:webHidden/>
          </w:rPr>
          <w:fldChar w:fldCharType="begin"/>
        </w:r>
        <w:r w:rsidR="00BF670F">
          <w:rPr>
            <w:webHidden/>
          </w:rPr>
          <w:instrText xml:space="preserve"> PAGEREF _Toc379195342 \h </w:instrText>
        </w:r>
        <w:r w:rsidR="00BF670F">
          <w:rPr>
            <w:webHidden/>
          </w:rPr>
        </w:r>
        <w:r w:rsidR="00BF670F">
          <w:rPr>
            <w:webHidden/>
          </w:rPr>
          <w:fldChar w:fldCharType="separate"/>
        </w:r>
        <w:r w:rsidR="007A2C96">
          <w:rPr>
            <w:webHidden/>
          </w:rPr>
          <w:t>10</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43" w:history="1">
        <w:r w:rsidR="00BF670F" w:rsidRPr="00E57D01">
          <w:rPr>
            <w:rStyle w:val="Hyperlink"/>
            <w:rFonts w:eastAsia="Times New Roman"/>
          </w:rPr>
          <w:t>1.5</w:t>
        </w:r>
        <w:r w:rsidR="00BF670F">
          <w:rPr>
            <w:rFonts w:asciiTheme="minorHAnsi" w:eastAsiaTheme="minorEastAsia" w:hAnsiTheme="minorHAnsi" w:cstheme="minorBidi"/>
            <w:b w:val="0"/>
            <w:i w:val="0"/>
            <w:sz w:val="22"/>
            <w:szCs w:val="22"/>
          </w:rPr>
          <w:tab/>
        </w:r>
        <w:r w:rsidR="00BF670F" w:rsidRPr="00E57D01">
          <w:rPr>
            <w:rStyle w:val="Hyperlink"/>
            <w:rFonts w:eastAsia="Times New Roman"/>
          </w:rPr>
          <w:t>Implementation</w:t>
        </w:r>
        <w:r w:rsidR="00BF670F">
          <w:rPr>
            <w:webHidden/>
          </w:rPr>
          <w:tab/>
        </w:r>
        <w:r w:rsidR="00BF670F">
          <w:rPr>
            <w:webHidden/>
          </w:rPr>
          <w:fldChar w:fldCharType="begin"/>
        </w:r>
        <w:r w:rsidR="00BF670F">
          <w:rPr>
            <w:webHidden/>
          </w:rPr>
          <w:instrText xml:space="preserve"> PAGEREF _Toc379195343 \h </w:instrText>
        </w:r>
        <w:r w:rsidR="00BF670F">
          <w:rPr>
            <w:webHidden/>
          </w:rPr>
        </w:r>
        <w:r w:rsidR="00BF670F">
          <w:rPr>
            <w:webHidden/>
          </w:rPr>
          <w:fldChar w:fldCharType="separate"/>
        </w:r>
        <w:r w:rsidR="007A2C96">
          <w:rPr>
            <w:webHidden/>
          </w:rPr>
          <w:t>11</w:t>
        </w:r>
        <w:r w:rsidR="00BF670F">
          <w:rPr>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44" w:history="1">
        <w:r w:rsidR="00BF670F" w:rsidRPr="00E57D01">
          <w:rPr>
            <w:rStyle w:val="Hyperlink"/>
          </w:rPr>
          <w:t>2</w:t>
        </w:r>
        <w:r w:rsidR="00BF670F">
          <w:rPr>
            <w:rFonts w:asciiTheme="minorHAnsi" w:eastAsiaTheme="minorEastAsia" w:hAnsiTheme="minorHAnsi" w:cstheme="minorBidi"/>
            <w:b w:val="0"/>
            <w:szCs w:val="22"/>
          </w:rPr>
          <w:tab/>
        </w:r>
        <w:r w:rsidR="00BF670F" w:rsidRPr="00E57D01">
          <w:rPr>
            <w:rStyle w:val="Hyperlink"/>
          </w:rPr>
          <w:t>The case for change</w:t>
        </w:r>
        <w:r w:rsidR="00BF670F">
          <w:rPr>
            <w:webHidden/>
          </w:rPr>
          <w:tab/>
        </w:r>
        <w:r w:rsidR="00BF670F">
          <w:rPr>
            <w:webHidden/>
          </w:rPr>
          <w:fldChar w:fldCharType="begin"/>
        </w:r>
        <w:r w:rsidR="00BF670F">
          <w:rPr>
            <w:webHidden/>
          </w:rPr>
          <w:instrText xml:space="preserve"> PAGEREF _Toc379195344 \h </w:instrText>
        </w:r>
        <w:r w:rsidR="00BF670F">
          <w:rPr>
            <w:webHidden/>
          </w:rPr>
        </w:r>
        <w:r w:rsidR="00BF670F">
          <w:rPr>
            <w:webHidden/>
          </w:rPr>
          <w:fldChar w:fldCharType="separate"/>
        </w:r>
        <w:r w:rsidR="007A2C96">
          <w:rPr>
            <w:webHidden/>
          </w:rPr>
          <w:t>12</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45" w:history="1">
        <w:r w:rsidR="00BF670F" w:rsidRPr="00E57D01">
          <w:rPr>
            <w:rStyle w:val="Hyperlink"/>
            <w:rFonts w:cs="Arial"/>
          </w:rPr>
          <w:t>2.1</w:t>
        </w:r>
        <w:r w:rsidR="00BF670F">
          <w:rPr>
            <w:rFonts w:asciiTheme="minorHAnsi" w:eastAsiaTheme="minorEastAsia" w:hAnsiTheme="minorHAnsi" w:cstheme="minorBidi"/>
            <w:b w:val="0"/>
            <w:i w:val="0"/>
            <w:sz w:val="22"/>
            <w:szCs w:val="22"/>
          </w:rPr>
          <w:tab/>
        </w:r>
        <w:r w:rsidR="00BF670F" w:rsidRPr="00E57D01">
          <w:rPr>
            <w:rStyle w:val="Hyperlink"/>
            <w:rFonts w:cs="Arial"/>
          </w:rPr>
          <w:t>Indicators for change</w:t>
        </w:r>
        <w:r w:rsidR="00BF670F">
          <w:rPr>
            <w:webHidden/>
          </w:rPr>
          <w:tab/>
        </w:r>
        <w:r w:rsidR="00BF670F">
          <w:rPr>
            <w:webHidden/>
          </w:rPr>
          <w:fldChar w:fldCharType="begin"/>
        </w:r>
        <w:r w:rsidR="00BF670F">
          <w:rPr>
            <w:webHidden/>
          </w:rPr>
          <w:instrText xml:space="preserve"> PAGEREF _Toc379195345 \h </w:instrText>
        </w:r>
        <w:r w:rsidR="00BF670F">
          <w:rPr>
            <w:webHidden/>
          </w:rPr>
        </w:r>
        <w:r w:rsidR="00BF670F">
          <w:rPr>
            <w:webHidden/>
          </w:rPr>
          <w:fldChar w:fldCharType="separate"/>
        </w:r>
        <w:r w:rsidR="007A2C96">
          <w:rPr>
            <w:webHidden/>
          </w:rPr>
          <w:t>12</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46" w:history="1">
        <w:r w:rsidR="00BF670F" w:rsidRPr="00E57D01">
          <w:rPr>
            <w:rStyle w:val="Hyperlink"/>
          </w:rPr>
          <w:t>2.2</w:t>
        </w:r>
        <w:r w:rsidR="00BF670F">
          <w:rPr>
            <w:rFonts w:asciiTheme="minorHAnsi" w:eastAsiaTheme="minorEastAsia" w:hAnsiTheme="minorHAnsi" w:cstheme="minorBidi"/>
            <w:b w:val="0"/>
            <w:i w:val="0"/>
            <w:sz w:val="22"/>
            <w:szCs w:val="22"/>
          </w:rPr>
          <w:tab/>
        </w:r>
        <w:r w:rsidR="00BF670F" w:rsidRPr="00E57D01">
          <w:rPr>
            <w:rStyle w:val="Hyperlink"/>
          </w:rPr>
          <w:t>Economic savings through providing early support and diversion</w:t>
        </w:r>
        <w:r w:rsidR="00BF670F">
          <w:rPr>
            <w:webHidden/>
          </w:rPr>
          <w:tab/>
        </w:r>
        <w:r w:rsidR="00BF670F">
          <w:rPr>
            <w:webHidden/>
          </w:rPr>
          <w:fldChar w:fldCharType="begin"/>
        </w:r>
        <w:r w:rsidR="00BF670F">
          <w:rPr>
            <w:webHidden/>
          </w:rPr>
          <w:instrText xml:space="preserve"> PAGEREF _Toc379195346 \h </w:instrText>
        </w:r>
        <w:r w:rsidR="00BF670F">
          <w:rPr>
            <w:webHidden/>
          </w:rPr>
        </w:r>
        <w:r w:rsidR="00BF670F">
          <w:rPr>
            <w:webHidden/>
          </w:rPr>
          <w:fldChar w:fldCharType="separate"/>
        </w:r>
        <w:r w:rsidR="007A2C96">
          <w:rPr>
            <w:webHidden/>
          </w:rPr>
          <w:t>13</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47" w:history="1">
        <w:r w:rsidR="00BF670F" w:rsidRPr="00E57D01">
          <w:rPr>
            <w:rStyle w:val="Hyperlink"/>
            <w:rFonts w:cs="Arial"/>
          </w:rPr>
          <w:t>2.3</w:t>
        </w:r>
        <w:r w:rsidR="00BF670F">
          <w:rPr>
            <w:rFonts w:asciiTheme="minorHAnsi" w:eastAsiaTheme="minorEastAsia" w:hAnsiTheme="minorHAnsi" w:cstheme="minorBidi"/>
            <w:b w:val="0"/>
            <w:i w:val="0"/>
            <w:sz w:val="22"/>
            <w:szCs w:val="22"/>
          </w:rPr>
          <w:tab/>
        </w:r>
        <w:r w:rsidR="00BF670F" w:rsidRPr="00E57D01">
          <w:rPr>
            <w:rStyle w:val="Hyperlink"/>
            <w:rFonts w:cs="Arial"/>
          </w:rPr>
          <w:t>Economic savings through preventing violence</w:t>
        </w:r>
        <w:r w:rsidR="00BF670F">
          <w:rPr>
            <w:webHidden/>
          </w:rPr>
          <w:tab/>
        </w:r>
        <w:r w:rsidR="00BF670F">
          <w:rPr>
            <w:webHidden/>
          </w:rPr>
          <w:fldChar w:fldCharType="begin"/>
        </w:r>
        <w:r w:rsidR="00BF670F">
          <w:rPr>
            <w:webHidden/>
          </w:rPr>
          <w:instrText xml:space="preserve"> PAGEREF _Toc379195347 \h </w:instrText>
        </w:r>
        <w:r w:rsidR="00BF670F">
          <w:rPr>
            <w:webHidden/>
          </w:rPr>
        </w:r>
        <w:r w:rsidR="00BF670F">
          <w:rPr>
            <w:webHidden/>
          </w:rPr>
          <w:fldChar w:fldCharType="separate"/>
        </w:r>
        <w:r w:rsidR="007A2C96">
          <w:rPr>
            <w:webHidden/>
          </w:rPr>
          <w:t>15</w:t>
        </w:r>
        <w:r w:rsidR="00BF670F">
          <w:rPr>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48" w:history="1">
        <w:r w:rsidR="00BF670F" w:rsidRPr="00E57D01">
          <w:rPr>
            <w:rStyle w:val="Hyperlink"/>
          </w:rPr>
          <w:t>3</w:t>
        </w:r>
        <w:r w:rsidR="00BF670F">
          <w:rPr>
            <w:rFonts w:asciiTheme="minorHAnsi" w:eastAsiaTheme="minorEastAsia" w:hAnsiTheme="minorHAnsi" w:cstheme="minorBidi"/>
            <w:b w:val="0"/>
            <w:szCs w:val="22"/>
          </w:rPr>
          <w:tab/>
        </w:r>
        <w:r w:rsidR="00BF670F" w:rsidRPr="00E57D01">
          <w:rPr>
            <w:rStyle w:val="Hyperlink"/>
          </w:rPr>
          <w:t>Police, courts and corrections – the issues</w:t>
        </w:r>
        <w:r w:rsidR="00BF670F">
          <w:rPr>
            <w:webHidden/>
          </w:rPr>
          <w:tab/>
        </w:r>
        <w:r w:rsidR="00BF670F">
          <w:rPr>
            <w:webHidden/>
          </w:rPr>
          <w:fldChar w:fldCharType="begin"/>
        </w:r>
        <w:r w:rsidR="00BF670F">
          <w:rPr>
            <w:webHidden/>
          </w:rPr>
          <w:instrText xml:space="preserve"> PAGEREF _Toc379195348 \h </w:instrText>
        </w:r>
        <w:r w:rsidR="00BF670F">
          <w:rPr>
            <w:webHidden/>
          </w:rPr>
        </w:r>
        <w:r w:rsidR="00BF670F">
          <w:rPr>
            <w:webHidden/>
          </w:rPr>
          <w:fldChar w:fldCharType="separate"/>
        </w:r>
        <w:r w:rsidR="007A2C96">
          <w:rPr>
            <w:webHidden/>
          </w:rPr>
          <w:t>16</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49" w:history="1">
        <w:r w:rsidR="00BF670F" w:rsidRPr="00E57D01">
          <w:rPr>
            <w:rStyle w:val="Hyperlink"/>
          </w:rPr>
          <w:t>3.1</w:t>
        </w:r>
        <w:r w:rsidR="00BF670F">
          <w:rPr>
            <w:rFonts w:asciiTheme="minorHAnsi" w:eastAsiaTheme="minorEastAsia" w:hAnsiTheme="minorHAnsi" w:cstheme="minorBidi"/>
            <w:b w:val="0"/>
            <w:i w:val="0"/>
            <w:sz w:val="22"/>
            <w:szCs w:val="22"/>
          </w:rPr>
          <w:tab/>
        </w:r>
        <w:r w:rsidR="00BF670F" w:rsidRPr="00E57D01">
          <w:rPr>
            <w:rStyle w:val="Hyperlink"/>
          </w:rPr>
          <w:t>General findings</w:t>
        </w:r>
        <w:r w:rsidR="00BF670F">
          <w:rPr>
            <w:webHidden/>
          </w:rPr>
          <w:tab/>
        </w:r>
        <w:r w:rsidR="00BF670F">
          <w:rPr>
            <w:webHidden/>
          </w:rPr>
          <w:fldChar w:fldCharType="begin"/>
        </w:r>
        <w:r w:rsidR="00BF670F">
          <w:rPr>
            <w:webHidden/>
          </w:rPr>
          <w:instrText xml:space="preserve"> PAGEREF _Toc379195349 \h </w:instrText>
        </w:r>
        <w:r w:rsidR="00BF670F">
          <w:rPr>
            <w:webHidden/>
          </w:rPr>
        </w:r>
        <w:r w:rsidR="00BF670F">
          <w:rPr>
            <w:webHidden/>
          </w:rPr>
          <w:fldChar w:fldCharType="separate"/>
        </w:r>
        <w:r w:rsidR="007A2C96">
          <w:rPr>
            <w:webHidden/>
          </w:rPr>
          <w:t>16</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50" w:history="1">
        <w:r w:rsidR="00BF670F" w:rsidRPr="00E57D01">
          <w:rPr>
            <w:rStyle w:val="Hyperlink"/>
            <w:rFonts w:cs="Arial"/>
          </w:rPr>
          <w:t>3.2</w:t>
        </w:r>
        <w:r w:rsidR="00BF670F">
          <w:rPr>
            <w:rFonts w:asciiTheme="minorHAnsi" w:eastAsiaTheme="minorEastAsia" w:hAnsiTheme="minorHAnsi" w:cstheme="minorBidi"/>
            <w:b w:val="0"/>
            <w:i w:val="0"/>
            <w:sz w:val="22"/>
            <w:szCs w:val="22"/>
          </w:rPr>
          <w:tab/>
        </w:r>
        <w:r w:rsidR="00BF670F" w:rsidRPr="00E57D01">
          <w:rPr>
            <w:rStyle w:val="Hyperlink"/>
            <w:rFonts w:cs="Arial"/>
          </w:rPr>
          <w:t>Police</w:t>
        </w:r>
        <w:r w:rsidR="00BF670F">
          <w:rPr>
            <w:webHidden/>
          </w:rPr>
          <w:tab/>
        </w:r>
        <w:r w:rsidR="00BF670F">
          <w:rPr>
            <w:webHidden/>
          </w:rPr>
          <w:fldChar w:fldCharType="begin"/>
        </w:r>
        <w:r w:rsidR="00BF670F">
          <w:rPr>
            <w:webHidden/>
          </w:rPr>
          <w:instrText xml:space="preserve"> PAGEREF _Toc379195350 \h </w:instrText>
        </w:r>
        <w:r w:rsidR="00BF670F">
          <w:rPr>
            <w:webHidden/>
          </w:rPr>
        </w:r>
        <w:r w:rsidR="00BF670F">
          <w:rPr>
            <w:webHidden/>
          </w:rPr>
          <w:fldChar w:fldCharType="separate"/>
        </w:r>
        <w:r w:rsidR="007A2C96">
          <w:rPr>
            <w:webHidden/>
          </w:rPr>
          <w:t>17</w:t>
        </w:r>
        <w:r w:rsidR="00BF670F">
          <w:rPr>
            <w:webHidden/>
          </w:rPr>
          <w:fldChar w:fldCharType="end"/>
        </w:r>
      </w:hyperlink>
    </w:p>
    <w:p w:rsidR="00BF670F" w:rsidRDefault="00F03BCE">
      <w:pPr>
        <w:pStyle w:val="TOC3"/>
        <w:rPr>
          <w:rFonts w:asciiTheme="minorHAnsi" w:eastAsiaTheme="minorEastAsia" w:hAnsiTheme="minorHAnsi" w:cstheme="minorBidi"/>
          <w:i w:val="0"/>
          <w:sz w:val="22"/>
          <w:szCs w:val="22"/>
        </w:rPr>
      </w:pPr>
      <w:hyperlink w:anchor="_Toc379195351" w:history="1">
        <w:r w:rsidR="00BF670F" w:rsidRPr="00E57D01">
          <w:rPr>
            <w:rStyle w:val="Hyperlink"/>
          </w:rPr>
          <w:t>Barriers and gaps</w:t>
        </w:r>
        <w:r w:rsidR="00BF670F">
          <w:rPr>
            <w:webHidden/>
          </w:rPr>
          <w:tab/>
        </w:r>
        <w:r w:rsidR="00BF670F">
          <w:rPr>
            <w:webHidden/>
          </w:rPr>
          <w:fldChar w:fldCharType="begin"/>
        </w:r>
        <w:r w:rsidR="00BF670F">
          <w:rPr>
            <w:webHidden/>
          </w:rPr>
          <w:instrText xml:space="preserve"> PAGEREF _Toc379195351 \h </w:instrText>
        </w:r>
        <w:r w:rsidR="00BF670F">
          <w:rPr>
            <w:webHidden/>
          </w:rPr>
        </w:r>
        <w:r w:rsidR="00BF670F">
          <w:rPr>
            <w:webHidden/>
          </w:rPr>
          <w:fldChar w:fldCharType="separate"/>
        </w:r>
        <w:r w:rsidR="007A2C96">
          <w:rPr>
            <w:webHidden/>
          </w:rPr>
          <w:t>18</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52" w:history="1">
        <w:r w:rsidR="00BF670F" w:rsidRPr="00E57D01">
          <w:rPr>
            <w:rStyle w:val="Hyperlink"/>
            <w:rFonts w:cs="Arial"/>
          </w:rPr>
          <w:t>3.3</w:t>
        </w:r>
        <w:r w:rsidR="00BF670F">
          <w:rPr>
            <w:rFonts w:asciiTheme="minorHAnsi" w:eastAsiaTheme="minorEastAsia" w:hAnsiTheme="minorHAnsi" w:cstheme="minorBidi"/>
            <w:b w:val="0"/>
            <w:i w:val="0"/>
            <w:sz w:val="22"/>
            <w:szCs w:val="22"/>
          </w:rPr>
          <w:tab/>
        </w:r>
        <w:r w:rsidR="00BF670F" w:rsidRPr="00E57D01">
          <w:rPr>
            <w:rStyle w:val="Hyperlink"/>
            <w:rFonts w:cs="Arial"/>
          </w:rPr>
          <w:t>Courts</w:t>
        </w:r>
        <w:r w:rsidR="00BF670F">
          <w:rPr>
            <w:webHidden/>
          </w:rPr>
          <w:tab/>
        </w:r>
        <w:r w:rsidR="00BF670F">
          <w:rPr>
            <w:webHidden/>
          </w:rPr>
          <w:fldChar w:fldCharType="begin"/>
        </w:r>
        <w:r w:rsidR="00BF670F">
          <w:rPr>
            <w:webHidden/>
          </w:rPr>
          <w:instrText xml:space="preserve"> PAGEREF _Toc379195352 \h </w:instrText>
        </w:r>
        <w:r w:rsidR="00BF670F">
          <w:rPr>
            <w:webHidden/>
          </w:rPr>
        </w:r>
        <w:r w:rsidR="00BF670F">
          <w:rPr>
            <w:webHidden/>
          </w:rPr>
          <w:fldChar w:fldCharType="separate"/>
        </w:r>
        <w:r w:rsidR="007A2C96">
          <w:rPr>
            <w:webHidden/>
          </w:rPr>
          <w:t>21</w:t>
        </w:r>
        <w:r w:rsidR="00BF670F">
          <w:rPr>
            <w:webHidden/>
          </w:rPr>
          <w:fldChar w:fldCharType="end"/>
        </w:r>
      </w:hyperlink>
    </w:p>
    <w:p w:rsidR="00BF670F" w:rsidRDefault="00F03BCE">
      <w:pPr>
        <w:pStyle w:val="TOC3"/>
        <w:rPr>
          <w:rFonts w:asciiTheme="minorHAnsi" w:eastAsiaTheme="minorEastAsia" w:hAnsiTheme="minorHAnsi" w:cstheme="minorBidi"/>
          <w:i w:val="0"/>
          <w:sz w:val="22"/>
          <w:szCs w:val="22"/>
        </w:rPr>
      </w:pPr>
      <w:hyperlink w:anchor="_Toc379195353" w:history="1">
        <w:r w:rsidR="00BF670F" w:rsidRPr="00E57D01">
          <w:rPr>
            <w:rStyle w:val="Hyperlink"/>
          </w:rPr>
          <w:t>(a)</w:t>
        </w:r>
        <w:r w:rsidR="00BF670F">
          <w:rPr>
            <w:rFonts w:asciiTheme="minorHAnsi" w:eastAsiaTheme="minorEastAsia" w:hAnsiTheme="minorHAnsi" w:cstheme="minorBidi"/>
            <w:i w:val="0"/>
            <w:sz w:val="22"/>
            <w:szCs w:val="22"/>
          </w:rPr>
          <w:tab/>
        </w:r>
        <w:r w:rsidR="00BF670F" w:rsidRPr="00E57D01">
          <w:rPr>
            <w:rStyle w:val="Hyperlink"/>
          </w:rPr>
          <w:t>Evidence and people with disabilities</w:t>
        </w:r>
        <w:r w:rsidR="00BF670F">
          <w:rPr>
            <w:webHidden/>
          </w:rPr>
          <w:tab/>
        </w:r>
        <w:r w:rsidR="00BF670F">
          <w:rPr>
            <w:webHidden/>
          </w:rPr>
          <w:fldChar w:fldCharType="begin"/>
        </w:r>
        <w:r w:rsidR="00BF670F">
          <w:rPr>
            <w:webHidden/>
          </w:rPr>
          <w:instrText xml:space="preserve"> PAGEREF _Toc379195353 \h </w:instrText>
        </w:r>
        <w:r w:rsidR="00BF670F">
          <w:rPr>
            <w:webHidden/>
          </w:rPr>
        </w:r>
        <w:r w:rsidR="00BF670F">
          <w:rPr>
            <w:webHidden/>
          </w:rPr>
          <w:fldChar w:fldCharType="separate"/>
        </w:r>
        <w:r w:rsidR="007A2C96">
          <w:rPr>
            <w:webHidden/>
          </w:rPr>
          <w:t>21</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54" w:history="1">
        <w:r w:rsidR="00BF670F" w:rsidRPr="00E57D01">
          <w:rPr>
            <w:rStyle w:val="Hyperlink"/>
            <w:i/>
            <w:lang w:val="en-GB"/>
          </w:rPr>
          <w:t>Competency</w:t>
        </w:r>
        <w:r w:rsidR="00BF670F">
          <w:rPr>
            <w:webHidden/>
          </w:rPr>
          <w:tab/>
        </w:r>
        <w:r w:rsidR="00BF670F">
          <w:rPr>
            <w:webHidden/>
          </w:rPr>
          <w:fldChar w:fldCharType="begin"/>
        </w:r>
        <w:r w:rsidR="00BF670F">
          <w:rPr>
            <w:webHidden/>
          </w:rPr>
          <w:instrText xml:space="preserve"> PAGEREF _Toc379195354 \h </w:instrText>
        </w:r>
        <w:r w:rsidR="00BF670F">
          <w:rPr>
            <w:webHidden/>
          </w:rPr>
        </w:r>
        <w:r w:rsidR="00BF670F">
          <w:rPr>
            <w:webHidden/>
          </w:rPr>
          <w:fldChar w:fldCharType="separate"/>
        </w:r>
        <w:r w:rsidR="007A2C96">
          <w:rPr>
            <w:webHidden/>
          </w:rPr>
          <w:t>21</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55" w:history="1">
        <w:r w:rsidR="00BF670F" w:rsidRPr="00E57D01">
          <w:rPr>
            <w:rStyle w:val="Hyperlink"/>
            <w:i/>
            <w:lang w:val="en-GB"/>
          </w:rPr>
          <w:t>Facilitating evidence for persons with a disability</w:t>
        </w:r>
        <w:r w:rsidR="00BF670F">
          <w:rPr>
            <w:webHidden/>
          </w:rPr>
          <w:tab/>
        </w:r>
        <w:r w:rsidR="00BF670F">
          <w:rPr>
            <w:webHidden/>
          </w:rPr>
          <w:fldChar w:fldCharType="begin"/>
        </w:r>
        <w:r w:rsidR="00BF670F">
          <w:rPr>
            <w:webHidden/>
          </w:rPr>
          <w:instrText xml:space="preserve"> PAGEREF _Toc379195355 \h </w:instrText>
        </w:r>
        <w:r w:rsidR="00BF670F">
          <w:rPr>
            <w:webHidden/>
          </w:rPr>
        </w:r>
        <w:r w:rsidR="00BF670F">
          <w:rPr>
            <w:webHidden/>
          </w:rPr>
          <w:fldChar w:fldCharType="separate"/>
        </w:r>
        <w:r w:rsidR="007A2C96">
          <w:rPr>
            <w:webHidden/>
          </w:rPr>
          <w:t>22</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56" w:history="1">
        <w:r w:rsidR="00BF670F" w:rsidRPr="00E57D01">
          <w:rPr>
            <w:rStyle w:val="Hyperlink"/>
            <w:lang w:val="en-GB"/>
          </w:rPr>
          <w:t>Other legislation</w:t>
        </w:r>
        <w:r w:rsidR="00BF670F">
          <w:rPr>
            <w:webHidden/>
          </w:rPr>
          <w:tab/>
        </w:r>
        <w:r w:rsidR="00BF670F">
          <w:rPr>
            <w:webHidden/>
          </w:rPr>
          <w:fldChar w:fldCharType="begin"/>
        </w:r>
        <w:r w:rsidR="00BF670F">
          <w:rPr>
            <w:webHidden/>
          </w:rPr>
          <w:instrText xml:space="preserve"> PAGEREF _Toc379195356 \h </w:instrText>
        </w:r>
        <w:r w:rsidR="00BF670F">
          <w:rPr>
            <w:webHidden/>
          </w:rPr>
        </w:r>
        <w:r w:rsidR="00BF670F">
          <w:rPr>
            <w:webHidden/>
          </w:rPr>
          <w:fldChar w:fldCharType="separate"/>
        </w:r>
        <w:r w:rsidR="007A2C96">
          <w:rPr>
            <w:webHidden/>
          </w:rPr>
          <w:t>23</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57" w:history="1">
        <w:r w:rsidR="00BF670F" w:rsidRPr="00E57D01">
          <w:rPr>
            <w:rStyle w:val="Hyperlink"/>
            <w:i/>
            <w:lang w:val="en-GB"/>
          </w:rPr>
          <w:t>Perceptions of credibility</w:t>
        </w:r>
        <w:r w:rsidR="00BF670F">
          <w:rPr>
            <w:webHidden/>
          </w:rPr>
          <w:tab/>
        </w:r>
        <w:r w:rsidR="00BF670F">
          <w:rPr>
            <w:webHidden/>
          </w:rPr>
          <w:fldChar w:fldCharType="begin"/>
        </w:r>
        <w:r w:rsidR="00BF670F">
          <w:rPr>
            <w:webHidden/>
          </w:rPr>
          <w:instrText xml:space="preserve"> PAGEREF _Toc379195357 \h </w:instrText>
        </w:r>
        <w:r w:rsidR="00BF670F">
          <w:rPr>
            <w:webHidden/>
          </w:rPr>
        </w:r>
        <w:r w:rsidR="00BF670F">
          <w:rPr>
            <w:webHidden/>
          </w:rPr>
          <w:fldChar w:fldCharType="separate"/>
        </w:r>
        <w:r w:rsidR="007A2C96">
          <w:rPr>
            <w:webHidden/>
          </w:rPr>
          <w:t>23</w:t>
        </w:r>
        <w:r w:rsidR="00BF670F">
          <w:rPr>
            <w:webHidden/>
          </w:rPr>
          <w:fldChar w:fldCharType="end"/>
        </w:r>
      </w:hyperlink>
    </w:p>
    <w:p w:rsidR="00BF670F" w:rsidRDefault="00F03BCE">
      <w:pPr>
        <w:pStyle w:val="TOC3"/>
        <w:rPr>
          <w:rFonts w:asciiTheme="minorHAnsi" w:eastAsiaTheme="minorEastAsia" w:hAnsiTheme="minorHAnsi" w:cstheme="minorBidi"/>
          <w:i w:val="0"/>
          <w:sz w:val="22"/>
          <w:szCs w:val="22"/>
        </w:rPr>
      </w:pPr>
      <w:hyperlink w:anchor="_Toc379195358" w:history="1">
        <w:r w:rsidR="00BF670F" w:rsidRPr="00E57D01">
          <w:rPr>
            <w:rStyle w:val="Hyperlink"/>
          </w:rPr>
          <w:t>Barriers and gaps</w:t>
        </w:r>
        <w:r w:rsidR="00BF670F">
          <w:rPr>
            <w:webHidden/>
          </w:rPr>
          <w:tab/>
        </w:r>
        <w:r w:rsidR="00BF670F">
          <w:rPr>
            <w:webHidden/>
          </w:rPr>
          <w:fldChar w:fldCharType="begin"/>
        </w:r>
        <w:r w:rsidR="00BF670F">
          <w:rPr>
            <w:webHidden/>
          </w:rPr>
          <w:instrText xml:space="preserve"> PAGEREF _Toc379195358 \h </w:instrText>
        </w:r>
        <w:r w:rsidR="00BF670F">
          <w:rPr>
            <w:webHidden/>
          </w:rPr>
        </w:r>
        <w:r w:rsidR="00BF670F">
          <w:rPr>
            <w:webHidden/>
          </w:rPr>
          <w:fldChar w:fldCharType="separate"/>
        </w:r>
        <w:r w:rsidR="007A2C96">
          <w:rPr>
            <w:webHidden/>
          </w:rPr>
          <w:t>24</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59" w:history="1">
        <w:r w:rsidR="00BF670F" w:rsidRPr="00E57D01">
          <w:rPr>
            <w:rStyle w:val="Hyperlink"/>
            <w:rFonts w:cs="Arial"/>
          </w:rPr>
          <w:t>3.4</w:t>
        </w:r>
        <w:r w:rsidR="00BF670F">
          <w:rPr>
            <w:rFonts w:asciiTheme="minorHAnsi" w:eastAsiaTheme="minorEastAsia" w:hAnsiTheme="minorHAnsi" w:cstheme="minorBidi"/>
            <w:b w:val="0"/>
            <w:i w:val="0"/>
            <w:sz w:val="22"/>
            <w:szCs w:val="22"/>
          </w:rPr>
          <w:tab/>
        </w:r>
        <w:r w:rsidR="00BF670F" w:rsidRPr="00E57D01">
          <w:rPr>
            <w:rStyle w:val="Hyperlink"/>
            <w:rFonts w:cs="Arial"/>
          </w:rPr>
          <w:t>Custodial environments and release to the community</w:t>
        </w:r>
        <w:r w:rsidR="00BF670F">
          <w:rPr>
            <w:webHidden/>
          </w:rPr>
          <w:tab/>
        </w:r>
        <w:r w:rsidR="00BF670F">
          <w:rPr>
            <w:webHidden/>
          </w:rPr>
          <w:fldChar w:fldCharType="begin"/>
        </w:r>
        <w:r w:rsidR="00BF670F">
          <w:rPr>
            <w:webHidden/>
          </w:rPr>
          <w:instrText xml:space="preserve"> PAGEREF _Toc379195359 \h </w:instrText>
        </w:r>
        <w:r w:rsidR="00BF670F">
          <w:rPr>
            <w:webHidden/>
          </w:rPr>
        </w:r>
        <w:r w:rsidR="00BF670F">
          <w:rPr>
            <w:webHidden/>
          </w:rPr>
          <w:fldChar w:fldCharType="separate"/>
        </w:r>
        <w:r w:rsidR="007A2C96">
          <w:rPr>
            <w:webHidden/>
          </w:rPr>
          <w:t>27</w:t>
        </w:r>
        <w:r w:rsidR="00BF670F">
          <w:rPr>
            <w:webHidden/>
          </w:rPr>
          <w:fldChar w:fldCharType="end"/>
        </w:r>
      </w:hyperlink>
    </w:p>
    <w:p w:rsidR="00BF670F" w:rsidRDefault="00F03BCE">
      <w:pPr>
        <w:pStyle w:val="TOC3"/>
        <w:rPr>
          <w:rFonts w:asciiTheme="minorHAnsi" w:eastAsiaTheme="minorEastAsia" w:hAnsiTheme="minorHAnsi" w:cstheme="minorBidi"/>
          <w:i w:val="0"/>
          <w:sz w:val="22"/>
          <w:szCs w:val="22"/>
        </w:rPr>
      </w:pPr>
      <w:hyperlink w:anchor="_Toc379195360" w:history="1">
        <w:r w:rsidR="00BF670F" w:rsidRPr="00E57D01">
          <w:rPr>
            <w:rStyle w:val="Hyperlink"/>
          </w:rPr>
          <w:t>Barriers and Gaps</w:t>
        </w:r>
        <w:r w:rsidR="00BF670F">
          <w:rPr>
            <w:webHidden/>
          </w:rPr>
          <w:tab/>
        </w:r>
        <w:r w:rsidR="00BF670F">
          <w:rPr>
            <w:webHidden/>
          </w:rPr>
          <w:fldChar w:fldCharType="begin"/>
        </w:r>
        <w:r w:rsidR="00BF670F">
          <w:rPr>
            <w:webHidden/>
          </w:rPr>
          <w:instrText xml:space="preserve"> PAGEREF _Toc379195360 \h </w:instrText>
        </w:r>
        <w:r w:rsidR="00BF670F">
          <w:rPr>
            <w:webHidden/>
          </w:rPr>
        </w:r>
        <w:r w:rsidR="00BF670F">
          <w:rPr>
            <w:webHidden/>
          </w:rPr>
          <w:fldChar w:fldCharType="separate"/>
        </w:r>
        <w:r w:rsidR="007A2C96">
          <w:rPr>
            <w:webHidden/>
          </w:rPr>
          <w:t>28</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61" w:history="1">
        <w:r w:rsidR="00BF670F" w:rsidRPr="00E57D01">
          <w:rPr>
            <w:rStyle w:val="Hyperlink"/>
          </w:rPr>
          <w:t>3.5</w:t>
        </w:r>
        <w:r w:rsidR="00BF670F">
          <w:rPr>
            <w:rFonts w:asciiTheme="minorHAnsi" w:eastAsiaTheme="minorEastAsia" w:hAnsiTheme="minorHAnsi" w:cstheme="minorBidi"/>
            <w:b w:val="0"/>
            <w:i w:val="0"/>
            <w:sz w:val="22"/>
            <w:szCs w:val="22"/>
          </w:rPr>
          <w:tab/>
        </w:r>
        <w:r w:rsidR="00BF670F" w:rsidRPr="00E57D01">
          <w:rPr>
            <w:rStyle w:val="Hyperlink"/>
          </w:rPr>
          <w:t>National Disability Insurance Scheme</w:t>
        </w:r>
        <w:r w:rsidR="00BF670F">
          <w:rPr>
            <w:webHidden/>
          </w:rPr>
          <w:tab/>
        </w:r>
        <w:r w:rsidR="00BF670F">
          <w:rPr>
            <w:webHidden/>
          </w:rPr>
          <w:fldChar w:fldCharType="begin"/>
        </w:r>
        <w:r w:rsidR="00BF670F">
          <w:rPr>
            <w:webHidden/>
          </w:rPr>
          <w:instrText xml:space="preserve"> PAGEREF _Toc379195361 \h </w:instrText>
        </w:r>
        <w:r w:rsidR="00BF670F">
          <w:rPr>
            <w:webHidden/>
          </w:rPr>
        </w:r>
        <w:r w:rsidR="00BF670F">
          <w:rPr>
            <w:webHidden/>
          </w:rPr>
          <w:fldChar w:fldCharType="separate"/>
        </w:r>
        <w:r w:rsidR="007A2C96">
          <w:rPr>
            <w:webHidden/>
          </w:rPr>
          <w:t>31</w:t>
        </w:r>
        <w:r w:rsidR="00BF670F">
          <w:rPr>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62" w:history="1">
        <w:r w:rsidR="00BF670F" w:rsidRPr="00E57D01">
          <w:rPr>
            <w:rStyle w:val="Hyperlink"/>
          </w:rPr>
          <w:t>4</w:t>
        </w:r>
        <w:r w:rsidR="00BF670F">
          <w:rPr>
            <w:rFonts w:asciiTheme="minorHAnsi" w:eastAsiaTheme="minorEastAsia" w:hAnsiTheme="minorHAnsi" w:cstheme="minorBidi"/>
            <w:b w:val="0"/>
            <w:szCs w:val="22"/>
          </w:rPr>
          <w:tab/>
        </w:r>
        <w:r w:rsidR="00BF670F" w:rsidRPr="00E57D01">
          <w:rPr>
            <w:rStyle w:val="Hyperlink"/>
          </w:rPr>
          <w:t>Actions and statements of principle</w:t>
        </w:r>
        <w:r w:rsidR="00BF670F">
          <w:rPr>
            <w:webHidden/>
          </w:rPr>
          <w:tab/>
        </w:r>
        <w:r w:rsidR="00BF670F">
          <w:rPr>
            <w:webHidden/>
          </w:rPr>
          <w:fldChar w:fldCharType="begin"/>
        </w:r>
        <w:r w:rsidR="00BF670F">
          <w:rPr>
            <w:webHidden/>
          </w:rPr>
          <w:instrText xml:space="preserve"> PAGEREF _Toc379195362 \h </w:instrText>
        </w:r>
        <w:r w:rsidR="00BF670F">
          <w:rPr>
            <w:webHidden/>
          </w:rPr>
        </w:r>
        <w:r w:rsidR="00BF670F">
          <w:rPr>
            <w:webHidden/>
          </w:rPr>
          <w:fldChar w:fldCharType="separate"/>
        </w:r>
        <w:r w:rsidR="007A2C96">
          <w:rPr>
            <w:webHidden/>
          </w:rPr>
          <w:t>32</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63" w:history="1">
        <w:r w:rsidR="00BF670F" w:rsidRPr="00E57D01">
          <w:rPr>
            <w:rStyle w:val="Hyperlink"/>
          </w:rPr>
          <w:t>4.1</w:t>
        </w:r>
        <w:r w:rsidR="00BF670F">
          <w:rPr>
            <w:rFonts w:asciiTheme="minorHAnsi" w:eastAsiaTheme="minorEastAsia" w:hAnsiTheme="minorHAnsi" w:cstheme="minorBidi"/>
            <w:b w:val="0"/>
            <w:i w:val="0"/>
            <w:sz w:val="22"/>
            <w:szCs w:val="22"/>
          </w:rPr>
          <w:tab/>
        </w:r>
        <w:r w:rsidR="00BF670F" w:rsidRPr="00E57D01">
          <w:rPr>
            <w:rStyle w:val="Hyperlink"/>
          </w:rPr>
          <w:t>Outcome: Appropriate communications</w:t>
        </w:r>
        <w:r w:rsidR="00BF670F">
          <w:rPr>
            <w:webHidden/>
          </w:rPr>
          <w:tab/>
        </w:r>
        <w:r w:rsidR="00BF670F">
          <w:rPr>
            <w:webHidden/>
          </w:rPr>
          <w:fldChar w:fldCharType="begin"/>
        </w:r>
        <w:r w:rsidR="00BF670F">
          <w:rPr>
            <w:webHidden/>
          </w:rPr>
          <w:instrText xml:space="preserve"> PAGEREF _Toc379195363 \h </w:instrText>
        </w:r>
        <w:r w:rsidR="00BF670F">
          <w:rPr>
            <w:webHidden/>
          </w:rPr>
        </w:r>
        <w:r w:rsidR="00BF670F">
          <w:rPr>
            <w:webHidden/>
          </w:rPr>
          <w:fldChar w:fldCharType="separate"/>
        </w:r>
        <w:r w:rsidR="007A2C96">
          <w:rPr>
            <w:webHidden/>
          </w:rPr>
          <w:t>32</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64" w:history="1">
        <w:r w:rsidR="00BF670F" w:rsidRPr="00E57D01">
          <w:rPr>
            <w:rStyle w:val="Hyperlink"/>
          </w:rPr>
          <w:t>PRINCIPLES</w:t>
        </w:r>
        <w:r w:rsidR="00BF670F">
          <w:rPr>
            <w:webHidden/>
          </w:rPr>
          <w:tab/>
        </w:r>
        <w:r w:rsidR="00BF670F">
          <w:rPr>
            <w:webHidden/>
          </w:rPr>
          <w:fldChar w:fldCharType="begin"/>
        </w:r>
        <w:r w:rsidR="00BF670F">
          <w:rPr>
            <w:webHidden/>
          </w:rPr>
          <w:instrText xml:space="preserve"> PAGEREF _Toc379195364 \h </w:instrText>
        </w:r>
        <w:r w:rsidR="00BF670F">
          <w:rPr>
            <w:webHidden/>
          </w:rPr>
        </w:r>
        <w:r w:rsidR="00BF670F">
          <w:rPr>
            <w:webHidden/>
          </w:rPr>
          <w:fldChar w:fldCharType="separate"/>
        </w:r>
        <w:r w:rsidR="007A2C96">
          <w:rPr>
            <w:webHidden/>
          </w:rPr>
          <w:t>32</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65" w:history="1">
        <w:r w:rsidR="00BF670F" w:rsidRPr="00E57D01">
          <w:rPr>
            <w:rStyle w:val="Hyperlink"/>
          </w:rPr>
          <w:t>ACTIONS</w:t>
        </w:r>
        <w:r w:rsidR="00BF670F">
          <w:rPr>
            <w:webHidden/>
          </w:rPr>
          <w:tab/>
        </w:r>
        <w:r w:rsidR="00BF670F">
          <w:rPr>
            <w:webHidden/>
          </w:rPr>
          <w:fldChar w:fldCharType="begin"/>
        </w:r>
        <w:r w:rsidR="00BF670F">
          <w:rPr>
            <w:webHidden/>
          </w:rPr>
          <w:instrText xml:space="preserve"> PAGEREF _Toc379195365 \h </w:instrText>
        </w:r>
        <w:r w:rsidR="00BF670F">
          <w:rPr>
            <w:webHidden/>
          </w:rPr>
        </w:r>
        <w:r w:rsidR="00BF670F">
          <w:rPr>
            <w:webHidden/>
          </w:rPr>
          <w:fldChar w:fldCharType="separate"/>
        </w:r>
        <w:r w:rsidR="007A2C96">
          <w:rPr>
            <w:webHidden/>
          </w:rPr>
          <w:t>32</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66" w:history="1">
        <w:r w:rsidR="00BF670F" w:rsidRPr="00E57D01">
          <w:rPr>
            <w:rStyle w:val="Hyperlink"/>
          </w:rPr>
          <w:t>4.2</w:t>
        </w:r>
        <w:r w:rsidR="00BF670F">
          <w:rPr>
            <w:rFonts w:asciiTheme="minorHAnsi" w:eastAsiaTheme="minorEastAsia" w:hAnsiTheme="minorHAnsi" w:cstheme="minorBidi"/>
            <w:b w:val="0"/>
            <w:i w:val="0"/>
            <w:sz w:val="22"/>
            <w:szCs w:val="22"/>
          </w:rPr>
          <w:tab/>
        </w:r>
        <w:r w:rsidR="00BF670F" w:rsidRPr="00E57D01">
          <w:rPr>
            <w:rStyle w:val="Hyperlink"/>
          </w:rPr>
          <w:t>Outcome: Early intervention and diversion</w:t>
        </w:r>
        <w:r w:rsidR="00BF670F">
          <w:rPr>
            <w:webHidden/>
          </w:rPr>
          <w:tab/>
        </w:r>
        <w:r w:rsidR="00BF670F">
          <w:rPr>
            <w:webHidden/>
          </w:rPr>
          <w:fldChar w:fldCharType="begin"/>
        </w:r>
        <w:r w:rsidR="00BF670F">
          <w:rPr>
            <w:webHidden/>
          </w:rPr>
          <w:instrText xml:space="preserve"> PAGEREF _Toc379195366 \h </w:instrText>
        </w:r>
        <w:r w:rsidR="00BF670F">
          <w:rPr>
            <w:webHidden/>
          </w:rPr>
        </w:r>
        <w:r w:rsidR="00BF670F">
          <w:rPr>
            <w:webHidden/>
          </w:rPr>
          <w:fldChar w:fldCharType="separate"/>
        </w:r>
        <w:r w:rsidR="007A2C96">
          <w:rPr>
            <w:webHidden/>
          </w:rPr>
          <w:t>33</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67" w:history="1">
        <w:r w:rsidR="00BF670F" w:rsidRPr="00E57D01">
          <w:rPr>
            <w:rStyle w:val="Hyperlink"/>
          </w:rPr>
          <w:t>PRINCIPLES</w:t>
        </w:r>
        <w:r w:rsidR="00BF670F">
          <w:rPr>
            <w:webHidden/>
          </w:rPr>
          <w:tab/>
        </w:r>
        <w:r w:rsidR="00BF670F">
          <w:rPr>
            <w:webHidden/>
          </w:rPr>
          <w:fldChar w:fldCharType="begin"/>
        </w:r>
        <w:r w:rsidR="00BF670F">
          <w:rPr>
            <w:webHidden/>
          </w:rPr>
          <w:instrText xml:space="preserve"> PAGEREF _Toc379195367 \h </w:instrText>
        </w:r>
        <w:r w:rsidR="00BF670F">
          <w:rPr>
            <w:webHidden/>
          </w:rPr>
        </w:r>
        <w:r w:rsidR="00BF670F">
          <w:rPr>
            <w:webHidden/>
          </w:rPr>
          <w:fldChar w:fldCharType="separate"/>
        </w:r>
        <w:r w:rsidR="007A2C96">
          <w:rPr>
            <w:webHidden/>
          </w:rPr>
          <w:t>33</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68" w:history="1">
        <w:r w:rsidR="00BF670F" w:rsidRPr="00E57D01">
          <w:rPr>
            <w:rStyle w:val="Hyperlink"/>
          </w:rPr>
          <w:t>ACTIONS</w:t>
        </w:r>
        <w:r w:rsidR="00BF670F">
          <w:rPr>
            <w:webHidden/>
          </w:rPr>
          <w:tab/>
        </w:r>
        <w:r w:rsidR="00BF670F">
          <w:rPr>
            <w:webHidden/>
          </w:rPr>
          <w:fldChar w:fldCharType="begin"/>
        </w:r>
        <w:r w:rsidR="00BF670F">
          <w:rPr>
            <w:webHidden/>
          </w:rPr>
          <w:instrText xml:space="preserve"> PAGEREF _Toc379195368 \h </w:instrText>
        </w:r>
        <w:r w:rsidR="00BF670F">
          <w:rPr>
            <w:webHidden/>
          </w:rPr>
        </w:r>
        <w:r w:rsidR="00BF670F">
          <w:rPr>
            <w:webHidden/>
          </w:rPr>
          <w:fldChar w:fldCharType="separate"/>
        </w:r>
        <w:r w:rsidR="007A2C96">
          <w:rPr>
            <w:webHidden/>
          </w:rPr>
          <w:t>33</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69" w:history="1">
        <w:r w:rsidR="00BF670F" w:rsidRPr="00E57D01">
          <w:rPr>
            <w:rStyle w:val="Hyperlink"/>
          </w:rPr>
          <w:t>4.3</w:t>
        </w:r>
        <w:r w:rsidR="00BF670F">
          <w:rPr>
            <w:rFonts w:asciiTheme="minorHAnsi" w:eastAsiaTheme="minorEastAsia" w:hAnsiTheme="minorHAnsi" w:cstheme="minorBidi"/>
            <w:b w:val="0"/>
            <w:i w:val="0"/>
            <w:sz w:val="22"/>
            <w:szCs w:val="22"/>
          </w:rPr>
          <w:tab/>
        </w:r>
        <w:r w:rsidR="00BF670F" w:rsidRPr="00E57D01">
          <w:rPr>
            <w:rStyle w:val="Hyperlink"/>
          </w:rPr>
          <w:t>Outcome: Increased service capacity and support</w:t>
        </w:r>
        <w:r w:rsidR="00BF670F">
          <w:rPr>
            <w:webHidden/>
          </w:rPr>
          <w:tab/>
        </w:r>
        <w:r w:rsidR="00BF670F">
          <w:rPr>
            <w:webHidden/>
          </w:rPr>
          <w:fldChar w:fldCharType="begin"/>
        </w:r>
        <w:r w:rsidR="00BF670F">
          <w:rPr>
            <w:webHidden/>
          </w:rPr>
          <w:instrText xml:space="preserve"> PAGEREF _Toc379195369 \h </w:instrText>
        </w:r>
        <w:r w:rsidR="00BF670F">
          <w:rPr>
            <w:webHidden/>
          </w:rPr>
        </w:r>
        <w:r w:rsidR="00BF670F">
          <w:rPr>
            <w:webHidden/>
          </w:rPr>
          <w:fldChar w:fldCharType="separate"/>
        </w:r>
        <w:r w:rsidR="007A2C96">
          <w:rPr>
            <w:webHidden/>
          </w:rPr>
          <w:t>34</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70" w:history="1">
        <w:r w:rsidR="00BF670F" w:rsidRPr="00E57D01">
          <w:rPr>
            <w:rStyle w:val="Hyperlink"/>
          </w:rPr>
          <w:t>PRINCIPLES</w:t>
        </w:r>
        <w:r w:rsidR="00BF670F">
          <w:rPr>
            <w:webHidden/>
          </w:rPr>
          <w:tab/>
        </w:r>
        <w:r w:rsidR="00BF670F">
          <w:rPr>
            <w:webHidden/>
          </w:rPr>
          <w:fldChar w:fldCharType="begin"/>
        </w:r>
        <w:r w:rsidR="00BF670F">
          <w:rPr>
            <w:webHidden/>
          </w:rPr>
          <w:instrText xml:space="preserve"> PAGEREF _Toc379195370 \h </w:instrText>
        </w:r>
        <w:r w:rsidR="00BF670F">
          <w:rPr>
            <w:webHidden/>
          </w:rPr>
        </w:r>
        <w:r w:rsidR="00BF670F">
          <w:rPr>
            <w:webHidden/>
          </w:rPr>
          <w:fldChar w:fldCharType="separate"/>
        </w:r>
        <w:r w:rsidR="007A2C96">
          <w:rPr>
            <w:webHidden/>
          </w:rPr>
          <w:t>34</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71" w:history="1">
        <w:r w:rsidR="00BF670F" w:rsidRPr="00E57D01">
          <w:rPr>
            <w:rStyle w:val="Hyperlink"/>
          </w:rPr>
          <w:t>ACTIONS</w:t>
        </w:r>
        <w:r w:rsidR="00BF670F">
          <w:rPr>
            <w:webHidden/>
          </w:rPr>
          <w:tab/>
        </w:r>
        <w:r w:rsidR="00BF670F">
          <w:rPr>
            <w:webHidden/>
          </w:rPr>
          <w:fldChar w:fldCharType="begin"/>
        </w:r>
        <w:r w:rsidR="00BF670F">
          <w:rPr>
            <w:webHidden/>
          </w:rPr>
          <w:instrText xml:space="preserve"> PAGEREF _Toc379195371 \h </w:instrText>
        </w:r>
        <w:r w:rsidR="00BF670F">
          <w:rPr>
            <w:webHidden/>
          </w:rPr>
        </w:r>
        <w:r w:rsidR="00BF670F">
          <w:rPr>
            <w:webHidden/>
          </w:rPr>
          <w:fldChar w:fldCharType="separate"/>
        </w:r>
        <w:r w:rsidR="007A2C96">
          <w:rPr>
            <w:webHidden/>
          </w:rPr>
          <w:t>34</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72" w:history="1">
        <w:r w:rsidR="00BF670F" w:rsidRPr="00E57D01">
          <w:rPr>
            <w:rStyle w:val="Hyperlink"/>
          </w:rPr>
          <w:t>4.4</w:t>
        </w:r>
        <w:r w:rsidR="00BF670F">
          <w:rPr>
            <w:rFonts w:asciiTheme="minorHAnsi" w:eastAsiaTheme="minorEastAsia" w:hAnsiTheme="minorHAnsi" w:cstheme="minorBidi"/>
            <w:b w:val="0"/>
            <w:i w:val="0"/>
            <w:sz w:val="22"/>
            <w:szCs w:val="22"/>
          </w:rPr>
          <w:tab/>
        </w:r>
        <w:r w:rsidR="00BF670F" w:rsidRPr="00E57D01">
          <w:rPr>
            <w:rStyle w:val="Hyperlink"/>
          </w:rPr>
          <w:t>Outcome: Effective training</w:t>
        </w:r>
        <w:r w:rsidR="00BF670F">
          <w:rPr>
            <w:webHidden/>
          </w:rPr>
          <w:tab/>
        </w:r>
        <w:r w:rsidR="00BF670F">
          <w:rPr>
            <w:webHidden/>
          </w:rPr>
          <w:fldChar w:fldCharType="begin"/>
        </w:r>
        <w:r w:rsidR="00BF670F">
          <w:rPr>
            <w:webHidden/>
          </w:rPr>
          <w:instrText xml:space="preserve"> PAGEREF _Toc379195372 \h </w:instrText>
        </w:r>
        <w:r w:rsidR="00BF670F">
          <w:rPr>
            <w:webHidden/>
          </w:rPr>
        </w:r>
        <w:r w:rsidR="00BF670F">
          <w:rPr>
            <w:webHidden/>
          </w:rPr>
          <w:fldChar w:fldCharType="separate"/>
        </w:r>
        <w:r w:rsidR="007A2C96">
          <w:rPr>
            <w:webHidden/>
          </w:rPr>
          <w:t>36</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73" w:history="1">
        <w:r w:rsidR="00BF670F" w:rsidRPr="00E57D01">
          <w:rPr>
            <w:rStyle w:val="Hyperlink"/>
          </w:rPr>
          <w:t>PRINCIPLES</w:t>
        </w:r>
        <w:r w:rsidR="00BF670F">
          <w:rPr>
            <w:webHidden/>
          </w:rPr>
          <w:tab/>
        </w:r>
        <w:r w:rsidR="00BF670F">
          <w:rPr>
            <w:webHidden/>
          </w:rPr>
          <w:fldChar w:fldCharType="begin"/>
        </w:r>
        <w:r w:rsidR="00BF670F">
          <w:rPr>
            <w:webHidden/>
          </w:rPr>
          <w:instrText xml:space="preserve"> PAGEREF _Toc379195373 \h </w:instrText>
        </w:r>
        <w:r w:rsidR="00BF670F">
          <w:rPr>
            <w:webHidden/>
          </w:rPr>
        </w:r>
        <w:r w:rsidR="00BF670F">
          <w:rPr>
            <w:webHidden/>
          </w:rPr>
          <w:fldChar w:fldCharType="separate"/>
        </w:r>
        <w:r w:rsidR="007A2C96">
          <w:rPr>
            <w:webHidden/>
          </w:rPr>
          <w:t>36</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74" w:history="1">
        <w:r w:rsidR="00BF670F" w:rsidRPr="00E57D01">
          <w:rPr>
            <w:rStyle w:val="Hyperlink"/>
          </w:rPr>
          <w:t>ACTIONS</w:t>
        </w:r>
        <w:r w:rsidR="00BF670F">
          <w:rPr>
            <w:webHidden/>
          </w:rPr>
          <w:tab/>
        </w:r>
        <w:r w:rsidR="00BF670F">
          <w:rPr>
            <w:webHidden/>
          </w:rPr>
          <w:fldChar w:fldCharType="begin"/>
        </w:r>
        <w:r w:rsidR="00BF670F">
          <w:rPr>
            <w:webHidden/>
          </w:rPr>
          <w:instrText xml:space="preserve"> PAGEREF _Toc379195374 \h </w:instrText>
        </w:r>
        <w:r w:rsidR="00BF670F">
          <w:rPr>
            <w:webHidden/>
          </w:rPr>
        </w:r>
        <w:r w:rsidR="00BF670F">
          <w:rPr>
            <w:webHidden/>
          </w:rPr>
          <w:fldChar w:fldCharType="separate"/>
        </w:r>
        <w:r w:rsidR="007A2C96">
          <w:rPr>
            <w:webHidden/>
          </w:rPr>
          <w:t>36</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75" w:history="1">
        <w:r w:rsidR="00BF670F" w:rsidRPr="00E57D01">
          <w:rPr>
            <w:rStyle w:val="Hyperlink"/>
          </w:rPr>
          <w:t>4.5</w:t>
        </w:r>
        <w:r w:rsidR="00BF670F">
          <w:rPr>
            <w:rFonts w:asciiTheme="minorHAnsi" w:eastAsiaTheme="minorEastAsia" w:hAnsiTheme="minorHAnsi" w:cstheme="minorBidi"/>
            <w:b w:val="0"/>
            <w:i w:val="0"/>
            <w:sz w:val="22"/>
            <w:szCs w:val="22"/>
          </w:rPr>
          <w:tab/>
        </w:r>
        <w:r w:rsidR="00BF670F" w:rsidRPr="00E57D01">
          <w:rPr>
            <w:rStyle w:val="Hyperlink"/>
          </w:rPr>
          <w:t>Outcome: Enhanced accountability and monitoring</w:t>
        </w:r>
        <w:r w:rsidR="00BF670F">
          <w:rPr>
            <w:webHidden/>
          </w:rPr>
          <w:tab/>
        </w:r>
        <w:r w:rsidR="00BF670F">
          <w:rPr>
            <w:webHidden/>
          </w:rPr>
          <w:fldChar w:fldCharType="begin"/>
        </w:r>
        <w:r w:rsidR="00BF670F">
          <w:rPr>
            <w:webHidden/>
          </w:rPr>
          <w:instrText xml:space="preserve"> PAGEREF _Toc379195375 \h </w:instrText>
        </w:r>
        <w:r w:rsidR="00BF670F">
          <w:rPr>
            <w:webHidden/>
          </w:rPr>
        </w:r>
        <w:r w:rsidR="00BF670F">
          <w:rPr>
            <w:webHidden/>
          </w:rPr>
          <w:fldChar w:fldCharType="separate"/>
        </w:r>
        <w:r w:rsidR="007A2C96">
          <w:rPr>
            <w:webHidden/>
          </w:rPr>
          <w:t>36</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76" w:history="1">
        <w:r w:rsidR="00BF670F" w:rsidRPr="00E57D01">
          <w:rPr>
            <w:rStyle w:val="Hyperlink"/>
          </w:rPr>
          <w:t>PRINCIPLES</w:t>
        </w:r>
        <w:r w:rsidR="00BF670F">
          <w:rPr>
            <w:webHidden/>
          </w:rPr>
          <w:tab/>
        </w:r>
        <w:r w:rsidR="00BF670F">
          <w:rPr>
            <w:webHidden/>
          </w:rPr>
          <w:fldChar w:fldCharType="begin"/>
        </w:r>
        <w:r w:rsidR="00BF670F">
          <w:rPr>
            <w:webHidden/>
          </w:rPr>
          <w:instrText xml:space="preserve"> PAGEREF _Toc379195376 \h </w:instrText>
        </w:r>
        <w:r w:rsidR="00BF670F">
          <w:rPr>
            <w:webHidden/>
          </w:rPr>
        </w:r>
        <w:r w:rsidR="00BF670F">
          <w:rPr>
            <w:webHidden/>
          </w:rPr>
          <w:fldChar w:fldCharType="separate"/>
        </w:r>
        <w:r w:rsidR="007A2C96">
          <w:rPr>
            <w:webHidden/>
          </w:rPr>
          <w:t>36</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77" w:history="1">
        <w:r w:rsidR="00BF670F" w:rsidRPr="00E57D01">
          <w:rPr>
            <w:rStyle w:val="Hyperlink"/>
          </w:rPr>
          <w:t>ACTIONS</w:t>
        </w:r>
        <w:r w:rsidR="00BF670F">
          <w:rPr>
            <w:webHidden/>
          </w:rPr>
          <w:tab/>
        </w:r>
        <w:r w:rsidR="00BF670F">
          <w:rPr>
            <w:webHidden/>
          </w:rPr>
          <w:fldChar w:fldCharType="begin"/>
        </w:r>
        <w:r w:rsidR="00BF670F">
          <w:rPr>
            <w:webHidden/>
          </w:rPr>
          <w:instrText xml:space="preserve"> PAGEREF _Toc379195377 \h </w:instrText>
        </w:r>
        <w:r w:rsidR="00BF670F">
          <w:rPr>
            <w:webHidden/>
          </w:rPr>
        </w:r>
        <w:r w:rsidR="00BF670F">
          <w:rPr>
            <w:webHidden/>
          </w:rPr>
          <w:fldChar w:fldCharType="separate"/>
        </w:r>
        <w:r w:rsidR="007A2C96">
          <w:rPr>
            <w:webHidden/>
          </w:rPr>
          <w:t>36</w:t>
        </w:r>
        <w:r w:rsidR="00BF670F">
          <w:rPr>
            <w:webHidden/>
          </w:rPr>
          <w:fldChar w:fldCharType="end"/>
        </w:r>
      </w:hyperlink>
    </w:p>
    <w:p w:rsidR="00BF670F" w:rsidRDefault="00F03BCE">
      <w:pPr>
        <w:pStyle w:val="TOC2"/>
        <w:rPr>
          <w:rFonts w:asciiTheme="minorHAnsi" w:eastAsiaTheme="minorEastAsia" w:hAnsiTheme="minorHAnsi" w:cstheme="minorBidi"/>
          <w:b w:val="0"/>
          <w:i w:val="0"/>
          <w:sz w:val="22"/>
          <w:szCs w:val="22"/>
        </w:rPr>
      </w:pPr>
      <w:hyperlink w:anchor="_Toc379195378" w:history="1">
        <w:r w:rsidR="00BF670F" w:rsidRPr="00E57D01">
          <w:rPr>
            <w:rStyle w:val="Hyperlink"/>
          </w:rPr>
          <w:t>4.6</w:t>
        </w:r>
        <w:r w:rsidR="00BF670F">
          <w:rPr>
            <w:rFonts w:asciiTheme="minorHAnsi" w:eastAsiaTheme="minorEastAsia" w:hAnsiTheme="minorHAnsi" w:cstheme="minorBidi"/>
            <w:b w:val="0"/>
            <w:i w:val="0"/>
            <w:sz w:val="22"/>
            <w:szCs w:val="22"/>
          </w:rPr>
          <w:tab/>
        </w:r>
        <w:r w:rsidR="00BF670F" w:rsidRPr="00E57D01">
          <w:rPr>
            <w:rStyle w:val="Hyperlink"/>
          </w:rPr>
          <w:t>Outcome: Better policy and frameworks</w:t>
        </w:r>
        <w:r w:rsidR="00BF670F">
          <w:rPr>
            <w:webHidden/>
          </w:rPr>
          <w:tab/>
        </w:r>
        <w:r w:rsidR="00BF670F">
          <w:rPr>
            <w:webHidden/>
          </w:rPr>
          <w:fldChar w:fldCharType="begin"/>
        </w:r>
        <w:r w:rsidR="00BF670F">
          <w:rPr>
            <w:webHidden/>
          </w:rPr>
          <w:instrText xml:space="preserve"> PAGEREF _Toc379195378 \h </w:instrText>
        </w:r>
        <w:r w:rsidR="00BF670F">
          <w:rPr>
            <w:webHidden/>
          </w:rPr>
        </w:r>
        <w:r w:rsidR="00BF670F">
          <w:rPr>
            <w:webHidden/>
          </w:rPr>
          <w:fldChar w:fldCharType="separate"/>
        </w:r>
        <w:r w:rsidR="007A2C96">
          <w:rPr>
            <w:webHidden/>
          </w:rPr>
          <w:t>37</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79" w:history="1">
        <w:r w:rsidR="00BF670F" w:rsidRPr="00E57D01">
          <w:rPr>
            <w:rStyle w:val="Hyperlink"/>
          </w:rPr>
          <w:t>PRINCIPLES</w:t>
        </w:r>
        <w:r w:rsidR="00BF670F">
          <w:rPr>
            <w:webHidden/>
          </w:rPr>
          <w:tab/>
        </w:r>
        <w:r w:rsidR="00BF670F">
          <w:rPr>
            <w:webHidden/>
          </w:rPr>
          <w:fldChar w:fldCharType="begin"/>
        </w:r>
        <w:r w:rsidR="00BF670F">
          <w:rPr>
            <w:webHidden/>
          </w:rPr>
          <w:instrText xml:space="preserve"> PAGEREF _Toc379195379 \h </w:instrText>
        </w:r>
        <w:r w:rsidR="00BF670F">
          <w:rPr>
            <w:webHidden/>
          </w:rPr>
        </w:r>
        <w:r w:rsidR="00BF670F">
          <w:rPr>
            <w:webHidden/>
          </w:rPr>
          <w:fldChar w:fldCharType="separate"/>
        </w:r>
        <w:r w:rsidR="007A2C96">
          <w:rPr>
            <w:webHidden/>
          </w:rPr>
          <w:t>37</w:t>
        </w:r>
        <w:r w:rsidR="00BF670F">
          <w:rPr>
            <w:webHidden/>
          </w:rPr>
          <w:fldChar w:fldCharType="end"/>
        </w:r>
      </w:hyperlink>
    </w:p>
    <w:p w:rsidR="00BF670F" w:rsidRDefault="00F03BCE">
      <w:pPr>
        <w:pStyle w:val="TOC4"/>
        <w:rPr>
          <w:rFonts w:asciiTheme="minorHAnsi" w:eastAsiaTheme="minorEastAsia" w:hAnsiTheme="minorHAnsi" w:cstheme="minorBidi"/>
          <w:sz w:val="22"/>
          <w:szCs w:val="22"/>
        </w:rPr>
      </w:pPr>
      <w:hyperlink w:anchor="_Toc379195380" w:history="1">
        <w:r w:rsidR="00BF670F" w:rsidRPr="00E57D01">
          <w:rPr>
            <w:rStyle w:val="Hyperlink"/>
          </w:rPr>
          <w:t>ACTIONS</w:t>
        </w:r>
        <w:r w:rsidR="00BF670F">
          <w:rPr>
            <w:webHidden/>
          </w:rPr>
          <w:tab/>
        </w:r>
        <w:r w:rsidR="00BF670F">
          <w:rPr>
            <w:webHidden/>
          </w:rPr>
          <w:fldChar w:fldCharType="begin"/>
        </w:r>
        <w:r w:rsidR="00BF670F">
          <w:rPr>
            <w:webHidden/>
          </w:rPr>
          <w:instrText xml:space="preserve"> PAGEREF _Toc379195380 \h </w:instrText>
        </w:r>
        <w:r w:rsidR="00BF670F">
          <w:rPr>
            <w:webHidden/>
          </w:rPr>
        </w:r>
        <w:r w:rsidR="00BF670F">
          <w:rPr>
            <w:webHidden/>
          </w:rPr>
          <w:fldChar w:fldCharType="separate"/>
        </w:r>
        <w:r w:rsidR="007A2C96">
          <w:rPr>
            <w:webHidden/>
          </w:rPr>
          <w:t>37</w:t>
        </w:r>
        <w:r w:rsidR="00BF670F">
          <w:rPr>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81" w:history="1">
        <w:r w:rsidR="00BF670F" w:rsidRPr="00E57D01">
          <w:rPr>
            <w:rStyle w:val="Hyperlink"/>
          </w:rPr>
          <w:t>5.</w:t>
        </w:r>
        <w:r w:rsidR="00BF670F">
          <w:rPr>
            <w:rFonts w:asciiTheme="minorHAnsi" w:eastAsiaTheme="minorEastAsia" w:hAnsiTheme="minorHAnsi" w:cstheme="minorBidi"/>
            <w:b w:val="0"/>
            <w:szCs w:val="22"/>
          </w:rPr>
          <w:tab/>
        </w:r>
        <w:r w:rsidR="00BF670F" w:rsidRPr="00E57D01">
          <w:rPr>
            <w:rStyle w:val="Hyperlink"/>
          </w:rPr>
          <w:t>Conclusion</w:t>
        </w:r>
        <w:r w:rsidR="00BF670F">
          <w:rPr>
            <w:webHidden/>
          </w:rPr>
          <w:tab/>
        </w:r>
        <w:r w:rsidR="00BF670F">
          <w:rPr>
            <w:webHidden/>
          </w:rPr>
          <w:fldChar w:fldCharType="begin"/>
        </w:r>
        <w:r w:rsidR="00BF670F">
          <w:rPr>
            <w:webHidden/>
          </w:rPr>
          <w:instrText xml:space="preserve"> PAGEREF _Toc379195381 \h </w:instrText>
        </w:r>
        <w:r w:rsidR="00BF670F">
          <w:rPr>
            <w:webHidden/>
          </w:rPr>
        </w:r>
        <w:r w:rsidR="00BF670F">
          <w:rPr>
            <w:webHidden/>
          </w:rPr>
          <w:fldChar w:fldCharType="separate"/>
        </w:r>
        <w:r w:rsidR="007A2C96">
          <w:rPr>
            <w:webHidden/>
          </w:rPr>
          <w:t>39</w:t>
        </w:r>
        <w:r w:rsidR="00BF670F">
          <w:rPr>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82" w:history="1">
        <w:r w:rsidR="00BF670F" w:rsidRPr="00E57D01">
          <w:rPr>
            <w:rStyle w:val="Hyperlink"/>
          </w:rPr>
          <w:t>Appendix A – Services and Programs</w:t>
        </w:r>
        <w:r w:rsidR="00BF670F">
          <w:rPr>
            <w:webHidden/>
          </w:rPr>
          <w:tab/>
        </w:r>
        <w:r w:rsidR="00BF670F">
          <w:rPr>
            <w:webHidden/>
          </w:rPr>
          <w:fldChar w:fldCharType="begin"/>
        </w:r>
        <w:r w:rsidR="00BF670F">
          <w:rPr>
            <w:webHidden/>
          </w:rPr>
          <w:instrText xml:space="preserve"> PAGEREF _Toc379195382 \h </w:instrText>
        </w:r>
        <w:r w:rsidR="00BF670F">
          <w:rPr>
            <w:webHidden/>
          </w:rPr>
        </w:r>
        <w:r w:rsidR="00BF670F">
          <w:rPr>
            <w:webHidden/>
          </w:rPr>
          <w:fldChar w:fldCharType="separate"/>
        </w:r>
        <w:r w:rsidR="007A2C96">
          <w:rPr>
            <w:webHidden/>
          </w:rPr>
          <w:t>40</w:t>
        </w:r>
        <w:r w:rsidR="00BF670F">
          <w:rPr>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83" w:history="1">
        <w:r w:rsidR="00BF670F" w:rsidRPr="00E57D01">
          <w:rPr>
            <w:rStyle w:val="Hyperlink"/>
          </w:rPr>
          <w:t>Appendix B – Australia’s international human rights context</w:t>
        </w:r>
        <w:r w:rsidR="00BF670F">
          <w:rPr>
            <w:webHidden/>
          </w:rPr>
          <w:tab/>
        </w:r>
        <w:r w:rsidR="00BF670F">
          <w:rPr>
            <w:webHidden/>
          </w:rPr>
          <w:fldChar w:fldCharType="begin"/>
        </w:r>
        <w:r w:rsidR="00BF670F">
          <w:rPr>
            <w:webHidden/>
          </w:rPr>
          <w:instrText xml:space="preserve"> PAGEREF _Toc379195383 \h </w:instrText>
        </w:r>
        <w:r w:rsidR="00BF670F">
          <w:rPr>
            <w:webHidden/>
          </w:rPr>
        </w:r>
        <w:r w:rsidR="00BF670F">
          <w:rPr>
            <w:webHidden/>
          </w:rPr>
          <w:fldChar w:fldCharType="separate"/>
        </w:r>
        <w:r w:rsidR="007A2C96">
          <w:rPr>
            <w:webHidden/>
          </w:rPr>
          <w:t>49</w:t>
        </w:r>
        <w:r w:rsidR="00BF670F">
          <w:rPr>
            <w:webHidden/>
          </w:rPr>
          <w:fldChar w:fldCharType="end"/>
        </w:r>
      </w:hyperlink>
    </w:p>
    <w:p w:rsidR="00BF670F" w:rsidRDefault="00F03BCE">
      <w:pPr>
        <w:pStyle w:val="TOC1"/>
        <w:rPr>
          <w:rFonts w:asciiTheme="minorHAnsi" w:eastAsiaTheme="minorEastAsia" w:hAnsiTheme="minorHAnsi" w:cstheme="minorBidi"/>
          <w:b w:val="0"/>
          <w:szCs w:val="22"/>
        </w:rPr>
      </w:pPr>
      <w:hyperlink w:anchor="_Toc379195384" w:history="1">
        <w:r w:rsidR="00BF670F" w:rsidRPr="00E57D01">
          <w:rPr>
            <w:rStyle w:val="Hyperlink"/>
          </w:rPr>
          <w:t>Appendix C – Meetings and Submissions</w:t>
        </w:r>
        <w:r w:rsidR="00BF670F">
          <w:rPr>
            <w:webHidden/>
          </w:rPr>
          <w:tab/>
        </w:r>
        <w:r w:rsidR="00BF670F">
          <w:rPr>
            <w:webHidden/>
          </w:rPr>
          <w:fldChar w:fldCharType="begin"/>
        </w:r>
        <w:r w:rsidR="00BF670F">
          <w:rPr>
            <w:webHidden/>
          </w:rPr>
          <w:instrText xml:space="preserve"> PAGEREF _Toc379195384 \h </w:instrText>
        </w:r>
        <w:r w:rsidR="00BF670F">
          <w:rPr>
            <w:webHidden/>
          </w:rPr>
        </w:r>
        <w:r w:rsidR="00BF670F">
          <w:rPr>
            <w:webHidden/>
          </w:rPr>
          <w:fldChar w:fldCharType="separate"/>
        </w:r>
        <w:r w:rsidR="007A2C96">
          <w:rPr>
            <w:webHidden/>
          </w:rPr>
          <w:t>53</w:t>
        </w:r>
        <w:r w:rsidR="00BF670F">
          <w:rPr>
            <w:webHidden/>
          </w:rPr>
          <w:fldChar w:fldCharType="end"/>
        </w:r>
      </w:hyperlink>
    </w:p>
    <w:p w:rsidR="00B34946" w:rsidRDefault="00B63D24" w:rsidP="009F2764">
      <w:pPr>
        <w:pStyle w:val="TOC1"/>
      </w:pPr>
      <w:r>
        <w:fldChar w:fldCharType="end"/>
      </w:r>
    </w:p>
    <w:p w:rsidR="00B34946" w:rsidRDefault="00B34946">
      <w:pPr>
        <w:spacing w:before="0" w:after="0"/>
      </w:pPr>
      <w:r>
        <w:br w:type="page"/>
      </w:r>
    </w:p>
    <w:p w:rsidR="007E5D73" w:rsidRDefault="007E5D73" w:rsidP="00B078B2">
      <w:pPr>
        <w:pStyle w:val="Heading1"/>
        <w:numPr>
          <w:ilvl w:val="0"/>
          <w:numId w:val="0"/>
        </w:numPr>
        <w:ind w:left="851" w:hanging="851"/>
        <w:rPr>
          <w:sz w:val="36"/>
          <w:szCs w:val="36"/>
        </w:rPr>
      </w:pPr>
      <w:bookmarkStart w:id="8" w:name="_Toc379195332"/>
      <w:bookmarkStart w:id="9" w:name="_Toc207761830"/>
      <w:bookmarkStart w:id="10" w:name="_Toc209578266"/>
      <w:r>
        <w:rPr>
          <w:sz w:val="36"/>
          <w:szCs w:val="36"/>
        </w:rPr>
        <w:lastRenderedPageBreak/>
        <w:t>Foreword</w:t>
      </w:r>
      <w:bookmarkEnd w:id="8"/>
    </w:p>
    <w:p w:rsidR="00B078B2" w:rsidRPr="00B078B2" w:rsidRDefault="00B078B2" w:rsidP="00B078B2">
      <w:r w:rsidRPr="00B078B2">
        <w:t xml:space="preserve">Equality </w:t>
      </w:r>
      <w:proofErr w:type="gramStart"/>
      <w:r w:rsidRPr="00B078B2">
        <w:t>Before The</w:t>
      </w:r>
      <w:proofErr w:type="gramEnd"/>
      <w:r w:rsidRPr="00B078B2">
        <w:t xml:space="preserve"> Law is a basic tenet of human rights.  But I have </w:t>
      </w:r>
      <w:proofErr w:type="gramStart"/>
      <w:r w:rsidRPr="00B078B2">
        <w:t>learned,</w:t>
      </w:r>
      <w:proofErr w:type="gramEnd"/>
      <w:r w:rsidRPr="00B078B2">
        <w:t xml:space="preserve"> both as an advocate and during my time as Australia's Disability Discrimination Commissioner, that equality is not always available for Australians with disabilities in the criminal justice system.</w:t>
      </w:r>
    </w:p>
    <w:p w:rsidR="00B078B2" w:rsidRPr="00B078B2" w:rsidRDefault="00B078B2" w:rsidP="00B078B2">
      <w:r w:rsidRPr="00B078B2">
        <w:t xml:space="preserve">This report provides a snapshot of where that equality does not exist, </w:t>
      </w:r>
      <w:r w:rsidR="00D06634">
        <w:t>highlights</w:t>
      </w:r>
      <w:r w:rsidRPr="00B078B2">
        <w:t xml:space="preserve"> </w:t>
      </w:r>
      <w:r w:rsidR="00D06634">
        <w:t>services and programs that improve equality before the law for people with disabilities</w:t>
      </w:r>
      <w:r w:rsidRPr="00B078B2">
        <w:t>, and sets some directions by which change may occur.</w:t>
      </w:r>
    </w:p>
    <w:p w:rsidR="00B078B2" w:rsidRPr="00B078B2" w:rsidRDefault="00B078B2" w:rsidP="00B078B2">
      <w:r w:rsidRPr="00B078B2">
        <w:t>We conducted Australia-wide consultations with people with disabilities, and practitioners throughout the</w:t>
      </w:r>
      <w:r w:rsidR="001407AE">
        <w:t xml:space="preserve"> justice system - from Attorney</w:t>
      </w:r>
      <w:r w:rsidRPr="00B078B2">
        <w:t>s-General, judges and magistrates; to lawyers, corrections officers and community workers.  We heard some tragic stories of where the criminal justice system had failed people with disabilities, and had compounded disadvantage.  We saw some positive examples of where best practise was occurring.  And we have tried - in this report - to begin the work necessary to develop strategies for change.</w:t>
      </w:r>
    </w:p>
    <w:p w:rsidR="00B078B2" w:rsidRPr="00B078B2" w:rsidRDefault="00B078B2" w:rsidP="00B078B2">
      <w:r w:rsidRPr="00B078B2">
        <w:t xml:space="preserve">I appreciate that criminal justice is primarily the province of States and Territories.  For this reason, this report does not take the usual course of making recommendations.  Rather, it seeks to point out the barriers, </w:t>
      </w:r>
      <w:r w:rsidR="00BC31CE">
        <w:t>highlight services and programs</w:t>
      </w:r>
      <w:r w:rsidRPr="00B078B2">
        <w:t>, and propose possible actions towards the development of Disability Justice Strategies.  I trust that this approach will be of benefit to State, Territory and Commonwealth administrations in their ongoing work.</w:t>
      </w:r>
    </w:p>
    <w:p w:rsidR="00B078B2" w:rsidRPr="00B078B2" w:rsidRDefault="00B078B2" w:rsidP="00B078B2">
      <w:r w:rsidRPr="00B078B2">
        <w:t>The case for change is strong.  Not only should Australians with disabilities - whether victims of crime, offenders, or participants in the criminal justice system - experience equal treatment before the law.  But considerable economic savings can be made by preventing violence and providing early diversion and support.</w:t>
      </w:r>
    </w:p>
    <w:p w:rsidR="00B078B2" w:rsidRPr="00B078B2" w:rsidRDefault="00B078B2" w:rsidP="00B078B2">
      <w:r w:rsidRPr="00B078B2">
        <w:t>I thank all of the Australians with disabilities, and their families and carers, who met with us and made submissions.  I also thank disability advocacy organisations, service providers in the justice sector and government representatives who part</w:t>
      </w:r>
      <w:r w:rsidR="000C13C8">
        <w:t>icipated.  I thank the Attorney</w:t>
      </w:r>
      <w:r w:rsidRPr="00B078B2">
        <w:t>s-General who met with me, and demonstrated their commitment to improvement in this area.  I trust that this report provides a solid foundation for change.</w:t>
      </w:r>
    </w:p>
    <w:p w:rsidR="00B078B2" w:rsidRPr="00B078B2" w:rsidRDefault="00B078B2" w:rsidP="00B078B2">
      <w:r w:rsidRPr="00B078B2">
        <w:t xml:space="preserve">Finally, may I thank Commission staff and contractors, the pro bono support of DLA Piper, and our partners at University of NSW and Price Waterhouse Coopers who made this report </w:t>
      </w:r>
      <w:proofErr w:type="gramStart"/>
      <w:r w:rsidRPr="00B078B2">
        <w:t>possible.</w:t>
      </w:r>
      <w:proofErr w:type="gramEnd"/>
    </w:p>
    <w:p w:rsidR="00B078B2" w:rsidRPr="00B078B2" w:rsidRDefault="00B078B2" w:rsidP="00B078B2">
      <w:r w:rsidRPr="00B078B2">
        <w:t>The criminal justice system in Australia is complex.  Equal treatment by it, irrespective of difference, is fundamental.  I trust that this report will begin the work of redressing inequality experienced by Australians with disabilities, particularly those with complex support needs or communication challenges.</w:t>
      </w:r>
    </w:p>
    <w:p w:rsidR="00B078B2" w:rsidRPr="00B078B2" w:rsidRDefault="00B078B2" w:rsidP="00B078B2"/>
    <w:p w:rsidR="00B078B2" w:rsidRPr="00B078B2" w:rsidRDefault="00B078B2" w:rsidP="00B078B2">
      <w:pPr>
        <w:contextualSpacing/>
      </w:pPr>
      <w:r w:rsidRPr="00B078B2">
        <w:t>Graeme Innes AM</w:t>
      </w:r>
    </w:p>
    <w:p w:rsidR="00B078B2" w:rsidRPr="00B078B2" w:rsidRDefault="00B078B2" w:rsidP="00B078B2">
      <w:pPr>
        <w:contextualSpacing/>
      </w:pPr>
      <w:r w:rsidRPr="00B078B2">
        <w:t>Disability Discrimination Commissioner</w:t>
      </w:r>
    </w:p>
    <w:p w:rsidR="007E5D73" w:rsidRPr="007E5D73" w:rsidRDefault="00B078B2" w:rsidP="00B078B2">
      <w:pPr>
        <w:contextualSpacing/>
      </w:pPr>
      <w:r w:rsidRPr="00B078B2">
        <w:t>February 2014</w:t>
      </w:r>
    </w:p>
    <w:p w:rsidR="009F2764" w:rsidRPr="0010508C" w:rsidRDefault="00B078B2" w:rsidP="00F47721">
      <w:pPr>
        <w:pStyle w:val="Heading1"/>
        <w:numPr>
          <w:ilvl w:val="0"/>
          <w:numId w:val="0"/>
        </w:numPr>
        <w:ind w:left="851" w:hanging="851"/>
        <w:rPr>
          <w:sz w:val="36"/>
          <w:szCs w:val="36"/>
        </w:rPr>
      </w:pPr>
      <w:bookmarkStart w:id="11" w:name="_Toc379195333"/>
      <w:r>
        <w:rPr>
          <w:sz w:val="36"/>
          <w:szCs w:val="36"/>
        </w:rPr>
        <w:lastRenderedPageBreak/>
        <w:t>Summary</w:t>
      </w:r>
      <w:bookmarkEnd w:id="9"/>
      <w:bookmarkEnd w:id="10"/>
      <w:bookmarkEnd w:id="11"/>
    </w:p>
    <w:p w:rsidR="00B078B2" w:rsidRDefault="00B078B2" w:rsidP="00B078B2">
      <w:r>
        <w:t xml:space="preserve">Access to justice in the criminal justice system for </w:t>
      </w:r>
      <w:r w:rsidRPr="00161515">
        <w:t>people with disabilit</w:t>
      </w:r>
      <w:r>
        <w:t>ies</w:t>
      </w:r>
      <w:r w:rsidRPr="00161515">
        <w:t xml:space="preserve"> who need communication supports</w:t>
      </w:r>
      <w:r w:rsidRPr="00161515" w:rsidDel="00406CE2">
        <w:t xml:space="preserve"> </w:t>
      </w:r>
      <w:r w:rsidRPr="00161515">
        <w:t>or who have complex and multiple support needs</w:t>
      </w:r>
      <w:r>
        <w:t xml:space="preserve"> (people with disabilities) is a significant problem in every jurisdiction in Australia. Whether a person with disability is the victim of a crime, accused of a crime or a witness, they are at increased risk of being disrespected and disbelieved and of not enjoying equality before the law.  </w:t>
      </w:r>
    </w:p>
    <w:p w:rsidR="00B078B2" w:rsidRDefault="00B078B2" w:rsidP="00B078B2">
      <w:r>
        <w:t>In 2013, the Australian Human Rights Commission conducted a wide-ranging consultation process to identify how people with disabilities deal with the barriers they experience to equality before the law. The Commission sought submissions in a range of forms and held public meetings in every State and Territory, including regional locations. Many individual meetings with people with disabilities and their advocates, support services in the community and in government and people in the police, courts and the custody and release system were also conducted. The</w:t>
      </w:r>
      <w:r w:rsidR="00CB507A">
        <w:t xml:space="preserve"> </w:t>
      </w:r>
      <w:r>
        <w:t xml:space="preserve">consultations, submissions and meetings are listed in </w:t>
      </w:r>
      <w:r w:rsidRPr="009E4F3F">
        <w:t xml:space="preserve">Appendix </w:t>
      </w:r>
      <w:r w:rsidR="00EE7EEA">
        <w:t>C</w:t>
      </w:r>
      <w:r w:rsidRPr="009E4F3F">
        <w:t>.</w:t>
      </w:r>
      <w:r>
        <w:t xml:space="preserve">  </w:t>
      </w:r>
    </w:p>
    <w:p w:rsidR="00B078B2" w:rsidRDefault="00B078B2" w:rsidP="00B078B2">
      <w:r>
        <w:t>The consultation process revealed:</w:t>
      </w:r>
    </w:p>
    <w:p w:rsidR="00B078B2" w:rsidRDefault="00B078B2" w:rsidP="00D40E37">
      <w:pPr>
        <w:pStyle w:val="ListParagraph"/>
        <w:numPr>
          <w:ilvl w:val="1"/>
          <w:numId w:val="20"/>
        </w:numPr>
        <w:ind w:left="714" w:hanging="357"/>
      </w:pPr>
      <w:r>
        <w:t>Inability to access effective justice compounds disadvantages experienced by people with disabilities.</w:t>
      </w:r>
    </w:p>
    <w:p w:rsidR="00B078B2" w:rsidRDefault="00B078B2" w:rsidP="00D40E37">
      <w:pPr>
        <w:pStyle w:val="ListParagraph"/>
        <w:numPr>
          <w:ilvl w:val="1"/>
          <w:numId w:val="20"/>
        </w:numPr>
        <w:ind w:left="714" w:hanging="357"/>
      </w:pPr>
      <w:r>
        <w:t>Many people with disabilities are left without protection and at risk of ongoing violence.</w:t>
      </w:r>
    </w:p>
    <w:p w:rsidR="00B078B2" w:rsidRDefault="00B078B2" w:rsidP="00D40E37">
      <w:pPr>
        <w:pStyle w:val="ListParagraph"/>
        <w:numPr>
          <w:ilvl w:val="1"/>
          <w:numId w:val="20"/>
        </w:numPr>
        <w:ind w:left="714" w:hanging="357"/>
      </w:pPr>
      <w:r>
        <w:tab/>
        <w:t>People with disabilities experience a relatively high risk of being jailed and are then likely to have repeated contact with the criminal justice system.</w:t>
      </w:r>
    </w:p>
    <w:p w:rsidR="00B078B2" w:rsidRDefault="00B078B2" w:rsidP="00D40E37">
      <w:pPr>
        <w:pStyle w:val="ListParagraph"/>
        <w:numPr>
          <w:ilvl w:val="1"/>
          <w:numId w:val="20"/>
        </w:numPr>
        <w:ind w:left="714" w:hanging="357"/>
      </w:pPr>
      <w:r>
        <w:tab/>
        <w:t>Many offenders with disability have themselves been victims of violence and this had not been responded to appropriately, c</w:t>
      </w:r>
      <w:r w:rsidR="00EE7EEA">
        <w:t xml:space="preserve">ontributing to </w:t>
      </w:r>
      <w:r>
        <w:t>a cycle of offending.</w:t>
      </w:r>
    </w:p>
    <w:p w:rsidR="00B078B2" w:rsidRDefault="00B078B2" w:rsidP="00D40E37">
      <w:pPr>
        <w:pStyle w:val="ListParagraph"/>
        <w:numPr>
          <w:ilvl w:val="1"/>
          <w:numId w:val="20"/>
        </w:numPr>
        <w:ind w:left="714" w:hanging="357"/>
      </w:pPr>
      <w:r>
        <w:tab/>
        <w:t>There is widespread difficulty identifying disability</w:t>
      </w:r>
      <w:r w:rsidR="00EE7EEA">
        <w:t xml:space="preserve"> and responding to it appropriately</w:t>
      </w:r>
      <w:r>
        <w:t>.</w:t>
      </w:r>
    </w:p>
    <w:p w:rsidR="00B078B2" w:rsidRDefault="00B078B2" w:rsidP="00D40E37">
      <w:pPr>
        <w:pStyle w:val="ListParagraph"/>
        <w:numPr>
          <w:ilvl w:val="1"/>
          <w:numId w:val="20"/>
        </w:numPr>
        <w:ind w:left="714" w:hanging="357"/>
      </w:pPr>
      <w:r>
        <w:t>Necessary supports and adjustments are not provided because the need is not recognised.</w:t>
      </w:r>
    </w:p>
    <w:p w:rsidR="00B078B2" w:rsidRDefault="00B078B2" w:rsidP="00D40E37">
      <w:pPr>
        <w:pStyle w:val="ListParagraph"/>
        <w:numPr>
          <w:ilvl w:val="1"/>
          <w:numId w:val="20"/>
        </w:numPr>
        <w:ind w:left="714" w:hanging="357"/>
      </w:pPr>
      <w:r>
        <w:t>When a person’s disability is identified, necessary modifications and supports are frequently not provided.</w:t>
      </w:r>
    </w:p>
    <w:p w:rsidR="00B078B2" w:rsidRDefault="00B078B2" w:rsidP="00D40E37">
      <w:pPr>
        <w:pStyle w:val="ListParagraph"/>
        <w:numPr>
          <w:ilvl w:val="1"/>
          <w:numId w:val="20"/>
        </w:numPr>
        <w:ind w:left="714" w:hanging="357"/>
      </w:pPr>
      <w:r>
        <w:t>People with disabilities are not being heard because of perceptions they are unreliable, not credible or incapable of being witnesses.</w:t>
      </w:r>
    </w:p>
    <w:p w:rsidR="00B078B2" w:rsidRDefault="00B078B2" w:rsidP="00D40E37">
      <w:pPr>
        <w:pStyle w:val="ListParagraph"/>
        <w:numPr>
          <w:ilvl w:val="1"/>
          <w:numId w:val="20"/>
        </w:numPr>
        <w:ind w:left="714" w:hanging="357"/>
      </w:pPr>
      <w:r>
        <w:t xml:space="preserve">Erroneous assessments are being made about the legal competence of people with disabilities. </w:t>
      </w:r>
    </w:p>
    <w:p w:rsidR="00B078B2" w:rsidRDefault="00B078B2" w:rsidP="00D40E37">
      <w:pPr>
        <w:pStyle w:val="ListParagraph"/>
        <w:numPr>
          <w:ilvl w:val="1"/>
          <w:numId w:val="20"/>
        </w:numPr>
        <w:ind w:left="714" w:hanging="357"/>
      </w:pPr>
      <w:r>
        <w:t xml:space="preserve">Styles of communication and questioning techniques used by police, lawyers, courts and custodial officers can confuse a person with disability. </w:t>
      </w:r>
    </w:p>
    <w:p w:rsidR="00B078B2" w:rsidRDefault="00B078B2" w:rsidP="00D40E37">
      <w:pPr>
        <w:pStyle w:val="ListParagraph"/>
        <w:numPr>
          <w:ilvl w:val="1"/>
          <w:numId w:val="20"/>
        </w:numPr>
        <w:ind w:left="714" w:hanging="357"/>
      </w:pPr>
      <w:r>
        <w:tab/>
        <w:t xml:space="preserve">Appropriate diversionary measures are </w:t>
      </w:r>
      <w:proofErr w:type="spellStart"/>
      <w:r>
        <w:t>underutilised</w:t>
      </w:r>
      <w:proofErr w:type="spellEnd"/>
      <w:r>
        <w:t xml:space="preserve">, not available or not effective due to lack of appropriate supports and services. </w:t>
      </w:r>
    </w:p>
    <w:p w:rsidR="00B078B2" w:rsidRDefault="00B078B2" w:rsidP="00D40E37">
      <w:pPr>
        <w:pStyle w:val="ListParagraph"/>
        <w:numPr>
          <w:ilvl w:val="1"/>
          <w:numId w:val="20"/>
        </w:numPr>
        <w:ind w:left="714" w:hanging="357"/>
      </w:pPr>
      <w:r>
        <w:t>People with disabilities are less likely to get bail and more likely to breach bail because they have not understood the bail conditions.</w:t>
      </w:r>
    </w:p>
    <w:p w:rsidR="00EE7EEA" w:rsidRDefault="00EE7EEA" w:rsidP="00B078B2">
      <w:pPr>
        <w:rPr>
          <w:lang w:val="en-US"/>
        </w:rPr>
      </w:pPr>
      <w:r w:rsidRPr="00EE7EEA">
        <w:rPr>
          <w:lang w:val="en-US"/>
        </w:rPr>
        <w:lastRenderedPageBreak/>
        <w:t xml:space="preserve">The case for change is clear. </w:t>
      </w:r>
    </w:p>
    <w:p w:rsidR="00B078B2" w:rsidRDefault="00B078B2" w:rsidP="00B078B2">
      <w:pPr>
        <w:rPr>
          <w:lang w:val="en-US"/>
        </w:rPr>
      </w:pPr>
      <w:r>
        <w:t>Not</w:t>
      </w:r>
      <w:r w:rsidRPr="009B3614">
        <w:rPr>
          <w:lang w:val="en-US"/>
        </w:rPr>
        <w:t xml:space="preserve"> only is there </w:t>
      </w:r>
      <w:proofErr w:type="gramStart"/>
      <w:r>
        <w:rPr>
          <w:lang w:val="en-US"/>
        </w:rPr>
        <w:t xml:space="preserve">a </w:t>
      </w:r>
      <w:r w:rsidRPr="009B3614">
        <w:rPr>
          <w:lang w:val="en-US"/>
        </w:rPr>
        <w:t>human</w:t>
      </w:r>
      <w:proofErr w:type="gramEnd"/>
      <w:r w:rsidRPr="009B3614">
        <w:rPr>
          <w:lang w:val="en-US"/>
        </w:rPr>
        <w:t xml:space="preserve"> rights imperative to ensure equality before the law, but there is also a strong economic imperative. Cost-benefit analyses indicate significant savings for governments when support is provided early and diversion options from the criminal justice system are available. The long-term benefits of reduced contact with the criminal justice system are clear and benefit society as a whole. The costs of violence, both personal and economic, are significant. Violence prevention efforts will have positive impacts on both</w:t>
      </w:r>
      <w:r>
        <w:rPr>
          <w:lang w:val="en-US"/>
        </w:rPr>
        <w:t xml:space="preserve"> people with disabilities and society as a whole</w:t>
      </w:r>
      <w:r w:rsidRPr="009B3614">
        <w:rPr>
          <w:lang w:val="en-US"/>
        </w:rPr>
        <w:t>.</w:t>
      </w:r>
    </w:p>
    <w:p w:rsidR="00B078B2" w:rsidRDefault="00B078B2" w:rsidP="00B078B2">
      <w:pPr>
        <w:rPr>
          <w:rFonts w:cs="Arial"/>
        </w:rPr>
      </w:pPr>
      <w:r w:rsidRPr="006B7491">
        <w:rPr>
          <w:rFonts w:cs="Arial"/>
        </w:rPr>
        <w:t xml:space="preserve">The Commission also sought to identify </w:t>
      </w:r>
      <w:r w:rsidR="00EE7EEA">
        <w:rPr>
          <w:rFonts w:cs="Arial"/>
        </w:rPr>
        <w:t>services and programs which are improving equality before the law for people with disabilities. Appendix A</w:t>
      </w:r>
      <w:r w:rsidRPr="006B7491">
        <w:rPr>
          <w:rFonts w:cs="Arial"/>
        </w:rPr>
        <w:t xml:space="preserve"> </w:t>
      </w:r>
      <w:r>
        <w:rPr>
          <w:rFonts w:cs="Arial"/>
        </w:rPr>
        <w:t xml:space="preserve">highlights some positive initiatives underway in every State and Territory. These initiatives </w:t>
      </w:r>
      <w:r w:rsidR="00572B45">
        <w:rPr>
          <w:rFonts w:cs="Arial"/>
        </w:rPr>
        <w:t xml:space="preserve">should </w:t>
      </w:r>
      <w:r>
        <w:rPr>
          <w:rFonts w:cs="Arial"/>
        </w:rPr>
        <w:t>be expanded</w:t>
      </w:r>
      <w:r w:rsidR="00572B45">
        <w:rPr>
          <w:rFonts w:cs="Arial"/>
        </w:rPr>
        <w:t>. There is an acute need to ensure access to services</w:t>
      </w:r>
      <w:r>
        <w:rPr>
          <w:rFonts w:cs="Arial"/>
        </w:rPr>
        <w:t xml:space="preserve"> for people with disabilities living in rural and remote areas.</w:t>
      </w:r>
    </w:p>
    <w:p w:rsidR="00EB2838" w:rsidRDefault="00572B45" w:rsidP="00B078B2">
      <w:pPr>
        <w:rPr>
          <w:rFonts w:eastAsia="Times New Roman" w:cs="Helvetica Neue Light"/>
          <w:szCs w:val="19"/>
          <w:lang w:val="en-US"/>
        </w:rPr>
      </w:pPr>
      <w:r w:rsidRPr="00EB2838">
        <w:rPr>
          <w:rFonts w:eastAsia="Times New Roman" w:cs="Helvetica Neue Light"/>
          <w:b/>
          <w:szCs w:val="19"/>
          <w:lang w:val="en-US"/>
        </w:rPr>
        <w:t>The</w:t>
      </w:r>
      <w:r w:rsidR="00B078B2" w:rsidRPr="00EB2838">
        <w:rPr>
          <w:rFonts w:eastAsia="Times New Roman" w:cs="Helvetica Neue Light"/>
          <w:b/>
          <w:szCs w:val="19"/>
          <w:lang w:val="en-US"/>
        </w:rPr>
        <w:t xml:space="preserve"> Commission </w:t>
      </w:r>
      <w:r w:rsidRPr="00EB2838">
        <w:rPr>
          <w:rFonts w:eastAsia="Times New Roman" w:cs="Helvetica Neue Light"/>
          <w:b/>
          <w:szCs w:val="19"/>
          <w:lang w:val="en-US"/>
        </w:rPr>
        <w:t xml:space="preserve">has formed the view that in light of the substantial challenges that exist, each </w:t>
      </w:r>
      <w:r w:rsidR="00B078B2" w:rsidRPr="00EB2838">
        <w:rPr>
          <w:rFonts w:eastAsia="Times New Roman" w:cs="Helvetica Neue Light"/>
          <w:b/>
          <w:szCs w:val="19"/>
          <w:lang w:val="en-US"/>
        </w:rPr>
        <w:t xml:space="preserve">jurisdiction </w:t>
      </w:r>
      <w:r w:rsidRPr="00EB2838">
        <w:rPr>
          <w:rFonts w:eastAsia="Times New Roman" w:cs="Helvetica Neue Light"/>
          <w:b/>
          <w:szCs w:val="19"/>
          <w:lang w:val="en-US"/>
        </w:rPr>
        <w:t xml:space="preserve">in Australia </w:t>
      </w:r>
      <w:r w:rsidR="004973FB" w:rsidRPr="00EB2838">
        <w:rPr>
          <w:rFonts w:eastAsia="Times New Roman" w:cs="Helvetica Neue Light"/>
          <w:b/>
          <w:szCs w:val="19"/>
          <w:lang w:val="en-US"/>
        </w:rPr>
        <w:t xml:space="preserve">should develop </w:t>
      </w:r>
      <w:proofErr w:type="gramStart"/>
      <w:r w:rsidR="004973FB" w:rsidRPr="00EB2838">
        <w:rPr>
          <w:rFonts w:eastAsia="Times New Roman" w:cs="Helvetica Neue Light"/>
          <w:b/>
          <w:szCs w:val="19"/>
          <w:lang w:val="en-US"/>
        </w:rPr>
        <w:t>an</w:t>
      </w:r>
      <w:proofErr w:type="gramEnd"/>
      <w:r w:rsidR="004973FB" w:rsidRPr="00EB2838">
        <w:rPr>
          <w:rFonts w:eastAsia="Times New Roman" w:cs="Helvetica Neue Light"/>
          <w:b/>
          <w:szCs w:val="19"/>
          <w:lang w:val="en-US"/>
        </w:rPr>
        <w:t xml:space="preserve"> holistic, </w:t>
      </w:r>
      <w:r w:rsidR="00B078B2" w:rsidRPr="00EB2838">
        <w:rPr>
          <w:rFonts w:eastAsia="Times New Roman" w:cs="Helvetica Neue Light"/>
          <w:b/>
          <w:szCs w:val="19"/>
          <w:lang w:val="en-US"/>
        </w:rPr>
        <w:t>over</w:t>
      </w:r>
      <w:r w:rsidR="004973FB" w:rsidRPr="00EB2838">
        <w:rPr>
          <w:rFonts w:eastAsia="Times New Roman" w:cs="Helvetica Neue Light"/>
          <w:b/>
          <w:szCs w:val="19"/>
          <w:lang w:val="en-US"/>
        </w:rPr>
        <w:t>-</w:t>
      </w:r>
      <w:r w:rsidR="00B078B2" w:rsidRPr="00EB2838">
        <w:rPr>
          <w:rFonts w:eastAsia="Times New Roman" w:cs="Helvetica Neue Light"/>
          <w:b/>
          <w:szCs w:val="19"/>
          <w:lang w:val="en-US"/>
        </w:rPr>
        <w:t xml:space="preserve">arching </w:t>
      </w:r>
      <w:r w:rsidR="004973FB" w:rsidRPr="00EB2838">
        <w:rPr>
          <w:rFonts w:eastAsia="Times New Roman" w:cs="Helvetica Neue Light"/>
          <w:b/>
          <w:szCs w:val="19"/>
          <w:lang w:val="en-US"/>
        </w:rPr>
        <w:t xml:space="preserve">response to these issues through a </w:t>
      </w:r>
      <w:r w:rsidR="00B078B2" w:rsidRPr="00EB2838">
        <w:rPr>
          <w:rFonts w:eastAsia="Times New Roman" w:cs="Helvetica Neue Light"/>
          <w:b/>
          <w:szCs w:val="19"/>
          <w:lang w:val="en-US"/>
        </w:rPr>
        <w:t>Disability Justice Strategy.</w:t>
      </w:r>
      <w:r w:rsidR="00B078B2">
        <w:rPr>
          <w:rFonts w:eastAsia="Times New Roman" w:cs="Helvetica Neue Light"/>
          <w:szCs w:val="19"/>
          <w:lang w:val="en-US"/>
        </w:rPr>
        <w:t xml:space="preserve"> </w:t>
      </w:r>
    </w:p>
    <w:p w:rsidR="00B078B2" w:rsidRPr="0031657A" w:rsidRDefault="00B078B2" w:rsidP="00B078B2">
      <w:pPr>
        <w:rPr>
          <w:rFonts w:eastAsia="Times New Roman" w:cs="Arial"/>
        </w:rPr>
      </w:pPr>
      <w:r>
        <w:rPr>
          <w:rFonts w:eastAsia="Times New Roman" w:cs="Helvetica Neue Light"/>
          <w:szCs w:val="19"/>
          <w:lang w:val="en-US"/>
        </w:rPr>
        <w:t xml:space="preserve">The Strategy </w:t>
      </w:r>
      <w:r w:rsidR="004973FB">
        <w:rPr>
          <w:rFonts w:eastAsia="Times New Roman" w:cs="Helvetica Neue Light"/>
          <w:szCs w:val="19"/>
          <w:lang w:val="en-US"/>
        </w:rPr>
        <w:t>should focus on t</w:t>
      </w:r>
      <w:r>
        <w:rPr>
          <w:rFonts w:eastAsia="Times New Roman" w:cs="Helvetica Neue Light"/>
          <w:szCs w:val="19"/>
          <w:lang w:val="en-US"/>
        </w:rPr>
        <w:t>he following outcomes</w:t>
      </w:r>
      <w:r w:rsidRPr="0031657A">
        <w:rPr>
          <w:rFonts w:eastAsia="Times New Roman" w:cs="Arial"/>
        </w:rPr>
        <w:t>:</w:t>
      </w:r>
    </w:p>
    <w:p w:rsidR="00B078B2" w:rsidRPr="0031657A" w:rsidRDefault="00B078B2" w:rsidP="00D40E37">
      <w:pPr>
        <w:numPr>
          <w:ilvl w:val="0"/>
          <w:numId w:val="18"/>
        </w:numPr>
        <w:spacing w:before="0" w:after="160"/>
        <w:rPr>
          <w:rFonts w:eastAsia="Times New Roman" w:cs="Arial"/>
          <w:lang w:val="en-US"/>
        </w:rPr>
      </w:pPr>
      <w:r w:rsidRPr="0031657A">
        <w:rPr>
          <w:rFonts w:eastAsia="Times New Roman" w:cs="Arial"/>
          <w:lang w:val="en-US"/>
        </w:rPr>
        <w:t xml:space="preserve">Safety of </w:t>
      </w:r>
      <w:r>
        <w:rPr>
          <w:rFonts w:eastAsia="Times New Roman" w:cs="Arial"/>
          <w:lang w:val="en-US"/>
        </w:rPr>
        <w:t>people with disabilities</w:t>
      </w:r>
      <w:r w:rsidRPr="0031657A">
        <w:rPr>
          <w:rFonts w:eastAsia="Times New Roman" w:cs="Arial"/>
          <w:lang w:val="en-US"/>
        </w:rPr>
        <w:t xml:space="preserve"> and freedom from violence</w:t>
      </w:r>
    </w:p>
    <w:p w:rsidR="00B078B2" w:rsidRPr="0031657A" w:rsidRDefault="00B078B2" w:rsidP="00D40E37">
      <w:pPr>
        <w:numPr>
          <w:ilvl w:val="0"/>
          <w:numId w:val="18"/>
        </w:numPr>
        <w:spacing w:before="0" w:after="160"/>
        <w:rPr>
          <w:rFonts w:eastAsia="Times New Roman" w:cs="Arial"/>
          <w:lang w:val="en-US"/>
        </w:rPr>
      </w:pPr>
      <w:r w:rsidRPr="0031657A">
        <w:rPr>
          <w:rFonts w:eastAsia="Times New Roman" w:cs="Arial"/>
          <w:lang w:val="en-US"/>
        </w:rPr>
        <w:t xml:space="preserve">Effective access to justice for </w:t>
      </w:r>
      <w:r>
        <w:rPr>
          <w:rFonts w:eastAsia="Times New Roman" w:cs="Arial"/>
          <w:lang w:val="en-US"/>
        </w:rPr>
        <w:t>people with disabilities</w:t>
      </w:r>
    </w:p>
    <w:p w:rsidR="00B078B2" w:rsidRPr="0031657A" w:rsidRDefault="00B078B2" w:rsidP="00D40E37">
      <w:pPr>
        <w:numPr>
          <w:ilvl w:val="0"/>
          <w:numId w:val="18"/>
        </w:numPr>
        <w:spacing w:before="0" w:after="160"/>
        <w:rPr>
          <w:rFonts w:eastAsia="Times New Roman" w:cs="Arial"/>
          <w:lang w:val="en-US"/>
        </w:rPr>
      </w:pPr>
      <w:r w:rsidRPr="0031657A">
        <w:rPr>
          <w:rFonts w:eastAsia="Times New Roman" w:cs="Arial"/>
          <w:lang w:val="en-US"/>
        </w:rPr>
        <w:t>Non-discrimination</w:t>
      </w:r>
    </w:p>
    <w:p w:rsidR="00B078B2" w:rsidRPr="0031657A" w:rsidRDefault="00B078B2" w:rsidP="00D40E37">
      <w:pPr>
        <w:numPr>
          <w:ilvl w:val="0"/>
          <w:numId w:val="18"/>
        </w:numPr>
        <w:spacing w:before="0" w:after="160"/>
        <w:rPr>
          <w:rFonts w:eastAsia="Times New Roman" w:cs="Arial"/>
          <w:lang w:val="en-US"/>
        </w:rPr>
      </w:pPr>
      <w:r w:rsidRPr="0031657A">
        <w:rPr>
          <w:rFonts w:eastAsia="Times New Roman" w:cs="Arial"/>
          <w:lang w:val="en-US"/>
        </w:rPr>
        <w:t>Respect for inherent dignity and individual autonomy including the freedom to make one’s own decisions</w:t>
      </w:r>
    </w:p>
    <w:p w:rsidR="00B078B2" w:rsidRPr="0031657A" w:rsidRDefault="00B078B2" w:rsidP="00D40E37">
      <w:pPr>
        <w:numPr>
          <w:ilvl w:val="0"/>
          <w:numId w:val="18"/>
        </w:numPr>
        <w:spacing w:before="0" w:after="160"/>
        <w:rPr>
          <w:rFonts w:eastAsia="Times New Roman" w:cs="Arial"/>
          <w:lang w:val="en-US"/>
        </w:rPr>
      </w:pPr>
      <w:r w:rsidRPr="0031657A">
        <w:rPr>
          <w:rFonts w:eastAsia="Times New Roman" w:cs="Arial"/>
          <w:lang w:val="en-US"/>
        </w:rPr>
        <w:t>Full and effective participation and inclusion in the community</w:t>
      </w:r>
    </w:p>
    <w:p w:rsidR="00B078B2" w:rsidRPr="0031657A" w:rsidRDefault="00B078B2" w:rsidP="00B078B2">
      <w:pPr>
        <w:rPr>
          <w:rFonts w:eastAsia="Times New Roman" w:cs="Arial"/>
        </w:rPr>
      </w:pPr>
      <w:r w:rsidRPr="0031657A">
        <w:rPr>
          <w:rFonts w:eastAsia="Times New Roman" w:cs="Arial"/>
        </w:rPr>
        <w:t>These outcomes reflect the understanding that</w:t>
      </w:r>
      <w:r w:rsidR="004973FB">
        <w:rPr>
          <w:rFonts w:eastAsia="Times New Roman" w:cs="Arial"/>
        </w:rPr>
        <w:t xml:space="preserve"> people with disabilities</w:t>
      </w:r>
      <w:r w:rsidRPr="0031657A">
        <w:rPr>
          <w:rFonts w:eastAsia="Times New Roman" w:cs="Arial"/>
        </w:rPr>
        <w:t>:</w:t>
      </w:r>
    </w:p>
    <w:p w:rsidR="00B078B2" w:rsidRPr="0031657A" w:rsidRDefault="00B078B2" w:rsidP="00D40E37">
      <w:pPr>
        <w:numPr>
          <w:ilvl w:val="0"/>
          <w:numId w:val="17"/>
        </w:numPr>
        <w:spacing w:before="0" w:after="160"/>
        <w:ind w:left="714" w:hanging="357"/>
        <w:rPr>
          <w:rFonts w:eastAsia="Times New Roman" w:cs="Arial"/>
          <w:lang w:val="en-US"/>
        </w:rPr>
      </w:pPr>
      <w:r w:rsidRPr="0031657A">
        <w:rPr>
          <w:rFonts w:eastAsia="Times New Roman" w:cs="Arial"/>
          <w:lang w:val="en-US"/>
        </w:rPr>
        <w:t>have the right to be heard and informed</w:t>
      </w:r>
    </w:p>
    <w:p w:rsidR="00B078B2" w:rsidRPr="0031657A" w:rsidRDefault="00B078B2" w:rsidP="00D40E37">
      <w:pPr>
        <w:numPr>
          <w:ilvl w:val="0"/>
          <w:numId w:val="17"/>
        </w:numPr>
        <w:spacing w:before="0" w:after="160"/>
        <w:rPr>
          <w:rFonts w:eastAsia="Times New Roman" w:cs="Arial"/>
          <w:lang w:val="en-US"/>
        </w:rPr>
      </w:pPr>
      <w:r w:rsidRPr="0031657A">
        <w:rPr>
          <w:rFonts w:eastAsia="Times New Roman" w:cs="Arial"/>
          <w:lang w:val="en-US"/>
        </w:rPr>
        <w:t xml:space="preserve">should feel safe and be free from violence so that they can live in safety and with dignity </w:t>
      </w:r>
    </w:p>
    <w:p w:rsidR="00B078B2" w:rsidRPr="0031657A" w:rsidRDefault="00B078B2" w:rsidP="00D40E37">
      <w:pPr>
        <w:numPr>
          <w:ilvl w:val="0"/>
          <w:numId w:val="17"/>
        </w:numPr>
        <w:spacing w:before="0" w:after="160"/>
        <w:ind w:left="714" w:hanging="357"/>
        <w:rPr>
          <w:rFonts w:eastAsia="Times New Roman" w:cs="Arial"/>
          <w:lang w:val="en-US"/>
        </w:rPr>
      </w:pPr>
      <w:r w:rsidRPr="0031657A">
        <w:rPr>
          <w:rFonts w:eastAsia="Times New Roman" w:cs="Arial"/>
          <w:lang w:val="en-US"/>
        </w:rPr>
        <w:t>should be able to access the support, services and programs they need to prevent disadvantage and address a range of health and social risk factors</w:t>
      </w:r>
    </w:p>
    <w:p w:rsidR="00B078B2" w:rsidRPr="0031657A" w:rsidRDefault="00B078B2" w:rsidP="00D40E37">
      <w:pPr>
        <w:numPr>
          <w:ilvl w:val="0"/>
          <w:numId w:val="17"/>
        </w:numPr>
        <w:spacing w:before="0" w:after="160"/>
        <w:rPr>
          <w:rFonts w:eastAsia="Times New Roman" w:cs="Arial"/>
          <w:lang w:val="en-US"/>
        </w:rPr>
      </w:pPr>
      <w:r w:rsidRPr="0031657A">
        <w:rPr>
          <w:rFonts w:eastAsia="Times New Roman" w:cs="Arial"/>
          <w:lang w:val="en-US"/>
        </w:rPr>
        <w:t>are able to easily identify and access appropriate high quality services if they experience violence, or feel they are unsafe and at risk of experiencing violence</w:t>
      </w:r>
    </w:p>
    <w:p w:rsidR="00B078B2" w:rsidRPr="0031657A" w:rsidRDefault="00B078B2" w:rsidP="00D40E37">
      <w:pPr>
        <w:numPr>
          <w:ilvl w:val="0"/>
          <w:numId w:val="17"/>
        </w:numPr>
        <w:spacing w:before="0" w:after="160"/>
        <w:ind w:left="714" w:hanging="357"/>
        <w:rPr>
          <w:rFonts w:eastAsia="Times New Roman" w:cs="Arial"/>
          <w:lang w:val="en-US"/>
        </w:rPr>
      </w:pPr>
      <w:r w:rsidRPr="0031657A">
        <w:rPr>
          <w:rFonts w:eastAsia="Times New Roman" w:cs="Arial"/>
          <w:lang w:val="en-US"/>
        </w:rPr>
        <w:t>are  treated with dignity when they  begin or defend criminal matters, or participate in criminal justice processes, and the legal system provides the modifications, supports and aids needed to participate</w:t>
      </w:r>
    </w:p>
    <w:p w:rsidR="00B078B2" w:rsidRPr="0031657A" w:rsidRDefault="003F213C" w:rsidP="00D40E37">
      <w:pPr>
        <w:numPr>
          <w:ilvl w:val="0"/>
          <w:numId w:val="17"/>
        </w:numPr>
        <w:spacing w:before="0" w:after="160"/>
        <w:rPr>
          <w:rFonts w:eastAsia="Times New Roman" w:cs="Arial"/>
          <w:lang w:val="en-US"/>
        </w:rPr>
      </w:pPr>
      <w:proofErr w:type="gramStart"/>
      <w:r>
        <w:rPr>
          <w:rFonts w:eastAsia="Times New Roman" w:cs="Arial"/>
          <w:lang w:val="en-US"/>
        </w:rPr>
        <w:t>when</w:t>
      </w:r>
      <w:proofErr w:type="gramEnd"/>
      <w:r>
        <w:rPr>
          <w:rFonts w:eastAsia="Times New Roman" w:cs="Arial"/>
          <w:lang w:val="en-US"/>
        </w:rPr>
        <w:t xml:space="preserve"> </w:t>
      </w:r>
      <w:r w:rsidR="00B078B2" w:rsidRPr="0031657A">
        <w:rPr>
          <w:rFonts w:eastAsia="Times New Roman" w:cs="Arial"/>
          <w:lang w:val="en-US"/>
        </w:rPr>
        <w:t>lawfully deprived of their liberty are treated humanely and provided with supports, adjustments and aids needed to participate in prison life and transition successfully to the community.</w:t>
      </w:r>
    </w:p>
    <w:p w:rsidR="00B078B2" w:rsidRDefault="00B078B2" w:rsidP="00B078B2">
      <w:r>
        <w:lastRenderedPageBreak/>
        <w:t xml:space="preserve">Additionally, any Disability Justice Strategy should address a core set of principles and include certain fundamental actions. These </w:t>
      </w:r>
      <w:r w:rsidR="00F50A58">
        <w:t xml:space="preserve">principles and </w:t>
      </w:r>
      <w:r>
        <w:t>actions are set out in Chapter 4 and address:</w:t>
      </w:r>
    </w:p>
    <w:p w:rsidR="009C4C6F" w:rsidRDefault="00B078B2" w:rsidP="009C4C6F">
      <w:pPr>
        <w:pStyle w:val="ListParagraph"/>
        <w:numPr>
          <w:ilvl w:val="0"/>
          <w:numId w:val="53"/>
        </w:numPr>
      </w:pPr>
      <w:r w:rsidRPr="009C4C6F">
        <w:rPr>
          <w:b/>
        </w:rPr>
        <w:t>Appropriate communications</w:t>
      </w:r>
      <w:r w:rsidR="009C4C6F">
        <w:t xml:space="preserve"> </w:t>
      </w:r>
      <w:r w:rsidR="00EC7E09">
        <w:t>– C</w:t>
      </w:r>
      <w:r w:rsidR="009C4C6F">
        <w:t>ommunication is essential to personal autonomy and decision-making. Securing effective and appropriate communication as a right should be the cornerstone of any Disability Justice Strategy.</w:t>
      </w:r>
    </w:p>
    <w:p w:rsidR="00B078B2" w:rsidRDefault="00B078B2" w:rsidP="00D40E37">
      <w:pPr>
        <w:pStyle w:val="ListParagraph"/>
        <w:numPr>
          <w:ilvl w:val="0"/>
          <w:numId w:val="19"/>
        </w:numPr>
      </w:pPr>
      <w:r w:rsidRPr="00EC7E09">
        <w:rPr>
          <w:b/>
        </w:rPr>
        <w:t>Early intervention and diversion</w:t>
      </w:r>
      <w:r w:rsidR="00EC7E09">
        <w:t xml:space="preserve"> – E</w:t>
      </w:r>
      <w:r w:rsidR="00EC7E09">
        <w:rPr>
          <w:rFonts w:cs="Arial"/>
        </w:rPr>
        <w:t>arly intervention and wherever possible diversion into appropriate programs can both enhance the lives of people with disabilities and support the interests of justice.</w:t>
      </w:r>
    </w:p>
    <w:p w:rsidR="00B078B2" w:rsidRPr="00EC7E09" w:rsidRDefault="00B078B2" w:rsidP="00D40E37">
      <w:pPr>
        <w:pStyle w:val="ListParagraph"/>
        <w:numPr>
          <w:ilvl w:val="0"/>
          <w:numId w:val="19"/>
        </w:numPr>
        <w:rPr>
          <w:b/>
        </w:rPr>
      </w:pPr>
      <w:r w:rsidRPr="00EC7E09">
        <w:rPr>
          <w:b/>
        </w:rPr>
        <w:t>Increased service capacity</w:t>
      </w:r>
      <w:r w:rsidR="00EC7E09">
        <w:t xml:space="preserve"> – Increased service capacity and support should be appropriately resourced.</w:t>
      </w:r>
    </w:p>
    <w:p w:rsidR="00B078B2" w:rsidRPr="00EC7E09" w:rsidRDefault="00B078B2" w:rsidP="00D40E37">
      <w:pPr>
        <w:pStyle w:val="ListParagraph"/>
        <w:numPr>
          <w:ilvl w:val="0"/>
          <w:numId w:val="19"/>
        </w:numPr>
        <w:rPr>
          <w:b/>
        </w:rPr>
      </w:pPr>
      <w:r w:rsidRPr="00EC7E09">
        <w:rPr>
          <w:b/>
        </w:rPr>
        <w:t>Effective training</w:t>
      </w:r>
      <w:r w:rsidR="00EC7E09">
        <w:t xml:space="preserve"> – Effective training should address the rights of people with disabilities and prevention of and appropriate responses to violence and abuse, including gender-based violence. </w:t>
      </w:r>
    </w:p>
    <w:p w:rsidR="00B078B2" w:rsidRPr="00EC7E09" w:rsidRDefault="00B078B2" w:rsidP="00D40E37">
      <w:pPr>
        <w:pStyle w:val="ListParagraph"/>
        <w:numPr>
          <w:ilvl w:val="0"/>
          <w:numId w:val="19"/>
        </w:numPr>
        <w:rPr>
          <w:b/>
        </w:rPr>
      </w:pPr>
      <w:r w:rsidRPr="00EC7E09">
        <w:rPr>
          <w:b/>
        </w:rPr>
        <w:t>Enhanced accountability and monitoring</w:t>
      </w:r>
      <w:r w:rsidR="00EC7E09">
        <w:rPr>
          <w:b/>
        </w:rPr>
        <w:t xml:space="preserve"> </w:t>
      </w:r>
      <w:r w:rsidR="00EC7E09">
        <w:t>– People with disabilities, including children with disabilities, are consulted and actively involved as equal partners in the development, implementation and monitoring of pol</w:t>
      </w:r>
      <w:r w:rsidR="009155A0">
        <w:t>icies, programs and legislation to improve access to justice.</w:t>
      </w:r>
    </w:p>
    <w:p w:rsidR="00B078B2" w:rsidRPr="00EC7E09" w:rsidRDefault="00B078B2" w:rsidP="00D40E37">
      <w:pPr>
        <w:pStyle w:val="ListParagraph"/>
        <w:numPr>
          <w:ilvl w:val="0"/>
          <w:numId w:val="19"/>
        </w:numPr>
        <w:rPr>
          <w:b/>
        </w:rPr>
      </w:pPr>
      <w:r w:rsidRPr="00EC7E09">
        <w:rPr>
          <w:b/>
        </w:rPr>
        <w:t>Better policies and frameworks</w:t>
      </w:r>
      <w:r w:rsidR="009155A0">
        <w:t xml:space="preserve"> – Specific measures to address the intersection of disability and gender should be adopted in legislation, policies and programs to achieve appropriate understanding and responses by service providers.</w:t>
      </w:r>
    </w:p>
    <w:p w:rsidR="00B078B2" w:rsidRDefault="00B078B2" w:rsidP="00B078B2">
      <w:pPr>
        <w:sectPr w:rsidR="00B078B2"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pPr>
      <w:r>
        <w:t>The Commission understands that the Strategies may need to be adapted to suit the circumstances of individual jurisdictions and would need to be given effect in operational plans devised and owned by those ‘on the ground’. We consider, however, that respect for the human rights, dignity and personal autonomy of people with disabilities requires that any Disability Justice Strategy be developed in partnership with people with disabilities.</w:t>
      </w:r>
    </w:p>
    <w:p w:rsidR="009F2764" w:rsidRPr="0010508C" w:rsidRDefault="00903584" w:rsidP="00D40E37">
      <w:pPr>
        <w:pStyle w:val="Heading1"/>
        <w:numPr>
          <w:ilvl w:val="0"/>
          <w:numId w:val="16"/>
        </w:numPr>
        <w:tabs>
          <w:tab w:val="clear" w:pos="851"/>
        </w:tabs>
        <w:ind w:left="971"/>
        <w:rPr>
          <w:sz w:val="36"/>
          <w:szCs w:val="36"/>
        </w:rPr>
      </w:pPr>
      <w:bookmarkStart w:id="12" w:name="_Toc379195334"/>
      <w:r w:rsidRPr="00903584">
        <w:rPr>
          <w:sz w:val="36"/>
          <w:szCs w:val="36"/>
        </w:rPr>
        <w:lastRenderedPageBreak/>
        <w:t>Disability Justice Strategies – an introduction</w:t>
      </w:r>
      <w:bookmarkEnd w:id="12"/>
      <w:r>
        <w:rPr>
          <w:sz w:val="36"/>
          <w:szCs w:val="36"/>
        </w:rPr>
        <w:t xml:space="preserve"> </w:t>
      </w:r>
    </w:p>
    <w:p w:rsidR="00903584" w:rsidRDefault="00903584" w:rsidP="002210A6">
      <w:pPr>
        <w:pStyle w:val="Heading2"/>
        <w:rPr>
          <w:i w:val="0"/>
        </w:rPr>
      </w:pPr>
      <w:bookmarkStart w:id="13" w:name="_Toc379195335"/>
      <w:r w:rsidRPr="00903584">
        <w:rPr>
          <w:i w:val="0"/>
        </w:rPr>
        <w:t>Barriers</w:t>
      </w:r>
      <w:bookmarkEnd w:id="13"/>
    </w:p>
    <w:p w:rsidR="001925E3" w:rsidRPr="00865A83" w:rsidRDefault="001925E3" w:rsidP="001925E3">
      <w:r>
        <w:t>People with disabilities</w:t>
      </w:r>
      <w:r w:rsidRPr="00865A83">
        <w:t xml:space="preserve"> do not enjoy equality before the law when they come into contact with the criminal justice system in Australia. Whether a person with disability is the victim of a crime, accused of a crime or a witness, they are at increased risk of being disrespected and disbelieved. If a victim, their disability may be seen to mitigate the offender’s guilt; if a perpetrator, their disability makes incarceration more likely. Fundamental human rights that we all expect to enjoy are at stake. These rights are set out in treaties Australia has </w:t>
      </w:r>
      <w:r w:rsidR="00D8148F">
        <w:t>ratified</w:t>
      </w:r>
      <w:r w:rsidRPr="00865A83">
        <w:t xml:space="preserve"> and in our own legislation.</w:t>
      </w:r>
      <w:r w:rsidRPr="00865A83">
        <w:rPr>
          <w:rStyle w:val="EndnoteReference"/>
          <w:rFonts w:cs="Arial"/>
        </w:rPr>
        <w:endnoteReference w:id="1"/>
      </w:r>
    </w:p>
    <w:p w:rsidR="001925E3" w:rsidRPr="001925E3" w:rsidRDefault="001925E3" w:rsidP="001925E3">
      <w:pPr>
        <w:spacing w:before="0" w:after="160"/>
        <w:rPr>
          <w:rFonts w:eastAsia="Calibri"/>
          <w:lang w:eastAsia="en-US"/>
        </w:rPr>
      </w:pPr>
      <w:r w:rsidRPr="001925E3">
        <w:rPr>
          <w:rFonts w:eastAsia="Calibri"/>
          <w:lang w:eastAsia="en-US"/>
        </w:rPr>
        <w:t>In 2013 the Australian Human Rights Commission conducted a wide-ranging consultation to assess how people with disabilities and people who work in the criminal justice system cope with the following five barriers:</w:t>
      </w:r>
      <w:r w:rsidRPr="001925E3">
        <w:rPr>
          <w:rFonts w:eastAsia="Calibri"/>
          <w:szCs w:val="22"/>
          <w:vertAlign w:val="superscript"/>
          <w:lang w:eastAsia="en-US"/>
        </w:rPr>
        <w:endnoteReference w:id="2"/>
      </w:r>
    </w:p>
    <w:p w:rsidR="00903584" w:rsidRDefault="00903584" w:rsidP="00D8148F">
      <w:pPr>
        <w:ind w:left="720"/>
      </w:pPr>
      <w:proofErr w:type="gramStart"/>
      <w:r w:rsidRPr="00D8148F">
        <w:rPr>
          <w:b/>
        </w:rPr>
        <w:t>BARRIER 1.</w:t>
      </w:r>
      <w:proofErr w:type="gramEnd"/>
      <w:r>
        <w:tab/>
        <w:t>Community support, programs and assistance to prevent violence and disadvantage and address a range of health and social risk factors may not be available to some people with disabilities.</w:t>
      </w:r>
    </w:p>
    <w:p w:rsidR="00903584" w:rsidRDefault="00903584" w:rsidP="00D8148F">
      <w:pPr>
        <w:ind w:left="720"/>
      </w:pPr>
      <w:proofErr w:type="gramStart"/>
      <w:r w:rsidRPr="00D8148F">
        <w:rPr>
          <w:b/>
        </w:rPr>
        <w:t>BARRIER 2.</w:t>
      </w:r>
      <w:proofErr w:type="gramEnd"/>
      <w:r>
        <w:tab/>
        <w:t>People with disabilities do not receive the support, adjustments or aids they need to access protections, to begin or defend criminal matters, or to participate in criminal justice processes.</w:t>
      </w:r>
    </w:p>
    <w:p w:rsidR="00903584" w:rsidRDefault="00903584" w:rsidP="00D8148F">
      <w:pPr>
        <w:ind w:left="720"/>
      </w:pPr>
      <w:proofErr w:type="gramStart"/>
      <w:r w:rsidRPr="00D8148F">
        <w:rPr>
          <w:b/>
        </w:rPr>
        <w:t>BARRIER 3.</w:t>
      </w:r>
      <w:proofErr w:type="gramEnd"/>
      <w:r>
        <w:tab/>
        <w:t xml:space="preserve">Negative attitudes and assumptions about people with disabilities often result in people with disabilities being viewed as unreliable, not credible or not capable of giving evidence, making legal decisions or participating in legal proceedings. </w:t>
      </w:r>
    </w:p>
    <w:p w:rsidR="00903584" w:rsidRDefault="00903584" w:rsidP="00D8148F">
      <w:pPr>
        <w:ind w:left="720"/>
      </w:pPr>
      <w:proofErr w:type="gramStart"/>
      <w:r w:rsidRPr="00D8148F">
        <w:rPr>
          <w:b/>
        </w:rPr>
        <w:t>BARRIER 4.</w:t>
      </w:r>
      <w:proofErr w:type="gramEnd"/>
      <w:r>
        <w:tab/>
        <w:t>Specialist support, accommodation and programs may not be provided to people with disabilities when they are considered unable to understand or respond to criminal charges made against them (‘unfit to plead’).</w:t>
      </w:r>
    </w:p>
    <w:p w:rsidR="00903584" w:rsidRDefault="00903584" w:rsidP="00D8148F">
      <w:pPr>
        <w:ind w:left="720"/>
      </w:pPr>
      <w:proofErr w:type="gramStart"/>
      <w:r w:rsidRPr="00D8148F">
        <w:rPr>
          <w:b/>
        </w:rPr>
        <w:t>BARRIER 5.</w:t>
      </w:r>
      <w:proofErr w:type="gramEnd"/>
      <w:r>
        <w:tab/>
        <w:t xml:space="preserve">Support, adjustments and aids may not be provided to prisoners with disabilities so that they can meet basic human needs and participate in prison life. </w:t>
      </w:r>
    </w:p>
    <w:p w:rsidR="00903584" w:rsidRDefault="00903584" w:rsidP="00903584">
      <w:r>
        <w:t>We asked people to tell us about their experiences, what had worked well and what had not, and what would have been helpful, along with any other ideas that would improve access to justice in the criminal justice system for people with disabilities. We sought submissions in a range of forms and held public meetings in every State and Territory, including regional locations. We also held many individual meetings with people with disabilities, family members, carers, government representatives, politicians, service providers, legal professionals and organisations who hold an interest in access to justice for people with disabilities.</w:t>
      </w:r>
    </w:p>
    <w:p w:rsidR="00903584" w:rsidRDefault="00903584" w:rsidP="00903584">
      <w:r>
        <w:t xml:space="preserve">We heard that the inability to access effective justice was compounding the disadvantage experienced by people with disabilities. This results in many people with disabilities being left without protection and at risk of ongoing violence, or more likely to be jailed and destined to have repeated contact with the criminal justice </w:t>
      </w:r>
      <w:r>
        <w:lastRenderedPageBreak/>
        <w:t>system. We frequently heard that many offenders had previously been victims of violence and this had not been responded to appropriately.</w:t>
      </w:r>
    </w:p>
    <w:p w:rsidR="002210A6" w:rsidRPr="002210A6" w:rsidRDefault="002210A6" w:rsidP="002210A6">
      <w:pPr>
        <w:pStyle w:val="Heading2"/>
        <w:tabs>
          <w:tab w:val="clear" w:pos="851"/>
        </w:tabs>
        <w:spacing w:before="120" w:after="120" w:line="259" w:lineRule="auto"/>
        <w:ind w:left="576" w:hanging="576"/>
        <w:rPr>
          <w:rFonts w:cs="Arial"/>
          <w:i w:val="0"/>
        </w:rPr>
      </w:pPr>
      <w:bookmarkStart w:id="14" w:name="_Toc379195336"/>
      <w:r w:rsidRPr="002210A6">
        <w:rPr>
          <w:rFonts w:cs="Arial"/>
          <w:i w:val="0"/>
        </w:rPr>
        <w:t>A way forward</w:t>
      </w:r>
      <w:bookmarkEnd w:id="14"/>
    </w:p>
    <w:p w:rsidR="002210A6" w:rsidRPr="001B6550" w:rsidRDefault="002210A6" w:rsidP="002210A6">
      <w:r w:rsidRPr="001B6550">
        <w:t>Through our consultation process it became clear that an overarching Disability Justice Strategy is required which entails:</w:t>
      </w:r>
    </w:p>
    <w:p w:rsidR="002210A6" w:rsidRPr="001B6550" w:rsidRDefault="002210A6" w:rsidP="00D40E37">
      <w:pPr>
        <w:pStyle w:val="SubmissionNormal"/>
        <w:numPr>
          <w:ilvl w:val="0"/>
          <w:numId w:val="22"/>
        </w:numPr>
        <w:rPr>
          <w:rFonts w:cs="Arial"/>
          <w:lang w:val="en-US"/>
        </w:rPr>
      </w:pPr>
      <w:bookmarkStart w:id="15" w:name="OLE_LINK8"/>
      <w:r w:rsidRPr="001B6550">
        <w:rPr>
          <w:rFonts w:cs="Arial"/>
          <w:lang w:val="en-US"/>
        </w:rPr>
        <w:t xml:space="preserve">Safety of </w:t>
      </w:r>
      <w:r>
        <w:rPr>
          <w:rFonts w:cs="Arial"/>
          <w:lang w:val="en-US"/>
        </w:rPr>
        <w:t>people with disabilities</w:t>
      </w:r>
      <w:r w:rsidRPr="001B6550">
        <w:rPr>
          <w:rFonts w:cs="Arial"/>
          <w:lang w:val="en-US"/>
        </w:rPr>
        <w:t xml:space="preserve"> and freedom from violence</w:t>
      </w:r>
    </w:p>
    <w:p w:rsidR="002210A6" w:rsidRPr="001B6550" w:rsidRDefault="002210A6" w:rsidP="00D40E37">
      <w:pPr>
        <w:pStyle w:val="SubmissionNormal"/>
        <w:numPr>
          <w:ilvl w:val="0"/>
          <w:numId w:val="22"/>
        </w:numPr>
        <w:rPr>
          <w:rFonts w:cs="Arial"/>
          <w:lang w:val="en-US"/>
        </w:rPr>
      </w:pPr>
      <w:r w:rsidRPr="001B6550">
        <w:rPr>
          <w:rFonts w:cs="Arial"/>
          <w:lang w:val="en-US"/>
        </w:rPr>
        <w:t xml:space="preserve">Effective access to justice for </w:t>
      </w:r>
      <w:r>
        <w:rPr>
          <w:rFonts w:cs="Arial"/>
          <w:lang w:val="en-US"/>
        </w:rPr>
        <w:t>people with disabilities</w:t>
      </w:r>
    </w:p>
    <w:p w:rsidR="002210A6" w:rsidRPr="001B6550" w:rsidRDefault="002210A6" w:rsidP="00D40E37">
      <w:pPr>
        <w:pStyle w:val="SubmissionNormal"/>
        <w:numPr>
          <w:ilvl w:val="0"/>
          <w:numId w:val="22"/>
        </w:numPr>
        <w:rPr>
          <w:rFonts w:cs="Arial"/>
          <w:lang w:val="en-US"/>
        </w:rPr>
      </w:pPr>
      <w:r w:rsidRPr="001B6550">
        <w:rPr>
          <w:rFonts w:cs="Arial"/>
          <w:lang w:val="en-US"/>
        </w:rPr>
        <w:t>Non-discrimination</w:t>
      </w:r>
    </w:p>
    <w:p w:rsidR="002210A6" w:rsidRPr="001B6550" w:rsidRDefault="002210A6" w:rsidP="00D40E37">
      <w:pPr>
        <w:pStyle w:val="SubmissionNormal"/>
        <w:numPr>
          <w:ilvl w:val="0"/>
          <w:numId w:val="22"/>
        </w:numPr>
        <w:rPr>
          <w:rFonts w:cs="Arial"/>
          <w:lang w:val="en-US"/>
        </w:rPr>
      </w:pPr>
      <w:r w:rsidRPr="001B6550">
        <w:rPr>
          <w:rFonts w:cs="Arial"/>
          <w:lang w:val="en-US"/>
        </w:rPr>
        <w:t>Respect for inherent dignity and individual autonomy including the freedom to make one’s own decisions</w:t>
      </w:r>
    </w:p>
    <w:p w:rsidR="002210A6" w:rsidRPr="001B6550" w:rsidRDefault="002210A6" w:rsidP="00D40E37">
      <w:pPr>
        <w:pStyle w:val="SubmissionNormal"/>
        <w:numPr>
          <w:ilvl w:val="0"/>
          <w:numId w:val="22"/>
        </w:numPr>
        <w:rPr>
          <w:rFonts w:cs="Arial"/>
          <w:lang w:val="en-US"/>
        </w:rPr>
      </w:pPr>
      <w:r w:rsidRPr="001B6550">
        <w:rPr>
          <w:rFonts w:cs="Arial"/>
          <w:lang w:val="en-US"/>
        </w:rPr>
        <w:t>Full and effective participation and inclusion in the community</w:t>
      </w:r>
    </w:p>
    <w:bookmarkEnd w:id="15"/>
    <w:p w:rsidR="002210A6" w:rsidRPr="001B6550" w:rsidRDefault="002210A6" w:rsidP="002210A6">
      <w:r w:rsidRPr="001B6550">
        <w:t>These outcomes reflect the understanding that</w:t>
      </w:r>
      <w:r w:rsidR="002B2DCC">
        <w:t xml:space="preserve"> people with disabilities</w:t>
      </w:r>
      <w:r w:rsidRPr="001B6550">
        <w:t>:</w:t>
      </w:r>
    </w:p>
    <w:p w:rsidR="002210A6" w:rsidRPr="001B6550" w:rsidRDefault="002210A6" w:rsidP="00D40E37">
      <w:pPr>
        <w:pStyle w:val="SubmissionNormal"/>
        <w:numPr>
          <w:ilvl w:val="0"/>
          <w:numId w:val="17"/>
        </w:numPr>
        <w:rPr>
          <w:rFonts w:cs="Arial"/>
          <w:lang w:val="en-US"/>
        </w:rPr>
      </w:pPr>
      <w:r w:rsidRPr="001B6550">
        <w:rPr>
          <w:rFonts w:cs="Arial"/>
          <w:lang w:val="en-US"/>
        </w:rPr>
        <w:t>have the right to be heard and informed</w:t>
      </w:r>
    </w:p>
    <w:p w:rsidR="002210A6" w:rsidRPr="001B6550" w:rsidRDefault="002210A6" w:rsidP="00D40E37">
      <w:pPr>
        <w:pStyle w:val="SubmissionNormal"/>
        <w:numPr>
          <w:ilvl w:val="0"/>
          <w:numId w:val="17"/>
        </w:numPr>
        <w:rPr>
          <w:rFonts w:cs="Arial"/>
          <w:lang w:val="en-US"/>
        </w:rPr>
      </w:pPr>
      <w:r w:rsidRPr="001B6550">
        <w:rPr>
          <w:rFonts w:cs="Arial"/>
          <w:lang w:val="en-US"/>
        </w:rPr>
        <w:t xml:space="preserve">should feel safe and be free from violence so that they can live in safety and with dignity </w:t>
      </w:r>
    </w:p>
    <w:p w:rsidR="002210A6" w:rsidRPr="001B6550" w:rsidRDefault="002210A6" w:rsidP="00D40E37">
      <w:pPr>
        <w:pStyle w:val="SubmissionNormal"/>
        <w:numPr>
          <w:ilvl w:val="0"/>
          <w:numId w:val="17"/>
        </w:numPr>
        <w:rPr>
          <w:rFonts w:cs="Arial"/>
          <w:lang w:val="en-US"/>
        </w:rPr>
      </w:pPr>
      <w:r w:rsidRPr="001B6550">
        <w:rPr>
          <w:rFonts w:cs="Arial"/>
          <w:lang w:val="en-US"/>
        </w:rPr>
        <w:t>should be able to access the support, services and programs they need to prevent disadvantage and address a range of health and social risk factors</w:t>
      </w:r>
    </w:p>
    <w:p w:rsidR="002210A6" w:rsidRPr="001B6550" w:rsidRDefault="002210A6" w:rsidP="00D40E37">
      <w:pPr>
        <w:pStyle w:val="SubmissionNormal"/>
        <w:numPr>
          <w:ilvl w:val="0"/>
          <w:numId w:val="17"/>
        </w:numPr>
        <w:rPr>
          <w:rFonts w:cs="Arial"/>
          <w:lang w:val="en-US"/>
        </w:rPr>
      </w:pPr>
      <w:r w:rsidRPr="001B6550">
        <w:rPr>
          <w:rFonts w:cs="Arial"/>
          <w:lang w:val="en-US"/>
        </w:rPr>
        <w:t>are able to easily identify and access appropriate high quality services if they experience violence, or feel they are unsafe and at risk of experiencing violence</w:t>
      </w:r>
    </w:p>
    <w:p w:rsidR="002210A6" w:rsidRPr="001B6550" w:rsidRDefault="002210A6" w:rsidP="00D40E37">
      <w:pPr>
        <w:pStyle w:val="SubmissionNormal"/>
        <w:numPr>
          <w:ilvl w:val="0"/>
          <w:numId w:val="17"/>
        </w:numPr>
        <w:rPr>
          <w:rFonts w:cs="Arial"/>
          <w:lang w:val="en-US"/>
        </w:rPr>
      </w:pPr>
      <w:r w:rsidRPr="001B6550">
        <w:rPr>
          <w:rFonts w:cs="Arial"/>
          <w:lang w:val="en-US"/>
        </w:rPr>
        <w:t>are  treated with dignity when they  begin or defend criminal matters, or participate in criminal justice processes, and the legal system provides the modifications, supports and aids needed to participate</w:t>
      </w:r>
    </w:p>
    <w:p w:rsidR="002210A6" w:rsidRPr="001B6550" w:rsidRDefault="000A088E" w:rsidP="00D40E37">
      <w:pPr>
        <w:pStyle w:val="SubmissionNormal"/>
        <w:numPr>
          <w:ilvl w:val="0"/>
          <w:numId w:val="17"/>
        </w:numPr>
        <w:rPr>
          <w:rFonts w:cs="Arial"/>
          <w:lang w:val="en-US"/>
        </w:rPr>
      </w:pPr>
      <w:proofErr w:type="gramStart"/>
      <w:r>
        <w:rPr>
          <w:rFonts w:cs="Arial"/>
          <w:lang w:val="en-US"/>
        </w:rPr>
        <w:t>when</w:t>
      </w:r>
      <w:proofErr w:type="gramEnd"/>
      <w:r>
        <w:rPr>
          <w:rFonts w:cs="Arial"/>
          <w:lang w:val="en-US"/>
        </w:rPr>
        <w:t xml:space="preserve"> </w:t>
      </w:r>
      <w:r w:rsidR="002210A6" w:rsidRPr="001B6550">
        <w:rPr>
          <w:rFonts w:cs="Arial"/>
          <w:lang w:val="en-US"/>
        </w:rPr>
        <w:t>lawfully deprived of their liberty are treated humanely and provided with supports, adjustments and aids needed to participate in prison life and transition successfully to the community.</w:t>
      </w:r>
    </w:p>
    <w:p w:rsidR="002210A6" w:rsidRPr="002210A6" w:rsidRDefault="002210A6" w:rsidP="002210A6">
      <w:pPr>
        <w:pStyle w:val="Heading2"/>
        <w:tabs>
          <w:tab w:val="clear" w:pos="851"/>
        </w:tabs>
        <w:spacing w:before="120" w:after="120"/>
        <w:ind w:left="576" w:hanging="576"/>
        <w:rPr>
          <w:i w:val="0"/>
        </w:rPr>
      </w:pPr>
      <w:bookmarkStart w:id="16" w:name="_Toc379195337"/>
      <w:r w:rsidRPr="002210A6">
        <w:rPr>
          <w:i w:val="0"/>
        </w:rPr>
        <w:t>Human rights-based approach to improving access to justice</w:t>
      </w:r>
      <w:bookmarkEnd w:id="16"/>
    </w:p>
    <w:p w:rsidR="002210A6" w:rsidRPr="001B6550" w:rsidRDefault="002210A6" w:rsidP="002210A6">
      <w:pPr>
        <w:rPr>
          <w:rFonts w:eastAsia="Times New Roman" w:cs="Arial"/>
        </w:rPr>
      </w:pPr>
      <w:r w:rsidRPr="001B6550">
        <w:rPr>
          <w:rFonts w:eastAsia="Times New Roman" w:cs="Arial"/>
        </w:rPr>
        <w:t xml:space="preserve">A human-rights-based approach has been adopted in this report to clarify the responsibilities of government and service sectors and the process required to improve access to justice for </w:t>
      </w:r>
      <w:r>
        <w:rPr>
          <w:rFonts w:eastAsia="Times New Roman" w:cs="Arial"/>
        </w:rPr>
        <w:t>people with disabilities</w:t>
      </w:r>
      <w:r w:rsidRPr="001B6550">
        <w:rPr>
          <w:rFonts w:eastAsia="Times New Roman" w:cs="Arial"/>
        </w:rPr>
        <w:t xml:space="preserve">.  </w:t>
      </w:r>
    </w:p>
    <w:p w:rsidR="002210A6" w:rsidRPr="001B6550" w:rsidRDefault="002210A6" w:rsidP="002210A6">
      <w:pPr>
        <w:rPr>
          <w:rFonts w:eastAsia="Times New Roman" w:cs="Arial"/>
        </w:rPr>
      </w:pPr>
      <w:r w:rsidRPr="001B6550">
        <w:rPr>
          <w:rFonts w:eastAsia="Times New Roman" w:cs="Arial"/>
        </w:rPr>
        <w:t xml:space="preserve">This approach emphasises that content and process are equally important to bring about effective positive change. With this approach, </w:t>
      </w:r>
      <w:r>
        <w:rPr>
          <w:rFonts w:eastAsia="Times New Roman" w:cs="Arial"/>
        </w:rPr>
        <w:t>people with disabilities</w:t>
      </w:r>
      <w:r w:rsidRPr="001B6550">
        <w:rPr>
          <w:rFonts w:eastAsia="Times New Roman" w:cs="Arial"/>
        </w:rPr>
        <w:t xml:space="preserve"> are viewed as rights-holders, afforded dignity and seen as experts in the solutions that are most likely to be successful. Far too often </w:t>
      </w:r>
      <w:r>
        <w:rPr>
          <w:rFonts w:eastAsia="Times New Roman" w:cs="Arial"/>
        </w:rPr>
        <w:t>people with disabilities</w:t>
      </w:r>
      <w:r w:rsidRPr="001B6550">
        <w:rPr>
          <w:rFonts w:eastAsia="Times New Roman" w:cs="Arial"/>
        </w:rPr>
        <w:t xml:space="preserve"> are consulted to identify the barriers that exist but are absent from any genuine process to identi</w:t>
      </w:r>
      <w:r>
        <w:rPr>
          <w:rFonts w:eastAsia="Times New Roman" w:cs="Arial"/>
        </w:rPr>
        <w:t>f</w:t>
      </w:r>
      <w:r w:rsidRPr="001B6550">
        <w:rPr>
          <w:rFonts w:eastAsia="Times New Roman" w:cs="Arial"/>
        </w:rPr>
        <w:t xml:space="preserve">y and develop solutions, and only consulted in the final stage, if at all. </w:t>
      </w:r>
    </w:p>
    <w:p w:rsidR="002210A6" w:rsidRPr="00211D9B" w:rsidRDefault="002210A6" w:rsidP="002210A6">
      <w:pPr>
        <w:rPr>
          <w:rFonts w:eastAsia="Times New Roman" w:cs="Arial"/>
        </w:rPr>
      </w:pPr>
      <w:r w:rsidRPr="00211D9B">
        <w:rPr>
          <w:rFonts w:eastAsia="Times New Roman" w:cs="Arial"/>
        </w:rPr>
        <w:lastRenderedPageBreak/>
        <w:t xml:space="preserve">The following principles guide </w:t>
      </w:r>
      <w:r>
        <w:rPr>
          <w:rFonts w:eastAsia="Times New Roman" w:cs="Arial"/>
        </w:rPr>
        <w:t>the</w:t>
      </w:r>
      <w:r w:rsidRPr="00211D9B">
        <w:rPr>
          <w:rFonts w:eastAsia="Times New Roman" w:cs="Arial"/>
        </w:rPr>
        <w:t xml:space="preserve"> processes necessary fo</w:t>
      </w:r>
      <w:r>
        <w:rPr>
          <w:rFonts w:eastAsia="Times New Roman" w:cs="Arial"/>
        </w:rPr>
        <w:t>r a human rights-based approach.</w:t>
      </w:r>
    </w:p>
    <w:p w:rsidR="002210A6" w:rsidRDefault="002210A6" w:rsidP="002210A6">
      <w:pPr>
        <w:pStyle w:val="Heading3"/>
      </w:pPr>
      <w:bookmarkStart w:id="17" w:name="_Toc379195338"/>
      <w:r>
        <w:t>Participation</w:t>
      </w:r>
      <w:bookmarkEnd w:id="17"/>
    </w:p>
    <w:p w:rsidR="002210A6" w:rsidRPr="006E5FF3" w:rsidRDefault="002210A6" w:rsidP="002210A6">
      <w:pPr>
        <w:rPr>
          <w:rFonts w:eastAsia="Times New Roman" w:cs="Arial"/>
        </w:rPr>
      </w:pPr>
      <w:r w:rsidRPr="006E5FF3">
        <w:rPr>
          <w:rFonts w:eastAsia="Times New Roman" w:cs="Arial"/>
        </w:rPr>
        <w:t>Everyone has the right to participate in decisions that directly affect their lives in any way, including through the development of law, policies and projects.</w:t>
      </w:r>
    </w:p>
    <w:p w:rsidR="002210A6" w:rsidRPr="006E5FF3" w:rsidRDefault="002210A6" w:rsidP="002210A6">
      <w:pPr>
        <w:rPr>
          <w:rFonts w:eastAsia="Times New Roman" w:cs="Arial"/>
        </w:rPr>
      </w:pPr>
      <w:r>
        <w:rPr>
          <w:rFonts w:eastAsia="Times New Roman" w:cs="Arial"/>
        </w:rPr>
        <w:t>People with disabilities</w:t>
      </w:r>
      <w:r w:rsidRPr="006E5FF3">
        <w:rPr>
          <w:rFonts w:eastAsia="Times New Roman" w:cs="Arial"/>
        </w:rPr>
        <w:t>, particularly women, children</w:t>
      </w:r>
      <w:r w:rsidR="00DF6A6A">
        <w:rPr>
          <w:rFonts w:eastAsia="Times New Roman" w:cs="Arial"/>
        </w:rPr>
        <w:t>,</w:t>
      </w:r>
      <w:r w:rsidRPr="006E5FF3">
        <w:rPr>
          <w:rFonts w:eastAsia="Times New Roman" w:cs="Arial"/>
        </w:rPr>
        <w:t xml:space="preserve"> Aboriginal </w:t>
      </w:r>
      <w:r w:rsidR="00160749">
        <w:rPr>
          <w:rFonts w:eastAsia="Times New Roman" w:cs="Arial"/>
        </w:rPr>
        <w:t xml:space="preserve">and </w:t>
      </w:r>
      <w:r w:rsidRPr="006E5FF3">
        <w:rPr>
          <w:rFonts w:eastAsia="Times New Roman" w:cs="Arial"/>
        </w:rPr>
        <w:t xml:space="preserve">Torres Strait Islander </w:t>
      </w:r>
      <w:r>
        <w:rPr>
          <w:rFonts w:eastAsia="Times New Roman" w:cs="Arial"/>
        </w:rPr>
        <w:t>people</w:t>
      </w:r>
      <w:r w:rsidR="00DF6A6A">
        <w:rPr>
          <w:rFonts w:eastAsia="Times New Roman" w:cs="Arial"/>
        </w:rPr>
        <w:t xml:space="preserve"> and people from culturally and linguistically diverse backgrounds</w:t>
      </w:r>
      <w:r w:rsidRPr="006E5FF3">
        <w:rPr>
          <w:rFonts w:eastAsia="Times New Roman" w:cs="Arial"/>
        </w:rPr>
        <w:t>, must be consulted in the development and implementation of legislation, policies and procedures relating to access to justice in the criminal justice system and participate in decisions that affect their lives.</w:t>
      </w:r>
    </w:p>
    <w:p w:rsidR="002210A6" w:rsidRPr="006E5FF3" w:rsidRDefault="002210A6" w:rsidP="002210A6">
      <w:pPr>
        <w:pStyle w:val="Heading3"/>
      </w:pPr>
      <w:bookmarkStart w:id="18" w:name="_Toc379195339"/>
      <w:r w:rsidRPr="006E5FF3">
        <w:t>Accountability</w:t>
      </w:r>
      <w:bookmarkEnd w:id="18"/>
    </w:p>
    <w:p w:rsidR="002210A6" w:rsidRPr="006E5FF3" w:rsidRDefault="002210A6" w:rsidP="002210A6">
      <w:pPr>
        <w:rPr>
          <w:rFonts w:eastAsia="Times New Roman" w:cs="Arial"/>
        </w:rPr>
      </w:pPr>
      <w:r w:rsidRPr="006E5FF3">
        <w:rPr>
          <w:rFonts w:eastAsia="Times New Roman" w:cs="Arial"/>
        </w:rPr>
        <w:t>Everyone has a right to know how their human rights are affected and by whom. This requires proper accountability and transparency from Government.</w:t>
      </w:r>
    </w:p>
    <w:p w:rsidR="002210A6" w:rsidRPr="006E5FF3" w:rsidRDefault="002210A6" w:rsidP="002210A6">
      <w:pPr>
        <w:rPr>
          <w:rFonts w:eastAsia="Times New Roman" w:cs="Arial"/>
        </w:rPr>
      </w:pPr>
      <w:r w:rsidRPr="006E5FF3">
        <w:rPr>
          <w:rFonts w:eastAsia="Times New Roman" w:cs="Arial"/>
        </w:rPr>
        <w:t xml:space="preserve">Governments, police, courts, correctional services and disability service providers, amongst others, have a responsibility to uphold the human rights of </w:t>
      </w:r>
      <w:r>
        <w:rPr>
          <w:rFonts w:eastAsia="Times New Roman" w:cs="Arial"/>
        </w:rPr>
        <w:t>people with disabilities</w:t>
      </w:r>
      <w:r w:rsidRPr="006E5FF3">
        <w:rPr>
          <w:rFonts w:eastAsia="Times New Roman" w:cs="Arial"/>
        </w:rPr>
        <w:t xml:space="preserve"> and are clearly identified. Monitoring, remedies and effective prevent</w:t>
      </w:r>
      <w:r>
        <w:rPr>
          <w:rFonts w:eastAsia="Times New Roman" w:cs="Arial"/>
        </w:rPr>
        <w:t>at</w:t>
      </w:r>
      <w:r w:rsidRPr="006E5FF3">
        <w:rPr>
          <w:rFonts w:eastAsia="Times New Roman" w:cs="Arial"/>
        </w:rPr>
        <w:t xml:space="preserve">ive measures must be available to </w:t>
      </w:r>
      <w:r>
        <w:rPr>
          <w:rFonts w:eastAsia="Times New Roman" w:cs="Arial"/>
        </w:rPr>
        <w:t>people with disabilities</w:t>
      </w:r>
      <w:r w:rsidRPr="006E5FF3">
        <w:rPr>
          <w:rFonts w:eastAsia="Times New Roman" w:cs="Arial"/>
        </w:rPr>
        <w:t>.</w:t>
      </w:r>
    </w:p>
    <w:p w:rsidR="002210A6" w:rsidRPr="006E5FF3" w:rsidRDefault="002210A6" w:rsidP="002210A6">
      <w:pPr>
        <w:pStyle w:val="Heading3"/>
      </w:pPr>
      <w:bookmarkStart w:id="19" w:name="_Toc379195340"/>
      <w:r w:rsidRPr="006E5FF3">
        <w:t>Equality</w:t>
      </w:r>
      <w:bookmarkEnd w:id="19"/>
    </w:p>
    <w:p w:rsidR="002210A6" w:rsidRPr="006E5FF3" w:rsidRDefault="002210A6" w:rsidP="002210A6">
      <w:pPr>
        <w:rPr>
          <w:rFonts w:eastAsia="Times New Roman" w:cs="Arial"/>
        </w:rPr>
      </w:pPr>
      <w:r w:rsidRPr="006E5FF3">
        <w:rPr>
          <w:rFonts w:eastAsia="Times New Roman" w:cs="Arial"/>
        </w:rPr>
        <w:t xml:space="preserve">Everyone has the right to be equal. This requires that attention is paid </w:t>
      </w:r>
      <w:r>
        <w:rPr>
          <w:rFonts w:eastAsia="Times New Roman" w:cs="Arial"/>
        </w:rPr>
        <w:t>so</w:t>
      </w:r>
      <w:r w:rsidRPr="006E5FF3">
        <w:rPr>
          <w:rFonts w:eastAsia="Times New Roman" w:cs="Arial"/>
        </w:rPr>
        <w:t xml:space="preserve"> that laws, policies and projects benefit everyone and will result in substantive equality for everyone.</w:t>
      </w:r>
    </w:p>
    <w:p w:rsidR="002210A6" w:rsidRPr="00445EAC" w:rsidRDefault="002210A6" w:rsidP="002210A6">
      <w:pPr>
        <w:rPr>
          <w:rFonts w:eastAsia="Times New Roman" w:cs="Arial"/>
          <w:color w:val="FF0000"/>
        </w:rPr>
      </w:pPr>
      <w:r w:rsidRPr="006E5FF3">
        <w:rPr>
          <w:rFonts w:eastAsia="Times New Roman" w:cs="Arial"/>
        </w:rPr>
        <w:t xml:space="preserve">A human rights approach requires the elimination and prevention of discrimination in the criminal justice system for </w:t>
      </w:r>
      <w:r>
        <w:rPr>
          <w:rFonts w:eastAsia="Times New Roman" w:cs="Arial"/>
        </w:rPr>
        <w:t>people with disabilities</w:t>
      </w:r>
      <w:r w:rsidRPr="006E5FF3">
        <w:rPr>
          <w:rFonts w:eastAsia="Times New Roman" w:cs="Arial"/>
        </w:rPr>
        <w:t>, including addressing attitudinal barriers a</w:t>
      </w:r>
      <w:r>
        <w:rPr>
          <w:rFonts w:eastAsia="Times New Roman" w:cs="Arial"/>
        </w:rPr>
        <w:t>nd disadvantage when gender and other issues intersect.</w:t>
      </w:r>
    </w:p>
    <w:p w:rsidR="002210A6" w:rsidRPr="004630F1" w:rsidRDefault="002210A6" w:rsidP="002210A6">
      <w:pPr>
        <w:pStyle w:val="Heading3"/>
      </w:pPr>
      <w:bookmarkStart w:id="20" w:name="_Toc379195341"/>
      <w:r w:rsidRPr="004630F1">
        <w:t>Empowerment</w:t>
      </w:r>
      <w:bookmarkEnd w:id="20"/>
    </w:p>
    <w:p w:rsidR="002210A6" w:rsidRPr="006E5FF3" w:rsidRDefault="002210A6" w:rsidP="002210A6">
      <w:pPr>
        <w:rPr>
          <w:rFonts w:eastAsia="Times New Roman" w:cs="Arial"/>
        </w:rPr>
      </w:pPr>
      <w:r w:rsidRPr="006E5FF3">
        <w:rPr>
          <w:rFonts w:eastAsia="Times New Roman" w:cs="Arial"/>
        </w:rPr>
        <w:t>Everyone has the right to claim their human rights. Empowerment is the difference between wanting to act and being able to. Education, training and establishing structures that enable decision making to be shared are important.</w:t>
      </w:r>
    </w:p>
    <w:p w:rsidR="002210A6" w:rsidRPr="006E5FF3" w:rsidRDefault="002210A6" w:rsidP="002210A6">
      <w:pPr>
        <w:rPr>
          <w:rFonts w:eastAsia="Times New Roman" w:cs="Arial"/>
        </w:rPr>
      </w:pPr>
      <w:r w:rsidRPr="006E5FF3">
        <w:rPr>
          <w:rFonts w:eastAsia="Times New Roman" w:cs="Arial"/>
        </w:rPr>
        <w:t xml:space="preserve">Meaningful participation and consultation requires </w:t>
      </w:r>
      <w:r>
        <w:rPr>
          <w:rFonts w:eastAsia="Times New Roman" w:cs="Arial"/>
        </w:rPr>
        <w:t>people with disabilities</w:t>
      </w:r>
      <w:r w:rsidRPr="006E5FF3">
        <w:rPr>
          <w:rFonts w:eastAsia="Times New Roman" w:cs="Arial"/>
        </w:rPr>
        <w:t xml:space="preserve"> to be provided with the support and aids they require, including communication that is accessible and appropriate.</w:t>
      </w:r>
    </w:p>
    <w:p w:rsidR="002210A6" w:rsidRPr="002210A6" w:rsidRDefault="002210A6" w:rsidP="002210A6">
      <w:pPr>
        <w:pStyle w:val="Heading2"/>
        <w:tabs>
          <w:tab w:val="clear" w:pos="851"/>
        </w:tabs>
        <w:spacing w:before="120" w:after="120"/>
        <w:ind w:left="576" w:hanging="576"/>
        <w:rPr>
          <w:rFonts w:eastAsia="Times New Roman"/>
          <w:i w:val="0"/>
        </w:rPr>
      </w:pPr>
      <w:bookmarkStart w:id="21" w:name="_Toc379195342"/>
      <w:r w:rsidRPr="002210A6">
        <w:rPr>
          <w:rFonts w:eastAsia="Times New Roman"/>
          <w:i w:val="0"/>
        </w:rPr>
        <w:t>Provision of necessary modifications and adjustments</w:t>
      </w:r>
      <w:bookmarkEnd w:id="21"/>
      <w:r w:rsidRPr="002210A6">
        <w:rPr>
          <w:rFonts w:eastAsia="Times New Roman"/>
          <w:i w:val="0"/>
        </w:rPr>
        <w:t xml:space="preserve"> </w:t>
      </w:r>
    </w:p>
    <w:p w:rsidR="002210A6" w:rsidRDefault="002210A6" w:rsidP="002210A6">
      <w:pPr>
        <w:rPr>
          <w:rFonts w:eastAsia="Times New Roman" w:cs="Arial"/>
        </w:rPr>
      </w:pPr>
      <w:r>
        <w:rPr>
          <w:rFonts w:eastAsia="Times New Roman" w:cs="Arial"/>
        </w:rPr>
        <w:t>T</w:t>
      </w:r>
      <w:r w:rsidRPr="001B6550">
        <w:rPr>
          <w:rFonts w:eastAsia="Times New Roman" w:cs="Arial"/>
        </w:rPr>
        <w:t xml:space="preserve">he </w:t>
      </w:r>
      <w:r w:rsidRPr="00A344D9">
        <w:rPr>
          <w:rFonts w:eastAsia="Times New Roman" w:cs="Arial"/>
        </w:rPr>
        <w:t>Convention on the Rights of Persons with Disabilities (</w:t>
      </w:r>
      <w:r>
        <w:rPr>
          <w:rFonts w:eastAsia="Times New Roman" w:cs="Arial"/>
        </w:rPr>
        <w:t>the Convention</w:t>
      </w:r>
      <w:r w:rsidRPr="00A344D9">
        <w:rPr>
          <w:rFonts w:eastAsia="Times New Roman" w:cs="Arial"/>
        </w:rPr>
        <w:t>)</w:t>
      </w:r>
      <w:r>
        <w:rPr>
          <w:rFonts w:eastAsia="Times New Roman" w:cs="Arial"/>
        </w:rPr>
        <w:t xml:space="preserve"> </w:t>
      </w:r>
      <w:r w:rsidRPr="001B6550">
        <w:rPr>
          <w:rFonts w:eastAsia="Times New Roman" w:cs="Arial"/>
        </w:rPr>
        <w:t xml:space="preserve">clearly states that </w:t>
      </w:r>
      <w:r>
        <w:rPr>
          <w:rFonts w:eastAsia="Times New Roman" w:cs="Arial"/>
        </w:rPr>
        <w:t>people with disabilities</w:t>
      </w:r>
      <w:r w:rsidRPr="001B6550">
        <w:rPr>
          <w:rFonts w:eastAsia="Times New Roman" w:cs="Arial"/>
        </w:rPr>
        <w:t xml:space="preserve"> must be provided with necessary modifications and adjustments in order to obtain effect</w:t>
      </w:r>
      <w:r>
        <w:rPr>
          <w:rFonts w:eastAsia="Times New Roman" w:cs="Arial"/>
        </w:rPr>
        <w:t>ive access to justice.</w:t>
      </w:r>
      <w:r>
        <w:rPr>
          <w:rStyle w:val="EndnoteReference"/>
          <w:rFonts w:eastAsia="Times New Roman"/>
        </w:rPr>
        <w:endnoteReference w:id="3"/>
      </w:r>
      <w:r w:rsidRPr="001B6550">
        <w:rPr>
          <w:rFonts w:eastAsia="Times New Roman" w:cs="Arial"/>
        </w:rPr>
        <w:t xml:space="preserve"> This is often referred to as ‘reasonable accommodation’. Reasonable accommodation is the provision of adjustments that aim to level the playing field and remove barriers to full participation. </w:t>
      </w:r>
      <w:r w:rsidRPr="001B6550">
        <w:rPr>
          <w:rFonts w:eastAsia="Times New Roman" w:cs="Arial"/>
        </w:rPr>
        <w:lastRenderedPageBreak/>
        <w:t>This may include, but is not limited to: physical access to court buildings, provision of accessible information, adjustments in court proceedings and the use of language which can be understood by a person with disability. Article 13(1) of the Convention requires state parties to ensure the provision of “procedural and age-appropriate accommodations” in the criminal justice system. One of the innovations of the Convention is that denial of reasonable accommodation is a distinct and separate ground upon which to base a claim in discrimination under the Convention</w:t>
      </w:r>
      <w:r>
        <w:rPr>
          <w:rFonts w:eastAsia="Times New Roman" w:cs="Arial"/>
        </w:rPr>
        <w:t>.</w:t>
      </w:r>
    </w:p>
    <w:p w:rsidR="002210A6" w:rsidRPr="002210A6" w:rsidRDefault="002210A6" w:rsidP="002210A6">
      <w:pPr>
        <w:pStyle w:val="Heading2"/>
        <w:tabs>
          <w:tab w:val="clear" w:pos="851"/>
        </w:tabs>
        <w:spacing w:before="120" w:after="120"/>
        <w:ind w:left="576" w:hanging="576"/>
        <w:rPr>
          <w:rFonts w:eastAsia="Times New Roman"/>
          <w:i w:val="0"/>
        </w:rPr>
      </w:pPr>
      <w:bookmarkStart w:id="22" w:name="_Toc379195343"/>
      <w:r w:rsidRPr="002210A6">
        <w:rPr>
          <w:rFonts w:eastAsia="Times New Roman"/>
          <w:i w:val="0"/>
        </w:rPr>
        <w:t>Implementation</w:t>
      </w:r>
      <w:bookmarkEnd w:id="22"/>
    </w:p>
    <w:p w:rsidR="002210A6" w:rsidRDefault="002210A6" w:rsidP="002210A6">
      <w:r>
        <w:t>A Disability Justice Strategy</w:t>
      </w:r>
      <w:r w:rsidR="00D8148F">
        <w:t xml:space="preserve"> should</w:t>
      </w:r>
      <w:r>
        <w:t>:</w:t>
      </w:r>
    </w:p>
    <w:p w:rsidR="002210A6" w:rsidRDefault="002210A6" w:rsidP="00D40E37">
      <w:pPr>
        <w:pStyle w:val="SubmissionNormal"/>
        <w:numPr>
          <w:ilvl w:val="0"/>
          <w:numId w:val="21"/>
        </w:numPr>
        <w:rPr>
          <w:rFonts w:cs="Arial"/>
        </w:rPr>
      </w:pPr>
      <w:r>
        <w:rPr>
          <w:rFonts w:cs="Arial"/>
        </w:rPr>
        <w:t>be prepared in partnership with people with disabilities</w:t>
      </w:r>
    </w:p>
    <w:p w:rsidR="002210A6" w:rsidRDefault="00D8148F" w:rsidP="00D40E37">
      <w:pPr>
        <w:pStyle w:val="SubmissionNormal"/>
        <w:numPr>
          <w:ilvl w:val="0"/>
          <w:numId w:val="21"/>
        </w:numPr>
        <w:rPr>
          <w:rFonts w:cs="Arial"/>
        </w:rPr>
      </w:pPr>
      <w:r>
        <w:rPr>
          <w:rFonts w:cs="Arial"/>
        </w:rPr>
        <w:t>be coordinated</w:t>
      </w:r>
      <w:r w:rsidR="002210A6">
        <w:rPr>
          <w:rFonts w:cs="Arial"/>
        </w:rPr>
        <w:t xml:space="preserve"> across the agencies that deliver outcomes in the criminal justice system</w:t>
      </w:r>
    </w:p>
    <w:p w:rsidR="002210A6" w:rsidRDefault="00D8148F" w:rsidP="00D40E37">
      <w:pPr>
        <w:pStyle w:val="SubmissionNormal"/>
        <w:numPr>
          <w:ilvl w:val="0"/>
          <w:numId w:val="21"/>
        </w:numPr>
        <w:rPr>
          <w:rFonts w:cs="Arial"/>
        </w:rPr>
      </w:pPr>
      <w:r>
        <w:rPr>
          <w:rFonts w:cs="Arial"/>
        </w:rPr>
        <w:t xml:space="preserve">ensure </w:t>
      </w:r>
      <w:r w:rsidR="002210A6">
        <w:rPr>
          <w:rFonts w:cs="Arial"/>
        </w:rPr>
        <w:t>accountability through our system of parliamentary democracy and public administration</w:t>
      </w:r>
    </w:p>
    <w:p w:rsidR="002210A6" w:rsidRDefault="00D8148F" w:rsidP="00D40E37">
      <w:pPr>
        <w:pStyle w:val="SubmissionNormal"/>
        <w:numPr>
          <w:ilvl w:val="0"/>
          <w:numId w:val="21"/>
        </w:numPr>
        <w:rPr>
          <w:rFonts w:cs="Arial"/>
        </w:rPr>
      </w:pPr>
      <w:r>
        <w:rPr>
          <w:rFonts w:cs="Arial"/>
        </w:rPr>
        <w:t>involve</w:t>
      </w:r>
      <w:r w:rsidR="002210A6">
        <w:rPr>
          <w:rFonts w:cs="Arial"/>
        </w:rPr>
        <w:t xml:space="preserve"> actions that are embedded in operational plans</w:t>
      </w:r>
    </w:p>
    <w:p w:rsidR="002210A6" w:rsidRPr="00520A2D" w:rsidRDefault="002210A6" w:rsidP="00D40E37">
      <w:pPr>
        <w:pStyle w:val="SubmissionNormal"/>
        <w:numPr>
          <w:ilvl w:val="0"/>
          <w:numId w:val="21"/>
        </w:numPr>
        <w:rPr>
          <w:rFonts w:cs="Arial"/>
        </w:rPr>
      </w:pPr>
      <w:proofErr w:type="gramStart"/>
      <w:r>
        <w:rPr>
          <w:rFonts w:cs="Arial"/>
        </w:rPr>
        <w:t>be</w:t>
      </w:r>
      <w:proofErr w:type="gramEnd"/>
      <w:r>
        <w:rPr>
          <w:rFonts w:cs="Arial"/>
        </w:rPr>
        <w:t xml:space="preserve"> monitored for effectiveness and adjusted in light of experience.</w:t>
      </w:r>
    </w:p>
    <w:p w:rsidR="00A669E4" w:rsidRDefault="00EF783F" w:rsidP="00A669E4">
      <w:pPr>
        <w:pStyle w:val="SubmissionNormal"/>
        <w:numPr>
          <w:ilvl w:val="0"/>
          <w:numId w:val="0"/>
        </w:numPr>
        <w:sectPr w:rsidR="00A669E4" w:rsidSect="00626D60">
          <w:endnotePr>
            <w:numFmt w:val="decimal"/>
          </w:endnotePr>
          <w:pgSz w:w="11906" w:h="16838" w:code="9"/>
          <w:pgMar w:top="1134" w:right="1418" w:bottom="1134" w:left="1418" w:header="709" w:footer="709" w:gutter="0"/>
          <w:cols w:space="708"/>
          <w:docGrid w:linePitch="360"/>
        </w:sectPr>
      </w:pPr>
      <w:r>
        <w:t>C</w:t>
      </w:r>
      <w:r w:rsidR="002210A6" w:rsidRPr="001B6550">
        <w:t>hapters</w:t>
      </w:r>
      <w:r>
        <w:t xml:space="preserve"> 2 and 3</w:t>
      </w:r>
      <w:r w:rsidR="002210A6" w:rsidRPr="001B6550">
        <w:t xml:space="preserve"> explain what is happening on the ground. </w:t>
      </w:r>
      <w:r>
        <w:t>Chapter 4 proposes that through</w:t>
      </w:r>
      <w:r w:rsidR="002210A6" w:rsidRPr="001B6550">
        <w:t xml:space="preserve"> </w:t>
      </w:r>
      <w:r w:rsidR="005D43DB">
        <w:t xml:space="preserve">a </w:t>
      </w:r>
      <w:r w:rsidR="002210A6" w:rsidRPr="001B6550">
        <w:t>Disability Justice Strateg</w:t>
      </w:r>
      <w:r w:rsidR="005D43DB">
        <w:t>y</w:t>
      </w:r>
      <w:r w:rsidR="002210A6" w:rsidRPr="001B6550">
        <w:t>, we can mak</w:t>
      </w:r>
      <w:r w:rsidR="002210A6">
        <w:t xml:space="preserve">e significant improvements. The actions described in Chapter 3 are fundamental and the </w:t>
      </w:r>
      <w:r w:rsidR="002210A6" w:rsidRPr="001B6550">
        <w:t>need for action is urgent.</w:t>
      </w:r>
    </w:p>
    <w:p w:rsidR="00A669E4" w:rsidRPr="00217E4B" w:rsidRDefault="00A669E4" w:rsidP="00217E4B">
      <w:pPr>
        <w:pStyle w:val="Heading1"/>
        <w:rPr>
          <w:sz w:val="36"/>
          <w:szCs w:val="36"/>
        </w:rPr>
      </w:pPr>
      <w:bookmarkStart w:id="23" w:name="_Ref378418640"/>
      <w:bookmarkStart w:id="24" w:name="_Toc379195344"/>
      <w:r w:rsidRPr="00217E4B">
        <w:rPr>
          <w:sz w:val="36"/>
          <w:szCs w:val="36"/>
        </w:rPr>
        <w:lastRenderedPageBreak/>
        <w:t>The case for change</w:t>
      </w:r>
      <w:bookmarkEnd w:id="23"/>
      <w:bookmarkEnd w:id="24"/>
      <w:r w:rsidRPr="00217E4B">
        <w:rPr>
          <w:sz w:val="36"/>
          <w:szCs w:val="36"/>
        </w:rPr>
        <w:t xml:space="preserve"> </w:t>
      </w:r>
    </w:p>
    <w:p w:rsidR="00A669E4" w:rsidRPr="001B6550" w:rsidRDefault="00A669E4" w:rsidP="00A669E4">
      <w:pPr>
        <w:pStyle w:val="Heading2"/>
        <w:tabs>
          <w:tab w:val="clear" w:pos="851"/>
        </w:tabs>
        <w:spacing w:before="120" w:after="120" w:line="259" w:lineRule="auto"/>
        <w:ind w:left="576" w:hanging="576"/>
        <w:rPr>
          <w:rFonts w:cs="Arial"/>
        </w:rPr>
      </w:pPr>
      <w:bookmarkStart w:id="25" w:name="_Ref378418507"/>
      <w:bookmarkStart w:id="26" w:name="_Toc379195345"/>
      <w:bookmarkStart w:id="27" w:name="_Toc249033468"/>
      <w:r w:rsidRPr="001B6550">
        <w:rPr>
          <w:rFonts w:cs="Arial"/>
        </w:rPr>
        <w:t>Indicators</w:t>
      </w:r>
      <w:bookmarkEnd w:id="25"/>
      <w:r w:rsidR="004D4C16">
        <w:rPr>
          <w:rFonts w:cs="Arial"/>
        </w:rPr>
        <w:t xml:space="preserve"> for change</w:t>
      </w:r>
      <w:bookmarkEnd w:id="26"/>
    </w:p>
    <w:bookmarkEnd w:id="27"/>
    <w:p w:rsidR="00A669E4" w:rsidRDefault="00A669E4" w:rsidP="00A669E4">
      <w:pPr>
        <w:rPr>
          <w:rFonts w:cs="Arial"/>
        </w:rPr>
      </w:pPr>
      <w:r w:rsidRPr="00313760">
        <w:rPr>
          <w:rFonts w:cs="Arial"/>
        </w:rPr>
        <w:t>In Australia, 45 per cent of people with disabilities live in poverty or near poverty</w:t>
      </w:r>
      <w:r w:rsidR="00EA0E64">
        <w:rPr>
          <w:rFonts w:cs="Arial"/>
        </w:rPr>
        <w:t xml:space="preserve">. This </w:t>
      </w:r>
      <w:r w:rsidRPr="00313760">
        <w:rPr>
          <w:rFonts w:cs="Arial"/>
        </w:rPr>
        <w:t>situation has worsened since the mid-1990s.</w:t>
      </w:r>
      <w:r w:rsidRPr="00313760">
        <w:t xml:space="preserve"> </w:t>
      </w:r>
      <w:proofErr w:type="gramStart"/>
      <w:r w:rsidRPr="00313760">
        <w:rPr>
          <w:rFonts w:cs="Arial"/>
        </w:rPr>
        <w:t>Employment</w:t>
      </w:r>
      <w:proofErr w:type="gramEnd"/>
      <w:r w:rsidRPr="00313760">
        <w:rPr>
          <w:rFonts w:cs="Arial"/>
        </w:rPr>
        <w:t xml:space="preserve"> rates for </w:t>
      </w:r>
      <w:r>
        <w:rPr>
          <w:rFonts w:cs="Arial"/>
        </w:rPr>
        <w:t>people with disabilities</w:t>
      </w:r>
      <w:r w:rsidRPr="00313760">
        <w:rPr>
          <w:rFonts w:cs="Arial"/>
        </w:rPr>
        <w:t xml:space="preserve"> have been decreasing and so to</w:t>
      </w:r>
      <w:r w:rsidR="001B7464">
        <w:rPr>
          <w:rFonts w:cs="Arial"/>
        </w:rPr>
        <w:t>o</w:t>
      </w:r>
      <w:r w:rsidRPr="00313760">
        <w:rPr>
          <w:rFonts w:cs="Arial"/>
        </w:rPr>
        <w:t xml:space="preserve"> have educational outcomes</w:t>
      </w:r>
      <w:r>
        <w:rPr>
          <w:rFonts w:cs="Arial"/>
        </w:rPr>
        <w:t>.</w:t>
      </w:r>
      <w:r w:rsidRPr="00313760">
        <w:rPr>
          <w:vertAlign w:val="superscript"/>
        </w:rPr>
        <w:endnoteReference w:id="4"/>
      </w:r>
      <w:r>
        <w:rPr>
          <w:rFonts w:cs="Arial"/>
        </w:rPr>
        <w:t xml:space="preserve"> </w:t>
      </w:r>
      <w:r w:rsidRPr="00313760">
        <w:rPr>
          <w:rFonts w:cs="Arial"/>
        </w:rPr>
        <w:t>Women and girls with disability experience violence at significantly higher rates, more frequently</w:t>
      </w:r>
      <w:r w:rsidR="001B7464">
        <w:rPr>
          <w:rFonts w:cs="Arial"/>
        </w:rPr>
        <w:t>,</w:t>
      </w:r>
      <w:r w:rsidRPr="00313760">
        <w:rPr>
          <w:rFonts w:cs="Arial"/>
        </w:rPr>
        <w:t xml:space="preserve"> for longer, in more ways and by more perpetrators.</w:t>
      </w:r>
      <w:r w:rsidRPr="00313760">
        <w:rPr>
          <w:vertAlign w:val="superscript"/>
        </w:rPr>
        <w:endnoteReference w:id="5"/>
      </w:r>
      <w:r w:rsidRPr="00313760">
        <w:rPr>
          <w:rFonts w:cs="Arial"/>
        </w:rPr>
        <w:t xml:space="preserve"> One study indicates 90 per cent of Australian women with an intellectual disability have been subjected to sexual abuse, more than two-thirds </w:t>
      </w:r>
      <w:r>
        <w:rPr>
          <w:rFonts w:cs="Arial"/>
        </w:rPr>
        <w:t>of them</w:t>
      </w:r>
      <w:r w:rsidRPr="00313760">
        <w:rPr>
          <w:rFonts w:cs="Arial"/>
        </w:rPr>
        <w:t xml:space="preserve"> before they turned 18 years of age.</w:t>
      </w:r>
      <w:r w:rsidRPr="00313760">
        <w:rPr>
          <w:vertAlign w:val="superscript"/>
        </w:rPr>
        <w:endnoteReference w:id="6"/>
      </w:r>
    </w:p>
    <w:p w:rsidR="00A669E4" w:rsidRPr="002356DD" w:rsidRDefault="00A669E4" w:rsidP="00EA45BA">
      <w:r w:rsidRPr="002356DD">
        <w:t>Among many indicators:</w:t>
      </w:r>
    </w:p>
    <w:p w:rsidR="00A669E4" w:rsidRPr="002356DD" w:rsidRDefault="00A669E4" w:rsidP="00A669E4">
      <w:pPr>
        <w:rPr>
          <w:rFonts w:cs="Arial"/>
        </w:rPr>
      </w:pPr>
      <w:r w:rsidRPr="002356DD">
        <w:rPr>
          <w:rFonts w:cs="Arial"/>
        </w:rPr>
        <w:t>The Australian Institute of Health and Welfare reported</w:t>
      </w:r>
      <w:r w:rsidRPr="002356DD">
        <w:rPr>
          <w:rFonts w:cs="Arial"/>
          <w:vertAlign w:val="superscript"/>
        </w:rPr>
        <w:endnoteReference w:id="7"/>
      </w:r>
      <w:r w:rsidRPr="002356DD">
        <w:rPr>
          <w:rFonts w:cs="Arial"/>
        </w:rPr>
        <w:t xml:space="preserve"> the proportions in 2012 of:</w:t>
      </w:r>
    </w:p>
    <w:p w:rsidR="00A669E4" w:rsidRPr="002356DD" w:rsidRDefault="00A669E4" w:rsidP="00D40E37">
      <w:pPr>
        <w:numPr>
          <w:ilvl w:val="0"/>
          <w:numId w:val="25"/>
        </w:numPr>
        <w:spacing w:before="0" w:after="160" w:line="259" w:lineRule="auto"/>
        <w:rPr>
          <w:rFonts w:cs="Arial"/>
          <w:lang w:val="en-US"/>
        </w:rPr>
      </w:pPr>
      <w:r w:rsidRPr="002356DD">
        <w:rPr>
          <w:rFonts w:cs="Arial"/>
          <w:lang w:val="en-US"/>
        </w:rPr>
        <w:t>prison entrants who report that they have ever been told by a doctor, psychiatrist, psychologist or nurse that they have a mental health disorder (including drug and alcohol abuse): 38%</w:t>
      </w:r>
    </w:p>
    <w:p w:rsidR="00A669E4" w:rsidRPr="002356DD" w:rsidRDefault="00A669E4" w:rsidP="00D40E37">
      <w:pPr>
        <w:numPr>
          <w:ilvl w:val="0"/>
          <w:numId w:val="25"/>
        </w:numPr>
        <w:spacing w:before="0" w:after="160" w:line="259" w:lineRule="auto"/>
        <w:rPr>
          <w:rFonts w:cs="Arial"/>
          <w:lang w:val="en-US"/>
        </w:rPr>
      </w:pPr>
      <w:r w:rsidRPr="002356DD">
        <w:rPr>
          <w:rFonts w:cs="Arial"/>
          <w:lang w:val="en-US"/>
        </w:rPr>
        <w:t xml:space="preserve">prison </w:t>
      </w:r>
      <w:proofErr w:type="spellStart"/>
      <w:r w:rsidRPr="002356DD">
        <w:rPr>
          <w:rFonts w:cs="Arial"/>
          <w:lang w:val="en-US"/>
        </w:rPr>
        <w:t>dischargees</w:t>
      </w:r>
      <w:proofErr w:type="spellEnd"/>
      <w:r w:rsidRPr="002356DD">
        <w:rPr>
          <w:rFonts w:cs="Arial"/>
          <w:lang w:val="en-US"/>
        </w:rPr>
        <w:t xml:space="preserve"> who report that they have ever been told they have a health condition— mental health, including drug and alcohol abuse: 46%</w:t>
      </w:r>
    </w:p>
    <w:p w:rsidR="00A669E4" w:rsidRPr="002356DD" w:rsidRDefault="00A669E4" w:rsidP="00A669E4">
      <w:pPr>
        <w:rPr>
          <w:rFonts w:cs="Arial"/>
        </w:rPr>
      </w:pPr>
      <w:r w:rsidRPr="002356DD">
        <w:rPr>
          <w:rFonts w:cs="Arial"/>
        </w:rPr>
        <w:t>Research by the Australian Institute of Criminology shows:</w:t>
      </w:r>
    </w:p>
    <w:p w:rsidR="00A669E4" w:rsidRPr="002356DD" w:rsidRDefault="00A669E4" w:rsidP="00D40E37">
      <w:pPr>
        <w:numPr>
          <w:ilvl w:val="0"/>
          <w:numId w:val="25"/>
        </w:numPr>
        <w:spacing w:before="0" w:after="160" w:line="259" w:lineRule="auto"/>
        <w:rPr>
          <w:rFonts w:cs="Arial"/>
          <w:lang w:val="en-US"/>
        </w:rPr>
      </w:pPr>
      <w:proofErr w:type="gramStart"/>
      <w:r w:rsidRPr="002356DD">
        <w:rPr>
          <w:rFonts w:cs="Arial"/>
          <w:lang w:val="en-US"/>
        </w:rPr>
        <w:t>across</w:t>
      </w:r>
      <w:proofErr w:type="gramEnd"/>
      <w:r w:rsidRPr="002356DD">
        <w:rPr>
          <w:rFonts w:cs="Arial"/>
          <w:lang w:val="en-US"/>
        </w:rPr>
        <w:t xml:space="preserve"> Australia</w:t>
      </w:r>
      <w:r w:rsidR="00FE70C6">
        <w:rPr>
          <w:rFonts w:cs="Arial"/>
          <w:lang w:val="en-US"/>
        </w:rPr>
        <w:t>,</w:t>
      </w:r>
      <w:r w:rsidRPr="002356DD">
        <w:rPr>
          <w:rFonts w:cs="Arial"/>
          <w:lang w:val="en-US"/>
        </w:rPr>
        <w:t xml:space="preserve"> over the years 1989-1990 to 2010</w:t>
      </w:r>
      <w:r w:rsidRPr="002356DD">
        <w:rPr>
          <w:rFonts w:cs="Arial"/>
          <w:lang w:val="en-US"/>
        </w:rPr>
        <w:noBreakHyphen/>
        <w:t xml:space="preserve">2011, 42 per cent of </w:t>
      </w:r>
      <w:r w:rsidR="00491149">
        <w:rPr>
          <w:rFonts w:cs="Arial"/>
          <w:lang w:val="en-US"/>
        </w:rPr>
        <w:t xml:space="preserve">the 105 </w:t>
      </w:r>
      <w:r w:rsidRPr="002356DD">
        <w:rPr>
          <w:rFonts w:cs="Arial"/>
          <w:lang w:val="en-US"/>
        </w:rPr>
        <w:t>people shot by police</w:t>
      </w:r>
      <w:r w:rsidR="00FE70C6">
        <w:rPr>
          <w:rFonts w:cs="Arial"/>
          <w:lang w:val="en-US"/>
        </w:rPr>
        <w:t>,</w:t>
      </w:r>
      <w:r w:rsidRPr="002356DD">
        <w:rPr>
          <w:rFonts w:cs="Arial"/>
          <w:lang w:val="en-US"/>
        </w:rPr>
        <w:t xml:space="preserve"> had a mental illness.</w:t>
      </w:r>
      <w:r w:rsidRPr="002356DD">
        <w:rPr>
          <w:rFonts w:cs="Arial"/>
          <w:vertAlign w:val="superscript"/>
          <w:lang w:val="en-US"/>
        </w:rPr>
        <w:endnoteReference w:id="8"/>
      </w:r>
    </w:p>
    <w:p w:rsidR="00A669E4" w:rsidRPr="002356DD" w:rsidRDefault="00A669E4" w:rsidP="00A669E4">
      <w:pPr>
        <w:rPr>
          <w:rFonts w:cs="Arial"/>
        </w:rPr>
      </w:pPr>
      <w:r w:rsidRPr="002356DD">
        <w:rPr>
          <w:rFonts w:cs="Arial"/>
        </w:rPr>
        <w:t>In 2013 the Senate Legal and Constitutional Affairs References Committee reported the findings of its inquiry into justice reinvestment approaches to criminal justice. The Committee drew attention to a wide range of studies and submissions indicating that people who interact with the criminal justice system often have:</w:t>
      </w:r>
    </w:p>
    <w:p w:rsidR="00A669E4" w:rsidRPr="002356DD" w:rsidRDefault="00A669E4" w:rsidP="00D40E37">
      <w:pPr>
        <w:numPr>
          <w:ilvl w:val="0"/>
          <w:numId w:val="25"/>
        </w:numPr>
        <w:spacing w:before="0" w:after="160" w:line="259" w:lineRule="auto"/>
        <w:rPr>
          <w:rFonts w:cs="Arial"/>
          <w:lang w:val="en-US"/>
        </w:rPr>
      </w:pPr>
      <w:r w:rsidRPr="002356DD">
        <w:rPr>
          <w:rFonts w:cs="Arial"/>
          <w:lang w:val="en-US"/>
        </w:rPr>
        <w:t>high levels of hearing impairment</w:t>
      </w:r>
    </w:p>
    <w:p w:rsidR="00A669E4" w:rsidRPr="002356DD" w:rsidRDefault="00A669E4" w:rsidP="00D40E37">
      <w:pPr>
        <w:numPr>
          <w:ilvl w:val="0"/>
          <w:numId w:val="25"/>
        </w:numPr>
        <w:spacing w:before="0" w:after="160" w:line="259" w:lineRule="auto"/>
        <w:rPr>
          <w:rFonts w:cs="Arial"/>
          <w:lang w:val="en-US"/>
        </w:rPr>
      </w:pPr>
      <w:r w:rsidRPr="002356DD">
        <w:rPr>
          <w:rFonts w:cs="Arial"/>
          <w:lang w:val="en-US"/>
        </w:rPr>
        <w:t>cognitive disabilities</w:t>
      </w:r>
    </w:p>
    <w:p w:rsidR="00A669E4" w:rsidRPr="002356DD" w:rsidRDefault="00A669E4" w:rsidP="00D40E37">
      <w:pPr>
        <w:numPr>
          <w:ilvl w:val="0"/>
          <w:numId w:val="25"/>
        </w:numPr>
        <w:spacing w:before="0" w:after="160" w:line="259" w:lineRule="auto"/>
        <w:rPr>
          <w:rFonts w:cs="Arial"/>
          <w:lang w:val="en-US"/>
        </w:rPr>
      </w:pPr>
      <w:r w:rsidRPr="002356DD">
        <w:rPr>
          <w:rFonts w:cs="Arial"/>
          <w:lang w:val="en-US"/>
        </w:rPr>
        <w:t>acquired brain injury</w:t>
      </w:r>
    </w:p>
    <w:p w:rsidR="00A669E4" w:rsidRPr="002356DD" w:rsidRDefault="00A669E4" w:rsidP="00D40E37">
      <w:pPr>
        <w:numPr>
          <w:ilvl w:val="0"/>
          <w:numId w:val="25"/>
        </w:numPr>
        <w:spacing w:before="0" w:after="160" w:line="259" w:lineRule="auto"/>
        <w:rPr>
          <w:rFonts w:cs="Arial"/>
          <w:lang w:val="en-US"/>
        </w:rPr>
      </w:pPr>
      <w:r w:rsidRPr="002356DD">
        <w:rPr>
          <w:rFonts w:cs="Arial"/>
          <w:lang w:val="en-US"/>
        </w:rPr>
        <w:t>mental illness</w:t>
      </w:r>
    </w:p>
    <w:p w:rsidR="00A669E4" w:rsidRPr="002356DD" w:rsidRDefault="00A669E4" w:rsidP="00D40E37">
      <w:pPr>
        <w:numPr>
          <w:ilvl w:val="0"/>
          <w:numId w:val="25"/>
        </w:numPr>
        <w:spacing w:before="0" w:after="160" w:line="259" w:lineRule="auto"/>
        <w:rPr>
          <w:rFonts w:cs="Arial"/>
          <w:lang w:val="en-US"/>
        </w:rPr>
      </w:pPr>
      <w:proofErr w:type="gramStart"/>
      <w:r w:rsidRPr="002356DD">
        <w:rPr>
          <w:rFonts w:cs="Arial"/>
          <w:lang w:val="en-US"/>
        </w:rPr>
        <w:t>language</w:t>
      </w:r>
      <w:proofErr w:type="gramEnd"/>
      <w:r w:rsidRPr="002356DD">
        <w:rPr>
          <w:rFonts w:cs="Arial"/>
          <w:lang w:val="en-US"/>
        </w:rPr>
        <w:t xml:space="preserve"> impairment</w:t>
      </w:r>
      <w:r w:rsidR="00743E50">
        <w:rPr>
          <w:rFonts w:cs="Arial"/>
          <w:lang w:val="en-US"/>
        </w:rPr>
        <w:t>.</w:t>
      </w:r>
    </w:p>
    <w:p w:rsidR="00A669E4" w:rsidRPr="002356DD" w:rsidRDefault="00A669E4" w:rsidP="00A669E4">
      <w:pPr>
        <w:rPr>
          <w:rFonts w:cs="Arial"/>
        </w:rPr>
      </w:pPr>
      <w:r w:rsidRPr="002356DD">
        <w:rPr>
          <w:rFonts w:cs="Arial"/>
        </w:rPr>
        <w:t xml:space="preserve">In conducting its Australia wide Profiles of Disability survey for 2009 the Australian Bureau of Statistics (ABS) reported substantial </w:t>
      </w:r>
      <w:r w:rsidR="00A93882">
        <w:rPr>
          <w:rFonts w:cs="Arial"/>
        </w:rPr>
        <w:t xml:space="preserve">population </w:t>
      </w:r>
      <w:r w:rsidRPr="002356DD">
        <w:rPr>
          <w:rFonts w:cs="Arial"/>
        </w:rPr>
        <w:t>differences in the incidence of disability</w:t>
      </w:r>
      <w:r w:rsidR="00A93882">
        <w:rPr>
          <w:rFonts w:cs="Arial"/>
        </w:rPr>
        <w:t>.</w:t>
      </w:r>
      <w:r w:rsidRPr="002356DD">
        <w:rPr>
          <w:rFonts w:cs="Arial"/>
          <w:vertAlign w:val="superscript"/>
        </w:rPr>
        <w:endnoteReference w:id="9"/>
      </w:r>
      <w:r w:rsidRPr="002356DD">
        <w:rPr>
          <w:rFonts w:cs="Arial"/>
        </w:rPr>
        <w:t xml:space="preserve"> The ABS found:</w:t>
      </w:r>
    </w:p>
    <w:p w:rsidR="00A669E4" w:rsidRPr="002356DD" w:rsidRDefault="00A669E4" w:rsidP="00D40E37">
      <w:pPr>
        <w:numPr>
          <w:ilvl w:val="0"/>
          <w:numId w:val="23"/>
        </w:numPr>
        <w:spacing w:before="0" w:after="160" w:line="259" w:lineRule="auto"/>
        <w:rPr>
          <w:rFonts w:cs="Arial"/>
        </w:rPr>
      </w:pPr>
      <w:r w:rsidRPr="002356DD">
        <w:rPr>
          <w:rFonts w:cs="Arial"/>
        </w:rPr>
        <w:t>After adjusting for differences in the age structure of the two populations, Aboriginal and Torres Strait Islander people were 1.7 times as likely as non-Indigenous people to be living with disability</w:t>
      </w:r>
    </w:p>
    <w:p w:rsidR="00A669E4" w:rsidRPr="002356DD" w:rsidRDefault="00A669E4" w:rsidP="00D40E37">
      <w:pPr>
        <w:numPr>
          <w:ilvl w:val="0"/>
          <w:numId w:val="23"/>
        </w:numPr>
        <w:spacing w:before="0" w:after="160" w:line="259" w:lineRule="auto"/>
        <w:rPr>
          <w:rFonts w:cs="Arial"/>
        </w:rPr>
      </w:pPr>
      <w:r w:rsidRPr="002356DD">
        <w:rPr>
          <w:rFonts w:cs="Arial"/>
        </w:rPr>
        <w:lastRenderedPageBreak/>
        <w:t>Aboriginal and Torres Strait Islander children aged 0-14 years had much higher rates of disability than non-Indigenous children (14.2% compared with 6.6%). The differences were statistically significant for both boys (19.9% compared with 8.3%) and girls (8.9% compared with 4.8%)</w:t>
      </w:r>
    </w:p>
    <w:p w:rsidR="00A669E4" w:rsidRPr="002356DD" w:rsidRDefault="00A669E4" w:rsidP="00D40E37">
      <w:pPr>
        <w:numPr>
          <w:ilvl w:val="0"/>
          <w:numId w:val="23"/>
        </w:numPr>
        <w:spacing w:before="0" w:after="160" w:line="259" w:lineRule="auto"/>
        <w:rPr>
          <w:rFonts w:cs="Arial"/>
        </w:rPr>
      </w:pPr>
      <w:r w:rsidRPr="002356DD">
        <w:rPr>
          <w:rFonts w:cs="Arial"/>
        </w:rPr>
        <w:t xml:space="preserve">Aboriginal and Torres Strait Islander adults in the age range of 25-54 years had rates of disability that were between 2.0 and 2.5 times the corresponding rates for non-Indigenous adults </w:t>
      </w:r>
    </w:p>
    <w:p w:rsidR="00A669E4" w:rsidRPr="002356DD" w:rsidRDefault="00A669E4" w:rsidP="00D40E37">
      <w:pPr>
        <w:numPr>
          <w:ilvl w:val="0"/>
          <w:numId w:val="23"/>
        </w:numPr>
        <w:spacing w:before="0" w:after="160" w:line="259" w:lineRule="auto"/>
        <w:rPr>
          <w:rFonts w:cs="Arial"/>
        </w:rPr>
      </w:pPr>
      <w:r w:rsidRPr="002356DD">
        <w:rPr>
          <w:rFonts w:cs="Arial"/>
        </w:rPr>
        <w:t>In the 35–44 years age group, the differences in disability rates for Aboriginal and Torres Strait Islander people and non-Indigenous people were significantly different for both men (35.1% compared with 12.3%) and women (29.0% compared with 12.5%).</w:t>
      </w:r>
    </w:p>
    <w:p w:rsidR="00A669E4" w:rsidRPr="002356DD" w:rsidRDefault="00A669E4" w:rsidP="00A669E4">
      <w:pPr>
        <w:rPr>
          <w:rFonts w:cs="Arial"/>
        </w:rPr>
      </w:pPr>
      <w:r w:rsidRPr="002356DD">
        <w:rPr>
          <w:rFonts w:cs="Arial"/>
        </w:rPr>
        <w:t>The ABS further reports:</w:t>
      </w:r>
    </w:p>
    <w:p w:rsidR="00A669E4" w:rsidRPr="002356DD" w:rsidRDefault="00A669E4" w:rsidP="00D40E37">
      <w:pPr>
        <w:numPr>
          <w:ilvl w:val="0"/>
          <w:numId w:val="24"/>
        </w:numPr>
        <w:spacing w:before="0" w:after="160" w:line="259" w:lineRule="auto"/>
        <w:rPr>
          <w:rFonts w:cs="Arial"/>
          <w:lang w:val="en-US"/>
        </w:rPr>
      </w:pPr>
      <w:r w:rsidRPr="002356DD">
        <w:rPr>
          <w:rFonts w:cs="Arial"/>
          <w:lang w:val="en-US"/>
        </w:rPr>
        <w:t xml:space="preserve">The age </w:t>
      </w:r>
      <w:proofErr w:type="spellStart"/>
      <w:r w:rsidRPr="002356DD">
        <w:rPr>
          <w:rFonts w:cs="Arial"/>
          <w:lang w:val="en-US"/>
        </w:rPr>
        <w:t>standardised</w:t>
      </w:r>
      <w:proofErr w:type="spellEnd"/>
      <w:r w:rsidRPr="002356DD">
        <w:rPr>
          <w:rFonts w:cs="Arial"/>
          <w:lang w:val="en-US"/>
        </w:rPr>
        <w:t xml:space="preserve"> imprisonment rate for Aboriginal and Torres Strait Islander prisoners at 30 June 2013 was 1,977 Aboriginal and Torres Strait Islander prisoners per 100,000 adult Aboriginal and Torres Strait Islander population. The equivalent rate for non-Indigenous prisoners was 131 non-Indigenous prisoners per 100,000 adult non-Indigenous </w:t>
      </w:r>
      <w:proofErr w:type="gramStart"/>
      <w:r w:rsidRPr="002356DD">
        <w:rPr>
          <w:rFonts w:cs="Arial"/>
          <w:lang w:val="en-US"/>
        </w:rPr>
        <w:t>population</w:t>
      </w:r>
      <w:proofErr w:type="gramEnd"/>
      <w:r w:rsidRPr="002356DD">
        <w:rPr>
          <w:rFonts w:cs="Arial"/>
          <w:lang w:val="en-US"/>
        </w:rPr>
        <w:t>.</w:t>
      </w:r>
    </w:p>
    <w:p w:rsidR="00A669E4" w:rsidRPr="002356DD" w:rsidRDefault="00A669E4" w:rsidP="00D40E37">
      <w:pPr>
        <w:numPr>
          <w:ilvl w:val="0"/>
          <w:numId w:val="24"/>
        </w:numPr>
        <w:spacing w:before="0" w:after="160" w:line="259" w:lineRule="auto"/>
        <w:rPr>
          <w:rFonts w:cs="Arial"/>
          <w:lang w:val="en-US"/>
        </w:rPr>
      </w:pPr>
      <w:r w:rsidRPr="002356DD">
        <w:rPr>
          <w:rFonts w:cs="Arial"/>
          <w:lang w:val="en-US"/>
        </w:rPr>
        <w:t>The rate of imprisonment for Aboriginal and Torres Strait Islander prisoners was 15 times higher than the rate for non-Indigenous prisoners at 30 June 2013, which was consistent with 2012.</w:t>
      </w:r>
      <w:r w:rsidRPr="002356DD">
        <w:rPr>
          <w:rFonts w:cs="Arial"/>
          <w:vertAlign w:val="superscript"/>
          <w:lang w:val="en-US"/>
        </w:rPr>
        <w:endnoteReference w:id="10"/>
      </w:r>
    </w:p>
    <w:p w:rsidR="00A669E4" w:rsidRPr="002356DD" w:rsidRDefault="00A669E4" w:rsidP="00A669E4">
      <w:pPr>
        <w:rPr>
          <w:rFonts w:cs="Arial"/>
        </w:rPr>
      </w:pPr>
      <w:r w:rsidRPr="002356DD">
        <w:rPr>
          <w:rFonts w:cs="Arial"/>
        </w:rPr>
        <w:t>In light of all these indicators the Commission is compelled to conclude that people with disabilities have higher rates of interaction with the criminal justice system than other Australians. We note with grave concern the high rate of disability among Aboriginal and Torres Strait Islander peoples and that they are over</w:t>
      </w:r>
      <w:r w:rsidR="00743E50">
        <w:rPr>
          <w:rFonts w:cs="Arial"/>
        </w:rPr>
        <w:t>-</w:t>
      </w:r>
      <w:r w:rsidRPr="002356DD">
        <w:rPr>
          <w:rFonts w:cs="Arial"/>
        </w:rPr>
        <w:t>represented in Australian prisons.</w:t>
      </w:r>
    </w:p>
    <w:p w:rsidR="00A669E4" w:rsidRPr="001B6550" w:rsidRDefault="00A669E4" w:rsidP="00A669E4">
      <w:pPr>
        <w:pStyle w:val="Heading2"/>
        <w:tabs>
          <w:tab w:val="clear" w:pos="851"/>
        </w:tabs>
        <w:spacing w:before="120" w:after="120"/>
        <w:ind w:left="576" w:hanging="576"/>
      </w:pPr>
      <w:bookmarkStart w:id="28" w:name="_Toc249033466"/>
      <w:bookmarkStart w:id="29" w:name="_Toc379195346"/>
      <w:r w:rsidRPr="001B6550">
        <w:t xml:space="preserve">Economic savings </w:t>
      </w:r>
      <w:r>
        <w:t>through</w:t>
      </w:r>
      <w:r w:rsidRPr="001B6550">
        <w:t xml:space="preserve"> providing early support and diversion</w:t>
      </w:r>
      <w:bookmarkEnd w:id="28"/>
      <w:bookmarkEnd w:id="29"/>
    </w:p>
    <w:p w:rsidR="00A669E4" w:rsidRPr="001B6550" w:rsidRDefault="00A669E4" w:rsidP="00A669E4">
      <w:pPr>
        <w:rPr>
          <w:rFonts w:cs="Arial"/>
        </w:rPr>
      </w:pPr>
      <w:r w:rsidRPr="001B6550">
        <w:rPr>
          <w:rFonts w:cs="Arial"/>
        </w:rPr>
        <w:t xml:space="preserve">The Australian community spends </w:t>
      </w:r>
      <w:r w:rsidRPr="001B6550">
        <w:rPr>
          <w:rFonts w:cs="Arial"/>
          <w:shd w:val="clear" w:color="auto" w:fill="FFFFFF"/>
        </w:rPr>
        <w:t>$11.7b</w:t>
      </w:r>
      <w:r w:rsidRPr="001B6550">
        <w:rPr>
          <w:rStyle w:val="apple-converted-space"/>
          <w:rFonts w:cs="Arial"/>
          <w:shd w:val="clear" w:color="auto" w:fill="FFFFFF"/>
        </w:rPr>
        <w:t> annually on the criminal justice system and this figure is rising.</w:t>
      </w:r>
      <w:r w:rsidRPr="001B6550">
        <w:rPr>
          <w:rStyle w:val="EndnoteReference"/>
          <w:rFonts w:cs="Arial"/>
          <w:shd w:val="clear" w:color="auto" w:fill="FFFFFF"/>
        </w:rPr>
        <w:endnoteReference w:id="11"/>
      </w:r>
      <w:r w:rsidRPr="001B6550">
        <w:rPr>
          <w:rFonts w:cs="Arial"/>
        </w:rPr>
        <w:t xml:space="preserve"> Recent reports highlight the considerable human and economic costs involved when </w:t>
      </w:r>
      <w:r>
        <w:rPr>
          <w:rFonts w:cs="Arial"/>
        </w:rPr>
        <w:t>people with disabilities</w:t>
      </w:r>
      <w:r w:rsidRPr="001B6550">
        <w:rPr>
          <w:rFonts w:cs="Arial"/>
        </w:rPr>
        <w:t xml:space="preserve"> have repeated contact with the criminal justice system or are incarcerated. More importantly, these same studies highlight the significant savings that can be made by the provision of early support and diversion and the improved outcomes for the lives of </w:t>
      </w:r>
      <w:r>
        <w:rPr>
          <w:rFonts w:cs="Arial"/>
        </w:rPr>
        <w:t>people with disabilities</w:t>
      </w:r>
      <w:r w:rsidRPr="001B6550">
        <w:rPr>
          <w:rFonts w:cs="Arial"/>
        </w:rPr>
        <w:t xml:space="preserve"> and the community. </w:t>
      </w:r>
    </w:p>
    <w:p w:rsidR="00A669E4" w:rsidRDefault="00A669E4" w:rsidP="00A669E4">
      <w:pPr>
        <w:rPr>
          <w:rFonts w:eastAsia="Times New Roman" w:cs="Arial"/>
          <w:color w:val="000000"/>
          <w:szCs w:val="19"/>
        </w:rPr>
      </w:pPr>
      <w:r>
        <w:t>In its Report on Government Services 2012, the Productivity Commission</w:t>
      </w:r>
      <w:r w:rsidRPr="0010248E">
        <w:rPr>
          <w:rFonts w:eastAsia="Times New Roman" w:cs="Arial"/>
          <w:color w:val="000000"/>
          <w:szCs w:val="19"/>
        </w:rPr>
        <w:t xml:space="preserve"> </w:t>
      </w:r>
      <w:r>
        <w:rPr>
          <w:rFonts w:eastAsia="Times New Roman" w:cs="Arial"/>
          <w:color w:val="000000"/>
          <w:szCs w:val="19"/>
        </w:rPr>
        <w:t>says:</w:t>
      </w:r>
    </w:p>
    <w:p w:rsidR="00A669E4" w:rsidRDefault="00A669E4" w:rsidP="00A669E4">
      <w:pPr>
        <w:autoSpaceDE w:val="0"/>
        <w:autoSpaceDN w:val="0"/>
        <w:adjustRightInd w:val="0"/>
        <w:spacing w:after="0"/>
        <w:ind w:left="720"/>
        <w:rPr>
          <w:rFonts w:eastAsia="Times New Roman" w:cs="Arial"/>
          <w:color w:val="000000"/>
          <w:szCs w:val="19"/>
        </w:rPr>
      </w:pPr>
      <w:r w:rsidRPr="0075042B">
        <w:rPr>
          <w:rFonts w:eastAsia="Times New Roman" w:cs="Arial"/>
          <w:color w:val="000000"/>
          <w:szCs w:val="19"/>
        </w:rPr>
        <w:t>Nationally in 2010-11, the total cost per prisoner per day, comprising net operating</w:t>
      </w:r>
      <w:r>
        <w:rPr>
          <w:rFonts w:eastAsia="Times New Roman" w:cs="Arial"/>
          <w:color w:val="000000"/>
          <w:szCs w:val="19"/>
        </w:rPr>
        <w:t xml:space="preserve"> </w:t>
      </w:r>
      <w:r w:rsidRPr="0075042B">
        <w:rPr>
          <w:rFonts w:eastAsia="Times New Roman" w:cs="Arial"/>
          <w:color w:val="000000"/>
          <w:szCs w:val="19"/>
        </w:rPr>
        <w:t>expenditure, depreciation, debt servicing fees and user cost of capital, was $289</w:t>
      </w:r>
      <w:r>
        <w:rPr>
          <w:rFonts w:eastAsia="Times New Roman" w:cs="Arial"/>
          <w:color w:val="000000"/>
          <w:szCs w:val="19"/>
        </w:rPr>
        <w:t>.</w:t>
      </w:r>
    </w:p>
    <w:p w:rsidR="00A669E4" w:rsidRDefault="00A669E4" w:rsidP="00A669E4">
      <w:pPr>
        <w:autoSpaceDE w:val="0"/>
        <w:autoSpaceDN w:val="0"/>
        <w:adjustRightInd w:val="0"/>
        <w:spacing w:after="0"/>
        <w:ind w:left="720"/>
        <w:rPr>
          <w:rFonts w:eastAsia="Times New Roman" w:cs="Arial"/>
          <w:color w:val="000000"/>
          <w:szCs w:val="19"/>
        </w:rPr>
      </w:pPr>
      <w:r>
        <w:rPr>
          <w:rFonts w:eastAsia="Times New Roman" w:cs="Arial"/>
          <w:color w:val="000000"/>
          <w:szCs w:val="19"/>
        </w:rPr>
        <w:t>…..</w:t>
      </w:r>
    </w:p>
    <w:p w:rsidR="00A669E4" w:rsidRDefault="00A669E4" w:rsidP="00A669E4">
      <w:pPr>
        <w:autoSpaceDE w:val="0"/>
        <w:autoSpaceDN w:val="0"/>
        <w:adjustRightInd w:val="0"/>
        <w:spacing w:after="0"/>
        <w:ind w:left="720"/>
        <w:rPr>
          <w:rFonts w:eastAsia="Times New Roman" w:cs="Arial"/>
          <w:color w:val="000000"/>
          <w:szCs w:val="19"/>
        </w:rPr>
      </w:pPr>
    </w:p>
    <w:p w:rsidR="00A669E4" w:rsidRPr="00E714AA" w:rsidRDefault="00A669E4" w:rsidP="00A669E4">
      <w:pPr>
        <w:autoSpaceDE w:val="0"/>
        <w:autoSpaceDN w:val="0"/>
        <w:adjustRightInd w:val="0"/>
        <w:spacing w:after="0"/>
        <w:ind w:left="720"/>
        <w:rPr>
          <w:rFonts w:eastAsia="Times New Roman" w:cs="Arial"/>
          <w:color w:val="000000"/>
          <w:szCs w:val="19"/>
        </w:rPr>
      </w:pPr>
      <w:r w:rsidRPr="00E714AA">
        <w:rPr>
          <w:rFonts w:eastAsia="Times New Roman" w:cs="Arial"/>
          <w:color w:val="000000"/>
          <w:szCs w:val="19"/>
        </w:rPr>
        <w:t>The real net operating expenditure (which excludes capital costs and payroll tax) per prisoner per day was $216 nationally in 2006-07 compared with $221 in 2010-11</w:t>
      </w:r>
      <w:r>
        <w:rPr>
          <w:rFonts w:eastAsia="Times New Roman" w:cs="Arial"/>
          <w:color w:val="000000"/>
          <w:szCs w:val="19"/>
        </w:rPr>
        <w:t>.</w:t>
      </w:r>
    </w:p>
    <w:p w:rsidR="00A669E4" w:rsidRDefault="00A669E4" w:rsidP="00A669E4">
      <w:pPr>
        <w:ind w:left="720"/>
        <w:rPr>
          <w:rFonts w:eastAsia="Times New Roman" w:cs="Arial"/>
          <w:color w:val="000000"/>
          <w:szCs w:val="19"/>
        </w:rPr>
      </w:pPr>
      <w:r>
        <w:rPr>
          <w:rFonts w:eastAsia="Times New Roman" w:cs="Arial"/>
          <w:color w:val="000000"/>
          <w:szCs w:val="19"/>
        </w:rPr>
        <w:t>…..</w:t>
      </w:r>
    </w:p>
    <w:p w:rsidR="00A669E4" w:rsidRDefault="00A669E4" w:rsidP="00A669E4">
      <w:pPr>
        <w:ind w:left="720"/>
        <w:rPr>
          <w:rFonts w:eastAsia="Times New Roman" w:cs="Arial"/>
          <w:color w:val="000000"/>
          <w:szCs w:val="19"/>
          <w:lang w:val="en-US"/>
        </w:rPr>
      </w:pPr>
      <w:r w:rsidRPr="00E714AA">
        <w:rPr>
          <w:rFonts w:eastAsia="Times New Roman" w:cs="Arial"/>
          <w:color w:val="000000"/>
          <w:szCs w:val="19"/>
        </w:rPr>
        <w:t>Nationally, the real net operating expenditure (which excludes capital costs and</w:t>
      </w:r>
      <w:r>
        <w:rPr>
          <w:rFonts w:eastAsia="Times New Roman" w:cs="Arial"/>
          <w:color w:val="000000"/>
          <w:szCs w:val="19"/>
        </w:rPr>
        <w:t xml:space="preserve"> </w:t>
      </w:r>
      <w:r w:rsidRPr="00E714AA">
        <w:rPr>
          <w:rFonts w:eastAsia="Times New Roman" w:cs="Arial"/>
          <w:color w:val="000000"/>
          <w:szCs w:val="19"/>
        </w:rPr>
        <w:t xml:space="preserve">payroll tax) per offender per day increased from $15 in 2006-07 to $20 </w:t>
      </w:r>
      <w:r>
        <w:rPr>
          <w:rFonts w:eastAsia="Times New Roman" w:cs="Arial"/>
          <w:color w:val="000000"/>
          <w:szCs w:val="19"/>
        </w:rPr>
        <w:t>i</w:t>
      </w:r>
      <w:r w:rsidRPr="00E714AA">
        <w:rPr>
          <w:rFonts w:eastAsia="Times New Roman" w:cs="Arial"/>
          <w:color w:val="000000"/>
          <w:szCs w:val="19"/>
        </w:rPr>
        <w:t>n</w:t>
      </w:r>
      <w:r>
        <w:rPr>
          <w:rFonts w:eastAsia="Times New Roman" w:cs="Arial"/>
          <w:color w:val="000000"/>
          <w:szCs w:val="19"/>
        </w:rPr>
        <w:t xml:space="preserve"> </w:t>
      </w:r>
      <w:r w:rsidRPr="00E714AA">
        <w:rPr>
          <w:rFonts w:eastAsia="Times New Roman" w:cs="Arial"/>
          <w:color w:val="000000"/>
          <w:szCs w:val="19"/>
        </w:rPr>
        <w:t>2010-11</w:t>
      </w:r>
      <w:r>
        <w:rPr>
          <w:rFonts w:eastAsia="Times New Roman" w:cs="Arial"/>
          <w:color w:val="000000"/>
          <w:szCs w:val="19"/>
        </w:rPr>
        <w:t>.</w:t>
      </w:r>
      <w:r>
        <w:rPr>
          <w:rStyle w:val="EndnoteReference"/>
          <w:rFonts w:eastAsia="Times New Roman"/>
          <w:color w:val="000000"/>
          <w:szCs w:val="19"/>
        </w:rPr>
        <w:endnoteReference w:id="12"/>
      </w:r>
    </w:p>
    <w:p w:rsidR="00A669E4" w:rsidRDefault="00A669E4" w:rsidP="00A669E4">
      <w:pPr>
        <w:rPr>
          <w:rFonts w:eastAsia="Times New Roman" w:cs="Arial"/>
          <w:color w:val="000000"/>
          <w:szCs w:val="19"/>
          <w:lang w:val="en-US"/>
        </w:rPr>
      </w:pPr>
      <w:r>
        <w:rPr>
          <w:rFonts w:eastAsia="Times New Roman" w:cs="Arial"/>
          <w:color w:val="000000"/>
          <w:szCs w:val="19"/>
          <w:lang w:val="en-US"/>
        </w:rPr>
        <w:t>These figures equate to an annual total cost of $105,485 per person in a correctional facility and net operating expenditure of $80,665 per person in a correctional facility or $7,300 per person subject to community corrections. The expenditure difference between custodial correction and community correction is $73,365 per person.</w:t>
      </w:r>
    </w:p>
    <w:p w:rsidR="00A669E4" w:rsidRDefault="00A669E4" w:rsidP="00A669E4">
      <w:pPr>
        <w:rPr>
          <w:rFonts w:eastAsia="Times New Roman" w:cs="Arial"/>
          <w:color w:val="000000"/>
          <w:szCs w:val="19"/>
          <w:lang w:val="en-US"/>
        </w:rPr>
      </w:pPr>
      <w:r w:rsidRPr="001B6550">
        <w:rPr>
          <w:rFonts w:eastAsia="Times New Roman" w:cs="Arial"/>
          <w:color w:val="000000"/>
          <w:szCs w:val="19"/>
          <w:lang w:val="en-US"/>
        </w:rPr>
        <w:t xml:space="preserve">A recent cost-benefit analysis of early support and diversion indicates a number of small but </w:t>
      </w:r>
      <w:r w:rsidRPr="001B6550">
        <w:rPr>
          <w:rFonts w:eastAsia="Times New Roman" w:cs="Arial"/>
          <w:bCs/>
          <w:color w:val="000000"/>
          <w:szCs w:val="19"/>
          <w:lang w:val="en-US"/>
        </w:rPr>
        <w:t xml:space="preserve">successful initiatives appear to improve well-being and other outcomes </w:t>
      </w:r>
      <w:r w:rsidRPr="001B6550">
        <w:rPr>
          <w:rFonts w:eastAsia="Times New Roman" w:cs="Arial"/>
          <w:color w:val="000000"/>
          <w:szCs w:val="19"/>
          <w:lang w:val="en-US"/>
        </w:rPr>
        <w:t>for people with mental health disorders and cognitive impairment. These initiatives result in diversion from the criminal justice system. The study indicated that for every dollar spent on the early investment, between $1.40 and $2.40 in government cost is saved in the longer term.</w:t>
      </w:r>
      <w:r w:rsidRPr="001B6550">
        <w:rPr>
          <w:rStyle w:val="EndnoteReference"/>
          <w:rFonts w:eastAsia="Times New Roman" w:cs="Arial"/>
          <w:color w:val="000000"/>
          <w:szCs w:val="19"/>
          <w:lang w:val="en-US"/>
        </w:rPr>
        <w:endnoteReference w:id="13"/>
      </w:r>
    </w:p>
    <w:p w:rsidR="00A669E4" w:rsidRPr="001B6550" w:rsidRDefault="00A669E4" w:rsidP="00A669E4">
      <w:pPr>
        <w:rPr>
          <w:rFonts w:eastAsia="Times New Roman" w:cs="Arial"/>
          <w:color w:val="000000"/>
          <w:szCs w:val="19"/>
          <w:lang w:val="en-US"/>
        </w:rPr>
      </w:pPr>
      <w:r>
        <w:rPr>
          <w:rFonts w:eastAsia="Times New Roman" w:cs="Arial"/>
          <w:color w:val="000000"/>
          <w:szCs w:val="19"/>
          <w:lang w:val="en-US"/>
        </w:rPr>
        <w:t xml:space="preserve">In a related paper Professor Eileen </w:t>
      </w:r>
      <w:proofErr w:type="spellStart"/>
      <w:r>
        <w:rPr>
          <w:rFonts w:eastAsia="Times New Roman" w:cs="Arial"/>
          <w:color w:val="000000"/>
          <w:szCs w:val="19"/>
          <w:lang w:val="en-US"/>
        </w:rPr>
        <w:t>Baldry</w:t>
      </w:r>
      <w:proofErr w:type="spellEnd"/>
      <w:r>
        <w:rPr>
          <w:rFonts w:eastAsia="Times New Roman" w:cs="Arial"/>
          <w:color w:val="000000"/>
          <w:szCs w:val="19"/>
          <w:lang w:val="en-US"/>
        </w:rPr>
        <w:t xml:space="preserve"> and colleagues come to the following conclusion concerning numerous case studies based on a well-controlled dataset from NSW:</w:t>
      </w:r>
    </w:p>
    <w:p w:rsidR="00A669E4" w:rsidRDefault="00A669E4" w:rsidP="00A669E4">
      <w:pPr>
        <w:ind w:left="720"/>
        <w:rPr>
          <w:rFonts w:cs="Arial"/>
        </w:rPr>
      </w:pPr>
      <w:r w:rsidRPr="006C2C7D">
        <w:rPr>
          <w:rFonts w:cs="Arial"/>
        </w:rPr>
        <w:t xml:space="preserve">The evidence is stark that </w:t>
      </w:r>
      <w:r>
        <w:rPr>
          <w:rFonts w:cs="Arial"/>
        </w:rPr>
        <w:t xml:space="preserve">… </w:t>
      </w:r>
      <w:r w:rsidRPr="006C2C7D">
        <w:rPr>
          <w:rFonts w:cs="Arial"/>
        </w:rPr>
        <w:t xml:space="preserve">early lack of adequate services is associated with costly criminal justice, health and homelessness interactions and interventions later </w:t>
      </w:r>
      <w:r>
        <w:rPr>
          <w:rFonts w:cs="Arial"/>
        </w:rPr>
        <w:t>…</w:t>
      </w:r>
      <w:r w:rsidRPr="006C2C7D">
        <w:rPr>
          <w:rFonts w:cs="Arial"/>
        </w:rPr>
        <w:t xml:space="preserve"> Millions of dollars in crisis and criminal justice interventions continue to be spent on these vulnerable individuals whose needs would have been better addressed in early support or currently in a health, rehabilitation or community space. It is obvious that access to integrated and responsive support services including drug and alcohol support, mental health and disability services or other psycho-soc</w:t>
      </w:r>
      <w:r>
        <w:rPr>
          <w:rFonts w:cs="Arial"/>
        </w:rPr>
        <w:t>ial forms of support is needed.</w:t>
      </w:r>
      <w:r>
        <w:rPr>
          <w:rStyle w:val="EndnoteReference"/>
        </w:rPr>
        <w:endnoteReference w:id="14"/>
      </w:r>
    </w:p>
    <w:p w:rsidR="00A669E4" w:rsidRDefault="00A669E4" w:rsidP="00A669E4">
      <w:pPr>
        <w:rPr>
          <w:rFonts w:cs="Arial"/>
        </w:rPr>
      </w:pPr>
      <w:r w:rsidRPr="001B6550">
        <w:rPr>
          <w:rFonts w:cs="Arial"/>
        </w:rPr>
        <w:t>The National Indigenous Drug and Alcohol Council cost</w:t>
      </w:r>
      <w:r w:rsidR="00743E50">
        <w:rPr>
          <w:rFonts w:cs="Arial"/>
        </w:rPr>
        <w:t>-</w:t>
      </w:r>
      <w:r w:rsidRPr="001B6550">
        <w:rPr>
          <w:rFonts w:cs="Arial"/>
        </w:rPr>
        <w:t>benefit analysis has shown that the long</w:t>
      </w:r>
      <w:r w:rsidR="00743E50">
        <w:rPr>
          <w:rFonts w:cs="Arial"/>
        </w:rPr>
        <w:t>-</w:t>
      </w:r>
      <w:r w:rsidRPr="001B6550">
        <w:rPr>
          <w:rFonts w:cs="Arial"/>
        </w:rPr>
        <w:t>term savings for diversion to community</w:t>
      </w:r>
      <w:r w:rsidR="00743E50">
        <w:rPr>
          <w:rFonts w:cs="Arial"/>
        </w:rPr>
        <w:t>-</w:t>
      </w:r>
      <w:r w:rsidRPr="001B6550">
        <w:rPr>
          <w:rFonts w:cs="Arial"/>
        </w:rPr>
        <w:t>based rehabilitation for those with substance use problems are as high as $111,458 per offender.</w:t>
      </w:r>
      <w:r w:rsidRPr="001B6550">
        <w:rPr>
          <w:rStyle w:val="EndnoteReference"/>
          <w:rFonts w:cs="Arial"/>
        </w:rPr>
        <w:endnoteReference w:id="15"/>
      </w:r>
    </w:p>
    <w:p w:rsidR="00A669E4" w:rsidRPr="001B6550" w:rsidRDefault="00A669E4" w:rsidP="00A669E4">
      <w:pPr>
        <w:rPr>
          <w:rFonts w:cs="Arial"/>
        </w:rPr>
      </w:pPr>
      <w:r>
        <w:rPr>
          <w:rFonts w:cs="Arial"/>
        </w:rPr>
        <w:t>Correctional measures can be a just outcome for a person with a disability. However, allowing for the costs of administering diversion programs, the gap of $73,365 in favour of community correction over custodial correction suggests at the very least that diversion within the criminal justice system can bring economic benefits. Material presented elsewhere in this report indicates that diversion away from the criminal justice system, or appropriate diversion within it, can significantly improve the lives of people with disabilities by better respecting their human rights.</w:t>
      </w:r>
    </w:p>
    <w:p w:rsidR="00A669E4" w:rsidRPr="001B6550" w:rsidRDefault="00A669E4" w:rsidP="00A669E4">
      <w:pPr>
        <w:pStyle w:val="Heading2"/>
        <w:tabs>
          <w:tab w:val="clear" w:pos="851"/>
        </w:tabs>
        <w:spacing w:before="120" w:after="120"/>
        <w:ind w:left="578" w:hanging="578"/>
        <w:rPr>
          <w:rFonts w:cs="Arial"/>
        </w:rPr>
      </w:pPr>
      <w:bookmarkStart w:id="30" w:name="_Toc249033467"/>
      <w:bookmarkStart w:id="31" w:name="_Toc379195347"/>
      <w:r>
        <w:rPr>
          <w:rFonts w:cs="Arial"/>
        </w:rPr>
        <w:lastRenderedPageBreak/>
        <w:t>Economic savings through</w:t>
      </w:r>
      <w:r w:rsidRPr="001B6550">
        <w:rPr>
          <w:rFonts w:cs="Arial"/>
        </w:rPr>
        <w:t xml:space="preserve"> preventing violence</w:t>
      </w:r>
      <w:bookmarkEnd w:id="30"/>
      <w:bookmarkEnd w:id="31"/>
    </w:p>
    <w:p w:rsidR="00A669E4" w:rsidRDefault="00A669E4" w:rsidP="00A669E4">
      <w:pPr>
        <w:rPr>
          <w:rFonts w:cs="Arial"/>
          <w:shd w:val="clear" w:color="auto" w:fill="FFFFFF"/>
        </w:rPr>
      </w:pPr>
      <w:r>
        <w:rPr>
          <w:rFonts w:cs="Arial"/>
          <w:shd w:val="clear" w:color="auto" w:fill="FFFFFF"/>
        </w:rPr>
        <w:t>Violence is a personal cost to victims and perpetrators, their friends and families. It is an economic burden to the whole community. People with disabilities are exposed to violence at rates that exceed those for many others in the community.</w:t>
      </w:r>
    </w:p>
    <w:p w:rsidR="00A669E4" w:rsidRDefault="00A669E4" w:rsidP="00A669E4">
      <w:pPr>
        <w:rPr>
          <w:rFonts w:cs="Arial"/>
          <w:shd w:val="clear" w:color="auto" w:fill="FFFFFF"/>
        </w:rPr>
      </w:pPr>
      <w:r>
        <w:rPr>
          <w:rFonts w:cs="Arial"/>
          <w:shd w:val="clear" w:color="auto" w:fill="FFFFFF"/>
        </w:rPr>
        <w:t>In our consultations the Commission heard many accounts of high levels of violence in the community at large and in institutional settings, including within the criminal justice system. Comprehensive statistics are difficult to obtain and it appears highly likely that violence affecting people with disabilities is under reported.</w:t>
      </w:r>
    </w:p>
    <w:p w:rsidR="00A669E4" w:rsidRDefault="00A669E4" w:rsidP="00A669E4">
      <w:pPr>
        <w:rPr>
          <w:rFonts w:cs="Arial"/>
          <w:shd w:val="clear" w:color="auto" w:fill="FFFFFF"/>
        </w:rPr>
      </w:pPr>
      <w:r>
        <w:rPr>
          <w:rFonts w:cs="Arial"/>
          <w:shd w:val="clear" w:color="auto" w:fill="FFFFFF"/>
        </w:rPr>
        <w:t>In December 2013 the ABS released the results of the Personal Safety Survey for 2012.</w:t>
      </w:r>
      <w:r>
        <w:rPr>
          <w:rStyle w:val="EndnoteReference"/>
          <w:shd w:val="clear" w:color="auto" w:fill="FFFFFF"/>
        </w:rPr>
        <w:endnoteReference w:id="16"/>
      </w:r>
      <w:r>
        <w:rPr>
          <w:rFonts w:cs="Arial"/>
          <w:shd w:val="clear" w:color="auto" w:fill="FFFFFF"/>
        </w:rPr>
        <w:t xml:space="preserve"> These results show people with disabilities or a long-term health condition experienced higher levels of violence than other people in the preceding 12 months. The ABS cautioned that there are significant issues that could cause the actual levels of violence to be higher than reported in the survey.</w:t>
      </w:r>
      <w:r>
        <w:rPr>
          <w:rStyle w:val="EndnoteReference"/>
          <w:shd w:val="clear" w:color="auto" w:fill="FFFFFF"/>
        </w:rPr>
        <w:endnoteReference w:id="17"/>
      </w:r>
    </w:p>
    <w:p w:rsidR="00A669E4" w:rsidRPr="001B6550" w:rsidRDefault="00A669E4" w:rsidP="00A669E4">
      <w:pPr>
        <w:rPr>
          <w:rFonts w:cs="Arial"/>
        </w:rPr>
      </w:pPr>
      <w:r w:rsidRPr="001B6550">
        <w:rPr>
          <w:rFonts w:cs="Arial"/>
          <w:shd w:val="clear" w:color="auto" w:fill="FFFFFF"/>
        </w:rPr>
        <w:t>This year the cost of violence against women and children to the Australian economy reached $14.7 billion. Almost half of this figure (48 per cent) was attributed to the pain, suffering and premature mortality rates experienced by victims and survivors of violence.</w:t>
      </w:r>
      <w:r w:rsidRPr="001B6550">
        <w:rPr>
          <w:rFonts w:cs="Arial"/>
          <w:b/>
          <w:color w:val="000000"/>
          <w:sz w:val="20"/>
          <w:shd w:val="clear" w:color="auto" w:fill="FFFFFF"/>
          <w:vertAlign w:val="superscript"/>
        </w:rPr>
        <w:endnoteReference w:id="18"/>
      </w:r>
    </w:p>
    <w:p w:rsidR="00A669E4" w:rsidRPr="001B6550" w:rsidRDefault="00A669E4" w:rsidP="00A669E4">
      <w:pPr>
        <w:rPr>
          <w:rFonts w:cs="Arial"/>
        </w:rPr>
      </w:pPr>
      <w:r w:rsidRPr="001B6550">
        <w:rPr>
          <w:rFonts w:cs="Arial"/>
        </w:rPr>
        <w:t xml:space="preserve">As noted </w:t>
      </w:r>
      <w:r>
        <w:rPr>
          <w:rFonts w:cs="Arial"/>
        </w:rPr>
        <w:t>above</w:t>
      </w:r>
      <w:r w:rsidRPr="001B6550">
        <w:rPr>
          <w:rFonts w:cs="Arial"/>
        </w:rPr>
        <w:t>, the rates of violence against women with disability are high</w:t>
      </w:r>
      <w:r>
        <w:rPr>
          <w:rFonts w:cs="Arial"/>
        </w:rPr>
        <w:t>.</w:t>
      </w:r>
      <w:r w:rsidRPr="001B6550">
        <w:rPr>
          <w:rFonts w:cs="Arial"/>
        </w:rPr>
        <w:t xml:space="preserve"> The </w:t>
      </w:r>
      <w:r>
        <w:rPr>
          <w:rFonts w:cs="Arial"/>
        </w:rPr>
        <w:t xml:space="preserve">National Council to Reduce Violence against Women and their Children has </w:t>
      </w:r>
      <w:r w:rsidRPr="001B6550">
        <w:rPr>
          <w:rFonts w:cs="Arial"/>
        </w:rPr>
        <w:t xml:space="preserve">estimated </w:t>
      </w:r>
      <w:r>
        <w:rPr>
          <w:rFonts w:cs="Arial"/>
        </w:rPr>
        <w:t xml:space="preserve">that by 2021-2022 the </w:t>
      </w:r>
      <w:r w:rsidRPr="001B6550">
        <w:rPr>
          <w:rFonts w:cs="Arial"/>
        </w:rPr>
        <w:t xml:space="preserve">cost of violence perpetrated against women with disability </w:t>
      </w:r>
      <w:r>
        <w:rPr>
          <w:rFonts w:cs="Arial"/>
        </w:rPr>
        <w:t>will be nearly $3.9 billion.</w:t>
      </w:r>
      <w:r>
        <w:rPr>
          <w:rStyle w:val="EndnoteReference"/>
        </w:rPr>
        <w:endnoteReference w:id="19"/>
      </w:r>
    </w:p>
    <w:p w:rsidR="001925E3" w:rsidRDefault="00A669E4" w:rsidP="001925E3">
      <w:pPr>
        <w:pStyle w:val="SubmissionNormal"/>
        <w:numPr>
          <w:ilvl w:val="0"/>
          <w:numId w:val="0"/>
        </w:numPr>
        <w:rPr>
          <w:rFonts w:cs="Arial"/>
        </w:rPr>
        <w:sectPr w:rsidR="001925E3" w:rsidSect="005B1CB8">
          <w:endnotePr>
            <w:numFmt w:val="decimal"/>
          </w:endnotePr>
          <w:pgSz w:w="11906" w:h="16838" w:code="9"/>
          <w:pgMar w:top="1134" w:right="1418" w:bottom="1134" w:left="1418" w:header="709" w:footer="709" w:gutter="0"/>
          <w:cols w:space="708"/>
          <w:docGrid w:linePitch="360"/>
        </w:sectPr>
      </w:pPr>
      <w:r>
        <w:rPr>
          <w:rFonts w:cs="Arial"/>
        </w:rPr>
        <w:t>These high human and economic costs of violence could be reduced if the social disadvantages of people with disabilities are addressed and their engagement with the criminal justice system lessened.</w:t>
      </w:r>
    </w:p>
    <w:p w:rsidR="009C7C8B" w:rsidRPr="009C7C8B" w:rsidRDefault="009C7C8B" w:rsidP="009C7C8B">
      <w:pPr>
        <w:pStyle w:val="Heading1"/>
        <w:rPr>
          <w:sz w:val="36"/>
          <w:szCs w:val="36"/>
        </w:rPr>
      </w:pPr>
      <w:bookmarkStart w:id="32" w:name="_Toc379195348"/>
      <w:r w:rsidRPr="009C7C8B">
        <w:rPr>
          <w:sz w:val="36"/>
          <w:szCs w:val="36"/>
        </w:rPr>
        <w:lastRenderedPageBreak/>
        <w:t>Police, courts and corrections – the issues</w:t>
      </w:r>
      <w:bookmarkEnd w:id="32"/>
    </w:p>
    <w:p w:rsidR="009C7C8B" w:rsidRDefault="009C7C8B" w:rsidP="009C7C8B">
      <w:pPr>
        <w:pStyle w:val="Heading2"/>
      </w:pPr>
      <w:bookmarkStart w:id="33" w:name="_Toc379195349"/>
      <w:r>
        <w:t>General findings</w:t>
      </w:r>
      <w:bookmarkEnd w:id="33"/>
    </w:p>
    <w:p w:rsidR="009C7C8B" w:rsidRDefault="009C7C8B" w:rsidP="009C7C8B">
      <w:r>
        <w:t>In our consultations the Commission received information from people with disabilities and their advocates, support services in the community and in government and people in the police, courts and the custody and release system.</w:t>
      </w:r>
    </w:p>
    <w:p w:rsidR="009C7C8B" w:rsidRDefault="009C7C8B" w:rsidP="009C7C8B">
      <w:r>
        <w:t xml:space="preserve">The Commission also received many submissions and held a number of meetings with community members and public officials who work in or with the criminal justice system. Our overall sense is that people, whatever their roles, want substantial improvements in the ways criminal justice affects the lives of people with disabilities. We list the consultations, submissions and meetings </w:t>
      </w:r>
      <w:r w:rsidRPr="00DE7483">
        <w:t xml:space="preserve">in Appendix </w:t>
      </w:r>
      <w:r w:rsidR="0039029D">
        <w:t>C</w:t>
      </w:r>
      <w:r>
        <w:t xml:space="preserve"> and in this chapter provide a picture of the issues people deal with every day.</w:t>
      </w:r>
    </w:p>
    <w:p w:rsidR="009C7C8B" w:rsidRDefault="009C7C8B" w:rsidP="009C7C8B">
      <w:r>
        <w:t>The Commission found:</w:t>
      </w:r>
    </w:p>
    <w:p w:rsidR="009C7C8B" w:rsidRDefault="009C7C8B" w:rsidP="00D40E37">
      <w:pPr>
        <w:pStyle w:val="ListParagraph"/>
        <w:numPr>
          <w:ilvl w:val="0"/>
          <w:numId w:val="26"/>
        </w:numPr>
      </w:pPr>
      <w:r>
        <w:t>I</w:t>
      </w:r>
      <w:r w:rsidRPr="001B6550">
        <w:t xml:space="preserve">nability to access effective justice </w:t>
      </w:r>
      <w:r>
        <w:t xml:space="preserve">compounds disadvantages </w:t>
      </w:r>
      <w:r w:rsidRPr="001B6550">
        <w:t>experie</w:t>
      </w:r>
      <w:r>
        <w:t xml:space="preserve">nced by people with disabilities. </w:t>
      </w:r>
    </w:p>
    <w:p w:rsidR="009C7C8B" w:rsidRDefault="009C7C8B" w:rsidP="00D40E37">
      <w:pPr>
        <w:pStyle w:val="ListParagraph"/>
        <w:numPr>
          <w:ilvl w:val="0"/>
          <w:numId w:val="26"/>
        </w:numPr>
      </w:pPr>
      <w:r>
        <w:t>M</w:t>
      </w:r>
      <w:r w:rsidRPr="001B6550">
        <w:t xml:space="preserve">any </w:t>
      </w:r>
      <w:r>
        <w:t>people with disabilities</w:t>
      </w:r>
      <w:r w:rsidRPr="001B6550">
        <w:t xml:space="preserve"> </w:t>
      </w:r>
      <w:r>
        <w:t>are</w:t>
      </w:r>
      <w:r w:rsidRPr="001B6550">
        <w:t xml:space="preserve"> left without protection and at risk of on</w:t>
      </w:r>
      <w:r>
        <w:t>going violence.</w:t>
      </w:r>
    </w:p>
    <w:p w:rsidR="009C7C8B" w:rsidRDefault="009C7C8B" w:rsidP="00D40E37">
      <w:pPr>
        <w:pStyle w:val="ListParagraph"/>
        <w:numPr>
          <w:ilvl w:val="0"/>
          <w:numId w:val="26"/>
        </w:numPr>
      </w:pPr>
      <w:r>
        <w:t>People with disabilities experience a relatively high risk of being</w:t>
      </w:r>
      <w:r w:rsidRPr="001B6550">
        <w:t xml:space="preserve"> jailed and </w:t>
      </w:r>
      <w:r>
        <w:t>are then likely</w:t>
      </w:r>
      <w:r w:rsidRPr="001B6550">
        <w:t xml:space="preserve"> to have repeated contact wi</w:t>
      </w:r>
      <w:r>
        <w:t>th the criminal justice system.</w:t>
      </w:r>
    </w:p>
    <w:p w:rsidR="00AE49B6" w:rsidRDefault="00AE49B6" w:rsidP="00AE49B6">
      <w:pPr>
        <w:pStyle w:val="ListParagraph"/>
        <w:numPr>
          <w:ilvl w:val="1"/>
          <w:numId w:val="20"/>
        </w:numPr>
        <w:ind w:left="714" w:hanging="357"/>
      </w:pPr>
      <w:r>
        <w:t>Many offenders with disability have themselves been victims of violence and this had not been responded to appropriately, contributing to a cycle of offending.</w:t>
      </w:r>
    </w:p>
    <w:p w:rsidR="00AE49B6" w:rsidRDefault="00AE49B6" w:rsidP="00AE49B6">
      <w:pPr>
        <w:pStyle w:val="ListParagraph"/>
        <w:numPr>
          <w:ilvl w:val="1"/>
          <w:numId w:val="20"/>
        </w:numPr>
        <w:ind w:left="714" w:hanging="357"/>
      </w:pPr>
      <w:r>
        <w:tab/>
        <w:t xml:space="preserve">There is widespread difficulty identifying disability and responding to it appropriately. </w:t>
      </w:r>
    </w:p>
    <w:p w:rsidR="009C7C8B" w:rsidRPr="00371A82" w:rsidRDefault="009C7C8B" w:rsidP="00D40E37">
      <w:pPr>
        <w:pStyle w:val="ListParagraph"/>
        <w:numPr>
          <w:ilvl w:val="0"/>
          <w:numId w:val="26"/>
        </w:numPr>
      </w:pPr>
      <w:r>
        <w:t>N</w:t>
      </w:r>
      <w:r w:rsidRPr="00371A82">
        <w:t xml:space="preserve">ecessary supports and adjustments </w:t>
      </w:r>
      <w:r>
        <w:t xml:space="preserve">are not provided </w:t>
      </w:r>
      <w:r w:rsidRPr="00371A82">
        <w:t xml:space="preserve">because </w:t>
      </w:r>
      <w:r>
        <w:t>the need is not recognised.</w:t>
      </w:r>
    </w:p>
    <w:p w:rsidR="009C7C8B" w:rsidRPr="00371A82" w:rsidRDefault="009C7C8B" w:rsidP="00D40E37">
      <w:pPr>
        <w:pStyle w:val="ListParagraph"/>
        <w:numPr>
          <w:ilvl w:val="0"/>
          <w:numId w:val="26"/>
        </w:numPr>
      </w:pPr>
      <w:r>
        <w:t>When a person’s disability is identified, necessary</w:t>
      </w:r>
      <w:r w:rsidRPr="00371A82">
        <w:t xml:space="preserve"> modifications and supports are </w:t>
      </w:r>
      <w:r>
        <w:t>frequently not provided.</w:t>
      </w:r>
    </w:p>
    <w:p w:rsidR="009C7C8B" w:rsidRPr="00371A82" w:rsidRDefault="009C7C8B" w:rsidP="00D40E37">
      <w:pPr>
        <w:pStyle w:val="ListParagraph"/>
        <w:numPr>
          <w:ilvl w:val="0"/>
          <w:numId w:val="26"/>
        </w:numPr>
      </w:pPr>
      <w:r>
        <w:t>People with disabilities</w:t>
      </w:r>
      <w:r w:rsidRPr="00371A82">
        <w:t xml:space="preserve"> are not being heard </w:t>
      </w:r>
      <w:r>
        <w:t>because of perceptions they are</w:t>
      </w:r>
      <w:r w:rsidRPr="00371A82">
        <w:t xml:space="preserve"> unreliable, not credible or inc</w:t>
      </w:r>
      <w:r>
        <w:t>apable of being witnesses.</w:t>
      </w:r>
    </w:p>
    <w:p w:rsidR="009C7C8B" w:rsidRPr="00CA6D29" w:rsidRDefault="009C7C8B" w:rsidP="00D40E37">
      <w:pPr>
        <w:pStyle w:val="ListParagraph"/>
        <w:numPr>
          <w:ilvl w:val="0"/>
          <w:numId w:val="26"/>
        </w:numPr>
        <w:rPr>
          <w:rFonts w:cs="Arial"/>
        </w:rPr>
      </w:pPr>
      <w:r>
        <w:rPr>
          <w:rFonts w:cs="Arial"/>
        </w:rPr>
        <w:t>E</w:t>
      </w:r>
      <w:r w:rsidRPr="00CA6D29">
        <w:rPr>
          <w:rFonts w:cs="Arial"/>
        </w:rPr>
        <w:t xml:space="preserve">rroneous assessments are being made about the legal competence of </w:t>
      </w:r>
      <w:r>
        <w:rPr>
          <w:rFonts w:cs="Arial"/>
        </w:rPr>
        <w:t>people with disabilities.</w:t>
      </w:r>
      <w:r w:rsidRPr="00CA6D29">
        <w:rPr>
          <w:rFonts w:cs="Arial"/>
        </w:rPr>
        <w:t xml:space="preserve"> </w:t>
      </w:r>
    </w:p>
    <w:p w:rsidR="009C7C8B" w:rsidRPr="00371A82" w:rsidRDefault="009C7C8B" w:rsidP="00D40E37">
      <w:pPr>
        <w:pStyle w:val="ListParagraph"/>
        <w:numPr>
          <w:ilvl w:val="0"/>
          <w:numId w:val="26"/>
        </w:numPr>
      </w:pPr>
      <w:r>
        <w:t>S</w:t>
      </w:r>
      <w:r w:rsidRPr="00CA6D29">
        <w:t>tyles of communication and questioning</w:t>
      </w:r>
      <w:r w:rsidRPr="00371A82">
        <w:t xml:space="preserve"> techniques used by police</w:t>
      </w:r>
      <w:r>
        <w:t>, lawyers, courts and custodial officers</w:t>
      </w:r>
      <w:r w:rsidRPr="00371A82">
        <w:t xml:space="preserve"> can confuse a person with disability</w:t>
      </w:r>
      <w:r>
        <w:t>.</w:t>
      </w:r>
    </w:p>
    <w:p w:rsidR="009C7C8B" w:rsidRPr="00371A82" w:rsidRDefault="009C7C8B" w:rsidP="00D40E37">
      <w:pPr>
        <w:pStyle w:val="ListParagraph"/>
        <w:numPr>
          <w:ilvl w:val="0"/>
          <w:numId w:val="26"/>
        </w:numPr>
      </w:pPr>
      <w:r>
        <w:t>A</w:t>
      </w:r>
      <w:r w:rsidRPr="00371A82">
        <w:t xml:space="preserve">ppropriate diversionary measures are </w:t>
      </w:r>
      <w:proofErr w:type="spellStart"/>
      <w:r w:rsidRPr="00371A82">
        <w:t>underutili</w:t>
      </w:r>
      <w:r>
        <w:t>s</w:t>
      </w:r>
      <w:r w:rsidRPr="00371A82">
        <w:t>ed</w:t>
      </w:r>
      <w:proofErr w:type="spellEnd"/>
      <w:r w:rsidRPr="00371A82">
        <w:t xml:space="preserve">, not available or not effective due to lack of appropriate supports </w:t>
      </w:r>
      <w:r>
        <w:t>and services.</w:t>
      </w:r>
    </w:p>
    <w:p w:rsidR="009C7C8B" w:rsidRDefault="009C7C8B" w:rsidP="00D40E37">
      <w:pPr>
        <w:pStyle w:val="ListParagraph"/>
        <w:numPr>
          <w:ilvl w:val="0"/>
          <w:numId w:val="26"/>
        </w:numPr>
      </w:pPr>
      <w:r>
        <w:t xml:space="preserve">People with disabilities are less likely to get bail and </w:t>
      </w:r>
      <w:r w:rsidRPr="00371A82">
        <w:t xml:space="preserve">more likely to breach bail because they have not </w:t>
      </w:r>
      <w:r>
        <w:t>understood the bail conditions.</w:t>
      </w:r>
    </w:p>
    <w:p w:rsidR="009C7C8B" w:rsidRPr="007B7A82" w:rsidRDefault="009C7C8B" w:rsidP="009C7C8B">
      <w:pPr>
        <w:rPr>
          <w:rFonts w:asciiTheme="minorHAnsi" w:hAnsiTheme="minorHAnsi"/>
          <w:sz w:val="22"/>
        </w:rPr>
      </w:pPr>
      <w:r>
        <w:t xml:space="preserve">The Commission’s attention was also drawn to many </w:t>
      </w:r>
      <w:r w:rsidR="00913B42">
        <w:t xml:space="preserve">services and </w:t>
      </w:r>
      <w:r>
        <w:t xml:space="preserve">programs that are attempting to overcome barriers and bridge gaps that frustrate access to justice for </w:t>
      </w:r>
      <w:r>
        <w:lastRenderedPageBreak/>
        <w:t>people with disabilities. Many of these</w:t>
      </w:r>
      <w:r w:rsidR="00913B42">
        <w:t xml:space="preserve"> services and</w:t>
      </w:r>
      <w:r>
        <w:t xml:space="preserve"> programs specifically provide support to people in dealing with police, courts and custody. Some also address housing, employment and education—factors that profoundly influence standards of living and therefore participation as victims or perpetrators in the criminal justice system. Without attempting to be comprehensive or to assess each one, we have provided a list at </w:t>
      </w:r>
      <w:r w:rsidRPr="009E4F3F">
        <w:t xml:space="preserve">Appendix </w:t>
      </w:r>
      <w:r w:rsidR="00CB1FDD">
        <w:t>A</w:t>
      </w:r>
      <w:r>
        <w:t xml:space="preserve"> with links to further information.</w:t>
      </w:r>
    </w:p>
    <w:p w:rsidR="009C7C8B" w:rsidRDefault="009C7C8B" w:rsidP="009C7C8B">
      <w:r>
        <w:t>The conclusion that clearly emerges from the submissions, public consultations and private meetings is that despite much good work and the best intentions</w:t>
      </w:r>
      <w:r w:rsidR="00CB1FDD">
        <w:t>,</w:t>
      </w:r>
      <w:r>
        <w:t xml:space="preserve"> </w:t>
      </w:r>
      <w:r w:rsidRPr="007E59AA">
        <w:t>people with disabilit</w:t>
      </w:r>
      <w:r>
        <w:t>ies</w:t>
      </w:r>
      <w:r w:rsidRPr="007E59AA">
        <w:t xml:space="preserve"> </w:t>
      </w:r>
      <w:r>
        <w:t>have far too many unsatisfactory interactions with the criminal justice system. In particular, knowing what support is available and getting it to the right place at the right time seems to be part of the problem.</w:t>
      </w:r>
    </w:p>
    <w:p w:rsidR="009C7C8B" w:rsidRDefault="009C7C8B" w:rsidP="009C7C8B">
      <w:pPr>
        <w:rPr>
          <w:rFonts w:cs="Arial"/>
        </w:rPr>
      </w:pPr>
      <w:r>
        <w:t xml:space="preserve">This and other issues are being addressed in South Australia through development of a Disability Justice Plan. </w:t>
      </w:r>
      <w:r>
        <w:rPr>
          <w:rFonts w:cs="Arial"/>
        </w:rPr>
        <w:t>The South Australian Government intends to use this plan to safeguard the rights of all people with disabilities in their interactions with the criminal justice system. They are being careful to involve people with disabilities from the outset in formulating the plan.</w:t>
      </w:r>
    </w:p>
    <w:p w:rsidR="009C7C8B" w:rsidRDefault="009C7C8B" w:rsidP="009C7C8B">
      <w:r>
        <w:rPr>
          <w:rFonts w:cs="Arial"/>
        </w:rPr>
        <w:t>The Commission urges governments around Australia to consult with South Australia and to learn from experiences there. If we coordinate, inform and monitor in a planned manner barriers will be removed faster and gaps bridged sooner. The services we have will be improved and new and better ones developed. The human rights of people with disabilities will be better respected, their standard of living will improve and the criminal justice system will become less of a presence in their lives.</w:t>
      </w:r>
    </w:p>
    <w:p w:rsidR="009C7C8B" w:rsidRDefault="009C7C8B" w:rsidP="009C7C8B">
      <w:pPr>
        <w:pStyle w:val="Heading2"/>
        <w:tabs>
          <w:tab w:val="clear" w:pos="851"/>
        </w:tabs>
        <w:spacing w:before="120" w:after="120" w:line="259" w:lineRule="auto"/>
        <w:ind w:left="578" w:hanging="578"/>
        <w:rPr>
          <w:rFonts w:cs="Arial"/>
        </w:rPr>
      </w:pPr>
      <w:bookmarkStart w:id="34" w:name="_Toc379195350"/>
      <w:r w:rsidRPr="001B6550">
        <w:rPr>
          <w:rFonts w:cs="Arial"/>
        </w:rPr>
        <w:t>Police</w:t>
      </w:r>
      <w:bookmarkEnd w:id="34"/>
    </w:p>
    <w:p w:rsidR="009C7C8B" w:rsidRPr="00371A82" w:rsidRDefault="009C7C8B" w:rsidP="009C7C8B">
      <w:r w:rsidRPr="001F399F">
        <w:t>In its Report on Government Services 2012</w:t>
      </w:r>
      <w:r>
        <w:t xml:space="preserve"> the Productivity Commission said: </w:t>
      </w:r>
    </w:p>
    <w:p w:rsidR="009C7C8B" w:rsidRPr="0026175B" w:rsidRDefault="009C7C8B" w:rsidP="009C7C8B">
      <w:pPr>
        <w:ind w:left="720"/>
        <w:rPr>
          <w:lang w:val="en"/>
        </w:rPr>
      </w:pPr>
      <w:r w:rsidRPr="0026175B">
        <w:rPr>
          <w:lang w:val="en"/>
        </w:rPr>
        <w:t xml:space="preserve">Broadly, the whole community is a ‘client’ of the police. Some members of the community, who have more direct dealings with the police, can be considered specific client groups, for example: </w:t>
      </w:r>
    </w:p>
    <w:p w:rsidR="009C7C8B" w:rsidRPr="0026175B" w:rsidRDefault="009C7C8B" w:rsidP="00D40E37">
      <w:pPr>
        <w:pStyle w:val="ListParagraph"/>
        <w:numPr>
          <w:ilvl w:val="0"/>
          <w:numId w:val="27"/>
        </w:numPr>
        <w:ind w:left="1440"/>
        <w:rPr>
          <w:lang w:val="en"/>
        </w:rPr>
      </w:pPr>
      <w:r w:rsidRPr="0026175B">
        <w:rPr>
          <w:lang w:val="en"/>
        </w:rPr>
        <w:t xml:space="preserve">victims of crime </w:t>
      </w:r>
    </w:p>
    <w:p w:rsidR="009C7C8B" w:rsidRPr="0026175B" w:rsidRDefault="009C7C8B" w:rsidP="00D40E37">
      <w:pPr>
        <w:pStyle w:val="ListParagraph"/>
        <w:numPr>
          <w:ilvl w:val="0"/>
          <w:numId w:val="27"/>
        </w:numPr>
        <w:ind w:left="1440"/>
        <w:rPr>
          <w:lang w:val="en"/>
        </w:rPr>
      </w:pPr>
      <w:r w:rsidRPr="0026175B">
        <w:rPr>
          <w:lang w:val="en"/>
        </w:rPr>
        <w:t xml:space="preserve">those suspected of, or charged with, committing offences </w:t>
      </w:r>
    </w:p>
    <w:p w:rsidR="009C7C8B" w:rsidRPr="0026175B" w:rsidRDefault="009C7C8B" w:rsidP="00D40E37">
      <w:pPr>
        <w:pStyle w:val="ListParagraph"/>
        <w:numPr>
          <w:ilvl w:val="0"/>
          <w:numId w:val="27"/>
        </w:numPr>
        <w:ind w:left="1440"/>
        <w:rPr>
          <w:lang w:val="en"/>
        </w:rPr>
      </w:pPr>
      <w:r w:rsidRPr="0026175B">
        <w:rPr>
          <w:lang w:val="en"/>
        </w:rPr>
        <w:t xml:space="preserve">those reporting criminal incidents </w:t>
      </w:r>
    </w:p>
    <w:p w:rsidR="009C7C8B" w:rsidRPr="0026175B" w:rsidRDefault="009C7C8B" w:rsidP="00D40E37">
      <w:pPr>
        <w:pStyle w:val="ListParagraph"/>
        <w:numPr>
          <w:ilvl w:val="0"/>
          <w:numId w:val="27"/>
        </w:numPr>
        <w:ind w:left="1440"/>
        <w:rPr>
          <w:lang w:val="en"/>
        </w:rPr>
      </w:pPr>
      <w:r w:rsidRPr="0026175B">
        <w:rPr>
          <w:lang w:val="en"/>
        </w:rPr>
        <w:t xml:space="preserve">those involved in traffic-related incidents </w:t>
      </w:r>
    </w:p>
    <w:p w:rsidR="009C7C8B" w:rsidRPr="0026175B" w:rsidRDefault="009C7C8B" w:rsidP="00D40E37">
      <w:pPr>
        <w:pStyle w:val="ListParagraph"/>
        <w:numPr>
          <w:ilvl w:val="0"/>
          <w:numId w:val="27"/>
        </w:numPr>
        <w:ind w:left="1440"/>
        <w:rPr>
          <w:lang w:val="en"/>
        </w:rPr>
      </w:pPr>
      <w:r w:rsidRPr="0026175B">
        <w:rPr>
          <w:lang w:val="en"/>
        </w:rPr>
        <w:t xml:space="preserve">third parties (such as witnesses to crime and people reporting accidents) </w:t>
      </w:r>
    </w:p>
    <w:p w:rsidR="009C7C8B" w:rsidRPr="0026175B" w:rsidRDefault="009C7C8B" w:rsidP="00D40E37">
      <w:pPr>
        <w:pStyle w:val="ListParagraph"/>
        <w:numPr>
          <w:ilvl w:val="0"/>
          <w:numId w:val="27"/>
        </w:numPr>
        <w:ind w:left="1440"/>
        <w:rPr>
          <w:lang w:val="en"/>
        </w:rPr>
      </w:pPr>
      <w:proofErr w:type="gramStart"/>
      <w:r w:rsidRPr="0026175B">
        <w:rPr>
          <w:lang w:val="en"/>
        </w:rPr>
        <w:t>those</w:t>
      </w:r>
      <w:proofErr w:type="gramEnd"/>
      <w:r w:rsidRPr="0026175B">
        <w:rPr>
          <w:lang w:val="en"/>
        </w:rPr>
        <w:t xml:space="preserve"> requiring police services for non-crime-related matters. </w:t>
      </w:r>
    </w:p>
    <w:p w:rsidR="009C7C8B" w:rsidRDefault="009C7C8B" w:rsidP="009C7C8B">
      <w:r>
        <w:t>The Productivity Commission also said:</w:t>
      </w:r>
    </w:p>
    <w:p w:rsidR="009C7C8B" w:rsidRDefault="009C7C8B" w:rsidP="009C7C8B">
      <w:pPr>
        <w:ind w:left="360"/>
      </w:pPr>
      <w:r>
        <w:t xml:space="preserve">The key objectives for police services are: </w:t>
      </w:r>
    </w:p>
    <w:p w:rsidR="009C7C8B" w:rsidRDefault="009C7C8B" w:rsidP="00D40E37">
      <w:pPr>
        <w:pStyle w:val="ListParagraph"/>
        <w:numPr>
          <w:ilvl w:val="0"/>
          <w:numId w:val="28"/>
        </w:numPr>
        <w:ind w:left="1440"/>
      </w:pPr>
      <w:r>
        <w:t xml:space="preserve">to allow people to undertake their lawful pursuits confidently and safely </w:t>
      </w:r>
    </w:p>
    <w:p w:rsidR="009C7C8B" w:rsidRDefault="009C7C8B" w:rsidP="00D40E37">
      <w:pPr>
        <w:pStyle w:val="ListParagraph"/>
        <w:numPr>
          <w:ilvl w:val="0"/>
          <w:numId w:val="28"/>
        </w:numPr>
        <w:ind w:left="1440"/>
      </w:pPr>
      <w:r>
        <w:t xml:space="preserve">to bring to justice those people responsible for committing an offence </w:t>
      </w:r>
    </w:p>
    <w:p w:rsidR="009C7C8B" w:rsidRDefault="009C7C8B" w:rsidP="00D40E37">
      <w:pPr>
        <w:pStyle w:val="ListParagraph"/>
        <w:numPr>
          <w:ilvl w:val="0"/>
          <w:numId w:val="28"/>
        </w:numPr>
        <w:ind w:left="1440"/>
      </w:pPr>
      <w:r>
        <w:t xml:space="preserve">to promote safer </w:t>
      </w:r>
      <w:proofErr w:type="spellStart"/>
      <w:r>
        <w:t>behaviour</w:t>
      </w:r>
      <w:proofErr w:type="spellEnd"/>
      <w:r>
        <w:t xml:space="preserve"> on roads </w:t>
      </w:r>
    </w:p>
    <w:p w:rsidR="009C7C8B" w:rsidRDefault="009C7C8B" w:rsidP="00D40E37">
      <w:pPr>
        <w:pStyle w:val="ListParagraph"/>
        <w:numPr>
          <w:ilvl w:val="0"/>
          <w:numId w:val="28"/>
        </w:numPr>
        <w:ind w:left="1440"/>
      </w:pPr>
      <w:proofErr w:type="gramStart"/>
      <w:r>
        <w:lastRenderedPageBreak/>
        <w:t>to</w:t>
      </w:r>
      <w:proofErr w:type="gramEnd"/>
      <w:r>
        <w:t xml:space="preserve"> support the judicial process and achieve efficient and effective court case management and judicial processing, providing safe custody for alleged offenders, and ensuring fair and equitable treatment of both victims and alleged offenders.</w:t>
      </w:r>
    </w:p>
    <w:p w:rsidR="009C7C8B" w:rsidRDefault="009C7C8B" w:rsidP="009C7C8B">
      <w:pPr>
        <w:pStyle w:val="ListParagraph"/>
        <w:ind w:left="1080" w:firstLine="0"/>
      </w:pPr>
      <w:r w:rsidRPr="0026175B">
        <w:t>These objectives are to be met through the provision of services in an equitable and efficient manner.</w:t>
      </w:r>
    </w:p>
    <w:p w:rsidR="00CB1FDD" w:rsidRDefault="009C7C8B" w:rsidP="009C7C8B">
      <w:r>
        <w:t>First engagement with the criminal justice system often comes through contact with police or other investigators.</w:t>
      </w:r>
      <w:r w:rsidRPr="00B936BD">
        <w:t xml:space="preserve"> </w:t>
      </w:r>
      <w:r>
        <w:t xml:space="preserve">For most people in the community this is an unusual event involving some difficulty, whether they are a victim of crime, a witness or a perpetrator. </w:t>
      </w:r>
    </w:p>
    <w:p w:rsidR="009C7C8B" w:rsidRDefault="009C7C8B" w:rsidP="009C7C8B">
      <w:r>
        <w:t>People with disabilities share this general experience but for them it frequently has additional troubling elements. The truth is that for many people with disabilities contact with police is not unusual, it is frequent and alarming. It is marked with the range of societal fears, prejudices and discrimination common in the lives of people with disabilities – but this happens among the heightened tensions of reporting crime, witnessing crime or being accused of crime.</w:t>
      </w:r>
    </w:p>
    <w:p w:rsidR="009C7C8B" w:rsidRDefault="009C7C8B" w:rsidP="009C7C8B">
      <w:r>
        <w:t>People with disabilities, their families, friends and support services gave disturbing accounts in our consultations describing lack of understanding, abuse, prejudice and violence they have met in their dealings with police and investigative bodies.</w:t>
      </w:r>
    </w:p>
    <w:p w:rsidR="009C7C8B" w:rsidRDefault="009C7C8B" w:rsidP="009C7C8B">
      <w:r>
        <w:t>From police themselves a troubling picture emerged of good intentions frustrated, resources unavailable when required</w:t>
      </w:r>
      <w:r w:rsidR="00D1639C">
        <w:t>,</w:t>
      </w:r>
      <w:r>
        <w:t xml:space="preserve"> and a societal expectation that a police officer is the carer of last resort. Our consultations with police and other research indicates that while under-resourcing is a problem there is a lack of awareness of, and easy access to, existing resources that support people with disabilities in the criminal justice system and this leads to bad outcomes for people with disabilities and for police.</w:t>
      </w:r>
    </w:p>
    <w:p w:rsidR="009C7C8B" w:rsidRPr="00A93882" w:rsidRDefault="009C7C8B" w:rsidP="009C7C8B">
      <w:pPr>
        <w:ind w:left="720"/>
        <w:rPr>
          <w:i/>
        </w:rPr>
      </w:pPr>
      <w:r w:rsidRPr="00A93882">
        <w:rPr>
          <w:i/>
        </w:rPr>
        <w:t xml:space="preserve">Police are involved more and more frequently as first responders in crisis situations involving people with mental health difficulties. In New South Wales for example, there was a 25 per cent increase in the annual number of police incidents involving people with a mental health problem </w:t>
      </w:r>
      <w:proofErr w:type="gramStart"/>
      <w:r w:rsidRPr="00A93882">
        <w:rPr>
          <w:i/>
        </w:rPr>
        <w:t>between 2008-2009</w:t>
      </w:r>
      <w:proofErr w:type="gramEnd"/>
      <w:r w:rsidRPr="00A93882">
        <w:rPr>
          <w:i/>
        </w:rPr>
        <w:t xml:space="preserve"> and 2011</w:t>
      </w:r>
      <w:r w:rsidRPr="00A93882">
        <w:rPr>
          <w:i/>
        </w:rPr>
        <w:noBreakHyphen/>
        <w:t>2012. This period saw the number grow from about 22,000 incidents in 2007-2008 to around 30,000 in 2011-2012.</w:t>
      </w:r>
    </w:p>
    <w:p w:rsidR="009C7C8B" w:rsidRPr="00F22F23" w:rsidRDefault="009C7C8B" w:rsidP="009C7C8B">
      <w:pPr>
        <w:ind w:left="720"/>
      </w:pPr>
      <w:r w:rsidRPr="00A93882">
        <w:rPr>
          <w:i/>
        </w:rPr>
        <w:t>Tragically for the person, their family and the officers involved, across Australia over the 11 years 1989-1990 to 2010</w:t>
      </w:r>
      <w:r w:rsidRPr="00A93882">
        <w:rPr>
          <w:i/>
        </w:rPr>
        <w:noBreakHyphen/>
        <w:t>2011, 42 per cent of people shot by police had a mental illness. Police do not join the force to shoot people or to be de facto mental health workers.</w:t>
      </w:r>
      <w:r>
        <w:rPr>
          <w:rStyle w:val="EndnoteReference"/>
        </w:rPr>
        <w:endnoteReference w:id="20"/>
      </w:r>
    </w:p>
    <w:p w:rsidR="009C7C8B" w:rsidRDefault="009C7C8B" w:rsidP="00686A30">
      <w:pPr>
        <w:pStyle w:val="Heading3"/>
        <w:numPr>
          <w:ilvl w:val="0"/>
          <w:numId w:val="0"/>
        </w:numPr>
        <w:ind w:left="851" w:hanging="851"/>
      </w:pPr>
      <w:bookmarkStart w:id="35" w:name="_Toc379195351"/>
      <w:r>
        <w:t>Barriers and gaps</w:t>
      </w:r>
      <w:bookmarkEnd w:id="35"/>
    </w:p>
    <w:p w:rsidR="009C7C8B" w:rsidRDefault="009C7C8B" w:rsidP="009C7C8B">
      <w:r>
        <w:t>As the consultations and submissions demonstrate, the objectives described above are frequently not met.</w:t>
      </w:r>
    </w:p>
    <w:p w:rsidR="009C7C8B" w:rsidRDefault="009C7C8B" w:rsidP="009C7C8B">
      <w:r>
        <w:t xml:space="preserve">The necessity for police to be able to broadly identify disability was raised repeatedly especially as it was reported that police have difficulty distinguishing between </w:t>
      </w:r>
      <w:r>
        <w:lastRenderedPageBreak/>
        <w:t>intellectual disability, psychosocial disability and acquired brain injury, amongst other cognitive disabilities.</w:t>
      </w:r>
    </w:p>
    <w:p w:rsidR="009C7C8B" w:rsidRPr="00694C87" w:rsidRDefault="009C7C8B" w:rsidP="009C7C8B">
      <w:pPr>
        <w:rPr>
          <w:i/>
        </w:rPr>
      </w:pPr>
      <w:r w:rsidRPr="00694C87">
        <w:t xml:space="preserve">One </w:t>
      </w:r>
      <w:r>
        <w:t>senior police officer</w:t>
      </w:r>
      <w:r w:rsidRPr="00694C87">
        <w:t xml:space="preserve"> told the Commission </w:t>
      </w:r>
      <w:r w:rsidR="00CB1FDD">
        <w:t>“</w:t>
      </w:r>
      <w:r w:rsidRPr="00694C87">
        <w:rPr>
          <w:rFonts w:cs="Arial"/>
          <w:i/>
        </w:rPr>
        <w:t>Police still cart off people with disabilities to psychiatric hospitals.</w:t>
      </w:r>
      <w:r w:rsidR="00CB1FDD">
        <w:rPr>
          <w:rFonts w:cs="Arial"/>
          <w:i/>
        </w:rPr>
        <w:t>”</w:t>
      </w:r>
      <w:r w:rsidRPr="00694C87">
        <w:rPr>
          <w:rStyle w:val="EndnoteReference"/>
          <w:rFonts w:cs="Arial"/>
          <w:b/>
          <w:i/>
        </w:rPr>
        <w:endnoteReference w:id="21"/>
      </w:r>
    </w:p>
    <w:p w:rsidR="009C7C8B" w:rsidRDefault="009C7C8B" w:rsidP="009C7C8B">
      <w:r>
        <w:t xml:space="preserve">What is common for all people with disabilities is </w:t>
      </w:r>
      <w:r w:rsidR="00A93882">
        <w:t xml:space="preserve">the requirement </w:t>
      </w:r>
      <w:r w:rsidR="004D4C16">
        <w:t>for</w:t>
      </w:r>
      <w:r w:rsidR="00A93882">
        <w:t xml:space="preserve"> </w:t>
      </w:r>
      <w:r>
        <w:t>ready access to support when involved in criminal investigations. This would ensure people with disabilities are heard and appropriate action by police can then result. This is true for both victims with disabilities and people with disabilities who come into contact with the police.</w:t>
      </w:r>
    </w:p>
    <w:p w:rsidR="009C7C8B" w:rsidRPr="00864310" w:rsidRDefault="009C7C8B" w:rsidP="009C7C8B">
      <w:r>
        <w:t>For example, one person with disability told the Commission “</w:t>
      </w:r>
      <w:r w:rsidRPr="00E37E5D">
        <w:rPr>
          <w:rFonts w:cs="Arial"/>
          <w:i/>
        </w:rPr>
        <w:t>When I attended the police station, the police officer thought I was dumb at first and he didn’t take it seriously</w:t>
      </w:r>
      <w:r>
        <w:rPr>
          <w:rFonts w:cs="Arial"/>
          <w:i/>
        </w:rPr>
        <w:t>.</w:t>
      </w:r>
      <w:r w:rsidRPr="00E37E5D">
        <w:rPr>
          <w:rFonts w:cs="Arial"/>
          <w:i/>
        </w:rPr>
        <w:t>”</w:t>
      </w:r>
      <w:r w:rsidRPr="00E37E5D">
        <w:rPr>
          <w:rStyle w:val="EndnoteReference"/>
          <w:rFonts w:cs="Arial"/>
          <w:i/>
        </w:rPr>
        <w:endnoteReference w:id="22"/>
      </w:r>
      <w:r>
        <w:rPr>
          <w:rFonts w:cs="Arial"/>
          <w:i/>
        </w:rPr>
        <w:t xml:space="preserve"> </w:t>
      </w:r>
      <w:r w:rsidR="003D4FB3">
        <w:rPr>
          <w:rFonts w:cs="Arial"/>
        </w:rPr>
        <w:t xml:space="preserve">The Victorian Coalition of Acquired Brain Injury Service Providers told us </w:t>
      </w:r>
      <w:r w:rsidR="00473F29">
        <w:rPr>
          <w:rFonts w:cs="Arial"/>
        </w:rPr>
        <w:t xml:space="preserve">in their submission </w:t>
      </w:r>
      <w:r w:rsidR="003D4FB3">
        <w:rPr>
          <w:rFonts w:cs="Arial"/>
        </w:rPr>
        <w:t>that in community interviews</w:t>
      </w:r>
      <w:r w:rsidR="00473F29">
        <w:rPr>
          <w:rFonts w:cs="Arial"/>
        </w:rPr>
        <w:t xml:space="preserve"> conducted</w:t>
      </w:r>
      <w:r w:rsidR="003D4FB3">
        <w:rPr>
          <w:rFonts w:cs="Arial"/>
        </w:rPr>
        <w:t xml:space="preserve">, a </w:t>
      </w:r>
      <w:r w:rsidRPr="00B87504">
        <w:rPr>
          <w:rFonts w:cs="Arial"/>
        </w:rPr>
        <w:t xml:space="preserve">person </w:t>
      </w:r>
      <w:r w:rsidRPr="00864310">
        <w:rPr>
          <w:rFonts w:cs="Arial"/>
        </w:rPr>
        <w:t>said</w:t>
      </w:r>
      <w:r w:rsidRPr="00864310">
        <w:rPr>
          <w:rFonts w:cs="Arial"/>
          <w:i/>
        </w:rPr>
        <w:t xml:space="preserve"> “It felt like they were using my disability to discredit me not help me.”</w:t>
      </w:r>
      <w:r w:rsidRPr="00864310">
        <w:rPr>
          <w:rStyle w:val="EndnoteReference"/>
          <w:rFonts w:cs="Arial"/>
          <w:i/>
        </w:rPr>
        <w:endnoteReference w:id="23"/>
      </w:r>
      <w:r w:rsidRPr="00864310">
        <w:rPr>
          <w:rFonts w:cs="Arial"/>
        </w:rPr>
        <w:t xml:space="preserve"> A woman with disability reported:</w:t>
      </w:r>
    </w:p>
    <w:p w:rsidR="009C7C8B" w:rsidRPr="00864310" w:rsidRDefault="009C7C8B" w:rsidP="009C7C8B">
      <w:pPr>
        <w:ind w:left="720"/>
        <w:rPr>
          <w:rFonts w:cs="Arial"/>
          <w:i/>
        </w:rPr>
      </w:pPr>
      <w:r w:rsidRPr="00864310">
        <w:rPr>
          <w:rFonts w:cs="Arial"/>
          <w:i/>
        </w:rPr>
        <w:t>As a victim of domestic violence I encountered police who just did not see me as worthy of their time. When I became homeless, they thought this was normal as I was a person with a disability.</w:t>
      </w:r>
      <w:r w:rsidRPr="00864310">
        <w:rPr>
          <w:rStyle w:val="EndnoteReference"/>
          <w:rFonts w:cs="Arial"/>
          <w:i/>
        </w:rPr>
        <w:endnoteReference w:id="24"/>
      </w:r>
    </w:p>
    <w:p w:rsidR="009C7C8B" w:rsidRPr="00840CD1" w:rsidRDefault="009C7C8B" w:rsidP="009C7C8B">
      <w:pPr>
        <w:rPr>
          <w:rFonts w:cs="Arial"/>
        </w:rPr>
      </w:pPr>
      <w:r>
        <w:t xml:space="preserve">There is, however, </w:t>
      </w:r>
      <w:r w:rsidRPr="00840CD1">
        <w:rPr>
          <w:rFonts w:cs="Arial"/>
        </w:rPr>
        <w:t>no system to book independent accredited communication support workers.</w:t>
      </w:r>
      <w:r>
        <w:rPr>
          <w:rStyle w:val="EndnoteReference"/>
        </w:rPr>
        <w:endnoteReference w:id="25"/>
      </w:r>
      <w:r>
        <w:t xml:space="preserve"> There is </w:t>
      </w:r>
      <w:r>
        <w:rPr>
          <w:rFonts w:cs="Arial"/>
        </w:rPr>
        <w:t>l</w:t>
      </w:r>
      <w:r w:rsidRPr="00840CD1">
        <w:rPr>
          <w:rFonts w:cs="Arial"/>
        </w:rPr>
        <w:t xml:space="preserve">imited access to legal representation </w:t>
      </w:r>
      <w:r>
        <w:rPr>
          <w:rFonts w:cs="Arial"/>
        </w:rPr>
        <w:t>and m</w:t>
      </w:r>
      <w:r w:rsidRPr="00840CD1">
        <w:rPr>
          <w:rFonts w:cs="Arial"/>
        </w:rPr>
        <w:t xml:space="preserve">any </w:t>
      </w:r>
      <w:r>
        <w:rPr>
          <w:rFonts w:cs="Arial"/>
        </w:rPr>
        <w:t>people with disabilities</w:t>
      </w:r>
      <w:r w:rsidRPr="00840CD1">
        <w:rPr>
          <w:rFonts w:cs="Arial"/>
        </w:rPr>
        <w:t xml:space="preserve"> </w:t>
      </w:r>
      <w:r>
        <w:rPr>
          <w:rFonts w:cs="Arial"/>
        </w:rPr>
        <w:t>do not</w:t>
      </w:r>
      <w:r w:rsidRPr="00840CD1">
        <w:rPr>
          <w:rFonts w:cs="Arial"/>
        </w:rPr>
        <w:t xml:space="preserve"> know their rights </w:t>
      </w:r>
      <w:r>
        <w:rPr>
          <w:rFonts w:cs="Arial"/>
        </w:rPr>
        <w:t>and therefore do not</w:t>
      </w:r>
      <w:r w:rsidRPr="00840CD1">
        <w:rPr>
          <w:rFonts w:cs="Arial"/>
        </w:rPr>
        <w:t xml:space="preserve"> ask for appropriate adjustments</w:t>
      </w:r>
      <w:r>
        <w:rPr>
          <w:rFonts w:cs="Arial"/>
        </w:rPr>
        <w:t>.</w:t>
      </w:r>
      <w:r>
        <w:rPr>
          <w:rStyle w:val="EndnoteReference"/>
        </w:rPr>
        <w:endnoteReference w:id="26"/>
      </w:r>
      <w:r>
        <w:rPr>
          <w:rFonts w:cs="Arial"/>
        </w:rPr>
        <w:t xml:space="preserve"> Often it is family members who are given the choice of whether or not to proceed and not the person with disability who has been the victim of a crime.</w:t>
      </w:r>
      <w:r>
        <w:rPr>
          <w:rStyle w:val="EndnoteReference"/>
        </w:rPr>
        <w:endnoteReference w:id="27"/>
      </w:r>
    </w:p>
    <w:p w:rsidR="009C7C8B" w:rsidRDefault="009C7C8B" w:rsidP="009C7C8B">
      <w:pPr>
        <w:spacing w:after="0"/>
        <w:rPr>
          <w:rFonts w:cs="Arial"/>
        </w:rPr>
      </w:pPr>
      <w:r w:rsidRPr="00B87504">
        <w:rPr>
          <w:rFonts w:cs="Arial"/>
        </w:rPr>
        <w:t xml:space="preserve">Many people with disabilities, particularly people with intellectual disabilities and </w:t>
      </w:r>
      <w:r>
        <w:rPr>
          <w:rFonts w:cs="Arial"/>
        </w:rPr>
        <w:t>psychosocial</w:t>
      </w:r>
      <w:r w:rsidRPr="00B87504">
        <w:rPr>
          <w:rFonts w:cs="Arial"/>
        </w:rPr>
        <w:t xml:space="preserve"> disabilities also reported that they are being interviewed without appropriate support persons</w:t>
      </w:r>
      <w:r>
        <w:rPr>
          <w:rFonts w:cs="Arial"/>
        </w:rPr>
        <w:t>.</w:t>
      </w:r>
      <w:r w:rsidRPr="00B87504">
        <w:rPr>
          <w:rStyle w:val="EndnoteReference"/>
          <w:rFonts w:cs="Arial"/>
        </w:rPr>
        <w:endnoteReference w:id="28"/>
      </w:r>
    </w:p>
    <w:p w:rsidR="009C7C8B" w:rsidRDefault="009C7C8B" w:rsidP="009C7C8B">
      <w:pPr>
        <w:spacing w:after="0"/>
        <w:rPr>
          <w:rFonts w:cs="Arial"/>
        </w:rPr>
      </w:pPr>
      <w:r w:rsidRPr="00B87504">
        <w:rPr>
          <w:rFonts w:cs="Arial"/>
        </w:rPr>
        <w:t>Supports are</w:t>
      </w:r>
      <w:r>
        <w:rPr>
          <w:rFonts w:cs="Arial"/>
        </w:rPr>
        <w:t xml:space="preserve"> not being provided</w:t>
      </w:r>
      <w:r w:rsidR="00DA1AC5">
        <w:rPr>
          <w:rFonts w:cs="Arial"/>
        </w:rPr>
        <w:t>,</w:t>
      </w:r>
      <w:r>
        <w:rPr>
          <w:rFonts w:cs="Arial"/>
        </w:rPr>
        <w:t xml:space="preserve"> </w:t>
      </w:r>
      <w:r w:rsidR="00DA1AC5">
        <w:rPr>
          <w:rFonts w:cs="Arial"/>
        </w:rPr>
        <w:t xml:space="preserve">in part </w:t>
      </w:r>
      <w:r>
        <w:rPr>
          <w:rFonts w:cs="Arial"/>
        </w:rPr>
        <w:t>because the resource demands exceed perceived value.</w:t>
      </w:r>
      <w:r>
        <w:rPr>
          <w:rStyle w:val="EndnoteReference"/>
        </w:rPr>
        <w:endnoteReference w:id="29"/>
      </w:r>
    </w:p>
    <w:p w:rsidR="009C7C8B" w:rsidRPr="00F0037D" w:rsidRDefault="009C7C8B" w:rsidP="009C7C8B">
      <w:pPr>
        <w:spacing w:after="0"/>
        <w:ind w:left="720"/>
        <w:rPr>
          <w:rFonts w:cs="Arial"/>
          <w:i/>
        </w:rPr>
      </w:pPr>
      <w:r w:rsidRPr="00F0037D">
        <w:rPr>
          <w:i/>
        </w:rPr>
        <w:t>Such supports are often seen as painstaking, time wasting and ultimately of little utility due to the subjective view that the practicalities of taking the matter further are outweighed by the work required to be done to ensure the process is accessible.</w:t>
      </w:r>
      <w:r w:rsidRPr="00F0037D">
        <w:rPr>
          <w:rStyle w:val="EndnoteReference"/>
          <w:rFonts w:cs="Arial"/>
          <w:i/>
        </w:rPr>
        <w:endnoteReference w:id="30"/>
      </w:r>
      <w:r w:rsidRPr="00F0037D">
        <w:rPr>
          <w:rFonts w:cs="Arial"/>
          <w:i/>
        </w:rPr>
        <w:t xml:space="preserve"> </w:t>
      </w:r>
    </w:p>
    <w:p w:rsidR="009C7C8B" w:rsidRDefault="009C7C8B" w:rsidP="009C7C8B">
      <w:pPr>
        <w:spacing w:after="0"/>
        <w:rPr>
          <w:rFonts w:cs="Arial"/>
        </w:rPr>
      </w:pPr>
      <w:r w:rsidRPr="00193379">
        <w:rPr>
          <w:rFonts w:cs="Arial"/>
        </w:rPr>
        <w:t>The Intellectual Disability Rights Service</w:t>
      </w:r>
      <w:r>
        <w:rPr>
          <w:rFonts w:cs="Arial"/>
        </w:rPr>
        <w:t xml:space="preserve"> </w:t>
      </w:r>
      <w:r w:rsidRPr="00990F81">
        <w:rPr>
          <w:rFonts w:cs="Arial"/>
        </w:rPr>
        <w:t xml:space="preserve">– Criminal Justice Support Network </w:t>
      </w:r>
      <w:r>
        <w:rPr>
          <w:rFonts w:cs="Arial"/>
        </w:rPr>
        <w:t>reported:</w:t>
      </w:r>
    </w:p>
    <w:p w:rsidR="009C7C8B" w:rsidRPr="00193379" w:rsidRDefault="009C7C8B" w:rsidP="009C7C8B">
      <w:pPr>
        <w:ind w:left="720"/>
        <w:rPr>
          <w:rFonts w:cs="Arial"/>
          <w:i/>
        </w:rPr>
      </w:pPr>
      <w:r w:rsidRPr="00E55CEE">
        <w:rPr>
          <w:rFonts w:cs="Arial"/>
          <w:i/>
        </w:rPr>
        <w:t xml:space="preserve">Police are very poor at identifying intellectual disability and calling for a support person when necessary for defendants or victims.  This is despite the training we provide to Custody Managers and the police’s own guidelines outlined </w:t>
      </w:r>
      <w:r>
        <w:rPr>
          <w:rFonts w:cs="Arial"/>
          <w:i/>
        </w:rPr>
        <w:t xml:space="preserve">in </w:t>
      </w:r>
      <w:r w:rsidRPr="00E55CEE">
        <w:rPr>
          <w:rFonts w:cs="Arial"/>
          <w:i/>
        </w:rPr>
        <w:t>the Police Crime Manual.  In contrast to the hundreds of court supports we provide each year, we are only given the opportunity to provide</w:t>
      </w:r>
      <w:r w:rsidRPr="00193379">
        <w:rPr>
          <w:rFonts w:cs="Arial"/>
          <w:i/>
        </w:rPr>
        <w:t xml:space="preserve"> very few clients (114 in 2011-12) with support at police stations"</w:t>
      </w:r>
      <w:r w:rsidRPr="00193379">
        <w:rPr>
          <w:rStyle w:val="EndnoteReference"/>
          <w:rFonts w:cs="Arial"/>
          <w:i/>
        </w:rPr>
        <w:endnoteReference w:id="31"/>
      </w:r>
    </w:p>
    <w:p w:rsidR="009C7C8B" w:rsidRDefault="009C7C8B" w:rsidP="009C7C8B">
      <w:pPr>
        <w:spacing w:after="0"/>
      </w:pPr>
      <w:r>
        <w:t xml:space="preserve">Submissions to the Commission revealed some evidence of </w:t>
      </w:r>
      <w:r w:rsidRPr="00AD0EDE">
        <w:t>limited understanding of deafness and deaf culture</w:t>
      </w:r>
      <w:r>
        <w:t>.</w:t>
      </w:r>
      <w:r w:rsidRPr="00AD0EDE">
        <w:rPr>
          <w:vertAlign w:val="superscript"/>
        </w:rPr>
        <w:endnoteReference w:id="32"/>
      </w:r>
      <w:r w:rsidRPr="00AD0EDE">
        <w:t xml:space="preserve"> For example, </w:t>
      </w:r>
      <w:r>
        <w:t>there can be</w:t>
      </w:r>
      <w:r w:rsidRPr="00AD0EDE">
        <w:t xml:space="preserve"> an assumption that Deaf </w:t>
      </w:r>
      <w:r w:rsidRPr="00AD0EDE">
        <w:lastRenderedPageBreak/>
        <w:t>people can lip-read</w:t>
      </w:r>
      <w:r w:rsidRPr="00AD0EDE">
        <w:rPr>
          <w:vertAlign w:val="superscript"/>
        </w:rPr>
        <w:endnoteReference w:id="33"/>
      </w:r>
      <w:r w:rsidRPr="00AD0EDE">
        <w:t xml:space="preserve"> and nodding means the Deaf person has understood or is agreeing to the statements made.</w:t>
      </w:r>
      <w:r w:rsidRPr="00AD0EDE">
        <w:rPr>
          <w:vertAlign w:val="superscript"/>
        </w:rPr>
        <w:endnoteReference w:id="34"/>
      </w:r>
      <w:r w:rsidRPr="00AD0EDE">
        <w:t xml:space="preserve"> </w:t>
      </w:r>
      <w:r w:rsidRPr="00636E2C">
        <w:t>The Commission heard of instances where failure by a Deaf person or person with hearing impairment to obey an instruction was misinterpreted by police as aggression.</w:t>
      </w:r>
      <w:r w:rsidRPr="00473F29">
        <w:rPr>
          <w:sz w:val="20"/>
          <w:szCs w:val="20"/>
          <w:vertAlign w:val="superscript"/>
        </w:rPr>
        <w:endnoteReference w:id="35"/>
      </w:r>
      <w:r w:rsidRPr="00AD0EDE">
        <w:t xml:space="preserve"> </w:t>
      </w:r>
    </w:p>
    <w:p w:rsidR="009C7C8B" w:rsidRDefault="009C7C8B" w:rsidP="009C7C8B">
      <w:pPr>
        <w:spacing w:after="0"/>
        <w:rPr>
          <w:rFonts w:cs="Arial"/>
        </w:rPr>
      </w:pPr>
      <w:r>
        <w:t>Failure to identify disability, provide the necessary supports and adjustments or take disability into account during communications, compounded by negative attitudes, assumptions and stereotypes of people with disabilities, often results in people with disabilities being seen as not credible and their evidence as not reliable.</w:t>
      </w:r>
      <w:r>
        <w:rPr>
          <w:rStyle w:val="EndnoteReference"/>
        </w:rPr>
        <w:endnoteReference w:id="36"/>
      </w:r>
      <w:r>
        <w:t xml:space="preserve"> For victims with disability this means </w:t>
      </w:r>
      <w:r>
        <w:rPr>
          <w:rFonts w:cs="Arial"/>
        </w:rPr>
        <w:t>p</w:t>
      </w:r>
      <w:r w:rsidRPr="00AF1249">
        <w:rPr>
          <w:rFonts w:cs="Arial"/>
        </w:rPr>
        <w:t xml:space="preserve">olice </w:t>
      </w:r>
      <w:r>
        <w:rPr>
          <w:rFonts w:cs="Arial"/>
        </w:rPr>
        <w:t>do not</w:t>
      </w:r>
      <w:r w:rsidRPr="00AF1249">
        <w:rPr>
          <w:rFonts w:cs="Arial"/>
        </w:rPr>
        <w:t xml:space="preserve"> proceed with charges or </w:t>
      </w:r>
      <w:r>
        <w:rPr>
          <w:rFonts w:cs="Arial"/>
        </w:rPr>
        <w:t>the Director of Public Prosecutions (</w:t>
      </w:r>
      <w:r w:rsidRPr="00AF1249">
        <w:rPr>
          <w:rFonts w:cs="Arial"/>
        </w:rPr>
        <w:t>DPP</w:t>
      </w:r>
      <w:r>
        <w:rPr>
          <w:rFonts w:cs="Arial"/>
        </w:rPr>
        <w:t>)</w:t>
      </w:r>
      <w:r w:rsidRPr="00AF1249">
        <w:rPr>
          <w:rFonts w:cs="Arial"/>
        </w:rPr>
        <w:t xml:space="preserve"> </w:t>
      </w:r>
      <w:r>
        <w:rPr>
          <w:rFonts w:cs="Arial"/>
        </w:rPr>
        <w:t>does not prosecute.</w:t>
      </w:r>
      <w:r w:rsidRPr="00074680">
        <w:rPr>
          <w:rStyle w:val="EndnoteReference"/>
          <w:rFonts w:cs="Arial"/>
          <w:b/>
        </w:rPr>
        <w:endnoteReference w:id="37"/>
      </w:r>
      <w:r w:rsidRPr="00AF1249">
        <w:rPr>
          <w:rFonts w:cs="Arial"/>
        </w:rPr>
        <w:t xml:space="preserve"> </w:t>
      </w:r>
    </w:p>
    <w:p w:rsidR="009C7C8B" w:rsidRDefault="009C7C8B" w:rsidP="009C7C8B">
      <w:r>
        <w:t>Professor Martine Powell told the Commission:</w:t>
      </w:r>
    </w:p>
    <w:p w:rsidR="00732814" w:rsidRPr="00160749" w:rsidRDefault="00732814" w:rsidP="00160749">
      <w:pPr>
        <w:ind w:left="720"/>
        <w:rPr>
          <w:i/>
        </w:rPr>
      </w:pPr>
      <w:r w:rsidRPr="00160749">
        <w:rPr>
          <w:i/>
          <w:color w:val="000000"/>
        </w:rPr>
        <w:t xml:space="preserve">Research indicates that people with an intellectual disability can provide accurate and reliable testimony but </w:t>
      </w:r>
      <w:proofErr w:type="gramStart"/>
      <w:r w:rsidRPr="00160749">
        <w:rPr>
          <w:i/>
          <w:color w:val="000000"/>
        </w:rPr>
        <w:t>that</w:t>
      </w:r>
      <w:proofErr w:type="gramEnd"/>
      <w:r w:rsidRPr="00160749">
        <w:rPr>
          <w:i/>
          <w:color w:val="000000"/>
        </w:rPr>
        <w:t xml:space="preserve"> poor interviewing practices negatively influences the quality of evidence elicited. When considering response accuracy, open-ended questions minimise differences in responding between persons with and without an intellectual disability. The decline in accuracy from inappropriate questions is greater for vulnerable witnesses</w:t>
      </w:r>
      <w:r w:rsidR="00160749">
        <w:rPr>
          <w:color w:val="000000"/>
        </w:rPr>
        <w:t>.</w:t>
      </w:r>
      <w:r w:rsidR="00A32F33" w:rsidRPr="00160749">
        <w:rPr>
          <w:rStyle w:val="EndnoteReference"/>
          <w:color w:val="000000"/>
        </w:rPr>
        <w:endnoteReference w:id="38"/>
      </w:r>
    </w:p>
    <w:p w:rsidR="009C7C8B" w:rsidRDefault="009C7C8B" w:rsidP="009C7C8B">
      <w:r>
        <w:t>The necessity for people with disabilities to be provided with appropriate supports and police to be trained in best practice interviewing techniques are therefore seen as critical in order for people with disabilities to be heard and have access to justice.</w:t>
      </w:r>
    </w:p>
    <w:p w:rsidR="009C7C8B" w:rsidRDefault="009C7C8B" w:rsidP="009C7C8B">
      <w:pPr>
        <w:ind w:left="720"/>
        <w:rPr>
          <w:rFonts w:cs="Arial"/>
          <w:i/>
        </w:rPr>
      </w:pPr>
      <w:r w:rsidRPr="00FC7BEE">
        <w:rPr>
          <w:rFonts w:cs="Arial"/>
          <w:i/>
        </w:rPr>
        <w:t>We need to get the initial police interview right - If we address this front line barrier of asking the right questions in the right way in the first place, everything will improve right through to prosecution of the case because we would get better evidence.</w:t>
      </w:r>
      <w:r w:rsidRPr="00FF2818">
        <w:rPr>
          <w:rStyle w:val="EndnoteReference"/>
          <w:rFonts w:cs="Arial"/>
          <w:b/>
          <w:i/>
        </w:rPr>
        <w:t xml:space="preserve"> </w:t>
      </w:r>
      <w:r w:rsidRPr="00754C15">
        <w:rPr>
          <w:rStyle w:val="EndnoteReference"/>
          <w:rFonts w:cs="Arial"/>
          <w:b/>
        </w:rPr>
        <w:endnoteReference w:id="39"/>
      </w:r>
    </w:p>
    <w:p w:rsidR="009C7C8B" w:rsidRDefault="009C7C8B" w:rsidP="009C7C8B">
      <w:pPr>
        <w:rPr>
          <w:rFonts w:cs="Arial"/>
        </w:rPr>
      </w:pPr>
      <w:r>
        <w:rPr>
          <w:rFonts w:cs="Arial"/>
        </w:rPr>
        <w:t>The Commission also repeatedly heard about the l</w:t>
      </w:r>
      <w:r w:rsidRPr="00A104AC">
        <w:rPr>
          <w:rFonts w:cs="Arial"/>
        </w:rPr>
        <w:t xml:space="preserve">imited </w:t>
      </w:r>
      <w:r>
        <w:rPr>
          <w:rFonts w:cs="Arial"/>
        </w:rPr>
        <w:t xml:space="preserve">availability of community </w:t>
      </w:r>
      <w:r w:rsidRPr="00A104AC">
        <w:rPr>
          <w:rFonts w:cs="Arial"/>
        </w:rPr>
        <w:t>supports</w:t>
      </w:r>
      <w:r>
        <w:rPr>
          <w:rFonts w:cs="Arial"/>
        </w:rPr>
        <w:t xml:space="preserve"> and services. This significantly </w:t>
      </w:r>
      <w:r w:rsidRPr="00A104AC">
        <w:rPr>
          <w:rFonts w:cs="Arial"/>
        </w:rPr>
        <w:t>reduce</w:t>
      </w:r>
      <w:r>
        <w:rPr>
          <w:rFonts w:cs="Arial"/>
        </w:rPr>
        <w:t>s</w:t>
      </w:r>
      <w:r w:rsidRPr="00A104AC">
        <w:rPr>
          <w:rFonts w:cs="Arial"/>
        </w:rPr>
        <w:t xml:space="preserve"> police referral and diversion</w:t>
      </w:r>
      <w:r>
        <w:rPr>
          <w:rFonts w:cs="Arial"/>
        </w:rPr>
        <w:t xml:space="preserve"> options and is particularly problematic for people with disabilities as they often come into contact with p</w:t>
      </w:r>
      <w:r w:rsidRPr="00E16C9A">
        <w:rPr>
          <w:rFonts w:cs="Arial"/>
        </w:rPr>
        <w:t>olice when they reach a crisis point</w:t>
      </w:r>
      <w:r>
        <w:rPr>
          <w:rFonts w:cs="Arial"/>
        </w:rPr>
        <w:t>.</w:t>
      </w:r>
      <w:r w:rsidRPr="00E16C9A">
        <w:rPr>
          <w:rStyle w:val="EndnoteReference"/>
          <w:rFonts w:cs="Arial"/>
        </w:rPr>
        <w:endnoteReference w:id="40"/>
      </w:r>
      <w:r>
        <w:rPr>
          <w:rFonts w:cs="Arial"/>
        </w:rPr>
        <w:t xml:space="preserve"> This is especially true for people with psychosocial disability who often are unable to access </w:t>
      </w:r>
      <w:r w:rsidRPr="00A104AC">
        <w:rPr>
          <w:rFonts w:cs="Arial"/>
        </w:rPr>
        <w:t>mental health services</w:t>
      </w:r>
      <w:r>
        <w:rPr>
          <w:rFonts w:cs="Arial"/>
        </w:rPr>
        <w:t xml:space="preserve"> and supported accommodation.</w:t>
      </w:r>
      <w:r>
        <w:t xml:space="preserve"> </w:t>
      </w:r>
    </w:p>
    <w:p w:rsidR="009C7C8B" w:rsidRPr="00B87504" w:rsidRDefault="009C7C8B" w:rsidP="009C7C8B">
      <w:pPr>
        <w:rPr>
          <w:rFonts w:cs="Arial"/>
        </w:rPr>
      </w:pPr>
      <w:r>
        <w:rPr>
          <w:rFonts w:cs="Arial"/>
        </w:rPr>
        <w:t>Limited access to advocacy and legal services with disability expertise was also reported, especially in remote and regional areas.</w:t>
      </w:r>
      <w:r>
        <w:rPr>
          <w:rStyle w:val="EndnoteReference"/>
        </w:rPr>
        <w:endnoteReference w:id="41"/>
      </w:r>
      <w:r w:rsidRPr="005C5E03">
        <w:rPr>
          <w:rFonts w:cs="Arial"/>
        </w:rPr>
        <w:t xml:space="preserve"> </w:t>
      </w:r>
      <w:r>
        <w:rPr>
          <w:rFonts w:cs="Arial"/>
        </w:rPr>
        <w:t xml:space="preserve"> F</w:t>
      </w:r>
      <w:r w:rsidRPr="00D01290">
        <w:rPr>
          <w:rFonts w:cs="Arial"/>
        </w:rPr>
        <w:t xml:space="preserve">or Aboriginal and Torres Strait Islander </w:t>
      </w:r>
      <w:r>
        <w:rPr>
          <w:rFonts w:cs="Arial"/>
        </w:rPr>
        <w:t>people</w:t>
      </w:r>
      <w:r w:rsidR="008C3F2E">
        <w:rPr>
          <w:rFonts w:cs="Arial"/>
        </w:rPr>
        <w:t xml:space="preserve"> and people from culturally and linguistically diverse backgrounds</w:t>
      </w:r>
      <w:r>
        <w:rPr>
          <w:rFonts w:cs="Arial"/>
        </w:rPr>
        <w:t xml:space="preserve"> with disabilities access to culturally competent services with disability </w:t>
      </w:r>
      <w:r w:rsidRPr="00B87504">
        <w:rPr>
          <w:rFonts w:cs="Arial"/>
        </w:rPr>
        <w:t>expertise, and Aboriginal legal services, was even harder.</w:t>
      </w:r>
      <w:r>
        <w:rPr>
          <w:rStyle w:val="EndnoteReference"/>
        </w:rPr>
        <w:endnoteReference w:id="42"/>
      </w:r>
    </w:p>
    <w:p w:rsidR="009C7C8B" w:rsidRPr="00403C42" w:rsidRDefault="009C7C8B" w:rsidP="009C7C8B">
      <w:pPr>
        <w:rPr>
          <w:rFonts w:cs="Arial"/>
          <w:i/>
        </w:rPr>
      </w:pPr>
      <w:r w:rsidRPr="00B87504">
        <w:rPr>
          <w:rFonts w:cs="Arial"/>
        </w:rPr>
        <w:t xml:space="preserve">In relation to bail, </w:t>
      </w:r>
      <w:r>
        <w:rPr>
          <w:rFonts w:cs="Arial"/>
        </w:rPr>
        <w:t>people with disabilities</w:t>
      </w:r>
      <w:r w:rsidRPr="00B87504">
        <w:rPr>
          <w:rFonts w:cs="Arial"/>
        </w:rPr>
        <w:t xml:space="preserve">, particularly people with </w:t>
      </w:r>
      <w:r>
        <w:rPr>
          <w:rFonts w:cs="Arial"/>
        </w:rPr>
        <w:t>psychosocial</w:t>
      </w:r>
      <w:r w:rsidRPr="00B87504">
        <w:rPr>
          <w:rFonts w:cs="Arial"/>
        </w:rPr>
        <w:t xml:space="preserve"> disabilities and cognitive impairments are less likely to get bail because they have a history of offending, are less likely to have secure accommodation, are less likely to have appropriate supports and services and find it difficult to understand and comply with onerous bail conditions. </w:t>
      </w:r>
    </w:p>
    <w:p w:rsidR="009C7C8B" w:rsidRDefault="009C7C8B" w:rsidP="009C7C8B">
      <w:pPr>
        <w:rPr>
          <w:rFonts w:cs="Arial"/>
        </w:rPr>
      </w:pPr>
      <w:r>
        <w:rPr>
          <w:rFonts w:cs="Arial"/>
        </w:rPr>
        <w:t>Access to supported accommodation is also critical for people with disabilities to be granted bail:</w:t>
      </w:r>
    </w:p>
    <w:p w:rsidR="009C7C8B" w:rsidRDefault="009C7C8B" w:rsidP="009C7C8B">
      <w:pPr>
        <w:ind w:left="720"/>
        <w:rPr>
          <w:rFonts w:cs="Arial"/>
          <w:i/>
        </w:rPr>
      </w:pPr>
      <w:r w:rsidRPr="00B87504">
        <w:rPr>
          <w:rFonts w:cs="Arial"/>
          <w:i/>
        </w:rPr>
        <w:lastRenderedPageBreak/>
        <w:t>This is a typical case of an Aboriginal man who has been brought into custody. NAAJA couldn’t make a bail application on his behalf because he does not have stable and safe accommodation and subsequently there is a presumption against bail. He spent 7 months in custody. Now we have managed to get him into a shared house in a local area.  This shows that it can happen</w:t>
      </w:r>
      <w:r>
        <w:rPr>
          <w:rFonts w:cs="Arial"/>
          <w:i/>
        </w:rPr>
        <w:t>: p</w:t>
      </w:r>
      <w:r w:rsidRPr="00B87504">
        <w:rPr>
          <w:rFonts w:cs="Arial"/>
          <w:i/>
        </w:rPr>
        <w:t xml:space="preserve">rison </w:t>
      </w:r>
      <w:r>
        <w:rPr>
          <w:rFonts w:cs="Arial"/>
          <w:i/>
        </w:rPr>
        <w:t xml:space="preserve">to </w:t>
      </w:r>
      <w:r w:rsidRPr="00B87504">
        <w:rPr>
          <w:rFonts w:cs="Arial"/>
          <w:i/>
        </w:rPr>
        <w:t xml:space="preserve">supported accommodation </w:t>
      </w:r>
      <w:r>
        <w:rPr>
          <w:rFonts w:cs="Arial"/>
          <w:i/>
        </w:rPr>
        <w:t>and back into the community. It s</w:t>
      </w:r>
      <w:r w:rsidRPr="00B87504">
        <w:rPr>
          <w:rFonts w:cs="Arial"/>
          <w:i/>
        </w:rPr>
        <w:t>hows that you don’t need millions of dollars but you do need somewhere safe and supported.</w:t>
      </w:r>
      <w:r w:rsidRPr="00B87504">
        <w:rPr>
          <w:rStyle w:val="EndnoteReference"/>
          <w:rFonts w:cs="Arial"/>
          <w:i/>
        </w:rPr>
        <w:endnoteReference w:id="43"/>
      </w:r>
      <w:r w:rsidRPr="00A87A06">
        <w:rPr>
          <w:rFonts w:cs="Arial"/>
          <w:i/>
        </w:rPr>
        <w:t xml:space="preserve">  </w:t>
      </w:r>
    </w:p>
    <w:p w:rsidR="009C7C8B" w:rsidRDefault="009C7C8B" w:rsidP="009C7C8B">
      <w:pPr>
        <w:pStyle w:val="Heading2"/>
        <w:tabs>
          <w:tab w:val="clear" w:pos="851"/>
        </w:tabs>
        <w:spacing w:before="120" w:after="120"/>
        <w:ind w:left="578" w:hanging="578"/>
        <w:rPr>
          <w:rFonts w:cs="Arial"/>
        </w:rPr>
      </w:pPr>
      <w:bookmarkStart w:id="36" w:name="_Toc379195352"/>
      <w:r w:rsidRPr="001B6550">
        <w:rPr>
          <w:rFonts w:cs="Arial"/>
        </w:rPr>
        <w:t>Courts</w:t>
      </w:r>
      <w:bookmarkEnd w:id="36"/>
    </w:p>
    <w:p w:rsidR="009C7C8B" w:rsidRPr="004A38E9" w:rsidRDefault="009C7C8B" w:rsidP="009C7C8B">
      <w:r>
        <w:t xml:space="preserve">The Commission has had the benefit of a </w:t>
      </w:r>
      <w:r w:rsidRPr="00B851BC">
        <w:rPr>
          <w:lang w:val="en-GB"/>
        </w:rPr>
        <w:t>report</w:t>
      </w:r>
      <w:r>
        <w:rPr>
          <w:rStyle w:val="EndnoteReference"/>
          <w:lang w:val="en-GB"/>
        </w:rPr>
        <w:endnoteReference w:id="44"/>
      </w:r>
      <w:r w:rsidRPr="00B851BC">
        <w:rPr>
          <w:lang w:val="en-GB"/>
        </w:rPr>
        <w:t xml:space="preserve"> </w:t>
      </w:r>
      <w:r>
        <w:rPr>
          <w:lang w:val="en-GB"/>
        </w:rPr>
        <w:t xml:space="preserve">by </w:t>
      </w:r>
      <w:r w:rsidRPr="00B851BC">
        <w:rPr>
          <w:lang w:val="en-GB"/>
        </w:rPr>
        <w:t>DLA Piper respond</w:t>
      </w:r>
      <w:r>
        <w:rPr>
          <w:lang w:val="en-GB"/>
        </w:rPr>
        <w:t>ing</w:t>
      </w:r>
      <w:r w:rsidRPr="00B851BC">
        <w:rPr>
          <w:lang w:val="en-GB"/>
        </w:rPr>
        <w:t xml:space="preserve"> to some of the issues raised in </w:t>
      </w:r>
      <w:r>
        <w:rPr>
          <w:lang w:val="en-GB"/>
        </w:rPr>
        <w:t>our Issues Paper, based on their own research</w:t>
      </w:r>
      <w:r w:rsidRPr="00B851BC">
        <w:rPr>
          <w:lang w:val="en-GB"/>
        </w:rPr>
        <w:t xml:space="preserve"> and </w:t>
      </w:r>
      <w:r>
        <w:rPr>
          <w:lang w:val="en-GB"/>
        </w:rPr>
        <w:t xml:space="preserve">on </w:t>
      </w:r>
      <w:r w:rsidRPr="00B851BC">
        <w:rPr>
          <w:lang w:val="en-GB"/>
        </w:rPr>
        <w:t xml:space="preserve">information </w:t>
      </w:r>
      <w:r>
        <w:rPr>
          <w:lang w:val="en-GB"/>
        </w:rPr>
        <w:t xml:space="preserve">they </w:t>
      </w:r>
      <w:r w:rsidRPr="00B851BC">
        <w:rPr>
          <w:lang w:val="en-GB"/>
        </w:rPr>
        <w:t xml:space="preserve">gathered at </w:t>
      </w:r>
      <w:r>
        <w:rPr>
          <w:lang w:val="en-GB"/>
        </w:rPr>
        <w:t xml:space="preserve">consultations the Commission held for </w:t>
      </w:r>
      <w:r w:rsidRPr="00E2777D">
        <w:rPr>
          <w:i/>
          <w:lang w:val="en-GB"/>
        </w:rPr>
        <w:t>Equal before the law.</w:t>
      </w:r>
      <w:r>
        <w:rPr>
          <w:lang w:val="en-GB"/>
        </w:rPr>
        <w:t xml:space="preserve"> The following material is a précis of the first chapter of their report, which deals with questions of how people with disabilities fare as witnesses. Full citation of legislation and other sources is given in the original report. We have included this information here because Australia as a nation must ask itself – given the efforts made to reform the law to assist people with disabilities before the courts – why are the outcomes described by community members so often unsatisfactory? Is it still the law? Or is it something else?</w:t>
      </w:r>
    </w:p>
    <w:p w:rsidR="009C7C8B" w:rsidRPr="00B00CC3" w:rsidRDefault="009C7C8B" w:rsidP="00B00CC3">
      <w:pPr>
        <w:pStyle w:val="Heading3"/>
        <w:rPr>
          <w:i w:val="0"/>
        </w:rPr>
      </w:pPr>
      <w:bookmarkStart w:id="37" w:name="_Toc379195353"/>
      <w:bookmarkStart w:id="38" w:name="_Toc371680380"/>
      <w:bookmarkStart w:id="39" w:name="_Toc373740400"/>
      <w:r w:rsidRPr="00B00CC3">
        <w:rPr>
          <w:i w:val="0"/>
        </w:rPr>
        <w:t>Evidence and people with disabilities</w:t>
      </w:r>
      <w:bookmarkEnd w:id="37"/>
      <w:r w:rsidRPr="00B00CC3">
        <w:rPr>
          <w:i w:val="0"/>
        </w:rPr>
        <w:t xml:space="preserve"> </w:t>
      </w:r>
      <w:bookmarkEnd w:id="38"/>
      <w:bookmarkEnd w:id="39"/>
    </w:p>
    <w:p w:rsidR="009C7C8B" w:rsidRPr="00686A30" w:rsidRDefault="009C7C8B" w:rsidP="00686A30">
      <w:pPr>
        <w:pStyle w:val="Heading4"/>
        <w:numPr>
          <w:ilvl w:val="0"/>
          <w:numId w:val="0"/>
        </w:numPr>
        <w:ind w:left="851" w:hanging="851"/>
        <w:rPr>
          <w:i/>
          <w:lang w:val="en-GB"/>
        </w:rPr>
      </w:pPr>
      <w:bookmarkStart w:id="40" w:name="_Toc379195354"/>
      <w:r w:rsidRPr="00686A30">
        <w:rPr>
          <w:i/>
          <w:lang w:val="en-GB"/>
        </w:rPr>
        <w:t>Competency</w:t>
      </w:r>
      <w:bookmarkEnd w:id="40"/>
    </w:p>
    <w:p w:rsidR="009C7C8B" w:rsidRPr="007E59AA" w:rsidRDefault="009C7C8B" w:rsidP="009C7C8B">
      <w:r w:rsidRPr="007E59AA">
        <w:rPr>
          <w:lang w:val="en-US"/>
        </w:rPr>
        <w:t>People with disabilit</w:t>
      </w:r>
      <w:r>
        <w:rPr>
          <w:lang w:val="en-US"/>
        </w:rPr>
        <w:t>ies</w:t>
      </w:r>
      <w:r w:rsidRPr="007E59AA">
        <w:rPr>
          <w:lang w:val="en-US"/>
        </w:rPr>
        <w:t xml:space="preserve"> </w:t>
      </w:r>
      <w:r w:rsidRPr="007E59AA">
        <w:t xml:space="preserve">frequently experience prejudicial assessments of their competency to give evidence either as a witness to criminal proceedings or as a defendant to proceedings. This has the potential to preclude people with disabilities from accessing justice. </w:t>
      </w:r>
    </w:p>
    <w:p w:rsidR="009C7C8B" w:rsidRPr="007E59AA" w:rsidRDefault="009C7C8B" w:rsidP="009C7C8B">
      <w:r w:rsidRPr="007E59AA">
        <w:t xml:space="preserve">In the Commonwealth, New South Wales, Victoria, Tasmania and the Australian Capital Territory, </w:t>
      </w:r>
      <w:r w:rsidRPr="007E59AA">
        <w:rPr>
          <w:i/>
        </w:rPr>
        <w:t>Uniform Evidence Acts</w:t>
      </w:r>
      <w:r w:rsidRPr="007E59AA">
        <w:t xml:space="preserve"> have been enacted.  Queensland, South Australia, the Northern Territory and Western Australia have not adopted the uniform evidence laws, and rely on their existing legislation. </w:t>
      </w:r>
    </w:p>
    <w:p w:rsidR="009C7C8B" w:rsidRPr="007E59AA" w:rsidRDefault="009C7C8B" w:rsidP="009C7C8B">
      <w:r w:rsidRPr="007E59AA">
        <w:t xml:space="preserve">Under the </w:t>
      </w:r>
      <w:r w:rsidRPr="007E59AA">
        <w:rPr>
          <w:i/>
        </w:rPr>
        <w:t>Uniform Evidence Acts</w:t>
      </w:r>
      <w:r w:rsidRPr="007E59AA">
        <w:t xml:space="preserve">: </w:t>
      </w:r>
    </w:p>
    <w:p w:rsidR="009C7C8B" w:rsidRPr="007E59AA" w:rsidRDefault="009C7C8B" w:rsidP="00D40E37">
      <w:pPr>
        <w:numPr>
          <w:ilvl w:val="0"/>
          <w:numId w:val="31"/>
        </w:numPr>
        <w:spacing w:before="0" w:after="160"/>
      </w:pPr>
      <w:r w:rsidRPr="007E59AA">
        <w:t xml:space="preserve">Every person (regardless of age, race and gender) is competent to give evidence </w:t>
      </w:r>
      <w:r w:rsidRPr="007E59AA">
        <w:rPr>
          <w:i/>
        </w:rPr>
        <w:t>unless</w:t>
      </w:r>
      <w:r w:rsidRPr="007E59AA">
        <w:t xml:space="preserve"> they do not have the capacity to understand a question about a fact or do not have the capacity to give an answer about a fact that is able to be understood and this incapacity is not able to be overcome. </w:t>
      </w:r>
    </w:p>
    <w:p w:rsidR="009C7C8B" w:rsidRPr="007E59AA" w:rsidRDefault="009C7C8B" w:rsidP="00D40E37">
      <w:pPr>
        <w:numPr>
          <w:ilvl w:val="0"/>
          <w:numId w:val="31"/>
        </w:numPr>
        <w:spacing w:before="0" w:after="160"/>
      </w:pPr>
      <w:r w:rsidRPr="007E59AA">
        <w:t xml:space="preserve">The </w:t>
      </w:r>
      <w:r w:rsidRPr="007E59AA">
        <w:rPr>
          <w:i/>
        </w:rPr>
        <w:t>Uniform Evidence Acts</w:t>
      </w:r>
      <w:r w:rsidRPr="007E59AA">
        <w:t xml:space="preserve"> expressly state that mental, intellectual or physical disability are examples of reasons that lead to a person having a lack of capacity to understand a question or give an answer.  </w:t>
      </w:r>
    </w:p>
    <w:p w:rsidR="009C7C8B" w:rsidRPr="007E59AA" w:rsidRDefault="009C7C8B" w:rsidP="00D40E37">
      <w:pPr>
        <w:numPr>
          <w:ilvl w:val="0"/>
          <w:numId w:val="31"/>
        </w:numPr>
        <w:spacing w:before="0" w:after="160"/>
      </w:pPr>
      <w:r w:rsidRPr="007E59AA">
        <w:t>A person incapable of giving evidence about one fact might be competent to give evidence about other facts.</w:t>
      </w:r>
    </w:p>
    <w:p w:rsidR="009C7C8B" w:rsidRPr="007E59AA" w:rsidRDefault="009C7C8B" w:rsidP="00D40E37">
      <w:pPr>
        <w:numPr>
          <w:ilvl w:val="0"/>
          <w:numId w:val="31"/>
        </w:numPr>
        <w:spacing w:before="0" w:after="160"/>
      </w:pPr>
      <w:r w:rsidRPr="007E59AA">
        <w:lastRenderedPageBreak/>
        <w:t xml:space="preserve">A person who is competent to give evidence is not competent to give sworn evidence if they do not have the capacity to understand that they are under an obligation to give truthful evidence. </w:t>
      </w:r>
    </w:p>
    <w:p w:rsidR="009C7C8B" w:rsidRPr="007E59AA" w:rsidRDefault="009C7C8B" w:rsidP="00D40E37">
      <w:pPr>
        <w:numPr>
          <w:ilvl w:val="0"/>
          <w:numId w:val="31"/>
        </w:numPr>
        <w:spacing w:before="0" w:after="160"/>
      </w:pPr>
      <w:r w:rsidRPr="007E59AA">
        <w:t xml:space="preserve">If a person is unable to give sworn evidence they may be competent to give unsworn evidence if the court has told the person that it is important to tell the truth. </w:t>
      </w:r>
    </w:p>
    <w:p w:rsidR="009C7C8B" w:rsidRPr="007E59AA" w:rsidRDefault="009C7C8B" w:rsidP="00D40E37">
      <w:pPr>
        <w:numPr>
          <w:ilvl w:val="0"/>
          <w:numId w:val="31"/>
        </w:numPr>
        <w:spacing w:before="0" w:after="160"/>
      </w:pPr>
      <w:r w:rsidRPr="007E59AA">
        <w:t xml:space="preserve">Evidence given by a witness will not become inadmissible because that witness ceases to be competent of giving evidence. </w:t>
      </w:r>
    </w:p>
    <w:p w:rsidR="009C7C8B" w:rsidRPr="007E59AA" w:rsidRDefault="009C7C8B" w:rsidP="00D40E37">
      <w:pPr>
        <w:numPr>
          <w:ilvl w:val="0"/>
          <w:numId w:val="31"/>
        </w:numPr>
        <w:spacing w:before="0" w:after="160"/>
      </w:pPr>
      <w:r w:rsidRPr="007E59AA">
        <w:t>The court is able to inform itself as it sees fit as to questions of competency including obtaining information from persons with specialised knowledge.</w:t>
      </w:r>
    </w:p>
    <w:p w:rsidR="009C7C8B" w:rsidRPr="00686A30" w:rsidRDefault="009C7C8B" w:rsidP="009C7C8B">
      <w:r w:rsidRPr="00686A30">
        <w:t>Other Evidence Acts</w:t>
      </w:r>
    </w:p>
    <w:p w:rsidR="009C7C8B" w:rsidRPr="007E59AA" w:rsidRDefault="009C7C8B" w:rsidP="009C7C8B">
      <w:r>
        <w:t xml:space="preserve">As a rule, the Queensland, Western Australia, South Australia and the Northern Territory presume that everyone is </w:t>
      </w:r>
      <w:r w:rsidRPr="007E59AA">
        <w:t>competent to give evidence.</w:t>
      </w:r>
      <w:r>
        <w:t xml:space="preserve"> Tests of competency vary across the jurisdictions. In general, a person who does not understand the obligation of an oath or affirmation may give informal evidence if the court is satisfied the witness understands the importance of telling the truth.</w:t>
      </w:r>
    </w:p>
    <w:p w:rsidR="009C7C8B" w:rsidRPr="00686A30" w:rsidRDefault="009C7C8B" w:rsidP="00686A30">
      <w:pPr>
        <w:pStyle w:val="Heading4"/>
        <w:numPr>
          <w:ilvl w:val="0"/>
          <w:numId w:val="0"/>
        </w:numPr>
        <w:ind w:left="851" w:hanging="851"/>
        <w:rPr>
          <w:i/>
          <w:lang w:val="en-GB"/>
        </w:rPr>
      </w:pPr>
      <w:bookmarkStart w:id="41" w:name="_Toc379195355"/>
      <w:bookmarkStart w:id="42" w:name="_Toc371680385"/>
      <w:bookmarkStart w:id="43" w:name="_Toc373740405"/>
      <w:r w:rsidRPr="00686A30">
        <w:rPr>
          <w:i/>
          <w:lang w:val="en-GB"/>
        </w:rPr>
        <w:t>Facilitating evidence for persons with a disability</w:t>
      </w:r>
      <w:bookmarkEnd w:id="41"/>
    </w:p>
    <w:p w:rsidR="009C7C8B" w:rsidRPr="007E59AA" w:rsidRDefault="009C7C8B" w:rsidP="009C7C8B">
      <w:r w:rsidRPr="007E59AA">
        <w:t xml:space="preserve">The </w:t>
      </w:r>
      <w:r w:rsidRPr="007E59AA">
        <w:rPr>
          <w:i/>
        </w:rPr>
        <w:t>Uniform Evidence Acts</w:t>
      </w:r>
    </w:p>
    <w:p w:rsidR="009C7C8B" w:rsidRPr="007E59AA" w:rsidRDefault="009C7C8B" w:rsidP="00D40E37">
      <w:pPr>
        <w:numPr>
          <w:ilvl w:val="0"/>
          <w:numId w:val="32"/>
        </w:numPr>
        <w:spacing w:before="0" w:after="160"/>
        <w:rPr>
          <w:i/>
        </w:rPr>
      </w:pPr>
      <w:r>
        <w:t>The Acts give</w:t>
      </w:r>
      <w:r w:rsidRPr="007E59AA">
        <w:t xml:space="preserve"> examples of how disabilities might be overcome by use of interpreters and by allowing adjustments to be made for the delivery of evidence by deaf or </w:t>
      </w:r>
      <w:r>
        <w:t>speech-impaired</w:t>
      </w:r>
      <w:r w:rsidRPr="007E59AA">
        <w:t xml:space="preserve"> witnesses. These provisions were included to make it clear that the physical disabilities of a witness give rise only to practical problems of presentation and not to competence.</w:t>
      </w:r>
    </w:p>
    <w:p w:rsidR="009C7C8B" w:rsidRPr="007E59AA" w:rsidRDefault="009C7C8B" w:rsidP="00D40E37">
      <w:pPr>
        <w:numPr>
          <w:ilvl w:val="0"/>
          <w:numId w:val="32"/>
        </w:numPr>
        <w:spacing w:before="0" w:after="160"/>
        <w:rPr>
          <w:i/>
        </w:rPr>
      </w:pPr>
      <w:r>
        <w:t>Courts have</w:t>
      </w:r>
      <w:r w:rsidRPr="007E59AA">
        <w:t xml:space="preserve"> discretion to have questions asked or evidence adduced "in any appropriate way" in circumstances where a witness cannot speak or cannot hear.</w:t>
      </w:r>
    </w:p>
    <w:p w:rsidR="009C7C8B" w:rsidRPr="00D47524" w:rsidRDefault="009C7C8B" w:rsidP="00D40E37">
      <w:pPr>
        <w:numPr>
          <w:ilvl w:val="0"/>
          <w:numId w:val="32"/>
        </w:numPr>
        <w:spacing w:before="0" w:after="160"/>
        <w:rPr>
          <w:i/>
        </w:rPr>
      </w:pPr>
      <w:r w:rsidRPr="007E59AA">
        <w:t xml:space="preserve">Further examples of how disabilities might be overcome were not included in the </w:t>
      </w:r>
      <w:r w:rsidRPr="007E59AA">
        <w:rPr>
          <w:i/>
        </w:rPr>
        <w:t>Uniform Evidence Act</w:t>
      </w:r>
      <w:r w:rsidRPr="007E59AA">
        <w:t xml:space="preserve"> on the basis that if the law was more prescriptive of the adjustments that could be made this might prevent alternative adjustments and in turn limit the types of incapacities that might be overcome. </w:t>
      </w:r>
    </w:p>
    <w:bookmarkEnd w:id="42"/>
    <w:bookmarkEnd w:id="43"/>
    <w:p w:rsidR="009C7C8B" w:rsidRPr="00D47524" w:rsidRDefault="009C7C8B" w:rsidP="00D40E37">
      <w:pPr>
        <w:numPr>
          <w:ilvl w:val="0"/>
          <w:numId w:val="32"/>
        </w:numPr>
        <w:spacing w:before="0" w:after="160"/>
      </w:pPr>
      <w:r w:rsidRPr="00D47524">
        <w:t xml:space="preserve">A judge may direct a witness to answer a question in a particular way such as using simple language or through non-verbal communication. This focuses on the manner and form of the questions to witnesses and their responses. </w:t>
      </w:r>
    </w:p>
    <w:p w:rsidR="009C7C8B" w:rsidRPr="00D47524" w:rsidRDefault="009C7C8B" w:rsidP="00D40E37">
      <w:pPr>
        <w:numPr>
          <w:ilvl w:val="0"/>
          <w:numId w:val="32"/>
        </w:numPr>
        <w:spacing w:before="0" w:after="160"/>
      </w:pPr>
      <w:r w:rsidRPr="00D47524">
        <w:t xml:space="preserve">Witnesses who cannot hear or speak 'adequately' may be questioned or give evidence by 'appropriate means'. </w:t>
      </w:r>
    </w:p>
    <w:p w:rsidR="009C7C8B" w:rsidRPr="00D47524" w:rsidRDefault="009C7C8B" w:rsidP="00D40E37">
      <w:pPr>
        <w:numPr>
          <w:ilvl w:val="0"/>
          <w:numId w:val="32"/>
        </w:numPr>
        <w:spacing w:before="0" w:after="160"/>
      </w:pPr>
      <w:r w:rsidRPr="00D47524">
        <w:t>Interpreters are allowed (with the exception of Tasmania).</w:t>
      </w:r>
    </w:p>
    <w:p w:rsidR="009C7C8B" w:rsidRPr="00562016" w:rsidRDefault="009C7C8B" w:rsidP="00686A30">
      <w:pPr>
        <w:pStyle w:val="Heading4"/>
        <w:numPr>
          <w:ilvl w:val="0"/>
          <w:numId w:val="0"/>
        </w:numPr>
        <w:ind w:left="851" w:hanging="851"/>
        <w:rPr>
          <w:lang w:val="en-GB"/>
        </w:rPr>
      </w:pPr>
      <w:bookmarkStart w:id="44" w:name="_Toc379195356"/>
      <w:r w:rsidRPr="00562016">
        <w:rPr>
          <w:lang w:val="en-GB"/>
        </w:rPr>
        <w:lastRenderedPageBreak/>
        <w:t>Other legislation</w:t>
      </w:r>
      <w:bookmarkEnd w:id="44"/>
    </w:p>
    <w:p w:rsidR="009C7C8B" w:rsidRDefault="009C7C8B" w:rsidP="009C7C8B">
      <w:pPr>
        <w:rPr>
          <w:lang w:val="en-GB"/>
        </w:rPr>
      </w:pPr>
      <w:r>
        <w:rPr>
          <w:lang w:val="en-GB"/>
        </w:rPr>
        <w:t>There are varying provisions across jurisdictions that permit special or vulnerable witnesses to be identified and afforded support before a court. That support may take a number of forms, including:</w:t>
      </w:r>
    </w:p>
    <w:p w:rsidR="009C7C8B" w:rsidRPr="0075378A" w:rsidRDefault="009C7C8B" w:rsidP="00D40E37">
      <w:pPr>
        <w:numPr>
          <w:ilvl w:val="0"/>
          <w:numId w:val="32"/>
        </w:numPr>
        <w:spacing w:before="0" w:after="160"/>
      </w:pPr>
      <w:r>
        <w:rPr>
          <w:lang w:val="en-GB"/>
        </w:rPr>
        <w:t>Having a supportive person present, including a person who can assist with interpreting their evidence</w:t>
      </w:r>
    </w:p>
    <w:p w:rsidR="009C7C8B" w:rsidRDefault="009C7C8B" w:rsidP="00D40E37">
      <w:pPr>
        <w:numPr>
          <w:ilvl w:val="0"/>
          <w:numId w:val="32"/>
        </w:numPr>
        <w:spacing w:before="0" w:after="160"/>
      </w:pPr>
      <w:r>
        <w:t xml:space="preserve">Using </w:t>
      </w:r>
      <w:proofErr w:type="spellStart"/>
      <w:r>
        <w:t>audiovisual</w:t>
      </w:r>
      <w:proofErr w:type="spellEnd"/>
      <w:r>
        <w:t xml:space="preserve"> evidence, either in real-time or pre-recorded</w:t>
      </w:r>
    </w:p>
    <w:p w:rsidR="009C7C8B" w:rsidRPr="00AF58E7" w:rsidRDefault="009C7C8B" w:rsidP="00D40E37">
      <w:pPr>
        <w:numPr>
          <w:ilvl w:val="0"/>
          <w:numId w:val="32"/>
        </w:numPr>
        <w:spacing w:before="0" w:after="160"/>
      </w:pPr>
      <w:r>
        <w:t>Cautions to jurors about not drawing adverse inferences just because a person requires assistance to give evidence.</w:t>
      </w:r>
    </w:p>
    <w:p w:rsidR="009C7C8B" w:rsidRPr="00686A30" w:rsidRDefault="009C7C8B" w:rsidP="00686A30">
      <w:pPr>
        <w:pStyle w:val="Heading4"/>
        <w:numPr>
          <w:ilvl w:val="0"/>
          <w:numId w:val="0"/>
        </w:numPr>
        <w:ind w:left="851" w:hanging="851"/>
        <w:rPr>
          <w:i/>
          <w:lang w:val="en-GB"/>
        </w:rPr>
      </w:pPr>
      <w:bookmarkStart w:id="45" w:name="_Toc379195357"/>
      <w:r w:rsidRPr="00686A30">
        <w:rPr>
          <w:i/>
          <w:lang w:val="en-GB"/>
        </w:rPr>
        <w:t>Perceptions of credibility</w:t>
      </w:r>
      <w:bookmarkEnd w:id="45"/>
    </w:p>
    <w:p w:rsidR="009C7C8B" w:rsidRPr="007D1061" w:rsidRDefault="009C7C8B" w:rsidP="00D40E37">
      <w:pPr>
        <w:numPr>
          <w:ilvl w:val="0"/>
          <w:numId w:val="32"/>
        </w:numPr>
        <w:spacing w:before="0" w:after="160"/>
      </w:pPr>
      <w:r w:rsidRPr="007D1061">
        <w:t>Jurisdictions using the Uniform Evidence Act</w:t>
      </w:r>
      <w:r>
        <w:t>s</w:t>
      </w:r>
      <w:r w:rsidRPr="007D1061">
        <w:t xml:space="preserve"> abolished the common law rule preventing experts from giving their opinion about the credibility of witnesses.</w:t>
      </w:r>
    </w:p>
    <w:p w:rsidR="009C7C8B" w:rsidRPr="007D1061" w:rsidRDefault="009C7C8B" w:rsidP="00D40E37">
      <w:pPr>
        <w:numPr>
          <w:ilvl w:val="0"/>
          <w:numId w:val="32"/>
        </w:numPr>
        <w:spacing w:before="0" w:after="160"/>
      </w:pPr>
      <w:r w:rsidRPr="007D1061">
        <w:t>An expert can correct mistaken beliefs that juries may have about the credibility of a particular witness.</w:t>
      </w:r>
    </w:p>
    <w:p w:rsidR="009C7C8B" w:rsidRPr="007D1061" w:rsidRDefault="009C7C8B" w:rsidP="00D40E37">
      <w:pPr>
        <w:numPr>
          <w:ilvl w:val="0"/>
          <w:numId w:val="32"/>
        </w:numPr>
        <w:spacing w:before="0" w:after="160"/>
      </w:pPr>
      <w:r w:rsidRPr="007D1061">
        <w:t>This can assist witnesses who need communication supports or who have complex and multiple support needs as such witnesses may be less likely to seek clarification when they are confused, may be prone to anxiety and have difficulties remembering what happened a long ti</w:t>
      </w:r>
      <w:r>
        <w:t>me after the event in question.</w:t>
      </w:r>
    </w:p>
    <w:p w:rsidR="009C7C8B" w:rsidRDefault="009C7C8B" w:rsidP="00D40E37">
      <w:pPr>
        <w:numPr>
          <w:ilvl w:val="0"/>
          <w:numId w:val="32"/>
        </w:numPr>
        <w:spacing w:before="0" w:after="160"/>
      </w:pPr>
      <w:r w:rsidRPr="007D1061">
        <w:t>Expert testimony can be costly and it is difficult to find trained people in rural Australia who can give expert testimony.</w:t>
      </w:r>
    </w:p>
    <w:p w:rsidR="009C7C8B" w:rsidRPr="007D1061" w:rsidRDefault="009C7C8B" w:rsidP="00D40E37">
      <w:pPr>
        <w:numPr>
          <w:ilvl w:val="0"/>
          <w:numId w:val="32"/>
        </w:numPr>
        <w:spacing w:before="0" w:after="160"/>
      </w:pPr>
      <w:r w:rsidRPr="00D47524">
        <w:t>A judge must disallow an improper question. Under the uniform evidence legislation, an improper question can include a question which is based on a stereotype based on a person's mental or physical disability.</w:t>
      </w:r>
    </w:p>
    <w:p w:rsidR="009C7C8B" w:rsidRPr="007E59AA" w:rsidRDefault="009C7C8B" w:rsidP="00D40E37">
      <w:pPr>
        <w:numPr>
          <w:ilvl w:val="0"/>
          <w:numId w:val="33"/>
        </w:numPr>
        <w:spacing w:before="0" w:after="160"/>
      </w:pPr>
      <w:r w:rsidRPr="007E59AA">
        <w:rPr>
          <w:lang w:val="ga-IE"/>
        </w:rPr>
        <w:t>Witnesses who</w:t>
      </w:r>
      <w:r w:rsidRPr="007E59AA">
        <w:t xml:space="preserve"> have communication difficulties</w:t>
      </w:r>
      <w:r w:rsidRPr="007E59AA">
        <w:rPr>
          <w:lang w:val="ga-IE"/>
        </w:rPr>
        <w:t xml:space="preserve"> may be particularly </w:t>
      </w:r>
      <w:r w:rsidRPr="007E59AA">
        <w:t>disadvantaged by the emphasis on oral evidence in court proceedings.</w:t>
      </w:r>
    </w:p>
    <w:p w:rsidR="009C7C8B" w:rsidRPr="007E59AA" w:rsidRDefault="009C7C8B" w:rsidP="00D40E37">
      <w:pPr>
        <w:numPr>
          <w:ilvl w:val="0"/>
          <w:numId w:val="33"/>
        </w:numPr>
        <w:spacing w:before="0" w:after="160"/>
      </w:pPr>
      <w:r w:rsidRPr="007E59AA">
        <w:rPr>
          <w:lang w:val="ga-IE"/>
        </w:rPr>
        <w:t xml:space="preserve">If reliance is to be placed upon the evidence in chief of a </w:t>
      </w:r>
      <w:r w:rsidRPr="007E59AA">
        <w:t>witness with communication difficulties, that witness must usually be made available for cross-examination or otherwise face an adverse inference being drawn.</w:t>
      </w:r>
    </w:p>
    <w:p w:rsidR="009C7C8B" w:rsidRDefault="009C7C8B" w:rsidP="00D40E37">
      <w:pPr>
        <w:numPr>
          <w:ilvl w:val="0"/>
          <w:numId w:val="33"/>
        </w:numPr>
        <w:spacing w:before="0" w:after="160"/>
      </w:pPr>
      <w:r w:rsidRPr="007E59AA">
        <w:t xml:space="preserve">The hostility of cross-examination, the </w:t>
      </w:r>
      <w:r w:rsidRPr="007E59AA">
        <w:rPr>
          <w:lang w:val="ga-IE"/>
        </w:rPr>
        <w:t xml:space="preserve">use </w:t>
      </w:r>
      <w:r w:rsidRPr="007E59AA">
        <w:t xml:space="preserve">of </w:t>
      </w:r>
      <w:r w:rsidRPr="007E59AA">
        <w:rPr>
          <w:lang w:val="ga-IE"/>
        </w:rPr>
        <w:t xml:space="preserve">coercive questioning strategies </w:t>
      </w:r>
      <w:r w:rsidRPr="007E59AA">
        <w:t>and the delay between the event and proceedings all contribute to a</w:t>
      </w:r>
      <w:r w:rsidRPr="007E59AA">
        <w:rPr>
          <w:lang w:val="ga-IE"/>
        </w:rPr>
        <w:t xml:space="preserve"> negative impact on the testimony of witnesses </w:t>
      </w:r>
      <w:r w:rsidRPr="007E59AA">
        <w:t>with disabilities.</w:t>
      </w:r>
    </w:p>
    <w:p w:rsidR="009C7C8B" w:rsidRDefault="009C7C8B" w:rsidP="009C7C8B">
      <w:pPr>
        <w:rPr>
          <w:lang w:val="en-GB"/>
        </w:rPr>
      </w:pPr>
      <w:r>
        <w:rPr>
          <w:lang w:val="en-GB"/>
        </w:rPr>
        <w:t xml:space="preserve">At the end of this summary of the research by DLA Piper, the question asked at the beginning seems even more pressing. Why are people with disabilities so likely to be denied the basic human right of equality in court and therefore justice under law? </w:t>
      </w:r>
    </w:p>
    <w:p w:rsidR="009C7C8B" w:rsidRDefault="009C7C8B" w:rsidP="009C7C8B">
      <w:r w:rsidRPr="00E2777D">
        <w:rPr>
          <w:lang w:val="en-GB"/>
        </w:rPr>
        <w:t xml:space="preserve">Is it because, as </w:t>
      </w:r>
      <w:r w:rsidR="00C66B26">
        <w:rPr>
          <w:lang w:val="en-GB"/>
        </w:rPr>
        <w:t xml:space="preserve">Chief </w:t>
      </w:r>
      <w:r w:rsidR="00B40D7D">
        <w:rPr>
          <w:lang w:val="en-GB"/>
        </w:rPr>
        <w:t>Justice</w:t>
      </w:r>
      <w:r w:rsidRPr="00E2777D">
        <w:rPr>
          <w:lang w:val="en-GB"/>
        </w:rPr>
        <w:t xml:space="preserve"> </w:t>
      </w:r>
      <w:proofErr w:type="spellStart"/>
      <w:r w:rsidRPr="00E2777D">
        <w:rPr>
          <w:lang w:val="en-GB"/>
        </w:rPr>
        <w:t>Kourakis</w:t>
      </w:r>
      <w:proofErr w:type="spellEnd"/>
      <w:r w:rsidR="00C66B26">
        <w:rPr>
          <w:lang w:val="en-GB"/>
        </w:rPr>
        <w:t xml:space="preserve"> </w:t>
      </w:r>
      <w:r w:rsidRPr="00E2777D">
        <w:rPr>
          <w:lang w:val="en-GB"/>
        </w:rPr>
        <w:t>of South Australia told us</w:t>
      </w:r>
      <w:r>
        <w:rPr>
          <w:lang w:val="en-GB"/>
        </w:rPr>
        <w:t>,</w:t>
      </w:r>
      <w:r w:rsidRPr="00E2777D">
        <w:t xml:space="preserve"> </w:t>
      </w:r>
      <w:r>
        <w:t xml:space="preserve">the rules of evidence are in fact flexible enough to permit interpreters and other supports for people with disabilities </w:t>
      </w:r>
      <w:r w:rsidRPr="004700AF">
        <w:t>but the rules are not used and tested in higher courts</w:t>
      </w:r>
      <w:r>
        <w:t xml:space="preserve">? “As judges, we don’t see a lot of these problems because the cases don’t come to court </w:t>
      </w:r>
      <w:r>
        <w:lastRenderedPageBreak/>
        <w:t>in the first place and we haven’t had to make rulings on evidence”, the Chief Justice said.</w:t>
      </w:r>
    </w:p>
    <w:p w:rsidR="009C7C8B" w:rsidRPr="004A38E9" w:rsidRDefault="009C7C8B" w:rsidP="009C7C8B">
      <w:r>
        <w:t>Are the supports permitted in courts sufficiently known by people with disabilities and their advocates? Does the criminal justice system provide information at the right time, the right place and in the right format?</w:t>
      </w:r>
    </w:p>
    <w:p w:rsidR="009C7C8B" w:rsidRDefault="009C7C8B" w:rsidP="009C7C8B">
      <w:r>
        <w:t>Or is it because administrative systems are unable to deliver, by reason of lack of knowledge, poor resources or attitudinal barriers, services to</w:t>
      </w:r>
      <w:r w:rsidRPr="000C3AE2">
        <w:t xml:space="preserve"> </w:t>
      </w:r>
      <w:r w:rsidRPr="007E59AA">
        <w:t>people with disabilit</w:t>
      </w:r>
      <w:r>
        <w:t>ies? According to the Productivity Commission:</w:t>
      </w:r>
    </w:p>
    <w:p w:rsidR="009C7C8B" w:rsidRPr="00A93882" w:rsidRDefault="009C7C8B" w:rsidP="009C7C8B">
      <w:pPr>
        <w:ind w:left="720"/>
        <w:rPr>
          <w:i/>
        </w:rPr>
      </w:pPr>
      <w:r w:rsidRPr="00A93882">
        <w:rPr>
          <w:i/>
        </w:rPr>
        <w:t>Indicators of quality for court administration have not yet been identified.</w:t>
      </w:r>
    </w:p>
    <w:p w:rsidR="009C7C8B" w:rsidRDefault="009C7C8B" w:rsidP="009C7C8B">
      <w:pPr>
        <w:ind w:left="720"/>
      </w:pPr>
      <w:r w:rsidRPr="00A93882">
        <w:rPr>
          <w:i/>
        </w:rPr>
        <w:t>The perceptions of court users about the quality of the services delivered by courts may be strongly influenced by the outcomes of judicial decisions … Isolating perceptions of the quality of court administration may be difficult.</w:t>
      </w:r>
      <w:r>
        <w:rPr>
          <w:rStyle w:val="EndnoteReference"/>
        </w:rPr>
        <w:endnoteReference w:id="45"/>
      </w:r>
    </w:p>
    <w:p w:rsidR="009C7C8B" w:rsidRDefault="009C7C8B" w:rsidP="009C7C8B">
      <w:r>
        <w:t xml:space="preserve">This is a telling statement from the body that produced the </w:t>
      </w:r>
      <w:r w:rsidRPr="00BD72FE">
        <w:rPr>
          <w:i/>
        </w:rPr>
        <w:t>Report on Government Services 2012</w:t>
      </w:r>
      <w:r>
        <w:t>. Actions that support the needs of people with disabilities are implemented through administrative actions. If general indicators of administrative service quality are not available then a basic need for transparency and accountability – matters that are fundamental to the exercise of human rights by people with disabilities – are at risk.</w:t>
      </w:r>
    </w:p>
    <w:p w:rsidR="009C7C8B" w:rsidRDefault="009C7C8B" w:rsidP="009C7C8B">
      <w:r w:rsidRPr="00B90B46">
        <w:t xml:space="preserve">People </w:t>
      </w:r>
      <w:r>
        <w:t>must</w:t>
      </w:r>
      <w:r w:rsidRPr="00B90B46">
        <w:t xml:space="preserve"> not be disadvantaged by virtue of being unable to participate in the court process, including by facing longer periods in detention than would otherwise have been imposed as a punishment for the offence.</w:t>
      </w:r>
      <w:r>
        <w:t xml:space="preserve"> If a victim, they must not be denied justice simply because supporting them is perceived to be difficult.</w:t>
      </w:r>
    </w:p>
    <w:p w:rsidR="009C7C8B" w:rsidRDefault="009C7C8B" w:rsidP="009C7C8B">
      <w:pPr>
        <w:autoSpaceDE w:val="0"/>
        <w:autoSpaceDN w:val="0"/>
        <w:adjustRightInd w:val="0"/>
        <w:ind w:left="720"/>
      </w:pPr>
      <w:r>
        <w:rPr>
          <w:rFonts w:cs="Arial"/>
          <w:i/>
          <w:iCs/>
        </w:rPr>
        <w:t>A victim with disability won’t even get their day in court because the DPP won’t run the case.</w:t>
      </w:r>
      <w:r>
        <w:rPr>
          <w:rStyle w:val="EndnoteReference"/>
          <w:i/>
          <w:iCs/>
        </w:rPr>
        <w:endnoteReference w:id="46"/>
      </w:r>
    </w:p>
    <w:p w:rsidR="009C7C8B" w:rsidRDefault="009C7C8B" w:rsidP="00D40E37">
      <w:pPr>
        <w:pStyle w:val="Heading3"/>
        <w:numPr>
          <w:ilvl w:val="0"/>
          <w:numId w:val="0"/>
        </w:numPr>
        <w:ind w:left="851" w:hanging="851"/>
      </w:pPr>
      <w:bookmarkStart w:id="46" w:name="_Toc379195358"/>
      <w:r>
        <w:t>Barriers and gaps</w:t>
      </w:r>
      <w:bookmarkEnd w:id="46"/>
    </w:p>
    <w:p w:rsidR="009C7C8B" w:rsidRDefault="009C7C8B" w:rsidP="009C7C8B">
      <w:pPr>
        <w:autoSpaceDE w:val="0"/>
        <w:autoSpaceDN w:val="0"/>
        <w:adjustRightInd w:val="0"/>
        <w:rPr>
          <w:rFonts w:cs="Arial"/>
        </w:rPr>
      </w:pPr>
      <w:r>
        <w:rPr>
          <w:rFonts w:cs="Arial"/>
        </w:rPr>
        <w:t>People with disabilities and people who work in the court system expressed considerable frustration to the Commission. The reasons for reasonable adjustments not being provided in court processes included:</w:t>
      </w:r>
    </w:p>
    <w:p w:rsidR="009C7C8B" w:rsidRPr="005D529B" w:rsidRDefault="009C7C8B" w:rsidP="00D40E37">
      <w:pPr>
        <w:pStyle w:val="ListParagraph"/>
        <w:numPr>
          <w:ilvl w:val="0"/>
          <w:numId w:val="29"/>
        </w:numPr>
        <w:autoSpaceDE w:val="0"/>
        <w:autoSpaceDN w:val="0"/>
        <w:adjustRightInd w:val="0"/>
        <w:spacing w:before="240" w:after="240"/>
        <w:rPr>
          <w:rFonts w:cs="Arial"/>
        </w:rPr>
      </w:pPr>
      <w:r>
        <w:rPr>
          <w:rFonts w:cs="Arial"/>
        </w:rPr>
        <w:t>people with disabilities</w:t>
      </w:r>
      <w:r w:rsidRPr="005D529B">
        <w:rPr>
          <w:rFonts w:cs="Arial"/>
        </w:rPr>
        <w:t xml:space="preserve"> not being aware they were available</w:t>
      </w:r>
    </w:p>
    <w:p w:rsidR="009C7C8B" w:rsidRPr="005D529B" w:rsidRDefault="009C7C8B" w:rsidP="00D40E37">
      <w:pPr>
        <w:pStyle w:val="ListParagraph"/>
        <w:numPr>
          <w:ilvl w:val="0"/>
          <w:numId w:val="29"/>
        </w:numPr>
        <w:autoSpaceDE w:val="0"/>
        <w:autoSpaceDN w:val="0"/>
        <w:adjustRightInd w:val="0"/>
        <w:spacing w:before="240" w:after="240"/>
        <w:rPr>
          <w:rFonts w:cs="Arial"/>
        </w:rPr>
      </w:pPr>
      <w:r w:rsidRPr="005D529B">
        <w:rPr>
          <w:rFonts w:cs="Arial"/>
        </w:rPr>
        <w:t>support persons and interpreters were not booked</w:t>
      </w:r>
    </w:p>
    <w:p w:rsidR="009C7C8B" w:rsidRPr="005D529B" w:rsidRDefault="009C7C8B" w:rsidP="00D40E37">
      <w:pPr>
        <w:pStyle w:val="ListParagraph"/>
        <w:numPr>
          <w:ilvl w:val="0"/>
          <w:numId w:val="29"/>
        </w:numPr>
        <w:autoSpaceDE w:val="0"/>
        <w:autoSpaceDN w:val="0"/>
        <w:adjustRightInd w:val="0"/>
        <w:spacing w:before="240" w:after="240"/>
        <w:rPr>
          <w:rFonts w:cs="Arial"/>
        </w:rPr>
      </w:pPr>
      <w:r w:rsidRPr="005D529B">
        <w:rPr>
          <w:rFonts w:cs="Arial"/>
        </w:rPr>
        <w:t>lack of availability of support workers</w:t>
      </w:r>
    </w:p>
    <w:p w:rsidR="009C7C8B" w:rsidRPr="005D529B" w:rsidRDefault="009C7C8B" w:rsidP="00D40E37">
      <w:pPr>
        <w:pStyle w:val="ListParagraph"/>
        <w:numPr>
          <w:ilvl w:val="0"/>
          <w:numId w:val="29"/>
        </w:numPr>
        <w:autoSpaceDE w:val="0"/>
        <w:autoSpaceDN w:val="0"/>
        <w:adjustRightInd w:val="0"/>
        <w:spacing w:before="240" w:after="240"/>
        <w:rPr>
          <w:rFonts w:cs="Arial"/>
        </w:rPr>
      </w:pPr>
      <w:r w:rsidRPr="005D529B">
        <w:rPr>
          <w:rFonts w:cs="Arial"/>
        </w:rPr>
        <w:t>communication devices banned in court</w:t>
      </w:r>
    </w:p>
    <w:p w:rsidR="009C7C8B" w:rsidRPr="005D529B" w:rsidRDefault="009C7C8B" w:rsidP="00D40E37">
      <w:pPr>
        <w:pStyle w:val="ListParagraph"/>
        <w:numPr>
          <w:ilvl w:val="0"/>
          <w:numId w:val="29"/>
        </w:numPr>
        <w:autoSpaceDE w:val="0"/>
        <w:autoSpaceDN w:val="0"/>
        <w:adjustRightInd w:val="0"/>
        <w:spacing w:before="240" w:after="240"/>
        <w:rPr>
          <w:rFonts w:cs="Arial"/>
        </w:rPr>
      </w:pPr>
      <w:proofErr w:type="gramStart"/>
      <w:r w:rsidRPr="005D529B">
        <w:rPr>
          <w:rFonts w:cs="Arial"/>
        </w:rPr>
        <w:t>there</w:t>
      </w:r>
      <w:proofErr w:type="gramEnd"/>
      <w:r w:rsidRPr="005D529B">
        <w:rPr>
          <w:rFonts w:cs="Arial"/>
        </w:rPr>
        <w:t xml:space="preserve"> was no help filling out forms</w:t>
      </w:r>
      <w:r>
        <w:rPr>
          <w:rFonts w:cs="Arial"/>
        </w:rPr>
        <w:t xml:space="preserve"> or meeting other purely procedural requirements.</w:t>
      </w:r>
    </w:p>
    <w:p w:rsidR="009C7C8B" w:rsidRDefault="009C7C8B" w:rsidP="009C7C8B">
      <w:pPr>
        <w:autoSpaceDE w:val="0"/>
        <w:autoSpaceDN w:val="0"/>
        <w:adjustRightInd w:val="0"/>
        <w:rPr>
          <w:rFonts w:cs="Arial"/>
        </w:rPr>
      </w:pPr>
      <w:r>
        <w:rPr>
          <w:rFonts w:cs="Arial"/>
        </w:rPr>
        <w:t xml:space="preserve">In addition to the lack of screening mechanisms, training and inability of lawyers and judges to identify disability, the Commission also heard about the delays and costs </w:t>
      </w:r>
      <w:r>
        <w:rPr>
          <w:rFonts w:cs="Arial"/>
        </w:rPr>
        <w:lastRenderedPageBreak/>
        <w:t>associated with obtaining a formal diagnosis and time constraints on lawyers and Magistrates. The Disability Rights Advocacy Service stated:</w:t>
      </w:r>
      <w:r>
        <w:rPr>
          <w:rFonts w:cs="Arial"/>
          <w:sz w:val="20"/>
          <w:szCs w:val="20"/>
          <w:vertAlign w:val="superscript"/>
        </w:rPr>
        <w:t xml:space="preserve"> </w:t>
      </w:r>
    </w:p>
    <w:p w:rsidR="009C7C8B" w:rsidRPr="00B345C0" w:rsidRDefault="009C7C8B" w:rsidP="009C7C8B">
      <w:pPr>
        <w:autoSpaceDE w:val="0"/>
        <w:autoSpaceDN w:val="0"/>
        <w:adjustRightInd w:val="0"/>
        <w:ind w:left="720"/>
        <w:rPr>
          <w:rFonts w:cs="Arial"/>
          <w:i/>
          <w:iCs/>
        </w:rPr>
      </w:pPr>
      <w:r w:rsidRPr="00B345C0">
        <w:rPr>
          <w:rFonts w:cs="Arial"/>
          <w:i/>
          <w:iCs/>
        </w:rPr>
        <w:t>It is often the case that people with a mental illness, intellectual disability or acquired brain injury plead guilty (are ‘plead out’) by duty lawyers who may not identify the disability and thus, be oblivious to whether or not the disability is related to the alleged offending.  This lack of identification is further exacerbated by the lack of time available to a duty lawyer to properly and thoroughly investigate a matter prior to entering a plea.</w:t>
      </w:r>
    </w:p>
    <w:p w:rsidR="009C7C8B" w:rsidRDefault="009C7C8B" w:rsidP="009C7C8B">
      <w:pPr>
        <w:autoSpaceDE w:val="0"/>
        <w:autoSpaceDN w:val="0"/>
        <w:adjustRightInd w:val="0"/>
        <w:rPr>
          <w:rFonts w:cs="Arial"/>
          <w:b/>
          <w:bCs/>
        </w:rPr>
      </w:pPr>
      <w:r>
        <w:rPr>
          <w:rFonts w:cs="Arial"/>
        </w:rPr>
        <w:t>The Commission heard that courts are not adjourned to find out if a person has disabilities and that systematic approaches to identify disability also do not exist</w:t>
      </w:r>
      <w:r w:rsidR="005D29A9">
        <w:rPr>
          <w:rFonts w:cs="Arial"/>
        </w:rPr>
        <w:t>,</w:t>
      </w:r>
      <w:r>
        <w:rPr>
          <w:rFonts w:cs="Arial"/>
        </w:rPr>
        <w:t xml:space="preserve"> resulting in supports and services not being provided and no accommodations being made.</w:t>
      </w:r>
      <w:r>
        <w:rPr>
          <w:rStyle w:val="EndnoteReference"/>
        </w:rPr>
        <w:endnoteReference w:id="47"/>
      </w:r>
      <w:r>
        <w:rPr>
          <w:rFonts w:cs="Arial"/>
          <w:b/>
          <w:bCs/>
        </w:rPr>
        <w:t xml:space="preserve"> </w:t>
      </w:r>
      <w:r>
        <w:rPr>
          <w:rFonts w:cs="Arial"/>
        </w:rPr>
        <w:t xml:space="preserve">We heard of statements being taken from Deaf people with no </w:t>
      </w:r>
      <w:proofErr w:type="gramStart"/>
      <w:r>
        <w:rPr>
          <w:rFonts w:cs="Arial"/>
        </w:rPr>
        <w:t>interpreters</w:t>
      </w:r>
      <w:proofErr w:type="gramEnd"/>
      <w:r>
        <w:rPr>
          <w:rFonts w:cs="Arial"/>
        </w:rPr>
        <w:t xml:space="preserve"> present, people pleading guilty and not understanding what they were saying or what the consequences would be.</w:t>
      </w:r>
      <w:r>
        <w:rPr>
          <w:rStyle w:val="EndnoteReference"/>
        </w:rPr>
        <w:endnoteReference w:id="48"/>
      </w:r>
      <w:r>
        <w:rPr>
          <w:rFonts w:cs="Arial"/>
        </w:rPr>
        <w:t xml:space="preserve"> </w:t>
      </w:r>
    </w:p>
    <w:p w:rsidR="009C7C8B" w:rsidRPr="0031611A" w:rsidRDefault="009C7C8B" w:rsidP="009C7C8B">
      <w:pPr>
        <w:autoSpaceDE w:val="0"/>
        <w:autoSpaceDN w:val="0"/>
        <w:adjustRightInd w:val="0"/>
        <w:rPr>
          <w:rFonts w:cs="Arial"/>
          <w:iCs/>
        </w:rPr>
      </w:pPr>
      <w:r>
        <w:rPr>
          <w:rFonts w:cs="Arial"/>
          <w:iCs/>
        </w:rPr>
        <w:t xml:space="preserve">The </w:t>
      </w:r>
      <w:r w:rsidRPr="0031611A">
        <w:rPr>
          <w:rFonts w:cs="Arial"/>
          <w:iCs/>
        </w:rPr>
        <w:t>National Aboriginal and Torres Strait Islander Legal Services</w:t>
      </w:r>
      <w:r>
        <w:rPr>
          <w:rFonts w:cs="Arial"/>
          <w:iCs/>
        </w:rPr>
        <w:t xml:space="preserve"> told us of how an undetected disability can affect a person’s access to justice. In their submission</w:t>
      </w:r>
      <w:r w:rsidRPr="00DD0710">
        <w:rPr>
          <w:rFonts w:cs="Arial"/>
          <w:iCs/>
          <w:vertAlign w:val="superscript"/>
        </w:rPr>
        <w:endnoteReference w:id="49"/>
      </w:r>
      <w:r>
        <w:rPr>
          <w:rFonts w:cs="Arial"/>
          <w:iCs/>
        </w:rPr>
        <w:t xml:space="preserve"> they quoted from the evidence provided to the Senate Community Affairs References Committee in its Inquiry into Hearing Health in Australia</w:t>
      </w:r>
    </w:p>
    <w:p w:rsidR="009C7C8B" w:rsidRDefault="009C7C8B" w:rsidP="009C7C8B">
      <w:pPr>
        <w:autoSpaceDE w:val="0"/>
        <w:autoSpaceDN w:val="0"/>
        <w:adjustRightInd w:val="0"/>
        <w:ind w:left="720"/>
        <w:rPr>
          <w:rFonts w:cs="Arial"/>
          <w:i/>
        </w:rPr>
      </w:pPr>
      <w:r w:rsidRPr="00DD0710">
        <w:rPr>
          <w:rFonts w:cs="Arial"/>
          <w:i/>
        </w:rPr>
        <w:t>One audiologist talked to me about dealing with a client who had recently been convicted of first-degree murder and had been through the whole criminal justice process. That had happened and then she was able to diagnose him as clinically deaf. He had been through the whole process saying, ‘Good’ and ‘Yes’—those were his two words—and that process had not picked him up. Given the very high rates of hearing loss, you have to wonder about people’s participation in the criminal justice system as being fair and just if in cases like that people simply are not hearing or understanding what is going on.</w:t>
      </w:r>
      <w:r>
        <w:rPr>
          <w:rStyle w:val="EndnoteReference"/>
          <w:i/>
        </w:rPr>
        <w:endnoteReference w:id="50"/>
      </w:r>
    </w:p>
    <w:p w:rsidR="009C7C8B" w:rsidRDefault="009C7C8B" w:rsidP="009C7C8B">
      <w:pPr>
        <w:autoSpaceDE w:val="0"/>
        <w:autoSpaceDN w:val="0"/>
        <w:adjustRightInd w:val="0"/>
        <w:rPr>
          <w:rFonts w:cs="Arial"/>
        </w:rPr>
      </w:pPr>
      <w:r>
        <w:rPr>
          <w:rFonts w:cs="Arial"/>
        </w:rPr>
        <w:t>We also heard instances where the court was made aware of a person’s disability but this was never taken into consideration:</w:t>
      </w:r>
    </w:p>
    <w:p w:rsidR="009C7C8B" w:rsidRDefault="009C7C8B" w:rsidP="009C7C8B">
      <w:pPr>
        <w:autoSpaceDE w:val="0"/>
        <w:autoSpaceDN w:val="0"/>
        <w:adjustRightInd w:val="0"/>
        <w:spacing w:after="200"/>
        <w:ind w:left="720"/>
        <w:rPr>
          <w:rFonts w:cs="Arial"/>
          <w:i/>
          <w:iCs/>
          <w:lang w:val="en-US"/>
        </w:rPr>
      </w:pPr>
      <w:r>
        <w:rPr>
          <w:rFonts w:cs="Arial"/>
          <w:i/>
          <w:iCs/>
          <w:lang w:val="en-US"/>
        </w:rPr>
        <w:t>Our daughter was always introduced by the duty lawyer to the Magistrate with the remark “my client is ………., she has an intellectual disability, her parents and guardians are present in the court today”; transcripts from these court hearings indicate that the court was acutely aware of her intellectual disability, yet, her disability was never given due consideration.  She was encouraged to enter pleas of guilty when she was overtly unfit to do so.</w:t>
      </w:r>
      <w:r>
        <w:rPr>
          <w:rStyle w:val="EndnoteReference"/>
          <w:i/>
          <w:iCs/>
          <w:lang w:val="en-US"/>
        </w:rPr>
        <w:endnoteReference w:id="51"/>
      </w:r>
    </w:p>
    <w:p w:rsidR="009C7C8B" w:rsidRDefault="009C7C8B" w:rsidP="009C7C8B">
      <w:pPr>
        <w:autoSpaceDE w:val="0"/>
        <w:autoSpaceDN w:val="0"/>
        <w:adjustRightInd w:val="0"/>
        <w:rPr>
          <w:rFonts w:cs="Arial"/>
          <w:b/>
          <w:bCs/>
        </w:rPr>
      </w:pPr>
      <w:r>
        <w:rPr>
          <w:rFonts w:cs="Arial"/>
        </w:rPr>
        <w:t>Styles of communication and questioning were also raised as serious concerns for people who need communication supports or who have complex and multiple support needs. We repeatedly heard that people with cognitive and psychiatric disabilities struggle to understand legal advice, court process and court dialogue, which is filled with jargon and complex statements. The NSW Council for Intellectual Disability reported that people with intellectual disability also have high rates of illiteracy and limited language skills.</w:t>
      </w:r>
      <w:r>
        <w:rPr>
          <w:rFonts w:cs="Arial"/>
          <w:b/>
          <w:bCs/>
        </w:rPr>
        <w:t xml:space="preserve"> </w:t>
      </w:r>
    </w:p>
    <w:p w:rsidR="009C7C8B" w:rsidRDefault="009C7C8B" w:rsidP="009C7C8B">
      <w:pPr>
        <w:autoSpaceDE w:val="0"/>
        <w:autoSpaceDN w:val="0"/>
        <w:adjustRightInd w:val="0"/>
        <w:rPr>
          <w:rFonts w:cs="Arial"/>
          <w:b/>
          <w:bCs/>
        </w:rPr>
      </w:pPr>
      <w:r>
        <w:rPr>
          <w:rFonts w:cs="Arial"/>
        </w:rPr>
        <w:lastRenderedPageBreak/>
        <w:t>Some positive stories were also reported about lawyers treating their clients with disability with dignity and respect and efforts by court officials to ensure understanding:</w:t>
      </w:r>
    </w:p>
    <w:p w:rsidR="009C7C8B" w:rsidRDefault="009C7C8B" w:rsidP="009C7C8B">
      <w:pPr>
        <w:autoSpaceDE w:val="0"/>
        <w:autoSpaceDN w:val="0"/>
        <w:adjustRightInd w:val="0"/>
        <w:spacing w:after="0"/>
        <w:ind w:left="720"/>
        <w:rPr>
          <w:rFonts w:cs="Arial"/>
          <w:i/>
          <w:iCs/>
          <w:lang w:val="en-US"/>
        </w:rPr>
      </w:pPr>
      <w:r>
        <w:rPr>
          <w:rFonts w:cs="Arial"/>
          <w:i/>
          <w:iCs/>
        </w:rPr>
        <w:t>The current Magistrate grew up around black fellows. He is very understanding. If someone doesn’t understand he will sit and talk to them and break the language down. He is very good.</w:t>
      </w:r>
      <w:r>
        <w:rPr>
          <w:rStyle w:val="EndnoteReference"/>
          <w:i/>
          <w:iCs/>
        </w:rPr>
        <w:endnoteReference w:id="52"/>
      </w:r>
    </w:p>
    <w:p w:rsidR="009C7C8B" w:rsidRDefault="009C7C8B" w:rsidP="009C7C8B">
      <w:pPr>
        <w:autoSpaceDE w:val="0"/>
        <w:autoSpaceDN w:val="0"/>
        <w:adjustRightInd w:val="0"/>
        <w:rPr>
          <w:rFonts w:cs="Arial"/>
        </w:rPr>
      </w:pPr>
      <w:r>
        <w:rPr>
          <w:rFonts w:cs="Arial"/>
        </w:rPr>
        <w:t xml:space="preserve">The court </w:t>
      </w:r>
      <w:proofErr w:type="gramStart"/>
      <w:r>
        <w:rPr>
          <w:rFonts w:cs="Arial"/>
        </w:rPr>
        <w:t>process,</w:t>
      </w:r>
      <w:proofErr w:type="gramEnd"/>
      <w:r>
        <w:rPr>
          <w:rFonts w:cs="Arial"/>
        </w:rPr>
        <w:t xml:space="preserve"> and cross-examination in particular, is stressful and difficult for many people. For people with disabilities who have complex or multiple </w:t>
      </w:r>
      <w:proofErr w:type="gramStart"/>
      <w:r>
        <w:rPr>
          <w:rFonts w:cs="Arial"/>
        </w:rPr>
        <w:t>support</w:t>
      </w:r>
      <w:proofErr w:type="gramEnd"/>
      <w:r>
        <w:rPr>
          <w:rFonts w:cs="Arial"/>
        </w:rPr>
        <w:t xml:space="preserve"> needs</w:t>
      </w:r>
      <w:r>
        <w:rPr>
          <w:rFonts w:cs="Arial"/>
          <w:lang w:val="en-US"/>
        </w:rPr>
        <w:t xml:space="preserve"> there is an ever-present risk that in the absence of support</w:t>
      </w:r>
      <w:r>
        <w:rPr>
          <w:rFonts w:cs="Arial"/>
        </w:rPr>
        <w:t xml:space="preserve"> they will give inconsistent evidence or plead guilty to get the process over.</w:t>
      </w:r>
    </w:p>
    <w:p w:rsidR="009C7C8B" w:rsidRDefault="009C7C8B" w:rsidP="009C7C8B">
      <w:pPr>
        <w:autoSpaceDE w:val="0"/>
        <w:autoSpaceDN w:val="0"/>
        <w:adjustRightInd w:val="0"/>
        <w:ind w:left="720"/>
        <w:rPr>
          <w:rFonts w:cs="Arial"/>
          <w:i/>
          <w:iCs/>
        </w:rPr>
      </w:pPr>
      <w:r>
        <w:rPr>
          <w:rFonts w:cs="Arial"/>
          <w:i/>
          <w:iCs/>
        </w:rPr>
        <w:t xml:space="preserve">… </w:t>
      </w:r>
      <w:proofErr w:type="gramStart"/>
      <w:r>
        <w:rPr>
          <w:rFonts w:cs="Arial"/>
          <w:i/>
          <w:iCs/>
        </w:rPr>
        <w:t>he</w:t>
      </w:r>
      <w:proofErr w:type="gramEnd"/>
      <w:r>
        <w:rPr>
          <w:rFonts w:cs="Arial"/>
          <w:i/>
          <w:iCs/>
        </w:rPr>
        <w:t xml:space="preserve"> elected just to plead guilty rather than contest the charges.  There is absolutely no doubt that if he did not have a mental illness and had to be so mindful of just getting through the process while well enough to enter a plea, he would have defended both charges.</w:t>
      </w:r>
      <w:r>
        <w:rPr>
          <w:rStyle w:val="EndnoteReference"/>
          <w:i/>
          <w:iCs/>
        </w:rPr>
        <w:endnoteReference w:id="53"/>
      </w:r>
    </w:p>
    <w:p w:rsidR="009C7C8B" w:rsidRDefault="009C7C8B" w:rsidP="009C7C8B">
      <w:pPr>
        <w:autoSpaceDE w:val="0"/>
        <w:autoSpaceDN w:val="0"/>
        <w:adjustRightInd w:val="0"/>
        <w:rPr>
          <w:rFonts w:cs="Arial"/>
        </w:rPr>
      </w:pPr>
      <w:r>
        <w:rPr>
          <w:rFonts w:cs="Arial"/>
        </w:rPr>
        <w:t xml:space="preserve">One woman with disability told us: </w:t>
      </w:r>
      <w:r>
        <w:rPr>
          <w:rFonts w:cs="Arial"/>
          <w:i/>
          <w:iCs/>
        </w:rPr>
        <w:t>I feel that if you commit a crime you get punished twice: you get punished for the crime and you get punished for having a disability.</w:t>
      </w:r>
      <w:r>
        <w:rPr>
          <w:rStyle w:val="EndnoteReference"/>
          <w:i/>
          <w:iCs/>
        </w:rPr>
        <w:endnoteReference w:id="54"/>
      </w:r>
      <w:r>
        <w:rPr>
          <w:rFonts w:cs="Arial"/>
          <w:i/>
          <w:iCs/>
        </w:rPr>
        <w:t xml:space="preserve"> </w:t>
      </w:r>
    </w:p>
    <w:p w:rsidR="009C7C8B" w:rsidRPr="00BD72FE" w:rsidRDefault="009C7C8B" w:rsidP="009C7C8B">
      <w:pPr>
        <w:autoSpaceDE w:val="0"/>
        <w:autoSpaceDN w:val="0"/>
        <w:adjustRightInd w:val="0"/>
        <w:spacing w:after="0"/>
        <w:rPr>
          <w:rFonts w:cs="Arial"/>
          <w:b/>
        </w:rPr>
      </w:pPr>
      <w:r>
        <w:rPr>
          <w:rFonts w:cs="Arial"/>
        </w:rPr>
        <w:t>Significant concerns were raised about the need for people with disabilities to plead guilty in order to be diverted to alternate courts or lists to secure access to supports and services. The Commission is concerned people may plead guilty or not contest the facts in order to secure needed supports and services. Diversion options are also undermined by a lack of appropriate services, difficulty in coordinating services and limited capacity of services</w:t>
      </w:r>
      <w:r>
        <w:rPr>
          <w:rFonts w:cs="Arial"/>
          <w:b/>
        </w:rPr>
        <w:t>.</w:t>
      </w:r>
    </w:p>
    <w:p w:rsidR="009C7C8B" w:rsidRDefault="009C7C8B" w:rsidP="009C7C8B">
      <w:pPr>
        <w:autoSpaceDE w:val="0"/>
        <w:autoSpaceDN w:val="0"/>
        <w:adjustRightInd w:val="0"/>
        <w:spacing w:after="0"/>
        <w:rPr>
          <w:rFonts w:cs="Arial"/>
        </w:rPr>
      </w:pPr>
      <w:r>
        <w:rPr>
          <w:rFonts w:cs="Arial"/>
        </w:rPr>
        <w:t>However, we also heard of effective outcomes as a result of diversion and access to appropriate supports and services:</w:t>
      </w:r>
    </w:p>
    <w:p w:rsidR="00C66B26" w:rsidRDefault="009C7C8B" w:rsidP="00C66B26">
      <w:pPr>
        <w:autoSpaceDE w:val="0"/>
        <w:autoSpaceDN w:val="0"/>
        <w:adjustRightInd w:val="0"/>
        <w:ind w:left="720"/>
        <w:rPr>
          <w:rFonts w:cs="Arial"/>
          <w:b/>
          <w:bCs/>
          <w:i/>
          <w:iCs/>
          <w:sz w:val="20"/>
          <w:szCs w:val="20"/>
          <w:vertAlign w:val="superscript"/>
        </w:rPr>
      </w:pPr>
      <w:r>
        <w:rPr>
          <w:rFonts w:cs="Arial"/>
          <w:i/>
          <w:iCs/>
        </w:rPr>
        <w:t xml:space="preserve"> [W]hen he was 3, he was injected with heroin and…removed from his mother and moved in and out of foster homes. He did not receive a stable education and his disability was not diagnosed. He came to the attention of the law when he held up Hungry Jacks with a butter knife because he was hungry. An enlightened magistrate chose not to convict him and instead diverted him into a healing service where he was diagnosed with a mild intellectual disability. For the first time in his life, he had a stable home and received an education. He spent 2 years there and now he is a very talented carver with a means of earning an income.</w:t>
      </w:r>
      <w:r w:rsidR="003E6053">
        <w:rPr>
          <w:rStyle w:val="EndnoteReference"/>
          <w:rFonts w:cs="Arial"/>
          <w:i/>
          <w:iCs/>
        </w:rPr>
        <w:endnoteReference w:id="55"/>
      </w:r>
      <w:r>
        <w:rPr>
          <w:rFonts w:cs="Arial"/>
          <w:b/>
          <w:bCs/>
          <w:i/>
          <w:iCs/>
          <w:sz w:val="20"/>
          <w:szCs w:val="20"/>
          <w:vertAlign w:val="superscript"/>
        </w:rPr>
        <w:t xml:space="preserve"> </w:t>
      </w:r>
    </w:p>
    <w:p w:rsidR="009C7C8B" w:rsidRDefault="009C7C8B" w:rsidP="009C7C8B">
      <w:pPr>
        <w:autoSpaceDE w:val="0"/>
        <w:autoSpaceDN w:val="0"/>
        <w:adjustRightInd w:val="0"/>
        <w:rPr>
          <w:rFonts w:cs="Arial"/>
        </w:rPr>
      </w:pPr>
      <w:r>
        <w:rPr>
          <w:rFonts w:cs="Arial"/>
        </w:rPr>
        <w:t>The Commission is extremely concerned about arrangements and processes for people with disabilities deemed unfit to plead.  Concerns were raised across Australia about inadequate safeguards and access to supports to ensure effective access to justice. Many people deemed unfit to stand trial are being held without appropriate review mechanisms.</w:t>
      </w:r>
    </w:p>
    <w:p w:rsidR="009C7C8B" w:rsidRDefault="009C7C8B" w:rsidP="009C7C8B">
      <w:pPr>
        <w:autoSpaceDE w:val="0"/>
        <w:autoSpaceDN w:val="0"/>
        <w:adjustRightInd w:val="0"/>
        <w:spacing w:after="200"/>
        <w:ind w:left="720"/>
        <w:rPr>
          <w:rFonts w:cs="Arial"/>
          <w:i/>
          <w:iCs/>
          <w:lang w:val="en-US"/>
        </w:rPr>
      </w:pPr>
      <w:r>
        <w:rPr>
          <w:rFonts w:cs="Arial"/>
          <w:i/>
          <w:iCs/>
          <w:lang w:val="en-US"/>
        </w:rPr>
        <w:t>The court found a person unfit to plead and this took 4 months and the person was put in remand. All he did was steal $50.</w:t>
      </w:r>
      <w:r w:rsidR="00334A9B">
        <w:rPr>
          <w:rStyle w:val="EndnoteReference"/>
          <w:rFonts w:cs="Arial"/>
          <w:i/>
          <w:iCs/>
          <w:lang w:val="en-US"/>
        </w:rPr>
        <w:endnoteReference w:id="56"/>
      </w:r>
      <w:r w:rsidR="00EB0714" w:rsidRPr="00EB0714">
        <w:t xml:space="preserve"> </w:t>
      </w:r>
    </w:p>
    <w:p w:rsidR="009C7C8B" w:rsidRDefault="009C7C8B" w:rsidP="009C7C8B">
      <w:pPr>
        <w:rPr>
          <w:lang w:val="en-GB"/>
        </w:rPr>
      </w:pPr>
      <w:r>
        <w:rPr>
          <w:lang w:val="en-GB"/>
        </w:rPr>
        <w:t xml:space="preserve">In their </w:t>
      </w:r>
      <w:r w:rsidRPr="00B851BC">
        <w:rPr>
          <w:lang w:val="en-GB"/>
        </w:rPr>
        <w:t>report</w:t>
      </w:r>
      <w:r>
        <w:rPr>
          <w:rStyle w:val="EndnoteReference"/>
          <w:lang w:val="en-GB"/>
        </w:rPr>
        <w:endnoteReference w:id="57"/>
      </w:r>
      <w:r>
        <w:rPr>
          <w:lang w:val="en-GB"/>
        </w:rPr>
        <w:t xml:space="preserve"> compiled in parallel with the Commission’s consultations, DLA Piper </w:t>
      </w:r>
      <w:proofErr w:type="gramStart"/>
      <w:r>
        <w:rPr>
          <w:lang w:val="en-GB"/>
        </w:rPr>
        <w:t>make</w:t>
      </w:r>
      <w:proofErr w:type="gramEnd"/>
      <w:r>
        <w:rPr>
          <w:lang w:val="en-GB"/>
        </w:rPr>
        <w:t xml:space="preserve"> the following observations: </w:t>
      </w:r>
    </w:p>
    <w:p w:rsidR="009C7C8B" w:rsidRPr="00F370E6" w:rsidRDefault="009C7C8B" w:rsidP="009C7C8B">
      <w:pPr>
        <w:rPr>
          <w:lang w:val="en-GB"/>
        </w:rPr>
      </w:pPr>
      <w:r w:rsidRPr="00F370E6">
        <w:rPr>
          <w:lang w:val="en-GB"/>
        </w:rPr>
        <w:lastRenderedPageBreak/>
        <w:t xml:space="preserve">In each Australian jurisdiction, the legislation dealing with an accused's fitness to plead or fitness to stand trial in criminal proceedings is complex, and in some respects, ambiguous. The disparity between the legislation applicable in the various jurisdictions further complicates matters. </w:t>
      </w:r>
    </w:p>
    <w:p w:rsidR="009C7C8B" w:rsidRPr="00F370E6" w:rsidRDefault="009C7C8B" w:rsidP="009C7C8B">
      <w:pPr>
        <w:rPr>
          <w:lang w:val="en-GB"/>
        </w:rPr>
      </w:pPr>
      <w:r w:rsidRPr="00F370E6">
        <w:rPr>
          <w:lang w:val="en-GB"/>
        </w:rPr>
        <w:t>New South Wales, Tasmania, Victoria and Western Australia have separate legislation dedicated to the issue of fitness to plead or fitness to stand trial.</w:t>
      </w:r>
      <w:r>
        <w:rPr>
          <w:lang w:val="en-GB"/>
        </w:rPr>
        <w:t xml:space="preserve"> </w:t>
      </w:r>
      <w:r w:rsidRPr="00F370E6">
        <w:rPr>
          <w:lang w:val="en-GB"/>
        </w:rPr>
        <w:t>Other jurisdictions deal with the issue within their criminal statutes.</w:t>
      </w:r>
      <w:r>
        <w:rPr>
          <w:lang w:val="en-GB"/>
        </w:rPr>
        <w:t xml:space="preserve"> </w:t>
      </w:r>
      <w:r w:rsidRPr="00F370E6">
        <w:rPr>
          <w:lang w:val="en-GB"/>
        </w:rPr>
        <w:t xml:space="preserve">In Queensland, the issue of fitness to plead or fitness to stand trial is dealt with in more than one statute. </w:t>
      </w:r>
    </w:p>
    <w:p w:rsidR="009C7C8B" w:rsidRPr="00F370E6" w:rsidRDefault="009C7C8B" w:rsidP="009C7C8B">
      <w:pPr>
        <w:rPr>
          <w:lang w:val="en-GB"/>
        </w:rPr>
      </w:pPr>
      <w:r w:rsidRPr="00F370E6">
        <w:rPr>
          <w:lang w:val="en-GB"/>
        </w:rPr>
        <w:t>Further, in most jurisdictions, fitness to plead or fitness to stand trial in the context of summary offences is an issue which is neglected or given little attention.  Only South Australia, Tasmania, Western Australia and the ACT allow magistrates to deal specifically with the issue of an accused's fitness. Victoria, Queensland and the Northern Territory do not have legislation dealing with this issue in the context of summary offences. The Commonwealth and Northern Territory legislation does not deal specifically with fitness to plead or stand trial for summary offences and only affords magistrates some discretionary powers when dealing with accused persons who are intellectually disabled.</w:t>
      </w:r>
    </w:p>
    <w:p w:rsidR="009C7C8B" w:rsidRDefault="009C7C8B" w:rsidP="009C7C8B">
      <w:pPr>
        <w:rPr>
          <w:lang w:val="en-GB"/>
        </w:rPr>
      </w:pPr>
      <w:r>
        <w:rPr>
          <w:lang w:val="en-GB"/>
        </w:rPr>
        <w:t xml:space="preserve">There is certainly a case for </w:t>
      </w:r>
      <w:r w:rsidRPr="00F370E6">
        <w:rPr>
          <w:lang w:val="en-GB"/>
        </w:rPr>
        <w:t>a more streamlined and consistent approach to determining an accused's fitness to plead or stand trial in criminal proceedings for both summary and indictable offences. This would improve access to justice for people with disabilities, particularly intellectual disabilities, whose fitness to plead is likely to be an issue in criminal proceedings. The Victorian Law Reform Commission is currently reviewing the Victorian legislation on fitness to plead or fitness to stand trial in order to determine how the process can be improved and the outcome of this review could act as a catalyst for further legislative reform.</w:t>
      </w:r>
    </w:p>
    <w:p w:rsidR="009C7C8B" w:rsidRPr="00F370E6" w:rsidRDefault="009C7C8B" w:rsidP="009C7C8B">
      <w:pPr>
        <w:rPr>
          <w:lang w:val="en-GB"/>
        </w:rPr>
      </w:pPr>
      <w:r w:rsidRPr="00A77C14">
        <w:rPr>
          <w:lang w:val="en-GB"/>
        </w:rPr>
        <w:t xml:space="preserve">In the Commission’s opinion </w:t>
      </w:r>
      <w:r w:rsidR="00F67629">
        <w:rPr>
          <w:lang w:val="en-GB"/>
        </w:rPr>
        <w:t xml:space="preserve">DLA Piper </w:t>
      </w:r>
      <w:r w:rsidRPr="00A77C14">
        <w:rPr>
          <w:lang w:val="en-GB"/>
        </w:rPr>
        <w:t xml:space="preserve">expose a situation in which the provision of support for people with disabilities is made so much more difficult by the opacity and inadequacy of the law. We are especially disturbed by the situation for people accused of summary offences as the summary jurisdictions are where the great majority of cases involving people with disabilities are finalised. </w:t>
      </w:r>
    </w:p>
    <w:p w:rsidR="009C7C8B" w:rsidRDefault="009C7C8B" w:rsidP="009C7C8B">
      <w:pPr>
        <w:pStyle w:val="Heading2"/>
        <w:tabs>
          <w:tab w:val="clear" w:pos="851"/>
        </w:tabs>
        <w:spacing w:before="120" w:after="120"/>
        <w:ind w:left="578" w:hanging="578"/>
        <w:rPr>
          <w:rFonts w:cs="Arial"/>
        </w:rPr>
      </w:pPr>
      <w:bookmarkStart w:id="48" w:name="_Toc379195359"/>
      <w:r w:rsidRPr="001B6550">
        <w:rPr>
          <w:rFonts w:cs="Arial"/>
        </w:rPr>
        <w:t>Custodial environments and release to the community</w:t>
      </w:r>
      <w:bookmarkEnd w:id="48"/>
    </w:p>
    <w:p w:rsidR="009C7C8B" w:rsidRDefault="009C7C8B" w:rsidP="009C7C8B">
      <w:r>
        <w:t>The Productivity Commission has described the purposes of corrective services in this way:</w:t>
      </w:r>
      <w:r>
        <w:rPr>
          <w:rStyle w:val="EndnoteReference"/>
        </w:rPr>
        <w:endnoteReference w:id="58"/>
      </w:r>
    </w:p>
    <w:p w:rsidR="009C7C8B" w:rsidRPr="002F16DA" w:rsidRDefault="009C7C8B" w:rsidP="009C7C8B">
      <w:pPr>
        <w:ind w:left="720"/>
      </w:pPr>
      <w:r w:rsidRPr="002F16DA">
        <w:t>Corrective services contribute to the whole-of-government priority, in all jurisdictions, to</w:t>
      </w:r>
      <w:r>
        <w:t xml:space="preserve"> </w:t>
      </w:r>
      <w:r w:rsidRPr="002F16DA">
        <w:t>create safer communities through the administration of correctional sentences and</w:t>
      </w:r>
      <w:r>
        <w:t xml:space="preserve"> </w:t>
      </w:r>
      <w:r w:rsidRPr="002F16DA">
        <w:t>orders. Objectives common to all jurisdictions are outlined below.</w:t>
      </w:r>
    </w:p>
    <w:p w:rsidR="009C7C8B" w:rsidRPr="002F16DA" w:rsidRDefault="009C7C8B" w:rsidP="00A93882">
      <w:pPr>
        <w:pStyle w:val="ListParagraph"/>
        <w:numPr>
          <w:ilvl w:val="0"/>
          <w:numId w:val="52"/>
        </w:numPr>
        <w:ind w:left="1077" w:hanging="357"/>
      </w:pPr>
      <w:r w:rsidRPr="00A93882">
        <w:rPr>
          <w:bCs/>
        </w:rPr>
        <w:t>Provide a safe, secure and humane custodial environment</w:t>
      </w:r>
      <w:r w:rsidR="00A93882" w:rsidRPr="00A93882">
        <w:rPr>
          <w:bCs/>
        </w:rPr>
        <w:t xml:space="preserve"> </w:t>
      </w:r>
      <w:r w:rsidR="00A93882">
        <w:rPr>
          <w:bCs/>
        </w:rPr>
        <w:t>–</w:t>
      </w:r>
      <w:r w:rsidR="00A93882" w:rsidRPr="00A93882">
        <w:rPr>
          <w:bCs/>
        </w:rPr>
        <w:t xml:space="preserve"> </w:t>
      </w:r>
      <w:r w:rsidR="00A93882">
        <w:rPr>
          <w:bCs/>
        </w:rPr>
        <w:t>C</w:t>
      </w:r>
      <w:r w:rsidRPr="002F16DA">
        <w:t>orrective services aim to protect the community through the effective management of</w:t>
      </w:r>
      <w:r>
        <w:t xml:space="preserve"> </w:t>
      </w:r>
      <w:r w:rsidRPr="002F16DA">
        <w:t xml:space="preserve">prisoners commensurate with their needs and the risks they pose to the </w:t>
      </w:r>
      <w:r>
        <w:t>c</w:t>
      </w:r>
      <w:r w:rsidRPr="002F16DA">
        <w:t>ommunity.</w:t>
      </w:r>
    </w:p>
    <w:p w:rsidR="009C7C8B" w:rsidRPr="002F16DA" w:rsidRDefault="009C7C8B" w:rsidP="00A93882">
      <w:pPr>
        <w:pStyle w:val="ListParagraph"/>
        <w:numPr>
          <w:ilvl w:val="0"/>
          <w:numId w:val="52"/>
        </w:numPr>
        <w:ind w:left="1077" w:hanging="357"/>
      </w:pPr>
      <w:r w:rsidRPr="00A93882">
        <w:rPr>
          <w:bCs/>
        </w:rPr>
        <w:t>Provide an effective community corrections environment</w:t>
      </w:r>
      <w:r w:rsidR="00A93882" w:rsidRPr="00A93882">
        <w:rPr>
          <w:bCs/>
        </w:rPr>
        <w:t xml:space="preserve"> – C</w:t>
      </w:r>
      <w:r w:rsidRPr="002F16DA">
        <w:t xml:space="preserve">orrective services aim to protect the community through the effective management </w:t>
      </w:r>
      <w:r w:rsidRPr="002F16DA">
        <w:lastRenderedPageBreak/>
        <w:t>of</w:t>
      </w:r>
      <w:r>
        <w:t xml:space="preserve"> </w:t>
      </w:r>
      <w:r w:rsidRPr="002F16DA">
        <w:t>offenders commensurate with their needs and the risks they pose to the community,</w:t>
      </w:r>
      <w:r>
        <w:t xml:space="preserve"> </w:t>
      </w:r>
      <w:r w:rsidRPr="002F16DA">
        <w:t>and to provide advice services to courts and releasing authorities in the determination</w:t>
      </w:r>
      <w:r>
        <w:t xml:space="preserve"> </w:t>
      </w:r>
      <w:r w:rsidRPr="002F16DA">
        <w:t>of orders and directions for offenders.</w:t>
      </w:r>
    </w:p>
    <w:p w:rsidR="009C7C8B" w:rsidRPr="002F16DA" w:rsidRDefault="009C7C8B" w:rsidP="003A21FA">
      <w:pPr>
        <w:pStyle w:val="ListParagraph"/>
        <w:numPr>
          <w:ilvl w:val="0"/>
          <w:numId w:val="52"/>
        </w:numPr>
        <w:ind w:left="1077" w:hanging="357"/>
      </w:pPr>
      <w:r w:rsidRPr="003A21FA">
        <w:rPr>
          <w:bCs/>
        </w:rPr>
        <w:t>Provide program interventions to reduce the risk of re-offending</w:t>
      </w:r>
      <w:r w:rsidR="003A21FA" w:rsidRPr="003A21FA">
        <w:rPr>
          <w:bCs/>
        </w:rPr>
        <w:t xml:space="preserve"> – C</w:t>
      </w:r>
      <w:r w:rsidRPr="002F16DA">
        <w:t>orrective services aim to reduce the risk of re-offending among prisoners and</w:t>
      </w:r>
      <w:r>
        <w:t xml:space="preserve"> </w:t>
      </w:r>
      <w:r w:rsidRPr="002F16DA">
        <w:t>offenders by providing services and program interventions that address the causes of</w:t>
      </w:r>
      <w:r>
        <w:t xml:space="preserve"> </w:t>
      </w:r>
      <w:r w:rsidRPr="002F16DA">
        <w:t xml:space="preserve">offending, </w:t>
      </w:r>
      <w:proofErr w:type="spellStart"/>
      <w:r w:rsidRPr="002F16DA">
        <w:t>maximise</w:t>
      </w:r>
      <w:proofErr w:type="spellEnd"/>
      <w:r w:rsidRPr="002F16DA">
        <w:t xml:space="preserve"> the chances of successful reintegration into the community, and</w:t>
      </w:r>
      <w:r>
        <w:t xml:space="preserve"> </w:t>
      </w:r>
      <w:r w:rsidRPr="002F16DA">
        <w:t>encourage offenders to adopt a law-abiding way of life.</w:t>
      </w:r>
    </w:p>
    <w:p w:rsidR="009C7C8B" w:rsidRDefault="009C7C8B" w:rsidP="009C7C8B">
      <w:pPr>
        <w:ind w:left="720"/>
      </w:pPr>
      <w:r w:rsidRPr="002F16DA">
        <w:t>These objectives are to be met through the provision of services in an equitable and</w:t>
      </w:r>
      <w:r>
        <w:t xml:space="preserve"> </w:t>
      </w:r>
      <w:r w:rsidRPr="002F16DA">
        <w:t>efficient manner.</w:t>
      </w:r>
    </w:p>
    <w:p w:rsidR="009C7C8B" w:rsidRDefault="009C7C8B" w:rsidP="009C7C8B">
      <w:r>
        <w:t>In consultations the Commission heard that these objectives are met in a piecemeal and unsatisfactory manner for people with disabilities.</w:t>
      </w:r>
    </w:p>
    <w:p w:rsidR="009C7C8B" w:rsidRDefault="009C7C8B" w:rsidP="00D40E37">
      <w:pPr>
        <w:pStyle w:val="Heading3"/>
        <w:numPr>
          <w:ilvl w:val="0"/>
          <w:numId w:val="0"/>
        </w:numPr>
        <w:ind w:left="851" w:hanging="851"/>
      </w:pPr>
      <w:bookmarkStart w:id="49" w:name="_Toc379195360"/>
      <w:r>
        <w:t>Barriers and Gaps</w:t>
      </w:r>
      <w:bookmarkEnd w:id="49"/>
    </w:p>
    <w:p w:rsidR="009C7C8B" w:rsidRPr="00FE7787" w:rsidRDefault="009C7C8B" w:rsidP="009C7C8B">
      <w:pPr>
        <w:ind w:left="720"/>
        <w:rPr>
          <w:i/>
          <w:iCs/>
          <w:lang w:val="en-US"/>
        </w:rPr>
      </w:pPr>
      <w:r w:rsidRPr="00FE7787">
        <w:rPr>
          <w:i/>
          <w:iCs/>
          <w:lang w:val="en-US"/>
        </w:rPr>
        <w:t>… [it is] quite common for Sisters Inside to meet and work with Aboriginal women in the Townsville Correctional Centre who have no idea what they were charged with or convicted for</w:t>
      </w:r>
      <w:r>
        <w:rPr>
          <w:i/>
          <w:iCs/>
          <w:lang w:val="en-US"/>
        </w:rPr>
        <w:t>.</w:t>
      </w:r>
      <w:r>
        <w:rPr>
          <w:rStyle w:val="EndnoteReference"/>
          <w:i/>
          <w:iCs/>
          <w:lang w:val="en-US"/>
        </w:rPr>
        <w:endnoteReference w:id="59"/>
      </w:r>
      <w:r w:rsidRPr="00FE7787">
        <w:rPr>
          <w:i/>
          <w:iCs/>
          <w:lang w:val="en-US"/>
        </w:rPr>
        <w:t xml:space="preserve"> </w:t>
      </w:r>
    </w:p>
    <w:p w:rsidR="009C7C8B" w:rsidRPr="00FE7787" w:rsidRDefault="009C7C8B" w:rsidP="009C7C8B">
      <w:r>
        <w:t xml:space="preserve">After making their way through the difficult processes of investigation and court proceedings, during which their human rights may have been disrespected and denied, </w:t>
      </w:r>
      <w:r w:rsidRPr="00FE7787">
        <w:t xml:space="preserve">in custodial settings new barriers </w:t>
      </w:r>
      <w:r>
        <w:t>confront</w:t>
      </w:r>
      <w:r w:rsidRPr="00FE7787">
        <w:t xml:space="preserve"> </w:t>
      </w:r>
      <w:r>
        <w:t>people with disabilities</w:t>
      </w:r>
      <w:r w:rsidRPr="00FE7787">
        <w:t xml:space="preserve">: </w:t>
      </w:r>
    </w:p>
    <w:p w:rsidR="009C7C8B" w:rsidRPr="00242BA9" w:rsidRDefault="009C7C8B" w:rsidP="00D40E37">
      <w:pPr>
        <w:pStyle w:val="ListParagraph"/>
        <w:numPr>
          <w:ilvl w:val="0"/>
          <w:numId w:val="34"/>
        </w:numPr>
      </w:pPr>
      <w:r w:rsidRPr="00242BA9">
        <w:t>Essential aids (for example hearing aids) are often removed and supports withdrawn as a form of punishment.</w:t>
      </w:r>
    </w:p>
    <w:p w:rsidR="009C7C8B" w:rsidRPr="00242BA9" w:rsidRDefault="009C7C8B" w:rsidP="00D40E37">
      <w:pPr>
        <w:pStyle w:val="ListParagraph"/>
        <w:numPr>
          <w:ilvl w:val="0"/>
          <w:numId w:val="34"/>
        </w:numPr>
      </w:pPr>
      <w:r w:rsidRPr="00242BA9">
        <w:t xml:space="preserve">Essential medication may be withheld. </w:t>
      </w:r>
    </w:p>
    <w:p w:rsidR="009C7C8B" w:rsidRPr="00242BA9" w:rsidRDefault="009C7C8B" w:rsidP="00D40E37">
      <w:pPr>
        <w:pStyle w:val="ListParagraph"/>
        <w:numPr>
          <w:ilvl w:val="0"/>
          <w:numId w:val="34"/>
        </w:numPr>
      </w:pPr>
      <w:r w:rsidRPr="00242BA9">
        <w:t>Inability to participate in programs due to disability and lack of supports or adjustments to programs.</w:t>
      </w:r>
    </w:p>
    <w:p w:rsidR="009C7C8B" w:rsidRPr="00242BA9" w:rsidRDefault="009C7C8B" w:rsidP="00D40E37">
      <w:pPr>
        <w:pStyle w:val="ListParagraph"/>
        <w:numPr>
          <w:ilvl w:val="0"/>
          <w:numId w:val="34"/>
        </w:numPr>
      </w:pPr>
      <w:r w:rsidRPr="00242BA9">
        <w:t>Indefinite detention on the basis of disability, without trial or being convicted of a crime.</w:t>
      </w:r>
    </w:p>
    <w:p w:rsidR="009C7C8B" w:rsidRPr="00242BA9" w:rsidRDefault="009C7C8B" w:rsidP="00D40E37">
      <w:pPr>
        <w:pStyle w:val="ListParagraph"/>
        <w:numPr>
          <w:ilvl w:val="0"/>
          <w:numId w:val="34"/>
        </w:numPr>
      </w:pPr>
      <w:r w:rsidRPr="00242BA9">
        <w:t>Inhuman and degrading treatment to manage or respond to disability.</w:t>
      </w:r>
    </w:p>
    <w:p w:rsidR="009C7C8B" w:rsidRPr="00FE7787" w:rsidRDefault="009C7C8B" w:rsidP="009C7C8B">
      <w:r w:rsidRPr="00FE7787">
        <w:rPr>
          <w:lang w:val="en-US"/>
        </w:rPr>
        <w:t>T</w:t>
      </w:r>
      <w:r w:rsidRPr="00FE7787">
        <w:t>he</w:t>
      </w:r>
      <w:r>
        <w:t xml:space="preserve"> indicators referred to above in Chapter 2 </w:t>
      </w:r>
      <w:r w:rsidR="00661813">
        <w:t xml:space="preserve">demonstrate </w:t>
      </w:r>
      <w:r>
        <w:t>proportionately high levels in the criminal justice system of people with disabilities, compounded by the high rates of disability among people with social disadvantage. This has serious consequences for the welfare of prisoners, the capacity of custodial and non-custodial corrections staff to deliver services and the cost to the community of much avoidable incarceration</w:t>
      </w:r>
      <w:r w:rsidRPr="00FE7787">
        <w:t>.</w:t>
      </w:r>
    </w:p>
    <w:p w:rsidR="009C7C8B" w:rsidRPr="00FE7787" w:rsidRDefault="009C7C8B" w:rsidP="009C7C8B">
      <w:r w:rsidRPr="00FE7787">
        <w:t xml:space="preserve">While it is known that the level of disability is high in prison populations, many </w:t>
      </w:r>
      <w:r>
        <w:t>people with disabilities</w:t>
      </w:r>
      <w:r w:rsidRPr="00FE7787">
        <w:t xml:space="preserve"> are not identified as having a disability on entry into, or while in, prison. Assessment for disability in prison is patchy and not consistently measured. The Commission heard that even if a person’s disability is identified or known, appropriate support, medication and services are </w:t>
      </w:r>
      <w:r>
        <w:t xml:space="preserve">frequently </w:t>
      </w:r>
      <w:r w:rsidRPr="00FE7787">
        <w:t xml:space="preserve">not provided in prison or there is limited follow-up. </w:t>
      </w:r>
    </w:p>
    <w:p w:rsidR="009C7C8B" w:rsidRPr="00FE7787" w:rsidRDefault="009C7C8B" w:rsidP="009C7C8B">
      <w:pPr>
        <w:ind w:left="720"/>
        <w:rPr>
          <w:i/>
          <w:iCs/>
        </w:rPr>
      </w:pPr>
      <w:r w:rsidRPr="00FE7787">
        <w:rPr>
          <w:i/>
          <w:iCs/>
        </w:rPr>
        <w:lastRenderedPageBreak/>
        <w:t xml:space="preserve">They did not understand how important my medication was </w:t>
      </w:r>
      <w:proofErr w:type="spellStart"/>
      <w:r w:rsidRPr="00FE7787">
        <w:rPr>
          <w:i/>
          <w:iCs/>
        </w:rPr>
        <w:t>Dilantin</w:t>
      </w:r>
      <w:proofErr w:type="spellEnd"/>
      <w:r w:rsidRPr="00FE7787">
        <w:rPr>
          <w:i/>
          <w:iCs/>
        </w:rPr>
        <w:t xml:space="preserve"> – they didn’t give it to me and I had lots of seizures and had to be taken to hospital</w:t>
      </w:r>
      <w:r w:rsidR="002A6EF5">
        <w:rPr>
          <w:iCs/>
        </w:rPr>
        <w:t>.</w:t>
      </w:r>
      <w:r>
        <w:rPr>
          <w:rStyle w:val="EndnoteReference"/>
          <w:i/>
          <w:iCs/>
        </w:rPr>
        <w:endnoteReference w:id="60"/>
      </w:r>
    </w:p>
    <w:p w:rsidR="009C7C8B" w:rsidRPr="00FE7787" w:rsidRDefault="009C7C8B" w:rsidP="009C7C8B">
      <w:r w:rsidRPr="00FE7787">
        <w:t>Sisters Inside reported that incarcerated women may receive the wrong or unsuitable medication. The women are often subject to punishment if they refuse to take this medication, even if they know they are allergic to it or have other adverse physical or psychological reactions to the medication.</w:t>
      </w:r>
      <w:r>
        <w:rPr>
          <w:rStyle w:val="EndnoteReference"/>
        </w:rPr>
        <w:endnoteReference w:id="61"/>
      </w:r>
      <w:r w:rsidRPr="00FE7787">
        <w:t xml:space="preserve"> These problems are compounded by the lack of communication between corrections and health services and the inability of other health care providers to </w:t>
      </w:r>
      <w:r>
        <w:t xml:space="preserve">gain </w:t>
      </w:r>
      <w:r w:rsidRPr="00FE7787">
        <w:t>access to certain prisoners to provide treatment and support.</w:t>
      </w:r>
    </w:p>
    <w:p w:rsidR="009C7C8B" w:rsidRPr="00FE7787" w:rsidRDefault="009C7C8B" w:rsidP="009C7C8B">
      <w:pPr>
        <w:rPr>
          <w:i/>
          <w:iCs/>
        </w:rPr>
      </w:pPr>
      <w:r w:rsidRPr="00FE7787">
        <w:t>Transition accommodation options from prison to the community were also reported as problematic and concerns were expressed that the transition accommodation resembled prisons</w:t>
      </w:r>
      <w:r>
        <w:t xml:space="preserve">, was culturally unsafe for Aboriginal and Torres Strait Islander people, and that </w:t>
      </w:r>
      <w:r w:rsidRPr="00FE7787">
        <w:t xml:space="preserve">insufficient effort </w:t>
      </w:r>
      <w:r>
        <w:t xml:space="preserve">had been put in </w:t>
      </w:r>
      <w:r w:rsidRPr="00FE7787">
        <w:t>to transition people out</w:t>
      </w:r>
      <w:r>
        <w:t>.</w:t>
      </w:r>
      <w:r w:rsidRPr="00FE7787" w:rsidDel="00A86FAE">
        <w:t xml:space="preserve"> </w:t>
      </w:r>
    </w:p>
    <w:p w:rsidR="009C7C8B" w:rsidRPr="00FE7787" w:rsidRDefault="009C7C8B" w:rsidP="009C7C8B">
      <w:r w:rsidRPr="00FE7787">
        <w:t xml:space="preserve">Limited access to communication support and appropriate adjustments for people with </w:t>
      </w:r>
      <w:r>
        <w:t>disabilities</w:t>
      </w:r>
      <w:r w:rsidRPr="00FE7787">
        <w:t xml:space="preserve"> may also result in </w:t>
      </w:r>
      <w:r>
        <w:t>the inability</w:t>
      </w:r>
      <w:r w:rsidRPr="00FE7787">
        <w:t xml:space="preserve"> to participate in health, education, employment</w:t>
      </w:r>
      <w:r>
        <w:t xml:space="preserve">, </w:t>
      </w:r>
      <w:r w:rsidRPr="00FE7787">
        <w:t>rehabilitation</w:t>
      </w:r>
      <w:r>
        <w:t>, and pre-release programs</w:t>
      </w:r>
      <w:r w:rsidRPr="00FE7787">
        <w:t xml:space="preserve"> in prison</w:t>
      </w:r>
      <w:r>
        <w:t>. This can lead</w:t>
      </w:r>
      <w:r w:rsidRPr="00FE7787">
        <w:t xml:space="preserve"> to social isolation. For example, the Tasmanian Prison Service Strategic Plan Discussion Paper 2011-2020 stated:</w:t>
      </w:r>
    </w:p>
    <w:p w:rsidR="009C7C8B" w:rsidRPr="00FE7787" w:rsidRDefault="009C7C8B" w:rsidP="009C7C8B">
      <w:pPr>
        <w:ind w:left="720"/>
        <w:rPr>
          <w:i/>
          <w:iCs/>
        </w:rPr>
      </w:pPr>
      <w:r w:rsidRPr="00FE7787">
        <w:rPr>
          <w:i/>
          <w:iCs/>
        </w:rPr>
        <w:t>Offenders with intellectual disabilities or acquired brain injuries are not able to participate in programmes with the other offenders due to their reduced cognitive functioning.</w:t>
      </w:r>
    </w:p>
    <w:p w:rsidR="009C7C8B" w:rsidRPr="00FE7787" w:rsidRDefault="009C7C8B" w:rsidP="009C7C8B">
      <w:r w:rsidRPr="00FE7787">
        <w:t>The inability of prisoners with disabilit</w:t>
      </w:r>
      <w:r>
        <w:t>ies</w:t>
      </w:r>
      <w:r w:rsidRPr="00FE7787">
        <w:t xml:space="preserve"> to participate in prison </w:t>
      </w:r>
      <w:proofErr w:type="gramStart"/>
      <w:r w:rsidRPr="00FE7787">
        <w:t>programs,</w:t>
      </w:r>
      <w:proofErr w:type="gramEnd"/>
      <w:r w:rsidRPr="00FE7787">
        <w:t xml:space="preserve"> and pre-release programs in particular, also appears to result in delays and difficulties for prisoners with disability to leave prison or exit with successful chances of re-integration:</w:t>
      </w:r>
    </w:p>
    <w:p w:rsidR="009C7C8B" w:rsidRPr="00006474" w:rsidRDefault="009C7C8B" w:rsidP="009C7C8B">
      <w:pPr>
        <w:ind w:left="720"/>
        <w:rPr>
          <w:iCs/>
        </w:rPr>
      </w:pPr>
      <w:r w:rsidRPr="00FE7787">
        <w:rPr>
          <w:i/>
          <w:iCs/>
        </w:rPr>
        <w:t>For example, a male with an IQ of 70 convicted of a sex offence and imprisoned was ineligible to participate in a sexual offender treatment program because corrective services only allowed those with an IQ above 85 to complete the course. However, a sex offender who has not completed such a program may be viewed less favourably by the parole board and therefore not placed onto parole. An anti</w:t>
      </w:r>
      <w:r w:rsidRPr="00FE7787">
        <w:rPr>
          <w:rFonts w:ascii="Cambria Math" w:hAnsi="Cambria Math" w:cs="Cambria Math"/>
          <w:i/>
          <w:iCs/>
        </w:rPr>
        <w:t>‐</w:t>
      </w:r>
      <w:r w:rsidRPr="00FE7787">
        <w:rPr>
          <w:i/>
          <w:iCs/>
        </w:rPr>
        <w:t>discrimination case was made and a program suitable for a person with intellectual disability and tailored to this m</w:t>
      </w:r>
      <w:r>
        <w:rPr>
          <w:i/>
          <w:iCs/>
        </w:rPr>
        <w:t>an’s circumstances was created.</w:t>
      </w:r>
      <w:r>
        <w:rPr>
          <w:rStyle w:val="EndnoteReference"/>
          <w:i/>
          <w:iCs/>
        </w:rPr>
        <w:endnoteReference w:id="62"/>
      </w:r>
    </w:p>
    <w:p w:rsidR="009C7C8B" w:rsidRDefault="009C7C8B" w:rsidP="009C7C8B">
      <w:r w:rsidRPr="00FE7787">
        <w:t xml:space="preserve">Lack of hearing aids and access to interpreters and independent communication support workers means application for parole may be further compounded. Other factors that make it difficult for </w:t>
      </w:r>
      <w:r>
        <w:t>people with disabilities</w:t>
      </w:r>
      <w:r w:rsidRPr="00FE7787">
        <w:t xml:space="preserve"> to obtain parole are:</w:t>
      </w:r>
    </w:p>
    <w:p w:rsidR="009C7C8B" w:rsidRDefault="009C7C8B" w:rsidP="00D40E37">
      <w:pPr>
        <w:pStyle w:val="ListParagraph"/>
        <w:numPr>
          <w:ilvl w:val="0"/>
          <w:numId w:val="30"/>
        </w:numPr>
      </w:pPr>
      <w:r w:rsidRPr="00FE7787">
        <w:t xml:space="preserve">difficulty for </w:t>
      </w:r>
      <w:r>
        <w:t>people with disabilities</w:t>
      </w:r>
      <w:r w:rsidRPr="00FE7787">
        <w:t xml:space="preserve"> to present their case to the Parole Board</w:t>
      </w:r>
    </w:p>
    <w:p w:rsidR="009C7C8B" w:rsidRDefault="009C7C8B" w:rsidP="00E801BB">
      <w:pPr>
        <w:pStyle w:val="ListParagraph"/>
        <w:numPr>
          <w:ilvl w:val="0"/>
          <w:numId w:val="30"/>
        </w:numPr>
        <w:ind w:left="714" w:hanging="357"/>
      </w:pPr>
      <w:r w:rsidRPr="00FE7787">
        <w:t>denial of legal representation</w:t>
      </w:r>
    </w:p>
    <w:p w:rsidR="009C7C8B" w:rsidRPr="00FE7787" w:rsidRDefault="009C7C8B" w:rsidP="00D40E37">
      <w:pPr>
        <w:pStyle w:val="ListParagraph"/>
        <w:numPr>
          <w:ilvl w:val="0"/>
          <w:numId w:val="30"/>
        </w:numPr>
      </w:pPr>
      <w:proofErr w:type="gramStart"/>
      <w:r w:rsidRPr="00FE7787">
        <w:t>inability</w:t>
      </w:r>
      <w:proofErr w:type="gramEnd"/>
      <w:r w:rsidRPr="00FE7787">
        <w:t xml:space="preserve"> to put forward a workable post-release plan. </w:t>
      </w:r>
    </w:p>
    <w:p w:rsidR="009C7C8B" w:rsidRPr="00FE7787" w:rsidRDefault="009C7C8B" w:rsidP="009C7C8B">
      <w:r w:rsidRPr="00FE7787">
        <w:t xml:space="preserve">Negative attitudes and lack of awareness about disability by correctional officers was also identified as a significant barrier. Of more serious concern however were reports of </w:t>
      </w:r>
      <w:r>
        <w:t>people with disabilities</w:t>
      </w:r>
      <w:r w:rsidRPr="00FE7787">
        <w:t xml:space="preserve"> being subjected to a range of harmful </w:t>
      </w:r>
      <w:proofErr w:type="gramStart"/>
      <w:r w:rsidRPr="00FE7787">
        <w:t>practices.</w:t>
      </w:r>
      <w:proofErr w:type="gramEnd"/>
      <w:r w:rsidRPr="00FE7787">
        <w:t xml:space="preserve"> For </w:t>
      </w:r>
      <w:r w:rsidRPr="00FE7787">
        <w:lastRenderedPageBreak/>
        <w:t>example: being shackled in hospitals, segregation for long periods of time, medical restraint, violence against women, indefinite detention resulting in deterioration of mental health, seclusion tactics for people with psychiatric disabilities and denying family visits or removal of support person as punishment.</w:t>
      </w:r>
      <w:r w:rsidRPr="00FE7787">
        <w:rPr>
          <w:b/>
          <w:bCs/>
          <w:i/>
          <w:iCs/>
          <w:vertAlign w:val="superscript"/>
        </w:rPr>
        <w:t xml:space="preserve"> </w:t>
      </w:r>
      <w:r w:rsidRPr="00FE7787">
        <w:t xml:space="preserve"> NAAJA reported one story as follows:</w:t>
      </w:r>
    </w:p>
    <w:p w:rsidR="009C7C8B" w:rsidRPr="00A571A1" w:rsidRDefault="009C7C8B" w:rsidP="009C7C8B">
      <w:pPr>
        <w:ind w:left="720"/>
        <w:rPr>
          <w:iCs/>
        </w:rPr>
      </w:pPr>
      <w:r w:rsidRPr="00FE7787">
        <w:rPr>
          <w:i/>
          <w:iCs/>
        </w:rPr>
        <w:t xml:space="preserve">There is a man in detention </w:t>
      </w:r>
      <w:proofErr w:type="gramStart"/>
      <w:r w:rsidRPr="00FE7787">
        <w:rPr>
          <w:i/>
          <w:iCs/>
        </w:rPr>
        <w:t>who</w:t>
      </w:r>
      <w:proofErr w:type="gramEnd"/>
      <w:r w:rsidRPr="00FE7787">
        <w:rPr>
          <w:i/>
          <w:iCs/>
        </w:rPr>
        <w:t xml:space="preserve"> is stuck in a single cell for 16 hours a day and if he is allowed out, it is out into the mesh yard. This is outrageous.</w:t>
      </w:r>
      <w:r>
        <w:rPr>
          <w:rStyle w:val="EndnoteReference"/>
          <w:i/>
          <w:iCs/>
        </w:rPr>
        <w:endnoteReference w:id="63"/>
      </w:r>
    </w:p>
    <w:p w:rsidR="009C7C8B" w:rsidRPr="00FE7787" w:rsidRDefault="009C7C8B" w:rsidP="009C7C8B">
      <w:r w:rsidRPr="00FE7787">
        <w:t>Lack of training for correctional officers contributes to this situation.</w:t>
      </w:r>
    </w:p>
    <w:p w:rsidR="009C7C8B" w:rsidRDefault="009C7C8B" w:rsidP="009C7C8B">
      <w:pPr>
        <w:rPr>
          <w:lang w:val="en-US"/>
        </w:rPr>
      </w:pPr>
      <w:r w:rsidRPr="00FE7787">
        <w:rPr>
          <w:lang w:val="en-US"/>
        </w:rPr>
        <w:t xml:space="preserve">The indefinite detention of </w:t>
      </w:r>
      <w:r>
        <w:rPr>
          <w:lang w:val="en-US"/>
        </w:rPr>
        <w:t xml:space="preserve">people with disabilities </w:t>
      </w:r>
      <w:r w:rsidRPr="00FE7787">
        <w:rPr>
          <w:lang w:val="en-US"/>
        </w:rPr>
        <w:t xml:space="preserve">is a persistent issue and of grave concern. The Commission has </w:t>
      </w:r>
      <w:r w:rsidR="00661813">
        <w:rPr>
          <w:lang w:val="en-US"/>
        </w:rPr>
        <w:t xml:space="preserve">previously </w:t>
      </w:r>
      <w:r w:rsidRPr="00FE7787">
        <w:rPr>
          <w:lang w:val="en-US"/>
        </w:rPr>
        <w:t xml:space="preserve">highlighted the case of Marlon Noble, an Aboriginal man who was in prison for over ten </w:t>
      </w:r>
      <w:r>
        <w:rPr>
          <w:lang w:val="en-US"/>
        </w:rPr>
        <w:t xml:space="preserve">years </w:t>
      </w:r>
      <w:r w:rsidRPr="00FE7787">
        <w:rPr>
          <w:lang w:val="en-US"/>
        </w:rPr>
        <w:t>despite never being tried or convicted of any crime. The United Nations Committee on the Rights of Persons with Disabilities recently recommended that the Australian government</w:t>
      </w:r>
      <w:r>
        <w:rPr>
          <w:lang w:val="en-US"/>
        </w:rPr>
        <w:t>:</w:t>
      </w:r>
    </w:p>
    <w:p w:rsidR="009C7C8B" w:rsidRPr="00360E68" w:rsidRDefault="009C7C8B" w:rsidP="009C7C8B">
      <w:pPr>
        <w:ind w:left="720"/>
        <w:rPr>
          <w:i/>
          <w:lang w:val="en-US"/>
        </w:rPr>
      </w:pPr>
      <w:r>
        <w:rPr>
          <w:lang w:val="en-US"/>
        </w:rPr>
        <w:t xml:space="preserve"> </w:t>
      </w:r>
      <w:r w:rsidRPr="00360E68">
        <w:rPr>
          <w:i/>
          <w:lang w:val="en-US"/>
        </w:rPr>
        <w:t xml:space="preserve">… </w:t>
      </w:r>
      <w:proofErr w:type="gramStart"/>
      <w:r w:rsidRPr="00360E68">
        <w:rPr>
          <w:i/>
          <w:lang w:val="en-US"/>
        </w:rPr>
        <w:t>as</w:t>
      </w:r>
      <w:proofErr w:type="gramEnd"/>
      <w:r w:rsidRPr="00360E68">
        <w:rPr>
          <w:i/>
          <w:lang w:val="en-US"/>
        </w:rPr>
        <w:t xml:space="preserve"> a matter of urgency:</w:t>
      </w:r>
    </w:p>
    <w:p w:rsidR="009C7C8B" w:rsidRPr="00360E68" w:rsidRDefault="009C7C8B" w:rsidP="009C7C8B">
      <w:pPr>
        <w:ind w:left="720"/>
      </w:pPr>
      <w:r w:rsidRPr="00360E68">
        <w:rPr>
          <w:i/>
          <w:lang w:val="en-US"/>
        </w:rPr>
        <w:t xml:space="preserve">(a) End the unwarranted use of prisons for the management of </w:t>
      </w:r>
      <w:proofErr w:type="spellStart"/>
      <w:r w:rsidRPr="00360E68">
        <w:rPr>
          <w:i/>
          <w:lang w:val="en-US"/>
        </w:rPr>
        <w:t>unconvicted</w:t>
      </w:r>
      <w:proofErr w:type="spellEnd"/>
      <w:r w:rsidRPr="00360E68">
        <w:rPr>
          <w:i/>
          <w:lang w:val="en-US"/>
        </w:rPr>
        <w:t xml:space="preserve"> persons with disabilities, focusing on Aboriginal and Torres Strait Islander persons with disabilities, by establishing legislative, administrative and support frameworks that comply with the Convention.</w:t>
      </w:r>
      <w:r>
        <w:rPr>
          <w:rStyle w:val="EndnoteReference"/>
          <w:i/>
          <w:lang w:val="en-US"/>
        </w:rPr>
        <w:endnoteReference w:id="64"/>
      </w:r>
    </w:p>
    <w:p w:rsidR="009C7C8B" w:rsidRPr="00FE7787" w:rsidRDefault="009C7C8B" w:rsidP="009C7C8B">
      <w:r>
        <w:t>W</w:t>
      </w:r>
      <w:r w:rsidRPr="00FE7787">
        <w:t xml:space="preserve">e heard the barriers for successful release from prison and reintegration in the community are hampered by a number of factors: </w:t>
      </w:r>
    </w:p>
    <w:p w:rsidR="009C7C8B" w:rsidRPr="00C37E6D" w:rsidRDefault="009C7C8B" w:rsidP="00D40E37">
      <w:pPr>
        <w:pStyle w:val="ListParagraph"/>
        <w:numPr>
          <w:ilvl w:val="0"/>
          <w:numId w:val="35"/>
        </w:numPr>
      </w:pPr>
      <w:r w:rsidRPr="00C37E6D">
        <w:t xml:space="preserve">People with disabilities are released without long term planning, and in particular no long-term mental health planning </w:t>
      </w:r>
    </w:p>
    <w:p w:rsidR="009C7C8B" w:rsidRPr="00C37E6D" w:rsidRDefault="009C7C8B" w:rsidP="00D40E37">
      <w:pPr>
        <w:pStyle w:val="ListParagraph"/>
        <w:numPr>
          <w:ilvl w:val="0"/>
          <w:numId w:val="35"/>
        </w:numPr>
      </w:pPr>
      <w:r w:rsidRPr="00C37E6D">
        <w:t>The lack of culturally relevant supports</w:t>
      </w:r>
    </w:p>
    <w:p w:rsidR="009C7C8B" w:rsidRPr="00C37E6D" w:rsidRDefault="009C7C8B" w:rsidP="00D40E37">
      <w:pPr>
        <w:pStyle w:val="ListParagraph"/>
        <w:numPr>
          <w:ilvl w:val="0"/>
          <w:numId w:val="35"/>
        </w:numPr>
      </w:pPr>
      <w:r w:rsidRPr="00C37E6D">
        <w:t>The lack of appropriate housing and employment means that many people with disabilities cycle in and out of the criminal justice system</w:t>
      </w:r>
    </w:p>
    <w:p w:rsidR="009C7C8B" w:rsidRPr="00FE7787" w:rsidRDefault="009C7C8B" w:rsidP="009C7C8B">
      <w:r w:rsidRPr="00FE7787">
        <w:t>Concerns were raised about the limited transition planning that occurs prior to release. We heard that prisoners in Western Australia are often released with no long term planning for their mental health, accommodation and financial needs, and as a result they are likely to re-offend. We heard that where juvenile justice agencies provide appropriate services to children when they are in their care, these services are no longer available when the children are released.</w:t>
      </w:r>
      <w:r w:rsidRPr="00FE7787">
        <w:rPr>
          <w:vertAlign w:val="superscript"/>
        </w:rPr>
        <w:t xml:space="preserve"> </w:t>
      </w:r>
      <w:r w:rsidRPr="00FE7787">
        <w:t xml:space="preserve">  </w:t>
      </w:r>
    </w:p>
    <w:p w:rsidR="009C7C8B" w:rsidRPr="00FE7787" w:rsidRDefault="00661813" w:rsidP="009C7C8B">
      <w:r>
        <w:t xml:space="preserve">The Commission was also encouraged to hear </w:t>
      </w:r>
      <w:r w:rsidR="009C7C8B" w:rsidRPr="00FE7787">
        <w:t xml:space="preserve">positive stories that </w:t>
      </w:r>
      <w:r w:rsidR="009C7C8B">
        <w:t xml:space="preserve">indicate appropriate supports lead to </w:t>
      </w:r>
      <w:r w:rsidR="009C7C8B" w:rsidRPr="00FE7787">
        <w:t xml:space="preserve">positive outcomes </w:t>
      </w:r>
      <w:r w:rsidR="009C7C8B">
        <w:t>that limit the</w:t>
      </w:r>
      <w:r w:rsidR="009C7C8B" w:rsidRPr="00FE7787">
        <w:t xml:space="preserve"> cycle through the criminal justice system and </w:t>
      </w:r>
      <w:r w:rsidR="009C7C8B">
        <w:t xml:space="preserve">its </w:t>
      </w:r>
      <w:r w:rsidR="009C7C8B" w:rsidRPr="00FE7787">
        <w:t>negative consequences:</w:t>
      </w:r>
    </w:p>
    <w:p w:rsidR="009C7C8B" w:rsidRPr="00FE7787" w:rsidRDefault="009C7C8B" w:rsidP="009C7C8B">
      <w:pPr>
        <w:ind w:left="720"/>
        <w:rPr>
          <w:i/>
          <w:iCs/>
        </w:rPr>
      </w:pPr>
      <w:r w:rsidRPr="00FE7787">
        <w:rPr>
          <w:i/>
          <w:iCs/>
        </w:rPr>
        <w:t>An Aboriginal man with a mild intellectual disability committed violent offences. We helped him to develop an interest in cultural artwork. He has not reoffended since he developed this interest. He is now engaged with the Department of Human Services, is connected to his family, his community and now puts his artwork on display.</w:t>
      </w:r>
      <w:r>
        <w:rPr>
          <w:rStyle w:val="EndnoteReference"/>
          <w:i/>
          <w:iCs/>
        </w:rPr>
        <w:endnoteReference w:id="65"/>
      </w:r>
      <w:r w:rsidRPr="00FE7787">
        <w:rPr>
          <w:i/>
          <w:iCs/>
        </w:rPr>
        <w:t xml:space="preserve"> </w:t>
      </w:r>
    </w:p>
    <w:p w:rsidR="002E4A2B" w:rsidRDefault="002E4A2B" w:rsidP="002E4A2B">
      <w:pPr>
        <w:pStyle w:val="Heading2"/>
      </w:pPr>
      <w:bookmarkStart w:id="50" w:name="_Toc379195361"/>
      <w:r>
        <w:lastRenderedPageBreak/>
        <w:t>National Disability Insurance Scheme</w:t>
      </w:r>
      <w:bookmarkEnd w:id="50"/>
    </w:p>
    <w:p w:rsidR="009C7C8B" w:rsidRDefault="009C7C8B" w:rsidP="009C7C8B">
      <w:r w:rsidRPr="00FE7787">
        <w:t xml:space="preserve">The </w:t>
      </w:r>
      <w:r>
        <w:t xml:space="preserve">role of the </w:t>
      </w:r>
      <w:r w:rsidRPr="00FE7787">
        <w:t>National Disability Insurance Scheme (</w:t>
      </w:r>
      <w:r>
        <w:t>NDIS</w:t>
      </w:r>
      <w:r w:rsidRPr="00FE7787">
        <w:t xml:space="preserve">) </w:t>
      </w:r>
      <w:r>
        <w:t>in the criminal justice system was frequently raised during consultations, particularly in relation to early intervention, diversion and post release support. The NDIS commenced on 1 July 2013 and the impact which it may have is difficult to judge based on less than 6 months of 4 trial sites.</w:t>
      </w:r>
      <w:r w:rsidRPr="00055512">
        <w:t xml:space="preserve"> However, indications suggest that its impact could play an important and positive role</w:t>
      </w:r>
      <w:r>
        <w:t>.</w:t>
      </w:r>
    </w:p>
    <w:p w:rsidR="00243058" w:rsidRDefault="00243058" w:rsidP="009C7C8B">
      <w:pPr>
        <w:rPr>
          <w:i/>
          <w:iCs/>
        </w:rPr>
        <w:sectPr w:rsidR="00243058" w:rsidSect="005B1CB8">
          <w:endnotePr>
            <w:numFmt w:val="decimal"/>
          </w:endnotePr>
          <w:pgSz w:w="11906" w:h="16838" w:code="9"/>
          <w:pgMar w:top="1134" w:right="1418" w:bottom="1134" w:left="1418" w:header="709" w:footer="709" w:gutter="0"/>
          <w:cols w:space="708"/>
          <w:docGrid w:linePitch="360"/>
        </w:sectPr>
      </w:pPr>
    </w:p>
    <w:p w:rsidR="00243058" w:rsidRPr="00243058" w:rsidRDefault="00243058" w:rsidP="00243058">
      <w:pPr>
        <w:pStyle w:val="Heading1"/>
        <w:rPr>
          <w:sz w:val="36"/>
          <w:szCs w:val="36"/>
        </w:rPr>
      </w:pPr>
      <w:bookmarkStart w:id="51" w:name="_Toc379195362"/>
      <w:r w:rsidRPr="00243058">
        <w:rPr>
          <w:sz w:val="36"/>
          <w:szCs w:val="36"/>
        </w:rPr>
        <w:lastRenderedPageBreak/>
        <w:t>Actions and statements of principle</w:t>
      </w:r>
      <w:bookmarkEnd w:id="51"/>
    </w:p>
    <w:p w:rsidR="00661813" w:rsidRDefault="00661813" w:rsidP="00243058">
      <w:r>
        <w:t xml:space="preserve">The Commission considers that each jurisdiction in Australia requires </w:t>
      </w:r>
      <w:proofErr w:type="gramStart"/>
      <w:r>
        <w:t>an</w:t>
      </w:r>
      <w:proofErr w:type="gramEnd"/>
      <w:r>
        <w:t xml:space="preserve"> holistic, coordinated response to th</w:t>
      </w:r>
      <w:r w:rsidR="00CE446D">
        <w:t xml:space="preserve">e issues raised in this </w:t>
      </w:r>
      <w:r w:rsidR="00DE46FF">
        <w:t>report</w:t>
      </w:r>
      <w:r w:rsidR="005B46DA">
        <w:t xml:space="preserve"> through a Disability Justice Strategy</w:t>
      </w:r>
      <w:r w:rsidR="00CE446D">
        <w:t>. T</w:t>
      </w:r>
      <w:r>
        <w:t>he development of a Disability Justice Plan in South Australia provides a good potential model for achieving this.</w:t>
      </w:r>
    </w:p>
    <w:p w:rsidR="00243058" w:rsidRDefault="00243058" w:rsidP="00243058">
      <w:r>
        <w:t xml:space="preserve">The Commission considers that any Disability Justice Strategy </w:t>
      </w:r>
      <w:r w:rsidR="00CE446D">
        <w:t xml:space="preserve">should </w:t>
      </w:r>
      <w:r>
        <w:t>address a core set of principles and include certain fundamental actions. These are set out in the following six sections:</w:t>
      </w:r>
    </w:p>
    <w:p w:rsidR="00243058" w:rsidRDefault="00243058" w:rsidP="00243058">
      <w:pPr>
        <w:pStyle w:val="ListParagraph"/>
        <w:numPr>
          <w:ilvl w:val="0"/>
          <w:numId w:val="19"/>
        </w:numPr>
      </w:pPr>
      <w:r>
        <w:t>Appropriate communications</w:t>
      </w:r>
    </w:p>
    <w:p w:rsidR="00243058" w:rsidRDefault="00243058" w:rsidP="00243058">
      <w:pPr>
        <w:pStyle w:val="ListParagraph"/>
        <w:numPr>
          <w:ilvl w:val="0"/>
          <w:numId w:val="19"/>
        </w:numPr>
      </w:pPr>
      <w:r>
        <w:t>Early intervention and diversion</w:t>
      </w:r>
    </w:p>
    <w:p w:rsidR="00243058" w:rsidRDefault="00243058" w:rsidP="00243058">
      <w:pPr>
        <w:pStyle w:val="ListParagraph"/>
        <w:numPr>
          <w:ilvl w:val="0"/>
          <w:numId w:val="19"/>
        </w:numPr>
      </w:pPr>
      <w:r>
        <w:t>Increased service capacity</w:t>
      </w:r>
    </w:p>
    <w:p w:rsidR="00243058" w:rsidRDefault="00243058" w:rsidP="00243058">
      <w:pPr>
        <w:pStyle w:val="ListParagraph"/>
        <w:numPr>
          <w:ilvl w:val="0"/>
          <w:numId w:val="19"/>
        </w:numPr>
      </w:pPr>
      <w:r>
        <w:t>Effective training</w:t>
      </w:r>
    </w:p>
    <w:p w:rsidR="00243058" w:rsidRDefault="00243058" w:rsidP="00243058">
      <w:pPr>
        <w:pStyle w:val="ListParagraph"/>
        <w:numPr>
          <w:ilvl w:val="0"/>
          <w:numId w:val="19"/>
        </w:numPr>
      </w:pPr>
      <w:r>
        <w:t>Enhanced accountability and monitoring</w:t>
      </w:r>
    </w:p>
    <w:p w:rsidR="00243058" w:rsidRDefault="00243058" w:rsidP="00243058">
      <w:pPr>
        <w:pStyle w:val="ListParagraph"/>
        <w:numPr>
          <w:ilvl w:val="0"/>
          <w:numId w:val="19"/>
        </w:numPr>
      </w:pPr>
      <w:r>
        <w:t>Better policies and frameworks</w:t>
      </w:r>
    </w:p>
    <w:p w:rsidR="00243058" w:rsidRPr="00BD49A0" w:rsidRDefault="00243058" w:rsidP="00243058">
      <w:r>
        <w:t>It is not the Commission’s intention to prescribe all the details of an ideal Disability Justice Strategy. Strategies may need to be adapted to suit the circumstances of individual jurisdictions and must be given effect in operational plans devised and owned by those ‘on the ground’. We consider, however, that respect for the human rights, dignity and personal autonomy of people with disabilities compel the following essential matters to be covered by Disability Justice Strategies developed in partnership with people with disabilities</w:t>
      </w:r>
    </w:p>
    <w:p w:rsidR="00243058" w:rsidRDefault="00243058" w:rsidP="00A06A3F">
      <w:pPr>
        <w:pStyle w:val="Heading2"/>
      </w:pPr>
      <w:bookmarkStart w:id="52" w:name="_Toc379195363"/>
      <w:r>
        <w:t>Outcome: Appropriate communications</w:t>
      </w:r>
      <w:bookmarkEnd w:id="52"/>
    </w:p>
    <w:p w:rsidR="00243058" w:rsidRDefault="00243058" w:rsidP="00A06A3F">
      <w:pPr>
        <w:pStyle w:val="Heading4"/>
        <w:numPr>
          <w:ilvl w:val="0"/>
          <w:numId w:val="0"/>
        </w:numPr>
      </w:pPr>
      <w:bookmarkStart w:id="53" w:name="_Toc379195364"/>
      <w:r>
        <w:t>PRINCIPLES</w:t>
      </w:r>
      <w:bookmarkEnd w:id="53"/>
    </w:p>
    <w:p w:rsidR="00243058" w:rsidRDefault="00243058" w:rsidP="00243058">
      <w:r>
        <w:t>Communication is essential to personal autonomy and decision-making. Securing effective and appropriate communication as a right should be the cornerstone of any Disability Justice Strategy.</w:t>
      </w:r>
    </w:p>
    <w:p w:rsidR="00243058" w:rsidRDefault="00243058" w:rsidP="00243058">
      <w:r>
        <w:t>If the right to appropriate communications support for a person with disability is denied or ignored then courts should take that into account as a mitigating factor.</w:t>
      </w:r>
    </w:p>
    <w:p w:rsidR="00243058" w:rsidRDefault="00243058" w:rsidP="00243058">
      <w:r w:rsidRPr="00EC7D23">
        <w:t xml:space="preserve">Legislation, guidelines and </w:t>
      </w:r>
      <w:r>
        <w:t>procedures</w:t>
      </w:r>
      <w:r w:rsidRPr="00EC7D23">
        <w:t xml:space="preserve"> </w:t>
      </w:r>
      <w:r>
        <w:t>should protect the rights of</w:t>
      </w:r>
      <w:r w:rsidRPr="00EC7D23">
        <w:t xml:space="preserve"> </w:t>
      </w:r>
      <w:r>
        <w:t>people with disabilities</w:t>
      </w:r>
      <w:r w:rsidRPr="00EC7D23">
        <w:t xml:space="preserve"> who need communication supports</w:t>
      </w:r>
      <w:r>
        <w:t xml:space="preserve"> so they</w:t>
      </w:r>
      <w:r w:rsidRPr="00EC7D23">
        <w:t xml:space="preserve"> can communicate using their preferred method of communication</w:t>
      </w:r>
      <w:r>
        <w:t>.</w:t>
      </w:r>
    </w:p>
    <w:p w:rsidR="00243058" w:rsidRDefault="00243058" w:rsidP="001F661B">
      <w:pPr>
        <w:pStyle w:val="Heading4"/>
        <w:numPr>
          <w:ilvl w:val="0"/>
          <w:numId w:val="0"/>
        </w:numPr>
        <w:ind w:left="851" w:hanging="851"/>
      </w:pPr>
      <w:bookmarkStart w:id="54" w:name="_Toc379195365"/>
      <w:r>
        <w:t>ACTIONS</w:t>
      </w:r>
      <w:bookmarkEnd w:id="54"/>
    </w:p>
    <w:p w:rsidR="00243058" w:rsidRDefault="00A06A3F" w:rsidP="00242937">
      <w:pPr>
        <w:ind w:left="1701" w:hanging="1701"/>
      </w:pPr>
      <w:proofErr w:type="gramStart"/>
      <w:r>
        <w:t>ACTION 4.1.1</w:t>
      </w:r>
      <w:r>
        <w:tab/>
      </w:r>
      <w:r w:rsidR="00243058" w:rsidRPr="00A9169F">
        <w:t>Include formal recognition of the requirement to ascertain the need for an interpreter service, communication support worker or hearing assistance when dealing with Aboriginal and Torres Strait Islander people.</w:t>
      </w:r>
      <w:proofErr w:type="gramEnd"/>
      <w:r w:rsidR="00243058" w:rsidRPr="00A9169F">
        <w:t xml:space="preserve"> </w:t>
      </w:r>
    </w:p>
    <w:p w:rsidR="00243058" w:rsidRPr="00A9169F" w:rsidRDefault="00243058" w:rsidP="00243058">
      <w:pPr>
        <w:ind w:firstLine="720"/>
      </w:pPr>
      <w:r w:rsidRPr="00A9169F">
        <w:lastRenderedPageBreak/>
        <w:t>Action area: police; courts; custody and release</w:t>
      </w:r>
      <w:r>
        <w:t>.</w:t>
      </w:r>
    </w:p>
    <w:p w:rsidR="00243058" w:rsidRDefault="00A06A3F" w:rsidP="00242937">
      <w:pPr>
        <w:ind w:left="1701" w:hanging="1701"/>
      </w:pPr>
      <w:r>
        <w:t>ACTION 4.1.2</w:t>
      </w:r>
      <w:r>
        <w:tab/>
      </w:r>
      <w:r w:rsidR="00243058">
        <w:t>Provide</w:t>
      </w:r>
      <w:r w:rsidR="00243058" w:rsidRPr="002E5672">
        <w:t xml:space="preserve"> access </w:t>
      </w:r>
      <w:r w:rsidR="00243058">
        <w:t xml:space="preserve">to </w:t>
      </w:r>
      <w:r w:rsidR="00243058" w:rsidRPr="002E5672">
        <w:t>an appropriate independent communication support worker and interpreter regardless of place of residence or geographical location.</w:t>
      </w:r>
      <w:r w:rsidR="00243058" w:rsidRPr="00AA3D39">
        <w:t xml:space="preserve"> </w:t>
      </w:r>
    </w:p>
    <w:p w:rsidR="00243058" w:rsidRPr="001E7916" w:rsidRDefault="00243058" w:rsidP="00243058">
      <w:pPr>
        <w:pStyle w:val="ListParagraph"/>
        <w:ind w:firstLine="0"/>
      </w:pPr>
      <w:r w:rsidRPr="001E7916">
        <w:t>Action area: police; courts.</w:t>
      </w:r>
    </w:p>
    <w:p w:rsidR="00243058" w:rsidRDefault="00A06A3F" w:rsidP="00242937">
      <w:pPr>
        <w:ind w:left="1701" w:hanging="1701"/>
      </w:pPr>
      <w:proofErr w:type="gramStart"/>
      <w:r>
        <w:t>ACTION 4.1.3</w:t>
      </w:r>
      <w:r>
        <w:tab/>
      </w:r>
      <w:r w:rsidR="00243058" w:rsidRPr="001E7916">
        <w:t>Align terms and conditions of bail, bonds and restraining orders to a person’s ab</w:t>
      </w:r>
      <w:r w:rsidR="00243058">
        <w:t>ilities and capacity to comply.</w:t>
      </w:r>
      <w:proofErr w:type="gramEnd"/>
    </w:p>
    <w:p w:rsidR="00243058" w:rsidRPr="001E7916" w:rsidRDefault="00243058" w:rsidP="00243058">
      <w:pPr>
        <w:pStyle w:val="ListParagraph"/>
        <w:ind w:firstLine="0"/>
      </w:pPr>
      <w:r w:rsidRPr="001E7916">
        <w:t>Action area: police; courts.</w:t>
      </w:r>
    </w:p>
    <w:p w:rsidR="00243058" w:rsidRDefault="00A06A3F" w:rsidP="00242937">
      <w:pPr>
        <w:ind w:left="1701" w:hanging="1701"/>
      </w:pPr>
      <w:r>
        <w:t>ACTION 4.1.4</w:t>
      </w:r>
      <w:r>
        <w:tab/>
      </w:r>
      <w:r w:rsidR="00243058" w:rsidRPr="001E7916">
        <w:t>Communicate bail decisions in a format and mode appropriat</w:t>
      </w:r>
      <w:r w:rsidR="00243058">
        <w:t>e to the person with disability.</w:t>
      </w:r>
    </w:p>
    <w:p w:rsidR="00243058" w:rsidRDefault="00243058" w:rsidP="00243058">
      <w:pPr>
        <w:pStyle w:val="ListParagraph"/>
        <w:ind w:firstLine="0"/>
      </w:pPr>
      <w:r w:rsidRPr="001E7916">
        <w:t>Action area: police; courts.</w:t>
      </w:r>
    </w:p>
    <w:p w:rsidR="00243058" w:rsidRDefault="00A06A3F" w:rsidP="00242937">
      <w:pPr>
        <w:ind w:left="1701" w:hanging="1701"/>
      </w:pPr>
      <w:proofErr w:type="gramStart"/>
      <w:r>
        <w:t>ACTION 4.1.5</w:t>
      </w:r>
      <w:r>
        <w:tab/>
      </w:r>
      <w:r w:rsidR="00243058" w:rsidRPr="001E7916">
        <w:t>Provide support to remind a person of bail con</w:t>
      </w:r>
      <w:r w:rsidR="00243058">
        <w:t>ditions and support compliance.</w:t>
      </w:r>
      <w:proofErr w:type="gramEnd"/>
    </w:p>
    <w:p w:rsidR="00243058" w:rsidRPr="001E7916" w:rsidRDefault="00243058" w:rsidP="00243058">
      <w:pPr>
        <w:pStyle w:val="ListParagraph"/>
        <w:ind w:firstLine="0"/>
      </w:pPr>
      <w:r w:rsidRPr="001E7916">
        <w:t xml:space="preserve">Action area: </w:t>
      </w:r>
      <w:r>
        <w:t xml:space="preserve">police; </w:t>
      </w:r>
      <w:r w:rsidRPr="001E7916">
        <w:t>courts.</w:t>
      </w:r>
    </w:p>
    <w:p w:rsidR="00243058" w:rsidRPr="00B85D1B" w:rsidRDefault="00243058" w:rsidP="00A06A3F">
      <w:pPr>
        <w:pStyle w:val="Heading2"/>
      </w:pPr>
      <w:bookmarkStart w:id="55" w:name="_Toc379195366"/>
      <w:r w:rsidRPr="00B85D1B">
        <w:t>Outcome: Early intervention and diversion</w:t>
      </w:r>
      <w:bookmarkEnd w:id="55"/>
    </w:p>
    <w:p w:rsidR="00243058" w:rsidRDefault="00243058" w:rsidP="00A06A3F">
      <w:pPr>
        <w:pStyle w:val="Heading4"/>
        <w:numPr>
          <w:ilvl w:val="0"/>
          <w:numId w:val="0"/>
        </w:numPr>
      </w:pPr>
      <w:bookmarkStart w:id="56" w:name="_Toc379195367"/>
      <w:r>
        <w:t>PRINCIPLES</w:t>
      </w:r>
      <w:bookmarkEnd w:id="56"/>
    </w:p>
    <w:p w:rsidR="00243058" w:rsidRDefault="00243058" w:rsidP="00243058">
      <w:pPr>
        <w:rPr>
          <w:rFonts w:cs="Arial"/>
        </w:rPr>
      </w:pPr>
      <w:proofErr w:type="gramStart"/>
      <w:r>
        <w:rPr>
          <w:rFonts w:cs="Arial"/>
        </w:rPr>
        <w:t>Early intervention and wherever possible diversion into appropriate programs can both enhance the lives of people with disabilities and support the interests of justice.</w:t>
      </w:r>
      <w:proofErr w:type="gramEnd"/>
    </w:p>
    <w:p w:rsidR="00243058" w:rsidRDefault="00243058" w:rsidP="00243058">
      <w:pPr>
        <w:rPr>
          <w:rFonts w:cs="Arial"/>
        </w:rPr>
      </w:pPr>
      <w:r w:rsidRPr="004D4872">
        <w:rPr>
          <w:rFonts w:cs="Arial"/>
        </w:rPr>
        <w:t xml:space="preserve">Detention is a measure of last resort for all children </w:t>
      </w:r>
      <w:r>
        <w:rPr>
          <w:rFonts w:cs="Arial"/>
        </w:rPr>
        <w:t>and young people with disabilities</w:t>
      </w:r>
      <w:r w:rsidRPr="004D4872">
        <w:rPr>
          <w:rFonts w:cs="Arial"/>
        </w:rPr>
        <w:t xml:space="preserve"> and this is reflected in all legi</w:t>
      </w:r>
      <w:r>
        <w:rPr>
          <w:rFonts w:cs="Arial"/>
        </w:rPr>
        <w:t>slation, policies and programs.</w:t>
      </w:r>
    </w:p>
    <w:p w:rsidR="00243058" w:rsidRDefault="00243058" w:rsidP="00243058">
      <w:pPr>
        <w:rPr>
          <w:rFonts w:cs="Arial"/>
        </w:rPr>
      </w:pPr>
      <w:r w:rsidRPr="004D4872">
        <w:rPr>
          <w:rFonts w:cs="Arial"/>
        </w:rPr>
        <w:t xml:space="preserve">Where detention is the only sentencing option it is for the shortest appropriate period of time and the support needs </w:t>
      </w:r>
      <w:r>
        <w:rPr>
          <w:rFonts w:cs="Arial"/>
        </w:rPr>
        <w:t>of people with disabilities</w:t>
      </w:r>
      <w:r w:rsidRPr="004D4872">
        <w:rPr>
          <w:rFonts w:cs="Arial"/>
        </w:rPr>
        <w:t xml:space="preserve"> are taken into consideration and add</w:t>
      </w:r>
      <w:r>
        <w:rPr>
          <w:rFonts w:cs="Arial"/>
        </w:rPr>
        <w:t>ressed appropriately.</w:t>
      </w:r>
    </w:p>
    <w:p w:rsidR="00243058" w:rsidRDefault="00243058" w:rsidP="00243058">
      <w:pPr>
        <w:rPr>
          <w:rFonts w:cs="Arial"/>
        </w:rPr>
      </w:pPr>
      <w:r w:rsidRPr="004D4872">
        <w:rPr>
          <w:rFonts w:cs="Arial"/>
        </w:rPr>
        <w:t xml:space="preserve">Viable community-based alternatives to detention </w:t>
      </w:r>
      <w:r>
        <w:rPr>
          <w:rFonts w:cs="Arial"/>
        </w:rPr>
        <w:t xml:space="preserve">should </w:t>
      </w:r>
      <w:r w:rsidRPr="004D4872">
        <w:rPr>
          <w:rFonts w:cs="Arial"/>
        </w:rPr>
        <w:t xml:space="preserve">exist for children and young </w:t>
      </w:r>
      <w:r>
        <w:rPr>
          <w:rFonts w:cs="Arial"/>
        </w:rPr>
        <w:t>people with disabilities</w:t>
      </w:r>
      <w:r w:rsidRPr="004D4872">
        <w:rPr>
          <w:rFonts w:cs="Arial"/>
        </w:rPr>
        <w:t>.</w:t>
      </w:r>
    </w:p>
    <w:p w:rsidR="00243058" w:rsidRDefault="00243058" w:rsidP="00A06A3F">
      <w:pPr>
        <w:pStyle w:val="Heading4"/>
        <w:numPr>
          <w:ilvl w:val="0"/>
          <w:numId w:val="0"/>
        </w:numPr>
        <w:ind w:left="851" w:hanging="851"/>
      </w:pPr>
      <w:bookmarkStart w:id="57" w:name="_Toc379195368"/>
      <w:r>
        <w:t>ACTIONS</w:t>
      </w:r>
      <w:bookmarkEnd w:id="57"/>
    </w:p>
    <w:p w:rsidR="00243058" w:rsidRDefault="00C85F5F" w:rsidP="00242937">
      <w:pPr>
        <w:ind w:left="1701" w:hanging="1701"/>
      </w:pPr>
      <w:r>
        <w:t>ACTION 4.2.1</w:t>
      </w:r>
      <w:r>
        <w:tab/>
      </w:r>
      <w:r w:rsidR="00243058" w:rsidRPr="001E7916">
        <w:t xml:space="preserve">Make available via </w:t>
      </w:r>
      <w:proofErr w:type="gramStart"/>
      <w:r w:rsidR="00243058" w:rsidRPr="001E7916">
        <w:t>an e</w:t>
      </w:r>
      <w:proofErr w:type="gramEnd"/>
      <w:r w:rsidR="00243058" w:rsidRPr="001E7916">
        <w:t>-referral program information that assists police and courts with appropriate di</w:t>
      </w:r>
      <w:r w:rsidR="00243058">
        <w:t>version and early intervention.</w:t>
      </w:r>
    </w:p>
    <w:p w:rsidR="00243058" w:rsidRPr="001E7916" w:rsidRDefault="00243058" w:rsidP="00243058">
      <w:pPr>
        <w:pStyle w:val="ListParagraph"/>
        <w:ind w:firstLine="0"/>
      </w:pPr>
      <w:r w:rsidRPr="001E7916">
        <w:t>Action area: police; courts; custody and release</w:t>
      </w:r>
      <w:r>
        <w:t>.</w:t>
      </w:r>
    </w:p>
    <w:p w:rsidR="00243058" w:rsidRDefault="00C85F5F" w:rsidP="00242937">
      <w:pPr>
        <w:ind w:left="1701" w:hanging="1701"/>
      </w:pPr>
      <w:r>
        <w:t>ACTION 4.2.2</w:t>
      </w:r>
      <w:r>
        <w:tab/>
      </w:r>
      <w:r w:rsidR="00243058" w:rsidRPr="001E7916">
        <w:t>Make the e-referral program state- or territory-wide and link it to registered local, state and national suppor</w:t>
      </w:r>
      <w:r w:rsidR="00243058">
        <w:t>t service agencies.</w:t>
      </w:r>
    </w:p>
    <w:p w:rsidR="00243058" w:rsidRDefault="00243058" w:rsidP="00243058">
      <w:pPr>
        <w:pStyle w:val="ListParagraph"/>
        <w:ind w:firstLine="0"/>
      </w:pPr>
      <w:r w:rsidRPr="001E7916">
        <w:t>Action area: police; courts; custody and release; social.</w:t>
      </w:r>
    </w:p>
    <w:p w:rsidR="00243058" w:rsidRPr="001E7916" w:rsidRDefault="00C85F5F" w:rsidP="00242937">
      <w:pPr>
        <w:ind w:left="1701" w:hanging="1701"/>
      </w:pPr>
      <w:r>
        <w:lastRenderedPageBreak/>
        <w:t>ACTION 4.2.3</w:t>
      </w:r>
      <w:r>
        <w:tab/>
      </w:r>
      <w:r w:rsidR="00243058">
        <w:t>Use</w:t>
      </w:r>
      <w:r w:rsidR="00243058" w:rsidRPr="001E7916">
        <w:t xml:space="preserve"> e-referral program</w:t>
      </w:r>
      <w:r w:rsidR="00243058">
        <w:t>s to provide timely interventions that stream Aboriginal and Torres Strait Islander children with disability to the support services that they need.</w:t>
      </w:r>
    </w:p>
    <w:p w:rsidR="00243058" w:rsidRPr="00B85D1B" w:rsidRDefault="00243058" w:rsidP="00C85F5F">
      <w:pPr>
        <w:pStyle w:val="Heading2"/>
      </w:pPr>
      <w:bookmarkStart w:id="58" w:name="_Toc379195369"/>
      <w:r w:rsidRPr="00B85D1B">
        <w:t>Outcome: Increased service capacity and support</w:t>
      </w:r>
      <w:bookmarkEnd w:id="58"/>
    </w:p>
    <w:p w:rsidR="00243058" w:rsidRDefault="00243058" w:rsidP="00C85F5F">
      <w:pPr>
        <w:pStyle w:val="Heading4"/>
        <w:numPr>
          <w:ilvl w:val="0"/>
          <w:numId w:val="0"/>
        </w:numPr>
      </w:pPr>
      <w:bookmarkStart w:id="59" w:name="_Toc379195370"/>
      <w:r>
        <w:t>PRINCIPLES</w:t>
      </w:r>
      <w:bookmarkEnd w:id="59"/>
    </w:p>
    <w:p w:rsidR="00243058" w:rsidRDefault="00243058" w:rsidP="00243058">
      <w:r>
        <w:t>Increased service capacity and support must be appropriately resourced.</w:t>
      </w:r>
    </w:p>
    <w:p w:rsidR="00243058" w:rsidRDefault="00243058" w:rsidP="00243058">
      <w:r>
        <w:t>A Disability Justice Strategy should coordinate deployment of resources across government community agencies to achieve effective outcomes for people with disabilities.</w:t>
      </w:r>
    </w:p>
    <w:p w:rsidR="00243058" w:rsidRPr="000636B1" w:rsidRDefault="00243058" w:rsidP="00C85F5F">
      <w:pPr>
        <w:pStyle w:val="Heading4"/>
        <w:numPr>
          <w:ilvl w:val="0"/>
          <w:numId w:val="0"/>
        </w:numPr>
        <w:ind w:left="851" w:hanging="851"/>
      </w:pPr>
      <w:bookmarkStart w:id="60" w:name="_Toc379195371"/>
      <w:r>
        <w:t>ACTIONS</w:t>
      </w:r>
      <w:bookmarkEnd w:id="60"/>
    </w:p>
    <w:p w:rsidR="00243058" w:rsidRDefault="00C85F5F" w:rsidP="00242937">
      <w:pPr>
        <w:ind w:left="1701" w:hanging="1701"/>
      </w:pPr>
      <w:r>
        <w:t>ACTION 4.3.1</w:t>
      </w:r>
      <w:r>
        <w:tab/>
      </w:r>
      <w:r w:rsidR="00243058" w:rsidRPr="001E7916">
        <w:t>Design intervention and support services</w:t>
      </w:r>
      <w:r w:rsidR="00243058" w:rsidRPr="003A7040">
        <w:t xml:space="preserve"> </w:t>
      </w:r>
      <w:r w:rsidR="00243058" w:rsidRPr="001E7916">
        <w:t xml:space="preserve">that </w:t>
      </w:r>
      <w:proofErr w:type="gramStart"/>
      <w:r w:rsidR="00243058" w:rsidRPr="001E7916">
        <w:t>are</w:t>
      </w:r>
      <w:r w:rsidR="00243058">
        <w:t xml:space="preserve"> :</w:t>
      </w:r>
      <w:proofErr w:type="gramEnd"/>
    </w:p>
    <w:p w:rsidR="00243058" w:rsidRDefault="00243058" w:rsidP="00243058">
      <w:pPr>
        <w:pStyle w:val="ListParagraph"/>
        <w:numPr>
          <w:ilvl w:val="0"/>
          <w:numId w:val="40"/>
        </w:numPr>
      </w:pPr>
      <w:r w:rsidRPr="001E7916">
        <w:t xml:space="preserve">age-, gender- and disability-sensitive </w:t>
      </w:r>
    </w:p>
    <w:p w:rsidR="00243058" w:rsidRDefault="00243058" w:rsidP="00243058">
      <w:pPr>
        <w:pStyle w:val="ListParagraph"/>
        <w:numPr>
          <w:ilvl w:val="0"/>
          <w:numId w:val="40"/>
        </w:numPr>
      </w:pPr>
      <w:r>
        <w:t>appropriate for people with disabilities who have communication impairment or complex support needs</w:t>
      </w:r>
    </w:p>
    <w:p w:rsidR="00243058" w:rsidRDefault="00243058" w:rsidP="00243058">
      <w:pPr>
        <w:pStyle w:val="ListParagraph"/>
        <w:numPr>
          <w:ilvl w:val="0"/>
          <w:numId w:val="40"/>
        </w:numPr>
      </w:pPr>
      <w:proofErr w:type="gramStart"/>
      <w:r w:rsidRPr="001E7916">
        <w:t>culturally</w:t>
      </w:r>
      <w:proofErr w:type="gramEnd"/>
      <w:r w:rsidRPr="001E7916">
        <w:t xml:space="preserve"> appropriate </w:t>
      </w:r>
      <w:r>
        <w:t xml:space="preserve">to </w:t>
      </w:r>
      <w:r w:rsidRPr="001E7916">
        <w:t>the needs of women, children</w:t>
      </w:r>
      <w:r w:rsidR="00EC7604">
        <w:t>,</w:t>
      </w:r>
      <w:r w:rsidRPr="001E7916">
        <w:t xml:space="preserve">  Aboriginal and Torres Strait Islander </w:t>
      </w:r>
      <w:r>
        <w:t>people</w:t>
      </w:r>
      <w:r w:rsidR="00EC7604">
        <w:t xml:space="preserve"> and people from culturally and linguistically diverse backgrounds</w:t>
      </w:r>
      <w:r>
        <w:t xml:space="preserve"> with disabilities.</w:t>
      </w:r>
    </w:p>
    <w:p w:rsidR="00243058" w:rsidRDefault="00243058" w:rsidP="00243058">
      <w:pPr>
        <w:ind w:firstLine="720"/>
      </w:pPr>
      <w:r w:rsidRPr="004A6A31">
        <w:t>Action area: police; courts; custody and release; social disadvantage.</w:t>
      </w:r>
    </w:p>
    <w:p w:rsidR="00243058" w:rsidRDefault="00C85F5F" w:rsidP="00242937">
      <w:pPr>
        <w:ind w:left="1701" w:hanging="1701"/>
      </w:pPr>
      <w:proofErr w:type="gramStart"/>
      <w:r>
        <w:t>ACTION 4.3.2</w:t>
      </w:r>
      <w:r>
        <w:tab/>
      </w:r>
      <w:r w:rsidR="00243058" w:rsidRPr="001E7916">
        <w:t xml:space="preserve">Expand Community Visitor's schemes to include a broader range of settings and apply to all </w:t>
      </w:r>
      <w:r w:rsidR="00243058">
        <w:t>people with disabilities</w:t>
      </w:r>
      <w:r w:rsidR="00243058" w:rsidRPr="001E7916">
        <w:t>.</w:t>
      </w:r>
      <w:proofErr w:type="gramEnd"/>
    </w:p>
    <w:p w:rsidR="00243058" w:rsidRPr="001E7916" w:rsidRDefault="00243058" w:rsidP="00243058">
      <w:pPr>
        <w:pStyle w:val="ListParagraph"/>
        <w:ind w:firstLine="0"/>
      </w:pPr>
      <w:r w:rsidRPr="001E7916">
        <w:t xml:space="preserve"> Action area: police; courts; custody and release</w:t>
      </w:r>
      <w:r>
        <w:t>.</w:t>
      </w:r>
    </w:p>
    <w:p w:rsidR="00243058" w:rsidRDefault="00C85F5F" w:rsidP="00242937">
      <w:pPr>
        <w:ind w:left="1701" w:hanging="1701"/>
      </w:pPr>
      <w:proofErr w:type="gramStart"/>
      <w:r>
        <w:t>ACTION 4.3.3</w:t>
      </w:r>
      <w:r>
        <w:tab/>
      </w:r>
      <w:r w:rsidR="00243058" w:rsidRPr="001E7916">
        <w:t>Provide access to advocacy and legal services with disability expertise regardless of place of residence or geographical location.</w:t>
      </w:r>
      <w:proofErr w:type="gramEnd"/>
    </w:p>
    <w:p w:rsidR="00243058" w:rsidRPr="001E7916" w:rsidRDefault="00243058" w:rsidP="00243058">
      <w:pPr>
        <w:pStyle w:val="ListParagraph"/>
        <w:ind w:firstLine="0"/>
      </w:pPr>
      <w:r w:rsidRPr="0092693F">
        <w:t>Action area: police; courts; custody and release.</w:t>
      </w:r>
    </w:p>
    <w:p w:rsidR="00243058" w:rsidRDefault="00C85F5F" w:rsidP="00242937">
      <w:pPr>
        <w:ind w:left="1701" w:hanging="1701"/>
      </w:pPr>
      <w:r>
        <w:t>ACTION 4.3.4</w:t>
      </w:r>
      <w:r>
        <w:tab/>
      </w:r>
      <w:r w:rsidR="00243058" w:rsidRPr="0044065E">
        <w:t>Provide during interviews a sexual assault counsellor, disability support advocate or specialist disability lawyer to support adults and children with disabilit</w:t>
      </w:r>
      <w:r w:rsidR="00243058">
        <w:t>ies</w:t>
      </w:r>
      <w:r w:rsidR="00243058" w:rsidRPr="0044065E">
        <w:t xml:space="preserve"> who have been sexually assaulted or experienced violence.</w:t>
      </w:r>
    </w:p>
    <w:p w:rsidR="00243058" w:rsidRDefault="00243058" w:rsidP="00243058">
      <w:pPr>
        <w:pStyle w:val="ListParagraph"/>
        <w:ind w:firstLine="0"/>
      </w:pPr>
      <w:r>
        <w:t>Action area: police; courts</w:t>
      </w:r>
    </w:p>
    <w:p w:rsidR="00243058" w:rsidRDefault="00C85F5F" w:rsidP="00242937">
      <w:pPr>
        <w:ind w:left="1701" w:hanging="1701"/>
      </w:pPr>
      <w:r>
        <w:t>ACTION 4.3.</w:t>
      </w:r>
      <w:r w:rsidR="00C42A16">
        <w:t>5</w:t>
      </w:r>
      <w:r>
        <w:tab/>
      </w:r>
      <w:r w:rsidR="00243058" w:rsidRPr="001E7916">
        <w:t xml:space="preserve">Provide to </w:t>
      </w:r>
      <w:r w:rsidR="00243058">
        <w:t>people with disabilities</w:t>
      </w:r>
      <w:r w:rsidR="00243058" w:rsidRPr="001E7916">
        <w:t xml:space="preserve"> who are lawfully deprived of their liberty the support, adjustments and aids they need to meet basic human needs and participate in custodial life.</w:t>
      </w:r>
    </w:p>
    <w:p w:rsidR="00243058" w:rsidRPr="001E7916" w:rsidRDefault="00243058" w:rsidP="00243058">
      <w:pPr>
        <w:pStyle w:val="ListParagraph"/>
        <w:ind w:firstLine="0"/>
      </w:pPr>
      <w:r w:rsidRPr="001E7916">
        <w:t>Action area: police; courts; custody and release</w:t>
      </w:r>
      <w:r>
        <w:t>.</w:t>
      </w:r>
    </w:p>
    <w:p w:rsidR="00243058" w:rsidRDefault="00C85F5F" w:rsidP="00242937">
      <w:pPr>
        <w:ind w:left="1701" w:hanging="1701"/>
      </w:pPr>
      <w:r>
        <w:lastRenderedPageBreak/>
        <w:t>ACTION 4.3.</w:t>
      </w:r>
      <w:r w:rsidR="00C42A16">
        <w:t>6</w:t>
      </w:r>
      <w:r>
        <w:tab/>
      </w:r>
      <w:r w:rsidR="00243058" w:rsidRPr="001E7916">
        <w:t>Establish as a matter of urgency a national Aboriginal and Torres Strait Island disability individual advocacy program.</w:t>
      </w:r>
    </w:p>
    <w:p w:rsidR="00243058" w:rsidRPr="001E7916" w:rsidRDefault="00243058" w:rsidP="00243058">
      <w:pPr>
        <w:pStyle w:val="ListParagraph"/>
        <w:ind w:firstLine="0"/>
      </w:pPr>
      <w:r w:rsidRPr="001E7916">
        <w:t>Action area: police; courts; custody and release</w:t>
      </w:r>
      <w:r>
        <w:t>.</w:t>
      </w:r>
    </w:p>
    <w:p w:rsidR="00243058" w:rsidRPr="001E7916" w:rsidRDefault="00C85F5F" w:rsidP="00242937">
      <w:pPr>
        <w:ind w:left="1701" w:hanging="1701"/>
      </w:pPr>
      <w:r>
        <w:t>ACTION 4.3.</w:t>
      </w:r>
      <w:r w:rsidR="00C42A16">
        <w:t>7</w:t>
      </w:r>
      <w:r>
        <w:tab/>
      </w:r>
      <w:r w:rsidR="00243058">
        <w:t>C</w:t>
      </w:r>
      <w:r w:rsidR="00243058" w:rsidRPr="001E7916">
        <w:t xml:space="preserve">reate an assessment protocol that assists police, courts, and correctional institutions in identifying </w:t>
      </w:r>
      <w:r w:rsidR="00243058">
        <w:t>people with disabilities</w:t>
      </w:r>
      <w:r w:rsidR="00243058" w:rsidRPr="001E7916">
        <w:t xml:space="preserve"> in order to determine:</w:t>
      </w:r>
    </w:p>
    <w:p w:rsidR="00243058" w:rsidRDefault="00243058" w:rsidP="00242937">
      <w:pPr>
        <w:numPr>
          <w:ilvl w:val="0"/>
          <w:numId w:val="37"/>
        </w:numPr>
        <w:spacing w:before="0" w:after="200"/>
        <w:ind w:left="2061" w:hanging="360"/>
        <w:rPr>
          <w:rFonts w:cs="Arial"/>
          <w:lang w:val="en-US"/>
        </w:rPr>
      </w:pPr>
      <w:r>
        <w:rPr>
          <w:rFonts w:cs="Arial"/>
          <w:lang w:val="en-US"/>
        </w:rPr>
        <w:t>the necessity for Independent Communication Support Workers, and Disability Advocate / Support Person</w:t>
      </w:r>
    </w:p>
    <w:p w:rsidR="00243058" w:rsidRDefault="00243058" w:rsidP="00242937">
      <w:pPr>
        <w:numPr>
          <w:ilvl w:val="0"/>
          <w:numId w:val="37"/>
        </w:numPr>
        <w:spacing w:before="0" w:after="200"/>
        <w:ind w:left="2061" w:hanging="360"/>
        <w:rPr>
          <w:rFonts w:cs="Arial"/>
          <w:lang w:val="en-US"/>
        </w:rPr>
      </w:pPr>
      <w:r>
        <w:rPr>
          <w:rFonts w:cs="Arial"/>
          <w:lang w:val="en-US"/>
        </w:rPr>
        <w:t>the appropriate supports and services to exercise their legal capacity and enhance health, social and welfare outcomes</w:t>
      </w:r>
    </w:p>
    <w:p w:rsidR="00243058" w:rsidRDefault="00243058" w:rsidP="00242937">
      <w:pPr>
        <w:numPr>
          <w:ilvl w:val="0"/>
          <w:numId w:val="37"/>
        </w:numPr>
        <w:spacing w:before="0" w:after="200"/>
        <w:ind w:left="2061" w:hanging="360"/>
        <w:rPr>
          <w:rFonts w:cs="Arial"/>
          <w:lang w:val="en-US"/>
        </w:rPr>
      </w:pPr>
      <w:proofErr w:type="gramStart"/>
      <w:r>
        <w:rPr>
          <w:rFonts w:cs="Arial"/>
          <w:lang w:val="en-US"/>
        </w:rPr>
        <w:t>the</w:t>
      </w:r>
      <w:proofErr w:type="gramEnd"/>
      <w:r>
        <w:rPr>
          <w:rFonts w:cs="Arial"/>
          <w:lang w:val="en-US"/>
        </w:rPr>
        <w:t xml:space="preserve"> requirement for procedural and age-appropriate accommodations to ensure effective access to justice.</w:t>
      </w:r>
    </w:p>
    <w:p w:rsidR="00243058" w:rsidRDefault="00243058" w:rsidP="00243058">
      <w:pPr>
        <w:ind w:left="720"/>
        <w:rPr>
          <w:rFonts w:cs="Arial"/>
        </w:rPr>
      </w:pPr>
      <w:r>
        <w:rPr>
          <w:rFonts w:cs="Arial"/>
        </w:rPr>
        <w:t>Action area: police; courts; custody and release.</w:t>
      </w:r>
    </w:p>
    <w:p w:rsidR="00243058" w:rsidRDefault="00C85F5F" w:rsidP="00242937">
      <w:pPr>
        <w:ind w:left="1701" w:hanging="1701"/>
      </w:pPr>
      <w:r>
        <w:t>ACTION 4.3.</w:t>
      </w:r>
      <w:r w:rsidR="00C42A16">
        <w:t>8</w:t>
      </w:r>
      <w:r>
        <w:tab/>
      </w:r>
      <w:r w:rsidR="00243058" w:rsidRPr="001E7916">
        <w:t xml:space="preserve">Provide pre-court conferencing for children and young </w:t>
      </w:r>
      <w:r w:rsidR="00243058">
        <w:t>people with disabilities</w:t>
      </w:r>
      <w:r w:rsidR="00243058" w:rsidRPr="001E7916">
        <w:t>.</w:t>
      </w:r>
    </w:p>
    <w:p w:rsidR="00243058" w:rsidRPr="001E7916" w:rsidRDefault="00243058" w:rsidP="00243058">
      <w:pPr>
        <w:pStyle w:val="ListParagraph"/>
        <w:ind w:firstLine="0"/>
      </w:pPr>
      <w:r w:rsidRPr="001E7916">
        <w:t xml:space="preserve"> Action area: police; courts</w:t>
      </w:r>
      <w:r>
        <w:t>.</w:t>
      </w:r>
    </w:p>
    <w:p w:rsidR="00243058" w:rsidRDefault="00C85F5F" w:rsidP="00242937">
      <w:pPr>
        <w:ind w:left="1701" w:hanging="1701"/>
      </w:pPr>
      <w:r>
        <w:t>ACTION 4.3.</w:t>
      </w:r>
      <w:r w:rsidR="00C42A16">
        <w:t>9</w:t>
      </w:r>
      <w:r>
        <w:tab/>
      </w:r>
      <w:r w:rsidR="00243058" w:rsidRPr="001E7916">
        <w:t xml:space="preserve">Provide witness support services to </w:t>
      </w:r>
      <w:r w:rsidR="00243058">
        <w:t>people with disabilities</w:t>
      </w:r>
      <w:r w:rsidR="00243058" w:rsidRPr="001E7916">
        <w:t>,</w:t>
      </w:r>
    </w:p>
    <w:p w:rsidR="00243058" w:rsidRPr="001E7916" w:rsidRDefault="00243058" w:rsidP="00243058">
      <w:pPr>
        <w:pStyle w:val="ListParagraph"/>
        <w:ind w:firstLine="0"/>
      </w:pPr>
      <w:r w:rsidRPr="001E7916">
        <w:t>Action area: police; courts.</w:t>
      </w:r>
      <w:r w:rsidRPr="001E7916">
        <w:tab/>
      </w:r>
      <w:r w:rsidRPr="001E7916">
        <w:tab/>
      </w:r>
    </w:p>
    <w:p w:rsidR="00243058" w:rsidRDefault="00C42A16" w:rsidP="00242937">
      <w:pPr>
        <w:ind w:left="1701" w:hanging="1701"/>
      </w:pPr>
      <w:r>
        <w:t>ACTION 4.3.10</w:t>
      </w:r>
      <w:r w:rsidR="00C85F5F">
        <w:tab/>
      </w:r>
      <w:r w:rsidR="00243058" w:rsidRPr="001E7916">
        <w:t xml:space="preserve">Aboriginal and Torres Strait Islander </w:t>
      </w:r>
      <w:r w:rsidR="00243058">
        <w:t>people with disabilities</w:t>
      </w:r>
      <w:r w:rsidR="00243058" w:rsidRPr="001E7916">
        <w:t xml:space="preserve"> are provided with culturally secure</w:t>
      </w:r>
      <w:r w:rsidR="00243058">
        <w:t xml:space="preserve"> assessment,</w:t>
      </w:r>
      <w:r w:rsidR="00243058" w:rsidRPr="001E7916">
        <w:t xml:space="preserve"> supports and services that </w:t>
      </w:r>
      <w:r w:rsidR="00243058">
        <w:t>promote</w:t>
      </w:r>
      <w:r w:rsidR="00243058" w:rsidRPr="001E7916">
        <w:t xml:space="preserve"> full and effective participation in society and a life with dignity.  </w:t>
      </w:r>
    </w:p>
    <w:p w:rsidR="00243058" w:rsidRPr="001E7916" w:rsidRDefault="00243058" w:rsidP="00243058">
      <w:pPr>
        <w:pStyle w:val="ListParagraph"/>
        <w:ind w:firstLine="0"/>
      </w:pPr>
      <w:r w:rsidRPr="001E7916">
        <w:t>Action area: police; courts; custody an</w:t>
      </w:r>
      <w:r>
        <w:t>d release.</w:t>
      </w:r>
    </w:p>
    <w:p w:rsidR="00243058" w:rsidRDefault="00C85F5F" w:rsidP="00242937">
      <w:pPr>
        <w:ind w:left="1701" w:hanging="1701"/>
      </w:pPr>
      <w:r>
        <w:t>ACTION 4.3.1</w:t>
      </w:r>
      <w:r w:rsidR="00C42A16">
        <w:t>1</w:t>
      </w:r>
      <w:r>
        <w:tab/>
      </w:r>
      <w:r w:rsidR="00243058" w:rsidRPr="001E7916">
        <w:t xml:space="preserve">Adopt individual case management for prisoners/detainees with disability, including through prison in-reach services provided by community organisations, to provide education and support (pre- and post-release) to assist re-integration into the community and reduce offending behaviour. </w:t>
      </w:r>
    </w:p>
    <w:p w:rsidR="00243058" w:rsidRPr="001E7916" w:rsidRDefault="00243058" w:rsidP="00243058">
      <w:pPr>
        <w:pStyle w:val="ListParagraph"/>
        <w:ind w:firstLine="0"/>
      </w:pPr>
      <w:r w:rsidRPr="001E7916">
        <w:t>Action area: courts; custody and release.</w:t>
      </w:r>
      <w:r w:rsidRPr="001E7916">
        <w:tab/>
      </w:r>
    </w:p>
    <w:p w:rsidR="00243058" w:rsidRDefault="00C85F5F" w:rsidP="00242937">
      <w:pPr>
        <w:ind w:left="1701" w:hanging="1701"/>
      </w:pPr>
      <w:r>
        <w:t>ACTION 4.3.1</w:t>
      </w:r>
      <w:r w:rsidR="00C42A16">
        <w:t>2</w:t>
      </w:r>
      <w:r>
        <w:tab/>
      </w:r>
      <w:r w:rsidR="00243058" w:rsidRPr="001E7916">
        <w:t xml:space="preserve">Make available quiet rooms for </w:t>
      </w:r>
      <w:r w:rsidR="00243058">
        <w:t>people with disabilities</w:t>
      </w:r>
      <w:r w:rsidR="00243058" w:rsidRPr="001E7916">
        <w:t xml:space="preserve"> to wait, mee</w:t>
      </w:r>
      <w:r w:rsidR="00243058">
        <w:t>t or for break times in court.</w:t>
      </w:r>
    </w:p>
    <w:p w:rsidR="00243058" w:rsidRPr="001E7916" w:rsidRDefault="00243058" w:rsidP="00243058">
      <w:pPr>
        <w:pStyle w:val="ListParagraph"/>
        <w:ind w:firstLine="0"/>
      </w:pPr>
      <w:r w:rsidRPr="001E7916">
        <w:t>Action area: courts.</w:t>
      </w:r>
    </w:p>
    <w:p w:rsidR="00243058" w:rsidRDefault="00C85F5F" w:rsidP="00242937">
      <w:pPr>
        <w:ind w:left="1701" w:hanging="1701"/>
      </w:pPr>
      <w:r>
        <w:t>ACTIN 4.3.1</w:t>
      </w:r>
      <w:r w:rsidR="00C42A16">
        <w:t>3</w:t>
      </w:r>
      <w:r>
        <w:tab/>
      </w:r>
      <w:r w:rsidR="00243058">
        <w:t xml:space="preserve">Sentencing </w:t>
      </w:r>
      <w:r w:rsidR="00243058" w:rsidRPr="001E7916">
        <w:t xml:space="preserve">for unpaid fines </w:t>
      </w:r>
      <w:r w:rsidR="00243058">
        <w:t>should involve the exercise of discretion, taking into account the high incidence of poverty among people with disabilities</w:t>
      </w:r>
      <w:r w:rsidR="00243058" w:rsidRPr="001E7916">
        <w:t>.</w:t>
      </w:r>
    </w:p>
    <w:p w:rsidR="00243058" w:rsidRPr="001E7916" w:rsidRDefault="00243058" w:rsidP="00243058">
      <w:pPr>
        <w:pStyle w:val="ListParagraph"/>
        <w:ind w:firstLine="0"/>
      </w:pPr>
      <w:r w:rsidRPr="001E7916">
        <w:t>Action area: courts.</w:t>
      </w:r>
      <w:r w:rsidRPr="001E7916">
        <w:tab/>
      </w:r>
    </w:p>
    <w:p w:rsidR="00243058" w:rsidRPr="00B85D1B" w:rsidRDefault="00243058" w:rsidP="00C42A16">
      <w:pPr>
        <w:pStyle w:val="Heading2"/>
      </w:pPr>
      <w:bookmarkStart w:id="61" w:name="_Toc379195372"/>
      <w:r w:rsidRPr="00B85D1B">
        <w:lastRenderedPageBreak/>
        <w:t>Outcome: Effective training</w:t>
      </w:r>
      <w:bookmarkEnd w:id="61"/>
    </w:p>
    <w:p w:rsidR="00243058" w:rsidRDefault="00243058" w:rsidP="00C42A16">
      <w:pPr>
        <w:pStyle w:val="Heading4"/>
        <w:numPr>
          <w:ilvl w:val="0"/>
          <w:numId w:val="0"/>
        </w:numPr>
      </w:pPr>
      <w:bookmarkStart w:id="62" w:name="_Toc379195373"/>
      <w:r>
        <w:t>PRINCIPLES</w:t>
      </w:r>
      <w:bookmarkEnd w:id="62"/>
    </w:p>
    <w:p w:rsidR="00243058" w:rsidRDefault="00243058" w:rsidP="00243058">
      <w:pPr>
        <w:rPr>
          <w:lang w:val="en-US"/>
        </w:rPr>
      </w:pPr>
      <w:r>
        <w:rPr>
          <w:lang w:val="en-US"/>
        </w:rPr>
        <w:t>Effective training should address</w:t>
      </w:r>
      <w:r w:rsidRPr="00605499">
        <w:rPr>
          <w:lang w:val="en-US"/>
        </w:rPr>
        <w:t xml:space="preserve"> the rights of </w:t>
      </w:r>
      <w:r>
        <w:rPr>
          <w:lang w:val="en-US"/>
        </w:rPr>
        <w:t>people with disabilities</w:t>
      </w:r>
      <w:r w:rsidRPr="00605499">
        <w:rPr>
          <w:lang w:val="en-US"/>
        </w:rPr>
        <w:t xml:space="preserve"> and prevention of and appropriate responses to violence and abuse, including gender-b</w:t>
      </w:r>
      <w:r>
        <w:rPr>
          <w:lang w:val="en-US"/>
        </w:rPr>
        <w:t>ased violence.</w:t>
      </w:r>
    </w:p>
    <w:p w:rsidR="00243058" w:rsidRDefault="00243058" w:rsidP="00243058">
      <w:pPr>
        <w:rPr>
          <w:lang w:val="en-US"/>
        </w:rPr>
      </w:pPr>
      <w:r>
        <w:rPr>
          <w:lang w:val="en-US"/>
        </w:rPr>
        <w:t>People with disabilities</w:t>
      </w:r>
      <w:r w:rsidRPr="00605499">
        <w:rPr>
          <w:lang w:val="en-US"/>
        </w:rPr>
        <w:t xml:space="preserve"> and independent advocacy and legal services with gender and disability expertise </w:t>
      </w:r>
      <w:r>
        <w:rPr>
          <w:lang w:val="en-US"/>
        </w:rPr>
        <w:t xml:space="preserve">should be </w:t>
      </w:r>
      <w:r w:rsidRPr="00605499">
        <w:rPr>
          <w:lang w:val="en-US"/>
        </w:rPr>
        <w:t>involved in the development and delivery of education and</w:t>
      </w:r>
      <w:r>
        <w:rPr>
          <w:lang w:val="en-US"/>
        </w:rPr>
        <w:t xml:space="preserve"> training to service providers and to people with disabilities</w:t>
      </w:r>
    </w:p>
    <w:p w:rsidR="00243058" w:rsidRPr="000636B1" w:rsidRDefault="00243058" w:rsidP="00C42A16">
      <w:pPr>
        <w:pStyle w:val="Heading4"/>
        <w:numPr>
          <w:ilvl w:val="0"/>
          <w:numId w:val="0"/>
        </w:numPr>
        <w:ind w:left="851" w:hanging="851"/>
      </w:pPr>
      <w:bookmarkStart w:id="63" w:name="_Toc379195374"/>
      <w:r>
        <w:t>ACTIONS</w:t>
      </w:r>
      <w:bookmarkEnd w:id="63"/>
    </w:p>
    <w:p w:rsidR="00243058" w:rsidRDefault="00C42A16" w:rsidP="00242937">
      <w:pPr>
        <w:ind w:left="1701" w:hanging="1701"/>
      </w:pPr>
      <w:r>
        <w:t>ACTION 4.4.1</w:t>
      </w:r>
      <w:r>
        <w:tab/>
      </w:r>
      <w:r w:rsidR="00243058">
        <w:t>Develop and deliver staff training that:</w:t>
      </w:r>
    </w:p>
    <w:p w:rsidR="00243058" w:rsidRDefault="00243058" w:rsidP="00243058">
      <w:pPr>
        <w:pStyle w:val="ListParagraph"/>
        <w:numPr>
          <w:ilvl w:val="0"/>
          <w:numId w:val="41"/>
        </w:numPr>
      </w:pPr>
      <w:r>
        <w:rPr>
          <w:lang w:val="en-AU"/>
        </w:rPr>
        <w:t>i</w:t>
      </w:r>
      <w:r w:rsidRPr="001C2835">
        <w:rPr>
          <w:lang w:val="en-AU"/>
        </w:rPr>
        <w:t>mprove</w:t>
      </w:r>
      <w:r>
        <w:rPr>
          <w:lang w:val="en-AU"/>
        </w:rPr>
        <w:t>s</w:t>
      </w:r>
      <w:r w:rsidRPr="001C2835">
        <w:rPr>
          <w:lang w:val="en-AU"/>
        </w:rPr>
        <w:t xml:space="preserve"> responses and attitudes of staff</w:t>
      </w:r>
      <w:r w:rsidRPr="0044065E" w:rsidDel="001C2835">
        <w:t xml:space="preserve"> </w:t>
      </w:r>
    </w:p>
    <w:p w:rsidR="00243058" w:rsidRDefault="00243058" w:rsidP="00243058">
      <w:pPr>
        <w:pStyle w:val="ListParagraph"/>
        <w:numPr>
          <w:ilvl w:val="0"/>
          <w:numId w:val="41"/>
        </w:numPr>
      </w:pPr>
      <w:proofErr w:type="gramStart"/>
      <w:r>
        <w:t>addresses</w:t>
      </w:r>
      <w:proofErr w:type="gramEnd"/>
      <w:r w:rsidRPr="0044065E">
        <w:t xml:space="preserve"> the </w:t>
      </w:r>
      <w:r>
        <w:t xml:space="preserve">impact of </w:t>
      </w:r>
      <w:r w:rsidRPr="0044065E">
        <w:t xml:space="preserve"> intersectional experiences of disability, gender and violence</w:t>
      </w:r>
      <w:r>
        <w:t>.</w:t>
      </w:r>
    </w:p>
    <w:p w:rsidR="00243058" w:rsidRDefault="00243058" w:rsidP="00243058">
      <w:pPr>
        <w:pStyle w:val="ListParagraph"/>
        <w:numPr>
          <w:ilvl w:val="0"/>
          <w:numId w:val="41"/>
        </w:numPr>
      </w:pPr>
      <w:proofErr w:type="gramStart"/>
      <w:r>
        <w:t>emphasises</w:t>
      </w:r>
      <w:proofErr w:type="gramEnd"/>
      <w:r>
        <w:t xml:space="preserve"> the rights of people with disabilities to make their own decisions, with support if necessary, and that those decisions deserve respect.</w:t>
      </w:r>
    </w:p>
    <w:p w:rsidR="00243058" w:rsidRPr="00605499" w:rsidRDefault="00243058" w:rsidP="00243058">
      <w:pPr>
        <w:pStyle w:val="ListParagraph"/>
        <w:ind w:firstLine="0"/>
      </w:pPr>
      <w:r w:rsidRPr="00605499">
        <w:rPr>
          <w:rFonts w:cs="Arial"/>
        </w:rPr>
        <w:t>Action area: police; courts; custody and release</w:t>
      </w:r>
      <w:r>
        <w:rPr>
          <w:rFonts w:cs="Arial"/>
        </w:rPr>
        <w:t>.</w:t>
      </w:r>
    </w:p>
    <w:p w:rsidR="00243058" w:rsidRDefault="00C42A16" w:rsidP="00242937">
      <w:pPr>
        <w:ind w:left="1701" w:hanging="1701"/>
      </w:pPr>
      <w:r>
        <w:t>ACTION 4.4.2</w:t>
      </w:r>
      <w:r>
        <w:tab/>
      </w:r>
      <w:r w:rsidR="00243058" w:rsidRPr="001E7916">
        <w:t xml:space="preserve">Provide to people with a disability, their families and carers appropriate education and information, in a culturally competent manner, so they are confident in using the service system and </w:t>
      </w:r>
      <w:r w:rsidR="00243058">
        <w:t>can acquire the ‘inside knowledge’ that makes a system work</w:t>
      </w:r>
      <w:r w:rsidR="00243058" w:rsidRPr="001E7916">
        <w:t>.</w:t>
      </w:r>
    </w:p>
    <w:p w:rsidR="00243058" w:rsidRDefault="00243058" w:rsidP="00243058">
      <w:pPr>
        <w:pStyle w:val="ListParagraph"/>
        <w:ind w:firstLine="0"/>
      </w:pPr>
      <w:r w:rsidRPr="001E7916">
        <w:t>Action area: police; courts; custody and release</w:t>
      </w:r>
      <w:r>
        <w:t>.</w:t>
      </w:r>
    </w:p>
    <w:p w:rsidR="00243058" w:rsidRPr="00B85D1B" w:rsidRDefault="00243058" w:rsidP="00C42A16">
      <w:pPr>
        <w:pStyle w:val="Heading2"/>
      </w:pPr>
      <w:bookmarkStart w:id="64" w:name="_Toc379195375"/>
      <w:r w:rsidRPr="00B85D1B">
        <w:t>Outcome: Enhanced accountability and monitoring</w:t>
      </w:r>
      <w:bookmarkEnd w:id="64"/>
    </w:p>
    <w:p w:rsidR="00243058" w:rsidRDefault="00243058" w:rsidP="00C42A16">
      <w:pPr>
        <w:pStyle w:val="Heading4"/>
        <w:numPr>
          <w:ilvl w:val="0"/>
          <w:numId w:val="0"/>
        </w:numPr>
      </w:pPr>
      <w:bookmarkStart w:id="65" w:name="_Toc379195376"/>
      <w:r>
        <w:t>PRINCIPLES</w:t>
      </w:r>
      <w:bookmarkEnd w:id="65"/>
    </w:p>
    <w:p w:rsidR="00243058" w:rsidRPr="000636B1" w:rsidRDefault="00243058" w:rsidP="00E75D86">
      <w:pPr>
        <w:spacing w:after="200"/>
        <w:contextualSpacing/>
        <w:rPr>
          <w:rFonts w:cs="Arial"/>
        </w:rPr>
      </w:pPr>
      <w:r>
        <w:rPr>
          <w:rFonts w:cs="Arial"/>
        </w:rPr>
        <w:t>People with disabilities</w:t>
      </w:r>
      <w:r w:rsidRPr="000636B1">
        <w:rPr>
          <w:rFonts w:cs="Arial"/>
        </w:rPr>
        <w:t>, including children with disabilit</w:t>
      </w:r>
      <w:r>
        <w:rPr>
          <w:rFonts w:cs="Arial"/>
        </w:rPr>
        <w:t>ies</w:t>
      </w:r>
      <w:r w:rsidRPr="000636B1">
        <w:rPr>
          <w:rFonts w:cs="Arial"/>
        </w:rPr>
        <w:t>, are consulted and actively involved as equal partners in the development, implementation and monitoring of polic</w:t>
      </w:r>
      <w:r>
        <w:rPr>
          <w:rFonts w:cs="Arial"/>
        </w:rPr>
        <w:t>i</w:t>
      </w:r>
      <w:r w:rsidRPr="000636B1">
        <w:rPr>
          <w:rFonts w:cs="Arial"/>
        </w:rPr>
        <w:t>es, programs and legislation to:</w:t>
      </w:r>
    </w:p>
    <w:p w:rsidR="00243058" w:rsidRPr="004D4872" w:rsidRDefault="00243058" w:rsidP="00243058">
      <w:pPr>
        <w:pStyle w:val="ListParagraph"/>
        <w:numPr>
          <w:ilvl w:val="1"/>
          <w:numId w:val="39"/>
        </w:numPr>
        <w:spacing w:after="200"/>
        <w:contextualSpacing/>
        <w:rPr>
          <w:rFonts w:cs="Arial"/>
        </w:rPr>
      </w:pPr>
      <w:r w:rsidRPr="004D4872">
        <w:rPr>
          <w:rFonts w:cs="Arial"/>
        </w:rPr>
        <w:t>improve access to justice</w:t>
      </w:r>
    </w:p>
    <w:p w:rsidR="00243058" w:rsidRPr="004D4872" w:rsidRDefault="00243058" w:rsidP="00243058">
      <w:pPr>
        <w:pStyle w:val="ListParagraph"/>
        <w:numPr>
          <w:ilvl w:val="1"/>
          <w:numId w:val="39"/>
        </w:numPr>
        <w:spacing w:after="200"/>
        <w:contextualSpacing/>
        <w:rPr>
          <w:rFonts w:cs="Arial"/>
        </w:rPr>
      </w:pPr>
      <w:r w:rsidRPr="004D4872">
        <w:rPr>
          <w:rFonts w:cs="Arial"/>
        </w:rPr>
        <w:t xml:space="preserve">raise awareness of the rights of </w:t>
      </w:r>
      <w:r>
        <w:rPr>
          <w:rFonts w:cs="Arial"/>
        </w:rPr>
        <w:t>people with disabilities</w:t>
      </w:r>
    </w:p>
    <w:p w:rsidR="00243058" w:rsidRPr="004D4872" w:rsidRDefault="00243058" w:rsidP="00243058">
      <w:pPr>
        <w:pStyle w:val="ListParagraph"/>
        <w:numPr>
          <w:ilvl w:val="1"/>
          <w:numId w:val="39"/>
        </w:numPr>
        <w:spacing w:after="200"/>
        <w:contextualSpacing/>
        <w:rPr>
          <w:rFonts w:cs="Arial"/>
        </w:rPr>
      </w:pPr>
      <w:r w:rsidRPr="004D4872">
        <w:rPr>
          <w:rFonts w:cs="Arial"/>
        </w:rPr>
        <w:t xml:space="preserve">prevent and respond to violence against </w:t>
      </w:r>
      <w:r>
        <w:rPr>
          <w:rFonts w:cs="Arial"/>
        </w:rPr>
        <w:t>people with disabilities</w:t>
      </w:r>
    </w:p>
    <w:p w:rsidR="00243058" w:rsidRPr="004D4872" w:rsidRDefault="00243058" w:rsidP="00243058">
      <w:pPr>
        <w:pStyle w:val="ListParagraph"/>
        <w:numPr>
          <w:ilvl w:val="1"/>
          <w:numId w:val="39"/>
        </w:numPr>
        <w:spacing w:after="200"/>
        <w:contextualSpacing/>
        <w:rPr>
          <w:rFonts w:cs="Arial"/>
        </w:rPr>
      </w:pPr>
      <w:proofErr w:type="gramStart"/>
      <w:r w:rsidRPr="004D4872">
        <w:rPr>
          <w:rFonts w:cs="Arial"/>
        </w:rPr>
        <w:t>improve</w:t>
      </w:r>
      <w:proofErr w:type="gramEnd"/>
      <w:r w:rsidRPr="004D4872">
        <w:rPr>
          <w:rFonts w:cs="Arial"/>
        </w:rPr>
        <w:t xml:space="preserve"> access to supports and services in the community, in particular to pre</w:t>
      </w:r>
      <w:r>
        <w:rPr>
          <w:rFonts w:cs="Arial"/>
        </w:rPr>
        <w:t>vent disadvantage and address health and social risks.</w:t>
      </w:r>
    </w:p>
    <w:p w:rsidR="00243058" w:rsidRPr="000636B1" w:rsidRDefault="00243058" w:rsidP="00E75D86">
      <w:pPr>
        <w:pStyle w:val="Heading4"/>
        <w:numPr>
          <w:ilvl w:val="0"/>
          <w:numId w:val="0"/>
        </w:numPr>
        <w:ind w:left="851" w:hanging="851"/>
      </w:pPr>
      <w:bookmarkStart w:id="66" w:name="_Toc379195377"/>
      <w:r>
        <w:t>ACTIONS</w:t>
      </w:r>
      <w:bookmarkEnd w:id="66"/>
    </w:p>
    <w:p w:rsidR="00243058" w:rsidRDefault="00E75D86" w:rsidP="00242937">
      <w:pPr>
        <w:ind w:left="1701" w:hanging="1701"/>
      </w:pPr>
      <w:r>
        <w:t>ACTION 4.5.1</w:t>
      </w:r>
      <w:r>
        <w:tab/>
      </w:r>
      <w:r w:rsidR="00243058" w:rsidRPr="001E7916">
        <w:t xml:space="preserve">Ensure </w:t>
      </w:r>
      <w:r w:rsidR="00243058">
        <w:t>people with disabilities</w:t>
      </w:r>
      <w:r w:rsidR="00243058" w:rsidRPr="001E7916">
        <w:t xml:space="preserve"> are represented on relevant governance and advisory boards.</w:t>
      </w:r>
    </w:p>
    <w:p w:rsidR="00243058" w:rsidRDefault="00243058" w:rsidP="00243058">
      <w:pPr>
        <w:pStyle w:val="ListParagraph"/>
        <w:ind w:firstLine="0"/>
      </w:pPr>
      <w:r w:rsidRPr="001E7916">
        <w:lastRenderedPageBreak/>
        <w:t>Action area: police; courts; custody and release</w:t>
      </w:r>
      <w:r>
        <w:t>.</w:t>
      </w:r>
    </w:p>
    <w:p w:rsidR="00243058" w:rsidRDefault="00E75D86" w:rsidP="00242937">
      <w:pPr>
        <w:ind w:left="1701" w:hanging="1701"/>
      </w:pPr>
      <w:proofErr w:type="gramStart"/>
      <w:r>
        <w:t>ACTION 4.5.2</w:t>
      </w:r>
      <w:r>
        <w:tab/>
      </w:r>
      <w:r w:rsidR="00243058">
        <w:t>Include transparent, effective and culturally appropriate complaints handling procedures.</w:t>
      </w:r>
      <w:proofErr w:type="gramEnd"/>
    </w:p>
    <w:p w:rsidR="00243058" w:rsidRDefault="00243058" w:rsidP="00243058">
      <w:pPr>
        <w:pStyle w:val="ListParagraph"/>
        <w:ind w:firstLine="0"/>
      </w:pPr>
      <w:r w:rsidRPr="001E7916">
        <w:t>Action area: police; courts; custody and release</w:t>
      </w:r>
      <w:r>
        <w:t>.</w:t>
      </w:r>
    </w:p>
    <w:p w:rsidR="00243058" w:rsidRPr="003A7040" w:rsidRDefault="00E75D86" w:rsidP="00242937">
      <w:pPr>
        <w:ind w:left="1701" w:hanging="1701"/>
      </w:pPr>
      <w:r>
        <w:rPr>
          <w:rFonts w:cs="Arial"/>
        </w:rPr>
        <w:t>ACTION 4.5.3</w:t>
      </w:r>
      <w:r>
        <w:rPr>
          <w:rFonts w:cs="Arial"/>
        </w:rPr>
        <w:tab/>
      </w:r>
      <w:r w:rsidR="00243058" w:rsidRPr="008B12CB">
        <w:t>Implement</w:t>
      </w:r>
      <w:r w:rsidR="00243058" w:rsidRPr="00E75D86">
        <w:rPr>
          <w:rFonts w:cs="Arial"/>
        </w:rPr>
        <w:t xml:space="preserve"> a transparent independent mechanism to monitor the use of restraint and seclusion of people with disabilities in all settings, with a view to recording and minimising the use of these practices. When the circumstances justify the use of restraint and seclusion safeguards must in place and reported.</w:t>
      </w:r>
    </w:p>
    <w:p w:rsidR="00243058" w:rsidRDefault="00243058" w:rsidP="00243058">
      <w:pPr>
        <w:pStyle w:val="ListParagraph"/>
        <w:ind w:firstLine="0"/>
      </w:pPr>
      <w:r w:rsidRPr="003A7040">
        <w:t>Action area: police; courts; custody and release.</w:t>
      </w:r>
    </w:p>
    <w:p w:rsidR="00243058" w:rsidRPr="00B97831" w:rsidRDefault="00243058" w:rsidP="00E75D86">
      <w:pPr>
        <w:pStyle w:val="Heading2"/>
      </w:pPr>
      <w:bookmarkStart w:id="67" w:name="_Toc379195378"/>
      <w:r w:rsidRPr="00B97831">
        <w:t>Outcome: Better policy and frameworks</w:t>
      </w:r>
      <w:bookmarkEnd w:id="67"/>
    </w:p>
    <w:p w:rsidR="00243058" w:rsidRDefault="00243058" w:rsidP="00E75D86">
      <w:pPr>
        <w:pStyle w:val="Heading4"/>
        <w:numPr>
          <w:ilvl w:val="0"/>
          <w:numId w:val="0"/>
        </w:numPr>
      </w:pPr>
      <w:bookmarkStart w:id="68" w:name="_Toc379195379"/>
      <w:r>
        <w:t>PRINCIPLES</w:t>
      </w:r>
      <w:bookmarkEnd w:id="68"/>
    </w:p>
    <w:p w:rsidR="00243058" w:rsidRDefault="00243058" w:rsidP="00243058">
      <w:r w:rsidRPr="009C221D">
        <w:t xml:space="preserve">Specific measures to address the intersection of disability and gender </w:t>
      </w:r>
      <w:r>
        <w:t>should be</w:t>
      </w:r>
      <w:r w:rsidRPr="009C221D">
        <w:t xml:space="preserve"> adopted in legislation, </w:t>
      </w:r>
      <w:r>
        <w:t>policies and programs</w:t>
      </w:r>
      <w:r w:rsidRPr="009C221D">
        <w:t xml:space="preserve"> to </w:t>
      </w:r>
      <w:r>
        <w:t>achieve</w:t>
      </w:r>
      <w:r w:rsidRPr="009C221D">
        <w:t xml:space="preserve"> appropriate understanding and responses by service providers.</w:t>
      </w:r>
    </w:p>
    <w:p w:rsidR="00243058" w:rsidRDefault="00243058" w:rsidP="00243058">
      <w:r w:rsidRPr="001E7916">
        <w:t>Disability Justice Strateg</w:t>
      </w:r>
      <w:r>
        <w:t>ies should be linked</w:t>
      </w:r>
      <w:r w:rsidRPr="001E7916">
        <w:t xml:space="preserve"> to the National Disability Strategy and the National Disability Agreement</w:t>
      </w:r>
    </w:p>
    <w:p w:rsidR="00243058" w:rsidRDefault="00243058" w:rsidP="00E75D86">
      <w:pPr>
        <w:pStyle w:val="Heading4"/>
        <w:numPr>
          <w:ilvl w:val="0"/>
          <w:numId w:val="0"/>
        </w:numPr>
        <w:ind w:left="851" w:hanging="851"/>
      </w:pPr>
      <w:bookmarkStart w:id="69" w:name="_Toc379195380"/>
      <w:r>
        <w:t>ACTIONS</w:t>
      </w:r>
      <w:bookmarkEnd w:id="69"/>
    </w:p>
    <w:p w:rsidR="00243058" w:rsidRPr="00E94A16" w:rsidRDefault="004B3590" w:rsidP="00242937">
      <w:pPr>
        <w:ind w:left="1701" w:hanging="1701"/>
      </w:pPr>
      <w:r>
        <w:t>ACTION 4.6.1</w:t>
      </w:r>
      <w:r>
        <w:tab/>
      </w:r>
      <w:proofErr w:type="gramStart"/>
      <w:r w:rsidR="00243058" w:rsidRPr="001E7916">
        <w:t>At</w:t>
      </w:r>
      <w:proofErr w:type="gramEnd"/>
      <w:r w:rsidR="00243058" w:rsidRPr="001E7916">
        <w:t xml:space="preserve"> every stage of the criminal justice system, recognise the importance of providing procedural and age-appropriate accommodations to </w:t>
      </w:r>
      <w:r w:rsidR="00243058">
        <w:t>people with disabilities</w:t>
      </w:r>
      <w:r w:rsidR="00243058" w:rsidRPr="001E7916">
        <w:t>.</w:t>
      </w:r>
    </w:p>
    <w:p w:rsidR="00243058" w:rsidRPr="001E7916" w:rsidRDefault="00243058" w:rsidP="00243058">
      <w:pPr>
        <w:pStyle w:val="ListParagraph"/>
        <w:ind w:firstLine="0"/>
      </w:pPr>
      <w:r w:rsidRPr="00B97831">
        <w:rPr>
          <w:rFonts w:cs="Arial"/>
        </w:rPr>
        <w:t>Action area: police; courts; custody and release</w:t>
      </w:r>
      <w:r>
        <w:rPr>
          <w:rFonts w:cs="Arial"/>
        </w:rPr>
        <w:t>.</w:t>
      </w:r>
    </w:p>
    <w:p w:rsidR="00243058" w:rsidRPr="004B3590" w:rsidRDefault="004B3590" w:rsidP="00242937">
      <w:pPr>
        <w:ind w:left="1701" w:hanging="1701"/>
        <w:rPr>
          <w:rFonts w:cs="Arial"/>
        </w:rPr>
      </w:pPr>
      <w:r>
        <w:t>ACTION 4.6.2</w:t>
      </w:r>
      <w:r>
        <w:tab/>
      </w:r>
      <w:r w:rsidR="00243058">
        <w:t>R</w:t>
      </w:r>
      <w:r w:rsidR="00243058" w:rsidRPr="0044065E">
        <w:t>ecognise that failure to provide necessary accommodations to a person with disabilit</w:t>
      </w:r>
      <w:r w:rsidR="00243058">
        <w:t>ies</w:t>
      </w:r>
      <w:r w:rsidR="00243058" w:rsidRPr="0044065E">
        <w:t xml:space="preserve"> can </w:t>
      </w:r>
      <w:r w:rsidR="00243058">
        <w:t>create</w:t>
      </w:r>
      <w:r w:rsidR="00243058" w:rsidRPr="0044065E">
        <w:t xml:space="preserve"> a legitimate mitigating circumstance that a court should consider.</w:t>
      </w:r>
    </w:p>
    <w:p w:rsidR="00243058" w:rsidRPr="0044065E" w:rsidRDefault="00243058" w:rsidP="00243058">
      <w:pPr>
        <w:pStyle w:val="ListParagraph"/>
        <w:ind w:firstLine="0"/>
      </w:pPr>
      <w:r w:rsidRPr="00B97831">
        <w:rPr>
          <w:rFonts w:cs="Arial"/>
        </w:rPr>
        <w:t>Action area: police; courts; custody and release</w:t>
      </w:r>
      <w:r>
        <w:rPr>
          <w:rFonts w:cs="Arial"/>
        </w:rPr>
        <w:t>.</w:t>
      </w:r>
    </w:p>
    <w:p w:rsidR="00243058" w:rsidRDefault="004B3590" w:rsidP="00242937">
      <w:pPr>
        <w:ind w:left="1701" w:hanging="1701"/>
      </w:pPr>
      <w:r>
        <w:t>ACTION 4.6.3</w:t>
      </w:r>
      <w:r>
        <w:tab/>
      </w:r>
      <w:proofErr w:type="gramStart"/>
      <w:r w:rsidR="00243058" w:rsidRPr="0044065E">
        <w:t>Where</w:t>
      </w:r>
      <w:proofErr w:type="gramEnd"/>
      <w:r w:rsidR="00243058" w:rsidRPr="0044065E">
        <w:t xml:space="preserve"> a person who has been found unfit to plead is to be held in detention, demonstrate that all reasonable steps have been taken to avoid this outcome.</w:t>
      </w:r>
    </w:p>
    <w:p w:rsidR="00243058" w:rsidRPr="0044065E" w:rsidRDefault="00243058" w:rsidP="00243058">
      <w:pPr>
        <w:pStyle w:val="ListParagraph"/>
        <w:ind w:firstLine="0"/>
      </w:pPr>
      <w:r w:rsidRPr="0044065E">
        <w:t>Action area: courts</w:t>
      </w:r>
      <w:r>
        <w:t>; custody and release</w:t>
      </w:r>
      <w:r w:rsidRPr="0044065E">
        <w:t>.</w:t>
      </w:r>
    </w:p>
    <w:p w:rsidR="00243058" w:rsidRDefault="004B3590" w:rsidP="00242937">
      <w:pPr>
        <w:ind w:left="1701" w:hanging="1701"/>
      </w:pPr>
      <w:r>
        <w:t>ACTION 4.6.4</w:t>
      </w:r>
      <w:r>
        <w:tab/>
      </w:r>
      <w:r w:rsidR="00243058" w:rsidRPr="0044065E">
        <w:t xml:space="preserve">Require chief executives of relevant agencies to report every 2 years to the Premier and the Premier’s Disability Advisory Council in relation to access to justice for </w:t>
      </w:r>
      <w:r w:rsidR="00243058">
        <w:t>people with disabilities</w:t>
      </w:r>
      <w:r w:rsidR="00243058" w:rsidRPr="0044065E">
        <w:t xml:space="preserve"> in the criminal justice system. </w:t>
      </w:r>
    </w:p>
    <w:p w:rsidR="00243058" w:rsidRPr="0044065E" w:rsidRDefault="00243058" w:rsidP="00243058">
      <w:pPr>
        <w:pStyle w:val="ListParagraph"/>
        <w:ind w:firstLine="0"/>
      </w:pPr>
      <w:r w:rsidRPr="0044065E">
        <w:t>Action area: police; courts; custody and release</w:t>
      </w:r>
      <w:r>
        <w:t>.</w:t>
      </w:r>
    </w:p>
    <w:p w:rsidR="00243058" w:rsidRPr="0044065E" w:rsidRDefault="004B3590" w:rsidP="00242937">
      <w:pPr>
        <w:ind w:left="1701" w:hanging="1701"/>
      </w:pPr>
      <w:r>
        <w:lastRenderedPageBreak/>
        <w:t>ACTION 4.6.5</w:t>
      </w:r>
      <w:r>
        <w:tab/>
      </w:r>
      <w:proofErr w:type="gramStart"/>
      <w:r w:rsidR="00243058" w:rsidRPr="0044065E">
        <w:t>All</w:t>
      </w:r>
      <w:proofErr w:type="gramEnd"/>
      <w:r w:rsidR="00243058" w:rsidRPr="0044065E">
        <w:t xml:space="preserve"> criminal justice agencies </w:t>
      </w:r>
      <w:r w:rsidR="00243058">
        <w:t>m</w:t>
      </w:r>
      <w:r w:rsidR="00243058" w:rsidRPr="0044065E">
        <w:t>onitor and evaluate:</w:t>
      </w:r>
    </w:p>
    <w:p w:rsidR="00243058" w:rsidRDefault="00243058" w:rsidP="00242937">
      <w:pPr>
        <w:numPr>
          <w:ilvl w:val="0"/>
          <w:numId w:val="37"/>
        </w:numPr>
        <w:spacing w:before="0" w:after="200"/>
        <w:ind w:left="2061" w:hanging="360"/>
        <w:rPr>
          <w:rFonts w:cs="Arial"/>
          <w:lang w:val="en-US"/>
        </w:rPr>
      </w:pPr>
      <w:r>
        <w:rPr>
          <w:rFonts w:cs="Arial"/>
          <w:lang w:val="en-US"/>
        </w:rPr>
        <w:t>participation rates by people with disabilities as victims of crime, witnesses, accused, defendants, offenders and jurors in all parts of the justice system</w:t>
      </w:r>
    </w:p>
    <w:p w:rsidR="00243058" w:rsidRDefault="00243058" w:rsidP="00242937">
      <w:pPr>
        <w:numPr>
          <w:ilvl w:val="0"/>
          <w:numId w:val="37"/>
        </w:numPr>
        <w:spacing w:before="0" w:after="200"/>
        <w:ind w:left="2061" w:hanging="360"/>
        <w:rPr>
          <w:rFonts w:cs="Arial"/>
          <w:lang w:val="en-US"/>
        </w:rPr>
      </w:pPr>
      <w:proofErr w:type="gramStart"/>
      <w:r>
        <w:rPr>
          <w:rFonts w:cs="Arial"/>
          <w:lang w:val="en-US"/>
        </w:rPr>
        <w:t>provision</w:t>
      </w:r>
      <w:proofErr w:type="gramEnd"/>
      <w:r>
        <w:rPr>
          <w:rFonts w:cs="Arial"/>
          <w:lang w:val="en-US"/>
        </w:rPr>
        <w:t xml:space="preserve"> of adjustments and supports on critical indicators including  age, sex, gender, disability, race, type of violence.</w:t>
      </w:r>
    </w:p>
    <w:p w:rsidR="0090374D" w:rsidRDefault="00243058" w:rsidP="00243058">
      <w:pPr>
        <w:ind w:left="720"/>
        <w:rPr>
          <w:rFonts w:cs="Arial"/>
        </w:rPr>
        <w:sectPr w:rsidR="0090374D" w:rsidSect="005B1CB8">
          <w:endnotePr>
            <w:numFmt w:val="decimal"/>
          </w:endnotePr>
          <w:pgSz w:w="11906" w:h="16838" w:code="9"/>
          <w:pgMar w:top="1134" w:right="1418" w:bottom="1134" w:left="1418" w:header="709" w:footer="709" w:gutter="0"/>
          <w:cols w:space="708"/>
          <w:docGrid w:linePitch="360"/>
        </w:sectPr>
      </w:pPr>
      <w:r>
        <w:rPr>
          <w:rFonts w:cs="Arial"/>
        </w:rPr>
        <w:t>Action area: police;   courts; custody and release.</w:t>
      </w:r>
    </w:p>
    <w:p w:rsidR="00E801BB" w:rsidRPr="00E801BB" w:rsidRDefault="001F661B" w:rsidP="001F661B">
      <w:pPr>
        <w:pStyle w:val="Heading1"/>
        <w:numPr>
          <w:ilvl w:val="0"/>
          <w:numId w:val="0"/>
        </w:numPr>
        <w:ind w:left="851" w:hanging="851"/>
        <w:rPr>
          <w:sz w:val="36"/>
          <w:szCs w:val="36"/>
        </w:rPr>
      </w:pPr>
      <w:bookmarkStart w:id="70" w:name="_Toc379195381"/>
      <w:r>
        <w:rPr>
          <w:sz w:val="36"/>
          <w:szCs w:val="36"/>
        </w:rPr>
        <w:lastRenderedPageBreak/>
        <w:t>5.</w:t>
      </w:r>
      <w:r>
        <w:rPr>
          <w:sz w:val="36"/>
          <w:szCs w:val="36"/>
        </w:rPr>
        <w:tab/>
      </w:r>
      <w:r w:rsidR="00E801BB" w:rsidRPr="00E801BB">
        <w:rPr>
          <w:sz w:val="36"/>
          <w:szCs w:val="36"/>
        </w:rPr>
        <w:t>Conclusion</w:t>
      </w:r>
      <w:bookmarkEnd w:id="70"/>
    </w:p>
    <w:p w:rsidR="00E801BB" w:rsidRPr="00027ECC" w:rsidRDefault="00E801BB" w:rsidP="00E801BB">
      <w:pPr>
        <w:spacing w:after="120"/>
        <w:rPr>
          <w:rFonts w:cs="Arial"/>
          <w:bCs/>
        </w:rPr>
      </w:pPr>
      <w:r w:rsidRPr="00027ECC">
        <w:rPr>
          <w:rFonts w:cs="Arial"/>
          <w:bCs/>
        </w:rPr>
        <w:t xml:space="preserve">This </w:t>
      </w:r>
      <w:r w:rsidR="00DE46FF">
        <w:rPr>
          <w:rFonts w:cs="Arial"/>
          <w:bCs/>
        </w:rPr>
        <w:t>report</w:t>
      </w:r>
      <w:r w:rsidR="00CE446D">
        <w:rPr>
          <w:rFonts w:cs="Arial"/>
          <w:bCs/>
        </w:rPr>
        <w:t xml:space="preserve"> has identified a range of </w:t>
      </w:r>
      <w:r w:rsidRPr="00027ECC">
        <w:rPr>
          <w:rFonts w:cs="Arial"/>
          <w:bCs/>
        </w:rPr>
        <w:t>problems that exist in the criminal just</w:t>
      </w:r>
      <w:r w:rsidR="00CE446D">
        <w:rPr>
          <w:rFonts w:cs="Arial"/>
          <w:bCs/>
        </w:rPr>
        <w:t>ice</w:t>
      </w:r>
      <w:r w:rsidRPr="00027ECC">
        <w:rPr>
          <w:rFonts w:cs="Arial"/>
          <w:bCs/>
        </w:rPr>
        <w:t xml:space="preserve"> system </w:t>
      </w:r>
      <w:r w:rsidR="00CE446D">
        <w:rPr>
          <w:rFonts w:cs="Arial"/>
          <w:bCs/>
        </w:rPr>
        <w:t>which</w:t>
      </w:r>
      <w:r w:rsidRPr="00027ECC">
        <w:rPr>
          <w:rFonts w:cs="Arial"/>
          <w:bCs/>
        </w:rPr>
        <w:t xml:space="preserve"> result in people with disabilities not enjoying equality before the law</w:t>
      </w:r>
      <w:r w:rsidR="00CE446D">
        <w:rPr>
          <w:rFonts w:cs="Arial"/>
          <w:bCs/>
        </w:rPr>
        <w:t xml:space="preserve">. </w:t>
      </w:r>
      <w:r w:rsidRPr="00027ECC">
        <w:rPr>
          <w:rFonts w:cs="Arial"/>
          <w:bCs/>
        </w:rPr>
        <w:t xml:space="preserve">Despite much good work and the best intentions, people with disabilities </w:t>
      </w:r>
      <w:r w:rsidR="00CE446D">
        <w:rPr>
          <w:rFonts w:cs="Arial"/>
          <w:bCs/>
        </w:rPr>
        <w:t>are not treated appropriately in the criminal justice system</w:t>
      </w:r>
      <w:r w:rsidRPr="00027ECC">
        <w:rPr>
          <w:rFonts w:cs="Arial"/>
          <w:bCs/>
        </w:rPr>
        <w:t>.</w:t>
      </w:r>
    </w:p>
    <w:p w:rsidR="00E801BB" w:rsidRPr="00027ECC" w:rsidRDefault="00E801BB" w:rsidP="00E801BB">
      <w:pPr>
        <w:spacing w:after="120"/>
        <w:rPr>
          <w:rFonts w:cs="Arial"/>
          <w:bCs/>
        </w:rPr>
      </w:pPr>
      <w:r w:rsidRPr="00027ECC">
        <w:rPr>
          <w:rFonts w:cs="Arial"/>
          <w:bCs/>
        </w:rPr>
        <w:t>Throughout the consultation process the Commission heard that in order to ensure equality before the law for people with disabilit</w:t>
      </w:r>
      <w:r>
        <w:rPr>
          <w:rFonts w:cs="Arial"/>
          <w:bCs/>
        </w:rPr>
        <w:t>ies</w:t>
      </w:r>
      <w:r w:rsidRPr="00027ECC">
        <w:rPr>
          <w:rFonts w:cs="Arial"/>
          <w:bCs/>
        </w:rPr>
        <w:t xml:space="preserve">, sectors must work together effectively. To facilitate this collaborative process, it became clear that each jurisdiction should develop an overarching Disability Justice Strategy. The strategy </w:t>
      </w:r>
      <w:r w:rsidR="00047902">
        <w:rPr>
          <w:rFonts w:cs="Arial"/>
          <w:bCs/>
        </w:rPr>
        <w:t>sh</w:t>
      </w:r>
      <w:r w:rsidRPr="00027ECC">
        <w:rPr>
          <w:rFonts w:cs="Arial"/>
          <w:bCs/>
        </w:rPr>
        <w:t>ould entail:</w:t>
      </w:r>
    </w:p>
    <w:p w:rsidR="00E801BB" w:rsidRPr="00E801BB" w:rsidRDefault="00E801BB" w:rsidP="00E801BB">
      <w:pPr>
        <w:pStyle w:val="ListParagraph"/>
        <w:numPr>
          <w:ilvl w:val="0"/>
          <w:numId w:val="43"/>
        </w:numPr>
        <w:rPr>
          <w:rFonts w:cs="Arial"/>
          <w:bCs/>
        </w:rPr>
      </w:pPr>
      <w:r w:rsidRPr="00E801BB">
        <w:rPr>
          <w:rFonts w:cs="Arial"/>
          <w:bCs/>
        </w:rPr>
        <w:t>Safety of people with disabilities and freedom from violence</w:t>
      </w:r>
    </w:p>
    <w:p w:rsidR="00E801BB" w:rsidRPr="00E801BB" w:rsidRDefault="00E801BB" w:rsidP="00E801BB">
      <w:pPr>
        <w:pStyle w:val="ListParagraph"/>
        <w:numPr>
          <w:ilvl w:val="0"/>
          <w:numId w:val="43"/>
        </w:numPr>
        <w:rPr>
          <w:rFonts w:cs="Arial"/>
          <w:bCs/>
        </w:rPr>
      </w:pPr>
      <w:r w:rsidRPr="00E801BB">
        <w:rPr>
          <w:rFonts w:cs="Arial"/>
          <w:bCs/>
        </w:rPr>
        <w:t>Effective access to justice for people with disabilities</w:t>
      </w:r>
    </w:p>
    <w:p w:rsidR="00E801BB" w:rsidRPr="00E801BB" w:rsidRDefault="00E801BB" w:rsidP="00E801BB">
      <w:pPr>
        <w:pStyle w:val="ListParagraph"/>
        <w:numPr>
          <w:ilvl w:val="0"/>
          <w:numId w:val="43"/>
        </w:numPr>
        <w:rPr>
          <w:rFonts w:cs="Arial"/>
          <w:bCs/>
        </w:rPr>
      </w:pPr>
      <w:r w:rsidRPr="00E801BB">
        <w:rPr>
          <w:rFonts w:cs="Arial"/>
          <w:bCs/>
        </w:rPr>
        <w:t>Non-discrimination</w:t>
      </w:r>
    </w:p>
    <w:p w:rsidR="00E801BB" w:rsidRPr="00E801BB" w:rsidRDefault="00E801BB" w:rsidP="00E801BB">
      <w:pPr>
        <w:pStyle w:val="ListParagraph"/>
        <w:numPr>
          <w:ilvl w:val="0"/>
          <w:numId w:val="43"/>
        </w:numPr>
        <w:rPr>
          <w:rFonts w:cs="Arial"/>
          <w:bCs/>
        </w:rPr>
      </w:pPr>
      <w:r w:rsidRPr="00E801BB">
        <w:rPr>
          <w:rFonts w:cs="Arial"/>
          <w:bCs/>
        </w:rPr>
        <w:t>Respect for inherent dignity and individual autonomy including the freedom to make one’s own decisions</w:t>
      </w:r>
    </w:p>
    <w:p w:rsidR="00E801BB" w:rsidRPr="00E801BB" w:rsidRDefault="00E801BB" w:rsidP="00E801BB">
      <w:pPr>
        <w:pStyle w:val="ListParagraph"/>
        <w:numPr>
          <w:ilvl w:val="0"/>
          <w:numId w:val="43"/>
        </w:numPr>
        <w:rPr>
          <w:rFonts w:cs="Arial"/>
          <w:bCs/>
        </w:rPr>
      </w:pPr>
      <w:r w:rsidRPr="00E801BB">
        <w:rPr>
          <w:rFonts w:cs="Arial"/>
          <w:bCs/>
        </w:rPr>
        <w:t>Full and effective participation and inclusion in the community</w:t>
      </w:r>
    </w:p>
    <w:p w:rsidR="00CE446D" w:rsidRDefault="00E801BB" w:rsidP="00E801BB">
      <w:pPr>
        <w:spacing w:after="120"/>
        <w:rPr>
          <w:rFonts w:cs="Arial"/>
          <w:bCs/>
        </w:rPr>
      </w:pPr>
      <w:r w:rsidRPr="00027ECC">
        <w:rPr>
          <w:rFonts w:cs="Arial"/>
          <w:bCs/>
        </w:rPr>
        <w:t xml:space="preserve">These outcomes reflect an approach that views people with disabilities as rights-holders, who are afforded dignity and are seen as experts in the solutions that are most likely to be successful. </w:t>
      </w:r>
      <w:r w:rsidR="00CE446D">
        <w:rPr>
          <w:rFonts w:cs="Arial"/>
          <w:bCs/>
        </w:rPr>
        <w:t>Such an approach is fundamental to the Convention on the Rights of Persons with Disabilities and to the National Disability Strategy.</w:t>
      </w:r>
    </w:p>
    <w:p w:rsidR="00E801BB" w:rsidRPr="00027ECC" w:rsidRDefault="00E801BB" w:rsidP="00E801BB">
      <w:pPr>
        <w:spacing w:after="120"/>
        <w:rPr>
          <w:rFonts w:cs="Arial"/>
          <w:bCs/>
        </w:rPr>
      </w:pPr>
      <w:r w:rsidRPr="00027ECC">
        <w:rPr>
          <w:rFonts w:cs="Arial"/>
          <w:bCs/>
        </w:rPr>
        <w:t xml:space="preserve">The report includes a set of actions that governments can adopt and incorporate into their Disability Justice Strategy. In partnership with </w:t>
      </w:r>
      <w:r>
        <w:rPr>
          <w:rFonts w:cs="Arial"/>
          <w:bCs/>
        </w:rPr>
        <w:t>people with disabilities</w:t>
      </w:r>
      <w:r w:rsidRPr="00027ECC">
        <w:rPr>
          <w:rFonts w:cs="Arial"/>
          <w:bCs/>
        </w:rPr>
        <w:t>, each jurisdiction can move towards the achievement of the outcomes.</w:t>
      </w:r>
    </w:p>
    <w:p w:rsidR="00E801BB" w:rsidRPr="00027ECC" w:rsidRDefault="00E801BB" w:rsidP="00E801BB">
      <w:pPr>
        <w:spacing w:after="120"/>
        <w:rPr>
          <w:rFonts w:cs="Arial"/>
          <w:bCs/>
        </w:rPr>
      </w:pPr>
      <w:r w:rsidRPr="00027ECC">
        <w:rPr>
          <w:rFonts w:cs="Arial"/>
          <w:bCs/>
        </w:rPr>
        <w:t>Not only is there a human rights imperative to develop a Disability Justice Strategy, but research incorporated into the report indicates that there is also a strong economic imperative. Significant savings can be made through the provision of early intervention and diversion options from the criminal justice system</w:t>
      </w:r>
      <w:r w:rsidR="00014940">
        <w:rPr>
          <w:rFonts w:cs="Arial"/>
          <w:bCs/>
        </w:rPr>
        <w:t>.</w:t>
      </w:r>
    </w:p>
    <w:p w:rsidR="00E801BB" w:rsidRPr="00027ECC" w:rsidRDefault="00CE446D" w:rsidP="00E801BB">
      <w:pPr>
        <w:spacing w:after="120"/>
        <w:rPr>
          <w:rFonts w:cs="Arial"/>
          <w:bCs/>
        </w:rPr>
      </w:pPr>
      <w:r>
        <w:rPr>
          <w:rFonts w:cs="Arial"/>
          <w:bCs/>
        </w:rPr>
        <w:t>M</w:t>
      </w:r>
      <w:r w:rsidR="00E801BB" w:rsidRPr="00027ECC">
        <w:rPr>
          <w:rFonts w:cs="Arial"/>
          <w:bCs/>
        </w:rPr>
        <w:t xml:space="preserve">any </w:t>
      </w:r>
      <w:r>
        <w:rPr>
          <w:rFonts w:cs="Arial"/>
          <w:bCs/>
        </w:rPr>
        <w:t xml:space="preserve">services and </w:t>
      </w:r>
      <w:r w:rsidR="00E801BB" w:rsidRPr="00027ECC">
        <w:rPr>
          <w:rFonts w:cs="Arial"/>
          <w:bCs/>
        </w:rPr>
        <w:t>programs</w:t>
      </w:r>
      <w:r>
        <w:rPr>
          <w:rFonts w:cs="Arial"/>
          <w:bCs/>
        </w:rPr>
        <w:t xml:space="preserve"> which provide better access to justice for people with disabilities were brought to our attention. </w:t>
      </w:r>
      <w:r w:rsidR="00E801BB" w:rsidRPr="00027ECC">
        <w:rPr>
          <w:rFonts w:cs="Arial"/>
          <w:bCs/>
        </w:rPr>
        <w:t xml:space="preserve">While it was beyond the scope of this report to assess these, each is attempting </w:t>
      </w:r>
      <w:r w:rsidR="00014940">
        <w:rPr>
          <w:rFonts w:cs="Arial"/>
          <w:bCs/>
        </w:rPr>
        <w:t xml:space="preserve">to </w:t>
      </w:r>
      <w:r w:rsidR="00E801BB" w:rsidRPr="00027ECC">
        <w:rPr>
          <w:rFonts w:cs="Arial"/>
          <w:bCs/>
        </w:rPr>
        <w:t xml:space="preserve">overcome the barriers to equality before the law experienced by people with disabilities.  </w:t>
      </w:r>
      <w:r w:rsidR="00C55FEE">
        <w:rPr>
          <w:rFonts w:cs="Arial"/>
          <w:bCs/>
        </w:rPr>
        <w:t>The services and programs are listed in Appendix A.</w:t>
      </w:r>
    </w:p>
    <w:p w:rsidR="007E50C1" w:rsidRDefault="00E801BB" w:rsidP="00C55FEE">
      <w:pPr>
        <w:rPr>
          <w:rFonts w:cs="Arial"/>
          <w:sz w:val="36"/>
          <w:szCs w:val="36"/>
        </w:rPr>
      </w:pPr>
      <w:r w:rsidRPr="00027ECC">
        <w:rPr>
          <w:rFonts w:cs="Arial"/>
          <w:bCs/>
        </w:rPr>
        <w:t xml:space="preserve">Equality before the law for Australians with disabilities will not be easily achieved. The Commission </w:t>
      </w:r>
      <w:r w:rsidR="00C55FEE">
        <w:rPr>
          <w:rFonts w:cs="Arial"/>
          <w:bCs/>
        </w:rPr>
        <w:t>encourages</w:t>
      </w:r>
      <w:r w:rsidRPr="00027ECC">
        <w:rPr>
          <w:rFonts w:cs="Arial"/>
          <w:bCs/>
        </w:rPr>
        <w:t xml:space="preserve"> governments around Australia to consult each other, learn from experience, and coordinate, inform and monitor the </w:t>
      </w:r>
      <w:r w:rsidR="00C55FEE">
        <w:rPr>
          <w:rFonts w:cs="Arial"/>
          <w:bCs/>
        </w:rPr>
        <w:t xml:space="preserve">criminal justice </w:t>
      </w:r>
      <w:r w:rsidRPr="00027ECC">
        <w:rPr>
          <w:rFonts w:cs="Arial"/>
          <w:bCs/>
        </w:rPr>
        <w:t>system. Through these processes, barriers to equality before the law will be removed faster and gaps bridged sooner. This report recognises the benefits that such equality will bring, both to people with disabilities and the broader community. It is a goal worth striving for.</w:t>
      </w:r>
      <w:r w:rsidR="00CF5437">
        <w:rPr>
          <w:sz w:val="36"/>
          <w:szCs w:val="36"/>
        </w:rPr>
        <w:t xml:space="preserve">  </w:t>
      </w:r>
    </w:p>
    <w:p w:rsidR="007E50C1" w:rsidRPr="007E50C1" w:rsidRDefault="007E50C1" w:rsidP="007E50C1">
      <w:pPr>
        <w:sectPr w:rsidR="007E50C1" w:rsidRPr="007E50C1" w:rsidSect="002D53FE">
          <w:endnotePr>
            <w:numFmt w:val="decimal"/>
          </w:endnotePr>
          <w:pgSz w:w="11906" w:h="16838" w:code="9"/>
          <w:pgMar w:top="1134" w:right="1418" w:bottom="1134" w:left="1418" w:header="709" w:footer="709" w:gutter="0"/>
          <w:cols w:space="708"/>
          <w:docGrid w:linePitch="360"/>
        </w:sectPr>
      </w:pPr>
    </w:p>
    <w:p w:rsidR="009B2587" w:rsidRPr="009B2587" w:rsidRDefault="009B2587" w:rsidP="009B2587">
      <w:pPr>
        <w:pStyle w:val="Heading1"/>
        <w:numPr>
          <w:ilvl w:val="0"/>
          <w:numId w:val="0"/>
        </w:numPr>
        <w:ind w:left="851" w:hanging="851"/>
        <w:rPr>
          <w:sz w:val="36"/>
          <w:szCs w:val="36"/>
        </w:rPr>
      </w:pPr>
      <w:bookmarkStart w:id="71" w:name="_Toc379195382"/>
      <w:r w:rsidRPr="009B2587">
        <w:rPr>
          <w:sz w:val="36"/>
          <w:szCs w:val="36"/>
        </w:rPr>
        <w:lastRenderedPageBreak/>
        <w:t>Appendix A – Services and Programs</w:t>
      </w:r>
      <w:bookmarkEnd w:id="71"/>
    </w:p>
    <w:p w:rsidR="00D43BED" w:rsidRDefault="00D43BED" w:rsidP="00D43BED">
      <w:pPr>
        <w:rPr>
          <w:rFonts w:eastAsia="Times New Roman"/>
        </w:rPr>
      </w:pPr>
      <w:r w:rsidRPr="00D43BED">
        <w:rPr>
          <w:rFonts w:eastAsia="Times New Roman"/>
        </w:rPr>
        <w:t xml:space="preserve">Listed below are examples of </w:t>
      </w:r>
      <w:r w:rsidR="00A366FF">
        <w:rPr>
          <w:rFonts w:eastAsia="Times New Roman"/>
        </w:rPr>
        <w:t xml:space="preserve">services and </w:t>
      </w:r>
      <w:r w:rsidRPr="00D43BED">
        <w:rPr>
          <w:rFonts w:eastAsia="Times New Roman"/>
        </w:rPr>
        <w:t>programs</w:t>
      </w:r>
      <w:r w:rsidR="00A366FF">
        <w:rPr>
          <w:rFonts w:eastAsia="Times New Roman"/>
        </w:rPr>
        <w:t xml:space="preserve"> brought to the Commission’s attention</w:t>
      </w:r>
      <w:r w:rsidRPr="00D43BED">
        <w:rPr>
          <w:rFonts w:eastAsia="Times New Roman"/>
        </w:rPr>
        <w:t>.</w:t>
      </w:r>
    </w:p>
    <w:p w:rsidR="00F14490" w:rsidRDefault="001824AC" w:rsidP="00F114AD">
      <w:pPr>
        <w:rPr>
          <w:b/>
          <w:i/>
        </w:rPr>
      </w:pPr>
      <w:r w:rsidRPr="00181FF0">
        <w:rPr>
          <w:b/>
          <w:i/>
        </w:rPr>
        <w:t>Aboriginal Visitors Scheme (WA)</w:t>
      </w:r>
    </w:p>
    <w:p w:rsidR="001824AC" w:rsidRPr="00D43BED" w:rsidRDefault="001824AC" w:rsidP="00F114AD">
      <w:pPr>
        <w:rPr>
          <w:rFonts w:eastAsia="Times New Roman"/>
          <w:u w:val="single"/>
        </w:rPr>
      </w:pPr>
      <w:r w:rsidRPr="00F114AD">
        <w:rPr>
          <w:rFonts w:eastAsia="Times New Roman"/>
        </w:rPr>
        <w:t>This is an independent prison visitor scheme where an Aboriginal volunteer is appointed to monitor the treatment of Aboriginal people held in custody and police lock ups. They offer basic counselling and will inform the Officer in Charge of any urgent medical needs</w:t>
      </w:r>
      <w:r>
        <w:rPr>
          <w:rFonts w:eastAsia="Times New Roman"/>
        </w:rPr>
        <w:t xml:space="preserve"> (</w:t>
      </w:r>
      <w:hyperlink r:id="rId18" w:history="1">
        <w:r w:rsidRPr="001F54FD">
          <w:rPr>
            <w:rStyle w:val="Hyperlink"/>
            <w:rFonts w:eastAsia="Times New Roman"/>
          </w:rPr>
          <w:t>http://www.correctiveservices.wa.gov.au/rehabilitation-services/aboriginal-visitors-scheme.aspx</w:t>
        </w:r>
      </w:hyperlink>
      <w:r>
        <w:rPr>
          <w:rFonts w:eastAsia="Times New Roman"/>
        </w:rPr>
        <w:t xml:space="preserve">). </w:t>
      </w:r>
      <w:proofErr w:type="gramStart"/>
      <w:r>
        <w:rPr>
          <w:rFonts w:eastAsia="Times New Roman"/>
        </w:rPr>
        <w:t>Viewed 3 February 2014.</w:t>
      </w:r>
      <w:proofErr w:type="gramEnd"/>
    </w:p>
    <w:p w:rsidR="00F14490" w:rsidRDefault="001824AC" w:rsidP="00D43BED">
      <w:pPr>
        <w:rPr>
          <w:rFonts w:eastAsia="Times New Roman"/>
          <w:b/>
          <w:i/>
        </w:rPr>
      </w:pPr>
      <w:r w:rsidRPr="00D43BED">
        <w:rPr>
          <w:rFonts w:eastAsia="Times New Roman"/>
          <w:b/>
          <w:i/>
        </w:rPr>
        <w:t>Advocacy and Support Centre, Toowoomba (QLD)</w:t>
      </w:r>
    </w:p>
    <w:p w:rsidR="001824AC" w:rsidRDefault="001824AC" w:rsidP="00D43BED">
      <w:pPr>
        <w:rPr>
          <w:rFonts w:eastAsia="Times New Roman"/>
          <w:lang w:val="en-US"/>
        </w:rPr>
      </w:pPr>
      <w:r w:rsidRPr="00D43BED">
        <w:rPr>
          <w:rFonts w:eastAsia="Times New Roman"/>
        </w:rPr>
        <w:t>TASC are a community legal centre that provide legal representation, advice and support to disadvantaged people that have a brain injury, psychiatric or intellectual disability</w:t>
      </w:r>
      <w:r>
        <w:rPr>
          <w:rFonts w:eastAsia="Times New Roman"/>
        </w:rPr>
        <w:t xml:space="preserve"> (</w:t>
      </w:r>
      <w:hyperlink r:id="rId19" w:history="1">
        <w:r w:rsidRPr="00D43BED">
          <w:rPr>
            <w:rFonts w:eastAsia="Times New Roman"/>
            <w:color w:val="0000FF"/>
            <w:u w:val="single"/>
          </w:rPr>
          <w:t>http://www.tascinc.org.au/</w:t>
        </w:r>
      </w:hyperlink>
      <w:r>
        <w:rPr>
          <w:rFonts w:eastAsia="Times New Roman"/>
          <w:lang w:val="en-US"/>
        </w:rPr>
        <w:t xml:space="preserve">). </w:t>
      </w:r>
      <w:proofErr w:type="gramStart"/>
      <w:r>
        <w:rPr>
          <w:rFonts w:eastAsia="Times New Roman"/>
          <w:lang w:val="en-US"/>
        </w:rPr>
        <w:t>Viewed 3 February 2014.</w:t>
      </w:r>
      <w:proofErr w:type="gramEnd"/>
    </w:p>
    <w:p w:rsidR="00F14490" w:rsidRDefault="001824AC" w:rsidP="00D43BED">
      <w:pPr>
        <w:rPr>
          <w:rFonts w:eastAsia="Times New Roman"/>
          <w:b/>
          <w:i/>
        </w:rPr>
      </w:pPr>
      <w:r w:rsidRPr="00D43BED">
        <w:rPr>
          <w:rFonts w:eastAsia="Times New Roman"/>
          <w:b/>
          <w:i/>
        </w:rPr>
        <w:t>Advocacy Tasmania (</w:t>
      </w:r>
      <w:proofErr w:type="spellStart"/>
      <w:proofErr w:type="gramStart"/>
      <w:r w:rsidRPr="00D43BED">
        <w:rPr>
          <w:rFonts w:eastAsia="Times New Roman"/>
          <w:b/>
          <w:i/>
        </w:rPr>
        <w:t>Tas</w:t>
      </w:r>
      <w:proofErr w:type="spellEnd"/>
      <w:proofErr w:type="gramEnd"/>
      <w:r w:rsidRPr="00D43BED">
        <w:rPr>
          <w:rFonts w:eastAsia="Times New Roman"/>
          <w:b/>
          <w:i/>
        </w:rPr>
        <w:t>)</w:t>
      </w:r>
    </w:p>
    <w:p w:rsidR="001824AC" w:rsidRPr="00D43BED" w:rsidRDefault="001824AC" w:rsidP="00D43BED">
      <w:pPr>
        <w:rPr>
          <w:rFonts w:eastAsia="Times New Roman"/>
        </w:rPr>
      </w:pPr>
      <w:r w:rsidRPr="00D43BED">
        <w:rPr>
          <w:rFonts w:eastAsia="Times New Roman"/>
        </w:rPr>
        <w:t>Advocacy Tasmania provides advocacy services for people with disability in Tasmania</w:t>
      </w:r>
      <w:r>
        <w:rPr>
          <w:rFonts w:eastAsia="Times New Roman"/>
        </w:rPr>
        <w:t xml:space="preserve"> (</w:t>
      </w:r>
      <w:hyperlink r:id="rId20" w:history="1">
        <w:r w:rsidRPr="00D43BED">
          <w:rPr>
            <w:rFonts w:eastAsia="Times New Roman"/>
            <w:color w:val="0000FF"/>
            <w:u w:val="single"/>
          </w:rPr>
          <w:t>http://www.advocacytasmania.org.au/</w:t>
        </w:r>
      </w:hyperlink>
      <w:r>
        <w:rPr>
          <w:rFonts w:eastAsia="Times New Roman"/>
        </w:rPr>
        <w:t xml:space="preserve">). </w:t>
      </w:r>
      <w:proofErr w:type="gramStart"/>
      <w:r>
        <w:rPr>
          <w:rFonts w:eastAsia="Times New Roman"/>
        </w:rPr>
        <w:t>Viewed 3 February 2014.</w:t>
      </w:r>
      <w:proofErr w:type="gramEnd"/>
    </w:p>
    <w:p w:rsidR="00F14490" w:rsidRDefault="001824AC" w:rsidP="00D43BED">
      <w:pPr>
        <w:rPr>
          <w:rFonts w:eastAsia="Times New Roman"/>
          <w:b/>
          <w:i/>
        </w:rPr>
      </w:pPr>
      <w:r w:rsidRPr="00D43BED">
        <w:rPr>
          <w:rFonts w:eastAsia="Times New Roman"/>
          <w:b/>
          <w:i/>
        </w:rPr>
        <w:t xml:space="preserve">After </w:t>
      </w:r>
      <w:r>
        <w:rPr>
          <w:rFonts w:eastAsia="Times New Roman"/>
          <w:b/>
          <w:i/>
        </w:rPr>
        <w:t>Hours Bail Support Service (ACT)</w:t>
      </w:r>
    </w:p>
    <w:p w:rsidR="001824AC" w:rsidRPr="00D43BED" w:rsidRDefault="001824AC" w:rsidP="00D43BED">
      <w:pPr>
        <w:rPr>
          <w:rFonts w:eastAsia="Times New Roman"/>
        </w:rPr>
      </w:pPr>
      <w:r w:rsidRPr="00D43BED">
        <w:rPr>
          <w:rFonts w:eastAsia="Times New Roman"/>
        </w:rPr>
        <w:t xml:space="preserve">This service provides advice </w:t>
      </w:r>
      <w:r>
        <w:rPr>
          <w:rFonts w:eastAsia="Times New Roman"/>
        </w:rPr>
        <w:t xml:space="preserve">and assistance to </w:t>
      </w:r>
      <w:r w:rsidRPr="00D43BED">
        <w:rPr>
          <w:rFonts w:eastAsia="Times New Roman"/>
        </w:rPr>
        <w:t xml:space="preserve">young people at risk of being remanded in custody </w:t>
      </w:r>
      <w:r>
        <w:rPr>
          <w:rFonts w:eastAsia="Times New Roman"/>
        </w:rPr>
        <w:t xml:space="preserve">and </w:t>
      </w:r>
      <w:r w:rsidRPr="00D43BED">
        <w:rPr>
          <w:rFonts w:eastAsia="Times New Roman"/>
        </w:rPr>
        <w:t>to police</w:t>
      </w:r>
      <w:r>
        <w:rPr>
          <w:rFonts w:eastAsia="Times New Roman"/>
        </w:rPr>
        <w:t xml:space="preserve"> </w:t>
      </w:r>
      <w:r w:rsidRPr="00D43BED">
        <w:rPr>
          <w:rFonts w:eastAsia="Times New Roman"/>
        </w:rPr>
        <w:t>(</w:t>
      </w:r>
      <w:hyperlink r:id="rId21" w:history="1">
        <w:r w:rsidRPr="00D43BED">
          <w:rPr>
            <w:rFonts w:eastAsia="Times New Roman"/>
            <w:color w:val="0000FF"/>
            <w:u w:val="single"/>
          </w:rPr>
          <w:t>http://www.communityservices.act.gov.au/ocyfs/the_blueprint_for_youth_justice_in_the_act/youth-justice/after-hours-bail-support-service</w:t>
        </w:r>
      </w:hyperlink>
      <w:r w:rsidRPr="00D43BED">
        <w:rPr>
          <w:rFonts w:eastAsia="Times New Roman"/>
          <w:u w:val="single"/>
        </w:rPr>
        <w:t>).</w:t>
      </w:r>
      <w:r>
        <w:rPr>
          <w:rFonts w:eastAsia="Times New Roman"/>
          <w:u w:val="single"/>
        </w:rPr>
        <w:t xml:space="preserve"> Viewed 3 February 2014</w:t>
      </w:r>
    </w:p>
    <w:p w:rsidR="00F14490" w:rsidRDefault="001824AC" w:rsidP="00D43BED">
      <w:pPr>
        <w:rPr>
          <w:rFonts w:eastAsia="Times New Roman"/>
          <w:b/>
          <w:i/>
        </w:rPr>
      </w:pPr>
      <w:r w:rsidRPr="00731524">
        <w:rPr>
          <w:rFonts w:eastAsia="Times New Roman"/>
          <w:b/>
          <w:i/>
        </w:rPr>
        <w:t>Anne McDonald (VIC)</w:t>
      </w:r>
    </w:p>
    <w:p w:rsidR="001824AC" w:rsidRDefault="001824AC" w:rsidP="00D43BED">
      <w:pPr>
        <w:rPr>
          <w:rFonts w:eastAsia="Times New Roman"/>
          <w:lang w:val="en-US"/>
        </w:rPr>
      </w:pPr>
      <w:r w:rsidRPr="00D43BED">
        <w:rPr>
          <w:rFonts w:eastAsia="Times New Roman"/>
          <w:lang w:val="en-US"/>
        </w:rPr>
        <w:t>The Anne McDonald Centre provides assessment and therapy for people</w:t>
      </w:r>
      <w:r>
        <w:rPr>
          <w:rFonts w:eastAsia="Times New Roman"/>
          <w:lang w:val="en-US"/>
        </w:rPr>
        <w:t xml:space="preserve"> </w:t>
      </w:r>
      <w:r w:rsidRPr="00D43BED">
        <w:rPr>
          <w:rFonts w:eastAsia="Times New Roman"/>
          <w:lang w:val="en-US"/>
        </w:rPr>
        <w:t xml:space="preserve">with </w:t>
      </w:r>
      <w:r>
        <w:rPr>
          <w:rFonts w:eastAsia="Times New Roman"/>
          <w:lang w:val="en-US"/>
        </w:rPr>
        <w:t xml:space="preserve">little or no </w:t>
      </w:r>
      <w:proofErr w:type="gramStart"/>
      <w:r>
        <w:rPr>
          <w:rFonts w:eastAsia="Times New Roman"/>
          <w:lang w:val="en-US"/>
        </w:rPr>
        <w:t>functional  speech</w:t>
      </w:r>
      <w:proofErr w:type="gramEnd"/>
      <w:r>
        <w:rPr>
          <w:rFonts w:eastAsia="Times New Roman"/>
          <w:lang w:val="en-US"/>
        </w:rPr>
        <w:t xml:space="preserve"> (</w:t>
      </w:r>
      <w:hyperlink r:id="rId22" w:history="1">
        <w:r w:rsidRPr="00D43BED">
          <w:rPr>
            <w:rFonts w:eastAsia="Times New Roman"/>
            <w:color w:val="0000FF"/>
            <w:u w:val="single"/>
            <w:lang w:val="en-US"/>
          </w:rPr>
          <w:t>http://www.annemcdonaldcentre.org.au/</w:t>
        </w:r>
      </w:hyperlink>
      <w:r>
        <w:rPr>
          <w:rFonts w:eastAsia="Times New Roman"/>
          <w:lang w:val="en-US"/>
        </w:rPr>
        <w:t xml:space="preserve">). </w:t>
      </w:r>
      <w:proofErr w:type="gramStart"/>
      <w:r>
        <w:rPr>
          <w:rFonts w:eastAsia="Times New Roman"/>
          <w:lang w:val="en-US"/>
        </w:rPr>
        <w:t>Viewed 3 February 2014.</w:t>
      </w:r>
      <w:proofErr w:type="gramEnd"/>
    </w:p>
    <w:p w:rsidR="00F14490" w:rsidRDefault="001824AC" w:rsidP="00401B79">
      <w:pPr>
        <w:rPr>
          <w:b/>
          <w:i/>
        </w:rPr>
      </w:pPr>
      <w:r w:rsidRPr="002C1B3C">
        <w:rPr>
          <w:b/>
          <w:i/>
        </w:rPr>
        <w:t>Assessment and Referral Court List, Melbourne Magistrates’ Court (VIC)</w:t>
      </w:r>
    </w:p>
    <w:p w:rsidR="001824AC" w:rsidRPr="00D43BED" w:rsidRDefault="001824AC" w:rsidP="00401B79">
      <w:pPr>
        <w:rPr>
          <w:rFonts w:eastAsia="Times New Roman"/>
          <w:i/>
        </w:rPr>
      </w:pPr>
      <w:r w:rsidRPr="00401B79">
        <w:rPr>
          <w:rFonts w:eastAsia="Times New Roman"/>
        </w:rPr>
        <w:t>The Assessment and Referral Court List (the List) is a specialist court list developed by the Department of Justice and the Magistrates’ Court of Victoria to meet the needs of accused persons who have a mental illness and/or a cognitive impairment</w:t>
      </w:r>
      <w:r>
        <w:rPr>
          <w:rFonts w:eastAsia="Times New Roman"/>
        </w:rPr>
        <w:t xml:space="preserve"> </w:t>
      </w:r>
      <w:r w:rsidRPr="00D43BED">
        <w:rPr>
          <w:rFonts w:eastAsia="Times New Roman"/>
        </w:rPr>
        <w:t>(</w:t>
      </w:r>
      <w:hyperlink r:id="rId23" w:history="1">
        <w:r w:rsidRPr="00D43BED">
          <w:rPr>
            <w:rFonts w:eastAsia="Times New Roman"/>
            <w:color w:val="0000FF"/>
            <w:u w:val="single"/>
          </w:rPr>
          <w:t>http://www.magistratescourt.vic.gov.au/jurisdictions/specialist-jurisdictions/court-support-services/assessment-and-referral-court-list-arc</w:t>
        </w:r>
      </w:hyperlink>
      <w:r w:rsidRPr="00D43BED">
        <w:rPr>
          <w:rFonts w:eastAsia="Times New Roman"/>
        </w:rPr>
        <w:t xml:space="preserve">). </w:t>
      </w:r>
      <w:proofErr w:type="gramStart"/>
      <w:r>
        <w:rPr>
          <w:rFonts w:eastAsia="Times New Roman"/>
        </w:rPr>
        <w:t>Viewed 3 February 2014.</w:t>
      </w:r>
      <w:proofErr w:type="gramEnd"/>
      <w:r>
        <w:rPr>
          <w:rFonts w:eastAsia="Times New Roman"/>
        </w:rPr>
        <w:t xml:space="preserve"> </w:t>
      </w:r>
    </w:p>
    <w:p w:rsidR="00F14490" w:rsidRDefault="001824AC" w:rsidP="00D43BED">
      <w:pPr>
        <w:rPr>
          <w:rFonts w:eastAsia="Times New Roman"/>
          <w:b/>
          <w:i/>
        </w:rPr>
      </w:pPr>
      <w:r w:rsidRPr="00D43BED">
        <w:rPr>
          <w:rFonts w:eastAsia="Times New Roman"/>
          <w:b/>
          <w:i/>
        </w:rPr>
        <w:t>Australian Centre for Disability Law (NSW)</w:t>
      </w:r>
    </w:p>
    <w:p w:rsidR="001824AC" w:rsidRPr="00D43BED" w:rsidRDefault="001824AC" w:rsidP="00D43BED">
      <w:pPr>
        <w:rPr>
          <w:rFonts w:eastAsia="Times New Roman"/>
        </w:rPr>
      </w:pPr>
      <w:r w:rsidRPr="00D43BED">
        <w:rPr>
          <w:rFonts w:eastAsia="Times New Roman"/>
        </w:rPr>
        <w:t>The Australian Centre for Disability Law advises and represents clients on matters concerning disability discrimination and broader human rights matters</w:t>
      </w:r>
      <w:r>
        <w:rPr>
          <w:rFonts w:eastAsia="Times New Roman"/>
        </w:rPr>
        <w:t xml:space="preserve"> (</w:t>
      </w:r>
      <w:hyperlink r:id="rId24" w:history="1">
        <w:r w:rsidRPr="00D43BED">
          <w:rPr>
            <w:rFonts w:eastAsia="Times New Roman"/>
            <w:color w:val="0000FF"/>
            <w:u w:val="single"/>
          </w:rPr>
          <w:t>http://disabilitylaw.org.au/</w:t>
        </w:r>
      </w:hyperlink>
      <w:r>
        <w:rPr>
          <w:rFonts w:eastAsia="Times New Roman"/>
        </w:rPr>
        <w:t xml:space="preserve">). </w:t>
      </w:r>
      <w:proofErr w:type="gramStart"/>
      <w:r>
        <w:rPr>
          <w:rFonts w:eastAsia="Times New Roman"/>
        </w:rPr>
        <w:t>Viewed 3 February 2014.</w:t>
      </w:r>
      <w:proofErr w:type="gramEnd"/>
    </w:p>
    <w:p w:rsidR="00F14490" w:rsidRDefault="001824AC" w:rsidP="008E5AB7">
      <w:pPr>
        <w:rPr>
          <w:b/>
          <w:i/>
        </w:rPr>
      </w:pPr>
      <w:r w:rsidRPr="002C1B3C">
        <w:rPr>
          <w:b/>
          <w:i/>
        </w:rPr>
        <w:t>Brain Injury Association of Tasmania (TAS)</w:t>
      </w:r>
    </w:p>
    <w:p w:rsidR="001824AC" w:rsidRDefault="001824AC" w:rsidP="008E5AB7">
      <w:pPr>
        <w:rPr>
          <w:rFonts w:eastAsia="Times New Roman"/>
          <w:u w:val="single"/>
        </w:rPr>
      </w:pPr>
      <w:r w:rsidRPr="00D43BED">
        <w:rPr>
          <w:rFonts w:eastAsia="Times New Roman"/>
          <w:lang w:val="en-GB"/>
        </w:rPr>
        <w:lastRenderedPageBreak/>
        <w:t xml:space="preserve">The Brain Injury Association of Tasmania can provide an identification card to people with an acquired brain injury and/or epilepsy. The ID </w:t>
      </w:r>
      <w:r w:rsidRPr="00D43BED">
        <w:rPr>
          <w:rFonts w:eastAsia="Times New Roman"/>
        </w:rPr>
        <w:t>card includes personal details, a nominated contact number and information about the person’s disability for police</w:t>
      </w:r>
      <w:r>
        <w:rPr>
          <w:rFonts w:eastAsia="Times New Roman"/>
        </w:rPr>
        <w:t xml:space="preserve">. </w:t>
      </w:r>
      <w:r w:rsidRPr="00D43BED">
        <w:rPr>
          <w:rFonts w:eastAsia="Times New Roman"/>
          <w:lang w:val="en-GB"/>
        </w:rPr>
        <w:t xml:space="preserve">The program is run in partnership with Tasmania Police </w:t>
      </w:r>
      <w:r w:rsidRPr="00D43BED">
        <w:rPr>
          <w:rFonts w:eastAsia="Times New Roman"/>
        </w:rPr>
        <w:t>(</w:t>
      </w:r>
      <w:hyperlink r:id="rId25" w:history="1">
        <w:r w:rsidRPr="00D43BED">
          <w:rPr>
            <w:rFonts w:eastAsia="Times New Roman"/>
            <w:color w:val="0000FF"/>
            <w:u w:val="single"/>
          </w:rPr>
          <w:t>http://biat.org.au/index.php/our-services-2/abi-identification-card</w:t>
        </w:r>
      </w:hyperlink>
      <w:r w:rsidRPr="00D43BED">
        <w:rPr>
          <w:rFonts w:eastAsia="Times New Roman"/>
          <w:u w:val="single"/>
        </w:rPr>
        <w:t>). Viewed 29 January 2014)</w:t>
      </w:r>
    </w:p>
    <w:p w:rsidR="00F14490" w:rsidRDefault="001824AC" w:rsidP="00D43BED">
      <w:pPr>
        <w:rPr>
          <w:b/>
          <w:i/>
        </w:rPr>
      </w:pPr>
      <w:r w:rsidRPr="00181FF0">
        <w:rPr>
          <w:b/>
          <w:i/>
        </w:rPr>
        <w:t>Centre for Excellence in Positive Behaviour Support, Queensland (QLD)</w:t>
      </w:r>
    </w:p>
    <w:p w:rsidR="001824AC" w:rsidRDefault="001824AC" w:rsidP="00D43BED">
      <w:pPr>
        <w:rPr>
          <w:rFonts w:eastAsia="Times New Roman"/>
        </w:rPr>
      </w:pPr>
      <w:r w:rsidRPr="00D43BED">
        <w:rPr>
          <w:rFonts w:eastAsia="Times New Roman"/>
        </w:rPr>
        <w:t>The Centre was one of the recommendations which arose from the Carter reporter into Challenging Behaviour. The Centre develops best practice research into the use of positive behaviour to improve the lives of people with intellectual disability who exhibit challenging behaviours</w:t>
      </w:r>
      <w:r>
        <w:rPr>
          <w:rFonts w:eastAsia="Times New Roman"/>
        </w:rPr>
        <w:t xml:space="preserve"> (</w:t>
      </w:r>
      <w:hyperlink r:id="rId26" w:history="1">
        <w:r w:rsidRPr="00D43BED">
          <w:rPr>
            <w:rFonts w:eastAsia="Times New Roman"/>
            <w:color w:val="0000FF"/>
            <w:u w:val="single"/>
          </w:rPr>
          <w:t>http://centreofexcellenceforbehavioursupport.com.au/</w:t>
        </w:r>
      </w:hyperlink>
      <w:r>
        <w:rPr>
          <w:rFonts w:eastAsia="Times New Roman"/>
        </w:rPr>
        <w:t xml:space="preserve">). </w:t>
      </w:r>
      <w:proofErr w:type="gramStart"/>
      <w:r>
        <w:rPr>
          <w:rFonts w:eastAsia="Times New Roman"/>
        </w:rPr>
        <w:t>Viewed 3 February 2014.</w:t>
      </w:r>
      <w:proofErr w:type="gramEnd"/>
    </w:p>
    <w:p w:rsidR="00F14490" w:rsidRDefault="001824AC" w:rsidP="00AE11FA">
      <w:pPr>
        <w:rPr>
          <w:b/>
          <w:i/>
        </w:rPr>
      </w:pPr>
      <w:r w:rsidRPr="002C1B3C">
        <w:rPr>
          <w:b/>
          <w:i/>
        </w:rPr>
        <w:t>Circle Sentencing (NSW)</w:t>
      </w:r>
    </w:p>
    <w:p w:rsidR="001824AC" w:rsidRDefault="001824AC" w:rsidP="00AE11FA">
      <w:pPr>
        <w:rPr>
          <w:rFonts w:eastAsia="Times New Roman"/>
        </w:rPr>
      </w:pPr>
      <w:r w:rsidRPr="003D74CA">
        <w:rPr>
          <w:rFonts w:eastAsia="Times New Roman"/>
        </w:rPr>
        <w:t>Circle sentencing tries to avoid gaol time for Aboriginal offenders by bringing them together with elders.</w:t>
      </w:r>
      <w:r>
        <w:rPr>
          <w:rFonts w:eastAsia="Times New Roman"/>
        </w:rPr>
        <w:t xml:space="preserve"> </w:t>
      </w:r>
      <w:r w:rsidRPr="003D74CA">
        <w:rPr>
          <w:rFonts w:eastAsia="Times New Roman"/>
        </w:rPr>
        <w:t>The offender must plead guilty, and punishments are not mild. The system has</w:t>
      </w:r>
      <w:r>
        <w:rPr>
          <w:rFonts w:eastAsia="Times New Roman"/>
        </w:rPr>
        <w:t xml:space="preserve"> many benefits for all involved (</w:t>
      </w:r>
      <w:hyperlink r:id="rId27" w:history="1">
        <w:r w:rsidRPr="001F54FD">
          <w:rPr>
            <w:rStyle w:val="Hyperlink"/>
            <w:rFonts w:eastAsia="Times New Roman"/>
          </w:rPr>
          <w:t>http://www.creativespirits.info/aboriginalculture/law/circle-sentencing</w:t>
        </w:r>
      </w:hyperlink>
      <w:r>
        <w:rPr>
          <w:rFonts w:eastAsia="Times New Roman"/>
        </w:rPr>
        <w:t xml:space="preserve">). </w:t>
      </w:r>
      <w:proofErr w:type="gramStart"/>
      <w:r>
        <w:rPr>
          <w:rFonts w:eastAsia="Times New Roman"/>
        </w:rPr>
        <w:t>Viewed 3 February 2014.</w:t>
      </w:r>
      <w:proofErr w:type="gramEnd"/>
      <w:r>
        <w:rPr>
          <w:rFonts w:eastAsia="Times New Roman"/>
        </w:rPr>
        <w:t xml:space="preserve"> </w:t>
      </w:r>
    </w:p>
    <w:p w:rsidR="00F14490" w:rsidRDefault="001824AC" w:rsidP="00D43BED">
      <w:pPr>
        <w:rPr>
          <w:rFonts w:eastAsia="Times New Roman"/>
          <w:b/>
          <w:i/>
        </w:rPr>
      </w:pPr>
      <w:r w:rsidRPr="00D43BED">
        <w:rPr>
          <w:rFonts w:eastAsia="Times New Roman"/>
          <w:b/>
          <w:i/>
        </w:rPr>
        <w:t>Communication Rights Australia (VIC)</w:t>
      </w:r>
    </w:p>
    <w:p w:rsidR="001824AC" w:rsidRDefault="001824AC" w:rsidP="00D43BED">
      <w:pPr>
        <w:rPr>
          <w:rFonts w:eastAsia="Times New Roman"/>
        </w:rPr>
      </w:pPr>
      <w:r w:rsidRPr="00D43BED">
        <w:rPr>
          <w:rFonts w:eastAsia="Times New Roman"/>
        </w:rPr>
        <w:t xml:space="preserve">Communication Rights Australia is </w:t>
      </w:r>
      <w:r>
        <w:rPr>
          <w:rFonts w:eastAsia="Times New Roman"/>
        </w:rPr>
        <w:t>an</w:t>
      </w:r>
      <w:r w:rsidRPr="00D43BED">
        <w:rPr>
          <w:rFonts w:eastAsia="Times New Roman"/>
        </w:rPr>
        <w:t xml:space="preserve"> advocacy</w:t>
      </w:r>
      <w:r>
        <w:rPr>
          <w:rFonts w:eastAsia="Times New Roman"/>
        </w:rPr>
        <w:t xml:space="preserve"> and information</w:t>
      </w:r>
      <w:r w:rsidRPr="00D43BED">
        <w:rPr>
          <w:rFonts w:eastAsia="Times New Roman"/>
        </w:rPr>
        <w:t xml:space="preserve"> service for people with little or no speech</w:t>
      </w:r>
      <w:r>
        <w:rPr>
          <w:rFonts w:eastAsia="Times New Roman"/>
        </w:rPr>
        <w:t xml:space="preserve"> (</w:t>
      </w:r>
      <w:hyperlink r:id="rId28" w:history="1">
        <w:r w:rsidRPr="00D43BED">
          <w:rPr>
            <w:rFonts w:eastAsia="Times New Roman"/>
            <w:color w:val="0000FF"/>
            <w:u w:val="single"/>
          </w:rPr>
          <w:t>http://www.caus.com.au/www/home/</w:t>
        </w:r>
      </w:hyperlink>
      <w:r>
        <w:rPr>
          <w:rFonts w:eastAsia="Times New Roman"/>
          <w:i/>
        </w:rPr>
        <w:t xml:space="preserve">). </w:t>
      </w:r>
      <w:proofErr w:type="gramStart"/>
      <w:r>
        <w:rPr>
          <w:rFonts w:eastAsia="Times New Roman"/>
        </w:rPr>
        <w:t>Viewed 3 February 2014.</w:t>
      </w:r>
      <w:proofErr w:type="gramEnd"/>
    </w:p>
    <w:p w:rsidR="00F14490" w:rsidRDefault="001824AC" w:rsidP="00820AFA">
      <w:pPr>
        <w:rPr>
          <w:b/>
          <w:i/>
        </w:rPr>
      </w:pPr>
      <w:r w:rsidRPr="002C1B3C">
        <w:rPr>
          <w:b/>
          <w:i/>
        </w:rPr>
        <w:t>Community Integration Team, Justice Health (NSW)</w:t>
      </w:r>
    </w:p>
    <w:p w:rsidR="001824AC" w:rsidRPr="00820AFA" w:rsidRDefault="001824AC" w:rsidP="00820AFA">
      <w:pPr>
        <w:rPr>
          <w:rFonts w:eastAsia="Times New Roman"/>
        </w:rPr>
      </w:pPr>
      <w:r w:rsidRPr="00D43BED">
        <w:rPr>
          <w:rFonts w:eastAsia="Times New Roman"/>
        </w:rPr>
        <w:t>The Community Integration team provides pre and post-release care to recently released juveniles, many of whom are Aboriginal and Torres Strait Islander juveniles with serious psychiatric disabilities</w:t>
      </w:r>
      <w:r>
        <w:rPr>
          <w:rFonts w:eastAsia="Times New Roman"/>
        </w:rPr>
        <w:t xml:space="preserve"> (</w:t>
      </w:r>
      <w:hyperlink r:id="rId29" w:history="1">
        <w:r w:rsidRPr="00D43BED">
          <w:rPr>
            <w:rFonts w:eastAsia="Times New Roman"/>
            <w:color w:val="0000FF"/>
            <w:u w:val="single"/>
          </w:rPr>
          <w:t>http://www.justicehealth.nsw.gov.au/about-us/health-care-locations/community</w:t>
        </w:r>
      </w:hyperlink>
      <w:r>
        <w:rPr>
          <w:rFonts w:eastAsia="Times New Roman"/>
        </w:rPr>
        <w:t xml:space="preserve">). </w:t>
      </w:r>
      <w:proofErr w:type="gramStart"/>
      <w:r>
        <w:rPr>
          <w:rFonts w:eastAsia="Times New Roman"/>
        </w:rPr>
        <w:t>Viewed 3 February 2014.</w:t>
      </w:r>
      <w:proofErr w:type="gramEnd"/>
    </w:p>
    <w:p w:rsidR="00F14490" w:rsidRDefault="001824AC" w:rsidP="0099572B">
      <w:pPr>
        <w:rPr>
          <w:rFonts w:eastAsia="Times New Roman"/>
          <w:b/>
          <w:i/>
        </w:rPr>
      </w:pPr>
      <w:r w:rsidRPr="00E36E3B">
        <w:rPr>
          <w:rFonts w:eastAsia="Times New Roman"/>
          <w:b/>
          <w:i/>
        </w:rPr>
        <w:t>Community Living Association (QLD)</w:t>
      </w:r>
    </w:p>
    <w:p w:rsidR="001824AC" w:rsidRPr="00D43BED" w:rsidRDefault="001824AC" w:rsidP="0099572B">
      <w:pPr>
        <w:rPr>
          <w:rFonts w:eastAsia="Times New Roman"/>
          <w:lang w:val="en-US"/>
        </w:rPr>
      </w:pPr>
      <w:r w:rsidRPr="00E36E3B">
        <w:rPr>
          <w:rFonts w:eastAsia="Times New Roman"/>
          <w:b/>
          <w:i/>
        </w:rPr>
        <w:t xml:space="preserve"> </w:t>
      </w:r>
      <w:r w:rsidRPr="00D43BED">
        <w:rPr>
          <w:rFonts w:eastAsia="Times New Roman"/>
          <w:lang w:val="en-US"/>
        </w:rPr>
        <w:t xml:space="preserve">The Community Living Association oversees a wide range of programs developed to assist people with: an intellectual and/or other cognitive disability and mental illness; young people at risk of early school leaving; and young </w:t>
      </w:r>
      <w:r>
        <w:rPr>
          <w:rFonts w:eastAsia="Times New Roman"/>
          <w:lang w:val="en-US"/>
        </w:rPr>
        <w:t>people at risk of homelessness (</w:t>
      </w:r>
      <w:hyperlink r:id="rId30" w:history="1">
        <w:r w:rsidRPr="00D43BED">
          <w:rPr>
            <w:rFonts w:eastAsia="Times New Roman"/>
            <w:color w:val="0000FF"/>
            <w:u w:val="single"/>
            <w:lang w:val="en-US"/>
          </w:rPr>
          <w:t>http://www.communityliving.org.au/</w:t>
        </w:r>
      </w:hyperlink>
      <w:r>
        <w:rPr>
          <w:rFonts w:eastAsia="Times New Roman"/>
          <w:lang w:val="en-US"/>
        </w:rPr>
        <w:t xml:space="preserve">). </w:t>
      </w:r>
      <w:proofErr w:type="gramStart"/>
      <w:r>
        <w:rPr>
          <w:rFonts w:eastAsia="Times New Roman"/>
          <w:lang w:val="en-US"/>
        </w:rPr>
        <w:t>Viewed 3 February 2014.</w:t>
      </w:r>
      <w:proofErr w:type="gramEnd"/>
    </w:p>
    <w:p w:rsidR="00F14490" w:rsidRDefault="001824AC" w:rsidP="002A5239">
      <w:pPr>
        <w:rPr>
          <w:rFonts w:eastAsia="Times New Roman"/>
          <w:b/>
          <w:i/>
        </w:rPr>
      </w:pPr>
      <w:r w:rsidRPr="00D43BED">
        <w:rPr>
          <w:rFonts w:eastAsia="Times New Roman"/>
          <w:b/>
          <w:i/>
        </w:rPr>
        <w:t>Court Integrated Services Program</w:t>
      </w:r>
      <w:r>
        <w:rPr>
          <w:rFonts w:eastAsia="Times New Roman"/>
          <w:b/>
          <w:i/>
        </w:rPr>
        <w:t xml:space="preserve"> (VIC)</w:t>
      </w:r>
    </w:p>
    <w:p w:rsidR="001824AC" w:rsidRDefault="001824AC" w:rsidP="002A5239">
      <w:pPr>
        <w:rPr>
          <w:rFonts w:eastAsia="Times New Roman"/>
        </w:rPr>
      </w:pPr>
      <w:r w:rsidRPr="00D43BED">
        <w:rPr>
          <w:rFonts w:eastAsia="Times New Roman"/>
        </w:rPr>
        <w:t>The Court Integrated Services Program (CISP) aims to provide the person with disability appearing before court with a variety of services and supports such as social welfare, mental health, housing services and drug treatment. (</w:t>
      </w:r>
      <w:hyperlink r:id="rId31" w:history="1">
        <w:r w:rsidRPr="00D43BED">
          <w:rPr>
            <w:rFonts w:eastAsia="Times New Roman"/>
            <w:color w:val="0000FF"/>
            <w:u w:val="single"/>
          </w:rPr>
          <w:t>http://www.magistratescourt.vic.gov.au/jurisdictions/specialist-jurisdictions/court-support-services/court-integrated-services-program-cisp</w:t>
        </w:r>
      </w:hyperlink>
      <w:r w:rsidRPr="00D43BED">
        <w:rPr>
          <w:rFonts w:eastAsia="Times New Roman"/>
        </w:rPr>
        <w:t xml:space="preserve">).  </w:t>
      </w:r>
      <w:proofErr w:type="gramStart"/>
      <w:r w:rsidR="00160749">
        <w:rPr>
          <w:rFonts w:eastAsia="Times New Roman"/>
        </w:rPr>
        <w:t>Viewed 3 February 2014.</w:t>
      </w:r>
      <w:proofErr w:type="gramEnd"/>
    </w:p>
    <w:p w:rsidR="00A0246D" w:rsidRDefault="001824AC" w:rsidP="00D43BED">
      <w:pPr>
        <w:rPr>
          <w:rFonts w:eastAsia="Times New Roman"/>
          <w:b/>
          <w:i/>
        </w:rPr>
      </w:pPr>
      <w:r w:rsidRPr="00D43BED">
        <w:rPr>
          <w:rFonts w:eastAsia="Times New Roman"/>
          <w:b/>
          <w:i/>
        </w:rPr>
        <w:t xml:space="preserve">Criminal Justice </w:t>
      </w:r>
      <w:r>
        <w:rPr>
          <w:rFonts w:eastAsia="Times New Roman"/>
          <w:b/>
          <w:i/>
        </w:rPr>
        <w:t xml:space="preserve">Support </w:t>
      </w:r>
      <w:r w:rsidRPr="00D43BED">
        <w:rPr>
          <w:rFonts w:eastAsia="Times New Roman"/>
          <w:b/>
          <w:i/>
        </w:rPr>
        <w:t>Network, Intellectual Disability Rights Service (NSW)</w:t>
      </w:r>
    </w:p>
    <w:p w:rsidR="001824AC" w:rsidRDefault="001824AC" w:rsidP="00D43BED">
      <w:pPr>
        <w:rPr>
          <w:rFonts w:eastAsia="Times New Roman"/>
        </w:rPr>
      </w:pPr>
      <w:r w:rsidRPr="00D43BED">
        <w:rPr>
          <w:rFonts w:eastAsia="Times New Roman"/>
        </w:rPr>
        <w:lastRenderedPageBreak/>
        <w:t>The Intellectual Disability Rights Service operates the Criminal Justice Support Network which provides trained volunteers to people with intellectual disability when they come into contact with the criminal justice system, particularly at t</w:t>
      </w:r>
      <w:r>
        <w:rPr>
          <w:rFonts w:eastAsia="Times New Roman"/>
        </w:rPr>
        <w:t>he police station and at court (</w:t>
      </w:r>
      <w:hyperlink r:id="rId32" w:history="1">
        <w:r w:rsidRPr="00D43BED">
          <w:rPr>
            <w:rFonts w:eastAsia="Times New Roman"/>
            <w:color w:val="0000FF"/>
            <w:u w:val="single"/>
          </w:rPr>
          <w:t>http://www.idrs.org.au/home/index.php</w:t>
        </w:r>
      </w:hyperlink>
      <w:r>
        <w:rPr>
          <w:rFonts w:eastAsia="Times New Roman"/>
        </w:rPr>
        <w:t xml:space="preserve">). </w:t>
      </w:r>
      <w:proofErr w:type="gramStart"/>
      <w:r>
        <w:rPr>
          <w:rFonts w:eastAsia="Times New Roman"/>
        </w:rPr>
        <w:t>Viewed 3 February 2014.</w:t>
      </w:r>
      <w:proofErr w:type="gramEnd"/>
      <w:r>
        <w:rPr>
          <w:rFonts w:eastAsia="Times New Roman"/>
        </w:rPr>
        <w:t xml:space="preserve"> </w:t>
      </w:r>
    </w:p>
    <w:p w:rsidR="00A0246D" w:rsidRDefault="001824AC" w:rsidP="00BC04A3">
      <w:pPr>
        <w:rPr>
          <w:rFonts w:eastAsia="Times New Roman"/>
          <w:b/>
          <w:i/>
        </w:rPr>
      </w:pPr>
      <w:r w:rsidRPr="00D43BED">
        <w:rPr>
          <w:rFonts w:eastAsia="Times New Roman"/>
          <w:b/>
          <w:i/>
        </w:rPr>
        <w:t>Disability and Family Violence Crisis Response Initiative</w:t>
      </w:r>
      <w:r>
        <w:rPr>
          <w:rFonts w:eastAsia="Times New Roman"/>
          <w:b/>
          <w:i/>
        </w:rPr>
        <w:t xml:space="preserve"> – Department of Human Services (VIC)</w:t>
      </w:r>
    </w:p>
    <w:p w:rsidR="001824AC" w:rsidRDefault="001824AC" w:rsidP="00BC04A3">
      <w:pPr>
        <w:rPr>
          <w:rFonts w:eastAsia="Times New Roman"/>
        </w:rPr>
      </w:pPr>
      <w:r w:rsidRPr="00D43BED">
        <w:rPr>
          <w:rFonts w:eastAsia="Times New Roman"/>
        </w:rPr>
        <w:t>This initiative provides immediate support for women with disabilities to access crisis accommodation. Short term funds can be provided to a maximum of $9000 while the woman and her family violence worker develop a longer term plan for housing and supports</w:t>
      </w:r>
      <w:r>
        <w:rPr>
          <w:rFonts w:eastAsia="Times New Roman"/>
        </w:rPr>
        <w:t xml:space="preserve"> (</w:t>
      </w:r>
      <w:hyperlink r:id="rId33" w:history="1">
        <w:r w:rsidRPr="00D43BED">
          <w:rPr>
            <w:rFonts w:eastAsia="Times New Roman"/>
            <w:color w:val="0000FF"/>
            <w:u w:val="single"/>
          </w:rPr>
          <w:t>http://www.dhs.vic.gov.au/for-service-providers/children,-youth-and-families/family-violence2/disability-and-family-violence-crisis-response</w:t>
        </w:r>
      </w:hyperlink>
      <w:r>
        <w:rPr>
          <w:rFonts w:eastAsia="Times New Roman"/>
        </w:rPr>
        <w:t xml:space="preserve">). </w:t>
      </w:r>
      <w:proofErr w:type="gramStart"/>
      <w:r>
        <w:rPr>
          <w:rFonts w:eastAsia="Times New Roman"/>
        </w:rPr>
        <w:t>Viewed 3 February 2014.</w:t>
      </w:r>
      <w:proofErr w:type="gramEnd"/>
    </w:p>
    <w:p w:rsidR="00A0246D" w:rsidRDefault="001824AC" w:rsidP="00157918">
      <w:pPr>
        <w:rPr>
          <w:rFonts w:eastAsia="Times New Roman"/>
          <w:b/>
          <w:i/>
        </w:rPr>
      </w:pPr>
      <w:r w:rsidRPr="009C2D32">
        <w:rPr>
          <w:rFonts w:eastAsia="Times New Roman"/>
          <w:b/>
          <w:i/>
        </w:rPr>
        <w:t>Diversion Programs</w:t>
      </w:r>
      <w:r>
        <w:rPr>
          <w:rFonts w:eastAsia="Times New Roman"/>
          <w:b/>
          <w:i/>
        </w:rPr>
        <w:t xml:space="preserve"> (NSW)</w:t>
      </w:r>
    </w:p>
    <w:p w:rsidR="001824AC" w:rsidRDefault="001824AC" w:rsidP="00157918">
      <w:pPr>
        <w:rPr>
          <w:rFonts w:eastAsia="Times New Roman"/>
          <w:b/>
          <w:i/>
        </w:rPr>
      </w:pPr>
      <w:r w:rsidRPr="002A5239">
        <w:rPr>
          <w:rFonts w:eastAsia="Times New Roman"/>
        </w:rPr>
        <w:t>In some circumstances, people facing criminal charges in court may be referred to a rehabilitation, treatment or intervention program that is intended to address underlying problems</w:t>
      </w:r>
      <w:r>
        <w:rPr>
          <w:rFonts w:eastAsia="Times New Roman"/>
        </w:rPr>
        <w:t xml:space="preserve"> (</w:t>
      </w:r>
      <w:hyperlink r:id="rId34" w:history="1">
        <w:r w:rsidRPr="001F54FD">
          <w:rPr>
            <w:rStyle w:val="Hyperlink"/>
            <w:rFonts w:eastAsia="Times New Roman"/>
          </w:rPr>
          <w:t>http://www.courts.lawlink.nsw.gov.au/cats/courtguide/during_court/diversion_programs.html</w:t>
        </w:r>
      </w:hyperlink>
      <w:r>
        <w:rPr>
          <w:rFonts w:eastAsia="Times New Roman"/>
        </w:rPr>
        <w:t xml:space="preserve">). </w:t>
      </w:r>
      <w:proofErr w:type="gramStart"/>
      <w:r>
        <w:rPr>
          <w:rFonts w:eastAsia="Times New Roman"/>
        </w:rPr>
        <w:t>Viewed 3 February 2014.</w:t>
      </w:r>
      <w:proofErr w:type="gramEnd"/>
    </w:p>
    <w:p w:rsidR="00A0246D" w:rsidRDefault="001824AC" w:rsidP="00B037A0">
      <w:pPr>
        <w:rPr>
          <w:rFonts w:eastAsia="Times New Roman"/>
          <w:b/>
          <w:i/>
        </w:rPr>
      </w:pPr>
      <w:r w:rsidRPr="00D43BED">
        <w:rPr>
          <w:rFonts w:eastAsia="Times New Roman"/>
          <w:b/>
          <w:i/>
        </w:rPr>
        <w:t xml:space="preserve">Equal Treatment </w:t>
      </w:r>
      <w:proofErr w:type="spellStart"/>
      <w:r w:rsidRPr="00D43BED">
        <w:rPr>
          <w:rFonts w:eastAsia="Times New Roman"/>
          <w:b/>
          <w:i/>
        </w:rPr>
        <w:t>Benchbook</w:t>
      </w:r>
      <w:proofErr w:type="spellEnd"/>
      <w:r>
        <w:rPr>
          <w:rFonts w:eastAsia="Times New Roman"/>
          <w:b/>
          <w:i/>
        </w:rPr>
        <w:t xml:space="preserve">, Supreme Court of Queensland </w:t>
      </w:r>
      <w:r w:rsidRPr="00E36E3B">
        <w:rPr>
          <w:rFonts w:eastAsia="Times New Roman"/>
          <w:b/>
          <w:i/>
        </w:rPr>
        <w:t>(QLD)</w:t>
      </w:r>
    </w:p>
    <w:p w:rsidR="001824AC" w:rsidRPr="00D43BED" w:rsidRDefault="001824AC" w:rsidP="00B037A0">
      <w:pPr>
        <w:rPr>
          <w:rFonts w:eastAsia="Times New Roman"/>
          <w:u w:val="single"/>
        </w:rPr>
      </w:pPr>
      <w:r w:rsidRPr="00D43BED">
        <w:rPr>
          <w:rFonts w:eastAsia="Times New Roman"/>
        </w:rPr>
        <w:t>A number of states</w:t>
      </w:r>
      <w:r>
        <w:rPr>
          <w:rFonts w:eastAsia="Times New Roman"/>
        </w:rPr>
        <w:t>, including Queensland</w:t>
      </w:r>
      <w:r w:rsidRPr="00D43BED">
        <w:rPr>
          <w:rFonts w:eastAsia="Times New Roman"/>
        </w:rPr>
        <w:t xml:space="preserve"> have </w:t>
      </w:r>
      <w:r>
        <w:rPr>
          <w:rFonts w:eastAsia="Times New Roman"/>
        </w:rPr>
        <w:t xml:space="preserve">an </w:t>
      </w:r>
      <w:r w:rsidRPr="00D43BED">
        <w:rPr>
          <w:rFonts w:eastAsia="Times New Roman"/>
        </w:rPr>
        <w:t xml:space="preserve">equal treatment </w:t>
      </w:r>
      <w:proofErr w:type="spellStart"/>
      <w:r w:rsidRPr="00D43BED">
        <w:rPr>
          <w:rFonts w:eastAsia="Times New Roman"/>
        </w:rPr>
        <w:t>benchbook</w:t>
      </w:r>
      <w:proofErr w:type="spellEnd"/>
      <w:r w:rsidRPr="00D43BED">
        <w:rPr>
          <w:rFonts w:eastAsia="Times New Roman"/>
        </w:rPr>
        <w:t xml:space="preserve"> which provide practical information for judges about trial management, supports and aids and useful contacts to support people with disability in court</w:t>
      </w:r>
      <w:r>
        <w:rPr>
          <w:rFonts w:eastAsia="Times New Roman"/>
        </w:rPr>
        <w:t xml:space="preserve"> (</w:t>
      </w:r>
      <w:hyperlink r:id="rId35" w:history="1">
        <w:r w:rsidRPr="00D43BED">
          <w:rPr>
            <w:rFonts w:eastAsia="Times New Roman"/>
            <w:color w:val="0000FF"/>
            <w:u w:val="single"/>
          </w:rPr>
          <w:t>http://www.courts.qld.gov.au/__data/assets/pdf_file/0004/94054/s-etbb.pdf</w:t>
        </w:r>
      </w:hyperlink>
      <w:r>
        <w:rPr>
          <w:rFonts w:eastAsia="Times New Roman"/>
        </w:rPr>
        <w:t>). Viewed 3 February 2014</w:t>
      </w:r>
    </w:p>
    <w:p w:rsidR="00A0246D" w:rsidRDefault="001824AC" w:rsidP="00D43BED">
      <w:pPr>
        <w:rPr>
          <w:rFonts w:eastAsia="Times New Roman"/>
          <w:b/>
          <w:i/>
        </w:rPr>
      </w:pPr>
      <w:r w:rsidRPr="00D43BED">
        <w:rPr>
          <w:rFonts w:eastAsia="Times New Roman"/>
          <w:b/>
          <w:i/>
        </w:rPr>
        <w:t>Exceptional Needs Unit, South Australia Government (SA)</w:t>
      </w:r>
    </w:p>
    <w:p w:rsidR="001824AC" w:rsidRDefault="001824AC" w:rsidP="00D43BED">
      <w:pPr>
        <w:rPr>
          <w:rFonts w:eastAsia="Times New Roman"/>
          <w:bCs/>
        </w:rPr>
      </w:pPr>
      <w:r w:rsidRPr="00D43BED">
        <w:rPr>
          <w:rFonts w:eastAsia="Times New Roman"/>
        </w:rPr>
        <w:t>This unit provides assessment services, accommodation, review of cases and reporting of service gaps for people with complex needs</w:t>
      </w:r>
      <w:r>
        <w:rPr>
          <w:rFonts w:eastAsia="Times New Roman"/>
        </w:rPr>
        <w:t xml:space="preserve"> (</w:t>
      </w:r>
      <w:hyperlink r:id="rId36" w:history="1">
        <w:r w:rsidRPr="00D43BED">
          <w:rPr>
            <w:rFonts w:eastAsia="Times New Roman"/>
            <w:color w:val="0000FF"/>
            <w:u w:val="single"/>
          </w:rPr>
          <w:t>http://www.sa.gov.au/government/entity/1856/About+us+-+Disability+SA/Disability+SA+-+what+we+do/Exceptional+Needs+Unit</w:t>
        </w:r>
      </w:hyperlink>
      <w:r>
        <w:rPr>
          <w:rFonts w:eastAsia="Times New Roman"/>
          <w:bCs/>
        </w:rPr>
        <w:t xml:space="preserve">). </w:t>
      </w:r>
      <w:proofErr w:type="gramStart"/>
      <w:r>
        <w:rPr>
          <w:rFonts w:eastAsia="Times New Roman"/>
          <w:bCs/>
        </w:rPr>
        <w:t>Viewed 3 February 2014.</w:t>
      </w:r>
      <w:proofErr w:type="gramEnd"/>
    </w:p>
    <w:p w:rsidR="00A0246D" w:rsidRDefault="001824AC" w:rsidP="009E3D77">
      <w:pPr>
        <w:rPr>
          <w:rFonts w:eastAsia="Times New Roman"/>
          <w:b/>
          <w:i/>
        </w:rPr>
      </w:pPr>
      <w:r w:rsidRPr="00D43BED">
        <w:rPr>
          <w:rFonts w:eastAsia="Times New Roman"/>
          <w:b/>
          <w:i/>
        </w:rPr>
        <w:t xml:space="preserve">Find a </w:t>
      </w:r>
      <w:proofErr w:type="gramStart"/>
      <w:r w:rsidRPr="00D43BED">
        <w:rPr>
          <w:rFonts w:eastAsia="Times New Roman"/>
          <w:b/>
          <w:i/>
        </w:rPr>
        <w:t>Friend,</w:t>
      </w:r>
      <w:proofErr w:type="gramEnd"/>
      <w:r w:rsidRPr="00D43BED">
        <w:rPr>
          <w:rFonts w:eastAsia="Times New Roman"/>
          <w:b/>
          <w:i/>
        </w:rPr>
        <w:t xml:space="preserve"> Keep a Friend (T</w:t>
      </w:r>
      <w:r>
        <w:rPr>
          <w:rFonts w:eastAsia="Times New Roman"/>
          <w:b/>
          <w:i/>
        </w:rPr>
        <w:t>AS</w:t>
      </w:r>
      <w:r w:rsidRPr="00D43BED">
        <w:rPr>
          <w:rFonts w:eastAsia="Times New Roman"/>
          <w:b/>
          <w:i/>
        </w:rPr>
        <w:t>)</w:t>
      </w:r>
    </w:p>
    <w:p w:rsidR="001824AC" w:rsidRPr="00D43BED" w:rsidRDefault="001824AC" w:rsidP="009E3D77">
      <w:pPr>
        <w:rPr>
          <w:rFonts w:eastAsia="Times New Roman"/>
        </w:rPr>
      </w:pPr>
      <w:r w:rsidRPr="00D43BED">
        <w:rPr>
          <w:rFonts w:eastAsia="Times New Roman"/>
        </w:rPr>
        <w:t xml:space="preserve">Montagu Community Living </w:t>
      </w:r>
      <w:proofErr w:type="gramStart"/>
      <w:r w:rsidRPr="00D43BED">
        <w:rPr>
          <w:rFonts w:eastAsia="Times New Roman"/>
        </w:rPr>
        <w:t>run</w:t>
      </w:r>
      <w:proofErr w:type="gramEnd"/>
      <w:r w:rsidRPr="00D43BED">
        <w:rPr>
          <w:rFonts w:eastAsia="Times New Roman"/>
        </w:rPr>
        <w:t xml:space="preserve"> a series of workshops for women with disabilities to build their self-confidence, develop social skills and address abuse</w:t>
      </w:r>
      <w:r>
        <w:rPr>
          <w:rFonts w:eastAsia="Times New Roman"/>
        </w:rPr>
        <w:t xml:space="preserve"> (</w:t>
      </w:r>
      <w:hyperlink r:id="rId37" w:history="1">
        <w:r w:rsidRPr="001F54FD">
          <w:rPr>
            <w:rStyle w:val="Hyperlink"/>
          </w:rPr>
          <w:t>http://www.montagucommunityliving.net.au/index.php?option=com_content&amp;view=article&amp;id=82:what-we-offer-v15-82&amp;catid=37:offer-v15-37&amp;Itemid=171</w:t>
        </w:r>
      </w:hyperlink>
      <w:r>
        <w:t xml:space="preserve">). </w:t>
      </w:r>
      <w:proofErr w:type="gramStart"/>
      <w:r>
        <w:t>Viewed 3 February 2014.</w:t>
      </w:r>
      <w:proofErr w:type="gramEnd"/>
    </w:p>
    <w:p w:rsidR="00A0246D" w:rsidRDefault="001824AC" w:rsidP="00D43BED">
      <w:pPr>
        <w:rPr>
          <w:rFonts w:eastAsia="Times New Roman"/>
          <w:b/>
          <w:i/>
        </w:rPr>
      </w:pPr>
      <w:r w:rsidRPr="00D43BED">
        <w:rPr>
          <w:rFonts w:eastAsia="Times New Roman"/>
          <w:b/>
          <w:i/>
        </w:rPr>
        <w:t xml:space="preserve">Homeless </w:t>
      </w:r>
      <w:proofErr w:type="spellStart"/>
      <w:r w:rsidRPr="00D43BED">
        <w:rPr>
          <w:rFonts w:eastAsia="Times New Roman"/>
          <w:b/>
          <w:i/>
        </w:rPr>
        <w:t>Personsʼ</w:t>
      </w:r>
      <w:proofErr w:type="spellEnd"/>
      <w:r w:rsidRPr="00D43BED">
        <w:rPr>
          <w:rFonts w:eastAsia="Times New Roman"/>
          <w:b/>
          <w:i/>
        </w:rPr>
        <w:t xml:space="preserve"> Legal Service (Vic)</w:t>
      </w:r>
    </w:p>
    <w:p w:rsidR="001824AC" w:rsidRPr="00D43BED" w:rsidRDefault="001824AC" w:rsidP="00D43BED">
      <w:pPr>
        <w:rPr>
          <w:rFonts w:eastAsia="Times New Roman"/>
        </w:rPr>
      </w:pPr>
      <w:r w:rsidRPr="00D43BED">
        <w:rPr>
          <w:rFonts w:eastAsia="Times New Roman"/>
          <w:b/>
          <w:i/>
        </w:rPr>
        <w:t xml:space="preserve"> </w:t>
      </w:r>
      <w:r w:rsidRPr="00D43BED">
        <w:rPr>
          <w:rFonts w:eastAsia="Times New Roman"/>
        </w:rPr>
        <w:t>The Homeless Persons’ Legal Service is specialist </w:t>
      </w:r>
      <w:r w:rsidRPr="00D43BED">
        <w:rPr>
          <w:rFonts w:eastAsia="Times New Roman"/>
          <w:bCs/>
          <w:i/>
        </w:rPr>
        <w:t>legal service</w:t>
      </w:r>
      <w:r w:rsidRPr="00D43BED">
        <w:rPr>
          <w:rFonts w:eastAsia="Times New Roman"/>
        </w:rPr>
        <w:t xml:space="preserve"> that provides free legal assistance and advocacy for people who are homeless and charged with minor criminal offences. </w:t>
      </w:r>
      <w:r w:rsidR="00EA2A94">
        <w:rPr>
          <w:rFonts w:eastAsia="Times New Roman"/>
        </w:rPr>
        <w:t>(</w:t>
      </w:r>
      <w:hyperlink r:id="rId38" w:history="1">
        <w:r w:rsidRPr="00D43BED">
          <w:rPr>
            <w:rFonts w:eastAsia="Times New Roman"/>
            <w:color w:val="0000FF"/>
            <w:u w:val="single"/>
          </w:rPr>
          <w:t>http://www.justiceconnect.org.au/our-programs/homeless-law</w:t>
        </w:r>
      </w:hyperlink>
      <w:r w:rsidR="00EA2A94">
        <w:rPr>
          <w:rFonts w:eastAsia="Times New Roman"/>
          <w:color w:val="0000FF"/>
          <w:u w:val="single"/>
        </w:rPr>
        <w:t>)</w:t>
      </w:r>
    </w:p>
    <w:p w:rsidR="00A0246D" w:rsidRDefault="001824AC" w:rsidP="00D43BED">
      <w:pPr>
        <w:rPr>
          <w:rFonts w:eastAsia="Times New Roman"/>
          <w:b/>
          <w:i/>
        </w:rPr>
      </w:pPr>
      <w:r w:rsidRPr="00D43BED">
        <w:rPr>
          <w:rFonts w:eastAsia="Times New Roman"/>
          <w:b/>
          <w:i/>
        </w:rPr>
        <w:lastRenderedPageBreak/>
        <w:t>Integrated Services Program (ISP) for Clients with Challenging Behaviour</w:t>
      </w:r>
      <w:r>
        <w:rPr>
          <w:rFonts w:eastAsia="Times New Roman"/>
          <w:b/>
          <w:i/>
        </w:rPr>
        <w:t>, Department of Family and Community Services (NSW)</w:t>
      </w:r>
    </w:p>
    <w:p w:rsidR="001824AC" w:rsidRDefault="001824AC" w:rsidP="00D43BED">
      <w:pPr>
        <w:rPr>
          <w:rFonts w:eastAsia="Times New Roman"/>
          <w:u w:val="single"/>
        </w:rPr>
      </w:pPr>
      <w:r w:rsidRPr="00D43BED">
        <w:rPr>
          <w:rFonts w:eastAsia="Times New Roman"/>
        </w:rPr>
        <w:t xml:space="preserve">The ISP coordinates cross-agency responses for adults with complex needs and challenging behaviour. The </w:t>
      </w:r>
      <w:r>
        <w:rPr>
          <w:rFonts w:eastAsia="Times New Roman"/>
        </w:rPr>
        <w:t>program</w:t>
      </w:r>
      <w:r w:rsidRPr="00D43BED">
        <w:rPr>
          <w:rFonts w:eastAsia="Times New Roman"/>
        </w:rPr>
        <w:t xml:space="preserve"> includ</w:t>
      </w:r>
      <w:r>
        <w:rPr>
          <w:rFonts w:eastAsia="Times New Roman"/>
        </w:rPr>
        <w:t>es</w:t>
      </w:r>
      <w:r w:rsidRPr="00D43BED">
        <w:rPr>
          <w:rFonts w:eastAsia="Times New Roman"/>
        </w:rPr>
        <w:t xml:space="preserve"> assessment services, behaviour and therapeutic intervention and supported accommodation</w:t>
      </w:r>
      <w:r>
        <w:rPr>
          <w:rFonts w:eastAsia="Times New Roman"/>
        </w:rPr>
        <w:t xml:space="preserve"> (</w:t>
      </w:r>
      <w:hyperlink r:id="rId39" w:history="1">
        <w:r w:rsidRPr="00D43BED">
          <w:rPr>
            <w:rFonts w:eastAsia="Times New Roman"/>
            <w:color w:val="0000FF"/>
            <w:u w:val="single"/>
          </w:rPr>
          <w:t>http://www.adhc.nsw.gov.au/about_us/our_structure/clinical_innovation_and_governance</w:t>
        </w:r>
      </w:hyperlink>
      <w:r>
        <w:rPr>
          <w:rFonts w:eastAsia="Times New Roman"/>
          <w:u w:val="single"/>
        </w:rPr>
        <w:t xml:space="preserve">). </w:t>
      </w:r>
      <w:proofErr w:type="gramStart"/>
      <w:r>
        <w:rPr>
          <w:rFonts w:eastAsia="Times New Roman"/>
          <w:u w:val="single"/>
        </w:rPr>
        <w:t>Viewed 3 February 2014.</w:t>
      </w:r>
      <w:proofErr w:type="gramEnd"/>
    </w:p>
    <w:p w:rsidR="00A0246D" w:rsidRDefault="001824AC" w:rsidP="00C83C80">
      <w:pPr>
        <w:rPr>
          <w:rFonts w:eastAsia="Times New Roman"/>
          <w:b/>
          <w:i/>
        </w:rPr>
      </w:pPr>
      <w:r w:rsidRPr="00D43BED">
        <w:rPr>
          <w:rFonts w:eastAsia="Times New Roman"/>
          <w:b/>
          <w:i/>
        </w:rPr>
        <w:t>Interagency Guideline for Addressing Violence, Neglect and Abuse (IGUANA), Office of the Public Advocate Victoria</w:t>
      </w:r>
      <w:r>
        <w:rPr>
          <w:rFonts w:eastAsia="Times New Roman"/>
          <w:b/>
          <w:i/>
        </w:rPr>
        <w:t xml:space="preserve"> (VIC)</w:t>
      </w:r>
    </w:p>
    <w:p w:rsidR="001824AC" w:rsidRPr="00D43BED" w:rsidRDefault="001824AC" w:rsidP="00C83C80">
      <w:pPr>
        <w:rPr>
          <w:rFonts w:eastAsia="Times New Roman"/>
        </w:rPr>
      </w:pPr>
      <w:r w:rsidRPr="00D43BED">
        <w:rPr>
          <w:rFonts w:eastAsia="Times New Roman"/>
        </w:rPr>
        <w:t>The IGUANA guidelines outlines the steps that an organization needs to take if violence or abuse of a per</w:t>
      </w:r>
      <w:r>
        <w:rPr>
          <w:rFonts w:eastAsia="Times New Roman"/>
        </w:rPr>
        <w:t>son with disability is reported (</w:t>
      </w:r>
      <w:hyperlink r:id="rId40" w:history="1">
        <w:r w:rsidRPr="001F54FD">
          <w:rPr>
            <w:rStyle w:val="Hyperlink"/>
          </w:rPr>
          <w:t>http://www.publicadvocate.vic.gov.au/publications/539/</w:t>
        </w:r>
      </w:hyperlink>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i/>
        </w:rPr>
      </w:pPr>
      <w:proofErr w:type="spellStart"/>
      <w:r w:rsidRPr="00D43BED">
        <w:rPr>
          <w:rFonts w:eastAsia="Times New Roman"/>
          <w:b/>
          <w:i/>
        </w:rPr>
        <w:t>Jaanimili</w:t>
      </w:r>
      <w:proofErr w:type="spellEnd"/>
      <w:r w:rsidRPr="00D43BED">
        <w:rPr>
          <w:rFonts w:eastAsia="Times New Roman"/>
          <w:b/>
          <w:i/>
        </w:rPr>
        <w:t xml:space="preserve">, </w:t>
      </w:r>
      <w:proofErr w:type="spellStart"/>
      <w:r w:rsidRPr="00D43BED">
        <w:rPr>
          <w:rFonts w:eastAsia="Times New Roman"/>
          <w:b/>
          <w:i/>
        </w:rPr>
        <w:t>UnitingCare</w:t>
      </w:r>
      <w:proofErr w:type="spellEnd"/>
      <w:r>
        <w:rPr>
          <w:rFonts w:eastAsia="Times New Roman"/>
          <w:b/>
          <w:i/>
        </w:rPr>
        <w:t xml:space="preserve"> (NSW)</w:t>
      </w:r>
    </w:p>
    <w:p w:rsidR="001824AC" w:rsidRDefault="001824AC" w:rsidP="00D43BED">
      <w:pPr>
        <w:rPr>
          <w:rFonts w:eastAsia="Times New Roman"/>
        </w:rPr>
      </w:pPr>
      <w:proofErr w:type="spellStart"/>
      <w:r w:rsidRPr="00D43BED">
        <w:rPr>
          <w:rFonts w:eastAsia="Times New Roman"/>
        </w:rPr>
        <w:t>Jaanimili</w:t>
      </w:r>
      <w:proofErr w:type="spellEnd"/>
      <w:r w:rsidRPr="00D43BED">
        <w:rPr>
          <w:rFonts w:eastAsia="Times New Roman"/>
        </w:rPr>
        <w:t xml:space="preserve"> operates a number of Aboriginal-specific programs for people with disabilities including early start programs and in-home support to assist Aboriginal families at risk of relinquishing the care of their child with a </w:t>
      </w:r>
      <w:proofErr w:type="gramStart"/>
      <w:r w:rsidRPr="00D43BED">
        <w:rPr>
          <w:rFonts w:eastAsia="Times New Roman"/>
        </w:rPr>
        <w:t>disability</w:t>
      </w:r>
      <w:r w:rsidR="00EA2A94">
        <w:rPr>
          <w:rFonts w:eastAsia="Times New Roman"/>
        </w:rPr>
        <w:t>(</w:t>
      </w:r>
      <w:proofErr w:type="gramEnd"/>
      <w:r w:rsidR="00F03BCE">
        <w:fldChar w:fldCharType="begin"/>
      </w:r>
      <w:r w:rsidR="00F03BCE">
        <w:instrText xml:space="preserve"> HYPERLINK "http://www.childrenyoungpeopleandfamilies.org.au/Jaanimili" </w:instrText>
      </w:r>
      <w:r w:rsidR="00F03BCE">
        <w:fldChar w:fldCharType="separate"/>
      </w:r>
      <w:r w:rsidRPr="00D43BED">
        <w:rPr>
          <w:rFonts w:eastAsia="Times New Roman"/>
          <w:color w:val="0000FF"/>
          <w:u w:val="single"/>
        </w:rPr>
        <w:t>http://www.childrenyoungpeopleandfamilies.org.au/Jaanimili</w:t>
      </w:r>
      <w:r w:rsidR="00F03BCE">
        <w:rPr>
          <w:rFonts w:eastAsia="Times New Roman"/>
          <w:color w:val="0000FF"/>
          <w:u w:val="single"/>
        </w:rPr>
        <w:fldChar w:fldCharType="end"/>
      </w:r>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i/>
        </w:rPr>
      </w:pPr>
      <w:r w:rsidRPr="00D43BED">
        <w:rPr>
          <w:rFonts w:eastAsia="Times New Roman"/>
          <w:b/>
          <w:i/>
        </w:rPr>
        <w:t>Justice Reinvestment Campaign</w:t>
      </w:r>
      <w:r>
        <w:rPr>
          <w:rFonts w:eastAsia="Times New Roman"/>
          <w:b/>
          <w:i/>
        </w:rPr>
        <w:t xml:space="preserve"> (NSW)</w:t>
      </w:r>
    </w:p>
    <w:p w:rsidR="001824AC" w:rsidRDefault="001824AC" w:rsidP="00D43BED">
      <w:pPr>
        <w:rPr>
          <w:rFonts w:eastAsia="Times New Roman"/>
        </w:rPr>
      </w:pPr>
      <w:r w:rsidRPr="00D43BED">
        <w:rPr>
          <w:rFonts w:eastAsia="Times New Roman"/>
        </w:rPr>
        <w:t>The Aboriginal Reinvestment Campaign aims to reinvest money spent on custodial services into early intervention programs such as education and early supports that address the underlying causes of crime for young Aboriginal and Torres Strait Islander peo</w:t>
      </w:r>
      <w:r>
        <w:rPr>
          <w:rFonts w:eastAsia="Times New Roman"/>
        </w:rPr>
        <w:t>ple (</w:t>
      </w:r>
      <w:hyperlink r:id="rId41" w:history="1">
        <w:r w:rsidRPr="00D43BED">
          <w:rPr>
            <w:rFonts w:eastAsia="Times New Roman"/>
            <w:color w:val="0000FF"/>
            <w:u w:val="single"/>
          </w:rPr>
          <w:t>http://justicereinvestmentnow.net.au/</w:t>
        </w:r>
      </w:hyperlink>
      <w:r>
        <w:rPr>
          <w:rFonts w:eastAsia="Times New Roman"/>
        </w:rPr>
        <w:t xml:space="preserve">). </w:t>
      </w:r>
      <w:proofErr w:type="gramStart"/>
      <w:r>
        <w:rPr>
          <w:rFonts w:eastAsia="Times New Roman"/>
        </w:rPr>
        <w:t>Viewed 3 February 2014.</w:t>
      </w:r>
      <w:proofErr w:type="gramEnd"/>
    </w:p>
    <w:p w:rsidR="00A0246D" w:rsidRDefault="001824AC" w:rsidP="00AE11FA">
      <w:pPr>
        <w:rPr>
          <w:rFonts w:eastAsia="Times New Roman"/>
          <w:b/>
          <w:i/>
        </w:rPr>
      </w:pPr>
      <w:r>
        <w:rPr>
          <w:rFonts w:eastAsia="Times New Roman"/>
          <w:b/>
          <w:i/>
        </w:rPr>
        <w:t>Life on Track (NSW)</w:t>
      </w:r>
    </w:p>
    <w:p w:rsidR="001824AC" w:rsidRPr="00D43BED" w:rsidRDefault="001824AC" w:rsidP="00AE11FA">
      <w:pPr>
        <w:rPr>
          <w:rFonts w:eastAsia="Times New Roman"/>
          <w:u w:val="single"/>
        </w:rPr>
      </w:pPr>
      <w:r w:rsidRPr="00D43BED">
        <w:rPr>
          <w:rFonts w:eastAsia="Times New Roman"/>
        </w:rPr>
        <w:t>Life on Track is a case management service that will tailor personalized plans for people with disability appearing in court and link them to appropriate supports and services in the community</w:t>
      </w:r>
      <w:r>
        <w:rPr>
          <w:rFonts w:eastAsia="Times New Roman"/>
        </w:rPr>
        <w:t xml:space="preserve"> (</w:t>
      </w:r>
      <w:hyperlink r:id="rId42" w:history="1">
        <w:r w:rsidRPr="00D43BED">
          <w:rPr>
            <w:rFonts w:eastAsia="Times New Roman"/>
            <w:color w:val="0000FF"/>
            <w:u w:val="single"/>
          </w:rPr>
          <w:t>http://www.lifeontrack.lawlink.nsw.gov.au/lifeontrack/index.html</w:t>
        </w:r>
      </w:hyperlink>
      <w:r>
        <w:rPr>
          <w:rFonts w:eastAsia="Times New Roman"/>
        </w:rPr>
        <w:t xml:space="preserve">). </w:t>
      </w:r>
      <w:proofErr w:type="gramStart"/>
      <w:r>
        <w:rPr>
          <w:rFonts w:eastAsia="Times New Roman"/>
        </w:rPr>
        <w:t>Viewed 3 February 2014.</w:t>
      </w:r>
      <w:proofErr w:type="gramEnd"/>
      <w:r w:rsidRPr="00D43BED">
        <w:rPr>
          <w:rFonts w:eastAsia="Times New Roman"/>
        </w:rPr>
        <w:t xml:space="preserve"> </w:t>
      </w:r>
    </w:p>
    <w:p w:rsidR="00A0246D" w:rsidRDefault="001824AC" w:rsidP="00BC04A3">
      <w:pPr>
        <w:rPr>
          <w:rFonts w:eastAsia="Times New Roman"/>
          <w:b/>
          <w:i/>
        </w:rPr>
      </w:pPr>
      <w:r w:rsidRPr="00D43BED">
        <w:rPr>
          <w:rFonts w:eastAsia="Times New Roman"/>
          <w:b/>
          <w:bCs/>
          <w:i/>
        </w:rPr>
        <w:t xml:space="preserve">Making Rights Real Project, </w:t>
      </w:r>
      <w:r w:rsidRPr="00D43BED">
        <w:rPr>
          <w:rFonts w:eastAsia="Times New Roman"/>
          <w:b/>
          <w:i/>
        </w:rPr>
        <w:t>Federation of Community Legal Centres (Victoria) and SECASA (South Eastern Centre against Sexual Assault)</w:t>
      </w:r>
      <w:r>
        <w:rPr>
          <w:rFonts w:eastAsia="Times New Roman"/>
          <w:b/>
          <w:i/>
        </w:rPr>
        <w:t xml:space="preserve"> (VIC)</w:t>
      </w:r>
    </w:p>
    <w:p w:rsidR="001824AC" w:rsidRPr="00BC04A3" w:rsidRDefault="001824AC" w:rsidP="00BC04A3">
      <w:pPr>
        <w:rPr>
          <w:rFonts w:eastAsia="Times New Roman"/>
        </w:rPr>
      </w:pPr>
      <w:r>
        <w:rPr>
          <w:rFonts w:eastAsia="Times New Roman"/>
        </w:rPr>
        <w:t xml:space="preserve">The project is </w:t>
      </w:r>
      <w:r w:rsidRPr="009E3D77">
        <w:rPr>
          <w:rFonts w:eastAsia="Times New Roman"/>
        </w:rPr>
        <w:t>a pilot program in South Eastern Melbourne to improve access to justice for sexual assault victims with a cognitive impairment or communication difficulties.</w:t>
      </w:r>
      <w:r w:rsidR="003A3961">
        <w:rPr>
          <w:rFonts w:eastAsia="Times New Roman"/>
        </w:rPr>
        <w:t xml:space="preserve"> </w:t>
      </w:r>
      <w:r w:rsidRPr="00D43BED">
        <w:rPr>
          <w:rFonts w:eastAsia="Times New Roman"/>
        </w:rPr>
        <w:t xml:space="preserve">They provide a range of holistic services </w:t>
      </w:r>
      <w:r>
        <w:rPr>
          <w:rFonts w:eastAsia="Times New Roman"/>
        </w:rPr>
        <w:t>and</w:t>
      </w:r>
      <w:r w:rsidRPr="00D43BED">
        <w:rPr>
          <w:rFonts w:eastAsia="Times New Roman"/>
        </w:rPr>
        <w:t xml:space="preserve"> legal assistance to victims for compensation appearing before the Victims of Crime Assistance Tribunal</w:t>
      </w:r>
      <w:r>
        <w:rPr>
          <w:rFonts w:eastAsia="Times New Roman"/>
        </w:rPr>
        <w:t xml:space="preserve"> (</w:t>
      </w:r>
      <w:hyperlink r:id="rId43" w:history="1">
        <w:r w:rsidRPr="00D43BED">
          <w:rPr>
            <w:rFonts w:eastAsia="Times New Roman"/>
            <w:color w:val="0000FF"/>
            <w:u w:val="single"/>
          </w:rPr>
          <w:t>http://www.fclc.org.au/cb_pages/clr_making_rights_reality.php</w:t>
        </w:r>
      </w:hyperlink>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i/>
        </w:rPr>
      </w:pPr>
      <w:r w:rsidRPr="00D43BED">
        <w:rPr>
          <w:rFonts w:eastAsia="Times New Roman"/>
          <w:b/>
          <w:bCs/>
          <w:i/>
        </w:rPr>
        <w:t>Mental H</w:t>
      </w:r>
      <w:r>
        <w:rPr>
          <w:rFonts w:eastAsia="Times New Roman"/>
          <w:b/>
          <w:bCs/>
          <w:i/>
        </w:rPr>
        <w:t xml:space="preserve">ealth Intervention Project </w:t>
      </w:r>
      <w:r w:rsidRPr="00E36E3B">
        <w:rPr>
          <w:rFonts w:eastAsia="Times New Roman"/>
          <w:b/>
          <w:i/>
        </w:rPr>
        <w:t>(QLD)</w:t>
      </w:r>
    </w:p>
    <w:p w:rsidR="001824AC" w:rsidRDefault="001824AC" w:rsidP="00D43BED">
      <w:pPr>
        <w:rPr>
          <w:rFonts w:eastAsia="Times New Roman"/>
          <w:u w:val="single"/>
        </w:rPr>
      </w:pPr>
      <w:proofErr w:type="gramStart"/>
      <w:r w:rsidRPr="00D43BED">
        <w:rPr>
          <w:rFonts w:eastAsia="Times New Roman"/>
        </w:rPr>
        <w:t>A collaboration project between Q</w:t>
      </w:r>
      <w:r>
        <w:rPr>
          <w:rFonts w:eastAsia="Times New Roman"/>
        </w:rPr>
        <w:t>ueensland</w:t>
      </w:r>
      <w:r w:rsidRPr="00D43BED">
        <w:rPr>
          <w:rFonts w:eastAsia="Times New Roman"/>
        </w:rPr>
        <w:t xml:space="preserve"> Police, Health and Ambulance services.</w:t>
      </w:r>
      <w:proofErr w:type="gramEnd"/>
      <w:r w:rsidRPr="00D43BED">
        <w:rPr>
          <w:rFonts w:eastAsia="Times New Roman"/>
        </w:rPr>
        <w:t xml:space="preserve"> Coordinators from these 3 agencies regularly meet to identify mental health issues in </w:t>
      </w:r>
      <w:r w:rsidRPr="00D43BED">
        <w:rPr>
          <w:rFonts w:eastAsia="Times New Roman"/>
        </w:rPr>
        <w:lastRenderedPageBreak/>
        <w:t>the local area, discuss complex cases and develop preventative interventions</w:t>
      </w:r>
      <w:r>
        <w:rPr>
          <w:rFonts w:eastAsia="Times New Roman"/>
        </w:rPr>
        <w:t xml:space="preserve"> </w:t>
      </w:r>
      <w:r w:rsidRPr="00D43BED">
        <w:rPr>
          <w:rFonts w:eastAsia="Times New Roman"/>
        </w:rPr>
        <w:t>(</w:t>
      </w:r>
      <w:hyperlink r:id="rId44" w:history="1">
        <w:r w:rsidRPr="00D43BED">
          <w:rPr>
            <w:rFonts w:eastAsia="Times New Roman"/>
            <w:color w:val="0000FF"/>
            <w:u w:val="single"/>
          </w:rPr>
          <w:t>http://www.police.qld.gov.au/programs/cscp/mentalHealth/</w:t>
        </w:r>
      </w:hyperlink>
      <w:r w:rsidRPr="00D43BED">
        <w:rPr>
          <w:rFonts w:eastAsia="Times New Roman"/>
          <w:u w:val="single"/>
        </w:rPr>
        <w:t xml:space="preserve">). </w:t>
      </w:r>
      <w:proofErr w:type="gramStart"/>
      <w:r>
        <w:rPr>
          <w:rFonts w:eastAsia="Times New Roman"/>
          <w:u w:val="single"/>
        </w:rPr>
        <w:t>Viewed 3 February 2014.</w:t>
      </w:r>
      <w:proofErr w:type="gramEnd"/>
    </w:p>
    <w:p w:rsidR="00A0246D" w:rsidRDefault="001824AC" w:rsidP="00D43BED">
      <w:pPr>
        <w:rPr>
          <w:rFonts w:eastAsia="Times New Roman"/>
          <w:b/>
          <w:i/>
        </w:rPr>
      </w:pPr>
      <w:r w:rsidRPr="00D43BED">
        <w:rPr>
          <w:rFonts w:eastAsia="Times New Roman"/>
          <w:b/>
          <w:i/>
        </w:rPr>
        <w:t>Mental Health Int</w:t>
      </w:r>
      <w:r>
        <w:rPr>
          <w:rFonts w:eastAsia="Times New Roman"/>
          <w:b/>
          <w:i/>
        </w:rPr>
        <w:t xml:space="preserve">ervention Team, NSW Police </w:t>
      </w:r>
    </w:p>
    <w:p w:rsidR="001824AC" w:rsidRDefault="001824AC" w:rsidP="00D43BED">
      <w:pPr>
        <w:rPr>
          <w:rFonts w:eastAsia="Times New Roman"/>
          <w:u w:val="single"/>
        </w:rPr>
      </w:pPr>
      <w:r w:rsidRPr="00D43BED">
        <w:rPr>
          <w:rFonts w:eastAsia="Times New Roman"/>
        </w:rPr>
        <w:t>The Mental Health Intervention Team consists of a clinical team that provide education to police to identify mental health, strategies to communicate with people with psychiatric disabilities, de-escalation and crisis intervention techniques</w:t>
      </w:r>
      <w:r>
        <w:rPr>
          <w:rFonts w:eastAsia="Times New Roman"/>
        </w:rPr>
        <w:t xml:space="preserve"> </w:t>
      </w:r>
      <w:r w:rsidRPr="00D43BED">
        <w:rPr>
          <w:rFonts w:eastAsia="Times New Roman"/>
        </w:rPr>
        <w:t>(</w:t>
      </w:r>
      <w:hyperlink r:id="rId45" w:history="1">
        <w:r w:rsidRPr="00D43BED">
          <w:rPr>
            <w:rFonts w:eastAsia="Times New Roman"/>
            <w:color w:val="0000FF"/>
            <w:u w:val="single"/>
          </w:rPr>
          <w:t>http://www.police.nsw.gov.au/community_issues/mental_health</w:t>
        </w:r>
      </w:hyperlink>
      <w:r w:rsidRPr="00D43BED">
        <w:rPr>
          <w:rFonts w:eastAsia="Times New Roman"/>
          <w:u w:val="single"/>
        </w:rPr>
        <w:t xml:space="preserve">). </w:t>
      </w:r>
    </w:p>
    <w:p w:rsidR="00A0246D" w:rsidRDefault="001824AC" w:rsidP="00D43BED">
      <w:pPr>
        <w:rPr>
          <w:rFonts w:eastAsia="Times New Roman"/>
          <w:b/>
          <w:i/>
        </w:rPr>
      </w:pPr>
      <w:r w:rsidRPr="00D43BED">
        <w:rPr>
          <w:rFonts w:eastAsia="Times New Roman"/>
          <w:b/>
          <w:i/>
        </w:rPr>
        <w:t xml:space="preserve">Mental Health Law Centre </w:t>
      </w:r>
      <w:r>
        <w:rPr>
          <w:rFonts w:eastAsia="Times New Roman"/>
          <w:b/>
          <w:i/>
        </w:rPr>
        <w:t xml:space="preserve">(WA) </w:t>
      </w:r>
      <w:proofErr w:type="spellStart"/>
      <w:r>
        <w:rPr>
          <w:rFonts w:eastAsia="Times New Roman"/>
          <w:b/>
          <w:i/>
        </w:rPr>
        <w:t>Inc</w:t>
      </w:r>
      <w:proofErr w:type="spellEnd"/>
    </w:p>
    <w:p w:rsidR="001824AC" w:rsidRDefault="001824AC" w:rsidP="00D43BED">
      <w:pPr>
        <w:rPr>
          <w:rFonts w:eastAsia="Times New Roman"/>
        </w:rPr>
      </w:pPr>
      <w:r w:rsidRPr="00D43BED">
        <w:rPr>
          <w:rFonts w:eastAsia="Times New Roman"/>
        </w:rPr>
        <w:t>Specialized community legal centre that provides free mental health law advice to people with psychiatric disabilities in Western Australia</w:t>
      </w:r>
      <w:r>
        <w:rPr>
          <w:rFonts w:eastAsia="Times New Roman"/>
        </w:rPr>
        <w:t xml:space="preserve"> (</w:t>
      </w:r>
      <w:hyperlink r:id="rId46" w:history="1">
        <w:r w:rsidRPr="00D43BED">
          <w:rPr>
            <w:rFonts w:eastAsia="Times New Roman"/>
            <w:color w:val="0000FF"/>
            <w:u w:val="single"/>
          </w:rPr>
          <w:t>http://www.mhlcwa.org.au/</w:t>
        </w:r>
      </w:hyperlink>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i/>
        </w:rPr>
      </w:pPr>
      <w:r w:rsidRPr="00F6186E">
        <w:rPr>
          <w:rFonts w:eastAsia="Times New Roman"/>
          <w:b/>
          <w:i/>
        </w:rPr>
        <w:t>North Australian Aboriginal Justice Agency (NT)</w:t>
      </w:r>
    </w:p>
    <w:p w:rsidR="001824AC" w:rsidRDefault="001824AC" w:rsidP="00D43BED">
      <w:pPr>
        <w:rPr>
          <w:rFonts w:eastAsia="Times New Roman"/>
        </w:rPr>
      </w:pPr>
      <w:r>
        <w:rPr>
          <w:rFonts w:eastAsia="Times New Roman"/>
        </w:rPr>
        <w:t>The North Australian Aboriginal Justice Agency</w:t>
      </w:r>
      <w:r w:rsidR="003A3961">
        <w:rPr>
          <w:rFonts w:eastAsia="Times New Roman"/>
        </w:rPr>
        <w:t xml:space="preserve"> </w:t>
      </w:r>
      <w:r w:rsidRPr="00D43BED">
        <w:rPr>
          <w:rFonts w:eastAsia="Times New Roman"/>
        </w:rPr>
        <w:t>provides culturally proficient Aboriginal legal services to the Top End of the Northern Territory</w:t>
      </w:r>
      <w:r>
        <w:rPr>
          <w:rFonts w:eastAsia="Times New Roman"/>
        </w:rPr>
        <w:t xml:space="preserve"> (</w:t>
      </w:r>
      <w:hyperlink r:id="rId47" w:history="1">
        <w:r w:rsidRPr="00D43BED">
          <w:rPr>
            <w:rFonts w:eastAsia="Times New Roman"/>
            <w:color w:val="0000FF"/>
            <w:u w:val="single"/>
          </w:rPr>
          <w:t>http://www.naaja.org.au/</w:t>
        </w:r>
      </w:hyperlink>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i/>
        </w:rPr>
      </w:pPr>
      <w:r w:rsidRPr="00D43BED">
        <w:rPr>
          <w:rFonts w:eastAsia="Times New Roman"/>
          <w:b/>
          <w:i/>
        </w:rPr>
        <w:t>Multiple and Complex Needs Initiative</w:t>
      </w:r>
      <w:r>
        <w:rPr>
          <w:rFonts w:eastAsia="Times New Roman"/>
          <w:b/>
          <w:i/>
        </w:rPr>
        <w:t>, Department of Human Services</w:t>
      </w:r>
      <w:r w:rsidRPr="00D43BED">
        <w:rPr>
          <w:rFonts w:eastAsia="Times New Roman"/>
          <w:b/>
          <w:i/>
        </w:rPr>
        <w:t xml:space="preserve"> (Vic)</w:t>
      </w:r>
    </w:p>
    <w:p w:rsidR="001824AC" w:rsidRPr="00D43BED" w:rsidRDefault="001824AC" w:rsidP="00D43BED">
      <w:pPr>
        <w:rPr>
          <w:rFonts w:eastAsia="Times New Roman"/>
        </w:rPr>
      </w:pPr>
      <w:r w:rsidRPr="00D43BED">
        <w:rPr>
          <w:rFonts w:eastAsia="Times New Roman"/>
        </w:rPr>
        <w:t>The Multiple and Complex Needs Initiative provides case-management and coordination of services such as housing, health and family supports for people with multiple disabilities and complex needs</w:t>
      </w:r>
      <w:r w:rsidR="00B91416">
        <w:rPr>
          <w:rFonts w:eastAsia="Times New Roman"/>
        </w:rPr>
        <w:t xml:space="preserve"> </w:t>
      </w:r>
      <w:r w:rsidR="00EA2A94">
        <w:rPr>
          <w:rFonts w:eastAsia="Times New Roman"/>
        </w:rPr>
        <w:t>(</w:t>
      </w:r>
      <w:hyperlink r:id="rId48" w:history="1">
        <w:r w:rsidRPr="00D43BED">
          <w:rPr>
            <w:rFonts w:eastAsia="Times New Roman"/>
            <w:color w:val="0000FF"/>
            <w:u w:val="single"/>
          </w:rPr>
          <w:t>http://www.dhs.vic.gov.au/about-the-department/plans,-programs-and-projects/projects-and-initiatives/cross-departmental-projects-and-initiatives/multiple-and-complex-needs-initiative</w:t>
        </w:r>
      </w:hyperlink>
      <w:r w:rsidR="00EA2A94">
        <w:rPr>
          <w:rFonts w:eastAsia="Times New Roman"/>
          <w:color w:val="0000FF"/>
          <w:u w:val="single"/>
        </w:rPr>
        <w:t>)</w:t>
      </w:r>
      <w:r w:rsidR="00B91416">
        <w:rPr>
          <w:rFonts w:eastAsia="Times New Roman"/>
          <w:color w:val="0000FF"/>
          <w:u w:val="single"/>
        </w:rPr>
        <w:t xml:space="preserve">. </w:t>
      </w:r>
      <w:proofErr w:type="gramStart"/>
      <w:r w:rsidR="00B91416">
        <w:rPr>
          <w:rFonts w:eastAsia="Times New Roman"/>
          <w:color w:val="0000FF"/>
          <w:u w:val="single"/>
        </w:rPr>
        <w:t>Viewed 3 February 2014.</w:t>
      </w:r>
      <w:proofErr w:type="gramEnd"/>
    </w:p>
    <w:p w:rsidR="00A0246D" w:rsidRDefault="001824AC" w:rsidP="00C10652">
      <w:pPr>
        <w:rPr>
          <w:rFonts w:eastAsia="Times New Roman"/>
          <w:b/>
          <w:i/>
        </w:rPr>
      </w:pPr>
      <w:r w:rsidRPr="00D43BED">
        <w:rPr>
          <w:rFonts w:eastAsia="Times New Roman"/>
          <w:b/>
          <w:i/>
        </w:rPr>
        <w:t>Neighbourhood Justice Centre</w:t>
      </w:r>
      <w:r>
        <w:rPr>
          <w:rFonts w:eastAsia="Times New Roman"/>
          <w:b/>
          <w:i/>
        </w:rPr>
        <w:t xml:space="preserve"> (NSW)</w:t>
      </w:r>
    </w:p>
    <w:p w:rsidR="001824AC" w:rsidRPr="00D43BED" w:rsidRDefault="001824AC" w:rsidP="00C10652">
      <w:pPr>
        <w:rPr>
          <w:rFonts w:eastAsia="Times New Roman"/>
        </w:rPr>
      </w:pPr>
      <w:r w:rsidRPr="00D43BED">
        <w:rPr>
          <w:rFonts w:eastAsia="Times New Roman"/>
        </w:rPr>
        <w:t>The Neighbourhood Justice Centre is Australia’s only community court. A number of different courts sit within the centre along with a “one stop shop” of community services</w:t>
      </w:r>
      <w:r>
        <w:rPr>
          <w:rFonts w:eastAsia="Times New Roman"/>
        </w:rPr>
        <w:t xml:space="preserve"> (</w:t>
      </w:r>
      <w:hyperlink r:id="rId49" w:history="1">
        <w:r w:rsidRPr="00D43BED">
          <w:rPr>
            <w:rFonts w:eastAsia="Times New Roman"/>
            <w:color w:val="0000FF"/>
            <w:u w:val="single"/>
          </w:rPr>
          <w:t>http://www.neighbourhoodjustice.vic.gov.au/</w:t>
        </w:r>
      </w:hyperlink>
      <w:r>
        <w:rPr>
          <w:rFonts w:eastAsia="Times New Roman"/>
        </w:rPr>
        <w:t xml:space="preserve">). </w:t>
      </w:r>
      <w:proofErr w:type="gramStart"/>
      <w:r>
        <w:rPr>
          <w:rFonts w:eastAsia="Times New Roman"/>
        </w:rPr>
        <w:t>Viewed 3 February 2014.</w:t>
      </w:r>
      <w:proofErr w:type="gramEnd"/>
    </w:p>
    <w:p w:rsidR="00A0246D" w:rsidRDefault="001824AC" w:rsidP="0050733A">
      <w:pPr>
        <w:rPr>
          <w:rFonts w:eastAsia="Times New Roman"/>
          <w:b/>
          <w:i/>
        </w:rPr>
      </w:pPr>
      <w:proofErr w:type="spellStart"/>
      <w:r w:rsidRPr="00AE11FA">
        <w:rPr>
          <w:rFonts w:eastAsia="Times New Roman"/>
          <w:b/>
          <w:i/>
        </w:rPr>
        <w:t>Nunga</w:t>
      </w:r>
      <w:proofErr w:type="spellEnd"/>
      <w:r w:rsidRPr="00AE11FA">
        <w:rPr>
          <w:rFonts w:eastAsia="Times New Roman"/>
          <w:b/>
          <w:i/>
        </w:rPr>
        <w:t xml:space="preserve"> Court (SA) </w:t>
      </w:r>
    </w:p>
    <w:p w:rsidR="001824AC" w:rsidRPr="00D43BED" w:rsidRDefault="001824AC" w:rsidP="0050733A">
      <w:pPr>
        <w:rPr>
          <w:rFonts w:eastAsia="Times New Roman"/>
        </w:rPr>
      </w:pPr>
      <w:r w:rsidRPr="00D43BED">
        <w:rPr>
          <w:rFonts w:eastAsia="Times New Roman"/>
        </w:rPr>
        <w:t xml:space="preserve">The </w:t>
      </w:r>
      <w:proofErr w:type="spellStart"/>
      <w:r w:rsidRPr="00D43BED">
        <w:rPr>
          <w:rFonts w:eastAsia="Times New Roman"/>
        </w:rPr>
        <w:t>Nunga</w:t>
      </w:r>
      <w:proofErr w:type="spellEnd"/>
      <w:r w:rsidRPr="00D43BED">
        <w:rPr>
          <w:rFonts w:eastAsia="Times New Roman"/>
        </w:rPr>
        <w:t xml:space="preserve"> Court is Australia’s first Indigenous Court. It operates as a treatment court where defendants have access to programs which treat drug use, mental impairment and domestic abuse.  Elders are present and there is less formality and the defendant and the family are encouraged to attend and speak directly to the Magistrate</w:t>
      </w:r>
      <w:r>
        <w:rPr>
          <w:rFonts w:eastAsia="Times New Roman"/>
        </w:rPr>
        <w:t xml:space="preserve"> (</w:t>
      </w:r>
      <w:hyperlink r:id="rId50" w:history="1">
        <w:r w:rsidRPr="00D43BED">
          <w:rPr>
            <w:rFonts w:eastAsia="Times New Roman"/>
            <w:color w:val="0000FF"/>
            <w:u w:val="single"/>
          </w:rPr>
          <w:t>http://www.courts.sa.gov.au/Community/Pages/Aboriginal-Programs.aspx</w:t>
        </w:r>
      </w:hyperlink>
      <w:r>
        <w:rPr>
          <w:rFonts w:eastAsia="Times New Roman"/>
        </w:rPr>
        <w:t xml:space="preserve">). </w:t>
      </w:r>
      <w:proofErr w:type="gramStart"/>
      <w:r>
        <w:rPr>
          <w:rFonts w:eastAsia="Times New Roman"/>
        </w:rPr>
        <w:t>Viewed 3 February 2014.</w:t>
      </w:r>
      <w:proofErr w:type="gramEnd"/>
    </w:p>
    <w:p w:rsidR="00A0246D" w:rsidRDefault="001824AC" w:rsidP="003F2A2F">
      <w:pPr>
        <w:rPr>
          <w:rFonts w:eastAsia="Times New Roman"/>
          <w:b/>
          <w:i/>
        </w:rPr>
      </w:pPr>
      <w:r w:rsidRPr="00D43BED">
        <w:rPr>
          <w:rFonts w:eastAsia="Times New Roman"/>
          <w:b/>
          <w:i/>
        </w:rPr>
        <w:t>Office of the Inspe</w:t>
      </w:r>
      <w:r>
        <w:rPr>
          <w:rFonts w:eastAsia="Times New Roman"/>
          <w:b/>
          <w:i/>
        </w:rPr>
        <w:t>ctor of Custodial Services (WA)</w:t>
      </w:r>
    </w:p>
    <w:p w:rsidR="001824AC" w:rsidRPr="00D43BED" w:rsidRDefault="001824AC" w:rsidP="003F2A2F">
      <w:pPr>
        <w:rPr>
          <w:rFonts w:eastAsia="Times New Roman"/>
        </w:rPr>
      </w:pPr>
      <w:r w:rsidRPr="00D43BED">
        <w:rPr>
          <w:rFonts w:eastAsia="Times New Roman"/>
        </w:rPr>
        <w:t>The Office of the Inspector of Custodial Services is an independent statutory body that answers directly to Parliament and provides external scrutiny of custodial services and thematic reviews of systemic issues in Western Australia</w:t>
      </w:r>
      <w:r>
        <w:rPr>
          <w:rFonts w:eastAsia="Times New Roman"/>
        </w:rPr>
        <w:t xml:space="preserve"> (</w:t>
      </w:r>
      <w:hyperlink r:id="rId51" w:history="1">
        <w:r w:rsidRPr="00D43BED">
          <w:rPr>
            <w:rFonts w:eastAsia="Times New Roman"/>
            <w:color w:val="0000FF"/>
            <w:u w:val="single"/>
          </w:rPr>
          <w:t>http://www.oics.wa.gov.au/go/home</w:t>
        </w:r>
      </w:hyperlink>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bCs/>
          <w:i/>
        </w:rPr>
      </w:pPr>
      <w:r w:rsidRPr="00D43BED">
        <w:rPr>
          <w:rFonts w:eastAsia="Times New Roman"/>
          <w:b/>
          <w:bCs/>
          <w:i/>
        </w:rPr>
        <w:lastRenderedPageBreak/>
        <w:t xml:space="preserve">Personal Helpers and Mentors Program </w:t>
      </w:r>
    </w:p>
    <w:p w:rsidR="001824AC" w:rsidRPr="00D43BED" w:rsidRDefault="001824AC" w:rsidP="00D43BED">
      <w:pPr>
        <w:rPr>
          <w:rFonts w:eastAsia="Times New Roman"/>
        </w:rPr>
      </w:pPr>
      <w:r w:rsidRPr="00D43BED">
        <w:rPr>
          <w:rFonts w:eastAsia="Times New Roman"/>
        </w:rPr>
        <w:t xml:space="preserve">Personal support is provided to people recovering from mental illness to develop skills and confidence as well as access services and participate in their community. This program operates </w:t>
      </w:r>
      <w:r>
        <w:rPr>
          <w:rFonts w:eastAsia="Times New Roman"/>
        </w:rPr>
        <w:t>in all states and territories (</w:t>
      </w:r>
      <w:hyperlink r:id="rId52" w:history="1">
        <w:r w:rsidRPr="001F54FD">
          <w:rPr>
            <w:rStyle w:val="Hyperlink"/>
            <w:rFonts w:eastAsia="Times New Roman"/>
          </w:rPr>
          <w:t>http://www.dss.gov.au/our-responsibilities/mental-health/programs-services/personal-helpers-and-mentors/locating-a-personal-helpers-and-mentors-service</w:t>
        </w:r>
      </w:hyperlink>
      <w:r>
        <w:rPr>
          <w:rFonts w:eastAsia="Times New Roman"/>
        </w:rPr>
        <w:t xml:space="preserve">). </w:t>
      </w:r>
      <w:proofErr w:type="gramStart"/>
      <w:r>
        <w:rPr>
          <w:rFonts w:eastAsia="Times New Roman"/>
        </w:rPr>
        <w:t>Viewed 3 February 2014.</w:t>
      </w:r>
      <w:proofErr w:type="gramEnd"/>
    </w:p>
    <w:p w:rsidR="00A0246D" w:rsidRDefault="001824AC" w:rsidP="00BD047F">
      <w:pPr>
        <w:rPr>
          <w:rFonts w:eastAsia="Times New Roman"/>
          <w:b/>
          <w:i/>
        </w:rPr>
      </w:pPr>
      <w:r>
        <w:rPr>
          <w:rFonts w:eastAsia="Times New Roman"/>
          <w:b/>
          <w:i/>
        </w:rPr>
        <w:t xml:space="preserve">Prisoner Employment Programs - </w:t>
      </w:r>
      <w:r w:rsidRPr="00D43BED">
        <w:rPr>
          <w:rFonts w:eastAsia="Times New Roman"/>
          <w:b/>
          <w:i/>
        </w:rPr>
        <w:t xml:space="preserve">Sentenced to a job, Department of Correctional Services </w:t>
      </w:r>
      <w:r>
        <w:rPr>
          <w:rFonts w:eastAsia="Times New Roman"/>
          <w:b/>
          <w:i/>
        </w:rPr>
        <w:t>(NT)</w:t>
      </w:r>
    </w:p>
    <w:p w:rsidR="001824AC" w:rsidRPr="00D43BED" w:rsidRDefault="001824AC" w:rsidP="00BD047F">
      <w:pPr>
        <w:rPr>
          <w:rFonts w:eastAsia="Times New Roman"/>
          <w:i/>
        </w:rPr>
      </w:pPr>
      <w:r w:rsidRPr="00D43BED">
        <w:rPr>
          <w:rFonts w:eastAsia="Times New Roman"/>
        </w:rPr>
        <w:t>The Sentenced to a Job program is a trial running in the Northern Territory where prisoners are sent to work in real jobs in the local community for award wages. The program is only available for prisoners who have been classified low security. Sex offenders are not eligible</w:t>
      </w:r>
      <w:r>
        <w:rPr>
          <w:rFonts w:eastAsia="Times New Roman"/>
        </w:rPr>
        <w:t xml:space="preserve"> (</w:t>
      </w:r>
      <w:hyperlink r:id="rId53" w:history="1">
        <w:r w:rsidRPr="00D43BED">
          <w:rPr>
            <w:rFonts w:eastAsia="Times New Roman"/>
            <w:color w:val="0000FF"/>
            <w:u w:val="single"/>
          </w:rPr>
          <w:t>http://www.correctionalservices.nt.gov.au/AboutUs/BusinessWithUs/Pages/Prisoner-employment-programs.aspx</w:t>
        </w:r>
      </w:hyperlink>
      <w:r>
        <w:rPr>
          <w:rFonts w:eastAsia="Times New Roman"/>
        </w:rPr>
        <w:t xml:space="preserve">). </w:t>
      </w:r>
      <w:proofErr w:type="gramStart"/>
      <w:r>
        <w:rPr>
          <w:rFonts w:eastAsia="Times New Roman"/>
        </w:rPr>
        <w:t>Viewed 3 February 2014.</w:t>
      </w:r>
      <w:proofErr w:type="gramEnd"/>
    </w:p>
    <w:p w:rsidR="00A0246D" w:rsidRDefault="001824AC" w:rsidP="00CA28CF">
      <w:pPr>
        <w:rPr>
          <w:rFonts w:eastAsia="Times New Roman"/>
          <w:b/>
          <w:i/>
        </w:rPr>
      </w:pPr>
      <w:r w:rsidRPr="00A73B29">
        <w:rPr>
          <w:rFonts w:eastAsia="Times New Roman"/>
          <w:b/>
          <w:i/>
        </w:rPr>
        <w:t>Protocol for Mental Health,</w:t>
      </w:r>
      <w:r>
        <w:rPr>
          <w:rFonts w:eastAsia="Times New Roman"/>
          <w:b/>
          <w:i/>
          <w:u w:val="single"/>
        </w:rPr>
        <w:t xml:space="preserve"> </w:t>
      </w:r>
      <w:r w:rsidRPr="00A73B29">
        <w:rPr>
          <w:rFonts w:eastAsia="Times New Roman"/>
          <w:b/>
          <w:i/>
        </w:rPr>
        <w:t xml:space="preserve">Department of Health and Victoria </w:t>
      </w:r>
      <w:r>
        <w:rPr>
          <w:rFonts w:eastAsia="Times New Roman"/>
          <w:b/>
          <w:i/>
        </w:rPr>
        <w:t>Police (VIC)</w:t>
      </w:r>
    </w:p>
    <w:p w:rsidR="001824AC" w:rsidRPr="00D43BED" w:rsidRDefault="001824AC" w:rsidP="00CA28CF">
      <w:pPr>
        <w:rPr>
          <w:rFonts w:eastAsia="Times New Roman"/>
        </w:rPr>
      </w:pPr>
      <w:r w:rsidRPr="00D43BED">
        <w:rPr>
          <w:rFonts w:eastAsia="Times New Roman"/>
        </w:rPr>
        <w:t xml:space="preserve">Interagency </w:t>
      </w:r>
      <w:proofErr w:type="gramStart"/>
      <w:r w:rsidRPr="00D43BED">
        <w:rPr>
          <w:rFonts w:eastAsia="Times New Roman"/>
        </w:rPr>
        <w:t>protocol</w:t>
      </w:r>
      <w:r>
        <w:rPr>
          <w:rFonts w:eastAsia="Times New Roman"/>
        </w:rPr>
        <w:t xml:space="preserve">  provides</w:t>
      </w:r>
      <w:proofErr w:type="gramEnd"/>
      <w:r>
        <w:rPr>
          <w:rFonts w:eastAsia="Times New Roman"/>
        </w:rPr>
        <w:t xml:space="preserve"> </w:t>
      </w:r>
      <w:r w:rsidRPr="00A73B29">
        <w:rPr>
          <w:rFonts w:eastAsia="Times New Roman"/>
        </w:rPr>
        <w:t>guidance to police and clinicians on their respective roles</w:t>
      </w:r>
      <w:r>
        <w:rPr>
          <w:rFonts w:eastAsia="Times New Roman"/>
        </w:rPr>
        <w:t xml:space="preserve"> </w:t>
      </w:r>
      <w:r w:rsidRPr="00A73B29">
        <w:rPr>
          <w:rFonts w:eastAsia="Times New Roman"/>
        </w:rPr>
        <w:t>and responsibilities when working together to respond to the needs of people with mental illness</w:t>
      </w:r>
      <w:r>
        <w:rPr>
          <w:rFonts w:eastAsia="Times New Roman"/>
        </w:rPr>
        <w:t xml:space="preserve"> </w:t>
      </w:r>
      <w:r w:rsidRPr="00D43BED">
        <w:rPr>
          <w:rFonts w:eastAsia="Times New Roman"/>
        </w:rPr>
        <w:t>(</w:t>
      </w:r>
      <w:hyperlink r:id="rId54" w:history="1">
        <w:r w:rsidRPr="00D43BED">
          <w:rPr>
            <w:rFonts w:eastAsia="Times New Roman"/>
            <w:color w:val="0000FF"/>
          </w:rPr>
          <w:t>http://www.health.vic.gov.au/mentalhealth/publications/police-mh-protocol0910.pdf</w:t>
        </w:r>
      </w:hyperlink>
      <w:r w:rsidRPr="00D43BED">
        <w:rPr>
          <w:rFonts w:eastAsia="Times New Roman"/>
        </w:rPr>
        <w:t>).</w:t>
      </w:r>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i/>
        </w:rPr>
      </w:pPr>
      <w:r w:rsidRPr="00D43BED">
        <w:rPr>
          <w:rFonts w:eastAsia="Times New Roman"/>
          <w:b/>
          <w:i/>
        </w:rPr>
        <w:t>Queensland Criminal Justice Centre (QLD)</w:t>
      </w:r>
    </w:p>
    <w:p w:rsidR="001824AC" w:rsidRDefault="001824AC" w:rsidP="00D43BED">
      <w:pPr>
        <w:rPr>
          <w:rFonts w:eastAsia="Times New Roman"/>
        </w:rPr>
      </w:pPr>
      <w:r>
        <w:rPr>
          <w:rFonts w:eastAsia="Times New Roman"/>
        </w:rPr>
        <w:t xml:space="preserve">The Queensland Criminal Justice Centre </w:t>
      </w:r>
      <w:r w:rsidRPr="00D43BED">
        <w:rPr>
          <w:rFonts w:eastAsia="Times New Roman"/>
        </w:rPr>
        <w:t>is a web based resource for lawyers working with people with disability who come in contact with QLD criminal justice system</w:t>
      </w:r>
      <w:r>
        <w:rPr>
          <w:rFonts w:eastAsia="Times New Roman"/>
        </w:rPr>
        <w:t xml:space="preserve"> (</w:t>
      </w:r>
      <w:hyperlink r:id="rId55" w:history="1">
        <w:r w:rsidRPr="00D43BED">
          <w:rPr>
            <w:rFonts w:eastAsia="Times New Roman"/>
            <w:color w:val="0000FF"/>
            <w:u w:val="single"/>
          </w:rPr>
          <w:t>http://www.qcjc.com.au/</w:t>
        </w:r>
      </w:hyperlink>
      <w:r>
        <w:rPr>
          <w:rFonts w:eastAsia="Times New Roman"/>
        </w:rPr>
        <w:t xml:space="preserve">). </w:t>
      </w:r>
      <w:proofErr w:type="gramStart"/>
      <w:r>
        <w:rPr>
          <w:rFonts w:eastAsia="Times New Roman"/>
        </w:rPr>
        <w:t>Viewed 3 February 2014.</w:t>
      </w:r>
      <w:proofErr w:type="gramEnd"/>
    </w:p>
    <w:p w:rsidR="00A0246D" w:rsidRDefault="001824AC" w:rsidP="00F114AD">
      <w:pPr>
        <w:rPr>
          <w:rFonts w:eastAsia="Times New Roman"/>
          <w:b/>
          <w:i/>
        </w:rPr>
      </w:pPr>
      <w:r w:rsidRPr="00D43BED">
        <w:rPr>
          <w:rFonts w:eastAsia="Times New Roman"/>
          <w:b/>
          <w:i/>
        </w:rPr>
        <w:t>Red Dirt Driving Academy</w:t>
      </w:r>
      <w:r>
        <w:rPr>
          <w:rFonts w:eastAsia="Times New Roman"/>
          <w:b/>
          <w:i/>
        </w:rPr>
        <w:t xml:space="preserve"> (WA)</w:t>
      </w:r>
    </w:p>
    <w:p w:rsidR="001824AC" w:rsidRPr="00D43BED" w:rsidRDefault="001824AC" w:rsidP="00F114AD">
      <w:pPr>
        <w:rPr>
          <w:rFonts w:eastAsia="Times New Roman"/>
          <w:u w:val="single"/>
        </w:rPr>
      </w:pPr>
      <w:r w:rsidRPr="00D43BED">
        <w:rPr>
          <w:rFonts w:eastAsia="Times New Roman"/>
        </w:rPr>
        <w:t>This is an Indigenous driving school in the Pilbara region where police can refer Aboriginal people who have committed driving offences for driver training so that they do not lose their licences</w:t>
      </w:r>
      <w:r>
        <w:rPr>
          <w:rFonts w:eastAsia="Times New Roman"/>
        </w:rPr>
        <w:t xml:space="preserve"> (</w:t>
      </w:r>
      <w:hyperlink r:id="rId56" w:history="1">
        <w:r w:rsidRPr="00D43BED">
          <w:rPr>
            <w:rFonts w:eastAsia="Times New Roman"/>
            <w:color w:val="0000FF"/>
            <w:u w:val="single"/>
          </w:rPr>
          <w:t>http://www.bindirri.com/projects/reddirtdrivingacademy/</w:t>
        </w:r>
      </w:hyperlink>
      <w:r>
        <w:rPr>
          <w:rFonts w:eastAsia="Times New Roman"/>
        </w:rPr>
        <w:t xml:space="preserve">). </w:t>
      </w:r>
      <w:proofErr w:type="gramStart"/>
      <w:r>
        <w:rPr>
          <w:rFonts w:eastAsia="Times New Roman"/>
        </w:rPr>
        <w:t>Viewed 3 February 2014.</w:t>
      </w:r>
      <w:proofErr w:type="gramEnd"/>
    </w:p>
    <w:p w:rsidR="00A0246D" w:rsidRDefault="001824AC" w:rsidP="004A7B48">
      <w:pPr>
        <w:rPr>
          <w:rFonts w:eastAsia="Times New Roman"/>
          <w:b/>
          <w:i/>
        </w:rPr>
      </w:pPr>
      <w:r w:rsidRPr="00D43BED">
        <w:rPr>
          <w:rFonts w:eastAsia="Times New Roman"/>
          <w:b/>
          <w:i/>
        </w:rPr>
        <w:t>Safe at Home Program (TAS)</w:t>
      </w:r>
    </w:p>
    <w:p w:rsidR="001824AC" w:rsidRDefault="001824AC" w:rsidP="004A7B48">
      <w:pPr>
        <w:rPr>
          <w:rFonts w:eastAsia="Times New Roman"/>
        </w:rPr>
      </w:pPr>
      <w:r w:rsidRPr="00D43BED">
        <w:rPr>
          <w:rFonts w:eastAsia="Times New Roman"/>
        </w:rPr>
        <w:t>This program provides therapeutic support and case management for individuals with a disability affected by domestic violence</w:t>
      </w:r>
      <w:r>
        <w:rPr>
          <w:rFonts w:eastAsia="Times New Roman"/>
        </w:rPr>
        <w:t xml:space="preserve"> (</w:t>
      </w:r>
      <w:hyperlink r:id="rId57" w:history="1">
        <w:r w:rsidRPr="001F54FD">
          <w:rPr>
            <w:rStyle w:val="Hyperlink"/>
          </w:rPr>
          <w:t>http://www.safeathome.tas.gov.au/</w:t>
        </w:r>
      </w:hyperlink>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i/>
        </w:rPr>
      </w:pPr>
      <w:r w:rsidRPr="003F2A2F">
        <w:rPr>
          <w:rFonts w:eastAsia="Times New Roman"/>
          <w:b/>
          <w:i/>
        </w:rPr>
        <w:t xml:space="preserve">Safety House </w:t>
      </w:r>
      <w:r>
        <w:rPr>
          <w:rFonts w:eastAsia="Times New Roman"/>
          <w:b/>
          <w:i/>
        </w:rPr>
        <w:t>(</w:t>
      </w:r>
      <w:r w:rsidRPr="003F2A2F">
        <w:rPr>
          <w:rFonts w:eastAsia="Times New Roman"/>
          <w:b/>
          <w:i/>
        </w:rPr>
        <w:t>WA</w:t>
      </w:r>
      <w:r>
        <w:rPr>
          <w:rFonts w:eastAsia="Times New Roman"/>
          <w:b/>
          <w:i/>
        </w:rPr>
        <w:t>)</w:t>
      </w:r>
    </w:p>
    <w:p w:rsidR="001824AC" w:rsidRDefault="001824AC" w:rsidP="00D43BED">
      <w:pPr>
        <w:rPr>
          <w:rFonts w:eastAsia="Times New Roman"/>
        </w:rPr>
      </w:pPr>
      <w:r w:rsidRPr="00D43BED">
        <w:rPr>
          <w:rFonts w:eastAsia="Times New Roman"/>
        </w:rPr>
        <w:t>Safety House WA provides houses in communities across WA where children can go when it is not safe for them to be at home (</w:t>
      </w:r>
      <w:hyperlink r:id="rId58" w:history="1">
        <w:r w:rsidRPr="00D43BED">
          <w:rPr>
            <w:rFonts w:eastAsia="Times New Roman"/>
            <w:color w:val="0000FF"/>
            <w:u w:val="single"/>
          </w:rPr>
          <w:t>http://www.safetyhousewa.org.au/about.htm</w:t>
        </w:r>
      </w:hyperlink>
      <w:r w:rsidRPr="00D43BED">
        <w:rPr>
          <w:rFonts w:eastAsia="Times New Roman"/>
          <w:u w:val="single"/>
        </w:rPr>
        <w:t>).</w:t>
      </w:r>
      <w:r w:rsidRPr="00D43BED">
        <w:rPr>
          <w:rFonts w:eastAsia="Times New Roman"/>
        </w:rPr>
        <w:t xml:space="preserve"> </w:t>
      </w:r>
      <w:proofErr w:type="gramStart"/>
      <w:r>
        <w:rPr>
          <w:rFonts w:eastAsia="Times New Roman"/>
        </w:rPr>
        <w:t>Viewed 3 February 2014.</w:t>
      </w:r>
      <w:proofErr w:type="gramEnd"/>
    </w:p>
    <w:p w:rsidR="00A0246D" w:rsidRDefault="00A0246D" w:rsidP="00D43BED">
      <w:pPr>
        <w:rPr>
          <w:rFonts w:eastAsia="Times New Roman"/>
          <w:b/>
          <w:i/>
        </w:rPr>
      </w:pPr>
    </w:p>
    <w:p w:rsidR="00A0246D" w:rsidRDefault="00A0246D" w:rsidP="00D43BED">
      <w:pPr>
        <w:rPr>
          <w:rFonts w:eastAsia="Times New Roman"/>
          <w:b/>
          <w:i/>
        </w:rPr>
      </w:pPr>
    </w:p>
    <w:p w:rsidR="00A0246D" w:rsidRDefault="001824AC" w:rsidP="00D43BED">
      <w:pPr>
        <w:rPr>
          <w:rFonts w:eastAsia="Times New Roman"/>
          <w:b/>
          <w:i/>
        </w:rPr>
      </w:pPr>
      <w:r w:rsidRPr="00D43BED">
        <w:rPr>
          <w:rFonts w:eastAsia="Times New Roman"/>
          <w:b/>
          <w:i/>
        </w:rPr>
        <w:lastRenderedPageBreak/>
        <w:t>Scope Ltd</w:t>
      </w:r>
      <w:r>
        <w:rPr>
          <w:rFonts w:eastAsia="Times New Roman"/>
          <w:b/>
          <w:i/>
        </w:rPr>
        <w:t xml:space="preserve"> (VIC)</w:t>
      </w:r>
    </w:p>
    <w:p w:rsidR="001824AC" w:rsidRDefault="001824AC" w:rsidP="00D43BED">
      <w:pPr>
        <w:rPr>
          <w:rFonts w:eastAsia="Times New Roman"/>
        </w:rPr>
      </w:pPr>
      <w:r w:rsidRPr="00D43BED">
        <w:rPr>
          <w:rFonts w:eastAsia="Times New Roman"/>
        </w:rPr>
        <w:t>Scope is a not-for-profit organisation providing disability services in Victoria. The organisation provides accessible information services including Easy English resources (</w:t>
      </w:r>
      <w:hyperlink r:id="rId59" w:history="1">
        <w:r w:rsidRPr="00D43BED">
          <w:rPr>
            <w:rFonts w:eastAsia="Times New Roman"/>
            <w:bCs/>
            <w:color w:val="0000FF"/>
            <w:u w:val="single"/>
          </w:rPr>
          <w:t>http://www.scopevic.org.au/index.php/site/whatweoffer/communicationresourcecentre/accessibleinformation</w:t>
        </w:r>
      </w:hyperlink>
      <w:r w:rsidRPr="00D43BED">
        <w:rPr>
          <w:rFonts w:eastAsia="Times New Roman"/>
        </w:rPr>
        <w:t>). These resources assist other organisations to develop Easy English information. See NSW Police as an example (</w:t>
      </w:r>
      <w:hyperlink r:id="rId60" w:history="1">
        <w:r w:rsidRPr="00D43BED">
          <w:rPr>
            <w:rFonts w:eastAsia="Times New Roman"/>
            <w:color w:val="0000FF"/>
            <w:u w:val="single"/>
          </w:rPr>
          <w:t>http://www.police.nsw.gov.au/community_issues/victims_of_crime/easy_english</w:t>
        </w:r>
      </w:hyperlink>
      <w:r>
        <w:rPr>
          <w:rFonts w:eastAsia="Times New Roman"/>
        </w:rPr>
        <w:t xml:space="preserve">). </w:t>
      </w:r>
      <w:proofErr w:type="gramStart"/>
      <w:r>
        <w:rPr>
          <w:rFonts w:eastAsia="Times New Roman"/>
        </w:rPr>
        <w:t>Viewed 29 January 2014</w:t>
      </w:r>
      <w:r w:rsidRPr="00D43BED">
        <w:rPr>
          <w:rFonts w:eastAsia="Times New Roman"/>
        </w:rPr>
        <w:t>.</w:t>
      </w:r>
      <w:proofErr w:type="gramEnd"/>
    </w:p>
    <w:p w:rsidR="00A0246D" w:rsidRDefault="001824AC" w:rsidP="00D43BED">
      <w:pPr>
        <w:rPr>
          <w:rFonts w:eastAsia="Times New Roman"/>
          <w:b/>
          <w:i/>
        </w:rPr>
      </w:pPr>
      <w:r>
        <w:rPr>
          <w:rFonts w:eastAsia="Times New Roman"/>
          <w:b/>
          <w:i/>
        </w:rPr>
        <w:t>Services Connect, Department of Human Services (Vic)</w:t>
      </w:r>
    </w:p>
    <w:p w:rsidR="001824AC" w:rsidRDefault="001824AC" w:rsidP="00D43BED">
      <w:pPr>
        <w:rPr>
          <w:rFonts w:eastAsia="Times New Roman"/>
        </w:rPr>
      </w:pPr>
      <w:r w:rsidRPr="00D43BED">
        <w:rPr>
          <w:rFonts w:eastAsia="Times New Roman"/>
        </w:rPr>
        <w:t>One-stop shop which brings all the human service such as child protection, public housing, disability and family violence services under a single integrated plan</w:t>
      </w:r>
      <w:r>
        <w:rPr>
          <w:rFonts w:eastAsia="Times New Roman"/>
        </w:rPr>
        <w:t xml:space="preserve"> (</w:t>
      </w:r>
      <w:hyperlink r:id="rId61" w:history="1">
        <w:r w:rsidRPr="00D43BED">
          <w:rPr>
            <w:rFonts w:eastAsia="Times New Roman"/>
            <w:color w:val="0000FF"/>
            <w:u w:val="single"/>
          </w:rPr>
          <w:t>http://www.dhs.vic.gov.au/about-the-department/plans,-programs-and-projects/projects-and-initiatives/cross-departmental-projects-and-initiatives/services-connect</w:t>
        </w:r>
      </w:hyperlink>
      <w:r>
        <w:rPr>
          <w:rFonts w:eastAsia="Times New Roman"/>
        </w:rPr>
        <w:t xml:space="preserve">). </w:t>
      </w:r>
      <w:proofErr w:type="gramStart"/>
      <w:r>
        <w:rPr>
          <w:rFonts w:eastAsia="Times New Roman"/>
        </w:rPr>
        <w:t>Viewed 3 February 2013.</w:t>
      </w:r>
      <w:proofErr w:type="gramEnd"/>
    </w:p>
    <w:p w:rsidR="00A0246D" w:rsidRDefault="001824AC" w:rsidP="00820AFA">
      <w:pPr>
        <w:rPr>
          <w:rFonts w:eastAsia="Times New Roman"/>
          <w:b/>
          <w:i/>
        </w:rPr>
      </w:pPr>
      <w:r w:rsidRPr="00D43BED">
        <w:rPr>
          <w:rFonts w:eastAsia="Times New Roman"/>
          <w:b/>
          <w:i/>
        </w:rPr>
        <w:t xml:space="preserve">Sisters </w:t>
      </w:r>
      <w:proofErr w:type="gramStart"/>
      <w:r w:rsidRPr="00D43BED">
        <w:rPr>
          <w:rFonts w:eastAsia="Times New Roman"/>
          <w:b/>
          <w:i/>
        </w:rPr>
        <w:t>Inside</w:t>
      </w:r>
      <w:proofErr w:type="gramEnd"/>
      <w:r w:rsidRPr="00D43BED">
        <w:rPr>
          <w:rFonts w:eastAsia="Times New Roman"/>
          <w:b/>
          <w:i/>
        </w:rPr>
        <w:t xml:space="preserve"> Inc</w:t>
      </w:r>
      <w:r>
        <w:rPr>
          <w:rFonts w:eastAsia="Times New Roman"/>
          <w:b/>
          <w:i/>
        </w:rPr>
        <w:t>.</w:t>
      </w:r>
      <w:r w:rsidRPr="00D43BED">
        <w:rPr>
          <w:rFonts w:eastAsia="Times New Roman"/>
          <w:b/>
          <w:i/>
        </w:rPr>
        <w:t xml:space="preserve"> </w:t>
      </w:r>
      <w:r w:rsidRPr="00E36E3B">
        <w:rPr>
          <w:rFonts w:eastAsia="Times New Roman"/>
          <w:b/>
          <w:i/>
        </w:rPr>
        <w:t>(QLD)</w:t>
      </w:r>
    </w:p>
    <w:p w:rsidR="001824AC" w:rsidRPr="00D43BED" w:rsidRDefault="001824AC" w:rsidP="00820AFA">
      <w:pPr>
        <w:rPr>
          <w:rFonts w:eastAsia="Times New Roman"/>
        </w:rPr>
      </w:pPr>
      <w:r w:rsidRPr="00D43BED">
        <w:rPr>
          <w:rFonts w:eastAsia="Times New Roman"/>
        </w:rPr>
        <w:t>Sisters Inside Inc. is a community organisation that advocates for the human rights of women in the criminal justice system. The organisation works with women in prison to address gaps in the services available to them (</w:t>
      </w:r>
      <w:hyperlink r:id="rId62" w:history="1">
        <w:r w:rsidRPr="00D43BED">
          <w:rPr>
            <w:rFonts w:eastAsia="Times New Roman"/>
            <w:color w:val="0000FF"/>
            <w:u w:val="single"/>
          </w:rPr>
          <w:t>http://www.sistersinside.com.au/</w:t>
        </w:r>
      </w:hyperlink>
      <w:r w:rsidRPr="00D43BED">
        <w:rPr>
          <w:rFonts w:eastAsia="Times New Roman"/>
        </w:rPr>
        <w:t xml:space="preserve">). </w:t>
      </w:r>
      <w:proofErr w:type="gramStart"/>
      <w:r w:rsidRPr="00D43BED">
        <w:rPr>
          <w:rFonts w:eastAsia="Times New Roman"/>
        </w:rPr>
        <w:t>Viewed 20 January 2014.</w:t>
      </w:r>
      <w:proofErr w:type="gramEnd"/>
    </w:p>
    <w:p w:rsidR="00A0246D" w:rsidRDefault="001824AC" w:rsidP="00D43BED">
      <w:pPr>
        <w:rPr>
          <w:rFonts w:eastAsia="Times New Roman"/>
          <w:b/>
          <w:i/>
        </w:rPr>
      </w:pPr>
      <w:proofErr w:type="spellStart"/>
      <w:r w:rsidRPr="00D43BED">
        <w:rPr>
          <w:rFonts w:eastAsia="Times New Roman"/>
          <w:b/>
          <w:i/>
        </w:rPr>
        <w:t>Strongbala</w:t>
      </w:r>
      <w:proofErr w:type="spellEnd"/>
      <w:r w:rsidRPr="00D43BED">
        <w:rPr>
          <w:rFonts w:eastAsia="Times New Roman"/>
          <w:b/>
          <w:i/>
        </w:rPr>
        <w:t xml:space="preserve"> (NT)</w:t>
      </w:r>
    </w:p>
    <w:p w:rsidR="001824AC" w:rsidRDefault="001824AC" w:rsidP="00D43BED">
      <w:pPr>
        <w:rPr>
          <w:rFonts w:eastAsia="Times New Roman"/>
        </w:rPr>
      </w:pPr>
      <w:r w:rsidRPr="00D43BED">
        <w:rPr>
          <w:rFonts w:eastAsia="Times New Roman"/>
        </w:rPr>
        <w:t>This is a program which provides Aboriginal and Torres Strait Islander men with culturally appropriate support including clinical services, health education such as domestic violence education advice and employment opportunities</w:t>
      </w:r>
      <w:r>
        <w:rPr>
          <w:rFonts w:eastAsia="Times New Roman"/>
        </w:rPr>
        <w:t xml:space="preserve"> (</w:t>
      </w:r>
      <w:hyperlink r:id="rId63" w:history="1">
        <w:r w:rsidRPr="00D43BED">
          <w:rPr>
            <w:rFonts w:eastAsia="Times New Roman"/>
            <w:color w:val="0000FF"/>
            <w:u w:val="single"/>
          </w:rPr>
          <w:t>http://www.wurli.org.au/program-strongbala.htm</w:t>
        </w:r>
      </w:hyperlink>
      <w:r>
        <w:rPr>
          <w:rFonts w:eastAsia="Times New Roman"/>
        </w:rPr>
        <w:t xml:space="preserve">). </w:t>
      </w:r>
      <w:proofErr w:type="gramStart"/>
      <w:r>
        <w:rPr>
          <w:rFonts w:eastAsia="Times New Roman"/>
        </w:rPr>
        <w:t>Viewed 3 February 2014.</w:t>
      </w:r>
      <w:proofErr w:type="gramEnd"/>
    </w:p>
    <w:p w:rsidR="00A0246D" w:rsidRDefault="001824AC" w:rsidP="00000859">
      <w:pPr>
        <w:rPr>
          <w:rFonts w:eastAsia="Times New Roman"/>
          <w:b/>
          <w:i/>
        </w:rPr>
      </w:pPr>
      <w:proofErr w:type="spellStart"/>
      <w:r>
        <w:rPr>
          <w:rFonts w:eastAsia="Times New Roman"/>
          <w:b/>
          <w:i/>
        </w:rPr>
        <w:t>SupportLink</w:t>
      </w:r>
      <w:proofErr w:type="spellEnd"/>
      <w:r>
        <w:rPr>
          <w:rFonts w:eastAsia="Times New Roman"/>
          <w:b/>
          <w:i/>
        </w:rPr>
        <w:t xml:space="preserve"> </w:t>
      </w:r>
      <w:r w:rsidRPr="00E36E3B">
        <w:rPr>
          <w:rFonts w:eastAsia="Times New Roman"/>
          <w:b/>
          <w:i/>
        </w:rPr>
        <w:t>(QLD)</w:t>
      </w:r>
    </w:p>
    <w:p w:rsidR="001824AC" w:rsidRPr="00D43BED" w:rsidRDefault="001824AC" w:rsidP="00000859">
      <w:pPr>
        <w:rPr>
          <w:rFonts w:eastAsia="Times New Roman"/>
          <w:u w:val="single"/>
        </w:rPr>
      </w:pPr>
      <w:proofErr w:type="spellStart"/>
      <w:r w:rsidRPr="00D43BED">
        <w:rPr>
          <w:rFonts w:eastAsia="Times New Roman"/>
        </w:rPr>
        <w:t>SupportLink</w:t>
      </w:r>
      <w:proofErr w:type="spellEnd"/>
      <w:r w:rsidRPr="00D43BED">
        <w:rPr>
          <w:rFonts w:eastAsia="Times New Roman"/>
        </w:rPr>
        <w:t xml:space="preserve"> is an initiative by Queensland Police which provides an online portal, where police can refer a person with disability to over 200 registered support service agencies for domestic violence, drug and alcohol abuse, crime prevention, elder abuse and neglect, victim support and counselling and trauma support (</w:t>
      </w:r>
      <w:hyperlink r:id="rId64" w:history="1">
        <w:r w:rsidRPr="00D43BED">
          <w:rPr>
            <w:rFonts w:eastAsia="Times New Roman"/>
            <w:color w:val="0000FF"/>
            <w:u w:val="single"/>
          </w:rPr>
          <w:t>http://www.supportlink.com.au/default.aspx</w:t>
        </w:r>
      </w:hyperlink>
      <w:r w:rsidRPr="00D43BED">
        <w:rPr>
          <w:rFonts w:eastAsia="Times New Roman"/>
          <w:u w:val="single"/>
        </w:rPr>
        <w:t xml:space="preserve">). </w:t>
      </w:r>
    </w:p>
    <w:p w:rsidR="00A0246D" w:rsidRDefault="001824AC" w:rsidP="00D43BED">
      <w:pPr>
        <w:rPr>
          <w:rFonts w:eastAsia="Times New Roman"/>
          <w:b/>
          <w:i/>
        </w:rPr>
      </w:pPr>
      <w:r w:rsidRPr="00D43BED">
        <w:rPr>
          <w:rFonts w:eastAsia="Times New Roman"/>
          <w:b/>
          <w:i/>
        </w:rPr>
        <w:t xml:space="preserve">Talking Posters (NT) </w:t>
      </w:r>
    </w:p>
    <w:p w:rsidR="001824AC" w:rsidRDefault="001824AC" w:rsidP="00D43BED">
      <w:pPr>
        <w:rPr>
          <w:rFonts w:eastAsia="Times New Roman"/>
        </w:rPr>
      </w:pPr>
      <w:r w:rsidRPr="00D43BED">
        <w:rPr>
          <w:rFonts w:eastAsia="Times New Roman"/>
        </w:rPr>
        <w:t xml:space="preserve">Talking posters utilize push button technology to provide easily understandable audio explanations on a range of subjects including health, discrimination and </w:t>
      </w:r>
      <w:r>
        <w:rPr>
          <w:rFonts w:eastAsia="Times New Roman"/>
        </w:rPr>
        <w:t xml:space="preserve">human </w:t>
      </w:r>
      <w:r w:rsidRPr="00D43BED">
        <w:rPr>
          <w:rFonts w:eastAsia="Times New Roman"/>
        </w:rPr>
        <w:t>rights in Aboriginal languages</w:t>
      </w:r>
      <w:r>
        <w:rPr>
          <w:rFonts w:eastAsia="Times New Roman"/>
        </w:rPr>
        <w:t xml:space="preserve"> (</w:t>
      </w:r>
      <w:hyperlink r:id="rId65" w:history="1">
        <w:r w:rsidRPr="00D43BED">
          <w:rPr>
            <w:rFonts w:eastAsia="Times New Roman"/>
            <w:color w:val="0000FF"/>
            <w:u w:val="single"/>
          </w:rPr>
          <w:t>http://www.adc.nt.gov.au/posters/talkingposters.htm</w:t>
        </w:r>
      </w:hyperlink>
      <w:r>
        <w:rPr>
          <w:rFonts w:eastAsia="Times New Roman"/>
        </w:rPr>
        <w:t xml:space="preserve">). </w:t>
      </w:r>
      <w:proofErr w:type="gramStart"/>
      <w:r>
        <w:rPr>
          <w:rFonts w:eastAsia="Times New Roman"/>
        </w:rPr>
        <w:t>Viewed 3 February 2014.</w:t>
      </w:r>
      <w:proofErr w:type="gramEnd"/>
    </w:p>
    <w:p w:rsidR="00A0246D" w:rsidRDefault="001824AC" w:rsidP="0099572B">
      <w:pPr>
        <w:rPr>
          <w:rFonts w:eastAsia="Times New Roman"/>
          <w:b/>
          <w:i/>
        </w:rPr>
      </w:pPr>
      <w:r w:rsidRPr="00C83C80">
        <w:rPr>
          <w:rFonts w:eastAsia="Times New Roman"/>
          <w:b/>
          <w:i/>
        </w:rPr>
        <w:t xml:space="preserve">Tell Someone </w:t>
      </w:r>
      <w:r>
        <w:rPr>
          <w:rFonts w:eastAsia="Times New Roman"/>
          <w:b/>
          <w:i/>
        </w:rPr>
        <w:t>(VIC)</w:t>
      </w:r>
    </w:p>
    <w:p w:rsidR="001824AC" w:rsidRPr="00D43BED" w:rsidRDefault="001824AC" w:rsidP="0099572B">
      <w:pPr>
        <w:rPr>
          <w:rFonts w:eastAsia="Times New Roman"/>
        </w:rPr>
      </w:pPr>
      <w:r w:rsidRPr="00C83C80">
        <w:rPr>
          <w:rFonts w:eastAsia="Times New Roman"/>
        </w:rPr>
        <w:t>This is a web and DVD</w:t>
      </w:r>
      <w:r>
        <w:rPr>
          <w:rFonts w:eastAsia="Times New Roman"/>
        </w:rPr>
        <w:t xml:space="preserve"> </w:t>
      </w:r>
      <w:r w:rsidRPr="00D43BED">
        <w:rPr>
          <w:rFonts w:eastAsia="Times New Roman"/>
        </w:rPr>
        <w:t>resource for people with intellectual disabilities experiencing family violence</w:t>
      </w:r>
      <w:r>
        <w:rPr>
          <w:rFonts w:eastAsia="Times New Roman"/>
        </w:rPr>
        <w:t xml:space="preserve"> (</w:t>
      </w:r>
      <w:hyperlink r:id="rId66" w:history="1">
        <w:r w:rsidRPr="00D43BED">
          <w:rPr>
            <w:rFonts w:eastAsia="Times New Roman"/>
            <w:color w:val="0000FF"/>
            <w:u w:val="single"/>
          </w:rPr>
          <w:t>http://www.tellsomeone.org.au/index.html</w:t>
        </w:r>
      </w:hyperlink>
      <w:bookmarkStart w:id="72" w:name="_Toc249239219"/>
      <w:r>
        <w:rPr>
          <w:rFonts w:eastAsia="Times New Roman"/>
        </w:rPr>
        <w:t xml:space="preserve">). </w:t>
      </w:r>
      <w:proofErr w:type="gramStart"/>
      <w:r>
        <w:rPr>
          <w:rFonts w:eastAsia="Times New Roman"/>
        </w:rPr>
        <w:t>Viewed 3 February 2014.</w:t>
      </w:r>
      <w:bookmarkEnd w:id="72"/>
      <w:proofErr w:type="gramEnd"/>
    </w:p>
    <w:p w:rsidR="00A0246D" w:rsidRDefault="001824AC" w:rsidP="003F2A2F">
      <w:pPr>
        <w:rPr>
          <w:rFonts w:eastAsia="Times New Roman"/>
          <w:b/>
          <w:i/>
        </w:rPr>
      </w:pPr>
      <w:r w:rsidRPr="00D43BED">
        <w:rPr>
          <w:rFonts w:eastAsia="Times New Roman"/>
          <w:b/>
          <w:i/>
        </w:rPr>
        <w:lastRenderedPageBreak/>
        <w:t>Trial school within Parkville Juvenile Detention Centre</w:t>
      </w:r>
      <w:r>
        <w:rPr>
          <w:rFonts w:eastAsia="Times New Roman"/>
          <w:b/>
          <w:i/>
        </w:rPr>
        <w:t xml:space="preserve"> – Department of Human Services (VIC)</w:t>
      </w:r>
    </w:p>
    <w:p w:rsidR="001824AC" w:rsidRDefault="001824AC" w:rsidP="003F2A2F">
      <w:pPr>
        <w:rPr>
          <w:rFonts w:eastAsia="Times New Roman"/>
          <w:color w:val="0000FF"/>
          <w:u w:val="single"/>
        </w:rPr>
      </w:pPr>
      <w:r w:rsidRPr="00D43BED">
        <w:rPr>
          <w:rFonts w:eastAsia="Times New Roman"/>
        </w:rPr>
        <w:t>The Victorian Government is operating a school within a juvenile detention centre, based on a ground-breaking initiative in the United States. The curriculum is designed to ensure that it does not alienate children with language impairments</w:t>
      </w:r>
      <w:r w:rsidR="00B91416">
        <w:rPr>
          <w:rFonts w:eastAsia="Times New Roman"/>
        </w:rPr>
        <w:t xml:space="preserve"> </w:t>
      </w:r>
      <w:r w:rsidR="00EA2A94">
        <w:rPr>
          <w:rFonts w:eastAsia="Times New Roman"/>
        </w:rPr>
        <w:t>(</w:t>
      </w:r>
      <w:hyperlink r:id="rId67" w:history="1">
        <w:r w:rsidRPr="00D43BED">
          <w:rPr>
            <w:rFonts w:eastAsia="Times New Roman"/>
            <w:color w:val="0000FF"/>
            <w:u w:val="single"/>
          </w:rPr>
          <w:t>http://www.dhs.vic.gov.au/about-the-department/news-and-events/news/general-news/new-school-at-parkville-providing-education-opportunities-for-young-people</w:t>
        </w:r>
      </w:hyperlink>
      <w:r w:rsidR="00EA2A94">
        <w:rPr>
          <w:rFonts w:eastAsia="Times New Roman"/>
          <w:color w:val="0000FF"/>
          <w:u w:val="single"/>
        </w:rPr>
        <w:t>)</w:t>
      </w:r>
      <w:r w:rsidR="00B91416">
        <w:rPr>
          <w:rFonts w:eastAsia="Times New Roman"/>
          <w:color w:val="0000FF"/>
          <w:u w:val="single"/>
        </w:rPr>
        <w:t xml:space="preserve">. </w:t>
      </w:r>
      <w:proofErr w:type="gramStart"/>
      <w:r w:rsidR="00B91416">
        <w:rPr>
          <w:rFonts w:eastAsia="Times New Roman"/>
          <w:color w:val="0000FF"/>
          <w:u w:val="single"/>
        </w:rPr>
        <w:t>Viewed 3 February 2014.</w:t>
      </w:r>
      <w:proofErr w:type="gramEnd"/>
    </w:p>
    <w:p w:rsidR="00A0246D" w:rsidRDefault="001824AC" w:rsidP="00396A47">
      <w:pPr>
        <w:rPr>
          <w:rFonts w:eastAsia="Times New Roman"/>
          <w:b/>
          <w:i/>
        </w:rPr>
      </w:pPr>
      <w:r w:rsidRPr="00D43BED">
        <w:rPr>
          <w:rFonts w:eastAsia="Times New Roman"/>
          <w:b/>
          <w:i/>
        </w:rPr>
        <w:t>Victims of Crime Website, Victorian Department of Justice</w:t>
      </w:r>
      <w:r>
        <w:rPr>
          <w:rFonts w:eastAsia="Times New Roman"/>
          <w:b/>
          <w:i/>
        </w:rPr>
        <w:t xml:space="preserve"> (VIC)</w:t>
      </w:r>
    </w:p>
    <w:p w:rsidR="001824AC" w:rsidRDefault="001824AC" w:rsidP="00396A47">
      <w:pPr>
        <w:rPr>
          <w:rFonts w:eastAsia="Times New Roman"/>
        </w:rPr>
      </w:pPr>
      <w:r w:rsidRPr="00D43BED">
        <w:rPr>
          <w:rFonts w:eastAsia="Times New Roman"/>
        </w:rPr>
        <w:t>The Victorian Department of Justice provides a website containing easy-English information for people with disability who are victims of crime</w:t>
      </w:r>
      <w:r>
        <w:rPr>
          <w:rFonts w:eastAsia="Times New Roman"/>
        </w:rPr>
        <w:t xml:space="preserve"> (</w:t>
      </w:r>
      <w:hyperlink r:id="rId68" w:history="1">
        <w:r w:rsidRPr="001F54FD">
          <w:rPr>
            <w:rStyle w:val="Hyperlink"/>
          </w:rPr>
          <w:t>http://www.victimsofcrime.vic.gov.au/utility/for+professionals/easy+english+resources/</w:t>
        </w:r>
      </w:hyperlink>
      <w:r>
        <w:t xml:space="preserve">). </w:t>
      </w:r>
      <w:proofErr w:type="gramStart"/>
      <w:r>
        <w:t>Viewed 3 February 2014.</w:t>
      </w:r>
      <w:proofErr w:type="gramEnd"/>
    </w:p>
    <w:p w:rsidR="00A0246D" w:rsidRDefault="001824AC" w:rsidP="00A863F2">
      <w:pPr>
        <w:rPr>
          <w:rFonts w:eastAsia="Times New Roman"/>
          <w:b/>
          <w:i/>
        </w:rPr>
      </w:pPr>
      <w:r w:rsidRPr="004A7B48">
        <w:rPr>
          <w:rFonts w:eastAsia="Times New Roman"/>
          <w:b/>
          <w:i/>
        </w:rPr>
        <w:t>Visual Audio Recorded Evidence (VARE) -</w:t>
      </w:r>
      <w:r>
        <w:rPr>
          <w:rFonts w:eastAsia="Times New Roman"/>
        </w:rPr>
        <w:t xml:space="preserve"> </w:t>
      </w:r>
      <w:r w:rsidRPr="00D43BED">
        <w:rPr>
          <w:rFonts w:eastAsia="Times New Roman"/>
          <w:b/>
          <w:i/>
        </w:rPr>
        <w:t xml:space="preserve">Department of Human Services </w:t>
      </w:r>
      <w:r>
        <w:rPr>
          <w:rFonts w:eastAsia="Times New Roman"/>
          <w:b/>
          <w:i/>
        </w:rPr>
        <w:t>(VIC)</w:t>
      </w:r>
    </w:p>
    <w:p w:rsidR="001824AC" w:rsidRDefault="001824AC" w:rsidP="00A863F2">
      <w:pPr>
        <w:rPr>
          <w:rFonts w:eastAsia="Times New Roman"/>
        </w:rPr>
      </w:pPr>
      <w:r w:rsidRPr="00D43BED">
        <w:rPr>
          <w:rFonts w:eastAsia="Times New Roman"/>
        </w:rPr>
        <w:t>The Visual Audio Recorded Evidence (VARE) a</w:t>
      </w:r>
      <w:proofErr w:type="spellStart"/>
      <w:r w:rsidRPr="00D43BED">
        <w:rPr>
          <w:rFonts w:eastAsia="Times New Roman"/>
          <w:lang w:val="en"/>
        </w:rPr>
        <w:t>dvice</w:t>
      </w:r>
      <w:proofErr w:type="spellEnd"/>
      <w:r w:rsidRPr="00D43BED">
        <w:rPr>
          <w:rFonts w:eastAsia="Times New Roman"/>
          <w:lang w:val="en"/>
        </w:rPr>
        <w:t xml:space="preserve"> outlines the legislative procedures and practice requirements regarding visual and audio recorded evidence</w:t>
      </w:r>
      <w:r>
        <w:rPr>
          <w:rFonts w:eastAsia="Times New Roman"/>
          <w:lang w:val="en"/>
        </w:rPr>
        <w:t xml:space="preserve">. </w:t>
      </w:r>
      <w:r w:rsidRPr="00D43BED">
        <w:rPr>
          <w:rFonts w:eastAsia="Times New Roman"/>
          <w:lang w:val="en"/>
        </w:rPr>
        <w:t xml:space="preserve"> </w:t>
      </w:r>
      <w:r w:rsidRPr="008E5AB7">
        <w:rPr>
          <w:rFonts w:eastAsia="Times New Roman"/>
          <w:lang w:val="en"/>
        </w:rPr>
        <w:t xml:space="preserve">This type of evidence can only be given where the person is aged </w:t>
      </w:r>
      <w:proofErr w:type="gramStart"/>
      <w:r w:rsidRPr="008E5AB7">
        <w:rPr>
          <w:rFonts w:eastAsia="Times New Roman"/>
          <w:lang w:val="en"/>
        </w:rPr>
        <w:t>under</w:t>
      </w:r>
      <w:proofErr w:type="gramEnd"/>
      <w:r w:rsidRPr="008E5AB7">
        <w:rPr>
          <w:rFonts w:eastAsia="Times New Roman"/>
          <w:lang w:val="en"/>
        </w:rPr>
        <w:t xml:space="preserve"> 18 years</w:t>
      </w:r>
      <w:r>
        <w:rPr>
          <w:rFonts w:eastAsia="Times New Roman"/>
          <w:lang w:val="en"/>
        </w:rPr>
        <w:t xml:space="preserve"> and has suffered physical or sexual harm</w:t>
      </w:r>
      <w:r w:rsidRPr="008E5AB7">
        <w:rPr>
          <w:rFonts w:eastAsia="Times New Roman"/>
          <w:lang w:val="en"/>
        </w:rPr>
        <w:t xml:space="preserve"> or is a person with a cognitive impairment</w:t>
      </w:r>
      <w:r>
        <w:rPr>
          <w:rFonts w:eastAsia="Times New Roman"/>
          <w:lang w:val="en"/>
        </w:rPr>
        <w:t xml:space="preserve"> (</w:t>
      </w:r>
      <w:hyperlink r:id="rId69" w:history="1">
        <w:r w:rsidRPr="00D43BED">
          <w:rPr>
            <w:rFonts w:eastAsia="Times New Roman"/>
            <w:color w:val="0000FF"/>
            <w:u w:val="single"/>
          </w:rPr>
          <w:t>http://www.dhs.vic.gov.au/cpmanual/investigation-and-assessment/overview-of-investigation-and-assessment-phase/1178-vate-video-audio-taped-evidence</w:t>
        </w:r>
      </w:hyperlink>
      <w:r>
        <w:rPr>
          <w:rFonts w:eastAsia="Times New Roman"/>
        </w:rPr>
        <w:t xml:space="preserve">). </w:t>
      </w:r>
      <w:proofErr w:type="gramStart"/>
      <w:r>
        <w:rPr>
          <w:rFonts w:eastAsia="Times New Roman"/>
        </w:rPr>
        <w:t>Viewed 2 February 2014.</w:t>
      </w:r>
      <w:proofErr w:type="gramEnd"/>
    </w:p>
    <w:p w:rsidR="00A0246D" w:rsidRDefault="001824AC" w:rsidP="00BD047F">
      <w:pPr>
        <w:rPr>
          <w:rFonts w:eastAsia="Times New Roman"/>
          <w:b/>
          <w:i/>
        </w:rPr>
      </w:pPr>
      <w:r w:rsidRPr="00D43BED">
        <w:rPr>
          <w:rFonts w:eastAsia="Times New Roman"/>
          <w:b/>
          <w:i/>
        </w:rPr>
        <w:t>Witness Assistance Service (NT)</w:t>
      </w:r>
    </w:p>
    <w:p w:rsidR="001824AC" w:rsidRPr="00D43BED" w:rsidRDefault="001824AC" w:rsidP="00BD047F">
      <w:pPr>
        <w:rPr>
          <w:rFonts w:eastAsia="Times New Roman"/>
        </w:rPr>
      </w:pPr>
      <w:r w:rsidRPr="00D43BED">
        <w:rPr>
          <w:rFonts w:eastAsia="Times New Roman"/>
        </w:rPr>
        <w:t xml:space="preserve">This service provides support, court preparation assistance, information about the criminal justice system, provision of interpreters, referrals to </w:t>
      </w:r>
      <w:r>
        <w:rPr>
          <w:rFonts w:eastAsia="Times New Roman"/>
        </w:rPr>
        <w:t xml:space="preserve">counselling, </w:t>
      </w:r>
      <w:r w:rsidRPr="00D43BED">
        <w:rPr>
          <w:rFonts w:eastAsia="Times New Roman"/>
        </w:rPr>
        <w:t>legal assistance and assistance with preparing Victim Impact Statements</w:t>
      </w:r>
      <w:r>
        <w:rPr>
          <w:rFonts w:eastAsia="Times New Roman"/>
        </w:rPr>
        <w:t xml:space="preserve"> (</w:t>
      </w:r>
      <w:hyperlink r:id="rId70" w:history="1">
        <w:r w:rsidRPr="00D43BED">
          <w:rPr>
            <w:rFonts w:eastAsia="Times New Roman"/>
            <w:color w:val="0000FF"/>
            <w:u w:val="single"/>
          </w:rPr>
          <w:t>http://www.nt.gov.au/justice/dpp/html/victim/index.html</w:t>
        </w:r>
      </w:hyperlink>
      <w:r>
        <w:rPr>
          <w:rFonts w:eastAsia="Times New Roman"/>
        </w:rPr>
        <w:t xml:space="preserve">). </w:t>
      </w:r>
      <w:proofErr w:type="gramStart"/>
      <w:r>
        <w:rPr>
          <w:rFonts w:eastAsia="Times New Roman"/>
        </w:rPr>
        <w:t>Viewed 3 February 2014.</w:t>
      </w:r>
      <w:proofErr w:type="gramEnd"/>
    </w:p>
    <w:p w:rsidR="00A0246D" w:rsidRDefault="001824AC" w:rsidP="00E9755E">
      <w:pPr>
        <w:rPr>
          <w:rFonts w:eastAsia="Times New Roman"/>
          <w:b/>
          <w:i/>
        </w:rPr>
      </w:pPr>
      <w:bookmarkStart w:id="73" w:name="_Toc362362590"/>
      <w:r w:rsidRPr="00D43BED">
        <w:rPr>
          <w:rFonts w:eastAsia="Times New Roman"/>
          <w:b/>
          <w:i/>
        </w:rPr>
        <w:t>Work</w:t>
      </w:r>
      <w:r>
        <w:rPr>
          <w:rFonts w:eastAsia="Times New Roman"/>
          <w:b/>
          <w:i/>
        </w:rPr>
        <w:t xml:space="preserve"> and Development Order - Office of State Revenue (NSW)</w:t>
      </w:r>
    </w:p>
    <w:p w:rsidR="001824AC" w:rsidRPr="00D43BED" w:rsidRDefault="001824AC" w:rsidP="00E9755E">
      <w:pPr>
        <w:rPr>
          <w:rFonts w:eastAsia="Times New Roman"/>
        </w:rPr>
      </w:pPr>
      <w:r w:rsidRPr="00D43BED">
        <w:rPr>
          <w:rFonts w:eastAsia="Times New Roman"/>
        </w:rPr>
        <w:t>People with a psychiatric or intellectual disability that are homeless can pay their fines through unpaid work with an approved organization as an alternative to jail</w:t>
      </w:r>
      <w:r>
        <w:rPr>
          <w:rFonts w:eastAsia="Times New Roman"/>
        </w:rPr>
        <w:t xml:space="preserve"> (</w:t>
      </w:r>
      <w:hyperlink r:id="rId71" w:history="1">
        <w:r w:rsidRPr="00D43BED">
          <w:rPr>
            <w:rFonts w:eastAsia="Times New Roman"/>
            <w:color w:val="0000FF"/>
            <w:u w:val="single"/>
          </w:rPr>
          <w:t>http://www.sdro.nsw.gov.au/fines/eo/wdo.php</w:t>
        </w:r>
      </w:hyperlink>
      <w:r>
        <w:rPr>
          <w:rFonts w:eastAsia="Times New Roman"/>
        </w:rPr>
        <w:t xml:space="preserve">). </w:t>
      </w:r>
      <w:proofErr w:type="gramStart"/>
      <w:r>
        <w:rPr>
          <w:rFonts w:eastAsia="Times New Roman"/>
        </w:rPr>
        <w:t>Viewed 3 February 2014.</w:t>
      </w:r>
      <w:proofErr w:type="gramEnd"/>
    </w:p>
    <w:bookmarkEnd w:id="73"/>
    <w:p w:rsidR="00A0246D" w:rsidRDefault="001824AC" w:rsidP="00157918">
      <w:pPr>
        <w:rPr>
          <w:rFonts w:eastAsia="Times New Roman"/>
          <w:b/>
          <w:i/>
        </w:rPr>
      </w:pPr>
      <w:r w:rsidRPr="003D74CA">
        <w:rPr>
          <w:rFonts w:eastAsia="Times New Roman"/>
          <w:b/>
          <w:i/>
        </w:rPr>
        <w:t>Youth Justice Conferencing</w:t>
      </w:r>
      <w:r>
        <w:rPr>
          <w:rFonts w:eastAsia="Times New Roman"/>
          <w:b/>
          <w:i/>
        </w:rPr>
        <w:t xml:space="preserve"> (NSW)</w:t>
      </w:r>
    </w:p>
    <w:p w:rsidR="001824AC" w:rsidRPr="00D43BED" w:rsidRDefault="001824AC" w:rsidP="00157918">
      <w:pPr>
        <w:rPr>
          <w:rFonts w:eastAsia="Times New Roman"/>
        </w:rPr>
      </w:pPr>
      <w:r w:rsidRPr="003D74CA">
        <w:rPr>
          <w:rFonts w:eastAsia="Times New Roman"/>
        </w:rPr>
        <w:t>Juvenile Justice administers youth justice conferences under Part 5 of the Young Offenders Act 1997. Police and courts refer young people for youth justice conferences when they have committed eligible offences that are too serious for warnings or cautions, or they have exceeded the maximum numbe</w:t>
      </w:r>
      <w:r>
        <w:rPr>
          <w:rFonts w:eastAsia="Times New Roman"/>
        </w:rPr>
        <w:t>r of cautions available to them (</w:t>
      </w:r>
      <w:hyperlink r:id="rId72" w:history="1">
        <w:r w:rsidRPr="00D43BED">
          <w:rPr>
            <w:rFonts w:eastAsia="Times New Roman"/>
            <w:color w:val="0000FF"/>
            <w:u w:val="single"/>
          </w:rPr>
          <w:t>http://www.djj.nsw.gov.au/conferencing.htm</w:t>
        </w:r>
      </w:hyperlink>
      <w:r>
        <w:rPr>
          <w:rFonts w:eastAsia="Times New Roman"/>
        </w:rPr>
        <w:t xml:space="preserve">). </w:t>
      </w:r>
      <w:proofErr w:type="gramStart"/>
      <w:r>
        <w:rPr>
          <w:rFonts w:eastAsia="Times New Roman"/>
        </w:rPr>
        <w:t>Viewed 3 February 2014.</w:t>
      </w:r>
      <w:proofErr w:type="gramEnd"/>
    </w:p>
    <w:p w:rsidR="00A0246D" w:rsidRDefault="001824AC" w:rsidP="00D43BED">
      <w:pPr>
        <w:rPr>
          <w:rFonts w:eastAsia="Times New Roman"/>
          <w:b/>
          <w:i/>
        </w:rPr>
      </w:pPr>
      <w:r w:rsidRPr="00D43BED">
        <w:rPr>
          <w:rFonts w:eastAsia="Times New Roman"/>
          <w:b/>
          <w:i/>
        </w:rPr>
        <w:t>Young People with Exceptionally Complex Needs (YPECN) Program (WA)</w:t>
      </w:r>
    </w:p>
    <w:p w:rsidR="001824AC" w:rsidRDefault="001824AC" w:rsidP="00D43BED">
      <w:pPr>
        <w:rPr>
          <w:rFonts w:eastAsia="Times New Roman"/>
        </w:rPr>
      </w:pPr>
      <w:r>
        <w:rPr>
          <w:rFonts w:eastAsia="Times New Roman"/>
        </w:rPr>
        <w:t xml:space="preserve">The </w:t>
      </w:r>
      <w:r w:rsidRPr="00D43BED">
        <w:rPr>
          <w:rFonts w:eastAsia="Times New Roman"/>
        </w:rPr>
        <w:t>project coordinates service delivery between government and non-government agencies for young people with complex and multiple disabilities</w:t>
      </w:r>
      <w:r>
        <w:rPr>
          <w:rFonts w:eastAsia="Times New Roman"/>
        </w:rPr>
        <w:t xml:space="preserve"> </w:t>
      </w:r>
      <w:r>
        <w:rPr>
          <w:rFonts w:eastAsia="Times New Roman"/>
        </w:rPr>
        <w:lastRenderedPageBreak/>
        <w:t>(</w:t>
      </w:r>
      <w:hyperlink r:id="rId73" w:history="1">
        <w:r w:rsidRPr="00D43BED">
          <w:rPr>
            <w:rFonts w:eastAsia="Times New Roman"/>
            <w:color w:val="0000FF"/>
            <w:u w:val="single"/>
          </w:rPr>
          <w:t>http://www.dcp.wa.gov.au/Organisation/Documents/YPECN%20DCP.pdf</w:t>
        </w:r>
      </w:hyperlink>
      <w:r>
        <w:rPr>
          <w:rFonts w:eastAsia="Times New Roman"/>
        </w:rPr>
        <w:t xml:space="preserve">). </w:t>
      </w:r>
      <w:proofErr w:type="gramStart"/>
      <w:r>
        <w:rPr>
          <w:rFonts w:eastAsia="Times New Roman"/>
        </w:rPr>
        <w:t>Viewed 3 February 2014.</w:t>
      </w:r>
      <w:proofErr w:type="gramEnd"/>
    </w:p>
    <w:p w:rsidR="00A0246D" w:rsidRDefault="001824AC" w:rsidP="00D87E10">
      <w:pPr>
        <w:rPr>
          <w:rFonts w:eastAsia="Times New Roman"/>
          <w:b/>
          <w:i/>
        </w:rPr>
      </w:pPr>
      <w:r w:rsidRPr="00D87E10">
        <w:rPr>
          <w:rFonts w:eastAsia="Times New Roman"/>
          <w:b/>
          <w:i/>
        </w:rPr>
        <w:t xml:space="preserve">Youth on track </w:t>
      </w:r>
      <w:r>
        <w:rPr>
          <w:rFonts w:eastAsia="Times New Roman"/>
          <w:b/>
          <w:i/>
        </w:rPr>
        <w:t>(NSW)</w:t>
      </w:r>
    </w:p>
    <w:p w:rsidR="001824AC" w:rsidRDefault="001824AC" w:rsidP="00D87E10">
      <w:pPr>
        <w:rPr>
          <w:rFonts w:eastAsia="Times New Roman"/>
        </w:rPr>
      </w:pPr>
      <w:r w:rsidRPr="00D87E10">
        <w:rPr>
          <w:rFonts w:eastAsia="Times New Roman"/>
          <w:bCs/>
        </w:rPr>
        <w:t xml:space="preserve">Youth on Track, an early intervention program with </w:t>
      </w:r>
      <w:proofErr w:type="gramStart"/>
      <w:r w:rsidRPr="00D87E10">
        <w:rPr>
          <w:rFonts w:eastAsia="Times New Roman"/>
          <w:bCs/>
        </w:rPr>
        <w:t>an</w:t>
      </w:r>
      <w:proofErr w:type="gramEnd"/>
      <w:r w:rsidRPr="00D87E10">
        <w:rPr>
          <w:rFonts w:eastAsia="Times New Roman"/>
          <w:bCs/>
        </w:rPr>
        <w:t xml:space="preserve"> holistic approach identifies and responds</w:t>
      </w:r>
      <w:r w:rsidRPr="00D43BED">
        <w:rPr>
          <w:rFonts w:eastAsia="Times New Roman"/>
          <w:b/>
          <w:bCs/>
        </w:rPr>
        <w:t xml:space="preserve"> </w:t>
      </w:r>
      <w:r w:rsidRPr="00D43BED">
        <w:rPr>
          <w:rFonts w:eastAsia="Times New Roman"/>
        </w:rPr>
        <w:t>young people at risk of criminal offence or who may already be in</w:t>
      </w:r>
      <w:r>
        <w:rPr>
          <w:rFonts w:eastAsia="Times New Roman"/>
        </w:rPr>
        <w:t xml:space="preserve"> the criminal justice system </w:t>
      </w:r>
      <w:r w:rsidRPr="00D43BED">
        <w:rPr>
          <w:rFonts w:eastAsia="Times New Roman"/>
        </w:rPr>
        <w:t>(</w:t>
      </w:r>
      <w:hyperlink r:id="rId74" w:history="1">
        <w:r w:rsidRPr="00D43BED">
          <w:rPr>
            <w:rFonts w:eastAsia="Times New Roman"/>
            <w:color w:val="0000FF"/>
            <w:u w:val="single"/>
          </w:rPr>
          <w:t>http://www.youthontrack.lawlink.nsw.gov.au/yot/index.html</w:t>
        </w:r>
      </w:hyperlink>
      <w:r w:rsidRPr="00D43BED">
        <w:rPr>
          <w:rFonts w:eastAsia="Times New Roman"/>
          <w:u w:val="single"/>
        </w:rPr>
        <w:t>).</w:t>
      </w:r>
      <w:r w:rsidRPr="00D43BED">
        <w:rPr>
          <w:rFonts w:eastAsia="Times New Roman"/>
        </w:rPr>
        <w:t xml:space="preserve"> </w:t>
      </w:r>
      <w:proofErr w:type="gramStart"/>
      <w:r>
        <w:rPr>
          <w:rFonts w:eastAsia="Times New Roman"/>
        </w:rPr>
        <w:t>Viewed 3 February 2014.</w:t>
      </w:r>
      <w:proofErr w:type="gramEnd"/>
    </w:p>
    <w:p w:rsidR="009B2587" w:rsidRDefault="009B2587" w:rsidP="009B2587"/>
    <w:p w:rsidR="009B2587" w:rsidRDefault="009B2587" w:rsidP="009B2587"/>
    <w:p w:rsidR="009B2587" w:rsidRDefault="009B2587" w:rsidP="009B2587">
      <w:pPr>
        <w:sectPr w:rsidR="009B2587" w:rsidSect="002D53FE">
          <w:endnotePr>
            <w:numFmt w:val="decimal"/>
          </w:endnotePr>
          <w:pgSz w:w="11906" w:h="16838" w:code="9"/>
          <w:pgMar w:top="1134" w:right="1418" w:bottom="1134" w:left="1418" w:header="709" w:footer="709" w:gutter="0"/>
          <w:cols w:space="708"/>
          <w:docGrid w:linePitch="360"/>
        </w:sectPr>
      </w:pPr>
    </w:p>
    <w:p w:rsidR="00C161F8" w:rsidRPr="00C161F8" w:rsidRDefault="009B2587" w:rsidP="00C161F8">
      <w:pPr>
        <w:pStyle w:val="Heading1"/>
        <w:numPr>
          <w:ilvl w:val="0"/>
          <w:numId w:val="0"/>
        </w:numPr>
        <w:ind w:left="851" w:hanging="851"/>
        <w:rPr>
          <w:rFonts w:eastAsia="Calibri" w:cs="Arial"/>
          <w:szCs w:val="22"/>
          <w:lang w:eastAsia="en-US"/>
        </w:rPr>
      </w:pPr>
      <w:bookmarkStart w:id="74" w:name="_Toc379195383"/>
      <w:r w:rsidRPr="009B2587">
        <w:rPr>
          <w:sz w:val="36"/>
          <w:szCs w:val="36"/>
        </w:rPr>
        <w:lastRenderedPageBreak/>
        <w:t>Appendix B</w:t>
      </w:r>
      <w:r w:rsidR="00C161F8">
        <w:rPr>
          <w:sz w:val="36"/>
          <w:szCs w:val="36"/>
        </w:rPr>
        <w:t xml:space="preserve"> – Australia’s international human rights context</w:t>
      </w:r>
      <w:bookmarkEnd w:id="74"/>
    </w:p>
    <w:p w:rsidR="00C161F8" w:rsidRPr="00C161F8" w:rsidRDefault="00C161F8" w:rsidP="00C161F8">
      <w:pPr>
        <w:spacing w:before="0" w:after="0" w:line="256" w:lineRule="auto"/>
        <w:rPr>
          <w:rFonts w:eastAsia="Calibri" w:cs="Arial"/>
          <w:shd w:val="clear" w:color="auto" w:fill="FFFFFF"/>
          <w:lang w:eastAsia="en-US"/>
        </w:rPr>
      </w:pPr>
      <w:r w:rsidRPr="00C161F8">
        <w:rPr>
          <w:rFonts w:eastAsia="Calibri" w:cs="Arial"/>
          <w:shd w:val="clear" w:color="auto" w:fill="FFFFFF"/>
          <w:lang w:eastAsia="en-US"/>
        </w:rPr>
        <w:t>Australia has agreed to be bound by and comply in good faith with international human rights law. It has done this by ratifying international human rights treaties</w:t>
      </w:r>
    </w:p>
    <w:p w:rsidR="00C161F8" w:rsidRPr="00C161F8" w:rsidRDefault="00C161F8" w:rsidP="00C161F8">
      <w:pPr>
        <w:spacing w:before="0" w:after="0" w:line="256" w:lineRule="auto"/>
        <w:rPr>
          <w:rFonts w:eastAsia="Calibri" w:cs="Arial"/>
          <w:shd w:val="clear" w:color="auto" w:fill="FFFFFF"/>
          <w:lang w:eastAsia="en-US"/>
        </w:rPr>
      </w:pPr>
    </w:p>
    <w:p w:rsidR="00C161F8" w:rsidRPr="00C161F8" w:rsidRDefault="00C161F8" w:rsidP="00C161F8">
      <w:pPr>
        <w:numPr>
          <w:ilvl w:val="0"/>
          <w:numId w:val="49"/>
        </w:numPr>
        <w:spacing w:before="0" w:after="0" w:line="256" w:lineRule="auto"/>
        <w:rPr>
          <w:rFonts w:eastAsia="Times New Roman" w:cs="Arial"/>
          <w:shd w:val="clear" w:color="auto" w:fill="FFFFFF"/>
          <w:lang w:val="en-US" w:eastAsia="en-US"/>
        </w:rPr>
      </w:pPr>
      <w:r w:rsidRPr="00C161F8">
        <w:rPr>
          <w:rFonts w:eastAsia="Times New Roman" w:cs="Arial"/>
          <w:shd w:val="clear" w:color="auto" w:fill="FFFFFF"/>
          <w:lang w:val="en-US" w:eastAsia="en-US"/>
        </w:rPr>
        <w:t>International Covenant on Civil and Political Rights (ICCPR).</w:t>
      </w:r>
    </w:p>
    <w:p w:rsidR="00C161F8" w:rsidRPr="00C161F8" w:rsidRDefault="00C161F8" w:rsidP="00C161F8">
      <w:pPr>
        <w:numPr>
          <w:ilvl w:val="0"/>
          <w:numId w:val="49"/>
        </w:numPr>
        <w:spacing w:before="0" w:after="0" w:line="256" w:lineRule="auto"/>
        <w:rPr>
          <w:rFonts w:eastAsia="Times New Roman" w:cs="Arial"/>
          <w:shd w:val="clear" w:color="auto" w:fill="FFFFFF"/>
          <w:lang w:val="en-US" w:eastAsia="en-US"/>
        </w:rPr>
      </w:pPr>
      <w:r w:rsidRPr="00C161F8">
        <w:rPr>
          <w:rFonts w:eastAsia="Times New Roman" w:cs="Arial"/>
          <w:shd w:val="clear" w:color="auto" w:fill="FFFFFF"/>
          <w:lang w:val="en-US" w:eastAsia="en-US"/>
        </w:rPr>
        <w:t>Convention on the Rights of Persons with Disabilities (CRPD)</w:t>
      </w:r>
    </w:p>
    <w:p w:rsidR="00C161F8" w:rsidRPr="00C161F8" w:rsidRDefault="00C161F8" w:rsidP="00C161F8">
      <w:pPr>
        <w:numPr>
          <w:ilvl w:val="0"/>
          <w:numId w:val="49"/>
        </w:numPr>
        <w:spacing w:before="0" w:after="0" w:line="256" w:lineRule="auto"/>
        <w:rPr>
          <w:rFonts w:eastAsia="Times New Roman" w:cs="Arial"/>
          <w:shd w:val="clear" w:color="auto" w:fill="FFFFFF"/>
          <w:lang w:val="en-US" w:eastAsia="en-US"/>
        </w:rPr>
      </w:pPr>
      <w:r w:rsidRPr="00C161F8">
        <w:rPr>
          <w:rFonts w:eastAsia="Times New Roman" w:cs="Arial"/>
          <w:shd w:val="clear" w:color="auto" w:fill="FFFFFF"/>
          <w:lang w:val="en-US" w:eastAsia="en-US"/>
        </w:rPr>
        <w:t xml:space="preserve">Convention on the </w:t>
      </w:r>
      <w:r w:rsidRPr="00C161F8">
        <w:rPr>
          <w:rFonts w:eastAsia="Times New Roman" w:cs="Arial"/>
          <w:bCs/>
          <w:shd w:val="clear" w:color="auto" w:fill="FFFFFF"/>
          <w:lang w:val="en-US" w:eastAsia="en-US"/>
        </w:rPr>
        <w:t>Elimination of Racial Discrimination (CERD)</w:t>
      </w:r>
      <w:r w:rsidRPr="00C161F8">
        <w:rPr>
          <w:rFonts w:eastAsia="Times New Roman" w:cs="Arial"/>
          <w:shd w:val="clear" w:color="auto" w:fill="FFFFFF"/>
          <w:lang w:val="en-US" w:eastAsia="en-US"/>
        </w:rPr>
        <w:t>, Convention on the Rights of the Child (CRC)</w:t>
      </w:r>
    </w:p>
    <w:p w:rsidR="00C161F8" w:rsidRPr="00C161F8" w:rsidRDefault="00C161F8" w:rsidP="00C161F8">
      <w:pPr>
        <w:numPr>
          <w:ilvl w:val="0"/>
          <w:numId w:val="49"/>
        </w:numPr>
        <w:spacing w:before="0" w:after="0" w:line="256" w:lineRule="auto"/>
        <w:rPr>
          <w:rFonts w:eastAsia="Times New Roman" w:cs="Arial"/>
          <w:shd w:val="clear" w:color="auto" w:fill="FFFFFF"/>
          <w:lang w:val="en-US" w:eastAsia="en-US"/>
        </w:rPr>
      </w:pPr>
      <w:r w:rsidRPr="00C161F8">
        <w:rPr>
          <w:rFonts w:eastAsia="Times New Roman" w:cs="Arial"/>
          <w:shd w:val="clear" w:color="auto" w:fill="FFFFFF"/>
          <w:lang w:val="en-US" w:eastAsia="en-US"/>
        </w:rPr>
        <w:t>Convention on the Elimination of All Forms of Discrimination against Women (CEDAW)</w:t>
      </w:r>
    </w:p>
    <w:p w:rsidR="00C161F8" w:rsidRPr="00C161F8" w:rsidRDefault="00C161F8" w:rsidP="00C161F8">
      <w:pPr>
        <w:numPr>
          <w:ilvl w:val="0"/>
          <w:numId w:val="49"/>
        </w:numPr>
        <w:spacing w:before="0" w:after="0" w:line="256" w:lineRule="auto"/>
        <w:rPr>
          <w:rFonts w:eastAsia="Times New Roman" w:cs="Arial"/>
          <w:shd w:val="clear" w:color="auto" w:fill="FFFFFF"/>
          <w:lang w:val="en-US" w:eastAsia="en-US"/>
        </w:rPr>
      </w:pPr>
      <w:r w:rsidRPr="00C161F8">
        <w:rPr>
          <w:rFonts w:eastAsia="Times New Roman" w:cs="Arial"/>
          <w:bCs/>
          <w:shd w:val="clear" w:color="auto" w:fill="FFFFFF"/>
          <w:lang w:val="en-US" w:eastAsia="en-US"/>
        </w:rPr>
        <w:t>International Covenant on Economic, Social and Cultural Rights</w:t>
      </w:r>
      <w:r w:rsidRPr="00C161F8">
        <w:rPr>
          <w:rFonts w:eastAsia="Times New Roman" w:cs="Arial"/>
          <w:shd w:val="clear" w:color="auto" w:fill="FFFFFF"/>
          <w:lang w:val="en-US" w:eastAsia="en-US"/>
        </w:rPr>
        <w:t xml:space="preserve"> (ICESCR),</w:t>
      </w:r>
    </w:p>
    <w:p w:rsidR="00C161F8" w:rsidRPr="00C161F8" w:rsidRDefault="00C161F8" w:rsidP="00C161F8">
      <w:pPr>
        <w:numPr>
          <w:ilvl w:val="0"/>
          <w:numId w:val="49"/>
        </w:numPr>
        <w:spacing w:before="0" w:after="0" w:line="256" w:lineRule="auto"/>
        <w:rPr>
          <w:rFonts w:eastAsia="Times New Roman" w:cs="Arial"/>
          <w:shd w:val="clear" w:color="auto" w:fill="FFFFFF"/>
          <w:lang w:val="en-US" w:eastAsia="en-US"/>
        </w:rPr>
      </w:pPr>
      <w:r w:rsidRPr="00C161F8">
        <w:rPr>
          <w:rFonts w:eastAsia="Times New Roman" w:cs="Arial"/>
          <w:shd w:val="clear" w:color="auto" w:fill="FFFFFF"/>
          <w:lang w:val="en-US" w:eastAsia="en-US"/>
        </w:rPr>
        <w:t>Convention against Torture and Other Cruel, Inhuman or Degrading Treatment or Punishment (CAT)</w:t>
      </w:r>
    </w:p>
    <w:p w:rsidR="00C161F8" w:rsidRPr="00C161F8" w:rsidRDefault="00C161F8" w:rsidP="00C161F8">
      <w:pPr>
        <w:spacing w:before="0" w:after="0" w:line="256" w:lineRule="auto"/>
        <w:rPr>
          <w:rFonts w:eastAsia="Calibri" w:cs="Arial"/>
          <w:shd w:val="clear" w:color="auto" w:fill="FFFFFF"/>
          <w:lang w:eastAsia="en-US"/>
        </w:rPr>
      </w:pPr>
    </w:p>
    <w:p w:rsidR="00C161F8" w:rsidRPr="00C161F8" w:rsidRDefault="00C161F8" w:rsidP="00C161F8">
      <w:pPr>
        <w:spacing w:before="0" w:after="0" w:line="256" w:lineRule="auto"/>
        <w:rPr>
          <w:rFonts w:eastAsia="Calibri" w:cs="Arial"/>
          <w:shd w:val="clear" w:color="auto" w:fill="FFFFFF"/>
          <w:lang w:eastAsia="en-US"/>
        </w:rPr>
      </w:pPr>
      <w:r w:rsidRPr="00C161F8">
        <w:rPr>
          <w:rFonts w:eastAsia="Calibri" w:cs="Arial"/>
          <w:shd w:val="clear" w:color="auto" w:fill="FFFFFF"/>
          <w:lang w:eastAsia="en-US"/>
        </w:rPr>
        <w:t xml:space="preserve">Australia also formally supports the Declaration on the Rights of Indigenous Persons (the Declaration). Throughout this report, the treaties and the Declaration are referenced to indicate that the recommended strategies and actions conform to what Australia has agreed to do. More detailed explanations of the human rights treaty system can be found at </w:t>
      </w:r>
      <w:hyperlink r:id="rId75" w:history="1">
        <w:r w:rsidRPr="00C161F8">
          <w:rPr>
            <w:rFonts w:eastAsia="Calibri" w:cs="Arial"/>
            <w:color w:val="0000FF" w:themeColor="hyperlink"/>
            <w:u w:val="single"/>
            <w:shd w:val="clear" w:color="auto" w:fill="FFFFFF"/>
            <w:lang w:eastAsia="en-US"/>
          </w:rPr>
          <w:t>http://www.humanrights.gov.au/education/human-rights-explained-index</w:t>
        </w:r>
      </w:hyperlink>
      <w:r w:rsidRPr="00C161F8">
        <w:rPr>
          <w:rFonts w:eastAsia="Calibri" w:cs="Arial"/>
          <w:shd w:val="clear" w:color="auto" w:fill="FFFFFF"/>
          <w:lang w:eastAsia="en-US"/>
        </w:rPr>
        <w:t xml:space="preserve"> </w:t>
      </w:r>
    </w:p>
    <w:p w:rsidR="00C161F8" w:rsidRPr="00C161F8" w:rsidRDefault="00C161F8" w:rsidP="00C161F8">
      <w:pPr>
        <w:spacing w:before="0" w:after="0" w:line="256" w:lineRule="auto"/>
        <w:rPr>
          <w:rFonts w:eastAsia="Calibri" w:cs="Arial"/>
          <w:lang w:eastAsia="en-US"/>
        </w:rPr>
      </w:pPr>
    </w:p>
    <w:p w:rsidR="00C161F8" w:rsidRPr="00C161F8" w:rsidRDefault="00C161F8" w:rsidP="00C161F8">
      <w:pPr>
        <w:spacing w:before="0" w:after="0" w:line="256" w:lineRule="auto"/>
        <w:rPr>
          <w:rFonts w:eastAsia="Calibri" w:cs="Arial"/>
          <w:color w:val="000000"/>
          <w:shd w:val="clear" w:color="auto" w:fill="FFFFFF"/>
          <w:lang w:eastAsia="en-US"/>
        </w:rPr>
      </w:pPr>
      <w:r w:rsidRPr="00C161F8">
        <w:rPr>
          <w:rFonts w:eastAsia="Calibri" w:cs="Arial"/>
          <w:lang w:eastAsia="en-US"/>
        </w:rPr>
        <w:t xml:space="preserve">The CRPD is </w:t>
      </w:r>
      <w:r w:rsidRPr="00C161F8">
        <w:rPr>
          <w:rFonts w:eastAsia="Calibri" w:cs="Arial"/>
          <w:shd w:val="clear" w:color="auto" w:fill="FFFFFF"/>
          <w:lang w:eastAsia="en-US"/>
        </w:rPr>
        <w:t xml:space="preserve">a primary instrument for </w:t>
      </w:r>
      <w:r w:rsidRPr="00C161F8">
        <w:rPr>
          <w:rFonts w:eastAsia="Calibri" w:cs="Arial"/>
          <w:i/>
          <w:shd w:val="clear" w:color="auto" w:fill="FFFFFF"/>
          <w:lang w:eastAsia="en-US"/>
        </w:rPr>
        <w:t>Equal before the law</w:t>
      </w:r>
      <w:r w:rsidRPr="00C161F8">
        <w:rPr>
          <w:rFonts w:eastAsia="Calibri" w:cs="Arial"/>
          <w:shd w:val="clear" w:color="auto" w:fill="FFFFFF"/>
          <w:lang w:eastAsia="en-US"/>
        </w:rPr>
        <w:t xml:space="preserve"> as it focusses on rights of persons with disability. </w:t>
      </w:r>
      <w:r w:rsidRPr="00C161F8">
        <w:rPr>
          <w:rFonts w:eastAsia="Calibri" w:cs="Arial"/>
          <w:color w:val="000000"/>
          <w:lang w:eastAsia="en-US"/>
        </w:rPr>
        <w:t xml:space="preserve">Article 4(5) of the CRPD states “The provisions of the present Convention shall extend to all parts of federal states without any limitations and exceptions.” </w:t>
      </w:r>
      <w:r w:rsidRPr="00C161F8">
        <w:rPr>
          <w:rFonts w:eastAsia="Calibri" w:cs="Arial"/>
          <w:color w:val="000000"/>
          <w:shd w:val="clear" w:color="auto" w:fill="FFFFFF"/>
          <w:lang w:eastAsia="en-US"/>
        </w:rPr>
        <w:t xml:space="preserve">This is significant because the administration of justice is shared by the Australian government and the governments of all states and territories. The full text of CRPD is at </w:t>
      </w:r>
      <w:hyperlink r:id="rId76" w:history="1">
        <w:r w:rsidRPr="00C161F8">
          <w:rPr>
            <w:rFonts w:eastAsia="Calibri" w:cs="Arial"/>
            <w:color w:val="0000FF" w:themeColor="hyperlink"/>
            <w:u w:val="single"/>
            <w:shd w:val="clear" w:color="auto" w:fill="FFFFFF"/>
            <w:lang w:eastAsia="en-US"/>
          </w:rPr>
          <w:t>http://www.un.org/disabilities/convention/conventionfull.shtml</w:t>
        </w:r>
      </w:hyperlink>
      <w:r w:rsidRPr="00C161F8">
        <w:rPr>
          <w:rFonts w:eastAsia="Calibri" w:cs="Arial"/>
          <w:color w:val="000000"/>
          <w:shd w:val="clear" w:color="auto" w:fill="FFFFFF"/>
          <w:lang w:eastAsia="en-US"/>
        </w:rPr>
        <w:t xml:space="preserve"> </w:t>
      </w:r>
    </w:p>
    <w:p w:rsidR="00C161F8" w:rsidRPr="00C161F8" w:rsidRDefault="00C161F8" w:rsidP="00C161F8">
      <w:pPr>
        <w:spacing w:before="0" w:after="0" w:line="256" w:lineRule="auto"/>
        <w:rPr>
          <w:rFonts w:eastAsia="Calibri" w:cs="Arial"/>
          <w:shd w:val="clear" w:color="auto" w:fill="FFFFFF"/>
          <w:lang w:eastAsia="en-US"/>
        </w:rPr>
      </w:pPr>
    </w:p>
    <w:p w:rsidR="00C161F8" w:rsidRPr="00C161F8" w:rsidRDefault="00C161F8" w:rsidP="00C161F8">
      <w:pPr>
        <w:shd w:val="clear" w:color="auto" w:fill="FFFFFF"/>
        <w:spacing w:before="0" w:after="0"/>
        <w:rPr>
          <w:rFonts w:cs="Arial"/>
          <w:color w:val="000000"/>
        </w:rPr>
      </w:pPr>
      <w:r w:rsidRPr="00C161F8">
        <w:rPr>
          <w:rFonts w:cs="Arial"/>
          <w:color w:val="000000"/>
        </w:rPr>
        <w:t>The key human rights principles in CRPD have guided the report.</w:t>
      </w:r>
    </w:p>
    <w:p w:rsidR="00C161F8" w:rsidRPr="00C161F8" w:rsidRDefault="00C161F8" w:rsidP="00C161F8">
      <w:pPr>
        <w:shd w:val="clear" w:color="auto" w:fill="FFFFFF"/>
        <w:spacing w:before="0" w:after="0"/>
        <w:rPr>
          <w:rFonts w:cs="Arial"/>
          <w:color w:val="000000"/>
        </w:rPr>
      </w:pPr>
    </w:p>
    <w:p w:rsidR="00C161F8" w:rsidRPr="00C161F8" w:rsidRDefault="00C161F8" w:rsidP="00C161F8">
      <w:pPr>
        <w:shd w:val="clear" w:color="auto" w:fill="FFFFFF"/>
        <w:spacing w:before="0" w:after="0"/>
        <w:ind w:left="720"/>
        <w:rPr>
          <w:rFonts w:cs="Arial"/>
          <w:b/>
          <w:bCs/>
          <w:color w:val="000000"/>
        </w:rPr>
      </w:pPr>
      <w:r w:rsidRPr="00C161F8">
        <w:rPr>
          <w:rFonts w:cs="Arial"/>
          <w:b/>
          <w:bCs/>
          <w:color w:val="000000"/>
        </w:rPr>
        <w:t>Article 3 - General principles</w:t>
      </w:r>
    </w:p>
    <w:p w:rsidR="00C161F8" w:rsidRPr="00C161F8" w:rsidRDefault="00C161F8" w:rsidP="00C161F8">
      <w:pPr>
        <w:shd w:val="clear" w:color="auto" w:fill="FFFFFF"/>
        <w:spacing w:before="0" w:after="0"/>
        <w:ind w:left="720"/>
        <w:rPr>
          <w:rFonts w:cs="Arial"/>
          <w:b/>
          <w:bCs/>
          <w:color w:val="000000"/>
        </w:rPr>
      </w:pPr>
    </w:p>
    <w:p w:rsidR="00C161F8" w:rsidRPr="00C161F8" w:rsidRDefault="00C161F8" w:rsidP="00C161F8">
      <w:pPr>
        <w:shd w:val="clear" w:color="auto" w:fill="FFFFFF"/>
        <w:spacing w:before="0" w:after="0"/>
        <w:ind w:left="720"/>
        <w:rPr>
          <w:rFonts w:cs="Arial"/>
          <w:color w:val="000000"/>
        </w:rPr>
      </w:pPr>
      <w:r w:rsidRPr="00C161F8">
        <w:rPr>
          <w:rFonts w:cs="Arial"/>
          <w:color w:val="000000"/>
        </w:rPr>
        <w:t>The principles of the present Convention shall be:</w:t>
      </w:r>
    </w:p>
    <w:p w:rsidR="00C161F8" w:rsidRPr="00C161F8" w:rsidRDefault="00C161F8" w:rsidP="00C161F8">
      <w:pPr>
        <w:shd w:val="clear" w:color="auto" w:fill="FFFFFF"/>
        <w:spacing w:before="0" w:after="0"/>
        <w:ind w:left="720"/>
        <w:rPr>
          <w:rFonts w:cs="Arial"/>
          <w:color w:val="000000"/>
        </w:rPr>
      </w:pPr>
    </w:p>
    <w:p w:rsidR="00C161F8" w:rsidRPr="00C161F8" w:rsidRDefault="00C161F8" w:rsidP="00C161F8">
      <w:pPr>
        <w:numPr>
          <w:ilvl w:val="0"/>
          <w:numId w:val="46"/>
        </w:numPr>
        <w:shd w:val="clear" w:color="auto" w:fill="FFFFFF"/>
        <w:tabs>
          <w:tab w:val="num" w:pos="1440"/>
        </w:tabs>
        <w:spacing w:before="0" w:after="0" w:line="256" w:lineRule="auto"/>
        <w:ind w:left="1440"/>
        <w:rPr>
          <w:rFonts w:cs="Arial"/>
          <w:color w:val="000000"/>
        </w:rPr>
      </w:pPr>
      <w:r w:rsidRPr="00C161F8">
        <w:rPr>
          <w:rFonts w:cs="Arial"/>
          <w:color w:val="000000"/>
        </w:rPr>
        <w:t>Respect for inherent dignity, individual autonomy including the freedom to make one’s own choices, and independence of persons;</w:t>
      </w:r>
    </w:p>
    <w:p w:rsidR="00C161F8" w:rsidRPr="00C161F8" w:rsidRDefault="00C161F8" w:rsidP="00C161F8">
      <w:pPr>
        <w:numPr>
          <w:ilvl w:val="0"/>
          <w:numId w:val="46"/>
        </w:numPr>
        <w:shd w:val="clear" w:color="auto" w:fill="FFFFFF"/>
        <w:tabs>
          <w:tab w:val="num" w:pos="1440"/>
        </w:tabs>
        <w:spacing w:before="0" w:after="0" w:line="256" w:lineRule="auto"/>
        <w:ind w:left="1440"/>
        <w:rPr>
          <w:rFonts w:cs="Arial"/>
          <w:color w:val="000000"/>
        </w:rPr>
      </w:pPr>
      <w:r w:rsidRPr="00C161F8">
        <w:rPr>
          <w:rFonts w:cs="Arial"/>
          <w:color w:val="000000"/>
        </w:rPr>
        <w:t>Non-discrimination;</w:t>
      </w:r>
    </w:p>
    <w:p w:rsidR="00C161F8" w:rsidRPr="00C161F8" w:rsidRDefault="00C161F8" w:rsidP="00C161F8">
      <w:pPr>
        <w:numPr>
          <w:ilvl w:val="0"/>
          <w:numId w:val="46"/>
        </w:numPr>
        <w:shd w:val="clear" w:color="auto" w:fill="FFFFFF"/>
        <w:tabs>
          <w:tab w:val="num" w:pos="1440"/>
        </w:tabs>
        <w:spacing w:before="0" w:after="0" w:line="256" w:lineRule="auto"/>
        <w:ind w:left="1440"/>
        <w:rPr>
          <w:rFonts w:cs="Arial"/>
          <w:color w:val="000000"/>
        </w:rPr>
      </w:pPr>
      <w:r w:rsidRPr="00C161F8">
        <w:rPr>
          <w:rFonts w:cs="Arial"/>
          <w:color w:val="000000"/>
        </w:rPr>
        <w:t>Full and effective participation and inclusion in society;</w:t>
      </w:r>
    </w:p>
    <w:p w:rsidR="00C161F8" w:rsidRPr="00C161F8" w:rsidRDefault="00C161F8" w:rsidP="00C161F8">
      <w:pPr>
        <w:numPr>
          <w:ilvl w:val="0"/>
          <w:numId w:val="46"/>
        </w:numPr>
        <w:shd w:val="clear" w:color="auto" w:fill="FFFFFF"/>
        <w:tabs>
          <w:tab w:val="num" w:pos="1440"/>
        </w:tabs>
        <w:spacing w:before="0" w:after="0" w:line="256" w:lineRule="auto"/>
        <w:ind w:left="1440"/>
        <w:rPr>
          <w:rFonts w:cs="Arial"/>
          <w:color w:val="000000"/>
        </w:rPr>
      </w:pPr>
      <w:r w:rsidRPr="00C161F8">
        <w:rPr>
          <w:rFonts w:cs="Arial"/>
          <w:color w:val="000000"/>
        </w:rPr>
        <w:t>Respect for difference and acceptance of persons with disabilities as part of human diversity and humanity;</w:t>
      </w:r>
    </w:p>
    <w:p w:rsidR="00C161F8" w:rsidRPr="00C161F8" w:rsidRDefault="00C161F8" w:rsidP="00C161F8">
      <w:pPr>
        <w:numPr>
          <w:ilvl w:val="0"/>
          <w:numId w:val="46"/>
        </w:numPr>
        <w:shd w:val="clear" w:color="auto" w:fill="FFFFFF"/>
        <w:tabs>
          <w:tab w:val="num" w:pos="1440"/>
        </w:tabs>
        <w:spacing w:before="0" w:after="0" w:line="256" w:lineRule="auto"/>
        <w:ind w:left="1440"/>
        <w:rPr>
          <w:rFonts w:cs="Arial"/>
          <w:color w:val="000000"/>
        </w:rPr>
      </w:pPr>
      <w:r w:rsidRPr="00C161F8">
        <w:rPr>
          <w:rFonts w:cs="Arial"/>
          <w:color w:val="000000"/>
        </w:rPr>
        <w:t>Equality of opportunity;</w:t>
      </w:r>
    </w:p>
    <w:p w:rsidR="00C161F8" w:rsidRPr="00C161F8" w:rsidRDefault="00C161F8" w:rsidP="00C161F8">
      <w:pPr>
        <w:numPr>
          <w:ilvl w:val="0"/>
          <w:numId w:val="46"/>
        </w:numPr>
        <w:shd w:val="clear" w:color="auto" w:fill="FFFFFF"/>
        <w:tabs>
          <w:tab w:val="num" w:pos="1440"/>
        </w:tabs>
        <w:spacing w:before="0" w:after="0" w:line="256" w:lineRule="auto"/>
        <w:ind w:left="1440"/>
        <w:rPr>
          <w:rFonts w:cs="Arial"/>
          <w:color w:val="000000"/>
        </w:rPr>
      </w:pPr>
      <w:r w:rsidRPr="00C161F8">
        <w:rPr>
          <w:rFonts w:cs="Arial"/>
          <w:color w:val="000000"/>
        </w:rPr>
        <w:t>Accessibility;</w:t>
      </w:r>
    </w:p>
    <w:p w:rsidR="00C161F8" w:rsidRPr="00C161F8" w:rsidRDefault="00C161F8" w:rsidP="00C161F8">
      <w:pPr>
        <w:numPr>
          <w:ilvl w:val="0"/>
          <w:numId w:val="46"/>
        </w:numPr>
        <w:shd w:val="clear" w:color="auto" w:fill="FFFFFF"/>
        <w:tabs>
          <w:tab w:val="num" w:pos="1440"/>
        </w:tabs>
        <w:spacing w:before="0" w:after="0" w:line="256" w:lineRule="auto"/>
        <w:ind w:left="1440"/>
        <w:rPr>
          <w:rFonts w:cs="Arial"/>
          <w:color w:val="000000"/>
        </w:rPr>
      </w:pPr>
      <w:r w:rsidRPr="00C161F8">
        <w:rPr>
          <w:rFonts w:cs="Arial"/>
          <w:color w:val="000000"/>
        </w:rPr>
        <w:t>Equality between men and women;</w:t>
      </w:r>
    </w:p>
    <w:p w:rsidR="00C161F8" w:rsidRPr="00C161F8" w:rsidRDefault="00C161F8" w:rsidP="00C161F8">
      <w:pPr>
        <w:numPr>
          <w:ilvl w:val="0"/>
          <w:numId w:val="46"/>
        </w:numPr>
        <w:shd w:val="clear" w:color="auto" w:fill="FFFFFF"/>
        <w:tabs>
          <w:tab w:val="num" w:pos="1440"/>
        </w:tabs>
        <w:spacing w:before="0" w:after="0" w:line="256" w:lineRule="auto"/>
        <w:ind w:left="1440"/>
        <w:rPr>
          <w:rFonts w:cs="Arial"/>
          <w:color w:val="000000"/>
        </w:rPr>
      </w:pPr>
      <w:r w:rsidRPr="00C161F8">
        <w:rPr>
          <w:rFonts w:cs="Arial"/>
          <w:color w:val="000000"/>
        </w:rPr>
        <w:lastRenderedPageBreak/>
        <w:t>Respect for the evolving capacities of children with disabilities and respect for the right of children with disabilities to preserve their identities.</w:t>
      </w:r>
    </w:p>
    <w:p w:rsidR="00C161F8" w:rsidRPr="00C161F8" w:rsidRDefault="00C161F8" w:rsidP="00C161F8">
      <w:pPr>
        <w:shd w:val="clear" w:color="auto" w:fill="FFFFFF"/>
        <w:spacing w:before="0" w:after="0"/>
        <w:rPr>
          <w:rFonts w:cs="Arial"/>
          <w:color w:val="000000"/>
        </w:rPr>
      </w:pPr>
      <w:r w:rsidRPr="00C161F8">
        <w:rPr>
          <w:rFonts w:cs="Arial"/>
          <w:color w:val="000000"/>
        </w:rPr>
        <w:t xml:space="preserve">Especially relevant provisions of CRPD for equal access in the criminal justice system include: </w:t>
      </w:r>
    </w:p>
    <w:p w:rsidR="00C161F8" w:rsidRPr="00C161F8" w:rsidRDefault="00C161F8" w:rsidP="00C161F8">
      <w:pPr>
        <w:shd w:val="clear" w:color="auto" w:fill="FFFFFF"/>
        <w:spacing w:before="0" w:after="0"/>
        <w:rPr>
          <w:rFonts w:cs="Arial"/>
          <w:color w:val="000000"/>
        </w:rPr>
      </w:pPr>
    </w:p>
    <w:p w:rsidR="00C161F8" w:rsidRPr="00C161F8" w:rsidRDefault="00C161F8" w:rsidP="00C161F8">
      <w:pPr>
        <w:shd w:val="clear" w:color="auto" w:fill="FFFFFF"/>
        <w:spacing w:before="0" w:after="0"/>
        <w:ind w:left="720"/>
        <w:rPr>
          <w:rFonts w:cs="Arial"/>
          <w:b/>
          <w:bCs/>
          <w:color w:val="000000"/>
        </w:rPr>
      </w:pPr>
      <w:r w:rsidRPr="00C161F8">
        <w:rPr>
          <w:rFonts w:cs="Arial"/>
          <w:b/>
          <w:bCs/>
          <w:color w:val="000000"/>
        </w:rPr>
        <w:t>Article 4 - General obligations</w:t>
      </w:r>
    </w:p>
    <w:p w:rsidR="00C161F8" w:rsidRPr="00C161F8" w:rsidRDefault="00C161F8" w:rsidP="00C161F8">
      <w:pPr>
        <w:shd w:val="clear" w:color="auto" w:fill="FFFFFF"/>
        <w:spacing w:before="0" w:after="0"/>
        <w:ind w:left="720"/>
        <w:rPr>
          <w:rFonts w:cs="Arial"/>
          <w:color w:val="000000"/>
        </w:rPr>
      </w:pPr>
      <w:r w:rsidRPr="00C161F8">
        <w:rPr>
          <w:rFonts w:cs="Arial"/>
          <w:color w:val="000000"/>
        </w:rPr>
        <w:t>…..</w:t>
      </w:r>
    </w:p>
    <w:p w:rsidR="00C161F8" w:rsidRPr="00C161F8" w:rsidRDefault="00C161F8" w:rsidP="00C161F8">
      <w:pPr>
        <w:shd w:val="clear" w:color="auto" w:fill="FFFFFF"/>
        <w:spacing w:before="0" w:after="0"/>
        <w:ind w:left="720"/>
        <w:rPr>
          <w:rFonts w:cs="Arial"/>
          <w:color w:val="000000"/>
        </w:rPr>
      </w:pPr>
    </w:p>
    <w:p w:rsidR="00C161F8" w:rsidRPr="00C161F8" w:rsidRDefault="00C161F8" w:rsidP="00C161F8">
      <w:pPr>
        <w:shd w:val="clear" w:color="auto" w:fill="FFFFFF"/>
        <w:spacing w:before="0" w:after="0"/>
        <w:ind w:left="720"/>
        <w:rPr>
          <w:rFonts w:cs="Arial"/>
          <w:color w:val="000000"/>
        </w:rPr>
      </w:pPr>
      <w:r w:rsidRPr="00C161F8">
        <w:rPr>
          <w:rFonts w:cs="Arial"/>
          <w:color w:val="000000"/>
        </w:rPr>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rsidR="00C161F8" w:rsidRPr="00C161F8" w:rsidRDefault="00C161F8" w:rsidP="00C161F8">
      <w:pPr>
        <w:shd w:val="clear" w:color="auto" w:fill="FFFFFF"/>
        <w:spacing w:before="0" w:after="0"/>
        <w:rPr>
          <w:rFonts w:cs="Arial"/>
          <w:color w:val="000000"/>
        </w:rPr>
      </w:pPr>
    </w:p>
    <w:p w:rsidR="00C161F8" w:rsidRPr="00C161F8" w:rsidRDefault="00C161F8" w:rsidP="00C161F8">
      <w:pPr>
        <w:spacing w:before="0" w:after="0" w:line="256" w:lineRule="auto"/>
        <w:rPr>
          <w:rFonts w:eastAsia="Calibri" w:cs="Arial"/>
          <w:shd w:val="clear" w:color="auto" w:fill="FFFFFF"/>
          <w:lang w:eastAsia="en-US"/>
        </w:rPr>
      </w:pPr>
      <w:r w:rsidRPr="00C161F8">
        <w:rPr>
          <w:rFonts w:cs="Arial"/>
          <w:color w:val="000000"/>
          <w:shd w:val="clear" w:color="auto" w:fill="FFFFFF"/>
        </w:rPr>
        <w:t xml:space="preserve">To develop new laws and policies relating to the criminal justice system, governments should seek advice from people with disabilities, including women, children and Aboriginal Torres Strait Islander people with disabilities. </w:t>
      </w:r>
    </w:p>
    <w:p w:rsidR="00C161F8" w:rsidRPr="00C161F8" w:rsidRDefault="00C161F8" w:rsidP="00C161F8">
      <w:pPr>
        <w:spacing w:before="0" w:after="0" w:line="256" w:lineRule="auto"/>
        <w:rPr>
          <w:rFonts w:eastAsia="Calibri" w:cs="Arial"/>
          <w:color w:val="000000"/>
          <w:shd w:val="clear" w:color="auto" w:fill="FFFFFF"/>
          <w:lang w:eastAsia="en-US"/>
        </w:rPr>
      </w:pPr>
    </w:p>
    <w:p w:rsidR="00C161F8" w:rsidRPr="00C161F8" w:rsidRDefault="00C161F8" w:rsidP="00C161F8">
      <w:pPr>
        <w:shd w:val="clear" w:color="auto" w:fill="FFFFFF"/>
        <w:spacing w:before="0" w:after="0"/>
        <w:ind w:left="720"/>
        <w:rPr>
          <w:rFonts w:cs="Arial"/>
          <w:b/>
          <w:bCs/>
          <w:color w:val="000000"/>
        </w:rPr>
      </w:pPr>
      <w:r w:rsidRPr="00C161F8">
        <w:rPr>
          <w:rFonts w:cs="Arial"/>
          <w:b/>
          <w:bCs/>
          <w:color w:val="000000"/>
        </w:rPr>
        <w:t>Article 5 - Equality and non-discrimination</w:t>
      </w:r>
    </w:p>
    <w:p w:rsidR="00C161F8" w:rsidRPr="00C161F8" w:rsidRDefault="00C161F8" w:rsidP="00C161F8">
      <w:pPr>
        <w:spacing w:before="0" w:after="0" w:line="256" w:lineRule="auto"/>
        <w:ind w:left="720"/>
        <w:rPr>
          <w:rFonts w:eastAsia="Calibri" w:cs="Arial"/>
          <w:b/>
          <w:bCs/>
          <w:iCs/>
          <w:color w:val="4F81BD" w:themeColor="accent1"/>
          <w:lang w:eastAsia="en-US"/>
        </w:rPr>
      </w:pPr>
    </w:p>
    <w:p w:rsidR="00C161F8" w:rsidRPr="00C161F8" w:rsidRDefault="00C161F8" w:rsidP="00C161F8">
      <w:pPr>
        <w:spacing w:before="0" w:after="0" w:line="256" w:lineRule="auto"/>
        <w:ind w:left="720"/>
        <w:rPr>
          <w:rFonts w:cs="Arial"/>
          <w:color w:val="000000"/>
        </w:rPr>
      </w:pPr>
      <w:r w:rsidRPr="00C161F8">
        <w:rPr>
          <w:rFonts w:eastAsia="Calibri" w:cs="Arial"/>
          <w:iCs/>
          <w:lang w:eastAsia="en-US"/>
        </w:rPr>
        <w:t xml:space="preserve">1. </w:t>
      </w:r>
      <w:r w:rsidRPr="00C161F8">
        <w:rPr>
          <w:rFonts w:cs="Arial"/>
        </w:rPr>
        <w:t xml:space="preserve">States </w:t>
      </w:r>
      <w:r w:rsidRPr="00C161F8">
        <w:rPr>
          <w:rFonts w:cs="Arial"/>
          <w:color w:val="000000"/>
        </w:rPr>
        <w:t xml:space="preserve">Parties recognise that all persons are equal before and under the law and are entitled without any discrimination to the equal protection and equal benefit of the law. </w:t>
      </w:r>
      <w:r w:rsidRPr="00C161F8">
        <w:rPr>
          <w:rFonts w:cs="Arial"/>
          <w:color w:val="000000"/>
        </w:rPr>
        <w:br/>
      </w:r>
      <w:r w:rsidRPr="00C161F8">
        <w:rPr>
          <w:rFonts w:cs="Arial"/>
          <w:color w:val="000000"/>
        </w:rPr>
        <w:br/>
        <w:t xml:space="preserve">2. States Parties shall prohibit all discrimination on the basis of disability and guarantee to persons with disabilities equal and effective legal protection against discrimination on all grounds. </w:t>
      </w:r>
      <w:r w:rsidRPr="00C161F8">
        <w:rPr>
          <w:rFonts w:cs="Arial"/>
          <w:color w:val="000000"/>
        </w:rPr>
        <w:br/>
      </w:r>
      <w:r w:rsidRPr="00C161F8">
        <w:rPr>
          <w:rFonts w:cs="Arial"/>
          <w:color w:val="000000"/>
        </w:rPr>
        <w:br/>
        <w:t xml:space="preserve">3. In order to promote equality and eliminate discrimination, States Parties shall take all appropriate steps to ensure that reasonable accommodation is provided. </w:t>
      </w:r>
      <w:r w:rsidRPr="00C161F8">
        <w:rPr>
          <w:rFonts w:cs="Arial"/>
          <w:color w:val="000000"/>
        </w:rPr>
        <w:br/>
      </w:r>
      <w:r w:rsidRPr="00C161F8">
        <w:rPr>
          <w:rFonts w:cs="Arial"/>
          <w:color w:val="000000"/>
        </w:rPr>
        <w:br/>
        <w:t>4. Specific measures which are necessary to accelerate or achieve de facto equality of persons with disabilities shall not be considered discrimination under the terms of the present Convention.</w:t>
      </w:r>
    </w:p>
    <w:p w:rsidR="00C161F8" w:rsidRPr="00C161F8" w:rsidRDefault="00C161F8" w:rsidP="00C161F8">
      <w:pPr>
        <w:spacing w:before="0" w:after="0" w:line="256" w:lineRule="auto"/>
        <w:rPr>
          <w:rFonts w:eastAsia="Calibri" w:cs="Arial"/>
          <w:color w:val="000000"/>
          <w:lang w:eastAsia="en-US"/>
        </w:rPr>
      </w:pPr>
    </w:p>
    <w:p w:rsidR="00C161F8" w:rsidRPr="00C161F8" w:rsidRDefault="00C161F8" w:rsidP="00C161F8">
      <w:pPr>
        <w:spacing w:before="0" w:after="0" w:line="256" w:lineRule="auto"/>
        <w:rPr>
          <w:rFonts w:eastAsia="Calibri" w:cs="Arial"/>
          <w:color w:val="000000"/>
          <w:lang w:eastAsia="en-US"/>
        </w:rPr>
      </w:pPr>
      <w:r w:rsidRPr="00C161F8">
        <w:rPr>
          <w:rFonts w:eastAsia="Calibri" w:cs="Arial"/>
          <w:color w:val="000000"/>
          <w:lang w:eastAsia="en-US"/>
        </w:rPr>
        <w:t>Everybody has the right to be protected by the law at all stages of the criminal justice system. A person with a disability who engages the justice system must not experience discrimination because of their disability. We must ensure that we remove discriminatory barriers and implement positive measures that foster equality.</w:t>
      </w:r>
    </w:p>
    <w:p w:rsidR="00C161F8" w:rsidRPr="00C161F8" w:rsidRDefault="00C161F8" w:rsidP="00C161F8">
      <w:pPr>
        <w:spacing w:before="0" w:after="0" w:line="256" w:lineRule="auto"/>
        <w:rPr>
          <w:rFonts w:eastAsia="Calibri" w:cs="Arial"/>
          <w:color w:val="000000"/>
          <w:shd w:val="clear" w:color="auto" w:fill="FFFFFF"/>
          <w:lang w:eastAsia="en-US"/>
        </w:rPr>
      </w:pPr>
    </w:p>
    <w:p w:rsidR="00C161F8" w:rsidRPr="00C161F8" w:rsidRDefault="00C161F8" w:rsidP="00C161F8">
      <w:pPr>
        <w:shd w:val="clear" w:color="auto" w:fill="FFFFFF"/>
        <w:spacing w:before="0" w:after="0"/>
        <w:ind w:left="720"/>
        <w:rPr>
          <w:rFonts w:cs="Arial"/>
          <w:b/>
          <w:bCs/>
          <w:color w:val="000000"/>
        </w:rPr>
      </w:pPr>
      <w:r w:rsidRPr="00C161F8">
        <w:rPr>
          <w:rFonts w:cs="Arial"/>
          <w:b/>
          <w:bCs/>
          <w:color w:val="000000"/>
        </w:rPr>
        <w:t>Article 13 - Access to justice</w:t>
      </w:r>
    </w:p>
    <w:p w:rsidR="00C161F8" w:rsidRPr="00C161F8" w:rsidRDefault="00C161F8" w:rsidP="00C161F8">
      <w:pPr>
        <w:spacing w:before="0" w:after="0" w:line="256" w:lineRule="auto"/>
        <w:ind w:left="720"/>
        <w:rPr>
          <w:rFonts w:eastAsia="Calibri" w:cs="Arial"/>
          <w:b/>
          <w:bCs/>
          <w:color w:val="000000"/>
          <w:shd w:val="clear" w:color="auto" w:fill="FFFFFF"/>
          <w:lang w:eastAsia="en-US"/>
        </w:rPr>
      </w:pPr>
    </w:p>
    <w:p w:rsidR="00C161F8" w:rsidRPr="00C161F8" w:rsidRDefault="00C161F8" w:rsidP="00C161F8">
      <w:pPr>
        <w:spacing w:before="0" w:after="0" w:line="256" w:lineRule="auto"/>
        <w:ind w:left="720"/>
        <w:rPr>
          <w:rFonts w:cs="Arial"/>
          <w:color w:val="000000"/>
        </w:rPr>
      </w:pPr>
      <w:r w:rsidRPr="00C161F8">
        <w:rPr>
          <w:rFonts w:cs="Arial"/>
          <w:color w:val="000000"/>
        </w:rPr>
        <w:t>1. States Parties shall ensure effective access to justice 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r w:rsidRPr="00C161F8">
        <w:rPr>
          <w:rFonts w:cs="Arial"/>
          <w:color w:val="000000"/>
        </w:rPr>
        <w:br/>
      </w:r>
      <w:r w:rsidRPr="00C161F8">
        <w:rPr>
          <w:rFonts w:cs="Arial"/>
          <w:color w:val="000000"/>
        </w:rPr>
        <w:lastRenderedPageBreak/>
        <w:br/>
        <w:t>2. In order to help to ensure effective access to justice for persons with disabilities, States Parties shall promote appropriate training for those working in the field of administration of justice, including police and prison staff.</w:t>
      </w:r>
    </w:p>
    <w:p w:rsidR="00C161F8" w:rsidRPr="00C161F8" w:rsidRDefault="00C161F8" w:rsidP="00C161F8">
      <w:pPr>
        <w:shd w:val="clear" w:color="auto" w:fill="FFFFFF"/>
        <w:spacing w:before="0" w:after="0"/>
        <w:rPr>
          <w:rFonts w:cs="Arial"/>
          <w:color w:val="000000"/>
        </w:rPr>
      </w:pPr>
      <w:r w:rsidRPr="00C161F8">
        <w:rPr>
          <w:rFonts w:cs="Arial"/>
          <w:color w:val="000000"/>
        </w:rPr>
        <w:t xml:space="preserve"> </w:t>
      </w:r>
    </w:p>
    <w:p w:rsidR="00C161F8" w:rsidRPr="00C161F8" w:rsidRDefault="00C161F8" w:rsidP="00C161F8">
      <w:pPr>
        <w:spacing w:before="0" w:after="0" w:line="256" w:lineRule="auto"/>
        <w:rPr>
          <w:rFonts w:eastAsia="Calibri" w:cs="Arial"/>
          <w:shd w:val="clear" w:color="auto" w:fill="FFFFFF"/>
          <w:lang w:eastAsia="en-US"/>
        </w:rPr>
      </w:pPr>
      <w:r w:rsidRPr="00C161F8">
        <w:rPr>
          <w:rFonts w:eastAsia="Calibri" w:cs="Arial"/>
          <w:shd w:val="clear" w:color="auto" w:fill="FFFFFF"/>
          <w:lang w:eastAsia="en-US"/>
        </w:rPr>
        <w:t xml:space="preserve">Article 13 was adopted in response to a long history of denial of access to justice to people with disabilities. People with disabilities have the right to be treated fairly when engaging the criminal justice system. This right extends to “all legal proceedings, including at investigative…stages” from police interviews to courts and custodial situations. People with disabilities must be treated with respect regardless of being a </w:t>
      </w:r>
      <w:r w:rsidRPr="00C161F8">
        <w:rPr>
          <w:rFonts w:eastAsia="Calibri" w:cs="Arial"/>
          <w:lang w:eastAsia="en-US"/>
        </w:rPr>
        <w:t>“</w:t>
      </w:r>
      <w:r w:rsidRPr="00C161F8">
        <w:rPr>
          <w:rFonts w:eastAsia="Calibri" w:cs="Arial"/>
          <w:shd w:val="clear" w:color="auto" w:fill="FFFFFF"/>
          <w:lang w:eastAsia="en-US"/>
        </w:rPr>
        <w:t>direct” participant such as a victim, suspect or offender or an “indirect” participant, such as a witness.</w:t>
      </w:r>
    </w:p>
    <w:p w:rsidR="00C161F8" w:rsidRPr="00C161F8" w:rsidRDefault="00C161F8" w:rsidP="00C161F8">
      <w:pPr>
        <w:spacing w:before="0" w:after="0" w:line="256" w:lineRule="auto"/>
        <w:rPr>
          <w:rFonts w:eastAsia="Calibri" w:cs="Arial"/>
          <w:color w:val="000000"/>
          <w:shd w:val="clear" w:color="auto" w:fill="FFFFFF"/>
          <w:lang w:eastAsia="en-US"/>
        </w:rPr>
      </w:pPr>
    </w:p>
    <w:p w:rsidR="00C161F8" w:rsidRPr="00C161F8" w:rsidRDefault="00C161F8" w:rsidP="00C161F8">
      <w:pPr>
        <w:spacing w:before="0" w:after="0" w:line="256" w:lineRule="auto"/>
        <w:ind w:left="720"/>
        <w:rPr>
          <w:rFonts w:eastAsia="Calibri" w:cs="Arial"/>
          <w:b/>
          <w:bCs/>
          <w:color w:val="000000"/>
          <w:shd w:val="clear" w:color="auto" w:fill="FFFFFF"/>
          <w:lang w:eastAsia="en-US"/>
        </w:rPr>
      </w:pPr>
      <w:r w:rsidRPr="00C161F8">
        <w:rPr>
          <w:rFonts w:eastAsia="Calibri" w:cs="Arial"/>
          <w:b/>
          <w:bCs/>
          <w:color w:val="000000"/>
          <w:shd w:val="clear" w:color="auto" w:fill="FFFFFF"/>
          <w:lang w:eastAsia="en-US"/>
        </w:rPr>
        <w:t>Article 14 - Liberty and security of the person</w:t>
      </w:r>
    </w:p>
    <w:p w:rsidR="00C161F8" w:rsidRPr="00C161F8" w:rsidRDefault="00C161F8" w:rsidP="00C161F8">
      <w:pPr>
        <w:spacing w:before="0" w:after="0" w:line="256" w:lineRule="auto"/>
        <w:rPr>
          <w:rFonts w:eastAsia="Calibri" w:cs="Arial"/>
          <w:b/>
          <w:bCs/>
          <w:color w:val="000000"/>
          <w:shd w:val="clear" w:color="auto" w:fill="FFFFFF"/>
          <w:lang w:eastAsia="en-US"/>
        </w:rPr>
      </w:pPr>
    </w:p>
    <w:p w:rsidR="00C161F8" w:rsidRPr="00C161F8" w:rsidRDefault="00C161F8" w:rsidP="00C161F8">
      <w:pPr>
        <w:spacing w:before="0" w:after="0" w:line="256" w:lineRule="auto"/>
        <w:ind w:left="720"/>
        <w:rPr>
          <w:rFonts w:eastAsia="Calibri" w:cs="Arial"/>
          <w:color w:val="000000"/>
          <w:shd w:val="clear" w:color="auto" w:fill="FFFFFF"/>
          <w:lang w:eastAsia="en-US"/>
        </w:rPr>
      </w:pPr>
      <w:r w:rsidRPr="00C161F8">
        <w:rPr>
          <w:rFonts w:eastAsia="Calibri" w:cs="Arial"/>
          <w:color w:val="000000"/>
          <w:shd w:val="clear" w:color="auto" w:fill="FFFFFF"/>
          <w:lang w:eastAsia="en-US"/>
        </w:rPr>
        <w:t>1. States Parties shall ensure that persons with disabilities, on an equal basis with others:</w:t>
      </w:r>
    </w:p>
    <w:p w:rsidR="00C161F8" w:rsidRPr="00C161F8" w:rsidRDefault="00C161F8" w:rsidP="00C161F8">
      <w:pPr>
        <w:spacing w:before="0" w:after="0"/>
        <w:ind w:left="720"/>
        <w:rPr>
          <w:rFonts w:eastAsia="Times New Roman" w:cs="Arial"/>
          <w:color w:val="000000"/>
          <w:shd w:val="clear" w:color="auto" w:fill="FFFFFF"/>
          <w:lang w:val="en-US" w:eastAsia="en-US"/>
        </w:rPr>
      </w:pPr>
    </w:p>
    <w:p w:rsidR="00C161F8" w:rsidRPr="00C161F8" w:rsidRDefault="00C161F8" w:rsidP="00C161F8">
      <w:pPr>
        <w:numPr>
          <w:ilvl w:val="0"/>
          <w:numId w:val="47"/>
        </w:numPr>
        <w:tabs>
          <w:tab w:val="num" w:pos="720"/>
        </w:tabs>
        <w:spacing w:before="0" w:after="0" w:line="256" w:lineRule="auto"/>
        <w:rPr>
          <w:rFonts w:eastAsia="Calibri" w:cs="Arial"/>
          <w:color w:val="000000"/>
          <w:shd w:val="clear" w:color="auto" w:fill="FFFFFF"/>
          <w:lang w:eastAsia="en-US"/>
        </w:rPr>
      </w:pPr>
      <w:r w:rsidRPr="00C161F8">
        <w:rPr>
          <w:rFonts w:eastAsia="Calibri" w:cs="Arial"/>
          <w:color w:val="000000"/>
          <w:shd w:val="clear" w:color="auto" w:fill="FFFFFF"/>
          <w:lang w:eastAsia="en-US"/>
        </w:rPr>
        <w:t>Enjoy the right to liberty and security of person;</w:t>
      </w:r>
    </w:p>
    <w:p w:rsidR="00C161F8" w:rsidRPr="00C161F8" w:rsidRDefault="00C161F8" w:rsidP="00C161F8">
      <w:pPr>
        <w:numPr>
          <w:ilvl w:val="0"/>
          <w:numId w:val="47"/>
        </w:numPr>
        <w:tabs>
          <w:tab w:val="num" w:pos="720"/>
        </w:tabs>
        <w:spacing w:before="0" w:after="0" w:line="256" w:lineRule="auto"/>
        <w:rPr>
          <w:rFonts w:eastAsia="Calibri" w:cs="Arial"/>
          <w:color w:val="000000"/>
          <w:shd w:val="clear" w:color="auto" w:fill="FFFFFF"/>
          <w:lang w:eastAsia="en-US"/>
        </w:rPr>
      </w:pPr>
      <w:r w:rsidRPr="00C161F8">
        <w:rPr>
          <w:rFonts w:eastAsia="Calibri" w:cs="Arial"/>
          <w:color w:val="000000"/>
          <w:shd w:val="clear" w:color="auto" w:fill="FFFFFF"/>
          <w:lang w:eastAsia="en-US"/>
        </w:rPr>
        <w:t>Are not deprived of their liberty unlawfully or arbitrarily, and that any deprivation of liberty is in conformity with the law, and that the existence of a disability shall in no case justify a deprivation of liberty.</w:t>
      </w:r>
    </w:p>
    <w:p w:rsidR="00C161F8" w:rsidRPr="00C161F8" w:rsidRDefault="00C161F8" w:rsidP="00C161F8">
      <w:pPr>
        <w:spacing w:before="0" w:after="0" w:line="256" w:lineRule="auto"/>
        <w:ind w:left="1080"/>
        <w:rPr>
          <w:rFonts w:eastAsia="Calibri" w:cs="Arial"/>
          <w:color w:val="000000"/>
          <w:shd w:val="clear" w:color="auto" w:fill="FFFFFF"/>
          <w:lang w:eastAsia="en-US"/>
        </w:rPr>
      </w:pPr>
    </w:p>
    <w:p w:rsidR="00C161F8" w:rsidRPr="00C161F8" w:rsidRDefault="00C161F8" w:rsidP="00C161F8">
      <w:pPr>
        <w:spacing w:before="0" w:after="0" w:line="256" w:lineRule="auto"/>
        <w:ind w:left="720"/>
        <w:rPr>
          <w:rFonts w:eastAsia="Calibri" w:cs="Arial"/>
          <w:color w:val="000000"/>
          <w:shd w:val="clear" w:color="auto" w:fill="FFFFFF"/>
          <w:lang w:eastAsia="en-US"/>
        </w:rPr>
      </w:pPr>
      <w:r w:rsidRPr="00C161F8">
        <w:rPr>
          <w:rFonts w:eastAsia="Calibri" w:cs="Arial"/>
          <w:color w:val="000000"/>
          <w:shd w:val="clear" w:color="auto" w:fill="FFFFFF"/>
          <w:lang w:eastAsia="en-US"/>
        </w:rPr>
        <w:t>2. States Parties shall ensure that if persons with disabilities are deprived of their liberty through any process, they are, on an equal basis with others, entitled to guarantees in accordance with international human rights law and shall be treated in compliance with the objectives and principles of this Convention, including by provision of reasonable accommodation.</w:t>
      </w:r>
    </w:p>
    <w:p w:rsidR="00C161F8" w:rsidRPr="00C161F8" w:rsidRDefault="00C161F8" w:rsidP="00C161F8">
      <w:pPr>
        <w:spacing w:before="0" w:after="0" w:line="256" w:lineRule="auto"/>
        <w:rPr>
          <w:rFonts w:eastAsia="Calibri" w:cs="Arial"/>
          <w:color w:val="000000"/>
          <w:shd w:val="clear" w:color="auto" w:fill="FFFFFF"/>
          <w:lang w:eastAsia="en-US"/>
        </w:rPr>
      </w:pPr>
    </w:p>
    <w:p w:rsidR="00C161F8" w:rsidRPr="00C161F8" w:rsidRDefault="00C161F8" w:rsidP="00C161F8">
      <w:pPr>
        <w:spacing w:before="0" w:after="0" w:line="256" w:lineRule="auto"/>
        <w:rPr>
          <w:rFonts w:eastAsia="Calibri" w:cs="Arial"/>
          <w:color w:val="000000"/>
          <w:shd w:val="clear" w:color="auto" w:fill="FFFFFF"/>
          <w:lang w:eastAsia="en-US"/>
        </w:rPr>
      </w:pPr>
      <w:r w:rsidRPr="00C161F8">
        <w:rPr>
          <w:rFonts w:eastAsia="Calibri" w:cs="Arial"/>
          <w:color w:val="000000"/>
          <w:shd w:val="clear" w:color="auto" w:fill="FFFFFF"/>
          <w:lang w:eastAsia="en-US"/>
        </w:rPr>
        <w:t xml:space="preserve">People with disabilities cannot be held in custody just because they have a </w:t>
      </w:r>
      <w:proofErr w:type="gramStart"/>
      <w:r w:rsidRPr="00C161F8">
        <w:rPr>
          <w:rFonts w:eastAsia="Calibri" w:cs="Arial"/>
          <w:color w:val="000000"/>
          <w:shd w:val="clear" w:color="auto" w:fill="FFFFFF"/>
          <w:lang w:eastAsia="en-US"/>
        </w:rPr>
        <w:t>disability,</w:t>
      </w:r>
      <w:proofErr w:type="gramEnd"/>
      <w:r w:rsidRPr="00C161F8">
        <w:rPr>
          <w:rFonts w:eastAsia="Calibri" w:cs="Arial"/>
          <w:color w:val="000000"/>
          <w:shd w:val="clear" w:color="auto" w:fill="FFFFFF"/>
          <w:lang w:eastAsia="en-US"/>
        </w:rPr>
        <w:t xml:space="preserve"> there must be a compelling and lawful reason.</w:t>
      </w:r>
    </w:p>
    <w:p w:rsidR="00C161F8" w:rsidRPr="00C161F8" w:rsidRDefault="00C161F8" w:rsidP="00C161F8">
      <w:pPr>
        <w:spacing w:before="0" w:after="0" w:line="256" w:lineRule="auto"/>
        <w:rPr>
          <w:rFonts w:eastAsia="Calibri" w:cs="Arial"/>
          <w:color w:val="000000"/>
          <w:shd w:val="clear" w:color="auto" w:fill="FFFFFF"/>
          <w:lang w:eastAsia="en-US"/>
        </w:rPr>
      </w:pPr>
    </w:p>
    <w:p w:rsidR="00C161F8" w:rsidRPr="00C161F8" w:rsidRDefault="00C161F8" w:rsidP="00C161F8">
      <w:pPr>
        <w:spacing w:before="0" w:after="0" w:line="256" w:lineRule="auto"/>
        <w:ind w:left="720"/>
        <w:rPr>
          <w:rFonts w:eastAsia="Calibri" w:cs="Arial"/>
          <w:b/>
          <w:bCs/>
          <w:color w:val="000000"/>
          <w:shd w:val="clear" w:color="auto" w:fill="FFFFFF"/>
          <w:lang w:eastAsia="en-US"/>
        </w:rPr>
      </w:pPr>
      <w:r w:rsidRPr="00C161F8">
        <w:rPr>
          <w:rFonts w:eastAsia="Calibri" w:cs="Arial"/>
          <w:b/>
          <w:bCs/>
          <w:color w:val="000000"/>
          <w:shd w:val="clear" w:color="auto" w:fill="FFFFFF"/>
          <w:lang w:eastAsia="en-US"/>
        </w:rPr>
        <w:t>Article 16 - Freedom from exploitation, violence and abuse</w:t>
      </w:r>
    </w:p>
    <w:p w:rsidR="00C161F8" w:rsidRPr="00C161F8" w:rsidRDefault="00C161F8" w:rsidP="00C161F8">
      <w:pPr>
        <w:spacing w:before="0" w:after="0" w:line="256" w:lineRule="auto"/>
        <w:ind w:left="720"/>
        <w:rPr>
          <w:rFonts w:eastAsia="Calibri" w:cs="Arial"/>
          <w:b/>
          <w:bCs/>
          <w:color w:val="000000"/>
          <w:shd w:val="clear" w:color="auto" w:fill="FFFFFF"/>
          <w:lang w:eastAsia="en-US"/>
        </w:rPr>
      </w:pPr>
    </w:p>
    <w:p w:rsidR="00C161F8" w:rsidRPr="00C161F8" w:rsidRDefault="00C161F8" w:rsidP="00C161F8">
      <w:pPr>
        <w:spacing w:before="0" w:after="0" w:line="256" w:lineRule="auto"/>
        <w:ind w:left="720"/>
        <w:rPr>
          <w:rFonts w:eastAsia="Calibri" w:cs="Arial"/>
          <w:color w:val="000000"/>
          <w:shd w:val="clear" w:color="auto" w:fill="FFFFFF"/>
          <w:lang w:eastAsia="en-US"/>
        </w:rPr>
      </w:pPr>
      <w:r w:rsidRPr="00C161F8">
        <w:rPr>
          <w:rFonts w:eastAsia="Calibri" w:cs="Arial"/>
          <w:color w:val="000000"/>
          <w:shd w:val="clear" w:color="auto" w:fill="FFFFFF"/>
          <w:lang w:eastAsia="en-US"/>
        </w:rPr>
        <w:t>1. States Parties shall take all appropriate legislative, administrative, social, educational and other measures to protect persons with disabilities, both within and outside the home, from all forms of exploitation, violence and abuse, including their gender-based aspects.</w:t>
      </w:r>
      <w:r w:rsidRPr="00C161F8">
        <w:rPr>
          <w:rFonts w:eastAsia="Calibri" w:cs="Arial"/>
          <w:color w:val="000000"/>
          <w:shd w:val="clear" w:color="auto" w:fill="FFFFFF"/>
          <w:lang w:eastAsia="en-US"/>
        </w:rPr>
        <w:br/>
      </w:r>
      <w:r w:rsidRPr="00C161F8">
        <w:rPr>
          <w:rFonts w:eastAsia="Calibri" w:cs="Arial"/>
          <w:color w:val="000000"/>
          <w:shd w:val="clear" w:color="auto" w:fill="FFFFFF"/>
          <w:lang w:eastAsia="en-US"/>
        </w:rPr>
        <w:br/>
        <w:t>2. 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recognise and report instances of exploitation, violence and abuse. States Parties shall ensure that protection services are age-, gender- and disability-sensitive.</w:t>
      </w:r>
      <w:r w:rsidRPr="00C161F8">
        <w:rPr>
          <w:rFonts w:eastAsia="Calibri" w:cs="Arial"/>
          <w:color w:val="000000"/>
          <w:shd w:val="clear" w:color="auto" w:fill="FFFFFF"/>
          <w:lang w:eastAsia="en-US"/>
        </w:rPr>
        <w:br/>
      </w:r>
      <w:r w:rsidRPr="00C161F8">
        <w:rPr>
          <w:rFonts w:eastAsia="Calibri" w:cs="Arial"/>
          <w:color w:val="000000"/>
          <w:shd w:val="clear" w:color="auto" w:fill="FFFFFF"/>
          <w:lang w:eastAsia="en-US"/>
        </w:rPr>
        <w:br/>
        <w:t xml:space="preserve">3. In order to prevent the occurrence of all forms of exploitation, violence and </w:t>
      </w:r>
      <w:r w:rsidRPr="00C161F8">
        <w:rPr>
          <w:rFonts w:eastAsia="Calibri" w:cs="Arial"/>
          <w:color w:val="000000"/>
          <w:shd w:val="clear" w:color="auto" w:fill="FFFFFF"/>
          <w:lang w:eastAsia="en-US"/>
        </w:rPr>
        <w:lastRenderedPageBreak/>
        <w:t>abuse, States Parties shall ensure that all facilities and programmes designed to serve persons with disabilities are effectively monitored by independent authorities.</w:t>
      </w:r>
      <w:r w:rsidRPr="00C161F8">
        <w:rPr>
          <w:rFonts w:eastAsia="Calibri" w:cs="Arial"/>
          <w:color w:val="000000"/>
          <w:shd w:val="clear" w:color="auto" w:fill="FFFFFF"/>
          <w:lang w:eastAsia="en-US"/>
        </w:rPr>
        <w:br/>
      </w:r>
      <w:r w:rsidRPr="00C161F8">
        <w:rPr>
          <w:rFonts w:eastAsia="Calibri" w:cs="Arial"/>
          <w:color w:val="000000"/>
          <w:shd w:val="clear" w:color="auto" w:fill="FFFFFF"/>
          <w:lang w:eastAsia="en-US"/>
        </w:rPr>
        <w:br/>
        <w:t>4. 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r w:rsidRPr="00C161F8">
        <w:rPr>
          <w:rFonts w:eastAsia="Calibri" w:cs="Arial"/>
          <w:color w:val="000000"/>
          <w:shd w:val="clear" w:color="auto" w:fill="FFFFFF"/>
          <w:lang w:eastAsia="en-US"/>
        </w:rPr>
        <w:br/>
      </w:r>
      <w:r w:rsidRPr="00C161F8">
        <w:rPr>
          <w:rFonts w:eastAsia="Calibri" w:cs="Arial"/>
          <w:color w:val="000000"/>
          <w:shd w:val="clear" w:color="auto" w:fill="FFFFFF"/>
          <w:lang w:eastAsia="en-US"/>
        </w:rPr>
        <w:br/>
        <w:t>5. 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w:t>
      </w:r>
    </w:p>
    <w:p w:rsidR="00C161F8" w:rsidRPr="00C161F8" w:rsidRDefault="00C161F8" w:rsidP="00C161F8">
      <w:pPr>
        <w:spacing w:before="0" w:after="0" w:line="256" w:lineRule="auto"/>
        <w:rPr>
          <w:rFonts w:eastAsia="Calibri" w:cs="Arial"/>
          <w:color w:val="000000"/>
          <w:shd w:val="clear" w:color="auto" w:fill="FFFFFF"/>
          <w:lang w:eastAsia="en-US"/>
        </w:rPr>
      </w:pPr>
    </w:p>
    <w:p w:rsidR="00C161F8" w:rsidRPr="00C161F8" w:rsidRDefault="00C161F8" w:rsidP="00C161F8">
      <w:pPr>
        <w:spacing w:before="0" w:after="0"/>
        <w:ind w:left="66"/>
        <w:rPr>
          <w:rFonts w:eastAsia="Times New Roman" w:cs="Arial"/>
          <w:color w:val="000000"/>
          <w:shd w:val="clear" w:color="auto" w:fill="FFFFFF"/>
          <w:lang w:val="en-US" w:eastAsia="en-US"/>
        </w:rPr>
      </w:pPr>
      <w:r w:rsidRPr="00C161F8">
        <w:rPr>
          <w:rFonts w:eastAsia="Times New Roman" w:cs="Arial"/>
          <w:color w:val="000000"/>
          <w:lang w:val="en-US" w:eastAsia="en-US"/>
        </w:rPr>
        <w:t xml:space="preserve">People with disabilities have the right to live free from exploitation, violence and abuse. People with disabilities should be protected from violence and abuse regardless of whether it takes place in a residential setting, psychiatric facility, </w:t>
      </w:r>
      <w:proofErr w:type="gramStart"/>
      <w:r w:rsidRPr="00C161F8">
        <w:rPr>
          <w:rFonts w:eastAsia="Times New Roman" w:cs="Arial"/>
          <w:color w:val="000000"/>
          <w:lang w:val="en-US" w:eastAsia="en-US"/>
        </w:rPr>
        <w:t>police</w:t>
      </w:r>
      <w:proofErr w:type="gramEnd"/>
      <w:r w:rsidRPr="00C161F8">
        <w:rPr>
          <w:rFonts w:eastAsia="Times New Roman" w:cs="Arial"/>
          <w:color w:val="000000"/>
          <w:lang w:val="en-US" w:eastAsia="en-US"/>
        </w:rPr>
        <w:t xml:space="preserve"> station or in prison. People with disabilities have the right to receive help and appropriate supports to stop the violence and recover.</w:t>
      </w:r>
    </w:p>
    <w:p w:rsidR="00C161F8" w:rsidRPr="00C161F8" w:rsidRDefault="00C161F8" w:rsidP="00C161F8">
      <w:pPr>
        <w:spacing w:before="0" w:after="0" w:line="256" w:lineRule="auto"/>
        <w:ind w:left="720" w:hanging="720"/>
        <w:rPr>
          <w:rFonts w:eastAsia="Calibri" w:cs="Arial"/>
          <w:color w:val="000000"/>
          <w:szCs w:val="22"/>
          <w:shd w:val="clear" w:color="auto" w:fill="FFFFFF"/>
          <w:lang w:eastAsia="en-US"/>
        </w:rPr>
      </w:pPr>
    </w:p>
    <w:p w:rsidR="00C161F8" w:rsidRPr="00C161F8" w:rsidRDefault="00C161F8" w:rsidP="00C161F8">
      <w:pPr>
        <w:spacing w:before="0" w:after="0" w:line="256" w:lineRule="auto"/>
        <w:ind w:left="66"/>
        <w:rPr>
          <w:rFonts w:eastAsia="Calibri" w:cs="Arial"/>
          <w:color w:val="000000"/>
          <w:lang w:eastAsia="en-US"/>
        </w:rPr>
      </w:pPr>
      <w:r w:rsidRPr="00C161F8">
        <w:rPr>
          <w:rFonts w:eastAsia="Calibri" w:cs="Arial"/>
          <w:color w:val="000000"/>
          <w:lang w:eastAsia="en-US"/>
        </w:rPr>
        <w:t>Other important aspects of international human rights law considered in the report, as they relate to access to justice in the criminal justice system, include the right to:</w:t>
      </w:r>
    </w:p>
    <w:p w:rsidR="00C161F8" w:rsidRPr="00C161F8" w:rsidRDefault="00C161F8" w:rsidP="00C161F8">
      <w:pPr>
        <w:spacing w:before="0" w:after="0" w:line="256" w:lineRule="auto"/>
        <w:ind w:left="66"/>
        <w:rPr>
          <w:rFonts w:eastAsia="Calibri" w:cs="Arial"/>
          <w:color w:val="000000"/>
          <w:lang w:eastAsia="en-US"/>
        </w:rPr>
      </w:pPr>
    </w:p>
    <w:p w:rsidR="00C161F8" w:rsidRPr="00C161F8" w:rsidRDefault="00C161F8" w:rsidP="00C161F8">
      <w:pPr>
        <w:numPr>
          <w:ilvl w:val="0"/>
          <w:numId w:val="50"/>
        </w:numPr>
        <w:spacing w:before="0" w:after="0" w:line="256" w:lineRule="auto"/>
        <w:rPr>
          <w:rFonts w:eastAsia="Times New Roman" w:cs="Arial"/>
          <w:color w:val="000000"/>
          <w:lang w:val="en-US" w:eastAsia="en-US"/>
        </w:rPr>
      </w:pPr>
      <w:r w:rsidRPr="00C161F8">
        <w:rPr>
          <w:rFonts w:eastAsia="Times New Roman" w:cs="Arial"/>
          <w:color w:val="000000"/>
          <w:lang w:val="en-US" w:eastAsia="en-US"/>
        </w:rPr>
        <w:t xml:space="preserve">Adequate standard of living and social protection (art. 28 CRPD, art. 23 CERD, art. 9 CESCR, art. 11 CEDAW, art. 26 CRC) </w:t>
      </w:r>
    </w:p>
    <w:p w:rsidR="00C161F8" w:rsidRPr="00C161F8" w:rsidRDefault="00C161F8" w:rsidP="00C161F8">
      <w:pPr>
        <w:numPr>
          <w:ilvl w:val="0"/>
          <w:numId w:val="50"/>
        </w:numPr>
        <w:spacing w:before="0" w:after="0" w:line="256" w:lineRule="auto"/>
        <w:rPr>
          <w:rFonts w:eastAsia="Times New Roman" w:cs="Arial"/>
          <w:color w:val="000000"/>
          <w:lang w:val="en-US" w:eastAsia="en-US"/>
        </w:rPr>
      </w:pPr>
      <w:r w:rsidRPr="00C161F8">
        <w:rPr>
          <w:rFonts w:eastAsia="Times New Roman" w:cs="Arial"/>
          <w:color w:val="000000"/>
          <w:lang w:val="en-US" w:eastAsia="en-US"/>
        </w:rPr>
        <w:t>Habilitation and rehabilitation (art. 26 CRPD)</w:t>
      </w:r>
    </w:p>
    <w:p w:rsidR="00C161F8" w:rsidRPr="00C161F8" w:rsidRDefault="00C161F8" w:rsidP="00C161F8">
      <w:pPr>
        <w:numPr>
          <w:ilvl w:val="0"/>
          <w:numId w:val="50"/>
        </w:numPr>
        <w:spacing w:before="0" w:after="0" w:line="256" w:lineRule="auto"/>
        <w:rPr>
          <w:rFonts w:eastAsia="Times New Roman" w:cs="Arial"/>
          <w:color w:val="000000"/>
          <w:lang w:val="en-US" w:eastAsia="en-US"/>
        </w:rPr>
      </w:pPr>
      <w:r w:rsidRPr="00C161F8">
        <w:rPr>
          <w:rFonts w:eastAsia="Times New Roman" w:cs="Arial"/>
          <w:color w:val="000000"/>
          <w:lang w:val="en-US" w:eastAsia="en-US"/>
        </w:rPr>
        <w:t>Health (art. 25 CRPD, art. 25 CESCR, art. 12 CEDAW,  art. 24 CRC)</w:t>
      </w:r>
    </w:p>
    <w:p w:rsidR="00C161F8" w:rsidRPr="00C161F8" w:rsidRDefault="00C161F8" w:rsidP="00C161F8">
      <w:pPr>
        <w:numPr>
          <w:ilvl w:val="0"/>
          <w:numId w:val="50"/>
        </w:numPr>
        <w:spacing w:before="0" w:after="0" w:line="256" w:lineRule="auto"/>
        <w:rPr>
          <w:rFonts w:eastAsia="Times New Roman" w:cs="Arial"/>
          <w:color w:val="000000"/>
          <w:lang w:val="en-US" w:eastAsia="en-US"/>
        </w:rPr>
      </w:pPr>
      <w:r w:rsidRPr="00C161F8">
        <w:rPr>
          <w:rFonts w:eastAsia="Times New Roman" w:cs="Arial"/>
          <w:color w:val="000000"/>
          <w:lang w:val="en-US" w:eastAsia="en-US"/>
        </w:rPr>
        <w:t>Education (art. 24 CRPD, art. 5(e)(v) CERD, art. 13(1) CESCR, art. 10 CEDAW, art. 28 (1) CRC)</w:t>
      </w:r>
    </w:p>
    <w:p w:rsidR="00C161F8" w:rsidRPr="00C161F8" w:rsidRDefault="00C161F8" w:rsidP="00C161F8">
      <w:pPr>
        <w:numPr>
          <w:ilvl w:val="0"/>
          <w:numId w:val="50"/>
        </w:numPr>
        <w:spacing w:before="0" w:after="0" w:line="256" w:lineRule="auto"/>
        <w:rPr>
          <w:rFonts w:eastAsia="Times New Roman" w:cs="Arial"/>
          <w:color w:val="000000"/>
          <w:lang w:val="en-US" w:eastAsia="en-US"/>
        </w:rPr>
      </w:pPr>
      <w:r w:rsidRPr="00C161F8">
        <w:rPr>
          <w:rFonts w:eastAsia="Times New Roman" w:cs="Arial"/>
          <w:color w:val="000000"/>
          <w:lang w:val="en-US" w:eastAsia="en-US"/>
        </w:rPr>
        <w:t>Work (art. 27 CRPD, art. 6 CESCR, art. 11 CEDAW, art. 5 CERD).</w:t>
      </w:r>
    </w:p>
    <w:p w:rsidR="009B2587" w:rsidRDefault="009B2587" w:rsidP="009B2587">
      <w:pPr>
        <w:sectPr w:rsidR="009B2587" w:rsidSect="002D53FE">
          <w:endnotePr>
            <w:numFmt w:val="decimal"/>
          </w:endnotePr>
          <w:pgSz w:w="11906" w:h="16838" w:code="9"/>
          <w:pgMar w:top="1134" w:right="1418" w:bottom="1134" w:left="1418" w:header="709" w:footer="709" w:gutter="0"/>
          <w:cols w:space="708"/>
          <w:docGrid w:linePitch="360"/>
        </w:sectPr>
      </w:pPr>
    </w:p>
    <w:p w:rsidR="00194BF9" w:rsidRPr="00194BF9" w:rsidRDefault="009B2587" w:rsidP="00194BF9">
      <w:pPr>
        <w:pStyle w:val="Heading1"/>
        <w:numPr>
          <w:ilvl w:val="0"/>
          <w:numId w:val="0"/>
        </w:numPr>
        <w:ind w:left="851" w:hanging="851"/>
        <w:rPr>
          <w:i/>
          <w:color w:val="000000"/>
          <w:szCs w:val="26"/>
        </w:rPr>
      </w:pPr>
      <w:bookmarkStart w:id="75" w:name="_Toc379195384"/>
      <w:r w:rsidRPr="009B2587">
        <w:rPr>
          <w:sz w:val="36"/>
          <w:szCs w:val="36"/>
        </w:rPr>
        <w:lastRenderedPageBreak/>
        <w:t>Appendix C</w:t>
      </w:r>
      <w:r w:rsidR="00194BF9">
        <w:rPr>
          <w:sz w:val="36"/>
          <w:szCs w:val="36"/>
        </w:rPr>
        <w:t xml:space="preserve"> </w:t>
      </w:r>
      <w:bookmarkStart w:id="76" w:name="_Toc249239227"/>
      <w:r w:rsidR="00194BF9">
        <w:rPr>
          <w:sz w:val="36"/>
          <w:szCs w:val="36"/>
        </w:rPr>
        <w:t xml:space="preserve">– Meetings and </w:t>
      </w:r>
      <w:bookmarkEnd w:id="76"/>
      <w:r w:rsidR="00194BF9">
        <w:rPr>
          <w:sz w:val="36"/>
          <w:szCs w:val="36"/>
        </w:rPr>
        <w:t>Submissions</w:t>
      </w:r>
      <w:bookmarkEnd w:id="75"/>
    </w:p>
    <w:p w:rsidR="00194BF9" w:rsidRPr="00194BF9" w:rsidRDefault="00194BF9" w:rsidP="00194BF9">
      <w:r w:rsidRPr="00194BF9">
        <w:t>The Australian Human Rights Commission held public meetings in each State and Territory. In addition the Commission conducted 114 individual meetings. These meetings were held with people with disabilities, their families and carers, Attorneys-General, members of the police forces, correctives services and judiciaries, disability advocacy peak-bodies, community groups, and academic, medical and legal experts. The Commission also received 8</w:t>
      </w:r>
      <w:r w:rsidR="00923A95">
        <w:t>8</w:t>
      </w:r>
      <w:r w:rsidRPr="00194BF9">
        <w:t xml:space="preserve"> submissions.</w:t>
      </w:r>
    </w:p>
    <w:p w:rsidR="00194BF9" w:rsidRPr="00194BF9" w:rsidRDefault="00194BF9" w:rsidP="00194BF9">
      <w:pPr>
        <w:rPr>
          <w:b/>
        </w:rPr>
      </w:pPr>
      <w:r w:rsidRPr="00194BF9">
        <w:rPr>
          <w:b/>
        </w:rPr>
        <w:t xml:space="preserve">List of Public Meetings </w:t>
      </w:r>
    </w:p>
    <w:p w:rsidR="00194BF9" w:rsidRPr="00194BF9" w:rsidRDefault="00194BF9" w:rsidP="00194BF9">
      <w:pPr>
        <w:spacing w:before="0" w:after="0"/>
      </w:pPr>
      <w:r w:rsidRPr="00194BF9">
        <w:t>Hobart (TAS): 20 May 2013</w:t>
      </w:r>
    </w:p>
    <w:p w:rsidR="00194BF9" w:rsidRPr="00194BF9" w:rsidRDefault="00194BF9" w:rsidP="00194BF9">
      <w:pPr>
        <w:spacing w:before="0" w:after="0"/>
      </w:pPr>
      <w:r w:rsidRPr="00194BF9">
        <w:t>Brisbane (QLD): 18 June 2013</w:t>
      </w:r>
    </w:p>
    <w:p w:rsidR="00194BF9" w:rsidRPr="00194BF9" w:rsidRDefault="00194BF9" w:rsidP="00194BF9">
      <w:pPr>
        <w:spacing w:before="0" w:after="0"/>
      </w:pPr>
      <w:r w:rsidRPr="00194BF9">
        <w:t>Adelaide (SA): 19 June 2013</w:t>
      </w:r>
    </w:p>
    <w:p w:rsidR="00194BF9" w:rsidRPr="00194BF9" w:rsidRDefault="00194BF9" w:rsidP="00194BF9">
      <w:pPr>
        <w:spacing w:before="0" w:after="0"/>
      </w:pPr>
      <w:r w:rsidRPr="00194BF9">
        <w:t>Sydney (NSW): 25 June</w:t>
      </w:r>
      <w:r w:rsidR="00EC7604">
        <w:t xml:space="preserve"> 2013</w:t>
      </w:r>
      <w:r w:rsidRPr="00194BF9">
        <w:t>Canberra (ACT): 26 June 2013</w:t>
      </w:r>
    </w:p>
    <w:p w:rsidR="00194BF9" w:rsidRPr="00194BF9" w:rsidRDefault="00194BF9" w:rsidP="00194BF9">
      <w:pPr>
        <w:spacing w:before="0" w:after="0"/>
      </w:pPr>
      <w:r w:rsidRPr="00194BF9">
        <w:t>Geelong (VIC): 10 July 2013</w:t>
      </w:r>
    </w:p>
    <w:p w:rsidR="00194BF9" w:rsidRPr="00194BF9" w:rsidRDefault="00194BF9" w:rsidP="00194BF9">
      <w:pPr>
        <w:spacing w:before="0" w:after="0"/>
      </w:pPr>
      <w:r w:rsidRPr="00194BF9">
        <w:t>Melbourne (VIC): 11 July 2013</w:t>
      </w:r>
    </w:p>
    <w:p w:rsidR="00194BF9" w:rsidRPr="00194BF9" w:rsidRDefault="00194BF9" w:rsidP="00194BF9">
      <w:pPr>
        <w:spacing w:before="0" w:after="0"/>
      </w:pPr>
      <w:r w:rsidRPr="00194BF9">
        <w:t>Newcastle (NSW): 18 July 2013</w:t>
      </w:r>
    </w:p>
    <w:p w:rsidR="00194BF9" w:rsidRPr="00194BF9" w:rsidRDefault="00194BF9" w:rsidP="00194BF9">
      <w:pPr>
        <w:spacing w:before="0" w:after="0"/>
      </w:pPr>
      <w:r w:rsidRPr="00194BF9">
        <w:t>Perth (WA): 22 July 2013</w:t>
      </w:r>
    </w:p>
    <w:p w:rsidR="00194BF9" w:rsidRPr="00194BF9" w:rsidRDefault="00194BF9" w:rsidP="00194BF9">
      <w:pPr>
        <w:spacing w:before="0" w:after="0"/>
      </w:pPr>
      <w:r w:rsidRPr="00194BF9">
        <w:t>Port Hedland (WA): 24 July 2013</w:t>
      </w:r>
    </w:p>
    <w:p w:rsidR="00194BF9" w:rsidRPr="00194BF9" w:rsidRDefault="00194BF9" w:rsidP="00194BF9">
      <w:pPr>
        <w:spacing w:before="0" w:after="0"/>
      </w:pPr>
      <w:r w:rsidRPr="00194BF9">
        <w:t>Roebourne (WA): 25 July 2013</w:t>
      </w:r>
    </w:p>
    <w:p w:rsidR="00194BF9" w:rsidRPr="00194BF9" w:rsidRDefault="00194BF9" w:rsidP="00194BF9">
      <w:pPr>
        <w:spacing w:before="0" w:after="0"/>
      </w:pPr>
      <w:r w:rsidRPr="00194BF9">
        <w:t>Katherine (NT): 31 July 2013</w:t>
      </w:r>
    </w:p>
    <w:p w:rsidR="00037A89" w:rsidRDefault="00037A89" w:rsidP="00037A89">
      <w:pPr>
        <w:spacing w:before="0" w:after="0"/>
      </w:pPr>
      <w:r>
        <w:t>Darwin (NT): 1 August 201</w:t>
      </w:r>
      <w:r w:rsidR="00EC7604">
        <w:t>3</w:t>
      </w:r>
    </w:p>
    <w:p w:rsidR="00037A89" w:rsidRDefault="00037A89" w:rsidP="00037A89">
      <w:pPr>
        <w:spacing w:before="0" w:after="0"/>
      </w:pPr>
    </w:p>
    <w:p w:rsidR="00037A89" w:rsidRDefault="00194BF9" w:rsidP="00037A89">
      <w:pPr>
        <w:spacing w:before="0" w:after="0"/>
        <w:rPr>
          <w:b/>
          <w:color w:val="000000"/>
        </w:rPr>
      </w:pPr>
      <w:r w:rsidRPr="00194BF9">
        <w:rPr>
          <w:b/>
          <w:color w:val="000000"/>
        </w:rPr>
        <w:t xml:space="preserve">List of Submissions </w:t>
      </w:r>
    </w:p>
    <w:p w:rsidR="00374263" w:rsidRPr="00374263" w:rsidRDefault="00374263" w:rsidP="00374263">
      <w:pPr>
        <w:spacing w:before="0" w:after="0"/>
        <w:rPr>
          <w:color w:val="000000"/>
        </w:rPr>
      </w:pPr>
      <w:r w:rsidRPr="00374263">
        <w:rPr>
          <w:color w:val="000000"/>
        </w:rPr>
        <w:t>Aboriginal Legal Service of Western Australia</w:t>
      </w:r>
    </w:p>
    <w:p w:rsidR="00374263" w:rsidRPr="00374263" w:rsidRDefault="00374263" w:rsidP="00374263">
      <w:pPr>
        <w:spacing w:before="0" w:after="0"/>
        <w:rPr>
          <w:color w:val="000000"/>
        </w:rPr>
      </w:pPr>
      <w:r w:rsidRPr="00374263">
        <w:rPr>
          <w:color w:val="000000"/>
        </w:rPr>
        <w:t>ACT Children &amp; Young People Commissioner</w:t>
      </w:r>
    </w:p>
    <w:p w:rsidR="00374263" w:rsidRPr="00374263" w:rsidRDefault="00374263" w:rsidP="00374263">
      <w:pPr>
        <w:spacing w:before="0" w:after="0"/>
        <w:rPr>
          <w:color w:val="000000"/>
        </w:rPr>
      </w:pPr>
      <w:r w:rsidRPr="00374263">
        <w:rPr>
          <w:color w:val="000000"/>
        </w:rPr>
        <w:t>ADACAS &amp; Fiona May</w:t>
      </w:r>
    </w:p>
    <w:p w:rsidR="00374263" w:rsidRPr="00374263" w:rsidRDefault="00374263" w:rsidP="00374263">
      <w:pPr>
        <w:spacing w:before="0" w:after="0"/>
        <w:rPr>
          <w:color w:val="000000"/>
        </w:rPr>
      </w:pPr>
      <w:r w:rsidRPr="00374263">
        <w:rPr>
          <w:color w:val="000000"/>
        </w:rPr>
        <w:t>Advocacy for Inclusion</w:t>
      </w:r>
    </w:p>
    <w:p w:rsidR="00374263" w:rsidRPr="00374263" w:rsidRDefault="00374263" w:rsidP="00374263">
      <w:pPr>
        <w:spacing w:before="0" w:after="0"/>
        <w:rPr>
          <w:color w:val="000000"/>
        </w:rPr>
      </w:pPr>
      <w:r w:rsidRPr="00374263">
        <w:rPr>
          <w:color w:val="000000"/>
        </w:rPr>
        <w:t>Australian Community Support Organisation (ASCO)</w:t>
      </w:r>
    </w:p>
    <w:p w:rsidR="00F03BCE" w:rsidRDefault="00F03BCE" w:rsidP="00374263">
      <w:pPr>
        <w:spacing w:before="0" w:after="0"/>
        <w:rPr>
          <w:color w:val="000000"/>
        </w:rPr>
      </w:pPr>
      <w:r>
        <w:rPr>
          <w:color w:val="000000"/>
        </w:rPr>
        <w:t xml:space="preserve">Autism </w:t>
      </w:r>
      <w:proofErr w:type="spellStart"/>
      <w:r>
        <w:rPr>
          <w:color w:val="000000"/>
        </w:rPr>
        <w:t>Aspergers</w:t>
      </w:r>
      <w:proofErr w:type="spellEnd"/>
      <w:r>
        <w:rPr>
          <w:color w:val="000000"/>
        </w:rPr>
        <w:t xml:space="preserve"> Advocacy Australia (A4)</w:t>
      </w:r>
    </w:p>
    <w:p w:rsidR="00374263" w:rsidRPr="00374263" w:rsidRDefault="00374263" w:rsidP="00374263">
      <w:pPr>
        <w:spacing w:before="0" w:after="0"/>
        <w:rPr>
          <w:color w:val="000000"/>
        </w:rPr>
      </w:pPr>
      <w:r w:rsidRPr="00374263">
        <w:rPr>
          <w:color w:val="000000"/>
        </w:rPr>
        <w:t>CASS Care</w:t>
      </w:r>
    </w:p>
    <w:p w:rsidR="00374263" w:rsidRPr="00374263" w:rsidRDefault="00374263" w:rsidP="00374263">
      <w:pPr>
        <w:spacing w:before="0" w:after="0"/>
        <w:rPr>
          <w:color w:val="000000"/>
        </w:rPr>
      </w:pPr>
      <w:r w:rsidRPr="00374263">
        <w:rPr>
          <w:color w:val="000000"/>
        </w:rPr>
        <w:t>Central Australian Aboriginal Legal Aid Service Inc.</w:t>
      </w:r>
    </w:p>
    <w:p w:rsidR="00374263" w:rsidRPr="00374263" w:rsidRDefault="00374263" w:rsidP="00374263">
      <w:pPr>
        <w:spacing w:before="0" w:after="0"/>
        <w:rPr>
          <w:color w:val="000000"/>
        </w:rPr>
      </w:pPr>
      <w:r w:rsidRPr="00374263">
        <w:rPr>
          <w:color w:val="000000"/>
        </w:rPr>
        <w:t>Children with Disability Australia</w:t>
      </w:r>
    </w:p>
    <w:p w:rsidR="00374263" w:rsidRPr="00374263" w:rsidRDefault="00374263" w:rsidP="00374263">
      <w:pPr>
        <w:spacing w:before="0" w:after="0"/>
        <w:rPr>
          <w:color w:val="000000"/>
        </w:rPr>
      </w:pPr>
      <w:r w:rsidRPr="00374263">
        <w:rPr>
          <w:color w:val="000000"/>
        </w:rPr>
        <w:t>Commissioner for Children and Young People Western Australia</w:t>
      </w:r>
    </w:p>
    <w:p w:rsidR="00374263" w:rsidRPr="00374263" w:rsidRDefault="00374263" w:rsidP="00374263">
      <w:pPr>
        <w:spacing w:before="0" w:after="0"/>
        <w:rPr>
          <w:color w:val="000000"/>
        </w:rPr>
      </w:pPr>
      <w:r w:rsidRPr="00374263">
        <w:rPr>
          <w:color w:val="000000"/>
        </w:rPr>
        <w:t>Communication Rights Australia</w:t>
      </w:r>
    </w:p>
    <w:p w:rsidR="00374263" w:rsidRPr="00374263" w:rsidRDefault="00374263" w:rsidP="00374263">
      <w:pPr>
        <w:spacing w:before="0" w:after="0"/>
        <w:rPr>
          <w:color w:val="000000"/>
        </w:rPr>
      </w:pPr>
      <w:r w:rsidRPr="00374263">
        <w:rPr>
          <w:color w:val="000000"/>
        </w:rPr>
        <w:t>Corrigan, G.</w:t>
      </w:r>
    </w:p>
    <w:p w:rsidR="00374263" w:rsidRDefault="00374263" w:rsidP="00374263">
      <w:pPr>
        <w:spacing w:before="0" w:after="0"/>
        <w:rPr>
          <w:color w:val="000000"/>
        </w:rPr>
      </w:pPr>
      <w:r w:rsidRPr="00374263">
        <w:rPr>
          <w:color w:val="000000"/>
        </w:rPr>
        <w:t>Deaf Services Queensland</w:t>
      </w:r>
    </w:p>
    <w:p w:rsidR="00875246" w:rsidRPr="00374263" w:rsidRDefault="00875246" w:rsidP="00374263">
      <w:pPr>
        <w:spacing w:before="0" w:after="0"/>
        <w:rPr>
          <w:color w:val="000000"/>
        </w:rPr>
      </w:pPr>
      <w:r>
        <w:rPr>
          <w:color w:val="000000"/>
        </w:rPr>
        <w:t>Deaf Society of New South Wales</w:t>
      </w:r>
    </w:p>
    <w:p w:rsidR="00374263" w:rsidRPr="00374263" w:rsidRDefault="00374263" w:rsidP="00374263">
      <w:pPr>
        <w:spacing w:before="0" w:after="0"/>
        <w:rPr>
          <w:color w:val="000000"/>
        </w:rPr>
      </w:pPr>
      <w:r w:rsidRPr="00374263">
        <w:rPr>
          <w:color w:val="000000"/>
        </w:rPr>
        <w:t>Disability Advocacy Victoria Inc.</w:t>
      </w:r>
    </w:p>
    <w:p w:rsidR="00374263" w:rsidRPr="00374263" w:rsidRDefault="00374263" w:rsidP="00374263">
      <w:pPr>
        <w:spacing w:before="0" w:after="0"/>
        <w:rPr>
          <w:color w:val="000000"/>
        </w:rPr>
      </w:pPr>
      <w:r w:rsidRPr="00374263">
        <w:rPr>
          <w:color w:val="000000"/>
        </w:rPr>
        <w:t>Disability Rights Advocacy Service</w:t>
      </w:r>
      <w:r w:rsidR="00F03BCE">
        <w:rPr>
          <w:color w:val="000000"/>
        </w:rPr>
        <w:t xml:space="preserve"> </w:t>
      </w:r>
      <w:proofErr w:type="spellStart"/>
      <w:r w:rsidR="00F03BCE">
        <w:rPr>
          <w:color w:val="000000"/>
        </w:rPr>
        <w:t>Inc</w:t>
      </w:r>
      <w:proofErr w:type="spellEnd"/>
    </w:p>
    <w:p w:rsidR="00374263" w:rsidRPr="00374263" w:rsidRDefault="00374263" w:rsidP="00374263">
      <w:pPr>
        <w:spacing w:before="0" w:after="0"/>
        <w:rPr>
          <w:color w:val="000000"/>
        </w:rPr>
      </w:pPr>
      <w:r w:rsidRPr="00374263">
        <w:rPr>
          <w:color w:val="000000"/>
        </w:rPr>
        <w:t>'Emily'</w:t>
      </w:r>
    </w:p>
    <w:p w:rsidR="00374263" w:rsidRPr="00374263" w:rsidRDefault="00864BAE" w:rsidP="00374263">
      <w:pPr>
        <w:spacing w:before="0" w:after="0"/>
        <w:rPr>
          <w:color w:val="000000"/>
        </w:rPr>
      </w:pPr>
      <w:r>
        <w:rPr>
          <w:color w:val="000000"/>
        </w:rPr>
        <w:t>Flat Out</w:t>
      </w:r>
    </w:p>
    <w:p w:rsidR="00374263" w:rsidRPr="00374263" w:rsidRDefault="00374263" w:rsidP="00374263">
      <w:pPr>
        <w:spacing w:before="0" w:after="0"/>
        <w:rPr>
          <w:color w:val="000000"/>
        </w:rPr>
      </w:pPr>
      <w:r w:rsidRPr="00374263">
        <w:rPr>
          <w:color w:val="000000"/>
        </w:rPr>
        <w:t>Galway, J.</w:t>
      </w:r>
    </w:p>
    <w:p w:rsidR="00374263" w:rsidRPr="00374263" w:rsidRDefault="00374263" w:rsidP="00374263">
      <w:pPr>
        <w:spacing w:before="0" w:after="0"/>
        <w:rPr>
          <w:color w:val="000000"/>
        </w:rPr>
      </w:pPr>
      <w:r w:rsidRPr="00374263">
        <w:rPr>
          <w:color w:val="000000"/>
        </w:rPr>
        <w:t>Hansen, C.</w:t>
      </w:r>
    </w:p>
    <w:p w:rsidR="00374263" w:rsidRPr="00374263" w:rsidRDefault="00374263" w:rsidP="00374263">
      <w:pPr>
        <w:spacing w:before="0" w:after="0"/>
        <w:rPr>
          <w:color w:val="000000"/>
        </w:rPr>
      </w:pPr>
      <w:r w:rsidRPr="00374263">
        <w:rPr>
          <w:color w:val="000000"/>
        </w:rPr>
        <w:t>Intellectual Disability Rights Service - Criminal Justice Support Network</w:t>
      </w:r>
    </w:p>
    <w:p w:rsidR="00374263" w:rsidRPr="00374263" w:rsidRDefault="00374263" w:rsidP="00374263">
      <w:pPr>
        <w:spacing w:before="0" w:after="0"/>
        <w:rPr>
          <w:color w:val="000000"/>
        </w:rPr>
      </w:pPr>
      <w:r w:rsidRPr="00374263">
        <w:rPr>
          <w:color w:val="000000"/>
        </w:rPr>
        <w:t>'Jennifer'</w:t>
      </w:r>
    </w:p>
    <w:p w:rsidR="00374263" w:rsidRPr="00374263" w:rsidRDefault="00374263" w:rsidP="00374263">
      <w:pPr>
        <w:spacing w:before="0" w:after="0"/>
        <w:rPr>
          <w:color w:val="000000"/>
        </w:rPr>
      </w:pPr>
      <w:r w:rsidRPr="00374263">
        <w:rPr>
          <w:color w:val="000000"/>
        </w:rPr>
        <w:t>'Julie'</w:t>
      </w:r>
    </w:p>
    <w:p w:rsidR="00374263" w:rsidRPr="00374263" w:rsidRDefault="00374263" w:rsidP="00374263">
      <w:pPr>
        <w:spacing w:before="0" w:after="0"/>
        <w:rPr>
          <w:color w:val="000000"/>
        </w:rPr>
      </w:pPr>
      <w:r w:rsidRPr="00374263">
        <w:rPr>
          <w:color w:val="000000"/>
        </w:rPr>
        <w:t>Law Council of Australia</w:t>
      </w:r>
    </w:p>
    <w:p w:rsidR="00374263" w:rsidRPr="00374263" w:rsidRDefault="00374263" w:rsidP="00374263">
      <w:pPr>
        <w:spacing w:before="0" w:after="0"/>
        <w:rPr>
          <w:color w:val="000000"/>
        </w:rPr>
      </w:pPr>
      <w:r w:rsidRPr="00374263">
        <w:rPr>
          <w:color w:val="000000"/>
        </w:rPr>
        <w:t>Law Institute of Victoria</w:t>
      </w:r>
    </w:p>
    <w:p w:rsidR="00374263" w:rsidRPr="00374263" w:rsidRDefault="00374263" w:rsidP="00374263">
      <w:pPr>
        <w:spacing w:before="0" w:after="0"/>
        <w:rPr>
          <w:color w:val="000000"/>
        </w:rPr>
      </w:pPr>
      <w:r w:rsidRPr="00374263">
        <w:rPr>
          <w:color w:val="000000"/>
        </w:rPr>
        <w:t>Legal Aid WA</w:t>
      </w:r>
    </w:p>
    <w:p w:rsidR="00374263" w:rsidRPr="00374263" w:rsidRDefault="00374263" w:rsidP="00374263">
      <w:pPr>
        <w:spacing w:before="0" w:after="0"/>
        <w:rPr>
          <w:color w:val="000000"/>
        </w:rPr>
      </w:pPr>
      <w:r w:rsidRPr="00374263">
        <w:rPr>
          <w:color w:val="000000"/>
        </w:rPr>
        <w:t>'Mary'</w:t>
      </w:r>
    </w:p>
    <w:p w:rsidR="00374263" w:rsidRPr="00374263" w:rsidRDefault="00F03BCE" w:rsidP="00374263">
      <w:pPr>
        <w:spacing w:before="0" w:after="0"/>
        <w:rPr>
          <w:color w:val="000000"/>
        </w:rPr>
      </w:pPr>
      <w:r>
        <w:rPr>
          <w:color w:val="000000"/>
        </w:rPr>
        <w:lastRenderedPageBreak/>
        <w:t>National Aboriginal and</w:t>
      </w:r>
      <w:r w:rsidR="00374263" w:rsidRPr="00374263">
        <w:rPr>
          <w:color w:val="000000"/>
        </w:rPr>
        <w:t xml:space="preserve"> Torres Strait Islander Legal Services (NATSILS)</w:t>
      </w:r>
    </w:p>
    <w:p w:rsidR="00374263" w:rsidRPr="00374263" w:rsidRDefault="00374263" w:rsidP="00374263">
      <w:pPr>
        <w:spacing w:before="0" w:after="0"/>
        <w:rPr>
          <w:color w:val="000000"/>
        </w:rPr>
      </w:pPr>
      <w:r w:rsidRPr="00374263">
        <w:rPr>
          <w:color w:val="000000"/>
        </w:rPr>
        <w:t>National Association of Community Legal Centres and Queensland As</w:t>
      </w:r>
      <w:r w:rsidR="007A2C96">
        <w:rPr>
          <w:color w:val="000000"/>
        </w:rPr>
        <w:t>sociation of Independent Legal S</w:t>
      </w:r>
      <w:r w:rsidRPr="00374263">
        <w:rPr>
          <w:color w:val="000000"/>
        </w:rPr>
        <w:t>ervices</w:t>
      </w:r>
    </w:p>
    <w:p w:rsidR="00374263" w:rsidRPr="00374263" w:rsidRDefault="00374263" w:rsidP="00374263">
      <w:pPr>
        <w:spacing w:before="0" w:after="0"/>
        <w:rPr>
          <w:color w:val="000000"/>
        </w:rPr>
      </w:pPr>
      <w:r w:rsidRPr="00374263">
        <w:rPr>
          <w:color w:val="000000"/>
        </w:rPr>
        <w:t>NCID</w:t>
      </w:r>
    </w:p>
    <w:p w:rsidR="00374263" w:rsidRPr="00374263" w:rsidRDefault="00374263" w:rsidP="00374263">
      <w:pPr>
        <w:spacing w:before="0" w:after="0"/>
        <w:rPr>
          <w:color w:val="000000"/>
        </w:rPr>
      </w:pPr>
      <w:r w:rsidRPr="00374263">
        <w:rPr>
          <w:color w:val="000000"/>
        </w:rPr>
        <w:t>North Australian Aboriginal Justice Agency</w:t>
      </w:r>
    </w:p>
    <w:p w:rsidR="00374263" w:rsidRPr="00374263" w:rsidRDefault="00374263" w:rsidP="00374263">
      <w:pPr>
        <w:spacing w:before="0" w:after="0"/>
        <w:rPr>
          <w:color w:val="000000"/>
        </w:rPr>
      </w:pPr>
      <w:r w:rsidRPr="00374263">
        <w:rPr>
          <w:color w:val="000000"/>
        </w:rPr>
        <w:t>Northern Territory Department of the Attorney-General and Justice</w:t>
      </w:r>
    </w:p>
    <w:p w:rsidR="00374263" w:rsidRPr="00374263" w:rsidRDefault="00374263" w:rsidP="00374263">
      <w:pPr>
        <w:spacing w:before="0" w:after="0"/>
        <w:rPr>
          <w:color w:val="000000"/>
        </w:rPr>
      </w:pPr>
      <w:r w:rsidRPr="00374263">
        <w:rPr>
          <w:color w:val="000000"/>
        </w:rPr>
        <w:t>NSW Government</w:t>
      </w:r>
    </w:p>
    <w:p w:rsidR="00374263" w:rsidRPr="00374263" w:rsidRDefault="00374263" w:rsidP="00374263">
      <w:pPr>
        <w:spacing w:before="0" w:after="0"/>
        <w:rPr>
          <w:color w:val="000000"/>
        </w:rPr>
      </w:pPr>
      <w:r w:rsidRPr="00374263">
        <w:rPr>
          <w:color w:val="000000"/>
        </w:rPr>
        <w:t>Office of the Public Advocate (Queensland)</w:t>
      </w:r>
    </w:p>
    <w:p w:rsidR="00374263" w:rsidRPr="00374263" w:rsidRDefault="00374263" w:rsidP="00374263">
      <w:pPr>
        <w:spacing w:before="0" w:after="0"/>
        <w:rPr>
          <w:color w:val="000000"/>
        </w:rPr>
      </w:pPr>
      <w:r w:rsidRPr="00374263">
        <w:rPr>
          <w:color w:val="000000"/>
        </w:rPr>
        <w:t>People with Disability Australia Incorporated</w:t>
      </w:r>
    </w:p>
    <w:p w:rsidR="00374263" w:rsidRPr="00374263" w:rsidRDefault="00374263" w:rsidP="00374263">
      <w:pPr>
        <w:spacing w:before="0" w:after="0"/>
        <w:rPr>
          <w:color w:val="000000"/>
        </w:rPr>
      </w:pPr>
      <w:r w:rsidRPr="00374263">
        <w:rPr>
          <w:color w:val="000000"/>
        </w:rPr>
        <w:t>Physical Disability Council of NSW</w:t>
      </w:r>
    </w:p>
    <w:p w:rsidR="00374263" w:rsidRPr="00374263" w:rsidRDefault="00374263" w:rsidP="00374263">
      <w:pPr>
        <w:spacing w:before="0" w:after="0"/>
        <w:rPr>
          <w:color w:val="000000"/>
        </w:rPr>
      </w:pPr>
      <w:r w:rsidRPr="00374263">
        <w:rPr>
          <w:color w:val="000000"/>
        </w:rPr>
        <w:t>Public Interest Advocacy Centre</w:t>
      </w:r>
    </w:p>
    <w:p w:rsidR="00374263" w:rsidRPr="00374263" w:rsidRDefault="00374263" w:rsidP="00374263">
      <w:pPr>
        <w:spacing w:before="0" w:after="0"/>
        <w:rPr>
          <w:color w:val="000000"/>
        </w:rPr>
      </w:pPr>
      <w:r w:rsidRPr="00374263">
        <w:rPr>
          <w:color w:val="000000"/>
        </w:rPr>
        <w:t>Queensland Advocacy Incorporated</w:t>
      </w:r>
    </w:p>
    <w:p w:rsidR="00374263" w:rsidRPr="00374263" w:rsidRDefault="00374263" w:rsidP="00374263">
      <w:pPr>
        <w:spacing w:before="0" w:after="0"/>
        <w:rPr>
          <w:color w:val="000000"/>
        </w:rPr>
      </w:pPr>
      <w:r w:rsidRPr="00374263">
        <w:rPr>
          <w:color w:val="000000"/>
        </w:rPr>
        <w:t>Queensland Law Society</w:t>
      </w:r>
    </w:p>
    <w:p w:rsidR="00374263" w:rsidRPr="00374263" w:rsidRDefault="00374263" w:rsidP="00374263">
      <w:pPr>
        <w:spacing w:before="0" w:after="0"/>
        <w:rPr>
          <w:color w:val="000000"/>
        </w:rPr>
      </w:pPr>
      <w:r w:rsidRPr="00374263">
        <w:rPr>
          <w:color w:val="000000"/>
        </w:rPr>
        <w:t>Sisters Inside</w:t>
      </w:r>
    </w:p>
    <w:p w:rsidR="00374263" w:rsidRPr="00374263" w:rsidRDefault="00374263" w:rsidP="00374263">
      <w:pPr>
        <w:spacing w:before="0" w:after="0"/>
        <w:rPr>
          <w:color w:val="000000"/>
        </w:rPr>
      </w:pPr>
      <w:r w:rsidRPr="00374263">
        <w:rPr>
          <w:color w:val="000000"/>
        </w:rPr>
        <w:t xml:space="preserve">South Eastern Centre </w:t>
      </w:r>
      <w:proofErr w:type="gramStart"/>
      <w:r w:rsidRPr="00374263">
        <w:rPr>
          <w:color w:val="000000"/>
        </w:rPr>
        <w:t>Against</w:t>
      </w:r>
      <w:proofErr w:type="gramEnd"/>
      <w:r w:rsidRPr="00374263">
        <w:rPr>
          <w:color w:val="000000"/>
        </w:rPr>
        <w:t xml:space="preserve"> Sexual Assault</w:t>
      </w:r>
    </w:p>
    <w:p w:rsidR="00374263" w:rsidRPr="00374263" w:rsidRDefault="00374263" w:rsidP="00374263">
      <w:pPr>
        <w:spacing w:before="0" w:after="0"/>
        <w:rPr>
          <w:color w:val="000000"/>
        </w:rPr>
      </w:pPr>
      <w:r w:rsidRPr="00374263">
        <w:rPr>
          <w:color w:val="000000"/>
        </w:rPr>
        <w:t>Speech Pathology Australia</w:t>
      </w:r>
    </w:p>
    <w:p w:rsidR="00374263" w:rsidRPr="00374263" w:rsidRDefault="00374263" w:rsidP="00374263">
      <w:pPr>
        <w:spacing w:before="0" w:after="0"/>
        <w:rPr>
          <w:color w:val="000000"/>
        </w:rPr>
      </w:pPr>
      <w:r w:rsidRPr="00374263">
        <w:rPr>
          <w:color w:val="000000"/>
        </w:rPr>
        <w:t>TASC</w:t>
      </w:r>
    </w:p>
    <w:p w:rsidR="00374263" w:rsidRPr="00374263" w:rsidRDefault="00374263" w:rsidP="00374263">
      <w:pPr>
        <w:spacing w:before="0" w:after="0"/>
        <w:rPr>
          <w:color w:val="000000"/>
        </w:rPr>
      </w:pPr>
      <w:r w:rsidRPr="00374263">
        <w:rPr>
          <w:color w:val="000000"/>
        </w:rPr>
        <w:t>Tasmanian Attorney-General and Minister for Justice</w:t>
      </w:r>
    </w:p>
    <w:p w:rsidR="00374263" w:rsidRPr="00374263" w:rsidRDefault="00374263" w:rsidP="00374263">
      <w:pPr>
        <w:spacing w:before="0" w:after="0"/>
        <w:rPr>
          <w:color w:val="000000"/>
        </w:rPr>
      </w:pPr>
      <w:r w:rsidRPr="00374263">
        <w:rPr>
          <w:color w:val="000000"/>
        </w:rPr>
        <w:t>The Information Access Group</w:t>
      </w:r>
    </w:p>
    <w:p w:rsidR="00374263" w:rsidRPr="00374263" w:rsidRDefault="00374263" w:rsidP="00374263">
      <w:pPr>
        <w:spacing w:before="0" w:after="0"/>
        <w:rPr>
          <w:color w:val="000000"/>
        </w:rPr>
      </w:pPr>
      <w:proofErr w:type="spellStart"/>
      <w:r w:rsidRPr="00374263">
        <w:rPr>
          <w:color w:val="000000"/>
        </w:rPr>
        <w:t>UnitingCare</w:t>
      </w:r>
      <w:proofErr w:type="spellEnd"/>
      <w:r w:rsidRPr="00374263">
        <w:rPr>
          <w:color w:val="000000"/>
        </w:rPr>
        <w:t xml:space="preserve"> Children, Young People and Families</w:t>
      </w:r>
    </w:p>
    <w:p w:rsidR="00374263" w:rsidRPr="00374263" w:rsidRDefault="00374263" w:rsidP="00374263">
      <w:pPr>
        <w:spacing w:before="0" w:after="0"/>
        <w:rPr>
          <w:color w:val="000000"/>
        </w:rPr>
      </w:pPr>
      <w:proofErr w:type="gramStart"/>
      <w:r w:rsidRPr="00374263">
        <w:rPr>
          <w:color w:val="000000"/>
        </w:rPr>
        <w:t>Victorian Coalition of ABI Service Providers Inc.</w:t>
      </w:r>
      <w:proofErr w:type="gramEnd"/>
    </w:p>
    <w:p w:rsidR="00374263" w:rsidRPr="00374263" w:rsidRDefault="00374263" w:rsidP="00374263">
      <w:pPr>
        <w:spacing w:before="0" w:after="0"/>
        <w:rPr>
          <w:color w:val="000000"/>
        </w:rPr>
      </w:pPr>
      <w:r w:rsidRPr="00374263">
        <w:rPr>
          <w:color w:val="000000"/>
        </w:rPr>
        <w:t xml:space="preserve">Women with Disabilities WA </w:t>
      </w:r>
      <w:proofErr w:type="spellStart"/>
      <w:r w:rsidRPr="00374263">
        <w:rPr>
          <w:color w:val="000000"/>
        </w:rPr>
        <w:t>Inc</w:t>
      </w:r>
      <w:proofErr w:type="spellEnd"/>
    </w:p>
    <w:p w:rsidR="00374263" w:rsidRPr="00374263" w:rsidRDefault="00374263" w:rsidP="00374263">
      <w:pPr>
        <w:spacing w:before="0" w:after="0"/>
        <w:rPr>
          <w:color w:val="000000"/>
        </w:rPr>
      </w:pPr>
      <w:r w:rsidRPr="00374263">
        <w:rPr>
          <w:color w:val="000000"/>
        </w:rPr>
        <w:t>Women</w:t>
      </w:r>
      <w:r w:rsidR="00864BAE">
        <w:rPr>
          <w:color w:val="000000"/>
        </w:rPr>
        <w:t>’</w:t>
      </w:r>
      <w:r w:rsidRPr="00374263">
        <w:rPr>
          <w:color w:val="000000"/>
        </w:rPr>
        <w:t>s Legal Service Inc. Brisbane</w:t>
      </w:r>
    </w:p>
    <w:p w:rsidR="00374263" w:rsidRPr="00374263" w:rsidRDefault="00374263" w:rsidP="00374263">
      <w:pPr>
        <w:spacing w:before="0" w:after="0"/>
        <w:rPr>
          <w:color w:val="000000"/>
        </w:rPr>
      </w:pPr>
      <w:r w:rsidRPr="00374263">
        <w:rPr>
          <w:color w:val="000000"/>
        </w:rPr>
        <w:t>WWILD Sexual Violence Prevention Service</w:t>
      </w:r>
    </w:p>
    <w:p w:rsidR="006A0912" w:rsidRDefault="00037A89" w:rsidP="00037A89">
      <w:pPr>
        <w:spacing w:before="0" w:after="0"/>
        <w:rPr>
          <w:color w:val="000000"/>
        </w:rPr>
      </w:pPr>
      <w:r w:rsidRPr="00037A89">
        <w:rPr>
          <w:color w:val="000000"/>
        </w:rPr>
        <w:t xml:space="preserve">Anonymous X </w:t>
      </w:r>
      <w:r w:rsidR="005D2EB4">
        <w:rPr>
          <w:color w:val="000000"/>
        </w:rPr>
        <w:t>11</w:t>
      </w:r>
    </w:p>
    <w:p w:rsidR="00037A89" w:rsidRPr="00037A89" w:rsidRDefault="00BF670F" w:rsidP="00037A89">
      <w:pPr>
        <w:spacing w:before="0" w:after="0"/>
        <w:rPr>
          <w:color w:val="000000"/>
        </w:rPr>
      </w:pPr>
      <w:r>
        <w:rPr>
          <w:color w:val="000000"/>
        </w:rPr>
        <w:t>Confidential X</w:t>
      </w:r>
      <w:r w:rsidR="00B91416">
        <w:rPr>
          <w:color w:val="000000"/>
        </w:rPr>
        <w:t xml:space="preserve"> </w:t>
      </w:r>
      <w:r w:rsidR="005D2EB4">
        <w:rPr>
          <w:color w:val="000000"/>
        </w:rPr>
        <w:t>2</w:t>
      </w:r>
      <w:r w:rsidR="00523780">
        <w:rPr>
          <w:color w:val="000000"/>
        </w:rPr>
        <w:t>7</w:t>
      </w:r>
    </w:p>
    <w:p w:rsidR="00194BF9" w:rsidRPr="00194BF9" w:rsidRDefault="00194BF9" w:rsidP="00194BF9"/>
    <w:p w:rsidR="00194BF9" w:rsidRPr="00194BF9" w:rsidRDefault="00E847D8" w:rsidP="00194BF9">
      <w:pPr>
        <w:sectPr w:rsidR="00194BF9" w:rsidRPr="00194BF9" w:rsidSect="002D53FE">
          <w:endnotePr>
            <w:numFmt w:val="decimal"/>
          </w:endnotePr>
          <w:pgSz w:w="11906" w:h="16838" w:code="9"/>
          <w:pgMar w:top="1134" w:right="1418" w:bottom="1134" w:left="1418" w:header="709" w:footer="709" w:gutter="0"/>
          <w:cols w:space="708"/>
          <w:docGrid w:linePitch="360"/>
        </w:sectPr>
      </w:pPr>
      <w:r>
        <w:t xml:space="preserve">  </w:t>
      </w:r>
    </w:p>
    <w:p w:rsidR="00FA444C" w:rsidRPr="00FA444C" w:rsidRDefault="00FA444C" w:rsidP="00FA444C"/>
    <w:sectPr w:rsidR="00FA444C" w:rsidRPr="00FA444C" w:rsidSect="002D53FE">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BCE" w:rsidRDefault="00F03BCE" w:rsidP="00F14C6D">
      <w:r>
        <w:separator/>
      </w:r>
    </w:p>
  </w:endnote>
  <w:endnote w:type="continuationSeparator" w:id="0">
    <w:p w:rsidR="00F03BCE" w:rsidRDefault="00F03BCE" w:rsidP="00F14C6D">
      <w:r>
        <w:continuationSeparator/>
      </w:r>
    </w:p>
  </w:endnote>
  <w:endnote w:id="1">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See Appendix B to this report.</w:t>
      </w:r>
    </w:p>
  </w:endnote>
  <w:endnote w:id="2">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See Australian Human Rights Commission, </w:t>
      </w:r>
      <w:r w:rsidRPr="0071143A">
        <w:rPr>
          <w:rFonts w:cs="Arial"/>
          <w:i/>
          <w:sz w:val="24"/>
          <w:szCs w:val="24"/>
        </w:rPr>
        <w:t>Access to justice in the criminal justice system for people with disability</w:t>
      </w:r>
      <w:r w:rsidRPr="0071143A">
        <w:rPr>
          <w:rFonts w:cs="Arial"/>
          <w:sz w:val="24"/>
          <w:szCs w:val="24"/>
        </w:rPr>
        <w:t xml:space="preserve">, Issues Paper (April 2013) for an extended description of these barriers and the issues they raise. At </w:t>
      </w:r>
      <w:hyperlink r:id="rId1" w:history="1">
        <w:r w:rsidRPr="0071143A">
          <w:rPr>
            <w:rStyle w:val="Hyperlink"/>
            <w:rFonts w:cs="Arial"/>
            <w:sz w:val="24"/>
            <w:szCs w:val="24"/>
          </w:rPr>
          <w:t>http://www.humanrights.gov.au/publications/access-justice-criminal-justice-system-people-disability-issues-paper-april-2013</w:t>
        </w:r>
      </w:hyperlink>
      <w:r w:rsidRPr="0071143A">
        <w:rPr>
          <w:rFonts w:cs="Arial"/>
          <w:sz w:val="24"/>
          <w:szCs w:val="24"/>
        </w:rPr>
        <w:t xml:space="preserve"> (viewed 24 January 2014). </w:t>
      </w:r>
    </w:p>
  </w:endnote>
  <w:endnote w:id="3">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See Appendix B to this report.</w:t>
      </w:r>
    </w:p>
  </w:endnote>
  <w:endnote w:id="4">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lang w:val="fr-FR"/>
        </w:rPr>
        <w:t xml:space="preserve"> </w:t>
      </w:r>
      <w:proofErr w:type="spellStart"/>
      <w:r w:rsidRPr="0071143A">
        <w:rPr>
          <w:rFonts w:cs="Arial"/>
          <w:sz w:val="24"/>
          <w:szCs w:val="24"/>
          <w:lang w:val="fr-FR"/>
        </w:rPr>
        <w:t>Pricewaterhouse</w:t>
      </w:r>
      <w:proofErr w:type="spellEnd"/>
      <w:r w:rsidRPr="0071143A">
        <w:rPr>
          <w:rFonts w:cs="Arial"/>
          <w:sz w:val="24"/>
          <w:szCs w:val="24"/>
          <w:lang w:val="fr-FR"/>
        </w:rPr>
        <w:t xml:space="preserve"> </w:t>
      </w:r>
      <w:proofErr w:type="spellStart"/>
      <w:r w:rsidRPr="0071143A">
        <w:rPr>
          <w:rFonts w:cs="Arial"/>
          <w:sz w:val="24"/>
          <w:szCs w:val="24"/>
          <w:lang w:val="fr-FR"/>
        </w:rPr>
        <w:t>Coopers</w:t>
      </w:r>
      <w:proofErr w:type="spellEnd"/>
      <w:r w:rsidRPr="0071143A">
        <w:rPr>
          <w:rFonts w:cs="Arial"/>
          <w:sz w:val="24"/>
          <w:szCs w:val="24"/>
          <w:lang w:val="fr-FR"/>
        </w:rPr>
        <w:t xml:space="preserve">, </w:t>
      </w:r>
      <w:proofErr w:type="spellStart"/>
      <w:r w:rsidRPr="0071143A">
        <w:rPr>
          <w:rFonts w:cs="Arial"/>
          <w:i/>
          <w:sz w:val="24"/>
          <w:szCs w:val="24"/>
          <w:lang w:val="fr-FR"/>
        </w:rPr>
        <w:t>Disability</w:t>
      </w:r>
      <w:proofErr w:type="spellEnd"/>
      <w:r w:rsidRPr="0071143A">
        <w:rPr>
          <w:rFonts w:cs="Arial"/>
          <w:i/>
          <w:sz w:val="24"/>
          <w:szCs w:val="24"/>
          <w:lang w:val="fr-FR"/>
        </w:rPr>
        <w:t xml:space="preserve"> expectations : </w:t>
      </w:r>
      <w:proofErr w:type="spellStart"/>
      <w:r w:rsidRPr="0071143A">
        <w:rPr>
          <w:rFonts w:cs="Arial"/>
          <w:i/>
          <w:sz w:val="24"/>
          <w:szCs w:val="24"/>
          <w:lang w:val="fr-FR"/>
        </w:rPr>
        <w:t>Investing</w:t>
      </w:r>
      <w:proofErr w:type="spellEnd"/>
      <w:r w:rsidRPr="0071143A">
        <w:rPr>
          <w:rFonts w:cs="Arial"/>
          <w:i/>
          <w:sz w:val="24"/>
          <w:szCs w:val="24"/>
          <w:lang w:val="fr-FR"/>
        </w:rPr>
        <w:t xml:space="preserve"> in a </w:t>
      </w:r>
      <w:proofErr w:type="spellStart"/>
      <w:r w:rsidRPr="0071143A">
        <w:rPr>
          <w:rFonts w:cs="Arial"/>
          <w:i/>
          <w:sz w:val="24"/>
          <w:szCs w:val="24"/>
          <w:lang w:val="fr-FR"/>
        </w:rPr>
        <w:t>better</w:t>
      </w:r>
      <w:proofErr w:type="spellEnd"/>
      <w:r w:rsidRPr="0071143A">
        <w:rPr>
          <w:rFonts w:cs="Arial"/>
          <w:i/>
          <w:sz w:val="24"/>
          <w:szCs w:val="24"/>
          <w:lang w:val="fr-FR"/>
        </w:rPr>
        <w:t xml:space="preserve"> life, a </w:t>
      </w:r>
      <w:proofErr w:type="spellStart"/>
      <w:r w:rsidRPr="0071143A">
        <w:rPr>
          <w:rFonts w:cs="Arial"/>
          <w:i/>
          <w:sz w:val="24"/>
          <w:szCs w:val="24"/>
          <w:lang w:val="fr-FR"/>
        </w:rPr>
        <w:t>stronger</w:t>
      </w:r>
      <w:proofErr w:type="spellEnd"/>
      <w:r w:rsidRPr="0071143A">
        <w:rPr>
          <w:rFonts w:cs="Arial"/>
          <w:i/>
          <w:sz w:val="24"/>
          <w:szCs w:val="24"/>
          <w:lang w:val="fr-FR"/>
        </w:rPr>
        <w:t xml:space="preserve"> </w:t>
      </w:r>
      <w:proofErr w:type="spellStart"/>
      <w:r w:rsidRPr="0071143A">
        <w:rPr>
          <w:rFonts w:cs="Arial"/>
          <w:i/>
          <w:sz w:val="24"/>
          <w:szCs w:val="24"/>
          <w:lang w:val="fr-FR"/>
        </w:rPr>
        <w:t>Australia</w:t>
      </w:r>
      <w:proofErr w:type="spellEnd"/>
      <w:r w:rsidRPr="0071143A">
        <w:rPr>
          <w:rFonts w:cs="Arial"/>
          <w:sz w:val="24"/>
          <w:szCs w:val="24"/>
          <w:lang w:val="fr-FR"/>
        </w:rPr>
        <w:t xml:space="preserve"> (</w:t>
      </w:r>
      <w:proofErr w:type="spellStart"/>
      <w:r w:rsidRPr="0071143A">
        <w:rPr>
          <w:rFonts w:cs="Arial"/>
          <w:sz w:val="24"/>
          <w:szCs w:val="24"/>
          <w:lang w:val="fr-FR"/>
        </w:rPr>
        <w:t>November</w:t>
      </w:r>
      <w:proofErr w:type="spellEnd"/>
      <w:r w:rsidRPr="0071143A">
        <w:rPr>
          <w:rFonts w:cs="Arial"/>
          <w:sz w:val="24"/>
          <w:szCs w:val="24"/>
          <w:lang w:val="fr-FR"/>
        </w:rPr>
        <w:t xml:space="preserve"> 2011) p 11. </w:t>
      </w:r>
      <w:proofErr w:type="spellStart"/>
      <w:r w:rsidRPr="0071143A">
        <w:rPr>
          <w:rFonts w:cs="Arial"/>
          <w:sz w:val="24"/>
          <w:szCs w:val="24"/>
          <w:lang w:val="fr-FR"/>
        </w:rPr>
        <w:t>At</w:t>
      </w:r>
      <w:proofErr w:type="spellEnd"/>
      <w:r w:rsidRPr="0071143A">
        <w:rPr>
          <w:rFonts w:cs="Arial"/>
          <w:sz w:val="24"/>
          <w:szCs w:val="24"/>
          <w:lang w:val="fr-FR"/>
        </w:rPr>
        <w:t xml:space="preserve">  </w:t>
      </w:r>
      <w:hyperlink r:id="rId2" w:history="1">
        <w:r w:rsidRPr="0071143A">
          <w:rPr>
            <w:rStyle w:val="Hyperlink"/>
            <w:rFonts w:cs="Arial"/>
            <w:sz w:val="24"/>
            <w:szCs w:val="24"/>
            <w:lang w:val="fr-FR"/>
          </w:rPr>
          <w:t>http://www.pwc.com.au/industry/government/publications/disability-in-australia.htm</w:t>
        </w:r>
      </w:hyperlink>
      <w:r w:rsidRPr="0071143A">
        <w:rPr>
          <w:rFonts w:cs="Arial"/>
          <w:sz w:val="24"/>
          <w:szCs w:val="24"/>
          <w:lang w:val="fr-FR"/>
        </w:rPr>
        <w:t xml:space="preserve"> (</w:t>
      </w:r>
      <w:proofErr w:type="spellStart"/>
      <w:r w:rsidRPr="0071143A">
        <w:rPr>
          <w:rFonts w:cs="Arial"/>
          <w:sz w:val="24"/>
          <w:szCs w:val="24"/>
          <w:lang w:val="fr-FR"/>
        </w:rPr>
        <w:t>viewed</w:t>
      </w:r>
      <w:proofErr w:type="spellEnd"/>
      <w:r w:rsidRPr="0071143A">
        <w:rPr>
          <w:rFonts w:cs="Arial"/>
          <w:sz w:val="24"/>
          <w:szCs w:val="24"/>
          <w:lang w:val="fr-FR"/>
        </w:rPr>
        <w:t xml:space="preserve"> 24 </w:t>
      </w:r>
      <w:proofErr w:type="spellStart"/>
      <w:r w:rsidRPr="0071143A">
        <w:rPr>
          <w:rFonts w:cs="Arial"/>
          <w:sz w:val="24"/>
          <w:szCs w:val="24"/>
          <w:lang w:val="fr-FR"/>
        </w:rPr>
        <w:t>January</w:t>
      </w:r>
      <w:proofErr w:type="spellEnd"/>
      <w:r w:rsidRPr="0071143A">
        <w:rPr>
          <w:rFonts w:cs="Arial"/>
          <w:sz w:val="24"/>
          <w:szCs w:val="24"/>
          <w:lang w:val="fr-FR"/>
        </w:rPr>
        <w:t xml:space="preserve"> 2014).</w:t>
      </w:r>
    </w:p>
  </w:endnote>
  <w:endnote w:id="5">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Women With Disabilities Australia, </w:t>
      </w:r>
      <w:r w:rsidRPr="0071143A">
        <w:rPr>
          <w:rFonts w:cs="Arial"/>
          <w:i/>
          <w:sz w:val="24"/>
          <w:szCs w:val="24"/>
        </w:rPr>
        <w:t>Submission to the Australian Government Consultation Paper: Family Violence – Improving Legal Frameworks</w:t>
      </w:r>
      <w:r w:rsidRPr="0071143A">
        <w:rPr>
          <w:rFonts w:cs="Arial"/>
          <w:sz w:val="24"/>
          <w:szCs w:val="24"/>
        </w:rPr>
        <w:t xml:space="preserve"> (June 2010) p 6. At </w:t>
      </w:r>
      <w:hyperlink r:id="rId3" w:history="1">
        <w:r w:rsidRPr="0071143A">
          <w:rPr>
            <w:rStyle w:val="Hyperlink"/>
            <w:rFonts w:cs="Arial"/>
            <w:sz w:val="24"/>
            <w:szCs w:val="24"/>
          </w:rPr>
          <w:t>http://www.wwda.org.au/subs2006.htm</w:t>
        </w:r>
      </w:hyperlink>
      <w:r w:rsidRPr="0071143A">
        <w:rPr>
          <w:rFonts w:cs="Arial"/>
          <w:sz w:val="24"/>
          <w:szCs w:val="24"/>
        </w:rPr>
        <w:t xml:space="preserve"> (viewed 24 January 2014).</w:t>
      </w:r>
    </w:p>
  </w:endnote>
  <w:endnote w:id="6">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Victorian Health Promotion Foundation (</w:t>
      </w:r>
      <w:proofErr w:type="spellStart"/>
      <w:r w:rsidRPr="0071143A">
        <w:rPr>
          <w:rFonts w:cs="Arial"/>
          <w:sz w:val="24"/>
          <w:szCs w:val="24"/>
        </w:rPr>
        <w:t>VicHealth</w:t>
      </w:r>
      <w:proofErr w:type="spellEnd"/>
      <w:r w:rsidRPr="0071143A">
        <w:rPr>
          <w:rFonts w:cs="Arial"/>
          <w:sz w:val="24"/>
          <w:szCs w:val="24"/>
        </w:rPr>
        <w:t xml:space="preserve">), </w:t>
      </w:r>
      <w:r w:rsidRPr="0071143A">
        <w:rPr>
          <w:rFonts w:cs="Arial"/>
          <w:i/>
          <w:sz w:val="24"/>
          <w:szCs w:val="24"/>
        </w:rPr>
        <w:t xml:space="preserve">Preventing Violence </w:t>
      </w:r>
      <w:proofErr w:type="gramStart"/>
      <w:r w:rsidRPr="0071143A">
        <w:rPr>
          <w:rFonts w:cs="Arial"/>
          <w:i/>
          <w:sz w:val="24"/>
          <w:szCs w:val="24"/>
        </w:rPr>
        <w:t>Against</w:t>
      </w:r>
      <w:proofErr w:type="gramEnd"/>
      <w:r w:rsidRPr="0071143A">
        <w:rPr>
          <w:rFonts w:cs="Arial"/>
          <w:i/>
          <w:sz w:val="24"/>
          <w:szCs w:val="24"/>
        </w:rPr>
        <w:t xml:space="preserve"> Women in Australia, Research Summary</w:t>
      </w:r>
      <w:r w:rsidRPr="0071143A">
        <w:rPr>
          <w:rFonts w:cs="Arial"/>
          <w:sz w:val="24"/>
          <w:szCs w:val="24"/>
        </w:rPr>
        <w:t xml:space="preserve">, Victorian Health Promotion Foundation (October 2011). At </w:t>
      </w:r>
      <w:hyperlink r:id="rId4" w:history="1">
        <w:r w:rsidRPr="0071143A">
          <w:rPr>
            <w:rStyle w:val="Hyperlink"/>
            <w:rFonts w:cs="Arial"/>
            <w:sz w:val="24"/>
            <w:szCs w:val="24"/>
          </w:rPr>
          <w:t>http://www.vichealth.vic.gov.au/Publications/Freedom-from-violence/Violence-against-women-in-Australia-research-summary.aspx</w:t>
        </w:r>
      </w:hyperlink>
      <w:r w:rsidRPr="0071143A">
        <w:rPr>
          <w:rFonts w:cs="Arial"/>
          <w:sz w:val="24"/>
          <w:szCs w:val="24"/>
        </w:rPr>
        <w:t xml:space="preserve"> (viewed 24 January 2014).</w:t>
      </w:r>
    </w:p>
  </w:endnote>
  <w:endnote w:id="7">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 xml:space="preserve">Australian Institute of Health and Welfare, </w:t>
      </w:r>
      <w:r w:rsidRPr="0071143A">
        <w:rPr>
          <w:rFonts w:cs="Arial"/>
          <w:i/>
          <w:sz w:val="24"/>
          <w:szCs w:val="24"/>
        </w:rPr>
        <w:t>The health of Australia’s prisoners 2012</w:t>
      </w:r>
      <w:r w:rsidRPr="0071143A">
        <w:rPr>
          <w:rFonts w:cs="Arial"/>
          <w:sz w:val="24"/>
          <w:szCs w:val="24"/>
        </w:rPr>
        <w:t xml:space="preserve"> (2013) p 35.</w:t>
      </w:r>
      <w:proofErr w:type="gramEnd"/>
      <w:r w:rsidRPr="0071143A">
        <w:rPr>
          <w:rFonts w:cs="Arial"/>
          <w:sz w:val="24"/>
          <w:szCs w:val="24"/>
        </w:rPr>
        <w:t xml:space="preserve"> At </w:t>
      </w:r>
      <w:hyperlink r:id="rId5" w:history="1">
        <w:r w:rsidRPr="0071143A">
          <w:rPr>
            <w:rStyle w:val="Hyperlink"/>
            <w:rFonts w:cs="Arial"/>
            <w:sz w:val="24"/>
            <w:szCs w:val="24"/>
          </w:rPr>
          <w:t>http://www.aihw.gov.au/publication-detail/?id=60129543948</w:t>
        </w:r>
      </w:hyperlink>
      <w:r w:rsidRPr="0071143A">
        <w:rPr>
          <w:rFonts w:cs="Arial"/>
          <w:sz w:val="24"/>
          <w:szCs w:val="24"/>
        </w:rPr>
        <w:t xml:space="preserve"> (viewed 30 January 2014).</w:t>
      </w:r>
    </w:p>
  </w:endnote>
  <w:endnote w:id="8">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 xml:space="preserve">Australian Institute of Criminology, </w:t>
      </w:r>
      <w:r w:rsidRPr="0071143A">
        <w:rPr>
          <w:rFonts w:cs="Arial"/>
          <w:i/>
          <w:sz w:val="24"/>
          <w:szCs w:val="24"/>
        </w:rPr>
        <w:t>Police shootings of people with a mental illness</w:t>
      </w:r>
      <w:r w:rsidRPr="0071143A">
        <w:rPr>
          <w:rFonts w:cs="Arial"/>
          <w:sz w:val="24"/>
          <w:szCs w:val="24"/>
        </w:rPr>
        <w:t xml:space="preserve"> Research in Practice No. 34 (2013).</w:t>
      </w:r>
      <w:proofErr w:type="gramEnd"/>
      <w:r w:rsidRPr="0071143A">
        <w:rPr>
          <w:rFonts w:cs="Arial"/>
          <w:sz w:val="24"/>
          <w:szCs w:val="24"/>
        </w:rPr>
        <w:t xml:space="preserve"> At </w:t>
      </w:r>
      <w:hyperlink r:id="rId6" w:history="1">
        <w:r w:rsidRPr="0071143A">
          <w:rPr>
            <w:rStyle w:val="Hyperlink"/>
            <w:rFonts w:cs="Arial"/>
            <w:sz w:val="24"/>
            <w:szCs w:val="24"/>
          </w:rPr>
          <w:t>http://www.aic.gov.au/publications/current%20series/rip/21-40/rip34.html</w:t>
        </w:r>
      </w:hyperlink>
      <w:r w:rsidRPr="0071143A">
        <w:rPr>
          <w:rFonts w:cs="Arial"/>
          <w:sz w:val="24"/>
          <w:szCs w:val="24"/>
        </w:rPr>
        <w:t xml:space="preserve"> (viewed 30 January 2014).</w:t>
      </w:r>
    </w:p>
  </w:endnote>
  <w:endnote w:id="9">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Australian Bureau of Statistics, </w:t>
      </w:r>
      <w:r w:rsidRPr="0071143A">
        <w:rPr>
          <w:rFonts w:cs="Arial"/>
          <w:i/>
          <w:sz w:val="24"/>
          <w:szCs w:val="24"/>
        </w:rPr>
        <w:t>Profiles of Disability, Australia, 2009</w:t>
      </w:r>
      <w:r w:rsidRPr="0071143A">
        <w:rPr>
          <w:rFonts w:cs="Arial"/>
          <w:sz w:val="24"/>
          <w:szCs w:val="24"/>
        </w:rPr>
        <w:t>,</w:t>
      </w:r>
      <w:r w:rsidRPr="0071143A">
        <w:rPr>
          <w:rFonts w:cs="Arial"/>
          <w:i/>
          <w:sz w:val="24"/>
          <w:szCs w:val="24"/>
        </w:rPr>
        <w:t xml:space="preserve"> </w:t>
      </w:r>
      <w:r w:rsidRPr="0071143A">
        <w:rPr>
          <w:rFonts w:cs="Arial"/>
          <w:sz w:val="24"/>
          <w:szCs w:val="24"/>
        </w:rPr>
        <w:t xml:space="preserve">Comparison of Disability Prevalence between Aboriginal and Torres Strait Islander Peoples and Non-Indigenous Peoples (2013). At </w:t>
      </w:r>
      <w:r w:rsidRPr="0071143A" w:rsidDel="00356DCD">
        <w:rPr>
          <w:rFonts w:cs="Arial"/>
          <w:sz w:val="24"/>
          <w:szCs w:val="24"/>
        </w:rPr>
        <w:t xml:space="preserve"> </w:t>
      </w:r>
      <w:hyperlink r:id="rId7" w:history="1">
        <w:r w:rsidRPr="0071143A">
          <w:rPr>
            <w:rStyle w:val="Hyperlink"/>
            <w:rFonts w:cs="Arial"/>
            <w:sz w:val="24"/>
            <w:szCs w:val="24"/>
          </w:rPr>
          <w:t>http://www.abs.gov.au/ausstats/abs@.nsf/Lookup/by%20Subject/4429.0~2009~Main%20Features~Comparison%20of%20disability%20prevalence%20between%20Aboriginal%20and%20Torres%20Strait%20Islander%20peoples%20and%20non-Indigenous%20peoples~10029</w:t>
        </w:r>
      </w:hyperlink>
      <w:r w:rsidRPr="0071143A">
        <w:rPr>
          <w:rFonts w:cs="Arial"/>
          <w:sz w:val="24"/>
          <w:szCs w:val="24"/>
        </w:rPr>
        <w:t xml:space="preserve"> (viewed 30 January 2014). </w:t>
      </w:r>
      <w:r w:rsidRPr="0071143A" w:rsidDel="00356DCD">
        <w:rPr>
          <w:rFonts w:cs="Arial"/>
          <w:sz w:val="24"/>
          <w:szCs w:val="24"/>
        </w:rPr>
        <w:t xml:space="preserve"> </w:t>
      </w:r>
    </w:p>
  </w:endnote>
  <w:endnote w:id="10">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 xml:space="preserve">Australian Bureau of Statistics, </w:t>
      </w:r>
      <w:r w:rsidRPr="0071143A">
        <w:rPr>
          <w:rFonts w:cs="Arial"/>
          <w:i/>
          <w:sz w:val="24"/>
          <w:szCs w:val="24"/>
        </w:rPr>
        <w:t>Prisoners in Australia, 2013</w:t>
      </w:r>
      <w:r w:rsidRPr="0071143A">
        <w:rPr>
          <w:rFonts w:cs="Arial"/>
          <w:sz w:val="24"/>
          <w:szCs w:val="24"/>
        </w:rPr>
        <w:t>, Aboriginal and Torres Strait Islander Prisoners (2013).</w:t>
      </w:r>
      <w:proofErr w:type="gramEnd"/>
      <w:r w:rsidRPr="0071143A">
        <w:rPr>
          <w:rFonts w:cs="Arial"/>
          <w:sz w:val="24"/>
          <w:szCs w:val="24"/>
        </w:rPr>
        <w:t xml:space="preserve"> At </w:t>
      </w:r>
      <w:hyperlink r:id="rId8" w:history="1">
        <w:r w:rsidRPr="0071143A">
          <w:rPr>
            <w:rStyle w:val="Hyperlink"/>
            <w:rFonts w:cs="Arial"/>
            <w:sz w:val="24"/>
            <w:szCs w:val="24"/>
          </w:rPr>
          <w:t>http://www.abs.gov.au/ausstats/abs@.nsf/Lookup/4517.0main+features62013</w:t>
        </w:r>
      </w:hyperlink>
      <w:r w:rsidRPr="0071143A">
        <w:rPr>
          <w:rFonts w:cs="Arial"/>
          <w:sz w:val="24"/>
          <w:szCs w:val="24"/>
        </w:rPr>
        <w:t xml:space="preserve"> (viewed 30 January 2014).</w:t>
      </w:r>
    </w:p>
  </w:endnote>
  <w:endnote w:id="11">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Australian Institute of Criminology, </w:t>
      </w:r>
      <w:r w:rsidRPr="0071143A">
        <w:rPr>
          <w:rFonts w:cs="Arial"/>
          <w:i/>
          <w:sz w:val="24"/>
          <w:szCs w:val="24"/>
        </w:rPr>
        <w:t>Australian Crime: Facts and figures: 2011</w:t>
      </w:r>
      <w:r w:rsidRPr="0071143A">
        <w:rPr>
          <w:rFonts w:cs="Arial"/>
          <w:sz w:val="24"/>
          <w:szCs w:val="24"/>
        </w:rPr>
        <w:t xml:space="preserve">, Chapter 7: Criminal justice resources (2012). At </w:t>
      </w:r>
      <w:hyperlink r:id="rId9" w:history="1">
        <w:r w:rsidRPr="0071143A">
          <w:rPr>
            <w:rStyle w:val="Hyperlink"/>
            <w:rFonts w:cs="Arial"/>
            <w:sz w:val="24"/>
            <w:szCs w:val="24"/>
          </w:rPr>
          <w:t>http://www.aic.gov.au/publications/current%20series/facts/1-20/2011/7_resources.html</w:t>
        </w:r>
      </w:hyperlink>
      <w:r w:rsidRPr="0071143A">
        <w:rPr>
          <w:rFonts w:cs="Arial"/>
          <w:sz w:val="24"/>
          <w:szCs w:val="24"/>
        </w:rPr>
        <w:t xml:space="preserve"> (viewed 30 January 2014).</w:t>
      </w:r>
    </w:p>
  </w:endnote>
  <w:endnote w:id="12">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 xml:space="preserve">Steering Committee for the Review of Government Service Provision, </w:t>
      </w:r>
      <w:r w:rsidRPr="0071143A">
        <w:rPr>
          <w:rFonts w:cs="Arial"/>
          <w:i/>
          <w:sz w:val="24"/>
          <w:szCs w:val="24"/>
        </w:rPr>
        <w:t>Report on Government Services 2012</w:t>
      </w:r>
      <w:r w:rsidRPr="0071143A">
        <w:rPr>
          <w:rFonts w:cs="Arial"/>
          <w:sz w:val="24"/>
          <w:szCs w:val="24"/>
        </w:rPr>
        <w:t xml:space="preserve">, </w:t>
      </w:r>
      <w:proofErr w:type="spellStart"/>
      <w:r w:rsidRPr="0071143A">
        <w:rPr>
          <w:rFonts w:cs="Arial"/>
          <w:sz w:val="24"/>
          <w:szCs w:val="24"/>
        </w:rPr>
        <w:t>Vol</w:t>
      </w:r>
      <w:proofErr w:type="spellEnd"/>
      <w:r w:rsidRPr="0071143A">
        <w:rPr>
          <w:rFonts w:cs="Arial"/>
          <w:sz w:val="24"/>
          <w:szCs w:val="24"/>
        </w:rPr>
        <w:t xml:space="preserve"> 1, Productivity Commission (2012) </w:t>
      </w:r>
      <w:proofErr w:type="spellStart"/>
      <w:r w:rsidRPr="0071143A">
        <w:rPr>
          <w:rFonts w:cs="Arial"/>
          <w:sz w:val="24"/>
          <w:szCs w:val="24"/>
        </w:rPr>
        <w:t>pp</w:t>
      </w:r>
      <w:proofErr w:type="spellEnd"/>
      <w:r w:rsidRPr="0071143A">
        <w:rPr>
          <w:rFonts w:cs="Arial"/>
          <w:sz w:val="24"/>
          <w:szCs w:val="24"/>
        </w:rPr>
        <w:t xml:space="preserve"> 8.26 - 8.27.</w:t>
      </w:r>
      <w:proofErr w:type="gramEnd"/>
      <w:r w:rsidRPr="0071143A">
        <w:rPr>
          <w:rFonts w:cs="Arial"/>
          <w:sz w:val="24"/>
          <w:szCs w:val="24"/>
        </w:rPr>
        <w:t xml:space="preserve"> At </w:t>
      </w:r>
      <w:hyperlink r:id="rId10" w:history="1">
        <w:r w:rsidRPr="0071143A">
          <w:rPr>
            <w:rStyle w:val="Hyperlink"/>
            <w:rFonts w:cs="Arial"/>
            <w:sz w:val="24"/>
            <w:szCs w:val="24"/>
          </w:rPr>
          <w:t>http://www.pc.gov.au/gsp/rogs/2012</w:t>
        </w:r>
      </w:hyperlink>
      <w:r w:rsidRPr="0071143A">
        <w:rPr>
          <w:rFonts w:cs="Arial"/>
          <w:sz w:val="24"/>
          <w:szCs w:val="24"/>
        </w:rPr>
        <w:t xml:space="preserve"> (viewed 24 January 2014).</w:t>
      </w:r>
    </w:p>
  </w:endnote>
  <w:endnote w:id="13">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Ruth </w:t>
      </w:r>
      <w:proofErr w:type="spellStart"/>
      <w:r w:rsidRPr="0071143A">
        <w:rPr>
          <w:rFonts w:cs="Arial"/>
          <w:sz w:val="24"/>
          <w:szCs w:val="24"/>
        </w:rPr>
        <w:t>McCausland</w:t>
      </w:r>
      <w:proofErr w:type="spellEnd"/>
      <w:r w:rsidRPr="0071143A">
        <w:rPr>
          <w:rFonts w:cs="Arial"/>
          <w:sz w:val="24"/>
          <w:szCs w:val="24"/>
        </w:rPr>
        <w:t xml:space="preserve">, Eileen Baldry, Sarah Johnson and Anna Cohen, </w:t>
      </w:r>
      <w:r w:rsidRPr="0071143A">
        <w:rPr>
          <w:rFonts w:cs="Arial"/>
          <w:i/>
          <w:sz w:val="24"/>
          <w:szCs w:val="24"/>
        </w:rPr>
        <w:t>People with mental health disorders and cognitive impairment in the criminal justice system: Cost-benefit analysis of early support and diversion</w:t>
      </w:r>
      <w:r w:rsidRPr="0071143A">
        <w:rPr>
          <w:rFonts w:cs="Arial"/>
          <w:sz w:val="24"/>
          <w:szCs w:val="24"/>
        </w:rPr>
        <w:t>, Report based on a paper presented at the Australian Human Rights Commission and University of New South Wales roundtable</w:t>
      </w:r>
      <w:r w:rsidRPr="0071143A">
        <w:rPr>
          <w:rFonts w:cs="Arial"/>
          <w:i/>
          <w:sz w:val="24"/>
          <w:szCs w:val="24"/>
        </w:rPr>
        <w:t xml:space="preserve"> Access to Justice in the Criminal Justice System for People with Disability</w:t>
      </w:r>
      <w:r w:rsidRPr="0071143A">
        <w:rPr>
          <w:rFonts w:cs="Arial"/>
          <w:sz w:val="24"/>
          <w:szCs w:val="24"/>
        </w:rPr>
        <w:t xml:space="preserve">, April 2013 (August 2013) p 12. At </w:t>
      </w:r>
      <w:hyperlink r:id="rId11" w:history="1">
        <w:r w:rsidRPr="0071143A">
          <w:rPr>
            <w:rStyle w:val="Hyperlink"/>
            <w:rFonts w:cs="Arial"/>
            <w:sz w:val="24"/>
            <w:szCs w:val="24"/>
          </w:rPr>
          <w:t>http://www.humanrights.gov.au/sites/default/files/document/publication/Cost%20benefit%20analysis.pdf</w:t>
        </w:r>
      </w:hyperlink>
      <w:r w:rsidRPr="0071143A">
        <w:rPr>
          <w:rFonts w:cs="Arial"/>
          <w:sz w:val="24"/>
          <w:szCs w:val="24"/>
        </w:rPr>
        <w:t xml:space="preserve"> (viewed 24 January 2014).  </w:t>
      </w:r>
    </w:p>
  </w:endnote>
  <w:endnote w:id="14">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Eileen Baldry, Leanne Dowse, Ruth </w:t>
      </w:r>
      <w:proofErr w:type="spellStart"/>
      <w:r w:rsidRPr="0071143A">
        <w:rPr>
          <w:rFonts w:cs="Arial"/>
          <w:sz w:val="24"/>
          <w:szCs w:val="24"/>
        </w:rPr>
        <w:t>McCausland</w:t>
      </w:r>
      <w:proofErr w:type="spellEnd"/>
      <w:r w:rsidRPr="0071143A">
        <w:rPr>
          <w:rFonts w:cs="Arial"/>
          <w:sz w:val="24"/>
          <w:szCs w:val="24"/>
        </w:rPr>
        <w:t xml:space="preserve"> and Melissa Clarence, </w:t>
      </w:r>
      <w:proofErr w:type="spellStart"/>
      <w:r w:rsidRPr="0071143A">
        <w:rPr>
          <w:rFonts w:cs="Arial"/>
          <w:bCs/>
          <w:i/>
          <w:sz w:val="24"/>
          <w:szCs w:val="24"/>
        </w:rPr>
        <w:t>Lifecourse</w:t>
      </w:r>
      <w:proofErr w:type="spellEnd"/>
      <w:r w:rsidRPr="0071143A">
        <w:rPr>
          <w:rFonts w:cs="Arial"/>
          <w:bCs/>
          <w:i/>
          <w:sz w:val="24"/>
          <w:szCs w:val="24"/>
        </w:rPr>
        <w:t xml:space="preserve"> institutional costs of homelessness for vulnerable groups</w:t>
      </w:r>
      <w:r w:rsidRPr="0071143A">
        <w:rPr>
          <w:rFonts w:cs="Arial"/>
          <w:bCs/>
          <w:sz w:val="24"/>
          <w:szCs w:val="24"/>
        </w:rPr>
        <w:t xml:space="preserve">, Final Report, Department of Families, Housing, Community Services and Indigenous Affairs (May 2012) p </w:t>
      </w:r>
      <w:r w:rsidRPr="0071143A">
        <w:rPr>
          <w:rFonts w:cs="Arial"/>
          <w:sz w:val="24"/>
          <w:szCs w:val="24"/>
        </w:rPr>
        <w:t xml:space="preserve">5. At </w:t>
      </w:r>
      <w:hyperlink r:id="rId12" w:history="1">
        <w:r w:rsidRPr="0071143A">
          <w:rPr>
            <w:rStyle w:val="Hyperlink"/>
            <w:rFonts w:cs="Arial"/>
            <w:sz w:val="24"/>
            <w:szCs w:val="24"/>
          </w:rPr>
          <w:t>http://apo.org.au/research/lifecourse-institutional-costs-homelessness-vulnerable-groups-2012</w:t>
        </w:r>
      </w:hyperlink>
      <w:r w:rsidRPr="0071143A">
        <w:rPr>
          <w:rFonts w:cs="Arial"/>
          <w:sz w:val="24"/>
          <w:szCs w:val="24"/>
        </w:rPr>
        <w:t xml:space="preserve"> (viewed 30 January 2014).</w:t>
      </w:r>
    </w:p>
  </w:endnote>
  <w:endnote w:id="15">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lang w:val="fr-FR"/>
        </w:rPr>
        <w:t xml:space="preserve"> National Mental </w:t>
      </w:r>
      <w:proofErr w:type="spellStart"/>
      <w:r w:rsidRPr="0071143A">
        <w:rPr>
          <w:rFonts w:cs="Arial"/>
          <w:sz w:val="24"/>
          <w:szCs w:val="24"/>
          <w:lang w:val="fr-FR"/>
        </w:rPr>
        <w:t>Health</w:t>
      </w:r>
      <w:proofErr w:type="spellEnd"/>
      <w:r w:rsidRPr="0071143A">
        <w:rPr>
          <w:rFonts w:cs="Arial"/>
          <w:sz w:val="24"/>
          <w:szCs w:val="24"/>
          <w:lang w:val="fr-FR"/>
        </w:rPr>
        <w:t xml:space="preserve"> Commission, </w:t>
      </w:r>
      <w:r w:rsidRPr="0071143A">
        <w:rPr>
          <w:rFonts w:cs="Arial"/>
          <w:i/>
          <w:sz w:val="24"/>
          <w:szCs w:val="24"/>
          <w:lang w:val="fr-FR"/>
        </w:rPr>
        <w:t xml:space="preserve">A </w:t>
      </w:r>
      <w:proofErr w:type="spellStart"/>
      <w:r w:rsidRPr="0071143A">
        <w:rPr>
          <w:rFonts w:cs="Arial"/>
          <w:i/>
          <w:sz w:val="24"/>
          <w:szCs w:val="24"/>
          <w:lang w:val="fr-FR"/>
        </w:rPr>
        <w:t>Contributing</w:t>
      </w:r>
      <w:proofErr w:type="spellEnd"/>
      <w:r w:rsidRPr="0071143A">
        <w:rPr>
          <w:rFonts w:cs="Arial"/>
          <w:i/>
          <w:sz w:val="24"/>
          <w:szCs w:val="24"/>
          <w:lang w:val="fr-FR"/>
        </w:rPr>
        <w:t xml:space="preserve"> Life, the 2013 National Report </w:t>
      </w:r>
      <w:proofErr w:type="spellStart"/>
      <w:r w:rsidRPr="0071143A">
        <w:rPr>
          <w:rFonts w:cs="Arial"/>
          <w:i/>
          <w:sz w:val="24"/>
          <w:szCs w:val="24"/>
          <w:lang w:val="fr-FR"/>
        </w:rPr>
        <w:t>Card</w:t>
      </w:r>
      <w:proofErr w:type="spellEnd"/>
      <w:r w:rsidRPr="0071143A">
        <w:rPr>
          <w:rFonts w:cs="Arial"/>
          <w:i/>
          <w:sz w:val="24"/>
          <w:szCs w:val="24"/>
          <w:lang w:val="fr-FR"/>
        </w:rPr>
        <w:t xml:space="preserve"> on Mental </w:t>
      </w:r>
      <w:proofErr w:type="spellStart"/>
      <w:r w:rsidRPr="0071143A">
        <w:rPr>
          <w:rFonts w:cs="Arial"/>
          <w:i/>
          <w:sz w:val="24"/>
          <w:szCs w:val="24"/>
          <w:lang w:val="fr-FR"/>
        </w:rPr>
        <w:t>Health</w:t>
      </w:r>
      <w:proofErr w:type="spellEnd"/>
      <w:r w:rsidRPr="0071143A">
        <w:rPr>
          <w:rFonts w:cs="Arial"/>
          <w:i/>
          <w:sz w:val="24"/>
          <w:szCs w:val="24"/>
          <w:lang w:val="fr-FR"/>
        </w:rPr>
        <w:t xml:space="preserve"> and Suicide </w:t>
      </w:r>
      <w:proofErr w:type="spellStart"/>
      <w:r w:rsidRPr="0071143A">
        <w:rPr>
          <w:rFonts w:cs="Arial"/>
          <w:i/>
          <w:sz w:val="24"/>
          <w:szCs w:val="24"/>
          <w:lang w:val="fr-FR"/>
        </w:rPr>
        <w:t>Prevention</w:t>
      </w:r>
      <w:proofErr w:type="spellEnd"/>
      <w:r w:rsidRPr="0071143A">
        <w:rPr>
          <w:rFonts w:cs="Arial"/>
          <w:sz w:val="24"/>
          <w:szCs w:val="24"/>
          <w:lang w:val="fr-FR"/>
        </w:rPr>
        <w:t xml:space="preserve">, National Mental </w:t>
      </w:r>
      <w:proofErr w:type="spellStart"/>
      <w:r w:rsidRPr="0071143A">
        <w:rPr>
          <w:rFonts w:cs="Arial"/>
          <w:sz w:val="24"/>
          <w:szCs w:val="24"/>
          <w:lang w:val="fr-FR"/>
        </w:rPr>
        <w:t>Health</w:t>
      </w:r>
      <w:proofErr w:type="spellEnd"/>
      <w:r w:rsidRPr="0071143A">
        <w:rPr>
          <w:rFonts w:cs="Arial"/>
          <w:sz w:val="24"/>
          <w:szCs w:val="24"/>
          <w:lang w:val="fr-FR"/>
        </w:rPr>
        <w:t xml:space="preserve"> Commission (2013) p 74. </w:t>
      </w:r>
      <w:proofErr w:type="spellStart"/>
      <w:r w:rsidRPr="0071143A">
        <w:rPr>
          <w:rFonts w:cs="Arial"/>
          <w:sz w:val="24"/>
          <w:szCs w:val="24"/>
          <w:lang w:val="fr-FR"/>
        </w:rPr>
        <w:t>At</w:t>
      </w:r>
      <w:proofErr w:type="spellEnd"/>
      <w:r w:rsidRPr="0071143A">
        <w:rPr>
          <w:rFonts w:cs="Arial"/>
          <w:sz w:val="24"/>
          <w:szCs w:val="24"/>
          <w:lang w:val="fr-FR"/>
        </w:rPr>
        <w:t xml:space="preserve"> </w:t>
      </w:r>
      <w:hyperlink r:id="rId13" w:history="1">
        <w:r w:rsidRPr="0071143A">
          <w:rPr>
            <w:rStyle w:val="Hyperlink"/>
            <w:rFonts w:cs="Arial"/>
            <w:sz w:val="24"/>
            <w:szCs w:val="24"/>
            <w:lang w:val="fr-FR"/>
          </w:rPr>
          <w:t>http://www.mentalhealthcommission.gov.au/our-report-card.aspx</w:t>
        </w:r>
      </w:hyperlink>
      <w:r w:rsidRPr="0071143A">
        <w:rPr>
          <w:rFonts w:cs="Arial"/>
          <w:sz w:val="24"/>
          <w:szCs w:val="24"/>
          <w:lang w:val="fr-FR"/>
        </w:rPr>
        <w:t xml:space="preserve"> (</w:t>
      </w:r>
      <w:proofErr w:type="spellStart"/>
      <w:r w:rsidRPr="0071143A">
        <w:rPr>
          <w:rFonts w:cs="Arial"/>
          <w:sz w:val="24"/>
          <w:szCs w:val="24"/>
          <w:lang w:val="fr-FR"/>
        </w:rPr>
        <w:t>viewed</w:t>
      </w:r>
      <w:proofErr w:type="spellEnd"/>
      <w:r w:rsidRPr="0071143A">
        <w:rPr>
          <w:rFonts w:cs="Arial"/>
          <w:sz w:val="24"/>
          <w:szCs w:val="24"/>
          <w:lang w:val="fr-FR"/>
        </w:rPr>
        <w:t xml:space="preserve"> 24 </w:t>
      </w:r>
      <w:proofErr w:type="spellStart"/>
      <w:r w:rsidRPr="0071143A">
        <w:rPr>
          <w:rFonts w:cs="Arial"/>
          <w:sz w:val="24"/>
          <w:szCs w:val="24"/>
          <w:lang w:val="fr-FR"/>
        </w:rPr>
        <w:t>January</w:t>
      </w:r>
      <w:proofErr w:type="spellEnd"/>
      <w:r w:rsidRPr="0071143A">
        <w:rPr>
          <w:rFonts w:cs="Arial"/>
          <w:sz w:val="24"/>
          <w:szCs w:val="24"/>
          <w:lang w:val="fr-FR"/>
        </w:rPr>
        <w:t xml:space="preserve"> 2014). </w:t>
      </w:r>
    </w:p>
  </w:endnote>
  <w:endnote w:id="16">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Australian Bureau of Statistics, </w:t>
      </w:r>
      <w:r w:rsidRPr="0071143A">
        <w:rPr>
          <w:rFonts w:cs="Arial"/>
          <w:i/>
          <w:sz w:val="24"/>
          <w:szCs w:val="24"/>
        </w:rPr>
        <w:t>Personal Safety, Australia, 2012</w:t>
      </w:r>
      <w:r w:rsidRPr="0071143A">
        <w:rPr>
          <w:rFonts w:cs="Arial"/>
          <w:sz w:val="24"/>
          <w:szCs w:val="24"/>
        </w:rPr>
        <w:t xml:space="preserve"> (December 2013). At </w:t>
      </w:r>
      <w:hyperlink r:id="rId14" w:history="1">
        <w:r w:rsidRPr="0071143A">
          <w:rPr>
            <w:rStyle w:val="Hyperlink"/>
            <w:rFonts w:cs="Arial"/>
            <w:sz w:val="24"/>
            <w:szCs w:val="24"/>
          </w:rPr>
          <w:t>http://www.abs.gov.au/AUSSTATS/abs@.nsf/Latestproducts/4906.0Main%20Features12012?opendocument&amp;tabname=Summary&amp;prodno=4906.0&amp;issue=2012&amp;num=&amp;view</w:t>
        </w:r>
      </w:hyperlink>
      <w:r w:rsidRPr="0071143A">
        <w:rPr>
          <w:rFonts w:cs="Arial"/>
          <w:sz w:val="24"/>
          <w:szCs w:val="24"/>
        </w:rPr>
        <w:t>= (viewed 24 January 2014).</w:t>
      </w:r>
    </w:p>
  </w:endnote>
  <w:endnote w:id="17">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For example, a specific requirement of the Personal Safety Survey (PSS) was that interviews were conducted in private.  Interviews were not able to be conducted where a participant required another person to assist with communication. Thus the PSS may under represent those with a profound or severe communication disability. In addition, the scope of the PSS was confined to persons living in a private dwelling. It did not consider people with a disability who usually reside in non-private dwellings such as institutions. See Australian Bureau of Statistics, </w:t>
      </w:r>
      <w:r w:rsidRPr="0071143A">
        <w:rPr>
          <w:rFonts w:cs="Arial"/>
          <w:i/>
          <w:sz w:val="24"/>
          <w:szCs w:val="24"/>
        </w:rPr>
        <w:t>Personal Safety, Australia, 2012</w:t>
      </w:r>
      <w:r w:rsidRPr="0071143A">
        <w:rPr>
          <w:rFonts w:cs="Arial"/>
          <w:sz w:val="24"/>
          <w:szCs w:val="24"/>
        </w:rPr>
        <w:t xml:space="preserve">, Explanatory notes (December 2013). At </w:t>
      </w:r>
      <w:hyperlink r:id="rId15" w:history="1">
        <w:r w:rsidRPr="0071143A">
          <w:rPr>
            <w:rStyle w:val="Hyperlink"/>
            <w:rFonts w:cs="Arial"/>
            <w:sz w:val="24"/>
            <w:szCs w:val="24"/>
          </w:rPr>
          <w:t>http://www.abs.gov.au/AUSSTATS/abs@.nsf/Lookup/4906.0Explanatory%20Notes12012?OpenDocument</w:t>
        </w:r>
      </w:hyperlink>
      <w:r w:rsidRPr="0071143A">
        <w:rPr>
          <w:rFonts w:cs="Arial"/>
          <w:sz w:val="24"/>
          <w:szCs w:val="24"/>
        </w:rPr>
        <w:t xml:space="preserve"> (viewed 24 January 2014).</w:t>
      </w:r>
    </w:p>
  </w:endnote>
  <w:endnote w:id="18">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White Ribbon, </w:t>
      </w:r>
      <w:r w:rsidRPr="0071143A">
        <w:rPr>
          <w:rFonts w:cs="Arial"/>
          <w:i/>
          <w:sz w:val="24"/>
          <w:szCs w:val="24"/>
        </w:rPr>
        <w:t>A 14.7 Billion Dollar Burden: Revealing the national cost of violence against women</w:t>
      </w:r>
      <w:r w:rsidRPr="0071143A">
        <w:rPr>
          <w:rFonts w:cs="Arial"/>
          <w:sz w:val="24"/>
          <w:szCs w:val="24"/>
        </w:rPr>
        <w:t xml:space="preserve"> (15 July 2013). At </w:t>
      </w:r>
      <w:hyperlink r:id="rId16" w:history="1">
        <w:r w:rsidRPr="0071143A">
          <w:rPr>
            <w:rStyle w:val="Hyperlink"/>
            <w:rFonts w:cs="Arial"/>
            <w:sz w:val="24"/>
            <w:szCs w:val="24"/>
          </w:rPr>
          <w:t>http://www.whiteribbon.org.au/update/a-14-7-billion-dollar-burden-revealing-the-national-cost-of-violence-against-women</w:t>
        </w:r>
      </w:hyperlink>
      <w:r w:rsidRPr="0071143A">
        <w:rPr>
          <w:rFonts w:cs="Arial"/>
          <w:sz w:val="24"/>
          <w:szCs w:val="24"/>
        </w:rPr>
        <w:t xml:space="preserve"> (viewed 24 January 2014).</w:t>
      </w:r>
    </w:p>
  </w:endnote>
  <w:endnote w:id="19">
    <w:p w:rsidR="00F03BCE" w:rsidRPr="00615069" w:rsidRDefault="00F03BCE" w:rsidP="0071143A">
      <w:pPr>
        <w:pStyle w:val="coveraddress"/>
        <w:rPr>
          <w:rFonts w:cs="Arial"/>
          <w:color w:val="404040" w:themeColor="text1" w:themeTint="BF"/>
          <w:sz w:val="24"/>
          <w:szCs w:val="24"/>
        </w:rPr>
      </w:pPr>
      <w:r w:rsidRPr="0071143A">
        <w:rPr>
          <w:rStyle w:val="EndnoteReference"/>
          <w:rFonts w:cs="Arial"/>
          <w:sz w:val="24"/>
          <w:szCs w:val="24"/>
        </w:rPr>
        <w:endnoteRef/>
      </w:r>
      <w:r w:rsidRPr="0071143A">
        <w:rPr>
          <w:rFonts w:cs="Arial"/>
          <w:sz w:val="24"/>
          <w:szCs w:val="24"/>
        </w:rPr>
        <w:t xml:space="preserve"> </w:t>
      </w:r>
      <w:r w:rsidRPr="00615069">
        <w:rPr>
          <w:rFonts w:cs="Arial"/>
          <w:color w:val="404040" w:themeColor="text1" w:themeTint="BF"/>
          <w:sz w:val="24"/>
          <w:szCs w:val="24"/>
        </w:rPr>
        <w:t xml:space="preserve">National Council to Reduce Violence against Women and their Children, </w:t>
      </w:r>
      <w:r w:rsidRPr="00615069">
        <w:rPr>
          <w:rFonts w:cs="Arial"/>
          <w:i/>
          <w:color w:val="404040" w:themeColor="text1" w:themeTint="BF"/>
          <w:sz w:val="24"/>
          <w:szCs w:val="24"/>
        </w:rPr>
        <w:t>The Cost of Violence against Women and their Children</w:t>
      </w:r>
      <w:r w:rsidRPr="00615069">
        <w:rPr>
          <w:rFonts w:cs="Arial"/>
          <w:color w:val="404040" w:themeColor="text1" w:themeTint="BF"/>
          <w:sz w:val="24"/>
          <w:szCs w:val="24"/>
        </w:rPr>
        <w:t xml:space="preserve">, Department of Families, Housing, Community Services and Indigenous Affairs (March 2009) p 9. At </w:t>
      </w:r>
      <w:hyperlink r:id="rId17" w:history="1">
        <w:r w:rsidRPr="0071143A">
          <w:rPr>
            <w:rStyle w:val="Hyperlink"/>
            <w:rFonts w:cs="Arial"/>
            <w:sz w:val="24"/>
            <w:szCs w:val="24"/>
          </w:rPr>
          <w:t>http://www.dss.gov.au/our-responsibilities/women/publications-articles/reducing-violence/national-plan-to-reduce-violence-against-women-and-their-children/economic-cost-of-violence-against-women-and-their-children</w:t>
        </w:r>
      </w:hyperlink>
      <w:r w:rsidRPr="0071143A">
        <w:rPr>
          <w:rFonts w:cs="Arial"/>
          <w:color w:val="000000"/>
          <w:sz w:val="24"/>
          <w:szCs w:val="24"/>
        </w:rPr>
        <w:t xml:space="preserve"> </w:t>
      </w:r>
      <w:r w:rsidRPr="00615069">
        <w:rPr>
          <w:rFonts w:cs="Arial"/>
          <w:color w:val="404040" w:themeColor="text1" w:themeTint="BF"/>
          <w:sz w:val="24"/>
          <w:szCs w:val="24"/>
        </w:rPr>
        <w:t>(viewed 24 January 2014).</w:t>
      </w:r>
    </w:p>
  </w:endnote>
  <w:endnote w:id="20">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National Mental Health Commission, </w:t>
      </w:r>
      <w:r w:rsidRPr="0071143A">
        <w:rPr>
          <w:rFonts w:cs="Arial"/>
          <w:i/>
          <w:sz w:val="24"/>
          <w:szCs w:val="24"/>
        </w:rPr>
        <w:t>A Contributing Life, the 2013 National Report Card on Mental Health and Suicide Prevention</w:t>
      </w:r>
      <w:r w:rsidRPr="0071143A">
        <w:rPr>
          <w:rFonts w:cs="Arial"/>
          <w:sz w:val="24"/>
          <w:szCs w:val="24"/>
        </w:rPr>
        <w:t xml:space="preserve">, National Mental Health Commission (2013) p 74. At </w:t>
      </w:r>
      <w:hyperlink r:id="rId18" w:history="1">
        <w:r w:rsidRPr="0071143A">
          <w:rPr>
            <w:rStyle w:val="Hyperlink"/>
            <w:rFonts w:cs="Arial"/>
            <w:sz w:val="24"/>
            <w:szCs w:val="24"/>
          </w:rPr>
          <w:t>http://www.mentalhealthcommission.gov.au/our-report-card.aspx</w:t>
        </w:r>
      </w:hyperlink>
      <w:r w:rsidRPr="0071143A">
        <w:rPr>
          <w:rFonts w:cs="Arial"/>
          <w:sz w:val="24"/>
          <w:szCs w:val="24"/>
        </w:rPr>
        <w:t xml:space="preserve"> (viewed 24 January 2014).</w:t>
      </w:r>
    </w:p>
  </w:endnote>
  <w:endnote w:id="21">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Confidential Meeting.</w:t>
      </w:r>
      <w:proofErr w:type="gramEnd"/>
    </w:p>
  </w:endnote>
  <w:endnote w:id="22">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Australian Human Rights Commission Access to Justice Public Meeting, Geelong (10 July 2013).</w:t>
      </w:r>
      <w:r>
        <w:rPr>
          <w:rFonts w:cs="Arial"/>
          <w:sz w:val="24"/>
          <w:szCs w:val="24"/>
        </w:rPr>
        <w:t xml:space="preserve"> </w:t>
      </w:r>
    </w:p>
  </w:endnote>
  <w:endnote w:id="23">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Victorian Coalition of A</w:t>
      </w:r>
      <w:r>
        <w:rPr>
          <w:rFonts w:cs="Arial"/>
          <w:sz w:val="24"/>
          <w:szCs w:val="24"/>
        </w:rPr>
        <w:t xml:space="preserve">cquired Brain Injury </w:t>
      </w:r>
      <w:r w:rsidRPr="0071143A">
        <w:rPr>
          <w:rFonts w:cs="Arial"/>
          <w:sz w:val="24"/>
          <w:szCs w:val="24"/>
        </w:rPr>
        <w:t>Service Providers, Submission 57</w:t>
      </w:r>
    </w:p>
  </w:endnote>
  <w:endnote w:id="24">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Name withheld, Submission 15</w:t>
      </w:r>
      <w:r>
        <w:rPr>
          <w:rFonts w:cs="Arial"/>
          <w:sz w:val="24"/>
          <w:szCs w:val="24"/>
        </w:rPr>
        <w:t>.</w:t>
      </w:r>
    </w:p>
  </w:endnote>
  <w:endnote w:id="25">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Communication Rights Australia, Submission 73</w:t>
      </w:r>
      <w:r>
        <w:rPr>
          <w:rFonts w:cs="Arial"/>
          <w:sz w:val="24"/>
          <w:szCs w:val="24"/>
        </w:rPr>
        <w:t>.</w:t>
      </w:r>
    </w:p>
  </w:endnote>
  <w:endnote w:id="26">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Australian Human Rights Commission and University of NSW roundtable: Access to Justice in the Criminal Justice System for People with Disability (22 April 2013); Claire Hansen, Submission 13.</w:t>
      </w:r>
      <w:r>
        <w:rPr>
          <w:rFonts w:cs="Arial"/>
          <w:sz w:val="24"/>
          <w:szCs w:val="24"/>
        </w:rPr>
        <w:t xml:space="preserve"> </w:t>
      </w:r>
    </w:p>
  </w:endnote>
  <w:endnote w:id="27">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Australian Human Rights Commission Access to Justice Public Meeting, Canberra (26 June 2013); ACT Disability, Aged and Care Advocacy Service, Submission 20; Communication Rights Australia, Submission 73.</w:t>
      </w:r>
      <w:proofErr w:type="gramEnd"/>
    </w:p>
  </w:endnote>
  <w:endnote w:id="28">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Pr="00FD6A0A">
        <w:rPr>
          <w:rFonts w:cs="Arial"/>
          <w:sz w:val="24"/>
          <w:szCs w:val="24"/>
        </w:rPr>
        <w:t>Communication Rights Australia, Submission 73; Australian Human Rights Commission Access to Justice Public Meeting, Roebourne (25 July 2013); Name withheld, Submission 3.</w:t>
      </w:r>
    </w:p>
  </w:endnote>
  <w:endnote w:id="29">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Pr="00FD6A0A">
        <w:rPr>
          <w:rFonts w:cs="Arial"/>
          <w:sz w:val="24"/>
          <w:szCs w:val="24"/>
        </w:rPr>
        <w:t>ACT Disability, Aged and Care Advocacy Service, Submission 20; Communication Rights Australia, Submission 73.</w:t>
      </w:r>
    </w:p>
  </w:endnote>
  <w:endnote w:id="30">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Disability Advocacy Victoria, Submission 68</w:t>
      </w:r>
      <w:r>
        <w:rPr>
          <w:rFonts w:cs="Arial"/>
          <w:sz w:val="24"/>
          <w:szCs w:val="24"/>
        </w:rPr>
        <w:t>.</w:t>
      </w:r>
    </w:p>
  </w:endnote>
  <w:endnote w:id="31">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Intellectual Disability Rights Service – Criminal Justice Support Network, Submission 62</w:t>
      </w:r>
      <w:r>
        <w:rPr>
          <w:rFonts w:cs="Arial"/>
          <w:sz w:val="24"/>
          <w:szCs w:val="24"/>
        </w:rPr>
        <w:t>.</w:t>
      </w:r>
      <w:proofErr w:type="gramEnd"/>
    </w:p>
  </w:endnote>
  <w:endnote w:id="32">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Pr="00FD6A0A">
        <w:rPr>
          <w:rFonts w:cs="Arial"/>
          <w:sz w:val="24"/>
          <w:szCs w:val="24"/>
        </w:rPr>
        <w:t>The Deaf Society of NSW, Submission 66; Sister’s Inside, Australian Human Rights Commission Access to Justice Public Meeting, Brisbane (18 June 2013); Deaf Access Victoria, Australian Human Rights Commission Access to Justice Public Meeting, Geelong (10 July 2013); Name withheld, Submission 3</w:t>
      </w:r>
      <w:r>
        <w:rPr>
          <w:rFonts w:cs="Arial"/>
          <w:sz w:val="24"/>
          <w:szCs w:val="24"/>
        </w:rPr>
        <w:t>.</w:t>
      </w:r>
    </w:p>
  </w:endnote>
  <w:endnote w:id="33">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Confidential, Submission 54.</w:t>
      </w:r>
      <w:proofErr w:type="gramEnd"/>
      <w:r w:rsidRPr="0071143A">
        <w:rPr>
          <w:rFonts w:cs="Arial"/>
          <w:sz w:val="24"/>
          <w:szCs w:val="24"/>
        </w:rPr>
        <w:t xml:space="preserve"> </w:t>
      </w:r>
    </w:p>
  </w:endnote>
  <w:endnote w:id="34">
    <w:p w:rsidR="00F03BCE" w:rsidRPr="002959D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Name </w:t>
      </w:r>
      <w:r w:rsidRPr="002959DA">
        <w:rPr>
          <w:rFonts w:cs="Arial"/>
          <w:sz w:val="24"/>
          <w:szCs w:val="24"/>
        </w:rPr>
        <w:t xml:space="preserve">withheld, Submission 3.  </w:t>
      </w:r>
    </w:p>
  </w:endnote>
  <w:endnote w:id="35">
    <w:p w:rsidR="00F03BCE" w:rsidRPr="0071143A" w:rsidRDefault="00F03BCE" w:rsidP="0071143A">
      <w:pPr>
        <w:pStyle w:val="coveraddress"/>
        <w:rPr>
          <w:rFonts w:cs="Arial"/>
          <w:sz w:val="24"/>
          <w:szCs w:val="24"/>
        </w:rPr>
      </w:pPr>
      <w:r w:rsidRPr="002959DA">
        <w:rPr>
          <w:rStyle w:val="EndnoteReference"/>
          <w:rFonts w:cs="Arial"/>
          <w:sz w:val="24"/>
          <w:szCs w:val="24"/>
        </w:rPr>
        <w:endnoteRef/>
      </w:r>
      <w:r w:rsidRPr="002959DA">
        <w:rPr>
          <w:rFonts w:cs="Arial"/>
          <w:sz w:val="24"/>
          <w:szCs w:val="24"/>
        </w:rPr>
        <w:t xml:space="preserve"> Name withheld, Submission 3; The Deaf Society of NSW, Submission 66; Australian Human Rights Commission and University of NSW roundtable: Access to Justice in the Criminal Justice System for People with Disability (22 April 2013)</w:t>
      </w:r>
      <w:r>
        <w:rPr>
          <w:rFonts w:cs="Arial"/>
          <w:sz w:val="24"/>
          <w:szCs w:val="24"/>
        </w:rPr>
        <w:t>.</w:t>
      </w:r>
    </w:p>
  </w:endnote>
  <w:endnote w:id="36">
    <w:p w:rsidR="00F03BCE" w:rsidRPr="0071143A" w:rsidRDefault="00F03BCE" w:rsidP="0071143A">
      <w:pPr>
        <w:pStyle w:val="coveraddress"/>
        <w:rPr>
          <w:rFonts w:cs="Arial"/>
          <w:sz w:val="24"/>
          <w:szCs w:val="24"/>
        </w:rPr>
      </w:pPr>
      <w:r w:rsidRPr="00FE3A6D">
        <w:rPr>
          <w:rStyle w:val="EndnoteReference"/>
          <w:rFonts w:cs="Arial"/>
          <w:sz w:val="24"/>
          <w:szCs w:val="24"/>
        </w:rPr>
        <w:endnoteRef/>
      </w:r>
      <w:r w:rsidRPr="00FE3A6D">
        <w:rPr>
          <w:rFonts w:cs="Arial"/>
          <w:sz w:val="24"/>
          <w:szCs w:val="24"/>
        </w:rPr>
        <w:t xml:space="preserve"> </w:t>
      </w:r>
      <w:proofErr w:type="gramStart"/>
      <w:r w:rsidRPr="00FE3A6D">
        <w:rPr>
          <w:rFonts w:cs="Arial"/>
          <w:sz w:val="24"/>
          <w:szCs w:val="24"/>
        </w:rPr>
        <w:t>Professor Martine Powell, Deakin University, Melbourne, Australia.</w:t>
      </w:r>
      <w:proofErr w:type="gramEnd"/>
      <w:r w:rsidRPr="0071143A">
        <w:rPr>
          <w:rFonts w:cs="Arial"/>
          <w:sz w:val="24"/>
          <w:szCs w:val="24"/>
          <w:highlight w:val="yellow"/>
        </w:rPr>
        <w:t xml:space="preserve"> </w:t>
      </w:r>
    </w:p>
  </w:endnote>
  <w:endnote w:id="37">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Pr>
          <w:rFonts w:cs="Arial"/>
          <w:sz w:val="24"/>
          <w:szCs w:val="24"/>
        </w:rPr>
        <w:t>Meeting with Tasmanian Department of Justice.</w:t>
      </w:r>
      <w:proofErr w:type="gramEnd"/>
    </w:p>
  </w:endnote>
  <w:endnote w:id="38">
    <w:p w:rsidR="00F03BCE" w:rsidRDefault="00F03BCE">
      <w:pPr>
        <w:pStyle w:val="EndnoteText"/>
      </w:pPr>
      <w:r>
        <w:rPr>
          <w:rStyle w:val="EndnoteReference"/>
        </w:rPr>
        <w:endnoteRef/>
      </w:r>
      <w:r>
        <w:t xml:space="preserve"> </w:t>
      </w:r>
      <w:proofErr w:type="gramStart"/>
      <w:r w:rsidRPr="00615069">
        <w:rPr>
          <w:rFonts w:cs="Arial"/>
          <w:color w:val="404040" w:themeColor="text1" w:themeTint="BF"/>
          <w:sz w:val="24"/>
          <w:szCs w:val="24"/>
        </w:rPr>
        <w:t>Professor Martine Powell, Deakin University, Melbourne, Australia.</w:t>
      </w:r>
      <w:proofErr w:type="gramEnd"/>
    </w:p>
  </w:endnote>
  <w:endnote w:id="39">
    <w:p w:rsidR="00F03BCE" w:rsidRPr="0071143A" w:rsidRDefault="00F03BCE" w:rsidP="0071143A">
      <w:pPr>
        <w:pStyle w:val="coveraddress"/>
        <w:rPr>
          <w:rFonts w:cs="Arial"/>
          <w:sz w:val="24"/>
          <w:szCs w:val="24"/>
        </w:rPr>
      </w:pPr>
      <w:r w:rsidRPr="000027BF">
        <w:rPr>
          <w:rStyle w:val="EndnoteReference"/>
          <w:rFonts w:cs="Arial"/>
          <w:sz w:val="24"/>
          <w:szCs w:val="24"/>
        </w:rPr>
        <w:endnoteRef/>
      </w:r>
      <w:r w:rsidRPr="000027BF">
        <w:rPr>
          <w:rFonts w:cs="Arial"/>
          <w:sz w:val="24"/>
          <w:szCs w:val="24"/>
        </w:rPr>
        <w:t xml:space="preserve"> </w:t>
      </w:r>
      <w:proofErr w:type="gramStart"/>
      <w:r>
        <w:rPr>
          <w:rFonts w:cs="Arial"/>
          <w:sz w:val="24"/>
          <w:szCs w:val="24"/>
        </w:rPr>
        <w:t xml:space="preserve">Meeting with </w:t>
      </w:r>
      <w:r w:rsidRPr="000027BF">
        <w:rPr>
          <w:rFonts w:cs="Arial"/>
          <w:sz w:val="24"/>
          <w:szCs w:val="24"/>
        </w:rPr>
        <w:t>Attorney General’s Department, South Australia</w:t>
      </w:r>
      <w:r>
        <w:rPr>
          <w:rFonts w:cs="Arial"/>
          <w:sz w:val="24"/>
          <w:szCs w:val="24"/>
        </w:rPr>
        <w:t xml:space="preserve"> and</w:t>
      </w:r>
      <w:r w:rsidRPr="000027BF">
        <w:rPr>
          <w:rFonts w:cs="Arial"/>
          <w:sz w:val="24"/>
          <w:szCs w:val="24"/>
        </w:rPr>
        <w:t xml:space="preserve"> Law Faculty, University of South Australia.</w:t>
      </w:r>
      <w:proofErr w:type="gramEnd"/>
    </w:p>
  </w:endnote>
  <w:endnote w:id="40">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Pr>
          <w:rFonts w:cs="Arial"/>
          <w:sz w:val="24"/>
          <w:szCs w:val="24"/>
        </w:rPr>
        <w:t xml:space="preserve">Meeting with Northern Territory </w:t>
      </w:r>
      <w:r w:rsidRPr="000027BF">
        <w:rPr>
          <w:rFonts w:cs="Arial"/>
          <w:sz w:val="24"/>
          <w:szCs w:val="24"/>
        </w:rPr>
        <w:t>Anti-Discrimination Commission.</w:t>
      </w:r>
    </w:p>
  </w:endnote>
  <w:endnote w:id="41">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Pr>
          <w:rFonts w:cs="Arial"/>
          <w:sz w:val="24"/>
          <w:szCs w:val="24"/>
        </w:rPr>
        <w:t xml:space="preserve">Meeting with </w:t>
      </w:r>
      <w:r w:rsidRPr="0001722A">
        <w:rPr>
          <w:rFonts w:cs="Arial"/>
          <w:sz w:val="24"/>
          <w:szCs w:val="24"/>
        </w:rPr>
        <w:t>Katherine Women’s Information and Legal Service (KWILS), Australian Human Rights Commission and University of NSW roundtable: Access to Justice in the Criminal Justice System for People with Disability (22 April 2013).</w:t>
      </w:r>
    </w:p>
  </w:endnote>
  <w:endnote w:id="42">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Pr="0001722A">
        <w:rPr>
          <w:rFonts w:cs="Arial"/>
          <w:sz w:val="24"/>
          <w:szCs w:val="24"/>
        </w:rPr>
        <w:t xml:space="preserve">Meeting with </w:t>
      </w:r>
      <w:r>
        <w:rPr>
          <w:rFonts w:cs="Arial"/>
          <w:sz w:val="24"/>
          <w:szCs w:val="24"/>
        </w:rPr>
        <w:t>So</w:t>
      </w:r>
      <w:r w:rsidRPr="0001722A">
        <w:rPr>
          <w:rFonts w:cs="Arial"/>
          <w:sz w:val="24"/>
          <w:szCs w:val="24"/>
        </w:rPr>
        <w:t xml:space="preserve">uth West Aboriginal Medical Service (SWAMS); NT Community Visitors Scheme (Teleconference); Australian Human Rights Commission and University of NSW roundtable: Access to Justice in the Criminal Justice System for People with Disability (22 April 2013); Confidential, Submission 19; Australian Human Rights Commission, </w:t>
      </w:r>
      <w:r w:rsidRPr="0001722A">
        <w:rPr>
          <w:rFonts w:cs="Arial"/>
          <w:i/>
          <w:sz w:val="24"/>
          <w:szCs w:val="24"/>
        </w:rPr>
        <w:t>Preventing Crime and Promoting Rights for Indigenous Young People with Cognitive Disabilities and Mental Health Issues Part 1</w:t>
      </w:r>
      <w:r w:rsidRPr="0001722A">
        <w:rPr>
          <w:rFonts w:cs="Arial"/>
          <w:sz w:val="24"/>
          <w:szCs w:val="24"/>
        </w:rPr>
        <w:t xml:space="preserve"> (2008) </w:t>
      </w:r>
      <w:proofErr w:type="spellStart"/>
      <w:r w:rsidRPr="0001722A">
        <w:rPr>
          <w:rFonts w:cs="Arial"/>
          <w:sz w:val="24"/>
          <w:szCs w:val="24"/>
        </w:rPr>
        <w:t>pp</w:t>
      </w:r>
      <w:proofErr w:type="spellEnd"/>
      <w:r w:rsidRPr="0001722A">
        <w:rPr>
          <w:rFonts w:cs="Arial"/>
          <w:sz w:val="24"/>
          <w:szCs w:val="24"/>
        </w:rPr>
        <w:t xml:space="preserve"> 12, 41. </w:t>
      </w:r>
      <w:proofErr w:type="gramStart"/>
      <w:r w:rsidRPr="0001722A">
        <w:rPr>
          <w:rFonts w:cs="Arial"/>
          <w:sz w:val="24"/>
          <w:szCs w:val="24"/>
        </w:rPr>
        <w:t xml:space="preserve">At </w:t>
      </w:r>
      <w:hyperlink r:id="rId19" w:history="1">
        <w:r w:rsidRPr="0001722A">
          <w:rPr>
            <w:rStyle w:val="Hyperlink"/>
            <w:rFonts w:cs="Arial"/>
            <w:sz w:val="24"/>
            <w:szCs w:val="24"/>
          </w:rPr>
          <w:t>http://www.humanrights.gov.au/publications/preventing-crime-and-promoting-rights-indigenous-young-people-cognitive-disabilities-1</w:t>
        </w:r>
      </w:hyperlink>
      <w:r w:rsidRPr="0001722A">
        <w:rPr>
          <w:rFonts w:cs="Arial"/>
          <w:sz w:val="24"/>
          <w:szCs w:val="24"/>
        </w:rPr>
        <w:t xml:space="preserve"> (viewed 30 January 2014)</w:t>
      </w:r>
      <w:r>
        <w:rPr>
          <w:rFonts w:cs="Arial"/>
          <w:sz w:val="24"/>
          <w:szCs w:val="24"/>
        </w:rPr>
        <w:t>; Chinese Australian Services Society Ltd, Submission 28.</w:t>
      </w:r>
      <w:proofErr w:type="gramEnd"/>
    </w:p>
  </w:endnote>
  <w:endnote w:id="43">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01722A">
        <w:rPr>
          <w:rFonts w:cs="Arial"/>
          <w:sz w:val="24"/>
          <w:szCs w:val="24"/>
        </w:rPr>
        <w:t>Meeting with North Australian Aboriginal Justice Agency (NAAJA).</w:t>
      </w:r>
      <w:proofErr w:type="gramEnd"/>
    </w:p>
  </w:endnote>
  <w:endnote w:id="44">
    <w:p w:rsidR="00F03BCE" w:rsidRPr="0071143A" w:rsidRDefault="00F03BCE" w:rsidP="0071143A">
      <w:pPr>
        <w:pStyle w:val="coveraddress"/>
        <w:rPr>
          <w:rFonts w:cs="Arial"/>
          <w:i/>
          <w:iCs/>
          <w:sz w:val="24"/>
          <w:szCs w:val="24"/>
        </w:rPr>
      </w:pPr>
      <w:r w:rsidRPr="0071143A">
        <w:rPr>
          <w:rStyle w:val="EndnoteReference"/>
          <w:rFonts w:cs="Arial"/>
          <w:sz w:val="24"/>
          <w:szCs w:val="24"/>
        </w:rPr>
        <w:endnoteRef/>
      </w:r>
      <w:r w:rsidRPr="0071143A">
        <w:rPr>
          <w:rFonts w:cs="Arial"/>
          <w:sz w:val="24"/>
          <w:szCs w:val="24"/>
        </w:rPr>
        <w:t xml:space="preserve"> </w:t>
      </w:r>
      <w:r w:rsidRPr="0001722A">
        <w:rPr>
          <w:rFonts w:cs="Arial"/>
          <w:sz w:val="24"/>
          <w:szCs w:val="24"/>
        </w:rPr>
        <w:t xml:space="preserve">DLA Piper, </w:t>
      </w:r>
      <w:r w:rsidRPr="0001722A">
        <w:rPr>
          <w:rFonts w:cs="Arial"/>
          <w:i/>
          <w:sz w:val="24"/>
          <w:szCs w:val="24"/>
        </w:rPr>
        <w:t xml:space="preserve">Background paper on </w:t>
      </w:r>
      <w:r w:rsidRPr="0001722A">
        <w:rPr>
          <w:rFonts w:cs="Arial"/>
          <w:i/>
          <w:iCs/>
          <w:sz w:val="24"/>
          <w:szCs w:val="24"/>
        </w:rPr>
        <w:t>Access to Justice in the Criminal Justice System for People with Disability</w:t>
      </w:r>
      <w:r w:rsidRPr="0001722A">
        <w:rPr>
          <w:rFonts w:cs="Arial"/>
          <w:iCs/>
          <w:sz w:val="24"/>
          <w:szCs w:val="24"/>
        </w:rPr>
        <w:t xml:space="preserve"> (2013). At </w:t>
      </w:r>
      <w:hyperlink r:id="rId20" w:history="1">
        <w:r w:rsidRPr="0001722A">
          <w:rPr>
            <w:rStyle w:val="Hyperlink"/>
            <w:rFonts w:cs="Arial"/>
            <w:iCs/>
            <w:sz w:val="24"/>
            <w:szCs w:val="24"/>
          </w:rPr>
          <w:t>https://www.humanrights.gov.au/publications/background-paper-access-justice-people-disability-criminal-justice-system</w:t>
        </w:r>
      </w:hyperlink>
      <w:r w:rsidRPr="0001722A">
        <w:rPr>
          <w:rFonts w:cs="Arial"/>
          <w:iCs/>
          <w:sz w:val="24"/>
          <w:szCs w:val="24"/>
        </w:rPr>
        <w:t xml:space="preserve"> (viewed 30 January 2014).</w:t>
      </w:r>
    </w:p>
  </w:endnote>
  <w:endnote w:id="45">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1652FA">
        <w:rPr>
          <w:rFonts w:cs="Arial"/>
          <w:sz w:val="24"/>
          <w:szCs w:val="24"/>
        </w:rPr>
        <w:t xml:space="preserve">Steering Committee for the Review of Government Service Provision, </w:t>
      </w:r>
      <w:r w:rsidRPr="001652FA">
        <w:rPr>
          <w:rFonts w:cs="Arial"/>
          <w:i/>
          <w:sz w:val="24"/>
          <w:szCs w:val="24"/>
        </w:rPr>
        <w:t>Report on Government Services 2012</w:t>
      </w:r>
      <w:r w:rsidRPr="001652FA">
        <w:rPr>
          <w:rFonts w:cs="Arial"/>
          <w:sz w:val="24"/>
          <w:szCs w:val="24"/>
        </w:rPr>
        <w:t xml:space="preserve">, </w:t>
      </w:r>
      <w:proofErr w:type="spellStart"/>
      <w:r w:rsidRPr="001652FA">
        <w:rPr>
          <w:rFonts w:cs="Arial"/>
          <w:sz w:val="24"/>
          <w:szCs w:val="24"/>
        </w:rPr>
        <w:t>Vol</w:t>
      </w:r>
      <w:proofErr w:type="spellEnd"/>
      <w:r w:rsidRPr="001652FA">
        <w:rPr>
          <w:rFonts w:cs="Arial"/>
          <w:sz w:val="24"/>
          <w:szCs w:val="24"/>
        </w:rPr>
        <w:t xml:space="preserve"> 1, Productivity Commission (2012) p 7.29.</w:t>
      </w:r>
      <w:proofErr w:type="gramEnd"/>
      <w:r w:rsidRPr="001652FA">
        <w:rPr>
          <w:rFonts w:cs="Arial"/>
          <w:sz w:val="24"/>
          <w:szCs w:val="24"/>
        </w:rPr>
        <w:t xml:space="preserve"> At </w:t>
      </w:r>
      <w:hyperlink r:id="rId21" w:history="1">
        <w:r w:rsidRPr="001652FA">
          <w:rPr>
            <w:rStyle w:val="Hyperlink"/>
            <w:rFonts w:cs="Arial"/>
            <w:sz w:val="24"/>
            <w:szCs w:val="24"/>
          </w:rPr>
          <w:t>http://www.pc.gov.au/gsp/rogs/2012</w:t>
        </w:r>
      </w:hyperlink>
      <w:r w:rsidRPr="001652FA">
        <w:rPr>
          <w:rFonts w:cs="Arial"/>
          <w:sz w:val="24"/>
          <w:szCs w:val="24"/>
        </w:rPr>
        <w:t xml:space="preserve"> (viewed 24 January 2014).</w:t>
      </w:r>
    </w:p>
  </w:endnote>
  <w:endnote w:id="46">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Pr="001652FA">
        <w:rPr>
          <w:rFonts w:cs="Arial"/>
          <w:sz w:val="24"/>
          <w:szCs w:val="24"/>
        </w:rPr>
        <w:t>Disability Advocacy Tasmania, Australian Human Rights Commission Access to Justice Public Meeting,</w:t>
      </w:r>
      <w:r>
        <w:rPr>
          <w:rFonts w:cs="Arial"/>
          <w:sz w:val="24"/>
          <w:szCs w:val="24"/>
        </w:rPr>
        <w:t xml:space="preserve"> Hobart (20 </w:t>
      </w:r>
      <w:r w:rsidRPr="001652FA">
        <w:rPr>
          <w:rFonts w:cs="Arial"/>
          <w:sz w:val="24"/>
          <w:szCs w:val="24"/>
        </w:rPr>
        <w:t>May 2013</w:t>
      </w:r>
      <w:r>
        <w:rPr>
          <w:rFonts w:cs="Arial"/>
          <w:sz w:val="24"/>
          <w:szCs w:val="24"/>
        </w:rPr>
        <w:t>).</w:t>
      </w:r>
    </w:p>
  </w:endnote>
  <w:endnote w:id="47">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003C50B4">
        <w:rPr>
          <w:rFonts w:cs="Arial"/>
          <w:bCs/>
          <w:sz w:val="24"/>
          <w:szCs w:val="24"/>
        </w:rPr>
        <w:t>Anonymous</w:t>
      </w:r>
      <w:bookmarkStart w:id="47" w:name="_GoBack"/>
      <w:bookmarkEnd w:id="47"/>
      <w:r w:rsidRPr="001652FA">
        <w:rPr>
          <w:rFonts w:cs="Arial"/>
          <w:bCs/>
          <w:sz w:val="24"/>
          <w:szCs w:val="24"/>
        </w:rPr>
        <w:t xml:space="preserve">, Submission 1; </w:t>
      </w:r>
      <w:r>
        <w:rPr>
          <w:rFonts w:cs="Arial"/>
          <w:bCs/>
          <w:sz w:val="24"/>
          <w:szCs w:val="24"/>
        </w:rPr>
        <w:t>Meeting with Judicial Officer of the</w:t>
      </w:r>
      <w:r w:rsidRPr="001652FA">
        <w:rPr>
          <w:rFonts w:cs="Arial"/>
          <w:bCs/>
          <w:sz w:val="24"/>
          <w:szCs w:val="24"/>
        </w:rPr>
        <w:t xml:space="preserve"> Supreme Court of Queensland and the Queensland Mental Health Court; </w:t>
      </w:r>
      <w:r>
        <w:rPr>
          <w:rFonts w:cs="Arial"/>
          <w:bCs/>
          <w:sz w:val="24"/>
          <w:szCs w:val="24"/>
        </w:rPr>
        <w:t xml:space="preserve">Meeting with the </w:t>
      </w:r>
      <w:r w:rsidRPr="001652FA">
        <w:rPr>
          <w:rFonts w:cs="Arial"/>
          <w:bCs/>
          <w:sz w:val="24"/>
          <w:szCs w:val="24"/>
        </w:rPr>
        <w:t xml:space="preserve">Office of the Public Advocate (Queensland), Submission 23; </w:t>
      </w:r>
      <w:r>
        <w:rPr>
          <w:rFonts w:cs="Arial"/>
          <w:bCs/>
          <w:sz w:val="24"/>
          <w:szCs w:val="24"/>
        </w:rPr>
        <w:t xml:space="preserve">Meeting with Judicial Officer of the </w:t>
      </w:r>
      <w:r w:rsidRPr="001652FA">
        <w:rPr>
          <w:rFonts w:cs="Arial"/>
          <w:bCs/>
          <w:sz w:val="24"/>
          <w:szCs w:val="24"/>
        </w:rPr>
        <w:t>Magistrate</w:t>
      </w:r>
      <w:r>
        <w:rPr>
          <w:rFonts w:cs="Arial"/>
          <w:bCs/>
          <w:sz w:val="24"/>
          <w:szCs w:val="24"/>
        </w:rPr>
        <w:t>s Court, South Australia</w:t>
      </w:r>
      <w:r w:rsidRPr="001652FA">
        <w:rPr>
          <w:rFonts w:cs="Arial"/>
          <w:bCs/>
          <w:sz w:val="24"/>
          <w:szCs w:val="24"/>
        </w:rPr>
        <w:t>.</w:t>
      </w:r>
    </w:p>
  </w:endnote>
  <w:endnote w:id="48">
    <w:p w:rsidR="00F03BCE" w:rsidRPr="0071143A" w:rsidRDefault="00F03BCE" w:rsidP="0071143A">
      <w:pPr>
        <w:pStyle w:val="coveraddress"/>
        <w:rPr>
          <w:rFonts w:cs="Arial"/>
          <w:bCs/>
          <w:sz w:val="24"/>
          <w:szCs w:val="24"/>
        </w:rPr>
      </w:pPr>
      <w:r w:rsidRPr="0071143A">
        <w:rPr>
          <w:rStyle w:val="EndnoteReference"/>
          <w:rFonts w:cs="Arial"/>
          <w:sz w:val="24"/>
          <w:szCs w:val="24"/>
        </w:rPr>
        <w:endnoteRef/>
      </w:r>
      <w:r w:rsidRPr="0071143A">
        <w:rPr>
          <w:rFonts w:cs="Arial"/>
          <w:sz w:val="24"/>
          <w:szCs w:val="24"/>
        </w:rPr>
        <w:t xml:space="preserve"> </w:t>
      </w:r>
      <w:r w:rsidRPr="001652FA">
        <w:rPr>
          <w:rFonts w:cs="Arial"/>
          <w:bCs/>
          <w:sz w:val="24"/>
          <w:szCs w:val="24"/>
        </w:rPr>
        <w:t>National Aboriginal and Torres Strait Islander Legal Services, Submission 61; Australian Human Rights Commission Access to Justice Public Meeting, Geelong (10 July 2013); Australian Human Rights Commission Access to Justice Public Meeting, Roebourne (25 July 2013); Confidential, Submission 53; Australian Human Rights Commission Access to Justice Public Meeting, Hobart (20 May 2013); Confidential Submission No. 1; Australian Community Support Organisation, Submission 27; Confidential, Submission 79.</w:t>
      </w:r>
    </w:p>
  </w:endnote>
  <w:endnote w:id="49">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1652FA">
        <w:rPr>
          <w:rFonts w:cs="Arial"/>
          <w:sz w:val="24"/>
          <w:szCs w:val="24"/>
        </w:rPr>
        <w:t>National Aboriginal and Torres Strait Islander Legal Services (NATSILS), Submission 61.</w:t>
      </w:r>
      <w:proofErr w:type="gramEnd"/>
    </w:p>
  </w:endnote>
  <w:endnote w:id="50">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Pr="0071143A">
        <w:rPr>
          <w:rFonts w:cs="Arial"/>
          <w:bCs/>
          <w:sz w:val="24"/>
          <w:szCs w:val="24"/>
        </w:rPr>
        <w:t>Evidence to the Senate Community Affairs References Committee</w:t>
      </w:r>
      <w:r w:rsidRPr="0071143A">
        <w:rPr>
          <w:rFonts w:cs="Arial"/>
          <w:sz w:val="24"/>
          <w:szCs w:val="24"/>
        </w:rPr>
        <w:t xml:space="preserve">, Alice Springs, 18 February 2010, p 1 (Tristan Ray). At </w:t>
      </w:r>
      <w:hyperlink r:id="rId22" w:history="1">
        <w:r w:rsidRPr="0071143A">
          <w:rPr>
            <w:rStyle w:val="Hyperlink"/>
            <w:rFonts w:cs="Arial"/>
            <w:sz w:val="24"/>
            <w:szCs w:val="24"/>
          </w:rPr>
          <w:t>http://www.aph.gov.au/Parliamentary_Business/Committees/Senate/Community_Affairs/Completed_inquiries/2008-10/hearing_health/hearings/index</w:t>
        </w:r>
      </w:hyperlink>
      <w:r w:rsidRPr="0071143A">
        <w:rPr>
          <w:rFonts w:cs="Arial"/>
          <w:sz w:val="24"/>
          <w:szCs w:val="24"/>
        </w:rPr>
        <w:t xml:space="preserve"> (viewed 29 January 2014).</w:t>
      </w:r>
    </w:p>
  </w:endnote>
  <w:endnote w:id="51">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Confidential meeting.</w:t>
      </w:r>
      <w:proofErr w:type="gramEnd"/>
    </w:p>
  </w:endnote>
  <w:endnote w:id="52">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Pr="001652FA">
        <w:rPr>
          <w:rFonts w:cs="Arial"/>
          <w:sz w:val="24"/>
          <w:szCs w:val="24"/>
        </w:rPr>
        <w:t>Australian Human Rights Commission Access to Justice Public Meeting, Roebourne (25 July 2013).</w:t>
      </w:r>
      <w:r>
        <w:rPr>
          <w:rFonts w:cs="Arial"/>
          <w:sz w:val="24"/>
          <w:szCs w:val="24"/>
        </w:rPr>
        <w:t xml:space="preserve"> </w:t>
      </w:r>
    </w:p>
  </w:endnote>
  <w:endnote w:id="53">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Confidential Submission, No. 35.</w:t>
      </w:r>
      <w:proofErr w:type="gramEnd"/>
    </w:p>
  </w:endnote>
  <w:endnote w:id="54">
    <w:p w:rsidR="00F03BCE" w:rsidRPr="003E6053"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r w:rsidRPr="001652FA">
        <w:rPr>
          <w:rFonts w:cs="Arial"/>
          <w:sz w:val="24"/>
          <w:szCs w:val="24"/>
        </w:rPr>
        <w:t xml:space="preserve">Australian Human Rights Commission Access to Justice Public Meeting, </w:t>
      </w:r>
      <w:r w:rsidRPr="003E6053">
        <w:rPr>
          <w:rFonts w:cs="Arial"/>
          <w:sz w:val="24"/>
          <w:szCs w:val="24"/>
        </w:rPr>
        <w:t>Melbourne (11 July 2013).</w:t>
      </w:r>
    </w:p>
  </w:endnote>
  <w:endnote w:id="55">
    <w:p w:rsidR="00F03BCE" w:rsidRDefault="00F03BCE">
      <w:pPr>
        <w:pStyle w:val="EndnoteText"/>
      </w:pPr>
      <w:r w:rsidRPr="003E6053">
        <w:rPr>
          <w:rStyle w:val="EndnoteReference"/>
          <w:sz w:val="24"/>
          <w:szCs w:val="24"/>
        </w:rPr>
        <w:endnoteRef/>
      </w:r>
      <w:r w:rsidRPr="003E6053">
        <w:rPr>
          <w:sz w:val="24"/>
          <w:szCs w:val="24"/>
        </w:rPr>
        <w:t xml:space="preserve"> </w:t>
      </w:r>
      <w:proofErr w:type="gramStart"/>
      <w:r>
        <w:rPr>
          <w:sz w:val="24"/>
          <w:szCs w:val="24"/>
        </w:rPr>
        <w:t xml:space="preserve">Meeting with the </w:t>
      </w:r>
      <w:r w:rsidRPr="003E6053">
        <w:rPr>
          <w:sz w:val="24"/>
          <w:szCs w:val="24"/>
        </w:rPr>
        <w:t>Department of Justice, Victoria.</w:t>
      </w:r>
      <w:proofErr w:type="gramEnd"/>
    </w:p>
  </w:endnote>
  <w:endnote w:id="56">
    <w:p w:rsidR="00F03BCE" w:rsidRPr="00334A9B" w:rsidRDefault="00F03BCE">
      <w:pPr>
        <w:pStyle w:val="EndnoteText"/>
        <w:rPr>
          <w:sz w:val="24"/>
          <w:szCs w:val="24"/>
        </w:rPr>
      </w:pPr>
      <w:r w:rsidRPr="00334A9B">
        <w:rPr>
          <w:rStyle w:val="EndnoteReference"/>
          <w:sz w:val="24"/>
          <w:szCs w:val="24"/>
        </w:rPr>
        <w:endnoteRef/>
      </w:r>
      <w:r w:rsidRPr="00334A9B">
        <w:rPr>
          <w:sz w:val="24"/>
          <w:szCs w:val="24"/>
        </w:rPr>
        <w:t xml:space="preserve"> Australian Human Rights Commission Access to Justice Public Meeting, Darwin (1 August 2013).</w:t>
      </w:r>
    </w:p>
  </w:endnote>
  <w:endnote w:id="57">
    <w:p w:rsidR="00F03BCE" w:rsidRPr="0071143A" w:rsidRDefault="00F03BCE" w:rsidP="0071143A">
      <w:pPr>
        <w:pStyle w:val="coveraddress"/>
        <w:rPr>
          <w:rFonts w:cs="Arial"/>
          <w:i/>
          <w:iCs/>
          <w:sz w:val="24"/>
          <w:szCs w:val="24"/>
        </w:rPr>
      </w:pPr>
      <w:r w:rsidRPr="0071143A">
        <w:rPr>
          <w:rStyle w:val="EndnoteReference"/>
          <w:rFonts w:cs="Arial"/>
          <w:sz w:val="24"/>
          <w:szCs w:val="24"/>
        </w:rPr>
        <w:endnoteRef/>
      </w:r>
      <w:r w:rsidRPr="0071143A">
        <w:rPr>
          <w:rFonts w:cs="Arial"/>
          <w:sz w:val="24"/>
          <w:szCs w:val="24"/>
        </w:rPr>
        <w:t xml:space="preserve"> </w:t>
      </w:r>
      <w:r w:rsidRPr="001652FA">
        <w:rPr>
          <w:rFonts w:cs="Arial"/>
          <w:sz w:val="24"/>
          <w:szCs w:val="24"/>
        </w:rPr>
        <w:t xml:space="preserve">DLA Piper, </w:t>
      </w:r>
      <w:r w:rsidRPr="001652FA">
        <w:rPr>
          <w:rFonts w:cs="Arial"/>
          <w:i/>
          <w:sz w:val="24"/>
          <w:szCs w:val="24"/>
        </w:rPr>
        <w:t xml:space="preserve">Background paper on </w:t>
      </w:r>
      <w:r w:rsidRPr="001652FA">
        <w:rPr>
          <w:rFonts w:cs="Arial"/>
          <w:i/>
          <w:iCs/>
          <w:sz w:val="24"/>
          <w:szCs w:val="24"/>
        </w:rPr>
        <w:t>Access to Justice in the Criminal Justice System for People with Disability</w:t>
      </w:r>
      <w:r w:rsidRPr="001652FA">
        <w:rPr>
          <w:rFonts w:cs="Arial"/>
          <w:iCs/>
          <w:sz w:val="24"/>
          <w:szCs w:val="24"/>
        </w:rPr>
        <w:t xml:space="preserve"> (2013). At </w:t>
      </w:r>
      <w:hyperlink r:id="rId23" w:history="1">
        <w:r w:rsidRPr="001652FA">
          <w:rPr>
            <w:rStyle w:val="Hyperlink"/>
            <w:rFonts w:cs="Arial"/>
            <w:iCs/>
            <w:sz w:val="24"/>
            <w:szCs w:val="24"/>
          </w:rPr>
          <w:t>https://www.humanrights.gov.au/publications/background-paper-access-justice-people-disability-criminal-justice-system</w:t>
        </w:r>
      </w:hyperlink>
      <w:r w:rsidRPr="001652FA">
        <w:rPr>
          <w:rFonts w:cs="Arial"/>
          <w:iCs/>
          <w:sz w:val="24"/>
          <w:szCs w:val="24"/>
        </w:rPr>
        <w:t xml:space="preserve"> (viewed 30 January 2014).</w:t>
      </w:r>
    </w:p>
  </w:endnote>
  <w:endnote w:id="58">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1652FA">
        <w:rPr>
          <w:rFonts w:cs="Arial"/>
          <w:sz w:val="24"/>
          <w:szCs w:val="24"/>
        </w:rPr>
        <w:t xml:space="preserve">Steering Committee for the Review of Government Service Provision, </w:t>
      </w:r>
      <w:r w:rsidRPr="001652FA">
        <w:rPr>
          <w:rFonts w:cs="Arial"/>
          <w:i/>
          <w:sz w:val="24"/>
          <w:szCs w:val="24"/>
        </w:rPr>
        <w:t>Report on Government Services 2012</w:t>
      </w:r>
      <w:r w:rsidRPr="001652FA">
        <w:rPr>
          <w:rFonts w:cs="Arial"/>
          <w:sz w:val="24"/>
          <w:szCs w:val="24"/>
        </w:rPr>
        <w:t xml:space="preserve">, </w:t>
      </w:r>
      <w:proofErr w:type="spellStart"/>
      <w:r w:rsidRPr="001652FA">
        <w:rPr>
          <w:rFonts w:cs="Arial"/>
          <w:sz w:val="24"/>
          <w:szCs w:val="24"/>
        </w:rPr>
        <w:t>Vol</w:t>
      </w:r>
      <w:proofErr w:type="spellEnd"/>
      <w:r w:rsidRPr="001652FA">
        <w:rPr>
          <w:rFonts w:cs="Arial"/>
          <w:sz w:val="24"/>
          <w:szCs w:val="24"/>
        </w:rPr>
        <w:t xml:space="preserve"> 1, Productivity Commission (2012) p 8.2.</w:t>
      </w:r>
      <w:proofErr w:type="gramEnd"/>
      <w:r w:rsidRPr="001652FA">
        <w:rPr>
          <w:rFonts w:cs="Arial"/>
          <w:sz w:val="24"/>
          <w:szCs w:val="24"/>
        </w:rPr>
        <w:t xml:space="preserve"> At </w:t>
      </w:r>
      <w:hyperlink r:id="rId24" w:history="1">
        <w:r w:rsidRPr="001652FA">
          <w:rPr>
            <w:rStyle w:val="Hyperlink"/>
            <w:rFonts w:cs="Arial"/>
            <w:sz w:val="24"/>
            <w:szCs w:val="24"/>
          </w:rPr>
          <w:t>http://www.pc.gov.au/gsp/rogs/2012</w:t>
        </w:r>
      </w:hyperlink>
      <w:r w:rsidRPr="001652FA">
        <w:rPr>
          <w:rFonts w:cs="Arial"/>
          <w:sz w:val="24"/>
          <w:szCs w:val="24"/>
        </w:rPr>
        <w:t xml:space="preserve"> (viewed 24 January 2014).</w:t>
      </w:r>
    </w:p>
  </w:endnote>
  <w:endnote w:id="59">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Sisters Inside, Submission 72.</w:t>
      </w:r>
      <w:proofErr w:type="gramEnd"/>
    </w:p>
  </w:endnote>
  <w:endnote w:id="60">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Victorian Coalition of Acquired Brain Injury Service Providers, Submission 57.</w:t>
      </w:r>
      <w:proofErr w:type="gramEnd"/>
    </w:p>
  </w:endnote>
  <w:endnote w:id="61">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71143A">
        <w:rPr>
          <w:rFonts w:cs="Arial"/>
          <w:sz w:val="24"/>
          <w:szCs w:val="24"/>
        </w:rPr>
        <w:t>Sisters Inside, Submission 72.</w:t>
      </w:r>
      <w:proofErr w:type="gramEnd"/>
    </w:p>
  </w:endnote>
  <w:endnote w:id="62">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1652FA">
        <w:rPr>
          <w:rFonts w:cs="Arial"/>
          <w:sz w:val="24"/>
          <w:szCs w:val="24"/>
        </w:rPr>
        <w:t>Office of the Public Advocate (Queensland), Submission 23.</w:t>
      </w:r>
      <w:proofErr w:type="gramEnd"/>
    </w:p>
  </w:endnote>
  <w:endnote w:id="63">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1652FA">
        <w:rPr>
          <w:rFonts w:cs="Arial"/>
          <w:sz w:val="24"/>
          <w:szCs w:val="24"/>
        </w:rPr>
        <w:t>Meeting with North Australian Aboriginal Justice Agency (NAAJA).</w:t>
      </w:r>
      <w:proofErr w:type="gramEnd"/>
    </w:p>
  </w:endnote>
  <w:endnote w:id="64">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sidRPr="00C1468B">
        <w:rPr>
          <w:rFonts w:cs="Arial"/>
          <w:sz w:val="24"/>
          <w:szCs w:val="24"/>
        </w:rPr>
        <w:t>United Nations Committee on the Rights of Persons with Disabilities</w:t>
      </w:r>
      <w:r w:rsidRPr="00C1468B">
        <w:rPr>
          <w:rFonts w:cs="Arial"/>
          <w:i/>
          <w:sz w:val="24"/>
          <w:szCs w:val="24"/>
        </w:rPr>
        <w:t>, Concluding Observations on Australia</w:t>
      </w:r>
      <w:r w:rsidRPr="00C1468B">
        <w:rPr>
          <w:rFonts w:cs="Arial"/>
          <w:sz w:val="24"/>
          <w:szCs w:val="24"/>
        </w:rPr>
        <w:t xml:space="preserve">, CRPD/C/AUS/CO/1 (2013) </w:t>
      </w:r>
      <w:proofErr w:type="spellStart"/>
      <w:r w:rsidRPr="00C1468B">
        <w:rPr>
          <w:rFonts w:cs="Arial"/>
          <w:sz w:val="24"/>
          <w:szCs w:val="24"/>
        </w:rPr>
        <w:t>para</w:t>
      </w:r>
      <w:proofErr w:type="spellEnd"/>
      <w:r w:rsidRPr="00C1468B">
        <w:rPr>
          <w:rFonts w:cs="Arial"/>
          <w:sz w:val="24"/>
          <w:szCs w:val="24"/>
        </w:rPr>
        <w:t xml:space="preserve"> 32(a).</w:t>
      </w:r>
      <w:proofErr w:type="gramEnd"/>
      <w:r w:rsidRPr="00C1468B">
        <w:rPr>
          <w:rFonts w:cs="Arial"/>
          <w:sz w:val="24"/>
          <w:szCs w:val="24"/>
        </w:rPr>
        <w:t xml:space="preserve"> At </w:t>
      </w:r>
      <w:hyperlink r:id="rId25" w:history="1">
        <w:r w:rsidRPr="00C1468B">
          <w:rPr>
            <w:rStyle w:val="Hyperlink"/>
            <w:rFonts w:cs="Arial"/>
            <w:sz w:val="24"/>
            <w:szCs w:val="24"/>
          </w:rPr>
          <w:t>http://tbinternet.ohchr.org/_layouts/treatybodyexternal/SessionDetails1.aspx?SessionID=883&amp;Lang=en</w:t>
        </w:r>
      </w:hyperlink>
      <w:r w:rsidRPr="00C1468B">
        <w:rPr>
          <w:rFonts w:cs="Arial"/>
          <w:sz w:val="24"/>
          <w:szCs w:val="24"/>
        </w:rPr>
        <w:t xml:space="preserve"> (viewed 30 January 2014).</w:t>
      </w:r>
    </w:p>
  </w:endnote>
  <w:endnote w:id="65">
    <w:p w:rsidR="00F03BCE" w:rsidRPr="0071143A" w:rsidRDefault="00F03BCE" w:rsidP="0071143A">
      <w:pPr>
        <w:pStyle w:val="coveraddress"/>
        <w:rPr>
          <w:rFonts w:cs="Arial"/>
          <w:sz w:val="24"/>
          <w:szCs w:val="24"/>
        </w:rPr>
      </w:pPr>
      <w:r w:rsidRPr="0071143A">
        <w:rPr>
          <w:rStyle w:val="EndnoteReference"/>
          <w:rFonts w:cs="Arial"/>
          <w:sz w:val="24"/>
          <w:szCs w:val="24"/>
        </w:rPr>
        <w:endnoteRef/>
      </w:r>
      <w:r w:rsidRPr="0071143A">
        <w:rPr>
          <w:rFonts w:cs="Arial"/>
          <w:sz w:val="24"/>
          <w:szCs w:val="24"/>
        </w:rPr>
        <w:t xml:space="preserve"> </w:t>
      </w:r>
      <w:proofErr w:type="gramStart"/>
      <w:r>
        <w:rPr>
          <w:rFonts w:cs="Arial"/>
          <w:sz w:val="24"/>
          <w:szCs w:val="24"/>
        </w:rPr>
        <w:t xml:space="preserve">Meeting with the </w:t>
      </w:r>
      <w:r w:rsidRPr="0071143A">
        <w:rPr>
          <w:rFonts w:cs="Arial"/>
          <w:sz w:val="24"/>
          <w:szCs w:val="24"/>
        </w:rPr>
        <w:t>Victorian Department of Justice Stakeholder Forum.</w:t>
      </w:r>
      <w:proofErr w:type="gramEnd"/>
      <w:r>
        <w:rPr>
          <w:rFonts w:cs="Arial"/>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Neue Light">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E" w:rsidRPr="0090165F" w:rsidRDefault="00F03BCE"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E" w:rsidRPr="004A187B" w:rsidRDefault="00F03BCE"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-1339215</wp:posOffset>
              </wp:positionV>
              <wp:extent cx="6071235" cy="906780"/>
              <wp:effectExtent l="0" t="0" r="571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rsidR="00F03BCE" w:rsidRPr="0003606D" w:rsidRDefault="00F03BCE" w:rsidP="00730BD2">
                          <w:pPr>
                            <w:pStyle w:val="coveraddress"/>
                          </w:pPr>
                          <w:r w:rsidRPr="0003606D">
                            <w:t>ABN 47 996 232 602</w:t>
                          </w:r>
                        </w:p>
                        <w:p w:rsidR="00F03BCE" w:rsidRPr="0003606D" w:rsidRDefault="00F03BCE" w:rsidP="00730BD2">
                          <w:pPr>
                            <w:pStyle w:val="coveraddress"/>
                          </w:pPr>
                          <w:r w:rsidRPr="0003606D">
                            <w:t>Level 3, 175 Pitt Street, Sydney NSW 2000</w:t>
                          </w:r>
                        </w:p>
                        <w:p w:rsidR="00F03BCE" w:rsidRPr="0003606D" w:rsidRDefault="00F03BCE" w:rsidP="00730BD2">
                          <w:pPr>
                            <w:pStyle w:val="coveraddress"/>
                          </w:pPr>
                          <w:r w:rsidRPr="0003606D">
                            <w:t>GPO Box 5218, Sydney NSW 2001</w:t>
                          </w:r>
                        </w:p>
                        <w:p w:rsidR="00F03BCE" w:rsidRPr="0003606D" w:rsidRDefault="00F03BCE" w:rsidP="00730BD2">
                          <w:pPr>
                            <w:pStyle w:val="coveraddress"/>
                          </w:pPr>
                          <w:r w:rsidRPr="0003606D">
                            <w:t>General enquiries 1300 369 711</w:t>
                          </w:r>
                        </w:p>
                        <w:p w:rsidR="00F03BCE" w:rsidRPr="0003606D" w:rsidRDefault="00F03BCE" w:rsidP="00730BD2">
                          <w:pPr>
                            <w:pStyle w:val="coveraddress"/>
                          </w:pPr>
                          <w:r w:rsidRPr="0003606D">
                            <w:t>Complaints info line 1300 656 419</w:t>
                          </w:r>
                        </w:p>
                        <w:p w:rsidR="00F03BCE" w:rsidRPr="0003606D" w:rsidRDefault="00F03BCE" w:rsidP="00730BD2">
                          <w:pPr>
                            <w:pStyle w:val="coveraddress"/>
                          </w:pPr>
                          <w:r w:rsidRPr="0003606D">
                            <w:t>TTY 1800 620 241</w:t>
                          </w:r>
                        </w:p>
                        <w:p w:rsidR="00F03BCE" w:rsidRPr="00B63D24" w:rsidRDefault="00F03BCE" w:rsidP="00730BD2">
                          <w:pPr>
                            <w:pStyle w:val="Footer"/>
                          </w:pPr>
                          <w:r w:rsidRPr="00B63D24">
                            <w:tab/>
                          </w:r>
                        </w:p>
                        <w:p w:rsidR="00F03BCE" w:rsidRPr="00B63D24" w:rsidRDefault="00F03BCE"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rsidR="00615069" w:rsidRPr="0003606D" w:rsidRDefault="00615069" w:rsidP="00730BD2">
                    <w:pPr>
                      <w:pStyle w:val="coveraddress"/>
                    </w:pPr>
                    <w:r w:rsidRPr="0003606D">
                      <w:t>ABN 47 996 232 602</w:t>
                    </w:r>
                  </w:p>
                  <w:p w:rsidR="00615069" w:rsidRPr="0003606D" w:rsidRDefault="00615069" w:rsidP="00730BD2">
                    <w:pPr>
                      <w:pStyle w:val="coveraddress"/>
                    </w:pPr>
                    <w:r w:rsidRPr="0003606D">
                      <w:t>Level 3, 175 Pitt Street, Sydney NSW 2000</w:t>
                    </w:r>
                  </w:p>
                  <w:p w:rsidR="00615069" w:rsidRPr="0003606D" w:rsidRDefault="00615069" w:rsidP="00730BD2">
                    <w:pPr>
                      <w:pStyle w:val="coveraddress"/>
                    </w:pPr>
                    <w:r w:rsidRPr="0003606D">
                      <w:t>GPO Box 5218, Sydney NSW 2001</w:t>
                    </w:r>
                  </w:p>
                  <w:p w:rsidR="00615069" w:rsidRPr="0003606D" w:rsidRDefault="00615069" w:rsidP="00730BD2">
                    <w:pPr>
                      <w:pStyle w:val="coveraddress"/>
                    </w:pPr>
                    <w:r w:rsidRPr="0003606D">
                      <w:t>General enquiries 1300 369 711</w:t>
                    </w:r>
                  </w:p>
                  <w:p w:rsidR="00615069" w:rsidRPr="0003606D" w:rsidRDefault="00615069" w:rsidP="00730BD2">
                    <w:pPr>
                      <w:pStyle w:val="coveraddress"/>
                    </w:pPr>
                    <w:r w:rsidRPr="0003606D">
                      <w:t>Complaints info line 1300 656 419</w:t>
                    </w:r>
                  </w:p>
                  <w:p w:rsidR="00615069" w:rsidRPr="0003606D" w:rsidRDefault="00615069" w:rsidP="00730BD2">
                    <w:pPr>
                      <w:pStyle w:val="coveraddress"/>
                    </w:pPr>
                    <w:r w:rsidRPr="0003606D">
                      <w:t>TTY 1800 620 241</w:t>
                    </w:r>
                  </w:p>
                  <w:p w:rsidR="00615069" w:rsidRPr="00B63D24" w:rsidRDefault="00615069" w:rsidP="00730BD2">
                    <w:pPr>
                      <w:pStyle w:val="Footer"/>
                    </w:pPr>
                    <w:r w:rsidRPr="00B63D24">
                      <w:tab/>
                    </w:r>
                  </w:p>
                  <w:p w:rsidR="00615069" w:rsidRPr="00B63D24" w:rsidRDefault="00615069"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E" w:rsidRPr="0090165F" w:rsidRDefault="00F03BCE"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3C50B4">
      <w:rPr>
        <w:rStyle w:val="PageNumber"/>
        <w:noProof/>
      </w:rPr>
      <w:t>57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BCE" w:rsidRDefault="00F03BCE" w:rsidP="00F14C6D">
      <w:r>
        <w:separator/>
      </w:r>
    </w:p>
  </w:footnote>
  <w:footnote w:type="continuationSeparator" w:id="0">
    <w:p w:rsidR="00F03BCE" w:rsidRDefault="00F03BC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E" w:rsidRDefault="00F03B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E" w:rsidRPr="00D27262" w:rsidRDefault="00F03BCE"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rsidR="00F03BCE" w:rsidRDefault="00F03BCE"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F03BCE" w:rsidRPr="00B85DD4" w:rsidTr="00165E3C">
      <w:trPr>
        <w:trHeight w:val="1276"/>
      </w:trPr>
      <w:tc>
        <w:tcPr>
          <w:tcW w:w="1508" w:type="dxa"/>
        </w:tcPr>
        <w:p w:rsidR="00F03BCE" w:rsidRPr="00B85DD4" w:rsidRDefault="00F03BCE"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F03BCE" w:rsidRPr="00B85DD4" w:rsidRDefault="00F03BCE" w:rsidP="002B1B65">
          <w:pPr>
            <w:spacing w:before="0" w:after="0"/>
            <w:rPr>
              <w:rFonts w:cs="ArialMT"/>
              <w:i/>
              <w:color w:val="808080"/>
              <w:sz w:val="17"/>
            </w:rPr>
          </w:pPr>
        </w:p>
      </w:tc>
      <w:tc>
        <w:tcPr>
          <w:tcW w:w="2302" w:type="dxa"/>
        </w:tcPr>
        <w:p w:rsidR="00F03BCE" w:rsidRPr="00B85DD4" w:rsidRDefault="00F03BCE" w:rsidP="00B520BC">
          <w:pPr>
            <w:pStyle w:val="HeaderFooter"/>
            <w:rPr>
              <w:b/>
              <w:spacing w:val="-20"/>
              <w:sz w:val="40"/>
            </w:rPr>
          </w:pPr>
        </w:p>
      </w:tc>
      <w:tc>
        <w:tcPr>
          <w:tcW w:w="2130" w:type="dxa"/>
        </w:tcPr>
        <w:p w:rsidR="00F03BCE" w:rsidRPr="00B85DD4" w:rsidRDefault="00F03BCE" w:rsidP="00B520BC">
          <w:pPr>
            <w:pStyle w:val="HeaderFooter"/>
            <w:rPr>
              <w:b/>
              <w:spacing w:val="-20"/>
              <w:sz w:val="40"/>
            </w:rPr>
          </w:pPr>
        </w:p>
      </w:tc>
      <w:tc>
        <w:tcPr>
          <w:tcW w:w="1721" w:type="dxa"/>
        </w:tcPr>
        <w:p w:rsidR="00F03BCE" w:rsidRPr="00B85DD4" w:rsidRDefault="00F03BCE" w:rsidP="00B520BC">
          <w:pPr>
            <w:pStyle w:val="HeaderFooter"/>
            <w:spacing w:before="227" w:after="340"/>
            <w:rPr>
              <w:b/>
              <w:spacing w:val="-20"/>
              <w:sz w:val="40"/>
            </w:rPr>
          </w:pPr>
        </w:p>
      </w:tc>
    </w:tr>
  </w:tbl>
  <w:p w:rsidR="00F03BCE" w:rsidRDefault="00F03B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E" w:rsidRDefault="00F03B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E" w:rsidRPr="00D27262" w:rsidRDefault="00F03BCE" w:rsidP="00B34946">
    <w:pPr>
      <w:spacing w:before="0" w:after="60"/>
      <w:jc w:val="right"/>
      <w:rPr>
        <w:sz w:val="22"/>
        <w:szCs w:val="22"/>
      </w:rPr>
    </w:pPr>
    <w:r w:rsidRPr="00D27262">
      <w:rPr>
        <w:sz w:val="22"/>
        <w:szCs w:val="22"/>
      </w:rPr>
      <w:t>Au</w:t>
    </w:r>
    <w:r>
      <w:rPr>
        <w:sz w:val="22"/>
        <w:szCs w:val="22"/>
      </w:rPr>
      <w:t>stralian Human Rights Commission</w:t>
    </w:r>
  </w:p>
  <w:p w:rsidR="00F03BCE" w:rsidRPr="001E5676" w:rsidRDefault="00F03BCE" w:rsidP="002F4CE1">
    <w:pPr>
      <w:pStyle w:val="Footer"/>
      <w:spacing w:after="240"/>
      <w:jc w:val="right"/>
      <w:rPr>
        <w:i/>
        <w:sz w:val="18"/>
        <w:szCs w:val="18"/>
      </w:rPr>
    </w:pPr>
    <w:r>
      <w:rPr>
        <w:b/>
        <w:i/>
        <w:sz w:val="18"/>
        <w:szCs w:val="18"/>
      </w:rPr>
      <w:t>Equal Before the Law: Towards Disability Justice Strategies</w:t>
    </w:r>
    <w:r>
      <w:rPr>
        <w:i/>
        <w:sz w:val="18"/>
        <w:szCs w:val="18"/>
      </w:rPr>
      <w:t xml:space="preserve"> – February 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F03BCE" w:rsidRPr="00B85DD4" w:rsidTr="002B1B65">
      <w:trPr>
        <w:trHeight w:val="1603"/>
      </w:trPr>
      <w:tc>
        <w:tcPr>
          <w:tcW w:w="1508" w:type="dxa"/>
        </w:tcPr>
        <w:p w:rsidR="00F03BCE" w:rsidRPr="00B85DD4" w:rsidRDefault="00F03BCE"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rPr>
            <w:drawing>
              <wp:inline distT="0" distB="0" distL="0" distR="0" wp14:anchorId="353464C4" wp14:editId="360A94B0">
                <wp:extent cx="819150" cy="819150"/>
                <wp:effectExtent l="0" t="0" r="0" b="0"/>
                <wp:docPr id="4"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F03BCE" w:rsidRPr="00D36BB2" w:rsidRDefault="00F03BCE" w:rsidP="002B1B65">
          <w:pPr>
            <w:pStyle w:val="LogoType"/>
            <w:pBdr>
              <w:bottom w:val="single" w:sz="4" w:space="1" w:color="808080"/>
            </w:pBdr>
            <w:spacing w:line="240" w:lineRule="auto"/>
          </w:pPr>
          <w:r w:rsidRPr="00D36BB2">
            <w:t>Australian</w:t>
          </w:r>
        </w:p>
        <w:p w:rsidR="00F03BCE" w:rsidRPr="00D36BB2" w:rsidRDefault="00F03BCE" w:rsidP="002B1B65">
          <w:pPr>
            <w:pStyle w:val="LogoType"/>
            <w:pBdr>
              <w:bottom w:val="single" w:sz="4" w:space="1" w:color="808080"/>
            </w:pBdr>
            <w:spacing w:line="240" w:lineRule="auto"/>
          </w:pPr>
          <w:r w:rsidRPr="00D36BB2">
            <w:t>Human Rights</w:t>
          </w:r>
        </w:p>
        <w:p w:rsidR="00F03BCE" w:rsidRPr="00D36BB2" w:rsidRDefault="00F03BCE" w:rsidP="002B1B65">
          <w:pPr>
            <w:pStyle w:val="LogoType"/>
            <w:pBdr>
              <w:bottom w:val="single" w:sz="4" w:space="1" w:color="808080"/>
            </w:pBdr>
            <w:spacing w:line="240" w:lineRule="auto"/>
          </w:pPr>
          <w:r w:rsidRPr="00D36BB2">
            <w:t>Commission</w:t>
          </w:r>
        </w:p>
        <w:p w:rsidR="00F03BCE" w:rsidRPr="00B85DD4" w:rsidRDefault="00F03BCE"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F03BCE" w:rsidRPr="00B85DD4" w:rsidRDefault="00F03BCE" w:rsidP="00B520BC">
          <w:pPr>
            <w:pStyle w:val="HeaderFooter"/>
            <w:rPr>
              <w:b/>
              <w:spacing w:val="-20"/>
              <w:sz w:val="40"/>
            </w:rPr>
          </w:pPr>
        </w:p>
      </w:tc>
      <w:tc>
        <w:tcPr>
          <w:tcW w:w="2130" w:type="dxa"/>
        </w:tcPr>
        <w:p w:rsidR="00F03BCE" w:rsidRPr="00B85DD4" w:rsidRDefault="00F03BCE" w:rsidP="00B520BC">
          <w:pPr>
            <w:pStyle w:val="HeaderFooter"/>
            <w:rPr>
              <w:b/>
              <w:spacing w:val="-20"/>
              <w:sz w:val="40"/>
            </w:rPr>
          </w:pPr>
        </w:p>
      </w:tc>
      <w:tc>
        <w:tcPr>
          <w:tcW w:w="1721" w:type="dxa"/>
        </w:tcPr>
        <w:p w:rsidR="00F03BCE" w:rsidRPr="00B85DD4" w:rsidRDefault="00F03BCE" w:rsidP="00B520BC">
          <w:pPr>
            <w:pStyle w:val="HeaderFooter"/>
            <w:spacing w:before="227" w:after="340"/>
            <w:rPr>
              <w:b/>
              <w:spacing w:val="-20"/>
              <w:sz w:val="40"/>
            </w:rPr>
          </w:pPr>
        </w:p>
      </w:tc>
    </w:tr>
  </w:tbl>
  <w:p w:rsidR="00F03BCE" w:rsidRDefault="00F0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4C828FE6"/>
    <w:lvl w:ilvl="0">
      <w:numFmt w:val="bullet"/>
      <w:lvlText w:val="*"/>
      <w:lvlJc w:val="left"/>
    </w:lvl>
  </w:abstractNum>
  <w:abstractNum w:abstractNumId="11">
    <w:nsid w:val="00BB2178"/>
    <w:multiLevelType w:val="hybridMultilevel"/>
    <w:tmpl w:val="7422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nsid w:val="0AA872DA"/>
    <w:multiLevelType w:val="hybridMultilevel"/>
    <w:tmpl w:val="F1668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9A36CA"/>
    <w:multiLevelType w:val="hybridMultilevel"/>
    <w:tmpl w:val="52089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D40BB6"/>
    <w:multiLevelType w:val="hybridMultilevel"/>
    <w:tmpl w:val="09288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3D5049"/>
    <w:multiLevelType w:val="hybridMultilevel"/>
    <w:tmpl w:val="96C8F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FA7680"/>
    <w:multiLevelType w:val="hybridMultilevel"/>
    <w:tmpl w:val="5ED8F610"/>
    <w:lvl w:ilvl="0" w:tplc="8788F10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A670B39"/>
    <w:multiLevelType w:val="hybridMultilevel"/>
    <w:tmpl w:val="63D07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D1F6608"/>
    <w:multiLevelType w:val="hybridMultilevel"/>
    <w:tmpl w:val="03180E68"/>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nsid w:val="1D5C7D67"/>
    <w:multiLevelType w:val="hybridMultilevel"/>
    <w:tmpl w:val="6F9C57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00637AB"/>
    <w:multiLevelType w:val="hybridMultilevel"/>
    <w:tmpl w:val="D06E8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25C4039E"/>
    <w:multiLevelType w:val="hybridMultilevel"/>
    <w:tmpl w:val="90DCCCAA"/>
    <w:lvl w:ilvl="0" w:tplc="0C090001">
      <w:start w:val="1"/>
      <w:numFmt w:val="bullet"/>
      <w:lvlText w:val=""/>
      <w:lvlJc w:val="left"/>
      <w:pPr>
        <w:ind w:left="720" w:hanging="360"/>
      </w:pPr>
      <w:rPr>
        <w:rFonts w:ascii="Symbol" w:hAnsi="Symbol" w:hint="default"/>
      </w:rPr>
    </w:lvl>
    <w:lvl w:ilvl="1" w:tplc="3DA8C09A">
      <w:numFmt w:val="bullet"/>
      <w:lvlText w:val="•"/>
      <w:lvlJc w:val="left"/>
      <w:pPr>
        <w:ind w:left="1800" w:hanging="720"/>
      </w:pPr>
      <w:rPr>
        <w:rFonts w:ascii="Arial" w:eastAsia="MS Mincho"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E511429"/>
    <w:multiLevelType w:val="hybridMultilevel"/>
    <w:tmpl w:val="368E5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FC6041E"/>
    <w:multiLevelType w:val="hybridMultilevel"/>
    <w:tmpl w:val="A170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2F93CF1"/>
    <w:multiLevelType w:val="hybridMultilevel"/>
    <w:tmpl w:val="3CEC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9E00386"/>
    <w:multiLevelType w:val="hybridMultilevel"/>
    <w:tmpl w:val="B728295C"/>
    <w:lvl w:ilvl="0" w:tplc="FB602A0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19F2D37"/>
    <w:multiLevelType w:val="hybridMultilevel"/>
    <w:tmpl w:val="AA227C80"/>
    <w:lvl w:ilvl="0" w:tplc="0C090001">
      <w:start w:val="1"/>
      <w:numFmt w:val="bullet"/>
      <w:lvlText w:val=""/>
      <w:lvlJc w:val="left"/>
      <w:pPr>
        <w:ind w:left="1077" w:hanging="360"/>
      </w:pPr>
      <w:rPr>
        <w:rFonts w:ascii="Symbol" w:hAnsi="Symbol" w:hint="default"/>
      </w:rPr>
    </w:lvl>
    <w:lvl w:ilvl="1" w:tplc="0C090001">
      <w:start w:val="1"/>
      <w:numFmt w:val="bullet"/>
      <w:lvlText w:val=""/>
      <w:lvlJc w:val="left"/>
      <w:pPr>
        <w:ind w:left="1797" w:hanging="360"/>
      </w:pPr>
      <w:rPr>
        <w:rFonts w:ascii="Symbol" w:hAnsi="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nsid w:val="49AC03B5"/>
    <w:multiLevelType w:val="hybridMultilevel"/>
    <w:tmpl w:val="19821618"/>
    <w:lvl w:ilvl="0" w:tplc="0C09000F">
      <w:start w:val="1"/>
      <w:numFmt w:val="decimal"/>
      <w:lvlText w:val="%1."/>
      <w:lvlJc w:val="left"/>
      <w:pPr>
        <w:ind w:left="1080" w:hanging="360"/>
      </w:pPr>
    </w:lvl>
    <w:lvl w:ilvl="1" w:tplc="C13C9CC2" w:tentative="1">
      <w:start w:val="1"/>
      <w:numFmt w:val="lowerLetter"/>
      <w:lvlText w:val="%2."/>
      <w:lvlJc w:val="left"/>
      <w:pPr>
        <w:ind w:left="1800" w:hanging="360"/>
      </w:pPr>
    </w:lvl>
    <w:lvl w:ilvl="2" w:tplc="44C6C774" w:tentative="1">
      <w:start w:val="1"/>
      <w:numFmt w:val="lowerRoman"/>
      <w:lvlText w:val="%3."/>
      <w:lvlJc w:val="right"/>
      <w:pPr>
        <w:ind w:left="2520" w:hanging="180"/>
      </w:pPr>
    </w:lvl>
    <w:lvl w:ilvl="3" w:tplc="32929BCE" w:tentative="1">
      <w:start w:val="1"/>
      <w:numFmt w:val="decimal"/>
      <w:lvlText w:val="%4."/>
      <w:lvlJc w:val="left"/>
      <w:pPr>
        <w:ind w:left="3240" w:hanging="360"/>
      </w:pPr>
    </w:lvl>
    <w:lvl w:ilvl="4" w:tplc="D28AB094" w:tentative="1">
      <w:start w:val="1"/>
      <w:numFmt w:val="lowerLetter"/>
      <w:lvlText w:val="%5."/>
      <w:lvlJc w:val="left"/>
      <w:pPr>
        <w:ind w:left="3960" w:hanging="360"/>
      </w:pPr>
    </w:lvl>
    <w:lvl w:ilvl="5" w:tplc="AB50CFF6" w:tentative="1">
      <w:start w:val="1"/>
      <w:numFmt w:val="lowerRoman"/>
      <w:lvlText w:val="%6."/>
      <w:lvlJc w:val="right"/>
      <w:pPr>
        <w:ind w:left="4680" w:hanging="180"/>
      </w:pPr>
    </w:lvl>
    <w:lvl w:ilvl="6" w:tplc="8716FAFE" w:tentative="1">
      <w:start w:val="1"/>
      <w:numFmt w:val="decimal"/>
      <w:lvlText w:val="%7."/>
      <w:lvlJc w:val="left"/>
      <w:pPr>
        <w:ind w:left="5400" w:hanging="360"/>
      </w:pPr>
    </w:lvl>
    <w:lvl w:ilvl="7" w:tplc="7CBEF6E0" w:tentative="1">
      <w:start w:val="1"/>
      <w:numFmt w:val="lowerLetter"/>
      <w:lvlText w:val="%8."/>
      <w:lvlJc w:val="left"/>
      <w:pPr>
        <w:ind w:left="6120" w:hanging="360"/>
      </w:pPr>
    </w:lvl>
    <w:lvl w:ilvl="8" w:tplc="74AEB3CE" w:tentative="1">
      <w:start w:val="1"/>
      <w:numFmt w:val="lowerRoman"/>
      <w:lvlText w:val="%9."/>
      <w:lvlJc w:val="right"/>
      <w:pPr>
        <w:ind w:left="6840" w:hanging="180"/>
      </w:pPr>
    </w:lvl>
  </w:abstractNum>
  <w:abstractNum w:abstractNumId="33">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4">
    <w:nsid w:val="4C3379F6"/>
    <w:multiLevelType w:val="multilevel"/>
    <w:tmpl w:val="2F4013EE"/>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3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EF56250"/>
    <w:multiLevelType w:val="hybridMultilevel"/>
    <w:tmpl w:val="AA76269A"/>
    <w:lvl w:ilvl="0" w:tplc="B4FA538C">
      <w:start w:val="1"/>
      <w:numFmt w:val="bullet"/>
      <w:lvlText w:val=""/>
      <w:lvlJc w:val="left"/>
      <w:pPr>
        <w:ind w:left="840" w:hanging="360"/>
      </w:pPr>
      <w:rPr>
        <w:rFonts w:ascii="Symbol" w:hAnsi="Symbol" w:hint="default"/>
      </w:rPr>
    </w:lvl>
    <w:lvl w:ilvl="1" w:tplc="94C49920" w:tentative="1">
      <w:start w:val="1"/>
      <w:numFmt w:val="bullet"/>
      <w:lvlText w:val="o"/>
      <w:lvlJc w:val="left"/>
      <w:pPr>
        <w:ind w:left="1560" w:hanging="360"/>
      </w:pPr>
      <w:rPr>
        <w:rFonts w:ascii="Courier New" w:hAnsi="Courier New" w:hint="default"/>
      </w:rPr>
    </w:lvl>
    <w:lvl w:ilvl="2" w:tplc="D0B08818" w:tentative="1">
      <w:start w:val="1"/>
      <w:numFmt w:val="bullet"/>
      <w:lvlText w:val=""/>
      <w:lvlJc w:val="left"/>
      <w:pPr>
        <w:ind w:left="2280" w:hanging="360"/>
      </w:pPr>
      <w:rPr>
        <w:rFonts w:ascii="Wingdings" w:hAnsi="Wingdings" w:hint="default"/>
      </w:rPr>
    </w:lvl>
    <w:lvl w:ilvl="3" w:tplc="835CFA28" w:tentative="1">
      <w:start w:val="1"/>
      <w:numFmt w:val="bullet"/>
      <w:lvlText w:val=""/>
      <w:lvlJc w:val="left"/>
      <w:pPr>
        <w:ind w:left="3000" w:hanging="360"/>
      </w:pPr>
      <w:rPr>
        <w:rFonts w:ascii="Symbol" w:hAnsi="Symbol" w:hint="default"/>
      </w:rPr>
    </w:lvl>
    <w:lvl w:ilvl="4" w:tplc="6A0248A6" w:tentative="1">
      <w:start w:val="1"/>
      <w:numFmt w:val="bullet"/>
      <w:lvlText w:val="o"/>
      <w:lvlJc w:val="left"/>
      <w:pPr>
        <w:ind w:left="3720" w:hanging="360"/>
      </w:pPr>
      <w:rPr>
        <w:rFonts w:ascii="Courier New" w:hAnsi="Courier New" w:hint="default"/>
      </w:rPr>
    </w:lvl>
    <w:lvl w:ilvl="5" w:tplc="72580FAE" w:tentative="1">
      <w:start w:val="1"/>
      <w:numFmt w:val="bullet"/>
      <w:lvlText w:val=""/>
      <w:lvlJc w:val="left"/>
      <w:pPr>
        <w:ind w:left="4440" w:hanging="360"/>
      </w:pPr>
      <w:rPr>
        <w:rFonts w:ascii="Wingdings" w:hAnsi="Wingdings" w:hint="default"/>
      </w:rPr>
    </w:lvl>
    <w:lvl w:ilvl="6" w:tplc="C70ED8E2" w:tentative="1">
      <w:start w:val="1"/>
      <w:numFmt w:val="bullet"/>
      <w:lvlText w:val=""/>
      <w:lvlJc w:val="left"/>
      <w:pPr>
        <w:ind w:left="5160" w:hanging="360"/>
      </w:pPr>
      <w:rPr>
        <w:rFonts w:ascii="Symbol" w:hAnsi="Symbol" w:hint="default"/>
      </w:rPr>
    </w:lvl>
    <w:lvl w:ilvl="7" w:tplc="DF5AF94C" w:tentative="1">
      <w:start w:val="1"/>
      <w:numFmt w:val="bullet"/>
      <w:lvlText w:val="o"/>
      <w:lvlJc w:val="left"/>
      <w:pPr>
        <w:ind w:left="5880" w:hanging="360"/>
      </w:pPr>
      <w:rPr>
        <w:rFonts w:ascii="Courier New" w:hAnsi="Courier New" w:hint="default"/>
      </w:rPr>
    </w:lvl>
    <w:lvl w:ilvl="8" w:tplc="6ADCF82E" w:tentative="1">
      <w:start w:val="1"/>
      <w:numFmt w:val="bullet"/>
      <w:lvlText w:val=""/>
      <w:lvlJc w:val="left"/>
      <w:pPr>
        <w:ind w:left="6600" w:hanging="360"/>
      </w:pPr>
      <w:rPr>
        <w:rFonts w:ascii="Wingdings" w:hAnsi="Wingdings" w:hint="default"/>
      </w:rPr>
    </w:lvl>
  </w:abstractNum>
  <w:abstractNum w:abstractNumId="37">
    <w:nsid w:val="4FFD563C"/>
    <w:multiLevelType w:val="multilevel"/>
    <w:tmpl w:val="E8BAA6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nsid w:val="545807E2"/>
    <w:multiLevelType w:val="hybridMultilevel"/>
    <w:tmpl w:val="796CA66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87D0B2D"/>
    <w:multiLevelType w:val="hybridMultilevel"/>
    <w:tmpl w:val="BD98FBB2"/>
    <w:lvl w:ilvl="0" w:tplc="0C090001">
      <w:start w:val="1"/>
      <w:numFmt w:val="bullet"/>
      <w:lvlText w:val=""/>
      <w:lvlJc w:val="left"/>
      <w:pPr>
        <w:ind w:left="5760" w:hanging="360"/>
      </w:pPr>
      <w:rPr>
        <w:rFonts w:ascii="Symbol" w:hAnsi="Symbol" w:hint="default"/>
      </w:rPr>
    </w:lvl>
    <w:lvl w:ilvl="1" w:tplc="0C090003" w:tentative="1">
      <w:start w:val="1"/>
      <w:numFmt w:val="bullet"/>
      <w:lvlText w:val="o"/>
      <w:lvlJc w:val="left"/>
      <w:pPr>
        <w:ind w:left="6480" w:hanging="360"/>
      </w:pPr>
      <w:rPr>
        <w:rFonts w:ascii="Courier New" w:hAnsi="Courier New" w:cs="Courier New" w:hint="default"/>
      </w:rPr>
    </w:lvl>
    <w:lvl w:ilvl="2" w:tplc="0C090005" w:tentative="1">
      <w:start w:val="1"/>
      <w:numFmt w:val="bullet"/>
      <w:lvlText w:val=""/>
      <w:lvlJc w:val="left"/>
      <w:pPr>
        <w:ind w:left="7200" w:hanging="360"/>
      </w:pPr>
      <w:rPr>
        <w:rFonts w:ascii="Wingdings" w:hAnsi="Wingdings" w:hint="default"/>
      </w:rPr>
    </w:lvl>
    <w:lvl w:ilvl="3" w:tplc="0C090001" w:tentative="1">
      <w:start w:val="1"/>
      <w:numFmt w:val="bullet"/>
      <w:lvlText w:val=""/>
      <w:lvlJc w:val="left"/>
      <w:pPr>
        <w:ind w:left="7920" w:hanging="360"/>
      </w:pPr>
      <w:rPr>
        <w:rFonts w:ascii="Symbol" w:hAnsi="Symbol" w:hint="default"/>
      </w:rPr>
    </w:lvl>
    <w:lvl w:ilvl="4" w:tplc="0C090003" w:tentative="1">
      <w:start w:val="1"/>
      <w:numFmt w:val="bullet"/>
      <w:lvlText w:val="o"/>
      <w:lvlJc w:val="left"/>
      <w:pPr>
        <w:ind w:left="8640" w:hanging="360"/>
      </w:pPr>
      <w:rPr>
        <w:rFonts w:ascii="Courier New" w:hAnsi="Courier New" w:cs="Courier New" w:hint="default"/>
      </w:rPr>
    </w:lvl>
    <w:lvl w:ilvl="5" w:tplc="0C090005" w:tentative="1">
      <w:start w:val="1"/>
      <w:numFmt w:val="bullet"/>
      <w:lvlText w:val=""/>
      <w:lvlJc w:val="left"/>
      <w:pPr>
        <w:ind w:left="9360" w:hanging="360"/>
      </w:pPr>
      <w:rPr>
        <w:rFonts w:ascii="Wingdings" w:hAnsi="Wingdings" w:hint="default"/>
      </w:rPr>
    </w:lvl>
    <w:lvl w:ilvl="6" w:tplc="0C090001" w:tentative="1">
      <w:start w:val="1"/>
      <w:numFmt w:val="bullet"/>
      <w:lvlText w:val=""/>
      <w:lvlJc w:val="left"/>
      <w:pPr>
        <w:ind w:left="10080" w:hanging="360"/>
      </w:pPr>
      <w:rPr>
        <w:rFonts w:ascii="Symbol" w:hAnsi="Symbol" w:hint="default"/>
      </w:rPr>
    </w:lvl>
    <w:lvl w:ilvl="7" w:tplc="0C090003" w:tentative="1">
      <w:start w:val="1"/>
      <w:numFmt w:val="bullet"/>
      <w:lvlText w:val="o"/>
      <w:lvlJc w:val="left"/>
      <w:pPr>
        <w:ind w:left="10800" w:hanging="360"/>
      </w:pPr>
      <w:rPr>
        <w:rFonts w:ascii="Courier New" w:hAnsi="Courier New" w:cs="Courier New" w:hint="default"/>
      </w:rPr>
    </w:lvl>
    <w:lvl w:ilvl="8" w:tplc="0C090005" w:tentative="1">
      <w:start w:val="1"/>
      <w:numFmt w:val="bullet"/>
      <w:lvlText w:val=""/>
      <w:lvlJc w:val="left"/>
      <w:pPr>
        <w:ind w:left="11520" w:hanging="360"/>
      </w:pPr>
      <w:rPr>
        <w:rFonts w:ascii="Wingdings" w:hAnsi="Wingdings" w:hint="default"/>
      </w:rPr>
    </w:lvl>
  </w:abstractNum>
  <w:abstractNum w:abstractNumId="40">
    <w:nsid w:val="68584DBB"/>
    <w:multiLevelType w:val="hybridMultilevel"/>
    <w:tmpl w:val="AE1C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98F6FE6"/>
    <w:multiLevelType w:val="hybridMultilevel"/>
    <w:tmpl w:val="48682B00"/>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C344592"/>
    <w:multiLevelType w:val="hybridMultilevel"/>
    <w:tmpl w:val="B4ACD552"/>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CD90D93"/>
    <w:multiLevelType w:val="hybridMultilevel"/>
    <w:tmpl w:val="EB9E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645878"/>
    <w:multiLevelType w:val="hybridMultilevel"/>
    <w:tmpl w:val="E0DE2FC2"/>
    <w:lvl w:ilvl="0" w:tplc="0C090001">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5">
    <w:nsid w:val="6F707616"/>
    <w:multiLevelType w:val="hybridMultilevel"/>
    <w:tmpl w:val="D4E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86136D"/>
    <w:multiLevelType w:val="multilevel"/>
    <w:tmpl w:val="619CF490"/>
    <w:lvl w:ilvl="0">
      <w:start w:val="1"/>
      <w:numFmt w:val="decimal"/>
      <w:lvlText w:val="%1"/>
      <w:lvlJc w:val="left"/>
      <w:pPr>
        <w:ind w:left="716" w:hanging="432"/>
      </w:pPr>
      <w:rPr>
        <w:rFonts w:hint="default"/>
      </w:rPr>
    </w:lvl>
    <w:lvl w:ilvl="1">
      <w:start w:val="1"/>
      <w:numFmt w:val="decimal"/>
      <w:lvlText w:val="%1.%2"/>
      <w:lvlJc w:val="left"/>
      <w:pPr>
        <w:ind w:left="576" w:hanging="576"/>
      </w:pPr>
      <w:rPr>
        <w:rFonts w:hint="default"/>
      </w:rPr>
    </w:lvl>
    <w:lvl w:ilvl="2">
      <w:start w:val="1"/>
      <w:numFmt w:val="decimal"/>
      <w:lvlText w:val="ACTION %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72503D98"/>
    <w:multiLevelType w:val="hybridMultilevel"/>
    <w:tmpl w:val="8FD44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2AC0F4F"/>
    <w:multiLevelType w:val="hybridMultilevel"/>
    <w:tmpl w:val="697C4C7C"/>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8D14F58"/>
    <w:multiLevelType w:val="hybridMultilevel"/>
    <w:tmpl w:val="4E9C4D30"/>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50">
    <w:nsid w:val="7A777C9A"/>
    <w:multiLevelType w:val="hybridMultilevel"/>
    <w:tmpl w:val="EBCA6180"/>
    <w:lvl w:ilvl="0" w:tplc="0C09000F">
      <w:start w:val="1"/>
      <w:numFmt w:val="decimal"/>
      <w:lvlText w:val="%1."/>
      <w:lvlJc w:val="left"/>
      <w:pPr>
        <w:ind w:left="720" w:hanging="360"/>
      </w:pPr>
    </w:lvl>
    <w:lvl w:ilvl="1" w:tplc="D5A830C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B705DE0"/>
    <w:multiLevelType w:val="hybridMultilevel"/>
    <w:tmpl w:val="E1980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C1A39AD"/>
    <w:multiLevelType w:val="hybridMultilevel"/>
    <w:tmpl w:val="BF62A3AC"/>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53">
    <w:nsid w:val="7CDE1F16"/>
    <w:multiLevelType w:val="hybridMultilevel"/>
    <w:tmpl w:val="AA6EA9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5"/>
  </w:num>
  <w:num w:numId="13">
    <w:abstractNumId w:val="30"/>
  </w:num>
  <w:num w:numId="14">
    <w:abstractNumId w:val="23"/>
  </w:num>
  <w:num w:numId="15">
    <w:abstractNumId w:val="21"/>
  </w:num>
  <w:num w:numId="16">
    <w:abstractNumId w:val="12"/>
  </w:num>
  <w:num w:numId="17">
    <w:abstractNumId w:val="44"/>
  </w:num>
  <w:num w:numId="18">
    <w:abstractNumId w:val="32"/>
  </w:num>
  <w:num w:numId="19">
    <w:abstractNumId w:val="24"/>
  </w:num>
  <w:num w:numId="20">
    <w:abstractNumId w:val="31"/>
  </w:num>
  <w:num w:numId="21">
    <w:abstractNumId w:val="18"/>
  </w:num>
  <w:num w:numId="22">
    <w:abstractNumId w:val="29"/>
  </w:num>
  <w:num w:numId="23">
    <w:abstractNumId w:val="36"/>
  </w:num>
  <w:num w:numId="24">
    <w:abstractNumId w:val="40"/>
  </w:num>
  <w:num w:numId="25">
    <w:abstractNumId w:val="13"/>
  </w:num>
  <w:num w:numId="26">
    <w:abstractNumId w:val="45"/>
  </w:num>
  <w:num w:numId="27">
    <w:abstractNumId w:val="28"/>
  </w:num>
  <w:num w:numId="28">
    <w:abstractNumId w:val="20"/>
  </w:num>
  <w:num w:numId="29">
    <w:abstractNumId w:val="26"/>
  </w:num>
  <w:num w:numId="30">
    <w:abstractNumId w:val="15"/>
  </w:num>
  <w:num w:numId="31">
    <w:abstractNumId w:val="53"/>
  </w:num>
  <w:num w:numId="32">
    <w:abstractNumId w:val="43"/>
  </w:num>
  <w:num w:numId="33">
    <w:abstractNumId w:val="14"/>
  </w:num>
  <w:num w:numId="34">
    <w:abstractNumId w:val="27"/>
  </w:num>
  <w:num w:numId="35">
    <w:abstractNumId w:val="47"/>
  </w:num>
  <w:num w:numId="36">
    <w:abstractNumId w:val="11"/>
  </w:num>
  <w:num w:numId="37">
    <w:abstractNumId w:val="10"/>
    <w:lvlOverride w:ilvl="0">
      <w:lvl w:ilvl="0">
        <w:numFmt w:val="bullet"/>
        <w:lvlText w:val=""/>
        <w:legacy w:legacy="1" w:legacySpace="0" w:legacyIndent="0"/>
        <w:lvlJc w:val="left"/>
        <w:rPr>
          <w:rFonts w:ascii="Symbol" w:hAnsi="Symbol" w:hint="default"/>
        </w:rPr>
      </w:lvl>
    </w:lvlOverride>
  </w:num>
  <w:num w:numId="38">
    <w:abstractNumId w:val="46"/>
  </w:num>
  <w:num w:numId="39">
    <w:abstractNumId w:val="50"/>
  </w:num>
  <w:num w:numId="40">
    <w:abstractNumId w:val="52"/>
  </w:num>
  <w:num w:numId="41">
    <w:abstractNumId w:val="19"/>
  </w:num>
  <w:num w:numId="42">
    <w:abstractNumId w:val="22"/>
  </w:num>
  <w:num w:numId="43">
    <w:abstractNumId w:val="51"/>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11"/>
  </w:num>
  <w:num w:numId="50">
    <w:abstractNumId w:val="49"/>
  </w:num>
  <w:num w:numId="51">
    <w:abstractNumId w:val="25"/>
  </w:num>
  <w:num w:numId="52">
    <w:abstractNumId w:val="39"/>
  </w:num>
  <w:num w:numId="53">
    <w:abstractNumId w:val="16"/>
  </w:num>
  <w:num w:numId="54">
    <w:abstractNumId w:val="48"/>
  </w:num>
  <w:num w:numId="55">
    <w:abstractNumId w:val="41"/>
  </w:num>
  <w:num w:numId="56">
    <w:abstractNumId w:val="17"/>
  </w:num>
  <w:num w:numId="57">
    <w:abstractNumId w:val="42"/>
  </w:num>
  <w:num w:numId="5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32"/>
    <w:rsid w:val="00000859"/>
    <w:rsid w:val="000027BF"/>
    <w:rsid w:val="00014940"/>
    <w:rsid w:val="00017169"/>
    <w:rsid w:val="0001722A"/>
    <w:rsid w:val="00022380"/>
    <w:rsid w:val="00027625"/>
    <w:rsid w:val="00037A89"/>
    <w:rsid w:val="00047902"/>
    <w:rsid w:val="000579B1"/>
    <w:rsid w:val="00071688"/>
    <w:rsid w:val="00083E58"/>
    <w:rsid w:val="000A088E"/>
    <w:rsid w:val="000A1DB8"/>
    <w:rsid w:val="000A48AC"/>
    <w:rsid w:val="000B0A5D"/>
    <w:rsid w:val="000B538B"/>
    <w:rsid w:val="000C13C8"/>
    <w:rsid w:val="000C6732"/>
    <w:rsid w:val="000C760F"/>
    <w:rsid w:val="000E130A"/>
    <w:rsid w:val="000E3D5B"/>
    <w:rsid w:val="00100A54"/>
    <w:rsid w:val="00134774"/>
    <w:rsid w:val="00140274"/>
    <w:rsid w:val="001407AE"/>
    <w:rsid w:val="001510DD"/>
    <w:rsid w:val="00151263"/>
    <w:rsid w:val="00151E96"/>
    <w:rsid w:val="00157918"/>
    <w:rsid w:val="00160749"/>
    <w:rsid w:val="0016197C"/>
    <w:rsid w:val="00162A8D"/>
    <w:rsid w:val="00164C0C"/>
    <w:rsid w:val="001652FA"/>
    <w:rsid w:val="00165E3C"/>
    <w:rsid w:val="00173FB5"/>
    <w:rsid w:val="00181FF0"/>
    <w:rsid w:val="001824AC"/>
    <w:rsid w:val="001925E3"/>
    <w:rsid w:val="00194BF9"/>
    <w:rsid w:val="001B0353"/>
    <w:rsid w:val="001B16E0"/>
    <w:rsid w:val="001B7464"/>
    <w:rsid w:val="001C1F8B"/>
    <w:rsid w:val="001E5676"/>
    <w:rsid w:val="001F2BBB"/>
    <w:rsid w:val="001F661B"/>
    <w:rsid w:val="00200677"/>
    <w:rsid w:val="00202B10"/>
    <w:rsid w:val="00217E4B"/>
    <w:rsid w:val="002210A6"/>
    <w:rsid w:val="00231ED1"/>
    <w:rsid w:val="00242624"/>
    <w:rsid w:val="00242937"/>
    <w:rsid w:val="00243058"/>
    <w:rsid w:val="0024557E"/>
    <w:rsid w:val="00257095"/>
    <w:rsid w:val="002863D7"/>
    <w:rsid w:val="002873B4"/>
    <w:rsid w:val="002959DA"/>
    <w:rsid w:val="002A0235"/>
    <w:rsid w:val="002A4538"/>
    <w:rsid w:val="002A5239"/>
    <w:rsid w:val="002A6EF5"/>
    <w:rsid w:val="002B1B65"/>
    <w:rsid w:val="002B2DCC"/>
    <w:rsid w:val="002C1866"/>
    <w:rsid w:val="002C1B3C"/>
    <w:rsid w:val="002C51D0"/>
    <w:rsid w:val="002D53FE"/>
    <w:rsid w:val="002E3A52"/>
    <w:rsid w:val="002E4A2B"/>
    <w:rsid w:val="002F4CE1"/>
    <w:rsid w:val="00300C8C"/>
    <w:rsid w:val="00300F22"/>
    <w:rsid w:val="00304A37"/>
    <w:rsid w:val="00310ED4"/>
    <w:rsid w:val="00312301"/>
    <w:rsid w:val="0031492A"/>
    <w:rsid w:val="00316C1A"/>
    <w:rsid w:val="00323C73"/>
    <w:rsid w:val="00331141"/>
    <w:rsid w:val="00334A9B"/>
    <w:rsid w:val="00344758"/>
    <w:rsid w:val="00347142"/>
    <w:rsid w:val="003565A8"/>
    <w:rsid w:val="003566EA"/>
    <w:rsid w:val="00371A8D"/>
    <w:rsid w:val="00372C79"/>
    <w:rsid w:val="00374263"/>
    <w:rsid w:val="00380C2C"/>
    <w:rsid w:val="0039029D"/>
    <w:rsid w:val="00396A47"/>
    <w:rsid w:val="003A21FA"/>
    <w:rsid w:val="003A3961"/>
    <w:rsid w:val="003B00C0"/>
    <w:rsid w:val="003C50B4"/>
    <w:rsid w:val="003C6B37"/>
    <w:rsid w:val="003D4FB3"/>
    <w:rsid w:val="003D74CA"/>
    <w:rsid w:val="003E6053"/>
    <w:rsid w:val="003F1557"/>
    <w:rsid w:val="003F213C"/>
    <w:rsid w:val="003F2A2F"/>
    <w:rsid w:val="00401B79"/>
    <w:rsid w:val="00422417"/>
    <w:rsid w:val="00424233"/>
    <w:rsid w:val="00427E21"/>
    <w:rsid w:val="00442832"/>
    <w:rsid w:val="0044430A"/>
    <w:rsid w:val="004579F7"/>
    <w:rsid w:val="004712FB"/>
    <w:rsid w:val="0047284F"/>
    <w:rsid w:val="00472EFF"/>
    <w:rsid w:val="00473569"/>
    <w:rsid w:val="00473F29"/>
    <w:rsid w:val="00474063"/>
    <w:rsid w:val="00476793"/>
    <w:rsid w:val="00490188"/>
    <w:rsid w:val="00491149"/>
    <w:rsid w:val="004973FB"/>
    <w:rsid w:val="004A187B"/>
    <w:rsid w:val="004A2D3C"/>
    <w:rsid w:val="004A7B48"/>
    <w:rsid w:val="004B3590"/>
    <w:rsid w:val="004C7412"/>
    <w:rsid w:val="004D04BF"/>
    <w:rsid w:val="004D4C16"/>
    <w:rsid w:val="004E0DFF"/>
    <w:rsid w:val="004F1C7C"/>
    <w:rsid w:val="004F223C"/>
    <w:rsid w:val="0050733A"/>
    <w:rsid w:val="00507967"/>
    <w:rsid w:val="005123F0"/>
    <w:rsid w:val="00513540"/>
    <w:rsid w:val="00513941"/>
    <w:rsid w:val="00523780"/>
    <w:rsid w:val="0053051D"/>
    <w:rsid w:val="00545CFD"/>
    <w:rsid w:val="00557D4B"/>
    <w:rsid w:val="00562016"/>
    <w:rsid w:val="00564208"/>
    <w:rsid w:val="00571CEB"/>
    <w:rsid w:val="00572B45"/>
    <w:rsid w:val="00591951"/>
    <w:rsid w:val="005B1CB8"/>
    <w:rsid w:val="005B20C4"/>
    <w:rsid w:val="005B21C2"/>
    <w:rsid w:val="005B46DA"/>
    <w:rsid w:val="005C5D41"/>
    <w:rsid w:val="005D1F34"/>
    <w:rsid w:val="005D29A9"/>
    <w:rsid w:val="005D2EB4"/>
    <w:rsid w:val="005D383D"/>
    <w:rsid w:val="005D43DB"/>
    <w:rsid w:val="006112A8"/>
    <w:rsid w:val="00615069"/>
    <w:rsid w:val="00626D60"/>
    <w:rsid w:val="00636E2C"/>
    <w:rsid w:val="00645FE4"/>
    <w:rsid w:val="00650AF8"/>
    <w:rsid w:val="00654793"/>
    <w:rsid w:val="00661813"/>
    <w:rsid w:val="006644C5"/>
    <w:rsid w:val="00670E8B"/>
    <w:rsid w:val="00686A30"/>
    <w:rsid w:val="006A0912"/>
    <w:rsid w:val="006A636F"/>
    <w:rsid w:val="006A6BB3"/>
    <w:rsid w:val="006B73E0"/>
    <w:rsid w:val="006D2D2D"/>
    <w:rsid w:val="006D5EE5"/>
    <w:rsid w:val="006E6D3B"/>
    <w:rsid w:val="0071143A"/>
    <w:rsid w:val="00730BD2"/>
    <w:rsid w:val="00731524"/>
    <w:rsid w:val="00732814"/>
    <w:rsid w:val="00743E50"/>
    <w:rsid w:val="007540BF"/>
    <w:rsid w:val="00767ED8"/>
    <w:rsid w:val="00770DCB"/>
    <w:rsid w:val="00771887"/>
    <w:rsid w:val="00773B59"/>
    <w:rsid w:val="00775485"/>
    <w:rsid w:val="00796BEA"/>
    <w:rsid w:val="007A2C96"/>
    <w:rsid w:val="007A2D2E"/>
    <w:rsid w:val="007A7707"/>
    <w:rsid w:val="007C1994"/>
    <w:rsid w:val="007C7553"/>
    <w:rsid w:val="007E50C1"/>
    <w:rsid w:val="007E5B88"/>
    <w:rsid w:val="007E5D73"/>
    <w:rsid w:val="007F0D0B"/>
    <w:rsid w:val="008007A8"/>
    <w:rsid w:val="008042D9"/>
    <w:rsid w:val="00814FC0"/>
    <w:rsid w:val="00820AFA"/>
    <w:rsid w:val="00831BC2"/>
    <w:rsid w:val="00864BAE"/>
    <w:rsid w:val="00865B62"/>
    <w:rsid w:val="00870D75"/>
    <w:rsid w:val="008724DE"/>
    <w:rsid w:val="00875246"/>
    <w:rsid w:val="00877C53"/>
    <w:rsid w:val="008A3D57"/>
    <w:rsid w:val="008B12CB"/>
    <w:rsid w:val="008B23BC"/>
    <w:rsid w:val="008C24E6"/>
    <w:rsid w:val="008C3F2E"/>
    <w:rsid w:val="008E3D60"/>
    <w:rsid w:val="008E3F4C"/>
    <w:rsid w:val="008E5AB7"/>
    <w:rsid w:val="0090165F"/>
    <w:rsid w:val="00901B82"/>
    <w:rsid w:val="0090345A"/>
    <w:rsid w:val="00903584"/>
    <w:rsid w:val="0090374D"/>
    <w:rsid w:val="00911ADB"/>
    <w:rsid w:val="00912B09"/>
    <w:rsid w:val="00912DD3"/>
    <w:rsid w:val="00913B42"/>
    <w:rsid w:val="009155A0"/>
    <w:rsid w:val="00923A95"/>
    <w:rsid w:val="0096169E"/>
    <w:rsid w:val="00964F82"/>
    <w:rsid w:val="00965575"/>
    <w:rsid w:val="00966C2F"/>
    <w:rsid w:val="0097512B"/>
    <w:rsid w:val="00991561"/>
    <w:rsid w:val="0099572B"/>
    <w:rsid w:val="00995B98"/>
    <w:rsid w:val="009A55FF"/>
    <w:rsid w:val="009B2587"/>
    <w:rsid w:val="009C2D32"/>
    <w:rsid w:val="009C3169"/>
    <w:rsid w:val="009C4C6F"/>
    <w:rsid w:val="009C7C8B"/>
    <w:rsid w:val="009D3D2C"/>
    <w:rsid w:val="009D67F6"/>
    <w:rsid w:val="009E0FE1"/>
    <w:rsid w:val="009E3D77"/>
    <w:rsid w:val="009E697F"/>
    <w:rsid w:val="009F2764"/>
    <w:rsid w:val="009F7511"/>
    <w:rsid w:val="00A0246D"/>
    <w:rsid w:val="00A0406E"/>
    <w:rsid w:val="00A06A3F"/>
    <w:rsid w:val="00A078B3"/>
    <w:rsid w:val="00A11307"/>
    <w:rsid w:val="00A13AF3"/>
    <w:rsid w:val="00A1423F"/>
    <w:rsid w:val="00A21388"/>
    <w:rsid w:val="00A27791"/>
    <w:rsid w:val="00A32F33"/>
    <w:rsid w:val="00A33337"/>
    <w:rsid w:val="00A366FF"/>
    <w:rsid w:val="00A37544"/>
    <w:rsid w:val="00A41355"/>
    <w:rsid w:val="00A43B92"/>
    <w:rsid w:val="00A54251"/>
    <w:rsid w:val="00A6179E"/>
    <w:rsid w:val="00A64316"/>
    <w:rsid w:val="00A669E4"/>
    <w:rsid w:val="00A73B29"/>
    <w:rsid w:val="00A73E72"/>
    <w:rsid w:val="00A804D9"/>
    <w:rsid w:val="00A863F2"/>
    <w:rsid w:val="00A92915"/>
    <w:rsid w:val="00A92F92"/>
    <w:rsid w:val="00A93882"/>
    <w:rsid w:val="00A96892"/>
    <w:rsid w:val="00AA2051"/>
    <w:rsid w:val="00AB503B"/>
    <w:rsid w:val="00AE11FA"/>
    <w:rsid w:val="00AE49B6"/>
    <w:rsid w:val="00B00CC3"/>
    <w:rsid w:val="00B026FF"/>
    <w:rsid w:val="00B037A0"/>
    <w:rsid w:val="00B078B2"/>
    <w:rsid w:val="00B22900"/>
    <w:rsid w:val="00B24B1D"/>
    <w:rsid w:val="00B277E0"/>
    <w:rsid w:val="00B34946"/>
    <w:rsid w:val="00B40D7D"/>
    <w:rsid w:val="00B43101"/>
    <w:rsid w:val="00B475E3"/>
    <w:rsid w:val="00B519FD"/>
    <w:rsid w:val="00B520BC"/>
    <w:rsid w:val="00B531F0"/>
    <w:rsid w:val="00B55A9B"/>
    <w:rsid w:val="00B60671"/>
    <w:rsid w:val="00B63D24"/>
    <w:rsid w:val="00B65216"/>
    <w:rsid w:val="00B71E28"/>
    <w:rsid w:val="00B842A5"/>
    <w:rsid w:val="00B91416"/>
    <w:rsid w:val="00B924E6"/>
    <w:rsid w:val="00BA262D"/>
    <w:rsid w:val="00BA5698"/>
    <w:rsid w:val="00BC04A3"/>
    <w:rsid w:val="00BC31CE"/>
    <w:rsid w:val="00BC79EB"/>
    <w:rsid w:val="00BD047F"/>
    <w:rsid w:val="00BD7FCF"/>
    <w:rsid w:val="00BE1D78"/>
    <w:rsid w:val="00BF670F"/>
    <w:rsid w:val="00C064DC"/>
    <w:rsid w:val="00C10652"/>
    <w:rsid w:val="00C1468B"/>
    <w:rsid w:val="00C161F8"/>
    <w:rsid w:val="00C23200"/>
    <w:rsid w:val="00C25BDA"/>
    <w:rsid w:val="00C33104"/>
    <w:rsid w:val="00C332D4"/>
    <w:rsid w:val="00C42A16"/>
    <w:rsid w:val="00C43167"/>
    <w:rsid w:val="00C45428"/>
    <w:rsid w:val="00C53A1F"/>
    <w:rsid w:val="00C55FEE"/>
    <w:rsid w:val="00C66B26"/>
    <w:rsid w:val="00C83C80"/>
    <w:rsid w:val="00C854D4"/>
    <w:rsid w:val="00C85F5F"/>
    <w:rsid w:val="00C90556"/>
    <w:rsid w:val="00CA0D78"/>
    <w:rsid w:val="00CA1C89"/>
    <w:rsid w:val="00CA28CF"/>
    <w:rsid w:val="00CA4855"/>
    <w:rsid w:val="00CB1FDD"/>
    <w:rsid w:val="00CB24FE"/>
    <w:rsid w:val="00CB4002"/>
    <w:rsid w:val="00CB507A"/>
    <w:rsid w:val="00CD58FD"/>
    <w:rsid w:val="00CE446D"/>
    <w:rsid w:val="00CF5437"/>
    <w:rsid w:val="00D06634"/>
    <w:rsid w:val="00D1639C"/>
    <w:rsid w:val="00D343FA"/>
    <w:rsid w:val="00D40E37"/>
    <w:rsid w:val="00D418FF"/>
    <w:rsid w:val="00D43BED"/>
    <w:rsid w:val="00D65C76"/>
    <w:rsid w:val="00D734C7"/>
    <w:rsid w:val="00D8148F"/>
    <w:rsid w:val="00D87E10"/>
    <w:rsid w:val="00D87F72"/>
    <w:rsid w:val="00D952EE"/>
    <w:rsid w:val="00DA168B"/>
    <w:rsid w:val="00DA1AC5"/>
    <w:rsid w:val="00DA2F73"/>
    <w:rsid w:val="00DA788D"/>
    <w:rsid w:val="00DC462F"/>
    <w:rsid w:val="00DC573D"/>
    <w:rsid w:val="00DD6A21"/>
    <w:rsid w:val="00DE1077"/>
    <w:rsid w:val="00DE46FF"/>
    <w:rsid w:val="00DE60CA"/>
    <w:rsid w:val="00DF6A6A"/>
    <w:rsid w:val="00E0074B"/>
    <w:rsid w:val="00E24C43"/>
    <w:rsid w:val="00E24FA3"/>
    <w:rsid w:val="00E26B28"/>
    <w:rsid w:val="00E31465"/>
    <w:rsid w:val="00E328CD"/>
    <w:rsid w:val="00E36B95"/>
    <w:rsid w:val="00E36E3B"/>
    <w:rsid w:val="00E4003F"/>
    <w:rsid w:val="00E4515A"/>
    <w:rsid w:val="00E458F6"/>
    <w:rsid w:val="00E45954"/>
    <w:rsid w:val="00E75D86"/>
    <w:rsid w:val="00E801BB"/>
    <w:rsid w:val="00E847D8"/>
    <w:rsid w:val="00E9755E"/>
    <w:rsid w:val="00EA0479"/>
    <w:rsid w:val="00EA0E64"/>
    <w:rsid w:val="00EA2A94"/>
    <w:rsid w:val="00EA44D9"/>
    <w:rsid w:val="00EA45BA"/>
    <w:rsid w:val="00EA4AC9"/>
    <w:rsid w:val="00EB0714"/>
    <w:rsid w:val="00EB2838"/>
    <w:rsid w:val="00EB6A76"/>
    <w:rsid w:val="00EC7604"/>
    <w:rsid w:val="00EC7E09"/>
    <w:rsid w:val="00EE7EEA"/>
    <w:rsid w:val="00EF783F"/>
    <w:rsid w:val="00F010E2"/>
    <w:rsid w:val="00F03BCE"/>
    <w:rsid w:val="00F114AD"/>
    <w:rsid w:val="00F14490"/>
    <w:rsid w:val="00F14C6D"/>
    <w:rsid w:val="00F26341"/>
    <w:rsid w:val="00F34BC9"/>
    <w:rsid w:val="00F43862"/>
    <w:rsid w:val="00F47721"/>
    <w:rsid w:val="00F50A58"/>
    <w:rsid w:val="00F561D1"/>
    <w:rsid w:val="00F6186E"/>
    <w:rsid w:val="00F67629"/>
    <w:rsid w:val="00F8302E"/>
    <w:rsid w:val="00FA1A38"/>
    <w:rsid w:val="00FA444C"/>
    <w:rsid w:val="00FA4916"/>
    <w:rsid w:val="00FC122F"/>
    <w:rsid w:val="00FD01B5"/>
    <w:rsid w:val="00FD6A0A"/>
    <w:rsid w:val="00FE3A6D"/>
    <w:rsid w:val="00FE7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uiPriority w:val="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07A8"/>
    <w:rPr>
      <w:rFonts w:ascii="Arial" w:eastAsia="MS Mincho" w:hAnsi="Arial"/>
      <w:b/>
      <w:bCs/>
      <w:sz w:val="28"/>
      <w:szCs w:val="28"/>
    </w:rPr>
  </w:style>
  <w:style w:type="character" w:customStyle="1" w:styleId="Heading2Char">
    <w:name w:val="Heading 2 Char"/>
    <w:link w:val="Heading2"/>
    <w:uiPriority w:val="9"/>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uiPriority w:val="9"/>
    <w:rsid w:val="008007A8"/>
    <w:rPr>
      <w:rFonts w:ascii="Cambria" w:eastAsia="MS Mincho" w:hAnsi="Cambria"/>
      <w:color w:val="243F60"/>
      <w:sz w:val="24"/>
      <w:szCs w:val="24"/>
    </w:rPr>
  </w:style>
  <w:style w:type="character" w:customStyle="1" w:styleId="Heading6Char">
    <w:name w:val="Heading 6 Char"/>
    <w:link w:val="Heading6"/>
    <w:uiPriority w:val="9"/>
    <w:rsid w:val="008007A8"/>
    <w:rPr>
      <w:rFonts w:ascii="Cambria" w:eastAsia="MS Mincho" w:hAnsi="Cambria"/>
      <w:i/>
      <w:iCs/>
      <w:color w:val="243F60"/>
      <w:sz w:val="24"/>
      <w:szCs w:val="24"/>
    </w:rPr>
  </w:style>
  <w:style w:type="character" w:customStyle="1" w:styleId="Heading7Char">
    <w:name w:val="Heading 7 Char"/>
    <w:link w:val="Heading7"/>
    <w:uiPriority w:val="9"/>
    <w:rsid w:val="008007A8"/>
    <w:rPr>
      <w:rFonts w:ascii="Cambria" w:eastAsia="MS Mincho" w:hAnsi="Cambria"/>
      <w:i/>
      <w:iCs/>
      <w:color w:val="404040"/>
      <w:sz w:val="24"/>
      <w:szCs w:val="24"/>
    </w:rPr>
  </w:style>
  <w:style w:type="character" w:customStyle="1" w:styleId="Heading8Char">
    <w:name w:val="Heading 8 Char"/>
    <w:link w:val="Heading8"/>
    <w:uiPriority w:val="9"/>
    <w:rsid w:val="008007A8"/>
    <w:rPr>
      <w:rFonts w:ascii="Cambria" w:eastAsia="MS Mincho" w:hAnsi="Cambria"/>
      <w:color w:val="404040"/>
    </w:rPr>
  </w:style>
  <w:style w:type="character" w:customStyle="1" w:styleId="Heading9Char">
    <w:name w:val="Heading 9 Char"/>
    <w:link w:val="Heading9"/>
    <w:uiPriority w:val="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uiPriority w:val="99"/>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uiPriority w:val="99"/>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basedOn w:val="Normal"/>
    <w:uiPriority w:val="99"/>
    <w:qFormat/>
    <w:rsid w:val="00B078B2"/>
    <w:pPr>
      <w:spacing w:before="0" w:after="120"/>
      <w:ind w:left="720" w:hanging="720"/>
    </w:pPr>
    <w:rPr>
      <w:rFonts w:eastAsia="Times New Roman"/>
      <w:lang w:val="en-US" w:eastAsia="en-US"/>
    </w:rPr>
  </w:style>
  <w:style w:type="character" w:customStyle="1" w:styleId="apple-converted-space">
    <w:name w:val="apple-converted-space"/>
    <w:uiPriority w:val="99"/>
    <w:rsid w:val="00A669E4"/>
  </w:style>
  <w:style w:type="character" w:styleId="CommentReference">
    <w:name w:val="annotation reference"/>
    <w:basedOn w:val="DefaultParagraphFont"/>
    <w:uiPriority w:val="99"/>
    <w:locked/>
    <w:rsid w:val="009C7C8B"/>
    <w:rPr>
      <w:rFonts w:cs="Times New Roman"/>
      <w:sz w:val="16"/>
    </w:rPr>
  </w:style>
  <w:style w:type="paragraph" w:styleId="CommentText">
    <w:name w:val="annotation text"/>
    <w:basedOn w:val="Normal"/>
    <w:link w:val="CommentTextChar"/>
    <w:uiPriority w:val="99"/>
    <w:locked/>
    <w:rsid w:val="009C7C8B"/>
    <w:rPr>
      <w:sz w:val="20"/>
      <w:szCs w:val="20"/>
    </w:rPr>
  </w:style>
  <w:style w:type="character" w:customStyle="1" w:styleId="CommentTextChar">
    <w:name w:val="Comment Text Char"/>
    <w:basedOn w:val="DefaultParagraphFont"/>
    <w:link w:val="CommentText"/>
    <w:uiPriority w:val="99"/>
    <w:rsid w:val="009C7C8B"/>
    <w:rPr>
      <w:rFonts w:ascii="Arial" w:eastAsia="MS Mincho" w:hAnsi="Arial"/>
    </w:rPr>
  </w:style>
  <w:style w:type="paragraph" w:styleId="CommentSubject">
    <w:name w:val="annotation subject"/>
    <w:basedOn w:val="CommentText"/>
    <w:next w:val="CommentText"/>
    <w:link w:val="CommentSubjectChar"/>
    <w:locked/>
    <w:rsid w:val="00FE70C6"/>
    <w:rPr>
      <w:b/>
      <w:bCs/>
    </w:rPr>
  </w:style>
  <w:style w:type="character" w:customStyle="1" w:styleId="CommentSubjectChar">
    <w:name w:val="Comment Subject Char"/>
    <w:basedOn w:val="CommentTextChar"/>
    <w:link w:val="CommentSubject"/>
    <w:rsid w:val="00FE70C6"/>
    <w:rPr>
      <w:rFonts w:ascii="Arial" w:eastAsia="MS Mincho" w:hAnsi="Arial"/>
      <w:b/>
      <w:bCs/>
    </w:rPr>
  </w:style>
  <w:style w:type="table" w:customStyle="1" w:styleId="TableGrid10">
    <w:name w:val="Table Grid1"/>
    <w:basedOn w:val="TableNormal"/>
    <w:next w:val="TableGrid"/>
    <w:locked/>
    <w:rsid w:val="00194BF9"/>
    <w:pPr>
      <w:spacing w:after="24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uiPriority w:val="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07A8"/>
    <w:rPr>
      <w:rFonts w:ascii="Arial" w:eastAsia="MS Mincho" w:hAnsi="Arial"/>
      <w:b/>
      <w:bCs/>
      <w:sz w:val="28"/>
      <w:szCs w:val="28"/>
    </w:rPr>
  </w:style>
  <w:style w:type="character" w:customStyle="1" w:styleId="Heading2Char">
    <w:name w:val="Heading 2 Char"/>
    <w:link w:val="Heading2"/>
    <w:uiPriority w:val="9"/>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uiPriority w:val="9"/>
    <w:rsid w:val="008007A8"/>
    <w:rPr>
      <w:rFonts w:ascii="Cambria" w:eastAsia="MS Mincho" w:hAnsi="Cambria"/>
      <w:color w:val="243F60"/>
      <w:sz w:val="24"/>
      <w:szCs w:val="24"/>
    </w:rPr>
  </w:style>
  <w:style w:type="character" w:customStyle="1" w:styleId="Heading6Char">
    <w:name w:val="Heading 6 Char"/>
    <w:link w:val="Heading6"/>
    <w:uiPriority w:val="9"/>
    <w:rsid w:val="008007A8"/>
    <w:rPr>
      <w:rFonts w:ascii="Cambria" w:eastAsia="MS Mincho" w:hAnsi="Cambria"/>
      <w:i/>
      <w:iCs/>
      <w:color w:val="243F60"/>
      <w:sz w:val="24"/>
      <w:szCs w:val="24"/>
    </w:rPr>
  </w:style>
  <w:style w:type="character" w:customStyle="1" w:styleId="Heading7Char">
    <w:name w:val="Heading 7 Char"/>
    <w:link w:val="Heading7"/>
    <w:uiPriority w:val="9"/>
    <w:rsid w:val="008007A8"/>
    <w:rPr>
      <w:rFonts w:ascii="Cambria" w:eastAsia="MS Mincho" w:hAnsi="Cambria"/>
      <w:i/>
      <w:iCs/>
      <w:color w:val="404040"/>
      <w:sz w:val="24"/>
      <w:szCs w:val="24"/>
    </w:rPr>
  </w:style>
  <w:style w:type="character" w:customStyle="1" w:styleId="Heading8Char">
    <w:name w:val="Heading 8 Char"/>
    <w:link w:val="Heading8"/>
    <w:uiPriority w:val="9"/>
    <w:rsid w:val="008007A8"/>
    <w:rPr>
      <w:rFonts w:ascii="Cambria" w:eastAsia="MS Mincho" w:hAnsi="Cambria"/>
      <w:color w:val="404040"/>
    </w:rPr>
  </w:style>
  <w:style w:type="character" w:customStyle="1" w:styleId="Heading9Char">
    <w:name w:val="Heading 9 Char"/>
    <w:link w:val="Heading9"/>
    <w:uiPriority w:val="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uiPriority w:val="99"/>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uiPriority w:val="99"/>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basedOn w:val="Normal"/>
    <w:uiPriority w:val="99"/>
    <w:qFormat/>
    <w:rsid w:val="00B078B2"/>
    <w:pPr>
      <w:spacing w:before="0" w:after="120"/>
      <w:ind w:left="720" w:hanging="720"/>
    </w:pPr>
    <w:rPr>
      <w:rFonts w:eastAsia="Times New Roman"/>
      <w:lang w:val="en-US" w:eastAsia="en-US"/>
    </w:rPr>
  </w:style>
  <w:style w:type="character" w:customStyle="1" w:styleId="apple-converted-space">
    <w:name w:val="apple-converted-space"/>
    <w:uiPriority w:val="99"/>
    <w:rsid w:val="00A669E4"/>
  </w:style>
  <w:style w:type="character" w:styleId="CommentReference">
    <w:name w:val="annotation reference"/>
    <w:basedOn w:val="DefaultParagraphFont"/>
    <w:uiPriority w:val="99"/>
    <w:locked/>
    <w:rsid w:val="009C7C8B"/>
    <w:rPr>
      <w:rFonts w:cs="Times New Roman"/>
      <w:sz w:val="16"/>
    </w:rPr>
  </w:style>
  <w:style w:type="paragraph" w:styleId="CommentText">
    <w:name w:val="annotation text"/>
    <w:basedOn w:val="Normal"/>
    <w:link w:val="CommentTextChar"/>
    <w:uiPriority w:val="99"/>
    <w:locked/>
    <w:rsid w:val="009C7C8B"/>
    <w:rPr>
      <w:sz w:val="20"/>
      <w:szCs w:val="20"/>
    </w:rPr>
  </w:style>
  <w:style w:type="character" w:customStyle="1" w:styleId="CommentTextChar">
    <w:name w:val="Comment Text Char"/>
    <w:basedOn w:val="DefaultParagraphFont"/>
    <w:link w:val="CommentText"/>
    <w:uiPriority w:val="99"/>
    <w:rsid w:val="009C7C8B"/>
    <w:rPr>
      <w:rFonts w:ascii="Arial" w:eastAsia="MS Mincho" w:hAnsi="Arial"/>
    </w:rPr>
  </w:style>
  <w:style w:type="paragraph" w:styleId="CommentSubject">
    <w:name w:val="annotation subject"/>
    <w:basedOn w:val="CommentText"/>
    <w:next w:val="CommentText"/>
    <w:link w:val="CommentSubjectChar"/>
    <w:locked/>
    <w:rsid w:val="00FE70C6"/>
    <w:rPr>
      <w:b/>
      <w:bCs/>
    </w:rPr>
  </w:style>
  <w:style w:type="character" w:customStyle="1" w:styleId="CommentSubjectChar">
    <w:name w:val="Comment Subject Char"/>
    <w:basedOn w:val="CommentTextChar"/>
    <w:link w:val="CommentSubject"/>
    <w:rsid w:val="00FE70C6"/>
    <w:rPr>
      <w:rFonts w:ascii="Arial" w:eastAsia="MS Mincho" w:hAnsi="Arial"/>
      <w:b/>
      <w:bCs/>
    </w:rPr>
  </w:style>
  <w:style w:type="table" w:customStyle="1" w:styleId="TableGrid10">
    <w:name w:val="Table Grid1"/>
    <w:basedOn w:val="TableNormal"/>
    <w:next w:val="TableGrid"/>
    <w:locked/>
    <w:rsid w:val="00194BF9"/>
    <w:pPr>
      <w:spacing w:after="24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6651">
      <w:bodyDiv w:val="1"/>
      <w:marLeft w:val="0"/>
      <w:marRight w:val="0"/>
      <w:marTop w:val="0"/>
      <w:marBottom w:val="0"/>
      <w:divBdr>
        <w:top w:val="none" w:sz="0" w:space="0" w:color="auto"/>
        <w:left w:val="none" w:sz="0" w:space="0" w:color="auto"/>
        <w:bottom w:val="none" w:sz="0" w:space="0" w:color="auto"/>
        <w:right w:val="none" w:sz="0" w:space="0" w:color="auto"/>
      </w:divBdr>
    </w:div>
    <w:div w:id="559677734">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617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orrectiveservices.wa.gov.au/rehabilitation-services/aboriginal-visitors-scheme.aspx" TargetMode="External"/><Relationship Id="rId26" Type="http://schemas.openxmlformats.org/officeDocument/2006/relationships/hyperlink" Target="http://centreofexcellenceforbehavioursupport.com.au/" TargetMode="External"/><Relationship Id="rId39" Type="http://schemas.openxmlformats.org/officeDocument/2006/relationships/hyperlink" Target="http://www.adhc.nsw.gov.au/about_us/our_structure/clinical_innovation_and_governance" TargetMode="External"/><Relationship Id="rId21" Type="http://schemas.openxmlformats.org/officeDocument/2006/relationships/hyperlink" Target="http://www.communityservices.act.gov.au/ocyfs/the_blueprint_for_youth_justice_in_the_act/youth-justice/after-hours-bail-support-service" TargetMode="External"/><Relationship Id="rId34" Type="http://schemas.openxmlformats.org/officeDocument/2006/relationships/hyperlink" Target="http://www.courts.lawlink.nsw.gov.au/cats/courtguide/during_court/diversion_programs.html" TargetMode="External"/><Relationship Id="rId42" Type="http://schemas.openxmlformats.org/officeDocument/2006/relationships/hyperlink" Target="http://www.lifeontrack.lawlink.nsw.gov.au/lifeontrack/index.html" TargetMode="External"/><Relationship Id="rId47" Type="http://schemas.openxmlformats.org/officeDocument/2006/relationships/hyperlink" Target="http://www.naaja.org.au/" TargetMode="External"/><Relationship Id="rId50" Type="http://schemas.openxmlformats.org/officeDocument/2006/relationships/hyperlink" Target="http://www.courts.sa.gov.au/Community/Pages/Aboriginal-Programs.aspx" TargetMode="External"/><Relationship Id="rId55" Type="http://schemas.openxmlformats.org/officeDocument/2006/relationships/hyperlink" Target="http://www.qcjc.com.au/" TargetMode="External"/><Relationship Id="rId63" Type="http://schemas.openxmlformats.org/officeDocument/2006/relationships/hyperlink" Target="http://www.wurli.org.au/program-strongbala.htm" TargetMode="External"/><Relationship Id="rId68" Type="http://schemas.openxmlformats.org/officeDocument/2006/relationships/hyperlink" Target="http://www.victimsofcrime.vic.gov.au/utility/for+professionals/easy+english+resources/" TargetMode="External"/><Relationship Id="rId76" Type="http://schemas.openxmlformats.org/officeDocument/2006/relationships/hyperlink" Target="http://www.un.org/disabilities/convention/conventionfull.shtml" TargetMode="External"/><Relationship Id="rId7" Type="http://schemas.openxmlformats.org/officeDocument/2006/relationships/footnotes" Target="footnotes.xml"/><Relationship Id="rId71" Type="http://schemas.openxmlformats.org/officeDocument/2006/relationships/hyperlink" Target="http://www.sdro.nsw.gov.au/fines/eo/wdo.php"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justicehealth.nsw.gov.au/about-us/health-care-locations/community" TargetMode="External"/><Relationship Id="rId11" Type="http://schemas.openxmlformats.org/officeDocument/2006/relationships/footer" Target="footer1.xml"/><Relationship Id="rId24" Type="http://schemas.openxmlformats.org/officeDocument/2006/relationships/hyperlink" Target="http://disabilitylaw.org.au/" TargetMode="External"/><Relationship Id="rId32" Type="http://schemas.openxmlformats.org/officeDocument/2006/relationships/hyperlink" Target="http://www.idrs.org.au/home/index.php" TargetMode="External"/><Relationship Id="rId37" Type="http://schemas.openxmlformats.org/officeDocument/2006/relationships/hyperlink" Target="http://www.montagucommunityliving.net.au/index.php?option=com_content&amp;view=article&amp;id=82:what-we-offer-v15-82&amp;catid=37:offer-v15-37&amp;Itemid=171" TargetMode="External"/><Relationship Id="rId40" Type="http://schemas.openxmlformats.org/officeDocument/2006/relationships/hyperlink" Target="http://www.publicadvocate.vic.gov.au/publications/539/" TargetMode="External"/><Relationship Id="rId45" Type="http://schemas.openxmlformats.org/officeDocument/2006/relationships/hyperlink" Target="http://www.police.nsw.gov.au/community_issues/mental_health" TargetMode="External"/><Relationship Id="rId53" Type="http://schemas.openxmlformats.org/officeDocument/2006/relationships/hyperlink" Target="http://www.correctionalservices.nt.gov.au/AboutUs/BusinessWithUs/Pages/Prisoner-employment-programs.aspx" TargetMode="External"/><Relationship Id="rId58" Type="http://schemas.openxmlformats.org/officeDocument/2006/relationships/hyperlink" Target="http://www.safetyhousewa.org.au/about.htm" TargetMode="External"/><Relationship Id="rId66" Type="http://schemas.openxmlformats.org/officeDocument/2006/relationships/hyperlink" Target="http://www.tellsomeone.org.au/index.html" TargetMode="External"/><Relationship Id="rId74" Type="http://schemas.openxmlformats.org/officeDocument/2006/relationships/hyperlink" Target="http://www.youthontrack.lawlink.nsw.gov.au/yot/index.html"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magistratescourt.vic.gov.au/jurisdictions/specialist-jurisdictions/court-support-services/assessment-and-referral-court-list-arc" TargetMode="External"/><Relationship Id="rId28" Type="http://schemas.openxmlformats.org/officeDocument/2006/relationships/hyperlink" Target="http://www.caus.com.au/www/home/" TargetMode="External"/><Relationship Id="rId36" Type="http://schemas.openxmlformats.org/officeDocument/2006/relationships/hyperlink" Target="http://www.sa.gov.au/government/entity/1856/About+us+-+Disability+SA/Disability+SA+-+what+we+do/Exceptional+Needs+Unit" TargetMode="External"/><Relationship Id="rId49" Type="http://schemas.openxmlformats.org/officeDocument/2006/relationships/hyperlink" Target="http://www.neighbourhoodjustice.vic.gov.au/" TargetMode="External"/><Relationship Id="rId57" Type="http://schemas.openxmlformats.org/officeDocument/2006/relationships/hyperlink" Target="http://www.safeathome.tas.gov.au/" TargetMode="External"/><Relationship Id="rId61" Type="http://schemas.openxmlformats.org/officeDocument/2006/relationships/hyperlink" Target="http://www.dhs.vic.gov.au/about-the-department/plans,-programs-and-projects/projects-and-initiatives/cross-departmental-projects-and-initiatives/services-connect" TargetMode="External"/><Relationship Id="rId10" Type="http://schemas.openxmlformats.org/officeDocument/2006/relationships/header" Target="header2.xml"/><Relationship Id="rId19" Type="http://schemas.openxmlformats.org/officeDocument/2006/relationships/hyperlink" Target="http://www.tascinc.org.au/" TargetMode="External"/><Relationship Id="rId31" Type="http://schemas.openxmlformats.org/officeDocument/2006/relationships/hyperlink" Target="http://www.magistratescourt.vic.gov.au/jurisdictions/specialist-jurisdictions/court-support-services/court-integrated-services-program-cisp" TargetMode="External"/><Relationship Id="rId44" Type="http://schemas.openxmlformats.org/officeDocument/2006/relationships/hyperlink" Target="http://www.police.qld.gov.au/programs/cscp/mentalHealth/" TargetMode="External"/><Relationship Id="rId52" Type="http://schemas.openxmlformats.org/officeDocument/2006/relationships/hyperlink" Target="http://www.dss.gov.au/our-responsibilities/mental-health/programs-services/personal-helpers-and-mentors/locating-a-personal-helpers-and-mentors-service" TargetMode="External"/><Relationship Id="rId60" Type="http://schemas.openxmlformats.org/officeDocument/2006/relationships/hyperlink" Target="http://www.police.nsw.gov.au/community_issues/victims_of_crime/easy_english" TargetMode="External"/><Relationship Id="rId65" Type="http://schemas.openxmlformats.org/officeDocument/2006/relationships/hyperlink" Target="http://www.adc.nt.gov.au/posters/talkingposters.htm" TargetMode="External"/><Relationship Id="rId73" Type="http://schemas.openxmlformats.org/officeDocument/2006/relationships/hyperlink" Target="http://www.dcp.wa.gov.au/Organisation/Documents/YPECN%20DCP.pdf"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annemcdonaldcentre.org.au/" TargetMode="External"/><Relationship Id="rId27" Type="http://schemas.openxmlformats.org/officeDocument/2006/relationships/hyperlink" Target="http://www.creativespirits.info/aboriginalculture/law/circle-sentencing" TargetMode="External"/><Relationship Id="rId30" Type="http://schemas.openxmlformats.org/officeDocument/2006/relationships/hyperlink" Target="http://www.communityliving.org.au/" TargetMode="External"/><Relationship Id="rId35" Type="http://schemas.openxmlformats.org/officeDocument/2006/relationships/hyperlink" Target="http://www.courts.qld.gov.au/__data/assets/pdf_file/0004/94054/s-etbb.pdf" TargetMode="External"/><Relationship Id="rId43" Type="http://schemas.openxmlformats.org/officeDocument/2006/relationships/hyperlink" Target="http://www.fclc.org.au/cb_pages/clr_making_rights_reality.php" TargetMode="External"/><Relationship Id="rId48" Type="http://schemas.openxmlformats.org/officeDocument/2006/relationships/hyperlink" Target="http://www.dhs.vic.gov.au/about-the-department/plans,-programs-and-projects/projects-and-initiatives/cross-departmental-projects-and-initiatives/multiple-and-complex-needs-initiative" TargetMode="External"/><Relationship Id="rId56" Type="http://schemas.openxmlformats.org/officeDocument/2006/relationships/hyperlink" Target="http://www.bindirri.com/projects/reddirtdrivingacademy/" TargetMode="External"/><Relationship Id="rId64" Type="http://schemas.openxmlformats.org/officeDocument/2006/relationships/hyperlink" Target="http://www.supportlink.com.au/default.aspx" TargetMode="External"/><Relationship Id="rId69" Type="http://schemas.openxmlformats.org/officeDocument/2006/relationships/hyperlink" Target="http://www.dhs.vic.gov.au/cpmanual/investigation-and-assessment/overview-of-investigation-and-assessment-phase/1178-vate-video-audio-taped-evidence"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oics.wa.gov.au/go/home" TargetMode="External"/><Relationship Id="rId72" Type="http://schemas.openxmlformats.org/officeDocument/2006/relationships/hyperlink" Target="http://www.djj.nsw.gov.au/conferencing.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biat.org.au/index.php/our-services-2/abi-identification-card" TargetMode="External"/><Relationship Id="rId33" Type="http://schemas.openxmlformats.org/officeDocument/2006/relationships/hyperlink" Target="http://www.dhs.vic.gov.au/for-service-providers/children,-youth-and-families/family-violence2/disability-and-family-violence-crisis-response" TargetMode="External"/><Relationship Id="rId38" Type="http://schemas.openxmlformats.org/officeDocument/2006/relationships/hyperlink" Target="http://www.justiceconnect.org.au/our-programs/homeless-law" TargetMode="External"/><Relationship Id="rId46" Type="http://schemas.openxmlformats.org/officeDocument/2006/relationships/hyperlink" Target="http://www.mhlcwa.org.au/" TargetMode="External"/><Relationship Id="rId59" Type="http://schemas.openxmlformats.org/officeDocument/2006/relationships/hyperlink" Target="http://www.scopevic.org.au/index.php/site/whatweoffer/communicationresourcecentre/accessibleinformation" TargetMode="External"/><Relationship Id="rId67" Type="http://schemas.openxmlformats.org/officeDocument/2006/relationships/hyperlink" Target="http://www.dhs.vic.gov.au/about-the-department/news-and-events/news/general-news/new-school-at-parkville-providing-education-opportunities-for-young-people" TargetMode="External"/><Relationship Id="rId20" Type="http://schemas.openxmlformats.org/officeDocument/2006/relationships/hyperlink" Target="http://www.advocacytasmania.org.au/" TargetMode="External"/><Relationship Id="rId41" Type="http://schemas.openxmlformats.org/officeDocument/2006/relationships/hyperlink" Target="http://justicereinvestmentnow.net.au/" TargetMode="External"/><Relationship Id="rId54" Type="http://schemas.openxmlformats.org/officeDocument/2006/relationships/hyperlink" Target="http://www.health.vic.gov.au/mentalhealth/publications/police-mh-protocol0910.pdf" TargetMode="External"/><Relationship Id="rId62" Type="http://schemas.openxmlformats.org/officeDocument/2006/relationships/hyperlink" Target="http://www.sistersinside.com.au/" TargetMode="External"/><Relationship Id="rId70" Type="http://schemas.openxmlformats.org/officeDocument/2006/relationships/hyperlink" Target="http://www.nt.gov.au/justice/dpp/html/victim/index.html" TargetMode="External"/><Relationship Id="rId75" Type="http://schemas.openxmlformats.org/officeDocument/2006/relationships/hyperlink" Target="http://www.humanrights.gov.au/education/human-rights-explained-inde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www.abs.gov.au/ausstats/abs@.nsf/Lookup/4517.0main+features62013" TargetMode="External"/><Relationship Id="rId13" Type="http://schemas.openxmlformats.org/officeDocument/2006/relationships/hyperlink" Target="http://www.mentalhealthcommission.gov.au/our-report-card.aspx" TargetMode="External"/><Relationship Id="rId18" Type="http://schemas.openxmlformats.org/officeDocument/2006/relationships/hyperlink" Target="http://www.mentalhealthcommission.gov.au/our-report-card.aspx" TargetMode="External"/><Relationship Id="rId3" Type="http://schemas.openxmlformats.org/officeDocument/2006/relationships/hyperlink" Target="http://www.wwda.org.au/subs2006.htm" TargetMode="External"/><Relationship Id="rId21" Type="http://schemas.openxmlformats.org/officeDocument/2006/relationships/hyperlink" Target="http://www.pc.gov.au/gsp/rogs/2012" TargetMode="External"/><Relationship Id="rId7" Type="http://schemas.openxmlformats.org/officeDocument/2006/relationships/hyperlink" Target="http://www.abs.gov.au/ausstats/abs@.nsf/Lookup/by%20Subject/4429.0~2009~Main%20Features~Comparison%20of%20disability%20prevalence%20between%20Aboriginal%20and%20Torres%20Strait%20Islander%20peoples%20and%20non-Indigenous%20peoples~10029" TargetMode="External"/><Relationship Id="rId12" Type="http://schemas.openxmlformats.org/officeDocument/2006/relationships/hyperlink" Target="http://apo.org.au/research/lifecourse-institutional-costs-homelessness-vulnerable-groups-2012" TargetMode="External"/><Relationship Id="rId17" Type="http://schemas.openxmlformats.org/officeDocument/2006/relationships/hyperlink" Target="http://www.dss.gov.au/our-responsibilities/women/publications-articles/reducing-violence/national-plan-to-reduce-violence-against-women-and-their-children/economic-cost-of-violence-against-women-and-their-children" TargetMode="External"/><Relationship Id="rId25" Type="http://schemas.openxmlformats.org/officeDocument/2006/relationships/hyperlink" Target="http://tbinternet.ohchr.org/_layouts/treatybodyexternal/SessionDetails1.aspx?SessionID=883&amp;Lang=en" TargetMode="External"/><Relationship Id="rId2" Type="http://schemas.openxmlformats.org/officeDocument/2006/relationships/hyperlink" Target="http://www.pwc.com.au/industry/government/publications/disability-in-australia.htm" TargetMode="External"/><Relationship Id="rId16" Type="http://schemas.openxmlformats.org/officeDocument/2006/relationships/hyperlink" Target="http://www.whiteribbon.org.au/update/a-14-7-billion-dollar-burden-revealing-the-national-cost-of-violence-against-women" TargetMode="External"/><Relationship Id="rId20" Type="http://schemas.openxmlformats.org/officeDocument/2006/relationships/hyperlink" Target="https://www.humanrights.gov.au/publications/background-paper-access-justice-people-disability-criminal-justice-system" TargetMode="External"/><Relationship Id="rId1" Type="http://schemas.openxmlformats.org/officeDocument/2006/relationships/hyperlink" Target="http://www.humanrights.gov.au/publications/access-justice-criminal-justice-system-people-disability-issues-paper-april-2013" TargetMode="External"/><Relationship Id="rId6" Type="http://schemas.openxmlformats.org/officeDocument/2006/relationships/hyperlink" Target="http://www.aic.gov.au/publications/current%20series/rip/21-40/rip34.html" TargetMode="External"/><Relationship Id="rId11" Type="http://schemas.openxmlformats.org/officeDocument/2006/relationships/hyperlink" Target="http://www.humanrights.gov.au/sites/default/files/document/publication/Cost%20benefit%20analysis.pdf" TargetMode="External"/><Relationship Id="rId24" Type="http://schemas.openxmlformats.org/officeDocument/2006/relationships/hyperlink" Target="http://www.pc.gov.au/gsp/rogs/2012" TargetMode="External"/><Relationship Id="rId5" Type="http://schemas.openxmlformats.org/officeDocument/2006/relationships/hyperlink" Target="http://www.aihw.gov.au/publication-detail/?id=60129543948" TargetMode="External"/><Relationship Id="rId15" Type="http://schemas.openxmlformats.org/officeDocument/2006/relationships/hyperlink" Target="http://www.abs.gov.au/AUSSTATS/abs@.nsf/Lookup/4906.0Explanatory%20Notes12012?OpenDocument" TargetMode="External"/><Relationship Id="rId23" Type="http://schemas.openxmlformats.org/officeDocument/2006/relationships/hyperlink" Target="https://www.humanrights.gov.au/publications/background-paper-access-justice-people-disability-criminal-justice-system" TargetMode="External"/><Relationship Id="rId10" Type="http://schemas.openxmlformats.org/officeDocument/2006/relationships/hyperlink" Target="http://www.pc.gov.au/gsp/rogs/2012" TargetMode="External"/><Relationship Id="rId19" Type="http://schemas.openxmlformats.org/officeDocument/2006/relationships/hyperlink" Target="http://www.humanrights.gov.au/publications/preventing-crime-and-promoting-rights-indigenous-young-people-cognitive-disabilities-1" TargetMode="External"/><Relationship Id="rId4" Type="http://schemas.openxmlformats.org/officeDocument/2006/relationships/hyperlink" Target="http://www.vichealth.vic.gov.au/Publications/Freedom-from-violence/Violence-against-women-in-Australia-research-summary.aspx" TargetMode="External"/><Relationship Id="rId9" Type="http://schemas.openxmlformats.org/officeDocument/2006/relationships/hyperlink" Target="http://www.aic.gov.au/publications/current%20series/facts/1-20/2011/7_resources.html" TargetMode="External"/><Relationship Id="rId14" Type="http://schemas.openxmlformats.org/officeDocument/2006/relationships/hyperlink" Target="http://www.abs.gov.au/AUSSTATS/abs@.nsf/Latestproducts/4906.0Main%20Features12012?opendocument&amp;tabname=Summary&amp;prodno=4906.0&amp;issue=2012&amp;num=&amp;view" TargetMode="External"/><Relationship Id="rId22" Type="http://schemas.openxmlformats.org/officeDocument/2006/relationships/hyperlink" Target="http://www.aph.gov.au/Parliamentary_Business/Committees/Senate/Community_Affairs/Completed_inquiries/2008-10/hearing_health/hearings/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95E7-599F-4D54-98B1-80EFCEB9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59</Pages>
  <Words>16981</Words>
  <Characters>108903</Characters>
  <Application>Microsoft Office Word</Application>
  <DocSecurity>0</DocSecurity>
  <Lines>907</Lines>
  <Paragraphs>251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125633</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Helen Potts</dc:creator>
  <cp:lastModifiedBy>Penny Gerstle</cp:lastModifiedBy>
  <cp:revision>14</cp:revision>
  <cp:lastPrinted>2014-03-03T03:36:00Z</cp:lastPrinted>
  <dcterms:created xsi:type="dcterms:W3CDTF">2014-02-27T22:13:00Z</dcterms:created>
  <dcterms:modified xsi:type="dcterms:W3CDTF">2014-03-03T04:00:00Z</dcterms:modified>
</cp:coreProperties>
</file>