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FD67C" w14:textId="77777777" w:rsidR="000A1157" w:rsidRDefault="000A1157">
      <w:pPr>
        <w:spacing w:before="0" w:after="0"/>
        <w:rPr>
          <w:rFonts w:cs="Arial"/>
          <w:b/>
          <w:sz w:val="36"/>
          <w:szCs w:val="36"/>
        </w:rPr>
      </w:pPr>
    </w:p>
    <w:p w14:paraId="02099E1C" w14:textId="0C24ADB4" w:rsidR="000A1157" w:rsidRDefault="000A1157">
      <w:pPr>
        <w:spacing w:before="0" w:after="0"/>
        <w:rPr>
          <w:rFonts w:cs="Arial"/>
          <w:b/>
          <w:sz w:val="36"/>
          <w:szCs w:val="36"/>
        </w:rPr>
      </w:pPr>
      <w:r w:rsidRPr="000A1157">
        <w:rPr>
          <w:rFonts w:cs="Arial"/>
          <w:b/>
          <w:noProof/>
          <w:sz w:val="36"/>
          <w:szCs w:val="36"/>
          <w:lang w:eastAsia="en-AU"/>
        </w:rPr>
        <mc:AlternateContent>
          <mc:Choice Requires="wps">
            <w:drawing>
              <wp:anchor distT="0" distB="0" distL="114300" distR="114300" simplePos="0" relativeHeight="251660288" behindDoc="0" locked="0" layoutInCell="1" allowOverlap="1" wp14:anchorId="68EDA7CA" wp14:editId="3F70A6F1">
                <wp:simplePos x="0" y="0"/>
                <wp:positionH relativeFrom="column">
                  <wp:posOffset>2362200</wp:posOffset>
                </wp:positionH>
                <wp:positionV relativeFrom="paragraph">
                  <wp:posOffset>308610</wp:posOffset>
                </wp:positionV>
                <wp:extent cx="329184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91840" cy="1943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DC1C46" w14:textId="5BABD23F" w:rsidR="000A1157" w:rsidRDefault="000A1157" w:rsidP="000A1157">
                            <w:pPr>
                              <w:spacing w:before="0"/>
                              <w:jc w:val="right"/>
                              <w:rPr>
                                <w:rFonts w:cs="Arial"/>
                                <w:b/>
                                <w:color w:val="548DD4" w:themeColor="text2" w:themeTint="99"/>
                                <w:sz w:val="48"/>
                                <w:szCs w:val="48"/>
                              </w:rPr>
                            </w:pPr>
                            <w:r>
                              <w:rPr>
                                <w:rFonts w:cs="Arial"/>
                                <w:b/>
                                <w:color w:val="548DD4" w:themeColor="text2" w:themeTint="99"/>
                                <w:sz w:val="48"/>
                                <w:szCs w:val="48"/>
                              </w:rPr>
                              <w:t>Kong v</w:t>
                            </w:r>
                          </w:p>
                          <w:p w14:paraId="71356332" w14:textId="77777777" w:rsidR="000A1157" w:rsidRDefault="000A1157" w:rsidP="000A1157">
                            <w:pPr>
                              <w:spacing w:before="0"/>
                              <w:jc w:val="right"/>
                              <w:rPr>
                                <w:rFonts w:cs="Arial"/>
                                <w:b/>
                                <w:color w:val="548DD4" w:themeColor="text2" w:themeTint="99"/>
                                <w:sz w:val="48"/>
                                <w:szCs w:val="48"/>
                              </w:rPr>
                            </w:pPr>
                            <w:r>
                              <w:rPr>
                                <w:rFonts w:cs="Arial"/>
                                <w:b/>
                                <w:color w:val="548DD4" w:themeColor="text2" w:themeTint="99"/>
                                <w:sz w:val="48"/>
                                <w:szCs w:val="48"/>
                              </w:rPr>
                              <w:t>Commonwealth of</w:t>
                            </w:r>
                          </w:p>
                          <w:p w14:paraId="282B7717" w14:textId="77777777" w:rsidR="000A1157" w:rsidRPr="00833542" w:rsidRDefault="000A1157" w:rsidP="000A1157">
                            <w:pPr>
                              <w:spacing w:before="0" w:after="280"/>
                              <w:jc w:val="right"/>
                              <w:rPr>
                                <w:rFonts w:cs="Arial"/>
                                <w:b/>
                                <w:color w:val="548DD4" w:themeColor="text2" w:themeTint="99"/>
                                <w:sz w:val="48"/>
                                <w:szCs w:val="48"/>
                              </w:rPr>
                            </w:pPr>
                            <w:r>
                              <w:rPr>
                                <w:rFonts w:cs="Arial"/>
                                <w:b/>
                                <w:color w:val="548DD4" w:themeColor="text2" w:themeTint="99"/>
                                <w:sz w:val="48"/>
                                <w:szCs w:val="48"/>
                              </w:rPr>
                              <w:t xml:space="preserve"> Australia (DIBP)</w:t>
                            </w:r>
                          </w:p>
                          <w:p w14:paraId="268485FF" w14:textId="5BF46169" w:rsidR="000A1157" w:rsidRPr="00923CD8" w:rsidRDefault="00923CD8" w:rsidP="000A1157">
                            <w:pPr>
                              <w:spacing w:before="0"/>
                              <w:jc w:val="right"/>
                              <w:rPr>
                                <w:rFonts w:ascii="Arial Narrow" w:hAnsi="Arial Narrow"/>
                                <w:sz w:val="32"/>
                                <w:szCs w:val="32"/>
                              </w:rPr>
                            </w:pPr>
                            <w:r>
                              <w:rPr>
                                <w:rFonts w:ascii="Arial Narrow" w:hAnsi="Arial Narrow"/>
                                <w:sz w:val="32"/>
                                <w:szCs w:val="32"/>
                              </w:rPr>
                              <w:t xml:space="preserve"> [2015</w:t>
                            </w:r>
                            <w:r w:rsidR="000A1157" w:rsidRPr="00923CD8">
                              <w:rPr>
                                <w:rFonts w:ascii="Arial Narrow" w:hAnsi="Arial Narrow"/>
                                <w:sz w:val="32"/>
                                <w:szCs w:val="32"/>
                              </w:rPr>
                              <w:t xml:space="preserve">] </w:t>
                            </w:r>
                            <w:proofErr w:type="spellStart"/>
                            <w:r w:rsidR="000A1157" w:rsidRPr="00923CD8">
                              <w:rPr>
                                <w:rFonts w:ascii="Arial Narrow" w:hAnsi="Arial Narrow"/>
                                <w:sz w:val="32"/>
                                <w:szCs w:val="32"/>
                              </w:rPr>
                              <w:t>AusHRC</w:t>
                            </w:r>
                            <w:proofErr w:type="spellEnd"/>
                            <w:r w:rsidR="000A1157" w:rsidRPr="00923CD8">
                              <w:rPr>
                                <w:rFonts w:ascii="Arial Narrow" w:hAnsi="Arial Narrow"/>
                                <w:sz w:val="32"/>
                                <w:szCs w:val="32"/>
                              </w:rPr>
                              <w:t xml:space="preserve"> 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DA7CA" id="_x0000_t202" coordsize="21600,21600" o:spt="202" path="m,l,21600r21600,l21600,xe">
                <v:stroke joinstyle="miter"/>
                <v:path gradientshapeok="t" o:connecttype="rect"/>
              </v:shapetype>
              <v:shape id="Text Box 5" o:spid="_x0000_s1026" type="#_x0000_t202" style="position:absolute;margin-left:186pt;margin-top:24.3pt;width:259.2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" filled="f" stroked="f">
                <v:textbox>
                  <w:txbxContent>
                    <w:p w14:paraId="22DC1C46" w14:textId="5BABD23F" w:rsidR="000A1157" w:rsidRDefault="000A1157" w:rsidP="000A1157">
                      <w:pPr>
                        <w:spacing w:before="0"/>
                        <w:jc w:val="right"/>
                        <w:rPr>
                          <w:rFonts w:cs="Arial"/>
                          <w:b/>
                          <w:color w:val="548DD4" w:themeColor="text2" w:themeTint="99"/>
                          <w:sz w:val="48"/>
                          <w:szCs w:val="48"/>
                        </w:rPr>
                      </w:pPr>
                      <w:r>
                        <w:rPr>
                          <w:rFonts w:cs="Arial"/>
                          <w:b/>
                          <w:color w:val="548DD4" w:themeColor="text2" w:themeTint="99"/>
                          <w:sz w:val="48"/>
                          <w:szCs w:val="48"/>
                        </w:rPr>
                        <w:t>Kong v</w:t>
                      </w:r>
                    </w:p>
                    <w:p w14:paraId="71356332" w14:textId="77777777" w:rsidR="000A1157" w:rsidRDefault="000A1157" w:rsidP="000A1157">
                      <w:pPr>
                        <w:spacing w:before="0"/>
                        <w:jc w:val="right"/>
                        <w:rPr>
                          <w:rFonts w:cs="Arial"/>
                          <w:b/>
                          <w:color w:val="548DD4" w:themeColor="text2" w:themeTint="99"/>
                          <w:sz w:val="48"/>
                          <w:szCs w:val="48"/>
                        </w:rPr>
                      </w:pPr>
                      <w:r>
                        <w:rPr>
                          <w:rFonts w:cs="Arial"/>
                          <w:b/>
                          <w:color w:val="548DD4" w:themeColor="text2" w:themeTint="99"/>
                          <w:sz w:val="48"/>
                          <w:szCs w:val="48"/>
                        </w:rPr>
                        <w:t>Commonwealth of</w:t>
                      </w:r>
                    </w:p>
                    <w:p w14:paraId="282B7717" w14:textId="77777777" w:rsidR="000A1157" w:rsidRPr="00833542" w:rsidRDefault="000A1157" w:rsidP="000A1157">
                      <w:pPr>
                        <w:spacing w:before="0" w:after="280"/>
                        <w:jc w:val="right"/>
                        <w:rPr>
                          <w:rFonts w:cs="Arial"/>
                          <w:b/>
                          <w:color w:val="548DD4" w:themeColor="text2" w:themeTint="99"/>
                          <w:sz w:val="48"/>
                          <w:szCs w:val="48"/>
                        </w:rPr>
                      </w:pPr>
                      <w:r>
                        <w:rPr>
                          <w:rFonts w:cs="Arial"/>
                          <w:b/>
                          <w:color w:val="548DD4" w:themeColor="text2" w:themeTint="99"/>
                          <w:sz w:val="48"/>
                          <w:szCs w:val="48"/>
                        </w:rPr>
                        <w:t xml:space="preserve"> Australia (DIBP)</w:t>
                      </w:r>
                    </w:p>
                    <w:p w14:paraId="268485FF" w14:textId="5BF46169" w:rsidR="000A1157" w:rsidRPr="00923CD8" w:rsidRDefault="00923CD8" w:rsidP="000A1157">
                      <w:pPr>
                        <w:spacing w:before="0"/>
                        <w:jc w:val="right"/>
                        <w:rPr>
                          <w:rFonts w:ascii="Arial Narrow" w:hAnsi="Arial Narrow"/>
                          <w:sz w:val="32"/>
                          <w:szCs w:val="32"/>
                        </w:rPr>
                      </w:pPr>
                      <w:r>
                        <w:rPr>
                          <w:rFonts w:ascii="Arial Narrow" w:hAnsi="Arial Narrow"/>
                          <w:sz w:val="32"/>
                          <w:szCs w:val="32"/>
                        </w:rPr>
                        <w:t xml:space="preserve"> [2015</w:t>
                      </w:r>
                      <w:r w:rsidR="000A1157" w:rsidRPr="00923CD8">
                        <w:rPr>
                          <w:rFonts w:ascii="Arial Narrow" w:hAnsi="Arial Narrow"/>
                          <w:sz w:val="32"/>
                          <w:szCs w:val="32"/>
                        </w:rPr>
                        <w:t xml:space="preserve">] </w:t>
                      </w:r>
                      <w:proofErr w:type="spellStart"/>
                      <w:r w:rsidR="000A1157" w:rsidRPr="00923CD8">
                        <w:rPr>
                          <w:rFonts w:ascii="Arial Narrow" w:hAnsi="Arial Narrow"/>
                          <w:sz w:val="32"/>
                          <w:szCs w:val="32"/>
                        </w:rPr>
                        <w:t>AusHRC</w:t>
                      </w:r>
                      <w:proofErr w:type="spellEnd"/>
                      <w:r w:rsidR="000A1157" w:rsidRPr="00923CD8">
                        <w:rPr>
                          <w:rFonts w:ascii="Arial Narrow" w:hAnsi="Arial Narrow"/>
                          <w:sz w:val="32"/>
                          <w:szCs w:val="32"/>
                        </w:rPr>
                        <w:t xml:space="preserve"> 98</w:t>
                      </w:r>
                    </w:p>
                  </w:txbxContent>
                </v:textbox>
                <w10:wrap type="square"/>
              </v:shape>
            </w:pict>
          </mc:Fallback>
        </mc:AlternateContent>
      </w:r>
      <w:r w:rsidRPr="000A1157">
        <w:rPr>
          <w:rFonts w:cs="Arial"/>
          <w:b/>
          <w:noProof/>
          <w:sz w:val="36"/>
          <w:szCs w:val="36"/>
          <w:lang w:eastAsia="en-AU"/>
        </w:rPr>
        <w:drawing>
          <wp:anchor distT="0" distB="0" distL="114300" distR="114300" simplePos="0" relativeHeight="251659264" behindDoc="1" locked="0" layoutInCell="0" allowOverlap="1" wp14:anchorId="31D3EC55" wp14:editId="76287BC0">
            <wp:simplePos x="0" y="0"/>
            <wp:positionH relativeFrom="margin">
              <wp:posOffset>-952500</wp:posOffset>
            </wp:positionH>
            <wp:positionV relativeFrom="margin">
              <wp:posOffset>-914400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0" cy="11168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sz w:val="36"/>
          <w:szCs w:val="36"/>
        </w:rPr>
        <w:br w:type="page"/>
      </w:r>
    </w:p>
    <w:p w14:paraId="3CB4BCE8" w14:textId="77777777" w:rsidR="000A1157" w:rsidRDefault="000A1157">
      <w:pPr>
        <w:spacing w:before="0" w:after="0"/>
        <w:rPr>
          <w:rFonts w:cs="Arial"/>
          <w:b/>
          <w:sz w:val="36"/>
          <w:szCs w:val="36"/>
        </w:rPr>
      </w:pPr>
    </w:p>
    <w:p w14:paraId="5A1C1003" w14:textId="77777777" w:rsidR="00923CD8" w:rsidRDefault="00923CD8">
      <w:pPr>
        <w:spacing w:before="0" w:after="0"/>
        <w:rPr>
          <w:rFonts w:cs="Arial"/>
          <w:b/>
          <w:sz w:val="36"/>
          <w:szCs w:val="36"/>
        </w:rPr>
      </w:pPr>
    </w:p>
    <w:p w14:paraId="019F3031" w14:textId="77777777" w:rsidR="00923CD8" w:rsidRDefault="00923CD8">
      <w:pPr>
        <w:spacing w:before="0" w:after="0"/>
        <w:rPr>
          <w:rFonts w:cs="Arial"/>
          <w:b/>
          <w:sz w:val="36"/>
          <w:szCs w:val="36"/>
        </w:rPr>
      </w:pPr>
    </w:p>
    <w:p w14:paraId="530866E5" w14:textId="77777777" w:rsidR="00923CD8" w:rsidRDefault="00923CD8">
      <w:pPr>
        <w:spacing w:before="0" w:after="0"/>
        <w:rPr>
          <w:rFonts w:cs="Arial"/>
          <w:b/>
          <w:sz w:val="36"/>
          <w:szCs w:val="36"/>
        </w:rPr>
      </w:pPr>
    </w:p>
    <w:p w14:paraId="046047A6" w14:textId="77777777" w:rsidR="00923CD8" w:rsidRDefault="00923CD8">
      <w:pPr>
        <w:spacing w:before="0" w:after="0"/>
        <w:rPr>
          <w:rFonts w:cs="Arial"/>
          <w:b/>
          <w:sz w:val="36"/>
          <w:szCs w:val="36"/>
        </w:rPr>
      </w:pPr>
    </w:p>
    <w:p w14:paraId="1EA85FEF" w14:textId="77777777" w:rsidR="00923CD8" w:rsidRPr="00923CD8" w:rsidRDefault="00923CD8" w:rsidP="00923CD8">
      <w:pPr>
        <w:pStyle w:val="CopyrightText"/>
        <w:spacing w:after="113"/>
        <w:rPr>
          <w:rFonts w:ascii="Arial" w:hAnsi="Arial" w:cs="Arial"/>
          <w:sz w:val="20"/>
          <w:szCs w:val="20"/>
        </w:rPr>
      </w:pPr>
      <w:r w:rsidRPr="00923CD8">
        <w:rPr>
          <w:rFonts w:ascii="Arial" w:hAnsi="Arial" w:cs="Arial"/>
          <w:sz w:val="20"/>
          <w:szCs w:val="20"/>
        </w:rPr>
        <w:t>© Australian Human Rights Commission 2015.</w:t>
      </w:r>
    </w:p>
    <w:p w14:paraId="3C75135D" w14:textId="77777777" w:rsidR="00923CD8" w:rsidRPr="00923CD8" w:rsidRDefault="00923CD8" w:rsidP="00923CD8">
      <w:pPr>
        <w:pStyle w:val="CopyrightText"/>
        <w:spacing w:after="200"/>
        <w:rPr>
          <w:rFonts w:ascii="Arial" w:hAnsi="Arial" w:cs="Arial"/>
          <w:sz w:val="20"/>
          <w:szCs w:val="20"/>
        </w:rPr>
      </w:pPr>
      <w:r w:rsidRPr="00923CD8">
        <w:rPr>
          <w:rFonts w:ascii="Arial" w:hAnsi="Arial" w:cs="Arial"/>
          <w:sz w:val="20"/>
          <w:szCs w:val="20"/>
        </w:rPr>
        <w:t xml:space="preserve">The Australian Human Rights Commission encourages the dissemination and exchange of information presented in this publication and endorses the use of the </w:t>
      </w:r>
      <w:r w:rsidRPr="00923CD8">
        <w:rPr>
          <w:rFonts w:ascii="Arial" w:hAnsi="Arial" w:cs="Arial"/>
          <w:b/>
          <w:bCs/>
          <w:sz w:val="20"/>
          <w:szCs w:val="20"/>
        </w:rPr>
        <w:t>Australian Governments Open Access and Licensing Framework</w:t>
      </w:r>
      <w:r w:rsidRPr="00923CD8">
        <w:rPr>
          <w:rFonts w:ascii="Arial" w:hAnsi="Arial" w:cs="Arial"/>
          <w:sz w:val="20"/>
          <w:szCs w:val="20"/>
        </w:rPr>
        <w:t xml:space="preserve"> (</w:t>
      </w:r>
      <w:proofErr w:type="spellStart"/>
      <w:r w:rsidRPr="00923CD8">
        <w:rPr>
          <w:rFonts w:ascii="Arial" w:hAnsi="Arial" w:cs="Arial"/>
          <w:sz w:val="20"/>
          <w:szCs w:val="20"/>
        </w:rPr>
        <w:t>AusGOAL</w:t>
      </w:r>
      <w:proofErr w:type="spellEnd"/>
      <w:r w:rsidRPr="00923CD8">
        <w:rPr>
          <w:rFonts w:ascii="Arial" w:hAnsi="Arial" w:cs="Arial"/>
          <w:sz w:val="20"/>
          <w:szCs w:val="20"/>
        </w:rPr>
        <w:t>).</w:t>
      </w:r>
    </w:p>
    <w:p w14:paraId="7274B1D2" w14:textId="360C83D3" w:rsidR="00923CD8" w:rsidRPr="00923CD8" w:rsidRDefault="00923CD8" w:rsidP="00923CD8">
      <w:pPr>
        <w:pStyle w:val="CopyrightText"/>
        <w:spacing w:after="200"/>
        <w:rPr>
          <w:rFonts w:ascii="Arial" w:hAnsi="Arial" w:cs="Arial"/>
          <w:sz w:val="20"/>
          <w:szCs w:val="20"/>
        </w:rPr>
      </w:pPr>
      <w:r>
        <w:rPr>
          <w:rFonts w:ascii="Arial" w:hAnsi="Arial" w:cs="Arial"/>
          <w:noProof/>
          <w:sz w:val="20"/>
          <w:szCs w:val="20"/>
        </w:rPr>
        <w:drawing>
          <wp:inline distT="0" distB="0" distL="0" distR="0" wp14:anchorId="7B2E3FE8" wp14:editId="48B72B7F">
            <wp:extent cx="706755" cy="249555"/>
            <wp:effectExtent l="0" t="0" r="444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755" cy="249555"/>
                    </a:xfrm>
                    <a:prstGeom prst="rect">
                      <a:avLst/>
                    </a:prstGeom>
                    <a:noFill/>
                    <a:ln>
                      <a:noFill/>
                    </a:ln>
                  </pic:spPr>
                </pic:pic>
              </a:graphicData>
            </a:graphic>
          </wp:inline>
        </w:drawing>
      </w:r>
    </w:p>
    <w:p w14:paraId="01D6B9BB" w14:textId="77777777" w:rsidR="00923CD8" w:rsidRPr="00923CD8" w:rsidRDefault="00923CD8" w:rsidP="00923CD8">
      <w:pPr>
        <w:pStyle w:val="CopyrightText"/>
        <w:spacing w:after="113"/>
        <w:rPr>
          <w:rFonts w:ascii="Arial" w:hAnsi="Arial" w:cs="Arial"/>
          <w:sz w:val="20"/>
          <w:szCs w:val="20"/>
        </w:rPr>
      </w:pPr>
      <w:r w:rsidRPr="00923CD8">
        <w:rPr>
          <w:rFonts w:ascii="Arial" w:hAnsi="Arial" w:cs="Arial"/>
          <w:sz w:val="20"/>
          <w:szCs w:val="20"/>
        </w:rPr>
        <w:t xml:space="preserve">All material presented in this publication is licensed under the </w:t>
      </w:r>
      <w:r w:rsidRPr="00923CD8">
        <w:rPr>
          <w:rFonts w:ascii="Arial" w:hAnsi="Arial" w:cs="Arial"/>
          <w:b/>
          <w:bCs/>
          <w:sz w:val="20"/>
          <w:szCs w:val="20"/>
        </w:rPr>
        <w:t>Creative Commons Attribution 4.0 International Licence</w:t>
      </w:r>
      <w:r w:rsidRPr="00923CD8">
        <w:rPr>
          <w:rFonts w:ascii="Arial" w:hAnsi="Arial" w:cs="Arial"/>
          <w:sz w:val="20"/>
          <w:szCs w:val="20"/>
        </w:rPr>
        <w:t>, with the exception of:</w:t>
      </w:r>
    </w:p>
    <w:p w14:paraId="259FF8E7" w14:textId="77777777" w:rsidR="00923CD8" w:rsidRPr="00923CD8" w:rsidRDefault="00923CD8" w:rsidP="00923CD8">
      <w:pPr>
        <w:pStyle w:val="CopyrightText"/>
        <w:spacing w:after="0"/>
        <w:ind w:left="283" w:hanging="113"/>
        <w:rPr>
          <w:rFonts w:ascii="Arial" w:hAnsi="Arial" w:cs="Arial"/>
          <w:sz w:val="20"/>
          <w:szCs w:val="20"/>
        </w:rPr>
      </w:pPr>
      <w:r w:rsidRPr="00923CD8">
        <w:rPr>
          <w:rFonts w:ascii="Arial" w:hAnsi="Arial" w:cs="Arial"/>
          <w:sz w:val="20"/>
          <w:szCs w:val="20"/>
        </w:rPr>
        <w:t>•</w:t>
      </w:r>
      <w:r w:rsidRPr="00923CD8">
        <w:rPr>
          <w:rFonts w:ascii="Arial" w:hAnsi="Arial" w:cs="Arial"/>
          <w:sz w:val="20"/>
          <w:szCs w:val="20"/>
        </w:rPr>
        <w:tab/>
        <w:t>the Commission’s logo, any branding or trademarks; and</w:t>
      </w:r>
    </w:p>
    <w:p w14:paraId="051C71B8" w14:textId="77777777" w:rsidR="00923CD8" w:rsidRPr="00923CD8" w:rsidRDefault="00923CD8" w:rsidP="00923CD8">
      <w:pPr>
        <w:pStyle w:val="CopyrightText"/>
        <w:spacing w:after="113"/>
        <w:ind w:left="283" w:hanging="113"/>
        <w:rPr>
          <w:rFonts w:ascii="Arial" w:hAnsi="Arial" w:cs="Arial"/>
          <w:sz w:val="20"/>
          <w:szCs w:val="20"/>
        </w:rPr>
      </w:pPr>
      <w:r w:rsidRPr="00923CD8">
        <w:rPr>
          <w:rFonts w:ascii="Arial" w:hAnsi="Arial" w:cs="Arial"/>
          <w:sz w:val="20"/>
          <w:szCs w:val="20"/>
        </w:rPr>
        <w:t>•</w:t>
      </w:r>
      <w:r w:rsidRPr="00923CD8">
        <w:rPr>
          <w:rFonts w:ascii="Arial" w:hAnsi="Arial" w:cs="Arial"/>
          <w:sz w:val="20"/>
          <w:szCs w:val="20"/>
        </w:rPr>
        <w:tab/>
        <w:t>where otherwise indicated.</w:t>
      </w:r>
    </w:p>
    <w:p w14:paraId="2F434203" w14:textId="5448C221" w:rsidR="00923CD8" w:rsidRPr="00923CD8" w:rsidRDefault="00923CD8" w:rsidP="00923CD8">
      <w:pPr>
        <w:pStyle w:val="CopyrightText"/>
        <w:spacing w:after="113"/>
        <w:rPr>
          <w:rFonts w:ascii="Arial" w:hAnsi="Arial" w:cs="Arial"/>
          <w:sz w:val="20"/>
          <w:szCs w:val="20"/>
        </w:rPr>
      </w:pPr>
      <w:r w:rsidRPr="00923CD8">
        <w:rPr>
          <w:rFonts w:ascii="Arial" w:hAnsi="Arial" w:cs="Arial"/>
          <w:sz w:val="20"/>
          <w:szCs w:val="20"/>
        </w:rPr>
        <w:t xml:space="preserve">To view a copy of this licence, visit </w:t>
      </w:r>
      <w:hyperlink r:id="rId10" w:history="1">
        <w:r w:rsidRPr="00923CD8">
          <w:rPr>
            <w:rStyle w:val="Hyperlink"/>
            <w:rFonts w:ascii="Arial" w:hAnsi="Arial" w:cs="Arial"/>
            <w:b/>
            <w:bCs/>
            <w:sz w:val="20"/>
            <w:szCs w:val="20"/>
          </w:rPr>
          <w:t>http://creativecommons.org/licenses/by/4.0/legalcode</w:t>
        </w:r>
      </w:hyperlink>
      <w:r w:rsidRPr="00923CD8">
        <w:rPr>
          <w:rFonts w:ascii="Arial" w:hAnsi="Arial" w:cs="Arial"/>
          <w:sz w:val="20"/>
          <w:szCs w:val="20"/>
        </w:rPr>
        <w:t>.</w:t>
      </w:r>
    </w:p>
    <w:p w14:paraId="42484056" w14:textId="77777777" w:rsidR="00923CD8" w:rsidRDefault="00923CD8" w:rsidP="00923CD8">
      <w:pPr>
        <w:pStyle w:val="CopyrightText"/>
        <w:spacing w:after="400"/>
        <w:rPr>
          <w:rFonts w:ascii="Arial" w:hAnsi="Arial" w:cs="Arial"/>
          <w:sz w:val="20"/>
          <w:szCs w:val="20"/>
        </w:rPr>
      </w:pPr>
      <w:r w:rsidRPr="00923CD8">
        <w:rPr>
          <w:rFonts w:ascii="Arial" w:hAnsi="Arial" w:cs="Arial"/>
          <w:sz w:val="20"/>
          <w:szCs w:val="20"/>
        </w:rPr>
        <w:t>In essence, you are free to copy, communicate and adapt the publication, as long as you attribute the Australian Human Rights Commission and abide by the other licence terms.</w:t>
      </w:r>
    </w:p>
    <w:p w14:paraId="19806D8A" w14:textId="224CC16B" w:rsidR="00923CD8" w:rsidRDefault="00923CD8" w:rsidP="00923CD8">
      <w:pPr>
        <w:pStyle w:val="CopyrightText"/>
        <w:spacing w:after="113"/>
        <w:rPr>
          <w:rFonts w:ascii="Arial" w:hAnsi="Arial" w:cs="Arial"/>
          <w:b/>
          <w:bCs/>
          <w:sz w:val="20"/>
          <w:szCs w:val="20"/>
        </w:rPr>
      </w:pPr>
      <w:r>
        <w:rPr>
          <w:rFonts w:ascii="Arial" w:hAnsi="Arial" w:cs="Arial"/>
          <w:b/>
          <w:bCs/>
          <w:sz w:val="20"/>
          <w:szCs w:val="20"/>
        </w:rPr>
        <w:t>Please give attribution to:</w:t>
      </w:r>
    </w:p>
    <w:p w14:paraId="68D8F583" w14:textId="6EF70180" w:rsidR="00923CD8" w:rsidRDefault="00923CD8" w:rsidP="00923CD8">
      <w:pPr>
        <w:pStyle w:val="CopyrightText"/>
        <w:spacing w:after="400"/>
        <w:rPr>
          <w:rFonts w:ascii="Arial" w:hAnsi="Arial" w:cs="Arial"/>
          <w:b/>
          <w:bCs/>
          <w:sz w:val="20"/>
          <w:szCs w:val="20"/>
        </w:rPr>
      </w:pPr>
      <w:r w:rsidRPr="00923CD8">
        <w:rPr>
          <w:rFonts w:ascii="Arial" w:hAnsi="Arial" w:cs="Arial"/>
          <w:sz w:val="20"/>
          <w:szCs w:val="20"/>
        </w:rPr>
        <w:t>© Australian Human Rights Commission 2015.</w:t>
      </w:r>
    </w:p>
    <w:p w14:paraId="664F8D5C" w14:textId="77777777" w:rsidR="00923CD8" w:rsidRPr="00923CD8" w:rsidRDefault="00923CD8" w:rsidP="00923CD8">
      <w:pPr>
        <w:pStyle w:val="CopyrightText"/>
        <w:spacing w:after="400"/>
        <w:rPr>
          <w:rFonts w:ascii="Arial" w:hAnsi="Arial" w:cs="Arial"/>
          <w:b/>
          <w:bCs/>
          <w:sz w:val="20"/>
          <w:szCs w:val="20"/>
        </w:rPr>
      </w:pPr>
      <w:r w:rsidRPr="00923CD8">
        <w:rPr>
          <w:rStyle w:val="Bold"/>
          <w:rFonts w:ascii="Arial" w:hAnsi="Arial" w:cs="Arial"/>
          <w:sz w:val="20"/>
          <w:szCs w:val="20"/>
        </w:rPr>
        <w:t>ISSN 1837-1183</w:t>
      </w:r>
    </w:p>
    <w:p w14:paraId="14EEFC68" w14:textId="77777777" w:rsidR="00923CD8" w:rsidRPr="00923CD8" w:rsidRDefault="00923CD8" w:rsidP="00923CD8">
      <w:pPr>
        <w:pStyle w:val="CopyrightText"/>
        <w:rPr>
          <w:rFonts w:ascii="Arial" w:hAnsi="Arial" w:cs="Arial"/>
          <w:sz w:val="20"/>
          <w:szCs w:val="20"/>
        </w:rPr>
      </w:pPr>
      <w:r w:rsidRPr="00923CD8">
        <w:rPr>
          <w:rFonts w:ascii="Arial" w:hAnsi="Arial" w:cs="Arial"/>
          <w:b/>
          <w:bCs/>
          <w:sz w:val="20"/>
          <w:szCs w:val="20"/>
        </w:rPr>
        <w:t>Further information</w:t>
      </w:r>
    </w:p>
    <w:p w14:paraId="2F55F088" w14:textId="77777777" w:rsidR="00923CD8" w:rsidRPr="00923CD8" w:rsidRDefault="00923CD8" w:rsidP="00923CD8">
      <w:pPr>
        <w:pStyle w:val="CopyrightText"/>
        <w:spacing w:after="100"/>
        <w:rPr>
          <w:rFonts w:ascii="Arial" w:hAnsi="Arial" w:cs="Arial"/>
          <w:sz w:val="20"/>
          <w:szCs w:val="20"/>
        </w:rPr>
      </w:pPr>
      <w:r w:rsidRPr="00923CD8">
        <w:rPr>
          <w:rFonts w:ascii="Arial" w:hAnsi="Arial" w:cs="Arial"/>
          <w:sz w:val="20"/>
          <w:szCs w:val="20"/>
        </w:rPr>
        <w:t>For further information about the Australian Human Rights Commission or copyright in this publication, please contact:</w:t>
      </w:r>
    </w:p>
    <w:p w14:paraId="0EF96794" w14:textId="77777777" w:rsidR="00923CD8" w:rsidRPr="00923CD8" w:rsidRDefault="00923CD8" w:rsidP="00923CD8">
      <w:pPr>
        <w:pStyle w:val="CopyrightText"/>
        <w:spacing w:after="0"/>
        <w:rPr>
          <w:rFonts w:ascii="Arial" w:hAnsi="Arial" w:cs="Arial"/>
          <w:sz w:val="20"/>
          <w:szCs w:val="20"/>
        </w:rPr>
      </w:pPr>
      <w:r w:rsidRPr="00923CD8">
        <w:rPr>
          <w:rFonts w:ascii="Arial" w:hAnsi="Arial" w:cs="Arial"/>
          <w:sz w:val="20"/>
          <w:szCs w:val="20"/>
        </w:rPr>
        <w:t>Communications Unit</w:t>
      </w:r>
    </w:p>
    <w:p w14:paraId="110747E6" w14:textId="77777777" w:rsidR="00923CD8" w:rsidRPr="00923CD8" w:rsidRDefault="00923CD8" w:rsidP="00923CD8">
      <w:pPr>
        <w:pStyle w:val="CopyrightText"/>
        <w:spacing w:after="0"/>
        <w:rPr>
          <w:rFonts w:ascii="Arial" w:hAnsi="Arial" w:cs="Arial"/>
          <w:sz w:val="20"/>
          <w:szCs w:val="20"/>
        </w:rPr>
      </w:pPr>
      <w:r w:rsidRPr="00923CD8">
        <w:rPr>
          <w:rFonts w:ascii="Arial" w:hAnsi="Arial" w:cs="Arial"/>
          <w:sz w:val="20"/>
          <w:szCs w:val="20"/>
        </w:rPr>
        <w:t>Australian Human Rights Commission</w:t>
      </w:r>
    </w:p>
    <w:p w14:paraId="5F5DFFB2" w14:textId="77777777" w:rsidR="00923CD8" w:rsidRPr="00923CD8" w:rsidRDefault="00923CD8" w:rsidP="00923CD8">
      <w:pPr>
        <w:pStyle w:val="CopyrightText"/>
        <w:spacing w:after="0"/>
        <w:rPr>
          <w:rFonts w:ascii="Arial" w:hAnsi="Arial" w:cs="Arial"/>
          <w:sz w:val="20"/>
          <w:szCs w:val="20"/>
        </w:rPr>
      </w:pPr>
      <w:r w:rsidRPr="00923CD8">
        <w:rPr>
          <w:rFonts w:ascii="Arial" w:hAnsi="Arial" w:cs="Arial"/>
          <w:sz w:val="20"/>
          <w:szCs w:val="20"/>
        </w:rPr>
        <w:t>GPO Box 5218</w:t>
      </w:r>
    </w:p>
    <w:p w14:paraId="342731E5" w14:textId="77777777" w:rsidR="00923CD8" w:rsidRPr="00923CD8" w:rsidRDefault="00923CD8" w:rsidP="00923CD8">
      <w:pPr>
        <w:pStyle w:val="CopyrightText"/>
        <w:spacing w:after="0"/>
        <w:rPr>
          <w:rFonts w:ascii="Arial" w:hAnsi="Arial" w:cs="Arial"/>
          <w:sz w:val="20"/>
          <w:szCs w:val="20"/>
        </w:rPr>
      </w:pPr>
      <w:r w:rsidRPr="00923CD8">
        <w:rPr>
          <w:rFonts w:ascii="Arial" w:hAnsi="Arial" w:cs="Arial"/>
          <w:sz w:val="20"/>
          <w:szCs w:val="20"/>
        </w:rPr>
        <w:t>SYDNEY NSW 2001</w:t>
      </w:r>
    </w:p>
    <w:p w14:paraId="5EB1FD0D" w14:textId="77777777" w:rsidR="00923CD8" w:rsidRPr="00923CD8" w:rsidRDefault="00923CD8" w:rsidP="00923CD8">
      <w:pPr>
        <w:pStyle w:val="CopyrightText"/>
        <w:spacing w:after="0"/>
        <w:rPr>
          <w:rFonts w:ascii="Arial" w:hAnsi="Arial" w:cs="Arial"/>
          <w:sz w:val="20"/>
          <w:szCs w:val="20"/>
        </w:rPr>
      </w:pPr>
      <w:r w:rsidRPr="00923CD8">
        <w:rPr>
          <w:rFonts w:ascii="Arial" w:hAnsi="Arial" w:cs="Arial"/>
          <w:sz w:val="20"/>
          <w:szCs w:val="20"/>
        </w:rPr>
        <w:t>Telephone: (02) 9284 9600</w:t>
      </w:r>
    </w:p>
    <w:p w14:paraId="6D45B3E9" w14:textId="47B78F14" w:rsidR="00923CD8" w:rsidRDefault="00923CD8" w:rsidP="00923CD8">
      <w:pPr>
        <w:pStyle w:val="CopyrightText"/>
        <w:spacing w:after="400"/>
        <w:rPr>
          <w:rFonts w:ascii="Arial" w:hAnsi="Arial" w:cs="Arial"/>
          <w:sz w:val="20"/>
          <w:szCs w:val="20"/>
        </w:rPr>
      </w:pPr>
      <w:r w:rsidRPr="00923CD8">
        <w:rPr>
          <w:rFonts w:ascii="Arial" w:hAnsi="Arial" w:cs="Arial"/>
          <w:sz w:val="20"/>
          <w:szCs w:val="20"/>
        </w:rPr>
        <w:t xml:space="preserve">Email: </w:t>
      </w:r>
      <w:hyperlink r:id="rId11" w:history="1">
        <w:r w:rsidRPr="00923CD8">
          <w:rPr>
            <w:rStyle w:val="Hyperlink"/>
            <w:rFonts w:ascii="Arial" w:hAnsi="Arial" w:cs="Arial"/>
            <w:sz w:val="20"/>
            <w:szCs w:val="20"/>
          </w:rPr>
          <w:t>mailto:communications@humanrights.gov.au</w:t>
        </w:r>
      </w:hyperlink>
      <w:r w:rsidRPr="00923CD8">
        <w:rPr>
          <w:rFonts w:ascii="Arial" w:hAnsi="Arial" w:cs="Arial"/>
          <w:sz w:val="20"/>
          <w:szCs w:val="20"/>
        </w:rPr>
        <w:t>.</w:t>
      </w:r>
    </w:p>
    <w:p w14:paraId="2613E9D5" w14:textId="77777777" w:rsidR="00923CD8" w:rsidRPr="00923CD8" w:rsidRDefault="00923CD8" w:rsidP="00923CD8">
      <w:pPr>
        <w:pStyle w:val="CopyrightText"/>
        <w:rPr>
          <w:rFonts w:ascii="Arial" w:hAnsi="Arial" w:cs="Arial"/>
          <w:sz w:val="20"/>
          <w:szCs w:val="20"/>
        </w:rPr>
      </w:pPr>
      <w:r w:rsidRPr="00923CD8">
        <w:rPr>
          <w:rFonts w:ascii="Arial" w:hAnsi="Arial" w:cs="Arial"/>
          <w:b/>
          <w:bCs/>
          <w:sz w:val="20"/>
          <w:szCs w:val="20"/>
        </w:rPr>
        <w:t>Design and layout</w:t>
      </w:r>
      <w:r w:rsidRPr="00923CD8">
        <w:rPr>
          <w:rFonts w:ascii="Arial" w:hAnsi="Arial" w:cs="Arial"/>
          <w:sz w:val="20"/>
          <w:szCs w:val="20"/>
        </w:rPr>
        <w:t xml:space="preserve"> </w:t>
      </w:r>
      <w:proofErr w:type="spellStart"/>
      <w:r w:rsidRPr="00923CD8">
        <w:rPr>
          <w:rFonts w:ascii="Arial" w:hAnsi="Arial" w:cs="Arial"/>
          <w:sz w:val="20"/>
          <w:szCs w:val="20"/>
        </w:rPr>
        <w:t>Dancingirl</w:t>
      </w:r>
      <w:proofErr w:type="spellEnd"/>
      <w:r w:rsidRPr="00923CD8">
        <w:rPr>
          <w:rFonts w:ascii="Arial" w:hAnsi="Arial" w:cs="Arial"/>
          <w:sz w:val="20"/>
          <w:szCs w:val="20"/>
        </w:rPr>
        <w:t xml:space="preserve"> Designs</w:t>
      </w:r>
    </w:p>
    <w:p w14:paraId="05CEB10D" w14:textId="3C4190E9" w:rsidR="00923CD8" w:rsidRDefault="00923CD8">
      <w:pPr>
        <w:spacing w:before="0" w:after="0"/>
        <w:rPr>
          <w:rFonts w:cs="Arial"/>
          <w:b/>
          <w:sz w:val="20"/>
        </w:rPr>
      </w:pPr>
      <w:r w:rsidRPr="00923CD8">
        <w:rPr>
          <w:rFonts w:cs="Arial"/>
          <w:b/>
          <w:bCs/>
          <w:sz w:val="20"/>
        </w:rPr>
        <w:t>Printing</w:t>
      </w:r>
      <w:r w:rsidRPr="00923CD8">
        <w:rPr>
          <w:rFonts w:cs="Arial"/>
          <w:sz w:val="20"/>
        </w:rPr>
        <w:t xml:space="preserve"> </w:t>
      </w:r>
      <w:proofErr w:type="spellStart"/>
      <w:r w:rsidRPr="00923CD8">
        <w:rPr>
          <w:rFonts w:cs="Arial"/>
          <w:sz w:val="20"/>
        </w:rPr>
        <w:t>Masterprint</w:t>
      </w:r>
      <w:proofErr w:type="spellEnd"/>
      <w:r w:rsidRPr="00923CD8">
        <w:rPr>
          <w:rFonts w:cs="Arial"/>
          <w:sz w:val="20"/>
        </w:rPr>
        <w:t xml:space="preserve"> Pty Limited</w:t>
      </w:r>
    </w:p>
    <w:p w14:paraId="0F1486BA" w14:textId="77777777" w:rsidR="00923CD8" w:rsidRPr="00923CD8" w:rsidRDefault="00923CD8" w:rsidP="00923CD8"/>
    <w:p w14:paraId="035FEBBD" w14:textId="3976E9D4" w:rsidR="00923CD8" w:rsidRDefault="00923CD8">
      <w:pPr>
        <w:spacing w:before="0" w:after="0"/>
        <w:rPr>
          <w:rFonts w:cs="Arial"/>
          <w:b/>
          <w:sz w:val="36"/>
          <w:szCs w:val="36"/>
        </w:rPr>
      </w:pPr>
      <w:r>
        <w:rPr>
          <w:rFonts w:cs="Arial"/>
          <w:b/>
          <w:sz w:val="36"/>
          <w:szCs w:val="36"/>
        </w:rPr>
        <w:br w:type="page"/>
      </w:r>
    </w:p>
    <w:p w14:paraId="21F549C7" w14:textId="77777777" w:rsidR="000A1157" w:rsidRDefault="000A1157" w:rsidP="002128CB">
      <w:pPr>
        <w:spacing w:after="120"/>
        <w:rPr>
          <w:rFonts w:cs="Arial"/>
          <w:b/>
          <w:sz w:val="36"/>
          <w:szCs w:val="36"/>
        </w:rPr>
      </w:pPr>
    </w:p>
    <w:p w14:paraId="11E355EE" w14:textId="77777777" w:rsidR="000A1157" w:rsidRDefault="000A1157" w:rsidP="002128CB">
      <w:pPr>
        <w:spacing w:after="120"/>
        <w:rPr>
          <w:rFonts w:cs="Arial"/>
          <w:b/>
          <w:sz w:val="36"/>
          <w:szCs w:val="36"/>
        </w:rPr>
      </w:pPr>
    </w:p>
    <w:p w14:paraId="59643BA3" w14:textId="77777777" w:rsidR="000A1157" w:rsidRDefault="000A1157" w:rsidP="002128CB">
      <w:pPr>
        <w:spacing w:after="120"/>
        <w:rPr>
          <w:rFonts w:cs="Arial"/>
          <w:b/>
          <w:sz w:val="36"/>
          <w:szCs w:val="36"/>
        </w:rPr>
      </w:pPr>
    </w:p>
    <w:p w14:paraId="7550D48C" w14:textId="77777777" w:rsidR="000A1157" w:rsidRDefault="000A1157" w:rsidP="002128CB">
      <w:pPr>
        <w:spacing w:after="120"/>
        <w:rPr>
          <w:rFonts w:cs="Arial"/>
          <w:b/>
          <w:sz w:val="36"/>
          <w:szCs w:val="36"/>
        </w:rPr>
      </w:pPr>
    </w:p>
    <w:p w14:paraId="38F6F41F" w14:textId="77777777" w:rsidR="000A1157" w:rsidRDefault="000A1157" w:rsidP="002128CB">
      <w:pPr>
        <w:spacing w:after="120"/>
        <w:rPr>
          <w:rFonts w:cs="Arial"/>
          <w:b/>
          <w:sz w:val="36"/>
          <w:szCs w:val="36"/>
        </w:rPr>
      </w:pPr>
    </w:p>
    <w:p w14:paraId="4B685047" w14:textId="199DD82F" w:rsidR="002128CB" w:rsidRPr="00923CD8" w:rsidRDefault="00354B42" w:rsidP="002128CB">
      <w:pPr>
        <w:spacing w:after="120"/>
        <w:rPr>
          <w:rFonts w:cs="Arial"/>
          <w:b/>
          <w:color w:val="808080" w:themeColor="background1" w:themeShade="80"/>
          <w:sz w:val="36"/>
          <w:szCs w:val="36"/>
        </w:rPr>
      </w:pPr>
      <w:r w:rsidRPr="00923CD8">
        <w:rPr>
          <w:rFonts w:cs="Arial"/>
          <w:b/>
          <w:color w:val="808080" w:themeColor="background1" w:themeShade="80"/>
          <w:sz w:val="36"/>
          <w:szCs w:val="36"/>
        </w:rPr>
        <w:t>Kong</w:t>
      </w:r>
      <w:r w:rsidR="002128CB" w:rsidRPr="00923CD8">
        <w:rPr>
          <w:rFonts w:cs="Arial"/>
          <w:b/>
          <w:color w:val="808080" w:themeColor="background1" w:themeShade="80"/>
          <w:sz w:val="36"/>
          <w:szCs w:val="36"/>
        </w:rPr>
        <w:t xml:space="preserve"> v </w:t>
      </w:r>
      <w:r w:rsidRPr="00923CD8">
        <w:rPr>
          <w:rFonts w:cs="Arial"/>
          <w:b/>
          <w:color w:val="808080" w:themeColor="background1" w:themeShade="80"/>
          <w:sz w:val="36"/>
          <w:szCs w:val="36"/>
        </w:rPr>
        <w:t>Commonwealth</w:t>
      </w:r>
      <w:r w:rsidR="005D322A" w:rsidRPr="00923CD8">
        <w:rPr>
          <w:rFonts w:cs="Arial"/>
          <w:b/>
          <w:color w:val="808080" w:themeColor="background1" w:themeShade="80"/>
          <w:sz w:val="36"/>
          <w:szCs w:val="36"/>
        </w:rPr>
        <w:t xml:space="preserve"> of Australia </w:t>
      </w:r>
      <w:r w:rsidR="00923CD8">
        <w:rPr>
          <w:rFonts w:cs="Arial"/>
          <w:b/>
          <w:color w:val="808080" w:themeColor="background1" w:themeShade="80"/>
          <w:sz w:val="36"/>
          <w:szCs w:val="36"/>
        </w:rPr>
        <w:br/>
      </w:r>
      <w:r w:rsidR="005D322A" w:rsidRPr="00923CD8">
        <w:rPr>
          <w:rFonts w:cs="Arial"/>
          <w:b/>
          <w:color w:val="808080" w:themeColor="background1" w:themeShade="80"/>
          <w:sz w:val="36"/>
          <w:szCs w:val="36"/>
        </w:rPr>
        <w:t>(Department of Immigration and Border Protection)</w:t>
      </w:r>
    </w:p>
    <w:p w14:paraId="7BDC93FF" w14:textId="77777777" w:rsidR="005D322A" w:rsidRPr="00923CD8" w:rsidRDefault="005D322A" w:rsidP="002128CB">
      <w:pPr>
        <w:rPr>
          <w:rFonts w:cs="Arial"/>
          <w:color w:val="808080" w:themeColor="background1" w:themeShade="80"/>
          <w:sz w:val="36"/>
          <w:szCs w:val="36"/>
        </w:rPr>
      </w:pPr>
    </w:p>
    <w:p w14:paraId="5826A688" w14:textId="77777777" w:rsidR="002128CB" w:rsidRPr="00923CD8" w:rsidRDefault="001711CD" w:rsidP="002128CB">
      <w:pPr>
        <w:rPr>
          <w:rFonts w:cs="Arial"/>
          <w:b/>
          <w:color w:val="808080" w:themeColor="background1" w:themeShade="80"/>
          <w:sz w:val="36"/>
          <w:szCs w:val="36"/>
        </w:rPr>
      </w:pPr>
      <w:r w:rsidRPr="00923CD8">
        <w:rPr>
          <w:rFonts w:cs="Arial"/>
          <w:color w:val="808080" w:themeColor="background1" w:themeShade="80"/>
          <w:sz w:val="36"/>
          <w:szCs w:val="36"/>
        </w:rPr>
        <w:t>[2015</w:t>
      </w:r>
      <w:r w:rsidR="00354B42" w:rsidRPr="00923CD8">
        <w:rPr>
          <w:rFonts w:cs="Arial"/>
          <w:color w:val="808080" w:themeColor="background1" w:themeShade="80"/>
          <w:sz w:val="36"/>
          <w:szCs w:val="36"/>
        </w:rPr>
        <w:t xml:space="preserve">] </w:t>
      </w:r>
      <w:proofErr w:type="spellStart"/>
      <w:r w:rsidR="00354B42" w:rsidRPr="00923CD8">
        <w:rPr>
          <w:rFonts w:cs="Arial"/>
          <w:color w:val="808080" w:themeColor="background1" w:themeShade="80"/>
          <w:sz w:val="36"/>
          <w:szCs w:val="36"/>
        </w:rPr>
        <w:t>AusHRC</w:t>
      </w:r>
      <w:proofErr w:type="spellEnd"/>
      <w:r w:rsidR="00354B42" w:rsidRPr="00923CD8">
        <w:rPr>
          <w:rFonts w:cs="Arial"/>
          <w:color w:val="808080" w:themeColor="background1" w:themeShade="80"/>
          <w:sz w:val="36"/>
          <w:szCs w:val="36"/>
        </w:rPr>
        <w:t xml:space="preserve"> 98</w:t>
      </w:r>
    </w:p>
    <w:p w14:paraId="5DCF83D9" w14:textId="77777777" w:rsidR="002128CB" w:rsidRPr="00923CD8" w:rsidRDefault="002128CB" w:rsidP="002128CB">
      <w:pPr>
        <w:pStyle w:val="Quote"/>
        <w:rPr>
          <w:rFonts w:cs="Arial"/>
          <w:b/>
          <w:color w:val="808080" w:themeColor="background1" w:themeShade="80"/>
          <w:spacing w:val="-5"/>
          <w:sz w:val="36"/>
          <w:szCs w:val="36"/>
          <w:lang w:eastAsia="en-US"/>
        </w:rPr>
      </w:pPr>
    </w:p>
    <w:p w14:paraId="7D0210DE" w14:textId="77777777" w:rsidR="005D322A" w:rsidRPr="00923CD8" w:rsidRDefault="005D322A" w:rsidP="005D322A">
      <w:pPr>
        <w:pStyle w:val="Quote"/>
        <w:rPr>
          <w:i w:val="0"/>
          <w:color w:val="808080" w:themeColor="background1" w:themeShade="80"/>
          <w:sz w:val="36"/>
          <w:szCs w:val="36"/>
        </w:rPr>
      </w:pPr>
      <w:r w:rsidRPr="00923CD8">
        <w:rPr>
          <w:i w:val="0"/>
          <w:color w:val="808080" w:themeColor="background1" w:themeShade="80"/>
          <w:sz w:val="36"/>
          <w:szCs w:val="36"/>
        </w:rPr>
        <w:t>Report into arbitrary detention</w:t>
      </w:r>
    </w:p>
    <w:p w14:paraId="534E0A36" w14:textId="77777777" w:rsidR="002128CB" w:rsidRPr="00923A1F" w:rsidRDefault="002128CB" w:rsidP="002128CB">
      <w:pPr>
        <w:rPr>
          <w:rFonts w:cs="Arial"/>
          <w:szCs w:val="24"/>
        </w:rPr>
      </w:pPr>
    </w:p>
    <w:p w14:paraId="73EA934E" w14:textId="77777777" w:rsidR="002128CB" w:rsidRPr="00923A1F" w:rsidRDefault="002128CB" w:rsidP="002128CB">
      <w:pPr>
        <w:rPr>
          <w:rFonts w:cs="Arial"/>
          <w:szCs w:val="24"/>
        </w:rPr>
      </w:pPr>
    </w:p>
    <w:p w14:paraId="09220170" w14:textId="77777777" w:rsidR="002128CB" w:rsidRPr="00923A1F" w:rsidRDefault="002128CB" w:rsidP="002128CB">
      <w:pPr>
        <w:rPr>
          <w:rFonts w:cs="Arial"/>
          <w:szCs w:val="24"/>
        </w:rPr>
      </w:pPr>
    </w:p>
    <w:p w14:paraId="1278A5A2" w14:textId="77777777" w:rsidR="00923CD8" w:rsidRDefault="00923CD8" w:rsidP="00923CD8">
      <w:pPr>
        <w:pStyle w:val="InternalTitleAHRC"/>
        <w:rPr>
          <w:rFonts w:ascii="Arial" w:hAnsi="Arial" w:cs="Arial"/>
          <w:sz w:val="24"/>
          <w:szCs w:val="24"/>
        </w:rPr>
      </w:pPr>
      <w:r w:rsidRPr="00923CD8">
        <w:rPr>
          <w:rFonts w:ascii="Arial" w:hAnsi="Arial" w:cs="Arial"/>
          <w:sz w:val="24"/>
          <w:szCs w:val="24"/>
        </w:rPr>
        <w:t>Australian Human Rights Commission 2015</w:t>
      </w:r>
    </w:p>
    <w:p w14:paraId="044E19DA" w14:textId="77777777" w:rsidR="00686E12" w:rsidRDefault="00686E12" w:rsidP="00923CD8">
      <w:pPr>
        <w:pStyle w:val="InternalTitleAHRC"/>
        <w:rPr>
          <w:rFonts w:ascii="Arial" w:hAnsi="Arial" w:cs="Arial"/>
          <w:sz w:val="24"/>
          <w:szCs w:val="24"/>
        </w:rPr>
      </w:pPr>
    </w:p>
    <w:p w14:paraId="43428042" w14:textId="77777777" w:rsidR="00686E12" w:rsidRDefault="00686E12" w:rsidP="00923CD8">
      <w:pPr>
        <w:pStyle w:val="InternalTitleAHRC"/>
        <w:rPr>
          <w:rFonts w:ascii="Arial" w:hAnsi="Arial" w:cs="Arial"/>
          <w:sz w:val="24"/>
          <w:szCs w:val="24"/>
        </w:rPr>
      </w:pPr>
    </w:p>
    <w:p w14:paraId="693F496D" w14:textId="3BF0D88D" w:rsidR="00686E12" w:rsidRPr="00923CD8" w:rsidRDefault="00686E12" w:rsidP="00923CD8">
      <w:pPr>
        <w:pStyle w:val="InternalTitleAHRC"/>
        <w:rPr>
          <w:rFonts w:ascii="Arial" w:hAnsi="Arial" w:cs="Arial"/>
          <w:sz w:val="24"/>
          <w:szCs w:val="24"/>
        </w:rPr>
      </w:pPr>
      <w:r>
        <w:rPr>
          <w:noProof/>
          <w:lang w:val="en-AU"/>
        </w:rPr>
        <w:drawing>
          <wp:inline distT="0" distB="0" distL="0" distR="0" wp14:anchorId="21B08007" wp14:editId="0B2C481D">
            <wp:extent cx="1696720" cy="548640"/>
            <wp:effectExtent l="0" t="0" r="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789DE0F4" w14:textId="77777777" w:rsidR="002128CB" w:rsidRPr="00923CD8" w:rsidRDefault="002128CB" w:rsidP="002128CB">
      <w:pPr>
        <w:rPr>
          <w:rFonts w:cs="Arial"/>
          <w:szCs w:val="24"/>
        </w:rPr>
      </w:pPr>
    </w:p>
    <w:p w14:paraId="5BCBE47A" w14:textId="77777777" w:rsidR="0092228A" w:rsidRDefault="002128CB" w:rsidP="0065498F">
      <w:pPr>
        <w:rPr>
          <w:rFonts w:cs="Arial"/>
          <w:szCs w:val="24"/>
        </w:rPr>
      </w:pPr>
      <w:r w:rsidRPr="00923A1F">
        <w:rPr>
          <w:rFonts w:cs="Arial"/>
          <w:szCs w:val="24"/>
        </w:rPr>
        <w:br w:type="page"/>
      </w:r>
    </w:p>
    <w:p w14:paraId="380915A1" w14:textId="6467B3BD" w:rsidR="005F2A66" w:rsidRPr="00923CD8" w:rsidRDefault="00B279EE" w:rsidP="005F2A66">
      <w:pPr>
        <w:rPr>
          <w:rFonts w:cs="Arial"/>
          <w:b/>
          <w:sz w:val="36"/>
          <w:szCs w:val="36"/>
        </w:rPr>
      </w:pPr>
      <w:r w:rsidRPr="00923CD8">
        <w:rPr>
          <w:rFonts w:cs="Arial"/>
          <w:b/>
          <w:sz w:val="36"/>
          <w:szCs w:val="36"/>
        </w:rPr>
        <w:lastRenderedPageBreak/>
        <w:t>Contents</w:t>
      </w:r>
    </w:p>
    <w:p w14:paraId="4F8F9E40" w14:textId="77777777" w:rsidR="005F2A66" w:rsidRPr="000263C1" w:rsidRDefault="005F2A66" w:rsidP="005F2A66">
      <w:pPr>
        <w:rPr>
          <w:rFonts w:cs="Arial"/>
          <w:szCs w:val="24"/>
        </w:rPr>
      </w:pPr>
    </w:p>
    <w:p w14:paraId="53B6D225" w14:textId="77777777" w:rsidR="005F2A66" w:rsidRDefault="005F2A66" w:rsidP="005F2A66">
      <w:pPr>
        <w:pStyle w:val="TOC1"/>
        <w:rPr>
          <w:rFonts w:cs="Arial"/>
          <w:b w:val="0"/>
          <w:szCs w:val="24"/>
        </w:rPr>
      </w:pPr>
    </w:p>
    <w:p w14:paraId="3053A66C" w14:textId="77777777" w:rsidR="00B279EE" w:rsidRDefault="005F2A66">
      <w:pPr>
        <w:pStyle w:val="TOC1"/>
        <w:tabs>
          <w:tab w:val="left" w:pos="373"/>
        </w:tabs>
        <w:rPr>
          <w:rFonts w:asciiTheme="minorHAnsi" w:eastAsiaTheme="minorEastAsia" w:hAnsiTheme="minorHAnsi" w:cstheme="minorBidi"/>
          <w:b w:val="0"/>
          <w:color w:val="auto"/>
          <w:szCs w:val="24"/>
          <w:lang w:eastAsia="ja-JP"/>
        </w:rPr>
      </w:pPr>
      <w:r w:rsidRPr="000263C1">
        <w:rPr>
          <w:rFonts w:cs="Arial"/>
          <w:b w:val="0"/>
          <w:szCs w:val="24"/>
        </w:rPr>
        <w:fldChar w:fldCharType="begin"/>
      </w:r>
      <w:r w:rsidRPr="000263C1">
        <w:rPr>
          <w:rFonts w:cs="Arial"/>
          <w:b w:val="0"/>
          <w:szCs w:val="24"/>
        </w:rPr>
        <w:instrText xml:space="preserve"> TOC \o "1-3" \h \z \u </w:instrText>
      </w:r>
      <w:r w:rsidRPr="000263C1">
        <w:rPr>
          <w:rFonts w:cs="Arial"/>
          <w:b w:val="0"/>
          <w:szCs w:val="24"/>
        </w:rPr>
        <w:fldChar w:fldCharType="separate"/>
      </w:r>
      <w:r w:rsidR="00B279EE">
        <w:t>1</w:t>
      </w:r>
      <w:r w:rsidR="00B279EE">
        <w:rPr>
          <w:rFonts w:asciiTheme="minorHAnsi" w:eastAsiaTheme="minorEastAsia" w:hAnsiTheme="minorHAnsi" w:cstheme="minorBidi"/>
          <w:b w:val="0"/>
          <w:color w:val="auto"/>
          <w:szCs w:val="24"/>
          <w:lang w:eastAsia="ja-JP"/>
        </w:rPr>
        <w:tab/>
      </w:r>
      <w:r w:rsidR="00B279EE">
        <w:t>Introduction to this inquiry</w:t>
      </w:r>
      <w:r w:rsidR="00B279EE">
        <w:tab/>
      </w:r>
      <w:r w:rsidR="00B279EE">
        <w:fldChar w:fldCharType="begin"/>
      </w:r>
      <w:r w:rsidR="00B279EE">
        <w:instrText xml:space="preserve"> PAGEREF _Toc304809405 \h </w:instrText>
      </w:r>
      <w:r w:rsidR="00B279EE">
        <w:fldChar w:fldCharType="separate"/>
      </w:r>
      <w:r w:rsidR="00C50818">
        <w:t>2</w:t>
      </w:r>
      <w:r w:rsidR="00B279EE">
        <w:fldChar w:fldCharType="end"/>
      </w:r>
    </w:p>
    <w:p w14:paraId="14245C06" w14:textId="77777777" w:rsidR="00B279EE" w:rsidRDefault="00B279EE">
      <w:pPr>
        <w:pStyle w:val="TOC1"/>
        <w:tabs>
          <w:tab w:val="left" w:pos="373"/>
        </w:tabs>
        <w:rPr>
          <w:rFonts w:asciiTheme="minorHAnsi" w:eastAsiaTheme="minorEastAsia" w:hAnsiTheme="minorHAnsi" w:cstheme="minorBidi"/>
          <w:b w:val="0"/>
          <w:color w:val="auto"/>
          <w:szCs w:val="24"/>
          <w:lang w:eastAsia="ja-JP"/>
        </w:rPr>
      </w:pPr>
      <w:r>
        <w:t>2</w:t>
      </w:r>
      <w:r>
        <w:rPr>
          <w:rFonts w:asciiTheme="minorHAnsi" w:eastAsiaTheme="minorEastAsia" w:hAnsiTheme="minorHAnsi" w:cstheme="minorBidi"/>
          <w:b w:val="0"/>
          <w:color w:val="auto"/>
          <w:szCs w:val="24"/>
          <w:lang w:eastAsia="ja-JP"/>
        </w:rPr>
        <w:tab/>
      </w:r>
      <w:r>
        <w:t>Background</w:t>
      </w:r>
      <w:r>
        <w:tab/>
      </w:r>
      <w:r>
        <w:fldChar w:fldCharType="begin"/>
      </w:r>
      <w:r>
        <w:instrText xml:space="preserve"> PAGEREF _Toc304809406 \h </w:instrText>
      </w:r>
      <w:r>
        <w:fldChar w:fldCharType="separate"/>
      </w:r>
      <w:r w:rsidR="00C50818">
        <w:t>2</w:t>
      </w:r>
      <w:r>
        <w:fldChar w:fldCharType="end"/>
      </w:r>
    </w:p>
    <w:p w14:paraId="51EAFD0A" w14:textId="77777777" w:rsidR="00B279EE" w:rsidRDefault="00B279EE">
      <w:pPr>
        <w:pStyle w:val="TOC1"/>
        <w:tabs>
          <w:tab w:val="left" w:pos="373"/>
        </w:tabs>
        <w:rPr>
          <w:rFonts w:asciiTheme="minorHAnsi" w:eastAsiaTheme="minorEastAsia" w:hAnsiTheme="minorHAnsi" w:cstheme="minorBidi"/>
          <w:b w:val="0"/>
          <w:color w:val="auto"/>
          <w:szCs w:val="24"/>
          <w:lang w:eastAsia="ja-JP"/>
        </w:rPr>
      </w:pPr>
      <w:r>
        <w:t>3</w:t>
      </w:r>
      <w:r>
        <w:rPr>
          <w:rFonts w:asciiTheme="minorHAnsi" w:eastAsiaTheme="minorEastAsia" w:hAnsiTheme="minorHAnsi" w:cstheme="minorBidi"/>
          <w:b w:val="0"/>
          <w:color w:val="auto"/>
          <w:szCs w:val="24"/>
          <w:lang w:eastAsia="ja-JP"/>
        </w:rPr>
        <w:tab/>
      </w:r>
      <w:r>
        <w:t>Legislative framework</w:t>
      </w:r>
      <w:r>
        <w:tab/>
      </w:r>
      <w:r>
        <w:fldChar w:fldCharType="begin"/>
      </w:r>
      <w:r>
        <w:instrText xml:space="preserve"> PAGEREF _Toc304809407 \h </w:instrText>
      </w:r>
      <w:r>
        <w:fldChar w:fldCharType="separate"/>
      </w:r>
      <w:r w:rsidR="00C50818">
        <w:t>3</w:t>
      </w:r>
      <w:r>
        <w:fldChar w:fldCharType="end"/>
      </w:r>
    </w:p>
    <w:p w14:paraId="3EFA3E93" w14:textId="77777777" w:rsidR="00B279EE" w:rsidRDefault="00B279EE">
      <w:pPr>
        <w:pStyle w:val="TOC2"/>
        <w:tabs>
          <w:tab w:val="left" w:pos="812"/>
        </w:tabs>
        <w:rPr>
          <w:rFonts w:asciiTheme="minorHAnsi" w:eastAsiaTheme="minorEastAsia" w:hAnsiTheme="minorHAnsi" w:cstheme="minorBidi"/>
          <w:b w:val="0"/>
          <w:i w:val="0"/>
          <w:color w:val="auto"/>
          <w:szCs w:val="24"/>
          <w:lang w:eastAsia="ja-JP"/>
        </w:rPr>
      </w:pPr>
      <w:r>
        <w:t>3.1</w:t>
      </w:r>
      <w:r>
        <w:rPr>
          <w:rFonts w:asciiTheme="minorHAnsi" w:eastAsiaTheme="minorEastAsia" w:hAnsiTheme="minorHAnsi" w:cstheme="minorBidi"/>
          <w:b w:val="0"/>
          <w:i w:val="0"/>
          <w:color w:val="auto"/>
          <w:szCs w:val="24"/>
          <w:lang w:eastAsia="ja-JP"/>
        </w:rPr>
        <w:tab/>
      </w:r>
      <w:r>
        <w:t>Functions of the Commission</w:t>
      </w:r>
      <w:r>
        <w:tab/>
      </w:r>
      <w:r>
        <w:fldChar w:fldCharType="begin"/>
      </w:r>
      <w:r>
        <w:instrText xml:space="preserve"> PAGEREF _Toc304809408 \h </w:instrText>
      </w:r>
      <w:r>
        <w:fldChar w:fldCharType="separate"/>
      </w:r>
      <w:r w:rsidR="00C50818">
        <w:t>3</w:t>
      </w:r>
      <w:r>
        <w:fldChar w:fldCharType="end"/>
      </w:r>
    </w:p>
    <w:p w14:paraId="213F745B" w14:textId="77777777" w:rsidR="00B279EE" w:rsidRDefault="00B279EE">
      <w:pPr>
        <w:pStyle w:val="TOC2"/>
        <w:tabs>
          <w:tab w:val="left" w:pos="812"/>
        </w:tabs>
        <w:rPr>
          <w:rFonts w:asciiTheme="minorHAnsi" w:eastAsiaTheme="minorEastAsia" w:hAnsiTheme="minorHAnsi" w:cstheme="minorBidi"/>
          <w:b w:val="0"/>
          <w:i w:val="0"/>
          <w:color w:val="auto"/>
          <w:szCs w:val="24"/>
          <w:lang w:eastAsia="ja-JP"/>
        </w:rPr>
      </w:pPr>
      <w:r>
        <w:t>3.2</w:t>
      </w:r>
      <w:r>
        <w:rPr>
          <w:rFonts w:asciiTheme="minorHAnsi" w:eastAsiaTheme="minorEastAsia" w:hAnsiTheme="minorHAnsi" w:cstheme="minorBidi"/>
          <w:b w:val="0"/>
          <w:i w:val="0"/>
          <w:color w:val="auto"/>
          <w:szCs w:val="24"/>
          <w:lang w:eastAsia="ja-JP"/>
        </w:rPr>
        <w:tab/>
      </w:r>
      <w:r>
        <w:t>What is an ‘act’ or ‘practice’?</w:t>
      </w:r>
      <w:r>
        <w:tab/>
      </w:r>
      <w:r>
        <w:fldChar w:fldCharType="begin"/>
      </w:r>
      <w:r>
        <w:instrText xml:space="preserve"> PAGEREF _Toc304809409 \h </w:instrText>
      </w:r>
      <w:r>
        <w:fldChar w:fldCharType="separate"/>
      </w:r>
      <w:r w:rsidR="00C50818">
        <w:t>4</w:t>
      </w:r>
      <w:r>
        <w:fldChar w:fldCharType="end"/>
      </w:r>
    </w:p>
    <w:p w14:paraId="1A5F9091" w14:textId="77777777" w:rsidR="00B279EE" w:rsidRDefault="00B279EE">
      <w:pPr>
        <w:pStyle w:val="TOC2"/>
        <w:tabs>
          <w:tab w:val="left" w:pos="812"/>
        </w:tabs>
        <w:rPr>
          <w:rFonts w:asciiTheme="minorHAnsi" w:eastAsiaTheme="minorEastAsia" w:hAnsiTheme="minorHAnsi" w:cstheme="minorBidi"/>
          <w:b w:val="0"/>
          <w:i w:val="0"/>
          <w:color w:val="auto"/>
          <w:szCs w:val="24"/>
          <w:lang w:eastAsia="ja-JP"/>
        </w:rPr>
      </w:pPr>
      <w:r>
        <w:t>3.3</w:t>
      </w:r>
      <w:r>
        <w:rPr>
          <w:rFonts w:asciiTheme="minorHAnsi" w:eastAsiaTheme="minorEastAsia" w:hAnsiTheme="minorHAnsi" w:cstheme="minorBidi"/>
          <w:b w:val="0"/>
          <w:i w:val="0"/>
          <w:color w:val="auto"/>
          <w:szCs w:val="24"/>
          <w:lang w:eastAsia="ja-JP"/>
        </w:rPr>
        <w:tab/>
      </w:r>
      <w:r>
        <w:t>What is a human right?</w:t>
      </w:r>
      <w:r>
        <w:tab/>
      </w:r>
      <w:r>
        <w:fldChar w:fldCharType="begin"/>
      </w:r>
      <w:r>
        <w:instrText xml:space="preserve"> PAGEREF _Toc304809410 \h </w:instrText>
      </w:r>
      <w:r>
        <w:fldChar w:fldCharType="separate"/>
      </w:r>
      <w:r w:rsidR="00C50818">
        <w:t>4</w:t>
      </w:r>
      <w:r>
        <w:fldChar w:fldCharType="end"/>
      </w:r>
    </w:p>
    <w:p w14:paraId="5F39C56B" w14:textId="77777777" w:rsidR="00B279EE" w:rsidRDefault="00B279EE">
      <w:pPr>
        <w:pStyle w:val="TOC1"/>
        <w:tabs>
          <w:tab w:val="left" w:pos="373"/>
        </w:tabs>
        <w:rPr>
          <w:rFonts w:asciiTheme="minorHAnsi" w:eastAsiaTheme="minorEastAsia" w:hAnsiTheme="minorHAnsi" w:cstheme="minorBidi"/>
          <w:b w:val="0"/>
          <w:color w:val="auto"/>
          <w:szCs w:val="24"/>
          <w:lang w:eastAsia="ja-JP"/>
        </w:rPr>
      </w:pPr>
      <w:r>
        <w:t>4</w:t>
      </w:r>
      <w:r>
        <w:rPr>
          <w:rFonts w:asciiTheme="minorHAnsi" w:eastAsiaTheme="minorEastAsia" w:hAnsiTheme="minorHAnsi" w:cstheme="minorBidi"/>
          <w:b w:val="0"/>
          <w:color w:val="auto"/>
          <w:szCs w:val="24"/>
          <w:lang w:eastAsia="ja-JP"/>
        </w:rPr>
        <w:tab/>
      </w:r>
      <w:r>
        <w:t>Act or practice of the Commonwealth?</w:t>
      </w:r>
      <w:r>
        <w:tab/>
      </w:r>
      <w:r>
        <w:fldChar w:fldCharType="begin"/>
      </w:r>
      <w:r>
        <w:instrText xml:space="preserve"> PAGEREF _Toc304809411 \h </w:instrText>
      </w:r>
      <w:r>
        <w:fldChar w:fldCharType="separate"/>
      </w:r>
      <w:r w:rsidR="00C50818">
        <w:t>4</w:t>
      </w:r>
      <w:r>
        <w:fldChar w:fldCharType="end"/>
      </w:r>
    </w:p>
    <w:p w14:paraId="4657834C" w14:textId="77777777" w:rsidR="00B279EE" w:rsidRDefault="00B279EE">
      <w:pPr>
        <w:pStyle w:val="TOC1"/>
        <w:tabs>
          <w:tab w:val="left" w:pos="373"/>
        </w:tabs>
        <w:rPr>
          <w:rFonts w:asciiTheme="minorHAnsi" w:eastAsiaTheme="minorEastAsia" w:hAnsiTheme="minorHAnsi" w:cstheme="minorBidi"/>
          <w:b w:val="0"/>
          <w:color w:val="auto"/>
          <w:szCs w:val="24"/>
          <w:lang w:eastAsia="ja-JP"/>
        </w:rPr>
      </w:pPr>
      <w:r>
        <w:t>5</w:t>
      </w:r>
      <w:r>
        <w:rPr>
          <w:rFonts w:asciiTheme="minorHAnsi" w:eastAsiaTheme="minorEastAsia" w:hAnsiTheme="minorHAnsi" w:cstheme="minorBidi"/>
          <w:b w:val="0"/>
          <w:color w:val="auto"/>
          <w:szCs w:val="24"/>
          <w:lang w:eastAsia="ja-JP"/>
        </w:rPr>
        <w:tab/>
      </w:r>
      <w:r>
        <w:t>Arbitrary detention</w:t>
      </w:r>
      <w:r>
        <w:tab/>
      </w:r>
      <w:r>
        <w:fldChar w:fldCharType="begin"/>
      </w:r>
      <w:r>
        <w:instrText xml:space="preserve"> PAGEREF _Toc304809412 \h </w:instrText>
      </w:r>
      <w:r>
        <w:fldChar w:fldCharType="separate"/>
      </w:r>
      <w:r w:rsidR="00C50818">
        <w:t>5</w:t>
      </w:r>
      <w:r>
        <w:fldChar w:fldCharType="end"/>
      </w:r>
    </w:p>
    <w:p w14:paraId="2654C3E4" w14:textId="77777777" w:rsidR="00B279EE" w:rsidRDefault="00B279EE">
      <w:pPr>
        <w:pStyle w:val="TOC2"/>
        <w:tabs>
          <w:tab w:val="left" w:pos="812"/>
        </w:tabs>
        <w:rPr>
          <w:rFonts w:asciiTheme="minorHAnsi" w:eastAsiaTheme="minorEastAsia" w:hAnsiTheme="minorHAnsi" w:cstheme="minorBidi"/>
          <w:b w:val="0"/>
          <w:i w:val="0"/>
          <w:color w:val="auto"/>
          <w:szCs w:val="24"/>
          <w:lang w:eastAsia="ja-JP"/>
        </w:rPr>
      </w:pPr>
      <w:r>
        <w:t>5.1</w:t>
      </w:r>
      <w:r>
        <w:rPr>
          <w:rFonts w:asciiTheme="minorHAnsi" w:eastAsiaTheme="minorEastAsia" w:hAnsiTheme="minorHAnsi" w:cstheme="minorBidi"/>
          <w:b w:val="0"/>
          <w:i w:val="0"/>
          <w:color w:val="auto"/>
          <w:szCs w:val="24"/>
          <w:lang w:eastAsia="ja-JP"/>
        </w:rPr>
        <w:tab/>
      </w:r>
      <w:r>
        <w:t>Law</w:t>
      </w:r>
      <w:r>
        <w:tab/>
      </w:r>
      <w:r>
        <w:fldChar w:fldCharType="begin"/>
      </w:r>
      <w:r>
        <w:instrText xml:space="preserve"> PAGEREF _Toc304809413 \h </w:instrText>
      </w:r>
      <w:r>
        <w:fldChar w:fldCharType="separate"/>
      </w:r>
      <w:r w:rsidR="00C50818">
        <w:t>5</w:t>
      </w:r>
      <w:r>
        <w:fldChar w:fldCharType="end"/>
      </w:r>
    </w:p>
    <w:p w14:paraId="1CEBCE08" w14:textId="77777777" w:rsidR="00B279EE" w:rsidRDefault="00B279EE">
      <w:pPr>
        <w:pStyle w:val="TOC2"/>
        <w:tabs>
          <w:tab w:val="left" w:pos="812"/>
        </w:tabs>
        <w:rPr>
          <w:rFonts w:asciiTheme="minorHAnsi" w:eastAsiaTheme="minorEastAsia" w:hAnsiTheme="minorHAnsi" w:cstheme="minorBidi"/>
          <w:b w:val="0"/>
          <w:i w:val="0"/>
          <w:color w:val="auto"/>
          <w:szCs w:val="24"/>
          <w:lang w:eastAsia="ja-JP"/>
        </w:rPr>
      </w:pPr>
      <w:r>
        <w:t>5.2</w:t>
      </w:r>
      <w:r>
        <w:rPr>
          <w:rFonts w:asciiTheme="minorHAnsi" w:eastAsiaTheme="minorEastAsia" w:hAnsiTheme="minorHAnsi" w:cstheme="minorBidi"/>
          <w:b w:val="0"/>
          <w:i w:val="0"/>
          <w:color w:val="auto"/>
          <w:szCs w:val="24"/>
          <w:lang w:eastAsia="ja-JP"/>
        </w:rPr>
        <w:tab/>
      </w:r>
      <w:r>
        <w:t>The Department’s response</w:t>
      </w:r>
      <w:r>
        <w:tab/>
      </w:r>
      <w:r>
        <w:fldChar w:fldCharType="begin"/>
      </w:r>
      <w:r>
        <w:instrText xml:space="preserve"> PAGEREF _Toc304809414 \h </w:instrText>
      </w:r>
      <w:r>
        <w:fldChar w:fldCharType="separate"/>
      </w:r>
      <w:r w:rsidR="00C50818">
        <w:t>6</w:t>
      </w:r>
      <w:r>
        <w:fldChar w:fldCharType="end"/>
      </w:r>
    </w:p>
    <w:p w14:paraId="1D4BD855" w14:textId="77777777" w:rsidR="00B279EE" w:rsidRDefault="00B279EE">
      <w:pPr>
        <w:pStyle w:val="TOC2"/>
        <w:tabs>
          <w:tab w:val="left" w:pos="812"/>
        </w:tabs>
        <w:rPr>
          <w:rFonts w:asciiTheme="minorHAnsi" w:eastAsiaTheme="minorEastAsia" w:hAnsiTheme="minorHAnsi" w:cstheme="minorBidi"/>
          <w:b w:val="0"/>
          <w:i w:val="0"/>
          <w:color w:val="auto"/>
          <w:szCs w:val="24"/>
          <w:lang w:eastAsia="ja-JP"/>
        </w:rPr>
      </w:pPr>
      <w:r>
        <w:t>5.3</w:t>
      </w:r>
      <w:r>
        <w:rPr>
          <w:rFonts w:asciiTheme="minorHAnsi" w:eastAsiaTheme="minorEastAsia" w:hAnsiTheme="minorHAnsi" w:cstheme="minorBidi"/>
          <w:b w:val="0"/>
          <w:i w:val="0"/>
          <w:color w:val="auto"/>
          <w:szCs w:val="24"/>
          <w:lang w:eastAsia="ja-JP"/>
        </w:rPr>
        <w:tab/>
      </w:r>
      <w:r>
        <w:t>Finding</w:t>
      </w:r>
      <w:r>
        <w:tab/>
      </w:r>
      <w:r>
        <w:fldChar w:fldCharType="begin"/>
      </w:r>
      <w:r>
        <w:instrText xml:space="preserve"> PAGEREF _Toc304809415 \h </w:instrText>
      </w:r>
      <w:r>
        <w:fldChar w:fldCharType="separate"/>
      </w:r>
      <w:r w:rsidR="00C50818">
        <w:t>6</w:t>
      </w:r>
      <w:r>
        <w:fldChar w:fldCharType="end"/>
      </w:r>
    </w:p>
    <w:p w14:paraId="01B6FD0A" w14:textId="77777777" w:rsidR="00B279EE" w:rsidRDefault="00B279EE">
      <w:pPr>
        <w:pStyle w:val="TOC1"/>
        <w:tabs>
          <w:tab w:val="left" w:pos="373"/>
        </w:tabs>
        <w:rPr>
          <w:rFonts w:asciiTheme="minorHAnsi" w:eastAsiaTheme="minorEastAsia" w:hAnsiTheme="minorHAnsi" w:cstheme="minorBidi"/>
          <w:b w:val="0"/>
          <w:color w:val="auto"/>
          <w:szCs w:val="24"/>
          <w:lang w:eastAsia="ja-JP"/>
        </w:rPr>
      </w:pPr>
      <w:r>
        <w:t>6</w:t>
      </w:r>
      <w:r>
        <w:rPr>
          <w:rFonts w:asciiTheme="minorHAnsi" w:eastAsiaTheme="minorEastAsia" w:hAnsiTheme="minorHAnsi" w:cstheme="minorBidi"/>
          <w:b w:val="0"/>
          <w:color w:val="auto"/>
          <w:szCs w:val="24"/>
          <w:lang w:eastAsia="ja-JP"/>
        </w:rPr>
        <w:tab/>
      </w:r>
      <w:r>
        <w:t>Detention in the Blaxland compound</w:t>
      </w:r>
      <w:r>
        <w:tab/>
      </w:r>
      <w:r>
        <w:fldChar w:fldCharType="begin"/>
      </w:r>
      <w:r>
        <w:instrText xml:space="preserve"> PAGEREF _Toc304809416 \h </w:instrText>
      </w:r>
      <w:r>
        <w:fldChar w:fldCharType="separate"/>
      </w:r>
      <w:r w:rsidR="00C50818">
        <w:t>7</w:t>
      </w:r>
      <w:r>
        <w:fldChar w:fldCharType="end"/>
      </w:r>
    </w:p>
    <w:p w14:paraId="64161909" w14:textId="77777777" w:rsidR="00B279EE" w:rsidRDefault="00B279EE">
      <w:pPr>
        <w:pStyle w:val="TOC1"/>
        <w:tabs>
          <w:tab w:val="left" w:pos="373"/>
        </w:tabs>
        <w:rPr>
          <w:rFonts w:asciiTheme="minorHAnsi" w:eastAsiaTheme="minorEastAsia" w:hAnsiTheme="minorHAnsi" w:cstheme="minorBidi"/>
          <w:b w:val="0"/>
          <w:color w:val="auto"/>
          <w:szCs w:val="24"/>
          <w:lang w:eastAsia="ja-JP"/>
        </w:rPr>
      </w:pPr>
      <w:r>
        <w:t>7</w:t>
      </w:r>
      <w:r>
        <w:rPr>
          <w:rFonts w:asciiTheme="minorHAnsi" w:eastAsiaTheme="minorEastAsia" w:hAnsiTheme="minorHAnsi" w:cstheme="minorBidi"/>
          <w:b w:val="0"/>
          <w:color w:val="auto"/>
          <w:szCs w:val="24"/>
          <w:lang w:eastAsia="ja-JP"/>
        </w:rPr>
        <w:tab/>
      </w:r>
      <w:r>
        <w:t>Recommendations</w:t>
      </w:r>
      <w:r>
        <w:tab/>
      </w:r>
      <w:r>
        <w:fldChar w:fldCharType="begin"/>
      </w:r>
      <w:r>
        <w:instrText xml:space="preserve"> PAGEREF _Toc304809417 \h </w:instrText>
      </w:r>
      <w:r>
        <w:fldChar w:fldCharType="separate"/>
      </w:r>
      <w:r w:rsidR="00C50818">
        <w:t>7</w:t>
      </w:r>
      <w:r>
        <w:fldChar w:fldCharType="end"/>
      </w:r>
    </w:p>
    <w:p w14:paraId="3ECB5526" w14:textId="77777777" w:rsidR="00B279EE" w:rsidRDefault="00B279EE">
      <w:pPr>
        <w:pStyle w:val="TOC2"/>
        <w:tabs>
          <w:tab w:val="left" w:pos="812"/>
        </w:tabs>
        <w:rPr>
          <w:rFonts w:asciiTheme="minorHAnsi" w:eastAsiaTheme="minorEastAsia" w:hAnsiTheme="minorHAnsi" w:cstheme="minorBidi"/>
          <w:b w:val="0"/>
          <w:i w:val="0"/>
          <w:color w:val="auto"/>
          <w:szCs w:val="24"/>
          <w:lang w:eastAsia="ja-JP"/>
        </w:rPr>
      </w:pPr>
      <w:r>
        <w:t>7.1</w:t>
      </w:r>
      <w:r>
        <w:rPr>
          <w:rFonts w:asciiTheme="minorHAnsi" w:eastAsiaTheme="minorEastAsia" w:hAnsiTheme="minorHAnsi" w:cstheme="minorBidi"/>
          <w:b w:val="0"/>
          <w:i w:val="0"/>
          <w:color w:val="auto"/>
          <w:szCs w:val="24"/>
          <w:lang w:eastAsia="ja-JP"/>
        </w:rPr>
        <w:tab/>
      </w:r>
      <w:r>
        <w:t>Compensation</w:t>
      </w:r>
      <w:r>
        <w:tab/>
      </w:r>
      <w:r>
        <w:fldChar w:fldCharType="begin"/>
      </w:r>
      <w:r>
        <w:instrText xml:space="preserve"> PAGEREF _Toc304809418 \h </w:instrText>
      </w:r>
      <w:r>
        <w:fldChar w:fldCharType="separate"/>
      </w:r>
      <w:r w:rsidR="00C50818">
        <w:t>8</w:t>
      </w:r>
      <w:r>
        <w:fldChar w:fldCharType="end"/>
      </w:r>
    </w:p>
    <w:p w14:paraId="198E6C59" w14:textId="77777777" w:rsidR="00B279EE" w:rsidRDefault="00B279EE">
      <w:pPr>
        <w:pStyle w:val="TOC3"/>
        <w:tabs>
          <w:tab w:val="left" w:pos="1015"/>
        </w:tabs>
        <w:rPr>
          <w:rFonts w:asciiTheme="minorHAnsi" w:eastAsiaTheme="minorEastAsia" w:hAnsiTheme="minorHAnsi" w:cstheme="minorBidi"/>
          <w:i w:val="0"/>
          <w:color w:val="auto"/>
          <w:szCs w:val="24"/>
          <w:lang w:eastAsia="ja-JP"/>
        </w:rPr>
      </w:pPr>
      <w:r w:rsidRPr="00AF7624">
        <w:rPr>
          <w:i w:val="0"/>
        </w:rPr>
        <w:t>(a)</w:t>
      </w:r>
      <w:r>
        <w:rPr>
          <w:rFonts w:asciiTheme="minorHAnsi" w:eastAsiaTheme="minorEastAsia" w:hAnsiTheme="minorHAnsi" w:cstheme="minorBidi"/>
          <w:i w:val="0"/>
          <w:color w:val="auto"/>
          <w:szCs w:val="24"/>
          <w:lang w:eastAsia="ja-JP"/>
        </w:rPr>
        <w:tab/>
      </w:r>
      <w:r>
        <w:t>Principles relating to compensation</w:t>
      </w:r>
      <w:r>
        <w:tab/>
      </w:r>
      <w:r>
        <w:fldChar w:fldCharType="begin"/>
      </w:r>
      <w:r>
        <w:instrText xml:space="preserve"> PAGEREF _Toc304809419 \h </w:instrText>
      </w:r>
      <w:r>
        <w:fldChar w:fldCharType="separate"/>
      </w:r>
      <w:r w:rsidR="00C50818">
        <w:t>8</w:t>
      </w:r>
      <w:r>
        <w:fldChar w:fldCharType="end"/>
      </w:r>
    </w:p>
    <w:p w14:paraId="07DF4822" w14:textId="77777777" w:rsidR="00B279EE" w:rsidRDefault="00B279EE">
      <w:pPr>
        <w:pStyle w:val="TOC3"/>
        <w:tabs>
          <w:tab w:val="left" w:pos="1015"/>
        </w:tabs>
        <w:rPr>
          <w:rFonts w:asciiTheme="minorHAnsi" w:eastAsiaTheme="minorEastAsia" w:hAnsiTheme="minorHAnsi" w:cstheme="minorBidi"/>
          <w:i w:val="0"/>
          <w:color w:val="auto"/>
          <w:szCs w:val="24"/>
          <w:lang w:eastAsia="ja-JP"/>
        </w:rPr>
      </w:pPr>
      <w:r w:rsidRPr="00AF7624">
        <w:rPr>
          <w:i w:val="0"/>
        </w:rPr>
        <w:t>(b)</w:t>
      </w:r>
      <w:r>
        <w:rPr>
          <w:rFonts w:asciiTheme="minorHAnsi" w:eastAsiaTheme="minorEastAsia" w:hAnsiTheme="minorHAnsi" w:cstheme="minorBidi"/>
          <w:i w:val="0"/>
          <w:color w:val="auto"/>
          <w:szCs w:val="24"/>
          <w:lang w:eastAsia="ja-JP"/>
        </w:rPr>
        <w:tab/>
      </w:r>
      <w:r>
        <w:t>Recommendation that compensation be paid</w:t>
      </w:r>
      <w:r>
        <w:tab/>
      </w:r>
      <w:r>
        <w:fldChar w:fldCharType="begin"/>
      </w:r>
      <w:r>
        <w:instrText xml:space="preserve"> PAGEREF _Toc304809420 \h </w:instrText>
      </w:r>
      <w:r>
        <w:fldChar w:fldCharType="separate"/>
      </w:r>
      <w:r w:rsidR="00C50818">
        <w:t>10</w:t>
      </w:r>
      <w:r>
        <w:fldChar w:fldCharType="end"/>
      </w:r>
    </w:p>
    <w:p w14:paraId="1BDF03DD" w14:textId="77777777" w:rsidR="00B279EE" w:rsidRDefault="00B279EE">
      <w:pPr>
        <w:pStyle w:val="TOC2"/>
        <w:tabs>
          <w:tab w:val="left" w:pos="812"/>
        </w:tabs>
        <w:rPr>
          <w:rFonts w:asciiTheme="minorHAnsi" w:eastAsiaTheme="minorEastAsia" w:hAnsiTheme="minorHAnsi" w:cstheme="minorBidi"/>
          <w:b w:val="0"/>
          <w:i w:val="0"/>
          <w:color w:val="auto"/>
          <w:szCs w:val="24"/>
          <w:lang w:eastAsia="ja-JP"/>
        </w:rPr>
      </w:pPr>
      <w:r>
        <w:t>7.1</w:t>
      </w:r>
      <w:r>
        <w:rPr>
          <w:rFonts w:asciiTheme="minorHAnsi" w:eastAsiaTheme="minorEastAsia" w:hAnsiTheme="minorHAnsi" w:cstheme="minorBidi"/>
          <w:b w:val="0"/>
          <w:i w:val="0"/>
          <w:color w:val="auto"/>
          <w:szCs w:val="24"/>
          <w:lang w:eastAsia="ja-JP"/>
        </w:rPr>
        <w:tab/>
      </w:r>
      <w:r>
        <w:t>Apology</w:t>
      </w:r>
      <w:r>
        <w:tab/>
      </w:r>
      <w:r>
        <w:fldChar w:fldCharType="begin"/>
      </w:r>
      <w:r>
        <w:instrText xml:space="preserve"> PAGEREF _Toc304809421 \h </w:instrText>
      </w:r>
      <w:r>
        <w:fldChar w:fldCharType="separate"/>
      </w:r>
      <w:r w:rsidR="00C50818">
        <w:t>10</w:t>
      </w:r>
      <w:r>
        <w:fldChar w:fldCharType="end"/>
      </w:r>
    </w:p>
    <w:p w14:paraId="55A40203" w14:textId="77777777" w:rsidR="00B279EE" w:rsidRDefault="00B279EE">
      <w:pPr>
        <w:pStyle w:val="TOC1"/>
        <w:tabs>
          <w:tab w:val="left" w:pos="373"/>
        </w:tabs>
        <w:rPr>
          <w:rFonts w:asciiTheme="minorHAnsi" w:eastAsiaTheme="minorEastAsia" w:hAnsiTheme="minorHAnsi" w:cstheme="minorBidi"/>
          <w:b w:val="0"/>
          <w:color w:val="auto"/>
          <w:szCs w:val="24"/>
          <w:lang w:eastAsia="ja-JP"/>
        </w:rPr>
      </w:pPr>
      <w:r>
        <w:t>8</w:t>
      </w:r>
      <w:r>
        <w:rPr>
          <w:rFonts w:asciiTheme="minorHAnsi" w:eastAsiaTheme="minorEastAsia" w:hAnsiTheme="minorHAnsi" w:cstheme="minorBidi"/>
          <w:b w:val="0"/>
          <w:color w:val="auto"/>
          <w:szCs w:val="24"/>
          <w:lang w:eastAsia="ja-JP"/>
        </w:rPr>
        <w:tab/>
      </w:r>
      <w:r>
        <w:t>Department’s response</w:t>
      </w:r>
      <w:r>
        <w:tab/>
      </w:r>
      <w:r>
        <w:fldChar w:fldCharType="begin"/>
      </w:r>
      <w:r>
        <w:instrText xml:space="preserve"> PAGEREF _Toc304809422 \h </w:instrText>
      </w:r>
      <w:r>
        <w:fldChar w:fldCharType="separate"/>
      </w:r>
      <w:r w:rsidR="00C50818">
        <w:t>10</w:t>
      </w:r>
      <w:r>
        <w:fldChar w:fldCharType="end"/>
      </w:r>
    </w:p>
    <w:p w14:paraId="10EB7088" w14:textId="77777777" w:rsidR="005F2A66" w:rsidRPr="00AB4AED" w:rsidRDefault="005F2A66" w:rsidP="005F2A66">
      <w:pPr>
        <w:spacing w:line="480" w:lineRule="auto"/>
        <w:rPr>
          <w:rFonts w:cs="Arial"/>
          <w:szCs w:val="24"/>
        </w:rPr>
      </w:pPr>
      <w:r w:rsidRPr="000263C1">
        <w:rPr>
          <w:rFonts w:cs="Arial"/>
          <w:b/>
          <w:szCs w:val="24"/>
        </w:rPr>
        <w:fldChar w:fldCharType="end"/>
      </w:r>
      <w:r w:rsidRPr="00AB4AED">
        <w:rPr>
          <w:rFonts w:cs="Arial"/>
          <w:szCs w:val="24"/>
        </w:rPr>
        <w:br w:type="page"/>
      </w:r>
    </w:p>
    <w:p w14:paraId="3348C422" w14:textId="77777777" w:rsidR="005F2A66" w:rsidRPr="00311252" w:rsidRDefault="005F2A66" w:rsidP="0065498F">
      <w:pPr>
        <w:rPr>
          <w:rFonts w:cs="Arial"/>
          <w:szCs w:val="24"/>
        </w:rPr>
        <w:sectPr w:rsidR="005F2A66" w:rsidRPr="00311252" w:rsidSect="00B75196">
          <w:footerReference w:type="even" r:id="rId13"/>
          <w:footerReference w:type="default" r:id="rId14"/>
          <w:footerReference w:type="first" r:id="rId15"/>
          <w:endnotePr>
            <w:numFmt w:val="decimal"/>
          </w:endnotePr>
          <w:pgSz w:w="11906" w:h="16838" w:code="9"/>
          <w:pgMar w:top="1134" w:right="1418" w:bottom="1134" w:left="1418" w:header="709" w:footer="709" w:gutter="0"/>
          <w:cols w:space="708"/>
          <w:docGrid w:linePitch="360"/>
        </w:sectPr>
      </w:pPr>
    </w:p>
    <w:p w14:paraId="09992512" w14:textId="77777777" w:rsidR="00A06AAB" w:rsidRDefault="00A06AAB" w:rsidP="00596800">
      <w:pPr>
        <w:keepNext/>
        <w:spacing w:before="360"/>
        <w:rPr>
          <w:szCs w:val="24"/>
          <w:lang w:eastAsia="en-AU"/>
        </w:rPr>
      </w:pPr>
    </w:p>
    <w:p w14:paraId="532FD969" w14:textId="4D7220FF" w:rsidR="00596800" w:rsidRPr="00923A1F" w:rsidRDefault="00637053" w:rsidP="00596800">
      <w:pPr>
        <w:keepNext/>
        <w:spacing w:before="360"/>
        <w:rPr>
          <w:szCs w:val="24"/>
          <w:lang w:eastAsia="en-AU"/>
        </w:rPr>
      </w:pPr>
      <w:bookmarkStart w:id="0" w:name="_GoBack"/>
      <w:r>
        <w:rPr>
          <w:szCs w:val="24"/>
          <w:lang w:eastAsia="en-AU"/>
        </w:rPr>
        <w:t>October</w:t>
      </w:r>
      <w:r w:rsidRPr="00923A1F">
        <w:rPr>
          <w:szCs w:val="24"/>
          <w:lang w:eastAsia="en-AU"/>
        </w:rPr>
        <w:t xml:space="preserve"> </w:t>
      </w:r>
      <w:bookmarkEnd w:id="0"/>
      <w:r w:rsidR="00596800" w:rsidRPr="00923A1F">
        <w:rPr>
          <w:szCs w:val="24"/>
          <w:lang w:eastAsia="en-AU"/>
        </w:rPr>
        <w:t>2015</w:t>
      </w:r>
    </w:p>
    <w:p w14:paraId="6DB481FC" w14:textId="77777777" w:rsidR="00596800" w:rsidRPr="00923A1F" w:rsidRDefault="00596800" w:rsidP="00596800">
      <w:pPr>
        <w:keepNext/>
        <w:rPr>
          <w:szCs w:val="24"/>
          <w:lang w:eastAsia="en-AU"/>
        </w:rPr>
      </w:pPr>
      <w:r w:rsidRPr="00923A1F">
        <w:rPr>
          <w:szCs w:val="24"/>
          <w:lang w:eastAsia="en-AU"/>
        </w:rPr>
        <w:br/>
        <w:t>Senator the Hon. George Brandis QC</w:t>
      </w:r>
      <w:r w:rsidRPr="00923A1F">
        <w:rPr>
          <w:szCs w:val="24"/>
          <w:lang w:eastAsia="en-AU"/>
        </w:rPr>
        <w:br/>
        <w:t>Attorney-General</w:t>
      </w:r>
      <w:r w:rsidRPr="00923A1F">
        <w:rPr>
          <w:szCs w:val="24"/>
          <w:lang w:eastAsia="en-AU"/>
        </w:rPr>
        <w:br/>
        <w:t>Parliament House</w:t>
      </w:r>
      <w:r w:rsidRPr="00923A1F">
        <w:rPr>
          <w:szCs w:val="24"/>
          <w:lang w:eastAsia="en-AU"/>
        </w:rPr>
        <w:br/>
        <w:t>Canberra ACT 2600</w:t>
      </w:r>
    </w:p>
    <w:p w14:paraId="40EB8F84" w14:textId="77777777" w:rsidR="003F7346" w:rsidRPr="00E46988" w:rsidRDefault="00596800" w:rsidP="003F7346">
      <w:pPr>
        <w:keepNext/>
        <w:rPr>
          <w:szCs w:val="24"/>
          <w:lang w:eastAsia="en-AU"/>
        </w:rPr>
      </w:pPr>
      <w:r w:rsidRPr="00923A1F">
        <w:rPr>
          <w:szCs w:val="24"/>
          <w:lang w:eastAsia="en-AU"/>
        </w:rPr>
        <w:br/>
        <w:t>Dear Attorney,</w:t>
      </w:r>
      <w:r w:rsidRPr="00923A1F">
        <w:rPr>
          <w:szCs w:val="24"/>
          <w:lang w:eastAsia="en-AU"/>
        </w:rPr>
        <w:br/>
      </w:r>
      <w:r w:rsidRPr="00923A1F">
        <w:rPr>
          <w:szCs w:val="24"/>
          <w:lang w:eastAsia="en-AU"/>
        </w:rPr>
        <w:br/>
      </w:r>
      <w:r w:rsidRPr="00923A1F">
        <w:rPr>
          <w:lang w:val="en-US" w:eastAsia="en-AU"/>
        </w:rPr>
        <w:t xml:space="preserve">I have completed my report pursuant to section </w:t>
      </w:r>
      <w:r w:rsidR="003F7346" w:rsidRPr="00E46988">
        <w:rPr>
          <w:szCs w:val="24"/>
          <w:lang w:eastAsia="en-AU"/>
        </w:rPr>
        <w:t xml:space="preserve">11(1)(f)(ii) of the </w:t>
      </w:r>
      <w:r w:rsidR="003F7346" w:rsidRPr="00E46988">
        <w:rPr>
          <w:i/>
          <w:szCs w:val="24"/>
          <w:lang w:eastAsia="en-AU"/>
        </w:rPr>
        <w:t>Australian Human Rights Commission Act 1986</w:t>
      </w:r>
      <w:r w:rsidR="003F7346" w:rsidRPr="00E46988">
        <w:rPr>
          <w:szCs w:val="24"/>
          <w:lang w:eastAsia="en-AU"/>
        </w:rPr>
        <w:t xml:space="preserve"> (</w:t>
      </w:r>
      <w:proofErr w:type="spellStart"/>
      <w:r w:rsidR="003F7346" w:rsidRPr="00E46988">
        <w:rPr>
          <w:szCs w:val="24"/>
          <w:lang w:eastAsia="en-AU"/>
        </w:rPr>
        <w:t>Cth</w:t>
      </w:r>
      <w:proofErr w:type="spellEnd"/>
      <w:r w:rsidR="003F7346" w:rsidRPr="00E46988">
        <w:rPr>
          <w:szCs w:val="24"/>
          <w:lang w:eastAsia="en-AU"/>
        </w:rPr>
        <w:t>) into the complaint made by</w:t>
      </w:r>
      <w:r w:rsidR="003F7346">
        <w:rPr>
          <w:szCs w:val="24"/>
          <w:lang w:eastAsia="en-AU"/>
        </w:rPr>
        <w:t xml:space="preserve"> </w:t>
      </w:r>
      <w:r w:rsidR="003F7346" w:rsidRPr="00DE05DF">
        <w:rPr>
          <w:rFonts w:cs="Arial"/>
          <w:szCs w:val="24"/>
        </w:rPr>
        <w:t xml:space="preserve">Mr </w:t>
      </w:r>
      <w:r w:rsidR="0013331D">
        <w:rPr>
          <w:rFonts w:cs="Arial"/>
          <w:szCs w:val="24"/>
        </w:rPr>
        <w:t>Kong</w:t>
      </w:r>
      <w:r w:rsidR="003F7346" w:rsidRPr="00DE05DF">
        <w:rPr>
          <w:rFonts w:cs="Arial"/>
          <w:szCs w:val="24"/>
        </w:rPr>
        <w:t xml:space="preserve"> against the Commonwealth of Australia – Department of Immigration and </w:t>
      </w:r>
      <w:r w:rsidR="003F7346">
        <w:rPr>
          <w:rFonts w:cs="Arial"/>
          <w:szCs w:val="24"/>
        </w:rPr>
        <w:t>Border Protection (Department).</w:t>
      </w:r>
    </w:p>
    <w:p w14:paraId="27ED953E" w14:textId="77777777" w:rsidR="003F7346" w:rsidRPr="000934B0" w:rsidRDefault="003F7346" w:rsidP="003F7346">
      <w:pPr>
        <w:rPr>
          <w:szCs w:val="24"/>
        </w:rPr>
      </w:pPr>
      <w:r w:rsidRPr="000934B0">
        <w:rPr>
          <w:szCs w:val="24"/>
        </w:rPr>
        <w:t xml:space="preserve">I have found that Mr </w:t>
      </w:r>
      <w:r w:rsidR="0013331D">
        <w:rPr>
          <w:szCs w:val="24"/>
        </w:rPr>
        <w:t>Kong’s</w:t>
      </w:r>
      <w:r w:rsidRPr="000934B0">
        <w:rPr>
          <w:szCs w:val="24"/>
        </w:rPr>
        <w:t xml:space="preserve"> detention</w:t>
      </w:r>
      <w:r>
        <w:rPr>
          <w:szCs w:val="24"/>
        </w:rPr>
        <w:t xml:space="preserve"> at Villawood Immigration Detention Centre</w:t>
      </w:r>
      <w:r w:rsidRPr="000934B0">
        <w:rPr>
          <w:szCs w:val="24"/>
        </w:rPr>
        <w:t xml:space="preserve"> from </w:t>
      </w:r>
      <w:r w:rsidR="00463AB4">
        <w:rPr>
          <w:rFonts w:cs="Arial"/>
          <w:szCs w:val="24"/>
        </w:rPr>
        <w:t xml:space="preserve">28 March 2011 </w:t>
      </w:r>
      <w:r>
        <w:rPr>
          <w:szCs w:val="24"/>
        </w:rPr>
        <w:t xml:space="preserve">until </w:t>
      </w:r>
      <w:r w:rsidR="00463AB4">
        <w:rPr>
          <w:szCs w:val="24"/>
        </w:rPr>
        <w:t>16 December 2011</w:t>
      </w:r>
      <w:r>
        <w:rPr>
          <w:szCs w:val="24"/>
        </w:rPr>
        <w:t xml:space="preserve"> </w:t>
      </w:r>
      <w:r w:rsidRPr="000934B0">
        <w:rPr>
          <w:szCs w:val="24"/>
        </w:rPr>
        <w:t>was arbitrary within the meaning of article 9(1) of the</w:t>
      </w:r>
      <w:r w:rsidRPr="001A6770">
        <w:rPr>
          <w:rFonts w:cs="Arial"/>
          <w:i/>
          <w:szCs w:val="24"/>
        </w:rPr>
        <w:t xml:space="preserve"> </w:t>
      </w:r>
      <w:r w:rsidRPr="007560F1">
        <w:rPr>
          <w:rFonts w:cs="Arial"/>
          <w:i/>
          <w:szCs w:val="24"/>
        </w:rPr>
        <w:t>International Covenant on Civil and Political Rights</w:t>
      </w:r>
      <w:r w:rsidRPr="000934B0">
        <w:rPr>
          <w:szCs w:val="24"/>
        </w:rPr>
        <w:t xml:space="preserve"> </w:t>
      </w:r>
      <w:r>
        <w:rPr>
          <w:szCs w:val="24"/>
        </w:rPr>
        <w:t>(</w:t>
      </w:r>
      <w:r w:rsidRPr="000934B0">
        <w:rPr>
          <w:szCs w:val="24"/>
        </w:rPr>
        <w:t>ICCPR</w:t>
      </w:r>
      <w:r>
        <w:rPr>
          <w:szCs w:val="24"/>
        </w:rPr>
        <w:t xml:space="preserve">). </w:t>
      </w:r>
    </w:p>
    <w:p w14:paraId="608340A4" w14:textId="77777777" w:rsidR="003F7346" w:rsidRDefault="003F7346" w:rsidP="003F7346">
      <w:pPr>
        <w:rPr>
          <w:rFonts w:cs="Arial"/>
          <w:szCs w:val="24"/>
        </w:rPr>
      </w:pPr>
      <w:r>
        <w:rPr>
          <w:rFonts w:cs="Arial"/>
          <w:szCs w:val="24"/>
        </w:rPr>
        <w:t xml:space="preserve">In light of my findings, I recommend that </w:t>
      </w:r>
      <w:r w:rsidRPr="00114A06">
        <w:rPr>
          <w:rFonts w:cs="Arial"/>
          <w:szCs w:val="24"/>
        </w:rPr>
        <w:t xml:space="preserve">the Commonwealth pay compensation to Mr </w:t>
      </w:r>
      <w:r w:rsidR="0013331D">
        <w:rPr>
          <w:rFonts w:cs="Arial"/>
          <w:szCs w:val="24"/>
        </w:rPr>
        <w:t>Kong</w:t>
      </w:r>
      <w:r w:rsidR="004E6D7D">
        <w:rPr>
          <w:rFonts w:cs="Arial"/>
          <w:szCs w:val="24"/>
        </w:rPr>
        <w:t xml:space="preserve"> and provide him with an apology.</w:t>
      </w:r>
    </w:p>
    <w:p w14:paraId="2653BA9B" w14:textId="77777777" w:rsidR="003F7346" w:rsidRPr="009D5F54" w:rsidRDefault="003F7346" w:rsidP="003F7346">
      <w:pPr>
        <w:rPr>
          <w:rFonts w:cs="Arial"/>
          <w:szCs w:val="24"/>
        </w:rPr>
      </w:pPr>
      <w:r w:rsidRPr="009D5F54">
        <w:rPr>
          <w:szCs w:val="24"/>
          <w:lang w:eastAsia="en-AU"/>
        </w:rPr>
        <w:t xml:space="preserve">By letter dated </w:t>
      </w:r>
      <w:r w:rsidR="004E6D7D">
        <w:rPr>
          <w:szCs w:val="24"/>
          <w:lang w:eastAsia="en-AU"/>
        </w:rPr>
        <w:t>26 June 2015</w:t>
      </w:r>
      <w:r>
        <w:rPr>
          <w:szCs w:val="24"/>
          <w:lang w:eastAsia="en-AU"/>
        </w:rPr>
        <w:t xml:space="preserve"> </w:t>
      </w:r>
      <w:r w:rsidRPr="009D5F54">
        <w:rPr>
          <w:szCs w:val="24"/>
          <w:lang w:eastAsia="en-AU"/>
        </w:rPr>
        <w:t xml:space="preserve">the </w:t>
      </w:r>
      <w:r>
        <w:rPr>
          <w:szCs w:val="24"/>
          <w:lang w:eastAsia="en-AU"/>
        </w:rPr>
        <w:t>D</w:t>
      </w:r>
      <w:r w:rsidRPr="009D5F54">
        <w:rPr>
          <w:szCs w:val="24"/>
          <w:lang w:eastAsia="en-AU"/>
        </w:rPr>
        <w:t>epartment pr</w:t>
      </w:r>
      <w:r>
        <w:rPr>
          <w:szCs w:val="24"/>
          <w:lang w:eastAsia="en-AU"/>
        </w:rPr>
        <w:t>ovided a response to my recommendation</w:t>
      </w:r>
      <w:r w:rsidR="001D4DAE">
        <w:rPr>
          <w:szCs w:val="24"/>
          <w:lang w:eastAsia="en-AU"/>
        </w:rPr>
        <w:t>s</w:t>
      </w:r>
      <w:r w:rsidRPr="009D5F54">
        <w:rPr>
          <w:szCs w:val="24"/>
          <w:lang w:eastAsia="en-AU"/>
        </w:rPr>
        <w:t xml:space="preserve">. </w:t>
      </w:r>
      <w:r>
        <w:rPr>
          <w:szCs w:val="24"/>
          <w:lang w:eastAsia="en-AU"/>
        </w:rPr>
        <w:t xml:space="preserve">I have set out the Department’s response in part </w:t>
      </w:r>
      <w:r w:rsidR="00182129">
        <w:rPr>
          <w:szCs w:val="24"/>
          <w:lang w:eastAsia="en-AU"/>
        </w:rPr>
        <w:t>8</w:t>
      </w:r>
      <w:r>
        <w:rPr>
          <w:szCs w:val="24"/>
          <w:lang w:eastAsia="en-AU"/>
        </w:rPr>
        <w:t xml:space="preserve"> of this report.</w:t>
      </w:r>
    </w:p>
    <w:p w14:paraId="752A9CC7" w14:textId="77777777" w:rsidR="003F7346" w:rsidRDefault="003F7346" w:rsidP="003F7346">
      <w:pPr>
        <w:rPr>
          <w:szCs w:val="24"/>
          <w:lang w:eastAsia="en-AU"/>
        </w:rPr>
      </w:pPr>
      <w:r>
        <w:rPr>
          <w:szCs w:val="24"/>
          <w:lang w:eastAsia="en-AU"/>
        </w:rPr>
        <w:t>I enclose a copy of my report.</w:t>
      </w:r>
    </w:p>
    <w:p w14:paraId="7ECD81A4" w14:textId="77777777" w:rsidR="00596800" w:rsidRPr="00923A1F" w:rsidRDefault="00596800" w:rsidP="009C2EB0">
      <w:pPr>
        <w:keepNext/>
        <w:keepLines/>
        <w:spacing w:before="120" w:after="120"/>
        <w:jc w:val="both"/>
        <w:rPr>
          <w:rFonts w:cs="ArialMT"/>
          <w:szCs w:val="24"/>
          <w:lang w:val="en-US" w:bidi="en-US"/>
        </w:rPr>
      </w:pPr>
      <w:r w:rsidRPr="00923A1F">
        <w:rPr>
          <w:rFonts w:cs="ArialMT"/>
          <w:szCs w:val="24"/>
          <w:lang w:val="en-US" w:bidi="en-US"/>
        </w:rPr>
        <w:t>Yours sincerely,</w:t>
      </w:r>
    </w:p>
    <w:p w14:paraId="2CF35A74" w14:textId="0CF7CD1D" w:rsidR="00596800" w:rsidRPr="00923A1F" w:rsidRDefault="00596800" w:rsidP="00923CD8">
      <w:pPr>
        <w:rPr>
          <w:szCs w:val="24"/>
        </w:rPr>
      </w:pPr>
    </w:p>
    <w:p w14:paraId="0EE1E0F2" w14:textId="77777777" w:rsidR="00596800" w:rsidRPr="00923A1F" w:rsidRDefault="00596800" w:rsidP="005F2A66">
      <w:pPr>
        <w:spacing w:before="0" w:after="0"/>
        <w:rPr>
          <w:szCs w:val="24"/>
        </w:rPr>
      </w:pPr>
      <w:r w:rsidRPr="00923A1F">
        <w:rPr>
          <w:szCs w:val="24"/>
        </w:rPr>
        <w:t xml:space="preserve">Gillian </w:t>
      </w:r>
      <w:proofErr w:type="spellStart"/>
      <w:r w:rsidRPr="00923A1F">
        <w:rPr>
          <w:szCs w:val="24"/>
        </w:rPr>
        <w:t>Triggs</w:t>
      </w:r>
      <w:proofErr w:type="spellEnd"/>
    </w:p>
    <w:p w14:paraId="0A7F5E5D" w14:textId="19848A42" w:rsidR="00596800" w:rsidRPr="00923A1F" w:rsidRDefault="00596800" w:rsidP="005F2A66">
      <w:pPr>
        <w:spacing w:before="0" w:after="0"/>
        <w:rPr>
          <w:szCs w:val="24"/>
        </w:rPr>
      </w:pPr>
      <w:r w:rsidRPr="00923A1F">
        <w:rPr>
          <w:b/>
          <w:szCs w:val="24"/>
        </w:rPr>
        <w:t>President</w:t>
      </w:r>
    </w:p>
    <w:p w14:paraId="28922794" w14:textId="77777777" w:rsidR="00923CD8" w:rsidRDefault="00596800" w:rsidP="005F2A66">
      <w:pPr>
        <w:pStyle w:val="Quote"/>
        <w:spacing w:before="0" w:after="0"/>
        <w:rPr>
          <w:rFonts w:cs="Arial"/>
          <w:i w:val="0"/>
        </w:rPr>
      </w:pPr>
      <w:r w:rsidRPr="005F2A66">
        <w:rPr>
          <w:i w:val="0"/>
        </w:rPr>
        <w:t>Austr</w:t>
      </w:r>
      <w:r w:rsidR="005D322A" w:rsidRPr="005F2A66">
        <w:rPr>
          <w:i w:val="0"/>
        </w:rPr>
        <w:t>alian Human Rights Commission</w:t>
      </w:r>
    </w:p>
    <w:p w14:paraId="00E3FEFB" w14:textId="77777777" w:rsidR="00923CD8" w:rsidRDefault="00923CD8" w:rsidP="005F2A66">
      <w:pPr>
        <w:pStyle w:val="Quote"/>
        <w:spacing w:before="0" w:after="0"/>
        <w:rPr>
          <w:rFonts w:cs="Arial"/>
          <w:i w:val="0"/>
        </w:rPr>
      </w:pPr>
    </w:p>
    <w:p w14:paraId="5353BCF9" w14:textId="0A051ADB" w:rsidR="005D322A" w:rsidRPr="005F2A66" w:rsidRDefault="0065498F" w:rsidP="005F2A66">
      <w:pPr>
        <w:pStyle w:val="Quote"/>
        <w:spacing w:before="0" w:after="0"/>
        <w:rPr>
          <w:i w:val="0"/>
        </w:rPr>
      </w:pPr>
      <w:r w:rsidRPr="005F2A66">
        <w:rPr>
          <w:rFonts w:cs="Arial"/>
          <w:i w:val="0"/>
        </w:rPr>
        <w:br w:type="page"/>
      </w:r>
    </w:p>
    <w:p w14:paraId="4E857638" w14:textId="77777777" w:rsidR="005F2A66" w:rsidRPr="005439AD" w:rsidRDefault="005F2A66" w:rsidP="005F2A66">
      <w:pPr>
        <w:pStyle w:val="Heading1"/>
        <w:numPr>
          <w:ilvl w:val="0"/>
          <w:numId w:val="80"/>
        </w:numPr>
        <w:spacing w:after="0"/>
      </w:pPr>
      <w:bookmarkStart w:id="1" w:name="_Toc304809405"/>
      <w:r w:rsidRPr="00534C56">
        <w:lastRenderedPageBreak/>
        <w:t xml:space="preserve">Introduction </w:t>
      </w:r>
      <w:r>
        <w:t>to this inquiry</w:t>
      </w:r>
      <w:bookmarkEnd w:id="1"/>
      <w:r>
        <w:t xml:space="preserve"> </w:t>
      </w:r>
    </w:p>
    <w:p w14:paraId="71153368" w14:textId="77777777" w:rsidR="005F2A66" w:rsidRPr="000D2CCE" w:rsidRDefault="005F2A66" w:rsidP="005F2A66">
      <w:pPr>
        <w:numPr>
          <w:ilvl w:val="0"/>
          <w:numId w:val="7"/>
        </w:numPr>
        <w:rPr>
          <w:rFonts w:cs="Arial"/>
          <w:szCs w:val="24"/>
        </w:rPr>
      </w:pPr>
      <w:r w:rsidRPr="000D2CCE">
        <w:rPr>
          <w:rFonts w:cs="Arial"/>
          <w:szCs w:val="24"/>
        </w:rPr>
        <w:t>Th</w:t>
      </w:r>
      <w:r>
        <w:rPr>
          <w:rFonts w:cs="Arial"/>
          <w:szCs w:val="24"/>
        </w:rPr>
        <w:t xml:space="preserve">is is a </w:t>
      </w:r>
      <w:r w:rsidR="00463AB4">
        <w:rPr>
          <w:rFonts w:cs="Arial"/>
          <w:szCs w:val="24"/>
        </w:rPr>
        <w:t>report</w:t>
      </w:r>
      <w:r>
        <w:rPr>
          <w:rFonts w:cs="Arial"/>
          <w:szCs w:val="24"/>
        </w:rPr>
        <w:t xml:space="preserve"> setting out the findings of the </w:t>
      </w:r>
      <w:r w:rsidRPr="000D2CCE">
        <w:rPr>
          <w:rFonts w:cs="Arial"/>
          <w:szCs w:val="24"/>
        </w:rPr>
        <w:t>Australian Human Rights Commission</w:t>
      </w:r>
      <w:r w:rsidR="00B7786D">
        <w:rPr>
          <w:rFonts w:cs="Arial"/>
          <w:szCs w:val="24"/>
        </w:rPr>
        <w:t xml:space="preserve"> (Commission)</w:t>
      </w:r>
      <w:r w:rsidRPr="000D2CCE">
        <w:rPr>
          <w:rFonts w:cs="Arial"/>
          <w:szCs w:val="24"/>
        </w:rPr>
        <w:t xml:space="preserve"> </w:t>
      </w:r>
      <w:r>
        <w:rPr>
          <w:rFonts w:cs="Arial"/>
          <w:szCs w:val="24"/>
        </w:rPr>
        <w:t xml:space="preserve">following </w:t>
      </w:r>
      <w:r w:rsidRPr="000D2CCE">
        <w:rPr>
          <w:rFonts w:cs="Arial"/>
          <w:szCs w:val="24"/>
        </w:rPr>
        <w:t xml:space="preserve">an inquiry into a complaint by Mr </w:t>
      </w:r>
      <w:r>
        <w:rPr>
          <w:rFonts w:cs="Arial"/>
          <w:szCs w:val="24"/>
        </w:rPr>
        <w:t>Tian Le Kong</w:t>
      </w:r>
      <w:r w:rsidRPr="000D2CCE">
        <w:rPr>
          <w:rFonts w:cs="Arial"/>
          <w:szCs w:val="24"/>
        </w:rPr>
        <w:t xml:space="preserve"> against the Commonwealth of Australia </w:t>
      </w:r>
      <w:r>
        <w:rPr>
          <w:rFonts w:cs="Arial"/>
          <w:szCs w:val="24"/>
        </w:rPr>
        <w:t xml:space="preserve">- Department of Immigration and Citizenship (as it then was – it has subsequently been redesignated the Department of Immigration and Border Protection) (Department) </w:t>
      </w:r>
      <w:r w:rsidRPr="000D2CCE">
        <w:rPr>
          <w:rFonts w:cs="Arial"/>
          <w:szCs w:val="24"/>
        </w:rPr>
        <w:t xml:space="preserve">alleging a breach of his human rights.  </w:t>
      </w:r>
    </w:p>
    <w:p w14:paraId="556220A7" w14:textId="77777777" w:rsidR="005F2A66" w:rsidRPr="00ED6C4F" w:rsidRDefault="005F2A66" w:rsidP="005F2A66">
      <w:pPr>
        <w:numPr>
          <w:ilvl w:val="0"/>
          <w:numId w:val="7"/>
        </w:numPr>
        <w:rPr>
          <w:szCs w:val="24"/>
        </w:rPr>
      </w:pPr>
      <w:r>
        <w:rPr>
          <w:rFonts w:cs="Arial"/>
          <w:szCs w:val="24"/>
        </w:rPr>
        <w:t xml:space="preserve">Mr Kong came to Australia on a student visa in 2001. This visa was cancelled pursuant to s 116 of the </w:t>
      </w:r>
      <w:r w:rsidRPr="0009028B">
        <w:rPr>
          <w:rFonts w:cs="Arial"/>
          <w:i/>
          <w:szCs w:val="24"/>
        </w:rPr>
        <w:t>Migration Act 1958</w:t>
      </w:r>
      <w:r>
        <w:rPr>
          <w:rFonts w:cs="Arial"/>
          <w:szCs w:val="24"/>
        </w:rPr>
        <w:t xml:space="preserve"> (</w:t>
      </w:r>
      <w:proofErr w:type="spellStart"/>
      <w:r>
        <w:rPr>
          <w:rFonts w:cs="Arial"/>
          <w:szCs w:val="24"/>
        </w:rPr>
        <w:t>Cth</w:t>
      </w:r>
      <w:proofErr w:type="spellEnd"/>
      <w:r>
        <w:rPr>
          <w:rFonts w:cs="Arial"/>
          <w:szCs w:val="24"/>
        </w:rPr>
        <w:t>)</w:t>
      </w:r>
      <w:r w:rsidR="00D45324">
        <w:rPr>
          <w:rFonts w:cs="Arial"/>
          <w:szCs w:val="24"/>
        </w:rPr>
        <w:t xml:space="preserve"> (Migration Act)</w:t>
      </w:r>
      <w:r>
        <w:rPr>
          <w:rFonts w:cs="Arial"/>
          <w:szCs w:val="24"/>
        </w:rPr>
        <w:t xml:space="preserve">, on the ground that he breached the condition 8202 (meet course requirements). He was granted several bridging visas while he challenged the decision to cancel his student visa. His final bridging visa expired on 20 March 2011. On 28 March 2011, Mr Kong presented himself to the Department and </w:t>
      </w:r>
      <w:r w:rsidRPr="001C6A35">
        <w:rPr>
          <w:rFonts w:cs="Arial"/>
          <w:szCs w:val="24"/>
        </w:rPr>
        <w:t xml:space="preserve">was detained at </w:t>
      </w:r>
      <w:r>
        <w:rPr>
          <w:rFonts w:cs="Arial"/>
          <w:szCs w:val="24"/>
        </w:rPr>
        <w:t>the Villawood Immigration Detention Centre</w:t>
      </w:r>
      <w:r w:rsidRPr="001C6A35">
        <w:rPr>
          <w:rFonts w:cs="Arial"/>
          <w:szCs w:val="24"/>
        </w:rPr>
        <w:t xml:space="preserve"> (</w:t>
      </w:r>
      <w:r>
        <w:rPr>
          <w:rFonts w:cs="Arial"/>
          <w:szCs w:val="24"/>
        </w:rPr>
        <w:t>V</w:t>
      </w:r>
      <w:r w:rsidRPr="001C6A35">
        <w:rPr>
          <w:rFonts w:cs="Arial"/>
          <w:szCs w:val="24"/>
        </w:rPr>
        <w:t>IDC)</w:t>
      </w:r>
      <w:r>
        <w:rPr>
          <w:rFonts w:cs="Arial"/>
          <w:szCs w:val="24"/>
        </w:rPr>
        <w:t>. He was detained for approximately 9 months until his release on a bridging visa on</w:t>
      </w:r>
      <w:r w:rsidRPr="00332661">
        <w:rPr>
          <w:rFonts w:cs="Arial"/>
          <w:szCs w:val="24"/>
        </w:rPr>
        <w:t xml:space="preserve"> </w:t>
      </w:r>
      <w:r>
        <w:rPr>
          <w:rFonts w:cs="Arial"/>
          <w:szCs w:val="24"/>
        </w:rPr>
        <w:t>16 December 2011. He was granted several more bridging visas until he was granted a permanent protection visa on 7 November 2013.</w:t>
      </w:r>
    </w:p>
    <w:p w14:paraId="308B9AE2" w14:textId="77777777" w:rsidR="005F2A66" w:rsidRPr="00D30CD7" w:rsidRDefault="005F2A66" w:rsidP="005F2A66">
      <w:pPr>
        <w:numPr>
          <w:ilvl w:val="0"/>
          <w:numId w:val="7"/>
        </w:numPr>
        <w:rPr>
          <w:szCs w:val="24"/>
        </w:rPr>
      </w:pPr>
      <w:r>
        <w:rPr>
          <w:rFonts w:cs="Arial"/>
          <w:szCs w:val="24"/>
        </w:rPr>
        <w:t xml:space="preserve">Mr Kong complains that his detention at VIDC from 28 March 2011 until 16 December 2011 was arbitrary, contrary to article 9 of the </w:t>
      </w:r>
      <w:r w:rsidRPr="00155EF4">
        <w:rPr>
          <w:rFonts w:cs="Arial"/>
          <w:i/>
          <w:szCs w:val="24"/>
        </w:rPr>
        <w:t>International Covenant on Civil and Political Rights</w:t>
      </w:r>
      <w:r w:rsidRPr="00CF3DE8">
        <w:rPr>
          <w:rFonts w:cs="Arial"/>
          <w:szCs w:val="24"/>
        </w:rPr>
        <w:t xml:space="preserve"> (ICCPR)</w:t>
      </w:r>
      <w:r>
        <w:rPr>
          <w:rFonts w:cs="Arial"/>
          <w:szCs w:val="24"/>
        </w:rPr>
        <w:t xml:space="preserve">. He also complains about his detention in the Blaxland Compound. </w:t>
      </w:r>
    </w:p>
    <w:p w14:paraId="76C19F5F" w14:textId="77777777" w:rsidR="005F2A66" w:rsidRDefault="005F2A66" w:rsidP="005F2A66">
      <w:pPr>
        <w:numPr>
          <w:ilvl w:val="0"/>
          <w:numId w:val="7"/>
        </w:numPr>
        <w:rPr>
          <w:szCs w:val="24"/>
        </w:rPr>
      </w:pPr>
      <w:r>
        <w:t xml:space="preserve">This inquiry has been undertaken pursuant to s 11(1)(f) of the </w:t>
      </w:r>
      <w:r w:rsidR="00D45324">
        <w:rPr>
          <w:i/>
        </w:rPr>
        <w:t xml:space="preserve">Australian Human Rights Commission Act 1986 </w:t>
      </w:r>
      <w:r w:rsidR="00D45324">
        <w:t>(</w:t>
      </w:r>
      <w:proofErr w:type="spellStart"/>
      <w:r w:rsidR="00D45324">
        <w:t>Cth</w:t>
      </w:r>
      <w:proofErr w:type="spellEnd"/>
      <w:r w:rsidR="00D45324">
        <w:t>) (</w:t>
      </w:r>
      <w:r w:rsidRPr="008F440D">
        <w:t>AHRC Act</w:t>
      </w:r>
      <w:r w:rsidR="00D45324">
        <w:t>)</w:t>
      </w:r>
      <w:r w:rsidRPr="00CF3DE8">
        <w:rPr>
          <w:i/>
        </w:rPr>
        <w:t>.</w:t>
      </w:r>
      <w:r>
        <w:t xml:space="preserve"> </w:t>
      </w:r>
    </w:p>
    <w:p w14:paraId="7D0C0674" w14:textId="77777777" w:rsidR="005F2A66" w:rsidRDefault="005F2A66" w:rsidP="005F2A66">
      <w:pPr>
        <w:numPr>
          <w:ilvl w:val="0"/>
          <w:numId w:val="7"/>
        </w:numPr>
        <w:rPr>
          <w:szCs w:val="24"/>
        </w:rPr>
      </w:pPr>
      <w:r w:rsidRPr="00F12999">
        <w:rPr>
          <w:szCs w:val="24"/>
        </w:rPr>
        <w:t xml:space="preserve">As a result of the inquiry, </w:t>
      </w:r>
      <w:r>
        <w:rPr>
          <w:szCs w:val="24"/>
        </w:rPr>
        <w:t>I find that:</w:t>
      </w:r>
      <w:r w:rsidRPr="00F12999">
        <w:rPr>
          <w:szCs w:val="24"/>
        </w:rPr>
        <w:t xml:space="preserve"> </w:t>
      </w:r>
    </w:p>
    <w:p w14:paraId="51609596" w14:textId="77777777" w:rsidR="005F2A66" w:rsidRDefault="005F2A66" w:rsidP="005F2A66">
      <w:pPr>
        <w:numPr>
          <w:ilvl w:val="1"/>
          <w:numId w:val="7"/>
        </w:numPr>
        <w:rPr>
          <w:szCs w:val="24"/>
        </w:rPr>
      </w:pPr>
      <w:r w:rsidRPr="00F12999">
        <w:rPr>
          <w:szCs w:val="24"/>
        </w:rPr>
        <w:t>the Commonwealth</w:t>
      </w:r>
      <w:r>
        <w:rPr>
          <w:szCs w:val="24"/>
        </w:rPr>
        <w:t>’s failure to either grant Mr Kong a bridging visa or detain him in a less restrictive way, during the 9 months he was detained in an immigration detention centre, was</w:t>
      </w:r>
      <w:r w:rsidRPr="00F12999">
        <w:rPr>
          <w:szCs w:val="24"/>
        </w:rPr>
        <w:t xml:space="preserve"> inconsistent with or contrary to </w:t>
      </w:r>
      <w:r w:rsidRPr="00F12999">
        <w:rPr>
          <w:rFonts w:cs="Arial"/>
          <w:szCs w:val="24"/>
        </w:rPr>
        <w:t>article 9(1) of the</w:t>
      </w:r>
      <w:r w:rsidRPr="00F12999">
        <w:rPr>
          <w:szCs w:val="24"/>
        </w:rPr>
        <w:t xml:space="preserve"> ICCPR</w:t>
      </w:r>
      <w:r>
        <w:rPr>
          <w:szCs w:val="24"/>
        </w:rPr>
        <w:t>; and</w:t>
      </w:r>
    </w:p>
    <w:p w14:paraId="015788AB" w14:textId="2E68BAAB" w:rsidR="005F2A66" w:rsidRDefault="00637053" w:rsidP="005F2A66">
      <w:pPr>
        <w:numPr>
          <w:ilvl w:val="1"/>
          <w:numId w:val="7"/>
        </w:numPr>
        <w:rPr>
          <w:szCs w:val="24"/>
        </w:rPr>
      </w:pPr>
      <w:proofErr w:type="gramStart"/>
      <w:r>
        <w:rPr>
          <w:szCs w:val="24"/>
        </w:rPr>
        <w:t>t</w:t>
      </w:r>
      <w:r w:rsidR="005F2A66">
        <w:rPr>
          <w:szCs w:val="24"/>
        </w:rPr>
        <w:t>he</w:t>
      </w:r>
      <w:proofErr w:type="gramEnd"/>
      <w:r w:rsidR="005F2A66">
        <w:rPr>
          <w:szCs w:val="24"/>
        </w:rPr>
        <w:t xml:space="preserve"> Commonwealth’s placement of Mr Kong in the high security Blaxland compound was not in itself a breach of articles 9 or 10 of the ICCPR. </w:t>
      </w:r>
    </w:p>
    <w:p w14:paraId="1622AE30" w14:textId="77777777" w:rsidR="005F2A66" w:rsidRDefault="005F2A66" w:rsidP="005F2A66">
      <w:pPr>
        <w:numPr>
          <w:ilvl w:val="0"/>
          <w:numId w:val="7"/>
        </w:numPr>
        <w:rPr>
          <w:szCs w:val="24"/>
        </w:rPr>
      </w:pPr>
      <w:r>
        <w:rPr>
          <w:szCs w:val="24"/>
        </w:rPr>
        <w:t>I have recommended that:</w:t>
      </w:r>
    </w:p>
    <w:p w14:paraId="4B812567" w14:textId="02CDF868" w:rsidR="005F2A66" w:rsidRPr="008407D2" w:rsidRDefault="00637053" w:rsidP="005F2A66">
      <w:pPr>
        <w:numPr>
          <w:ilvl w:val="1"/>
          <w:numId w:val="7"/>
        </w:numPr>
        <w:rPr>
          <w:szCs w:val="24"/>
        </w:rPr>
      </w:pPr>
      <w:r>
        <w:rPr>
          <w:szCs w:val="24"/>
        </w:rPr>
        <w:t>t</w:t>
      </w:r>
      <w:r w:rsidR="005F2A66" w:rsidRPr="008407D2">
        <w:rPr>
          <w:szCs w:val="24"/>
        </w:rPr>
        <w:t xml:space="preserve">he Commonwealth pay to Mr Kong </w:t>
      </w:r>
      <w:r w:rsidR="005F2A66">
        <w:rPr>
          <w:szCs w:val="24"/>
        </w:rPr>
        <w:t>appropriate</w:t>
      </w:r>
      <w:r w:rsidR="00FC5749">
        <w:rPr>
          <w:szCs w:val="24"/>
        </w:rPr>
        <w:t xml:space="preserve"> compensation; and</w:t>
      </w:r>
    </w:p>
    <w:p w14:paraId="3484CE14" w14:textId="32BF6FCB" w:rsidR="005F2A66" w:rsidRPr="00F12999" w:rsidRDefault="00637053" w:rsidP="005F2A66">
      <w:pPr>
        <w:numPr>
          <w:ilvl w:val="1"/>
          <w:numId w:val="7"/>
        </w:numPr>
        <w:rPr>
          <w:szCs w:val="24"/>
        </w:rPr>
      </w:pPr>
      <w:proofErr w:type="gramStart"/>
      <w:r>
        <w:rPr>
          <w:szCs w:val="24"/>
        </w:rPr>
        <w:t>t</w:t>
      </w:r>
      <w:r w:rsidR="005F2A66">
        <w:rPr>
          <w:szCs w:val="24"/>
        </w:rPr>
        <w:t>he</w:t>
      </w:r>
      <w:proofErr w:type="gramEnd"/>
      <w:r w:rsidR="005F2A66">
        <w:rPr>
          <w:szCs w:val="24"/>
        </w:rPr>
        <w:t xml:space="preserve"> Commonwealth provide a formal written apology to Mr Kong. </w:t>
      </w:r>
    </w:p>
    <w:p w14:paraId="65E29567" w14:textId="77777777" w:rsidR="005F2A66" w:rsidRDefault="005F2A66" w:rsidP="005F2A66">
      <w:pPr>
        <w:pStyle w:val="Heading1"/>
        <w:numPr>
          <w:ilvl w:val="0"/>
          <w:numId w:val="80"/>
        </w:numPr>
        <w:spacing w:after="0"/>
      </w:pPr>
      <w:bookmarkStart w:id="2" w:name="_Toc304809406"/>
      <w:r>
        <w:t>Background</w:t>
      </w:r>
      <w:bookmarkEnd w:id="2"/>
      <w:r>
        <w:t xml:space="preserve"> </w:t>
      </w:r>
    </w:p>
    <w:p w14:paraId="408A7CD7" w14:textId="77777777" w:rsidR="005F2A66" w:rsidRDefault="005F2A66" w:rsidP="005F2A66">
      <w:pPr>
        <w:numPr>
          <w:ilvl w:val="0"/>
          <w:numId w:val="7"/>
        </w:numPr>
        <w:rPr>
          <w:rFonts w:cs="Arial"/>
          <w:szCs w:val="24"/>
        </w:rPr>
      </w:pPr>
      <w:r>
        <w:rPr>
          <w:rFonts w:cs="Arial"/>
          <w:szCs w:val="24"/>
        </w:rPr>
        <w:t xml:space="preserve">Mr Kong is a 46 year old </w:t>
      </w:r>
      <w:r w:rsidRPr="00F5624A">
        <w:rPr>
          <w:rFonts w:cs="Arial"/>
          <w:szCs w:val="24"/>
        </w:rPr>
        <w:t xml:space="preserve">citizen of </w:t>
      </w:r>
      <w:r>
        <w:rPr>
          <w:rFonts w:cs="Arial"/>
          <w:szCs w:val="24"/>
        </w:rPr>
        <w:t>the People’s Republic of China who was actively involved in the May 1989 Tiananmen Square protests</w:t>
      </w:r>
      <w:r w:rsidRPr="00F5624A">
        <w:rPr>
          <w:rFonts w:cs="Arial"/>
          <w:szCs w:val="24"/>
        </w:rPr>
        <w:t>. He first came to Australia on 4 March 200</w:t>
      </w:r>
      <w:r>
        <w:rPr>
          <w:rFonts w:cs="Arial"/>
          <w:szCs w:val="24"/>
        </w:rPr>
        <w:t xml:space="preserve">1 on a student visa (subclass 560). His wife and elder child came to Australia with him on dependent visas. His second child was born in Australia. </w:t>
      </w:r>
    </w:p>
    <w:p w14:paraId="1BE41794" w14:textId="77777777" w:rsidR="005F2A66" w:rsidRDefault="005F2A66" w:rsidP="005F2A66">
      <w:pPr>
        <w:numPr>
          <w:ilvl w:val="0"/>
          <w:numId w:val="7"/>
        </w:numPr>
        <w:rPr>
          <w:rFonts w:cs="Arial"/>
          <w:szCs w:val="24"/>
        </w:rPr>
      </w:pPr>
      <w:r>
        <w:rPr>
          <w:rFonts w:cs="Arial"/>
          <w:szCs w:val="24"/>
        </w:rPr>
        <w:lastRenderedPageBreak/>
        <w:t xml:space="preserve">On 6 May 2004, Mr Kong’s student visa was cancelled due to a breach of condition 8202 (meet course requirements). Mr Kong’s wife and elder child’s dependent visas were also cancelled. Mrs Kong and the children were in China at that time and were not permitted to return to Australia. </w:t>
      </w:r>
    </w:p>
    <w:p w14:paraId="18694995" w14:textId="77777777" w:rsidR="005F2A66" w:rsidRDefault="005F2A66" w:rsidP="005F2A66">
      <w:pPr>
        <w:numPr>
          <w:ilvl w:val="0"/>
          <w:numId w:val="7"/>
        </w:numPr>
        <w:rPr>
          <w:rFonts w:cs="Arial"/>
          <w:szCs w:val="24"/>
        </w:rPr>
      </w:pPr>
      <w:r>
        <w:rPr>
          <w:rFonts w:cs="Arial"/>
          <w:szCs w:val="24"/>
        </w:rPr>
        <w:t>Mr Kong was granted several bridging visas while he unsuccessfully challenged the Department's decision to cancel his visa in the Migration Review Tribunal, Federal Magistrates Court, the Full Federal Court and the High Court. On 8 January 2008, Mr Kong applied for a protection visa, which was refused on 29 February 2008. Mr Kong unsuccessfully challenged the refusal in the Refugee Review Tribunal and the Federal Magistrates Court. The Federal Court refused Mr Kong’s application to extend the time to appeal the judgement of the Federal Magistrates Court.</w:t>
      </w:r>
    </w:p>
    <w:p w14:paraId="1A38912E" w14:textId="77777777" w:rsidR="005F2A66" w:rsidRDefault="005F2A66" w:rsidP="005F2A66">
      <w:pPr>
        <w:numPr>
          <w:ilvl w:val="0"/>
          <w:numId w:val="7"/>
        </w:numPr>
        <w:rPr>
          <w:rFonts w:cs="Arial"/>
          <w:szCs w:val="24"/>
        </w:rPr>
      </w:pPr>
      <w:r>
        <w:rPr>
          <w:rFonts w:cs="Arial"/>
          <w:szCs w:val="24"/>
        </w:rPr>
        <w:t>On 20 March 2011, Mr Kong’s bridging visa expired. On 28 March 2011, Mr Kong voluntarily presented himself to the Department’s compliance office and was detained at VIDC.</w:t>
      </w:r>
    </w:p>
    <w:p w14:paraId="07264018" w14:textId="77777777" w:rsidR="005F2A66" w:rsidRPr="00746AE0" w:rsidRDefault="005F2A66" w:rsidP="005F2A66">
      <w:pPr>
        <w:numPr>
          <w:ilvl w:val="0"/>
          <w:numId w:val="7"/>
        </w:numPr>
        <w:rPr>
          <w:rFonts w:cs="Arial"/>
          <w:szCs w:val="24"/>
        </w:rPr>
      </w:pPr>
      <w:r>
        <w:rPr>
          <w:rFonts w:cs="Arial"/>
          <w:szCs w:val="24"/>
        </w:rPr>
        <w:t xml:space="preserve">On 20 April 2011, there was a riot at the VIDC. Mr Kong was identified as being involved in the riot and subsequently became ‘a person of interest’ to the Australian Federal Police. On 23 April 2011, he was moved to the Blaxland compound, a high security facility within the VIDC. On 18 July 2011, Mr Kong was cleared of any involvement in the riot and transferred to the Hughes compound, a less restrictive facility. Mr Kong was then transferred to the Annex on 4 August 2011 following his initiation of a voluntary hunger strike. Mr Kong remained in the Annex until he discontinued his hunger strike on 6 September 2011. Mr Kong was then transferred to the Blaxland compound where he remained until his release </w:t>
      </w:r>
      <w:r w:rsidRPr="00746AE0">
        <w:rPr>
          <w:rFonts w:cs="Arial"/>
          <w:szCs w:val="24"/>
        </w:rPr>
        <w:t>from detention.</w:t>
      </w:r>
    </w:p>
    <w:p w14:paraId="61759CE7" w14:textId="77777777" w:rsidR="005F2A66" w:rsidRPr="00746AE0" w:rsidRDefault="005F2A66" w:rsidP="005F2A66">
      <w:pPr>
        <w:numPr>
          <w:ilvl w:val="0"/>
          <w:numId w:val="7"/>
        </w:numPr>
        <w:rPr>
          <w:rFonts w:cs="Arial"/>
          <w:szCs w:val="24"/>
        </w:rPr>
      </w:pPr>
      <w:r w:rsidRPr="00746AE0">
        <w:rPr>
          <w:rFonts w:cs="Arial"/>
          <w:szCs w:val="24"/>
        </w:rPr>
        <w:t>On 16 December 2011, Mr Kong was released from detention on a bridging visa. Mr Kong was subsequently granted several more bridging visas.</w:t>
      </w:r>
    </w:p>
    <w:p w14:paraId="78112EFE" w14:textId="77777777" w:rsidR="005F2A66" w:rsidRDefault="005F2A66" w:rsidP="005F2A66">
      <w:pPr>
        <w:numPr>
          <w:ilvl w:val="0"/>
          <w:numId w:val="7"/>
        </w:numPr>
        <w:tabs>
          <w:tab w:val="clear" w:pos="720"/>
          <w:tab w:val="num" w:pos="709"/>
        </w:tabs>
        <w:rPr>
          <w:rFonts w:cs="Arial"/>
          <w:szCs w:val="24"/>
        </w:rPr>
      </w:pPr>
      <w:r>
        <w:rPr>
          <w:rFonts w:cs="Arial"/>
          <w:szCs w:val="24"/>
        </w:rPr>
        <w:t>On 19 December 2011, the Minister requested a submission under s 48B of the Migration Act, to assist him to determine whether to lift the bar preventing Mr Kong from making another protection visa application under s 48A of the Migration Act. On 19 March 2012, the Minister intervened under s 48B of the Migration Act allowing Mr Kong to make another protection visa application. On 13 September 2012, the Department refused Mr Kong a protection visa. On 2 October 2013, the Refugee Review Tribunal set aside the Department’s decision to refuse Mr Kong a protection visa and remitted the decision back to the Department.</w:t>
      </w:r>
    </w:p>
    <w:p w14:paraId="4644C7C0" w14:textId="77777777" w:rsidR="005F2A66" w:rsidRDefault="005F2A66" w:rsidP="005F2A66">
      <w:pPr>
        <w:numPr>
          <w:ilvl w:val="0"/>
          <w:numId w:val="7"/>
        </w:numPr>
        <w:rPr>
          <w:rFonts w:cs="Arial"/>
          <w:szCs w:val="24"/>
        </w:rPr>
      </w:pPr>
      <w:r>
        <w:rPr>
          <w:rFonts w:cs="Arial"/>
          <w:szCs w:val="24"/>
        </w:rPr>
        <w:t>The Department granted Mr Kong a permanent protection visa on 7 November 2013.</w:t>
      </w:r>
    </w:p>
    <w:p w14:paraId="57AFE5CB" w14:textId="77777777" w:rsidR="005F2A66" w:rsidRDefault="005F2A66" w:rsidP="005F2A66">
      <w:pPr>
        <w:pStyle w:val="Heading1"/>
        <w:numPr>
          <w:ilvl w:val="0"/>
          <w:numId w:val="80"/>
        </w:numPr>
        <w:spacing w:after="0"/>
      </w:pPr>
      <w:bookmarkStart w:id="3" w:name="_Toc304809407"/>
      <w:r>
        <w:t>Legislative framework</w:t>
      </w:r>
      <w:bookmarkEnd w:id="3"/>
    </w:p>
    <w:p w14:paraId="120F7CCF" w14:textId="77777777" w:rsidR="005F2A66" w:rsidRPr="0008392C" w:rsidRDefault="005F2A66" w:rsidP="005F2A66">
      <w:pPr>
        <w:pStyle w:val="Heading2"/>
        <w:numPr>
          <w:ilvl w:val="1"/>
          <w:numId w:val="80"/>
        </w:numPr>
        <w:tabs>
          <w:tab w:val="clear" w:pos="1091"/>
          <w:tab w:val="num" w:pos="1135"/>
        </w:tabs>
        <w:spacing w:after="0"/>
        <w:ind w:left="1135"/>
      </w:pPr>
      <w:bookmarkStart w:id="4" w:name="_Toc304809408"/>
      <w:r w:rsidRPr="0008392C">
        <w:t>Functions of the Commission</w:t>
      </w:r>
      <w:bookmarkEnd w:id="4"/>
    </w:p>
    <w:p w14:paraId="7733BF6D" w14:textId="77777777" w:rsidR="005F2A66" w:rsidRPr="0008392C" w:rsidRDefault="005F2A66" w:rsidP="005F2A66">
      <w:pPr>
        <w:numPr>
          <w:ilvl w:val="0"/>
          <w:numId w:val="7"/>
        </w:numPr>
        <w:tabs>
          <w:tab w:val="num" w:pos="960"/>
        </w:tabs>
        <w:rPr>
          <w:szCs w:val="24"/>
        </w:rPr>
      </w:pPr>
      <w:r>
        <w:rPr>
          <w:szCs w:val="24"/>
        </w:rPr>
        <w:t>Section 11(1)</w:t>
      </w:r>
      <w:r w:rsidRPr="0008392C">
        <w:rPr>
          <w:szCs w:val="24"/>
        </w:rPr>
        <w:t xml:space="preserve">(f) of the AHRC Act </w:t>
      </w:r>
      <w:r>
        <w:rPr>
          <w:szCs w:val="24"/>
        </w:rPr>
        <w:t>provides that</w:t>
      </w:r>
      <w:r w:rsidRPr="0008392C">
        <w:rPr>
          <w:szCs w:val="24"/>
        </w:rPr>
        <w:t xml:space="preserve"> the Commission</w:t>
      </w:r>
      <w:r>
        <w:rPr>
          <w:szCs w:val="24"/>
        </w:rPr>
        <w:t xml:space="preserve"> has the function</w:t>
      </w:r>
      <w:r w:rsidRPr="0008392C">
        <w:rPr>
          <w:szCs w:val="24"/>
        </w:rPr>
        <w:t xml:space="preserve"> to inquire into any act or practice that may be inconsistent with or contrary to any human right. </w:t>
      </w:r>
    </w:p>
    <w:p w14:paraId="1743BB93" w14:textId="77777777" w:rsidR="005F2A66" w:rsidRDefault="005F2A66" w:rsidP="005F2A66">
      <w:pPr>
        <w:numPr>
          <w:ilvl w:val="0"/>
          <w:numId w:val="7"/>
        </w:numPr>
        <w:tabs>
          <w:tab w:val="num" w:pos="960"/>
        </w:tabs>
        <w:rPr>
          <w:szCs w:val="24"/>
        </w:rPr>
      </w:pPr>
      <w:r>
        <w:rPr>
          <w:szCs w:val="24"/>
        </w:rPr>
        <w:lastRenderedPageBreak/>
        <w:t>Section 20(1)</w:t>
      </w:r>
      <w:r w:rsidRPr="0008392C">
        <w:rPr>
          <w:szCs w:val="24"/>
        </w:rPr>
        <w:t>(b) of the AHRC Act requires the Commission to perform that function when a complaint is made to it in writing alleging such an act or practice.</w:t>
      </w:r>
    </w:p>
    <w:p w14:paraId="1C7FBD5D" w14:textId="01C97327" w:rsidR="005F2A66" w:rsidRPr="009A531E" w:rsidRDefault="005F2A66" w:rsidP="005F2A66">
      <w:pPr>
        <w:pStyle w:val="Heading2"/>
        <w:numPr>
          <w:ilvl w:val="1"/>
          <w:numId w:val="80"/>
        </w:numPr>
        <w:tabs>
          <w:tab w:val="clear" w:pos="1091"/>
          <w:tab w:val="num" w:pos="1135"/>
        </w:tabs>
        <w:spacing w:after="0"/>
        <w:ind w:left="1135"/>
      </w:pPr>
      <w:bookmarkStart w:id="5" w:name="_Toc328405012"/>
      <w:bookmarkStart w:id="6" w:name="_Toc304809409"/>
      <w:r w:rsidRPr="009A531E">
        <w:t>What is an ‘act’ or ‘practice’</w:t>
      </w:r>
      <w:bookmarkEnd w:id="5"/>
      <w:r w:rsidR="00B279EE">
        <w:t>?</w:t>
      </w:r>
      <w:bookmarkEnd w:id="6"/>
    </w:p>
    <w:p w14:paraId="6B904CC8" w14:textId="77777777" w:rsidR="005F2A66" w:rsidRPr="009A531E" w:rsidRDefault="005F2A66" w:rsidP="00515F57">
      <w:pPr>
        <w:numPr>
          <w:ilvl w:val="0"/>
          <w:numId w:val="7"/>
        </w:numPr>
        <w:rPr>
          <w:szCs w:val="24"/>
        </w:rPr>
      </w:pPr>
      <w:r w:rsidRPr="009A531E">
        <w:rPr>
          <w:szCs w:val="24"/>
        </w:rPr>
        <w:t>The terms ‘act’ and ‘practice’ are defined in s 3(1) of the AHRC Act to include an act done or a practice engaged in by or on behalf of the Commonwealth or an authority of the Commonwealth or under an enactment.</w:t>
      </w:r>
    </w:p>
    <w:p w14:paraId="19DE971C" w14:textId="77777777" w:rsidR="005F2A66" w:rsidRDefault="005F2A66" w:rsidP="00515F57">
      <w:pPr>
        <w:numPr>
          <w:ilvl w:val="0"/>
          <w:numId w:val="7"/>
        </w:numPr>
        <w:rPr>
          <w:szCs w:val="24"/>
        </w:rPr>
      </w:pPr>
      <w:r w:rsidRPr="009A531E">
        <w:rPr>
          <w:szCs w:val="24"/>
        </w:rPr>
        <w:t>Section 3(3) provides that the reference to, or to the doing of, an act includes a reference to a refusal or failure to do an act.</w:t>
      </w:r>
    </w:p>
    <w:p w14:paraId="0B57C9CB" w14:textId="77777777" w:rsidR="005F2A66" w:rsidRPr="005D74C5" w:rsidRDefault="005F2A66" w:rsidP="00515F57">
      <w:pPr>
        <w:numPr>
          <w:ilvl w:val="0"/>
          <w:numId w:val="7"/>
        </w:numPr>
        <w:rPr>
          <w:szCs w:val="24"/>
        </w:rPr>
      </w:pPr>
      <w:r w:rsidRPr="005D74C5">
        <w:rPr>
          <w:szCs w:val="24"/>
        </w:rPr>
        <w:t>The functions of the Commission identified in s 11(1)(f) of the AHRC Act are only engaged where the act complained of is not one required by law to be taken, that is, where the relevant act or practice is within the discretion of the Commonwealth.</w:t>
      </w:r>
      <w:r>
        <w:rPr>
          <w:rStyle w:val="EndnoteReference"/>
        </w:rPr>
        <w:endnoteReference w:id="1"/>
      </w:r>
      <w:r w:rsidRPr="005D74C5">
        <w:rPr>
          <w:szCs w:val="24"/>
        </w:rPr>
        <w:t xml:space="preserve"> </w:t>
      </w:r>
      <w:r>
        <w:t>Therefore, if a law requires that the act or practice be done by or on behalf of the Commonwealth, and there is no discretion involved, the act or practice done pursuant to that statutory provision will be outside the scope of the Commission’s human rights inquiry jurisdiction.</w:t>
      </w:r>
      <w:r>
        <w:rPr>
          <w:szCs w:val="24"/>
        </w:rPr>
        <w:t xml:space="preserve"> </w:t>
      </w:r>
    </w:p>
    <w:p w14:paraId="41E52233" w14:textId="77777777" w:rsidR="005F2A66" w:rsidRPr="001574AD" w:rsidRDefault="005F2A66" w:rsidP="005F2A66">
      <w:pPr>
        <w:pStyle w:val="Heading2"/>
        <w:numPr>
          <w:ilvl w:val="1"/>
          <w:numId w:val="80"/>
        </w:numPr>
        <w:tabs>
          <w:tab w:val="clear" w:pos="1091"/>
          <w:tab w:val="num" w:pos="1135"/>
        </w:tabs>
        <w:spacing w:after="0"/>
        <w:ind w:left="1135"/>
        <w:rPr>
          <w:sz w:val="32"/>
        </w:rPr>
      </w:pPr>
      <w:bookmarkStart w:id="7" w:name="_Toc304809410"/>
      <w:r w:rsidRPr="001574AD">
        <w:rPr>
          <w:sz w:val="32"/>
        </w:rPr>
        <w:t>What is a human right?</w:t>
      </w:r>
      <w:bookmarkEnd w:id="7"/>
    </w:p>
    <w:p w14:paraId="0E5DD3E0" w14:textId="77777777" w:rsidR="005F2A66" w:rsidRPr="00F06069" w:rsidRDefault="005F2A66" w:rsidP="005F2A66">
      <w:pPr>
        <w:numPr>
          <w:ilvl w:val="0"/>
          <w:numId w:val="7"/>
        </w:numPr>
        <w:tabs>
          <w:tab w:val="num" w:pos="960"/>
        </w:tabs>
        <w:rPr>
          <w:szCs w:val="24"/>
        </w:rPr>
      </w:pPr>
      <w:r w:rsidRPr="00F06069">
        <w:rPr>
          <w:szCs w:val="24"/>
        </w:rPr>
        <w:t xml:space="preserve">The phrase ‘human rights’ is defined by s 3(1) of the AHRC Act to include the rights and freedoms recognised in the ICCPR, or recognised or declared by any relevant international instrument. </w:t>
      </w:r>
    </w:p>
    <w:p w14:paraId="4095E795" w14:textId="77777777" w:rsidR="005F2A66" w:rsidRPr="00C443E3" w:rsidRDefault="005F2A66" w:rsidP="005F2A66">
      <w:pPr>
        <w:keepNext/>
        <w:numPr>
          <w:ilvl w:val="0"/>
          <w:numId w:val="7"/>
        </w:numPr>
        <w:rPr>
          <w:szCs w:val="24"/>
        </w:rPr>
      </w:pPr>
      <w:r w:rsidRPr="00C443E3">
        <w:rPr>
          <w:szCs w:val="24"/>
        </w:rPr>
        <w:t>Article</w:t>
      </w:r>
      <w:r>
        <w:rPr>
          <w:szCs w:val="24"/>
        </w:rPr>
        <w:t>s</w:t>
      </w:r>
      <w:r w:rsidRPr="00C443E3">
        <w:rPr>
          <w:szCs w:val="24"/>
        </w:rPr>
        <w:t xml:space="preserve"> 9(1) </w:t>
      </w:r>
      <w:r>
        <w:rPr>
          <w:szCs w:val="24"/>
        </w:rPr>
        <w:t xml:space="preserve">and 10(1) </w:t>
      </w:r>
      <w:r w:rsidRPr="00C443E3">
        <w:rPr>
          <w:szCs w:val="24"/>
        </w:rPr>
        <w:t xml:space="preserve">of the ICCPR </w:t>
      </w:r>
      <w:r>
        <w:rPr>
          <w:szCs w:val="24"/>
        </w:rPr>
        <w:t>are</w:t>
      </w:r>
      <w:r w:rsidRPr="00C443E3">
        <w:rPr>
          <w:szCs w:val="24"/>
        </w:rPr>
        <w:t xml:space="preserve"> relevant to this inquiry.</w:t>
      </w:r>
      <w:r>
        <w:rPr>
          <w:szCs w:val="24"/>
        </w:rPr>
        <w:t xml:space="preserve"> </w:t>
      </w:r>
      <w:r w:rsidRPr="00C443E3">
        <w:rPr>
          <w:szCs w:val="24"/>
        </w:rPr>
        <w:t>Article 9(1) of the ICCPR provides:</w:t>
      </w:r>
    </w:p>
    <w:p w14:paraId="51E2033D" w14:textId="77777777" w:rsidR="005F2A66" w:rsidRDefault="005F2A66" w:rsidP="005F2A66">
      <w:pPr>
        <w:ind w:left="1418"/>
        <w:rPr>
          <w:iCs/>
          <w:sz w:val="22"/>
          <w:szCs w:val="22"/>
        </w:rPr>
      </w:pPr>
      <w:r w:rsidRPr="00FF14A2">
        <w:rPr>
          <w:iCs/>
          <w:sz w:val="22"/>
          <w:szCs w:val="22"/>
        </w:rPr>
        <w:t xml:space="preserve">Everyone has the right to liberty and security of person. No one shall be subjected to arbitrary arrest or detention. No one shall be deprived of his liberty except on </w:t>
      </w:r>
      <w:r w:rsidRPr="00CB2497">
        <w:rPr>
          <w:iCs/>
          <w:sz w:val="22"/>
          <w:szCs w:val="22"/>
        </w:rPr>
        <w:t>suc</w:t>
      </w:r>
      <w:r w:rsidRPr="00293F94">
        <w:rPr>
          <w:iCs/>
          <w:sz w:val="22"/>
          <w:szCs w:val="22"/>
        </w:rPr>
        <w:t>h grounds and in accordance with such procedure as are established by law.</w:t>
      </w:r>
    </w:p>
    <w:p w14:paraId="66A31945" w14:textId="77777777" w:rsidR="005F2A66" w:rsidRPr="00D72437" w:rsidRDefault="005F2A66" w:rsidP="005F2A66">
      <w:pPr>
        <w:keepNext/>
        <w:numPr>
          <w:ilvl w:val="0"/>
          <w:numId w:val="7"/>
        </w:numPr>
        <w:rPr>
          <w:szCs w:val="24"/>
        </w:rPr>
      </w:pPr>
      <w:r w:rsidRPr="00D72437">
        <w:rPr>
          <w:szCs w:val="24"/>
        </w:rPr>
        <w:t>Article 10</w:t>
      </w:r>
      <w:r>
        <w:rPr>
          <w:szCs w:val="24"/>
        </w:rPr>
        <w:t>(1) of the ICCPR provides:</w:t>
      </w:r>
    </w:p>
    <w:p w14:paraId="1A0D4B4E" w14:textId="77777777" w:rsidR="005F2A66" w:rsidRPr="00B96D30" w:rsidRDefault="005F2A66" w:rsidP="005F2A66">
      <w:pPr>
        <w:keepNext/>
        <w:ind w:left="1440"/>
        <w:rPr>
          <w:sz w:val="22"/>
          <w:szCs w:val="22"/>
        </w:rPr>
      </w:pPr>
      <w:r w:rsidRPr="00B96D30">
        <w:rPr>
          <w:sz w:val="22"/>
          <w:szCs w:val="22"/>
        </w:rPr>
        <w:t>[A]</w:t>
      </w:r>
      <w:proofErr w:type="spellStart"/>
      <w:r w:rsidRPr="00B96D30">
        <w:rPr>
          <w:sz w:val="22"/>
          <w:szCs w:val="22"/>
        </w:rPr>
        <w:t>ll</w:t>
      </w:r>
      <w:proofErr w:type="spellEnd"/>
      <w:r w:rsidRPr="00B96D30">
        <w:rPr>
          <w:sz w:val="22"/>
          <w:szCs w:val="22"/>
        </w:rPr>
        <w:t xml:space="preserve"> persons deprived of their liberty shall be treated with humanity and with respect for the inherent dignity of the human person.</w:t>
      </w:r>
    </w:p>
    <w:p w14:paraId="0B0E9DA5" w14:textId="77777777" w:rsidR="005F2A66" w:rsidRDefault="005F2A66" w:rsidP="005F2A66">
      <w:pPr>
        <w:pStyle w:val="Heading1"/>
        <w:numPr>
          <w:ilvl w:val="0"/>
          <w:numId w:val="80"/>
        </w:numPr>
        <w:spacing w:after="0"/>
      </w:pPr>
      <w:bookmarkStart w:id="8" w:name="_Toc304809411"/>
      <w:r>
        <w:t>Act or practice of the Commonwealth?</w:t>
      </w:r>
      <w:bookmarkEnd w:id="8"/>
    </w:p>
    <w:p w14:paraId="4AC28028" w14:textId="77777777" w:rsidR="005F2A66" w:rsidRPr="00FA120A" w:rsidRDefault="005F2A66" w:rsidP="005F2A66">
      <w:pPr>
        <w:numPr>
          <w:ilvl w:val="0"/>
          <w:numId w:val="7"/>
        </w:numPr>
        <w:rPr>
          <w:szCs w:val="24"/>
        </w:rPr>
      </w:pPr>
      <w:r>
        <w:t>The Commonwealth detained Mr Kong in an immigration detention centre for 9 months from 28 March 2011 until 16 December 2011.</w:t>
      </w:r>
    </w:p>
    <w:p w14:paraId="22BB67BC" w14:textId="77777777" w:rsidR="005F2A66" w:rsidRPr="00F67558" w:rsidRDefault="005F2A66" w:rsidP="005F2A66">
      <w:pPr>
        <w:numPr>
          <w:ilvl w:val="0"/>
          <w:numId w:val="7"/>
        </w:numPr>
        <w:rPr>
          <w:szCs w:val="24"/>
        </w:rPr>
      </w:pPr>
      <w:r>
        <w:t>S</w:t>
      </w:r>
      <w:r w:rsidRPr="006B3FD3">
        <w:t>ection 189</w:t>
      </w:r>
      <w:r>
        <w:t>(1) of the Migration Act requires</w:t>
      </w:r>
      <w:r w:rsidRPr="007875DE">
        <w:t xml:space="preserve"> the detention of unlawful non-citizens. As Mr </w:t>
      </w:r>
      <w:r>
        <w:t>Kong’s student visa had been cancelled and his bridging visa had expired</w:t>
      </w:r>
      <w:r w:rsidRPr="007875DE">
        <w:t>, he was an unlawf</w:t>
      </w:r>
      <w:r>
        <w:t>ul non-citizen and therefore the Migration Act required that he be</w:t>
      </w:r>
      <w:r w:rsidRPr="007875DE">
        <w:t xml:space="preserve"> detained.</w:t>
      </w:r>
      <w:r>
        <w:t xml:space="preserve"> </w:t>
      </w:r>
    </w:p>
    <w:p w14:paraId="0A874BAD" w14:textId="77777777" w:rsidR="005F2A66" w:rsidRPr="001E31FB" w:rsidRDefault="005F2A66" w:rsidP="005F2A66">
      <w:pPr>
        <w:numPr>
          <w:ilvl w:val="0"/>
          <w:numId w:val="7"/>
        </w:numPr>
        <w:rPr>
          <w:szCs w:val="24"/>
        </w:rPr>
      </w:pPr>
      <w:r w:rsidRPr="007875DE">
        <w:t>However,</w:t>
      </w:r>
      <w:r>
        <w:t xml:space="preserve"> under s</w:t>
      </w:r>
      <w:r w:rsidR="00D45324">
        <w:t xml:space="preserve"> </w:t>
      </w:r>
      <w:r>
        <w:t>195A of the Migration Act, if the Minister thinks it is in the public interest to do so, the Minister may grant a visa to a person detained under s 189 of the Migration Act.</w:t>
      </w:r>
    </w:p>
    <w:p w14:paraId="036EDE0E" w14:textId="77777777" w:rsidR="005F2A66" w:rsidRPr="000E1A58" w:rsidRDefault="005F2A66" w:rsidP="005F2A66">
      <w:pPr>
        <w:numPr>
          <w:ilvl w:val="0"/>
          <w:numId w:val="7"/>
        </w:numPr>
      </w:pPr>
      <w:r>
        <w:lastRenderedPageBreak/>
        <w:t>The Minister could also have made a residence determination. Section</w:t>
      </w:r>
      <w:r w:rsidRPr="000E1A58">
        <w:t xml:space="preserve"> </w:t>
      </w:r>
      <w:r>
        <w:t>197AB of the Migration Act provides:</w:t>
      </w:r>
    </w:p>
    <w:p w14:paraId="4F496706" w14:textId="77777777" w:rsidR="005F2A66" w:rsidRDefault="005F2A66" w:rsidP="005F2A66">
      <w:pPr>
        <w:pStyle w:val="ListParagraph"/>
        <w:ind w:left="1418"/>
        <w:rPr>
          <w:sz w:val="22"/>
          <w:szCs w:val="22"/>
        </w:rPr>
      </w:pPr>
      <w:r w:rsidRPr="0085458C">
        <w:rPr>
          <w:sz w:val="22"/>
          <w:szCs w:val="22"/>
        </w:rPr>
        <w:t xml:space="preserve">If the Minister thinks that it is in the public interest to do so, the Minister may make a determination (a </w:t>
      </w:r>
      <w:r w:rsidRPr="0085458C">
        <w:rPr>
          <w:b/>
          <w:i/>
          <w:sz w:val="22"/>
          <w:szCs w:val="22"/>
        </w:rPr>
        <w:t>residence determination</w:t>
      </w:r>
      <w:r w:rsidRPr="0085458C">
        <w:rPr>
          <w:sz w:val="22"/>
          <w:szCs w:val="22"/>
        </w:rPr>
        <w:t>) to the effect that one or more specified persons to whom this subdivision applies are to reside at a specified place, instead of being detained at a place covered by the definition of immigration detention in subsection 5(1).</w:t>
      </w:r>
    </w:p>
    <w:p w14:paraId="4E0223E6" w14:textId="77777777" w:rsidR="005F2A66" w:rsidRDefault="005F2A66" w:rsidP="005F2A66">
      <w:pPr>
        <w:numPr>
          <w:ilvl w:val="0"/>
          <w:numId w:val="7"/>
        </w:numPr>
      </w:pPr>
      <w:r>
        <w:t>Further, the definition of ‘immigration detention’ includes ‘being held by, or on behalf of, an officer in another place approved by the Minister in writing’.</w:t>
      </w:r>
      <w:r w:rsidRPr="00305C3B">
        <w:rPr>
          <w:vertAlign w:val="superscript"/>
        </w:rPr>
        <w:endnoteReference w:id="2"/>
      </w:r>
      <w:r>
        <w:t xml:space="preserve"> </w:t>
      </w:r>
    </w:p>
    <w:p w14:paraId="43281CC6" w14:textId="77777777" w:rsidR="005F2A66" w:rsidRDefault="005F2A66" w:rsidP="005F2A66">
      <w:pPr>
        <w:numPr>
          <w:ilvl w:val="0"/>
          <w:numId w:val="7"/>
        </w:numPr>
      </w:pPr>
      <w:r>
        <w:t xml:space="preserve">Accordingly, the Minister could have granted a visa to Mr Kong, made a residence determination in relation to him under s 197AB of the Migration Act or could have approved that Mr Kong reside in a place other than the VIDC.  </w:t>
      </w:r>
    </w:p>
    <w:p w14:paraId="74E4B92F" w14:textId="77777777" w:rsidR="005F2A66" w:rsidRPr="00915171" w:rsidRDefault="005F2A66" w:rsidP="005F2A66">
      <w:pPr>
        <w:numPr>
          <w:ilvl w:val="0"/>
          <w:numId w:val="7"/>
        </w:numPr>
      </w:pPr>
      <w:r w:rsidRPr="00915171">
        <w:t>I</w:t>
      </w:r>
      <w:r>
        <w:t xml:space="preserve"> therefore find that </w:t>
      </w:r>
      <w:r w:rsidRPr="00915171">
        <w:t xml:space="preserve">the </w:t>
      </w:r>
      <w:r>
        <w:t xml:space="preserve">Commonwealth’s failure to grant Mr Kong a bridging visa or place him in a less restrictive form of detention than the VIDC, during the 9 months he was detained, can be characterised as </w:t>
      </w:r>
      <w:r w:rsidRPr="00915171">
        <w:t xml:space="preserve">an </w:t>
      </w:r>
      <w:r>
        <w:t>‘</w:t>
      </w:r>
      <w:r w:rsidRPr="00915171">
        <w:t>act</w:t>
      </w:r>
      <w:r>
        <w:t>’</w:t>
      </w:r>
      <w:r w:rsidRPr="00915171">
        <w:t xml:space="preserve"> within the definition of s 3 of the AHRC Act.</w:t>
      </w:r>
    </w:p>
    <w:p w14:paraId="05A13770" w14:textId="77777777" w:rsidR="005F2A66" w:rsidRDefault="005F2A66" w:rsidP="005F2A66">
      <w:pPr>
        <w:pStyle w:val="Heading1"/>
        <w:numPr>
          <w:ilvl w:val="0"/>
          <w:numId w:val="80"/>
        </w:numPr>
        <w:spacing w:after="0"/>
      </w:pPr>
      <w:bookmarkStart w:id="9" w:name="_Toc304809412"/>
      <w:r w:rsidRPr="008F0D2B">
        <w:t>Arbitrary detention</w:t>
      </w:r>
      <w:bookmarkEnd w:id="9"/>
    </w:p>
    <w:p w14:paraId="14D884CE" w14:textId="77777777" w:rsidR="005F2A66" w:rsidRPr="008179B9" w:rsidRDefault="005F2A66" w:rsidP="005F2A66">
      <w:pPr>
        <w:numPr>
          <w:ilvl w:val="0"/>
          <w:numId w:val="7"/>
        </w:numPr>
        <w:rPr>
          <w:szCs w:val="24"/>
        </w:rPr>
      </w:pPr>
      <w:r w:rsidRPr="008179B9">
        <w:t xml:space="preserve">Mr </w:t>
      </w:r>
      <w:r>
        <w:t>Kong</w:t>
      </w:r>
      <w:r w:rsidRPr="008179B9">
        <w:t xml:space="preserve"> claims that his detention in </w:t>
      </w:r>
      <w:r>
        <w:t>V</w:t>
      </w:r>
      <w:r w:rsidRPr="008179B9">
        <w:t xml:space="preserve">IDC from </w:t>
      </w:r>
      <w:r>
        <w:t>28 March</w:t>
      </w:r>
      <w:r w:rsidRPr="008179B9">
        <w:t xml:space="preserve"> 2011 until 1</w:t>
      </w:r>
      <w:r>
        <w:t>6 December 2011</w:t>
      </w:r>
      <w:r w:rsidRPr="008179B9">
        <w:t xml:space="preserve"> was arbitrary within the meaning of article 9(1) of the ICCPR.</w:t>
      </w:r>
    </w:p>
    <w:p w14:paraId="516B8064" w14:textId="77777777" w:rsidR="005F2A66" w:rsidRDefault="005F2A66" w:rsidP="005F2A66">
      <w:pPr>
        <w:pStyle w:val="Heading2"/>
        <w:numPr>
          <w:ilvl w:val="1"/>
          <w:numId w:val="80"/>
        </w:numPr>
        <w:tabs>
          <w:tab w:val="clear" w:pos="1091"/>
          <w:tab w:val="num" w:pos="2411"/>
        </w:tabs>
        <w:spacing w:after="0"/>
        <w:ind w:left="709" w:hanging="709"/>
      </w:pPr>
      <w:bookmarkStart w:id="10" w:name="_Toc304809413"/>
      <w:r>
        <w:t>Law</w:t>
      </w:r>
      <w:bookmarkEnd w:id="10"/>
      <w:r>
        <w:t xml:space="preserve"> </w:t>
      </w:r>
    </w:p>
    <w:p w14:paraId="242966F4" w14:textId="77777777" w:rsidR="005F2A66" w:rsidRPr="009A531E" w:rsidRDefault="005F2A66" w:rsidP="005F2A66">
      <w:pPr>
        <w:numPr>
          <w:ilvl w:val="0"/>
          <w:numId w:val="7"/>
        </w:numPr>
        <w:rPr>
          <w:szCs w:val="24"/>
        </w:rPr>
      </w:pPr>
      <w:r w:rsidRPr="009A531E">
        <w:rPr>
          <w:szCs w:val="24"/>
        </w:rPr>
        <w:t xml:space="preserve">The following principles relating to arbitrary detention </w:t>
      </w:r>
      <w:r>
        <w:rPr>
          <w:szCs w:val="24"/>
        </w:rPr>
        <w:t>within the meaning of</w:t>
      </w:r>
      <w:r w:rsidRPr="009A531E">
        <w:rPr>
          <w:szCs w:val="24"/>
        </w:rPr>
        <w:t xml:space="preserve"> article</w:t>
      </w:r>
      <w:r>
        <w:rPr>
          <w:szCs w:val="24"/>
        </w:rPr>
        <w:t> </w:t>
      </w:r>
      <w:r w:rsidRPr="009A531E">
        <w:rPr>
          <w:szCs w:val="24"/>
        </w:rPr>
        <w:t>9 of the ICCPR arise from international human rights jurisprudence:</w:t>
      </w:r>
    </w:p>
    <w:p w14:paraId="635F6452" w14:textId="77777777" w:rsidR="005F2A66" w:rsidRPr="009A531E" w:rsidRDefault="005F2A66" w:rsidP="005F2A66">
      <w:pPr>
        <w:ind w:left="720"/>
        <w:rPr>
          <w:szCs w:val="24"/>
        </w:rPr>
      </w:pPr>
      <w:r>
        <w:rPr>
          <w:szCs w:val="24"/>
        </w:rPr>
        <w:t>(a)</w:t>
      </w:r>
      <w:r>
        <w:rPr>
          <w:szCs w:val="24"/>
        </w:rPr>
        <w:tab/>
      </w:r>
      <w:r w:rsidRPr="009A531E">
        <w:rPr>
          <w:szCs w:val="24"/>
        </w:rPr>
        <w:t>‘detention’ includes immigration detention;</w:t>
      </w:r>
      <w:r w:rsidRPr="001A6FFE">
        <w:rPr>
          <w:vertAlign w:val="superscript"/>
        </w:rPr>
        <w:endnoteReference w:id="3"/>
      </w:r>
    </w:p>
    <w:p w14:paraId="5D989B25" w14:textId="77777777" w:rsidR="005F2A66" w:rsidRPr="009A531E" w:rsidRDefault="005F2A66" w:rsidP="005F2A66">
      <w:pPr>
        <w:ind w:left="1440" w:hanging="720"/>
        <w:rPr>
          <w:szCs w:val="24"/>
        </w:rPr>
      </w:pPr>
      <w:r>
        <w:rPr>
          <w:szCs w:val="24"/>
        </w:rPr>
        <w:t>(b)</w:t>
      </w:r>
      <w:r>
        <w:rPr>
          <w:szCs w:val="24"/>
        </w:rPr>
        <w:tab/>
      </w:r>
      <w:r w:rsidRPr="009A531E">
        <w:rPr>
          <w:szCs w:val="24"/>
        </w:rPr>
        <w:t>lawful detention may become arbitrary when a person’s deprivation of liberty becomes unjust, unreasonable or disproportionate to the Commonwealth’s legitimate aim of ensuring the effective operation of Australia’s migration system;</w:t>
      </w:r>
      <w:r w:rsidRPr="001A6FFE">
        <w:rPr>
          <w:vertAlign w:val="superscript"/>
        </w:rPr>
        <w:endnoteReference w:id="4"/>
      </w:r>
    </w:p>
    <w:p w14:paraId="4284AFDC" w14:textId="77777777" w:rsidR="005F2A66" w:rsidRPr="009A531E" w:rsidRDefault="005F2A66" w:rsidP="005F2A66">
      <w:pPr>
        <w:ind w:left="1440" w:hanging="720"/>
        <w:rPr>
          <w:szCs w:val="24"/>
        </w:rPr>
      </w:pPr>
      <w:r>
        <w:rPr>
          <w:szCs w:val="24"/>
        </w:rPr>
        <w:t>(c)</w:t>
      </w:r>
      <w:r>
        <w:rPr>
          <w:szCs w:val="24"/>
        </w:rPr>
        <w:tab/>
      </w:r>
      <w:r w:rsidRPr="009A531E">
        <w:rPr>
          <w:szCs w:val="24"/>
        </w:rPr>
        <w:t>arbitrariness is not to be equated with ‘against the law’; it must be interpreted more broadly to include elements of inappropriateness, injustice or lack of predictability;</w:t>
      </w:r>
      <w:r w:rsidRPr="001A6FFE">
        <w:rPr>
          <w:vertAlign w:val="superscript"/>
        </w:rPr>
        <w:endnoteReference w:id="5"/>
      </w:r>
      <w:r w:rsidRPr="009A531E">
        <w:rPr>
          <w:szCs w:val="24"/>
        </w:rPr>
        <w:t xml:space="preserve"> and</w:t>
      </w:r>
    </w:p>
    <w:p w14:paraId="775B6775" w14:textId="77777777" w:rsidR="005F2A66" w:rsidRPr="009A531E" w:rsidRDefault="005F2A66" w:rsidP="005F2A66">
      <w:pPr>
        <w:ind w:left="1440" w:hanging="720"/>
        <w:rPr>
          <w:szCs w:val="24"/>
        </w:rPr>
      </w:pPr>
      <w:r>
        <w:rPr>
          <w:szCs w:val="24"/>
        </w:rPr>
        <w:t>(d)</w:t>
      </w:r>
      <w:r>
        <w:rPr>
          <w:szCs w:val="24"/>
        </w:rPr>
        <w:tab/>
      </w:r>
      <w:r w:rsidRPr="009A531E">
        <w:rPr>
          <w:szCs w:val="24"/>
        </w:rPr>
        <w:t>detention should not continue beyond the period for which a State party can provide appropriate justification.</w:t>
      </w:r>
      <w:r w:rsidRPr="001A6FFE">
        <w:rPr>
          <w:vertAlign w:val="superscript"/>
        </w:rPr>
        <w:endnoteReference w:id="6"/>
      </w:r>
      <w:r w:rsidRPr="009A531E">
        <w:rPr>
          <w:szCs w:val="24"/>
        </w:rPr>
        <w:t xml:space="preserve"> </w:t>
      </w:r>
    </w:p>
    <w:p w14:paraId="089CD9DC" w14:textId="77777777" w:rsidR="005F2A66" w:rsidRPr="009A531E" w:rsidRDefault="005F2A66" w:rsidP="005F2A66">
      <w:pPr>
        <w:numPr>
          <w:ilvl w:val="0"/>
          <w:numId w:val="7"/>
        </w:numPr>
        <w:rPr>
          <w:szCs w:val="24"/>
        </w:rPr>
      </w:pPr>
      <w:r w:rsidRPr="009A531E">
        <w:rPr>
          <w:szCs w:val="24"/>
        </w:rPr>
        <w:t xml:space="preserve">In </w:t>
      </w:r>
      <w:r w:rsidRPr="009A531E">
        <w:rPr>
          <w:i/>
          <w:szCs w:val="24"/>
        </w:rPr>
        <w:t>Van Alphen v The Netherlands</w:t>
      </w:r>
      <w:r w:rsidRPr="009A531E">
        <w:rPr>
          <w:szCs w:val="24"/>
        </w:rPr>
        <w:t xml:space="preserve"> the U</w:t>
      </w:r>
      <w:r w:rsidR="00532779">
        <w:rPr>
          <w:szCs w:val="24"/>
        </w:rPr>
        <w:t xml:space="preserve">nited </w:t>
      </w:r>
      <w:r w:rsidRPr="009A531E">
        <w:rPr>
          <w:szCs w:val="24"/>
        </w:rPr>
        <w:t>N</w:t>
      </w:r>
      <w:r w:rsidR="00532779">
        <w:rPr>
          <w:szCs w:val="24"/>
        </w:rPr>
        <w:t>ations</w:t>
      </w:r>
      <w:r w:rsidRPr="009A531E">
        <w:rPr>
          <w:szCs w:val="24"/>
        </w:rPr>
        <w:t xml:space="preserve"> Human Rights Committee </w:t>
      </w:r>
      <w:r>
        <w:rPr>
          <w:szCs w:val="24"/>
        </w:rPr>
        <w:t xml:space="preserve">(UNHRC) </w:t>
      </w:r>
      <w:r w:rsidRPr="009A531E">
        <w:rPr>
          <w:szCs w:val="24"/>
        </w:rPr>
        <w:t>found detention for a period of two months to be arbitrary because the State Party did not show that remand in custody was necessary to prevent flight, interference with evidence or recurrence of crime.</w:t>
      </w:r>
      <w:r w:rsidRPr="001A6FFE">
        <w:rPr>
          <w:vertAlign w:val="superscript"/>
        </w:rPr>
        <w:endnoteReference w:id="7"/>
      </w:r>
      <w:r>
        <w:rPr>
          <w:szCs w:val="24"/>
        </w:rPr>
        <w:t xml:space="preserve"> </w:t>
      </w:r>
    </w:p>
    <w:p w14:paraId="045E8532" w14:textId="77777777" w:rsidR="005F2A66" w:rsidRDefault="005F2A66" w:rsidP="005F2A66">
      <w:pPr>
        <w:numPr>
          <w:ilvl w:val="0"/>
          <w:numId w:val="7"/>
        </w:numPr>
        <w:rPr>
          <w:szCs w:val="24"/>
        </w:rPr>
      </w:pPr>
      <w:r w:rsidRPr="009A531E">
        <w:rPr>
          <w:szCs w:val="24"/>
        </w:rPr>
        <w:t xml:space="preserve">The </w:t>
      </w:r>
      <w:r>
        <w:rPr>
          <w:szCs w:val="24"/>
        </w:rPr>
        <w:t>UNHRC</w:t>
      </w:r>
      <w:r w:rsidRPr="009A531E">
        <w:rPr>
          <w:szCs w:val="24"/>
        </w:rPr>
        <w:t xml:space="preserve"> has held in several c</w:t>
      </w:r>
      <w:r>
        <w:rPr>
          <w:szCs w:val="24"/>
        </w:rPr>
        <w:t>ommunications</w:t>
      </w:r>
      <w:r w:rsidRPr="009A531E">
        <w:rPr>
          <w:szCs w:val="24"/>
        </w:rPr>
        <w:t xml:space="preserve"> that there is an obligation on the State Party to demonstrate that there was not a less invasive way than detention to achieve the ends of the State Party’s immigration policy (for </w:t>
      </w:r>
      <w:r w:rsidRPr="009A531E">
        <w:rPr>
          <w:szCs w:val="24"/>
        </w:rPr>
        <w:lastRenderedPageBreak/>
        <w:t>example the imposition of reporting obligations, sureties or other conditions) in order to avoid the conclusion that detention was arbitrary.</w:t>
      </w:r>
      <w:r w:rsidRPr="001A6FFE">
        <w:rPr>
          <w:szCs w:val="24"/>
          <w:vertAlign w:val="superscript"/>
        </w:rPr>
        <w:endnoteReference w:id="8"/>
      </w:r>
      <w:r>
        <w:rPr>
          <w:szCs w:val="24"/>
        </w:rPr>
        <w:t xml:space="preserve"> </w:t>
      </w:r>
    </w:p>
    <w:p w14:paraId="39289273" w14:textId="77777777" w:rsidR="005F2A66" w:rsidRDefault="005F2A66" w:rsidP="005F2A66">
      <w:pPr>
        <w:pStyle w:val="Heading2"/>
        <w:numPr>
          <w:ilvl w:val="1"/>
          <w:numId w:val="80"/>
        </w:numPr>
        <w:tabs>
          <w:tab w:val="clear" w:pos="1091"/>
          <w:tab w:val="num" w:pos="2411"/>
        </w:tabs>
        <w:spacing w:after="0"/>
        <w:ind w:left="709" w:hanging="709"/>
      </w:pPr>
      <w:bookmarkStart w:id="11" w:name="_Toc304809414"/>
      <w:r>
        <w:t>The Department’s response</w:t>
      </w:r>
      <w:bookmarkEnd w:id="11"/>
      <w:r>
        <w:t xml:space="preserve"> </w:t>
      </w:r>
    </w:p>
    <w:p w14:paraId="648723F6" w14:textId="77777777" w:rsidR="005F2A66" w:rsidRDefault="005F2A66" w:rsidP="005F2A66">
      <w:pPr>
        <w:numPr>
          <w:ilvl w:val="0"/>
          <w:numId w:val="7"/>
        </w:numPr>
      </w:pPr>
      <w:r>
        <w:t>When asked the reason for Mr Kong’s detention in an immigration detention centre, the Department responded that ‘once lawfully detained, the only circumstances, under the Act, in which a client can be released from detention is when they are granted a visa or removed from Australia’.</w:t>
      </w:r>
    </w:p>
    <w:p w14:paraId="2F7B7A92" w14:textId="77777777" w:rsidR="005F2A66" w:rsidRDefault="005F2A66" w:rsidP="005F2A66">
      <w:pPr>
        <w:numPr>
          <w:ilvl w:val="0"/>
          <w:numId w:val="7"/>
        </w:numPr>
      </w:pPr>
      <w:r>
        <w:t>On 28 April 2011, Mr Kong’s case was referred to the Minister for consideration of a residence determination under s 197AB of the Migration Act. On 29 July 2011, this referral was finalised as ‘no longer required’ as Mr Kong was scheduled to be involuntarily removed from Australia on 17 August 2011. On 16 August 2011, Mr Kong’s involuntary removal was suspended when the Full Federal Court ordered that his removal not be progressed while the appeal of his student visa cancellation was ongoing. The materials provided by the Department disclose that no further consideration was given to referring Mr Kong’s case to the Minister for a residence determination. This is despite the fact that Mr Kong was cleared of any involvement in the VIDC riot on 18 July 2011. Mr Kong also made numerous requests to the Minister to exercise his discretion under sections 417 and 351 of the Migration Act to intervene. Each time the Minister either did not consider the request or declined to intervene.</w:t>
      </w:r>
    </w:p>
    <w:p w14:paraId="2F1A0397" w14:textId="77777777" w:rsidR="005F2A66" w:rsidRPr="002A731C" w:rsidRDefault="005F2A66" w:rsidP="005F2A66">
      <w:pPr>
        <w:numPr>
          <w:ilvl w:val="0"/>
          <w:numId w:val="7"/>
        </w:numPr>
      </w:pPr>
      <w:r w:rsidRPr="00A73097">
        <w:rPr>
          <w:rFonts w:cs="Arial"/>
          <w:szCs w:val="24"/>
        </w:rPr>
        <w:t>The Department states that it reviewed Mr Kong’s detention on eight occasions, on 3 May 2011, 23 May 2011, 29 June 2011, 11 August 2011, 17 August 2011, 19 November 2011, 16 November 2011 and 12 December 2011. At each of these reviews, no change was recommended.</w:t>
      </w:r>
    </w:p>
    <w:p w14:paraId="14087573" w14:textId="77777777" w:rsidR="005F2A66" w:rsidRDefault="005F2A66" w:rsidP="005F2A66">
      <w:pPr>
        <w:pStyle w:val="Heading2"/>
        <w:numPr>
          <w:ilvl w:val="1"/>
          <w:numId w:val="80"/>
        </w:numPr>
        <w:tabs>
          <w:tab w:val="clear" w:pos="1091"/>
          <w:tab w:val="num" w:pos="2411"/>
        </w:tabs>
        <w:spacing w:after="0"/>
        <w:ind w:left="709" w:hanging="709"/>
      </w:pPr>
      <w:bookmarkStart w:id="12" w:name="_Toc304809415"/>
      <w:r>
        <w:t>Finding</w:t>
      </w:r>
      <w:bookmarkEnd w:id="12"/>
      <w:r>
        <w:t xml:space="preserve"> </w:t>
      </w:r>
    </w:p>
    <w:p w14:paraId="238E7C18" w14:textId="77777777" w:rsidR="005F2A66" w:rsidRPr="00B46173" w:rsidRDefault="005F2A66" w:rsidP="005F2A66">
      <w:pPr>
        <w:numPr>
          <w:ilvl w:val="0"/>
          <w:numId w:val="7"/>
        </w:numPr>
        <w:rPr>
          <w:rFonts w:cs="Arial"/>
          <w:szCs w:val="24"/>
        </w:rPr>
      </w:pPr>
      <w:r w:rsidRPr="00B46173">
        <w:rPr>
          <w:rFonts w:cs="Arial"/>
          <w:szCs w:val="24"/>
        </w:rPr>
        <w:t xml:space="preserve">I am not satisfied that Mr </w:t>
      </w:r>
      <w:r>
        <w:rPr>
          <w:rFonts w:cs="Arial"/>
          <w:szCs w:val="24"/>
        </w:rPr>
        <w:t>Kong’s detention at VIDC was necessary or proportionate to the Commonwealth’s legitimate aim of ensuring the effective operation of its migration system. Mr Kong had been living in the community on bridging visas prior to his detention and presented himself voluntarily to the Department when his bridging visa expired. This indicates that Mr Kong was prepared to co-operate with the Department and suggests he did not represent a flight risk. There is no evidence that he posed any risk to the Australian community. On the material before me, I am not satisfied that the detention of Mr Kong in an immigration detention centre was justified.</w:t>
      </w:r>
    </w:p>
    <w:p w14:paraId="2C3B6ADA" w14:textId="77777777" w:rsidR="005F2A66" w:rsidRDefault="005F2A66" w:rsidP="00515F57">
      <w:pPr>
        <w:pStyle w:val="ListParagraph"/>
        <w:numPr>
          <w:ilvl w:val="0"/>
          <w:numId w:val="7"/>
        </w:numPr>
        <w:contextualSpacing/>
      </w:pPr>
      <w:r>
        <w:t xml:space="preserve">The </w:t>
      </w:r>
      <w:r w:rsidRPr="00915171">
        <w:t xml:space="preserve">statutory provisions identified above empowered the Minister to </w:t>
      </w:r>
      <w:r>
        <w:t>grant Mr Kong a bridging visa while his immigration status was being resolved or to detain Mr Kong in the community</w:t>
      </w:r>
      <w:r w:rsidRPr="00915171">
        <w:t xml:space="preserve">. I </w:t>
      </w:r>
      <w:r>
        <w:t>find</w:t>
      </w:r>
      <w:r w:rsidRPr="00915171">
        <w:t xml:space="preserve"> that the failure of the </w:t>
      </w:r>
      <w:r>
        <w:t xml:space="preserve">Commonwealth to grant Mr Kong a bridging visa or place him in a less restrictive form of detention than the VIDC was an </w:t>
      </w:r>
      <w:r w:rsidRPr="00915171">
        <w:t xml:space="preserve">act that was inconsistent with or contrary to the human right recognised in article 9(1) of the ICCPR. </w:t>
      </w:r>
      <w:r w:rsidRPr="002D6B31">
        <w:rPr>
          <w:rFonts w:cs="Arial"/>
          <w:szCs w:val="24"/>
        </w:rPr>
        <w:t>I</w:t>
      </w:r>
      <w:r>
        <w:rPr>
          <w:rFonts w:cs="Arial"/>
          <w:szCs w:val="24"/>
        </w:rPr>
        <w:t xml:space="preserve"> find</w:t>
      </w:r>
      <w:r w:rsidRPr="002D6B31">
        <w:rPr>
          <w:rFonts w:cs="Arial"/>
          <w:szCs w:val="24"/>
        </w:rPr>
        <w:t xml:space="preserve"> that Mr Kong’s detention in the VIDC for 9 months was arbitrary in breach of article 9 of the ICCPR.</w:t>
      </w:r>
      <w:r>
        <w:rPr>
          <w:rFonts w:cs="Arial"/>
          <w:szCs w:val="24"/>
        </w:rPr>
        <w:t xml:space="preserve"> </w:t>
      </w:r>
    </w:p>
    <w:p w14:paraId="7E7F07A1" w14:textId="77777777" w:rsidR="005F2A66" w:rsidRPr="008D270B" w:rsidRDefault="005F2A66" w:rsidP="00515F57">
      <w:pPr>
        <w:pStyle w:val="Heading1"/>
        <w:numPr>
          <w:ilvl w:val="0"/>
          <w:numId w:val="80"/>
        </w:numPr>
        <w:spacing w:before="240"/>
      </w:pPr>
      <w:bookmarkStart w:id="13" w:name="_Toc406056528"/>
      <w:bookmarkStart w:id="14" w:name="_Toc304809416"/>
      <w:bookmarkStart w:id="15" w:name="_Toc352947010"/>
      <w:r>
        <w:lastRenderedPageBreak/>
        <w:t>Detention in the Blaxland compound</w:t>
      </w:r>
      <w:bookmarkEnd w:id="13"/>
      <w:bookmarkEnd w:id="14"/>
    </w:p>
    <w:p w14:paraId="6A54B4E8" w14:textId="77777777" w:rsidR="005F2A66" w:rsidRDefault="005F2A66" w:rsidP="00515F57">
      <w:pPr>
        <w:pStyle w:val="ListParagraph"/>
        <w:numPr>
          <w:ilvl w:val="0"/>
          <w:numId w:val="7"/>
        </w:numPr>
      </w:pPr>
      <w:r>
        <w:rPr>
          <w:rFonts w:cs="Arial"/>
          <w:szCs w:val="24"/>
        </w:rPr>
        <w:t xml:space="preserve">Mr Kong also complains about his transfer to the Blaxland compound in the VIDC following the VIDC riots. Mr Kong states that on ‘23 April 2011, [he was] forcefully detained in the highest secured and isolated small dorm in Blaxland compound’. </w:t>
      </w:r>
    </w:p>
    <w:p w14:paraId="4EAD0737" w14:textId="77777777" w:rsidR="005F2A66" w:rsidRPr="00515F57" w:rsidRDefault="005F2A66" w:rsidP="00515F57">
      <w:pPr>
        <w:pStyle w:val="ListParagraph"/>
        <w:numPr>
          <w:ilvl w:val="0"/>
          <w:numId w:val="7"/>
        </w:numPr>
        <w:rPr>
          <w:rFonts w:cs="Arial"/>
          <w:szCs w:val="24"/>
        </w:rPr>
      </w:pPr>
      <w:r>
        <w:rPr>
          <w:rFonts w:cs="Arial"/>
          <w:szCs w:val="24"/>
        </w:rPr>
        <w:t>Mr Kong states that he was ‘an innocent person with a clean character record’ and the serious criminal offence accusation brought him ‘heavy stress, anxiety, depress, pain and anger’. He states that ‘after 13 weeks I have been detained in isolated prison-like dorm, I was suddenly transferred back to Hughes compound in the middle of July 2011, but without any explanations, without any investigations and without any investigation reports’.</w:t>
      </w:r>
    </w:p>
    <w:p w14:paraId="5EFAA823" w14:textId="54A8F9E2" w:rsidR="005F2A66" w:rsidRDefault="005F2A66" w:rsidP="00515F57">
      <w:pPr>
        <w:pStyle w:val="ListParagraph"/>
        <w:numPr>
          <w:ilvl w:val="0"/>
          <w:numId w:val="7"/>
        </w:numPr>
      </w:pPr>
      <w:r>
        <w:rPr>
          <w:rFonts w:cs="Arial"/>
          <w:szCs w:val="24"/>
        </w:rPr>
        <w:t>The Department states that Mr Kong was ‘transferred to Blaxland Accommodation Area on 23 April 2011 after he was identified by the Detention Services Provider (Serco) as a ‘person of interest’ to the Australian Federal Police in relation to the major disturbances that occurred on 20 April 2011’. The Department further states that ‘Mr Kong was implicated in the destruction of the fence line separating the Medical Unit/Kitchen from the Hughes compound’. The Department relocated all ‘persons of interest’ to the Blaxland compound pending investigation by the Australian Federal Police</w:t>
      </w:r>
      <w:r w:rsidR="00FC5749">
        <w:rPr>
          <w:rFonts w:cs="Arial"/>
          <w:szCs w:val="24"/>
        </w:rPr>
        <w:t xml:space="preserve"> (AFP)</w:t>
      </w:r>
      <w:r>
        <w:rPr>
          <w:rFonts w:cs="Arial"/>
          <w:szCs w:val="24"/>
        </w:rPr>
        <w:t>.</w:t>
      </w:r>
    </w:p>
    <w:p w14:paraId="51113AC7" w14:textId="77777777" w:rsidR="005F2A66" w:rsidRDefault="005F2A66" w:rsidP="00515F57">
      <w:pPr>
        <w:pStyle w:val="ListParagraph"/>
        <w:numPr>
          <w:ilvl w:val="0"/>
          <w:numId w:val="7"/>
        </w:numPr>
      </w:pPr>
      <w:r>
        <w:t xml:space="preserve">The Department states that Mr Kong’s Case Manager informed him that this was the reason for his move to Blaxland. </w:t>
      </w:r>
    </w:p>
    <w:p w14:paraId="1D08CBFF" w14:textId="77777777" w:rsidR="005F2A66" w:rsidRDefault="005F2A66" w:rsidP="00515F57">
      <w:pPr>
        <w:pStyle w:val="ListParagraph"/>
        <w:numPr>
          <w:ilvl w:val="0"/>
          <w:numId w:val="7"/>
        </w:numPr>
      </w:pPr>
      <w:r>
        <w:t>I accept the Department’s explanation for Mr Kong’s transfer to the high security Blaxland Compound. The Department has indicated that the AFP inquired into the incident and subsequently cleared Mr Kong of any involvement. Once the inquiry concluded on 18 July 2011, the Department moved Mr Kong back to the Hughes Compound.</w:t>
      </w:r>
    </w:p>
    <w:p w14:paraId="7586B818" w14:textId="77777777" w:rsidR="005F2A66" w:rsidRDefault="005F2A66" w:rsidP="00515F57">
      <w:pPr>
        <w:pStyle w:val="ListParagraph"/>
        <w:numPr>
          <w:ilvl w:val="0"/>
          <w:numId w:val="7"/>
        </w:numPr>
      </w:pPr>
      <w:r>
        <w:t>I accept that Mr Kong found his transfer to Blaxland and the allegation that he was involved in the VIDC riots to be distressing.</w:t>
      </w:r>
    </w:p>
    <w:p w14:paraId="4C517557" w14:textId="77777777" w:rsidR="005F2A66" w:rsidRPr="00F07FC9" w:rsidRDefault="005F2A66" w:rsidP="00515F57">
      <w:pPr>
        <w:pStyle w:val="ListParagraph"/>
        <w:numPr>
          <w:ilvl w:val="0"/>
          <w:numId w:val="7"/>
        </w:numPr>
      </w:pPr>
      <w:r>
        <w:t>I have already found that Mr Kong’s detention at VIDC was arbitrary. On the material before me, I find that Mr Kong’s transfer to Blaxland from 23 April to 18 July 2011, is not in itself a breach of articles 9 or 10 of the ICCPR.</w:t>
      </w:r>
    </w:p>
    <w:p w14:paraId="6C0F77EC" w14:textId="77777777" w:rsidR="005F2A66" w:rsidRDefault="005F2A66" w:rsidP="00515F57">
      <w:pPr>
        <w:pStyle w:val="Heading1"/>
        <w:numPr>
          <w:ilvl w:val="0"/>
          <w:numId w:val="80"/>
        </w:numPr>
        <w:spacing w:before="240"/>
      </w:pPr>
      <w:bookmarkStart w:id="16" w:name="_Toc304809417"/>
      <w:r>
        <w:t>Recommendations</w:t>
      </w:r>
      <w:bookmarkEnd w:id="16"/>
    </w:p>
    <w:bookmarkEnd w:id="15"/>
    <w:p w14:paraId="28789977" w14:textId="77777777" w:rsidR="005F2A66" w:rsidRDefault="005F2A66" w:rsidP="00515F57">
      <w:pPr>
        <w:numPr>
          <w:ilvl w:val="0"/>
          <w:numId w:val="7"/>
        </w:numPr>
        <w:rPr>
          <w:szCs w:val="24"/>
        </w:rPr>
      </w:pPr>
      <w:r>
        <w:rPr>
          <w:szCs w:val="24"/>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Pr>
          <w:rStyle w:val="EndnoteReference"/>
          <w:szCs w:val="24"/>
        </w:rPr>
        <w:endnoteReference w:id="9"/>
      </w:r>
      <w:r>
        <w:rPr>
          <w:szCs w:val="24"/>
        </w:rPr>
        <w:t xml:space="preserve"> The Commission may include in the notice any recommendation for preventing a repetition of the act or a continuation of the practice.</w:t>
      </w:r>
      <w:r>
        <w:rPr>
          <w:rStyle w:val="EndnoteReference"/>
          <w:szCs w:val="24"/>
        </w:rPr>
        <w:endnoteReference w:id="10"/>
      </w:r>
      <w:r>
        <w:rPr>
          <w:szCs w:val="24"/>
        </w:rPr>
        <w:t xml:space="preserve"> The Commission may also recommend:</w:t>
      </w:r>
    </w:p>
    <w:p w14:paraId="35A4201B" w14:textId="77777777" w:rsidR="005F2A66" w:rsidRDefault="005F2A66" w:rsidP="00515F57">
      <w:pPr>
        <w:numPr>
          <w:ilvl w:val="1"/>
          <w:numId w:val="7"/>
        </w:numPr>
        <w:rPr>
          <w:szCs w:val="24"/>
        </w:rPr>
      </w:pPr>
      <w:r>
        <w:rPr>
          <w:szCs w:val="24"/>
        </w:rPr>
        <w:t>The payment of compensation to, or in respect of, a person who has suffered loss or damage; and</w:t>
      </w:r>
    </w:p>
    <w:p w14:paraId="74707649" w14:textId="77777777" w:rsidR="005F2A66" w:rsidRDefault="005F2A66" w:rsidP="00515F57">
      <w:pPr>
        <w:numPr>
          <w:ilvl w:val="1"/>
          <w:numId w:val="7"/>
        </w:numPr>
        <w:rPr>
          <w:szCs w:val="24"/>
        </w:rPr>
      </w:pPr>
      <w:r>
        <w:rPr>
          <w:szCs w:val="24"/>
        </w:rPr>
        <w:t>Other action to remedy or reduce the loss or damage suffered by a person.</w:t>
      </w:r>
      <w:r>
        <w:rPr>
          <w:rStyle w:val="EndnoteReference"/>
          <w:szCs w:val="24"/>
        </w:rPr>
        <w:endnoteReference w:id="11"/>
      </w:r>
    </w:p>
    <w:p w14:paraId="1976BD7E" w14:textId="77777777" w:rsidR="005F2A66" w:rsidRDefault="005F2A66" w:rsidP="00515F57">
      <w:pPr>
        <w:pStyle w:val="Heading2"/>
        <w:numPr>
          <w:ilvl w:val="1"/>
          <w:numId w:val="80"/>
        </w:numPr>
        <w:tabs>
          <w:tab w:val="clear" w:pos="1091"/>
          <w:tab w:val="num" w:pos="1135"/>
        </w:tabs>
        <w:spacing w:before="240"/>
        <w:ind w:left="1135"/>
      </w:pPr>
      <w:bookmarkStart w:id="17" w:name="_Toc304809418"/>
      <w:r>
        <w:lastRenderedPageBreak/>
        <w:t>Compensation</w:t>
      </w:r>
      <w:bookmarkEnd w:id="17"/>
    </w:p>
    <w:p w14:paraId="7B503EB2" w14:textId="77777777" w:rsidR="005F2A66" w:rsidRDefault="005F2A66" w:rsidP="00515F57">
      <w:pPr>
        <w:numPr>
          <w:ilvl w:val="0"/>
          <w:numId w:val="7"/>
        </w:numPr>
        <w:rPr>
          <w:szCs w:val="24"/>
        </w:rPr>
      </w:pPr>
      <w:r>
        <w:rPr>
          <w:szCs w:val="24"/>
        </w:rPr>
        <w:t>There is no judicial guidance dealing with the assessment of recommendations for financial compensation for breaches of human rights under the AHRC Act.</w:t>
      </w:r>
    </w:p>
    <w:p w14:paraId="50822E25" w14:textId="77777777" w:rsidR="005F2A66" w:rsidRDefault="005F2A66" w:rsidP="00515F57">
      <w:pPr>
        <w:numPr>
          <w:ilvl w:val="0"/>
          <w:numId w:val="7"/>
        </w:numPr>
        <w:rPr>
          <w:szCs w:val="24"/>
        </w:rPr>
      </w:pPr>
      <w:r>
        <w:rPr>
          <w:szCs w:val="24"/>
        </w:rPr>
        <w:t>However, in considering the assessment of a recommendation for compensation under s 35 of the AHRC Act (relating to discrimination matters under Part II, Division 4 of the AHRC Act), the Federal Court has indicated that tort principles for the assessment of damages should be applied.</w:t>
      </w:r>
      <w:r>
        <w:rPr>
          <w:rStyle w:val="EndnoteReference"/>
          <w:szCs w:val="24"/>
        </w:rPr>
        <w:endnoteReference w:id="12"/>
      </w:r>
    </w:p>
    <w:p w14:paraId="2D312878" w14:textId="77777777" w:rsidR="005F2A66" w:rsidRDefault="005F2A66" w:rsidP="00515F57">
      <w:pPr>
        <w:numPr>
          <w:ilvl w:val="0"/>
          <w:numId w:val="7"/>
        </w:numPr>
        <w:rPr>
          <w:szCs w:val="24"/>
        </w:rPr>
      </w:pPr>
      <w:r>
        <w:rPr>
          <w:szCs w:val="24"/>
        </w:rPr>
        <w:t>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r>
        <w:rPr>
          <w:rStyle w:val="EndnoteReference"/>
          <w:szCs w:val="24"/>
        </w:rPr>
        <w:endnoteReference w:id="13"/>
      </w:r>
    </w:p>
    <w:p w14:paraId="51EA5411" w14:textId="77777777" w:rsidR="005F2A66" w:rsidRPr="00F27B90" w:rsidRDefault="00206563" w:rsidP="005F2A66">
      <w:pPr>
        <w:pStyle w:val="Heading3"/>
        <w:numPr>
          <w:ilvl w:val="2"/>
          <w:numId w:val="80"/>
        </w:numPr>
        <w:spacing w:after="0"/>
      </w:pPr>
      <w:bookmarkStart w:id="18" w:name="_Toc304809419"/>
      <w:r>
        <w:t>Principles relating to c</w:t>
      </w:r>
      <w:r w:rsidR="005F2A66">
        <w:t>ompensation</w:t>
      </w:r>
      <w:bookmarkEnd w:id="18"/>
    </w:p>
    <w:p w14:paraId="25A7ED2A" w14:textId="77777777" w:rsidR="005F2A66" w:rsidRPr="00D72FBC" w:rsidRDefault="005F2A66" w:rsidP="005F2A66">
      <w:pPr>
        <w:numPr>
          <w:ilvl w:val="0"/>
          <w:numId w:val="7"/>
        </w:numPr>
        <w:rPr>
          <w:szCs w:val="24"/>
        </w:rPr>
      </w:pPr>
      <w:r w:rsidRPr="00D72FBC">
        <w:rPr>
          <w:szCs w:val="24"/>
        </w:rPr>
        <w:t xml:space="preserve">I have been asked to consider compensation for Mr Kong for being arbitrarily detained in contravention of article 9(1) of the ICCPR. </w:t>
      </w:r>
    </w:p>
    <w:p w14:paraId="364227B2" w14:textId="77777777" w:rsidR="005F2A66" w:rsidRDefault="005F2A66" w:rsidP="005F2A66">
      <w:pPr>
        <w:numPr>
          <w:ilvl w:val="0"/>
          <w:numId w:val="7"/>
        </w:numPr>
        <w:rPr>
          <w:szCs w:val="24"/>
        </w:rPr>
      </w:pPr>
      <w:r>
        <w:rPr>
          <w:szCs w:val="24"/>
        </w:rPr>
        <w:t>The tort of false imprisonment is a more limited action than an action for breach of article 9(1) of the ICCPR. This is because an action for false imprisonment cannot succeed where there is lawful authority for the detention, whereas a breach of article 9(1) of the ICCPR will be made out where it can be established that the detention was arbitrary, irrespective of legality.</w:t>
      </w:r>
    </w:p>
    <w:p w14:paraId="22F99D6D" w14:textId="77777777" w:rsidR="005F2A66" w:rsidRDefault="005F2A66" w:rsidP="005F2A66">
      <w:pPr>
        <w:numPr>
          <w:ilvl w:val="0"/>
          <w:numId w:val="7"/>
        </w:numPr>
        <w:rPr>
          <w:szCs w:val="24"/>
        </w:rPr>
      </w:pPr>
      <w:r>
        <w:rPr>
          <w:szCs w:val="24"/>
        </w:rPr>
        <w:t>Notwithstanding this important distinction, the damages awarded in false imprisonment cases provide an appropriate guide for the award of compensation for the breach of article 9(1) of the ICCPR. This is because the damages that are available in false imprisonment matters provide an indication of how the courts have considered it appropriate to compensate for loss of liberty.</w:t>
      </w:r>
    </w:p>
    <w:p w14:paraId="5D191631" w14:textId="77777777" w:rsidR="005F2A66" w:rsidRDefault="005F2A66" w:rsidP="005F2A66">
      <w:pPr>
        <w:numPr>
          <w:ilvl w:val="0"/>
          <w:numId w:val="7"/>
        </w:numPr>
        <w:rPr>
          <w:szCs w:val="24"/>
        </w:rPr>
      </w:pPr>
      <w:r>
        <w:rPr>
          <w:szCs w:val="24"/>
        </w:rPr>
        <w:t>The principle heads of damage for a tort of this nature are injury to liberty (the loss of freedom considered primarily from a non-pecuniary standpoint) and injury to feelings (the indignity, mental suffering, disgrace and humiliation, with any attendant loss of social status).</w:t>
      </w:r>
      <w:r>
        <w:rPr>
          <w:rStyle w:val="EndnoteReference"/>
          <w:szCs w:val="24"/>
        </w:rPr>
        <w:endnoteReference w:id="14"/>
      </w:r>
    </w:p>
    <w:p w14:paraId="26754D77" w14:textId="77777777" w:rsidR="005F2A66" w:rsidRDefault="005F2A66" w:rsidP="005F2A66">
      <w:pPr>
        <w:numPr>
          <w:ilvl w:val="0"/>
          <w:numId w:val="7"/>
        </w:numPr>
        <w:rPr>
          <w:szCs w:val="24"/>
        </w:rPr>
      </w:pPr>
      <w:r>
        <w:rPr>
          <w:szCs w:val="24"/>
        </w:rPr>
        <w:t xml:space="preserve">In the recent case of </w:t>
      </w:r>
      <w:r>
        <w:rPr>
          <w:i/>
          <w:szCs w:val="24"/>
        </w:rPr>
        <w:t>Fernando v Commonwealth of Australia (No 5)</w:t>
      </w:r>
      <w:r>
        <w:rPr>
          <w:szCs w:val="24"/>
        </w:rPr>
        <w:t>,</w:t>
      </w:r>
      <w:r>
        <w:rPr>
          <w:rStyle w:val="EndnoteReference"/>
          <w:szCs w:val="24"/>
        </w:rPr>
        <w:endnoteReference w:id="15"/>
      </w:r>
      <w:r>
        <w:rPr>
          <w:szCs w:val="24"/>
        </w:rPr>
        <w:t xml:space="preserve"> </w:t>
      </w:r>
      <w:proofErr w:type="spellStart"/>
      <w:r>
        <w:rPr>
          <w:szCs w:val="24"/>
        </w:rPr>
        <w:t>Siopis</w:t>
      </w:r>
      <w:proofErr w:type="spellEnd"/>
      <w:r>
        <w:rPr>
          <w:szCs w:val="24"/>
        </w:rPr>
        <w:t xml:space="preserve"> J considered the judicial guidance available on the quantum of damages for loss of liberty for a long period arising from wrongful imprisonment. </w:t>
      </w:r>
      <w:proofErr w:type="spellStart"/>
      <w:r>
        <w:rPr>
          <w:szCs w:val="24"/>
        </w:rPr>
        <w:t>Siopis</w:t>
      </w:r>
      <w:proofErr w:type="spellEnd"/>
      <w:r>
        <w:rPr>
          <w:szCs w:val="24"/>
        </w:rPr>
        <w:t xml:space="preserve"> J referred to the case of </w:t>
      </w:r>
      <w:r>
        <w:rPr>
          <w:i/>
          <w:szCs w:val="24"/>
        </w:rPr>
        <w:t>Nye v State of New South Wales</w:t>
      </w:r>
      <w:r>
        <w:rPr>
          <w:szCs w:val="24"/>
        </w:rPr>
        <w:t>:</w:t>
      </w:r>
      <w:r>
        <w:rPr>
          <w:rStyle w:val="EndnoteReference"/>
          <w:szCs w:val="24"/>
        </w:rPr>
        <w:endnoteReference w:id="16"/>
      </w:r>
    </w:p>
    <w:p w14:paraId="7D2984C6" w14:textId="77777777" w:rsidR="005F2A66" w:rsidRPr="00515F57" w:rsidRDefault="005F2A66" w:rsidP="005F2A66">
      <w:pPr>
        <w:ind w:left="1440"/>
        <w:rPr>
          <w:sz w:val="22"/>
        </w:rPr>
      </w:pPr>
      <w:r w:rsidRPr="00515F57">
        <w:rPr>
          <w:sz w:val="22"/>
        </w:rPr>
        <w:t xml:space="preserve">The </w:t>
      </w:r>
      <w:r w:rsidRPr="00515F57">
        <w:rPr>
          <w:i/>
          <w:sz w:val="22"/>
        </w:rPr>
        <w:t xml:space="preserve">Nye </w:t>
      </w:r>
      <w:r w:rsidRPr="00515F57">
        <w:rPr>
          <w:sz w:val="22"/>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recognised by </w:t>
      </w:r>
      <w:proofErr w:type="spellStart"/>
      <w:r w:rsidRPr="00515F57">
        <w:rPr>
          <w:sz w:val="22"/>
        </w:rPr>
        <w:t>Spigelman</w:t>
      </w:r>
      <w:proofErr w:type="spellEnd"/>
      <w:r w:rsidRPr="00515F57">
        <w:rPr>
          <w:sz w:val="22"/>
        </w:rPr>
        <w:t xml:space="preserve"> CJ in </w:t>
      </w:r>
      <w:r w:rsidRPr="00515F57">
        <w:rPr>
          <w:i/>
          <w:sz w:val="22"/>
        </w:rPr>
        <w:t xml:space="preserve">Ruddock </w:t>
      </w:r>
      <w:r w:rsidRPr="00515F57">
        <w:rPr>
          <w:sz w:val="22"/>
        </w:rPr>
        <w:t xml:space="preserve">(NSWCA), the Court did not assess damages by application of a daily rate, but awarded Mr Nye the sum of $100,000 in general damages. It is also relevant to observe that in </w:t>
      </w:r>
      <w:r w:rsidRPr="00515F57">
        <w:rPr>
          <w:i/>
          <w:sz w:val="22"/>
        </w:rPr>
        <w:t>Nye</w:t>
      </w:r>
      <w:r w:rsidRPr="00515F57">
        <w:rPr>
          <w:sz w:val="22"/>
        </w:rPr>
        <w:t>, the court referred to the fact that for a period of time during his detention in Long Bay Gaol, Mr Nye feared for his life at the hands of other inmates of that gaol.</w:t>
      </w:r>
      <w:r w:rsidRPr="00515F57">
        <w:rPr>
          <w:rStyle w:val="EndnoteReference"/>
          <w:sz w:val="22"/>
        </w:rPr>
        <w:endnoteReference w:id="17"/>
      </w:r>
    </w:p>
    <w:p w14:paraId="3CD7A920" w14:textId="77777777" w:rsidR="005F2A66" w:rsidRDefault="005F2A66" w:rsidP="005F2A66">
      <w:pPr>
        <w:numPr>
          <w:ilvl w:val="0"/>
          <w:numId w:val="7"/>
        </w:numPr>
        <w:rPr>
          <w:szCs w:val="24"/>
        </w:rPr>
      </w:pPr>
      <w:proofErr w:type="spellStart"/>
      <w:r>
        <w:rPr>
          <w:szCs w:val="24"/>
        </w:rPr>
        <w:lastRenderedPageBreak/>
        <w:t>Siopis</w:t>
      </w:r>
      <w:proofErr w:type="spellEnd"/>
      <w:r>
        <w:rPr>
          <w:szCs w:val="24"/>
        </w:rPr>
        <w:t xml:space="preserve"> J noted that further guidance on the quantum of damages for loss of liberty for a long period arising from wrongful imprisonment can be obtained from the case of </w:t>
      </w:r>
      <w:r>
        <w:rPr>
          <w:i/>
          <w:szCs w:val="24"/>
        </w:rPr>
        <w:t xml:space="preserve">Ruddock </w:t>
      </w:r>
      <w:r>
        <w:rPr>
          <w:szCs w:val="24"/>
        </w:rPr>
        <w:t>(NSWCA).</w:t>
      </w:r>
      <w:r>
        <w:rPr>
          <w:rStyle w:val="EndnoteReference"/>
          <w:szCs w:val="24"/>
        </w:rPr>
        <w:endnoteReference w:id="18"/>
      </w:r>
      <w:r>
        <w:rPr>
          <w:szCs w:val="24"/>
        </w:rPr>
        <w:t xml:space="preserve"> In that case at first instance,</w:t>
      </w:r>
      <w:r>
        <w:rPr>
          <w:rStyle w:val="EndnoteReference"/>
          <w:szCs w:val="24"/>
        </w:rPr>
        <w:endnoteReference w:id="19"/>
      </w:r>
      <w:r>
        <w:rPr>
          <w:szCs w:val="24"/>
        </w:rPr>
        <w:t xml:space="preserve"> the New South Wales District Court awarded the plaintiff, Mr Taylor, the sum of $116,000 in damages in respect of wrongful imprisonment, consequent upon his detention following the cancellation of his permanent residency visa on character grounds.</w:t>
      </w:r>
    </w:p>
    <w:p w14:paraId="387FFA94" w14:textId="77777777" w:rsidR="005F2A66" w:rsidRDefault="005F2A66" w:rsidP="005F2A66">
      <w:pPr>
        <w:numPr>
          <w:ilvl w:val="0"/>
          <w:numId w:val="7"/>
        </w:numPr>
        <w:rPr>
          <w:szCs w:val="24"/>
        </w:rPr>
      </w:pPr>
      <w:r>
        <w:rPr>
          <w:szCs w:val="24"/>
        </w:rPr>
        <w:t>Mr Taylor was detained for two separate periods. The first was for 161 days and the second was for 155 days. In that case, because Mr Taylor’s convictions were in relation to sexual offences against children, Mr Taylor was detained in a state prison under a ‘strict protection’ regime and not in an immigration detention centre. The detention regime to which Mr Taylor was subjected was described as a ‘particularly harsh one’.</w:t>
      </w:r>
    </w:p>
    <w:p w14:paraId="20BCE452" w14:textId="77777777" w:rsidR="005F2A66" w:rsidRDefault="005F2A66" w:rsidP="005F2A66">
      <w:pPr>
        <w:numPr>
          <w:ilvl w:val="0"/>
          <w:numId w:val="7"/>
        </w:numPr>
        <w:rPr>
          <w:szCs w:val="24"/>
        </w:rPr>
      </w:pPr>
      <w:r>
        <w:rPr>
          <w:szCs w:val="24"/>
        </w:rPr>
        <w:t>The Court also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Pr>
          <w:rStyle w:val="EndnoteReference"/>
          <w:szCs w:val="24"/>
        </w:rPr>
        <w:endnoteReference w:id="20"/>
      </w:r>
    </w:p>
    <w:p w14:paraId="098FEE7E" w14:textId="77777777" w:rsidR="005F2A66" w:rsidRDefault="005F2A66" w:rsidP="005F2A66">
      <w:pPr>
        <w:numPr>
          <w:ilvl w:val="0"/>
          <w:numId w:val="7"/>
        </w:numPr>
        <w:rPr>
          <w:szCs w:val="24"/>
        </w:rPr>
      </w:pPr>
      <w:r>
        <w:rPr>
          <w:szCs w:val="24"/>
        </w:rPr>
        <w:t xml:space="preserve">On appeal, in the New South Wales Court of Appeal, </w:t>
      </w:r>
      <w:proofErr w:type="spellStart"/>
      <w:r>
        <w:rPr>
          <w:szCs w:val="24"/>
        </w:rPr>
        <w:t>Spigelman</w:t>
      </w:r>
      <w:proofErr w:type="spellEnd"/>
      <w:r>
        <w:rPr>
          <w:szCs w:val="24"/>
        </w:rPr>
        <w:t xml:space="preserve"> CJ considered the adequacy of the damages awarded to Mr Taylor and observed that the quantum of damages was low, but not so low as to amount to </w:t>
      </w:r>
      <w:proofErr w:type="spellStart"/>
      <w:r>
        <w:rPr>
          <w:szCs w:val="24"/>
        </w:rPr>
        <w:t>appellable</w:t>
      </w:r>
      <w:proofErr w:type="spellEnd"/>
      <w:r>
        <w:rPr>
          <w:szCs w:val="24"/>
        </w:rPr>
        <w:t xml:space="preserve"> error.</w:t>
      </w:r>
      <w:r>
        <w:rPr>
          <w:rStyle w:val="EndnoteReference"/>
          <w:szCs w:val="24"/>
        </w:rPr>
        <w:endnoteReference w:id="21"/>
      </w:r>
      <w:r>
        <w:rPr>
          <w:szCs w:val="24"/>
        </w:rPr>
        <w:t xml:space="preserve"> </w:t>
      </w:r>
      <w:proofErr w:type="spellStart"/>
      <w:r>
        <w:rPr>
          <w:szCs w:val="24"/>
        </w:rPr>
        <w:t>Spigelman</w:t>
      </w:r>
      <w:proofErr w:type="spellEnd"/>
      <w:r>
        <w:rPr>
          <w:szCs w:val="24"/>
        </w:rPr>
        <w:t xml:space="preserve"> CJ also observed that:</w:t>
      </w:r>
    </w:p>
    <w:p w14:paraId="71BCFCEF" w14:textId="77777777" w:rsidR="005F2A66" w:rsidRPr="00515F57" w:rsidRDefault="005F2A66" w:rsidP="005F2A66">
      <w:pPr>
        <w:ind w:left="1440"/>
        <w:rPr>
          <w:sz w:val="22"/>
        </w:rPr>
      </w:pPr>
      <w:r w:rsidRPr="00515F57">
        <w:rPr>
          <w:sz w:val="22"/>
        </w:rPr>
        <w:t>Damages for false imprisonment cannot be computed on the basis that there is some kind of applicable daily rate. A substantial proportion of the ultimate award must be given for what has been described as “the initial shock of being arrested”. (</w:t>
      </w:r>
      <w:r w:rsidRPr="00515F57">
        <w:rPr>
          <w:i/>
          <w:sz w:val="22"/>
        </w:rPr>
        <w:t xml:space="preserve">Thompson; Hsu v Commissioner of Police of the Metropolis </w:t>
      </w:r>
      <w:r w:rsidRPr="00515F57">
        <w:rPr>
          <w:sz w:val="22"/>
        </w:rPr>
        <w:t>[1998] QB 498 at 515). As the term of imprisonment extends the effect upon the person falsely imprisoned does progressively diminish.</w:t>
      </w:r>
      <w:r w:rsidRPr="00515F57">
        <w:rPr>
          <w:rStyle w:val="EndnoteReference"/>
          <w:sz w:val="22"/>
        </w:rPr>
        <w:endnoteReference w:id="22"/>
      </w:r>
    </w:p>
    <w:p w14:paraId="7A40609F" w14:textId="77777777" w:rsidR="005F2A66" w:rsidRDefault="005F2A66" w:rsidP="005F2A66">
      <w:pPr>
        <w:numPr>
          <w:ilvl w:val="0"/>
          <w:numId w:val="7"/>
        </w:numPr>
        <w:rPr>
          <w:szCs w:val="24"/>
        </w:rPr>
      </w:pPr>
      <w:r>
        <w:rPr>
          <w:szCs w:val="24"/>
        </w:rPr>
        <w:t xml:space="preserve">Although in </w:t>
      </w:r>
      <w:r>
        <w:rPr>
          <w:i/>
          <w:szCs w:val="24"/>
        </w:rPr>
        <w:t xml:space="preserve">Fernando v Commonwealth of Australia (No 5), </w:t>
      </w:r>
      <w:proofErr w:type="spellStart"/>
      <w:r>
        <w:rPr>
          <w:szCs w:val="24"/>
        </w:rPr>
        <w:t>Siopis</w:t>
      </w:r>
      <w:proofErr w:type="spellEnd"/>
      <w:r>
        <w:rPr>
          <w:szCs w:val="24"/>
        </w:rPr>
        <w:t xml:space="preserve"> J ultimately accepted the Commonwealth’s argument that Mr Fernando was only entitled to nominal damages,</w:t>
      </w:r>
      <w:r>
        <w:rPr>
          <w:rStyle w:val="EndnoteReference"/>
          <w:szCs w:val="24"/>
        </w:rPr>
        <w:endnoteReference w:id="23"/>
      </w:r>
      <w:r>
        <w:rPr>
          <w:szCs w:val="24"/>
        </w:rPr>
        <w:t xml:space="preserve"> his Honour considered the sum of general damages he would have awarded in respect of Mr Fernando’s claim if his findings in respect of the Commonwealth’s argument on nominal damages were wrong. Mr Fernando was wrongfully imprisoned for 1,203 days in an immigration detention centre. </w:t>
      </w:r>
      <w:proofErr w:type="spellStart"/>
      <w:r>
        <w:rPr>
          <w:szCs w:val="24"/>
        </w:rPr>
        <w:t>Siopis</w:t>
      </w:r>
      <w:proofErr w:type="spellEnd"/>
      <w:r>
        <w:rPr>
          <w:szCs w:val="24"/>
        </w:rPr>
        <w:t xml:space="preserve"> J accepted Mr Fernando’s evidence that he suffered anxiety and stress during his detention and, also, that he was treated for depression during and after his detention and took these factors into account in assessing the quantum of damages. His Honour also noted that Mr Fernando’s evidence did not suggest that in immigration detention he was subjected to the harsh ‘strict protection’ regime to which Mr Taylor was subjected in a state prison, nor that Mr Fernando feared for his life at the hands of the inmates in the same way that Mr Nye did whilst he was detained at Long Bay Gaol. Taking all of these factors into account, </w:t>
      </w:r>
      <w:proofErr w:type="spellStart"/>
      <w:r>
        <w:rPr>
          <w:szCs w:val="24"/>
        </w:rPr>
        <w:t>Siopis</w:t>
      </w:r>
      <w:proofErr w:type="spellEnd"/>
      <w:r>
        <w:rPr>
          <w:szCs w:val="24"/>
        </w:rPr>
        <w:t xml:space="preserve"> J stated that he would have awarded Mr Fernando in respect of his 1,203 days in detention the sum of $265,000.</w:t>
      </w:r>
      <w:r>
        <w:rPr>
          <w:rStyle w:val="EndnoteReference"/>
          <w:szCs w:val="24"/>
        </w:rPr>
        <w:endnoteReference w:id="24"/>
      </w:r>
    </w:p>
    <w:p w14:paraId="12C7A116" w14:textId="77777777" w:rsidR="005F2A66" w:rsidRPr="00F27B90" w:rsidRDefault="005F2A66" w:rsidP="005F2A66">
      <w:pPr>
        <w:pStyle w:val="Heading3"/>
        <w:numPr>
          <w:ilvl w:val="2"/>
          <w:numId w:val="80"/>
        </w:numPr>
        <w:spacing w:after="0"/>
      </w:pPr>
      <w:bookmarkStart w:id="19" w:name="_Toc304809420"/>
      <w:r>
        <w:lastRenderedPageBreak/>
        <w:t>Recommendation that compensation be paid</w:t>
      </w:r>
      <w:bookmarkEnd w:id="19"/>
    </w:p>
    <w:p w14:paraId="0F7B7D12" w14:textId="77777777" w:rsidR="005F2A66" w:rsidRDefault="005F2A66" w:rsidP="005F2A66">
      <w:pPr>
        <w:numPr>
          <w:ilvl w:val="0"/>
          <w:numId w:val="7"/>
        </w:numPr>
        <w:rPr>
          <w:szCs w:val="24"/>
        </w:rPr>
      </w:pPr>
      <w:r>
        <w:rPr>
          <w:szCs w:val="24"/>
        </w:rPr>
        <w:t xml:space="preserve">I have found that Mr Kong’s detention from 28 March 2011 until 16 December 2011 was arbitrary within the meaning of article 9(1) of the ICCPR. </w:t>
      </w:r>
    </w:p>
    <w:p w14:paraId="0F79D83C" w14:textId="77777777" w:rsidR="005F2A66" w:rsidRDefault="005F2A66" w:rsidP="005F2A66">
      <w:pPr>
        <w:numPr>
          <w:ilvl w:val="0"/>
          <w:numId w:val="7"/>
        </w:numPr>
        <w:rPr>
          <w:szCs w:val="24"/>
        </w:rPr>
      </w:pPr>
      <w:r>
        <w:rPr>
          <w:szCs w:val="24"/>
        </w:rPr>
        <w:t>I note that Mr Kong had not been previously imprisoned in Australia</w:t>
      </w:r>
      <w:r w:rsidRPr="00217E43">
        <w:rPr>
          <w:szCs w:val="24"/>
        </w:rPr>
        <w:t xml:space="preserve"> </w:t>
      </w:r>
      <w:r>
        <w:rPr>
          <w:szCs w:val="24"/>
        </w:rPr>
        <w:t xml:space="preserve">and would have felt the disgrace and humiliation experienced by a person of good character. </w:t>
      </w:r>
      <w:r>
        <w:t xml:space="preserve">I note also that Mr Kong spent almost four months in a more restrictive detention centre setting in the Blaxland compound and the Annex. </w:t>
      </w:r>
    </w:p>
    <w:p w14:paraId="50692E38" w14:textId="77777777" w:rsidR="005F2A66" w:rsidRDefault="005F2A66" w:rsidP="005F2A66">
      <w:pPr>
        <w:numPr>
          <w:ilvl w:val="0"/>
          <w:numId w:val="7"/>
        </w:numPr>
        <w:rPr>
          <w:szCs w:val="24"/>
        </w:rPr>
      </w:pPr>
      <w:r>
        <w:rPr>
          <w:szCs w:val="24"/>
        </w:rPr>
        <w:t xml:space="preserve">I consider that the Commonwealth should pay to Mr Kong an appropriate amount of compensation to reflect the loss of liberty caused by his detention in accordance with the principles outlined above. </w:t>
      </w:r>
    </w:p>
    <w:p w14:paraId="6E1EEB90" w14:textId="77777777" w:rsidR="005F2A66" w:rsidRDefault="005F2A66" w:rsidP="005F2A66">
      <w:pPr>
        <w:pStyle w:val="Heading2"/>
        <w:numPr>
          <w:ilvl w:val="1"/>
          <w:numId w:val="69"/>
        </w:numPr>
        <w:tabs>
          <w:tab w:val="clear" w:pos="1091"/>
          <w:tab w:val="num" w:pos="1135"/>
        </w:tabs>
        <w:spacing w:after="0"/>
        <w:ind w:left="1135"/>
      </w:pPr>
      <w:bookmarkStart w:id="20" w:name="_Toc304809421"/>
      <w:r>
        <w:t>Apology</w:t>
      </w:r>
      <w:bookmarkEnd w:id="20"/>
    </w:p>
    <w:p w14:paraId="333FEF9F" w14:textId="77777777" w:rsidR="005F2A66" w:rsidRDefault="005F2A66" w:rsidP="005F2A66">
      <w:pPr>
        <w:numPr>
          <w:ilvl w:val="0"/>
          <w:numId w:val="7"/>
        </w:numPr>
        <w:rPr>
          <w:szCs w:val="24"/>
        </w:rPr>
      </w:pPr>
      <w:r>
        <w:rPr>
          <w:szCs w:val="24"/>
        </w:rPr>
        <w:t>In addition to compensation, I consider that it is appropriate that the Commonwealth provide a formal written apology to Mr Kong. Apologies are important remedies for breaches of human rights. They, at least to some extent, alleviate the suffering of those who have been wronged.</w:t>
      </w:r>
      <w:r>
        <w:rPr>
          <w:rStyle w:val="EndnoteReference"/>
          <w:szCs w:val="24"/>
        </w:rPr>
        <w:endnoteReference w:id="25"/>
      </w:r>
    </w:p>
    <w:p w14:paraId="36D8676D" w14:textId="77777777" w:rsidR="00182129" w:rsidRDefault="00182129" w:rsidP="00182129">
      <w:pPr>
        <w:pStyle w:val="Heading1"/>
      </w:pPr>
      <w:bookmarkStart w:id="21" w:name="_Toc304809422"/>
      <w:r>
        <w:t>Department’s response</w:t>
      </w:r>
      <w:bookmarkEnd w:id="21"/>
    </w:p>
    <w:p w14:paraId="27049113" w14:textId="77777777" w:rsidR="00182129" w:rsidRDefault="00182129" w:rsidP="005F2A66">
      <w:pPr>
        <w:numPr>
          <w:ilvl w:val="0"/>
          <w:numId w:val="7"/>
        </w:numPr>
        <w:rPr>
          <w:szCs w:val="24"/>
        </w:rPr>
      </w:pPr>
      <w:r>
        <w:rPr>
          <w:szCs w:val="24"/>
        </w:rPr>
        <w:t>On 2</w:t>
      </w:r>
      <w:r w:rsidR="00BA45D4">
        <w:rPr>
          <w:szCs w:val="24"/>
        </w:rPr>
        <w:t>6</w:t>
      </w:r>
      <w:r>
        <w:rPr>
          <w:szCs w:val="24"/>
        </w:rPr>
        <w:t xml:space="preserve"> June 2015, the Department provided a response</w:t>
      </w:r>
      <w:r w:rsidR="00BA45D4">
        <w:rPr>
          <w:szCs w:val="24"/>
        </w:rPr>
        <w:t xml:space="preserve"> to my findings and recommendations.</w:t>
      </w:r>
    </w:p>
    <w:p w14:paraId="753E3C86" w14:textId="7530998F" w:rsidR="00BA45D4" w:rsidRDefault="00BA45D4" w:rsidP="005F2A66">
      <w:pPr>
        <w:numPr>
          <w:ilvl w:val="0"/>
          <w:numId w:val="7"/>
        </w:numPr>
        <w:rPr>
          <w:szCs w:val="24"/>
        </w:rPr>
      </w:pPr>
      <w:r>
        <w:rPr>
          <w:szCs w:val="24"/>
        </w:rPr>
        <w:t xml:space="preserve">In relation to my recommendations that Mr Kong be paid compensation and provided an apology, the Department did not accept </w:t>
      </w:r>
      <w:r w:rsidR="00637053">
        <w:rPr>
          <w:szCs w:val="24"/>
        </w:rPr>
        <w:t>these</w:t>
      </w:r>
      <w:r w:rsidR="00637053">
        <w:rPr>
          <w:szCs w:val="24"/>
        </w:rPr>
        <w:t xml:space="preserve"> </w:t>
      </w:r>
      <w:r>
        <w:rPr>
          <w:szCs w:val="24"/>
        </w:rPr>
        <w:t>recommendation</w:t>
      </w:r>
      <w:r w:rsidR="00637053">
        <w:rPr>
          <w:szCs w:val="24"/>
        </w:rPr>
        <w:t>s</w:t>
      </w:r>
      <w:r>
        <w:rPr>
          <w:szCs w:val="24"/>
        </w:rPr>
        <w:t>, stating:</w:t>
      </w:r>
    </w:p>
    <w:p w14:paraId="6FA4CA7A" w14:textId="77777777" w:rsidR="00BA45D4" w:rsidRDefault="00515F57" w:rsidP="00515F57">
      <w:pPr>
        <w:ind w:left="1440"/>
        <w:rPr>
          <w:sz w:val="22"/>
          <w:szCs w:val="24"/>
        </w:rPr>
      </w:pPr>
      <w:r w:rsidRPr="00515F57">
        <w:rPr>
          <w:sz w:val="22"/>
          <w:szCs w:val="24"/>
        </w:rPr>
        <w:t xml:space="preserve">Any monetary claim for compensation against the Commonwealth can only be considered where it is consistent with the </w:t>
      </w:r>
      <w:r w:rsidRPr="00515F57">
        <w:rPr>
          <w:i/>
          <w:sz w:val="22"/>
          <w:szCs w:val="24"/>
        </w:rPr>
        <w:t>Legal Services Directions 2005</w:t>
      </w:r>
      <w:r w:rsidRPr="00515F57">
        <w:rPr>
          <w:sz w:val="22"/>
          <w:szCs w:val="24"/>
        </w:rPr>
        <w:t>.</w:t>
      </w:r>
      <w:r w:rsidRPr="00515F57">
        <w:rPr>
          <w:i/>
          <w:sz w:val="22"/>
          <w:szCs w:val="24"/>
        </w:rPr>
        <w:t xml:space="preserve"> </w:t>
      </w:r>
      <w:r w:rsidRPr="00515F57">
        <w:rPr>
          <w:sz w:val="22"/>
          <w:szCs w:val="24"/>
        </w:rPr>
        <w:t xml:space="preserve">The </w:t>
      </w:r>
      <w:r w:rsidRPr="00515F57">
        <w:rPr>
          <w:i/>
          <w:sz w:val="22"/>
          <w:szCs w:val="24"/>
        </w:rPr>
        <w:t>Legal Services Directions 2005</w:t>
      </w:r>
      <w:r w:rsidRPr="00515F57">
        <w:rPr>
          <w:sz w:val="22"/>
          <w:szCs w:val="24"/>
        </w:rPr>
        <w:t xml:space="preserve"> provide that a matter may only be settled where there is at least a meaningful prospect of liability being established against the Commonwealth. Furthermore, the amount of compensation that is offered must be in accordance with legal principle and practice.</w:t>
      </w:r>
      <w:r w:rsidR="00CB2DD1">
        <w:rPr>
          <w:sz w:val="22"/>
          <w:szCs w:val="24"/>
        </w:rPr>
        <w:t xml:space="preserve"> </w:t>
      </w:r>
    </w:p>
    <w:p w14:paraId="1FF89672" w14:textId="77777777" w:rsidR="00CF5576" w:rsidRDefault="00CF5576" w:rsidP="00515F57">
      <w:pPr>
        <w:ind w:left="1440"/>
        <w:rPr>
          <w:sz w:val="22"/>
          <w:szCs w:val="24"/>
        </w:rPr>
      </w:pPr>
      <w:r>
        <w:rPr>
          <w:sz w:val="22"/>
          <w:szCs w:val="24"/>
        </w:rPr>
        <w:t>The Department considers that Mr Kong’s detention was lawful and that the decisions and processes were appropriate having regard to the circumstances of his case. The Department therefore considers that there is no meaningful prospect of liability being established against the Commonwealth under Australian domestic law and as such no proper legal basis to consider a payment of compensation to Mr Kong. The Department is therefore unable to pay compensation to Mr Kong.</w:t>
      </w:r>
    </w:p>
    <w:p w14:paraId="1EB04B17" w14:textId="77777777" w:rsidR="00CF5576" w:rsidRDefault="00CF5576" w:rsidP="00515F57">
      <w:pPr>
        <w:ind w:left="1440"/>
        <w:rPr>
          <w:sz w:val="22"/>
          <w:szCs w:val="24"/>
        </w:rPr>
      </w:pPr>
      <w:r>
        <w:rPr>
          <w:sz w:val="22"/>
          <w:szCs w:val="24"/>
        </w:rPr>
        <w:t>Although</w:t>
      </w:r>
      <w:r w:rsidR="007676D5">
        <w:rPr>
          <w:sz w:val="22"/>
          <w:szCs w:val="24"/>
        </w:rPr>
        <w:t xml:space="preserve"> there are limited circumstances in which the Commonwealth may pay compensation on a discretionary basis, </w:t>
      </w:r>
      <w:r w:rsidR="007676D5">
        <w:rPr>
          <w:i/>
          <w:sz w:val="22"/>
          <w:szCs w:val="24"/>
        </w:rPr>
        <w:t>Resource Management No. 409</w:t>
      </w:r>
      <w:r w:rsidR="007676D5">
        <w:rPr>
          <w:sz w:val="22"/>
          <w:szCs w:val="24"/>
        </w:rPr>
        <w:t xml:space="preserve"> and </w:t>
      </w:r>
      <w:r w:rsidR="007676D5">
        <w:rPr>
          <w:i/>
          <w:sz w:val="22"/>
          <w:szCs w:val="24"/>
        </w:rPr>
        <w:t>No. 401</w:t>
      </w:r>
      <w:r w:rsidR="007676D5">
        <w:rPr>
          <w:sz w:val="22"/>
          <w:szCs w:val="24"/>
        </w:rPr>
        <w:t xml:space="preserve"> generally limit such payments to situations where a person has suffered some form of financial detriment or injury arising out of defective administration on the part of the Commonwealth, or otherwise experienced an anomalous, inequitable or unintended outcome as a result of the application of Commonwealth legislation or policy. On the basis of the current information the Department is not satisfied that there is a proper basis for payment of discretionary compensation at this time.</w:t>
      </w:r>
    </w:p>
    <w:p w14:paraId="6C3D6341" w14:textId="77777777" w:rsidR="007676D5" w:rsidRPr="007676D5" w:rsidRDefault="007676D5" w:rsidP="00515F57">
      <w:pPr>
        <w:ind w:left="1440"/>
        <w:rPr>
          <w:sz w:val="22"/>
          <w:szCs w:val="24"/>
        </w:rPr>
      </w:pPr>
      <w:r>
        <w:rPr>
          <w:sz w:val="22"/>
          <w:szCs w:val="24"/>
        </w:rPr>
        <w:lastRenderedPageBreak/>
        <w:t>The Department therefore holds the view that there is no basis for payment of compensation to Mr Kong nor a formal written apology and advises that it will not be taking any further action in relation to these recommendations.</w:t>
      </w:r>
    </w:p>
    <w:p w14:paraId="3C75E760" w14:textId="0DE1299C" w:rsidR="005F2A66" w:rsidRPr="00923CD8" w:rsidRDefault="00BA45D4" w:rsidP="00923CD8">
      <w:pPr>
        <w:numPr>
          <w:ilvl w:val="0"/>
          <w:numId w:val="7"/>
        </w:numPr>
        <w:rPr>
          <w:szCs w:val="24"/>
        </w:rPr>
      </w:pPr>
      <w:r>
        <w:rPr>
          <w:szCs w:val="24"/>
        </w:rPr>
        <w:t>I report accordingly to the Attorney-General.</w:t>
      </w:r>
    </w:p>
    <w:p w14:paraId="123A12BD" w14:textId="77777777" w:rsidR="00A06AAB" w:rsidRDefault="00A06AAB" w:rsidP="002F08AC">
      <w:pPr>
        <w:spacing w:before="0" w:after="0"/>
        <w:rPr>
          <w:rFonts w:cs="Arial"/>
          <w:bCs/>
          <w:lang w:val="en-US"/>
        </w:rPr>
      </w:pPr>
    </w:p>
    <w:p w14:paraId="101473D2" w14:textId="77777777" w:rsidR="00923CD8" w:rsidRDefault="00923CD8" w:rsidP="002F08AC">
      <w:pPr>
        <w:spacing w:before="0" w:after="0"/>
        <w:rPr>
          <w:rFonts w:cs="Arial"/>
          <w:bCs/>
          <w:lang w:val="en-US"/>
        </w:rPr>
      </w:pPr>
    </w:p>
    <w:p w14:paraId="7BABE832" w14:textId="77777777" w:rsidR="00923CD8" w:rsidRDefault="00923CD8" w:rsidP="002F08AC">
      <w:pPr>
        <w:spacing w:before="0" w:after="0"/>
        <w:rPr>
          <w:rFonts w:cs="Arial"/>
          <w:bCs/>
          <w:lang w:val="en-US"/>
        </w:rPr>
      </w:pPr>
    </w:p>
    <w:p w14:paraId="2C55052C" w14:textId="0DAF1064" w:rsidR="005F2A66" w:rsidRPr="002F08AC" w:rsidRDefault="005F2A66" w:rsidP="002F08AC">
      <w:pPr>
        <w:spacing w:before="0" w:after="0"/>
        <w:rPr>
          <w:rFonts w:cs="Arial"/>
          <w:bCs/>
          <w:lang w:val="en-US"/>
        </w:rPr>
      </w:pPr>
      <w:r w:rsidRPr="002F08AC">
        <w:rPr>
          <w:rFonts w:cs="Arial"/>
          <w:bCs/>
          <w:lang w:val="en-US"/>
        </w:rPr>
        <w:t xml:space="preserve">Gillian </w:t>
      </w:r>
      <w:proofErr w:type="spellStart"/>
      <w:r w:rsidRPr="002F08AC">
        <w:rPr>
          <w:rFonts w:cs="Arial"/>
          <w:bCs/>
          <w:lang w:val="en-US"/>
        </w:rPr>
        <w:t>Triggs</w:t>
      </w:r>
      <w:proofErr w:type="spellEnd"/>
    </w:p>
    <w:p w14:paraId="54B44166" w14:textId="77777777" w:rsidR="005F2A66" w:rsidRDefault="005F2A66" w:rsidP="002F08AC">
      <w:pPr>
        <w:spacing w:before="0" w:after="0"/>
        <w:rPr>
          <w:rFonts w:cs="Arial"/>
          <w:b/>
          <w:bCs/>
          <w:lang w:val="en-US"/>
        </w:rPr>
      </w:pPr>
      <w:r>
        <w:rPr>
          <w:rFonts w:cs="Arial"/>
          <w:b/>
          <w:bCs/>
          <w:lang w:val="en-US"/>
        </w:rPr>
        <w:t xml:space="preserve">President </w:t>
      </w:r>
    </w:p>
    <w:p w14:paraId="223DCCC9" w14:textId="77777777" w:rsidR="005F2A66" w:rsidRPr="0090470E" w:rsidRDefault="005F2A66" w:rsidP="002F08AC">
      <w:pPr>
        <w:spacing w:before="0" w:after="0"/>
        <w:rPr>
          <w:rFonts w:cs="Arial"/>
          <w:bCs/>
          <w:lang w:val="en-US"/>
        </w:rPr>
      </w:pPr>
      <w:r w:rsidRPr="0090470E">
        <w:rPr>
          <w:rFonts w:cs="Arial"/>
          <w:bCs/>
          <w:lang w:val="en-US"/>
        </w:rPr>
        <w:t>Australian Human Rights Commission</w:t>
      </w:r>
    </w:p>
    <w:p w14:paraId="37E5EF9F" w14:textId="77777777" w:rsidR="005F2A66" w:rsidRDefault="005F2A66" w:rsidP="005F2A66">
      <w:pPr>
        <w:rPr>
          <w:rFonts w:cs="Arial"/>
          <w:lang w:val="en-US"/>
        </w:rPr>
      </w:pPr>
    </w:p>
    <w:p w14:paraId="0B266DDF" w14:textId="1C92F1AD" w:rsidR="005F2A66" w:rsidRPr="00961430" w:rsidRDefault="00637053" w:rsidP="005F2A66">
      <w:pPr>
        <w:spacing w:after="120"/>
        <w:rPr>
          <w:rFonts w:cs="Arial"/>
          <w:szCs w:val="24"/>
        </w:rPr>
      </w:pPr>
      <w:r>
        <w:rPr>
          <w:rFonts w:cs="Arial"/>
          <w:szCs w:val="24"/>
        </w:rPr>
        <w:t>October</w:t>
      </w:r>
      <w:r>
        <w:rPr>
          <w:rFonts w:cs="Arial"/>
          <w:szCs w:val="24"/>
        </w:rPr>
        <w:t xml:space="preserve"> </w:t>
      </w:r>
      <w:r w:rsidR="005F2A66">
        <w:rPr>
          <w:rFonts w:cs="Arial"/>
          <w:szCs w:val="24"/>
        </w:rPr>
        <w:t>2015</w:t>
      </w:r>
    </w:p>
    <w:p w14:paraId="5C51C5F2" w14:textId="77777777" w:rsidR="005D322A" w:rsidRPr="00961430" w:rsidRDefault="005D322A" w:rsidP="005F2A66">
      <w:pPr>
        <w:rPr>
          <w:rFonts w:cs="Arial"/>
          <w:szCs w:val="24"/>
        </w:rPr>
      </w:pPr>
    </w:p>
    <w:p w14:paraId="4823CF1F" w14:textId="77777777" w:rsidR="0065498F" w:rsidRPr="0065498F" w:rsidRDefault="0065498F" w:rsidP="0065498F">
      <w:pPr>
        <w:spacing w:before="0" w:after="0"/>
        <w:rPr>
          <w:sz w:val="28"/>
          <w:szCs w:val="28"/>
        </w:rPr>
      </w:pPr>
    </w:p>
    <w:sectPr w:rsidR="0065498F" w:rsidRPr="0065498F" w:rsidSect="00364ACF">
      <w:footerReference w:type="default" r:id="rId16"/>
      <w:endnotePr>
        <w:numFmt w:val="decimal"/>
      </w:endnotePr>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14E4B" w14:textId="77777777" w:rsidR="00B11066" w:rsidRDefault="00B11066" w:rsidP="00F14C6D">
      <w:r>
        <w:separator/>
      </w:r>
    </w:p>
  </w:endnote>
  <w:endnote w:type="continuationSeparator" w:id="0">
    <w:p w14:paraId="75C6914D" w14:textId="77777777" w:rsidR="00B11066" w:rsidRDefault="00B11066" w:rsidP="00F14C6D">
      <w:r>
        <w:continuationSeparator/>
      </w:r>
    </w:p>
  </w:endnote>
  <w:endnote w:id="1">
    <w:p w14:paraId="58294030" w14:textId="77777777"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See </w:t>
      </w:r>
      <w:r w:rsidRPr="005D38B9">
        <w:rPr>
          <w:rStyle w:val="Emphasis"/>
          <w:sz w:val="20"/>
        </w:rPr>
        <w:t xml:space="preserve">Secretary, Department of Defence v HREOC, </w:t>
      </w:r>
      <w:proofErr w:type="gramStart"/>
      <w:r w:rsidRPr="005D38B9">
        <w:rPr>
          <w:rStyle w:val="Emphasis"/>
          <w:sz w:val="20"/>
        </w:rPr>
        <w:t>Burgess &amp;</w:t>
      </w:r>
      <w:proofErr w:type="gramEnd"/>
      <w:r w:rsidRPr="005D38B9">
        <w:rPr>
          <w:rStyle w:val="Emphasis"/>
          <w:sz w:val="20"/>
        </w:rPr>
        <w:t xml:space="preserve"> </w:t>
      </w:r>
      <w:proofErr w:type="spellStart"/>
      <w:r w:rsidRPr="005D38B9">
        <w:rPr>
          <w:rStyle w:val="Emphasis"/>
          <w:sz w:val="20"/>
        </w:rPr>
        <w:t>Ors</w:t>
      </w:r>
      <w:proofErr w:type="spellEnd"/>
      <w:r w:rsidRPr="005D38B9">
        <w:rPr>
          <w:i/>
          <w:iCs/>
          <w:sz w:val="20"/>
        </w:rPr>
        <w:t xml:space="preserve"> </w:t>
      </w:r>
      <w:r w:rsidRPr="005D38B9">
        <w:rPr>
          <w:sz w:val="20"/>
        </w:rPr>
        <w:t>(1997) 78 FCR 208, where Branson J found that the Commission could not, in conducting its inquiry, disregard the legal obligations of the secretary in exercising a statutory power. Note in particular 212-3 and 214-5.</w:t>
      </w:r>
    </w:p>
  </w:endnote>
  <w:endnote w:id="2">
    <w:p w14:paraId="4190595D" w14:textId="77777777"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w:t>
      </w:r>
      <w:r w:rsidRPr="005D38B9">
        <w:rPr>
          <w:i/>
          <w:sz w:val="20"/>
        </w:rPr>
        <w:t>Migration Act 1958</w:t>
      </w:r>
      <w:r w:rsidRPr="005D38B9">
        <w:rPr>
          <w:sz w:val="20"/>
        </w:rPr>
        <w:t xml:space="preserve"> (</w:t>
      </w:r>
      <w:proofErr w:type="spellStart"/>
      <w:r w:rsidRPr="005D38B9">
        <w:rPr>
          <w:sz w:val="20"/>
        </w:rPr>
        <w:t>Cth</w:t>
      </w:r>
      <w:proofErr w:type="spellEnd"/>
      <w:r w:rsidRPr="005D38B9">
        <w:rPr>
          <w:sz w:val="20"/>
        </w:rPr>
        <w:t>), s 5.</w:t>
      </w:r>
    </w:p>
  </w:endnote>
  <w:endnote w:id="3">
    <w:p w14:paraId="59C11C26" w14:textId="77777777" w:rsidR="005F2A66" w:rsidRPr="005D38B9" w:rsidRDefault="005F2A66" w:rsidP="005D38B9">
      <w:pPr>
        <w:pStyle w:val="EndnoteText"/>
        <w:spacing w:before="0" w:after="0"/>
        <w:rPr>
          <w:rFonts w:cs="Arial"/>
          <w:sz w:val="20"/>
        </w:rPr>
      </w:pPr>
      <w:r w:rsidRPr="005D38B9">
        <w:rPr>
          <w:rStyle w:val="EndnoteReference"/>
          <w:rFonts w:cs="Arial"/>
        </w:rPr>
        <w:endnoteRef/>
      </w:r>
      <w:r w:rsidRPr="005D38B9">
        <w:rPr>
          <w:rFonts w:cs="Arial"/>
          <w:sz w:val="20"/>
        </w:rPr>
        <w:t xml:space="preserve"> UN Human Rights Committee, General Comment 8 (1982) </w:t>
      </w:r>
      <w:r w:rsidRPr="005D38B9">
        <w:rPr>
          <w:i/>
          <w:sz w:val="20"/>
        </w:rPr>
        <w:t>Right to liberty and security of persons (Article 9).</w:t>
      </w:r>
      <w:r w:rsidRPr="005D38B9">
        <w:rPr>
          <w:rFonts w:cs="Arial"/>
          <w:sz w:val="20"/>
        </w:rPr>
        <w:t xml:space="preserve"> See also </w:t>
      </w:r>
      <w:r w:rsidRPr="005D38B9">
        <w:rPr>
          <w:rFonts w:cs="Arial"/>
          <w:i/>
          <w:sz w:val="20"/>
        </w:rPr>
        <w:t>A v Australia</w:t>
      </w:r>
      <w:r w:rsidRPr="005D38B9">
        <w:rPr>
          <w:rFonts w:cs="Arial"/>
          <w:sz w:val="20"/>
        </w:rPr>
        <w:t xml:space="preserve"> [1997] UNHRC 7, UN Doc CCPR/C/59/D/560/1993; </w:t>
      </w:r>
      <w:r w:rsidRPr="005D38B9">
        <w:rPr>
          <w:rFonts w:cs="Arial"/>
          <w:i/>
          <w:sz w:val="20"/>
        </w:rPr>
        <w:t>C v Australia</w:t>
      </w:r>
      <w:r w:rsidRPr="005D38B9">
        <w:rPr>
          <w:rFonts w:cs="Arial"/>
          <w:sz w:val="20"/>
        </w:rPr>
        <w:t xml:space="preserve"> [2002] UNHRC 52, UN Doc CCPR/C/76/D/900/1999; </w:t>
      </w:r>
      <w:proofErr w:type="spellStart"/>
      <w:r w:rsidRPr="005D38B9">
        <w:rPr>
          <w:rFonts w:cs="Arial"/>
          <w:i/>
          <w:sz w:val="20"/>
        </w:rPr>
        <w:t>Baban</w:t>
      </w:r>
      <w:proofErr w:type="spellEnd"/>
      <w:r w:rsidRPr="005D38B9">
        <w:rPr>
          <w:rFonts w:cs="Arial"/>
          <w:i/>
          <w:sz w:val="20"/>
        </w:rPr>
        <w:t xml:space="preserve"> v Australia</w:t>
      </w:r>
      <w:r w:rsidRPr="005D38B9">
        <w:rPr>
          <w:rFonts w:cs="Arial"/>
          <w:sz w:val="20"/>
        </w:rPr>
        <w:t xml:space="preserve"> [2003] UNHRC 22, UN Doc CCPR/C/78/D/1014/2001.</w:t>
      </w:r>
    </w:p>
  </w:endnote>
  <w:endnote w:id="4">
    <w:p w14:paraId="6061D610" w14:textId="77777777"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UN Human Rights Committ</w:t>
      </w:r>
      <w:r w:rsidR="00941B14">
        <w:rPr>
          <w:sz w:val="20"/>
        </w:rPr>
        <w:t>ee, General Comment 31 (2004),</w:t>
      </w:r>
      <w:r w:rsidRPr="005D38B9">
        <w:rPr>
          <w:sz w:val="20"/>
        </w:rPr>
        <w:t xml:space="preserve"> [6]. See a</w:t>
      </w:r>
      <w:r w:rsidR="00194E37">
        <w:rPr>
          <w:sz w:val="20"/>
        </w:rPr>
        <w:t xml:space="preserve">lso Joseph, Schultz and </w:t>
      </w:r>
      <w:proofErr w:type="spellStart"/>
      <w:r w:rsidR="00194E37">
        <w:rPr>
          <w:sz w:val="20"/>
        </w:rPr>
        <w:t>Castan</w:t>
      </w:r>
      <w:proofErr w:type="spellEnd"/>
      <w:r w:rsidR="00194E37">
        <w:rPr>
          <w:sz w:val="20"/>
        </w:rPr>
        <w:t xml:space="preserve">, </w:t>
      </w:r>
      <w:r w:rsidRPr="00194E37">
        <w:rPr>
          <w:i/>
          <w:sz w:val="20"/>
        </w:rPr>
        <w:t xml:space="preserve">The International Covenant on Civil and Political Rights </w:t>
      </w:r>
      <w:r w:rsidR="00194E37" w:rsidRPr="00194E37">
        <w:rPr>
          <w:i/>
          <w:sz w:val="20"/>
        </w:rPr>
        <w:t>Cases, Materials and Commentary</w:t>
      </w:r>
      <w:r w:rsidR="00194E37">
        <w:rPr>
          <w:sz w:val="20"/>
        </w:rPr>
        <w:t xml:space="preserve"> (2nd </w:t>
      </w:r>
      <w:proofErr w:type="spellStart"/>
      <w:proofErr w:type="gramStart"/>
      <w:r w:rsidR="00194E37">
        <w:rPr>
          <w:sz w:val="20"/>
        </w:rPr>
        <w:t>ed</w:t>
      </w:r>
      <w:proofErr w:type="spellEnd"/>
      <w:proofErr w:type="gramEnd"/>
      <w:r w:rsidR="00194E37">
        <w:rPr>
          <w:sz w:val="20"/>
        </w:rPr>
        <w:t>, 2004), 308,</w:t>
      </w:r>
      <w:r w:rsidRPr="005D38B9">
        <w:rPr>
          <w:sz w:val="20"/>
        </w:rPr>
        <w:t xml:space="preserve"> [11.10].</w:t>
      </w:r>
    </w:p>
  </w:endnote>
  <w:endnote w:id="5">
    <w:p w14:paraId="245E121C" w14:textId="77777777" w:rsidR="005F2A66" w:rsidRPr="005D38B9" w:rsidRDefault="005F2A66" w:rsidP="005D38B9">
      <w:pPr>
        <w:pStyle w:val="EndnoteText"/>
        <w:spacing w:before="0" w:after="0"/>
        <w:rPr>
          <w:rFonts w:cs="Arial"/>
          <w:sz w:val="20"/>
        </w:rPr>
      </w:pPr>
      <w:r w:rsidRPr="005D38B9">
        <w:rPr>
          <w:rStyle w:val="EndnoteReference"/>
          <w:rFonts w:cs="Arial"/>
        </w:rPr>
        <w:endnoteRef/>
      </w:r>
      <w:r w:rsidRPr="005D38B9">
        <w:rPr>
          <w:rFonts w:cs="Arial"/>
          <w:sz w:val="20"/>
        </w:rPr>
        <w:t xml:space="preserve"> </w:t>
      </w:r>
      <w:r w:rsidRPr="005D38B9">
        <w:rPr>
          <w:rFonts w:cs="Arial"/>
          <w:i/>
          <w:sz w:val="20"/>
        </w:rPr>
        <w:t xml:space="preserve">Manga v Attorney-General </w:t>
      </w:r>
      <w:r w:rsidRPr="005D38B9">
        <w:rPr>
          <w:rFonts w:cs="Arial"/>
          <w:sz w:val="20"/>
        </w:rPr>
        <w:t xml:space="preserve">[2000] 2 NZLR 65 at [40]-[42], (Hammond J). See also the views of the UN Human Rights Committee in </w:t>
      </w:r>
      <w:r w:rsidRPr="005D38B9">
        <w:rPr>
          <w:rFonts w:cs="Arial"/>
          <w:i/>
          <w:sz w:val="20"/>
        </w:rPr>
        <w:t xml:space="preserve">Van Alphen v The Netherlands </w:t>
      </w:r>
      <w:r w:rsidRPr="005D38B9">
        <w:rPr>
          <w:rFonts w:cs="Arial"/>
          <w:sz w:val="20"/>
        </w:rPr>
        <w:t xml:space="preserve">[1990] UNHRC 22, UN Doc CCPR/C/39/D/305/1988; </w:t>
      </w:r>
      <w:r w:rsidRPr="005D38B9">
        <w:rPr>
          <w:rFonts w:cs="Arial"/>
          <w:i/>
          <w:sz w:val="20"/>
        </w:rPr>
        <w:t xml:space="preserve">A v Australia </w:t>
      </w:r>
      <w:r w:rsidRPr="005D38B9">
        <w:rPr>
          <w:rFonts w:cs="Arial"/>
          <w:sz w:val="20"/>
        </w:rPr>
        <w:t>[1997] UNHRC 7, UN Doc CCPR/C/59/D/560/1993;</w:t>
      </w:r>
      <w:r w:rsidRPr="005D38B9">
        <w:rPr>
          <w:rFonts w:cs="Arial"/>
          <w:i/>
          <w:sz w:val="20"/>
        </w:rPr>
        <w:t xml:space="preserve"> </w:t>
      </w:r>
      <w:proofErr w:type="spellStart"/>
      <w:r w:rsidRPr="005D38B9">
        <w:rPr>
          <w:rFonts w:cs="Arial"/>
          <w:i/>
          <w:sz w:val="20"/>
        </w:rPr>
        <w:t>Spakmo</w:t>
      </w:r>
      <w:proofErr w:type="spellEnd"/>
      <w:r w:rsidRPr="005D38B9">
        <w:rPr>
          <w:rFonts w:cs="Arial"/>
          <w:i/>
          <w:sz w:val="20"/>
        </w:rPr>
        <w:t xml:space="preserve"> v Norway</w:t>
      </w:r>
      <w:r w:rsidRPr="005D38B9">
        <w:rPr>
          <w:rFonts w:cs="Arial"/>
          <w:sz w:val="20"/>
        </w:rPr>
        <w:t xml:space="preserve"> [1999] UNHRC 42, UN Doc CCPR/C/67/D/631/1995. </w:t>
      </w:r>
    </w:p>
  </w:endnote>
  <w:endnote w:id="6">
    <w:p w14:paraId="47E97E09" w14:textId="77777777" w:rsidR="005F2A66" w:rsidRPr="005D38B9" w:rsidRDefault="005F2A66" w:rsidP="005D38B9">
      <w:pPr>
        <w:pStyle w:val="EndnoteText"/>
        <w:spacing w:before="0" w:after="0"/>
        <w:rPr>
          <w:rFonts w:cs="Arial"/>
          <w:sz w:val="20"/>
        </w:rPr>
      </w:pPr>
      <w:r w:rsidRPr="005D38B9">
        <w:rPr>
          <w:rStyle w:val="EndnoteReference"/>
          <w:rFonts w:cs="Arial"/>
        </w:rPr>
        <w:endnoteRef/>
      </w:r>
      <w:r w:rsidRPr="005D38B9">
        <w:rPr>
          <w:rFonts w:cs="Arial"/>
          <w:sz w:val="20"/>
        </w:rPr>
        <w:t xml:space="preserve"> </w:t>
      </w:r>
      <w:r w:rsidRPr="005D38B9">
        <w:rPr>
          <w:rFonts w:cs="Arial"/>
          <w:i/>
          <w:sz w:val="20"/>
        </w:rPr>
        <w:t>A v Australia</w:t>
      </w:r>
      <w:r w:rsidRPr="005D38B9">
        <w:rPr>
          <w:rFonts w:cs="Arial"/>
          <w:sz w:val="20"/>
        </w:rPr>
        <w:t xml:space="preserve"> [1997] UNHRC 7, UN Doc CCPR/C/76/D/900/1993</w:t>
      </w:r>
      <w:r w:rsidRPr="005D38B9">
        <w:rPr>
          <w:rFonts w:cs="Arial"/>
          <w:i/>
          <w:sz w:val="20"/>
        </w:rPr>
        <w:t xml:space="preserve"> </w:t>
      </w:r>
      <w:r w:rsidRPr="005D38B9">
        <w:rPr>
          <w:rFonts w:cs="Arial"/>
          <w:sz w:val="20"/>
        </w:rPr>
        <w:t>(the fact that the author may abscond if released into the community was not sufficient reason to justify holding the author in immigration detention for four years);</w:t>
      </w:r>
      <w:r w:rsidRPr="005D38B9">
        <w:rPr>
          <w:rFonts w:cs="Arial"/>
          <w:i/>
          <w:sz w:val="20"/>
        </w:rPr>
        <w:t xml:space="preserve"> C v Australia </w:t>
      </w:r>
      <w:r w:rsidRPr="005D38B9">
        <w:rPr>
          <w:rFonts w:cs="Arial"/>
          <w:sz w:val="20"/>
        </w:rPr>
        <w:t>[2002] UNHRC 52, UN Doc CCPR/C/76/D/900/1999.</w:t>
      </w:r>
    </w:p>
  </w:endnote>
  <w:endnote w:id="7">
    <w:p w14:paraId="6394EC25" w14:textId="77777777" w:rsidR="005F2A66" w:rsidRPr="005D38B9" w:rsidRDefault="005F2A66" w:rsidP="005D38B9">
      <w:pPr>
        <w:pStyle w:val="EndnoteText"/>
        <w:spacing w:before="0" w:after="0"/>
        <w:ind w:left="567" w:hanging="567"/>
        <w:rPr>
          <w:rFonts w:cs="Arial"/>
          <w:sz w:val="20"/>
        </w:rPr>
      </w:pPr>
      <w:r w:rsidRPr="005D38B9">
        <w:rPr>
          <w:rStyle w:val="EndnoteReference"/>
          <w:rFonts w:cs="Arial"/>
        </w:rPr>
        <w:endnoteRef/>
      </w:r>
      <w:r w:rsidRPr="005D38B9">
        <w:rPr>
          <w:rFonts w:cs="Arial"/>
          <w:sz w:val="20"/>
        </w:rPr>
        <w:t xml:space="preserve"> </w:t>
      </w:r>
      <w:r w:rsidRPr="005D38B9">
        <w:rPr>
          <w:rFonts w:cs="Arial"/>
          <w:i/>
          <w:sz w:val="20"/>
        </w:rPr>
        <w:t xml:space="preserve">Van Alphen v The Netherlands </w:t>
      </w:r>
      <w:r w:rsidRPr="005D38B9">
        <w:rPr>
          <w:rFonts w:cs="Arial"/>
          <w:sz w:val="20"/>
        </w:rPr>
        <w:t>[1990] UNHRC 22, UN Doc CCPR/C/39/D/305/1988.</w:t>
      </w:r>
    </w:p>
  </w:endnote>
  <w:endnote w:id="8">
    <w:p w14:paraId="63342F37" w14:textId="77777777" w:rsidR="005F2A66" w:rsidRPr="005D38B9" w:rsidRDefault="005F2A66" w:rsidP="005D38B9">
      <w:pPr>
        <w:pStyle w:val="EndnoteText"/>
        <w:spacing w:before="0" w:after="0"/>
        <w:rPr>
          <w:rFonts w:cs="Arial"/>
          <w:sz w:val="20"/>
        </w:rPr>
      </w:pPr>
      <w:r w:rsidRPr="005D38B9">
        <w:rPr>
          <w:rStyle w:val="EndnoteReference"/>
          <w:rFonts w:cs="Arial"/>
        </w:rPr>
        <w:endnoteRef/>
      </w:r>
      <w:r w:rsidRPr="005D38B9">
        <w:rPr>
          <w:rFonts w:cs="Arial"/>
          <w:sz w:val="20"/>
        </w:rPr>
        <w:t xml:space="preserve"> </w:t>
      </w:r>
      <w:r w:rsidRPr="005D38B9">
        <w:rPr>
          <w:rFonts w:cs="Arial"/>
          <w:i/>
          <w:sz w:val="20"/>
        </w:rPr>
        <w:t>C v Australia</w:t>
      </w:r>
      <w:r w:rsidRPr="005D38B9">
        <w:rPr>
          <w:rFonts w:cs="Arial"/>
          <w:sz w:val="20"/>
        </w:rPr>
        <w:t xml:space="preserve"> [2002] UNHRC 52, UN Doc CCPR/C/76/D/900/1999; </w:t>
      </w:r>
      <w:r w:rsidRPr="005D38B9">
        <w:rPr>
          <w:rFonts w:cs="Arial"/>
          <w:i/>
          <w:sz w:val="20"/>
        </w:rPr>
        <w:t xml:space="preserve">Shams &amp; </w:t>
      </w:r>
      <w:proofErr w:type="spellStart"/>
      <w:r w:rsidRPr="005D38B9">
        <w:rPr>
          <w:rFonts w:cs="Arial"/>
          <w:i/>
          <w:sz w:val="20"/>
        </w:rPr>
        <w:t>Ors</w:t>
      </w:r>
      <w:proofErr w:type="spellEnd"/>
      <w:r w:rsidRPr="005D38B9">
        <w:rPr>
          <w:rFonts w:cs="Arial"/>
          <w:i/>
          <w:sz w:val="20"/>
        </w:rPr>
        <w:t xml:space="preserve"> v Australia</w:t>
      </w:r>
      <w:r w:rsidRPr="005D38B9">
        <w:rPr>
          <w:rFonts w:cs="Arial"/>
          <w:sz w:val="20"/>
        </w:rPr>
        <w:t xml:space="preserve"> [2007] UNHRC 73, UN Doc CCPR/C/90/D/1255/2004; </w:t>
      </w:r>
      <w:proofErr w:type="spellStart"/>
      <w:r w:rsidRPr="005D38B9">
        <w:rPr>
          <w:rFonts w:cs="Arial"/>
          <w:i/>
          <w:sz w:val="20"/>
        </w:rPr>
        <w:t>Baban</w:t>
      </w:r>
      <w:proofErr w:type="spellEnd"/>
      <w:r w:rsidRPr="005D38B9">
        <w:rPr>
          <w:rFonts w:cs="Arial"/>
          <w:i/>
          <w:sz w:val="20"/>
        </w:rPr>
        <w:t xml:space="preserve"> v Australia</w:t>
      </w:r>
      <w:r w:rsidRPr="005D38B9">
        <w:rPr>
          <w:rFonts w:cs="Arial"/>
          <w:sz w:val="20"/>
        </w:rPr>
        <w:t xml:space="preserve"> [2003] UNHRC 22, CCPR/C/78/D/1014/2001;</w:t>
      </w:r>
      <w:r w:rsidRPr="005D38B9">
        <w:rPr>
          <w:rFonts w:cs="Arial"/>
          <w:i/>
          <w:sz w:val="20"/>
        </w:rPr>
        <w:t xml:space="preserve"> D and E v Australia </w:t>
      </w:r>
      <w:r w:rsidRPr="005D38B9">
        <w:rPr>
          <w:rFonts w:cs="Arial"/>
          <w:sz w:val="20"/>
        </w:rPr>
        <w:t>[2006] UNHRC 32,</w:t>
      </w:r>
      <w:r w:rsidRPr="005D38B9">
        <w:rPr>
          <w:rFonts w:cs="Arial"/>
          <w:i/>
          <w:sz w:val="20"/>
        </w:rPr>
        <w:t xml:space="preserve"> </w:t>
      </w:r>
      <w:r w:rsidRPr="005D38B9">
        <w:rPr>
          <w:rFonts w:cs="Arial"/>
          <w:sz w:val="20"/>
        </w:rPr>
        <w:t>CCPR/C/87/D/1050/2002.</w:t>
      </w:r>
    </w:p>
  </w:endnote>
  <w:endnote w:id="9">
    <w:p w14:paraId="640440C6" w14:textId="77777777"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AHRC Act, s 29(2</w:t>
      </w:r>
      <w:proofErr w:type="gramStart"/>
      <w:r w:rsidRPr="005D38B9">
        <w:rPr>
          <w:sz w:val="20"/>
        </w:rPr>
        <w:t>)(</w:t>
      </w:r>
      <w:proofErr w:type="gramEnd"/>
      <w:r w:rsidRPr="005D38B9">
        <w:rPr>
          <w:sz w:val="20"/>
        </w:rPr>
        <w:t>a).</w:t>
      </w:r>
    </w:p>
  </w:endnote>
  <w:endnote w:id="10">
    <w:p w14:paraId="1235C612" w14:textId="77777777"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AHRC Act, s 29(2</w:t>
      </w:r>
      <w:proofErr w:type="gramStart"/>
      <w:r w:rsidRPr="005D38B9">
        <w:rPr>
          <w:sz w:val="20"/>
        </w:rPr>
        <w:t>)(</w:t>
      </w:r>
      <w:proofErr w:type="gramEnd"/>
      <w:r w:rsidRPr="005D38B9">
        <w:rPr>
          <w:sz w:val="20"/>
        </w:rPr>
        <w:t>b).</w:t>
      </w:r>
    </w:p>
  </w:endnote>
  <w:endnote w:id="11">
    <w:p w14:paraId="33FC67B9" w14:textId="77777777"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AHRC Act, s 29(2</w:t>
      </w:r>
      <w:proofErr w:type="gramStart"/>
      <w:r w:rsidRPr="005D38B9">
        <w:rPr>
          <w:sz w:val="20"/>
        </w:rPr>
        <w:t>)(</w:t>
      </w:r>
      <w:proofErr w:type="gramEnd"/>
      <w:r w:rsidRPr="005D38B9">
        <w:rPr>
          <w:sz w:val="20"/>
        </w:rPr>
        <w:t>c).</w:t>
      </w:r>
    </w:p>
  </w:endnote>
  <w:endnote w:id="12">
    <w:p w14:paraId="7523ED1C" w14:textId="77777777"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w:t>
      </w:r>
      <w:r w:rsidRPr="005D38B9">
        <w:rPr>
          <w:i/>
          <w:sz w:val="20"/>
        </w:rPr>
        <w:t xml:space="preserve">Peacock v The Commonwealth </w:t>
      </w:r>
      <w:r w:rsidRPr="005D38B9">
        <w:rPr>
          <w:sz w:val="20"/>
        </w:rPr>
        <w:t>(2000) 104 FCR 464, 483 (Wilcox J).</w:t>
      </w:r>
    </w:p>
  </w:endnote>
  <w:endnote w:id="13">
    <w:p w14:paraId="7E4C4141" w14:textId="77777777"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w:t>
      </w:r>
      <w:r w:rsidRPr="005D38B9">
        <w:rPr>
          <w:i/>
          <w:sz w:val="20"/>
        </w:rPr>
        <w:t xml:space="preserve">Hall v A&amp;A </w:t>
      </w:r>
      <w:proofErr w:type="spellStart"/>
      <w:r w:rsidRPr="005D38B9">
        <w:rPr>
          <w:i/>
          <w:sz w:val="20"/>
        </w:rPr>
        <w:t>Sheiban</w:t>
      </w:r>
      <w:proofErr w:type="spellEnd"/>
      <w:r w:rsidRPr="005D38B9">
        <w:rPr>
          <w:i/>
          <w:sz w:val="20"/>
        </w:rPr>
        <w:t xml:space="preserve"> Pty Limited </w:t>
      </w:r>
      <w:r w:rsidRPr="005D38B9">
        <w:rPr>
          <w:sz w:val="20"/>
        </w:rPr>
        <w:t>(1989) 20 FCR 217, 239 (Lockhart J).</w:t>
      </w:r>
    </w:p>
  </w:endnote>
  <w:endnote w:id="14">
    <w:p w14:paraId="4E706501" w14:textId="420CA82D"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w:t>
      </w:r>
      <w:r w:rsidRPr="005D38B9">
        <w:rPr>
          <w:i/>
          <w:sz w:val="20"/>
        </w:rPr>
        <w:t xml:space="preserve">Cassel &amp; Co Ltd v Broome </w:t>
      </w:r>
      <w:r w:rsidRPr="005D38B9">
        <w:rPr>
          <w:sz w:val="20"/>
        </w:rPr>
        <w:t xml:space="preserve">(1972) AC 1027, 1124; </w:t>
      </w:r>
      <w:proofErr w:type="spellStart"/>
      <w:r w:rsidRPr="005D38B9">
        <w:rPr>
          <w:i/>
          <w:sz w:val="20"/>
        </w:rPr>
        <w:t>Spautz</w:t>
      </w:r>
      <w:proofErr w:type="spellEnd"/>
      <w:r w:rsidRPr="005D38B9">
        <w:rPr>
          <w:i/>
          <w:sz w:val="20"/>
        </w:rPr>
        <w:t xml:space="preserve"> v Butterworth &amp; Anor </w:t>
      </w:r>
      <w:r w:rsidRPr="005D38B9">
        <w:rPr>
          <w:sz w:val="20"/>
        </w:rPr>
        <w:t xml:space="preserve">(1996) 41 NSWLR 1 (Clarke JA); </w:t>
      </w:r>
      <w:proofErr w:type="spellStart"/>
      <w:r w:rsidRPr="005D38B9">
        <w:rPr>
          <w:i/>
          <w:sz w:val="20"/>
        </w:rPr>
        <w:t>Vignoli</w:t>
      </w:r>
      <w:proofErr w:type="spellEnd"/>
      <w:r w:rsidRPr="005D38B9">
        <w:rPr>
          <w:i/>
          <w:sz w:val="20"/>
        </w:rPr>
        <w:t xml:space="preserve"> v Sydney Harbour Casino </w:t>
      </w:r>
      <w:r w:rsidRPr="005D38B9">
        <w:rPr>
          <w:sz w:val="20"/>
        </w:rPr>
        <w:t>[199</w:t>
      </w:r>
      <w:r w:rsidR="000B0BCD">
        <w:rPr>
          <w:sz w:val="20"/>
        </w:rPr>
        <w:t>9] NSWSC 1113</w:t>
      </w:r>
      <w:r w:rsidRPr="005D38B9">
        <w:rPr>
          <w:sz w:val="20"/>
        </w:rPr>
        <w:t>, [87].</w:t>
      </w:r>
    </w:p>
  </w:endnote>
  <w:endnote w:id="15">
    <w:p w14:paraId="48DFC416" w14:textId="77777777"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[2013] FCA 901.</w:t>
      </w:r>
    </w:p>
  </w:endnote>
  <w:endnote w:id="16">
    <w:p w14:paraId="4B7248F9" w14:textId="77777777"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[2003] NSWSC 1212.</w:t>
      </w:r>
    </w:p>
  </w:endnote>
  <w:endnote w:id="17">
    <w:p w14:paraId="7A664F25" w14:textId="77777777"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[2013] FCA 901, [121].</w:t>
      </w:r>
    </w:p>
  </w:endnote>
  <w:endnote w:id="18">
    <w:p w14:paraId="41F744B7" w14:textId="77777777"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w:t>
      </w:r>
      <w:r w:rsidRPr="005D38B9">
        <w:rPr>
          <w:i/>
          <w:sz w:val="20"/>
        </w:rPr>
        <w:t xml:space="preserve">Ruddock v Taylor </w:t>
      </w:r>
      <w:r w:rsidRPr="005D38B9">
        <w:rPr>
          <w:sz w:val="20"/>
        </w:rPr>
        <w:t>(2003) 58 NSWLR 269.</w:t>
      </w:r>
    </w:p>
  </w:endnote>
  <w:endnote w:id="19">
    <w:p w14:paraId="4613E723" w14:textId="77777777"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w:t>
      </w:r>
      <w:r w:rsidRPr="005D38B9">
        <w:rPr>
          <w:i/>
          <w:sz w:val="20"/>
        </w:rPr>
        <w:t xml:space="preserve">Taylor v Ruddock </w:t>
      </w:r>
      <w:r w:rsidR="00D45324">
        <w:rPr>
          <w:sz w:val="20"/>
        </w:rPr>
        <w:t>(U</w:t>
      </w:r>
      <w:r w:rsidRPr="005D38B9">
        <w:rPr>
          <w:sz w:val="20"/>
        </w:rPr>
        <w:t xml:space="preserve">nreported, </w:t>
      </w:r>
      <w:r w:rsidR="00D45324" w:rsidRPr="005D38B9">
        <w:rPr>
          <w:sz w:val="20"/>
        </w:rPr>
        <w:t>NSW District Court</w:t>
      </w:r>
      <w:r w:rsidR="00D45324">
        <w:rPr>
          <w:sz w:val="20"/>
        </w:rPr>
        <w:t>,</w:t>
      </w:r>
      <w:r w:rsidR="00D45324" w:rsidRPr="005D38B9">
        <w:rPr>
          <w:sz w:val="20"/>
        </w:rPr>
        <w:t xml:space="preserve"> Murrell DCJ</w:t>
      </w:r>
      <w:r w:rsidR="00D45324">
        <w:rPr>
          <w:sz w:val="20"/>
        </w:rPr>
        <w:t>,</w:t>
      </w:r>
      <w:r w:rsidR="00D45324" w:rsidRPr="005D38B9">
        <w:rPr>
          <w:sz w:val="20"/>
        </w:rPr>
        <w:t xml:space="preserve"> </w:t>
      </w:r>
      <w:r w:rsidR="00D45324">
        <w:rPr>
          <w:sz w:val="20"/>
        </w:rPr>
        <w:t>18 December 2002</w:t>
      </w:r>
      <w:r w:rsidRPr="005D38B9">
        <w:rPr>
          <w:sz w:val="20"/>
        </w:rPr>
        <w:t>).</w:t>
      </w:r>
    </w:p>
  </w:endnote>
  <w:endnote w:id="20">
    <w:p w14:paraId="04970E93" w14:textId="7A9CAB93"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w:t>
      </w:r>
      <w:r w:rsidRPr="005D38B9">
        <w:rPr>
          <w:i/>
          <w:sz w:val="20"/>
        </w:rPr>
        <w:t xml:space="preserve">Taylor v Ruddock </w:t>
      </w:r>
      <w:r w:rsidRPr="005D38B9">
        <w:rPr>
          <w:sz w:val="20"/>
        </w:rPr>
        <w:t>(</w:t>
      </w:r>
      <w:r w:rsidR="00D45324">
        <w:rPr>
          <w:sz w:val="20"/>
        </w:rPr>
        <w:t>U</w:t>
      </w:r>
      <w:r w:rsidR="00D45324" w:rsidRPr="005D38B9">
        <w:rPr>
          <w:sz w:val="20"/>
        </w:rPr>
        <w:t>nreported, NSW District Court</w:t>
      </w:r>
      <w:r w:rsidR="00D45324">
        <w:rPr>
          <w:sz w:val="20"/>
        </w:rPr>
        <w:t>,</w:t>
      </w:r>
      <w:r w:rsidR="00D45324" w:rsidRPr="005D38B9">
        <w:rPr>
          <w:sz w:val="20"/>
        </w:rPr>
        <w:t xml:space="preserve"> Murrell DCJ</w:t>
      </w:r>
      <w:r w:rsidR="00D45324">
        <w:rPr>
          <w:sz w:val="20"/>
        </w:rPr>
        <w:t>,</w:t>
      </w:r>
      <w:r w:rsidR="00D45324" w:rsidRPr="005D38B9">
        <w:rPr>
          <w:sz w:val="20"/>
        </w:rPr>
        <w:t xml:space="preserve"> </w:t>
      </w:r>
      <w:r w:rsidR="00D45324">
        <w:rPr>
          <w:sz w:val="20"/>
        </w:rPr>
        <w:t>18 December 2002)</w:t>
      </w:r>
      <w:r w:rsidR="000B0BCD">
        <w:rPr>
          <w:sz w:val="20"/>
        </w:rPr>
        <w:t>,</w:t>
      </w:r>
      <w:r w:rsidR="00D45324">
        <w:rPr>
          <w:sz w:val="20"/>
        </w:rPr>
        <w:t xml:space="preserve"> [140]</w:t>
      </w:r>
      <w:r w:rsidRPr="005D38B9">
        <w:rPr>
          <w:sz w:val="20"/>
        </w:rPr>
        <w:t>.</w:t>
      </w:r>
    </w:p>
  </w:endnote>
  <w:endnote w:id="21">
    <w:p w14:paraId="3216BD40" w14:textId="77777777"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w:t>
      </w:r>
      <w:r w:rsidRPr="005D38B9">
        <w:rPr>
          <w:i/>
          <w:sz w:val="20"/>
        </w:rPr>
        <w:t xml:space="preserve">Ruddock v Taylor </w:t>
      </w:r>
      <w:r w:rsidRPr="005D38B9">
        <w:rPr>
          <w:sz w:val="20"/>
        </w:rPr>
        <w:t>(2003) 58 NSWLR 269, 279.</w:t>
      </w:r>
    </w:p>
  </w:endnote>
  <w:endnote w:id="22">
    <w:p w14:paraId="2D66FB4C" w14:textId="77777777"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w:t>
      </w:r>
      <w:r w:rsidRPr="005D38B9">
        <w:rPr>
          <w:i/>
          <w:sz w:val="20"/>
        </w:rPr>
        <w:t xml:space="preserve">Ruddock v Taylor </w:t>
      </w:r>
      <w:r w:rsidRPr="005D38B9">
        <w:rPr>
          <w:sz w:val="20"/>
        </w:rPr>
        <w:t>(2003) 58 NSWLR 269, 279.</w:t>
      </w:r>
    </w:p>
  </w:endnote>
  <w:endnote w:id="23">
    <w:p w14:paraId="62C34B2E" w14:textId="676F0F73"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The court awarded nominal damages of one dollar for the unlawful detention of Mr Fernando because as a non-citizen, once he committed a serious crime, he was always liable to have his visa cancelled: </w:t>
      </w:r>
      <w:r w:rsidRPr="005D38B9">
        <w:rPr>
          <w:i/>
          <w:sz w:val="20"/>
        </w:rPr>
        <w:t xml:space="preserve">Fernando v Commonwealth of Australia </w:t>
      </w:r>
      <w:r w:rsidRPr="005D38B9">
        <w:rPr>
          <w:sz w:val="20"/>
        </w:rPr>
        <w:t>(No 5) [2013] FCA 901</w:t>
      </w:r>
      <w:r w:rsidR="000B0BCD">
        <w:rPr>
          <w:sz w:val="20"/>
        </w:rPr>
        <w:t>,</w:t>
      </w:r>
      <w:r w:rsidRPr="005D38B9">
        <w:rPr>
          <w:sz w:val="20"/>
        </w:rPr>
        <w:t xml:space="preserve"> [98]-[99].</w:t>
      </w:r>
    </w:p>
  </w:endnote>
  <w:endnote w:id="24">
    <w:p w14:paraId="792802DE" w14:textId="77777777" w:rsidR="005F2A66" w:rsidRPr="005D38B9" w:rsidRDefault="005F2A66" w:rsidP="005D38B9">
      <w:pPr>
        <w:pStyle w:val="EndnoteText"/>
        <w:spacing w:before="0" w:after="0"/>
        <w:rPr>
          <w:i/>
          <w:sz w:val="20"/>
        </w:rPr>
      </w:pPr>
      <w:r w:rsidRPr="005D38B9">
        <w:rPr>
          <w:rStyle w:val="EndnoteReference"/>
        </w:rPr>
        <w:endnoteRef/>
      </w:r>
      <w:r w:rsidRPr="005D38B9">
        <w:rPr>
          <w:sz w:val="20"/>
        </w:rPr>
        <w:t xml:space="preserve"> </w:t>
      </w:r>
      <w:r w:rsidRPr="005D38B9">
        <w:rPr>
          <w:i/>
          <w:sz w:val="20"/>
        </w:rPr>
        <w:t xml:space="preserve">Fernando v Commonwealth of Australia (No 5) </w:t>
      </w:r>
      <w:r w:rsidRPr="005D38B9">
        <w:rPr>
          <w:sz w:val="20"/>
        </w:rPr>
        <w:t>[2013] FCA 901, [139].</w:t>
      </w:r>
    </w:p>
  </w:endnote>
  <w:endnote w:id="25">
    <w:p w14:paraId="0F02F2B7" w14:textId="77777777" w:rsidR="005F2A66" w:rsidRPr="005D38B9" w:rsidRDefault="005F2A66" w:rsidP="005D38B9">
      <w:pPr>
        <w:pStyle w:val="EndnoteText"/>
        <w:spacing w:before="0" w:after="0"/>
        <w:rPr>
          <w:sz w:val="20"/>
        </w:rPr>
      </w:pPr>
      <w:r w:rsidRPr="005D38B9">
        <w:rPr>
          <w:rStyle w:val="EndnoteReference"/>
        </w:rPr>
        <w:endnoteRef/>
      </w:r>
      <w:r w:rsidRPr="005D38B9">
        <w:rPr>
          <w:sz w:val="20"/>
        </w:rPr>
        <w:t xml:space="preserve"> D Shelton, </w:t>
      </w:r>
      <w:r w:rsidRPr="005D38B9">
        <w:rPr>
          <w:i/>
          <w:sz w:val="20"/>
        </w:rPr>
        <w:t xml:space="preserve">Remedies in International Human Rights Law </w:t>
      </w:r>
      <w:r w:rsidRPr="005D38B9">
        <w:rPr>
          <w:sz w:val="20"/>
        </w:rPr>
        <w:t>(2000), 151.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HelveticaNeueLTPro-Bd">
    <w:altName w:val="HelveticaNeueLT Pro 55 Roman"/>
    <w:panose1 w:val="00000000000000000000"/>
    <w:charset w:val="4D"/>
    <w:family w:val="auto"/>
    <w:notTrueType/>
    <w:pitch w:val="default"/>
    <w:sig w:usb0="00000003" w:usb1="00000000" w:usb2="00000000" w:usb3="00000000" w:csb0="00000001" w:csb1="00000000"/>
  </w:font>
  <w:font w:name="HelveticaNeueLTPro-Cn">
    <w:altName w:val="HelveticaNeueLT Pro 57 C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B0355" w14:textId="77777777" w:rsidR="00B11066" w:rsidRDefault="00B11066" w:rsidP="009D2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5BC983" w14:textId="77777777" w:rsidR="00B11066" w:rsidRDefault="00B11066" w:rsidP="00087C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43FDB" w14:textId="77777777" w:rsidR="00B11066" w:rsidRDefault="00B11066">
    <w:pPr>
      <w:pStyle w:val="Footer"/>
    </w:pPr>
  </w:p>
  <w:p w14:paraId="79F27B4A" w14:textId="77777777" w:rsidR="00B11066" w:rsidRDefault="00B11066" w:rsidP="00087C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8E3C4" w14:textId="2184549A" w:rsidR="00923CD8" w:rsidRPr="00923CD8" w:rsidRDefault="00923CD8" w:rsidP="00923CD8">
    <w:pPr>
      <w:pStyle w:val="MasterFooter"/>
      <w:rPr>
        <w:rFonts w:ascii="Arial" w:hAnsi="Arial" w:cs="Arial"/>
        <w:sz w:val="18"/>
        <w:szCs w:val="18"/>
      </w:rPr>
    </w:pPr>
    <w:r w:rsidRPr="00923CD8">
      <w:rPr>
        <w:rFonts w:ascii="Arial" w:hAnsi="Arial" w:cs="Arial"/>
        <w:b/>
        <w:sz w:val="18"/>
        <w:szCs w:val="18"/>
      </w:rPr>
      <w:t>Kong v Commonwealth of Australia (DIBP)</w:t>
    </w:r>
    <w:r w:rsidRPr="00923CD8">
      <w:rPr>
        <w:rFonts w:ascii="Arial" w:hAnsi="Arial" w:cs="Arial"/>
        <w:sz w:val="18"/>
        <w:szCs w:val="18"/>
      </w:rPr>
      <w:t xml:space="preserve"> </w:t>
    </w:r>
    <w:r w:rsidRPr="00923CD8">
      <w:rPr>
        <w:rFonts w:ascii="Arial" w:hAnsi="Arial" w:cs="Arial"/>
        <w:b/>
        <w:bCs/>
        <w:color w:val="6D6E70"/>
        <w:position w:val="2"/>
        <w:sz w:val="18"/>
        <w:szCs w:val="18"/>
      </w:rPr>
      <w:t>•</w:t>
    </w:r>
    <w:r w:rsidRPr="00923CD8">
      <w:rPr>
        <w:rFonts w:ascii="Arial" w:hAnsi="Arial" w:cs="Arial"/>
        <w:sz w:val="18"/>
        <w:szCs w:val="18"/>
      </w:rPr>
      <w:t xml:space="preserve"> [2015] </w:t>
    </w:r>
    <w:proofErr w:type="spellStart"/>
    <w:r w:rsidRPr="00923CD8">
      <w:rPr>
        <w:rFonts w:ascii="Arial" w:hAnsi="Arial" w:cs="Arial"/>
        <w:sz w:val="18"/>
        <w:szCs w:val="18"/>
      </w:rPr>
      <w:t>AusHRC</w:t>
    </w:r>
    <w:proofErr w:type="spellEnd"/>
    <w:r w:rsidRPr="00923CD8">
      <w:rPr>
        <w:rFonts w:ascii="Arial" w:hAnsi="Arial" w:cs="Arial"/>
        <w:sz w:val="18"/>
        <w:szCs w:val="18"/>
      </w:rPr>
      <w:t xml:space="preserve"> 98 </w:t>
    </w:r>
    <w:r w:rsidRPr="00923CD8">
      <w:rPr>
        <w:rFonts w:ascii="Arial" w:hAnsi="Arial" w:cs="Arial"/>
        <w:b/>
        <w:bCs/>
        <w:color w:val="6D6E70"/>
        <w:position w:val="2"/>
        <w:sz w:val="18"/>
        <w:szCs w:val="18"/>
      </w:rPr>
      <w:t>•</w:t>
    </w:r>
    <w:r w:rsidRPr="00923CD8">
      <w:rPr>
        <w:rStyle w:val="PageNumber"/>
        <w:rFonts w:ascii="Arial" w:hAnsi="Arial" w:cs="Arial"/>
        <w:sz w:val="18"/>
        <w:szCs w:val="18"/>
      </w:rPr>
      <w:t xml:space="preserve"> </w:t>
    </w:r>
    <w:r w:rsidRPr="00923CD8">
      <w:rPr>
        <w:rStyle w:val="PageNumber"/>
        <w:rFonts w:ascii="Arial" w:hAnsi="Arial" w:cs="Arial"/>
        <w:sz w:val="18"/>
        <w:szCs w:val="18"/>
      </w:rPr>
      <w:fldChar w:fldCharType="begin"/>
    </w:r>
    <w:r w:rsidRPr="00923CD8">
      <w:rPr>
        <w:rStyle w:val="PageNumber"/>
        <w:rFonts w:ascii="Arial" w:hAnsi="Arial" w:cs="Arial"/>
        <w:sz w:val="18"/>
        <w:szCs w:val="18"/>
      </w:rPr>
      <w:instrText xml:space="preserve"> PAGE </w:instrText>
    </w:r>
    <w:r w:rsidRPr="00923CD8">
      <w:rPr>
        <w:rStyle w:val="PageNumber"/>
        <w:rFonts w:ascii="Arial" w:hAnsi="Arial" w:cs="Arial"/>
        <w:sz w:val="18"/>
        <w:szCs w:val="18"/>
      </w:rPr>
      <w:fldChar w:fldCharType="separate"/>
    </w:r>
    <w:r w:rsidR="00D32B57">
      <w:rPr>
        <w:rStyle w:val="PageNumber"/>
        <w:rFonts w:ascii="Arial" w:hAnsi="Arial" w:cs="Arial"/>
        <w:noProof/>
        <w:sz w:val="18"/>
        <w:szCs w:val="18"/>
      </w:rPr>
      <w:t>1</w:t>
    </w:r>
    <w:r w:rsidRPr="00923CD8">
      <w:rPr>
        <w:rStyle w:val="PageNumber"/>
        <w:rFonts w:ascii="Arial" w:hAnsi="Arial" w:cs="Arial"/>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515107"/>
      <w:docPartObj>
        <w:docPartGallery w:val="Page Numbers (Bottom of Page)"/>
        <w:docPartUnique/>
      </w:docPartObj>
    </w:sdtPr>
    <w:sdtEndPr>
      <w:rPr>
        <w:noProof/>
      </w:rPr>
    </w:sdtEndPr>
    <w:sdtContent>
      <w:p w14:paraId="143AAFC3" w14:textId="57C2F496" w:rsidR="00B11066" w:rsidRPr="00923CD8" w:rsidRDefault="00923CD8" w:rsidP="00923CD8">
        <w:pPr>
          <w:pStyle w:val="MasterFooter"/>
          <w:rPr>
            <w:rFonts w:ascii="Arial" w:hAnsi="Arial" w:cs="Arial"/>
            <w:sz w:val="18"/>
            <w:szCs w:val="18"/>
          </w:rPr>
        </w:pPr>
        <w:r w:rsidRPr="00923CD8">
          <w:rPr>
            <w:rFonts w:ascii="Arial" w:hAnsi="Arial" w:cs="Arial"/>
            <w:b/>
            <w:sz w:val="18"/>
            <w:szCs w:val="18"/>
          </w:rPr>
          <w:t>Kong v Commonwealth of Australia (DIBP)</w:t>
        </w:r>
        <w:r w:rsidRPr="00923CD8">
          <w:rPr>
            <w:rFonts w:ascii="Arial" w:hAnsi="Arial" w:cs="Arial"/>
            <w:sz w:val="18"/>
            <w:szCs w:val="18"/>
          </w:rPr>
          <w:t xml:space="preserve"> </w:t>
        </w:r>
        <w:r w:rsidRPr="00923CD8">
          <w:rPr>
            <w:rFonts w:ascii="Arial" w:hAnsi="Arial" w:cs="Arial"/>
            <w:b/>
            <w:bCs/>
            <w:color w:val="6D6E70"/>
            <w:position w:val="2"/>
            <w:sz w:val="18"/>
            <w:szCs w:val="18"/>
          </w:rPr>
          <w:t>•</w:t>
        </w:r>
        <w:r w:rsidRPr="00923CD8">
          <w:rPr>
            <w:rFonts w:ascii="Arial" w:hAnsi="Arial" w:cs="Arial"/>
            <w:sz w:val="18"/>
            <w:szCs w:val="18"/>
          </w:rPr>
          <w:t xml:space="preserve"> [2015] </w:t>
        </w:r>
        <w:proofErr w:type="spellStart"/>
        <w:r w:rsidRPr="00923CD8">
          <w:rPr>
            <w:rFonts w:ascii="Arial" w:hAnsi="Arial" w:cs="Arial"/>
            <w:sz w:val="18"/>
            <w:szCs w:val="18"/>
          </w:rPr>
          <w:t>AusHRC</w:t>
        </w:r>
        <w:proofErr w:type="spellEnd"/>
        <w:r w:rsidRPr="00923CD8">
          <w:rPr>
            <w:rFonts w:ascii="Arial" w:hAnsi="Arial" w:cs="Arial"/>
            <w:sz w:val="18"/>
            <w:szCs w:val="18"/>
          </w:rPr>
          <w:t xml:space="preserve"> 98 </w:t>
        </w:r>
        <w:r w:rsidRPr="00923CD8">
          <w:rPr>
            <w:rFonts w:ascii="Arial" w:hAnsi="Arial" w:cs="Arial"/>
            <w:b/>
            <w:bCs/>
            <w:color w:val="6D6E70"/>
            <w:position w:val="2"/>
            <w:sz w:val="18"/>
            <w:szCs w:val="18"/>
          </w:rPr>
          <w:t>•</w:t>
        </w:r>
        <w:r w:rsidRPr="00923CD8">
          <w:rPr>
            <w:rStyle w:val="PageNumber"/>
            <w:rFonts w:ascii="Arial" w:hAnsi="Arial" w:cs="Arial"/>
            <w:sz w:val="18"/>
            <w:szCs w:val="18"/>
          </w:rPr>
          <w:t xml:space="preserve"> </w:t>
        </w:r>
        <w:r w:rsidRPr="00923CD8">
          <w:rPr>
            <w:rStyle w:val="PageNumber"/>
            <w:rFonts w:ascii="Arial" w:hAnsi="Arial" w:cs="Arial"/>
            <w:sz w:val="18"/>
            <w:szCs w:val="18"/>
          </w:rPr>
          <w:fldChar w:fldCharType="begin"/>
        </w:r>
        <w:r w:rsidRPr="00923CD8">
          <w:rPr>
            <w:rStyle w:val="PageNumber"/>
            <w:rFonts w:ascii="Arial" w:hAnsi="Arial" w:cs="Arial"/>
            <w:sz w:val="18"/>
            <w:szCs w:val="18"/>
          </w:rPr>
          <w:instrText xml:space="preserve"> PAGE </w:instrText>
        </w:r>
        <w:r w:rsidRPr="00923CD8">
          <w:rPr>
            <w:rStyle w:val="PageNumber"/>
            <w:rFonts w:ascii="Arial" w:hAnsi="Arial" w:cs="Arial"/>
            <w:sz w:val="18"/>
            <w:szCs w:val="18"/>
          </w:rPr>
          <w:fldChar w:fldCharType="separate"/>
        </w:r>
        <w:r w:rsidR="00D32B57">
          <w:rPr>
            <w:rStyle w:val="PageNumber"/>
            <w:rFonts w:ascii="Arial" w:hAnsi="Arial" w:cs="Arial"/>
            <w:noProof/>
            <w:sz w:val="18"/>
            <w:szCs w:val="18"/>
          </w:rPr>
          <w:t>12</w:t>
        </w:r>
        <w:r w:rsidRPr="00923CD8">
          <w:rPr>
            <w:rStyle w:val="PageNumber"/>
            <w:rFonts w:ascii="Arial" w:hAnsi="Arial" w:cs="Arial"/>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96143" w14:textId="77777777" w:rsidR="00B11066" w:rsidRDefault="00B11066" w:rsidP="00F14C6D">
      <w:r>
        <w:separator/>
      </w:r>
    </w:p>
  </w:footnote>
  <w:footnote w:type="continuationSeparator" w:id="0">
    <w:p w14:paraId="3BBEE105" w14:textId="77777777" w:rsidR="00B11066" w:rsidRDefault="00B11066" w:rsidP="00F14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866B04E"/>
    <w:lvl w:ilvl="0">
      <w:start w:val="1"/>
      <w:numFmt w:val="bullet"/>
      <w:lvlText w:val=""/>
      <w:lvlJc w:val="left"/>
      <w:pPr>
        <w:tabs>
          <w:tab w:val="num" w:pos="567"/>
        </w:tabs>
        <w:ind w:left="567" w:firstLine="1134"/>
      </w:pPr>
      <w:rPr>
        <w:rFonts w:ascii="Symbol" w:hAnsi="Symbol" w:hint="default"/>
        <w:position w:val="0"/>
      </w:rPr>
    </w:lvl>
    <w:lvl w:ilvl="1">
      <w:start w:val="1"/>
      <w:numFmt w:val="bullet"/>
      <w:lvlText w:val="•"/>
      <w:lvlJc w:val="left"/>
      <w:pPr>
        <w:tabs>
          <w:tab w:val="num" w:pos="180"/>
        </w:tabs>
        <w:ind w:left="180" w:firstLine="360"/>
      </w:pPr>
      <w:rPr>
        <w:position w:val="-2"/>
      </w:rPr>
    </w:lvl>
    <w:lvl w:ilvl="2">
      <w:start w:val="1"/>
      <w:numFmt w:val="bullet"/>
      <w:lvlText w:val="•"/>
      <w:lvlJc w:val="left"/>
      <w:pPr>
        <w:tabs>
          <w:tab w:val="num" w:pos="180"/>
        </w:tabs>
        <w:ind w:left="180" w:firstLine="720"/>
      </w:pPr>
      <w:rPr>
        <w:position w:val="-2"/>
      </w:rPr>
    </w:lvl>
    <w:lvl w:ilvl="3">
      <w:start w:val="1"/>
      <w:numFmt w:val="bullet"/>
      <w:lvlText w:val="•"/>
      <w:lvlJc w:val="left"/>
      <w:pPr>
        <w:tabs>
          <w:tab w:val="num" w:pos="180"/>
        </w:tabs>
        <w:ind w:left="180" w:firstLine="1080"/>
      </w:pPr>
      <w:rPr>
        <w:position w:val="-2"/>
      </w:rPr>
    </w:lvl>
    <w:lvl w:ilvl="4">
      <w:start w:val="1"/>
      <w:numFmt w:val="bullet"/>
      <w:lvlText w:val="•"/>
      <w:lvlJc w:val="left"/>
      <w:pPr>
        <w:tabs>
          <w:tab w:val="num" w:pos="180"/>
        </w:tabs>
        <w:ind w:left="180" w:firstLine="1440"/>
      </w:pPr>
      <w:rPr>
        <w:position w:val="-2"/>
      </w:rPr>
    </w:lvl>
    <w:lvl w:ilvl="5">
      <w:start w:val="1"/>
      <w:numFmt w:val="bullet"/>
      <w:lvlText w:val="•"/>
      <w:lvlJc w:val="left"/>
      <w:pPr>
        <w:tabs>
          <w:tab w:val="num" w:pos="180"/>
        </w:tabs>
        <w:ind w:left="180" w:firstLine="1800"/>
      </w:pPr>
      <w:rPr>
        <w:position w:val="-2"/>
      </w:rPr>
    </w:lvl>
    <w:lvl w:ilvl="6">
      <w:start w:val="1"/>
      <w:numFmt w:val="bullet"/>
      <w:lvlText w:val="•"/>
      <w:lvlJc w:val="left"/>
      <w:pPr>
        <w:tabs>
          <w:tab w:val="num" w:pos="180"/>
        </w:tabs>
        <w:ind w:left="180" w:firstLine="2160"/>
      </w:pPr>
      <w:rPr>
        <w:position w:val="-2"/>
      </w:rPr>
    </w:lvl>
    <w:lvl w:ilvl="7">
      <w:start w:val="1"/>
      <w:numFmt w:val="bullet"/>
      <w:lvlText w:val="•"/>
      <w:lvlJc w:val="left"/>
      <w:pPr>
        <w:tabs>
          <w:tab w:val="num" w:pos="180"/>
        </w:tabs>
        <w:ind w:left="180" w:firstLine="2520"/>
      </w:pPr>
      <w:rPr>
        <w:position w:val="-2"/>
      </w:rPr>
    </w:lvl>
    <w:lvl w:ilvl="8">
      <w:start w:val="1"/>
      <w:numFmt w:val="bullet"/>
      <w:lvlText w:val="•"/>
      <w:lvlJc w:val="left"/>
      <w:pPr>
        <w:tabs>
          <w:tab w:val="num" w:pos="180"/>
        </w:tabs>
        <w:ind w:left="180" w:firstLine="2880"/>
      </w:pPr>
      <w:rPr>
        <w:position w:val="-2"/>
      </w:rPr>
    </w:lvl>
  </w:abstractNum>
  <w:abstractNum w:abstractNumId="1"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 w15:restartNumberingAfterBreak="0">
    <w:nsid w:val="02CE3BA9"/>
    <w:multiLevelType w:val="hybridMultilevel"/>
    <w:tmpl w:val="0F523E4A"/>
    <w:lvl w:ilvl="0" w:tplc="1278F81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056520E0"/>
    <w:multiLevelType w:val="hybridMultilevel"/>
    <w:tmpl w:val="C2A60352"/>
    <w:lvl w:ilvl="0" w:tplc="1278F81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59F55DC"/>
    <w:multiLevelType w:val="hybridMultilevel"/>
    <w:tmpl w:val="1CF663B0"/>
    <w:lvl w:ilvl="0" w:tplc="0C090001">
      <w:start w:val="1"/>
      <w:numFmt w:val="decimal"/>
      <w:lvlText w:val="%1."/>
      <w:lvlJc w:val="left"/>
      <w:pPr>
        <w:tabs>
          <w:tab w:val="num" w:pos="720"/>
        </w:tabs>
        <w:ind w:left="720" w:hanging="720"/>
      </w:pPr>
      <w:rPr>
        <w:rFonts w:cs="Times New Roman" w:hint="default"/>
        <w:b w:val="0"/>
        <w:i w:val="0"/>
      </w:rPr>
    </w:lvl>
    <w:lvl w:ilvl="1" w:tplc="0C090019">
      <w:start w:val="1"/>
      <w:numFmt w:val="lowerLetter"/>
      <w:lvlText w:val="%2."/>
      <w:lvlJc w:val="left"/>
      <w:pPr>
        <w:tabs>
          <w:tab w:val="num" w:pos="1440"/>
        </w:tabs>
        <w:ind w:left="1440" w:hanging="360"/>
      </w:pPr>
      <w:rPr>
        <w:rFonts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A412F1"/>
    <w:multiLevelType w:val="multilevel"/>
    <w:tmpl w:val="EFAAE7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104069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E36AA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B01F1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4532A7"/>
    <w:multiLevelType w:val="hybridMultilevel"/>
    <w:tmpl w:val="BAE21A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1DCB237C"/>
    <w:multiLevelType w:val="hybridMultilevel"/>
    <w:tmpl w:val="CB0E8624"/>
    <w:lvl w:ilvl="0" w:tplc="FFFFFFFF">
      <w:start w:val="1"/>
      <w:numFmt w:val="decimal"/>
      <w:pStyle w:val="SubmissionNormal"/>
      <w:lvlText w:val="%1."/>
      <w:lvlJc w:val="left"/>
      <w:pPr>
        <w:tabs>
          <w:tab w:val="num" w:pos="3240"/>
        </w:tabs>
        <w:ind w:left="324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337929"/>
    <w:multiLevelType w:val="singleLevel"/>
    <w:tmpl w:val="0862F6CA"/>
    <w:lvl w:ilvl="0">
      <w:start w:val="1"/>
      <w:numFmt w:val="bullet"/>
      <w:pStyle w:val="Bullet"/>
      <w:lvlText w:val="•"/>
      <w:lvlJc w:val="left"/>
      <w:pPr>
        <w:tabs>
          <w:tab w:val="num" w:pos="360"/>
        </w:tabs>
        <w:ind w:left="360" w:hanging="360"/>
      </w:pPr>
      <w:rPr>
        <w:rFonts w:ascii="Arial" w:hAnsi="Arial" w:hint="default"/>
        <w:sz w:val="21"/>
      </w:rPr>
    </w:lvl>
  </w:abstractNum>
  <w:abstractNum w:abstractNumId="12" w15:restartNumberingAfterBreak="0">
    <w:nsid w:val="21B71560"/>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297817C3"/>
    <w:multiLevelType w:val="multilevel"/>
    <w:tmpl w:val="95986B3E"/>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091"/>
        </w:tabs>
        <w:ind w:left="1091" w:hanging="851"/>
      </w:pPr>
      <w:rPr>
        <w:rFonts w:cs="Times New Roman"/>
      </w:rPr>
    </w:lvl>
    <w:lvl w:ilvl="2">
      <w:start w:val="1"/>
      <w:numFmt w:val="lowerLetter"/>
      <w:lvlText w:val="(%3)"/>
      <w:lvlJc w:val="left"/>
      <w:pPr>
        <w:tabs>
          <w:tab w:val="num" w:pos="851"/>
        </w:tabs>
        <w:ind w:left="851" w:hanging="851"/>
      </w:pPr>
      <w:rPr>
        <w:rFonts w:ascii="Arial" w:hAnsi="Arial" w:cs="Times New Roman" w:hint="default"/>
        <w:b w:val="0"/>
        <w:i w:val="0"/>
        <w:sz w:val="22"/>
        <w:szCs w:val="22"/>
      </w:rPr>
    </w:lvl>
    <w:lvl w:ilvl="3">
      <w:start w:val="1"/>
      <w:numFmt w:val="lowerRoman"/>
      <w:lvlText w:val="(%4)"/>
      <w:lvlJc w:val="left"/>
      <w:pPr>
        <w:tabs>
          <w:tab w:val="num" w:pos="851"/>
        </w:tabs>
        <w:ind w:left="851" w:hanging="851"/>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9781AC9"/>
    <w:multiLevelType w:val="hybridMultilevel"/>
    <w:tmpl w:val="A6E88826"/>
    <w:lvl w:ilvl="0" w:tplc="0C090019">
      <w:start w:val="1"/>
      <w:numFmt w:val="lowerLetter"/>
      <w:lvlText w:val="%1."/>
      <w:lvlJc w:val="left"/>
      <w:pPr>
        <w:ind w:left="2160" w:hanging="360"/>
      </w:pPr>
      <w:rPr>
        <w:rFonts w:hint="default"/>
        <w:b w:val="0"/>
        <w:sz w:val="22"/>
        <w:szCs w:val="22"/>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15:restartNumberingAfterBreak="0">
    <w:nsid w:val="2D2B7C8C"/>
    <w:multiLevelType w:val="hybridMultilevel"/>
    <w:tmpl w:val="5A223304"/>
    <w:lvl w:ilvl="0" w:tplc="1278F81A">
      <w:start w:val="1"/>
      <w:numFmt w:val="lowerLetter"/>
      <w:lvlText w:val="%1)"/>
      <w:lvlJc w:val="left"/>
      <w:pPr>
        <w:ind w:left="3240" w:hanging="360"/>
      </w:pPr>
      <w:rPr>
        <w:rFonts w:hint="default"/>
      </w:rPr>
    </w:lvl>
    <w:lvl w:ilvl="1" w:tplc="0C090019" w:tentative="1">
      <w:start w:val="1"/>
      <w:numFmt w:val="lowerLetter"/>
      <w:lvlText w:val="%2."/>
      <w:lvlJc w:val="left"/>
      <w:pPr>
        <w:ind w:left="2880" w:hanging="360"/>
      </w:pPr>
    </w:lvl>
    <w:lvl w:ilvl="2" w:tplc="0C090017">
      <w:start w:val="1"/>
      <w:numFmt w:val="lowerLetter"/>
      <w:lvlText w:val="%3)"/>
      <w:lvlJc w:val="lef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36EF40A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9622EAA"/>
    <w:multiLevelType w:val="hybridMultilevel"/>
    <w:tmpl w:val="C27208B4"/>
    <w:lvl w:ilvl="0" w:tplc="FFFFFFFF">
      <w:start w:val="1"/>
      <w:numFmt w:val="bullet"/>
      <w:lvlText w:val=""/>
      <w:lvlJc w:val="left"/>
      <w:pPr>
        <w:tabs>
          <w:tab w:val="num" w:pos="1560"/>
        </w:tabs>
        <w:ind w:left="1560" w:hanging="360"/>
      </w:pPr>
      <w:rPr>
        <w:rFonts w:ascii="Symbol" w:hAnsi="Symbol" w:hint="default"/>
      </w:rPr>
    </w:lvl>
    <w:lvl w:ilvl="1" w:tplc="FFFFFFFF" w:tentative="1">
      <w:start w:val="1"/>
      <w:numFmt w:val="bullet"/>
      <w:lvlText w:val="o"/>
      <w:lvlJc w:val="left"/>
      <w:pPr>
        <w:tabs>
          <w:tab w:val="num" w:pos="2280"/>
        </w:tabs>
        <w:ind w:left="2280" w:hanging="360"/>
      </w:pPr>
      <w:rPr>
        <w:rFonts w:ascii="Courier New" w:hAnsi="Courier New" w:hint="default"/>
      </w:rPr>
    </w:lvl>
    <w:lvl w:ilvl="2" w:tplc="FFFFFFFF" w:tentative="1">
      <w:start w:val="1"/>
      <w:numFmt w:val="bullet"/>
      <w:lvlText w:val=""/>
      <w:lvlJc w:val="left"/>
      <w:pPr>
        <w:tabs>
          <w:tab w:val="num" w:pos="3000"/>
        </w:tabs>
        <w:ind w:left="3000" w:hanging="360"/>
      </w:pPr>
      <w:rPr>
        <w:rFonts w:ascii="Wingdings" w:hAnsi="Wingdings" w:hint="default"/>
      </w:rPr>
    </w:lvl>
    <w:lvl w:ilvl="3" w:tplc="FFFFFFFF" w:tentative="1">
      <w:start w:val="1"/>
      <w:numFmt w:val="bullet"/>
      <w:lvlText w:val=""/>
      <w:lvlJc w:val="left"/>
      <w:pPr>
        <w:tabs>
          <w:tab w:val="num" w:pos="3720"/>
        </w:tabs>
        <w:ind w:left="3720" w:hanging="360"/>
      </w:pPr>
      <w:rPr>
        <w:rFonts w:ascii="Symbol" w:hAnsi="Symbol" w:hint="default"/>
      </w:rPr>
    </w:lvl>
    <w:lvl w:ilvl="4" w:tplc="FFFFFFFF" w:tentative="1">
      <w:start w:val="1"/>
      <w:numFmt w:val="bullet"/>
      <w:lvlText w:val="o"/>
      <w:lvlJc w:val="left"/>
      <w:pPr>
        <w:tabs>
          <w:tab w:val="num" w:pos="4440"/>
        </w:tabs>
        <w:ind w:left="4440" w:hanging="360"/>
      </w:pPr>
      <w:rPr>
        <w:rFonts w:ascii="Courier New" w:hAnsi="Courier New" w:hint="default"/>
      </w:rPr>
    </w:lvl>
    <w:lvl w:ilvl="5" w:tplc="FFFFFFFF" w:tentative="1">
      <w:start w:val="1"/>
      <w:numFmt w:val="bullet"/>
      <w:lvlText w:val=""/>
      <w:lvlJc w:val="left"/>
      <w:pPr>
        <w:tabs>
          <w:tab w:val="num" w:pos="5160"/>
        </w:tabs>
        <w:ind w:left="5160" w:hanging="360"/>
      </w:pPr>
      <w:rPr>
        <w:rFonts w:ascii="Wingdings" w:hAnsi="Wingdings" w:hint="default"/>
      </w:rPr>
    </w:lvl>
    <w:lvl w:ilvl="6" w:tplc="FFFFFFFF" w:tentative="1">
      <w:start w:val="1"/>
      <w:numFmt w:val="bullet"/>
      <w:lvlText w:val=""/>
      <w:lvlJc w:val="left"/>
      <w:pPr>
        <w:tabs>
          <w:tab w:val="num" w:pos="5880"/>
        </w:tabs>
        <w:ind w:left="5880" w:hanging="360"/>
      </w:pPr>
      <w:rPr>
        <w:rFonts w:ascii="Symbol" w:hAnsi="Symbol" w:hint="default"/>
      </w:rPr>
    </w:lvl>
    <w:lvl w:ilvl="7" w:tplc="FFFFFFFF" w:tentative="1">
      <w:start w:val="1"/>
      <w:numFmt w:val="bullet"/>
      <w:lvlText w:val="o"/>
      <w:lvlJc w:val="left"/>
      <w:pPr>
        <w:tabs>
          <w:tab w:val="num" w:pos="6600"/>
        </w:tabs>
        <w:ind w:left="6600" w:hanging="360"/>
      </w:pPr>
      <w:rPr>
        <w:rFonts w:ascii="Courier New" w:hAnsi="Courier New" w:hint="default"/>
      </w:rPr>
    </w:lvl>
    <w:lvl w:ilvl="8" w:tplc="FFFFFFFF"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3A080D16"/>
    <w:multiLevelType w:val="hybridMultilevel"/>
    <w:tmpl w:val="1E028DEE"/>
    <w:lvl w:ilvl="0" w:tplc="410CD2B6">
      <w:start w:val="1"/>
      <w:numFmt w:val="lowerLetter"/>
      <w:lvlText w:val="%1)"/>
      <w:lvlJc w:val="left"/>
      <w:pPr>
        <w:ind w:left="1778" w:hanging="360"/>
      </w:pPr>
      <w:rPr>
        <w:rFonts w:hint="default"/>
        <w:i/>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9" w15:restartNumberingAfterBreak="0">
    <w:nsid w:val="3C0846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35303D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F96599"/>
    <w:multiLevelType w:val="hybridMultilevel"/>
    <w:tmpl w:val="ED6AA49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440E1C54"/>
    <w:multiLevelType w:val="hybridMultilevel"/>
    <w:tmpl w:val="0DD05BCC"/>
    <w:lvl w:ilvl="0" w:tplc="0C09000F">
      <w:start w:val="1"/>
      <w:numFmt w:val="decimal"/>
      <w:lvlText w:val="%1."/>
      <w:lvlJc w:val="left"/>
      <w:pPr>
        <w:ind w:left="720" w:hanging="360"/>
      </w:pPr>
    </w:lvl>
    <w:lvl w:ilvl="1" w:tplc="3D7C45C8">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FF7A73"/>
    <w:multiLevelType w:val="multilevel"/>
    <w:tmpl w:val="5D76D712"/>
    <w:lvl w:ilvl="0">
      <w:start w:val="8"/>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4A060E2D"/>
    <w:multiLevelType w:val="multilevel"/>
    <w:tmpl w:val="5B7AD06C"/>
    <w:lvl w:ilvl="0">
      <w:start w:val="1"/>
      <w:numFmt w:val="decimal"/>
      <w:lvlText w:val="%1)"/>
      <w:lvlJc w:val="left"/>
      <w:pPr>
        <w:ind w:left="360" w:hanging="360"/>
      </w:p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15:restartNumberingAfterBreak="0">
    <w:nsid w:val="4F9C47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2D6A6C"/>
    <w:multiLevelType w:val="multilevel"/>
    <w:tmpl w:val="D85E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0E4C5F"/>
    <w:multiLevelType w:val="hybridMultilevel"/>
    <w:tmpl w:val="3EFCDAC0"/>
    <w:lvl w:ilvl="0" w:tplc="04090001">
      <w:start w:val="1"/>
      <w:numFmt w:val="bullet"/>
      <w:lvlText w:val=""/>
      <w:lvlJc w:val="left"/>
      <w:pPr>
        <w:tabs>
          <w:tab w:val="num" w:pos="1080"/>
        </w:tabs>
        <w:ind w:left="1080" w:hanging="360"/>
      </w:pPr>
      <w:rPr>
        <w:rFonts w:ascii="Symbol" w:hAnsi="Symbol" w:hint="default"/>
        <w:b w:val="0"/>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57A34847"/>
    <w:multiLevelType w:val="hybridMultilevel"/>
    <w:tmpl w:val="F12EFC46"/>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2" w15:restartNumberingAfterBreak="0">
    <w:nsid w:val="57A63896"/>
    <w:multiLevelType w:val="multilevel"/>
    <w:tmpl w:val="EFAAE7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BC6057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EE11E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F91034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FC962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127822"/>
    <w:multiLevelType w:val="hybridMultilevel"/>
    <w:tmpl w:val="9A7ADA32"/>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975E7FA4">
      <w:start w:val="1"/>
      <w:numFmt w:val="decimal"/>
      <w:lvlText w:val="%4."/>
      <w:lvlJc w:val="left"/>
      <w:pPr>
        <w:tabs>
          <w:tab w:val="num" w:pos="360"/>
        </w:tabs>
        <w:ind w:left="360" w:hanging="360"/>
      </w:pPr>
      <w:rPr>
        <w:sz w:val="24"/>
        <w:szCs w:val="24"/>
      </w:rPr>
    </w:lvl>
    <w:lvl w:ilvl="4" w:tplc="92682ED2">
      <w:start w:val="2"/>
      <w:numFmt w:val="lowerLetter"/>
      <w:lvlText w:val="(%5)"/>
      <w:lvlJc w:val="left"/>
      <w:pPr>
        <w:tabs>
          <w:tab w:val="num" w:pos="3900"/>
        </w:tabs>
        <w:ind w:left="3900" w:hanging="660"/>
      </w:pPr>
      <w:rPr>
        <w:sz w:val="22"/>
        <w:szCs w:val="22"/>
      </w:rPr>
    </w:lvl>
    <w:lvl w:ilvl="5" w:tplc="0C09001B">
      <w:start w:val="1"/>
      <w:numFmt w:val="lowerRoman"/>
      <w:lvlText w:val="%6."/>
      <w:lvlJc w:val="right"/>
      <w:pPr>
        <w:tabs>
          <w:tab w:val="num" w:pos="4320"/>
        </w:tabs>
        <w:ind w:left="4320" w:hanging="180"/>
      </w:pPr>
      <w:rPr>
        <w:rFonts w:cs="Times New Roman"/>
      </w:rPr>
    </w:lvl>
    <w:lvl w:ilvl="6" w:tplc="9326C71A">
      <w:start w:val="1"/>
      <w:numFmt w:val="lowerLetter"/>
      <w:lvlText w:val="%7)"/>
      <w:lvlJc w:val="left"/>
      <w:pPr>
        <w:ind w:left="5040" w:hanging="360"/>
      </w:pPr>
      <w:rPr>
        <w:rFonts w:cs="Arial"/>
        <w:sz w:val="24"/>
      </w:rPr>
    </w:lvl>
    <w:lvl w:ilvl="7" w:tplc="AF0CDA88">
      <w:start w:val="1"/>
      <w:numFmt w:val="decimal"/>
      <w:lvlText w:val="(%8)"/>
      <w:lvlJc w:val="left"/>
      <w:pPr>
        <w:ind w:left="5760" w:hanging="360"/>
      </w:pPr>
    </w:lvl>
    <w:lvl w:ilvl="8" w:tplc="0C09001B">
      <w:start w:val="1"/>
      <w:numFmt w:val="lowerRoman"/>
      <w:lvlText w:val="%9."/>
      <w:lvlJc w:val="right"/>
      <w:pPr>
        <w:tabs>
          <w:tab w:val="num" w:pos="6480"/>
        </w:tabs>
        <w:ind w:left="6480" w:hanging="180"/>
      </w:pPr>
      <w:rPr>
        <w:rFonts w:cs="Times New Roman"/>
      </w:rPr>
    </w:lvl>
  </w:abstractNum>
  <w:abstractNum w:abstractNumId="38" w15:restartNumberingAfterBreak="0">
    <w:nsid w:val="652E535C"/>
    <w:multiLevelType w:val="multilevel"/>
    <w:tmpl w:val="EFAAE7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6EB1AE6"/>
    <w:multiLevelType w:val="hybridMultilevel"/>
    <w:tmpl w:val="273ED4D8"/>
    <w:lvl w:ilvl="0" w:tplc="0C090017">
      <w:start w:val="1"/>
      <w:numFmt w:val="lowerLetter"/>
      <w:lvlText w:val="%1)"/>
      <w:lvlJc w:val="left"/>
      <w:pPr>
        <w:tabs>
          <w:tab w:val="num" w:pos="1440"/>
        </w:tabs>
        <w:ind w:left="1440" w:hanging="720"/>
      </w:pPr>
      <w:rPr>
        <w:rFonts w:hint="default"/>
        <w:b w:val="0"/>
        <w:i w:val="0"/>
      </w:rPr>
    </w:lvl>
    <w:lvl w:ilvl="1" w:tplc="0C09001B">
      <w:start w:val="1"/>
      <w:numFmt w:val="lowerRoman"/>
      <w:lvlText w:val="%2."/>
      <w:lvlJc w:val="right"/>
      <w:pPr>
        <w:tabs>
          <w:tab w:val="num" w:pos="2160"/>
        </w:tabs>
        <w:ind w:left="2160" w:hanging="360"/>
      </w:pPr>
      <w:rPr>
        <w:rFonts w:hint="default"/>
        <w:b w:val="0"/>
        <w:sz w:val="22"/>
        <w:szCs w:val="22"/>
      </w:rPr>
    </w:lvl>
    <w:lvl w:ilvl="2" w:tplc="0C09001B">
      <w:start w:val="1"/>
      <w:numFmt w:val="lowerRoman"/>
      <w:lvlText w:val="%3."/>
      <w:lvlJc w:val="right"/>
      <w:pPr>
        <w:tabs>
          <w:tab w:val="num" w:pos="2880"/>
        </w:tabs>
        <w:ind w:left="2880" w:hanging="180"/>
      </w:pPr>
      <w:rPr>
        <w:rFonts w:cs="Times New Roman"/>
      </w:rPr>
    </w:lvl>
    <w:lvl w:ilvl="3" w:tplc="0C09000F">
      <w:start w:val="1"/>
      <w:numFmt w:val="bullet"/>
      <w:lvlText w:val=""/>
      <w:lvlJc w:val="left"/>
      <w:pPr>
        <w:tabs>
          <w:tab w:val="num" w:pos="3600"/>
        </w:tabs>
        <w:ind w:left="3600" w:hanging="360"/>
      </w:pPr>
      <w:rPr>
        <w:rFonts w:ascii="Symbol" w:hAnsi="Symbol" w:hint="default"/>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40" w15:restartNumberingAfterBreak="0">
    <w:nsid w:val="68E32B0F"/>
    <w:multiLevelType w:val="hybridMultilevel"/>
    <w:tmpl w:val="EF5AF6D0"/>
    <w:lvl w:ilvl="0" w:tplc="3954D824">
      <w:start w:val="1"/>
      <w:numFmt w:val="bullet"/>
      <w:lvlText w:val=""/>
      <w:lvlJc w:val="left"/>
      <w:pPr>
        <w:ind w:left="1080" w:hanging="360"/>
      </w:pPr>
      <w:rPr>
        <w:rFonts w:ascii="Symbol" w:hAnsi="Symbol" w:hint="default"/>
        <w:sz w:val="20"/>
        <w:szCs w:val="2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1" w15:restartNumberingAfterBreak="0">
    <w:nsid w:val="696E70A7"/>
    <w:multiLevelType w:val="hybridMultilevel"/>
    <w:tmpl w:val="EBC0E198"/>
    <w:lvl w:ilvl="0" w:tplc="C23C001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6F600B3C"/>
    <w:multiLevelType w:val="hybridMultilevel"/>
    <w:tmpl w:val="3D66BF50"/>
    <w:lvl w:ilvl="0" w:tplc="50C279C4">
      <w:start w:val="1"/>
      <w:numFmt w:val="decimal"/>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3" w15:restartNumberingAfterBreak="0">
    <w:nsid w:val="6FE5640E"/>
    <w:multiLevelType w:val="hybridMultilevel"/>
    <w:tmpl w:val="BDC6E40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44" w15:restartNumberingAfterBreak="0">
    <w:nsid w:val="72A9009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4C74663"/>
    <w:multiLevelType w:val="hybridMultilevel"/>
    <w:tmpl w:val="AFDC25A2"/>
    <w:lvl w:ilvl="0" w:tplc="1046A03C">
      <w:start w:val="1"/>
      <w:numFmt w:val="decimal"/>
      <w:lvlText w:val="%1."/>
      <w:lvlJc w:val="left"/>
      <w:pPr>
        <w:tabs>
          <w:tab w:val="num" w:pos="720"/>
        </w:tabs>
        <w:ind w:left="720" w:hanging="720"/>
      </w:pPr>
      <w:rPr>
        <w:rFonts w:cs="Times New Roman" w:hint="default"/>
        <w:b w:val="0"/>
        <w:i w:val="0"/>
        <w:sz w:val="24"/>
        <w:szCs w:val="24"/>
      </w:rPr>
    </w:lvl>
    <w:lvl w:ilvl="1" w:tplc="0C090019">
      <w:start w:val="1"/>
      <w:numFmt w:val="lowerLetter"/>
      <w:lvlText w:val="%2."/>
      <w:lvlJc w:val="left"/>
      <w:pPr>
        <w:tabs>
          <w:tab w:val="num" w:pos="1440"/>
        </w:tabs>
        <w:ind w:left="1440" w:hanging="360"/>
      </w:pPr>
      <w:rPr>
        <w:rFonts w:hint="default"/>
        <w:b w:val="0"/>
        <w:sz w:val="22"/>
        <w:szCs w:val="22"/>
      </w:rPr>
    </w:lvl>
    <w:lvl w:ilvl="2" w:tplc="2BF003F8">
      <w:start w:val="1"/>
      <w:numFmt w:val="lowerRoman"/>
      <w:lvlText w:val="%3."/>
      <w:lvlJc w:val="right"/>
      <w:pPr>
        <w:tabs>
          <w:tab w:val="num" w:pos="2160"/>
        </w:tabs>
        <w:ind w:left="2160" w:hanging="180"/>
      </w:pPr>
      <w:rPr>
        <w:rFonts w:cs="Times New Roman"/>
        <w:b w:val="0"/>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5FF0362"/>
    <w:multiLevelType w:val="hybridMultilevel"/>
    <w:tmpl w:val="C2A60352"/>
    <w:lvl w:ilvl="0" w:tplc="1278F81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79563054"/>
    <w:multiLevelType w:val="hybridMultilevel"/>
    <w:tmpl w:val="9B62A40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7"/>
  </w:num>
  <w:num w:numId="2">
    <w:abstractNumId w:val="20"/>
  </w:num>
  <w:num w:numId="3">
    <w:abstractNumId w:val="12"/>
  </w:num>
  <w:num w:numId="4">
    <w:abstractNumId w:val="26"/>
  </w:num>
  <w:num w:numId="5">
    <w:abstractNumId w:val="17"/>
  </w:num>
  <w:num w:numId="6">
    <w:abstractNumId w:val="10"/>
  </w:num>
  <w:num w:numId="7">
    <w:abstractNumId w:val="45"/>
  </w:num>
  <w:num w:numId="8">
    <w:abstractNumId w:val="11"/>
  </w:num>
  <w:num w:numId="9">
    <w:abstractNumId w:val="39"/>
  </w:num>
  <w:num w:numId="10">
    <w:abstractNumId w:val="21"/>
  </w:num>
  <w:num w:numId="11">
    <w:abstractNumId w:val="24"/>
  </w:num>
  <w:num w:numId="12">
    <w:abstractNumId w:val="36"/>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0"/>
  </w:num>
  <w:num w:numId="17">
    <w:abstractNumId w:val="10"/>
  </w:num>
  <w:num w:numId="18">
    <w:abstractNumId w:val="32"/>
  </w:num>
  <w:num w:numId="19">
    <w:abstractNumId w:val="10"/>
  </w:num>
  <w:num w:numId="20">
    <w:abstractNumId w:val="10"/>
  </w:num>
  <w:num w:numId="21">
    <w:abstractNumId w:val="10"/>
  </w:num>
  <w:num w:numId="22">
    <w:abstractNumId w:val="6"/>
  </w:num>
  <w:num w:numId="23">
    <w:abstractNumId w:val="7"/>
  </w:num>
  <w:num w:numId="24">
    <w:abstractNumId w:val="25"/>
  </w:num>
  <w:num w:numId="25">
    <w:abstractNumId w:val="33"/>
  </w:num>
  <w:num w:numId="26">
    <w:abstractNumId w:val="10"/>
  </w:num>
  <w:num w:numId="27">
    <w:abstractNumId w:val="28"/>
  </w:num>
  <w:num w:numId="28">
    <w:abstractNumId w:val="10"/>
  </w:num>
  <w:num w:numId="29">
    <w:abstractNumId w:val="10"/>
  </w:num>
  <w:num w:numId="30">
    <w:abstractNumId w:val="5"/>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34"/>
  </w:num>
  <w:num w:numId="40">
    <w:abstractNumId w:val="31"/>
  </w:num>
  <w:num w:numId="41">
    <w:abstractNumId w:val="19"/>
  </w:num>
  <w:num w:numId="42">
    <w:abstractNumId w:val="44"/>
  </w:num>
  <w:num w:numId="43">
    <w:abstractNumId w:val="35"/>
  </w:num>
  <w:num w:numId="44">
    <w:abstractNumId w:val="8"/>
  </w:num>
  <w:num w:numId="45">
    <w:abstractNumId w:val="16"/>
  </w:num>
  <w:num w:numId="46">
    <w:abstractNumId w:val="18"/>
  </w:num>
  <w:num w:numId="47">
    <w:abstractNumId w:val="4"/>
  </w:num>
  <w:num w:numId="48">
    <w:abstractNumId w:val="10"/>
  </w:num>
  <w:num w:numId="49">
    <w:abstractNumId w:val="47"/>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10"/>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40"/>
  </w:num>
  <w:num w:numId="72">
    <w:abstractNumId w:val="3"/>
  </w:num>
  <w:num w:numId="73">
    <w:abstractNumId w:val="38"/>
  </w:num>
  <w:num w:numId="74">
    <w:abstractNumId w:val="15"/>
  </w:num>
  <w:num w:numId="75">
    <w:abstractNumId w:val="2"/>
  </w:num>
  <w:num w:numId="76">
    <w:abstractNumId w:val="46"/>
  </w:num>
  <w:num w:numId="77">
    <w:abstractNumId w:val="43"/>
  </w:num>
  <w:num w:numId="78">
    <w:abstractNumId w:val="22"/>
  </w:num>
  <w:num w:numId="79">
    <w:abstractNumId w:val="29"/>
  </w:num>
  <w:num w:numId="80">
    <w:abstractNumId w:val="13"/>
  </w:num>
  <w:num w:numId="81">
    <w:abstractNumId w:val="0"/>
  </w:num>
  <w:num w:numId="82">
    <w:abstractNumId w:val="9"/>
  </w:num>
  <w:num w:numId="83">
    <w:abstractNumId w:val="23"/>
  </w:num>
  <w:num w:numId="84">
    <w:abstractNumId w:val="41"/>
  </w:num>
  <w:num w:numId="85">
    <w:abstractNumId w:val="14"/>
  </w:num>
  <w:num w:numId="86">
    <w:abstractNumId w:val="4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79"/>
    <w:rsid w:val="0000074A"/>
    <w:rsid w:val="00000995"/>
    <w:rsid w:val="0000108E"/>
    <w:rsid w:val="000012E7"/>
    <w:rsid w:val="000014F4"/>
    <w:rsid w:val="000019E3"/>
    <w:rsid w:val="00002CA2"/>
    <w:rsid w:val="0000304D"/>
    <w:rsid w:val="00003A76"/>
    <w:rsid w:val="00003D6C"/>
    <w:rsid w:val="0000460A"/>
    <w:rsid w:val="00004636"/>
    <w:rsid w:val="00004DFA"/>
    <w:rsid w:val="0000659B"/>
    <w:rsid w:val="000071FD"/>
    <w:rsid w:val="00007B76"/>
    <w:rsid w:val="00007C94"/>
    <w:rsid w:val="00007DB9"/>
    <w:rsid w:val="00007EE5"/>
    <w:rsid w:val="000100E4"/>
    <w:rsid w:val="00010A3D"/>
    <w:rsid w:val="00010ACB"/>
    <w:rsid w:val="0001212F"/>
    <w:rsid w:val="00012322"/>
    <w:rsid w:val="0001254B"/>
    <w:rsid w:val="0001268D"/>
    <w:rsid w:val="000129D3"/>
    <w:rsid w:val="00013272"/>
    <w:rsid w:val="00014936"/>
    <w:rsid w:val="00014BD9"/>
    <w:rsid w:val="00014E26"/>
    <w:rsid w:val="00014FD9"/>
    <w:rsid w:val="00014FFF"/>
    <w:rsid w:val="000158A7"/>
    <w:rsid w:val="00015E3E"/>
    <w:rsid w:val="00015F8D"/>
    <w:rsid w:val="00017101"/>
    <w:rsid w:val="00017768"/>
    <w:rsid w:val="00017A43"/>
    <w:rsid w:val="00017C98"/>
    <w:rsid w:val="000201D7"/>
    <w:rsid w:val="000201E9"/>
    <w:rsid w:val="00020435"/>
    <w:rsid w:val="00021134"/>
    <w:rsid w:val="000218F1"/>
    <w:rsid w:val="00022991"/>
    <w:rsid w:val="00023241"/>
    <w:rsid w:val="0002376F"/>
    <w:rsid w:val="00023D69"/>
    <w:rsid w:val="00024359"/>
    <w:rsid w:val="000243DA"/>
    <w:rsid w:val="000244B8"/>
    <w:rsid w:val="00025002"/>
    <w:rsid w:val="000263C1"/>
    <w:rsid w:val="000302BF"/>
    <w:rsid w:val="0003096F"/>
    <w:rsid w:val="00031403"/>
    <w:rsid w:val="00032305"/>
    <w:rsid w:val="000323E3"/>
    <w:rsid w:val="00032A8D"/>
    <w:rsid w:val="00033207"/>
    <w:rsid w:val="00033583"/>
    <w:rsid w:val="0003442A"/>
    <w:rsid w:val="00034EA2"/>
    <w:rsid w:val="00035849"/>
    <w:rsid w:val="00035FC9"/>
    <w:rsid w:val="000364D1"/>
    <w:rsid w:val="00037BD6"/>
    <w:rsid w:val="0004095C"/>
    <w:rsid w:val="00041417"/>
    <w:rsid w:val="000415C5"/>
    <w:rsid w:val="00042085"/>
    <w:rsid w:val="00043143"/>
    <w:rsid w:val="0004397C"/>
    <w:rsid w:val="00043C23"/>
    <w:rsid w:val="0004638B"/>
    <w:rsid w:val="00047076"/>
    <w:rsid w:val="000479A7"/>
    <w:rsid w:val="00051579"/>
    <w:rsid w:val="00051875"/>
    <w:rsid w:val="00051CE0"/>
    <w:rsid w:val="0005202A"/>
    <w:rsid w:val="0005222E"/>
    <w:rsid w:val="000523CB"/>
    <w:rsid w:val="000523EF"/>
    <w:rsid w:val="000531C1"/>
    <w:rsid w:val="00053523"/>
    <w:rsid w:val="00054076"/>
    <w:rsid w:val="000540A0"/>
    <w:rsid w:val="0005426C"/>
    <w:rsid w:val="000542C7"/>
    <w:rsid w:val="0005446F"/>
    <w:rsid w:val="000544EE"/>
    <w:rsid w:val="00055868"/>
    <w:rsid w:val="00055A9A"/>
    <w:rsid w:val="00055CCA"/>
    <w:rsid w:val="00056436"/>
    <w:rsid w:val="000579B1"/>
    <w:rsid w:val="00057D3C"/>
    <w:rsid w:val="00060CBD"/>
    <w:rsid w:val="00060D9F"/>
    <w:rsid w:val="00061800"/>
    <w:rsid w:val="000618E7"/>
    <w:rsid w:val="00061F6B"/>
    <w:rsid w:val="000625D0"/>
    <w:rsid w:val="00063614"/>
    <w:rsid w:val="00063F02"/>
    <w:rsid w:val="00064538"/>
    <w:rsid w:val="00064EDF"/>
    <w:rsid w:val="000651EE"/>
    <w:rsid w:val="00065F71"/>
    <w:rsid w:val="00066F0A"/>
    <w:rsid w:val="00067265"/>
    <w:rsid w:val="00067D3A"/>
    <w:rsid w:val="00070624"/>
    <w:rsid w:val="00070D7F"/>
    <w:rsid w:val="00070E05"/>
    <w:rsid w:val="000718CB"/>
    <w:rsid w:val="00071CC3"/>
    <w:rsid w:val="00071E4E"/>
    <w:rsid w:val="00072183"/>
    <w:rsid w:val="000729A3"/>
    <w:rsid w:val="000745FB"/>
    <w:rsid w:val="00074CD6"/>
    <w:rsid w:val="00074D0C"/>
    <w:rsid w:val="00076C71"/>
    <w:rsid w:val="0007732B"/>
    <w:rsid w:val="00081BD7"/>
    <w:rsid w:val="00081C4F"/>
    <w:rsid w:val="000830EB"/>
    <w:rsid w:val="00083126"/>
    <w:rsid w:val="000833D2"/>
    <w:rsid w:val="00083884"/>
    <w:rsid w:val="00083F01"/>
    <w:rsid w:val="00084A54"/>
    <w:rsid w:val="00085074"/>
    <w:rsid w:val="00085562"/>
    <w:rsid w:val="00086206"/>
    <w:rsid w:val="00086500"/>
    <w:rsid w:val="00086627"/>
    <w:rsid w:val="000867ED"/>
    <w:rsid w:val="00086816"/>
    <w:rsid w:val="00087CAD"/>
    <w:rsid w:val="00087E2D"/>
    <w:rsid w:val="000927D3"/>
    <w:rsid w:val="0009352B"/>
    <w:rsid w:val="00094A51"/>
    <w:rsid w:val="00095F37"/>
    <w:rsid w:val="0009623D"/>
    <w:rsid w:val="00096295"/>
    <w:rsid w:val="00096772"/>
    <w:rsid w:val="00096AA9"/>
    <w:rsid w:val="00096DF5"/>
    <w:rsid w:val="00096E8E"/>
    <w:rsid w:val="000976EB"/>
    <w:rsid w:val="00097A56"/>
    <w:rsid w:val="00097CDD"/>
    <w:rsid w:val="000A0820"/>
    <w:rsid w:val="000A1157"/>
    <w:rsid w:val="000A1F43"/>
    <w:rsid w:val="000A2092"/>
    <w:rsid w:val="000A2C78"/>
    <w:rsid w:val="000A2E89"/>
    <w:rsid w:val="000A3BC5"/>
    <w:rsid w:val="000A3D33"/>
    <w:rsid w:val="000A3DB6"/>
    <w:rsid w:val="000A53B7"/>
    <w:rsid w:val="000A6A08"/>
    <w:rsid w:val="000A7748"/>
    <w:rsid w:val="000A7E5F"/>
    <w:rsid w:val="000B03B0"/>
    <w:rsid w:val="000B0A5D"/>
    <w:rsid w:val="000B0BCD"/>
    <w:rsid w:val="000B11EB"/>
    <w:rsid w:val="000B192C"/>
    <w:rsid w:val="000B21AB"/>
    <w:rsid w:val="000B2E40"/>
    <w:rsid w:val="000B362B"/>
    <w:rsid w:val="000B5515"/>
    <w:rsid w:val="000B65E5"/>
    <w:rsid w:val="000B68E8"/>
    <w:rsid w:val="000B6C6C"/>
    <w:rsid w:val="000B6EC6"/>
    <w:rsid w:val="000B7141"/>
    <w:rsid w:val="000B7364"/>
    <w:rsid w:val="000B73D3"/>
    <w:rsid w:val="000B79D6"/>
    <w:rsid w:val="000C1022"/>
    <w:rsid w:val="000C136D"/>
    <w:rsid w:val="000C1B29"/>
    <w:rsid w:val="000C1DDF"/>
    <w:rsid w:val="000C2EEC"/>
    <w:rsid w:val="000C47A5"/>
    <w:rsid w:val="000C4CAC"/>
    <w:rsid w:val="000C64E9"/>
    <w:rsid w:val="000C75C5"/>
    <w:rsid w:val="000C7DC5"/>
    <w:rsid w:val="000D02B1"/>
    <w:rsid w:val="000D070F"/>
    <w:rsid w:val="000D086C"/>
    <w:rsid w:val="000D1F2C"/>
    <w:rsid w:val="000D2BBC"/>
    <w:rsid w:val="000D32A5"/>
    <w:rsid w:val="000D33FB"/>
    <w:rsid w:val="000D3467"/>
    <w:rsid w:val="000D404B"/>
    <w:rsid w:val="000D4D69"/>
    <w:rsid w:val="000D5836"/>
    <w:rsid w:val="000D62F2"/>
    <w:rsid w:val="000D72A1"/>
    <w:rsid w:val="000E0208"/>
    <w:rsid w:val="000E056B"/>
    <w:rsid w:val="000E1924"/>
    <w:rsid w:val="000E1A58"/>
    <w:rsid w:val="000E1AAD"/>
    <w:rsid w:val="000E22DA"/>
    <w:rsid w:val="000E2CA6"/>
    <w:rsid w:val="000E3740"/>
    <w:rsid w:val="000E39F7"/>
    <w:rsid w:val="000E4A8D"/>
    <w:rsid w:val="000E4B22"/>
    <w:rsid w:val="000E6265"/>
    <w:rsid w:val="000E6CC2"/>
    <w:rsid w:val="000E6F1F"/>
    <w:rsid w:val="000E6FB1"/>
    <w:rsid w:val="000E7B19"/>
    <w:rsid w:val="000F30E7"/>
    <w:rsid w:val="000F3550"/>
    <w:rsid w:val="000F52B4"/>
    <w:rsid w:val="000F550E"/>
    <w:rsid w:val="000F5A27"/>
    <w:rsid w:val="000F62C4"/>
    <w:rsid w:val="000F64D3"/>
    <w:rsid w:val="000F66E1"/>
    <w:rsid w:val="000F6F88"/>
    <w:rsid w:val="000F71FC"/>
    <w:rsid w:val="000F79DF"/>
    <w:rsid w:val="00100794"/>
    <w:rsid w:val="00100E7D"/>
    <w:rsid w:val="0010114A"/>
    <w:rsid w:val="001011C8"/>
    <w:rsid w:val="001019D6"/>
    <w:rsid w:val="00102EA2"/>
    <w:rsid w:val="00103481"/>
    <w:rsid w:val="00103C48"/>
    <w:rsid w:val="00103CBD"/>
    <w:rsid w:val="00104A89"/>
    <w:rsid w:val="00104B8E"/>
    <w:rsid w:val="00104BA4"/>
    <w:rsid w:val="00104E64"/>
    <w:rsid w:val="00105A30"/>
    <w:rsid w:val="00105FC4"/>
    <w:rsid w:val="00106777"/>
    <w:rsid w:val="00106B4D"/>
    <w:rsid w:val="00106C58"/>
    <w:rsid w:val="00107065"/>
    <w:rsid w:val="001103CD"/>
    <w:rsid w:val="00110ADC"/>
    <w:rsid w:val="00110AEB"/>
    <w:rsid w:val="0011137E"/>
    <w:rsid w:val="001114B8"/>
    <w:rsid w:val="0011180E"/>
    <w:rsid w:val="00112106"/>
    <w:rsid w:val="001122A5"/>
    <w:rsid w:val="001126EA"/>
    <w:rsid w:val="001130DC"/>
    <w:rsid w:val="00113317"/>
    <w:rsid w:val="00113850"/>
    <w:rsid w:val="00113A4C"/>
    <w:rsid w:val="00114092"/>
    <w:rsid w:val="0011413A"/>
    <w:rsid w:val="00114DE0"/>
    <w:rsid w:val="00115A53"/>
    <w:rsid w:val="00116153"/>
    <w:rsid w:val="00116666"/>
    <w:rsid w:val="001167E0"/>
    <w:rsid w:val="00117769"/>
    <w:rsid w:val="00117CE1"/>
    <w:rsid w:val="00120077"/>
    <w:rsid w:val="00120F05"/>
    <w:rsid w:val="001217D6"/>
    <w:rsid w:val="0012233F"/>
    <w:rsid w:val="001224D7"/>
    <w:rsid w:val="00123196"/>
    <w:rsid w:val="00123219"/>
    <w:rsid w:val="0012337E"/>
    <w:rsid w:val="001241B0"/>
    <w:rsid w:val="001243F0"/>
    <w:rsid w:val="0012584C"/>
    <w:rsid w:val="00125D1B"/>
    <w:rsid w:val="001260C3"/>
    <w:rsid w:val="00126308"/>
    <w:rsid w:val="00126326"/>
    <w:rsid w:val="00126866"/>
    <w:rsid w:val="00126A02"/>
    <w:rsid w:val="00126B4B"/>
    <w:rsid w:val="00126E57"/>
    <w:rsid w:val="001303B3"/>
    <w:rsid w:val="001303FF"/>
    <w:rsid w:val="00130627"/>
    <w:rsid w:val="00131768"/>
    <w:rsid w:val="001322D4"/>
    <w:rsid w:val="00132462"/>
    <w:rsid w:val="00132D3F"/>
    <w:rsid w:val="0013331D"/>
    <w:rsid w:val="00133A2E"/>
    <w:rsid w:val="00133A43"/>
    <w:rsid w:val="00133CD9"/>
    <w:rsid w:val="00133D62"/>
    <w:rsid w:val="00134BAF"/>
    <w:rsid w:val="001355AD"/>
    <w:rsid w:val="00136216"/>
    <w:rsid w:val="00136B0C"/>
    <w:rsid w:val="00136D41"/>
    <w:rsid w:val="00136E8A"/>
    <w:rsid w:val="00137EBB"/>
    <w:rsid w:val="00140077"/>
    <w:rsid w:val="0014061D"/>
    <w:rsid w:val="00140681"/>
    <w:rsid w:val="00140B64"/>
    <w:rsid w:val="00140DCF"/>
    <w:rsid w:val="00140DF2"/>
    <w:rsid w:val="00140F70"/>
    <w:rsid w:val="0014206D"/>
    <w:rsid w:val="001425C1"/>
    <w:rsid w:val="00143A1B"/>
    <w:rsid w:val="00143D21"/>
    <w:rsid w:val="00144303"/>
    <w:rsid w:val="0014439B"/>
    <w:rsid w:val="0014472A"/>
    <w:rsid w:val="00144EAD"/>
    <w:rsid w:val="001465BA"/>
    <w:rsid w:val="00146F64"/>
    <w:rsid w:val="00147115"/>
    <w:rsid w:val="001471BC"/>
    <w:rsid w:val="001501E1"/>
    <w:rsid w:val="0015062E"/>
    <w:rsid w:val="00151A18"/>
    <w:rsid w:val="00151BC9"/>
    <w:rsid w:val="00151DA3"/>
    <w:rsid w:val="001523D8"/>
    <w:rsid w:val="001528FF"/>
    <w:rsid w:val="00152C9C"/>
    <w:rsid w:val="00152EF4"/>
    <w:rsid w:val="001531F9"/>
    <w:rsid w:val="001533E4"/>
    <w:rsid w:val="00153507"/>
    <w:rsid w:val="001541F5"/>
    <w:rsid w:val="00154510"/>
    <w:rsid w:val="001548B7"/>
    <w:rsid w:val="001552AC"/>
    <w:rsid w:val="00155880"/>
    <w:rsid w:val="00155CF7"/>
    <w:rsid w:val="0015645F"/>
    <w:rsid w:val="001566D4"/>
    <w:rsid w:val="0015674C"/>
    <w:rsid w:val="001570F9"/>
    <w:rsid w:val="0015737C"/>
    <w:rsid w:val="0015746F"/>
    <w:rsid w:val="00157658"/>
    <w:rsid w:val="0015774C"/>
    <w:rsid w:val="00162A8D"/>
    <w:rsid w:val="00163113"/>
    <w:rsid w:val="00163C2C"/>
    <w:rsid w:val="00164191"/>
    <w:rsid w:val="00164764"/>
    <w:rsid w:val="001651CD"/>
    <w:rsid w:val="001659F9"/>
    <w:rsid w:val="00166546"/>
    <w:rsid w:val="001665C0"/>
    <w:rsid w:val="00166C0D"/>
    <w:rsid w:val="00166F9B"/>
    <w:rsid w:val="00167050"/>
    <w:rsid w:val="00167CD8"/>
    <w:rsid w:val="001703F1"/>
    <w:rsid w:val="00170CAE"/>
    <w:rsid w:val="00170E1D"/>
    <w:rsid w:val="00170F39"/>
    <w:rsid w:val="00170F93"/>
    <w:rsid w:val="0017118A"/>
    <w:rsid w:val="001711CD"/>
    <w:rsid w:val="0017162F"/>
    <w:rsid w:val="00171D76"/>
    <w:rsid w:val="00171FD4"/>
    <w:rsid w:val="00172773"/>
    <w:rsid w:val="001727C4"/>
    <w:rsid w:val="00172ABA"/>
    <w:rsid w:val="00172D15"/>
    <w:rsid w:val="00172DB3"/>
    <w:rsid w:val="00173156"/>
    <w:rsid w:val="00173EEB"/>
    <w:rsid w:val="00174C4D"/>
    <w:rsid w:val="001756BF"/>
    <w:rsid w:val="00175742"/>
    <w:rsid w:val="00175E81"/>
    <w:rsid w:val="001763E5"/>
    <w:rsid w:val="0017647E"/>
    <w:rsid w:val="001766CD"/>
    <w:rsid w:val="00176941"/>
    <w:rsid w:val="00176AB0"/>
    <w:rsid w:val="001775D2"/>
    <w:rsid w:val="0017792A"/>
    <w:rsid w:val="0018017D"/>
    <w:rsid w:val="00180A40"/>
    <w:rsid w:val="00180AFB"/>
    <w:rsid w:val="001810F7"/>
    <w:rsid w:val="001817D2"/>
    <w:rsid w:val="00182129"/>
    <w:rsid w:val="00182778"/>
    <w:rsid w:val="00183306"/>
    <w:rsid w:val="00184098"/>
    <w:rsid w:val="001840CE"/>
    <w:rsid w:val="0018599B"/>
    <w:rsid w:val="001867A2"/>
    <w:rsid w:val="00186BDE"/>
    <w:rsid w:val="0018736F"/>
    <w:rsid w:val="001874AB"/>
    <w:rsid w:val="00187AF6"/>
    <w:rsid w:val="001904E1"/>
    <w:rsid w:val="00190F05"/>
    <w:rsid w:val="0019119F"/>
    <w:rsid w:val="00191512"/>
    <w:rsid w:val="0019303E"/>
    <w:rsid w:val="00193422"/>
    <w:rsid w:val="00193785"/>
    <w:rsid w:val="00193AA0"/>
    <w:rsid w:val="00193DC4"/>
    <w:rsid w:val="0019492B"/>
    <w:rsid w:val="00194C03"/>
    <w:rsid w:val="00194E37"/>
    <w:rsid w:val="00195017"/>
    <w:rsid w:val="0019552F"/>
    <w:rsid w:val="00195EE6"/>
    <w:rsid w:val="00196243"/>
    <w:rsid w:val="00196843"/>
    <w:rsid w:val="00196AAF"/>
    <w:rsid w:val="0019752C"/>
    <w:rsid w:val="001977D7"/>
    <w:rsid w:val="001A037F"/>
    <w:rsid w:val="001A05EC"/>
    <w:rsid w:val="001A0954"/>
    <w:rsid w:val="001A0B69"/>
    <w:rsid w:val="001A0B76"/>
    <w:rsid w:val="001A1B39"/>
    <w:rsid w:val="001A1FE2"/>
    <w:rsid w:val="001A2930"/>
    <w:rsid w:val="001A414B"/>
    <w:rsid w:val="001A425D"/>
    <w:rsid w:val="001A5890"/>
    <w:rsid w:val="001A5985"/>
    <w:rsid w:val="001A5D46"/>
    <w:rsid w:val="001A6F70"/>
    <w:rsid w:val="001B0353"/>
    <w:rsid w:val="001B0444"/>
    <w:rsid w:val="001B18F2"/>
    <w:rsid w:val="001B1ACD"/>
    <w:rsid w:val="001B1D8C"/>
    <w:rsid w:val="001B2DD3"/>
    <w:rsid w:val="001B397B"/>
    <w:rsid w:val="001B3B40"/>
    <w:rsid w:val="001B3F32"/>
    <w:rsid w:val="001B414F"/>
    <w:rsid w:val="001B42E9"/>
    <w:rsid w:val="001B4D30"/>
    <w:rsid w:val="001B4FC3"/>
    <w:rsid w:val="001B512A"/>
    <w:rsid w:val="001B5960"/>
    <w:rsid w:val="001B7487"/>
    <w:rsid w:val="001C0852"/>
    <w:rsid w:val="001C0E24"/>
    <w:rsid w:val="001C139C"/>
    <w:rsid w:val="001C148C"/>
    <w:rsid w:val="001C19FB"/>
    <w:rsid w:val="001C1A91"/>
    <w:rsid w:val="001C1B21"/>
    <w:rsid w:val="001C27E3"/>
    <w:rsid w:val="001C29DB"/>
    <w:rsid w:val="001C435D"/>
    <w:rsid w:val="001C451B"/>
    <w:rsid w:val="001C47A0"/>
    <w:rsid w:val="001C4B5E"/>
    <w:rsid w:val="001C546A"/>
    <w:rsid w:val="001C65FA"/>
    <w:rsid w:val="001C67A1"/>
    <w:rsid w:val="001C72BE"/>
    <w:rsid w:val="001C7524"/>
    <w:rsid w:val="001C79BC"/>
    <w:rsid w:val="001D08A5"/>
    <w:rsid w:val="001D1C4E"/>
    <w:rsid w:val="001D234B"/>
    <w:rsid w:val="001D2354"/>
    <w:rsid w:val="001D2529"/>
    <w:rsid w:val="001D2901"/>
    <w:rsid w:val="001D2C42"/>
    <w:rsid w:val="001D43FF"/>
    <w:rsid w:val="001D4DAE"/>
    <w:rsid w:val="001D4E3C"/>
    <w:rsid w:val="001D56B6"/>
    <w:rsid w:val="001D5E4A"/>
    <w:rsid w:val="001D5F3D"/>
    <w:rsid w:val="001D69A8"/>
    <w:rsid w:val="001D747C"/>
    <w:rsid w:val="001D7675"/>
    <w:rsid w:val="001E01A4"/>
    <w:rsid w:val="001E0268"/>
    <w:rsid w:val="001E028B"/>
    <w:rsid w:val="001E0C59"/>
    <w:rsid w:val="001E0F4C"/>
    <w:rsid w:val="001E15E3"/>
    <w:rsid w:val="001E17AD"/>
    <w:rsid w:val="001E18A5"/>
    <w:rsid w:val="001E2396"/>
    <w:rsid w:val="001E30F0"/>
    <w:rsid w:val="001E3F7A"/>
    <w:rsid w:val="001E5295"/>
    <w:rsid w:val="001E563E"/>
    <w:rsid w:val="001E674A"/>
    <w:rsid w:val="001E71FA"/>
    <w:rsid w:val="001E730A"/>
    <w:rsid w:val="001F138B"/>
    <w:rsid w:val="001F184A"/>
    <w:rsid w:val="001F18B3"/>
    <w:rsid w:val="001F2326"/>
    <w:rsid w:val="001F2368"/>
    <w:rsid w:val="001F2A3E"/>
    <w:rsid w:val="001F2BBB"/>
    <w:rsid w:val="001F2BD2"/>
    <w:rsid w:val="001F2E02"/>
    <w:rsid w:val="001F2F8B"/>
    <w:rsid w:val="001F3546"/>
    <w:rsid w:val="001F4015"/>
    <w:rsid w:val="001F44AF"/>
    <w:rsid w:val="001F55AE"/>
    <w:rsid w:val="001F5B68"/>
    <w:rsid w:val="001F688E"/>
    <w:rsid w:val="001F6F72"/>
    <w:rsid w:val="001F713B"/>
    <w:rsid w:val="001F7410"/>
    <w:rsid w:val="001F7914"/>
    <w:rsid w:val="001F7AFB"/>
    <w:rsid w:val="001F7E9E"/>
    <w:rsid w:val="00200B07"/>
    <w:rsid w:val="00200CD0"/>
    <w:rsid w:val="00201004"/>
    <w:rsid w:val="0020198D"/>
    <w:rsid w:val="00202434"/>
    <w:rsid w:val="002035FC"/>
    <w:rsid w:val="00203768"/>
    <w:rsid w:val="002037C9"/>
    <w:rsid w:val="002039AF"/>
    <w:rsid w:val="00203EFD"/>
    <w:rsid w:val="00204198"/>
    <w:rsid w:val="0020638E"/>
    <w:rsid w:val="002064BE"/>
    <w:rsid w:val="00206563"/>
    <w:rsid w:val="0020759E"/>
    <w:rsid w:val="002078F8"/>
    <w:rsid w:val="00207F4A"/>
    <w:rsid w:val="002111EA"/>
    <w:rsid w:val="00211515"/>
    <w:rsid w:val="00212505"/>
    <w:rsid w:val="002128CB"/>
    <w:rsid w:val="002141B3"/>
    <w:rsid w:val="00214972"/>
    <w:rsid w:val="00215710"/>
    <w:rsid w:val="0021586A"/>
    <w:rsid w:val="00215A35"/>
    <w:rsid w:val="00215EF4"/>
    <w:rsid w:val="0021668B"/>
    <w:rsid w:val="00216D68"/>
    <w:rsid w:val="00216F73"/>
    <w:rsid w:val="002174B2"/>
    <w:rsid w:val="00217FB1"/>
    <w:rsid w:val="002201F7"/>
    <w:rsid w:val="002206C7"/>
    <w:rsid w:val="00220CAE"/>
    <w:rsid w:val="00220D84"/>
    <w:rsid w:val="00220E9C"/>
    <w:rsid w:val="002220B7"/>
    <w:rsid w:val="002226FD"/>
    <w:rsid w:val="002235DC"/>
    <w:rsid w:val="00223A37"/>
    <w:rsid w:val="00223A99"/>
    <w:rsid w:val="0022441A"/>
    <w:rsid w:val="00224F90"/>
    <w:rsid w:val="00225A3D"/>
    <w:rsid w:val="002260BD"/>
    <w:rsid w:val="00227940"/>
    <w:rsid w:val="00230A84"/>
    <w:rsid w:val="00230E13"/>
    <w:rsid w:val="00230FF9"/>
    <w:rsid w:val="002314FC"/>
    <w:rsid w:val="0023159E"/>
    <w:rsid w:val="00231760"/>
    <w:rsid w:val="00231ED1"/>
    <w:rsid w:val="00232A95"/>
    <w:rsid w:val="0023303F"/>
    <w:rsid w:val="002332EE"/>
    <w:rsid w:val="002339D8"/>
    <w:rsid w:val="00233A20"/>
    <w:rsid w:val="00233B71"/>
    <w:rsid w:val="00234ED2"/>
    <w:rsid w:val="00236B29"/>
    <w:rsid w:val="00236BFA"/>
    <w:rsid w:val="00236FAA"/>
    <w:rsid w:val="00237AC3"/>
    <w:rsid w:val="00241A02"/>
    <w:rsid w:val="00241CA8"/>
    <w:rsid w:val="00241D75"/>
    <w:rsid w:val="00242D34"/>
    <w:rsid w:val="00242F59"/>
    <w:rsid w:val="0024300C"/>
    <w:rsid w:val="00243C26"/>
    <w:rsid w:val="00244506"/>
    <w:rsid w:val="00244B76"/>
    <w:rsid w:val="0024525A"/>
    <w:rsid w:val="0024557E"/>
    <w:rsid w:val="00245918"/>
    <w:rsid w:val="00245FD9"/>
    <w:rsid w:val="0024610C"/>
    <w:rsid w:val="00246B06"/>
    <w:rsid w:val="00246DAE"/>
    <w:rsid w:val="002475D4"/>
    <w:rsid w:val="002475EA"/>
    <w:rsid w:val="00250212"/>
    <w:rsid w:val="0025029D"/>
    <w:rsid w:val="00250787"/>
    <w:rsid w:val="0025127B"/>
    <w:rsid w:val="002520A8"/>
    <w:rsid w:val="00252758"/>
    <w:rsid w:val="00252D57"/>
    <w:rsid w:val="00252D78"/>
    <w:rsid w:val="002531B4"/>
    <w:rsid w:val="002532F5"/>
    <w:rsid w:val="00253D73"/>
    <w:rsid w:val="002540D1"/>
    <w:rsid w:val="0025566E"/>
    <w:rsid w:val="00256AD9"/>
    <w:rsid w:val="00257231"/>
    <w:rsid w:val="00257EE8"/>
    <w:rsid w:val="002616E0"/>
    <w:rsid w:val="00261C42"/>
    <w:rsid w:val="002621DE"/>
    <w:rsid w:val="00262898"/>
    <w:rsid w:val="0026292B"/>
    <w:rsid w:val="00264105"/>
    <w:rsid w:val="00264483"/>
    <w:rsid w:val="00264568"/>
    <w:rsid w:val="00264C28"/>
    <w:rsid w:val="002657C0"/>
    <w:rsid w:val="0026625B"/>
    <w:rsid w:val="00266E6B"/>
    <w:rsid w:val="00266FE6"/>
    <w:rsid w:val="00267D0F"/>
    <w:rsid w:val="002702D9"/>
    <w:rsid w:val="002702E0"/>
    <w:rsid w:val="00270A43"/>
    <w:rsid w:val="00270EE6"/>
    <w:rsid w:val="0027135E"/>
    <w:rsid w:val="002719C0"/>
    <w:rsid w:val="00271BD5"/>
    <w:rsid w:val="0027271F"/>
    <w:rsid w:val="00272733"/>
    <w:rsid w:val="002737EF"/>
    <w:rsid w:val="00274049"/>
    <w:rsid w:val="00274E15"/>
    <w:rsid w:val="002755F9"/>
    <w:rsid w:val="0027569E"/>
    <w:rsid w:val="00275F81"/>
    <w:rsid w:val="0027631F"/>
    <w:rsid w:val="00277019"/>
    <w:rsid w:val="002777D4"/>
    <w:rsid w:val="00277973"/>
    <w:rsid w:val="00277D6C"/>
    <w:rsid w:val="00280355"/>
    <w:rsid w:val="0028038E"/>
    <w:rsid w:val="00281536"/>
    <w:rsid w:val="002829BD"/>
    <w:rsid w:val="00283258"/>
    <w:rsid w:val="002844F9"/>
    <w:rsid w:val="00284763"/>
    <w:rsid w:val="00284C56"/>
    <w:rsid w:val="00285A63"/>
    <w:rsid w:val="0028634B"/>
    <w:rsid w:val="00286538"/>
    <w:rsid w:val="0028663D"/>
    <w:rsid w:val="00286B69"/>
    <w:rsid w:val="002903E3"/>
    <w:rsid w:val="002904F8"/>
    <w:rsid w:val="0029172B"/>
    <w:rsid w:val="00292F38"/>
    <w:rsid w:val="002931D9"/>
    <w:rsid w:val="0029433A"/>
    <w:rsid w:val="0029537A"/>
    <w:rsid w:val="002966C5"/>
    <w:rsid w:val="00297ADF"/>
    <w:rsid w:val="00297C50"/>
    <w:rsid w:val="00297E7E"/>
    <w:rsid w:val="00297F22"/>
    <w:rsid w:val="00297F5F"/>
    <w:rsid w:val="002A00FD"/>
    <w:rsid w:val="002A035B"/>
    <w:rsid w:val="002A0778"/>
    <w:rsid w:val="002A0EF6"/>
    <w:rsid w:val="002A12A3"/>
    <w:rsid w:val="002A18F2"/>
    <w:rsid w:val="002A32CD"/>
    <w:rsid w:val="002A377D"/>
    <w:rsid w:val="002A37A7"/>
    <w:rsid w:val="002A4613"/>
    <w:rsid w:val="002A49A3"/>
    <w:rsid w:val="002A4CBC"/>
    <w:rsid w:val="002A5169"/>
    <w:rsid w:val="002A54D1"/>
    <w:rsid w:val="002A5672"/>
    <w:rsid w:val="002A6137"/>
    <w:rsid w:val="002A6528"/>
    <w:rsid w:val="002A6772"/>
    <w:rsid w:val="002A6837"/>
    <w:rsid w:val="002A70A5"/>
    <w:rsid w:val="002A786A"/>
    <w:rsid w:val="002A7A13"/>
    <w:rsid w:val="002A7AC5"/>
    <w:rsid w:val="002B0B92"/>
    <w:rsid w:val="002B0DF8"/>
    <w:rsid w:val="002B0F4A"/>
    <w:rsid w:val="002B2FDC"/>
    <w:rsid w:val="002B48E4"/>
    <w:rsid w:val="002B64C0"/>
    <w:rsid w:val="002B7759"/>
    <w:rsid w:val="002C0A3E"/>
    <w:rsid w:val="002C0F49"/>
    <w:rsid w:val="002C1DDB"/>
    <w:rsid w:val="002C266B"/>
    <w:rsid w:val="002C27C1"/>
    <w:rsid w:val="002C2ACE"/>
    <w:rsid w:val="002C2BD4"/>
    <w:rsid w:val="002C2FD9"/>
    <w:rsid w:val="002C3119"/>
    <w:rsid w:val="002C3F6E"/>
    <w:rsid w:val="002C448D"/>
    <w:rsid w:val="002C48FA"/>
    <w:rsid w:val="002C52B4"/>
    <w:rsid w:val="002C6560"/>
    <w:rsid w:val="002C657A"/>
    <w:rsid w:val="002C6AD9"/>
    <w:rsid w:val="002C7B40"/>
    <w:rsid w:val="002C7C9F"/>
    <w:rsid w:val="002C7E77"/>
    <w:rsid w:val="002C7F1C"/>
    <w:rsid w:val="002C7FEA"/>
    <w:rsid w:val="002D07AB"/>
    <w:rsid w:val="002D0E97"/>
    <w:rsid w:val="002D2B13"/>
    <w:rsid w:val="002D2B9D"/>
    <w:rsid w:val="002D6432"/>
    <w:rsid w:val="002D6795"/>
    <w:rsid w:val="002D78DB"/>
    <w:rsid w:val="002D7FD9"/>
    <w:rsid w:val="002E13AB"/>
    <w:rsid w:val="002E1A29"/>
    <w:rsid w:val="002E1ACD"/>
    <w:rsid w:val="002E1C5A"/>
    <w:rsid w:val="002E2A4D"/>
    <w:rsid w:val="002E3968"/>
    <w:rsid w:val="002E39F7"/>
    <w:rsid w:val="002E43DA"/>
    <w:rsid w:val="002E4BC5"/>
    <w:rsid w:val="002E4D62"/>
    <w:rsid w:val="002E6440"/>
    <w:rsid w:val="002E64D5"/>
    <w:rsid w:val="002E64E6"/>
    <w:rsid w:val="002E6EA1"/>
    <w:rsid w:val="002E79F8"/>
    <w:rsid w:val="002F08AC"/>
    <w:rsid w:val="002F0D0C"/>
    <w:rsid w:val="002F0E08"/>
    <w:rsid w:val="002F117C"/>
    <w:rsid w:val="002F2174"/>
    <w:rsid w:val="002F23BF"/>
    <w:rsid w:val="002F24D9"/>
    <w:rsid w:val="002F24FF"/>
    <w:rsid w:val="002F2BB7"/>
    <w:rsid w:val="002F3178"/>
    <w:rsid w:val="002F33E3"/>
    <w:rsid w:val="002F3816"/>
    <w:rsid w:val="002F39AA"/>
    <w:rsid w:val="002F39DE"/>
    <w:rsid w:val="002F3E16"/>
    <w:rsid w:val="002F4F30"/>
    <w:rsid w:val="002F511E"/>
    <w:rsid w:val="002F5682"/>
    <w:rsid w:val="002F5777"/>
    <w:rsid w:val="002F587E"/>
    <w:rsid w:val="002F5E99"/>
    <w:rsid w:val="002F6B41"/>
    <w:rsid w:val="002F6D3F"/>
    <w:rsid w:val="002F6E56"/>
    <w:rsid w:val="002F70F7"/>
    <w:rsid w:val="002F7933"/>
    <w:rsid w:val="002F799C"/>
    <w:rsid w:val="002F7A2F"/>
    <w:rsid w:val="00300073"/>
    <w:rsid w:val="00300990"/>
    <w:rsid w:val="00300C6F"/>
    <w:rsid w:val="0030179B"/>
    <w:rsid w:val="00302688"/>
    <w:rsid w:val="0030361A"/>
    <w:rsid w:val="00303CED"/>
    <w:rsid w:val="003040CA"/>
    <w:rsid w:val="00304781"/>
    <w:rsid w:val="003050D4"/>
    <w:rsid w:val="00305DAE"/>
    <w:rsid w:val="00306B97"/>
    <w:rsid w:val="00306EBC"/>
    <w:rsid w:val="00307723"/>
    <w:rsid w:val="00307DED"/>
    <w:rsid w:val="00307E98"/>
    <w:rsid w:val="00310ED4"/>
    <w:rsid w:val="00310FC0"/>
    <w:rsid w:val="00311252"/>
    <w:rsid w:val="00311AF6"/>
    <w:rsid w:val="00311B64"/>
    <w:rsid w:val="00311D53"/>
    <w:rsid w:val="00312396"/>
    <w:rsid w:val="00312778"/>
    <w:rsid w:val="00312CBF"/>
    <w:rsid w:val="00313708"/>
    <w:rsid w:val="0031380B"/>
    <w:rsid w:val="00313FD8"/>
    <w:rsid w:val="0031492A"/>
    <w:rsid w:val="00314A56"/>
    <w:rsid w:val="0031536A"/>
    <w:rsid w:val="003159A0"/>
    <w:rsid w:val="00315AB6"/>
    <w:rsid w:val="00316254"/>
    <w:rsid w:val="00316504"/>
    <w:rsid w:val="00316C1A"/>
    <w:rsid w:val="00317403"/>
    <w:rsid w:val="003200B6"/>
    <w:rsid w:val="00320222"/>
    <w:rsid w:val="003203E2"/>
    <w:rsid w:val="00320551"/>
    <w:rsid w:val="00320854"/>
    <w:rsid w:val="00320A68"/>
    <w:rsid w:val="00320BB5"/>
    <w:rsid w:val="003215DE"/>
    <w:rsid w:val="00321930"/>
    <w:rsid w:val="00321AF0"/>
    <w:rsid w:val="00321E81"/>
    <w:rsid w:val="00321F15"/>
    <w:rsid w:val="00322B0A"/>
    <w:rsid w:val="00322BC9"/>
    <w:rsid w:val="00322E52"/>
    <w:rsid w:val="00323245"/>
    <w:rsid w:val="003232E2"/>
    <w:rsid w:val="00324062"/>
    <w:rsid w:val="003242A8"/>
    <w:rsid w:val="003242DC"/>
    <w:rsid w:val="003246EC"/>
    <w:rsid w:val="003269D0"/>
    <w:rsid w:val="003269EC"/>
    <w:rsid w:val="003270BD"/>
    <w:rsid w:val="0032717D"/>
    <w:rsid w:val="0032787E"/>
    <w:rsid w:val="00327EC1"/>
    <w:rsid w:val="00330581"/>
    <w:rsid w:val="003308F5"/>
    <w:rsid w:val="003310F8"/>
    <w:rsid w:val="00331970"/>
    <w:rsid w:val="00331CDA"/>
    <w:rsid w:val="00332964"/>
    <w:rsid w:val="00332B14"/>
    <w:rsid w:val="00332FEF"/>
    <w:rsid w:val="00333691"/>
    <w:rsid w:val="00333BE0"/>
    <w:rsid w:val="00333D7E"/>
    <w:rsid w:val="00334703"/>
    <w:rsid w:val="003358DB"/>
    <w:rsid w:val="00335A96"/>
    <w:rsid w:val="00336485"/>
    <w:rsid w:val="00337EA3"/>
    <w:rsid w:val="003400D0"/>
    <w:rsid w:val="003408E7"/>
    <w:rsid w:val="00341CF5"/>
    <w:rsid w:val="003427FD"/>
    <w:rsid w:val="00343C66"/>
    <w:rsid w:val="00344AAE"/>
    <w:rsid w:val="0034514E"/>
    <w:rsid w:val="003459DA"/>
    <w:rsid w:val="00345AFE"/>
    <w:rsid w:val="003466DC"/>
    <w:rsid w:val="0034726E"/>
    <w:rsid w:val="0034772A"/>
    <w:rsid w:val="003478BA"/>
    <w:rsid w:val="0035137F"/>
    <w:rsid w:val="00352412"/>
    <w:rsid w:val="003524E7"/>
    <w:rsid w:val="003527E7"/>
    <w:rsid w:val="0035281F"/>
    <w:rsid w:val="00352AC0"/>
    <w:rsid w:val="00352C2B"/>
    <w:rsid w:val="00353D45"/>
    <w:rsid w:val="00353F00"/>
    <w:rsid w:val="00354335"/>
    <w:rsid w:val="00354B3F"/>
    <w:rsid w:val="00354B42"/>
    <w:rsid w:val="003574AF"/>
    <w:rsid w:val="00357B30"/>
    <w:rsid w:val="00357C86"/>
    <w:rsid w:val="00357E52"/>
    <w:rsid w:val="00360021"/>
    <w:rsid w:val="003602BF"/>
    <w:rsid w:val="0036083B"/>
    <w:rsid w:val="003613D3"/>
    <w:rsid w:val="00362A3B"/>
    <w:rsid w:val="00362C9D"/>
    <w:rsid w:val="00362E0C"/>
    <w:rsid w:val="003631D0"/>
    <w:rsid w:val="00363352"/>
    <w:rsid w:val="00364ACF"/>
    <w:rsid w:val="00364CE7"/>
    <w:rsid w:val="00365AF0"/>
    <w:rsid w:val="00365B19"/>
    <w:rsid w:val="00365DC6"/>
    <w:rsid w:val="003662F5"/>
    <w:rsid w:val="0036678E"/>
    <w:rsid w:val="00367089"/>
    <w:rsid w:val="00367C3A"/>
    <w:rsid w:val="00370B00"/>
    <w:rsid w:val="00370B95"/>
    <w:rsid w:val="00370C52"/>
    <w:rsid w:val="00370CC1"/>
    <w:rsid w:val="00370DF9"/>
    <w:rsid w:val="00370F74"/>
    <w:rsid w:val="0037245A"/>
    <w:rsid w:val="003728B3"/>
    <w:rsid w:val="00372DEF"/>
    <w:rsid w:val="00373C49"/>
    <w:rsid w:val="00374633"/>
    <w:rsid w:val="003753F6"/>
    <w:rsid w:val="00375863"/>
    <w:rsid w:val="00375FD5"/>
    <w:rsid w:val="003763C2"/>
    <w:rsid w:val="00377658"/>
    <w:rsid w:val="003777CF"/>
    <w:rsid w:val="00377C8F"/>
    <w:rsid w:val="00380715"/>
    <w:rsid w:val="00381B10"/>
    <w:rsid w:val="003827B7"/>
    <w:rsid w:val="00382D8F"/>
    <w:rsid w:val="00383F0C"/>
    <w:rsid w:val="003842FB"/>
    <w:rsid w:val="003847DB"/>
    <w:rsid w:val="00384C81"/>
    <w:rsid w:val="003850F5"/>
    <w:rsid w:val="00385493"/>
    <w:rsid w:val="003854A0"/>
    <w:rsid w:val="00385996"/>
    <w:rsid w:val="00386023"/>
    <w:rsid w:val="003860A9"/>
    <w:rsid w:val="003865A4"/>
    <w:rsid w:val="0038670B"/>
    <w:rsid w:val="0039091B"/>
    <w:rsid w:val="003910E8"/>
    <w:rsid w:val="003914FC"/>
    <w:rsid w:val="00391AF4"/>
    <w:rsid w:val="003924F0"/>
    <w:rsid w:val="00392702"/>
    <w:rsid w:val="003927A5"/>
    <w:rsid w:val="003931C7"/>
    <w:rsid w:val="00393256"/>
    <w:rsid w:val="00393373"/>
    <w:rsid w:val="00393EE0"/>
    <w:rsid w:val="00393F7C"/>
    <w:rsid w:val="00394789"/>
    <w:rsid w:val="00394816"/>
    <w:rsid w:val="00394DC3"/>
    <w:rsid w:val="003955AE"/>
    <w:rsid w:val="00395B25"/>
    <w:rsid w:val="00395C83"/>
    <w:rsid w:val="00395F10"/>
    <w:rsid w:val="003963C2"/>
    <w:rsid w:val="003963CC"/>
    <w:rsid w:val="00396654"/>
    <w:rsid w:val="003972AD"/>
    <w:rsid w:val="003A0109"/>
    <w:rsid w:val="003A04D7"/>
    <w:rsid w:val="003A15A9"/>
    <w:rsid w:val="003A1A2C"/>
    <w:rsid w:val="003A460B"/>
    <w:rsid w:val="003A4BDF"/>
    <w:rsid w:val="003A4E20"/>
    <w:rsid w:val="003A4EB0"/>
    <w:rsid w:val="003A533F"/>
    <w:rsid w:val="003A6056"/>
    <w:rsid w:val="003A6917"/>
    <w:rsid w:val="003A6B8A"/>
    <w:rsid w:val="003A7157"/>
    <w:rsid w:val="003A78BB"/>
    <w:rsid w:val="003A7B08"/>
    <w:rsid w:val="003B08C0"/>
    <w:rsid w:val="003B08C9"/>
    <w:rsid w:val="003B18A7"/>
    <w:rsid w:val="003B1A0A"/>
    <w:rsid w:val="003B1B47"/>
    <w:rsid w:val="003B24C9"/>
    <w:rsid w:val="003B2CB3"/>
    <w:rsid w:val="003B442C"/>
    <w:rsid w:val="003B4EAD"/>
    <w:rsid w:val="003B50D0"/>
    <w:rsid w:val="003B573D"/>
    <w:rsid w:val="003B6048"/>
    <w:rsid w:val="003B7173"/>
    <w:rsid w:val="003B7C97"/>
    <w:rsid w:val="003C0EE0"/>
    <w:rsid w:val="003C2882"/>
    <w:rsid w:val="003C33DD"/>
    <w:rsid w:val="003C34F1"/>
    <w:rsid w:val="003C3A07"/>
    <w:rsid w:val="003C3F07"/>
    <w:rsid w:val="003C459B"/>
    <w:rsid w:val="003C5304"/>
    <w:rsid w:val="003C54F6"/>
    <w:rsid w:val="003C5551"/>
    <w:rsid w:val="003C561E"/>
    <w:rsid w:val="003C5676"/>
    <w:rsid w:val="003C5A29"/>
    <w:rsid w:val="003C6384"/>
    <w:rsid w:val="003C6938"/>
    <w:rsid w:val="003C6FF4"/>
    <w:rsid w:val="003C7741"/>
    <w:rsid w:val="003C791E"/>
    <w:rsid w:val="003D1544"/>
    <w:rsid w:val="003D1589"/>
    <w:rsid w:val="003D1F7C"/>
    <w:rsid w:val="003D30AE"/>
    <w:rsid w:val="003D375C"/>
    <w:rsid w:val="003D3D5B"/>
    <w:rsid w:val="003D4038"/>
    <w:rsid w:val="003D4A35"/>
    <w:rsid w:val="003D4DDC"/>
    <w:rsid w:val="003D5B1C"/>
    <w:rsid w:val="003D5E0D"/>
    <w:rsid w:val="003D5E82"/>
    <w:rsid w:val="003D65AD"/>
    <w:rsid w:val="003D6783"/>
    <w:rsid w:val="003D6E60"/>
    <w:rsid w:val="003D7E2C"/>
    <w:rsid w:val="003E0113"/>
    <w:rsid w:val="003E08BE"/>
    <w:rsid w:val="003E0AC5"/>
    <w:rsid w:val="003E0B10"/>
    <w:rsid w:val="003E0D36"/>
    <w:rsid w:val="003E0DCE"/>
    <w:rsid w:val="003E0E7A"/>
    <w:rsid w:val="003E2355"/>
    <w:rsid w:val="003E2AE2"/>
    <w:rsid w:val="003E2C27"/>
    <w:rsid w:val="003E32AF"/>
    <w:rsid w:val="003E5279"/>
    <w:rsid w:val="003E5465"/>
    <w:rsid w:val="003E5EAB"/>
    <w:rsid w:val="003E5F28"/>
    <w:rsid w:val="003E6495"/>
    <w:rsid w:val="003E6808"/>
    <w:rsid w:val="003E6C4A"/>
    <w:rsid w:val="003E72A9"/>
    <w:rsid w:val="003E72B4"/>
    <w:rsid w:val="003E74FC"/>
    <w:rsid w:val="003E76C6"/>
    <w:rsid w:val="003E7E28"/>
    <w:rsid w:val="003F0044"/>
    <w:rsid w:val="003F0213"/>
    <w:rsid w:val="003F0296"/>
    <w:rsid w:val="003F03BE"/>
    <w:rsid w:val="003F05FC"/>
    <w:rsid w:val="003F0CEE"/>
    <w:rsid w:val="003F0F0E"/>
    <w:rsid w:val="003F153B"/>
    <w:rsid w:val="003F16F8"/>
    <w:rsid w:val="003F251B"/>
    <w:rsid w:val="003F25CE"/>
    <w:rsid w:val="003F34EB"/>
    <w:rsid w:val="003F3D62"/>
    <w:rsid w:val="003F3ECD"/>
    <w:rsid w:val="003F3FFB"/>
    <w:rsid w:val="003F43C4"/>
    <w:rsid w:val="003F465C"/>
    <w:rsid w:val="003F4697"/>
    <w:rsid w:val="003F491A"/>
    <w:rsid w:val="003F6136"/>
    <w:rsid w:val="003F64D8"/>
    <w:rsid w:val="003F65FA"/>
    <w:rsid w:val="003F6AFF"/>
    <w:rsid w:val="003F6D6F"/>
    <w:rsid w:val="003F7346"/>
    <w:rsid w:val="0040002C"/>
    <w:rsid w:val="004003DD"/>
    <w:rsid w:val="00400426"/>
    <w:rsid w:val="00400C7E"/>
    <w:rsid w:val="0040109F"/>
    <w:rsid w:val="00401BEB"/>
    <w:rsid w:val="004028DE"/>
    <w:rsid w:val="004029E6"/>
    <w:rsid w:val="00402E08"/>
    <w:rsid w:val="0040304F"/>
    <w:rsid w:val="00403225"/>
    <w:rsid w:val="004035E8"/>
    <w:rsid w:val="004037DF"/>
    <w:rsid w:val="00403BAB"/>
    <w:rsid w:val="00403FD3"/>
    <w:rsid w:val="00404570"/>
    <w:rsid w:val="004051E1"/>
    <w:rsid w:val="0040565F"/>
    <w:rsid w:val="00406A38"/>
    <w:rsid w:val="0040778D"/>
    <w:rsid w:val="00407802"/>
    <w:rsid w:val="004078EE"/>
    <w:rsid w:val="004106B6"/>
    <w:rsid w:val="0041117C"/>
    <w:rsid w:val="00411278"/>
    <w:rsid w:val="004114D0"/>
    <w:rsid w:val="00411A9E"/>
    <w:rsid w:val="00412F33"/>
    <w:rsid w:val="00412FE3"/>
    <w:rsid w:val="00413344"/>
    <w:rsid w:val="00414F9D"/>
    <w:rsid w:val="004150D6"/>
    <w:rsid w:val="00415586"/>
    <w:rsid w:val="0041573B"/>
    <w:rsid w:val="00415C9D"/>
    <w:rsid w:val="00415E66"/>
    <w:rsid w:val="00415EB3"/>
    <w:rsid w:val="00417A7E"/>
    <w:rsid w:val="00417B45"/>
    <w:rsid w:val="00420299"/>
    <w:rsid w:val="00420481"/>
    <w:rsid w:val="004208BA"/>
    <w:rsid w:val="004215B3"/>
    <w:rsid w:val="00421638"/>
    <w:rsid w:val="0042322A"/>
    <w:rsid w:val="004235C7"/>
    <w:rsid w:val="00424B40"/>
    <w:rsid w:val="004250D2"/>
    <w:rsid w:val="004255D7"/>
    <w:rsid w:val="00425726"/>
    <w:rsid w:val="004258B5"/>
    <w:rsid w:val="00425A31"/>
    <w:rsid w:val="00425F27"/>
    <w:rsid w:val="00426180"/>
    <w:rsid w:val="004269C0"/>
    <w:rsid w:val="0042725B"/>
    <w:rsid w:val="00430AAD"/>
    <w:rsid w:val="00430F93"/>
    <w:rsid w:val="00431AF7"/>
    <w:rsid w:val="0043202E"/>
    <w:rsid w:val="0043217A"/>
    <w:rsid w:val="004327CC"/>
    <w:rsid w:val="00432E25"/>
    <w:rsid w:val="00433B14"/>
    <w:rsid w:val="00434EF2"/>
    <w:rsid w:val="00435274"/>
    <w:rsid w:val="00435C6A"/>
    <w:rsid w:val="0043672A"/>
    <w:rsid w:val="00436845"/>
    <w:rsid w:val="004371BD"/>
    <w:rsid w:val="0043783C"/>
    <w:rsid w:val="00437BA3"/>
    <w:rsid w:val="0044078C"/>
    <w:rsid w:val="00440A6D"/>
    <w:rsid w:val="00440DB2"/>
    <w:rsid w:val="00443807"/>
    <w:rsid w:val="00443D58"/>
    <w:rsid w:val="00444303"/>
    <w:rsid w:val="00445281"/>
    <w:rsid w:val="00446482"/>
    <w:rsid w:val="004468A1"/>
    <w:rsid w:val="004471A1"/>
    <w:rsid w:val="004508EC"/>
    <w:rsid w:val="00450D03"/>
    <w:rsid w:val="00450DA7"/>
    <w:rsid w:val="00451E17"/>
    <w:rsid w:val="00451E44"/>
    <w:rsid w:val="004529D6"/>
    <w:rsid w:val="00452EAD"/>
    <w:rsid w:val="00453133"/>
    <w:rsid w:val="0045445C"/>
    <w:rsid w:val="00454DC5"/>
    <w:rsid w:val="00455C7E"/>
    <w:rsid w:val="00455DCB"/>
    <w:rsid w:val="004561BE"/>
    <w:rsid w:val="00457037"/>
    <w:rsid w:val="0045710E"/>
    <w:rsid w:val="00457464"/>
    <w:rsid w:val="00457E52"/>
    <w:rsid w:val="00461685"/>
    <w:rsid w:val="00462312"/>
    <w:rsid w:val="00462717"/>
    <w:rsid w:val="00462D4C"/>
    <w:rsid w:val="00463414"/>
    <w:rsid w:val="004634A8"/>
    <w:rsid w:val="0046360C"/>
    <w:rsid w:val="00463AB4"/>
    <w:rsid w:val="004643E8"/>
    <w:rsid w:val="00465183"/>
    <w:rsid w:val="004651DF"/>
    <w:rsid w:val="00465A3B"/>
    <w:rsid w:val="00465CA8"/>
    <w:rsid w:val="00466460"/>
    <w:rsid w:val="00466B54"/>
    <w:rsid w:val="004712E9"/>
    <w:rsid w:val="00471A51"/>
    <w:rsid w:val="00471CBB"/>
    <w:rsid w:val="00471DED"/>
    <w:rsid w:val="0047213F"/>
    <w:rsid w:val="0047242F"/>
    <w:rsid w:val="00472B66"/>
    <w:rsid w:val="00473138"/>
    <w:rsid w:val="0047369A"/>
    <w:rsid w:val="00473916"/>
    <w:rsid w:val="00473DB9"/>
    <w:rsid w:val="00474063"/>
    <w:rsid w:val="00475028"/>
    <w:rsid w:val="004757E2"/>
    <w:rsid w:val="00475E09"/>
    <w:rsid w:val="004769A5"/>
    <w:rsid w:val="00476EEA"/>
    <w:rsid w:val="00477192"/>
    <w:rsid w:val="00477426"/>
    <w:rsid w:val="004803C2"/>
    <w:rsid w:val="004807B0"/>
    <w:rsid w:val="0048161F"/>
    <w:rsid w:val="00482283"/>
    <w:rsid w:val="004825A4"/>
    <w:rsid w:val="00482D40"/>
    <w:rsid w:val="00483177"/>
    <w:rsid w:val="00484438"/>
    <w:rsid w:val="00484549"/>
    <w:rsid w:val="004848D1"/>
    <w:rsid w:val="004850FE"/>
    <w:rsid w:val="00485721"/>
    <w:rsid w:val="0048637F"/>
    <w:rsid w:val="00486643"/>
    <w:rsid w:val="004868CC"/>
    <w:rsid w:val="00487975"/>
    <w:rsid w:val="004879D7"/>
    <w:rsid w:val="00490476"/>
    <w:rsid w:val="004905B7"/>
    <w:rsid w:val="00490A85"/>
    <w:rsid w:val="0049134C"/>
    <w:rsid w:val="004921F4"/>
    <w:rsid w:val="0049367A"/>
    <w:rsid w:val="004938C9"/>
    <w:rsid w:val="004944F4"/>
    <w:rsid w:val="00494AF8"/>
    <w:rsid w:val="00494D4B"/>
    <w:rsid w:val="004959F9"/>
    <w:rsid w:val="00496BCF"/>
    <w:rsid w:val="00497B30"/>
    <w:rsid w:val="00497D05"/>
    <w:rsid w:val="004A00FB"/>
    <w:rsid w:val="004A0708"/>
    <w:rsid w:val="004A088F"/>
    <w:rsid w:val="004A0C08"/>
    <w:rsid w:val="004A147F"/>
    <w:rsid w:val="004A1AEF"/>
    <w:rsid w:val="004A22A3"/>
    <w:rsid w:val="004A22B0"/>
    <w:rsid w:val="004A281C"/>
    <w:rsid w:val="004A315D"/>
    <w:rsid w:val="004A3A69"/>
    <w:rsid w:val="004A42E3"/>
    <w:rsid w:val="004A572C"/>
    <w:rsid w:val="004A722D"/>
    <w:rsid w:val="004B06FA"/>
    <w:rsid w:val="004B07D5"/>
    <w:rsid w:val="004B0B94"/>
    <w:rsid w:val="004B2699"/>
    <w:rsid w:val="004B2C13"/>
    <w:rsid w:val="004B44FC"/>
    <w:rsid w:val="004B46D3"/>
    <w:rsid w:val="004B4E89"/>
    <w:rsid w:val="004B5FD8"/>
    <w:rsid w:val="004B6453"/>
    <w:rsid w:val="004B6996"/>
    <w:rsid w:val="004C038F"/>
    <w:rsid w:val="004C0706"/>
    <w:rsid w:val="004C1337"/>
    <w:rsid w:val="004C2E7E"/>
    <w:rsid w:val="004C2ECA"/>
    <w:rsid w:val="004C3A99"/>
    <w:rsid w:val="004C42CA"/>
    <w:rsid w:val="004C465F"/>
    <w:rsid w:val="004C4999"/>
    <w:rsid w:val="004C4BCB"/>
    <w:rsid w:val="004C599A"/>
    <w:rsid w:val="004C6C92"/>
    <w:rsid w:val="004C7624"/>
    <w:rsid w:val="004C7B45"/>
    <w:rsid w:val="004D0DA3"/>
    <w:rsid w:val="004D1231"/>
    <w:rsid w:val="004D22FB"/>
    <w:rsid w:val="004D252C"/>
    <w:rsid w:val="004D25D5"/>
    <w:rsid w:val="004D2769"/>
    <w:rsid w:val="004D2958"/>
    <w:rsid w:val="004D3561"/>
    <w:rsid w:val="004D4317"/>
    <w:rsid w:val="004D5C14"/>
    <w:rsid w:val="004D5EE6"/>
    <w:rsid w:val="004D62BB"/>
    <w:rsid w:val="004D6506"/>
    <w:rsid w:val="004D6DC4"/>
    <w:rsid w:val="004D73A5"/>
    <w:rsid w:val="004D7768"/>
    <w:rsid w:val="004E0341"/>
    <w:rsid w:val="004E0649"/>
    <w:rsid w:val="004E0D0C"/>
    <w:rsid w:val="004E20E6"/>
    <w:rsid w:val="004E2267"/>
    <w:rsid w:val="004E2891"/>
    <w:rsid w:val="004E2D17"/>
    <w:rsid w:val="004E3D12"/>
    <w:rsid w:val="004E47F5"/>
    <w:rsid w:val="004E4998"/>
    <w:rsid w:val="004E4A62"/>
    <w:rsid w:val="004E4FA4"/>
    <w:rsid w:val="004E5579"/>
    <w:rsid w:val="004E575F"/>
    <w:rsid w:val="004E5DB7"/>
    <w:rsid w:val="004E5FD1"/>
    <w:rsid w:val="004E641F"/>
    <w:rsid w:val="004E6D7D"/>
    <w:rsid w:val="004E6F42"/>
    <w:rsid w:val="004E7B6D"/>
    <w:rsid w:val="004F0824"/>
    <w:rsid w:val="004F0845"/>
    <w:rsid w:val="004F1034"/>
    <w:rsid w:val="004F19D5"/>
    <w:rsid w:val="004F1E6D"/>
    <w:rsid w:val="004F30AA"/>
    <w:rsid w:val="004F315F"/>
    <w:rsid w:val="004F4684"/>
    <w:rsid w:val="004F4F8D"/>
    <w:rsid w:val="004F534A"/>
    <w:rsid w:val="004F53EF"/>
    <w:rsid w:val="004F574A"/>
    <w:rsid w:val="004F582F"/>
    <w:rsid w:val="004F5BB8"/>
    <w:rsid w:val="004F5CF3"/>
    <w:rsid w:val="004F5D84"/>
    <w:rsid w:val="004F62D7"/>
    <w:rsid w:val="004F64EF"/>
    <w:rsid w:val="004F7649"/>
    <w:rsid w:val="004F7ADA"/>
    <w:rsid w:val="004F7B30"/>
    <w:rsid w:val="004F7DB6"/>
    <w:rsid w:val="004F7EE2"/>
    <w:rsid w:val="0050000F"/>
    <w:rsid w:val="0050022F"/>
    <w:rsid w:val="00500F82"/>
    <w:rsid w:val="005014DB"/>
    <w:rsid w:val="00501AE8"/>
    <w:rsid w:val="00501BE6"/>
    <w:rsid w:val="00501F8D"/>
    <w:rsid w:val="00502EE8"/>
    <w:rsid w:val="00502F8E"/>
    <w:rsid w:val="00503E04"/>
    <w:rsid w:val="005041F5"/>
    <w:rsid w:val="0050450C"/>
    <w:rsid w:val="00504539"/>
    <w:rsid w:val="0050499B"/>
    <w:rsid w:val="00504B28"/>
    <w:rsid w:val="0050670B"/>
    <w:rsid w:val="00510706"/>
    <w:rsid w:val="00510A12"/>
    <w:rsid w:val="00511D0B"/>
    <w:rsid w:val="00511D4A"/>
    <w:rsid w:val="00512015"/>
    <w:rsid w:val="00513540"/>
    <w:rsid w:val="0051381B"/>
    <w:rsid w:val="00513BB0"/>
    <w:rsid w:val="00514642"/>
    <w:rsid w:val="00514BCA"/>
    <w:rsid w:val="00514FF3"/>
    <w:rsid w:val="00515329"/>
    <w:rsid w:val="0051577C"/>
    <w:rsid w:val="00515F57"/>
    <w:rsid w:val="005166E5"/>
    <w:rsid w:val="00516842"/>
    <w:rsid w:val="005173D2"/>
    <w:rsid w:val="00517E0E"/>
    <w:rsid w:val="00517ED0"/>
    <w:rsid w:val="005202ED"/>
    <w:rsid w:val="00520399"/>
    <w:rsid w:val="00521BC8"/>
    <w:rsid w:val="00521D31"/>
    <w:rsid w:val="00522CED"/>
    <w:rsid w:val="00523857"/>
    <w:rsid w:val="00524446"/>
    <w:rsid w:val="005245FC"/>
    <w:rsid w:val="0052484B"/>
    <w:rsid w:val="005260A1"/>
    <w:rsid w:val="0052655E"/>
    <w:rsid w:val="005265C0"/>
    <w:rsid w:val="00526AFA"/>
    <w:rsid w:val="005272F8"/>
    <w:rsid w:val="00527A2D"/>
    <w:rsid w:val="00527AF2"/>
    <w:rsid w:val="00531066"/>
    <w:rsid w:val="005314DE"/>
    <w:rsid w:val="00531F27"/>
    <w:rsid w:val="00532779"/>
    <w:rsid w:val="00532948"/>
    <w:rsid w:val="005329C3"/>
    <w:rsid w:val="005345DD"/>
    <w:rsid w:val="00534B8C"/>
    <w:rsid w:val="00534C56"/>
    <w:rsid w:val="0053556E"/>
    <w:rsid w:val="00535BD2"/>
    <w:rsid w:val="00535FDB"/>
    <w:rsid w:val="005368F5"/>
    <w:rsid w:val="00537571"/>
    <w:rsid w:val="005377C2"/>
    <w:rsid w:val="0054074D"/>
    <w:rsid w:val="005408CB"/>
    <w:rsid w:val="00540B00"/>
    <w:rsid w:val="00541480"/>
    <w:rsid w:val="00541617"/>
    <w:rsid w:val="005439AD"/>
    <w:rsid w:val="00543C47"/>
    <w:rsid w:val="00543DF1"/>
    <w:rsid w:val="00544001"/>
    <w:rsid w:val="00544447"/>
    <w:rsid w:val="00544D22"/>
    <w:rsid w:val="005458D2"/>
    <w:rsid w:val="00545D82"/>
    <w:rsid w:val="00546638"/>
    <w:rsid w:val="005472A8"/>
    <w:rsid w:val="00547CD8"/>
    <w:rsid w:val="0055073F"/>
    <w:rsid w:val="00550C04"/>
    <w:rsid w:val="00550F36"/>
    <w:rsid w:val="005512AF"/>
    <w:rsid w:val="0055178A"/>
    <w:rsid w:val="00551DAE"/>
    <w:rsid w:val="00552624"/>
    <w:rsid w:val="005528F1"/>
    <w:rsid w:val="00552BE9"/>
    <w:rsid w:val="00552F25"/>
    <w:rsid w:val="00553921"/>
    <w:rsid w:val="00553BF7"/>
    <w:rsid w:val="00553D10"/>
    <w:rsid w:val="00553FB8"/>
    <w:rsid w:val="00554C04"/>
    <w:rsid w:val="0055580B"/>
    <w:rsid w:val="00555C5F"/>
    <w:rsid w:val="0055607B"/>
    <w:rsid w:val="005565E0"/>
    <w:rsid w:val="0055718C"/>
    <w:rsid w:val="00557528"/>
    <w:rsid w:val="005575F7"/>
    <w:rsid w:val="005576D1"/>
    <w:rsid w:val="0056038C"/>
    <w:rsid w:val="0056079D"/>
    <w:rsid w:val="005610C1"/>
    <w:rsid w:val="0056112C"/>
    <w:rsid w:val="0056259D"/>
    <w:rsid w:val="00562DF0"/>
    <w:rsid w:val="00563304"/>
    <w:rsid w:val="00563E07"/>
    <w:rsid w:val="00564036"/>
    <w:rsid w:val="00564A7C"/>
    <w:rsid w:val="005650FE"/>
    <w:rsid w:val="005652AB"/>
    <w:rsid w:val="00565583"/>
    <w:rsid w:val="00566B7F"/>
    <w:rsid w:val="00567CFE"/>
    <w:rsid w:val="0057118E"/>
    <w:rsid w:val="005728D6"/>
    <w:rsid w:val="005742EB"/>
    <w:rsid w:val="00574737"/>
    <w:rsid w:val="00574B7D"/>
    <w:rsid w:val="00576386"/>
    <w:rsid w:val="00576446"/>
    <w:rsid w:val="00576FBC"/>
    <w:rsid w:val="00577B53"/>
    <w:rsid w:val="00580E49"/>
    <w:rsid w:val="00581392"/>
    <w:rsid w:val="0058151A"/>
    <w:rsid w:val="005815AF"/>
    <w:rsid w:val="005818CE"/>
    <w:rsid w:val="00581E53"/>
    <w:rsid w:val="00584316"/>
    <w:rsid w:val="0058461F"/>
    <w:rsid w:val="005858D1"/>
    <w:rsid w:val="00585B64"/>
    <w:rsid w:val="0058660A"/>
    <w:rsid w:val="005872FB"/>
    <w:rsid w:val="00587450"/>
    <w:rsid w:val="00587B42"/>
    <w:rsid w:val="005905FC"/>
    <w:rsid w:val="00591105"/>
    <w:rsid w:val="00591642"/>
    <w:rsid w:val="00591844"/>
    <w:rsid w:val="0059249F"/>
    <w:rsid w:val="005926A4"/>
    <w:rsid w:val="005929EB"/>
    <w:rsid w:val="00592FFD"/>
    <w:rsid w:val="005934DC"/>
    <w:rsid w:val="00593BDB"/>
    <w:rsid w:val="00593E87"/>
    <w:rsid w:val="0059401C"/>
    <w:rsid w:val="00594E7C"/>
    <w:rsid w:val="00596800"/>
    <w:rsid w:val="00596A80"/>
    <w:rsid w:val="00596AF6"/>
    <w:rsid w:val="00596E9C"/>
    <w:rsid w:val="005973A7"/>
    <w:rsid w:val="005A08D9"/>
    <w:rsid w:val="005A0BDD"/>
    <w:rsid w:val="005A119F"/>
    <w:rsid w:val="005A11E7"/>
    <w:rsid w:val="005A14F7"/>
    <w:rsid w:val="005A39E1"/>
    <w:rsid w:val="005A40B5"/>
    <w:rsid w:val="005A40C3"/>
    <w:rsid w:val="005A6DFB"/>
    <w:rsid w:val="005B0992"/>
    <w:rsid w:val="005B1213"/>
    <w:rsid w:val="005B1513"/>
    <w:rsid w:val="005B155C"/>
    <w:rsid w:val="005B1AC4"/>
    <w:rsid w:val="005B1BA7"/>
    <w:rsid w:val="005B1F75"/>
    <w:rsid w:val="005B1FAA"/>
    <w:rsid w:val="005B20C5"/>
    <w:rsid w:val="005B2B4F"/>
    <w:rsid w:val="005B31F0"/>
    <w:rsid w:val="005B39E5"/>
    <w:rsid w:val="005B3F0E"/>
    <w:rsid w:val="005B45A2"/>
    <w:rsid w:val="005B46BE"/>
    <w:rsid w:val="005B48E1"/>
    <w:rsid w:val="005B4FDE"/>
    <w:rsid w:val="005B51E3"/>
    <w:rsid w:val="005B6128"/>
    <w:rsid w:val="005B612D"/>
    <w:rsid w:val="005C153E"/>
    <w:rsid w:val="005C1654"/>
    <w:rsid w:val="005C1A8E"/>
    <w:rsid w:val="005C1ACD"/>
    <w:rsid w:val="005C25D9"/>
    <w:rsid w:val="005C3880"/>
    <w:rsid w:val="005C48D8"/>
    <w:rsid w:val="005C4A91"/>
    <w:rsid w:val="005C4BDD"/>
    <w:rsid w:val="005C5C77"/>
    <w:rsid w:val="005C5E6D"/>
    <w:rsid w:val="005C6187"/>
    <w:rsid w:val="005C64BA"/>
    <w:rsid w:val="005C6955"/>
    <w:rsid w:val="005C6F6E"/>
    <w:rsid w:val="005C72BA"/>
    <w:rsid w:val="005C7A42"/>
    <w:rsid w:val="005D04F4"/>
    <w:rsid w:val="005D095B"/>
    <w:rsid w:val="005D0E8A"/>
    <w:rsid w:val="005D1926"/>
    <w:rsid w:val="005D1F34"/>
    <w:rsid w:val="005D241D"/>
    <w:rsid w:val="005D2634"/>
    <w:rsid w:val="005D26CE"/>
    <w:rsid w:val="005D312F"/>
    <w:rsid w:val="005D322A"/>
    <w:rsid w:val="005D3610"/>
    <w:rsid w:val="005D38B9"/>
    <w:rsid w:val="005D3A86"/>
    <w:rsid w:val="005D3C80"/>
    <w:rsid w:val="005D4B87"/>
    <w:rsid w:val="005D5386"/>
    <w:rsid w:val="005D58CD"/>
    <w:rsid w:val="005D607A"/>
    <w:rsid w:val="005D6781"/>
    <w:rsid w:val="005D7F2F"/>
    <w:rsid w:val="005E122B"/>
    <w:rsid w:val="005E2129"/>
    <w:rsid w:val="005E257A"/>
    <w:rsid w:val="005E2C35"/>
    <w:rsid w:val="005E414C"/>
    <w:rsid w:val="005E619C"/>
    <w:rsid w:val="005E69F7"/>
    <w:rsid w:val="005E79CB"/>
    <w:rsid w:val="005E7A63"/>
    <w:rsid w:val="005E7E51"/>
    <w:rsid w:val="005F0347"/>
    <w:rsid w:val="005F1044"/>
    <w:rsid w:val="005F113B"/>
    <w:rsid w:val="005F13F7"/>
    <w:rsid w:val="005F1F44"/>
    <w:rsid w:val="005F224C"/>
    <w:rsid w:val="005F2A66"/>
    <w:rsid w:val="005F2A99"/>
    <w:rsid w:val="005F3115"/>
    <w:rsid w:val="005F3B47"/>
    <w:rsid w:val="005F3D32"/>
    <w:rsid w:val="005F457F"/>
    <w:rsid w:val="005F4EA3"/>
    <w:rsid w:val="005F5F45"/>
    <w:rsid w:val="005F6720"/>
    <w:rsid w:val="005F6D91"/>
    <w:rsid w:val="005F6D9F"/>
    <w:rsid w:val="005F6DFE"/>
    <w:rsid w:val="005F6E82"/>
    <w:rsid w:val="005F6FD9"/>
    <w:rsid w:val="005F71E2"/>
    <w:rsid w:val="005F737A"/>
    <w:rsid w:val="005F74B2"/>
    <w:rsid w:val="005F788B"/>
    <w:rsid w:val="005F78DA"/>
    <w:rsid w:val="006001FD"/>
    <w:rsid w:val="00601292"/>
    <w:rsid w:val="00601364"/>
    <w:rsid w:val="00601ACA"/>
    <w:rsid w:val="00601F22"/>
    <w:rsid w:val="00602790"/>
    <w:rsid w:val="00602C33"/>
    <w:rsid w:val="0060341A"/>
    <w:rsid w:val="00604003"/>
    <w:rsid w:val="00604349"/>
    <w:rsid w:val="00606045"/>
    <w:rsid w:val="006060A1"/>
    <w:rsid w:val="00606152"/>
    <w:rsid w:val="0060619D"/>
    <w:rsid w:val="0060663F"/>
    <w:rsid w:val="0060683C"/>
    <w:rsid w:val="00607147"/>
    <w:rsid w:val="00607577"/>
    <w:rsid w:val="0061001F"/>
    <w:rsid w:val="0061051A"/>
    <w:rsid w:val="00610B63"/>
    <w:rsid w:val="00611CF2"/>
    <w:rsid w:val="00611D37"/>
    <w:rsid w:val="00611EC6"/>
    <w:rsid w:val="006122CD"/>
    <w:rsid w:val="006124C8"/>
    <w:rsid w:val="0061281A"/>
    <w:rsid w:val="00612F50"/>
    <w:rsid w:val="006132C7"/>
    <w:rsid w:val="00613BB8"/>
    <w:rsid w:val="00614619"/>
    <w:rsid w:val="00614755"/>
    <w:rsid w:val="00615744"/>
    <w:rsid w:val="006158EC"/>
    <w:rsid w:val="00616158"/>
    <w:rsid w:val="006165B0"/>
    <w:rsid w:val="00617BDF"/>
    <w:rsid w:val="00620D68"/>
    <w:rsid w:val="00620DAC"/>
    <w:rsid w:val="00621210"/>
    <w:rsid w:val="006219F2"/>
    <w:rsid w:val="00621A4F"/>
    <w:rsid w:val="00621BDF"/>
    <w:rsid w:val="00621CC5"/>
    <w:rsid w:val="00621F47"/>
    <w:rsid w:val="00622F1C"/>
    <w:rsid w:val="00623131"/>
    <w:rsid w:val="00623480"/>
    <w:rsid w:val="00623764"/>
    <w:rsid w:val="00625A3C"/>
    <w:rsid w:val="006266CB"/>
    <w:rsid w:val="00627224"/>
    <w:rsid w:val="0062723A"/>
    <w:rsid w:val="00627AFA"/>
    <w:rsid w:val="006307C0"/>
    <w:rsid w:val="00630D5D"/>
    <w:rsid w:val="00631B48"/>
    <w:rsid w:val="00631BFE"/>
    <w:rsid w:val="00631FDA"/>
    <w:rsid w:val="0063201A"/>
    <w:rsid w:val="00632B5D"/>
    <w:rsid w:val="00632CEE"/>
    <w:rsid w:val="00632D7C"/>
    <w:rsid w:val="00633516"/>
    <w:rsid w:val="006344EA"/>
    <w:rsid w:val="00634B1A"/>
    <w:rsid w:val="00634FD1"/>
    <w:rsid w:val="006352B4"/>
    <w:rsid w:val="00635993"/>
    <w:rsid w:val="006359C6"/>
    <w:rsid w:val="00635E5F"/>
    <w:rsid w:val="006361F4"/>
    <w:rsid w:val="00636C0B"/>
    <w:rsid w:val="00637053"/>
    <w:rsid w:val="006371BD"/>
    <w:rsid w:val="00637377"/>
    <w:rsid w:val="006403BA"/>
    <w:rsid w:val="00640492"/>
    <w:rsid w:val="006415FD"/>
    <w:rsid w:val="00641715"/>
    <w:rsid w:val="00642801"/>
    <w:rsid w:val="00642A6D"/>
    <w:rsid w:val="00642C04"/>
    <w:rsid w:val="00642C94"/>
    <w:rsid w:val="0064366E"/>
    <w:rsid w:val="00644627"/>
    <w:rsid w:val="00644948"/>
    <w:rsid w:val="00644A6D"/>
    <w:rsid w:val="00645B1A"/>
    <w:rsid w:val="00645F08"/>
    <w:rsid w:val="00645FAB"/>
    <w:rsid w:val="006461E4"/>
    <w:rsid w:val="006470EF"/>
    <w:rsid w:val="00647EEE"/>
    <w:rsid w:val="00650860"/>
    <w:rsid w:val="00650913"/>
    <w:rsid w:val="00650C85"/>
    <w:rsid w:val="00653214"/>
    <w:rsid w:val="0065335B"/>
    <w:rsid w:val="006536D9"/>
    <w:rsid w:val="00654079"/>
    <w:rsid w:val="006542A4"/>
    <w:rsid w:val="0065498F"/>
    <w:rsid w:val="006551D3"/>
    <w:rsid w:val="006552CD"/>
    <w:rsid w:val="006566B5"/>
    <w:rsid w:val="00656969"/>
    <w:rsid w:val="00656FBC"/>
    <w:rsid w:val="00657261"/>
    <w:rsid w:val="00657CE7"/>
    <w:rsid w:val="00657E36"/>
    <w:rsid w:val="006607A6"/>
    <w:rsid w:val="006613D1"/>
    <w:rsid w:val="0066140D"/>
    <w:rsid w:val="006614A8"/>
    <w:rsid w:val="00661EB9"/>
    <w:rsid w:val="0066249F"/>
    <w:rsid w:val="006635B2"/>
    <w:rsid w:val="0066394D"/>
    <w:rsid w:val="00664889"/>
    <w:rsid w:val="00664A70"/>
    <w:rsid w:val="00664BD4"/>
    <w:rsid w:val="0066555D"/>
    <w:rsid w:val="00665AF7"/>
    <w:rsid w:val="00665D3E"/>
    <w:rsid w:val="006671BA"/>
    <w:rsid w:val="00667DB1"/>
    <w:rsid w:val="006702EF"/>
    <w:rsid w:val="006703C2"/>
    <w:rsid w:val="006706C8"/>
    <w:rsid w:val="00670E83"/>
    <w:rsid w:val="00670F05"/>
    <w:rsid w:val="0067184C"/>
    <w:rsid w:val="00671D46"/>
    <w:rsid w:val="0067274B"/>
    <w:rsid w:val="006746AC"/>
    <w:rsid w:val="00674B28"/>
    <w:rsid w:val="0067516B"/>
    <w:rsid w:val="00676973"/>
    <w:rsid w:val="006777E3"/>
    <w:rsid w:val="00680005"/>
    <w:rsid w:val="00680B22"/>
    <w:rsid w:val="00680BB6"/>
    <w:rsid w:val="00680CF2"/>
    <w:rsid w:val="00681490"/>
    <w:rsid w:val="00681601"/>
    <w:rsid w:val="006819D0"/>
    <w:rsid w:val="006819FD"/>
    <w:rsid w:val="00681DF8"/>
    <w:rsid w:val="00682918"/>
    <w:rsid w:val="00684224"/>
    <w:rsid w:val="00684431"/>
    <w:rsid w:val="00684BAD"/>
    <w:rsid w:val="0068630E"/>
    <w:rsid w:val="00686682"/>
    <w:rsid w:val="00686CAC"/>
    <w:rsid w:val="00686E12"/>
    <w:rsid w:val="00690056"/>
    <w:rsid w:val="00690313"/>
    <w:rsid w:val="006917DA"/>
    <w:rsid w:val="00691ABD"/>
    <w:rsid w:val="00692156"/>
    <w:rsid w:val="00692654"/>
    <w:rsid w:val="0069290A"/>
    <w:rsid w:val="00693191"/>
    <w:rsid w:val="006935F1"/>
    <w:rsid w:val="00693BCC"/>
    <w:rsid w:val="006942F5"/>
    <w:rsid w:val="00694A54"/>
    <w:rsid w:val="0069538A"/>
    <w:rsid w:val="006954C0"/>
    <w:rsid w:val="00695DF1"/>
    <w:rsid w:val="00696390"/>
    <w:rsid w:val="00696D45"/>
    <w:rsid w:val="00697204"/>
    <w:rsid w:val="006972CE"/>
    <w:rsid w:val="00697795"/>
    <w:rsid w:val="006A09DE"/>
    <w:rsid w:val="006A110C"/>
    <w:rsid w:val="006A17F5"/>
    <w:rsid w:val="006A1905"/>
    <w:rsid w:val="006A1B9E"/>
    <w:rsid w:val="006A2816"/>
    <w:rsid w:val="006A4BA2"/>
    <w:rsid w:val="006A4C4A"/>
    <w:rsid w:val="006A514B"/>
    <w:rsid w:val="006A539A"/>
    <w:rsid w:val="006A661D"/>
    <w:rsid w:val="006A6BB3"/>
    <w:rsid w:val="006A6E2B"/>
    <w:rsid w:val="006A7D82"/>
    <w:rsid w:val="006B03F9"/>
    <w:rsid w:val="006B250C"/>
    <w:rsid w:val="006B3680"/>
    <w:rsid w:val="006B3689"/>
    <w:rsid w:val="006B460B"/>
    <w:rsid w:val="006B4C0D"/>
    <w:rsid w:val="006B7047"/>
    <w:rsid w:val="006B7482"/>
    <w:rsid w:val="006B7B85"/>
    <w:rsid w:val="006B7F37"/>
    <w:rsid w:val="006B7F98"/>
    <w:rsid w:val="006C0D44"/>
    <w:rsid w:val="006C0D88"/>
    <w:rsid w:val="006C14D9"/>
    <w:rsid w:val="006C1AF3"/>
    <w:rsid w:val="006C1B57"/>
    <w:rsid w:val="006C23E2"/>
    <w:rsid w:val="006C2ADC"/>
    <w:rsid w:val="006C362D"/>
    <w:rsid w:val="006C3BC7"/>
    <w:rsid w:val="006C4649"/>
    <w:rsid w:val="006C4CCD"/>
    <w:rsid w:val="006C4CE8"/>
    <w:rsid w:val="006C52B3"/>
    <w:rsid w:val="006C588E"/>
    <w:rsid w:val="006C5F37"/>
    <w:rsid w:val="006C725D"/>
    <w:rsid w:val="006C737C"/>
    <w:rsid w:val="006C741B"/>
    <w:rsid w:val="006C7718"/>
    <w:rsid w:val="006C7BA0"/>
    <w:rsid w:val="006D1CF7"/>
    <w:rsid w:val="006D2202"/>
    <w:rsid w:val="006D2E44"/>
    <w:rsid w:val="006D3702"/>
    <w:rsid w:val="006D4059"/>
    <w:rsid w:val="006D438A"/>
    <w:rsid w:val="006D44E6"/>
    <w:rsid w:val="006D4D1C"/>
    <w:rsid w:val="006D5165"/>
    <w:rsid w:val="006D5EE5"/>
    <w:rsid w:val="006D6486"/>
    <w:rsid w:val="006D68CE"/>
    <w:rsid w:val="006D6A24"/>
    <w:rsid w:val="006D6F59"/>
    <w:rsid w:val="006E05AE"/>
    <w:rsid w:val="006E06ED"/>
    <w:rsid w:val="006E06F5"/>
    <w:rsid w:val="006E08D7"/>
    <w:rsid w:val="006E0C55"/>
    <w:rsid w:val="006E111D"/>
    <w:rsid w:val="006E196B"/>
    <w:rsid w:val="006E2776"/>
    <w:rsid w:val="006E27FD"/>
    <w:rsid w:val="006E2FAD"/>
    <w:rsid w:val="006E37D2"/>
    <w:rsid w:val="006E3808"/>
    <w:rsid w:val="006E58B9"/>
    <w:rsid w:val="006E6702"/>
    <w:rsid w:val="006E745B"/>
    <w:rsid w:val="006E7EDB"/>
    <w:rsid w:val="006F0085"/>
    <w:rsid w:val="006F07AE"/>
    <w:rsid w:val="006F0946"/>
    <w:rsid w:val="006F0CBC"/>
    <w:rsid w:val="006F0EEA"/>
    <w:rsid w:val="006F11BF"/>
    <w:rsid w:val="006F1356"/>
    <w:rsid w:val="006F1B24"/>
    <w:rsid w:val="006F1BD9"/>
    <w:rsid w:val="006F1EC6"/>
    <w:rsid w:val="006F1EE3"/>
    <w:rsid w:val="006F2E6F"/>
    <w:rsid w:val="006F4402"/>
    <w:rsid w:val="006F4560"/>
    <w:rsid w:val="006F4AF1"/>
    <w:rsid w:val="006F4CA0"/>
    <w:rsid w:val="006F5B77"/>
    <w:rsid w:val="006F60D2"/>
    <w:rsid w:val="006F63A2"/>
    <w:rsid w:val="006F74D9"/>
    <w:rsid w:val="00700C30"/>
    <w:rsid w:val="00703477"/>
    <w:rsid w:val="0070368F"/>
    <w:rsid w:val="007039FC"/>
    <w:rsid w:val="00704A6B"/>
    <w:rsid w:val="00704B48"/>
    <w:rsid w:val="00704B80"/>
    <w:rsid w:val="00704DAA"/>
    <w:rsid w:val="007050FF"/>
    <w:rsid w:val="007066CA"/>
    <w:rsid w:val="00706D54"/>
    <w:rsid w:val="00706FAB"/>
    <w:rsid w:val="00707793"/>
    <w:rsid w:val="007100FB"/>
    <w:rsid w:val="007102B3"/>
    <w:rsid w:val="0071261A"/>
    <w:rsid w:val="00712989"/>
    <w:rsid w:val="00712C29"/>
    <w:rsid w:val="007135E5"/>
    <w:rsid w:val="0071417A"/>
    <w:rsid w:val="007144BD"/>
    <w:rsid w:val="0071476B"/>
    <w:rsid w:val="0071497D"/>
    <w:rsid w:val="00714A29"/>
    <w:rsid w:val="00715184"/>
    <w:rsid w:val="00715C59"/>
    <w:rsid w:val="00716579"/>
    <w:rsid w:val="00716871"/>
    <w:rsid w:val="007169BB"/>
    <w:rsid w:val="00716F43"/>
    <w:rsid w:val="007175D2"/>
    <w:rsid w:val="007205C2"/>
    <w:rsid w:val="007207AF"/>
    <w:rsid w:val="00720ABC"/>
    <w:rsid w:val="00721875"/>
    <w:rsid w:val="007220ED"/>
    <w:rsid w:val="00722111"/>
    <w:rsid w:val="00723233"/>
    <w:rsid w:val="0072334A"/>
    <w:rsid w:val="00723F36"/>
    <w:rsid w:val="007243C5"/>
    <w:rsid w:val="00725003"/>
    <w:rsid w:val="007253A1"/>
    <w:rsid w:val="0072559A"/>
    <w:rsid w:val="00725D5E"/>
    <w:rsid w:val="00725D93"/>
    <w:rsid w:val="00726F2F"/>
    <w:rsid w:val="0072720A"/>
    <w:rsid w:val="00727A95"/>
    <w:rsid w:val="00730CE1"/>
    <w:rsid w:val="0073114B"/>
    <w:rsid w:val="00731B4D"/>
    <w:rsid w:val="00731F4F"/>
    <w:rsid w:val="00732084"/>
    <w:rsid w:val="00732947"/>
    <w:rsid w:val="00732F19"/>
    <w:rsid w:val="00733316"/>
    <w:rsid w:val="00733ED4"/>
    <w:rsid w:val="0073487C"/>
    <w:rsid w:val="00735122"/>
    <w:rsid w:val="0073593B"/>
    <w:rsid w:val="00735FD6"/>
    <w:rsid w:val="007366A4"/>
    <w:rsid w:val="00736CBF"/>
    <w:rsid w:val="00737151"/>
    <w:rsid w:val="007374B7"/>
    <w:rsid w:val="0073777B"/>
    <w:rsid w:val="007400B8"/>
    <w:rsid w:val="0074048D"/>
    <w:rsid w:val="00740B7E"/>
    <w:rsid w:val="00740E4D"/>
    <w:rsid w:val="00741591"/>
    <w:rsid w:val="00741B12"/>
    <w:rsid w:val="00741F87"/>
    <w:rsid w:val="00742519"/>
    <w:rsid w:val="00743EC7"/>
    <w:rsid w:val="007453BA"/>
    <w:rsid w:val="00745E2F"/>
    <w:rsid w:val="00746271"/>
    <w:rsid w:val="00746474"/>
    <w:rsid w:val="00746849"/>
    <w:rsid w:val="00747070"/>
    <w:rsid w:val="007470B3"/>
    <w:rsid w:val="00747549"/>
    <w:rsid w:val="007502CC"/>
    <w:rsid w:val="007503C6"/>
    <w:rsid w:val="00750E30"/>
    <w:rsid w:val="00751B0A"/>
    <w:rsid w:val="00751D09"/>
    <w:rsid w:val="00751F39"/>
    <w:rsid w:val="00752300"/>
    <w:rsid w:val="0075275D"/>
    <w:rsid w:val="00752C79"/>
    <w:rsid w:val="00754609"/>
    <w:rsid w:val="007548CA"/>
    <w:rsid w:val="00754BDF"/>
    <w:rsid w:val="00754FB0"/>
    <w:rsid w:val="00755A13"/>
    <w:rsid w:val="00755C9B"/>
    <w:rsid w:val="00756E80"/>
    <w:rsid w:val="00757B41"/>
    <w:rsid w:val="00757B8D"/>
    <w:rsid w:val="007600C0"/>
    <w:rsid w:val="007609F0"/>
    <w:rsid w:val="0076187E"/>
    <w:rsid w:val="00761FE4"/>
    <w:rsid w:val="0076229B"/>
    <w:rsid w:val="0076240E"/>
    <w:rsid w:val="007626E1"/>
    <w:rsid w:val="00762B28"/>
    <w:rsid w:val="00764864"/>
    <w:rsid w:val="00764AAA"/>
    <w:rsid w:val="00765353"/>
    <w:rsid w:val="00765654"/>
    <w:rsid w:val="007658F1"/>
    <w:rsid w:val="00765E43"/>
    <w:rsid w:val="00766282"/>
    <w:rsid w:val="00766287"/>
    <w:rsid w:val="0076628E"/>
    <w:rsid w:val="00767335"/>
    <w:rsid w:val="007676D5"/>
    <w:rsid w:val="007707D8"/>
    <w:rsid w:val="0077087C"/>
    <w:rsid w:val="00770DCB"/>
    <w:rsid w:val="0077401A"/>
    <w:rsid w:val="00774731"/>
    <w:rsid w:val="007748A0"/>
    <w:rsid w:val="00774A2A"/>
    <w:rsid w:val="00774F91"/>
    <w:rsid w:val="00775485"/>
    <w:rsid w:val="007757F1"/>
    <w:rsid w:val="00775AC2"/>
    <w:rsid w:val="00775D01"/>
    <w:rsid w:val="00776340"/>
    <w:rsid w:val="007765E0"/>
    <w:rsid w:val="007765EE"/>
    <w:rsid w:val="00776CE1"/>
    <w:rsid w:val="0077755F"/>
    <w:rsid w:val="0078158B"/>
    <w:rsid w:val="00782BC9"/>
    <w:rsid w:val="007832D3"/>
    <w:rsid w:val="007833CE"/>
    <w:rsid w:val="007838D9"/>
    <w:rsid w:val="007841E1"/>
    <w:rsid w:val="00784549"/>
    <w:rsid w:val="007845AF"/>
    <w:rsid w:val="00785295"/>
    <w:rsid w:val="0078755C"/>
    <w:rsid w:val="007875B1"/>
    <w:rsid w:val="007875DE"/>
    <w:rsid w:val="00787E29"/>
    <w:rsid w:val="00790AAA"/>
    <w:rsid w:val="007912BC"/>
    <w:rsid w:val="00791832"/>
    <w:rsid w:val="00791A98"/>
    <w:rsid w:val="00791DD8"/>
    <w:rsid w:val="00791EEC"/>
    <w:rsid w:val="0079285F"/>
    <w:rsid w:val="007929F8"/>
    <w:rsid w:val="00792AD3"/>
    <w:rsid w:val="00793272"/>
    <w:rsid w:val="007936BE"/>
    <w:rsid w:val="00793D41"/>
    <w:rsid w:val="00793EF6"/>
    <w:rsid w:val="00793F23"/>
    <w:rsid w:val="00795192"/>
    <w:rsid w:val="007952D7"/>
    <w:rsid w:val="00795A3F"/>
    <w:rsid w:val="00795E24"/>
    <w:rsid w:val="00795E2F"/>
    <w:rsid w:val="00796C41"/>
    <w:rsid w:val="007A0088"/>
    <w:rsid w:val="007A0597"/>
    <w:rsid w:val="007A1105"/>
    <w:rsid w:val="007A1277"/>
    <w:rsid w:val="007A147A"/>
    <w:rsid w:val="007A153A"/>
    <w:rsid w:val="007A1D94"/>
    <w:rsid w:val="007A23D2"/>
    <w:rsid w:val="007A2DA2"/>
    <w:rsid w:val="007A2F47"/>
    <w:rsid w:val="007A426C"/>
    <w:rsid w:val="007A5667"/>
    <w:rsid w:val="007A6272"/>
    <w:rsid w:val="007A6B87"/>
    <w:rsid w:val="007B0430"/>
    <w:rsid w:val="007B1259"/>
    <w:rsid w:val="007B14AA"/>
    <w:rsid w:val="007B1724"/>
    <w:rsid w:val="007B19D1"/>
    <w:rsid w:val="007B1C35"/>
    <w:rsid w:val="007B3924"/>
    <w:rsid w:val="007B3D53"/>
    <w:rsid w:val="007B40DE"/>
    <w:rsid w:val="007B51DD"/>
    <w:rsid w:val="007B5917"/>
    <w:rsid w:val="007B5C30"/>
    <w:rsid w:val="007B6C8C"/>
    <w:rsid w:val="007B7B6B"/>
    <w:rsid w:val="007B7D41"/>
    <w:rsid w:val="007B7F51"/>
    <w:rsid w:val="007C0165"/>
    <w:rsid w:val="007C048C"/>
    <w:rsid w:val="007C0CF6"/>
    <w:rsid w:val="007C1246"/>
    <w:rsid w:val="007C1CD3"/>
    <w:rsid w:val="007C2317"/>
    <w:rsid w:val="007C24F1"/>
    <w:rsid w:val="007C2C5F"/>
    <w:rsid w:val="007C3964"/>
    <w:rsid w:val="007C51FF"/>
    <w:rsid w:val="007C5489"/>
    <w:rsid w:val="007C5838"/>
    <w:rsid w:val="007C5B7F"/>
    <w:rsid w:val="007C61F2"/>
    <w:rsid w:val="007C7552"/>
    <w:rsid w:val="007C783A"/>
    <w:rsid w:val="007C7920"/>
    <w:rsid w:val="007D00FC"/>
    <w:rsid w:val="007D046B"/>
    <w:rsid w:val="007D0EA8"/>
    <w:rsid w:val="007D29E5"/>
    <w:rsid w:val="007D403B"/>
    <w:rsid w:val="007D404B"/>
    <w:rsid w:val="007D40BD"/>
    <w:rsid w:val="007D4230"/>
    <w:rsid w:val="007D4F87"/>
    <w:rsid w:val="007D50A6"/>
    <w:rsid w:val="007D73C8"/>
    <w:rsid w:val="007D7734"/>
    <w:rsid w:val="007D7B53"/>
    <w:rsid w:val="007E0567"/>
    <w:rsid w:val="007E0F6E"/>
    <w:rsid w:val="007E1866"/>
    <w:rsid w:val="007E1A0A"/>
    <w:rsid w:val="007E1A96"/>
    <w:rsid w:val="007E217B"/>
    <w:rsid w:val="007E22DF"/>
    <w:rsid w:val="007E2773"/>
    <w:rsid w:val="007E28B5"/>
    <w:rsid w:val="007E353F"/>
    <w:rsid w:val="007E372A"/>
    <w:rsid w:val="007E3C23"/>
    <w:rsid w:val="007E3D27"/>
    <w:rsid w:val="007E3E39"/>
    <w:rsid w:val="007E4149"/>
    <w:rsid w:val="007E41AC"/>
    <w:rsid w:val="007E472E"/>
    <w:rsid w:val="007E4E2C"/>
    <w:rsid w:val="007E55A7"/>
    <w:rsid w:val="007E6147"/>
    <w:rsid w:val="007E6434"/>
    <w:rsid w:val="007E7002"/>
    <w:rsid w:val="007E76C5"/>
    <w:rsid w:val="007E7F1C"/>
    <w:rsid w:val="007F0325"/>
    <w:rsid w:val="007F0A8A"/>
    <w:rsid w:val="007F1DC3"/>
    <w:rsid w:val="007F2972"/>
    <w:rsid w:val="007F3554"/>
    <w:rsid w:val="007F3A27"/>
    <w:rsid w:val="007F5311"/>
    <w:rsid w:val="007F5380"/>
    <w:rsid w:val="007F5D43"/>
    <w:rsid w:val="007F62F3"/>
    <w:rsid w:val="007F6E98"/>
    <w:rsid w:val="007F7F86"/>
    <w:rsid w:val="008007D5"/>
    <w:rsid w:val="0080227D"/>
    <w:rsid w:val="008024A2"/>
    <w:rsid w:val="00803C60"/>
    <w:rsid w:val="0080470F"/>
    <w:rsid w:val="00804F5D"/>
    <w:rsid w:val="00805594"/>
    <w:rsid w:val="00805FE8"/>
    <w:rsid w:val="00806056"/>
    <w:rsid w:val="00806BF9"/>
    <w:rsid w:val="00810141"/>
    <w:rsid w:val="00810ABF"/>
    <w:rsid w:val="00810C4D"/>
    <w:rsid w:val="00810F24"/>
    <w:rsid w:val="00811820"/>
    <w:rsid w:val="00811B52"/>
    <w:rsid w:val="00811E9A"/>
    <w:rsid w:val="008125EE"/>
    <w:rsid w:val="00812B77"/>
    <w:rsid w:val="00812BC8"/>
    <w:rsid w:val="00813750"/>
    <w:rsid w:val="00813D6D"/>
    <w:rsid w:val="00813DCA"/>
    <w:rsid w:val="0081428D"/>
    <w:rsid w:val="00814890"/>
    <w:rsid w:val="00815873"/>
    <w:rsid w:val="0081601E"/>
    <w:rsid w:val="00816245"/>
    <w:rsid w:val="008166C3"/>
    <w:rsid w:val="008166FE"/>
    <w:rsid w:val="00816C80"/>
    <w:rsid w:val="00816D4F"/>
    <w:rsid w:val="00817710"/>
    <w:rsid w:val="0081789F"/>
    <w:rsid w:val="00817F75"/>
    <w:rsid w:val="00822D08"/>
    <w:rsid w:val="00822E46"/>
    <w:rsid w:val="00823A87"/>
    <w:rsid w:val="00823DE5"/>
    <w:rsid w:val="00824612"/>
    <w:rsid w:val="00824E77"/>
    <w:rsid w:val="008261FC"/>
    <w:rsid w:val="00826414"/>
    <w:rsid w:val="008268A8"/>
    <w:rsid w:val="00826999"/>
    <w:rsid w:val="0082762E"/>
    <w:rsid w:val="00827852"/>
    <w:rsid w:val="00827CDF"/>
    <w:rsid w:val="00827EA3"/>
    <w:rsid w:val="00827EB5"/>
    <w:rsid w:val="00830D8A"/>
    <w:rsid w:val="0083130D"/>
    <w:rsid w:val="0083162F"/>
    <w:rsid w:val="0083209A"/>
    <w:rsid w:val="00832120"/>
    <w:rsid w:val="0083366C"/>
    <w:rsid w:val="00834142"/>
    <w:rsid w:val="00834DF4"/>
    <w:rsid w:val="008350D7"/>
    <w:rsid w:val="0083594F"/>
    <w:rsid w:val="00835D67"/>
    <w:rsid w:val="008364BB"/>
    <w:rsid w:val="008364C4"/>
    <w:rsid w:val="0084048B"/>
    <w:rsid w:val="00840839"/>
    <w:rsid w:val="00840EF8"/>
    <w:rsid w:val="00841138"/>
    <w:rsid w:val="0084213A"/>
    <w:rsid w:val="0084238C"/>
    <w:rsid w:val="00842697"/>
    <w:rsid w:val="0084298C"/>
    <w:rsid w:val="0084337D"/>
    <w:rsid w:val="008433C0"/>
    <w:rsid w:val="0084459F"/>
    <w:rsid w:val="00844740"/>
    <w:rsid w:val="00845134"/>
    <w:rsid w:val="0084521F"/>
    <w:rsid w:val="0084547B"/>
    <w:rsid w:val="00845C3E"/>
    <w:rsid w:val="00845F38"/>
    <w:rsid w:val="008460EC"/>
    <w:rsid w:val="00846885"/>
    <w:rsid w:val="00847321"/>
    <w:rsid w:val="008475E9"/>
    <w:rsid w:val="00850510"/>
    <w:rsid w:val="008513DD"/>
    <w:rsid w:val="00851414"/>
    <w:rsid w:val="00851967"/>
    <w:rsid w:val="00851E0A"/>
    <w:rsid w:val="0085365A"/>
    <w:rsid w:val="0085374D"/>
    <w:rsid w:val="00854244"/>
    <w:rsid w:val="008549D6"/>
    <w:rsid w:val="00854D0A"/>
    <w:rsid w:val="00855C39"/>
    <w:rsid w:val="0085618B"/>
    <w:rsid w:val="008567A4"/>
    <w:rsid w:val="00856B91"/>
    <w:rsid w:val="00857079"/>
    <w:rsid w:val="00857906"/>
    <w:rsid w:val="00857B37"/>
    <w:rsid w:val="00860634"/>
    <w:rsid w:val="00860843"/>
    <w:rsid w:val="00860EA8"/>
    <w:rsid w:val="008612D6"/>
    <w:rsid w:val="00861567"/>
    <w:rsid w:val="00861B44"/>
    <w:rsid w:val="008622EA"/>
    <w:rsid w:val="00862678"/>
    <w:rsid w:val="008627F6"/>
    <w:rsid w:val="00863856"/>
    <w:rsid w:val="00863BD7"/>
    <w:rsid w:val="0086446F"/>
    <w:rsid w:val="00866535"/>
    <w:rsid w:val="00867776"/>
    <w:rsid w:val="00870B44"/>
    <w:rsid w:val="00870D1A"/>
    <w:rsid w:val="00871194"/>
    <w:rsid w:val="008724DE"/>
    <w:rsid w:val="00872B2D"/>
    <w:rsid w:val="00872C31"/>
    <w:rsid w:val="008735D0"/>
    <w:rsid w:val="00874956"/>
    <w:rsid w:val="008751D6"/>
    <w:rsid w:val="008752FC"/>
    <w:rsid w:val="00875DF6"/>
    <w:rsid w:val="00877266"/>
    <w:rsid w:val="0087726B"/>
    <w:rsid w:val="00880A5B"/>
    <w:rsid w:val="00880F5C"/>
    <w:rsid w:val="0088120F"/>
    <w:rsid w:val="00881403"/>
    <w:rsid w:val="008814A5"/>
    <w:rsid w:val="008820A2"/>
    <w:rsid w:val="0088420D"/>
    <w:rsid w:val="00886128"/>
    <w:rsid w:val="008865C7"/>
    <w:rsid w:val="00886AEF"/>
    <w:rsid w:val="00886DE1"/>
    <w:rsid w:val="00887ADB"/>
    <w:rsid w:val="008900AB"/>
    <w:rsid w:val="00890AC2"/>
    <w:rsid w:val="00891372"/>
    <w:rsid w:val="00891770"/>
    <w:rsid w:val="00891980"/>
    <w:rsid w:val="00891BCE"/>
    <w:rsid w:val="008924AE"/>
    <w:rsid w:val="008929F9"/>
    <w:rsid w:val="00892DF8"/>
    <w:rsid w:val="0089315C"/>
    <w:rsid w:val="00893A77"/>
    <w:rsid w:val="00893B3B"/>
    <w:rsid w:val="008944E9"/>
    <w:rsid w:val="008950D0"/>
    <w:rsid w:val="00896165"/>
    <w:rsid w:val="0089621D"/>
    <w:rsid w:val="00896663"/>
    <w:rsid w:val="008969E0"/>
    <w:rsid w:val="00896DB2"/>
    <w:rsid w:val="00897B54"/>
    <w:rsid w:val="008A08CD"/>
    <w:rsid w:val="008A0A34"/>
    <w:rsid w:val="008A0EAB"/>
    <w:rsid w:val="008A11D7"/>
    <w:rsid w:val="008A1717"/>
    <w:rsid w:val="008A1931"/>
    <w:rsid w:val="008A295A"/>
    <w:rsid w:val="008A2AF7"/>
    <w:rsid w:val="008A3832"/>
    <w:rsid w:val="008A38E5"/>
    <w:rsid w:val="008A3D57"/>
    <w:rsid w:val="008A4095"/>
    <w:rsid w:val="008A4CEB"/>
    <w:rsid w:val="008A576C"/>
    <w:rsid w:val="008A67D4"/>
    <w:rsid w:val="008A75D5"/>
    <w:rsid w:val="008A767B"/>
    <w:rsid w:val="008A79A2"/>
    <w:rsid w:val="008A7AC3"/>
    <w:rsid w:val="008B0792"/>
    <w:rsid w:val="008B11E4"/>
    <w:rsid w:val="008B1997"/>
    <w:rsid w:val="008B1A30"/>
    <w:rsid w:val="008B1D8B"/>
    <w:rsid w:val="008B1DAF"/>
    <w:rsid w:val="008B2EA4"/>
    <w:rsid w:val="008B320D"/>
    <w:rsid w:val="008B3A98"/>
    <w:rsid w:val="008B4338"/>
    <w:rsid w:val="008B4787"/>
    <w:rsid w:val="008B5E23"/>
    <w:rsid w:val="008B5E75"/>
    <w:rsid w:val="008B63ED"/>
    <w:rsid w:val="008B6464"/>
    <w:rsid w:val="008B6825"/>
    <w:rsid w:val="008B6FE8"/>
    <w:rsid w:val="008C02CD"/>
    <w:rsid w:val="008C03A1"/>
    <w:rsid w:val="008C0664"/>
    <w:rsid w:val="008C13C8"/>
    <w:rsid w:val="008C1921"/>
    <w:rsid w:val="008C2C29"/>
    <w:rsid w:val="008C3658"/>
    <w:rsid w:val="008C3BF7"/>
    <w:rsid w:val="008C40EF"/>
    <w:rsid w:val="008C4EEC"/>
    <w:rsid w:val="008C57E7"/>
    <w:rsid w:val="008C635A"/>
    <w:rsid w:val="008C6407"/>
    <w:rsid w:val="008C7967"/>
    <w:rsid w:val="008D1495"/>
    <w:rsid w:val="008D22A3"/>
    <w:rsid w:val="008D294B"/>
    <w:rsid w:val="008D2B2D"/>
    <w:rsid w:val="008D3FC4"/>
    <w:rsid w:val="008D4129"/>
    <w:rsid w:val="008D50C5"/>
    <w:rsid w:val="008D696B"/>
    <w:rsid w:val="008D6D0E"/>
    <w:rsid w:val="008D7FDB"/>
    <w:rsid w:val="008E0050"/>
    <w:rsid w:val="008E077D"/>
    <w:rsid w:val="008E195D"/>
    <w:rsid w:val="008E1B94"/>
    <w:rsid w:val="008E21C4"/>
    <w:rsid w:val="008E3469"/>
    <w:rsid w:val="008E3D60"/>
    <w:rsid w:val="008E450C"/>
    <w:rsid w:val="008E5089"/>
    <w:rsid w:val="008E6E61"/>
    <w:rsid w:val="008E7DCA"/>
    <w:rsid w:val="008F0149"/>
    <w:rsid w:val="008F0C48"/>
    <w:rsid w:val="008F179A"/>
    <w:rsid w:val="008F266D"/>
    <w:rsid w:val="008F268D"/>
    <w:rsid w:val="008F2B75"/>
    <w:rsid w:val="008F2D95"/>
    <w:rsid w:val="008F3441"/>
    <w:rsid w:val="008F35AC"/>
    <w:rsid w:val="008F3AA8"/>
    <w:rsid w:val="008F3BC3"/>
    <w:rsid w:val="008F3C6B"/>
    <w:rsid w:val="008F3F50"/>
    <w:rsid w:val="008F418C"/>
    <w:rsid w:val="008F48B1"/>
    <w:rsid w:val="008F4E20"/>
    <w:rsid w:val="008F5016"/>
    <w:rsid w:val="008F5CC9"/>
    <w:rsid w:val="008F622F"/>
    <w:rsid w:val="008F6423"/>
    <w:rsid w:val="008F75E6"/>
    <w:rsid w:val="008F786C"/>
    <w:rsid w:val="008F7B8F"/>
    <w:rsid w:val="008F7D34"/>
    <w:rsid w:val="008F7D3B"/>
    <w:rsid w:val="00901556"/>
    <w:rsid w:val="0090165F"/>
    <w:rsid w:val="00901BE0"/>
    <w:rsid w:val="00901F5A"/>
    <w:rsid w:val="00903D4B"/>
    <w:rsid w:val="009059A9"/>
    <w:rsid w:val="00905F4D"/>
    <w:rsid w:val="00906631"/>
    <w:rsid w:val="00906A82"/>
    <w:rsid w:val="00907708"/>
    <w:rsid w:val="00907999"/>
    <w:rsid w:val="0091177D"/>
    <w:rsid w:val="0091185F"/>
    <w:rsid w:val="00912504"/>
    <w:rsid w:val="0091261D"/>
    <w:rsid w:val="0091336D"/>
    <w:rsid w:val="0091376D"/>
    <w:rsid w:val="00913EBA"/>
    <w:rsid w:val="00914079"/>
    <w:rsid w:val="0091554B"/>
    <w:rsid w:val="00915696"/>
    <w:rsid w:val="00915DD1"/>
    <w:rsid w:val="00916E75"/>
    <w:rsid w:val="00917162"/>
    <w:rsid w:val="00917A94"/>
    <w:rsid w:val="00920A1A"/>
    <w:rsid w:val="00920E86"/>
    <w:rsid w:val="009216B5"/>
    <w:rsid w:val="00921CB7"/>
    <w:rsid w:val="00921D1D"/>
    <w:rsid w:val="0092228A"/>
    <w:rsid w:val="009224FF"/>
    <w:rsid w:val="00922B45"/>
    <w:rsid w:val="00922F9D"/>
    <w:rsid w:val="0092320A"/>
    <w:rsid w:val="00923988"/>
    <w:rsid w:val="00923A1F"/>
    <w:rsid w:val="00923BC5"/>
    <w:rsid w:val="00923C4F"/>
    <w:rsid w:val="00923CD8"/>
    <w:rsid w:val="00923FC4"/>
    <w:rsid w:val="00925158"/>
    <w:rsid w:val="00925B6B"/>
    <w:rsid w:val="00925C00"/>
    <w:rsid w:val="009266FD"/>
    <w:rsid w:val="0092677B"/>
    <w:rsid w:val="009276BE"/>
    <w:rsid w:val="00927A66"/>
    <w:rsid w:val="00927B50"/>
    <w:rsid w:val="00930A6D"/>
    <w:rsid w:val="00930C74"/>
    <w:rsid w:val="00930D3D"/>
    <w:rsid w:val="0093103B"/>
    <w:rsid w:val="009311FF"/>
    <w:rsid w:val="00931CEF"/>
    <w:rsid w:val="00932D59"/>
    <w:rsid w:val="00933434"/>
    <w:rsid w:val="009335A2"/>
    <w:rsid w:val="00933B1F"/>
    <w:rsid w:val="00933C22"/>
    <w:rsid w:val="00933C46"/>
    <w:rsid w:val="00933F1A"/>
    <w:rsid w:val="00935415"/>
    <w:rsid w:val="00935C46"/>
    <w:rsid w:val="00936D4A"/>
    <w:rsid w:val="00937C33"/>
    <w:rsid w:val="00941ADD"/>
    <w:rsid w:val="00941B14"/>
    <w:rsid w:val="00941CD9"/>
    <w:rsid w:val="00941EE2"/>
    <w:rsid w:val="00942BB1"/>
    <w:rsid w:val="00942DCC"/>
    <w:rsid w:val="009436B2"/>
    <w:rsid w:val="009438BD"/>
    <w:rsid w:val="0094394F"/>
    <w:rsid w:val="00943C0D"/>
    <w:rsid w:val="00943DD2"/>
    <w:rsid w:val="009443EE"/>
    <w:rsid w:val="00944773"/>
    <w:rsid w:val="00944DDA"/>
    <w:rsid w:val="00944E13"/>
    <w:rsid w:val="0094546B"/>
    <w:rsid w:val="00946378"/>
    <w:rsid w:val="009469B8"/>
    <w:rsid w:val="00946B9B"/>
    <w:rsid w:val="009472C4"/>
    <w:rsid w:val="00947932"/>
    <w:rsid w:val="00950068"/>
    <w:rsid w:val="009503E1"/>
    <w:rsid w:val="0095093B"/>
    <w:rsid w:val="00950E88"/>
    <w:rsid w:val="00951A9A"/>
    <w:rsid w:val="009521FA"/>
    <w:rsid w:val="00952A30"/>
    <w:rsid w:val="00954026"/>
    <w:rsid w:val="00954287"/>
    <w:rsid w:val="00954C3C"/>
    <w:rsid w:val="00955297"/>
    <w:rsid w:val="009554E2"/>
    <w:rsid w:val="009556B8"/>
    <w:rsid w:val="009556E2"/>
    <w:rsid w:val="009556EE"/>
    <w:rsid w:val="0095710D"/>
    <w:rsid w:val="009602DB"/>
    <w:rsid w:val="00960998"/>
    <w:rsid w:val="00960E39"/>
    <w:rsid w:val="00961430"/>
    <w:rsid w:val="00961AED"/>
    <w:rsid w:val="00961B5C"/>
    <w:rsid w:val="009628D4"/>
    <w:rsid w:val="009629FC"/>
    <w:rsid w:val="00962A18"/>
    <w:rsid w:val="00962EF3"/>
    <w:rsid w:val="009633A1"/>
    <w:rsid w:val="00963CCA"/>
    <w:rsid w:val="00963E83"/>
    <w:rsid w:val="009648C3"/>
    <w:rsid w:val="00965F16"/>
    <w:rsid w:val="0096620F"/>
    <w:rsid w:val="00966324"/>
    <w:rsid w:val="009664B1"/>
    <w:rsid w:val="00966C2F"/>
    <w:rsid w:val="0096771D"/>
    <w:rsid w:val="0096793F"/>
    <w:rsid w:val="00967BE3"/>
    <w:rsid w:val="00967ED0"/>
    <w:rsid w:val="009705E6"/>
    <w:rsid w:val="00971337"/>
    <w:rsid w:val="00971A1A"/>
    <w:rsid w:val="00972093"/>
    <w:rsid w:val="00972891"/>
    <w:rsid w:val="009732AA"/>
    <w:rsid w:val="009734C5"/>
    <w:rsid w:val="00973607"/>
    <w:rsid w:val="00973A82"/>
    <w:rsid w:val="00974912"/>
    <w:rsid w:val="00975206"/>
    <w:rsid w:val="009755BE"/>
    <w:rsid w:val="00976780"/>
    <w:rsid w:val="0097685F"/>
    <w:rsid w:val="009769A7"/>
    <w:rsid w:val="00976F69"/>
    <w:rsid w:val="009802F3"/>
    <w:rsid w:val="0098072E"/>
    <w:rsid w:val="009813DE"/>
    <w:rsid w:val="009816E2"/>
    <w:rsid w:val="00981DC1"/>
    <w:rsid w:val="0098227D"/>
    <w:rsid w:val="009826DE"/>
    <w:rsid w:val="009829E6"/>
    <w:rsid w:val="00983C60"/>
    <w:rsid w:val="009847A2"/>
    <w:rsid w:val="00986226"/>
    <w:rsid w:val="00986304"/>
    <w:rsid w:val="00986E08"/>
    <w:rsid w:val="00986E65"/>
    <w:rsid w:val="0098714E"/>
    <w:rsid w:val="0098786D"/>
    <w:rsid w:val="00987D69"/>
    <w:rsid w:val="009906D5"/>
    <w:rsid w:val="00990A4E"/>
    <w:rsid w:val="00990E8B"/>
    <w:rsid w:val="00991538"/>
    <w:rsid w:val="009916ED"/>
    <w:rsid w:val="00991840"/>
    <w:rsid w:val="00991842"/>
    <w:rsid w:val="00991BFB"/>
    <w:rsid w:val="0099214D"/>
    <w:rsid w:val="009923B7"/>
    <w:rsid w:val="00992689"/>
    <w:rsid w:val="00992BC3"/>
    <w:rsid w:val="009942CD"/>
    <w:rsid w:val="0099460A"/>
    <w:rsid w:val="009958DA"/>
    <w:rsid w:val="0099606E"/>
    <w:rsid w:val="009960CF"/>
    <w:rsid w:val="009962D5"/>
    <w:rsid w:val="009972A3"/>
    <w:rsid w:val="009A14BB"/>
    <w:rsid w:val="009A1674"/>
    <w:rsid w:val="009A1A35"/>
    <w:rsid w:val="009A1C90"/>
    <w:rsid w:val="009A2075"/>
    <w:rsid w:val="009A2596"/>
    <w:rsid w:val="009A2B22"/>
    <w:rsid w:val="009A31D9"/>
    <w:rsid w:val="009A3D07"/>
    <w:rsid w:val="009A3DD8"/>
    <w:rsid w:val="009A40F1"/>
    <w:rsid w:val="009A4289"/>
    <w:rsid w:val="009A51B1"/>
    <w:rsid w:val="009A55D3"/>
    <w:rsid w:val="009A5753"/>
    <w:rsid w:val="009A5B9C"/>
    <w:rsid w:val="009A5E87"/>
    <w:rsid w:val="009A6247"/>
    <w:rsid w:val="009A6D53"/>
    <w:rsid w:val="009A6E4C"/>
    <w:rsid w:val="009A717A"/>
    <w:rsid w:val="009A72CC"/>
    <w:rsid w:val="009A730E"/>
    <w:rsid w:val="009A74AD"/>
    <w:rsid w:val="009A75B5"/>
    <w:rsid w:val="009B0E53"/>
    <w:rsid w:val="009B1010"/>
    <w:rsid w:val="009B1A49"/>
    <w:rsid w:val="009B238A"/>
    <w:rsid w:val="009B26FB"/>
    <w:rsid w:val="009B2C22"/>
    <w:rsid w:val="009B3BD3"/>
    <w:rsid w:val="009B3D1D"/>
    <w:rsid w:val="009B3E64"/>
    <w:rsid w:val="009B3F58"/>
    <w:rsid w:val="009B5E82"/>
    <w:rsid w:val="009B6F8E"/>
    <w:rsid w:val="009C074A"/>
    <w:rsid w:val="009C17E7"/>
    <w:rsid w:val="009C17F5"/>
    <w:rsid w:val="009C183F"/>
    <w:rsid w:val="009C1DC5"/>
    <w:rsid w:val="009C2182"/>
    <w:rsid w:val="009C2C3B"/>
    <w:rsid w:val="009C2EB0"/>
    <w:rsid w:val="009C2EEB"/>
    <w:rsid w:val="009C3403"/>
    <w:rsid w:val="009C3635"/>
    <w:rsid w:val="009C3953"/>
    <w:rsid w:val="009C3AB2"/>
    <w:rsid w:val="009C3ADC"/>
    <w:rsid w:val="009C485E"/>
    <w:rsid w:val="009C4E9C"/>
    <w:rsid w:val="009C586F"/>
    <w:rsid w:val="009C5CE7"/>
    <w:rsid w:val="009C5FB8"/>
    <w:rsid w:val="009C66AF"/>
    <w:rsid w:val="009C67F2"/>
    <w:rsid w:val="009C6A16"/>
    <w:rsid w:val="009C7A2E"/>
    <w:rsid w:val="009D02AD"/>
    <w:rsid w:val="009D0861"/>
    <w:rsid w:val="009D0E98"/>
    <w:rsid w:val="009D124E"/>
    <w:rsid w:val="009D144C"/>
    <w:rsid w:val="009D1974"/>
    <w:rsid w:val="009D1E46"/>
    <w:rsid w:val="009D1E6E"/>
    <w:rsid w:val="009D2543"/>
    <w:rsid w:val="009D25EA"/>
    <w:rsid w:val="009D27C5"/>
    <w:rsid w:val="009D2E68"/>
    <w:rsid w:val="009D3214"/>
    <w:rsid w:val="009D33BA"/>
    <w:rsid w:val="009D3822"/>
    <w:rsid w:val="009D3FED"/>
    <w:rsid w:val="009D44C2"/>
    <w:rsid w:val="009D5709"/>
    <w:rsid w:val="009D7E1D"/>
    <w:rsid w:val="009E00C2"/>
    <w:rsid w:val="009E0362"/>
    <w:rsid w:val="009E06FF"/>
    <w:rsid w:val="009E1E6F"/>
    <w:rsid w:val="009E445A"/>
    <w:rsid w:val="009E468A"/>
    <w:rsid w:val="009E4F45"/>
    <w:rsid w:val="009E537B"/>
    <w:rsid w:val="009E57E6"/>
    <w:rsid w:val="009E6243"/>
    <w:rsid w:val="009E64FE"/>
    <w:rsid w:val="009E7C5F"/>
    <w:rsid w:val="009E7E25"/>
    <w:rsid w:val="009E7FC4"/>
    <w:rsid w:val="009F0D73"/>
    <w:rsid w:val="009F1326"/>
    <w:rsid w:val="009F16D7"/>
    <w:rsid w:val="009F259D"/>
    <w:rsid w:val="009F27FF"/>
    <w:rsid w:val="009F3CCC"/>
    <w:rsid w:val="009F42E2"/>
    <w:rsid w:val="009F43B2"/>
    <w:rsid w:val="009F4FF8"/>
    <w:rsid w:val="009F51D9"/>
    <w:rsid w:val="009F568B"/>
    <w:rsid w:val="009F58DF"/>
    <w:rsid w:val="009F60C3"/>
    <w:rsid w:val="009F74EE"/>
    <w:rsid w:val="009F7AAC"/>
    <w:rsid w:val="009F7C91"/>
    <w:rsid w:val="009F7EA2"/>
    <w:rsid w:val="00A00C92"/>
    <w:rsid w:val="00A00E54"/>
    <w:rsid w:val="00A01B29"/>
    <w:rsid w:val="00A02094"/>
    <w:rsid w:val="00A0224A"/>
    <w:rsid w:val="00A025AE"/>
    <w:rsid w:val="00A025F5"/>
    <w:rsid w:val="00A02BEF"/>
    <w:rsid w:val="00A02C0D"/>
    <w:rsid w:val="00A02F56"/>
    <w:rsid w:val="00A02FAC"/>
    <w:rsid w:val="00A03B0B"/>
    <w:rsid w:val="00A0406E"/>
    <w:rsid w:val="00A043C2"/>
    <w:rsid w:val="00A046B5"/>
    <w:rsid w:val="00A04E8E"/>
    <w:rsid w:val="00A05214"/>
    <w:rsid w:val="00A053B5"/>
    <w:rsid w:val="00A05510"/>
    <w:rsid w:val="00A05B0E"/>
    <w:rsid w:val="00A061F1"/>
    <w:rsid w:val="00A06AAB"/>
    <w:rsid w:val="00A074DE"/>
    <w:rsid w:val="00A07FCA"/>
    <w:rsid w:val="00A1012C"/>
    <w:rsid w:val="00A10424"/>
    <w:rsid w:val="00A10586"/>
    <w:rsid w:val="00A10B09"/>
    <w:rsid w:val="00A112C4"/>
    <w:rsid w:val="00A11463"/>
    <w:rsid w:val="00A1150B"/>
    <w:rsid w:val="00A11CC0"/>
    <w:rsid w:val="00A1251F"/>
    <w:rsid w:val="00A12C64"/>
    <w:rsid w:val="00A13573"/>
    <w:rsid w:val="00A13CF4"/>
    <w:rsid w:val="00A14084"/>
    <w:rsid w:val="00A14F0D"/>
    <w:rsid w:val="00A153E8"/>
    <w:rsid w:val="00A15ACC"/>
    <w:rsid w:val="00A15DC2"/>
    <w:rsid w:val="00A17B9C"/>
    <w:rsid w:val="00A20477"/>
    <w:rsid w:val="00A20C1F"/>
    <w:rsid w:val="00A21135"/>
    <w:rsid w:val="00A218B5"/>
    <w:rsid w:val="00A22603"/>
    <w:rsid w:val="00A22D6D"/>
    <w:rsid w:val="00A22E7D"/>
    <w:rsid w:val="00A23129"/>
    <w:rsid w:val="00A2344C"/>
    <w:rsid w:val="00A245F5"/>
    <w:rsid w:val="00A247AA"/>
    <w:rsid w:val="00A25044"/>
    <w:rsid w:val="00A254E6"/>
    <w:rsid w:val="00A257BF"/>
    <w:rsid w:val="00A259F6"/>
    <w:rsid w:val="00A2651E"/>
    <w:rsid w:val="00A268C6"/>
    <w:rsid w:val="00A26A62"/>
    <w:rsid w:val="00A26CDA"/>
    <w:rsid w:val="00A26D60"/>
    <w:rsid w:val="00A274D7"/>
    <w:rsid w:val="00A27AC2"/>
    <w:rsid w:val="00A27DD0"/>
    <w:rsid w:val="00A27E63"/>
    <w:rsid w:val="00A310EC"/>
    <w:rsid w:val="00A31D00"/>
    <w:rsid w:val="00A32672"/>
    <w:rsid w:val="00A33321"/>
    <w:rsid w:val="00A335F3"/>
    <w:rsid w:val="00A34719"/>
    <w:rsid w:val="00A351D6"/>
    <w:rsid w:val="00A354ED"/>
    <w:rsid w:val="00A35CB4"/>
    <w:rsid w:val="00A36A23"/>
    <w:rsid w:val="00A406E5"/>
    <w:rsid w:val="00A407A0"/>
    <w:rsid w:val="00A41107"/>
    <w:rsid w:val="00A4134A"/>
    <w:rsid w:val="00A41355"/>
    <w:rsid w:val="00A4173C"/>
    <w:rsid w:val="00A4261A"/>
    <w:rsid w:val="00A43241"/>
    <w:rsid w:val="00A43B92"/>
    <w:rsid w:val="00A43F14"/>
    <w:rsid w:val="00A44720"/>
    <w:rsid w:val="00A44F2A"/>
    <w:rsid w:val="00A46094"/>
    <w:rsid w:val="00A46506"/>
    <w:rsid w:val="00A46FEA"/>
    <w:rsid w:val="00A47015"/>
    <w:rsid w:val="00A4757E"/>
    <w:rsid w:val="00A475BB"/>
    <w:rsid w:val="00A47CB3"/>
    <w:rsid w:val="00A500B1"/>
    <w:rsid w:val="00A51920"/>
    <w:rsid w:val="00A5202F"/>
    <w:rsid w:val="00A52812"/>
    <w:rsid w:val="00A5292B"/>
    <w:rsid w:val="00A52E3B"/>
    <w:rsid w:val="00A53BF9"/>
    <w:rsid w:val="00A53F13"/>
    <w:rsid w:val="00A543FB"/>
    <w:rsid w:val="00A5460A"/>
    <w:rsid w:val="00A552A3"/>
    <w:rsid w:val="00A55AF5"/>
    <w:rsid w:val="00A55C7E"/>
    <w:rsid w:val="00A55DDB"/>
    <w:rsid w:val="00A55EB5"/>
    <w:rsid w:val="00A56167"/>
    <w:rsid w:val="00A56342"/>
    <w:rsid w:val="00A569BE"/>
    <w:rsid w:val="00A56ACF"/>
    <w:rsid w:val="00A56C9A"/>
    <w:rsid w:val="00A6014D"/>
    <w:rsid w:val="00A610CB"/>
    <w:rsid w:val="00A615CE"/>
    <w:rsid w:val="00A6179E"/>
    <w:rsid w:val="00A61B9E"/>
    <w:rsid w:val="00A61DAC"/>
    <w:rsid w:val="00A61DCB"/>
    <w:rsid w:val="00A6201B"/>
    <w:rsid w:val="00A63698"/>
    <w:rsid w:val="00A638E1"/>
    <w:rsid w:val="00A64B54"/>
    <w:rsid w:val="00A65425"/>
    <w:rsid w:val="00A65445"/>
    <w:rsid w:val="00A658AC"/>
    <w:rsid w:val="00A669EE"/>
    <w:rsid w:val="00A66F67"/>
    <w:rsid w:val="00A67055"/>
    <w:rsid w:val="00A675A7"/>
    <w:rsid w:val="00A675FA"/>
    <w:rsid w:val="00A70631"/>
    <w:rsid w:val="00A70FB5"/>
    <w:rsid w:val="00A710A5"/>
    <w:rsid w:val="00A717D1"/>
    <w:rsid w:val="00A71AF4"/>
    <w:rsid w:val="00A72C05"/>
    <w:rsid w:val="00A72F79"/>
    <w:rsid w:val="00A73A18"/>
    <w:rsid w:val="00A7490A"/>
    <w:rsid w:val="00A74D5C"/>
    <w:rsid w:val="00A75252"/>
    <w:rsid w:val="00A75B10"/>
    <w:rsid w:val="00A8174C"/>
    <w:rsid w:val="00A82327"/>
    <w:rsid w:val="00A828FB"/>
    <w:rsid w:val="00A830A0"/>
    <w:rsid w:val="00A83258"/>
    <w:rsid w:val="00A83448"/>
    <w:rsid w:val="00A83A50"/>
    <w:rsid w:val="00A84617"/>
    <w:rsid w:val="00A84DAC"/>
    <w:rsid w:val="00A85A8B"/>
    <w:rsid w:val="00A86411"/>
    <w:rsid w:val="00A86C32"/>
    <w:rsid w:val="00A8712C"/>
    <w:rsid w:val="00A876EB"/>
    <w:rsid w:val="00A87B1C"/>
    <w:rsid w:val="00A900A3"/>
    <w:rsid w:val="00A902A8"/>
    <w:rsid w:val="00A903E1"/>
    <w:rsid w:val="00A90709"/>
    <w:rsid w:val="00A91D0B"/>
    <w:rsid w:val="00A91E47"/>
    <w:rsid w:val="00A94531"/>
    <w:rsid w:val="00A94A37"/>
    <w:rsid w:val="00A95DE1"/>
    <w:rsid w:val="00A9608D"/>
    <w:rsid w:val="00A960C1"/>
    <w:rsid w:val="00A962FC"/>
    <w:rsid w:val="00A96536"/>
    <w:rsid w:val="00A96F9C"/>
    <w:rsid w:val="00A97369"/>
    <w:rsid w:val="00A976ED"/>
    <w:rsid w:val="00AA02A2"/>
    <w:rsid w:val="00AA0475"/>
    <w:rsid w:val="00AA1418"/>
    <w:rsid w:val="00AA1531"/>
    <w:rsid w:val="00AA22F3"/>
    <w:rsid w:val="00AA2392"/>
    <w:rsid w:val="00AA2A26"/>
    <w:rsid w:val="00AA2C29"/>
    <w:rsid w:val="00AA32B3"/>
    <w:rsid w:val="00AA3B94"/>
    <w:rsid w:val="00AA3D40"/>
    <w:rsid w:val="00AA45C6"/>
    <w:rsid w:val="00AA46FD"/>
    <w:rsid w:val="00AA4A1D"/>
    <w:rsid w:val="00AA510B"/>
    <w:rsid w:val="00AA606B"/>
    <w:rsid w:val="00AA64A9"/>
    <w:rsid w:val="00AA6AEB"/>
    <w:rsid w:val="00AA6D46"/>
    <w:rsid w:val="00AA7210"/>
    <w:rsid w:val="00AA74CF"/>
    <w:rsid w:val="00AA7BEF"/>
    <w:rsid w:val="00AA7CA2"/>
    <w:rsid w:val="00AB0B7E"/>
    <w:rsid w:val="00AB10AC"/>
    <w:rsid w:val="00AB1283"/>
    <w:rsid w:val="00AB1A36"/>
    <w:rsid w:val="00AB1A73"/>
    <w:rsid w:val="00AB218C"/>
    <w:rsid w:val="00AB2BF2"/>
    <w:rsid w:val="00AB3F7E"/>
    <w:rsid w:val="00AB4931"/>
    <w:rsid w:val="00AB4AED"/>
    <w:rsid w:val="00AB57AE"/>
    <w:rsid w:val="00AB5A8E"/>
    <w:rsid w:val="00AB604A"/>
    <w:rsid w:val="00AB628E"/>
    <w:rsid w:val="00AB6EFC"/>
    <w:rsid w:val="00AB7B33"/>
    <w:rsid w:val="00AC0974"/>
    <w:rsid w:val="00AC09DE"/>
    <w:rsid w:val="00AC18D2"/>
    <w:rsid w:val="00AC265F"/>
    <w:rsid w:val="00AC27AB"/>
    <w:rsid w:val="00AC2CF0"/>
    <w:rsid w:val="00AC4043"/>
    <w:rsid w:val="00AC49B1"/>
    <w:rsid w:val="00AC582C"/>
    <w:rsid w:val="00AC59A7"/>
    <w:rsid w:val="00AC5B21"/>
    <w:rsid w:val="00AC6167"/>
    <w:rsid w:val="00AC685C"/>
    <w:rsid w:val="00AC6A34"/>
    <w:rsid w:val="00AC6E25"/>
    <w:rsid w:val="00AD1FA6"/>
    <w:rsid w:val="00AD2153"/>
    <w:rsid w:val="00AD215E"/>
    <w:rsid w:val="00AD3062"/>
    <w:rsid w:val="00AD31DE"/>
    <w:rsid w:val="00AD3A3B"/>
    <w:rsid w:val="00AD3CE9"/>
    <w:rsid w:val="00AD41E3"/>
    <w:rsid w:val="00AD42D7"/>
    <w:rsid w:val="00AD4576"/>
    <w:rsid w:val="00AD503C"/>
    <w:rsid w:val="00AD5AF2"/>
    <w:rsid w:val="00AD5E23"/>
    <w:rsid w:val="00AD5FC2"/>
    <w:rsid w:val="00AD61D3"/>
    <w:rsid w:val="00AD630E"/>
    <w:rsid w:val="00AD70AD"/>
    <w:rsid w:val="00AD72F4"/>
    <w:rsid w:val="00AD7483"/>
    <w:rsid w:val="00AD7812"/>
    <w:rsid w:val="00AD7FE0"/>
    <w:rsid w:val="00AE0DDD"/>
    <w:rsid w:val="00AE1010"/>
    <w:rsid w:val="00AE1162"/>
    <w:rsid w:val="00AE171B"/>
    <w:rsid w:val="00AE1E1A"/>
    <w:rsid w:val="00AE2249"/>
    <w:rsid w:val="00AE2573"/>
    <w:rsid w:val="00AE402D"/>
    <w:rsid w:val="00AE44C8"/>
    <w:rsid w:val="00AE4619"/>
    <w:rsid w:val="00AE4D83"/>
    <w:rsid w:val="00AE76D8"/>
    <w:rsid w:val="00AE76EB"/>
    <w:rsid w:val="00AF00AC"/>
    <w:rsid w:val="00AF0AB4"/>
    <w:rsid w:val="00AF14FC"/>
    <w:rsid w:val="00AF16E1"/>
    <w:rsid w:val="00AF1915"/>
    <w:rsid w:val="00AF27D6"/>
    <w:rsid w:val="00AF2E3A"/>
    <w:rsid w:val="00AF30BA"/>
    <w:rsid w:val="00AF3172"/>
    <w:rsid w:val="00AF499D"/>
    <w:rsid w:val="00AF51DE"/>
    <w:rsid w:val="00AF599E"/>
    <w:rsid w:val="00AF5CB5"/>
    <w:rsid w:val="00AF5CC3"/>
    <w:rsid w:val="00AF74E7"/>
    <w:rsid w:val="00AF7D16"/>
    <w:rsid w:val="00B00B10"/>
    <w:rsid w:val="00B0261F"/>
    <w:rsid w:val="00B03215"/>
    <w:rsid w:val="00B03735"/>
    <w:rsid w:val="00B04E89"/>
    <w:rsid w:val="00B04F1E"/>
    <w:rsid w:val="00B05119"/>
    <w:rsid w:val="00B051DC"/>
    <w:rsid w:val="00B06168"/>
    <w:rsid w:val="00B064D0"/>
    <w:rsid w:val="00B0686C"/>
    <w:rsid w:val="00B06C93"/>
    <w:rsid w:val="00B076DD"/>
    <w:rsid w:val="00B104D5"/>
    <w:rsid w:val="00B10610"/>
    <w:rsid w:val="00B109A9"/>
    <w:rsid w:val="00B10D03"/>
    <w:rsid w:val="00B10F73"/>
    <w:rsid w:val="00B11066"/>
    <w:rsid w:val="00B1149F"/>
    <w:rsid w:val="00B1154A"/>
    <w:rsid w:val="00B1280C"/>
    <w:rsid w:val="00B128A0"/>
    <w:rsid w:val="00B12C9F"/>
    <w:rsid w:val="00B12D10"/>
    <w:rsid w:val="00B12E2F"/>
    <w:rsid w:val="00B13067"/>
    <w:rsid w:val="00B138CD"/>
    <w:rsid w:val="00B13C38"/>
    <w:rsid w:val="00B13CF0"/>
    <w:rsid w:val="00B140E1"/>
    <w:rsid w:val="00B14A05"/>
    <w:rsid w:val="00B14E59"/>
    <w:rsid w:val="00B16BB9"/>
    <w:rsid w:val="00B17EF4"/>
    <w:rsid w:val="00B207E5"/>
    <w:rsid w:val="00B20D4F"/>
    <w:rsid w:val="00B21EBE"/>
    <w:rsid w:val="00B22697"/>
    <w:rsid w:val="00B22EDF"/>
    <w:rsid w:val="00B235D4"/>
    <w:rsid w:val="00B23BDB"/>
    <w:rsid w:val="00B24235"/>
    <w:rsid w:val="00B24816"/>
    <w:rsid w:val="00B251C6"/>
    <w:rsid w:val="00B25640"/>
    <w:rsid w:val="00B25695"/>
    <w:rsid w:val="00B2581A"/>
    <w:rsid w:val="00B25C5A"/>
    <w:rsid w:val="00B25E2A"/>
    <w:rsid w:val="00B260C2"/>
    <w:rsid w:val="00B26683"/>
    <w:rsid w:val="00B26B4A"/>
    <w:rsid w:val="00B27202"/>
    <w:rsid w:val="00B272DB"/>
    <w:rsid w:val="00B277E0"/>
    <w:rsid w:val="00B279EE"/>
    <w:rsid w:val="00B30E1A"/>
    <w:rsid w:val="00B31099"/>
    <w:rsid w:val="00B3111D"/>
    <w:rsid w:val="00B323E1"/>
    <w:rsid w:val="00B326BC"/>
    <w:rsid w:val="00B328CF"/>
    <w:rsid w:val="00B3342C"/>
    <w:rsid w:val="00B3492C"/>
    <w:rsid w:val="00B35207"/>
    <w:rsid w:val="00B36D72"/>
    <w:rsid w:val="00B40392"/>
    <w:rsid w:val="00B40441"/>
    <w:rsid w:val="00B40AE4"/>
    <w:rsid w:val="00B41335"/>
    <w:rsid w:val="00B41FB2"/>
    <w:rsid w:val="00B4238F"/>
    <w:rsid w:val="00B4248B"/>
    <w:rsid w:val="00B42BB7"/>
    <w:rsid w:val="00B42C6A"/>
    <w:rsid w:val="00B438B9"/>
    <w:rsid w:val="00B44BF7"/>
    <w:rsid w:val="00B45695"/>
    <w:rsid w:val="00B45EB1"/>
    <w:rsid w:val="00B474D4"/>
    <w:rsid w:val="00B474F4"/>
    <w:rsid w:val="00B50947"/>
    <w:rsid w:val="00B50ECD"/>
    <w:rsid w:val="00B51A44"/>
    <w:rsid w:val="00B52149"/>
    <w:rsid w:val="00B52640"/>
    <w:rsid w:val="00B52701"/>
    <w:rsid w:val="00B52854"/>
    <w:rsid w:val="00B52E2D"/>
    <w:rsid w:val="00B539B2"/>
    <w:rsid w:val="00B53CBF"/>
    <w:rsid w:val="00B53E2D"/>
    <w:rsid w:val="00B54974"/>
    <w:rsid w:val="00B54C20"/>
    <w:rsid w:val="00B55264"/>
    <w:rsid w:val="00B5553F"/>
    <w:rsid w:val="00B56ADC"/>
    <w:rsid w:val="00B5787A"/>
    <w:rsid w:val="00B57C5D"/>
    <w:rsid w:val="00B60B61"/>
    <w:rsid w:val="00B61F88"/>
    <w:rsid w:val="00B62F90"/>
    <w:rsid w:val="00B631E8"/>
    <w:rsid w:val="00B64526"/>
    <w:rsid w:val="00B64770"/>
    <w:rsid w:val="00B64B17"/>
    <w:rsid w:val="00B653C9"/>
    <w:rsid w:val="00B65B86"/>
    <w:rsid w:val="00B65C02"/>
    <w:rsid w:val="00B65E69"/>
    <w:rsid w:val="00B6688E"/>
    <w:rsid w:val="00B66A5C"/>
    <w:rsid w:val="00B672C7"/>
    <w:rsid w:val="00B673A2"/>
    <w:rsid w:val="00B70484"/>
    <w:rsid w:val="00B70591"/>
    <w:rsid w:val="00B70F8C"/>
    <w:rsid w:val="00B719E0"/>
    <w:rsid w:val="00B719EE"/>
    <w:rsid w:val="00B71CF7"/>
    <w:rsid w:val="00B72302"/>
    <w:rsid w:val="00B72ED0"/>
    <w:rsid w:val="00B730B2"/>
    <w:rsid w:val="00B7340C"/>
    <w:rsid w:val="00B7403A"/>
    <w:rsid w:val="00B7516E"/>
    <w:rsid w:val="00B75196"/>
    <w:rsid w:val="00B75607"/>
    <w:rsid w:val="00B75B50"/>
    <w:rsid w:val="00B76653"/>
    <w:rsid w:val="00B77278"/>
    <w:rsid w:val="00B7764E"/>
    <w:rsid w:val="00B7773B"/>
    <w:rsid w:val="00B7786D"/>
    <w:rsid w:val="00B8097D"/>
    <w:rsid w:val="00B810F5"/>
    <w:rsid w:val="00B8122B"/>
    <w:rsid w:val="00B81D73"/>
    <w:rsid w:val="00B81EC8"/>
    <w:rsid w:val="00B81FB2"/>
    <w:rsid w:val="00B8277D"/>
    <w:rsid w:val="00B836F1"/>
    <w:rsid w:val="00B84918"/>
    <w:rsid w:val="00B8507A"/>
    <w:rsid w:val="00B8614A"/>
    <w:rsid w:val="00B86626"/>
    <w:rsid w:val="00B866A1"/>
    <w:rsid w:val="00B8698D"/>
    <w:rsid w:val="00B86C8E"/>
    <w:rsid w:val="00B86E18"/>
    <w:rsid w:val="00B87404"/>
    <w:rsid w:val="00B87A3B"/>
    <w:rsid w:val="00B87CCC"/>
    <w:rsid w:val="00B900C8"/>
    <w:rsid w:val="00B9075B"/>
    <w:rsid w:val="00B90BDE"/>
    <w:rsid w:val="00B91216"/>
    <w:rsid w:val="00B91222"/>
    <w:rsid w:val="00B922B6"/>
    <w:rsid w:val="00B92489"/>
    <w:rsid w:val="00B927B3"/>
    <w:rsid w:val="00B92A3B"/>
    <w:rsid w:val="00B93429"/>
    <w:rsid w:val="00B9396B"/>
    <w:rsid w:val="00B93A00"/>
    <w:rsid w:val="00B9414D"/>
    <w:rsid w:val="00B9479D"/>
    <w:rsid w:val="00B965CC"/>
    <w:rsid w:val="00B967DD"/>
    <w:rsid w:val="00B96B9F"/>
    <w:rsid w:val="00B96F3C"/>
    <w:rsid w:val="00B96F40"/>
    <w:rsid w:val="00B97277"/>
    <w:rsid w:val="00B973D2"/>
    <w:rsid w:val="00BA0E71"/>
    <w:rsid w:val="00BA0F8A"/>
    <w:rsid w:val="00BA1B61"/>
    <w:rsid w:val="00BA25A5"/>
    <w:rsid w:val="00BA262D"/>
    <w:rsid w:val="00BA2AF2"/>
    <w:rsid w:val="00BA45D4"/>
    <w:rsid w:val="00BA486F"/>
    <w:rsid w:val="00BA492D"/>
    <w:rsid w:val="00BA6CC6"/>
    <w:rsid w:val="00BA7826"/>
    <w:rsid w:val="00BA7910"/>
    <w:rsid w:val="00BB00E9"/>
    <w:rsid w:val="00BB026D"/>
    <w:rsid w:val="00BB07D5"/>
    <w:rsid w:val="00BB0DE8"/>
    <w:rsid w:val="00BB1A51"/>
    <w:rsid w:val="00BB1F80"/>
    <w:rsid w:val="00BB35EE"/>
    <w:rsid w:val="00BB40D7"/>
    <w:rsid w:val="00BB4F04"/>
    <w:rsid w:val="00BB5107"/>
    <w:rsid w:val="00BB5851"/>
    <w:rsid w:val="00BB6B5E"/>
    <w:rsid w:val="00BB792C"/>
    <w:rsid w:val="00BB7FB2"/>
    <w:rsid w:val="00BC038C"/>
    <w:rsid w:val="00BC1531"/>
    <w:rsid w:val="00BC19DF"/>
    <w:rsid w:val="00BC2613"/>
    <w:rsid w:val="00BC313B"/>
    <w:rsid w:val="00BC4197"/>
    <w:rsid w:val="00BC4ADE"/>
    <w:rsid w:val="00BC6494"/>
    <w:rsid w:val="00BC69EF"/>
    <w:rsid w:val="00BC7291"/>
    <w:rsid w:val="00BC73BE"/>
    <w:rsid w:val="00BC79EB"/>
    <w:rsid w:val="00BD0DC4"/>
    <w:rsid w:val="00BD0E85"/>
    <w:rsid w:val="00BD10D1"/>
    <w:rsid w:val="00BD1370"/>
    <w:rsid w:val="00BD1BE8"/>
    <w:rsid w:val="00BD28FD"/>
    <w:rsid w:val="00BD2B86"/>
    <w:rsid w:val="00BD38E0"/>
    <w:rsid w:val="00BD3F99"/>
    <w:rsid w:val="00BD469A"/>
    <w:rsid w:val="00BD53A8"/>
    <w:rsid w:val="00BD74F9"/>
    <w:rsid w:val="00BD78E6"/>
    <w:rsid w:val="00BE0BB3"/>
    <w:rsid w:val="00BE0CA4"/>
    <w:rsid w:val="00BE1369"/>
    <w:rsid w:val="00BE1D8B"/>
    <w:rsid w:val="00BE1FF1"/>
    <w:rsid w:val="00BE2007"/>
    <w:rsid w:val="00BE2BC6"/>
    <w:rsid w:val="00BE36C1"/>
    <w:rsid w:val="00BE3A23"/>
    <w:rsid w:val="00BE3E83"/>
    <w:rsid w:val="00BE4B02"/>
    <w:rsid w:val="00BE53F0"/>
    <w:rsid w:val="00BE6D63"/>
    <w:rsid w:val="00BE6ED5"/>
    <w:rsid w:val="00BE75AC"/>
    <w:rsid w:val="00BF0807"/>
    <w:rsid w:val="00BF0D80"/>
    <w:rsid w:val="00BF18AA"/>
    <w:rsid w:val="00BF2FAD"/>
    <w:rsid w:val="00BF3A3F"/>
    <w:rsid w:val="00BF3CDC"/>
    <w:rsid w:val="00BF3E64"/>
    <w:rsid w:val="00BF407B"/>
    <w:rsid w:val="00BF46D5"/>
    <w:rsid w:val="00BF48D9"/>
    <w:rsid w:val="00BF4C4F"/>
    <w:rsid w:val="00BF5D90"/>
    <w:rsid w:val="00BF6B82"/>
    <w:rsid w:val="00BF6E80"/>
    <w:rsid w:val="00BF70B6"/>
    <w:rsid w:val="00C0166F"/>
    <w:rsid w:val="00C01679"/>
    <w:rsid w:val="00C01A52"/>
    <w:rsid w:val="00C02604"/>
    <w:rsid w:val="00C029F9"/>
    <w:rsid w:val="00C02A43"/>
    <w:rsid w:val="00C0309A"/>
    <w:rsid w:val="00C03204"/>
    <w:rsid w:val="00C03EC5"/>
    <w:rsid w:val="00C04171"/>
    <w:rsid w:val="00C04507"/>
    <w:rsid w:val="00C04B29"/>
    <w:rsid w:val="00C04BE9"/>
    <w:rsid w:val="00C052C5"/>
    <w:rsid w:val="00C053F2"/>
    <w:rsid w:val="00C058D6"/>
    <w:rsid w:val="00C05A2A"/>
    <w:rsid w:val="00C062FF"/>
    <w:rsid w:val="00C06A17"/>
    <w:rsid w:val="00C06DC1"/>
    <w:rsid w:val="00C07332"/>
    <w:rsid w:val="00C076F2"/>
    <w:rsid w:val="00C078F4"/>
    <w:rsid w:val="00C07A5B"/>
    <w:rsid w:val="00C07BB8"/>
    <w:rsid w:val="00C100A8"/>
    <w:rsid w:val="00C10868"/>
    <w:rsid w:val="00C108AD"/>
    <w:rsid w:val="00C10B4E"/>
    <w:rsid w:val="00C1130D"/>
    <w:rsid w:val="00C11AC1"/>
    <w:rsid w:val="00C1218D"/>
    <w:rsid w:val="00C1294F"/>
    <w:rsid w:val="00C13085"/>
    <w:rsid w:val="00C13951"/>
    <w:rsid w:val="00C148CC"/>
    <w:rsid w:val="00C14B46"/>
    <w:rsid w:val="00C14C9A"/>
    <w:rsid w:val="00C172A5"/>
    <w:rsid w:val="00C17B78"/>
    <w:rsid w:val="00C204E5"/>
    <w:rsid w:val="00C20794"/>
    <w:rsid w:val="00C20A65"/>
    <w:rsid w:val="00C2130D"/>
    <w:rsid w:val="00C22038"/>
    <w:rsid w:val="00C220C8"/>
    <w:rsid w:val="00C22214"/>
    <w:rsid w:val="00C2224C"/>
    <w:rsid w:val="00C2304C"/>
    <w:rsid w:val="00C23410"/>
    <w:rsid w:val="00C23B52"/>
    <w:rsid w:val="00C24785"/>
    <w:rsid w:val="00C247EB"/>
    <w:rsid w:val="00C2487B"/>
    <w:rsid w:val="00C248F7"/>
    <w:rsid w:val="00C2515B"/>
    <w:rsid w:val="00C2529C"/>
    <w:rsid w:val="00C2556D"/>
    <w:rsid w:val="00C25B45"/>
    <w:rsid w:val="00C25B59"/>
    <w:rsid w:val="00C25BDA"/>
    <w:rsid w:val="00C2634E"/>
    <w:rsid w:val="00C26A60"/>
    <w:rsid w:val="00C27C28"/>
    <w:rsid w:val="00C30CE1"/>
    <w:rsid w:val="00C3141F"/>
    <w:rsid w:val="00C32400"/>
    <w:rsid w:val="00C324EE"/>
    <w:rsid w:val="00C3295C"/>
    <w:rsid w:val="00C32CE0"/>
    <w:rsid w:val="00C32E20"/>
    <w:rsid w:val="00C33064"/>
    <w:rsid w:val="00C34698"/>
    <w:rsid w:val="00C34B93"/>
    <w:rsid w:val="00C34CBA"/>
    <w:rsid w:val="00C34FB7"/>
    <w:rsid w:val="00C35A54"/>
    <w:rsid w:val="00C379F4"/>
    <w:rsid w:val="00C40091"/>
    <w:rsid w:val="00C40383"/>
    <w:rsid w:val="00C40685"/>
    <w:rsid w:val="00C40796"/>
    <w:rsid w:val="00C410AB"/>
    <w:rsid w:val="00C4149E"/>
    <w:rsid w:val="00C4151C"/>
    <w:rsid w:val="00C41869"/>
    <w:rsid w:val="00C4235B"/>
    <w:rsid w:val="00C424CB"/>
    <w:rsid w:val="00C425CC"/>
    <w:rsid w:val="00C4353C"/>
    <w:rsid w:val="00C43AB8"/>
    <w:rsid w:val="00C442EC"/>
    <w:rsid w:val="00C4482C"/>
    <w:rsid w:val="00C44BE4"/>
    <w:rsid w:val="00C45B45"/>
    <w:rsid w:val="00C45E28"/>
    <w:rsid w:val="00C46B70"/>
    <w:rsid w:val="00C46F2D"/>
    <w:rsid w:val="00C47034"/>
    <w:rsid w:val="00C50818"/>
    <w:rsid w:val="00C50B4C"/>
    <w:rsid w:val="00C50D16"/>
    <w:rsid w:val="00C512E1"/>
    <w:rsid w:val="00C514E1"/>
    <w:rsid w:val="00C515FC"/>
    <w:rsid w:val="00C5204F"/>
    <w:rsid w:val="00C5209F"/>
    <w:rsid w:val="00C52260"/>
    <w:rsid w:val="00C525F3"/>
    <w:rsid w:val="00C52624"/>
    <w:rsid w:val="00C52FC4"/>
    <w:rsid w:val="00C5343C"/>
    <w:rsid w:val="00C53971"/>
    <w:rsid w:val="00C53B7A"/>
    <w:rsid w:val="00C53C2A"/>
    <w:rsid w:val="00C541C6"/>
    <w:rsid w:val="00C542A9"/>
    <w:rsid w:val="00C54B13"/>
    <w:rsid w:val="00C54C4B"/>
    <w:rsid w:val="00C54E8A"/>
    <w:rsid w:val="00C54FB1"/>
    <w:rsid w:val="00C557AC"/>
    <w:rsid w:val="00C55B2E"/>
    <w:rsid w:val="00C55D4D"/>
    <w:rsid w:val="00C562D4"/>
    <w:rsid w:val="00C56F53"/>
    <w:rsid w:val="00C57777"/>
    <w:rsid w:val="00C6021C"/>
    <w:rsid w:val="00C606F9"/>
    <w:rsid w:val="00C620A8"/>
    <w:rsid w:val="00C6286F"/>
    <w:rsid w:val="00C62DB8"/>
    <w:rsid w:val="00C6329C"/>
    <w:rsid w:val="00C63B80"/>
    <w:rsid w:val="00C64124"/>
    <w:rsid w:val="00C645FC"/>
    <w:rsid w:val="00C64E8E"/>
    <w:rsid w:val="00C65D1D"/>
    <w:rsid w:val="00C66045"/>
    <w:rsid w:val="00C666FB"/>
    <w:rsid w:val="00C666FE"/>
    <w:rsid w:val="00C667AF"/>
    <w:rsid w:val="00C67994"/>
    <w:rsid w:val="00C71DB5"/>
    <w:rsid w:val="00C725F5"/>
    <w:rsid w:val="00C7320B"/>
    <w:rsid w:val="00C7471F"/>
    <w:rsid w:val="00C74DEC"/>
    <w:rsid w:val="00C7517B"/>
    <w:rsid w:val="00C7518E"/>
    <w:rsid w:val="00C751C9"/>
    <w:rsid w:val="00C7524E"/>
    <w:rsid w:val="00C761D2"/>
    <w:rsid w:val="00C76689"/>
    <w:rsid w:val="00C767E8"/>
    <w:rsid w:val="00C77019"/>
    <w:rsid w:val="00C80A5F"/>
    <w:rsid w:val="00C80F9F"/>
    <w:rsid w:val="00C82601"/>
    <w:rsid w:val="00C82B18"/>
    <w:rsid w:val="00C8495A"/>
    <w:rsid w:val="00C86421"/>
    <w:rsid w:val="00C8661A"/>
    <w:rsid w:val="00C90DD1"/>
    <w:rsid w:val="00C9120F"/>
    <w:rsid w:val="00C919EB"/>
    <w:rsid w:val="00C92A87"/>
    <w:rsid w:val="00C95A3C"/>
    <w:rsid w:val="00C95B1C"/>
    <w:rsid w:val="00C95EF0"/>
    <w:rsid w:val="00C96590"/>
    <w:rsid w:val="00C969FC"/>
    <w:rsid w:val="00C96F93"/>
    <w:rsid w:val="00C972B4"/>
    <w:rsid w:val="00C97787"/>
    <w:rsid w:val="00C9786D"/>
    <w:rsid w:val="00CA0D78"/>
    <w:rsid w:val="00CA15F2"/>
    <w:rsid w:val="00CA289B"/>
    <w:rsid w:val="00CA2B51"/>
    <w:rsid w:val="00CA3CDF"/>
    <w:rsid w:val="00CA42A0"/>
    <w:rsid w:val="00CA532B"/>
    <w:rsid w:val="00CA5366"/>
    <w:rsid w:val="00CA5471"/>
    <w:rsid w:val="00CA5D38"/>
    <w:rsid w:val="00CA63BC"/>
    <w:rsid w:val="00CA7B9C"/>
    <w:rsid w:val="00CB0744"/>
    <w:rsid w:val="00CB0C81"/>
    <w:rsid w:val="00CB2570"/>
    <w:rsid w:val="00CB27A8"/>
    <w:rsid w:val="00CB2DD1"/>
    <w:rsid w:val="00CB3FBB"/>
    <w:rsid w:val="00CB4B4C"/>
    <w:rsid w:val="00CB4F0D"/>
    <w:rsid w:val="00CB5C0D"/>
    <w:rsid w:val="00CB5DA4"/>
    <w:rsid w:val="00CB694E"/>
    <w:rsid w:val="00CB6D12"/>
    <w:rsid w:val="00CB78E1"/>
    <w:rsid w:val="00CB7A27"/>
    <w:rsid w:val="00CC02E4"/>
    <w:rsid w:val="00CC03EA"/>
    <w:rsid w:val="00CC0D2B"/>
    <w:rsid w:val="00CC0D74"/>
    <w:rsid w:val="00CC195C"/>
    <w:rsid w:val="00CC1A85"/>
    <w:rsid w:val="00CC1D1A"/>
    <w:rsid w:val="00CC1FE2"/>
    <w:rsid w:val="00CC2049"/>
    <w:rsid w:val="00CC24D0"/>
    <w:rsid w:val="00CC2654"/>
    <w:rsid w:val="00CC579F"/>
    <w:rsid w:val="00CC69A9"/>
    <w:rsid w:val="00CC6C01"/>
    <w:rsid w:val="00CC70CC"/>
    <w:rsid w:val="00CC728C"/>
    <w:rsid w:val="00CC7717"/>
    <w:rsid w:val="00CD0074"/>
    <w:rsid w:val="00CD206F"/>
    <w:rsid w:val="00CD2E55"/>
    <w:rsid w:val="00CD4291"/>
    <w:rsid w:val="00CD532C"/>
    <w:rsid w:val="00CD7EA9"/>
    <w:rsid w:val="00CD7F80"/>
    <w:rsid w:val="00CE010B"/>
    <w:rsid w:val="00CE041D"/>
    <w:rsid w:val="00CE169E"/>
    <w:rsid w:val="00CE196C"/>
    <w:rsid w:val="00CE2365"/>
    <w:rsid w:val="00CE2A94"/>
    <w:rsid w:val="00CE3236"/>
    <w:rsid w:val="00CE39AE"/>
    <w:rsid w:val="00CE3CE3"/>
    <w:rsid w:val="00CE3E83"/>
    <w:rsid w:val="00CE5269"/>
    <w:rsid w:val="00CE56ED"/>
    <w:rsid w:val="00CE6005"/>
    <w:rsid w:val="00CE689A"/>
    <w:rsid w:val="00CE7133"/>
    <w:rsid w:val="00CE7182"/>
    <w:rsid w:val="00CE786D"/>
    <w:rsid w:val="00CF008F"/>
    <w:rsid w:val="00CF0D35"/>
    <w:rsid w:val="00CF1263"/>
    <w:rsid w:val="00CF14A5"/>
    <w:rsid w:val="00CF27D9"/>
    <w:rsid w:val="00CF2C1B"/>
    <w:rsid w:val="00CF3775"/>
    <w:rsid w:val="00CF3CF0"/>
    <w:rsid w:val="00CF5421"/>
    <w:rsid w:val="00CF5576"/>
    <w:rsid w:val="00CF71DB"/>
    <w:rsid w:val="00CF72CD"/>
    <w:rsid w:val="00CF7352"/>
    <w:rsid w:val="00CF74FC"/>
    <w:rsid w:val="00CF755F"/>
    <w:rsid w:val="00CF76E3"/>
    <w:rsid w:val="00CF7D02"/>
    <w:rsid w:val="00D00856"/>
    <w:rsid w:val="00D01B85"/>
    <w:rsid w:val="00D01E34"/>
    <w:rsid w:val="00D024E7"/>
    <w:rsid w:val="00D02751"/>
    <w:rsid w:val="00D033E3"/>
    <w:rsid w:val="00D035B6"/>
    <w:rsid w:val="00D039B0"/>
    <w:rsid w:val="00D041E4"/>
    <w:rsid w:val="00D04961"/>
    <w:rsid w:val="00D04BE1"/>
    <w:rsid w:val="00D05625"/>
    <w:rsid w:val="00D05788"/>
    <w:rsid w:val="00D06BE0"/>
    <w:rsid w:val="00D06CDB"/>
    <w:rsid w:val="00D078D7"/>
    <w:rsid w:val="00D07BAC"/>
    <w:rsid w:val="00D10549"/>
    <w:rsid w:val="00D10F84"/>
    <w:rsid w:val="00D119B4"/>
    <w:rsid w:val="00D11EA8"/>
    <w:rsid w:val="00D12F92"/>
    <w:rsid w:val="00D13CC1"/>
    <w:rsid w:val="00D15286"/>
    <w:rsid w:val="00D16BA2"/>
    <w:rsid w:val="00D20582"/>
    <w:rsid w:val="00D22937"/>
    <w:rsid w:val="00D22B2A"/>
    <w:rsid w:val="00D22F33"/>
    <w:rsid w:val="00D23134"/>
    <w:rsid w:val="00D24131"/>
    <w:rsid w:val="00D24DDB"/>
    <w:rsid w:val="00D25C25"/>
    <w:rsid w:val="00D25EC2"/>
    <w:rsid w:val="00D25ECA"/>
    <w:rsid w:val="00D270A8"/>
    <w:rsid w:val="00D27AE0"/>
    <w:rsid w:val="00D27DD6"/>
    <w:rsid w:val="00D27F76"/>
    <w:rsid w:val="00D309F6"/>
    <w:rsid w:val="00D315BA"/>
    <w:rsid w:val="00D315DD"/>
    <w:rsid w:val="00D31BB3"/>
    <w:rsid w:val="00D31F1A"/>
    <w:rsid w:val="00D32B57"/>
    <w:rsid w:val="00D33786"/>
    <w:rsid w:val="00D3444E"/>
    <w:rsid w:val="00D347EF"/>
    <w:rsid w:val="00D34820"/>
    <w:rsid w:val="00D34DFE"/>
    <w:rsid w:val="00D35380"/>
    <w:rsid w:val="00D3538A"/>
    <w:rsid w:val="00D35A50"/>
    <w:rsid w:val="00D366F9"/>
    <w:rsid w:val="00D36BC0"/>
    <w:rsid w:val="00D36D90"/>
    <w:rsid w:val="00D3750B"/>
    <w:rsid w:val="00D3796A"/>
    <w:rsid w:val="00D37EFA"/>
    <w:rsid w:val="00D4025B"/>
    <w:rsid w:val="00D408E2"/>
    <w:rsid w:val="00D41C55"/>
    <w:rsid w:val="00D421A2"/>
    <w:rsid w:val="00D4228E"/>
    <w:rsid w:val="00D4243C"/>
    <w:rsid w:val="00D42F53"/>
    <w:rsid w:val="00D447E5"/>
    <w:rsid w:val="00D44D32"/>
    <w:rsid w:val="00D45324"/>
    <w:rsid w:val="00D456FA"/>
    <w:rsid w:val="00D46B44"/>
    <w:rsid w:val="00D515AA"/>
    <w:rsid w:val="00D51744"/>
    <w:rsid w:val="00D51C98"/>
    <w:rsid w:val="00D523F1"/>
    <w:rsid w:val="00D53B52"/>
    <w:rsid w:val="00D53D2D"/>
    <w:rsid w:val="00D54154"/>
    <w:rsid w:val="00D548F8"/>
    <w:rsid w:val="00D54AB4"/>
    <w:rsid w:val="00D5535C"/>
    <w:rsid w:val="00D56773"/>
    <w:rsid w:val="00D5776F"/>
    <w:rsid w:val="00D57778"/>
    <w:rsid w:val="00D60A68"/>
    <w:rsid w:val="00D6168F"/>
    <w:rsid w:val="00D616E7"/>
    <w:rsid w:val="00D61815"/>
    <w:rsid w:val="00D6269F"/>
    <w:rsid w:val="00D63074"/>
    <w:rsid w:val="00D637E0"/>
    <w:rsid w:val="00D64A67"/>
    <w:rsid w:val="00D64F4D"/>
    <w:rsid w:val="00D64F86"/>
    <w:rsid w:val="00D652A5"/>
    <w:rsid w:val="00D655B3"/>
    <w:rsid w:val="00D65BF6"/>
    <w:rsid w:val="00D65C76"/>
    <w:rsid w:val="00D6741E"/>
    <w:rsid w:val="00D675FE"/>
    <w:rsid w:val="00D67FB5"/>
    <w:rsid w:val="00D701CD"/>
    <w:rsid w:val="00D701FC"/>
    <w:rsid w:val="00D70915"/>
    <w:rsid w:val="00D70EE3"/>
    <w:rsid w:val="00D71428"/>
    <w:rsid w:val="00D716F7"/>
    <w:rsid w:val="00D717BC"/>
    <w:rsid w:val="00D71A2E"/>
    <w:rsid w:val="00D72259"/>
    <w:rsid w:val="00D7236F"/>
    <w:rsid w:val="00D72CFE"/>
    <w:rsid w:val="00D72FBD"/>
    <w:rsid w:val="00D73590"/>
    <w:rsid w:val="00D73A99"/>
    <w:rsid w:val="00D73E35"/>
    <w:rsid w:val="00D74606"/>
    <w:rsid w:val="00D74C4D"/>
    <w:rsid w:val="00D75B0C"/>
    <w:rsid w:val="00D76186"/>
    <w:rsid w:val="00D765E6"/>
    <w:rsid w:val="00D7697F"/>
    <w:rsid w:val="00D77B24"/>
    <w:rsid w:val="00D802B2"/>
    <w:rsid w:val="00D805F9"/>
    <w:rsid w:val="00D813C1"/>
    <w:rsid w:val="00D8205C"/>
    <w:rsid w:val="00D84350"/>
    <w:rsid w:val="00D844EF"/>
    <w:rsid w:val="00D84965"/>
    <w:rsid w:val="00D84E26"/>
    <w:rsid w:val="00D84F3E"/>
    <w:rsid w:val="00D85BB6"/>
    <w:rsid w:val="00D85D4D"/>
    <w:rsid w:val="00D86671"/>
    <w:rsid w:val="00D86BAA"/>
    <w:rsid w:val="00D871A8"/>
    <w:rsid w:val="00D8732A"/>
    <w:rsid w:val="00D87946"/>
    <w:rsid w:val="00D87BC0"/>
    <w:rsid w:val="00D9090E"/>
    <w:rsid w:val="00D91271"/>
    <w:rsid w:val="00D9174C"/>
    <w:rsid w:val="00D9240E"/>
    <w:rsid w:val="00D924A5"/>
    <w:rsid w:val="00D93059"/>
    <w:rsid w:val="00D932F6"/>
    <w:rsid w:val="00D93531"/>
    <w:rsid w:val="00D95039"/>
    <w:rsid w:val="00D958EA"/>
    <w:rsid w:val="00D95967"/>
    <w:rsid w:val="00D96567"/>
    <w:rsid w:val="00D96AA7"/>
    <w:rsid w:val="00D96F87"/>
    <w:rsid w:val="00D97793"/>
    <w:rsid w:val="00DA011A"/>
    <w:rsid w:val="00DA063D"/>
    <w:rsid w:val="00DA09D7"/>
    <w:rsid w:val="00DA1476"/>
    <w:rsid w:val="00DA1598"/>
    <w:rsid w:val="00DA15C4"/>
    <w:rsid w:val="00DA1C5A"/>
    <w:rsid w:val="00DA2169"/>
    <w:rsid w:val="00DA2B9C"/>
    <w:rsid w:val="00DA2EB4"/>
    <w:rsid w:val="00DA2F73"/>
    <w:rsid w:val="00DA4101"/>
    <w:rsid w:val="00DA42E8"/>
    <w:rsid w:val="00DA4A53"/>
    <w:rsid w:val="00DA5D46"/>
    <w:rsid w:val="00DA7BEB"/>
    <w:rsid w:val="00DB0760"/>
    <w:rsid w:val="00DB0DE2"/>
    <w:rsid w:val="00DB114A"/>
    <w:rsid w:val="00DB1392"/>
    <w:rsid w:val="00DB17B7"/>
    <w:rsid w:val="00DB17C5"/>
    <w:rsid w:val="00DB1D00"/>
    <w:rsid w:val="00DB1D26"/>
    <w:rsid w:val="00DB1D29"/>
    <w:rsid w:val="00DB270E"/>
    <w:rsid w:val="00DB2C2B"/>
    <w:rsid w:val="00DB2CEA"/>
    <w:rsid w:val="00DB3458"/>
    <w:rsid w:val="00DB37A0"/>
    <w:rsid w:val="00DB3BD9"/>
    <w:rsid w:val="00DB4A10"/>
    <w:rsid w:val="00DB4CD9"/>
    <w:rsid w:val="00DB54B1"/>
    <w:rsid w:val="00DB581C"/>
    <w:rsid w:val="00DB6312"/>
    <w:rsid w:val="00DB660D"/>
    <w:rsid w:val="00DB6E42"/>
    <w:rsid w:val="00DB71BC"/>
    <w:rsid w:val="00DB72CC"/>
    <w:rsid w:val="00DB748D"/>
    <w:rsid w:val="00DC0019"/>
    <w:rsid w:val="00DC018B"/>
    <w:rsid w:val="00DC05B9"/>
    <w:rsid w:val="00DC0795"/>
    <w:rsid w:val="00DC0F3D"/>
    <w:rsid w:val="00DC193F"/>
    <w:rsid w:val="00DC1A83"/>
    <w:rsid w:val="00DC21D9"/>
    <w:rsid w:val="00DC2321"/>
    <w:rsid w:val="00DC23F0"/>
    <w:rsid w:val="00DC2893"/>
    <w:rsid w:val="00DC30CF"/>
    <w:rsid w:val="00DC36D5"/>
    <w:rsid w:val="00DC3C4F"/>
    <w:rsid w:val="00DC41CF"/>
    <w:rsid w:val="00DC462F"/>
    <w:rsid w:val="00DC4DBE"/>
    <w:rsid w:val="00DC5CDC"/>
    <w:rsid w:val="00DC600B"/>
    <w:rsid w:val="00DC7081"/>
    <w:rsid w:val="00DC7486"/>
    <w:rsid w:val="00DC782F"/>
    <w:rsid w:val="00DD02F3"/>
    <w:rsid w:val="00DD0398"/>
    <w:rsid w:val="00DD0453"/>
    <w:rsid w:val="00DD071D"/>
    <w:rsid w:val="00DD156F"/>
    <w:rsid w:val="00DD1805"/>
    <w:rsid w:val="00DD1C66"/>
    <w:rsid w:val="00DD1D64"/>
    <w:rsid w:val="00DD27B1"/>
    <w:rsid w:val="00DD37FF"/>
    <w:rsid w:val="00DD54FE"/>
    <w:rsid w:val="00DD5D07"/>
    <w:rsid w:val="00DD601F"/>
    <w:rsid w:val="00DD6325"/>
    <w:rsid w:val="00DD6767"/>
    <w:rsid w:val="00DD6D4E"/>
    <w:rsid w:val="00DD752D"/>
    <w:rsid w:val="00DD7BAA"/>
    <w:rsid w:val="00DE01BB"/>
    <w:rsid w:val="00DE074C"/>
    <w:rsid w:val="00DE1776"/>
    <w:rsid w:val="00DE1A27"/>
    <w:rsid w:val="00DE1E17"/>
    <w:rsid w:val="00DE1F9D"/>
    <w:rsid w:val="00DE25BE"/>
    <w:rsid w:val="00DE2677"/>
    <w:rsid w:val="00DE2C6F"/>
    <w:rsid w:val="00DE2F25"/>
    <w:rsid w:val="00DE2FC0"/>
    <w:rsid w:val="00DE3605"/>
    <w:rsid w:val="00DE373D"/>
    <w:rsid w:val="00DE3D9A"/>
    <w:rsid w:val="00DE6FCC"/>
    <w:rsid w:val="00DE74E9"/>
    <w:rsid w:val="00DE7848"/>
    <w:rsid w:val="00DE7BBE"/>
    <w:rsid w:val="00DF14E6"/>
    <w:rsid w:val="00DF164A"/>
    <w:rsid w:val="00DF176D"/>
    <w:rsid w:val="00DF264B"/>
    <w:rsid w:val="00DF2AD6"/>
    <w:rsid w:val="00DF2DCE"/>
    <w:rsid w:val="00DF36CD"/>
    <w:rsid w:val="00DF376F"/>
    <w:rsid w:val="00DF53B7"/>
    <w:rsid w:val="00DF54AF"/>
    <w:rsid w:val="00DF5DA7"/>
    <w:rsid w:val="00DF5FA4"/>
    <w:rsid w:val="00DF6150"/>
    <w:rsid w:val="00DF61B0"/>
    <w:rsid w:val="00DF632A"/>
    <w:rsid w:val="00DF63F3"/>
    <w:rsid w:val="00DF6731"/>
    <w:rsid w:val="00DF6971"/>
    <w:rsid w:val="00DF74D7"/>
    <w:rsid w:val="00DF767C"/>
    <w:rsid w:val="00DF7A5D"/>
    <w:rsid w:val="00E00015"/>
    <w:rsid w:val="00E00279"/>
    <w:rsid w:val="00E003E7"/>
    <w:rsid w:val="00E0047C"/>
    <w:rsid w:val="00E006C0"/>
    <w:rsid w:val="00E00C93"/>
    <w:rsid w:val="00E014AF"/>
    <w:rsid w:val="00E01C54"/>
    <w:rsid w:val="00E02B6B"/>
    <w:rsid w:val="00E03013"/>
    <w:rsid w:val="00E0473E"/>
    <w:rsid w:val="00E0525D"/>
    <w:rsid w:val="00E06709"/>
    <w:rsid w:val="00E06C35"/>
    <w:rsid w:val="00E06FAD"/>
    <w:rsid w:val="00E07810"/>
    <w:rsid w:val="00E133B3"/>
    <w:rsid w:val="00E1415A"/>
    <w:rsid w:val="00E148AA"/>
    <w:rsid w:val="00E14CA2"/>
    <w:rsid w:val="00E15676"/>
    <w:rsid w:val="00E169C5"/>
    <w:rsid w:val="00E173F3"/>
    <w:rsid w:val="00E206EA"/>
    <w:rsid w:val="00E20759"/>
    <w:rsid w:val="00E21BF4"/>
    <w:rsid w:val="00E222E7"/>
    <w:rsid w:val="00E22395"/>
    <w:rsid w:val="00E227C2"/>
    <w:rsid w:val="00E22FC0"/>
    <w:rsid w:val="00E23427"/>
    <w:rsid w:val="00E234D8"/>
    <w:rsid w:val="00E23640"/>
    <w:rsid w:val="00E236A2"/>
    <w:rsid w:val="00E23806"/>
    <w:rsid w:val="00E23C31"/>
    <w:rsid w:val="00E243DF"/>
    <w:rsid w:val="00E24EBD"/>
    <w:rsid w:val="00E24FA3"/>
    <w:rsid w:val="00E25165"/>
    <w:rsid w:val="00E258C3"/>
    <w:rsid w:val="00E25EF1"/>
    <w:rsid w:val="00E266C0"/>
    <w:rsid w:val="00E2691F"/>
    <w:rsid w:val="00E27DB9"/>
    <w:rsid w:val="00E301BB"/>
    <w:rsid w:val="00E3020A"/>
    <w:rsid w:val="00E30C2D"/>
    <w:rsid w:val="00E30F1C"/>
    <w:rsid w:val="00E31F6E"/>
    <w:rsid w:val="00E3225E"/>
    <w:rsid w:val="00E322E6"/>
    <w:rsid w:val="00E323D1"/>
    <w:rsid w:val="00E325D6"/>
    <w:rsid w:val="00E326B1"/>
    <w:rsid w:val="00E328CD"/>
    <w:rsid w:val="00E32F57"/>
    <w:rsid w:val="00E33F03"/>
    <w:rsid w:val="00E3415A"/>
    <w:rsid w:val="00E353CC"/>
    <w:rsid w:val="00E357A5"/>
    <w:rsid w:val="00E35BC6"/>
    <w:rsid w:val="00E36171"/>
    <w:rsid w:val="00E36185"/>
    <w:rsid w:val="00E36468"/>
    <w:rsid w:val="00E37469"/>
    <w:rsid w:val="00E3766A"/>
    <w:rsid w:val="00E376E0"/>
    <w:rsid w:val="00E37E4A"/>
    <w:rsid w:val="00E40F94"/>
    <w:rsid w:val="00E41051"/>
    <w:rsid w:val="00E4198F"/>
    <w:rsid w:val="00E41A1B"/>
    <w:rsid w:val="00E42351"/>
    <w:rsid w:val="00E42CC5"/>
    <w:rsid w:val="00E43813"/>
    <w:rsid w:val="00E43F4A"/>
    <w:rsid w:val="00E44223"/>
    <w:rsid w:val="00E4579C"/>
    <w:rsid w:val="00E45954"/>
    <w:rsid w:val="00E45D6D"/>
    <w:rsid w:val="00E46008"/>
    <w:rsid w:val="00E463B0"/>
    <w:rsid w:val="00E46B34"/>
    <w:rsid w:val="00E46F4B"/>
    <w:rsid w:val="00E471BD"/>
    <w:rsid w:val="00E47FC0"/>
    <w:rsid w:val="00E51016"/>
    <w:rsid w:val="00E518B6"/>
    <w:rsid w:val="00E51F75"/>
    <w:rsid w:val="00E52E57"/>
    <w:rsid w:val="00E53177"/>
    <w:rsid w:val="00E532C4"/>
    <w:rsid w:val="00E537E0"/>
    <w:rsid w:val="00E54439"/>
    <w:rsid w:val="00E55664"/>
    <w:rsid w:val="00E568A2"/>
    <w:rsid w:val="00E570BE"/>
    <w:rsid w:val="00E57705"/>
    <w:rsid w:val="00E601B8"/>
    <w:rsid w:val="00E60916"/>
    <w:rsid w:val="00E6099E"/>
    <w:rsid w:val="00E60D57"/>
    <w:rsid w:val="00E61CA3"/>
    <w:rsid w:val="00E629B0"/>
    <w:rsid w:val="00E634F3"/>
    <w:rsid w:val="00E63C8B"/>
    <w:rsid w:val="00E6418C"/>
    <w:rsid w:val="00E64361"/>
    <w:rsid w:val="00E644A0"/>
    <w:rsid w:val="00E64688"/>
    <w:rsid w:val="00E653B0"/>
    <w:rsid w:val="00E6689A"/>
    <w:rsid w:val="00E66B4D"/>
    <w:rsid w:val="00E6752F"/>
    <w:rsid w:val="00E67631"/>
    <w:rsid w:val="00E67AE7"/>
    <w:rsid w:val="00E70015"/>
    <w:rsid w:val="00E70C2F"/>
    <w:rsid w:val="00E70DAB"/>
    <w:rsid w:val="00E70FEF"/>
    <w:rsid w:val="00E719AB"/>
    <w:rsid w:val="00E719DD"/>
    <w:rsid w:val="00E71C65"/>
    <w:rsid w:val="00E725B2"/>
    <w:rsid w:val="00E72695"/>
    <w:rsid w:val="00E728FA"/>
    <w:rsid w:val="00E7464B"/>
    <w:rsid w:val="00E74B01"/>
    <w:rsid w:val="00E75B5F"/>
    <w:rsid w:val="00E75D90"/>
    <w:rsid w:val="00E77CE7"/>
    <w:rsid w:val="00E80867"/>
    <w:rsid w:val="00E80A0C"/>
    <w:rsid w:val="00E81170"/>
    <w:rsid w:val="00E814D5"/>
    <w:rsid w:val="00E82557"/>
    <w:rsid w:val="00E826AD"/>
    <w:rsid w:val="00E835AF"/>
    <w:rsid w:val="00E84964"/>
    <w:rsid w:val="00E84DA8"/>
    <w:rsid w:val="00E85132"/>
    <w:rsid w:val="00E8563A"/>
    <w:rsid w:val="00E856CC"/>
    <w:rsid w:val="00E8574C"/>
    <w:rsid w:val="00E85775"/>
    <w:rsid w:val="00E859E5"/>
    <w:rsid w:val="00E862F3"/>
    <w:rsid w:val="00E8679B"/>
    <w:rsid w:val="00E86B81"/>
    <w:rsid w:val="00E877F6"/>
    <w:rsid w:val="00E90383"/>
    <w:rsid w:val="00E9068A"/>
    <w:rsid w:val="00E9228E"/>
    <w:rsid w:val="00E9252B"/>
    <w:rsid w:val="00E92A17"/>
    <w:rsid w:val="00E9431E"/>
    <w:rsid w:val="00E94335"/>
    <w:rsid w:val="00E94923"/>
    <w:rsid w:val="00E94ADA"/>
    <w:rsid w:val="00E95409"/>
    <w:rsid w:val="00E95D79"/>
    <w:rsid w:val="00E9622E"/>
    <w:rsid w:val="00E96623"/>
    <w:rsid w:val="00E967A9"/>
    <w:rsid w:val="00E96EB3"/>
    <w:rsid w:val="00E972C2"/>
    <w:rsid w:val="00E97B41"/>
    <w:rsid w:val="00E97C26"/>
    <w:rsid w:val="00E97EF8"/>
    <w:rsid w:val="00EA0B26"/>
    <w:rsid w:val="00EA15C5"/>
    <w:rsid w:val="00EA1A51"/>
    <w:rsid w:val="00EA2C48"/>
    <w:rsid w:val="00EA2FC7"/>
    <w:rsid w:val="00EA3757"/>
    <w:rsid w:val="00EA3D37"/>
    <w:rsid w:val="00EA4489"/>
    <w:rsid w:val="00EA4560"/>
    <w:rsid w:val="00EA47E6"/>
    <w:rsid w:val="00EA59ED"/>
    <w:rsid w:val="00EA6059"/>
    <w:rsid w:val="00EB0785"/>
    <w:rsid w:val="00EB1020"/>
    <w:rsid w:val="00EB1396"/>
    <w:rsid w:val="00EB265A"/>
    <w:rsid w:val="00EB27C5"/>
    <w:rsid w:val="00EB33F1"/>
    <w:rsid w:val="00EB48D4"/>
    <w:rsid w:val="00EB4C5E"/>
    <w:rsid w:val="00EB4E44"/>
    <w:rsid w:val="00EB4FE5"/>
    <w:rsid w:val="00EB5140"/>
    <w:rsid w:val="00EB5880"/>
    <w:rsid w:val="00EB5BC8"/>
    <w:rsid w:val="00EB5DF3"/>
    <w:rsid w:val="00EB6261"/>
    <w:rsid w:val="00EB63EA"/>
    <w:rsid w:val="00EB6460"/>
    <w:rsid w:val="00EB64EB"/>
    <w:rsid w:val="00EB681F"/>
    <w:rsid w:val="00EB68E2"/>
    <w:rsid w:val="00EC030A"/>
    <w:rsid w:val="00EC04CC"/>
    <w:rsid w:val="00EC09FE"/>
    <w:rsid w:val="00EC0B42"/>
    <w:rsid w:val="00EC10F8"/>
    <w:rsid w:val="00EC25EA"/>
    <w:rsid w:val="00EC2957"/>
    <w:rsid w:val="00EC2BDB"/>
    <w:rsid w:val="00EC33FC"/>
    <w:rsid w:val="00EC351A"/>
    <w:rsid w:val="00EC353B"/>
    <w:rsid w:val="00EC4A06"/>
    <w:rsid w:val="00EC4E7C"/>
    <w:rsid w:val="00EC53DA"/>
    <w:rsid w:val="00EC54D5"/>
    <w:rsid w:val="00EC55C3"/>
    <w:rsid w:val="00EC575B"/>
    <w:rsid w:val="00EC585C"/>
    <w:rsid w:val="00EC5D42"/>
    <w:rsid w:val="00EC6073"/>
    <w:rsid w:val="00EC7A80"/>
    <w:rsid w:val="00EC7B44"/>
    <w:rsid w:val="00ED04B3"/>
    <w:rsid w:val="00ED168A"/>
    <w:rsid w:val="00ED1760"/>
    <w:rsid w:val="00ED26F8"/>
    <w:rsid w:val="00ED2819"/>
    <w:rsid w:val="00ED29F9"/>
    <w:rsid w:val="00ED40BB"/>
    <w:rsid w:val="00ED4187"/>
    <w:rsid w:val="00ED6A82"/>
    <w:rsid w:val="00ED6BB7"/>
    <w:rsid w:val="00ED6FE7"/>
    <w:rsid w:val="00ED758E"/>
    <w:rsid w:val="00ED77EF"/>
    <w:rsid w:val="00ED7B01"/>
    <w:rsid w:val="00ED7E1C"/>
    <w:rsid w:val="00EE02EA"/>
    <w:rsid w:val="00EE09B7"/>
    <w:rsid w:val="00EE0D89"/>
    <w:rsid w:val="00EE1513"/>
    <w:rsid w:val="00EE174E"/>
    <w:rsid w:val="00EE1EFF"/>
    <w:rsid w:val="00EE2941"/>
    <w:rsid w:val="00EE3437"/>
    <w:rsid w:val="00EE3C5D"/>
    <w:rsid w:val="00EE3FA6"/>
    <w:rsid w:val="00EE44D7"/>
    <w:rsid w:val="00EE5F30"/>
    <w:rsid w:val="00EE664F"/>
    <w:rsid w:val="00EE6DE7"/>
    <w:rsid w:val="00EE7223"/>
    <w:rsid w:val="00EE75CB"/>
    <w:rsid w:val="00EE7736"/>
    <w:rsid w:val="00EE7AF4"/>
    <w:rsid w:val="00EE7D13"/>
    <w:rsid w:val="00EE7EFD"/>
    <w:rsid w:val="00EF0C28"/>
    <w:rsid w:val="00EF174C"/>
    <w:rsid w:val="00EF2187"/>
    <w:rsid w:val="00EF21C9"/>
    <w:rsid w:val="00EF360E"/>
    <w:rsid w:val="00EF47A2"/>
    <w:rsid w:val="00EF5DD8"/>
    <w:rsid w:val="00EF637B"/>
    <w:rsid w:val="00EF63F0"/>
    <w:rsid w:val="00EF6B22"/>
    <w:rsid w:val="00EF72DE"/>
    <w:rsid w:val="00EF730B"/>
    <w:rsid w:val="00EF75D5"/>
    <w:rsid w:val="00EF76AC"/>
    <w:rsid w:val="00EF799B"/>
    <w:rsid w:val="00EF7FA2"/>
    <w:rsid w:val="00F004C2"/>
    <w:rsid w:val="00F00535"/>
    <w:rsid w:val="00F00CFF"/>
    <w:rsid w:val="00F01382"/>
    <w:rsid w:val="00F02A58"/>
    <w:rsid w:val="00F02BE1"/>
    <w:rsid w:val="00F02C16"/>
    <w:rsid w:val="00F03541"/>
    <w:rsid w:val="00F047DD"/>
    <w:rsid w:val="00F0484A"/>
    <w:rsid w:val="00F04C23"/>
    <w:rsid w:val="00F06C44"/>
    <w:rsid w:val="00F06F3C"/>
    <w:rsid w:val="00F079BF"/>
    <w:rsid w:val="00F100DF"/>
    <w:rsid w:val="00F10490"/>
    <w:rsid w:val="00F11726"/>
    <w:rsid w:val="00F11F8C"/>
    <w:rsid w:val="00F12B33"/>
    <w:rsid w:val="00F135A8"/>
    <w:rsid w:val="00F13ED5"/>
    <w:rsid w:val="00F14188"/>
    <w:rsid w:val="00F14C6D"/>
    <w:rsid w:val="00F14D4C"/>
    <w:rsid w:val="00F14F86"/>
    <w:rsid w:val="00F158F7"/>
    <w:rsid w:val="00F15910"/>
    <w:rsid w:val="00F15AB3"/>
    <w:rsid w:val="00F15D00"/>
    <w:rsid w:val="00F1664B"/>
    <w:rsid w:val="00F167C5"/>
    <w:rsid w:val="00F16A79"/>
    <w:rsid w:val="00F17365"/>
    <w:rsid w:val="00F17380"/>
    <w:rsid w:val="00F205D5"/>
    <w:rsid w:val="00F20D3D"/>
    <w:rsid w:val="00F21F90"/>
    <w:rsid w:val="00F23639"/>
    <w:rsid w:val="00F238DA"/>
    <w:rsid w:val="00F239FE"/>
    <w:rsid w:val="00F23E11"/>
    <w:rsid w:val="00F23ED9"/>
    <w:rsid w:val="00F2423B"/>
    <w:rsid w:val="00F24317"/>
    <w:rsid w:val="00F247D7"/>
    <w:rsid w:val="00F24829"/>
    <w:rsid w:val="00F24A76"/>
    <w:rsid w:val="00F24BC7"/>
    <w:rsid w:val="00F25760"/>
    <w:rsid w:val="00F25878"/>
    <w:rsid w:val="00F25C9D"/>
    <w:rsid w:val="00F26F3E"/>
    <w:rsid w:val="00F27C55"/>
    <w:rsid w:val="00F303E8"/>
    <w:rsid w:val="00F3073F"/>
    <w:rsid w:val="00F30F1D"/>
    <w:rsid w:val="00F3100E"/>
    <w:rsid w:val="00F31150"/>
    <w:rsid w:val="00F31A91"/>
    <w:rsid w:val="00F32318"/>
    <w:rsid w:val="00F323DE"/>
    <w:rsid w:val="00F32E11"/>
    <w:rsid w:val="00F338F0"/>
    <w:rsid w:val="00F34112"/>
    <w:rsid w:val="00F34898"/>
    <w:rsid w:val="00F348B2"/>
    <w:rsid w:val="00F34F4F"/>
    <w:rsid w:val="00F35048"/>
    <w:rsid w:val="00F35990"/>
    <w:rsid w:val="00F359F6"/>
    <w:rsid w:val="00F35EFE"/>
    <w:rsid w:val="00F36193"/>
    <w:rsid w:val="00F363D5"/>
    <w:rsid w:val="00F36888"/>
    <w:rsid w:val="00F3726C"/>
    <w:rsid w:val="00F37A6A"/>
    <w:rsid w:val="00F40B4D"/>
    <w:rsid w:val="00F41182"/>
    <w:rsid w:val="00F4147B"/>
    <w:rsid w:val="00F42F27"/>
    <w:rsid w:val="00F4330E"/>
    <w:rsid w:val="00F4420C"/>
    <w:rsid w:val="00F44C7F"/>
    <w:rsid w:val="00F44CBD"/>
    <w:rsid w:val="00F456C7"/>
    <w:rsid w:val="00F465BA"/>
    <w:rsid w:val="00F471E7"/>
    <w:rsid w:val="00F47F7D"/>
    <w:rsid w:val="00F506AF"/>
    <w:rsid w:val="00F51A04"/>
    <w:rsid w:val="00F52642"/>
    <w:rsid w:val="00F52A37"/>
    <w:rsid w:val="00F54158"/>
    <w:rsid w:val="00F54FA6"/>
    <w:rsid w:val="00F5578B"/>
    <w:rsid w:val="00F55BDD"/>
    <w:rsid w:val="00F55C63"/>
    <w:rsid w:val="00F56B7C"/>
    <w:rsid w:val="00F57EED"/>
    <w:rsid w:val="00F602D4"/>
    <w:rsid w:val="00F610AB"/>
    <w:rsid w:val="00F616DA"/>
    <w:rsid w:val="00F61DFA"/>
    <w:rsid w:val="00F62BC2"/>
    <w:rsid w:val="00F6322C"/>
    <w:rsid w:val="00F636BE"/>
    <w:rsid w:val="00F65149"/>
    <w:rsid w:val="00F652B0"/>
    <w:rsid w:val="00F65793"/>
    <w:rsid w:val="00F66AF8"/>
    <w:rsid w:val="00F677D5"/>
    <w:rsid w:val="00F67BD0"/>
    <w:rsid w:val="00F70DB9"/>
    <w:rsid w:val="00F70EE6"/>
    <w:rsid w:val="00F71A6E"/>
    <w:rsid w:val="00F727DF"/>
    <w:rsid w:val="00F72D79"/>
    <w:rsid w:val="00F7311E"/>
    <w:rsid w:val="00F731F8"/>
    <w:rsid w:val="00F73FD6"/>
    <w:rsid w:val="00F74423"/>
    <w:rsid w:val="00F751F7"/>
    <w:rsid w:val="00F75530"/>
    <w:rsid w:val="00F75FCD"/>
    <w:rsid w:val="00F7629A"/>
    <w:rsid w:val="00F76663"/>
    <w:rsid w:val="00F77276"/>
    <w:rsid w:val="00F77FB6"/>
    <w:rsid w:val="00F803C4"/>
    <w:rsid w:val="00F80EA5"/>
    <w:rsid w:val="00F81459"/>
    <w:rsid w:val="00F81B9B"/>
    <w:rsid w:val="00F82101"/>
    <w:rsid w:val="00F82A8C"/>
    <w:rsid w:val="00F83967"/>
    <w:rsid w:val="00F844BD"/>
    <w:rsid w:val="00F856DC"/>
    <w:rsid w:val="00F861C0"/>
    <w:rsid w:val="00F863A0"/>
    <w:rsid w:val="00F86568"/>
    <w:rsid w:val="00F9078E"/>
    <w:rsid w:val="00F90937"/>
    <w:rsid w:val="00F91923"/>
    <w:rsid w:val="00F931E4"/>
    <w:rsid w:val="00F933EF"/>
    <w:rsid w:val="00F9381F"/>
    <w:rsid w:val="00F93DD6"/>
    <w:rsid w:val="00F945B1"/>
    <w:rsid w:val="00F952DA"/>
    <w:rsid w:val="00F957EA"/>
    <w:rsid w:val="00F95982"/>
    <w:rsid w:val="00F95C23"/>
    <w:rsid w:val="00F9694D"/>
    <w:rsid w:val="00F96A90"/>
    <w:rsid w:val="00F96F94"/>
    <w:rsid w:val="00F97342"/>
    <w:rsid w:val="00F9773B"/>
    <w:rsid w:val="00F97BEF"/>
    <w:rsid w:val="00F97CC7"/>
    <w:rsid w:val="00FA0CB8"/>
    <w:rsid w:val="00FA3026"/>
    <w:rsid w:val="00FA389D"/>
    <w:rsid w:val="00FA3A25"/>
    <w:rsid w:val="00FA3F28"/>
    <w:rsid w:val="00FA56B3"/>
    <w:rsid w:val="00FA57CA"/>
    <w:rsid w:val="00FA5C20"/>
    <w:rsid w:val="00FA5E0E"/>
    <w:rsid w:val="00FA6131"/>
    <w:rsid w:val="00FA62A5"/>
    <w:rsid w:val="00FA65AF"/>
    <w:rsid w:val="00FA6B97"/>
    <w:rsid w:val="00FA7874"/>
    <w:rsid w:val="00FA7C3B"/>
    <w:rsid w:val="00FA7F2D"/>
    <w:rsid w:val="00FB2008"/>
    <w:rsid w:val="00FB2A70"/>
    <w:rsid w:val="00FB2F56"/>
    <w:rsid w:val="00FB34DE"/>
    <w:rsid w:val="00FB3AF8"/>
    <w:rsid w:val="00FB3EFE"/>
    <w:rsid w:val="00FB42AA"/>
    <w:rsid w:val="00FB42FE"/>
    <w:rsid w:val="00FB53AD"/>
    <w:rsid w:val="00FB54D5"/>
    <w:rsid w:val="00FB5D3D"/>
    <w:rsid w:val="00FB6785"/>
    <w:rsid w:val="00FB6B96"/>
    <w:rsid w:val="00FB7CA2"/>
    <w:rsid w:val="00FB7D21"/>
    <w:rsid w:val="00FB7D2E"/>
    <w:rsid w:val="00FC00B7"/>
    <w:rsid w:val="00FC053E"/>
    <w:rsid w:val="00FC0A9E"/>
    <w:rsid w:val="00FC163A"/>
    <w:rsid w:val="00FC172E"/>
    <w:rsid w:val="00FC33B1"/>
    <w:rsid w:val="00FC353E"/>
    <w:rsid w:val="00FC3623"/>
    <w:rsid w:val="00FC3CA9"/>
    <w:rsid w:val="00FC4ACF"/>
    <w:rsid w:val="00FC5749"/>
    <w:rsid w:val="00FC582E"/>
    <w:rsid w:val="00FC61B0"/>
    <w:rsid w:val="00FC6361"/>
    <w:rsid w:val="00FC6BD2"/>
    <w:rsid w:val="00FC7B62"/>
    <w:rsid w:val="00FD07FB"/>
    <w:rsid w:val="00FD0EFD"/>
    <w:rsid w:val="00FD179D"/>
    <w:rsid w:val="00FD1A26"/>
    <w:rsid w:val="00FD1A8D"/>
    <w:rsid w:val="00FD1B66"/>
    <w:rsid w:val="00FD29DC"/>
    <w:rsid w:val="00FD30B4"/>
    <w:rsid w:val="00FD384A"/>
    <w:rsid w:val="00FD5EE9"/>
    <w:rsid w:val="00FD6011"/>
    <w:rsid w:val="00FD655E"/>
    <w:rsid w:val="00FD6AAD"/>
    <w:rsid w:val="00FD7383"/>
    <w:rsid w:val="00FD7549"/>
    <w:rsid w:val="00FD754C"/>
    <w:rsid w:val="00FD7894"/>
    <w:rsid w:val="00FE045A"/>
    <w:rsid w:val="00FE078B"/>
    <w:rsid w:val="00FE0E55"/>
    <w:rsid w:val="00FE1307"/>
    <w:rsid w:val="00FE1C2F"/>
    <w:rsid w:val="00FE2C6E"/>
    <w:rsid w:val="00FE3B7B"/>
    <w:rsid w:val="00FE40A6"/>
    <w:rsid w:val="00FE4601"/>
    <w:rsid w:val="00FE5479"/>
    <w:rsid w:val="00FE5D73"/>
    <w:rsid w:val="00FE6F33"/>
    <w:rsid w:val="00FE741F"/>
    <w:rsid w:val="00FF0D99"/>
    <w:rsid w:val="00FF140B"/>
    <w:rsid w:val="00FF14E8"/>
    <w:rsid w:val="00FF18BD"/>
    <w:rsid w:val="00FF2015"/>
    <w:rsid w:val="00FF2E0C"/>
    <w:rsid w:val="00FF3E5B"/>
    <w:rsid w:val="00FF4CFE"/>
    <w:rsid w:val="00FF606F"/>
    <w:rsid w:val="00FF6366"/>
    <w:rsid w:val="00FF6747"/>
    <w:rsid w:val="00FF67E2"/>
    <w:rsid w:val="00FF67F4"/>
    <w:rsid w:val="00FF7794"/>
    <w:rsid w:val="00FF7884"/>
    <w:rsid w:val="00FF78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6002EE7"/>
  <w15:docId w15:val="{226768EF-BCF7-45BB-BA39-ADC86C0F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iPriority="0"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138"/>
    <w:pPr>
      <w:spacing w:before="240" w:after="240"/>
    </w:pPr>
    <w:rPr>
      <w:rFonts w:ascii="Arial" w:hAnsi="Arial"/>
      <w:color w:val="000000"/>
      <w:sz w:val="24"/>
      <w:lang w:eastAsia="en-US"/>
    </w:rPr>
  </w:style>
  <w:style w:type="paragraph" w:styleId="Heading1">
    <w:name w:val="heading 1"/>
    <w:basedOn w:val="Normal"/>
    <w:next w:val="Normal"/>
    <w:link w:val="Heading1Char"/>
    <w:qFormat/>
    <w:rsid w:val="00F25760"/>
    <w:pPr>
      <w:keepNext/>
      <w:keepLines/>
      <w:numPr>
        <w:numId w:val="11"/>
      </w:numPr>
      <w:spacing w:before="360"/>
      <w:outlineLvl w:val="0"/>
    </w:pPr>
    <w:rPr>
      <w:b/>
      <w:bCs/>
      <w:sz w:val="28"/>
      <w:szCs w:val="28"/>
    </w:rPr>
  </w:style>
  <w:style w:type="paragraph" w:styleId="Heading2">
    <w:name w:val="heading 2"/>
    <w:basedOn w:val="Heading1"/>
    <w:next w:val="Normal"/>
    <w:link w:val="Heading2Char"/>
    <w:qFormat/>
    <w:rsid w:val="00F25760"/>
    <w:pPr>
      <w:numPr>
        <w:ilvl w:val="1"/>
      </w:numPr>
      <w:outlineLvl w:val="1"/>
    </w:pPr>
    <w:rPr>
      <w:bCs w:val="0"/>
      <w:i/>
      <w:szCs w:val="26"/>
    </w:rPr>
  </w:style>
  <w:style w:type="paragraph" w:styleId="Heading3">
    <w:name w:val="heading 3"/>
    <w:basedOn w:val="Heading2"/>
    <w:next w:val="Normal"/>
    <w:link w:val="Heading3Char"/>
    <w:qFormat/>
    <w:rsid w:val="00F25760"/>
    <w:pPr>
      <w:numPr>
        <w:ilvl w:val="2"/>
      </w:numPr>
      <w:outlineLvl w:val="2"/>
    </w:pPr>
    <w:rPr>
      <w:b w:val="0"/>
      <w:bCs/>
      <w:color w:val="auto"/>
      <w:sz w:val="24"/>
    </w:rPr>
  </w:style>
  <w:style w:type="paragraph" w:styleId="Heading4">
    <w:name w:val="heading 4"/>
    <w:basedOn w:val="Heading3"/>
    <w:next w:val="Normal"/>
    <w:link w:val="Heading4Char"/>
    <w:qFormat/>
    <w:rsid w:val="00F25760"/>
    <w:pPr>
      <w:numPr>
        <w:ilvl w:val="3"/>
      </w:numPr>
      <w:outlineLvl w:val="3"/>
    </w:pPr>
    <w:rPr>
      <w:bCs w:val="0"/>
      <w:i w:val="0"/>
      <w:iCs/>
    </w:rPr>
  </w:style>
  <w:style w:type="paragraph" w:styleId="Heading5">
    <w:name w:val="heading 5"/>
    <w:basedOn w:val="Normal"/>
    <w:next w:val="Normal"/>
    <w:link w:val="Heading5Char"/>
    <w:qFormat/>
    <w:locked/>
    <w:rsid w:val="00F25760"/>
    <w:pPr>
      <w:keepNext/>
      <w:keepLines/>
      <w:numPr>
        <w:ilvl w:val="4"/>
        <w:numId w:val="11"/>
      </w:numPr>
      <w:spacing w:before="200"/>
      <w:outlineLvl w:val="4"/>
    </w:pPr>
    <w:rPr>
      <w:rFonts w:ascii="Cambria" w:hAnsi="Cambria"/>
      <w:color w:val="243F60"/>
    </w:rPr>
  </w:style>
  <w:style w:type="paragraph" w:styleId="Heading6">
    <w:name w:val="heading 6"/>
    <w:basedOn w:val="Normal"/>
    <w:next w:val="Normal"/>
    <w:link w:val="Heading6Char"/>
    <w:qFormat/>
    <w:locked/>
    <w:rsid w:val="00F25760"/>
    <w:pPr>
      <w:keepNext/>
      <w:keepLines/>
      <w:numPr>
        <w:ilvl w:val="5"/>
        <w:numId w:val="11"/>
      </w:numPr>
      <w:spacing w:before="200"/>
      <w:outlineLvl w:val="5"/>
    </w:pPr>
    <w:rPr>
      <w:rFonts w:ascii="Cambria" w:hAnsi="Cambria"/>
      <w:i/>
      <w:iCs/>
      <w:color w:val="243F60"/>
    </w:rPr>
  </w:style>
  <w:style w:type="paragraph" w:styleId="Heading7">
    <w:name w:val="heading 7"/>
    <w:basedOn w:val="Normal"/>
    <w:next w:val="Normal"/>
    <w:link w:val="Heading7Char"/>
    <w:qFormat/>
    <w:locked/>
    <w:rsid w:val="00F25760"/>
    <w:pPr>
      <w:keepNext/>
      <w:keepLines/>
      <w:numPr>
        <w:ilvl w:val="6"/>
        <w:numId w:val="11"/>
      </w:numPr>
      <w:spacing w:before="200"/>
      <w:outlineLvl w:val="6"/>
    </w:pPr>
    <w:rPr>
      <w:rFonts w:ascii="Cambria" w:hAnsi="Cambria"/>
      <w:i/>
      <w:iCs/>
      <w:color w:val="404040"/>
    </w:rPr>
  </w:style>
  <w:style w:type="paragraph" w:styleId="Heading8">
    <w:name w:val="heading 8"/>
    <w:basedOn w:val="Normal"/>
    <w:next w:val="Normal"/>
    <w:link w:val="Heading8Char"/>
    <w:qFormat/>
    <w:locked/>
    <w:rsid w:val="00F25760"/>
    <w:pPr>
      <w:keepNext/>
      <w:keepLines/>
      <w:tabs>
        <w:tab w:val="num" w:pos="0"/>
      </w:tabs>
      <w:spacing w:before="200"/>
      <w:ind w:left="1440" w:hanging="1440"/>
      <w:outlineLvl w:val="7"/>
    </w:pPr>
    <w:rPr>
      <w:rFonts w:ascii="Cambria" w:hAnsi="Cambria"/>
      <w:color w:val="404040"/>
      <w:sz w:val="20"/>
    </w:rPr>
  </w:style>
  <w:style w:type="paragraph" w:styleId="Heading9">
    <w:name w:val="heading 9"/>
    <w:basedOn w:val="Normal"/>
    <w:next w:val="Normal"/>
    <w:link w:val="Heading9Char"/>
    <w:qFormat/>
    <w:locked/>
    <w:rsid w:val="00F25760"/>
    <w:pPr>
      <w:keepNext/>
      <w:keepLines/>
      <w:tabs>
        <w:tab w:val="num" w:pos="0"/>
      </w:tabs>
      <w:spacing w:before="200"/>
      <w:ind w:left="1584" w:hanging="1584"/>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25760"/>
    <w:rPr>
      <w:rFonts w:ascii="Arial" w:hAnsi="Arial"/>
      <w:b/>
      <w:bCs/>
      <w:color w:val="000000"/>
      <w:sz w:val="28"/>
      <w:szCs w:val="28"/>
      <w:lang w:eastAsia="en-US"/>
    </w:rPr>
  </w:style>
  <w:style w:type="character" w:customStyle="1" w:styleId="Heading2Char">
    <w:name w:val="Heading 2 Char"/>
    <w:link w:val="Heading2"/>
    <w:locked/>
    <w:rsid w:val="00F25760"/>
    <w:rPr>
      <w:rFonts w:ascii="Arial" w:hAnsi="Arial"/>
      <w:b/>
      <w:i/>
      <w:color w:val="000000"/>
      <w:sz w:val="28"/>
      <w:szCs w:val="26"/>
      <w:lang w:eastAsia="en-US"/>
    </w:rPr>
  </w:style>
  <w:style w:type="character" w:customStyle="1" w:styleId="Heading3Char">
    <w:name w:val="Heading 3 Char"/>
    <w:link w:val="Heading3"/>
    <w:locked/>
    <w:rsid w:val="00F25760"/>
    <w:rPr>
      <w:rFonts w:ascii="Arial" w:hAnsi="Arial"/>
      <w:bCs/>
      <w:i/>
      <w:sz w:val="24"/>
      <w:szCs w:val="26"/>
      <w:lang w:eastAsia="en-US"/>
    </w:rPr>
  </w:style>
  <w:style w:type="character" w:customStyle="1" w:styleId="Heading4Char">
    <w:name w:val="Heading 4 Char"/>
    <w:link w:val="Heading4"/>
    <w:locked/>
    <w:rsid w:val="00F25760"/>
    <w:rPr>
      <w:rFonts w:ascii="Arial" w:hAnsi="Arial"/>
      <w:iCs/>
      <w:sz w:val="24"/>
      <w:szCs w:val="26"/>
      <w:lang w:eastAsia="en-US"/>
    </w:rPr>
  </w:style>
  <w:style w:type="character" w:customStyle="1" w:styleId="Heading5Char">
    <w:name w:val="Heading 5 Char"/>
    <w:link w:val="Heading5"/>
    <w:locked/>
    <w:rsid w:val="00F25760"/>
    <w:rPr>
      <w:rFonts w:ascii="Cambria" w:hAnsi="Cambria"/>
      <w:color w:val="243F60"/>
      <w:sz w:val="24"/>
      <w:lang w:eastAsia="en-US"/>
    </w:rPr>
  </w:style>
  <w:style w:type="character" w:customStyle="1" w:styleId="Heading6Char">
    <w:name w:val="Heading 6 Char"/>
    <w:link w:val="Heading6"/>
    <w:locked/>
    <w:rsid w:val="00F25760"/>
    <w:rPr>
      <w:rFonts w:ascii="Cambria" w:hAnsi="Cambria"/>
      <w:i/>
      <w:iCs/>
      <w:color w:val="243F60"/>
      <w:sz w:val="24"/>
      <w:lang w:eastAsia="en-US"/>
    </w:rPr>
  </w:style>
  <w:style w:type="character" w:customStyle="1" w:styleId="Heading7Char">
    <w:name w:val="Heading 7 Char"/>
    <w:link w:val="Heading7"/>
    <w:locked/>
    <w:rsid w:val="00F25760"/>
    <w:rPr>
      <w:rFonts w:ascii="Cambria" w:hAnsi="Cambria"/>
      <w:i/>
      <w:iCs/>
      <w:color w:val="404040"/>
      <w:sz w:val="24"/>
      <w:lang w:eastAsia="en-US"/>
    </w:rPr>
  </w:style>
  <w:style w:type="character" w:customStyle="1" w:styleId="Heading8Char">
    <w:name w:val="Heading 8 Char"/>
    <w:link w:val="Heading8"/>
    <w:locked/>
    <w:rsid w:val="00F25760"/>
    <w:rPr>
      <w:rFonts w:ascii="Cambria" w:hAnsi="Cambria"/>
      <w:color w:val="404040"/>
      <w:lang w:eastAsia="en-US"/>
    </w:rPr>
  </w:style>
  <w:style w:type="character" w:customStyle="1" w:styleId="Heading9Char">
    <w:name w:val="Heading 9 Char"/>
    <w:link w:val="Heading9"/>
    <w:locked/>
    <w:rsid w:val="00F25760"/>
    <w:rPr>
      <w:rFonts w:ascii="Cambria" w:hAnsi="Cambria"/>
      <w:i/>
      <w:iCs/>
      <w:color w:val="404040"/>
      <w:lang w:eastAsia="en-US"/>
    </w:rPr>
  </w:style>
  <w:style w:type="character" w:styleId="Strong">
    <w:name w:val="Strong"/>
    <w:qFormat/>
    <w:locked/>
    <w:rsid w:val="00F25760"/>
    <w:rPr>
      <w:b/>
      <w:bCs/>
    </w:rPr>
  </w:style>
  <w:style w:type="paragraph" w:styleId="Header">
    <w:name w:val="header"/>
    <w:basedOn w:val="Normal"/>
    <w:link w:val="HeaderChar"/>
    <w:uiPriority w:val="99"/>
    <w:semiHidden/>
    <w:rsid w:val="00E75D90"/>
    <w:pPr>
      <w:tabs>
        <w:tab w:val="center" w:pos="4513"/>
        <w:tab w:val="right" w:pos="9026"/>
      </w:tabs>
      <w:jc w:val="right"/>
    </w:pPr>
    <w:rPr>
      <w:sz w:val="22"/>
    </w:rPr>
  </w:style>
  <w:style w:type="character" w:customStyle="1" w:styleId="HeaderChar">
    <w:name w:val="Header Char"/>
    <w:basedOn w:val="DefaultParagraphFont"/>
    <w:link w:val="Header"/>
    <w:uiPriority w:val="99"/>
    <w:semiHidden/>
    <w:locked/>
    <w:rsid w:val="00E75D90"/>
    <w:rPr>
      <w:rFonts w:ascii="Arial" w:hAnsi="Arial" w:cs="Times New Roman"/>
      <w:sz w:val="24"/>
      <w:szCs w:val="24"/>
    </w:rPr>
  </w:style>
  <w:style w:type="paragraph" w:styleId="Footer">
    <w:name w:val="footer"/>
    <w:basedOn w:val="Normal"/>
    <w:link w:val="FooterChar"/>
    <w:uiPriority w:val="99"/>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locked/>
    <w:rsid w:val="00E75D90"/>
    <w:rPr>
      <w:rFonts w:ascii="Arial" w:hAnsi="Arial" w:cs="Times New Roman"/>
      <w:sz w:val="24"/>
      <w:szCs w:val="24"/>
    </w:rPr>
  </w:style>
  <w:style w:type="paragraph" w:styleId="TOC3">
    <w:name w:val="toc 3"/>
    <w:basedOn w:val="Normal"/>
    <w:next w:val="Normal"/>
    <w:autoRedefine/>
    <w:uiPriority w:val="39"/>
    <w:qFormat/>
    <w:locked/>
    <w:rsid w:val="00F25760"/>
    <w:pPr>
      <w:tabs>
        <w:tab w:val="right" w:leader="dot" w:pos="9060"/>
      </w:tabs>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rFonts w:cs="Times New Roman"/>
      <w:color w:val="808080"/>
    </w:rPr>
  </w:style>
  <w:style w:type="paragraph" w:styleId="ListContinue4">
    <w:name w:val="List Continue 4"/>
    <w:basedOn w:val="Normal"/>
    <w:uiPriority w:val="99"/>
    <w:semiHidden/>
    <w:locked/>
    <w:rsid w:val="0090165F"/>
    <w:pPr>
      <w:spacing w:after="120"/>
      <w:ind w:left="1132"/>
    </w:pPr>
  </w:style>
  <w:style w:type="paragraph" w:styleId="TOC1">
    <w:name w:val="toc 1"/>
    <w:basedOn w:val="Normal"/>
    <w:next w:val="Normal"/>
    <w:autoRedefine/>
    <w:uiPriority w:val="39"/>
    <w:qFormat/>
    <w:locked/>
    <w:rsid w:val="00F25760"/>
    <w:pPr>
      <w:tabs>
        <w:tab w:val="right" w:leader="dot" w:pos="9060"/>
      </w:tabs>
      <w:spacing w:after="0"/>
      <w:ind w:left="720" w:hanging="720"/>
    </w:pPr>
    <w:rPr>
      <w:b/>
      <w:noProof/>
    </w:rPr>
  </w:style>
  <w:style w:type="paragraph" w:styleId="TOC2">
    <w:name w:val="toc 2"/>
    <w:basedOn w:val="Normal"/>
    <w:next w:val="Normal"/>
    <w:autoRedefine/>
    <w:uiPriority w:val="39"/>
    <w:qFormat/>
    <w:locked/>
    <w:rsid w:val="00F25760"/>
    <w:pPr>
      <w:tabs>
        <w:tab w:val="right" w:leader="dot" w:pos="9060"/>
      </w:tabs>
      <w:spacing w:before="0" w:after="0"/>
      <w:ind w:left="958" w:hanging="720"/>
    </w:pPr>
    <w:rPr>
      <w:b/>
      <w:i/>
      <w:noProof/>
    </w:rPr>
  </w:style>
  <w:style w:type="paragraph" w:styleId="TOC4">
    <w:name w:val="toc 4"/>
    <w:basedOn w:val="Normal"/>
    <w:next w:val="Normal"/>
    <w:autoRedefine/>
    <w:uiPriority w:val="9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locked/>
    <w:rsid w:val="0024557E"/>
    <w:rPr>
      <w:rFonts w:cs="Times New Roman"/>
      <w:color w:val="0000FF"/>
      <w:u w:val="single"/>
    </w:rPr>
  </w:style>
  <w:style w:type="paragraph" w:styleId="TOCHeading">
    <w:name w:val="TOC Heading"/>
    <w:basedOn w:val="Heading1"/>
    <w:next w:val="Normal"/>
    <w:uiPriority w:val="39"/>
    <w:qFormat/>
    <w:locked/>
    <w:rsid w:val="00F25760"/>
    <w:pPr>
      <w:numPr>
        <w:numId w:val="0"/>
      </w:numPr>
      <w:spacing w:before="480" w:after="0" w:line="276" w:lineRule="auto"/>
      <w:outlineLvl w:val="9"/>
    </w:pPr>
    <w:rPr>
      <w:rFonts w:ascii="Cambria" w:hAnsi="Cambria"/>
      <w:color w:val="365F91"/>
      <w:lang w:val="en-US"/>
    </w:rPr>
  </w:style>
  <w:style w:type="paragraph" w:styleId="EndnoteText">
    <w:name w:val="endnote text"/>
    <w:basedOn w:val="Normal"/>
    <w:link w:val="EndnoteTextChar"/>
    <w:semiHidden/>
    <w:rsid w:val="00706FAB"/>
  </w:style>
  <w:style w:type="character" w:customStyle="1" w:styleId="EndnoteTextChar">
    <w:name w:val="Endnote Text Char"/>
    <w:basedOn w:val="DefaultParagraphFont"/>
    <w:link w:val="EndnoteText"/>
    <w:locked/>
    <w:rsid w:val="00706FAB"/>
    <w:rPr>
      <w:rFonts w:ascii="Arial" w:hAnsi="Arial" w:cs="Times New Roman"/>
      <w:lang w:val="en-AU" w:eastAsia="en-AU" w:bidi="ar-SA"/>
    </w:rPr>
  </w:style>
  <w:style w:type="character" w:styleId="EndnoteReference">
    <w:name w:val="endnote reference"/>
    <w:basedOn w:val="DefaultParagraphFont"/>
    <w:uiPriority w:val="99"/>
    <w:rsid w:val="00074CD6"/>
    <w:rPr>
      <w:rFonts w:ascii="Arial" w:hAnsi="Arial" w:cs="Times New Roman"/>
      <w:sz w:val="20"/>
      <w:vertAlign w:val="superscript"/>
    </w:rPr>
  </w:style>
  <w:style w:type="paragraph" w:styleId="BlockText">
    <w:name w:val="Block Text"/>
    <w:basedOn w:val="Normal"/>
    <w:uiPriority w:val="99"/>
    <w:semiHidden/>
    <w:locked/>
    <w:rsid w:val="00E45954"/>
    <w:pPr>
      <w:spacing w:after="120"/>
      <w:ind w:left="1440" w:right="1440"/>
    </w:pPr>
  </w:style>
  <w:style w:type="paragraph" w:styleId="BodyText">
    <w:name w:val="Body Text"/>
    <w:basedOn w:val="Normal"/>
    <w:link w:val="BodyTextChar"/>
    <w:uiPriority w:val="99"/>
    <w:semiHidden/>
    <w:locked/>
    <w:rsid w:val="00E45954"/>
    <w:pPr>
      <w:spacing w:after="120"/>
    </w:pPr>
  </w:style>
  <w:style w:type="character" w:customStyle="1" w:styleId="BodyTextChar">
    <w:name w:val="Body Text Char"/>
    <w:basedOn w:val="DefaultParagraphFont"/>
    <w:link w:val="BodyText"/>
    <w:uiPriority w:val="99"/>
    <w:semiHidden/>
    <w:locked/>
    <w:rsid w:val="00DE2F25"/>
    <w:rPr>
      <w:rFonts w:ascii="Arial" w:hAnsi="Arial" w:cs="Times New Roman"/>
      <w:spacing w:val="-5"/>
      <w:sz w:val="20"/>
      <w:szCs w:val="20"/>
      <w:lang w:eastAsia="en-US"/>
    </w:rPr>
  </w:style>
  <w:style w:type="paragraph" w:styleId="BodyText2">
    <w:name w:val="Body Text 2"/>
    <w:basedOn w:val="Normal"/>
    <w:link w:val="BodyText2Char"/>
    <w:uiPriority w:val="99"/>
    <w:semiHidden/>
    <w:locked/>
    <w:rsid w:val="00E45954"/>
    <w:pPr>
      <w:spacing w:after="120" w:line="480" w:lineRule="auto"/>
    </w:pPr>
  </w:style>
  <w:style w:type="character" w:customStyle="1" w:styleId="BodyText2Char">
    <w:name w:val="Body Text 2 Char"/>
    <w:basedOn w:val="DefaultParagraphFont"/>
    <w:link w:val="BodyText2"/>
    <w:uiPriority w:val="99"/>
    <w:semiHidden/>
    <w:locked/>
    <w:rsid w:val="00DE2F25"/>
    <w:rPr>
      <w:rFonts w:ascii="Arial" w:hAnsi="Arial" w:cs="Times New Roman"/>
      <w:spacing w:val="-5"/>
      <w:sz w:val="20"/>
      <w:szCs w:val="20"/>
      <w:lang w:eastAsia="en-US"/>
    </w:rPr>
  </w:style>
  <w:style w:type="paragraph" w:styleId="BodyText3">
    <w:name w:val="Body Text 3"/>
    <w:basedOn w:val="Normal"/>
    <w:link w:val="BodyText3Char"/>
    <w:uiPriority w:val="99"/>
    <w:semiHidden/>
    <w:locked/>
    <w:rsid w:val="00E45954"/>
    <w:pPr>
      <w:spacing w:after="120"/>
    </w:pPr>
    <w:rPr>
      <w:sz w:val="16"/>
      <w:szCs w:val="16"/>
    </w:rPr>
  </w:style>
  <w:style w:type="character" w:customStyle="1" w:styleId="BodyText3Char">
    <w:name w:val="Body Text 3 Char"/>
    <w:basedOn w:val="DefaultParagraphFont"/>
    <w:link w:val="BodyText3"/>
    <w:uiPriority w:val="99"/>
    <w:semiHidden/>
    <w:locked/>
    <w:rsid w:val="00DE2F25"/>
    <w:rPr>
      <w:rFonts w:ascii="Arial" w:hAnsi="Arial" w:cs="Times New Roman"/>
      <w:spacing w:val="-5"/>
      <w:sz w:val="16"/>
      <w:szCs w:val="16"/>
      <w:lang w:eastAsia="en-US"/>
    </w:rPr>
  </w:style>
  <w:style w:type="paragraph" w:styleId="BodyTextFirstIndent">
    <w:name w:val="Body Text First Indent"/>
    <w:basedOn w:val="BodyText"/>
    <w:link w:val="BodyTextFirstIndentChar"/>
    <w:uiPriority w:val="99"/>
    <w:semiHidden/>
    <w:locked/>
    <w:rsid w:val="00E45954"/>
    <w:pPr>
      <w:ind w:firstLine="210"/>
    </w:pPr>
  </w:style>
  <w:style w:type="character" w:customStyle="1" w:styleId="BodyTextFirstIndentChar">
    <w:name w:val="Body Text First Indent Char"/>
    <w:basedOn w:val="BodyTextChar"/>
    <w:link w:val="BodyTextFirstIndent"/>
    <w:uiPriority w:val="99"/>
    <w:semiHidden/>
    <w:locked/>
    <w:rsid w:val="00DE2F25"/>
    <w:rPr>
      <w:rFonts w:ascii="Arial" w:hAnsi="Arial" w:cs="Times New Roman"/>
      <w:spacing w:val="-5"/>
      <w:sz w:val="20"/>
      <w:szCs w:val="20"/>
      <w:lang w:eastAsia="en-US"/>
    </w:rPr>
  </w:style>
  <w:style w:type="paragraph" w:styleId="BodyTextIndent">
    <w:name w:val="Body Text Indent"/>
    <w:basedOn w:val="Normal"/>
    <w:link w:val="BodyTextIndentChar"/>
    <w:uiPriority w:val="99"/>
    <w:semiHidden/>
    <w:locked/>
    <w:rsid w:val="00E45954"/>
    <w:pPr>
      <w:spacing w:after="120"/>
      <w:ind w:left="283"/>
    </w:pPr>
  </w:style>
  <w:style w:type="character" w:customStyle="1" w:styleId="BodyTextIndentChar">
    <w:name w:val="Body Text Indent Char"/>
    <w:basedOn w:val="DefaultParagraphFont"/>
    <w:link w:val="BodyTextIndent"/>
    <w:uiPriority w:val="99"/>
    <w:semiHidden/>
    <w:locked/>
    <w:rsid w:val="00DE2F25"/>
    <w:rPr>
      <w:rFonts w:ascii="Arial" w:hAnsi="Arial" w:cs="Times New Roman"/>
      <w:spacing w:val="-5"/>
      <w:sz w:val="20"/>
      <w:szCs w:val="20"/>
      <w:lang w:eastAsia="en-US"/>
    </w:rPr>
  </w:style>
  <w:style w:type="paragraph" w:styleId="BodyTextFirstIndent2">
    <w:name w:val="Body Text First Indent 2"/>
    <w:basedOn w:val="BodyTextIndent"/>
    <w:link w:val="BodyTextFirstIndent2Char"/>
    <w:uiPriority w:val="99"/>
    <w:semiHidden/>
    <w:locked/>
    <w:rsid w:val="00E45954"/>
    <w:pPr>
      <w:ind w:firstLine="210"/>
    </w:pPr>
  </w:style>
  <w:style w:type="character" w:customStyle="1" w:styleId="BodyTextFirstIndent2Char">
    <w:name w:val="Body Text First Indent 2 Char"/>
    <w:basedOn w:val="BodyTextIndentChar"/>
    <w:link w:val="BodyTextFirstIndent2"/>
    <w:uiPriority w:val="99"/>
    <w:semiHidden/>
    <w:locked/>
    <w:rsid w:val="00DE2F25"/>
    <w:rPr>
      <w:rFonts w:ascii="Arial" w:hAnsi="Arial" w:cs="Times New Roman"/>
      <w:spacing w:val="-5"/>
      <w:sz w:val="20"/>
      <w:szCs w:val="20"/>
      <w:lang w:eastAsia="en-US"/>
    </w:rPr>
  </w:style>
  <w:style w:type="paragraph" w:styleId="BodyTextIndent2">
    <w:name w:val="Body Text Indent 2"/>
    <w:basedOn w:val="Normal"/>
    <w:link w:val="BodyTextIndent2Char"/>
    <w:uiPriority w:val="99"/>
    <w:semiHidden/>
    <w:locked/>
    <w:rsid w:val="00E459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DE2F25"/>
    <w:rPr>
      <w:rFonts w:ascii="Arial" w:hAnsi="Arial" w:cs="Times New Roman"/>
      <w:spacing w:val="-5"/>
      <w:sz w:val="20"/>
      <w:szCs w:val="20"/>
      <w:lang w:eastAsia="en-US"/>
    </w:r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E2F25"/>
    <w:rPr>
      <w:rFonts w:ascii="Arial" w:hAnsi="Arial" w:cs="Times New Roman"/>
      <w:spacing w:val="-5"/>
      <w:sz w:val="16"/>
      <w:szCs w:val="16"/>
      <w:lang w:eastAsia="en-US"/>
    </w:rPr>
  </w:style>
  <w:style w:type="paragraph" w:styleId="Closing">
    <w:name w:val="Closing"/>
    <w:basedOn w:val="Normal"/>
    <w:link w:val="ClosingChar"/>
    <w:uiPriority w:val="99"/>
    <w:semiHidden/>
    <w:locked/>
    <w:rsid w:val="00E45954"/>
    <w:pPr>
      <w:ind w:left="4252"/>
    </w:pPr>
  </w:style>
  <w:style w:type="character" w:customStyle="1" w:styleId="ClosingChar">
    <w:name w:val="Closing Char"/>
    <w:basedOn w:val="DefaultParagraphFont"/>
    <w:link w:val="Closing"/>
    <w:uiPriority w:val="99"/>
    <w:semiHidden/>
    <w:locked/>
    <w:rsid w:val="00DE2F25"/>
    <w:rPr>
      <w:rFonts w:ascii="Arial" w:hAnsi="Arial" w:cs="Times New Roman"/>
      <w:spacing w:val="-5"/>
      <w:sz w:val="20"/>
      <w:szCs w:val="20"/>
      <w:lang w:eastAsia="en-US"/>
    </w:rPr>
  </w:style>
  <w:style w:type="paragraph" w:styleId="Date">
    <w:name w:val="Date"/>
    <w:basedOn w:val="Normal"/>
    <w:next w:val="Normal"/>
    <w:link w:val="DateChar"/>
    <w:uiPriority w:val="99"/>
    <w:semiHidden/>
    <w:locked/>
    <w:rsid w:val="00E45954"/>
  </w:style>
  <w:style w:type="character" w:customStyle="1" w:styleId="DateChar">
    <w:name w:val="Date Char"/>
    <w:basedOn w:val="DefaultParagraphFont"/>
    <w:link w:val="Date"/>
    <w:uiPriority w:val="99"/>
    <w:semiHidden/>
    <w:locked/>
    <w:rsid w:val="00DE2F25"/>
    <w:rPr>
      <w:rFonts w:ascii="Arial" w:hAnsi="Arial" w:cs="Times New Roman"/>
      <w:spacing w:val="-5"/>
      <w:sz w:val="20"/>
      <w:szCs w:val="20"/>
      <w:lang w:eastAsia="en-US"/>
    </w:rPr>
  </w:style>
  <w:style w:type="paragraph" w:styleId="E-mailSignature">
    <w:name w:val="E-mail Signature"/>
    <w:basedOn w:val="Normal"/>
    <w:link w:val="E-mailSignatureChar"/>
    <w:uiPriority w:val="99"/>
    <w:semiHidden/>
    <w:locked/>
    <w:rsid w:val="00E45954"/>
  </w:style>
  <w:style w:type="character" w:customStyle="1" w:styleId="E-mailSignatureChar">
    <w:name w:val="E-mail Signature Char"/>
    <w:basedOn w:val="DefaultParagraphFont"/>
    <w:link w:val="E-mailSignature"/>
    <w:uiPriority w:val="99"/>
    <w:semiHidden/>
    <w:locked/>
    <w:rsid w:val="00DE2F25"/>
    <w:rPr>
      <w:rFonts w:ascii="Arial" w:hAnsi="Arial" w:cs="Times New Roman"/>
      <w:spacing w:val="-5"/>
      <w:sz w:val="20"/>
      <w:szCs w:val="20"/>
      <w:lang w:eastAsia="en-US"/>
    </w:rPr>
  </w:style>
  <w:style w:type="character" w:styleId="Emphasis">
    <w:name w:val="Emphasis"/>
    <w:uiPriority w:val="99"/>
    <w:qFormat/>
    <w:locked/>
    <w:rsid w:val="00F25760"/>
    <w:rPr>
      <w:i/>
      <w:iCs/>
    </w:rPr>
  </w:style>
  <w:style w:type="paragraph" w:styleId="EnvelopeAddress">
    <w:name w:val="envelope address"/>
    <w:basedOn w:val="Normal"/>
    <w:uiPriority w:val="99"/>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locked/>
    <w:rsid w:val="00E45954"/>
    <w:rPr>
      <w:rFonts w:cs="Arial"/>
    </w:rPr>
  </w:style>
  <w:style w:type="character" w:styleId="FootnoteReference">
    <w:name w:val="footnote reference"/>
    <w:basedOn w:val="DefaultParagraphFont"/>
    <w:rsid w:val="00074CD6"/>
    <w:rPr>
      <w:rFonts w:ascii="Arial" w:hAnsi="Arial" w:cs="Times New Roman"/>
      <w:sz w:val="20"/>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
    <w:basedOn w:val="Normal"/>
    <w:link w:val="FootnoteTextChar"/>
    <w:semiHidden/>
    <w:rsid w:val="00706FAB"/>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
    <w:basedOn w:val="DefaultParagraphFont"/>
    <w:link w:val="FootnoteText"/>
    <w:semiHidden/>
    <w:locked/>
    <w:rsid w:val="00706FAB"/>
    <w:rPr>
      <w:rFonts w:ascii="Arial" w:hAnsi="Arial" w:cs="Times New Roman"/>
      <w:lang w:val="en-AU" w:eastAsia="en-AU" w:bidi="ar-SA"/>
    </w:rPr>
  </w:style>
  <w:style w:type="character" w:styleId="HTMLAcronym">
    <w:name w:val="HTML Acronym"/>
    <w:basedOn w:val="DefaultParagraphFont"/>
    <w:uiPriority w:val="99"/>
    <w:semiHidden/>
    <w:locked/>
    <w:rsid w:val="00E45954"/>
    <w:rPr>
      <w:rFonts w:cs="Times New Roman"/>
    </w:rPr>
  </w:style>
  <w:style w:type="paragraph" w:styleId="HTMLAddress">
    <w:name w:val="HTML Address"/>
    <w:basedOn w:val="Normal"/>
    <w:link w:val="HTMLAddressChar"/>
    <w:uiPriority w:val="99"/>
    <w:semiHidden/>
    <w:locked/>
    <w:rsid w:val="00E45954"/>
    <w:rPr>
      <w:i/>
      <w:iCs/>
    </w:rPr>
  </w:style>
  <w:style w:type="character" w:customStyle="1" w:styleId="HTMLAddressChar">
    <w:name w:val="HTML Address Char"/>
    <w:basedOn w:val="DefaultParagraphFont"/>
    <w:link w:val="HTMLAddress"/>
    <w:uiPriority w:val="99"/>
    <w:semiHidden/>
    <w:locked/>
    <w:rsid w:val="00DE2F25"/>
    <w:rPr>
      <w:rFonts w:ascii="Arial" w:hAnsi="Arial" w:cs="Times New Roman"/>
      <w:i/>
      <w:iCs/>
      <w:spacing w:val="-5"/>
      <w:sz w:val="20"/>
      <w:szCs w:val="20"/>
      <w:lang w:eastAsia="en-US"/>
    </w:rPr>
  </w:style>
  <w:style w:type="character" w:styleId="HTMLCite">
    <w:name w:val="HTML Cite"/>
    <w:basedOn w:val="DefaultParagraphFont"/>
    <w:uiPriority w:val="99"/>
    <w:semiHidden/>
    <w:locked/>
    <w:rsid w:val="00E45954"/>
    <w:rPr>
      <w:rFonts w:cs="Times New Roman"/>
      <w:i/>
      <w:iCs/>
    </w:rPr>
  </w:style>
  <w:style w:type="character" w:styleId="HTMLCode">
    <w:name w:val="HTML Code"/>
    <w:basedOn w:val="DefaultParagraphFont"/>
    <w:uiPriority w:val="99"/>
    <w:semiHidden/>
    <w:locked/>
    <w:rsid w:val="00E45954"/>
    <w:rPr>
      <w:rFonts w:ascii="Courier New" w:hAnsi="Courier New" w:cs="Courier New"/>
      <w:sz w:val="20"/>
      <w:szCs w:val="20"/>
    </w:rPr>
  </w:style>
  <w:style w:type="character" w:styleId="HTMLDefinition">
    <w:name w:val="HTML Definition"/>
    <w:basedOn w:val="DefaultParagraphFont"/>
    <w:uiPriority w:val="99"/>
    <w:semiHidden/>
    <w:locked/>
    <w:rsid w:val="00E45954"/>
    <w:rPr>
      <w:rFonts w:cs="Times New Roman"/>
      <w:i/>
      <w:iCs/>
    </w:rPr>
  </w:style>
  <w:style w:type="character" w:styleId="HTMLKeyboard">
    <w:name w:val="HTML Keyboard"/>
    <w:basedOn w:val="DefaultParagraphFont"/>
    <w:uiPriority w:val="99"/>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DE2F25"/>
    <w:rPr>
      <w:rFonts w:ascii="Courier New" w:hAnsi="Courier New" w:cs="Courier New"/>
      <w:spacing w:val="-5"/>
      <w:sz w:val="20"/>
      <w:szCs w:val="20"/>
      <w:lang w:eastAsia="en-US"/>
    </w:rPr>
  </w:style>
  <w:style w:type="character" w:styleId="HTMLSample">
    <w:name w:val="HTML Sample"/>
    <w:basedOn w:val="DefaultParagraphFont"/>
    <w:uiPriority w:val="99"/>
    <w:semiHidden/>
    <w:locked/>
    <w:rsid w:val="00E45954"/>
    <w:rPr>
      <w:rFonts w:ascii="Courier New" w:hAnsi="Courier New" w:cs="Courier New"/>
    </w:rPr>
  </w:style>
  <w:style w:type="character" w:styleId="HTMLTypewriter">
    <w:name w:val="HTML Typewriter"/>
    <w:basedOn w:val="DefaultParagraphFont"/>
    <w:uiPriority w:val="99"/>
    <w:semiHidden/>
    <w:locked/>
    <w:rsid w:val="00E45954"/>
    <w:rPr>
      <w:rFonts w:ascii="Courier New" w:hAnsi="Courier New" w:cs="Courier New"/>
      <w:sz w:val="20"/>
      <w:szCs w:val="20"/>
    </w:rPr>
  </w:style>
  <w:style w:type="character" w:styleId="HTMLVariable">
    <w:name w:val="HTML Variable"/>
    <w:basedOn w:val="DefaultParagraphFont"/>
    <w:uiPriority w:val="99"/>
    <w:semiHidden/>
    <w:locked/>
    <w:rsid w:val="00E45954"/>
    <w:rPr>
      <w:rFonts w:cs="Times New Roman"/>
      <w:i/>
      <w:iCs/>
    </w:rPr>
  </w:style>
  <w:style w:type="character" w:styleId="LineNumber">
    <w:name w:val="line number"/>
    <w:basedOn w:val="DefaultParagraphFont"/>
    <w:uiPriority w:val="99"/>
    <w:semiHidden/>
    <w:locked/>
    <w:rsid w:val="00E45954"/>
    <w:rPr>
      <w:rFonts w:cs="Times New Roman"/>
    </w:rPr>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paragraph" w:styleId="ListBullet2">
    <w:name w:val="List Bullet 2"/>
    <w:basedOn w:val="Normal"/>
    <w:uiPriority w:val="99"/>
    <w:semiHidden/>
    <w:locked/>
    <w:rsid w:val="00E45954"/>
    <w:pPr>
      <w:tabs>
        <w:tab w:val="num" w:pos="643"/>
      </w:tabs>
      <w:ind w:left="643" w:hanging="360"/>
    </w:pPr>
  </w:style>
  <w:style w:type="paragraph" w:styleId="ListBullet3">
    <w:name w:val="List Bullet 3"/>
    <w:basedOn w:val="Normal"/>
    <w:uiPriority w:val="99"/>
    <w:semiHidden/>
    <w:locked/>
    <w:rsid w:val="00E45954"/>
    <w:pPr>
      <w:tabs>
        <w:tab w:val="num" w:pos="926"/>
      </w:tabs>
      <w:ind w:left="926" w:hanging="360"/>
    </w:pPr>
  </w:style>
  <w:style w:type="paragraph" w:styleId="ListBullet4">
    <w:name w:val="List Bullet 4"/>
    <w:basedOn w:val="Normal"/>
    <w:uiPriority w:val="99"/>
    <w:semiHidden/>
    <w:locked/>
    <w:rsid w:val="00E45954"/>
    <w:pPr>
      <w:tabs>
        <w:tab w:val="num" w:pos="1209"/>
      </w:tabs>
      <w:ind w:left="1209" w:hanging="360"/>
    </w:pPr>
  </w:style>
  <w:style w:type="paragraph" w:styleId="ListBullet5">
    <w:name w:val="List Bullet 5"/>
    <w:basedOn w:val="Normal"/>
    <w:uiPriority w:val="99"/>
    <w:semiHidden/>
    <w:locked/>
    <w:rsid w:val="00E45954"/>
    <w:pPr>
      <w:tabs>
        <w:tab w:val="num" w:pos="1492"/>
      </w:tabs>
      <w:ind w:left="1492" w:hanging="360"/>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tabs>
        <w:tab w:val="num" w:pos="360"/>
      </w:tabs>
      <w:ind w:left="360" w:hanging="360"/>
    </w:pPr>
  </w:style>
  <w:style w:type="paragraph" w:styleId="ListNumber2">
    <w:name w:val="List Number 2"/>
    <w:basedOn w:val="Normal"/>
    <w:uiPriority w:val="99"/>
    <w:semiHidden/>
    <w:locked/>
    <w:rsid w:val="00E45954"/>
    <w:pPr>
      <w:tabs>
        <w:tab w:val="num" w:pos="643"/>
      </w:tabs>
      <w:ind w:left="643" w:hanging="360"/>
    </w:pPr>
  </w:style>
  <w:style w:type="paragraph" w:styleId="ListNumber3">
    <w:name w:val="List Number 3"/>
    <w:basedOn w:val="Normal"/>
    <w:uiPriority w:val="99"/>
    <w:semiHidden/>
    <w:locked/>
    <w:rsid w:val="00E45954"/>
    <w:pPr>
      <w:tabs>
        <w:tab w:val="num" w:pos="926"/>
      </w:tabs>
      <w:ind w:left="926" w:hanging="360"/>
    </w:pPr>
  </w:style>
  <w:style w:type="paragraph" w:styleId="ListNumber4">
    <w:name w:val="List Number 4"/>
    <w:basedOn w:val="Normal"/>
    <w:uiPriority w:val="99"/>
    <w:semiHidden/>
    <w:locked/>
    <w:rsid w:val="00E45954"/>
    <w:pPr>
      <w:tabs>
        <w:tab w:val="num" w:pos="1209"/>
      </w:tabs>
      <w:ind w:left="1209" w:hanging="360"/>
    </w:pPr>
  </w:style>
  <w:style w:type="paragraph" w:styleId="ListNumber5">
    <w:name w:val="List Number 5"/>
    <w:basedOn w:val="Normal"/>
    <w:uiPriority w:val="99"/>
    <w:semiHidden/>
    <w:locked/>
    <w:rsid w:val="00E45954"/>
    <w:pPr>
      <w:tabs>
        <w:tab w:val="num" w:pos="1492"/>
      </w:tabs>
      <w:ind w:left="1492" w:hanging="360"/>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sid w:val="00DE2F25"/>
    <w:rPr>
      <w:rFonts w:ascii="Cambria" w:hAnsi="Cambria" w:cs="Times New Roman"/>
      <w:spacing w:val="-5"/>
      <w:sz w:val="24"/>
      <w:szCs w:val="24"/>
      <w:shd w:val="pct20" w:color="auto" w:fill="auto"/>
      <w:lang w:eastAsia="en-US"/>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uiPriority w:val="99"/>
    <w:semiHidden/>
    <w:locked/>
    <w:rsid w:val="00E45954"/>
    <w:pPr>
      <w:ind w:left="720"/>
    </w:pPr>
  </w:style>
  <w:style w:type="paragraph" w:styleId="NoteHeading">
    <w:name w:val="Note Heading"/>
    <w:basedOn w:val="Normal"/>
    <w:next w:val="Normal"/>
    <w:link w:val="NoteHeadingChar"/>
    <w:uiPriority w:val="99"/>
    <w:semiHidden/>
    <w:locked/>
    <w:rsid w:val="00E45954"/>
  </w:style>
  <w:style w:type="character" w:customStyle="1" w:styleId="NoteHeadingChar">
    <w:name w:val="Note Heading Char"/>
    <w:basedOn w:val="DefaultParagraphFont"/>
    <w:link w:val="NoteHeading"/>
    <w:uiPriority w:val="99"/>
    <w:semiHidden/>
    <w:locked/>
    <w:rsid w:val="00DE2F25"/>
    <w:rPr>
      <w:rFonts w:ascii="Arial" w:hAnsi="Arial" w:cs="Times New Roman"/>
      <w:spacing w:val="-5"/>
      <w:sz w:val="20"/>
      <w:szCs w:val="20"/>
      <w:lang w:eastAsia="en-US"/>
    </w:rPr>
  </w:style>
  <w:style w:type="character" w:styleId="PageNumber">
    <w:name w:val="page number"/>
    <w:basedOn w:val="DefaultParagraphFont"/>
    <w:uiPriority w:val="99"/>
    <w:semiHidden/>
    <w:locked/>
    <w:rsid w:val="00E45954"/>
    <w:rPr>
      <w:rFonts w:cs="Times New Roman"/>
    </w:rPr>
  </w:style>
  <w:style w:type="paragraph" w:styleId="PlainText">
    <w:name w:val="Plain Text"/>
    <w:basedOn w:val="Normal"/>
    <w:link w:val="PlainTextChar"/>
    <w:uiPriority w:val="99"/>
    <w:semiHidden/>
    <w:locked/>
    <w:rsid w:val="00E45954"/>
    <w:rPr>
      <w:rFonts w:ascii="Courier New" w:hAnsi="Courier New" w:cs="Courier New"/>
    </w:rPr>
  </w:style>
  <w:style w:type="character" w:customStyle="1" w:styleId="PlainTextChar">
    <w:name w:val="Plain Text Char"/>
    <w:basedOn w:val="DefaultParagraphFont"/>
    <w:link w:val="PlainText"/>
    <w:uiPriority w:val="99"/>
    <w:semiHidden/>
    <w:locked/>
    <w:rsid w:val="00DE2F25"/>
    <w:rPr>
      <w:rFonts w:ascii="Courier New" w:hAnsi="Courier New" w:cs="Courier New"/>
      <w:spacing w:val="-5"/>
      <w:sz w:val="20"/>
      <w:szCs w:val="20"/>
      <w:lang w:eastAsia="en-US"/>
    </w:rPr>
  </w:style>
  <w:style w:type="paragraph" w:styleId="Salutation">
    <w:name w:val="Salutation"/>
    <w:basedOn w:val="Normal"/>
    <w:next w:val="Normal"/>
    <w:link w:val="SalutationChar"/>
    <w:uiPriority w:val="99"/>
    <w:semiHidden/>
    <w:locked/>
    <w:rsid w:val="00E45954"/>
  </w:style>
  <w:style w:type="character" w:customStyle="1" w:styleId="SalutationChar">
    <w:name w:val="Salutation Char"/>
    <w:basedOn w:val="DefaultParagraphFont"/>
    <w:link w:val="Salutation"/>
    <w:uiPriority w:val="99"/>
    <w:semiHidden/>
    <w:locked/>
    <w:rsid w:val="00DE2F25"/>
    <w:rPr>
      <w:rFonts w:ascii="Arial" w:hAnsi="Arial" w:cs="Times New Roman"/>
      <w:spacing w:val="-5"/>
      <w:sz w:val="20"/>
      <w:szCs w:val="20"/>
      <w:lang w:eastAsia="en-US"/>
    </w:rPr>
  </w:style>
  <w:style w:type="paragraph" w:styleId="Signature">
    <w:name w:val="Signature"/>
    <w:basedOn w:val="Normal"/>
    <w:link w:val="SignatureChar"/>
    <w:uiPriority w:val="99"/>
    <w:semiHidden/>
    <w:locked/>
    <w:rsid w:val="00E45954"/>
    <w:pPr>
      <w:ind w:left="4252"/>
    </w:pPr>
  </w:style>
  <w:style w:type="character" w:customStyle="1" w:styleId="SignatureChar">
    <w:name w:val="Signature Char"/>
    <w:basedOn w:val="DefaultParagraphFont"/>
    <w:link w:val="Signature"/>
    <w:uiPriority w:val="99"/>
    <w:semiHidden/>
    <w:locked/>
    <w:rsid w:val="00DE2F25"/>
    <w:rPr>
      <w:rFonts w:ascii="Arial" w:hAnsi="Arial" w:cs="Times New Roman"/>
      <w:spacing w:val="-5"/>
      <w:sz w:val="20"/>
      <w:szCs w:val="20"/>
      <w:lang w:eastAsia="en-US"/>
    </w:rPr>
  </w:style>
  <w:style w:type="paragraph" w:styleId="Subtitle">
    <w:name w:val="Subtitle"/>
    <w:basedOn w:val="Normal"/>
    <w:link w:val="SubtitleChar"/>
    <w:qFormat/>
    <w:locked/>
    <w:rsid w:val="00F25760"/>
    <w:pPr>
      <w:spacing w:after="60"/>
      <w:jc w:val="center"/>
      <w:outlineLvl w:val="1"/>
    </w:pPr>
    <w:rPr>
      <w:rFonts w:cs="Arial"/>
    </w:rPr>
  </w:style>
  <w:style w:type="character" w:customStyle="1" w:styleId="SubtitleChar">
    <w:name w:val="Subtitle Char"/>
    <w:basedOn w:val="DefaultParagraphFont"/>
    <w:link w:val="Subtitle"/>
    <w:locked/>
    <w:rsid w:val="00DE2F25"/>
    <w:rPr>
      <w:rFonts w:ascii="Arial" w:hAnsi="Arial" w:cs="Arial"/>
      <w:color w:val="000000"/>
      <w:sz w:val="24"/>
      <w:lang w:eastAsia="en-US"/>
    </w:rPr>
  </w:style>
  <w:style w:type="table" w:styleId="Table3Deffects1">
    <w:name w:val="Table 3D effects 1"/>
    <w:basedOn w:val="TableNormal"/>
    <w:uiPriority w:val="99"/>
    <w:semiHidden/>
    <w:locked/>
    <w:rsid w:val="00E45954"/>
    <w:pPr>
      <w:spacing w:after="24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locked/>
    <w:rsid w:val="00E45954"/>
    <w:pPr>
      <w:spacing w:after="24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F25760"/>
    <w:pPr>
      <w:spacing w:after="60"/>
      <w:jc w:val="center"/>
      <w:outlineLvl w:val="0"/>
    </w:pPr>
    <w:rPr>
      <w:rFonts w:cs="Arial"/>
      <w:b/>
      <w:bCs/>
      <w:kern w:val="28"/>
      <w:sz w:val="32"/>
      <w:szCs w:val="32"/>
    </w:rPr>
  </w:style>
  <w:style w:type="character" w:customStyle="1" w:styleId="TitleChar">
    <w:name w:val="Title Char"/>
    <w:basedOn w:val="DefaultParagraphFont"/>
    <w:link w:val="Title"/>
    <w:locked/>
    <w:rsid w:val="00DE2F25"/>
    <w:rPr>
      <w:rFonts w:ascii="Arial" w:hAnsi="Arial" w:cs="Arial"/>
      <w:b/>
      <w:bCs/>
      <w:color w:val="000000"/>
      <w:kern w:val="28"/>
      <w:sz w:val="32"/>
      <w:szCs w:val="32"/>
      <w:lang w:eastAsia="en-US"/>
    </w:rPr>
  </w:style>
  <w:style w:type="character" w:styleId="FollowedHyperlink">
    <w:name w:val="FollowedHyperlink"/>
    <w:basedOn w:val="DefaultParagraphFont"/>
    <w:uiPriority w:val="99"/>
    <w:semiHidden/>
    <w:locked/>
    <w:rsid w:val="00E45954"/>
    <w:rPr>
      <w:rFonts w:cs="Times New Roman"/>
      <w:color w:val="800080"/>
      <w:u w:val="single"/>
    </w:rPr>
  </w:style>
  <w:style w:type="paragraph" w:styleId="ListBullet">
    <w:name w:val="List Bullet"/>
    <w:basedOn w:val="Normal"/>
    <w:uiPriority w:val="99"/>
    <w:semiHidden/>
    <w:locked/>
    <w:rsid w:val="00950E88"/>
    <w:pPr>
      <w:tabs>
        <w:tab w:val="num" w:pos="360"/>
      </w:tabs>
      <w:ind w:left="360" w:hanging="360"/>
    </w:pPr>
  </w:style>
  <w:style w:type="paragraph" w:customStyle="1" w:styleId="Contactdetails">
    <w:name w:val="Contact details"/>
    <w:basedOn w:val="Normal"/>
    <w:uiPriority w:val="99"/>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lang w:val="en-US"/>
    </w:rPr>
  </w:style>
  <w:style w:type="character" w:customStyle="1" w:styleId="CharChar9">
    <w:name w:val="Char Char9"/>
    <w:basedOn w:val="DefaultParagraphFont"/>
    <w:uiPriority w:val="99"/>
    <w:semiHidden/>
    <w:locked/>
    <w:rsid w:val="001C451B"/>
    <w:rPr>
      <w:rFonts w:ascii="Arial" w:hAnsi="Arial" w:cs="Times New Roman"/>
      <w:bCs/>
      <w:i/>
      <w:sz w:val="26"/>
      <w:szCs w:val="26"/>
      <w:lang w:val="en-AU" w:eastAsia="en-AU" w:bidi="ar-SA"/>
    </w:rPr>
  </w:style>
  <w:style w:type="character" w:customStyle="1" w:styleId="CharChar8">
    <w:name w:val="Char Char8"/>
    <w:basedOn w:val="DefaultParagraphFont"/>
    <w:uiPriority w:val="99"/>
    <w:semiHidden/>
    <w:locked/>
    <w:rsid w:val="001C451B"/>
    <w:rPr>
      <w:rFonts w:ascii="Arial" w:hAnsi="Arial" w:cs="Times New Roman"/>
      <w:iCs/>
      <w:sz w:val="26"/>
      <w:szCs w:val="26"/>
      <w:lang w:val="en-AU" w:eastAsia="en-AU" w:bidi="ar-SA"/>
    </w:rPr>
  </w:style>
  <w:style w:type="character" w:customStyle="1" w:styleId="CharChar">
    <w:name w:val="Char Char"/>
    <w:basedOn w:val="DefaultParagraphFont"/>
    <w:uiPriority w:val="99"/>
    <w:semiHidden/>
    <w:locked/>
    <w:rsid w:val="001C451B"/>
    <w:rPr>
      <w:rFonts w:ascii="Arial" w:hAnsi="Arial" w:cs="Arial"/>
      <w:lang w:val="en-AU" w:eastAsia="en-AU" w:bidi="ar-SA"/>
    </w:rPr>
  </w:style>
  <w:style w:type="paragraph" w:customStyle="1" w:styleId="DocumentLabel">
    <w:name w:val="Document Label"/>
    <w:basedOn w:val="Normal"/>
    <w:next w:val="Normal"/>
    <w:uiPriority w:val="99"/>
    <w:rsid w:val="004E5579"/>
    <w:pPr>
      <w:keepNext/>
      <w:keepLines/>
      <w:spacing w:before="400" w:after="120" w:line="240" w:lineRule="atLeast"/>
      <w:ind w:left="-840"/>
    </w:pPr>
    <w:rPr>
      <w:rFonts w:ascii="Arial Black" w:hAnsi="Arial Black"/>
      <w:kern w:val="28"/>
      <w:sz w:val="96"/>
    </w:rPr>
  </w:style>
  <w:style w:type="character" w:styleId="CommentReference">
    <w:name w:val="annotation reference"/>
    <w:basedOn w:val="DefaultParagraphFont"/>
    <w:uiPriority w:val="99"/>
    <w:semiHidden/>
    <w:locked/>
    <w:rsid w:val="00C27C28"/>
    <w:rPr>
      <w:rFonts w:cs="Times New Roman"/>
      <w:sz w:val="16"/>
      <w:szCs w:val="16"/>
    </w:rPr>
  </w:style>
  <w:style w:type="paragraph" w:styleId="CommentText">
    <w:name w:val="annotation text"/>
    <w:basedOn w:val="Normal"/>
    <w:link w:val="CommentTextChar"/>
    <w:uiPriority w:val="99"/>
    <w:semiHidden/>
    <w:locked/>
    <w:rsid w:val="00C27C28"/>
  </w:style>
  <w:style w:type="character" w:customStyle="1" w:styleId="CommentTextChar">
    <w:name w:val="Comment Text Char"/>
    <w:basedOn w:val="DefaultParagraphFont"/>
    <w:link w:val="CommentText"/>
    <w:uiPriority w:val="99"/>
    <w:semiHidden/>
    <w:locked/>
    <w:rsid w:val="00DE2F25"/>
    <w:rPr>
      <w:rFonts w:ascii="Arial" w:hAnsi="Arial" w:cs="Times New Roman"/>
      <w:spacing w:val="-5"/>
      <w:sz w:val="20"/>
      <w:szCs w:val="20"/>
      <w:lang w:eastAsia="en-US"/>
    </w:rPr>
  </w:style>
  <w:style w:type="paragraph" w:styleId="CommentSubject">
    <w:name w:val="annotation subject"/>
    <w:basedOn w:val="CommentText"/>
    <w:next w:val="CommentText"/>
    <w:link w:val="CommentSubjectChar"/>
    <w:uiPriority w:val="99"/>
    <w:semiHidden/>
    <w:locked/>
    <w:rsid w:val="00C27C28"/>
    <w:rPr>
      <w:b/>
      <w:bCs/>
    </w:rPr>
  </w:style>
  <w:style w:type="character" w:customStyle="1" w:styleId="CommentSubjectChar">
    <w:name w:val="Comment Subject Char"/>
    <w:basedOn w:val="CommentTextChar"/>
    <w:link w:val="CommentSubject"/>
    <w:uiPriority w:val="99"/>
    <w:semiHidden/>
    <w:locked/>
    <w:rsid w:val="00DE2F25"/>
    <w:rPr>
      <w:rFonts w:ascii="Arial" w:hAnsi="Arial" w:cs="Times New Roman"/>
      <w:b/>
      <w:bCs/>
      <w:spacing w:val="-5"/>
      <w:sz w:val="20"/>
      <w:szCs w:val="20"/>
      <w:lang w:eastAsia="en-US"/>
    </w:rPr>
  </w:style>
  <w:style w:type="paragraph" w:styleId="BalloonText">
    <w:name w:val="Balloon Text"/>
    <w:basedOn w:val="Normal"/>
    <w:link w:val="BalloonTextChar"/>
    <w:uiPriority w:val="99"/>
    <w:semiHidden/>
    <w:locked/>
    <w:rsid w:val="00C27C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2F25"/>
    <w:rPr>
      <w:rFonts w:cs="Times New Roman"/>
      <w:spacing w:val="-5"/>
      <w:sz w:val="2"/>
      <w:lang w:eastAsia="en-US"/>
    </w:rPr>
  </w:style>
  <w:style w:type="character" w:customStyle="1" w:styleId="citation">
    <w:name w:val="citation"/>
    <w:basedOn w:val="DefaultParagraphFont"/>
    <w:uiPriority w:val="99"/>
    <w:rsid w:val="00740B7E"/>
    <w:rPr>
      <w:rFonts w:cs="Times New Roman"/>
    </w:rPr>
  </w:style>
  <w:style w:type="paragraph" w:customStyle="1" w:styleId="Definition">
    <w:name w:val="Definition"/>
    <w:aliases w:val="dd"/>
    <w:basedOn w:val="Normal"/>
    <w:uiPriority w:val="99"/>
    <w:rsid w:val="003972AD"/>
    <w:pPr>
      <w:autoSpaceDE w:val="0"/>
      <w:autoSpaceDN w:val="0"/>
      <w:spacing w:before="180" w:line="260" w:lineRule="atLeast"/>
      <w:ind w:left="1134"/>
    </w:pPr>
    <w:rPr>
      <w:rFonts w:ascii="Times" w:hAnsi="Times" w:cs="Times"/>
      <w:sz w:val="22"/>
      <w:szCs w:val="22"/>
      <w:lang w:eastAsia="en-AU"/>
    </w:rPr>
  </w:style>
  <w:style w:type="paragraph" w:customStyle="1" w:styleId="indenta">
    <w:name w:val="indent(a)"/>
    <w:aliases w:val="a,paragraph"/>
    <w:basedOn w:val="Normal"/>
    <w:rsid w:val="003972AD"/>
    <w:pPr>
      <w:tabs>
        <w:tab w:val="right" w:pos="1531"/>
      </w:tabs>
      <w:autoSpaceDE w:val="0"/>
      <w:autoSpaceDN w:val="0"/>
      <w:spacing w:before="40" w:line="260" w:lineRule="atLeast"/>
      <w:ind w:left="1644" w:hanging="1644"/>
    </w:pPr>
    <w:rPr>
      <w:rFonts w:ascii="Times" w:hAnsi="Times" w:cs="Times"/>
      <w:sz w:val="22"/>
      <w:szCs w:val="22"/>
      <w:lang w:eastAsia="en-AU"/>
    </w:rPr>
  </w:style>
  <w:style w:type="paragraph" w:customStyle="1" w:styleId="indentii">
    <w:name w:val="indent(ii)"/>
    <w:aliases w:val="aa,paragraph(sub)"/>
    <w:basedOn w:val="indenta"/>
    <w:uiPriority w:val="99"/>
    <w:rsid w:val="003972AD"/>
    <w:pPr>
      <w:tabs>
        <w:tab w:val="clear" w:pos="1531"/>
        <w:tab w:val="right" w:pos="1985"/>
      </w:tabs>
      <w:ind w:left="2098" w:hanging="2098"/>
    </w:pPr>
  </w:style>
  <w:style w:type="character" w:customStyle="1" w:styleId="streetline">
    <w:name w:val="streetline"/>
    <w:basedOn w:val="DefaultParagraphFont"/>
    <w:uiPriority w:val="99"/>
    <w:rsid w:val="00244506"/>
    <w:rPr>
      <w:rFonts w:cs="Times New Roman"/>
    </w:rPr>
  </w:style>
  <w:style w:type="character" w:customStyle="1" w:styleId="locality3">
    <w:name w:val="locality3"/>
    <w:basedOn w:val="DefaultParagraphFont"/>
    <w:uiPriority w:val="99"/>
    <w:rsid w:val="00244506"/>
    <w:rPr>
      <w:rFonts w:cs="Times New Roman"/>
      <w:color w:val="666666"/>
    </w:rPr>
  </w:style>
  <w:style w:type="character" w:customStyle="1" w:styleId="state">
    <w:name w:val="state"/>
    <w:basedOn w:val="DefaultParagraphFont"/>
    <w:uiPriority w:val="99"/>
    <w:rsid w:val="00244506"/>
    <w:rPr>
      <w:rFonts w:cs="Times New Roman"/>
    </w:rPr>
  </w:style>
  <w:style w:type="character" w:customStyle="1" w:styleId="postcode">
    <w:name w:val="postcode"/>
    <w:basedOn w:val="DefaultParagraphFont"/>
    <w:uiPriority w:val="99"/>
    <w:rsid w:val="00244506"/>
    <w:rPr>
      <w:rFonts w:cs="Times New Roman"/>
    </w:rPr>
  </w:style>
  <w:style w:type="paragraph" w:styleId="Revision">
    <w:name w:val="Revision"/>
    <w:hidden/>
    <w:uiPriority w:val="99"/>
    <w:semiHidden/>
    <w:rsid w:val="002314FC"/>
    <w:rPr>
      <w:rFonts w:ascii="Arial" w:hAnsi="Arial"/>
      <w:spacing w:val="-5"/>
      <w:lang w:eastAsia="en-US"/>
    </w:rPr>
  </w:style>
  <w:style w:type="paragraph" w:customStyle="1" w:styleId="subsection">
    <w:name w:val="subsection"/>
    <w:aliases w:val="ss"/>
    <w:rsid w:val="003C0EE0"/>
    <w:pPr>
      <w:tabs>
        <w:tab w:val="right" w:pos="1021"/>
      </w:tabs>
      <w:spacing w:before="180"/>
      <w:ind w:left="1134" w:hanging="1134"/>
    </w:pPr>
  </w:style>
  <w:style w:type="paragraph" w:customStyle="1" w:styleId="Style1">
    <w:name w:val="Style1"/>
    <w:basedOn w:val="FootnoteText"/>
    <w:uiPriority w:val="99"/>
    <w:rsid w:val="00A247AA"/>
  </w:style>
  <w:style w:type="paragraph" w:customStyle="1" w:styleId="SubmissionNormal">
    <w:name w:val="Submission Normal"/>
    <w:aliases w:val="No Spacing,No Spacing1"/>
    <w:basedOn w:val="Normal"/>
    <w:link w:val="SubmissionNormalChar"/>
    <w:qFormat/>
    <w:rsid w:val="00306EBC"/>
    <w:pPr>
      <w:numPr>
        <w:numId w:val="6"/>
      </w:numPr>
    </w:pPr>
    <w:rPr>
      <w:szCs w:val="24"/>
      <w:lang w:eastAsia="en-AU"/>
    </w:rPr>
  </w:style>
  <w:style w:type="character" w:customStyle="1" w:styleId="SubmissionNormalChar">
    <w:name w:val="Submission Normal Char"/>
    <w:aliases w:val="No Spacing Char,No Spacing1 Char"/>
    <w:basedOn w:val="DefaultParagraphFont"/>
    <w:link w:val="SubmissionNormal"/>
    <w:locked/>
    <w:rsid w:val="00306EBC"/>
    <w:rPr>
      <w:rFonts w:ascii="Arial" w:hAnsi="Arial"/>
      <w:color w:val="000000"/>
      <w:sz w:val="24"/>
      <w:szCs w:val="24"/>
    </w:rPr>
  </w:style>
  <w:style w:type="paragraph" w:customStyle="1" w:styleId="msolistparagraph0">
    <w:name w:val="msolistparagraph"/>
    <w:basedOn w:val="Normal"/>
    <w:uiPriority w:val="99"/>
    <w:rsid w:val="00D35380"/>
    <w:pPr>
      <w:ind w:left="720"/>
    </w:pPr>
    <w:rPr>
      <w:rFonts w:ascii="Calibri" w:hAnsi="Calibri"/>
      <w:sz w:val="22"/>
      <w:szCs w:val="22"/>
      <w:lang w:eastAsia="en-AU"/>
    </w:rPr>
  </w:style>
  <w:style w:type="paragraph" w:customStyle="1" w:styleId="MainTitle">
    <w:name w:val="Main Title"/>
    <w:uiPriority w:val="99"/>
    <w:semiHidden/>
    <w:rsid w:val="00BE2BC6"/>
    <w:pPr>
      <w:pBdr>
        <w:top w:val="single" w:sz="12" w:space="10" w:color="0070C0"/>
        <w:bottom w:val="single" w:sz="12" w:space="10" w:color="0070C0"/>
      </w:pBdr>
      <w:spacing w:before="240" w:after="240"/>
    </w:pPr>
    <w:rPr>
      <w:rFonts w:ascii="Arial" w:hAnsi="Arial"/>
      <w:bCs/>
      <w:kern w:val="32"/>
      <w:sz w:val="100"/>
      <w:szCs w:val="32"/>
    </w:rPr>
  </w:style>
  <w:style w:type="numbering" w:styleId="ArticleSection">
    <w:name w:val="Outline List 3"/>
    <w:basedOn w:val="NoList"/>
    <w:uiPriority w:val="99"/>
    <w:semiHidden/>
    <w:unhideWhenUsed/>
    <w:locked/>
    <w:rsid w:val="00F04B47"/>
    <w:pPr>
      <w:numPr>
        <w:numId w:val="3"/>
      </w:numPr>
    </w:pPr>
  </w:style>
  <w:style w:type="numbering" w:styleId="1ai">
    <w:name w:val="Outline List 1"/>
    <w:basedOn w:val="NoList"/>
    <w:semiHidden/>
    <w:unhideWhenUsed/>
    <w:locked/>
    <w:rsid w:val="00F04B47"/>
    <w:pPr>
      <w:numPr>
        <w:numId w:val="2"/>
      </w:numPr>
    </w:pPr>
  </w:style>
  <w:style w:type="numbering" w:customStyle="1" w:styleId="StyleNumbered">
    <w:name w:val="Style Numbered"/>
    <w:rsid w:val="00F04B47"/>
    <w:pPr>
      <w:numPr>
        <w:numId w:val="4"/>
      </w:numPr>
    </w:pPr>
  </w:style>
  <w:style w:type="numbering" w:styleId="111111">
    <w:name w:val="Outline List 2"/>
    <w:basedOn w:val="NoList"/>
    <w:semiHidden/>
    <w:unhideWhenUsed/>
    <w:locked/>
    <w:rsid w:val="00F04B47"/>
    <w:pPr>
      <w:numPr>
        <w:numId w:val="1"/>
      </w:numPr>
    </w:pPr>
  </w:style>
  <w:style w:type="paragraph" w:styleId="ListParagraph">
    <w:name w:val="List Paragraph"/>
    <w:basedOn w:val="Normal"/>
    <w:uiPriority w:val="34"/>
    <w:qFormat/>
    <w:rsid w:val="006935F1"/>
    <w:pPr>
      <w:ind w:left="720"/>
    </w:pPr>
  </w:style>
  <w:style w:type="paragraph" w:customStyle="1" w:styleId="paragraphsub">
    <w:name w:val="paragraphsub"/>
    <w:basedOn w:val="Normal"/>
    <w:rsid w:val="006A539A"/>
    <w:pPr>
      <w:spacing w:before="100" w:beforeAutospacing="1" w:after="100" w:afterAutospacing="1"/>
    </w:pPr>
    <w:rPr>
      <w:rFonts w:ascii="Times New Roman" w:hAnsi="Times New Roman"/>
      <w:szCs w:val="24"/>
      <w:lang w:eastAsia="en-AU"/>
    </w:rPr>
  </w:style>
  <w:style w:type="paragraph" w:customStyle="1" w:styleId="NameInsert">
    <w:name w:val="Name Insert"/>
    <w:basedOn w:val="BodyText"/>
    <w:rsid w:val="00846885"/>
    <w:pPr>
      <w:jc w:val="both"/>
    </w:pPr>
    <w:rPr>
      <w:lang w:val="en-US" w:bidi="en-US"/>
    </w:rPr>
  </w:style>
  <w:style w:type="paragraph" w:customStyle="1" w:styleId="Bullet">
    <w:name w:val="Bullet"/>
    <w:basedOn w:val="Normal"/>
    <w:rsid w:val="00BC6494"/>
    <w:pPr>
      <w:numPr>
        <w:numId w:val="8"/>
      </w:numPr>
      <w:spacing w:before="60" w:after="60" w:line="360" w:lineRule="exact"/>
      <w:jc w:val="both"/>
    </w:pPr>
  </w:style>
  <w:style w:type="paragraph" w:styleId="Quote">
    <w:name w:val="Quote"/>
    <w:basedOn w:val="Normal"/>
    <w:link w:val="QuoteChar"/>
    <w:qFormat/>
    <w:rsid w:val="002128CB"/>
    <w:rPr>
      <w:i/>
      <w:iCs/>
      <w:szCs w:val="24"/>
      <w:lang w:eastAsia="en-AU"/>
    </w:rPr>
  </w:style>
  <w:style w:type="character" w:customStyle="1" w:styleId="QuoteChar">
    <w:name w:val="Quote Char"/>
    <w:basedOn w:val="DefaultParagraphFont"/>
    <w:link w:val="Quote"/>
    <w:rsid w:val="002128CB"/>
    <w:rPr>
      <w:rFonts w:ascii="Arial" w:hAnsi="Arial"/>
      <w:i/>
      <w:iCs/>
      <w:color w:val="000000"/>
      <w:sz w:val="24"/>
      <w:szCs w:val="24"/>
    </w:rPr>
  </w:style>
  <w:style w:type="paragraph" w:customStyle="1" w:styleId="BodyBullet">
    <w:name w:val="Body Bullet"/>
    <w:rsid w:val="0065498F"/>
    <w:pPr>
      <w:spacing w:after="200"/>
    </w:pPr>
    <w:rPr>
      <w:rFonts w:ascii="Arial" w:eastAsia="ヒラギノ角ゴ Pro W3" w:hAnsi="Arial"/>
      <w:color w:val="000000"/>
      <w:sz w:val="24"/>
      <w:lang w:val="en-US"/>
    </w:rPr>
  </w:style>
  <w:style w:type="paragraph" w:customStyle="1" w:styleId="InternalTitleAHRC">
    <w:name w:val="Internal Title AHRC"/>
    <w:basedOn w:val="EndnoteText"/>
    <w:uiPriority w:val="99"/>
    <w:rsid w:val="00923CD8"/>
    <w:pPr>
      <w:widowControl w:val="0"/>
      <w:tabs>
        <w:tab w:val="left" w:pos="567"/>
      </w:tabs>
      <w:suppressAutoHyphens/>
      <w:autoSpaceDE w:val="0"/>
      <w:autoSpaceDN w:val="0"/>
      <w:adjustRightInd w:val="0"/>
      <w:spacing w:before="0" w:after="0" w:line="288" w:lineRule="auto"/>
      <w:ind w:left="340" w:hanging="340"/>
      <w:textAlignment w:val="center"/>
    </w:pPr>
    <w:rPr>
      <w:rFonts w:ascii="HelveticaNeueLTPro-Bd" w:hAnsi="HelveticaNeueLTPro-Bd" w:cs="HelveticaNeueLTPro-Bd"/>
      <w:b/>
      <w:bCs/>
      <w:color w:val="6D6E70"/>
      <w:sz w:val="20"/>
      <w:lang w:val="en-US" w:eastAsia="en-AU"/>
    </w:rPr>
  </w:style>
  <w:style w:type="paragraph" w:customStyle="1" w:styleId="CopyrightText">
    <w:name w:val="Copyright Text"/>
    <w:basedOn w:val="Normal"/>
    <w:uiPriority w:val="99"/>
    <w:rsid w:val="00923CD8"/>
    <w:pPr>
      <w:widowControl w:val="0"/>
      <w:tabs>
        <w:tab w:val="left" w:pos="567"/>
      </w:tabs>
      <w:suppressAutoHyphens/>
      <w:autoSpaceDE w:val="0"/>
      <w:autoSpaceDN w:val="0"/>
      <w:adjustRightInd w:val="0"/>
      <w:spacing w:before="0" w:after="57" w:line="288" w:lineRule="auto"/>
      <w:textAlignment w:val="center"/>
    </w:pPr>
    <w:rPr>
      <w:rFonts w:ascii="HelveticaNeueLTPro-Cn" w:hAnsi="HelveticaNeueLTPro-Cn" w:cs="HelveticaNeueLTPro-Cn"/>
      <w:sz w:val="16"/>
      <w:szCs w:val="16"/>
      <w:u w:color="000000"/>
      <w:lang w:eastAsia="en-AU"/>
    </w:rPr>
  </w:style>
  <w:style w:type="character" w:customStyle="1" w:styleId="Bold">
    <w:name w:val="Bold"/>
    <w:uiPriority w:val="99"/>
    <w:rsid w:val="00923CD8"/>
    <w:rPr>
      <w:b/>
      <w:bCs/>
    </w:rPr>
  </w:style>
  <w:style w:type="paragraph" w:customStyle="1" w:styleId="MasterFooter">
    <w:name w:val="Master Footer"/>
    <w:basedOn w:val="Normal"/>
    <w:uiPriority w:val="99"/>
    <w:rsid w:val="00923CD8"/>
    <w:pPr>
      <w:widowControl w:val="0"/>
      <w:suppressAutoHyphens/>
      <w:autoSpaceDE w:val="0"/>
      <w:autoSpaceDN w:val="0"/>
      <w:adjustRightInd w:val="0"/>
      <w:spacing w:before="0" w:after="0" w:line="150" w:lineRule="atLeast"/>
      <w:jc w:val="right"/>
      <w:textAlignment w:val="center"/>
    </w:pPr>
    <w:rPr>
      <w:rFonts w:ascii="HelveticaNeueLTPro-Cn" w:hAnsi="HelveticaNeueLTPro-Cn" w:cs="HelveticaNeueLTPro-Cn"/>
      <w:sz w:val="15"/>
      <w:szCs w:val="15"/>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9820">
      <w:marLeft w:val="0"/>
      <w:marRight w:val="0"/>
      <w:marTop w:val="0"/>
      <w:marBottom w:val="0"/>
      <w:divBdr>
        <w:top w:val="none" w:sz="0" w:space="0" w:color="auto"/>
        <w:left w:val="none" w:sz="0" w:space="0" w:color="auto"/>
        <w:bottom w:val="none" w:sz="0" w:space="0" w:color="auto"/>
        <w:right w:val="none" w:sz="0" w:space="0" w:color="auto"/>
      </w:divBdr>
      <w:divsChild>
        <w:div w:id="103619826">
          <w:marLeft w:val="0"/>
          <w:marRight w:val="0"/>
          <w:marTop w:val="0"/>
          <w:marBottom w:val="0"/>
          <w:divBdr>
            <w:top w:val="none" w:sz="0" w:space="0" w:color="auto"/>
            <w:left w:val="none" w:sz="0" w:space="0" w:color="auto"/>
            <w:bottom w:val="none" w:sz="0" w:space="0" w:color="auto"/>
            <w:right w:val="none" w:sz="0" w:space="0" w:color="auto"/>
          </w:divBdr>
          <w:divsChild>
            <w:div w:id="1036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21">
      <w:marLeft w:val="0"/>
      <w:marRight w:val="0"/>
      <w:marTop w:val="0"/>
      <w:marBottom w:val="0"/>
      <w:divBdr>
        <w:top w:val="none" w:sz="0" w:space="0" w:color="auto"/>
        <w:left w:val="none" w:sz="0" w:space="0" w:color="auto"/>
        <w:bottom w:val="none" w:sz="0" w:space="0" w:color="auto"/>
        <w:right w:val="none" w:sz="0" w:space="0" w:color="auto"/>
      </w:divBdr>
    </w:div>
    <w:div w:id="103619822">
      <w:marLeft w:val="0"/>
      <w:marRight w:val="0"/>
      <w:marTop w:val="0"/>
      <w:marBottom w:val="0"/>
      <w:divBdr>
        <w:top w:val="none" w:sz="0" w:space="0" w:color="auto"/>
        <w:left w:val="none" w:sz="0" w:space="0" w:color="auto"/>
        <w:bottom w:val="none" w:sz="0" w:space="0" w:color="auto"/>
        <w:right w:val="none" w:sz="0" w:space="0" w:color="auto"/>
      </w:divBdr>
    </w:div>
    <w:div w:id="103619823">
      <w:marLeft w:val="0"/>
      <w:marRight w:val="0"/>
      <w:marTop w:val="0"/>
      <w:marBottom w:val="0"/>
      <w:divBdr>
        <w:top w:val="none" w:sz="0" w:space="0" w:color="auto"/>
        <w:left w:val="none" w:sz="0" w:space="0" w:color="auto"/>
        <w:bottom w:val="none" w:sz="0" w:space="0" w:color="auto"/>
        <w:right w:val="none" w:sz="0" w:space="0" w:color="auto"/>
      </w:divBdr>
    </w:div>
    <w:div w:id="103619824">
      <w:marLeft w:val="0"/>
      <w:marRight w:val="0"/>
      <w:marTop w:val="0"/>
      <w:marBottom w:val="0"/>
      <w:divBdr>
        <w:top w:val="none" w:sz="0" w:space="0" w:color="auto"/>
        <w:left w:val="none" w:sz="0" w:space="0" w:color="auto"/>
        <w:bottom w:val="none" w:sz="0" w:space="0" w:color="auto"/>
        <w:right w:val="none" w:sz="0" w:space="0" w:color="auto"/>
      </w:divBdr>
    </w:div>
    <w:div w:id="103619828">
      <w:marLeft w:val="0"/>
      <w:marRight w:val="0"/>
      <w:marTop w:val="0"/>
      <w:marBottom w:val="0"/>
      <w:divBdr>
        <w:top w:val="none" w:sz="0" w:space="0" w:color="auto"/>
        <w:left w:val="none" w:sz="0" w:space="0" w:color="auto"/>
        <w:bottom w:val="none" w:sz="0" w:space="0" w:color="auto"/>
        <w:right w:val="none" w:sz="0" w:space="0" w:color="auto"/>
      </w:divBdr>
    </w:div>
    <w:div w:id="103619829">
      <w:marLeft w:val="0"/>
      <w:marRight w:val="0"/>
      <w:marTop w:val="0"/>
      <w:marBottom w:val="0"/>
      <w:divBdr>
        <w:top w:val="none" w:sz="0" w:space="0" w:color="auto"/>
        <w:left w:val="none" w:sz="0" w:space="0" w:color="auto"/>
        <w:bottom w:val="none" w:sz="0" w:space="0" w:color="auto"/>
        <w:right w:val="none" w:sz="0" w:space="0" w:color="auto"/>
      </w:divBdr>
    </w:div>
    <w:div w:id="103619830">
      <w:marLeft w:val="0"/>
      <w:marRight w:val="0"/>
      <w:marTop w:val="0"/>
      <w:marBottom w:val="0"/>
      <w:divBdr>
        <w:top w:val="none" w:sz="0" w:space="0" w:color="auto"/>
        <w:left w:val="none" w:sz="0" w:space="0" w:color="auto"/>
        <w:bottom w:val="none" w:sz="0" w:space="0" w:color="auto"/>
        <w:right w:val="none" w:sz="0" w:space="0" w:color="auto"/>
      </w:divBdr>
      <w:divsChild>
        <w:div w:id="103619819">
          <w:marLeft w:val="0"/>
          <w:marRight w:val="0"/>
          <w:marTop w:val="0"/>
          <w:marBottom w:val="0"/>
          <w:divBdr>
            <w:top w:val="none" w:sz="0" w:space="0" w:color="auto"/>
            <w:left w:val="none" w:sz="0" w:space="0" w:color="auto"/>
            <w:bottom w:val="none" w:sz="0" w:space="0" w:color="auto"/>
            <w:right w:val="none" w:sz="0" w:space="0" w:color="auto"/>
          </w:divBdr>
          <w:divsChild>
            <w:div w:id="1036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1">
      <w:marLeft w:val="0"/>
      <w:marRight w:val="0"/>
      <w:marTop w:val="0"/>
      <w:marBottom w:val="0"/>
      <w:divBdr>
        <w:top w:val="none" w:sz="0" w:space="0" w:color="auto"/>
        <w:left w:val="none" w:sz="0" w:space="0" w:color="auto"/>
        <w:bottom w:val="none" w:sz="0" w:space="0" w:color="auto"/>
        <w:right w:val="none" w:sz="0" w:space="0" w:color="auto"/>
      </w:divBdr>
    </w:div>
    <w:div w:id="103619832">
      <w:marLeft w:val="0"/>
      <w:marRight w:val="0"/>
      <w:marTop w:val="0"/>
      <w:marBottom w:val="0"/>
      <w:divBdr>
        <w:top w:val="none" w:sz="0" w:space="0" w:color="auto"/>
        <w:left w:val="none" w:sz="0" w:space="0" w:color="auto"/>
        <w:bottom w:val="none" w:sz="0" w:space="0" w:color="auto"/>
        <w:right w:val="none" w:sz="0" w:space="0" w:color="auto"/>
      </w:divBdr>
    </w:div>
    <w:div w:id="103619833">
      <w:marLeft w:val="0"/>
      <w:marRight w:val="0"/>
      <w:marTop w:val="0"/>
      <w:marBottom w:val="0"/>
      <w:divBdr>
        <w:top w:val="none" w:sz="0" w:space="0" w:color="auto"/>
        <w:left w:val="none" w:sz="0" w:space="0" w:color="auto"/>
        <w:bottom w:val="none" w:sz="0" w:space="0" w:color="auto"/>
        <w:right w:val="none" w:sz="0" w:space="0" w:color="auto"/>
      </w:divBdr>
    </w:div>
    <w:div w:id="103619834">
      <w:marLeft w:val="0"/>
      <w:marRight w:val="0"/>
      <w:marTop w:val="0"/>
      <w:marBottom w:val="0"/>
      <w:divBdr>
        <w:top w:val="none" w:sz="0" w:space="0" w:color="auto"/>
        <w:left w:val="none" w:sz="0" w:space="0" w:color="auto"/>
        <w:bottom w:val="none" w:sz="0" w:space="0" w:color="auto"/>
        <w:right w:val="none" w:sz="0" w:space="0" w:color="auto"/>
      </w:divBdr>
      <w:divsChild>
        <w:div w:id="103619836">
          <w:marLeft w:val="0"/>
          <w:marRight w:val="0"/>
          <w:marTop w:val="0"/>
          <w:marBottom w:val="0"/>
          <w:divBdr>
            <w:top w:val="none" w:sz="0" w:space="0" w:color="auto"/>
            <w:left w:val="none" w:sz="0" w:space="0" w:color="auto"/>
            <w:bottom w:val="none" w:sz="0" w:space="0" w:color="auto"/>
            <w:right w:val="none" w:sz="0" w:space="0" w:color="auto"/>
          </w:divBdr>
          <w:divsChild>
            <w:div w:id="1036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5">
      <w:marLeft w:val="0"/>
      <w:marRight w:val="0"/>
      <w:marTop w:val="0"/>
      <w:marBottom w:val="0"/>
      <w:divBdr>
        <w:top w:val="none" w:sz="0" w:space="0" w:color="auto"/>
        <w:left w:val="none" w:sz="0" w:space="0" w:color="auto"/>
        <w:bottom w:val="none" w:sz="0" w:space="0" w:color="auto"/>
        <w:right w:val="none" w:sz="0" w:space="0" w:color="auto"/>
      </w:divBdr>
    </w:div>
    <w:div w:id="139539942">
      <w:bodyDiv w:val="1"/>
      <w:marLeft w:val="0"/>
      <w:marRight w:val="0"/>
      <w:marTop w:val="0"/>
      <w:marBottom w:val="0"/>
      <w:divBdr>
        <w:top w:val="none" w:sz="0" w:space="0" w:color="auto"/>
        <w:left w:val="none" w:sz="0" w:space="0" w:color="auto"/>
        <w:bottom w:val="none" w:sz="0" w:space="0" w:color="auto"/>
        <w:right w:val="none" w:sz="0" w:space="0" w:color="auto"/>
      </w:divBdr>
    </w:div>
    <w:div w:id="337469033">
      <w:bodyDiv w:val="1"/>
      <w:marLeft w:val="0"/>
      <w:marRight w:val="0"/>
      <w:marTop w:val="0"/>
      <w:marBottom w:val="0"/>
      <w:divBdr>
        <w:top w:val="none" w:sz="0" w:space="0" w:color="auto"/>
        <w:left w:val="none" w:sz="0" w:space="0" w:color="auto"/>
        <w:bottom w:val="none" w:sz="0" w:space="0" w:color="auto"/>
        <w:right w:val="none" w:sz="0" w:space="0" w:color="auto"/>
      </w:divBdr>
    </w:div>
    <w:div w:id="355353605">
      <w:bodyDiv w:val="1"/>
      <w:marLeft w:val="0"/>
      <w:marRight w:val="0"/>
      <w:marTop w:val="0"/>
      <w:marBottom w:val="0"/>
      <w:divBdr>
        <w:top w:val="none" w:sz="0" w:space="0" w:color="auto"/>
        <w:left w:val="none" w:sz="0" w:space="0" w:color="auto"/>
        <w:bottom w:val="none" w:sz="0" w:space="0" w:color="auto"/>
        <w:right w:val="none" w:sz="0" w:space="0" w:color="auto"/>
      </w:divBdr>
    </w:div>
    <w:div w:id="564148833">
      <w:bodyDiv w:val="1"/>
      <w:marLeft w:val="0"/>
      <w:marRight w:val="0"/>
      <w:marTop w:val="0"/>
      <w:marBottom w:val="0"/>
      <w:divBdr>
        <w:top w:val="none" w:sz="0" w:space="0" w:color="auto"/>
        <w:left w:val="none" w:sz="0" w:space="0" w:color="auto"/>
        <w:bottom w:val="none" w:sz="0" w:space="0" w:color="auto"/>
        <w:right w:val="none" w:sz="0" w:space="0" w:color="auto"/>
      </w:divBdr>
      <w:divsChild>
        <w:div w:id="1019815089">
          <w:marLeft w:val="0"/>
          <w:marRight w:val="0"/>
          <w:marTop w:val="0"/>
          <w:marBottom w:val="0"/>
          <w:divBdr>
            <w:top w:val="none" w:sz="0" w:space="0" w:color="auto"/>
            <w:left w:val="none" w:sz="0" w:space="0" w:color="auto"/>
            <w:bottom w:val="none" w:sz="0" w:space="0" w:color="auto"/>
            <w:right w:val="none" w:sz="0" w:space="0" w:color="auto"/>
          </w:divBdr>
          <w:divsChild>
            <w:div w:id="1470317821">
              <w:marLeft w:val="0"/>
              <w:marRight w:val="0"/>
              <w:marTop w:val="0"/>
              <w:marBottom w:val="0"/>
              <w:divBdr>
                <w:top w:val="none" w:sz="0" w:space="0" w:color="auto"/>
                <w:left w:val="none" w:sz="0" w:space="0" w:color="auto"/>
                <w:bottom w:val="none" w:sz="0" w:space="0" w:color="auto"/>
                <w:right w:val="none" w:sz="0" w:space="0" w:color="auto"/>
              </w:divBdr>
              <w:divsChild>
                <w:div w:id="15278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80739">
      <w:bodyDiv w:val="1"/>
      <w:marLeft w:val="0"/>
      <w:marRight w:val="0"/>
      <w:marTop w:val="0"/>
      <w:marBottom w:val="0"/>
      <w:divBdr>
        <w:top w:val="none" w:sz="0" w:space="0" w:color="auto"/>
        <w:left w:val="none" w:sz="0" w:space="0" w:color="auto"/>
        <w:bottom w:val="none" w:sz="0" w:space="0" w:color="auto"/>
        <w:right w:val="none" w:sz="0" w:space="0" w:color="auto"/>
      </w:divBdr>
    </w:div>
    <w:div w:id="1063715832">
      <w:bodyDiv w:val="1"/>
      <w:marLeft w:val="0"/>
      <w:marRight w:val="0"/>
      <w:marTop w:val="0"/>
      <w:marBottom w:val="0"/>
      <w:divBdr>
        <w:top w:val="none" w:sz="0" w:space="0" w:color="auto"/>
        <w:left w:val="none" w:sz="0" w:space="0" w:color="auto"/>
        <w:bottom w:val="none" w:sz="0" w:space="0" w:color="auto"/>
        <w:right w:val="none" w:sz="0" w:space="0" w:color="auto"/>
      </w:divBdr>
    </w:div>
    <w:div w:id="1156798644">
      <w:bodyDiv w:val="1"/>
      <w:marLeft w:val="0"/>
      <w:marRight w:val="0"/>
      <w:marTop w:val="0"/>
      <w:marBottom w:val="0"/>
      <w:divBdr>
        <w:top w:val="none" w:sz="0" w:space="0" w:color="auto"/>
        <w:left w:val="none" w:sz="0" w:space="0" w:color="auto"/>
        <w:bottom w:val="none" w:sz="0" w:space="0" w:color="auto"/>
        <w:right w:val="none" w:sz="0" w:space="0" w:color="auto"/>
      </w:divBdr>
    </w:div>
    <w:div w:id="1196650023">
      <w:bodyDiv w:val="1"/>
      <w:marLeft w:val="0"/>
      <w:marRight w:val="0"/>
      <w:marTop w:val="0"/>
      <w:marBottom w:val="0"/>
      <w:divBdr>
        <w:top w:val="none" w:sz="0" w:space="0" w:color="auto"/>
        <w:left w:val="none" w:sz="0" w:space="0" w:color="auto"/>
        <w:bottom w:val="none" w:sz="0" w:space="0" w:color="auto"/>
        <w:right w:val="none" w:sz="0" w:space="0" w:color="auto"/>
      </w:divBdr>
    </w:div>
    <w:div w:id="1293711185">
      <w:bodyDiv w:val="1"/>
      <w:marLeft w:val="0"/>
      <w:marRight w:val="0"/>
      <w:marTop w:val="0"/>
      <w:marBottom w:val="0"/>
      <w:divBdr>
        <w:top w:val="none" w:sz="0" w:space="0" w:color="auto"/>
        <w:left w:val="none" w:sz="0" w:space="0" w:color="auto"/>
        <w:bottom w:val="none" w:sz="0" w:space="0" w:color="auto"/>
        <w:right w:val="none" w:sz="0" w:space="0" w:color="auto"/>
      </w:divBdr>
    </w:div>
    <w:div w:id="1680616649">
      <w:bodyDiv w:val="1"/>
      <w:marLeft w:val="0"/>
      <w:marRight w:val="0"/>
      <w:marTop w:val="0"/>
      <w:marBottom w:val="0"/>
      <w:divBdr>
        <w:top w:val="none" w:sz="0" w:space="0" w:color="auto"/>
        <w:left w:val="none" w:sz="0" w:space="0" w:color="auto"/>
        <w:bottom w:val="none" w:sz="0" w:space="0" w:color="auto"/>
        <w:right w:val="none" w:sz="0" w:space="0" w:color="auto"/>
      </w:divBdr>
      <w:divsChild>
        <w:div w:id="1345397315">
          <w:marLeft w:val="0"/>
          <w:marRight w:val="0"/>
          <w:marTop w:val="0"/>
          <w:marBottom w:val="0"/>
          <w:divBdr>
            <w:top w:val="none" w:sz="0" w:space="0" w:color="auto"/>
            <w:left w:val="none" w:sz="0" w:space="0" w:color="auto"/>
            <w:bottom w:val="none" w:sz="0" w:space="0" w:color="auto"/>
            <w:right w:val="none" w:sz="0" w:space="0" w:color="auto"/>
          </w:divBdr>
          <w:divsChild>
            <w:div w:id="1846675919">
              <w:marLeft w:val="0"/>
              <w:marRight w:val="0"/>
              <w:marTop w:val="0"/>
              <w:marBottom w:val="0"/>
              <w:divBdr>
                <w:top w:val="none" w:sz="0" w:space="0" w:color="auto"/>
                <w:left w:val="none" w:sz="0" w:space="0" w:color="auto"/>
                <w:bottom w:val="none" w:sz="0" w:space="0" w:color="auto"/>
                <w:right w:val="none" w:sz="0" w:space="0" w:color="auto"/>
              </w:divBdr>
              <w:divsChild>
                <w:div w:id="1596212615">
                  <w:marLeft w:val="0"/>
                  <w:marRight w:val="0"/>
                  <w:marTop w:val="0"/>
                  <w:marBottom w:val="0"/>
                  <w:divBdr>
                    <w:top w:val="none" w:sz="0" w:space="0" w:color="auto"/>
                    <w:left w:val="none" w:sz="0" w:space="0" w:color="auto"/>
                    <w:bottom w:val="none" w:sz="0" w:space="0" w:color="auto"/>
                    <w:right w:val="none" w:sz="0" w:space="0" w:color="auto"/>
                  </w:divBdr>
                  <w:divsChild>
                    <w:div w:id="1119452805">
                      <w:marLeft w:val="0"/>
                      <w:marRight w:val="0"/>
                      <w:marTop w:val="0"/>
                      <w:marBottom w:val="0"/>
                      <w:divBdr>
                        <w:top w:val="none" w:sz="0" w:space="0" w:color="auto"/>
                        <w:left w:val="none" w:sz="0" w:space="0" w:color="auto"/>
                        <w:bottom w:val="none" w:sz="0" w:space="0" w:color="auto"/>
                        <w:right w:val="none" w:sz="0" w:space="0" w:color="auto"/>
                      </w:divBdr>
                      <w:divsChild>
                        <w:div w:id="900821739">
                          <w:marLeft w:val="0"/>
                          <w:marRight w:val="0"/>
                          <w:marTop w:val="0"/>
                          <w:marBottom w:val="0"/>
                          <w:divBdr>
                            <w:top w:val="none" w:sz="0" w:space="0" w:color="auto"/>
                            <w:left w:val="none" w:sz="0" w:space="0" w:color="auto"/>
                            <w:bottom w:val="none" w:sz="0" w:space="0" w:color="auto"/>
                            <w:right w:val="none" w:sz="0" w:space="0" w:color="auto"/>
                          </w:divBdr>
                          <w:divsChild>
                            <w:div w:id="440027746">
                              <w:marLeft w:val="0"/>
                              <w:marRight w:val="0"/>
                              <w:marTop w:val="0"/>
                              <w:marBottom w:val="0"/>
                              <w:divBdr>
                                <w:top w:val="none" w:sz="0" w:space="0" w:color="auto"/>
                                <w:left w:val="none" w:sz="0" w:space="0" w:color="auto"/>
                                <w:bottom w:val="none" w:sz="0" w:space="0" w:color="auto"/>
                                <w:right w:val="none" w:sz="0" w:space="0" w:color="auto"/>
                              </w:divBdr>
                              <w:divsChild>
                                <w:div w:id="19461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3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humanrights.gov.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creativecommons.org/licenses/by/4.0/legalcod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7D0B-9E5B-41D6-901D-04FA255D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4700</Words>
  <Characters>23990</Characters>
  <Application>Microsoft Office Word</Application>
  <DocSecurity>0</DocSecurity>
  <Lines>199</Lines>
  <Paragraphs>57</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Bronwyn Byrnes</dc:creator>
  <cp:lastModifiedBy>Mala Wadhera</cp:lastModifiedBy>
  <cp:revision>7</cp:revision>
  <cp:lastPrinted>2015-03-24T23:28:00Z</cp:lastPrinted>
  <dcterms:created xsi:type="dcterms:W3CDTF">2015-11-11T05:49:00Z</dcterms:created>
  <dcterms:modified xsi:type="dcterms:W3CDTF">2015-11-11T05:52:00Z</dcterms:modified>
</cp:coreProperties>
</file>