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591951" w:rsidRPr="00654793" w:rsidRDefault="005F72A8" w:rsidP="00591951">
      <w:pPr>
        <w:tabs>
          <w:tab w:val="left" w:pos="3014"/>
        </w:tabs>
        <w:spacing w:after="3000"/>
        <w:rPr>
          <w:rStyle w:val="FootnoteReference"/>
        </w:rPr>
      </w:pPr>
      <w:r>
        <w:rPr>
          <w:noProof/>
        </w:rPr>
        <mc:AlternateContent>
          <mc:Choice Requires="wps">
            <w:drawing>
              <wp:anchor distT="0" distB="0" distL="114300" distR="114300" simplePos="0" relativeHeight="251657216" behindDoc="0" locked="0" layoutInCell="1" allowOverlap="1">
                <wp:simplePos x="0" y="0"/>
                <wp:positionH relativeFrom="column">
                  <wp:posOffset>-549556</wp:posOffset>
                </wp:positionH>
                <wp:positionV relativeFrom="paragraph">
                  <wp:posOffset>-44569</wp:posOffset>
                </wp:positionV>
                <wp:extent cx="6282690" cy="1541721"/>
                <wp:effectExtent l="0" t="0" r="0"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2690" cy="1541721"/>
                        </a:xfrm>
                        <a:prstGeom prst="rect">
                          <a:avLst/>
                        </a:prstGeom>
                        <a:noFill/>
                        <a:ln w="6350">
                          <a:noFill/>
                        </a:ln>
                        <a:effectLst/>
                      </wps:spPr>
                      <wps:txbx>
                        <w:txbxContent>
                          <w:p w:rsidR="009D6210" w:rsidRDefault="009D6210" w:rsidP="00FD01B5">
                            <w:pPr>
                              <w:pStyle w:val="MainTitle"/>
                            </w:pPr>
                            <w:r>
                              <w:t>Australian Human Rights Commission Inspection of Perth Immigration Detention Centre: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3.25pt;margin-top:-3.5pt;width:494.7pt;height:121.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" filled="f" stroked="f" strokeweight=".5pt">
                <v:path arrowok="t"/>
                <v:textbox>
                  <w:txbxContent>
                    <w:p w:rsidR="009D6210" w:rsidRDefault="009D6210" w:rsidP="00FD01B5">
                      <w:pPr>
                        <w:pStyle w:val="MainTitle"/>
                      </w:pPr>
                      <w:r>
                        <w:t>Australian Human Rights Commission Inspection of Perth Immigration Detention Centre: Report</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1395095</wp:posOffset>
                </wp:positionH>
                <wp:positionV relativeFrom="paragraph">
                  <wp:posOffset>1548765</wp:posOffset>
                </wp:positionV>
                <wp:extent cx="4339590" cy="39179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9590" cy="391795"/>
                        </a:xfrm>
                        <a:prstGeom prst="rect">
                          <a:avLst/>
                        </a:prstGeom>
                        <a:noFill/>
                        <a:ln w="6350">
                          <a:noFill/>
                        </a:ln>
                        <a:effectLst/>
                      </wps:spPr>
                      <wps:txbx>
                        <w:txbxContent>
                          <w:p w:rsidR="009D6210" w:rsidRPr="00B74219" w:rsidRDefault="009D6210" w:rsidP="00A11307">
                            <w:pPr>
                              <w:pStyle w:val="Subtitle"/>
                            </w:pPr>
                            <w:bookmarkStart w:id="1" w:name="_Toc489008103"/>
                            <w:bookmarkStart w:id="2" w:name="_Toc489008042"/>
                            <w:bookmarkStart w:id="3" w:name="_Toc486255782"/>
                            <w:bookmarkStart w:id="4" w:name="_Toc488245301"/>
                            <w:bookmarkStart w:id="5" w:name="_Toc488922441"/>
                            <w:bookmarkStart w:id="6" w:name="_Toc489007897"/>
                            <w:bookmarkStart w:id="7" w:name="_Toc489007988"/>
                            <w:bookmarkStart w:id="8" w:name="_Toc496796075"/>
                            <w:bookmarkStart w:id="9" w:name="_Toc503948652"/>
                            <w:r>
                              <w:t>21 August 2017</w:t>
                            </w:r>
                            <w:bookmarkEnd w:id="1"/>
                            <w:bookmarkEnd w:id="2"/>
                            <w:bookmarkEnd w:id="3"/>
                            <w:bookmarkEnd w:id="4"/>
                            <w:bookmarkEnd w:id="5"/>
                            <w:bookmarkEnd w:id="6"/>
                            <w:bookmarkEnd w:id="7"/>
                            <w:bookmarkEnd w:id="8"/>
                            <w:bookmarkEnd w:id="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109.85pt;margin-top:121.95pt;width:341.7pt;height:30.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" filled="f" stroked="f" strokeweight=".5pt">
                <v:path arrowok="t"/>
                <v:textbox>
                  <w:txbxContent>
                    <w:p w:rsidR="009D6210" w:rsidRPr="00B74219" w:rsidRDefault="009D6210" w:rsidP="00A11307">
                      <w:pPr>
                        <w:pStyle w:val="Subtitle"/>
                      </w:pPr>
                      <w:bookmarkStart w:id="9" w:name="_Toc489008103"/>
                      <w:bookmarkStart w:id="10" w:name="_Toc489008042"/>
                      <w:bookmarkStart w:id="11" w:name="_Toc486255782"/>
                      <w:bookmarkStart w:id="12" w:name="_Toc488245301"/>
                      <w:bookmarkStart w:id="13" w:name="_Toc488922441"/>
                      <w:bookmarkStart w:id="14" w:name="_Toc489007897"/>
                      <w:bookmarkStart w:id="15" w:name="_Toc489007988"/>
                      <w:bookmarkStart w:id="16" w:name="_Toc496796075"/>
                      <w:bookmarkStart w:id="17" w:name="_Toc503948652"/>
                      <w:r>
                        <w:t>21 August 2017</w:t>
                      </w:r>
                      <w:bookmarkEnd w:id="9"/>
                      <w:bookmarkEnd w:id="10"/>
                      <w:bookmarkEnd w:id="11"/>
                      <w:bookmarkEnd w:id="12"/>
                      <w:bookmarkEnd w:id="13"/>
                      <w:bookmarkEnd w:id="14"/>
                      <w:bookmarkEnd w:id="15"/>
                      <w:bookmarkEnd w:id="16"/>
                      <w:bookmarkEnd w:id="17"/>
                    </w:p>
                  </w:txbxContent>
                </v:textbox>
              </v:shape>
            </w:pict>
          </mc:Fallback>
        </mc:AlternateContent>
      </w:r>
    </w:p>
    <w:p w:rsidR="00591951" w:rsidRPr="00827DE2" w:rsidRDefault="00591951" w:rsidP="00591951">
      <w:pPr>
        <w:pStyle w:val="MainTitle"/>
        <w:rPr>
          <w:sz w:val="44"/>
          <w:szCs w:val="44"/>
        </w:rPr>
      </w:pPr>
    </w:p>
    <w:p w:rsidR="00B924E6" w:rsidRDefault="00B924E6" w:rsidP="00E26B28">
      <w:pPr>
        <w:sectPr w:rsidR="00B924E6" w:rsidSect="00B24B1D">
          <w:headerReference w:type="even" r:id="rId8"/>
          <w:headerReference w:type="default" r:id="rId9"/>
          <w:footerReference w:type="default" r:id="rId10"/>
          <w:headerReference w:type="first" r:id="rId11"/>
          <w:footerReference w:type="first" r:id="rId12"/>
          <w:type w:val="continuous"/>
          <w:pgSz w:w="11906" w:h="16838" w:code="9"/>
          <w:pgMar w:top="228" w:right="1700" w:bottom="1134" w:left="1418" w:header="277" w:footer="415" w:gutter="0"/>
          <w:cols w:space="708"/>
          <w:titlePg/>
          <w:docGrid w:linePitch="360"/>
        </w:sectPr>
      </w:pPr>
      <w:bookmarkStart w:id="10" w:name="_Toc209316062"/>
      <w:bookmarkEnd w:id="10"/>
    </w:p>
    <w:p w:rsidR="002E1DCB" w:rsidRDefault="00B63D24" w:rsidP="00682B23">
      <w:pPr>
        <w:rPr>
          <w:noProof/>
        </w:rPr>
      </w:pPr>
      <w:bookmarkStart w:id="11" w:name="_Toc207761829"/>
      <w:r w:rsidRPr="00907336">
        <w:rPr>
          <w:b/>
          <w:sz w:val="28"/>
          <w:szCs w:val="28"/>
        </w:rPr>
        <w:lastRenderedPageBreak/>
        <w:t>Table of Contents</w:t>
      </w:r>
      <w:bookmarkEnd w:id="11"/>
      <w:r w:rsidR="00682B23">
        <w:rPr>
          <w:i/>
        </w:rPr>
        <w:fldChar w:fldCharType="begin"/>
      </w:r>
      <w:r w:rsidR="00682B23">
        <w:rPr>
          <w:i/>
        </w:rPr>
        <w:instrText xml:space="preserve"> TOC \o "1-4" \h \z \u </w:instrText>
      </w:r>
      <w:r w:rsidR="00682B23">
        <w:rPr>
          <w:i/>
        </w:rPr>
        <w:fldChar w:fldCharType="separate"/>
      </w:r>
    </w:p>
    <w:p w:rsidR="002E1DCB" w:rsidRDefault="00B95721">
      <w:pPr>
        <w:pStyle w:val="TOC1"/>
        <w:rPr>
          <w:rFonts w:asciiTheme="minorHAnsi" w:eastAsiaTheme="minorEastAsia" w:hAnsiTheme="minorHAnsi" w:cstheme="minorBidi"/>
          <w:b w:val="0"/>
          <w:sz w:val="22"/>
          <w:szCs w:val="22"/>
        </w:rPr>
      </w:pPr>
      <w:hyperlink w:anchor="_Toc503948654" w:history="1">
        <w:r w:rsidR="002E1DCB" w:rsidRPr="00391916">
          <w:rPr>
            <w:rStyle w:val="Hyperlink"/>
          </w:rPr>
          <w:t>1</w:t>
        </w:r>
        <w:r w:rsidR="002E1DCB">
          <w:rPr>
            <w:rFonts w:asciiTheme="minorHAnsi" w:eastAsiaTheme="minorEastAsia" w:hAnsiTheme="minorHAnsi" w:cstheme="minorBidi"/>
            <w:b w:val="0"/>
            <w:sz w:val="22"/>
            <w:szCs w:val="22"/>
          </w:rPr>
          <w:tab/>
        </w:r>
        <w:r w:rsidR="002E1DCB" w:rsidRPr="00391916">
          <w:rPr>
            <w:rStyle w:val="Hyperlink"/>
          </w:rPr>
          <w:t>Introduction</w:t>
        </w:r>
        <w:r w:rsidR="002E1DCB">
          <w:rPr>
            <w:webHidden/>
          </w:rPr>
          <w:tab/>
        </w:r>
        <w:r w:rsidR="002E1DCB">
          <w:rPr>
            <w:webHidden/>
          </w:rPr>
          <w:fldChar w:fldCharType="begin"/>
        </w:r>
        <w:r w:rsidR="002E1DCB">
          <w:rPr>
            <w:webHidden/>
          </w:rPr>
          <w:instrText xml:space="preserve"> PAGEREF _Toc503948654 \h </w:instrText>
        </w:r>
        <w:r w:rsidR="002E1DCB">
          <w:rPr>
            <w:webHidden/>
          </w:rPr>
        </w:r>
        <w:r w:rsidR="002E1DCB">
          <w:rPr>
            <w:webHidden/>
          </w:rPr>
          <w:fldChar w:fldCharType="separate"/>
        </w:r>
        <w:r w:rsidR="002E1DCB">
          <w:rPr>
            <w:webHidden/>
          </w:rPr>
          <w:t>5</w:t>
        </w:r>
        <w:r w:rsidR="002E1DCB">
          <w:rPr>
            <w:webHidden/>
          </w:rPr>
          <w:fldChar w:fldCharType="end"/>
        </w:r>
      </w:hyperlink>
    </w:p>
    <w:p w:rsidR="002E1DCB" w:rsidRDefault="00B95721">
      <w:pPr>
        <w:pStyle w:val="TOC1"/>
        <w:rPr>
          <w:rFonts w:asciiTheme="minorHAnsi" w:eastAsiaTheme="minorEastAsia" w:hAnsiTheme="minorHAnsi" w:cstheme="minorBidi"/>
          <w:b w:val="0"/>
          <w:sz w:val="22"/>
          <w:szCs w:val="22"/>
        </w:rPr>
      </w:pPr>
      <w:hyperlink w:anchor="_Toc503948655" w:history="1">
        <w:r w:rsidR="002E1DCB" w:rsidRPr="00391916">
          <w:rPr>
            <w:rStyle w:val="Hyperlink"/>
          </w:rPr>
          <w:t>2</w:t>
        </w:r>
        <w:r w:rsidR="002E1DCB">
          <w:rPr>
            <w:rFonts w:asciiTheme="minorHAnsi" w:eastAsiaTheme="minorEastAsia" w:hAnsiTheme="minorHAnsi" w:cstheme="minorBidi"/>
            <w:b w:val="0"/>
            <w:sz w:val="22"/>
            <w:szCs w:val="22"/>
          </w:rPr>
          <w:tab/>
        </w:r>
        <w:r w:rsidR="002E1DCB" w:rsidRPr="00391916">
          <w:rPr>
            <w:rStyle w:val="Hyperlink"/>
          </w:rPr>
          <w:t>Background</w:t>
        </w:r>
        <w:r w:rsidR="002E1DCB">
          <w:rPr>
            <w:webHidden/>
          </w:rPr>
          <w:tab/>
        </w:r>
        <w:r w:rsidR="002E1DCB">
          <w:rPr>
            <w:webHidden/>
          </w:rPr>
          <w:fldChar w:fldCharType="begin"/>
        </w:r>
        <w:r w:rsidR="002E1DCB">
          <w:rPr>
            <w:webHidden/>
          </w:rPr>
          <w:instrText xml:space="preserve"> PAGEREF _Toc503948655 \h </w:instrText>
        </w:r>
        <w:r w:rsidR="002E1DCB">
          <w:rPr>
            <w:webHidden/>
          </w:rPr>
        </w:r>
        <w:r w:rsidR="002E1DCB">
          <w:rPr>
            <w:webHidden/>
          </w:rPr>
          <w:fldChar w:fldCharType="separate"/>
        </w:r>
        <w:r w:rsidR="002E1DCB">
          <w:rPr>
            <w:webHidden/>
          </w:rPr>
          <w:t>6</w:t>
        </w:r>
        <w:r w:rsidR="002E1DCB">
          <w:rPr>
            <w:webHidden/>
          </w:rPr>
          <w:fldChar w:fldCharType="end"/>
        </w:r>
      </w:hyperlink>
    </w:p>
    <w:p w:rsidR="002E1DCB" w:rsidRDefault="00B95721">
      <w:pPr>
        <w:pStyle w:val="TOC2"/>
        <w:rPr>
          <w:rFonts w:asciiTheme="minorHAnsi" w:eastAsiaTheme="minorEastAsia" w:hAnsiTheme="minorHAnsi" w:cstheme="minorBidi"/>
          <w:b w:val="0"/>
          <w:i w:val="0"/>
          <w:sz w:val="22"/>
          <w:szCs w:val="22"/>
        </w:rPr>
      </w:pPr>
      <w:hyperlink w:anchor="_Toc503948656" w:history="1">
        <w:r w:rsidR="002E1DCB" w:rsidRPr="00391916">
          <w:rPr>
            <w:rStyle w:val="Hyperlink"/>
          </w:rPr>
          <w:t>2.1</w:t>
        </w:r>
        <w:r w:rsidR="002E1DCB">
          <w:rPr>
            <w:rFonts w:asciiTheme="minorHAnsi" w:eastAsiaTheme="minorEastAsia" w:hAnsiTheme="minorHAnsi" w:cstheme="minorBidi"/>
            <w:b w:val="0"/>
            <w:i w:val="0"/>
            <w:sz w:val="22"/>
            <w:szCs w:val="22"/>
          </w:rPr>
          <w:tab/>
        </w:r>
        <w:r w:rsidR="002E1DCB" w:rsidRPr="00391916">
          <w:rPr>
            <w:rStyle w:val="Hyperlink"/>
          </w:rPr>
          <w:t>Previous inspections</w:t>
        </w:r>
        <w:r w:rsidR="002E1DCB">
          <w:rPr>
            <w:webHidden/>
          </w:rPr>
          <w:tab/>
        </w:r>
        <w:r w:rsidR="002E1DCB">
          <w:rPr>
            <w:webHidden/>
          </w:rPr>
          <w:fldChar w:fldCharType="begin"/>
        </w:r>
        <w:r w:rsidR="002E1DCB">
          <w:rPr>
            <w:webHidden/>
          </w:rPr>
          <w:instrText xml:space="preserve"> PAGEREF _Toc503948656 \h </w:instrText>
        </w:r>
        <w:r w:rsidR="002E1DCB">
          <w:rPr>
            <w:webHidden/>
          </w:rPr>
        </w:r>
        <w:r w:rsidR="002E1DCB">
          <w:rPr>
            <w:webHidden/>
          </w:rPr>
          <w:fldChar w:fldCharType="separate"/>
        </w:r>
        <w:r w:rsidR="002E1DCB">
          <w:rPr>
            <w:webHidden/>
          </w:rPr>
          <w:t>6</w:t>
        </w:r>
        <w:r w:rsidR="002E1DCB">
          <w:rPr>
            <w:webHidden/>
          </w:rPr>
          <w:fldChar w:fldCharType="end"/>
        </w:r>
      </w:hyperlink>
    </w:p>
    <w:p w:rsidR="002E1DCB" w:rsidRDefault="00B95721">
      <w:pPr>
        <w:pStyle w:val="TOC2"/>
        <w:rPr>
          <w:rFonts w:asciiTheme="minorHAnsi" w:eastAsiaTheme="minorEastAsia" w:hAnsiTheme="minorHAnsi" w:cstheme="minorBidi"/>
          <w:b w:val="0"/>
          <w:i w:val="0"/>
          <w:sz w:val="22"/>
          <w:szCs w:val="22"/>
        </w:rPr>
      </w:pPr>
      <w:hyperlink w:anchor="_Toc503948657" w:history="1">
        <w:r w:rsidR="002E1DCB" w:rsidRPr="00391916">
          <w:rPr>
            <w:rStyle w:val="Hyperlink"/>
          </w:rPr>
          <w:t>2.2</w:t>
        </w:r>
        <w:r w:rsidR="002E1DCB">
          <w:rPr>
            <w:rFonts w:asciiTheme="minorHAnsi" w:eastAsiaTheme="minorEastAsia" w:hAnsiTheme="minorHAnsi" w:cstheme="minorBidi"/>
            <w:b w:val="0"/>
            <w:i w:val="0"/>
            <w:sz w:val="22"/>
            <w:szCs w:val="22"/>
          </w:rPr>
          <w:tab/>
        </w:r>
        <w:r w:rsidR="002E1DCB" w:rsidRPr="00391916">
          <w:rPr>
            <w:rStyle w:val="Hyperlink"/>
          </w:rPr>
          <w:t>Inspection methodology</w:t>
        </w:r>
        <w:r w:rsidR="002E1DCB">
          <w:rPr>
            <w:webHidden/>
          </w:rPr>
          <w:tab/>
        </w:r>
        <w:r w:rsidR="002E1DCB">
          <w:rPr>
            <w:webHidden/>
          </w:rPr>
          <w:fldChar w:fldCharType="begin"/>
        </w:r>
        <w:r w:rsidR="002E1DCB">
          <w:rPr>
            <w:webHidden/>
          </w:rPr>
          <w:instrText xml:space="preserve"> PAGEREF _Toc503948657 \h </w:instrText>
        </w:r>
        <w:r w:rsidR="002E1DCB">
          <w:rPr>
            <w:webHidden/>
          </w:rPr>
        </w:r>
        <w:r w:rsidR="002E1DCB">
          <w:rPr>
            <w:webHidden/>
          </w:rPr>
          <w:fldChar w:fldCharType="separate"/>
        </w:r>
        <w:r w:rsidR="002E1DCB">
          <w:rPr>
            <w:webHidden/>
          </w:rPr>
          <w:t>6</w:t>
        </w:r>
        <w:r w:rsidR="002E1DCB">
          <w:rPr>
            <w:webHidden/>
          </w:rPr>
          <w:fldChar w:fldCharType="end"/>
        </w:r>
      </w:hyperlink>
    </w:p>
    <w:p w:rsidR="002E1DCB" w:rsidRDefault="00B95721">
      <w:pPr>
        <w:pStyle w:val="TOC2"/>
        <w:rPr>
          <w:rFonts w:asciiTheme="minorHAnsi" w:eastAsiaTheme="minorEastAsia" w:hAnsiTheme="minorHAnsi" w:cstheme="minorBidi"/>
          <w:b w:val="0"/>
          <w:i w:val="0"/>
          <w:sz w:val="22"/>
          <w:szCs w:val="22"/>
        </w:rPr>
      </w:pPr>
      <w:hyperlink w:anchor="_Toc503948658" w:history="1">
        <w:r w:rsidR="002E1DCB" w:rsidRPr="00391916">
          <w:rPr>
            <w:rStyle w:val="Hyperlink"/>
          </w:rPr>
          <w:t>2.3</w:t>
        </w:r>
        <w:r w:rsidR="002E1DCB">
          <w:rPr>
            <w:rFonts w:asciiTheme="minorHAnsi" w:eastAsiaTheme="minorEastAsia" w:hAnsiTheme="minorHAnsi" w:cstheme="minorBidi"/>
            <w:b w:val="0"/>
            <w:i w:val="0"/>
            <w:sz w:val="22"/>
            <w:szCs w:val="22"/>
          </w:rPr>
          <w:tab/>
        </w:r>
        <w:r w:rsidR="002E1DCB" w:rsidRPr="00391916">
          <w:rPr>
            <w:rStyle w:val="Hyperlink"/>
          </w:rPr>
          <w:t>Relevant human rights standards</w:t>
        </w:r>
        <w:r w:rsidR="002E1DCB">
          <w:rPr>
            <w:webHidden/>
          </w:rPr>
          <w:tab/>
        </w:r>
        <w:r w:rsidR="002E1DCB">
          <w:rPr>
            <w:webHidden/>
          </w:rPr>
          <w:fldChar w:fldCharType="begin"/>
        </w:r>
        <w:r w:rsidR="002E1DCB">
          <w:rPr>
            <w:webHidden/>
          </w:rPr>
          <w:instrText xml:space="preserve"> PAGEREF _Toc503948658 \h </w:instrText>
        </w:r>
        <w:r w:rsidR="002E1DCB">
          <w:rPr>
            <w:webHidden/>
          </w:rPr>
        </w:r>
        <w:r w:rsidR="002E1DCB">
          <w:rPr>
            <w:webHidden/>
          </w:rPr>
          <w:fldChar w:fldCharType="separate"/>
        </w:r>
        <w:r w:rsidR="002E1DCB">
          <w:rPr>
            <w:webHidden/>
          </w:rPr>
          <w:t>7</w:t>
        </w:r>
        <w:r w:rsidR="002E1DCB">
          <w:rPr>
            <w:webHidden/>
          </w:rPr>
          <w:fldChar w:fldCharType="end"/>
        </w:r>
      </w:hyperlink>
    </w:p>
    <w:p w:rsidR="002E1DCB" w:rsidRDefault="00B95721">
      <w:pPr>
        <w:pStyle w:val="TOC3"/>
        <w:rPr>
          <w:rFonts w:asciiTheme="minorHAnsi" w:eastAsiaTheme="minorEastAsia" w:hAnsiTheme="minorHAnsi" w:cstheme="minorBidi"/>
          <w:i w:val="0"/>
          <w:sz w:val="22"/>
          <w:szCs w:val="22"/>
        </w:rPr>
      </w:pPr>
      <w:hyperlink w:anchor="_Toc503948659" w:history="1">
        <w:r w:rsidR="002E1DCB" w:rsidRPr="00391916">
          <w:rPr>
            <w:rStyle w:val="Hyperlink"/>
          </w:rPr>
          <w:t>(a)</w:t>
        </w:r>
        <w:r w:rsidR="002E1DCB">
          <w:rPr>
            <w:rFonts w:asciiTheme="minorHAnsi" w:eastAsiaTheme="minorEastAsia" w:hAnsiTheme="minorHAnsi" w:cstheme="minorBidi"/>
            <w:i w:val="0"/>
            <w:sz w:val="22"/>
            <w:szCs w:val="22"/>
          </w:rPr>
          <w:tab/>
        </w:r>
        <w:r w:rsidR="002E1DCB" w:rsidRPr="00391916">
          <w:rPr>
            <w:rStyle w:val="Hyperlink"/>
          </w:rPr>
          <w:t>Treatment of people in detention</w:t>
        </w:r>
        <w:r w:rsidR="002E1DCB">
          <w:rPr>
            <w:webHidden/>
          </w:rPr>
          <w:tab/>
        </w:r>
        <w:r w:rsidR="002E1DCB">
          <w:rPr>
            <w:webHidden/>
          </w:rPr>
          <w:fldChar w:fldCharType="begin"/>
        </w:r>
        <w:r w:rsidR="002E1DCB">
          <w:rPr>
            <w:webHidden/>
          </w:rPr>
          <w:instrText xml:space="preserve"> PAGEREF _Toc503948659 \h </w:instrText>
        </w:r>
        <w:r w:rsidR="002E1DCB">
          <w:rPr>
            <w:webHidden/>
          </w:rPr>
        </w:r>
        <w:r w:rsidR="002E1DCB">
          <w:rPr>
            <w:webHidden/>
          </w:rPr>
          <w:fldChar w:fldCharType="separate"/>
        </w:r>
        <w:r w:rsidR="002E1DCB">
          <w:rPr>
            <w:webHidden/>
          </w:rPr>
          <w:t>7</w:t>
        </w:r>
        <w:r w:rsidR="002E1DCB">
          <w:rPr>
            <w:webHidden/>
          </w:rPr>
          <w:fldChar w:fldCharType="end"/>
        </w:r>
      </w:hyperlink>
    </w:p>
    <w:p w:rsidR="002E1DCB" w:rsidRDefault="00B95721">
      <w:pPr>
        <w:pStyle w:val="TOC3"/>
        <w:rPr>
          <w:rFonts w:asciiTheme="minorHAnsi" w:eastAsiaTheme="minorEastAsia" w:hAnsiTheme="minorHAnsi" w:cstheme="minorBidi"/>
          <w:i w:val="0"/>
          <w:sz w:val="22"/>
          <w:szCs w:val="22"/>
        </w:rPr>
      </w:pPr>
      <w:hyperlink w:anchor="_Toc503948660" w:history="1">
        <w:r w:rsidR="002E1DCB" w:rsidRPr="00391916">
          <w:rPr>
            <w:rStyle w:val="Hyperlink"/>
          </w:rPr>
          <w:t>(b)</w:t>
        </w:r>
        <w:r w:rsidR="002E1DCB">
          <w:rPr>
            <w:rFonts w:asciiTheme="minorHAnsi" w:eastAsiaTheme="minorEastAsia" w:hAnsiTheme="minorHAnsi" w:cstheme="minorBidi"/>
            <w:i w:val="0"/>
            <w:sz w:val="22"/>
            <w:szCs w:val="22"/>
          </w:rPr>
          <w:tab/>
        </w:r>
        <w:r w:rsidR="002E1DCB" w:rsidRPr="00391916">
          <w:rPr>
            <w:rStyle w:val="Hyperlink"/>
          </w:rPr>
          <w:t>Conditions of detention</w:t>
        </w:r>
        <w:r w:rsidR="002E1DCB">
          <w:rPr>
            <w:webHidden/>
          </w:rPr>
          <w:tab/>
        </w:r>
        <w:r w:rsidR="002E1DCB">
          <w:rPr>
            <w:webHidden/>
          </w:rPr>
          <w:fldChar w:fldCharType="begin"/>
        </w:r>
        <w:r w:rsidR="002E1DCB">
          <w:rPr>
            <w:webHidden/>
          </w:rPr>
          <w:instrText xml:space="preserve"> PAGEREF _Toc503948660 \h </w:instrText>
        </w:r>
        <w:r w:rsidR="002E1DCB">
          <w:rPr>
            <w:webHidden/>
          </w:rPr>
        </w:r>
        <w:r w:rsidR="002E1DCB">
          <w:rPr>
            <w:webHidden/>
          </w:rPr>
          <w:fldChar w:fldCharType="separate"/>
        </w:r>
        <w:r w:rsidR="002E1DCB">
          <w:rPr>
            <w:webHidden/>
          </w:rPr>
          <w:t>7</w:t>
        </w:r>
        <w:r w:rsidR="002E1DCB">
          <w:rPr>
            <w:webHidden/>
          </w:rPr>
          <w:fldChar w:fldCharType="end"/>
        </w:r>
      </w:hyperlink>
    </w:p>
    <w:p w:rsidR="002E1DCB" w:rsidRDefault="00B95721">
      <w:pPr>
        <w:pStyle w:val="TOC3"/>
        <w:rPr>
          <w:rFonts w:asciiTheme="minorHAnsi" w:eastAsiaTheme="minorEastAsia" w:hAnsiTheme="minorHAnsi" w:cstheme="minorBidi"/>
          <w:i w:val="0"/>
          <w:sz w:val="22"/>
          <w:szCs w:val="22"/>
        </w:rPr>
      </w:pPr>
      <w:hyperlink w:anchor="_Toc503948661" w:history="1">
        <w:r w:rsidR="002E1DCB" w:rsidRPr="00391916">
          <w:rPr>
            <w:rStyle w:val="Hyperlink"/>
          </w:rPr>
          <w:t>(c)</w:t>
        </w:r>
        <w:r w:rsidR="002E1DCB">
          <w:rPr>
            <w:rFonts w:asciiTheme="minorHAnsi" w:eastAsiaTheme="minorEastAsia" w:hAnsiTheme="minorHAnsi" w:cstheme="minorBidi"/>
            <w:i w:val="0"/>
            <w:sz w:val="22"/>
            <w:szCs w:val="22"/>
          </w:rPr>
          <w:tab/>
        </w:r>
        <w:r w:rsidR="002E1DCB" w:rsidRPr="00391916">
          <w:rPr>
            <w:rStyle w:val="Hyperlink"/>
          </w:rPr>
          <w:t>Communication, association and complaints</w:t>
        </w:r>
        <w:r w:rsidR="002E1DCB">
          <w:rPr>
            <w:webHidden/>
          </w:rPr>
          <w:tab/>
        </w:r>
        <w:r w:rsidR="002E1DCB">
          <w:rPr>
            <w:webHidden/>
          </w:rPr>
          <w:fldChar w:fldCharType="begin"/>
        </w:r>
        <w:r w:rsidR="002E1DCB">
          <w:rPr>
            <w:webHidden/>
          </w:rPr>
          <w:instrText xml:space="preserve"> PAGEREF _Toc503948661 \h </w:instrText>
        </w:r>
        <w:r w:rsidR="002E1DCB">
          <w:rPr>
            <w:webHidden/>
          </w:rPr>
        </w:r>
        <w:r w:rsidR="002E1DCB">
          <w:rPr>
            <w:webHidden/>
          </w:rPr>
          <w:fldChar w:fldCharType="separate"/>
        </w:r>
        <w:r w:rsidR="002E1DCB">
          <w:rPr>
            <w:webHidden/>
          </w:rPr>
          <w:t>8</w:t>
        </w:r>
        <w:r w:rsidR="002E1DCB">
          <w:rPr>
            <w:webHidden/>
          </w:rPr>
          <w:fldChar w:fldCharType="end"/>
        </w:r>
      </w:hyperlink>
    </w:p>
    <w:p w:rsidR="002E1DCB" w:rsidRDefault="00B95721">
      <w:pPr>
        <w:pStyle w:val="TOC3"/>
        <w:rPr>
          <w:rFonts w:asciiTheme="minorHAnsi" w:eastAsiaTheme="minorEastAsia" w:hAnsiTheme="minorHAnsi" w:cstheme="minorBidi"/>
          <w:i w:val="0"/>
          <w:sz w:val="22"/>
          <w:szCs w:val="22"/>
        </w:rPr>
      </w:pPr>
      <w:hyperlink w:anchor="_Toc503948662" w:history="1">
        <w:r w:rsidR="002E1DCB" w:rsidRPr="00391916">
          <w:rPr>
            <w:rStyle w:val="Hyperlink"/>
          </w:rPr>
          <w:t>(d)</w:t>
        </w:r>
        <w:r w:rsidR="002E1DCB">
          <w:rPr>
            <w:rFonts w:asciiTheme="minorHAnsi" w:eastAsiaTheme="minorEastAsia" w:hAnsiTheme="minorHAnsi" w:cstheme="minorBidi"/>
            <w:i w:val="0"/>
            <w:sz w:val="22"/>
            <w:szCs w:val="22"/>
          </w:rPr>
          <w:tab/>
        </w:r>
        <w:r w:rsidR="002E1DCB" w:rsidRPr="00391916">
          <w:rPr>
            <w:rStyle w:val="Hyperlink"/>
          </w:rPr>
          <w:t>Legal and policy framework</w:t>
        </w:r>
        <w:r w:rsidR="002E1DCB">
          <w:rPr>
            <w:webHidden/>
          </w:rPr>
          <w:tab/>
        </w:r>
        <w:r w:rsidR="002E1DCB">
          <w:rPr>
            <w:webHidden/>
          </w:rPr>
          <w:fldChar w:fldCharType="begin"/>
        </w:r>
        <w:r w:rsidR="002E1DCB">
          <w:rPr>
            <w:webHidden/>
          </w:rPr>
          <w:instrText xml:space="preserve"> PAGEREF _Toc503948662 \h </w:instrText>
        </w:r>
        <w:r w:rsidR="002E1DCB">
          <w:rPr>
            <w:webHidden/>
          </w:rPr>
        </w:r>
        <w:r w:rsidR="002E1DCB">
          <w:rPr>
            <w:webHidden/>
          </w:rPr>
          <w:fldChar w:fldCharType="separate"/>
        </w:r>
        <w:r w:rsidR="002E1DCB">
          <w:rPr>
            <w:webHidden/>
          </w:rPr>
          <w:t>9</w:t>
        </w:r>
        <w:r w:rsidR="002E1DCB">
          <w:rPr>
            <w:webHidden/>
          </w:rPr>
          <w:fldChar w:fldCharType="end"/>
        </w:r>
      </w:hyperlink>
    </w:p>
    <w:p w:rsidR="002E1DCB" w:rsidRDefault="00B95721">
      <w:pPr>
        <w:pStyle w:val="TOC2"/>
        <w:rPr>
          <w:rFonts w:asciiTheme="minorHAnsi" w:eastAsiaTheme="minorEastAsia" w:hAnsiTheme="minorHAnsi" w:cstheme="minorBidi"/>
          <w:b w:val="0"/>
          <w:i w:val="0"/>
          <w:sz w:val="22"/>
          <w:szCs w:val="22"/>
        </w:rPr>
      </w:pPr>
      <w:hyperlink w:anchor="_Toc503948663" w:history="1">
        <w:r w:rsidR="002E1DCB" w:rsidRPr="00391916">
          <w:rPr>
            <w:rStyle w:val="Hyperlink"/>
          </w:rPr>
          <w:t>2.4</w:t>
        </w:r>
        <w:r w:rsidR="002E1DCB">
          <w:rPr>
            <w:rFonts w:asciiTheme="minorHAnsi" w:eastAsiaTheme="minorEastAsia" w:hAnsiTheme="minorHAnsi" w:cstheme="minorBidi"/>
            <w:b w:val="0"/>
            <w:i w:val="0"/>
            <w:sz w:val="22"/>
            <w:szCs w:val="22"/>
          </w:rPr>
          <w:tab/>
        </w:r>
        <w:r w:rsidR="002E1DCB" w:rsidRPr="00391916">
          <w:rPr>
            <w:rStyle w:val="Hyperlink"/>
          </w:rPr>
          <w:t>National context</w:t>
        </w:r>
        <w:r w:rsidR="002E1DCB">
          <w:rPr>
            <w:webHidden/>
          </w:rPr>
          <w:tab/>
        </w:r>
        <w:r w:rsidR="002E1DCB">
          <w:rPr>
            <w:webHidden/>
          </w:rPr>
          <w:fldChar w:fldCharType="begin"/>
        </w:r>
        <w:r w:rsidR="002E1DCB">
          <w:rPr>
            <w:webHidden/>
          </w:rPr>
          <w:instrText xml:space="preserve"> PAGEREF _Toc503948663 \h </w:instrText>
        </w:r>
        <w:r w:rsidR="002E1DCB">
          <w:rPr>
            <w:webHidden/>
          </w:rPr>
        </w:r>
        <w:r w:rsidR="002E1DCB">
          <w:rPr>
            <w:webHidden/>
          </w:rPr>
          <w:fldChar w:fldCharType="separate"/>
        </w:r>
        <w:r w:rsidR="002E1DCB">
          <w:rPr>
            <w:webHidden/>
          </w:rPr>
          <w:t>9</w:t>
        </w:r>
        <w:r w:rsidR="002E1DCB">
          <w:rPr>
            <w:webHidden/>
          </w:rPr>
          <w:fldChar w:fldCharType="end"/>
        </w:r>
      </w:hyperlink>
    </w:p>
    <w:p w:rsidR="002E1DCB" w:rsidRDefault="00B95721">
      <w:pPr>
        <w:pStyle w:val="TOC3"/>
        <w:rPr>
          <w:rFonts w:asciiTheme="minorHAnsi" w:eastAsiaTheme="minorEastAsia" w:hAnsiTheme="minorHAnsi" w:cstheme="minorBidi"/>
          <w:i w:val="0"/>
          <w:sz w:val="22"/>
          <w:szCs w:val="22"/>
        </w:rPr>
      </w:pPr>
      <w:hyperlink w:anchor="_Toc503948664" w:history="1">
        <w:r w:rsidR="002E1DCB" w:rsidRPr="00391916">
          <w:rPr>
            <w:rStyle w:val="Hyperlink"/>
          </w:rPr>
          <w:t>(a)</w:t>
        </w:r>
        <w:r w:rsidR="002E1DCB">
          <w:rPr>
            <w:rFonts w:asciiTheme="minorHAnsi" w:eastAsiaTheme="minorEastAsia" w:hAnsiTheme="minorHAnsi" w:cstheme="minorBidi"/>
            <w:i w:val="0"/>
            <w:sz w:val="22"/>
            <w:szCs w:val="22"/>
          </w:rPr>
          <w:tab/>
        </w:r>
        <w:r w:rsidR="002E1DCB" w:rsidRPr="00391916">
          <w:rPr>
            <w:rStyle w:val="Hyperlink"/>
          </w:rPr>
          <w:t>Number of people in detention</w:t>
        </w:r>
        <w:r w:rsidR="002E1DCB">
          <w:rPr>
            <w:webHidden/>
          </w:rPr>
          <w:tab/>
        </w:r>
        <w:r w:rsidR="002E1DCB">
          <w:rPr>
            <w:webHidden/>
          </w:rPr>
          <w:fldChar w:fldCharType="begin"/>
        </w:r>
        <w:r w:rsidR="002E1DCB">
          <w:rPr>
            <w:webHidden/>
          </w:rPr>
          <w:instrText xml:space="preserve"> PAGEREF _Toc503948664 \h </w:instrText>
        </w:r>
        <w:r w:rsidR="002E1DCB">
          <w:rPr>
            <w:webHidden/>
          </w:rPr>
        </w:r>
        <w:r w:rsidR="002E1DCB">
          <w:rPr>
            <w:webHidden/>
          </w:rPr>
          <w:fldChar w:fldCharType="separate"/>
        </w:r>
        <w:r w:rsidR="002E1DCB">
          <w:rPr>
            <w:webHidden/>
          </w:rPr>
          <w:t>9</w:t>
        </w:r>
        <w:r w:rsidR="002E1DCB">
          <w:rPr>
            <w:webHidden/>
          </w:rPr>
          <w:fldChar w:fldCharType="end"/>
        </w:r>
      </w:hyperlink>
    </w:p>
    <w:p w:rsidR="002E1DCB" w:rsidRDefault="00B95721">
      <w:pPr>
        <w:pStyle w:val="TOC3"/>
        <w:rPr>
          <w:rFonts w:asciiTheme="minorHAnsi" w:eastAsiaTheme="minorEastAsia" w:hAnsiTheme="minorHAnsi" w:cstheme="minorBidi"/>
          <w:i w:val="0"/>
          <w:sz w:val="22"/>
          <w:szCs w:val="22"/>
        </w:rPr>
      </w:pPr>
      <w:hyperlink w:anchor="_Toc503948665" w:history="1">
        <w:r w:rsidR="002E1DCB" w:rsidRPr="00391916">
          <w:rPr>
            <w:rStyle w:val="Hyperlink"/>
          </w:rPr>
          <w:t>(b)</w:t>
        </w:r>
        <w:r w:rsidR="002E1DCB">
          <w:rPr>
            <w:rFonts w:asciiTheme="minorHAnsi" w:eastAsiaTheme="minorEastAsia" w:hAnsiTheme="minorHAnsi" w:cstheme="minorBidi"/>
            <w:i w:val="0"/>
            <w:sz w:val="22"/>
            <w:szCs w:val="22"/>
          </w:rPr>
          <w:tab/>
        </w:r>
        <w:r w:rsidR="002E1DCB" w:rsidRPr="00391916">
          <w:rPr>
            <w:rStyle w:val="Hyperlink"/>
          </w:rPr>
          <w:t>Length of detention</w:t>
        </w:r>
        <w:r w:rsidR="002E1DCB">
          <w:rPr>
            <w:webHidden/>
          </w:rPr>
          <w:tab/>
        </w:r>
        <w:r w:rsidR="002E1DCB">
          <w:rPr>
            <w:webHidden/>
          </w:rPr>
          <w:fldChar w:fldCharType="begin"/>
        </w:r>
        <w:r w:rsidR="002E1DCB">
          <w:rPr>
            <w:webHidden/>
          </w:rPr>
          <w:instrText xml:space="preserve"> PAGEREF _Toc503948665 \h </w:instrText>
        </w:r>
        <w:r w:rsidR="002E1DCB">
          <w:rPr>
            <w:webHidden/>
          </w:rPr>
        </w:r>
        <w:r w:rsidR="002E1DCB">
          <w:rPr>
            <w:webHidden/>
          </w:rPr>
          <w:fldChar w:fldCharType="separate"/>
        </w:r>
        <w:r w:rsidR="002E1DCB">
          <w:rPr>
            <w:webHidden/>
          </w:rPr>
          <w:t>9</w:t>
        </w:r>
        <w:r w:rsidR="002E1DCB">
          <w:rPr>
            <w:webHidden/>
          </w:rPr>
          <w:fldChar w:fldCharType="end"/>
        </w:r>
      </w:hyperlink>
    </w:p>
    <w:p w:rsidR="002E1DCB" w:rsidRDefault="00B95721">
      <w:pPr>
        <w:pStyle w:val="TOC3"/>
        <w:rPr>
          <w:rFonts w:asciiTheme="minorHAnsi" w:eastAsiaTheme="minorEastAsia" w:hAnsiTheme="minorHAnsi" w:cstheme="minorBidi"/>
          <w:i w:val="0"/>
          <w:sz w:val="22"/>
          <w:szCs w:val="22"/>
        </w:rPr>
      </w:pPr>
      <w:hyperlink w:anchor="_Toc503948666" w:history="1">
        <w:r w:rsidR="002E1DCB" w:rsidRPr="00391916">
          <w:rPr>
            <w:rStyle w:val="Hyperlink"/>
          </w:rPr>
          <w:t>(c)</w:t>
        </w:r>
        <w:r w:rsidR="002E1DCB">
          <w:rPr>
            <w:rFonts w:asciiTheme="minorHAnsi" w:eastAsiaTheme="minorEastAsia" w:hAnsiTheme="minorHAnsi" w:cstheme="minorBidi"/>
            <w:i w:val="0"/>
            <w:sz w:val="22"/>
            <w:szCs w:val="22"/>
          </w:rPr>
          <w:tab/>
        </w:r>
        <w:r w:rsidR="002E1DCB" w:rsidRPr="00391916">
          <w:rPr>
            <w:rStyle w:val="Hyperlink"/>
          </w:rPr>
          <w:t>Reasons for detention</w:t>
        </w:r>
        <w:r w:rsidR="002E1DCB">
          <w:rPr>
            <w:webHidden/>
          </w:rPr>
          <w:tab/>
        </w:r>
        <w:r w:rsidR="002E1DCB">
          <w:rPr>
            <w:webHidden/>
          </w:rPr>
          <w:fldChar w:fldCharType="begin"/>
        </w:r>
        <w:r w:rsidR="002E1DCB">
          <w:rPr>
            <w:webHidden/>
          </w:rPr>
          <w:instrText xml:space="preserve"> PAGEREF _Toc503948666 \h </w:instrText>
        </w:r>
        <w:r w:rsidR="002E1DCB">
          <w:rPr>
            <w:webHidden/>
          </w:rPr>
        </w:r>
        <w:r w:rsidR="002E1DCB">
          <w:rPr>
            <w:webHidden/>
          </w:rPr>
          <w:fldChar w:fldCharType="separate"/>
        </w:r>
        <w:r w:rsidR="002E1DCB">
          <w:rPr>
            <w:webHidden/>
          </w:rPr>
          <w:t>10</w:t>
        </w:r>
        <w:r w:rsidR="002E1DCB">
          <w:rPr>
            <w:webHidden/>
          </w:rPr>
          <w:fldChar w:fldCharType="end"/>
        </w:r>
      </w:hyperlink>
    </w:p>
    <w:p w:rsidR="002E1DCB" w:rsidRDefault="00B95721">
      <w:pPr>
        <w:pStyle w:val="TOC3"/>
        <w:rPr>
          <w:rFonts w:asciiTheme="minorHAnsi" w:eastAsiaTheme="minorEastAsia" w:hAnsiTheme="minorHAnsi" w:cstheme="minorBidi"/>
          <w:i w:val="0"/>
          <w:sz w:val="22"/>
          <w:szCs w:val="22"/>
        </w:rPr>
      </w:pPr>
      <w:hyperlink w:anchor="_Toc503948667" w:history="1">
        <w:r w:rsidR="002E1DCB" w:rsidRPr="00391916">
          <w:rPr>
            <w:rStyle w:val="Hyperlink"/>
          </w:rPr>
          <w:t>(d)</w:t>
        </w:r>
        <w:r w:rsidR="002E1DCB">
          <w:rPr>
            <w:rFonts w:asciiTheme="minorHAnsi" w:eastAsiaTheme="minorEastAsia" w:hAnsiTheme="minorHAnsi" w:cstheme="minorBidi"/>
            <w:i w:val="0"/>
            <w:sz w:val="22"/>
            <w:szCs w:val="22"/>
          </w:rPr>
          <w:tab/>
        </w:r>
        <w:r w:rsidR="002E1DCB" w:rsidRPr="00391916">
          <w:rPr>
            <w:rStyle w:val="Hyperlink"/>
          </w:rPr>
          <w:t>Administration of the detention network</w:t>
        </w:r>
        <w:r w:rsidR="002E1DCB">
          <w:rPr>
            <w:webHidden/>
          </w:rPr>
          <w:tab/>
        </w:r>
        <w:r w:rsidR="002E1DCB">
          <w:rPr>
            <w:webHidden/>
          </w:rPr>
          <w:fldChar w:fldCharType="begin"/>
        </w:r>
        <w:r w:rsidR="002E1DCB">
          <w:rPr>
            <w:webHidden/>
          </w:rPr>
          <w:instrText xml:space="preserve"> PAGEREF _Toc503948667 \h </w:instrText>
        </w:r>
        <w:r w:rsidR="002E1DCB">
          <w:rPr>
            <w:webHidden/>
          </w:rPr>
        </w:r>
        <w:r w:rsidR="002E1DCB">
          <w:rPr>
            <w:webHidden/>
          </w:rPr>
          <w:fldChar w:fldCharType="separate"/>
        </w:r>
        <w:r w:rsidR="002E1DCB">
          <w:rPr>
            <w:webHidden/>
          </w:rPr>
          <w:t>10</w:t>
        </w:r>
        <w:r w:rsidR="002E1DCB">
          <w:rPr>
            <w:webHidden/>
          </w:rPr>
          <w:fldChar w:fldCharType="end"/>
        </w:r>
      </w:hyperlink>
    </w:p>
    <w:p w:rsidR="002E1DCB" w:rsidRDefault="00B95721">
      <w:pPr>
        <w:pStyle w:val="TOC3"/>
        <w:rPr>
          <w:rFonts w:asciiTheme="minorHAnsi" w:eastAsiaTheme="minorEastAsia" w:hAnsiTheme="minorHAnsi" w:cstheme="minorBidi"/>
          <w:i w:val="0"/>
          <w:sz w:val="22"/>
          <w:szCs w:val="22"/>
        </w:rPr>
      </w:pPr>
      <w:hyperlink w:anchor="_Toc503948668" w:history="1">
        <w:r w:rsidR="002E1DCB" w:rsidRPr="00391916">
          <w:rPr>
            <w:rStyle w:val="Hyperlink"/>
          </w:rPr>
          <w:t>(e)</w:t>
        </w:r>
        <w:r w:rsidR="002E1DCB">
          <w:rPr>
            <w:rFonts w:asciiTheme="minorHAnsi" w:eastAsiaTheme="minorEastAsia" w:hAnsiTheme="minorHAnsi" w:cstheme="minorBidi"/>
            <w:i w:val="0"/>
            <w:sz w:val="22"/>
            <w:szCs w:val="22"/>
          </w:rPr>
          <w:tab/>
        </w:r>
        <w:r w:rsidR="002E1DCB" w:rsidRPr="00391916">
          <w:rPr>
            <w:rStyle w:val="Hyperlink"/>
          </w:rPr>
          <w:t>Ratification of OPCAT</w:t>
        </w:r>
        <w:r w:rsidR="002E1DCB">
          <w:rPr>
            <w:webHidden/>
          </w:rPr>
          <w:tab/>
        </w:r>
        <w:r w:rsidR="002E1DCB">
          <w:rPr>
            <w:webHidden/>
          </w:rPr>
          <w:fldChar w:fldCharType="begin"/>
        </w:r>
        <w:r w:rsidR="002E1DCB">
          <w:rPr>
            <w:webHidden/>
          </w:rPr>
          <w:instrText xml:space="preserve"> PAGEREF _Toc503948668 \h </w:instrText>
        </w:r>
        <w:r w:rsidR="002E1DCB">
          <w:rPr>
            <w:webHidden/>
          </w:rPr>
        </w:r>
        <w:r w:rsidR="002E1DCB">
          <w:rPr>
            <w:webHidden/>
          </w:rPr>
          <w:fldChar w:fldCharType="separate"/>
        </w:r>
        <w:r w:rsidR="002E1DCB">
          <w:rPr>
            <w:webHidden/>
          </w:rPr>
          <w:t>11</w:t>
        </w:r>
        <w:r w:rsidR="002E1DCB">
          <w:rPr>
            <w:webHidden/>
          </w:rPr>
          <w:fldChar w:fldCharType="end"/>
        </w:r>
      </w:hyperlink>
    </w:p>
    <w:p w:rsidR="002E1DCB" w:rsidRDefault="00B95721">
      <w:pPr>
        <w:pStyle w:val="TOC2"/>
        <w:rPr>
          <w:rFonts w:asciiTheme="minorHAnsi" w:eastAsiaTheme="minorEastAsia" w:hAnsiTheme="minorHAnsi" w:cstheme="minorBidi"/>
          <w:b w:val="0"/>
          <w:i w:val="0"/>
          <w:sz w:val="22"/>
          <w:szCs w:val="22"/>
        </w:rPr>
      </w:pPr>
      <w:hyperlink w:anchor="_Toc503948669" w:history="1">
        <w:r w:rsidR="002E1DCB" w:rsidRPr="00391916">
          <w:rPr>
            <w:rStyle w:val="Hyperlink"/>
          </w:rPr>
          <w:t>2.5</w:t>
        </w:r>
        <w:r w:rsidR="002E1DCB">
          <w:rPr>
            <w:rFonts w:asciiTheme="minorHAnsi" w:eastAsiaTheme="minorEastAsia" w:hAnsiTheme="minorHAnsi" w:cstheme="minorBidi"/>
            <w:b w:val="0"/>
            <w:i w:val="0"/>
            <w:sz w:val="22"/>
            <w:szCs w:val="22"/>
          </w:rPr>
          <w:tab/>
        </w:r>
        <w:r w:rsidR="002E1DCB" w:rsidRPr="00391916">
          <w:rPr>
            <w:rStyle w:val="Hyperlink"/>
          </w:rPr>
          <w:t>Perth Immigration Detention Centre</w:t>
        </w:r>
        <w:r w:rsidR="002E1DCB">
          <w:rPr>
            <w:webHidden/>
          </w:rPr>
          <w:tab/>
        </w:r>
        <w:r w:rsidR="002E1DCB">
          <w:rPr>
            <w:webHidden/>
          </w:rPr>
          <w:fldChar w:fldCharType="begin"/>
        </w:r>
        <w:r w:rsidR="002E1DCB">
          <w:rPr>
            <w:webHidden/>
          </w:rPr>
          <w:instrText xml:space="preserve"> PAGEREF _Toc503948669 \h </w:instrText>
        </w:r>
        <w:r w:rsidR="002E1DCB">
          <w:rPr>
            <w:webHidden/>
          </w:rPr>
        </w:r>
        <w:r w:rsidR="002E1DCB">
          <w:rPr>
            <w:webHidden/>
          </w:rPr>
          <w:fldChar w:fldCharType="separate"/>
        </w:r>
        <w:r w:rsidR="002E1DCB">
          <w:rPr>
            <w:webHidden/>
          </w:rPr>
          <w:t>11</w:t>
        </w:r>
        <w:r w:rsidR="002E1DCB">
          <w:rPr>
            <w:webHidden/>
          </w:rPr>
          <w:fldChar w:fldCharType="end"/>
        </w:r>
      </w:hyperlink>
    </w:p>
    <w:p w:rsidR="002E1DCB" w:rsidRDefault="00B95721">
      <w:pPr>
        <w:pStyle w:val="TOC1"/>
        <w:rPr>
          <w:rFonts w:asciiTheme="minorHAnsi" w:eastAsiaTheme="minorEastAsia" w:hAnsiTheme="minorHAnsi" w:cstheme="minorBidi"/>
          <w:b w:val="0"/>
          <w:sz w:val="22"/>
          <w:szCs w:val="22"/>
        </w:rPr>
      </w:pPr>
      <w:hyperlink w:anchor="_Toc503948670" w:history="1">
        <w:r w:rsidR="002E1DCB" w:rsidRPr="00391916">
          <w:rPr>
            <w:rStyle w:val="Hyperlink"/>
          </w:rPr>
          <w:t>3</w:t>
        </w:r>
        <w:r w:rsidR="002E1DCB">
          <w:rPr>
            <w:rFonts w:asciiTheme="minorHAnsi" w:eastAsiaTheme="minorEastAsia" w:hAnsiTheme="minorHAnsi" w:cstheme="minorBidi"/>
            <w:b w:val="0"/>
            <w:sz w:val="22"/>
            <w:szCs w:val="22"/>
          </w:rPr>
          <w:tab/>
        </w:r>
        <w:r w:rsidR="002E1DCB" w:rsidRPr="00391916">
          <w:rPr>
            <w:rStyle w:val="Hyperlink"/>
          </w:rPr>
          <w:t>Key issues and concerns</w:t>
        </w:r>
        <w:r w:rsidR="002E1DCB">
          <w:rPr>
            <w:webHidden/>
          </w:rPr>
          <w:tab/>
        </w:r>
        <w:r w:rsidR="002E1DCB">
          <w:rPr>
            <w:webHidden/>
          </w:rPr>
          <w:fldChar w:fldCharType="begin"/>
        </w:r>
        <w:r w:rsidR="002E1DCB">
          <w:rPr>
            <w:webHidden/>
          </w:rPr>
          <w:instrText xml:space="preserve"> PAGEREF _Toc503948670 \h </w:instrText>
        </w:r>
        <w:r w:rsidR="002E1DCB">
          <w:rPr>
            <w:webHidden/>
          </w:rPr>
        </w:r>
        <w:r w:rsidR="002E1DCB">
          <w:rPr>
            <w:webHidden/>
          </w:rPr>
          <w:fldChar w:fldCharType="separate"/>
        </w:r>
        <w:r w:rsidR="002E1DCB">
          <w:rPr>
            <w:webHidden/>
          </w:rPr>
          <w:t>11</w:t>
        </w:r>
        <w:r w:rsidR="002E1DCB">
          <w:rPr>
            <w:webHidden/>
          </w:rPr>
          <w:fldChar w:fldCharType="end"/>
        </w:r>
      </w:hyperlink>
    </w:p>
    <w:p w:rsidR="002E1DCB" w:rsidRDefault="00B95721">
      <w:pPr>
        <w:pStyle w:val="TOC2"/>
        <w:rPr>
          <w:rFonts w:asciiTheme="minorHAnsi" w:eastAsiaTheme="minorEastAsia" w:hAnsiTheme="minorHAnsi" w:cstheme="minorBidi"/>
          <w:b w:val="0"/>
          <w:i w:val="0"/>
          <w:sz w:val="22"/>
          <w:szCs w:val="22"/>
        </w:rPr>
      </w:pPr>
      <w:hyperlink w:anchor="_Toc503948671" w:history="1">
        <w:r w:rsidR="002E1DCB" w:rsidRPr="00391916">
          <w:rPr>
            <w:rStyle w:val="Hyperlink"/>
          </w:rPr>
          <w:t>3.1</w:t>
        </w:r>
        <w:r w:rsidR="002E1DCB">
          <w:rPr>
            <w:rFonts w:asciiTheme="minorHAnsi" w:eastAsiaTheme="minorEastAsia" w:hAnsiTheme="minorHAnsi" w:cstheme="minorBidi"/>
            <w:b w:val="0"/>
            <w:i w:val="0"/>
            <w:sz w:val="22"/>
            <w:szCs w:val="22"/>
          </w:rPr>
          <w:tab/>
        </w:r>
        <w:r w:rsidR="002E1DCB" w:rsidRPr="00391916">
          <w:rPr>
            <w:rStyle w:val="Hyperlink"/>
          </w:rPr>
          <w:t>Treatment of people in detention</w:t>
        </w:r>
        <w:r w:rsidR="002E1DCB">
          <w:rPr>
            <w:webHidden/>
          </w:rPr>
          <w:tab/>
        </w:r>
        <w:r w:rsidR="002E1DCB">
          <w:rPr>
            <w:webHidden/>
          </w:rPr>
          <w:fldChar w:fldCharType="begin"/>
        </w:r>
        <w:r w:rsidR="002E1DCB">
          <w:rPr>
            <w:webHidden/>
          </w:rPr>
          <w:instrText xml:space="preserve"> PAGEREF _Toc503948671 \h </w:instrText>
        </w:r>
        <w:r w:rsidR="002E1DCB">
          <w:rPr>
            <w:webHidden/>
          </w:rPr>
        </w:r>
        <w:r w:rsidR="002E1DCB">
          <w:rPr>
            <w:webHidden/>
          </w:rPr>
          <w:fldChar w:fldCharType="separate"/>
        </w:r>
        <w:r w:rsidR="002E1DCB">
          <w:rPr>
            <w:webHidden/>
          </w:rPr>
          <w:t>11</w:t>
        </w:r>
        <w:r w:rsidR="002E1DCB">
          <w:rPr>
            <w:webHidden/>
          </w:rPr>
          <w:fldChar w:fldCharType="end"/>
        </w:r>
      </w:hyperlink>
    </w:p>
    <w:p w:rsidR="002E1DCB" w:rsidRDefault="00B95721">
      <w:pPr>
        <w:pStyle w:val="TOC3"/>
        <w:rPr>
          <w:rFonts w:asciiTheme="minorHAnsi" w:eastAsiaTheme="minorEastAsia" w:hAnsiTheme="minorHAnsi" w:cstheme="minorBidi"/>
          <w:i w:val="0"/>
          <w:sz w:val="22"/>
          <w:szCs w:val="22"/>
        </w:rPr>
      </w:pPr>
      <w:hyperlink w:anchor="_Toc503948672" w:history="1">
        <w:r w:rsidR="002E1DCB" w:rsidRPr="00391916">
          <w:rPr>
            <w:rStyle w:val="Hyperlink"/>
          </w:rPr>
          <w:t>(a)</w:t>
        </w:r>
        <w:r w:rsidR="002E1DCB">
          <w:rPr>
            <w:rFonts w:asciiTheme="minorHAnsi" w:eastAsiaTheme="minorEastAsia" w:hAnsiTheme="minorHAnsi" w:cstheme="minorBidi"/>
            <w:i w:val="0"/>
            <w:sz w:val="22"/>
            <w:szCs w:val="22"/>
          </w:rPr>
          <w:tab/>
        </w:r>
        <w:r w:rsidR="002E1DCB" w:rsidRPr="00391916">
          <w:rPr>
            <w:rStyle w:val="Hyperlink"/>
          </w:rPr>
          <w:t>Safety, security and relationships with staff</w:t>
        </w:r>
        <w:r w:rsidR="002E1DCB">
          <w:rPr>
            <w:webHidden/>
          </w:rPr>
          <w:tab/>
        </w:r>
        <w:r w:rsidR="002E1DCB">
          <w:rPr>
            <w:webHidden/>
          </w:rPr>
          <w:fldChar w:fldCharType="begin"/>
        </w:r>
        <w:r w:rsidR="002E1DCB">
          <w:rPr>
            <w:webHidden/>
          </w:rPr>
          <w:instrText xml:space="preserve"> PAGEREF _Toc503948672 \h </w:instrText>
        </w:r>
        <w:r w:rsidR="002E1DCB">
          <w:rPr>
            <w:webHidden/>
          </w:rPr>
        </w:r>
        <w:r w:rsidR="002E1DCB">
          <w:rPr>
            <w:webHidden/>
          </w:rPr>
          <w:fldChar w:fldCharType="separate"/>
        </w:r>
        <w:r w:rsidR="002E1DCB">
          <w:rPr>
            <w:webHidden/>
          </w:rPr>
          <w:t>11</w:t>
        </w:r>
        <w:r w:rsidR="002E1DCB">
          <w:rPr>
            <w:webHidden/>
          </w:rPr>
          <w:fldChar w:fldCharType="end"/>
        </w:r>
      </w:hyperlink>
    </w:p>
    <w:p w:rsidR="002E1DCB" w:rsidRDefault="00B95721">
      <w:pPr>
        <w:pStyle w:val="TOC3"/>
        <w:rPr>
          <w:rFonts w:asciiTheme="minorHAnsi" w:eastAsiaTheme="minorEastAsia" w:hAnsiTheme="minorHAnsi" w:cstheme="minorBidi"/>
          <w:i w:val="0"/>
          <w:sz w:val="22"/>
          <w:szCs w:val="22"/>
        </w:rPr>
      </w:pPr>
      <w:hyperlink w:anchor="_Toc503948673" w:history="1">
        <w:r w:rsidR="002E1DCB" w:rsidRPr="00391916">
          <w:rPr>
            <w:rStyle w:val="Hyperlink"/>
          </w:rPr>
          <w:t>(b)</w:t>
        </w:r>
        <w:r w:rsidR="002E1DCB">
          <w:rPr>
            <w:rFonts w:asciiTheme="minorHAnsi" w:eastAsiaTheme="minorEastAsia" w:hAnsiTheme="minorHAnsi" w:cstheme="minorBidi"/>
            <w:i w:val="0"/>
            <w:sz w:val="22"/>
            <w:szCs w:val="22"/>
          </w:rPr>
          <w:tab/>
        </w:r>
        <w:r w:rsidR="002E1DCB" w:rsidRPr="00391916">
          <w:rPr>
            <w:rStyle w:val="Hyperlink"/>
          </w:rPr>
          <w:t>Use of force and restraints</w:t>
        </w:r>
        <w:r w:rsidR="002E1DCB">
          <w:rPr>
            <w:webHidden/>
          </w:rPr>
          <w:tab/>
        </w:r>
        <w:r w:rsidR="002E1DCB">
          <w:rPr>
            <w:webHidden/>
          </w:rPr>
          <w:fldChar w:fldCharType="begin"/>
        </w:r>
        <w:r w:rsidR="002E1DCB">
          <w:rPr>
            <w:webHidden/>
          </w:rPr>
          <w:instrText xml:space="preserve"> PAGEREF _Toc503948673 \h </w:instrText>
        </w:r>
        <w:r w:rsidR="002E1DCB">
          <w:rPr>
            <w:webHidden/>
          </w:rPr>
        </w:r>
        <w:r w:rsidR="002E1DCB">
          <w:rPr>
            <w:webHidden/>
          </w:rPr>
          <w:fldChar w:fldCharType="separate"/>
        </w:r>
        <w:r w:rsidR="002E1DCB">
          <w:rPr>
            <w:webHidden/>
          </w:rPr>
          <w:t>12</w:t>
        </w:r>
        <w:r w:rsidR="002E1DCB">
          <w:rPr>
            <w:webHidden/>
          </w:rPr>
          <w:fldChar w:fldCharType="end"/>
        </w:r>
      </w:hyperlink>
    </w:p>
    <w:p w:rsidR="002E1DCB" w:rsidRDefault="00B95721">
      <w:pPr>
        <w:pStyle w:val="TOC3"/>
        <w:rPr>
          <w:rFonts w:asciiTheme="minorHAnsi" w:eastAsiaTheme="minorEastAsia" w:hAnsiTheme="minorHAnsi" w:cstheme="minorBidi"/>
          <w:i w:val="0"/>
          <w:sz w:val="22"/>
          <w:szCs w:val="22"/>
        </w:rPr>
      </w:pPr>
      <w:hyperlink w:anchor="_Toc503948674" w:history="1">
        <w:r w:rsidR="002E1DCB" w:rsidRPr="00391916">
          <w:rPr>
            <w:rStyle w:val="Hyperlink"/>
          </w:rPr>
          <w:t>(c)</w:t>
        </w:r>
        <w:r w:rsidR="002E1DCB">
          <w:rPr>
            <w:rFonts w:asciiTheme="minorHAnsi" w:eastAsiaTheme="minorEastAsia" w:hAnsiTheme="minorHAnsi" w:cstheme="minorBidi"/>
            <w:i w:val="0"/>
            <w:sz w:val="22"/>
            <w:szCs w:val="22"/>
          </w:rPr>
          <w:tab/>
        </w:r>
        <w:r w:rsidR="002E1DCB" w:rsidRPr="00391916">
          <w:rPr>
            <w:rStyle w:val="Hyperlink"/>
          </w:rPr>
          <w:t>Other invasive and restrictive measures</w:t>
        </w:r>
        <w:r w:rsidR="002E1DCB">
          <w:rPr>
            <w:webHidden/>
          </w:rPr>
          <w:tab/>
        </w:r>
        <w:r w:rsidR="002E1DCB">
          <w:rPr>
            <w:webHidden/>
          </w:rPr>
          <w:fldChar w:fldCharType="begin"/>
        </w:r>
        <w:r w:rsidR="002E1DCB">
          <w:rPr>
            <w:webHidden/>
          </w:rPr>
          <w:instrText xml:space="preserve"> PAGEREF _Toc503948674 \h </w:instrText>
        </w:r>
        <w:r w:rsidR="002E1DCB">
          <w:rPr>
            <w:webHidden/>
          </w:rPr>
        </w:r>
        <w:r w:rsidR="002E1DCB">
          <w:rPr>
            <w:webHidden/>
          </w:rPr>
          <w:fldChar w:fldCharType="separate"/>
        </w:r>
        <w:r w:rsidR="002E1DCB">
          <w:rPr>
            <w:webHidden/>
          </w:rPr>
          <w:t>13</w:t>
        </w:r>
        <w:r w:rsidR="002E1DCB">
          <w:rPr>
            <w:webHidden/>
          </w:rPr>
          <w:fldChar w:fldCharType="end"/>
        </w:r>
      </w:hyperlink>
    </w:p>
    <w:p w:rsidR="002E1DCB" w:rsidRDefault="00B95721">
      <w:pPr>
        <w:pStyle w:val="TOC2"/>
        <w:rPr>
          <w:rFonts w:asciiTheme="minorHAnsi" w:eastAsiaTheme="minorEastAsia" w:hAnsiTheme="minorHAnsi" w:cstheme="minorBidi"/>
          <w:b w:val="0"/>
          <w:i w:val="0"/>
          <w:sz w:val="22"/>
          <w:szCs w:val="22"/>
        </w:rPr>
      </w:pPr>
      <w:hyperlink w:anchor="_Toc503948675" w:history="1">
        <w:r w:rsidR="002E1DCB" w:rsidRPr="00391916">
          <w:rPr>
            <w:rStyle w:val="Hyperlink"/>
          </w:rPr>
          <w:t>3.2</w:t>
        </w:r>
        <w:r w:rsidR="002E1DCB">
          <w:rPr>
            <w:rFonts w:asciiTheme="minorHAnsi" w:eastAsiaTheme="minorEastAsia" w:hAnsiTheme="minorHAnsi" w:cstheme="minorBidi"/>
            <w:b w:val="0"/>
            <w:i w:val="0"/>
            <w:sz w:val="22"/>
            <w:szCs w:val="22"/>
          </w:rPr>
          <w:tab/>
        </w:r>
        <w:r w:rsidR="002E1DCB" w:rsidRPr="00391916">
          <w:rPr>
            <w:rStyle w:val="Hyperlink"/>
          </w:rPr>
          <w:t>Conditions of detention</w:t>
        </w:r>
        <w:r w:rsidR="002E1DCB">
          <w:rPr>
            <w:webHidden/>
          </w:rPr>
          <w:tab/>
        </w:r>
        <w:r w:rsidR="002E1DCB">
          <w:rPr>
            <w:webHidden/>
          </w:rPr>
          <w:fldChar w:fldCharType="begin"/>
        </w:r>
        <w:r w:rsidR="002E1DCB">
          <w:rPr>
            <w:webHidden/>
          </w:rPr>
          <w:instrText xml:space="preserve"> PAGEREF _Toc503948675 \h </w:instrText>
        </w:r>
        <w:r w:rsidR="002E1DCB">
          <w:rPr>
            <w:webHidden/>
          </w:rPr>
        </w:r>
        <w:r w:rsidR="002E1DCB">
          <w:rPr>
            <w:webHidden/>
          </w:rPr>
          <w:fldChar w:fldCharType="separate"/>
        </w:r>
        <w:r w:rsidR="002E1DCB">
          <w:rPr>
            <w:webHidden/>
          </w:rPr>
          <w:t>13</w:t>
        </w:r>
        <w:r w:rsidR="002E1DCB">
          <w:rPr>
            <w:webHidden/>
          </w:rPr>
          <w:fldChar w:fldCharType="end"/>
        </w:r>
      </w:hyperlink>
    </w:p>
    <w:p w:rsidR="002E1DCB" w:rsidRDefault="00B95721">
      <w:pPr>
        <w:pStyle w:val="TOC3"/>
        <w:rPr>
          <w:rFonts w:asciiTheme="minorHAnsi" w:eastAsiaTheme="minorEastAsia" w:hAnsiTheme="minorHAnsi" w:cstheme="minorBidi"/>
          <w:i w:val="0"/>
          <w:sz w:val="22"/>
          <w:szCs w:val="22"/>
        </w:rPr>
      </w:pPr>
      <w:hyperlink w:anchor="_Toc503948676" w:history="1">
        <w:r w:rsidR="002E1DCB" w:rsidRPr="00391916">
          <w:rPr>
            <w:rStyle w:val="Hyperlink"/>
          </w:rPr>
          <w:t>(a)</w:t>
        </w:r>
        <w:r w:rsidR="002E1DCB">
          <w:rPr>
            <w:rFonts w:asciiTheme="minorHAnsi" w:eastAsiaTheme="minorEastAsia" w:hAnsiTheme="minorHAnsi" w:cstheme="minorBidi"/>
            <w:i w:val="0"/>
            <w:sz w:val="22"/>
            <w:szCs w:val="22"/>
          </w:rPr>
          <w:tab/>
        </w:r>
        <w:r w:rsidR="002E1DCB" w:rsidRPr="00391916">
          <w:rPr>
            <w:rStyle w:val="Hyperlink"/>
          </w:rPr>
          <w:t>Accommodation, sanitation and exercise facilities</w:t>
        </w:r>
        <w:r w:rsidR="002E1DCB">
          <w:rPr>
            <w:webHidden/>
          </w:rPr>
          <w:tab/>
        </w:r>
        <w:r w:rsidR="002E1DCB">
          <w:rPr>
            <w:webHidden/>
          </w:rPr>
          <w:fldChar w:fldCharType="begin"/>
        </w:r>
        <w:r w:rsidR="002E1DCB">
          <w:rPr>
            <w:webHidden/>
          </w:rPr>
          <w:instrText xml:space="preserve"> PAGEREF _Toc503948676 \h </w:instrText>
        </w:r>
        <w:r w:rsidR="002E1DCB">
          <w:rPr>
            <w:webHidden/>
          </w:rPr>
        </w:r>
        <w:r w:rsidR="002E1DCB">
          <w:rPr>
            <w:webHidden/>
          </w:rPr>
          <w:fldChar w:fldCharType="separate"/>
        </w:r>
        <w:r w:rsidR="002E1DCB">
          <w:rPr>
            <w:webHidden/>
          </w:rPr>
          <w:t>13</w:t>
        </w:r>
        <w:r w:rsidR="002E1DCB">
          <w:rPr>
            <w:webHidden/>
          </w:rPr>
          <w:fldChar w:fldCharType="end"/>
        </w:r>
      </w:hyperlink>
    </w:p>
    <w:p w:rsidR="002E1DCB" w:rsidRDefault="00B95721">
      <w:pPr>
        <w:pStyle w:val="TOC3"/>
        <w:rPr>
          <w:rFonts w:asciiTheme="minorHAnsi" w:eastAsiaTheme="minorEastAsia" w:hAnsiTheme="minorHAnsi" w:cstheme="minorBidi"/>
          <w:i w:val="0"/>
          <w:sz w:val="22"/>
          <w:szCs w:val="22"/>
        </w:rPr>
      </w:pPr>
      <w:hyperlink w:anchor="_Toc503948677" w:history="1">
        <w:r w:rsidR="002E1DCB" w:rsidRPr="00391916">
          <w:rPr>
            <w:rStyle w:val="Hyperlink"/>
          </w:rPr>
          <w:t>(b)</w:t>
        </w:r>
        <w:r w:rsidR="002E1DCB">
          <w:rPr>
            <w:rFonts w:asciiTheme="minorHAnsi" w:eastAsiaTheme="minorEastAsia" w:hAnsiTheme="minorHAnsi" w:cstheme="minorBidi"/>
            <w:i w:val="0"/>
            <w:sz w:val="22"/>
            <w:szCs w:val="22"/>
          </w:rPr>
          <w:tab/>
        </w:r>
        <w:r w:rsidR="002E1DCB" w:rsidRPr="00391916">
          <w:rPr>
            <w:rStyle w:val="Hyperlink"/>
          </w:rPr>
          <w:t>Activities and excursions</w:t>
        </w:r>
        <w:r w:rsidR="002E1DCB">
          <w:rPr>
            <w:webHidden/>
          </w:rPr>
          <w:tab/>
        </w:r>
        <w:r w:rsidR="002E1DCB">
          <w:rPr>
            <w:webHidden/>
          </w:rPr>
          <w:fldChar w:fldCharType="begin"/>
        </w:r>
        <w:r w:rsidR="002E1DCB">
          <w:rPr>
            <w:webHidden/>
          </w:rPr>
          <w:instrText xml:space="preserve"> PAGEREF _Toc503948677 \h </w:instrText>
        </w:r>
        <w:r w:rsidR="002E1DCB">
          <w:rPr>
            <w:webHidden/>
          </w:rPr>
        </w:r>
        <w:r w:rsidR="002E1DCB">
          <w:rPr>
            <w:webHidden/>
          </w:rPr>
          <w:fldChar w:fldCharType="separate"/>
        </w:r>
        <w:r w:rsidR="002E1DCB">
          <w:rPr>
            <w:webHidden/>
          </w:rPr>
          <w:t>14</w:t>
        </w:r>
        <w:r w:rsidR="002E1DCB">
          <w:rPr>
            <w:webHidden/>
          </w:rPr>
          <w:fldChar w:fldCharType="end"/>
        </w:r>
      </w:hyperlink>
    </w:p>
    <w:p w:rsidR="002E1DCB" w:rsidRDefault="00B95721">
      <w:pPr>
        <w:pStyle w:val="TOC3"/>
        <w:rPr>
          <w:rFonts w:asciiTheme="minorHAnsi" w:eastAsiaTheme="minorEastAsia" w:hAnsiTheme="minorHAnsi" w:cstheme="minorBidi"/>
          <w:i w:val="0"/>
          <w:sz w:val="22"/>
          <w:szCs w:val="22"/>
        </w:rPr>
      </w:pPr>
      <w:hyperlink w:anchor="_Toc503948678" w:history="1">
        <w:r w:rsidR="002E1DCB" w:rsidRPr="00391916">
          <w:rPr>
            <w:rStyle w:val="Hyperlink"/>
          </w:rPr>
          <w:t>(c)</w:t>
        </w:r>
        <w:r w:rsidR="002E1DCB">
          <w:rPr>
            <w:rFonts w:asciiTheme="minorHAnsi" w:eastAsiaTheme="minorEastAsia" w:hAnsiTheme="minorHAnsi" w:cstheme="minorBidi"/>
            <w:i w:val="0"/>
            <w:sz w:val="22"/>
            <w:szCs w:val="22"/>
          </w:rPr>
          <w:tab/>
        </w:r>
        <w:r w:rsidR="002E1DCB" w:rsidRPr="00391916">
          <w:rPr>
            <w:rStyle w:val="Hyperlink"/>
          </w:rPr>
          <w:t>Food</w:t>
        </w:r>
        <w:r w:rsidR="002E1DCB">
          <w:rPr>
            <w:webHidden/>
          </w:rPr>
          <w:tab/>
        </w:r>
        <w:r w:rsidR="002E1DCB">
          <w:rPr>
            <w:webHidden/>
          </w:rPr>
          <w:fldChar w:fldCharType="begin"/>
        </w:r>
        <w:r w:rsidR="002E1DCB">
          <w:rPr>
            <w:webHidden/>
          </w:rPr>
          <w:instrText xml:space="preserve"> PAGEREF _Toc503948678 \h </w:instrText>
        </w:r>
        <w:r w:rsidR="002E1DCB">
          <w:rPr>
            <w:webHidden/>
          </w:rPr>
        </w:r>
        <w:r w:rsidR="002E1DCB">
          <w:rPr>
            <w:webHidden/>
          </w:rPr>
          <w:fldChar w:fldCharType="separate"/>
        </w:r>
        <w:r w:rsidR="002E1DCB">
          <w:rPr>
            <w:webHidden/>
          </w:rPr>
          <w:t>15</w:t>
        </w:r>
        <w:r w:rsidR="002E1DCB">
          <w:rPr>
            <w:webHidden/>
          </w:rPr>
          <w:fldChar w:fldCharType="end"/>
        </w:r>
      </w:hyperlink>
    </w:p>
    <w:p w:rsidR="002E1DCB" w:rsidRDefault="00B95721">
      <w:pPr>
        <w:pStyle w:val="TOC3"/>
        <w:rPr>
          <w:rFonts w:asciiTheme="minorHAnsi" w:eastAsiaTheme="minorEastAsia" w:hAnsiTheme="minorHAnsi" w:cstheme="minorBidi"/>
          <w:i w:val="0"/>
          <w:sz w:val="22"/>
          <w:szCs w:val="22"/>
        </w:rPr>
      </w:pPr>
      <w:hyperlink w:anchor="_Toc503948679" w:history="1">
        <w:r w:rsidR="002E1DCB" w:rsidRPr="00391916">
          <w:rPr>
            <w:rStyle w:val="Hyperlink"/>
          </w:rPr>
          <w:t>(d)</w:t>
        </w:r>
        <w:r w:rsidR="002E1DCB">
          <w:rPr>
            <w:rFonts w:asciiTheme="minorHAnsi" w:eastAsiaTheme="minorEastAsia" w:hAnsiTheme="minorHAnsi" w:cstheme="minorBidi"/>
            <w:i w:val="0"/>
            <w:sz w:val="22"/>
            <w:szCs w:val="22"/>
          </w:rPr>
          <w:tab/>
        </w:r>
        <w:r w:rsidR="002E1DCB" w:rsidRPr="00391916">
          <w:rPr>
            <w:rStyle w:val="Hyperlink"/>
          </w:rPr>
          <w:t>Personal items</w:t>
        </w:r>
        <w:r w:rsidR="002E1DCB">
          <w:rPr>
            <w:webHidden/>
          </w:rPr>
          <w:tab/>
        </w:r>
        <w:r w:rsidR="002E1DCB">
          <w:rPr>
            <w:webHidden/>
          </w:rPr>
          <w:fldChar w:fldCharType="begin"/>
        </w:r>
        <w:r w:rsidR="002E1DCB">
          <w:rPr>
            <w:webHidden/>
          </w:rPr>
          <w:instrText xml:space="preserve"> PAGEREF _Toc503948679 \h </w:instrText>
        </w:r>
        <w:r w:rsidR="002E1DCB">
          <w:rPr>
            <w:webHidden/>
          </w:rPr>
        </w:r>
        <w:r w:rsidR="002E1DCB">
          <w:rPr>
            <w:webHidden/>
          </w:rPr>
          <w:fldChar w:fldCharType="separate"/>
        </w:r>
        <w:r w:rsidR="002E1DCB">
          <w:rPr>
            <w:webHidden/>
          </w:rPr>
          <w:t>15</w:t>
        </w:r>
        <w:r w:rsidR="002E1DCB">
          <w:rPr>
            <w:webHidden/>
          </w:rPr>
          <w:fldChar w:fldCharType="end"/>
        </w:r>
      </w:hyperlink>
    </w:p>
    <w:p w:rsidR="002E1DCB" w:rsidRDefault="00B95721">
      <w:pPr>
        <w:pStyle w:val="TOC2"/>
        <w:rPr>
          <w:rFonts w:asciiTheme="minorHAnsi" w:eastAsiaTheme="minorEastAsia" w:hAnsiTheme="minorHAnsi" w:cstheme="minorBidi"/>
          <w:b w:val="0"/>
          <w:i w:val="0"/>
          <w:sz w:val="22"/>
          <w:szCs w:val="22"/>
        </w:rPr>
      </w:pPr>
      <w:hyperlink w:anchor="_Toc503948680" w:history="1">
        <w:r w:rsidR="002E1DCB" w:rsidRPr="00391916">
          <w:rPr>
            <w:rStyle w:val="Hyperlink"/>
          </w:rPr>
          <w:t>3.3</w:t>
        </w:r>
        <w:r w:rsidR="002E1DCB">
          <w:rPr>
            <w:rFonts w:asciiTheme="minorHAnsi" w:eastAsiaTheme="minorEastAsia" w:hAnsiTheme="minorHAnsi" w:cstheme="minorBidi"/>
            <w:b w:val="0"/>
            <w:i w:val="0"/>
            <w:sz w:val="22"/>
            <w:szCs w:val="22"/>
          </w:rPr>
          <w:tab/>
        </w:r>
        <w:r w:rsidR="002E1DCB" w:rsidRPr="00391916">
          <w:rPr>
            <w:rStyle w:val="Hyperlink"/>
          </w:rPr>
          <w:t>Physical and mental health</w:t>
        </w:r>
        <w:r w:rsidR="002E1DCB">
          <w:rPr>
            <w:webHidden/>
          </w:rPr>
          <w:tab/>
        </w:r>
        <w:r w:rsidR="002E1DCB">
          <w:rPr>
            <w:webHidden/>
          </w:rPr>
          <w:fldChar w:fldCharType="begin"/>
        </w:r>
        <w:r w:rsidR="002E1DCB">
          <w:rPr>
            <w:webHidden/>
          </w:rPr>
          <w:instrText xml:space="preserve"> PAGEREF _Toc503948680 \h </w:instrText>
        </w:r>
        <w:r w:rsidR="002E1DCB">
          <w:rPr>
            <w:webHidden/>
          </w:rPr>
        </w:r>
        <w:r w:rsidR="002E1DCB">
          <w:rPr>
            <w:webHidden/>
          </w:rPr>
          <w:fldChar w:fldCharType="separate"/>
        </w:r>
        <w:r w:rsidR="002E1DCB">
          <w:rPr>
            <w:webHidden/>
          </w:rPr>
          <w:t>16</w:t>
        </w:r>
        <w:r w:rsidR="002E1DCB">
          <w:rPr>
            <w:webHidden/>
          </w:rPr>
          <w:fldChar w:fldCharType="end"/>
        </w:r>
      </w:hyperlink>
    </w:p>
    <w:p w:rsidR="002E1DCB" w:rsidRDefault="00B95721">
      <w:pPr>
        <w:pStyle w:val="TOC3"/>
        <w:rPr>
          <w:rFonts w:asciiTheme="minorHAnsi" w:eastAsiaTheme="minorEastAsia" w:hAnsiTheme="minorHAnsi" w:cstheme="minorBidi"/>
          <w:i w:val="0"/>
          <w:sz w:val="22"/>
          <w:szCs w:val="22"/>
        </w:rPr>
      </w:pPr>
      <w:hyperlink w:anchor="_Toc503948681" w:history="1">
        <w:r w:rsidR="002E1DCB" w:rsidRPr="00391916">
          <w:rPr>
            <w:rStyle w:val="Hyperlink"/>
          </w:rPr>
          <w:t>(a)</w:t>
        </w:r>
        <w:r w:rsidR="002E1DCB">
          <w:rPr>
            <w:rFonts w:asciiTheme="minorHAnsi" w:eastAsiaTheme="minorEastAsia" w:hAnsiTheme="minorHAnsi" w:cstheme="minorBidi"/>
            <w:i w:val="0"/>
            <w:sz w:val="22"/>
            <w:szCs w:val="22"/>
          </w:rPr>
          <w:tab/>
        </w:r>
        <w:r w:rsidR="002E1DCB" w:rsidRPr="00391916">
          <w:rPr>
            <w:rStyle w:val="Hyperlink"/>
          </w:rPr>
          <w:t>Health services</w:t>
        </w:r>
        <w:r w:rsidR="002E1DCB">
          <w:rPr>
            <w:webHidden/>
          </w:rPr>
          <w:tab/>
        </w:r>
        <w:r w:rsidR="002E1DCB">
          <w:rPr>
            <w:webHidden/>
          </w:rPr>
          <w:fldChar w:fldCharType="begin"/>
        </w:r>
        <w:r w:rsidR="002E1DCB">
          <w:rPr>
            <w:webHidden/>
          </w:rPr>
          <w:instrText xml:space="preserve"> PAGEREF _Toc503948681 \h </w:instrText>
        </w:r>
        <w:r w:rsidR="002E1DCB">
          <w:rPr>
            <w:webHidden/>
          </w:rPr>
        </w:r>
        <w:r w:rsidR="002E1DCB">
          <w:rPr>
            <w:webHidden/>
          </w:rPr>
          <w:fldChar w:fldCharType="separate"/>
        </w:r>
        <w:r w:rsidR="002E1DCB">
          <w:rPr>
            <w:webHidden/>
          </w:rPr>
          <w:t>16</w:t>
        </w:r>
        <w:r w:rsidR="002E1DCB">
          <w:rPr>
            <w:webHidden/>
          </w:rPr>
          <w:fldChar w:fldCharType="end"/>
        </w:r>
      </w:hyperlink>
    </w:p>
    <w:p w:rsidR="002E1DCB" w:rsidRDefault="00B95721">
      <w:pPr>
        <w:pStyle w:val="TOC3"/>
        <w:rPr>
          <w:rFonts w:asciiTheme="minorHAnsi" w:eastAsiaTheme="minorEastAsia" w:hAnsiTheme="minorHAnsi" w:cstheme="minorBidi"/>
          <w:i w:val="0"/>
          <w:sz w:val="22"/>
          <w:szCs w:val="22"/>
        </w:rPr>
      </w:pPr>
      <w:hyperlink w:anchor="_Toc503948682" w:history="1">
        <w:r w:rsidR="002E1DCB" w:rsidRPr="00391916">
          <w:rPr>
            <w:rStyle w:val="Hyperlink"/>
          </w:rPr>
          <w:t>(b)</w:t>
        </w:r>
        <w:r w:rsidR="002E1DCB">
          <w:rPr>
            <w:rFonts w:asciiTheme="minorHAnsi" w:eastAsiaTheme="minorEastAsia" w:hAnsiTheme="minorHAnsi" w:cstheme="minorBidi"/>
            <w:i w:val="0"/>
            <w:sz w:val="22"/>
            <w:szCs w:val="22"/>
          </w:rPr>
          <w:tab/>
        </w:r>
        <w:r w:rsidR="002E1DCB" w:rsidRPr="00391916">
          <w:rPr>
            <w:rStyle w:val="Hyperlink"/>
          </w:rPr>
          <w:t>Health issues</w:t>
        </w:r>
        <w:r w:rsidR="002E1DCB">
          <w:rPr>
            <w:webHidden/>
          </w:rPr>
          <w:tab/>
        </w:r>
        <w:r w:rsidR="002E1DCB">
          <w:rPr>
            <w:webHidden/>
          </w:rPr>
          <w:fldChar w:fldCharType="begin"/>
        </w:r>
        <w:r w:rsidR="002E1DCB">
          <w:rPr>
            <w:webHidden/>
          </w:rPr>
          <w:instrText xml:space="preserve"> PAGEREF _Toc503948682 \h </w:instrText>
        </w:r>
        <w:r w:rsidR="002E1DCB">
          <w:rPr>
            <w:webHidden/>
          </w:rPr>
        </w:r>
        <w:r w:rsidR="002E1DCB">
          <w:rPr>
            <w:webHidden/>
          </w:rPr>
          <w:fldChar w:fldCharType="separate"/>
        </w:r>
        <w:r w:rsidR="002E1DCB">
          <w:rPr>
            <w:webHidden/>
          </w:rPr>
          <w:t>16</w:t>
        </w:r>
        <w:r w:rsidR="002E1DCB">
          <w:rPr>
            <w:webHidden/>
          </w:rPr>
          <w:fldChar w:fldCharType="end"/>
        </w:r>
      </w:hyperlink>
    </w:p>
    <w:p w:rsidR="002E1DCB" w:rsidRDefault="00B95721">
      <w:pPr>
        <w:pStyle w:val="TOC2"/>
        <w:rPr>
          <w:rFonts w:asciiTheme="minorHAnsi" w:eastAsiaTheme="minorEastAsia" w:hAnsiTheme="minorHAnsi" w:cstheme="minorBidi"/>
          <w:b w:val="0"/>
          <w:i w:val="0"/>
          <w:sz w:val="22"/>
          <w:szCs w:val="22"/>
        </w:rPr>
      </w:pPr>
      <w:hyperlink w:anchor="_Toc503948683" w:history="1">
        <w:r w:rsidR="002E1DCB" w:rsidRPr="00391916">
          <w:rPr>
            <w:rStyle w:val="Hyperlink"/>
          </w:rPr>
          <w:t>3.4</w:t>
        </w:r>
        <w:r w:rsidR="002E1DCB">
          <w:rPr>
            <w:rFonts w:asciiTheme="minorHAnsi" w:eastAsiaTheme="minorEastAsia" w:hAnsiTheme="minorHAnsi" w:cstheme="minorBidi"/>
            <w:b w:val="0"/>
            <w:i w:val="0"/>
            <w:sz w:val="22"/>
            <w:szCs w:val="22"/>
          </w:rPr>
          <w:tab/>
        </w:r>
        <w:r w:rsidR="002E1DCB" w:rsidRPr="00391916">
          <w:rPr>
            <w:rStyle w:val="Hyperlink"/>
          </w:rPr>
          <w:t>Communication and complaints</w:t>
        </w:r>
        <w:r w:rsidR="002E1DCB">
          <w:rPr>
            <w:webHidden/>
          </w:rPr>
          <w:tab/>
        </w:r>
        <w:r w:rsidR="002E1DCB">
          <w:rPr>
            <w:webHidden/>
          </w:rPr>
          <w:fldChar w:fldCharType="begin"/>
        </w:r>
        <w:r w:rsidR="002E1DCB">
          <w:rPr>
            <w:webHidden/>
          </w:rPr>
          <w:instrText xml:space="preserve"> PAGEREF _Toc503948683 \h </w:instrText>
        </w:r>
        <w:r w:rsidR="002E1DCB">
          <w:rPr>
            <w:webHidden/>
          </w:rPr>
        </w:r>
        <w:r w:rsidR="002E1DCB">
          <w:rPr>
            <w:webHidden/>
          </w:rPr>
          <w:fldChar w:fldCharType="separate"/>
        </w:r>
        <w:r w:rsidR="002E1DCB">
          <w:rPr>
            <w:webHidden/>
          </w:rPr>
          <w:t>17</w:t>
        </w:r>
        <w:r w:rsidR="002E1DCB">
          <w:rPr>
            <w:webHidden/>
          </w:rPr>
          <w:fldChar w:fldCharType="end"/>
        </w:r>
      </w:hyperlink>
    </w:p>
    <w:p w:rsidR="002E1DCB" w:rsidRDefault="00B95721">
      <w:pPr>
        <w:pStyle w:val="TOC3"/>
        <w:rPr>
          <w:rFonts w:asciiTheme="minorHAnsi" w:eastAsiaTheme="minorEastAsia" w:hAnsiTheme="minorHAnsi" w:cstheme="minorBidi"/>
          <w:i w:val="0"/>
          <w:sz w:val="22"/>
          <w:szCs w:val="22"/>
        </w:rPr>
      </w:pPr>
      <w:hyperlink w:anchor="_Toc503948684" w:history="1">
        <w:r w:rsidR="002E1DCB" w:rsidRPr="00391916">
          <w:rPr>
            <w:rStyle w:val="Hyperlink"/>
          </w:rPr>
          <w:t>(a)</w:t>
        </w:r>
        <w:r w:rsidR="002E1DCB">
          <w:rPr>
            <w:rFonts w:asciiTheme="minorHAnsi" w:eastAsiaTheme="minorEastAsia" w:hAnsiTheme="minorHAnsi" w:cstheme="minorBidi"/>
            <w:i w:val="0"/>
            <w:sz w:val="22"/>
            <w:szCs w:val="22"/>
          </w:rPr>
          <w:tab/>
        </w:r>
        <w:r w:rsidR="002E1DCB" w:rsidRPr="00391916">
          <w:rPr>
            <w:rStyle w:val="Hyperlink"/>
          </w:rPr>
          <w:t>Mobile phone policy</w:t>
        </w:r>
        <w:r w:rsidR="002E1DCB">
          <w:rPr>
            <w:webHidden/>
          </w:rPr>
          <w:tab/>
        </w:r>
        <w:r w:rsidR="002E1DCB">
          <w:rPr>
            <w:webHidden/>
          </w:rPr>
          <w:fldChar w:fldCharType="begin"/>
        </w:r>
        <w:r w:rsidR="002E1DCB">
          <w:rPr>
            <w:webHidden/>
          </w:rPr>
          <w:instrText xml:space="preserve"> PAGEREF _Toc503948684 \h </w:instrText>
        </w:r>
        <w:r w:rsidR="002E1DCB">
          <w:rPr>
            <w:webHidden/>
          </w:rPr>
        </w:r>
        <w:r w:rsidR="002E1DCB">
          <w:rPr>
            <w:webHidden/>
          </w:rPr>
          <w:fldChar w:fldCharType="separate"/>
        </w:r>
        <w:r w:rsidR="002E1DCB">
          <w:rPr>
            <w:webHidden/>
          </w:rPr>
          <w:t>17</w:t>
        </w:r>
        <w:r w:rsidR="002E1DCB">
          <w:rPr>
            <w:webHidden/>
          </w:rPr>
          <w:fldChar w:fldCharType="end"/>
        </w:r>
      </w:hyperlink>
    </w:p>
    <w:p w:rsidR="002E1DCB" w:rsidRDefault="00B95721">
      <w:pPr>
        <w:pStyle w:val="TOC3"/>
        <w:rPr>
          <w:rFonts w:asciiTheme="minorHAnsi" w:eastAsiaTheme="minorEastAsia" w:hAnsiTheme="minorHAnsi" w:cstheme="minorBidi"/>
          <w:i w:val="0"/>
          <w:sz w:val="22"/>
          <w:szCs w:val="22"/>
        </w:rPr>
      </w:pPr>
      <w:hyperlink w:anchor="_Toc503948685" w:history="1">
        <w:r w:rsidR="002E1DCB" w:rsidRPr="00391916">
          <w:rPr>
            <w:rStyle w:val="Hyperlink"/>
          </w:rPr>
          <w:t>(b)</w:t>
        </w:r>
        <w:r w:rsidR="002E1DCB">
          <w:rPr>
            <w:rFonts w:asciiTheme="minorHAnsi" w:eastAsiaTheme="minorEastAsia" w:hAnsiTheme="minorHAnsi" w:cstheme="minorBidi"/>
            <w:i w:val="0"/>
            <w:sz w:val="22"/>
            <w:szCs w:val="22"/>
          </w:rPr>
          <w:tab/>
        </w:r>
        <w:r w:rsidR="002E1DCB" w:rsidRPr="00391916">
          <w:rPr>
            <w:rStyle w:val="Hyperlink"/>
          </w:rPr>
          <w:t>Communication facilities</w:t>
        </w:r>
        <w:r w:rsidR="002E1DCB">
          <w:rPr>
            <w:webHidden/>
          </w:rPr>
          <w:tab/>
        </w:r>
        <w:r w:rsidR="002E1DCB">
          <w:rPr>
            <w:webHidden/>
          </w:rPr>
          <w:fldChar w:fldCharType="begin"/>
        </w:r>
        <w:r w:rsidR="002E1DCB">
          <w:rPr>
            <w:webHidden/>
          </w:rPr>
          <w:instrText xml:space="preserve"> PAGEREF _Toc503948685 \h </w:instrText>
        </w:r>
        <w:r w:rsidR="002E1DCB">
          <w:rPr>
            <w:webHidden/>
          </w:rPr>
        </w:r>
        <w:r w:rsidR="002E1DCB">
          <w:rPr>
            <w:webHidden/>
          </w:rPr>
          <w:fldChar w:fldCharType="separate"/>
        </w:r>
        <w:r w:rsidR="002E1DCB">
          <w:rPr>
            <w:webHidden/>
          </w:rPr>
          <w:t>18</w:t>
        </w:r>
        <w:r w:rsidR="002E1DCB">
          <w:rPr>
            <w:webHidden/>
          </w:rPr>
          <w:fldChar w:fldCharType="end"/>
        </w:r>
      </w:hyperlink>
    </w:p>
    <w:p w:rsidR="002E1DCB" w:rsidRDefault="00B95721">
      <w:pPr>
        <w:pStyle w:val="TOC3"/>
        <w:rPr>
          <w:rFonts w:asciiTheme="minorHAnsi" w:eastAsiaTheme="minorEastAsia" w:hAnsiTheme="minorHAnsi" w:cstheme="minorBidi"/>
          <w:i w:val="0"/>
          <w:sz w:val="22"/>
          <w:szCs w:val="22"/>
        </w:rPr>
      </w:pPr>
      <w:hyperlink w:anchor="_Toc503948686" w:history="1">
        <w:r w:rsidR="002E1DCB" w:rsidRPr="00391916">
          <w:rPr>
            <w:rStyle w:val="Hyperlink"/>
          </w:rPr>
          <w:t>(c)</w:t>
        </w:r>
        <w:r w:rsidR="002E1DCB">
          <w:rPr>
            <w:rFonts w:asciiTheme="minorHAnsi" w:eastAsiaTheme="minorEastAsia" w:hAnsiTheme="minorHAnsi" w:cstheme="minorBidi"/>
            <w:i w:val="0"/>
            <w:sz w:val="22"/>
            <w:szCs w:val="22"/>
          </w:rPr>
          <w:tab/>
        </w:r>
        <w:r w:rsidR="002E1DCB" w:rsidRPr="00391916">
          <w:rPr>
            <w:rStyle w:val="Hyperlink"/>
          </w:rPr>
          <w:t>Visits</w:t>
        </w:r>
        <w:r w:rsidR="002E1DCB">
          <w:rPr>
            <w:webHidden/>
          </w:rPr>
          <w:tab/>
        </w:r>
        <w:r w:rsidR="002E1DCB">
          <w:rPr>
            <w:webHidden/>
          </w:rPr>
          <w:fldChar w:fldCharType="begin"/>
        </w:r>
        <w:r w:rsidR="002E1DCB">
          <w:rPr>
            <w:webHidden/>
          </w:rPr>
          <w:instrText xml:space="preserve"> PAGEREF _Toc503948686 \h </w:instrText>
        </w:r>
        <w:r w:rsidR="002E1DCB">
          <w:rPr>
            <w:webHidden/>
          </w:rPr>
        </w:r>
        <w:r w:rsidR="002E1DCB">
          <w:rPr>
            <w:webHidden/>
          </w:rPr>
          <w:fldChar w:fldCharType="separate"/>
        </w:r>
        <w:r w:rsidR="002E1DCB">
          <w:rPr>
            <w:webHidden/>
          </w:rPr>
          <w:t>18</w:t>
        </w:r>
        <w:r w:rsidR="002E1DCB">
          <w:rPr>
            <w:webHidden/>
          </w:rPr>
          <w:fldChar w:fldCharType="end"/>
        </w:r>
      </w:hyperlink>
    </w:p>
    <w:p w:rsidR="002E1DCB" w:rsidRDefault="00B95721">
      <w:pPr>
        <w:pStyle w:val="TOC3"/>
        <w:rPr>
          <w:rFonts w:asciiTheme="minorHAnsi" w:eastAsiaTheme="minorEastAsia" w:hAnsiTheme="minorHAnsi" w:cstheme="minorBidi"/>
          <w:i w:val="0"/>
          <w:sz w:val="22"/>
          <w:szCs w:val="22"/>
        </w:rPr>
      </w:pPr>
      <w:hyperlink w:anchor="_Toc503948687" w:history="1">
        <w:r w:rsidR="002E1DCB" w:rsidRPr="00391916">
          <w:rPr>
            <w:rStyle w:val="Hyperlink"/>
          </w:rPr>
          <w:t>(d)</w:t>
        </w:r>
        <w:r w:rsidR="002E1DCB">
          <w:rPr>
            <w:rFonts w:asciiTheme="minorHAnsi" w:eastAsiaTheme="minorEastAsia" w:hAnsiTheme="minorHAnsi" w:cstheme="minorBidi"/>
            <w:i w:val="0"/>
            <w:sz w:val="22"/>
            <w:szCs w:val="22"/>
          </w:rPr>
          <w:tab/>
        </w:r>
        <w:r w:rsidR="002E1DCB" w:rsidRPr="00391916">
          <w:rPr>
            <w:rStyle w:val="Hyperlink"/>
          </w:rPr>
          <w:t>Complaints</w:t>
        </w:r>
        <w:r w:rsidR="002E1DCB">
          <w:rPr>
            <w:webHidden/>
          </w:rPr>
          <w:tab/>
        </w:r>
        <w:r w:rsidR="002E1DCB">
          <w:rPr>
            <w:webHidden/>
          </w:rPr>
          <w:fldChar w:fldCharType="begin"/>
        </w:r>
        <w:r w:rsidR="002E1DCB">
          <w:rPr>
            <w:webHidden/>
          </w:rPr>
          <w:instrText xml:space="preserve"> PAGEREF _Toc503948687 \h </w:instrText>
        </w:r>
        <w:r w:rsidR="002E1DCB">
          <w:rPr>
            <w:webHidden/>
          </w:rPr>
        </w:r>
        <w:r w:rsidR="002E1DCB">
          <w:rPr>
            <w:webHidden/>
          </w:rPr>
          <w:fldChar w:fldCharType="separate"/>
        </w:r>
        <w:r w:rsidR="002E1DCB">
          <w:rPr>
            <w:webHidden/>
          </w:rPr>
          <w:t>19</w:t>
        </w:r>
        <w:r w:rsidR="002E1DCB">
          <w:rPr>
            <w:webHidden/>
          </w:rPr>
          <w:fldChar w:fldCharType="end"/>
        </w:r>
      </w:hyperlink>
    </w:p>
    <w:p w:rsidR="002E1DCB" w:rsidRDefault="00B95721">
      <w:pPr>
        <w:pStyle w:val="TOC2"/>
        <w:rPr>
          <w:rFonts w:asciiTheme="minorHAnsi" w:eastAsiaTheme="minorEastAsia" w:hAnsiTheme="minorHAnsi" w:cstheme="minorBidi"/>
          <w:b w:val="0"/>
          <w:i w:val="0"/>
          <w:sz w:val="22"/>
          <w:szCs w:val="22"/>
        </w:rPr>
      </w:pPr>
      <w:hyperlink w:anchor="_Toc503948688" w:history="1">
        <w:r w:rsidR="002E1DCB" w:rsidRPr="00391916">
          <w:rPr>
            <w:rStyle w:val="Hyperlink"/>
          </w:rPr>
          <w:t>3.5</w:t>
        </w:r>
        <w:r w:rsidR="002E1DCB">
          <w:rPr>
            <w:rFonts w:asciiTheme="minorHAnsi" w:eastAsiaTheme="minorEastAsia" w:hAnsiTheme="minorHAnsi" w:cstheme="minorBidi"/>
            <w:b w:val="0"/>
            <w:i w:val="0"/>
            <w:sz w:val="22"/>
            <w:szCs w:val="22"/>
          </w:rPr>
          <w:tab/>
        </w:r>
        <w:r w:rsidR="002E1DCB" w:rsidRPr="00391916">
          <w:rPr>
            <w:rStyle w:val="Hyperlink"/>
          </w:rPr>
          <w:t>Legislative and policy framework</w:t>
        </w:r>
        <w:r w:rsidR="002E1DCB">
          <w:rPr>
            <w:webHidden/>
          </w:rPr>
          <w:tab/>
        </w:r>
        <w:r w:rsidR="002E1DCB">
          <w:rPr>
            <w:webHidden/>
          </w:rPr>
          <w:fldChar w:fldCharType="begin"/>
        </w:r>
        <w:r w:rsidR="002E1DCB">
          <w:rPr>
            <w:webHidden/>
          </w:rPr>
          <w:instrText xml:space="preserve"> PAGEREF _Toc503948688 \h </w:instrText>
        </w:r>
        <w:r w:rsidR="002E1DCB">
          <w:rPr>
            <w:webHidden/>
          </w:rPr>
        </w:r>
        <w:r w:rsidR="002E1DCB">
          <w:rPr>
            <w:webHidden/>
          </w:rPr>
          <w:fldChar w:fldCharType="separate"/>
        </w:r>
        <w:r w:rsidR="002E1DCB">
          <w:rPr>
            <w:webHidden/>
          </w:rPr>
          <w:t>19</w:t>
        </w:r>
        <w:r w:rsidR="002E1DCB">
          <w:rPr>
            <w:webHidden/>
          </w:rPr>
          <w:fldChar w:fldCharType="end"/>
        </w:r>
      </w:hyperlink>
    </w:p>
    <w:p w:rsidR="002E1DCB" w:rsidRDefault="00B95721">
      <w:pPr>
        <w:pStyle w:val="TOC3"/>
        <w:rPr>
          <w:rFonts w:asciiTheme="minorHAnsi" w:eastAsiaTheme="minorEastAsia" w:hAnsiTheme="minorHAnsi" w:cstheme="minorBidi"/>
          <w:i w:val="0"/>
          <w:sz w:val="22"/>
          <w:szCs w:val="22"/>
        </w:rPr>
      </w:pPr>
      <w:hyperlink w:anchor="_Toc503948689" w:history="1">
        <w:r w:rsidR="002E1DCB" w:rsidRPr="00391916">
          <w:rPr>
            <w:rStyle w:val="Hyperlink"/>
          </w:rPr>
          <w:t>(a)</w:t>
        </w:r>
        <w:r w:rsidR="002E1DCB">
          <w:rPr>
            <w:rFonts w:asciiTheme="minorHAnsi" w:eastAsiaTheme="minorEastAsia" w:hAnsiTheme="minorHAnsi" w:cstheme="minorBidi"/>
            <w:i w:val="0"/>
            <w:sz w:val="22"/>
            <w:szCs w:val="22"/>
          </w:rPr>
          <w:tab/>
        </w:r>
        <w:r w:rsidR="002E1DCB" w:rsidRPr="00391916">
          <w:rPr>
            <w:rStyle w:val="Hyperlink"/>
          </w:rPr>
          <w:t>Indefinite mandatory detention</w:t>
        </w:r>
        <w:r w:rsidR="002E1DCB">
          <w:rPr>
            <w:webHidden/>
          </w:rPr>
          <w:tab/>
        </w:r>
        <w:r w:rsidR="002E1DCB">
          <w:rPr>
            <w:webHidden/>
          </w:rPr>
          <w:fldChar w:fldCharType="begin"/>
        </w:r>
        <w:r w:rsidR="002E1DCB">
          <w:rPr>
            <w:webHidden/>
          </w:rPr>
          <w:instrText xml:space="preserve"> PAGEREF _Toc503948689 \h </w:instrText>
        </w:r>
        <w:r w:rsidR="002E1DCB">
          <w:rPr>
            <w:webHidden/>
          </w:rPr>
        </w:r>
        <w:r w:rsidR="002E1DCB">
          <w:rPr>
            <w:webHidden/>
          </w:rPr>
          <w:fldChar w:fldCharType="separate"/>
        </w:r>
        <w:r w:rsidR="002E1DCB">
          <w:rPr>
            <w:webHidden/>
          </w:rPr>
          <w:t>19</w:t>
        </w:r>
        <w:r w:rsidR="002E1DCB">
          <w:rPr>
            <w:webHidden/>
          </w:rPr>
          <w:fldChar w:fldCharType="end"/>
        </w:r>
      </w:hyperlink>
    </w:p>
    <w:p w:rsidR="002E1DCB" w:rsidRDefault="00B95721">
      <w:pPr>
        <w:pStyle w:val="TOC3"/>
        <w:rPr>
          <w:rFonts w:asciiTheme="minorHAnsi" w:eastAsiaTheme="minorEastAsia" w:hAnsiTheme="minorHAnsi" w:cstheme="minorBidi"/>
          <w:i w:val="0"/>
          <w:sz w:val="22"/>
          <w:szCs w:val="22"/>
        </w:rPr>
      </w:pPr>
      <w:hyperlink w:anchor="_Toc503948690" w:history="1">
        <w:r w:rsidR="002E1DCB" w:rsidRPr="00391916">
          <w:rPr>
            <w:rStyle w:val="Hyperlink"/>
          </w:rPr>
          <w:t>(b)</w:t>
        </w:r>
        <w:r w:rsidR="002E1DCB">
          <w:rPr>
            <w:rFonts w:asciiTheme="minorHAnsi" w:eastAsiaTheme="minorEastAsia" w:hAnsiTheme="minorHAnsi" w:cstheme="minorBidi"/>
            <w:i w:val="0"/>
            <w:sz w:val="22"/>
            <w:szCs w:val="22"/>
          </w:rPr>
          <w:tab/>
        </w:r>
        <w:r w:rsidR="002E1DCB" w:rsidRPr="00391916">
          <w:rPr>
            <w:rStyle w:val="Hyperlink"/>
          </w:rPr>
          <w:t>Community alternatives to detention</w:t>
        </w:r>
        <w:r w:rsidR="002E1DCB">
          <w:rPr>
            <w:webHidden/>
          </w:rPr>
          <w:tab/>
        </w:r>
        <w:r w:rsidR="002E1DCB">
          <w:rPr>
            <w:webHidden/>
          </w:rPr>
          <w:fldChar w:fldCharType="begin"/>
        </w:r>
        <w:r w:rsidR="002E1DCB">
          <w:rPr>
            <w:webHidden/>
          </w:rPr>
          <w:instrText xml:space="preserve"> PAGEREF _Toc503948690 \h </w:instrText>
        </w:r>
        <w:r w:rsidR="002E1DCB">
          <w:rPr>
            <w:webHidden/>
          </w:rPr>
        </w:r>
        <w:r w:rsidR="002E1DCB">
          <w:rPr>
            <w:webHidden/>
          </w:rPr>
          <w:fldChar w:fldCharType="separate"/>
        </w:r>
        <w:r w:rsidR="002E1DCB">
          <w:rPr>
            <w:webHidden/>
          </w:rPr>
          <w:t>21</w:t>
        </w:r>
        <w:r w:rsidR="002E1DCB">
          <w:rPr>
            <w:webHidden/>
          </w:rPr>
          <w:fldChar w:fldCharType="end"/>
        </w:r>
      </w:hyperlink>
    </w:p>
    <w:p w:rsidR="002E1DCB" w:rsidRDefault="00B95721">
      <w:pPr>
        <w:pStyle w:val="TOC3"/>
        <w:rPr>
          <w:rFonts w:asciiTheme="minorHAnsi" w:eastAsiaTheme="minorEastAsia" w:hAnsiTheme="minorHAnsi" w:cstheme="minorBidi"/>
          <w:i w:val="0"/>
          <w:sz w:val="22"/>
          <w:szCs w:val="22"/>
        </w:rPr>
      </w:pPr>
      <w:hyperlink w:anchor="_Toc503948691" w:history="1">
        <w:r w:rsidR="002E1DCB" w:rsidRPr="00391916">
          <w:rPr>
            <w:rStyle w:val="Hyperlink"/>
          </w:rPr>
          <w:t>(c)</w:t>
        </w:r>
        <w:r w:rsidR="002E1DCB">
          <w:rPr>
            <w:rFonts w:asciiTheme="minorHAnsi" w:eastAsiaTheme="minorEastAsia" w:hAnsiTheme="minorHAnsi" w:cstheme="minorBidi"/>
            <w:i w:val="0"/>
            <w:sz w:val="22"/>
            <w:szCs w:val="22"/>
          </w:rPr>
          <w:tab/>
        </w:r>
        <w:r w:rsidR="002E1DCB" w:rsidRPr="00391916">
          <w:rPr>
            <w:rStyle w:val="Hyperlink"/>
          </w:rPr>
          <w:t>Case management and status resolution</w:t>
        </w:r>
        <w:r w:rsidR="002E1DCB">
          <w:rPr>
            <w:webHidden/>
          </w:rPr>
          <w:tab/>
        </w:r>
        <w:r w:rsidR="002E1DCB">
          <w:rPr>
            <w:webHidden/>
          </w:rPr>
          <w:fldChar w:fldCharType="begin"/>
        </w:r>
        <w:r w:rsidR="002E1DCB">
          <w:rPr>
            <w:webHidden/>
          </w:rPr>
          <w:instrText xml:space="preserve"> PAGEREF _Toc503948691 \h </w:instrText>
        </w:r>
        <w:r w:rsidR="002E1DCB">
          <w:rPr>
            <w:webHidden/>
          </w:rPr>
        </w:r>
        <w:r w:rsidR="002E1DCB">
          <w:rPr>
            <w:webHidden/>
          </w:rPr>
          <w:fldChar w:fldCharType="separate"/>
        </w:r>
        <w:r w:rsidR="002E1DCB">
          <w:rPr>
            <w:webHidden/>
          </w:rPr>
          <w:t>22</w:t>
        </w:r>
        <w:r w:rsidR="002E1DCB">
          <w:rPr>
            <w:webHidden/>
          </w:rPr>
          <w:fldChar w:fldCharType="end"/>
        </w:r>
      </w:hyperlink>
    </w:p>
    <w:p w:rsidR="002E1DCB" w:rsidRDefault="00B95721">
      <w:pPr>
        <w:pStyle w:val="TOC1"/>
        <w:rPr>
          <w:rFonts w:asciiTheme="minorHAnsi" w:eastAsiaTheme="minorEastAsia" w:hAnsiTheme="minorHAnsi" w:cstheme="minorBidi"/>
          <w:b w:val="0"/>
          <w:sz w:val="22"/>
          <w:szCs w:val="22"/>
        </w:rPr>
      </w:pPr>
      <w:hyperlink w:anchor="_Toc503948692" w:history="1">
        <w:r w:rsidR="002E1DCB" w:rsidRPr="00391916">
          <w:rPr>
            <w:rStyle w:val="Hyperlink"/>
          </w:rPr>
          <w:t>4</w:t>
        </w:r>
        <w:r w:rsidR="002E1DCB">
          <w:rPr>
            <w:rFonts w:asciiTheme="minorHAnsi" w:eastAsiaTheme="minorEastAsia" w:hAnsiTheme="minorHAnsi" w:cstheme="minorBidi"/>
            <w:b w:val="0"/>
            <w:sz w:val="22"/>
            <w:szCs w:val="22"/>
          </w:rPr>
          <w:tab/>
        </w:r>
        <w:r w:rsidR="002E1DCB" w:rsidRPr="00391916">
          <w:rPr>
            <w:rStyle w:val="Hyperlink"/>
          </w:rPr>
          <w:t>Summary of recommendations</w:t>
        </w:r>
        <w:r w:rsidR="002E1DCB">
          <w:rPr>
            <w:webHidden/>
          </w:rPr>
          <w:tab/>
        </w:r>
        <w:r w:rsidR="002E1DCB">
          <w:rPr>
            <w:webHidden/>
          </w:rPr>
          <w:fldChar w:fldCharType="begin"/>
        </w:r>
        <w:r w:rsidR="002E1DCB">
          <w:rPr>
            <w:webHidden/>
          </w:rPr>
          <w:instrText xml:space="preserve"> PAGEREF _Toc503948692 \h </w:instrText>
        </w:r>
        <w:r w:rsidR="002E1DCB">
          <w:rPr>
            <w:webHidden/>
          </w:rPr>
        </w:r>
        <w:r w:rsidR="002E1DCB">
          <w:rPr>
            <w:webHidden/>
          </w:rPr>
          <w:fldChar w:fldCharType="separate"/>
        </w:r>
        <w:r w:rsidR="002E1DCB">
          <w:rPr>
            <w:webHidden/>
          </w:rPr>
          <w:t>24</w:t>
        </w:r>
        <w:r w:rsidR="002E1DCB">
          <w:rPr>
            <w:webHidden/>
          </w:rPr>
          <w:fldChar w:fldCharType="end"/>
        </w:r>
      </w:hyperlink>
    </w:p>
    <w:p w:rsidR="002E1DCB" w:rsidRDefault="00B95721">
      <w:pPr>
        <w:pStyle w:val="TOC2"/>
        <w:rPr>
          <w:rFonts w:asciiTheme="minorHAnsi" w:eastAsiaTheme="minorEastAsia" w:hAnsiTheme="minorHAnsi" w:cstheme="minorBidi"/>
          <w:b w:val="0"/>
          <w:i w:val="0"/>
          <w:sz w:val="22"/>
          <w:szCs w:val="22"/>
        </w:rPr>
      </w:pPr>
      <w:hyperlink w:anchor="_Toc503948693" w:history="1">
        <w:r w:rsidR="002E1DCB" w:rsidRPr="00391916">
          <w:rPr>
            <w:rStyle w:val="Hyperlink"/>
          </w:rPr>
          <w:t>4.1</w:t>
        </w:r>
        <w:r w:rsidR="002E1DCB">
          <w:rPr>
            <w:rFonts w:asciiTheme="minorHAnsi" w:eastAsiaTheme="minorEastAsia" w:hAnsiTheme="minorHAnsi" w:cstheme="minorBidi"/>
            <w:b w:val="0"/>
            <w:i w:val="0"/>
            <w:sz w:val="22"/>
            <w:szCs w:val="22"/>
          </w:rPr>
          <w:tab/>
        </w:r>
        <w:r w:rsidR="002E1DCB" w:rsidRPr="00391916">
          <w:rPr>
            <w:rStyle w:val="Hyperlink"/>
          </w:rPr>
          <w:t>Recommendations to the Australian Government</w:t>
        </w:r>
        <w:r w:rsidR="002E1DCB">
          <w:rPr>
            <w:webHidden/>
          </w:rPr>
          <w:tab/>
        </w:r>
        <w:r w:rsidR="002E1DCB">
          <w:rPr>
            <w:webHidden/>
          </w:rPr>
          <w:fldChar w:fldCharType="begin"/>
        </w:r>
        <w:r w:rsidR="002E1DCB">
          <w:rPr>
            <w:webHidden/>
          </w:rPr>
          <w:instrText xml:space="preserve"> PAGEREF _Toc503948693 \h </w:instrText>
        </w:r>
        <w:r w:rsidR="002E1DCB">
          <w:rPr>
            <w:webHidden/>
          </w:rPr>
        </w:r>
        <w:r w:rsidR="002E1DCB">
          <w:rPr>
            <w:webHidden/>
          </w:rPr>
          <w:fldChar w:fldCharType="separate"/>
        </w:r>
        <w:r w:rsidR="002E1DCB">
          <w:rPr>
            <w:webHidden/>
          </w:rPr>
          <w:t>24</w:t>
        </w:r>
        <w:r w:rsidR="002E1DCB">
          <w:rPr>
            <w:webHidden/>
          </w:rPr>
          <w:fldChar w:fldCharType="end"/>
        </w:r>
      </w:hyperlink>
    </w:p>
    <w:p w:rsidR="002E1DCB" w:rsidRDefault="00B95721">
      <w:pPr>
        <w:pStyle w:val="TOC2"/>
        <w:rPr>
          <w:rFonts w:asciiTheme="minorHAnsi" w:eastAsiaTheme="minorEastAsia" w:hAnsiTheme="minorHAnsi" w:cstheme="minorBidi"/>
          <w:b w:val="0"/>
          <w:i w:val="0"/>
          <w:sz w:val="22"/>
          <w:szCs w:val="22"/>
        </w:rPr>
      </w:pPr>
      <w:hyperlink w:anchor="_Toc503948694" w:history="1">
        <w:r w:rsidR="002E1DCB" w:rsidRPr="00391916">
          <w:rPr>
            <w:rStyle w:val="Hyperlink"/>
          </w:rPr>
          <w:t>4.2</w:t>
        </w:r>
        <w:r w:rsidR="002E1DCB">
          <w:rPr>
            <w:rFonts w:asciiTheme="minorHAnsi" w:eastAsiaTheme="minorEastAsia" w:hAnsiTheme="minorHAnsi" w:cstheme="minorBidi"/>
            <w:b w:val="0"/>
            <w:i w:val="0"/>
            <w:sz w:val="22"/>
            <w:szCs w:val="22"/>
          </w:rPr>
          <w:tab/>
        </w:r>
        <w:r w:rsidR="002E1DCB" w:rsidRPr="00391916">
          <w:rPr>
            <w:rStyle w:val="Hyperlink"/>
          </w:rPr>
          <w:t xml:space="preserve">Joint recommendations to the </w:t>
        </w:r>
        <w:r w:rsidR="00900D4E">
          <w:rPr>
            <w:rStyle w:val="Hyperlink"/>
          </w:rPr>
          <w:t>Department of Home Affairs</w:t>
        </w:r>
        <w:r w:rsidR="002E1DCB" w:rsidRPr="00391916">
          <w:rPr>
            <w:rStyle w:val="Hyperlink"/>
          </w:rPr>
          <w:t xml:space="preserve"> and facility staff</w:t>
        </w:r>
        <w:r w:rsidR="002E1DCB">
          <w:rPr>
            <w:webHidden/>
          </w:rPr>
          <w:tab/>
        </w:r>
        <w:r w:rsidR="002E1DCB">
          <w:rPr>
            <w:webHidden/>
          </w:rPr>
          <w:fldChar w:fldCharType="begin"/>
        </w:r>
        <w:r w:rsidR="002E1DCB">
          <w:rPr>
            <w:webHidden/>
          </w:rPr>
          <w:instrText xml:space="preserve"> PAGEREF _Toc503948694 \h </w:instrText>
        </w:r>
        <w:r w:rsidR="002E1DCB">
          <w:rPr>
            <w:webHidden/>
          </w:rPr>
        </w:r>
        <w:r w:rsidR="002E1DCB">
          <w:rPr>
            <w:webHidden/>
          </w:rPr>
          <w:fldChar w:fldCharType="separate"/>
        </w:r>
        <w:r w:rsidR="002E1DCB">
          <w:rPr>
            <w:webHidden/>
          </w:rPr>
          <w:t>24</w:t>
        </w:r>
        <w:r w:rsidR="002E1DCB">
          <w:rPr>
            <w:webHidden/>
          </w:rPr>
          <w:fldChar w:fldCharType="end"/>
        </w:r>
      </w:hyperlink>
    </w:p>
    <w:p w:rsidR="002E1DCB" w:rsidRDefault="00B95721">
      <w:pPr>
        <w:pStyle w:val="TOC2"/>
        <w:rPr>
          <w:rFonts w:asciiTheme="minorHAnsi" w:eastAsiaTheme="minorEastAsia" w:hAnsiTheme="minorHAnsi" w:cstheme="minorBidi"/>
          <w:b w:val="0"/>
          <w:i w:val="0"/>
          <w:sz w:val="22"/>
          <w:szCs w:val="22"/>
        </w:rPr>
      </w:pPr>
      <w:hyperlink w:anchor="_Toc503948695" w:history="1">
        <w:r w:rsidR="002E1DCB" w:rsidRPr="00391916">
          <w:rPr>
            <w:rStyle w:val="Hyperlink"/>
          </w:rPr>
          <w:t>4.3</w:t>
        </w:r>
        <w:r w:rsidR="002E1DCB">
          <w:rPr>
            <w:rFonts w:asciiTheme="minorHAnsi" w:eastAsiaTheme="minorEastAsia" w:hAnsiTheme="minorHAnsi" w:cstheme="minorBidi"/>
            <w:b w:val="0"/>
            <w:i w:val="0"/>
            <w:sz w:val="22"/>
            <w:szCs w:val="22"/>
          </w:rPr>
          <w:tab/>
        </w:r>
        <w:r w:rsidR="002E1DCB" w:rsidRPr="00391916">
          <w:rPr>
            <w:rStyle w:val="Hyperlink"/>
          </w:rPr>
          <w:t xml:space="preserve">Recommendations to the Minister and </w:t>
        </w:r>
        <w:r w:rsidR="00900D4E">
          <w:rPr>
            <w:rStyle w:val="Hyperlink"/>
          </w:rPr>
          <w:t>Department of Home Affairs</w:t>
        </w:r>
        <w:r w:rsidR="002E1DCB">
          <w:rPr>
            <w:webHidden/>
          </w:rPr>
          <w:tab/>
        </w:r>
        <w:r w:rsidR="002E1DCB">
          <w:rPr>
            <w:webHidden/>
          </w:rPr>
          <w:fldChar w:fldCharType="begin"/>
        </w:r>
        <w:r w:rsidR="002E1DCB">
          <w:rPr>
            <w:webHidden/>
          </w:rPr>
          <w:instrText xml:space="preserve"> PAGEREF _Toc503948695 \h </w:instrText>
        </w:r>
        <w:r w:rsidR="002E1DCB">
          <w:rPr>
            <w:webHidden/>
          </w:rPr>
        </w:r>
        <w:r w:rsidR="002E1DCB">
          <w:rPr>
            <w:webHidden/>
          </w:rPr>
          <w:fldChar w:fldCharType="separate"/>
        </w:r>
        <w:r w:rsidR="002E1DCB">
          <w:rPr>
            <w:webHidden/>
          </w:rPr>
          <w:t>24</w:t>
        </w:r>
        <w:r w:rsidR="002E1DCB">
          <w:rPr>
            <w:webHidden/>
          </w:rPr>
          <w:fldChar w:fldCharType="end"/>
        </w:r>
      </w:hyperlink>
    </w:p>
    <w:p w:rsidR="002E1DCB" w:rsidRDefault="00B95721">
      <w:pPr>
        <w:pStyle w:val="TOC2"/>
        <w:rPr>
          <w:rFonts w:asciiTheme="minorHAnsi" w:eastAsiaTheme="minorEastAsia" w:hAnsiTheme="minorHAnsi" w:cstheme="minorBidi"/>
          <w:b w:val="0"/>
          <w:i w:val="0"/>
          <w:sz w:val="22"/>
          <w:szCs w:val="22"/>
        </w:rPr>
      </w:pPr>
      <w:hyperlink w:anchor="_Toc503948696" w:history="1">
        <w:r w:rsidR="002E1DCB" w:rsidRPr="00391916">
          <w:rPr>
            <w:rStyle w:val="Hyperlink"/>
          </w:rPr>
          <w:t>4.4</w:t>
        </w:r>
        <w:r w:rsidR="002E1DCB">
          <w:rPr>
            <w:rFonts w:asciiTheme="minorHAnsi" w:eastAsiaTheme="minorEastAsia" w:hAnsiTheme="minorHAnsi" w:cstheme="minorBidi"/>
            <w:b w:val="0"/>
            <w:i w:val="0"/>
            <w:sz w:val="22"/>
            <w:szCs w:val="22"/>
          </w:rPr>
          <w:tab/>
        </w:r>
        <w:r w:rsidR="002E1DCB" w:rsidRPr="00391916">
          <w:rPr>
            <w:rStyle w:val="Hyperlink"/>
          </w:rPr>
          <w:t>Recommendations to facility staff</w:t>
        </w:r>
        <w:r w:rsidR="002E1DCB">
          <w:rPr>
            <w:webHidden/>
          </w:rPr>
          <w:tab/>
        </w:r>
        <w:r w:rsidR="002E1DCB">
          <w:rPr>
            <w:webHidden/>
          </w:rPr>
          <w:fldChar w:fldCharType="begin"/>
        </w:r>
        <w:r w:rsidR="002E1DCB">
          <w:rPr>
            <w:webHidden/>
          </w:rPr>
          <w:instrText xml:space="preserve"> PAGEREF _Toc503948696 \h </w:instrText>
        </w:r>
        <w:r w:rsidR="002E1DCB">
          <w:rPr>
            <w:webHidden/>
          </w:rPr>
        </w:r>
        <w:r w:rsidR="002E1DCB">
          <w:rPr>
            <w:webHidden/>
          </w:rPr>
          <w:fldChar w:fldCharType="separate"/>
        </w:r>
        <w:r w:rsidR="002E1DCB">
          <w:rPr>
            <w:webHidden/>
          </w:rPr>
          <w:t>25</w:t>
        </w:r>
        <w:r w:rsidR="002E1DCB">
          <w:rPr>
            <w:webHidden/>
          </w:rPr>
          <w:fldChar w:fldCharType="end"/>
        </w:r>
      </w:hyperlink>
    </w:p>
    <w:p w:rsidR="002E1DCB" w:rsidRDefault="00B95721">
      <w:pPr>
        <w:pStyle w:val="TOC1"/>
        <w:rPr>
          <w:rFonts w:asciiTheme="minorHAnsi" w:eastAsiaTheme="minorEastAsia" w:hAnsiTheme="minorHAnsi" w:cstheme="minorBidi"/>
          <w:b w:val="0"/>
          <w:sz w:val="22"/>
          <w:szCs w:val="22"/>
        </w:rPr>
      </w:pPr>
      <w:hyperlink w:anchor="_Toc503948697" w:history="1">
        <w:r w:rsidR="002E1DCB" w:rsidRPr="00391916">
          <w:rPr>
            <w:rStyle w:val="Hyperlink"/>
          </w:rPr>
          <w:t>5</w:t>
        </w:r>
        <w:r w:rsidR="002E1DCB">
          <w:rPr>
            <w:rFonts w:asciiTheme="minorHAnsi" w:eastAsiaTheme="minorEastAsia" w:hAnsiTheme="minorHAnsi" w:cstheme="minorBidi"/>
            <w:b w:val="0"/>
            <w:sz w:val="22"/>
            <w:szCs w:val="22"/>
          </w:rPr>
          <w:tab/>
        </w:r>
        <w:r w:rsidR="002E1DCB" w:rsidRPr="00391916">
          <w:rPr>
            <w:rStyle w:val="Hyperlink"/>
          </w:rPr>
          <w:t>Appendix: Photos taken during the Commission’s inspection</w:t>
        </w:r>
        <w:r w:rsidR="002E1DCB">
          <w:rPr>
            <w:webHidden/>
          </w:rPr>
          <w:tab/>
        </w:r>
        <w:r w:rsidR="002E1DCB">
          <w:rPr>
            <w:webHidden/>
          </w:rPr>
          <w:fldChar w:fldCharType="begin"/>
        </w:r>
        <w:r w:rsidR="002E1DCB">
          <w:rPr>
            <w:webHidden/>
          </w:rPr>
          <w:instrText xml:space="preserve"> PAGEREF _Toc503948697 \h </w:instrText>
        </w:r>
        <w:r w:rsidR="002E1DCB">
          <w:rPr>
            <w:webHidden/>
          </w:rPr>
        </w:r>
        <w:r w:rsidR="002E1DCB">
          <w:rPr>
            <w:webHidden/>
          </w:rPr>
          <w:fldChar w:fldCharType="separate"/>
        </w:r>
        <w:r w:rsidR="002E1DCB">
          <w:rPr>
            <w:webHidden/>
          </w:rPr>
          <w:t>27</w:t>
        </w:r>
        <w:r w:rsidR="002E1DCB">
          <w:rPr>
            <w:webHidden/>
          </w:rPr>
          <w:fldChar w:fldCharType="end"/>
        </w:r>
      </w:hyperlink>
    </w:p>
    <w:p w:rsidR="002E1DCB" w:rsidRDefault="00B95721">
      <w:pPr>
        <w:pStyle w:val="TOC2"/>
        <w:rPr>
          <w:rFonts w:asciiTheme="minorHAnsi" w:eastAsiaTheme="minorEastAsia" w:hAnsiTheme="minorHAnsi" w:cstheme="minorBidi"/>
          <w:b w:val="0"/>
          <w:i w:val="0"/>
          <w:sz w:val="22"/>
          <w:szCs w:val="22"/>
        </w:rPr>
      </w:pPr>
      <w:hyperlink w:anchor="_Toc503948698" w:history="1">
        <w:r w:rsidR="002E1DCB" w:rsidRPr="00391916">
          <w:rPr>
            <w:rStyle w:val="Hyperlink"/>
          </w:rPr>
          <w:t>5.1</w:t>
        </w:r>
        <w:r w:rsidR="002E1DCB">
          <w:rPr>
            <w:rFonts w:asciiTheme="minorHAnsi" w:eastAsiaTheme="minorEastAsia" w:hAnsiTheme="minorHAnsi" w:cstheme="minorBidi"/>
            <w:b w:val="0"/>
            <w:i w:val="0"/>
            <w:sz w:val="22"/>
            <w:szCs w:val="22"/>
          </w:rPr>
          <w:tab/>
        </w:r>
        <w:r w:rsidR="002E1DCB" w:rsidRPr="00391916">
          <w:rPr>
            <w:rStyle w:val="Hyperlink"/>
          </w:rPr>
          <w:t>Men’s compound</w:t>
        </w:r>
        <w:r w:rsidR="002E1DCB">
          <w:rPr>
            <w:webHidden/>
          </w:rPr>
          <w:tab/>
        </w:r>
        <w:r w:rsidR="002E1DCB">
          <w:rPr>
            <w:webHidden/>
          </w:rPr>
          <w:fldChar w:fldCharType="begin"/>
        </w:r>
        <w:r w:rsidR="002E1DCB">
          <w:rPr>
            <w:webHidden/>
          </w:rPr>
          <w:instrText xml:space="preserve"> PAGEREF _Toc503948698 \h </w:instrText>
        </w:r>
        <w:r w:rsidR="002E1DCB">
          <w:rPr>
            <w:webHidden/>
          </w:rPr>
        </w:r>
        <w:r w:rsidR="002E1DCB">
          <w:rPr>
            <w:webHidden/>
          </w:rPr>
          <w:fldChar w:fldCharType="separate"/>
        </w:r>
        <w:r w:rsidR="002E1DCB">
          <w:rPr>
            <w:webHidden/>
          </w:rPr>
          <w:t>27</w:t>
        </w:r>
        <w:r w:rsidR="002E1DCB">
          <w:rPr>
            <w:webHidden/>
          </w:rPr>
          <w:fldChar w:fldCharType="end"/>
        </w:r>
      </w:hyperlink>
    </w:p>
    <w:p w:rsidR="002E1DCB" w:rsidRDefault="00B95721">
      <w:pPr>
        <w:pStyle w:val="TOC2"/>
        <w:rPr>
          <w:rFonts w:asciiTheme="minorHAnsi" w:eastAsiaTheme="minorEastAsia" w:hAnsiTheme="minorHAnsi" w:cstheme="minorBidi"/>
          <w:b w:val="0"/>
          <w:i w:val="0"/>
          <w:sz w:val="22"/>
          <w:szCs w:val="22"/>
        </w:rPr>
      </w:pPr>
      <w:hyperlink w:anchor="_Toc503948699" w:history="1">
        <w:r w:rsidR="002E1DCB" w:rsidRPr="00391916">
          <w:rPr>
            <w:rStyle w:val="Hyperlink"/>
          </w:rPr>
          <w:t>5.2</w:t>
        </w:r>
        <w:r w:rsidR="002E1DCB">
          <w:rPr>
            <w:rFonts w:asciiTheme="minorHAnsi" w:eastAsiaTheme="minorEastAsia" w:hAnsiTheme="minorHAnsi" w:cstheme="minorBidi"/>
            <w:b w:val="0"/>
            <w:i w:val="0"/>
            <w:sz w:val="22"/>
            <w:szCs w:val="22"/>
          </w:rPr>
          <w:tab/>
        </w:r>
        <w:r w:rsidR="002E1DCB" w:rsidRPr="00391916">
          <w:rPr>
            <w:rStyle w:val="Hyperlink"/>
          </w:rPr>
          <w:t>Women’s compound</w:t>
        </w:r>
        <w:r w:rsidR="002E1DCB">
          <w:rPr>
            <w:webHidden/>
          </w:rPr>
          <w:tab/>
        </w:r>
        <w:r w:rsidR="002E1DCB">
          <w:rPr>
            <w:webHidden/>
          </w:rPr>
          <w:fldChar w:fldCharType="begin"/>
        </w:r>
        <w:r w:rsidR="002E1DCB">
          <w:rPr>
            <w:webHidden/>
          </w:rPr>
          <w:instrText xml:space="preserve"> PAGEREF _Toc503948699 \h </w:instrText>
        </w:r>
        <w:r w:rsidR="002E1DCB">
          <w:rPr>
            <w:webHidden/>
          </w:rPr>
        </w:r>
        <w:r w:rsidR="002E1DCB">
          <w:rPr>
            <w:webHidden/>
          </w:rPr>
          <w:fldChar w:fldCharType="separate"/>
        </w:r>
        <w:r w:rsidR="002E1DCB">
          <w:rPr>
            <w:webHidden/>
          </w:rPr>
          <w:t>29</w:t>
        </w:r>
        <w:r w:rsidR="002E1DCB">
          <w:rPr>
            <w:webHidden/>
          </w:rPr>
          <w:fldChar w:fldCharType="end"/>
        </w:r>
      </w:hyperlink>
    </w:p>
    <w:p w:rsidR="002E1DCB" w:rsidRDefault="00B95721">
      <w:pPr>
        <w:pStyle w:val="TOC2"/>
        <w:rPr>
          <w:rFonts w:asciiTheme="minorHAnsi" w:eastAsiaTheme="minorEastAsia" w:hAnsiTheme="minorHAnsi" w:cstheme="minorBidi"/>
          <w:b w:val="0"/>
          <w:i w:val="0"/>
          <w:sz w:val="22"/>
          <w:szCs w:val="22"/>
        </w:rPr>
      </w:pPr>
      <w:hyperlink w:anchor="_Toc503948700" w:history="1">
        <w:r w:rsidR="002E1DCB" w:rsidRPr="00391916">
          <w:rPr>
            <w:rStyle w:val="Hyperlink"/>
          </w:rPr>
          <w:t>5.3</w:t>
        </w:r>
        <w:r w:rsidR="002E1DCB">
          <w:rPr>
            <w:rFonts w:asciiTheme="minorHAnsi" w:eastAsiaTheme="minorEastAsia" w:hAnsiTheme="minorHAnsi" w:cstheme="minorBidi"/>
            <w:b w:val="0"/>
            <w:i w:val="0"/>
            <w:sz w:val="22"/>
            <w:szCs w:val="22"/>
          </w:rPr>
          <w:tab/>
        </w:r>
        <w:r w:rsidR="002E1DCB" w:rsidRPr="00391916">
          <w:rPr>
            <w:rStyle w:val="Hyperlink"/>
          </w:rPr>
          <w:t>High-security single separation room</w:t>
        </w:r>
        <w:r w:rsidR="002E1DCB">
          <w:rPr>
            <w:webHidden/>
          </w:rPr>
          <w:tab/>
        </w:r>
        <w:r w:rsidR="002E1DCB">
          <w:rPr>
            <w:webHidden/>
          </w:rPr>
          <w:fldChar w:fldCharType="begin"/>
        </w:r>
        <w:r w:rsidR="002E1DCB">
          <w:rPr>
            <w:webHidden/>
          </w:rPr>
          <w:instrText xml:space="preserve"> PAGEREF _Toc503948700 \h </w:instrText>
        </w:r>
        <w:r w:rsidR="002E1DCB">
          <w:rPr>
            <w:webHidden/>
          </w:rPr>
        </w:r>
        <w:r w:rsidR="002E1DCB">
          <w:rPr>
            <w:webHidden/>
          </w:rPr>
          <w:fldChar w:fldCharType="separate"/>
        </w:r>
        <w:r w:rsidR="002E1DCB">
          <w:rPr>
            <w:webHidden/>
          </w:rPr>
          <w:t>30</w:t>
        </w:r>
        <w:r w:rsidR="002E1DCB">
          <w:rPr>
            <w:webHidden/>
          </w:rPr>
          <w:fldChar w:fldCharType="end"/>
        </w:r>
      </w:hyperlink>
    </w:p>
    <w:p w:rsidR="002E1DCB" w:rsidRDefault="00B95721">
      <w:pPr>
        <w:pStyle w:val="TOC2"/>
        <w:rPr>
          <w:rFonts w:asciiTheme="minorHAnsi" w:eastAsiaTheme="minorEastAsia" w:hAnsiTheme="minorHAnsi" w:cstheme="minorBidi"/>
          <w:b w:val="0"/>
          <w:i w:val="0"/>
          <w:sz w:val="22"/>
          <w:szCs w:val="22"/>
        </w:rPr>
      </w:pPr>
      <w:hyperlink w:anchor="_Toc503948701" w:history="1">
        <w:r w:rsidR="002E1DCB" w:rsidRPr="00391916">
          <w:rPr>
            <w:rStyle w:val="Hyperlink"/>
          </w:rPr>
          <w:t>5.4</w:t>
        </w:r>
        <w:r w:rsidR="002E1DCB">
          <w:rPr>
            <w:rFonts w:asciiTheme="minorHAnsi" w:eastAsiaTheme="minorEastAsia" w:hAnsiTheme="minorHAnsi" w:cstheme="minorBidi"/>
            <w:b w:val="0"/>
            <w:i w:val="0"/>
            <w:sz w:val="22"/>
            <w:szCs w:val="22"/>
          </w:rPr>
          <w:tab/>
        </w:r>
        <w:r w:rsidR="002E1DCB" w:rsidRPr="00391916">
          <w:rPr>
            <w:rStyle w:val="Hyperlink"/>
          </w:rPr>
          <w:t>Shared facilities</w:t>
        </w:r>
        <w:r w:rsidR="002E1DCB">
          <w:rPr>
            <w:webHidden/>
          </w:rPr>
          <w:tab/>
        </w:r>
        <w:r w:rsidR="002E1DCB">
          <w:rPr>
            <w:webHidden/>
          </w:rPr>
          <w:fldChar w:fldCharType="begin"/>
        </w:r>
        <w:r w:rsidR="002E1DCB">
          <w:rPr>
            <w:webHidden/>
          </w:rPr>
          <w:instrText xml:space="preserve"> PAGEREF _Toc503948701 \h </w:instrText>
        </w:r>
        <w:r w:rsidR="002E1DCB">
          <w:rPr>
            <w:webHidden/>
          </w:rPr>
        </w:r>
        <w:r w:rsidR="002E1DCB">
          <w:rPr>
            <w:webHidden/>
          </w:rPr>
          <w:fldChar w:fldCharType="separate"/>
        </w:r>
        <w:r w:rsidR="002E1DCB">
          <w:rPr>
            <w:webHidden/>
          </w:rPr>
          <w:t>31</w:t>
        </w:r>
        <w:r w:rsidR="002E1DCB">
          <w:rPr>
            <w:webHidden/>
          </w:rPr>
          <w:fldChar w:fldCharType="end"/>
        </w:r>
      </w:hyperlink>
    </w:p>
    <w:p w:rsidR="002E1DCB" w:rsidRDefault="00B95721">
      <w:pPr>
        <w:pStyle w:val="TOC1"/>
        <w:rPr>
          <w:rFonts w:asciiTheme="minorHAnsi" w:eastAsiaTheme="minorEastAsia" w:hAnsiTheme="minorHAnsi" w:cstheme="minorBidi"/>
          <w:b w:val="0"/>
          <w:sz w:val="22"/>
          <w:szCs w:val="22"/>
        </w:rPr>
      </w:pPr>
      <w:hyperlink w:anchor="_Toc503948702" w:history="1">
        <w:r w:rsidR="002E1DCB" w:rsidRPr="00391916">
          <w:rPr>
            <w:rStyle w:val="Hyperlink"/>
          </w:rPr>
          <w:t>Endnotes</w:t>
        </w:r>
        <w:r w:rsidR="002E1DCB">
          <w:rPr>
            <w:webHidden/>
          </w:rPr>
          <w:tab/>
        </w:r>
        <w:r w:rsidR="002E1DCB">
          <w:rPr>
            <w:webHidden/>
          </w:rPr>
          <w:fldChar w:fldCharType="begin"/>
        </w:r>
        <w:r w:rsidR="002E1DCB">
          <w:rPr>
            <w:webHidden/>
          </w:rPr>
          <w:instrText xml:space="preserve"> PAGEREF _Toc503948702 \h </w:instrText>
        </w:r>
        <w:r w:rsidR="002E1DCB">
          <w:rPr>
            <w:webHidden/>
          </w:rPr>
        </w:r>
        <w:r w:rsidR="002E1DCB">
          <w:rPr>
            <w:webHidden/>
          </w:rPr>
          <w:fldChar w:fldCharType="separate"/>
        </w:r>
        <w:r w:rsidR="002E1DCB">
          <w:rPr>
            <w:webHidden/>
          </w:rPr>
          <w:t>33</w:t>
        </w:r>
        <w:r w:rsidR="002E1DCB">
          <w:rPr>
            <w:webHidden/>
          </w:rPr>
          <w:fldChar w:fldCharType="end"/>
        </w:r>
      </w:hyperlink>
    </w:p>
    <w:p w:rsidR="00B34946" w:rsidRDefault="00682B23" w:rsidP="002258BC">
      <w:pPr>
        <w:tabs>
          <w:tab w:val="right" w:pos="9070"/>
        </w:tabs>
      </w:pPr>
      <w:r>
        <w:rPr>
          <w:i/>
        </w:rPr>
        <w:fldChar w:fldCharType="end"/>
      </w:r>
      <w:r w:rsidR="002258BC">
        <w:rPr>
          <w:i/>
        </w:rPr>
        <w:tab/>
      </w:r>
    </w:p>
    <w:p w:rsidR="00B34946" w:rsidRDefault="00B34946">
      <w:pPr>
        <w:spacing w:before="0" w:after="0"/>
      </w:pPr>
      <w:r>
        <w:br w:type="page"/>
      </w:r>
    </w:p>
    <w:p w:rsidR="00077209" w:rsidRPr="00F51DAF" w:rsidRDefault="00077209" w:rsidP="00077209">
      <w:pPr>
        <w:pStyle w:val="Heading1"/>
        <w:numPr>
          <w:ilvl w:val="0"/>
          <w:numId w:val="0"/>
        </w:numPr>
        <w:pBdr>
          <w:top w:val="single" w:sz="4" w:space="4" w:color="auto"/>
          <w:left w:val="single" w:sz="4" w:space="4" w:color="auto"/>
          <w:bottom w:val="single" w:sz="4" w:space="4" w:color="auto"/>
          <w:right w:val="single" w:sz="4" w:space="4" w:color="auto"/>
        </w:pBdr>
        <w:shd w:val="clear" w:color="auto" w:fill="237BBC"/>
        <w:ind w:left="851" w:hanging="851"/>
        <w:rPr>
          <w:i/>
          <w:color w:val="FFFFFF" w:themeColor="background1"/>
        </w:rPr>
      </w:pPr>
      <w:bookmarkStart w:id="12" w:name="_Toc496795773"/>
      <w:bookmarkStart w:id="13" w:name="_Toc496796076"/>
      <w:bookmarkStart w:id="14" w:name="_Toc503948653"/>
      <w:bookmarkStart w:id="15" w:name="_Toc207761830"/>
      <w:bookmarkStart w:id="16" w:name="_Toc209578266"/>
      <w:r w:rsidRPr="00F51DAF">
        <w:rPr>
          <w:i/>
          <w:color w:val="FFFFFF" w:themeColor="background1"/>
        </w:rPr>
        <w:lastRenderedPageBreak/>
        <w:t>Summary of key issues</w:t>
      </w:r>
      <w:bookmarkEnd w:id="12"/>
      <w:bookmarkEnd w:id="13"/>
      <w:bookmarkEnd w:id="14"/>
    </w:p>
    <w:p w:rsidR="007405CB" w:rsidRPr="007405CB" w:rsidRDefault="007405CB" w:rsidP="007405CB">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7405CB">
        <w:rPr>
          <w:i/>
          <w:color w:val="FFFFFF" w:themeColor="background1"/>
        </w:rPr>
        <w:t xml:space="preserve">The physical infrastructure of the PIDC does not allow for </w:t>
      </w:r>
      <w:r w:rsidRPr="007405CB">
        <w:rPr>
          <w:b/>
          <w:i/>
          <w:color w:val="FFFFFF" w:themeColor="background1"/>
          <w:u w:val="single"/>
        </w:rPr>
        <w:t>segregation of different groups</w:t>
      </w:r>
      <w:r w:rsidRPr="007405CB">
        <w:rPr>
          <w:i/>
          <w:color w:val="FFFFFF" w:themeColor="background1"/>
        </w:rPr>
        <w:t xml:space="preserve">, which can present a challenge in terms of maintaining </w:t>
      </w:r>
      <w:r w:rsidRPr="007405CB">
        <w:rPr>
          <w:b/>
          <w:i/>
          <w:color w:val="FFFFFF" w:themeColor="background1"/>
          <w:u w:val="single"/>
        </w:rPr>
        <w:t>security</w:t>
      </w:r>
      <w:r w:rsidRPr="007405CB">
        <w:rPr>
          <w:i/>
          <w:color w:val="FFFFFF" w:themeColor="background1"/>
        </w:rPr>
        <w:t xml:space="preserve">. </w:t>
      </w:r>
    </w:p>
    <w:p w:rsidR="007405CB" w:rsidRPr="007405CB" w:rsidRDefault="007405CB" w:rsidP="007405CB">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7405CB">
        <w:rPr>
          <w:i/>
          <w:color w:val="FFFFFF" w:themeColor="background1"/>
        </w:rPr>
        <w:t xml:space="preserve">Feedback on staff at the PIDC (particularly medical staff) was generally </w:t>
      </w:r>
      <w:r w:rsidRPr="007405CB">
        <w:rPr>
          <w:b/>
          <w:i/>
          <w:color w:val="FFFFFF" w:themeColor="background1"/>
          <w:u w:val="single"/>
        </w:rPr>
        <w:t>positive</w:t>
      </w:r>
      <w:r w:rsidRPr="007405CB">
        <w:rPr>
          <w:i/>
          <w:color w:val="FFFFFF" w:themeColor="background1"/>
        </w:rPr>
        <w:t>.</w:t>
      </w:r>
    </w:p>
    <w:p w:rsidR="007405CB" w:rsidRPr="007405CB" w:rsidRDefault="007405CB" w:rsidP="007405CB">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T</w:t>
      </w:r>
      <w:r w:rsidRPr="007405CB">
        <w:rPr>
          <w:i/>
          <w:color w:val="FFFFFF" w:themeColor="background1"/>
        </w:rPr>
        <w:t xml:space="preserve">he </w:t>
      </w:r>
      <w:r w:rsidR="00C72218">
        <w:rPr>
          <w:i/>
          <w:color w:val="FFFFFF" w:themeColor="background1"/>
        </w:rPr>
        <w:t xml:space="preserve">recent </w:t>
      </w:r>
      <w:r w:rsidRPr="007405CB">
        <w:rPr>
          <w:i/>
          <w:color w:val="FFFFFF" w:themeColor="background1"/>
        </w:rPr>
        <w:t xml:space="preserve">use of </w:t>
      </w:r>
      <w:r>
        <w:rPr>
          <w:i/>
          <w:color w:val="FFFFFF" w:themeColor="background1"/>
        </w:rPr>
        <w:t xml:space="preserve">mechanical </w:t>
      </w:r>
      <w:r w:rsidRPr="007405CB">
        <w:rPr>
          <w:b/>
          <w:i/>
          <w:color w:val="FFFFFF" w:themeColor="background1"/>
          <w:u w:val="single"/>
        </w:rPr>
        <w:t>restraints</w:t>
      </w:r>
      <w:r w:rsidR="00C72218">
        <w:rPr>
          <w:i/>
          <w:color w:val="FFFFFF" w:themeColor="background1"/>
        </w:rPr>
        <w:t xml:space="preserve"> in circumstances </w:t>
      </w:r>
      <w:r w:rsidRPr="007405CB">
        <w:rPr>
          <w:i/>
          <w:color w:val="FFFFFF" w:themeColor="background1"/>
        </w:rPr>
        <w:t xml:space="preserve">where restraints had previously been deemed unnecessary, and without there having been any change in </w:t>
      </w:r>
      <w:r w:rsidR="00A24695">
        <w:rPr>
          <w:i/>
          <w:color w:val="FFFFFF" w:themeColor="background1"/>
        </w:rPr>
        <w:t>each</w:t>
      </w:r>
      <w:r w:rsidRPr="007405CB">
        <w:rPr>
          <w:i/>
          <w:color w:val="FFFFFF" w:themeColor="background1"/>
        </w:rPr>
        <w:t xml:space="preserve"> </w:t>
      </w:r>
      <w:r w:rsidR="00C72218">
        <w:rPr>
          <w:i/>
          <w:color w:val="FFFFFF" w:themeColor="background1"/>
        </w:rPr>
        <w:t xml:space="preserve">affected </w:t>
      </w:r>
      <w:r w:rsidRPr="007405CB">
        <w:rPr>
          <w:i/>
          <w:color w:val="FFFFFF" w:themeColor="background1"/>
        </w:rPr>
        <w:t xml:space="preserve">person’s risk profile, may have at times been </w:t>
      </w:r>
      <w:r w:rsidRPr="007405CB">
        <w:rPr>
          <w:b/>
          <w:i/>
          <w:color w:val="FFFFFF" w:themeColor="background1"/>
          <w:u w:val="single"/>
        </w:rPr>
        <w:t>excessive</w:t>
      </w:r>
      <w:r w:rsidRPr="007405CB">
        <w:rPr>
          <w:i/>
          <w:color w:val="FFFFFF" w:themeColor="background1"/>
        </w:rPr>
        <w:t>.</w:t>
      </w:r>
    </w:p>
    <w:p w:rsidR="007405CB" w:rsidRPr="007405CB" w:rsidRDefault="007405CB" w:rsidP="007405CB">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7405CB">
        <w:rPr>
          <w:i/>
          <w:color w:val="FFFFFF" w:themeColor="background1"/>
        </w:rPr>
        <w:t xml:space="preserve">Accommodation, living areas and exercise facilities at the PIDC are generally </w:t>
      </w:r>
      <w:r w:rsidRPr="007405CB">
        <w:rPr>
          <w:b/>
          <w:i/>
          <w:color w:val="FFFFFF" w:themeColor="background1"/>
          <w:u w:val="single"/>
        </w:rPr>
        <w:t>small and cramped</w:t>
      </w:r>
      <w:r w:rsidRPr="007405CB">
        <w:rPr>
          <w:i/>
          <w:color w:val="FFFFFF" w:themeColor="background1"/>
        </w:rPr>
        <w:t xml:space="preserve">, with limited outdoor space. In light of its small size and the basic nature of its facilities, the PIDC is </w:t>
      </w:r>
      <w:r w:rsidRPr="007405CB">
        <w:rPr>
          <w:b/>
          <w:i/>
          <w:color w:val="FFFFFF" w:themeColor="background1"/>
          <w:u w:val="single"/>
        </w:rPr>
        <w:t>not an appropriate facility</w:t>
      </w:r>
      <w:r w:rsidRPr="007405CB">
        <w:rPr>
          <w:i/>
          <w:color w:val="FFFFFF" w:themeColor="background1"/>
        </w:rPr>
        <w:t xml:space="preserve"> for people who are likely to be in detention for </w:t>
      </w:r>
      <w:r w:rsidRPr="007405CB">
        <w:rPr>
          <w:b/>
          <w:i/>
          <w:color w:val="FFFFFF" w:themeColor="background1"/>
          <w:u w:val="single"/>
        </w:rPr>
        <w:t>extended periods of time</w:t>
      </w:r>
      <w:r w:rsidRPr="007405CB">
        <w:rPr>
          <w:i/>
          <w:color w:val="FFFFFF" w:themeColor="background1"/>
        </w:rPr>
        <w:t>.</w:t>
      </w:r>
    </w:p>
    <w:p w:rsidR="007405CB" w:rsidRPr="007405CB" w:rsidRDefault="007405CB" w:rsidP="007405CB">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7405CB">
        <w:rPr>
          <w:i/>
          <w:color w:val="FFFFFF" w:themeColor="background1"/>
        </w:rPr>
        <w:t xml:space="preserve">Facility staff face significant challenges in offering </w:t>
      </w:r>
      <w:r w:rsidRPr="007405CB">
        <w:rPr>
          <w:b/>
          <w:i/>
          <w:color w:val="FFFFFF" w:themeColor="background1"/>
          <w:u w:val="single"/>
        </w:rPr>
        <w:t>meaningful activities</w:t>
      </w:r>
      <w:r w:rsidRPr="007405CB">
        <w:rPr>
          <w:i/>
          <w:color w:val="FFFFFF" w:themeColor="background1"/>
        </w:rPr>
        <w:t xml:space="preserve"> at the PIDC due to the lack of dedicated facilities and staffing limitations. </w:t>
      </w:r>
    </w:p>
    <w:p w:rsidR="007405CB" w:rsidRPr="007405CB" w:rsidRDefault="007405CB" w:rsidP="007405CB">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7405CB">
        <w:rPr>
          <w:i/>
          <w:color w:val="FFFFFF" w:themeColor="background1"/>
        </w:rPr>
        <w:t xml:space="preserve">There are regular </w:t>
      </w:r>
      <w:r w:rsidRPr="007405CB">
        <w:rPr>
          <w:b/>
          <w:i/>
          <w:color w:val="FFFFFF" w:themeColor="background1"/>
          <w:u w:val="single"/>
        </w:rPr>
        <w:t>excursions</w:t>
      </w:r>
      <w:r w:rsidRPr="007405CB">
        <w:rPr>
          <w:i/>
          <w:color w:val="FFFFFF" w:themeColor="background1"/>
        </w:rPr>
        <w:t xml:space="preserve"> from the PIDC but new restrictions have limited access to excursions for some individuals. </w:t>
      </w:r>
    </w:p>
    <w:p w:rsidR="007405CB" w:rsidRPr="007405CB" w:rsidRDefault="007405CB" w:rsidP="007405CB">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7405CB">
        <w:rPr>
          <w:i/>
          <w:color w:val="FFFFFF" w:themeColor="background1"/>
        </w:rPr>
        <w:t xml:space="preserve">The Commission did not identify major or systemic concerns regarding the provision of </w:t>
      </w:r>
      <w:r w:rsidRPr="007405CB">
        <w:rPr>
          <w:b/>
          <w:i/>
          <w:color w:val="FFFFFF" w:themeColor="background1"/>
          <w:u w:val="single"/>
        </w:rPr>
        <w:t>health care</w:t>
      </w:r>
      <w:r w:rsidRPr="007405CB">
        <w:rPr>
          <w:i/>
          <w:color w:val="FFFFFF" w:themeColor="background1"/>
        </w:rPr>
        <w:t xml:space="preserve"> at the PIDC.</w:t>
      </w:r>
    </w:p>
    <w:p w:rsidR="007405CB" w:rsidRPr="007405CB" w:rsidRDefault="007405CB" w:rsidP="007405CB">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7405CB">
        <w:rPr>
          <w:i/>
          <w:color w:val="FFFFFF" w:themeColor="background1"/>
        </w:rPr>
        <w:t xml:space="preserve">The new policy </w:t>
      </w:r>
      <w:r w:rsidRPr="00D05AA7">
        <w:rPr>
          <w:b/>
          <w:i/>
          <w:color w:val="FFFFFF" w:themeColor="background1"/>
          <w:u w:val="single"/>
        </w:rPr>
        <w:t>prohibiting all mobile phone use</w:t>
      </w:r>
      <w:r w:rsidRPr="007405CB">
        <w:rPr>
          <w:i/>
          <w:color w:val="FFFFFF" w:themeColor="background1"/>
        </w:rPr>
        <w:t xml:space="preserve"> may restrict access to external communication to a greater degree than is necessary to ensure safety and security. </w:t>
      </w:r>
    </w:p>
    <w:p w:rsidR="007405CB" w:rsidRPr="007405CB" w:rsidRDefault="007405CB" w:rsidP="007405CB">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7405CB">
        <w:rPr>
          <w:i/>
          <w:color w:val="FFFFFF" w:themeColor="background1"/>
        </w:rPr>
        <w:t xml:space="preserve">The Commission is particularly concerned about the circumstances of a small number of </w:t>
      </w:r>
      <w:r w:rsidRPr="00D05AA7">
        <w:rPr>
          <w:b/>
          <w:i/>
          <w:color w:val="FFFFFF" w:themeColor="background1"/>
          <w:u w:val="single"/>
        </w:rPr>
        <w:t>highly vulnerable individuals</w:t>
      </w:r>
      <w:r w:rsidRPr="007405CB">
        <w:rPr>
          <w:i/>
          <w:color w:val="FFFFFF" w:themeColor="background1"/>
        </w:rPr>
        <w:t xml:space="preserve"> detained at the PIDC. While acknowledging the efforts of facility staff and contractors to ensure adequate care for these individuals, the Commission considers that a detention facility is simply </w:t>
      </w:r>
      <w:r w:rsidRPr="00D05AA7">
        <w:rPr>
          <w:b/>
          <w:i/>
          <w:color w:val="FFFFFF" w:themeColor="background1"/>
          <w:u w:val="single"/>
        </w:rPr>
        <w:t>not a suitable environment</w:t>
      </w:r>
      <w:r w:rsidRPr="007405CB">
        <w:rPr>
          <w:i/>
          <w:color w:val="FFFFFF" w:themeColor="background1"/>
        </w:rPr>
        <w:t xml:space="preserve"> for managing the care of people with significant </w:t>
      </w:r>
      <w:r w:rsidR="00D05AA7">
        <w:rPr>
          <w:i/>
          <w:color w:val="FFFFFF" w:themeColor="background1"/>
        </w:rPr>
        <w:t>vulnerabilities</w:t>
      </w:r>
      <w:r w:rsidR="00392808">
        <w:rPr>
          <w:i/>
          <w:color w:val="FFFFFF" w:themeColor="background1"/>
        </w:rPr>
        <w:t xml:space="preserve"> (such as those with complex health care needs)</w:t>
      </w:r>
      <w:r w:rsidR="00D05AA7">
        <w:rPr>
          <w:i/>
          <w:color w:val="FFFFFF" w:themeColor="background1"/>
        </w:rPr>
        <w:t xml:space="preserve">. </w:t>
      </w:r>
    </w:p>
    <w:p w:rsidR="004B7804" w:rsidRPr="00E87719" w:rsidRDefault="007405CB" w:rsidP="007405CB">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7405CB">
        <w:rPr>
          <w:i/>
          <w:color w:val="FFFFFF" w:themeColor="background1"/>
        </w:rPr>
        <w:t xml:space="preserve">Status Resolution Officers are not currently able to provide people in detention with adequate </w:t>
      </w:r>
      <w:r w:rsidRPr="00D05AA7">
        <w:rPr>
          <w:b/>
          <w:i/>
          <w:color w:val="FFFFFF" w:themeColor="background1"/>
          <w:u w:val="single"/>
        </w:rPr>
        <w:t>case management support</w:t>
      </w:r>
      <w:r w:rsidR="00D05AA7" w:rsidRPr="00E87719">
        <w:rPr>
          <w:i/>
          <w:color w:val="FFFFFF" w:themeColor="background1"/>
        </w:rPr>
        <w:t>.</w:t>
      </w:r>
    </w:p>
    <w:p w:rsidR="00077209" w:rsidRDefault="00077209">
      <w:pPr>
        <w:spacing w:before="0" w:after="0"/>
      </w:pPr>
    </w:p>
    <w:p w:rsidR="00077209" w:rsidRDefault="00077209">
      <w:pPr>
        <w:spacing w:before="0" w:after="0"/>
        <w:rPr>
          <w:b/>
          <w:bCs/>
          <w:sz w:val="28"/>
          <w:szCs w:val="28"/>
        </w:rPr>
      </w:pPr>
      <w:r>
        <w:br w:type="page"/>
      </w:r>
    </w:p>
    <w:p w:rsidR="009F2764" w:rsidRPr="00B1263C" w:rsidRDefault="00B1263C" w:rsidP="00B1263C">
      <w:pPr>
        <w:pStyle w:val="Heading1"/>
      </w:pPr>
      <w:bookmarkStart w:id="17" w:name="_Toc503948654"/>
      <w:r w:rsidRPr="00B1263C">
        <w:lastRenderedPageBreak/>
        <w:t>Introduction</w:t>
      </w:r>
      <w:bookmarkEnd w:id="15"/>
      <w:bookmarkEnd w:id="16"/>
      <w:bookmarkEnd w:id="17"/>
    </w:p>
    <w:p w:rsidR="0012537A" w:rsidRDefault="0012537A" w:rsidP="0012537A">
      <w:r>
        <w:t xml:space="preserve">This report contains an overview of key observations and concerns arising from the Australian Human Rights Commission’s inspection of the </w:t>
      </w:r>
      <w:r w:rsidR="00382305">
        <w:t xml:space="preserve">Perth Immigration Detention Centre (PIDC) </w:t>
      </w:r>
      <w:r>
        <w:t>in</w:t>
      </w:r>
      <w:r w:rsidR="00382305">
        <w:t xml:space="preserve"> August 2017.</w:t>
      </w:r>
    </w:p>
    <w:p w:rsidR="0012537A" w:rsidRPr="00F67D5D" w:rsidRDefault="0012537A" w:rsidP="0012537A">
      <w:r w:rsidRPr="00F67D5D">
        <w:t>The rationale for the Commission undertaking such inspections is to identify problems in the way that detainees’ human rights are being protected and to suggest ways of addressing those problems. Hence, while the report is balanced and points to some good practices, its primary focus is on issues of concern identified by the Commission. The report reflects conditions as they were at the time of the inspection.</w:t>
      </w:r>
    </w:p>
    <w:p w:rsidR="0012537A" w:rsidRDefault="0012537A" w:rsidP="0012537A">
      <w:r>
        <w:t xml:space="preserve">The Commission also raised a number of additional issues with the </w:t>
      </w:r>
      <w:r w:rsidR="00900D4E">
        <w:t>Department of Home Affairs</w:t>
      </w:r>
      <w:r>
        <w:t xml:space="preserve"> (</w:t>
      </w:r>
      <w:r w:rsidR="00900D4E">
        <w:t>Home Affairs</w:t>
      </w:r>
      <w:r>
        <w:t xml:space="preserve">) and facility staff during and subsequent to the inspection, including individual cases of concern. </w:t>
      </w:r>
    </w:p>
    <w:p w:rsidR="0012537A" w:rsidRPr="00DA783D" w:rsidRDefault="0012537A" w:rsidP="0012537A">
      <w:r w:rsidRPr="00DA783D">
        <w:t xml:space="preserve">The Commission acknowledges the assistance provided by </w:t>
      </w:r>
      <w:r w:rsidR="00900D4E">
        <w:t>Home Affairs</w:t>
      </w:r>
      <w:r w:rsidRPr="00DA783D">
        <w:t xml:space="preserve"> and the Australian Border Force (ABF) in</w:t>
      </w:r>
      <w:r>
        <w:t xml:space="preserve"> facilitating the Commission’s inspection</w:t>
      </w:r>
      <w:r w:rsidRPr="00DA783D">
        <w:t xml:space="preserve">. The Commission is grateful to the </w:t>
      </w:r>
      <w:r w:rsidR="00900D4E">
        <w:t>Home Affairs</w:t>
      </w:r>
      <w:r w:rsidRPr="00DA783D">
        <w:t xml:space="preserve"> and ABF officers and detention service provider staff who assisted the Commission team during the</w:t>
      </w:r>
      <w:r>
        <w:t xml:space="preserve"> inspection.</w:t>
      </w:r>
      <w:r w:rsidRPr="00DA783D">
        <w:t xml:space="preserve"> A draft of this report was shared with </w:t>
      </w:r>
      <w:r w:rsidR="00900D4E">
        <w:t>Home Affairs</w:t>
      </w:r>
      <w:r w:rsidRPr="00DA783D">
        <w:t xml:space="preserve"> in advance of its publication, to provide an opportunity for </w:t>
      </w:r>
      <w:r w:rsidR="00900D4E">
        <w:t>Home Affairs</w:t>
      </w:r>
      <w:r w:rsidRPr="00DA783D">
        <w:t xml:space="preserve"> to respond to the identified issues.</w:t>
      </w:r>
    </w:p>
    <w:p w:rsidR="00DC5676" w:rsidRDefault="00DC5676">
      <w:pPr>
        <w:spacing w:before="0" w:after="0"/>
      </w:pPr>
      <w:r>
        <w:br w:type="page"/>
      </w:r>
    </w:p>
    <w:p w:rsidR="00B1263C" w:rsidRDefault="00B1263C" w:rsidP="00B1263C">
      <w:pPr>
        <w:pStyle w:val="Heading1"/>
      </w:pPr>
      <w:bookmarkStart w:id="18" w:name="_Toc503948655"/>
      <w:r>
        <w:lastRenderedPageBreak/>
        <w:t>Background</w:t>
      </w:r>
      <w:bookmarkEnd w:id="18"/>
    </w:p>
    <w:p w:rsidR="009B1B4A" w:rsidRDefault="00007E89" w:rsidP="009B1B4A">
      <w:pPr>
        <w:pStyle w:val="Heading2"/>
      </w:pPr>
      <w:bookmarkStart w:id="19" w:name="_Toc503948656"/>
      <w:r>
        <w:t xml:space="preserve">Previous </w:t>
      </w:r>
      <w:r w:rsidR="008D536E">
        <w:t>inspections</w:t>
      </w:r>
      <w:bookmarkEnd w:id="19"/>
    </w:p>
    <w:p w:rsidR="00564390" w:rsidRDefault="00564390" w:rsidP="00564390">
      <w:r w:rsidRPr="009A5650">
        <w:t xml:space="preserve">The Commission has conducted </w:t>
      </w:r>
      <w:r>
        <w:t xml:space="preserve">inspections of </w:t>
      </w:r>
      <w:r w:rsidRPr="009A5650">
        <w:t>immigration detention facilities in Australia since the mid-</w:t>
      </w:r>
      <w:r>
        <w:t>1990s. This has included periodic monitoring of detention facilities across the country</w:t>
      </w:r>
      <w:r>
        <w:rPr>
          <w:rStyle w:val="EndnoteReference"/>
        </w:rPr>
        <w:endnoteReference w:id="1"/>
      </w:r>
      <w:r>
        <w:t xml:space="preserve"> and three major national inquiries into immigration detention.</w:t>
      </w:r>
      <w:r>
        <w:rPr>
          <w:rStyle w:val="EndnoteReference"/>
        </w:rPr>
        <w:endnoteReference w:id="2"/>
      </w:r>
    </w:p>
    <w:p w:rsidR="00564390" w:rsidRDefault="00564390" w:rsidP="00564390">
      <w:r>
        <w:t>The purpose of the Commission’s detention monitoring work is to ensure that Australia’s immigration detention system is compliant with our obligations under international human rights law. For many years, the Commission has expressed a range of concerns about aspects of the detention system that may lead to breaches of international human rights law. These include:</w:t>
      </w:r>
    </w:p>
    <w:p w:rsidR="00564390" w:rsidRDefault="00564390" w:rsidP="00564390">
      <w:pPr>
        <w:pStyle w:val="ListParagraph"/>
        <w:numPr>
          <w:ilvl w:val="0"/>
          <w:numId w:val="41"/>
        </w:numPr>
      </w:pPr>
      <w:r>
        <w:t>the policy of mandatory immigration detention, which does not allow for adequate consideration of individual circumstances and can result in cases of arbitrary detention</w:t>
      </w:r>
    </w:p>
    <w:p w:rsidR="00564390" w:rsidRDefault="00564390" w:rsidP="00564390">
      <w:pPr>
        <w:pStyle w:val="ListParagraph"/>
        <w:numPr>
          <w:ilvl w:val="0"/>
          <w:numId w:val="41"/>
        </w:numPr>
      </w:pPr>
      <w:r>
        <w:t>the indefinite and at times prolonged nature of immigration detention and the lack of a legislative time limit on detention</w:t>
      </w:r>
    </w:p>
    <w:p w:rsidR="00564390" w:rsidRDefault="00564390" w:rsidP="00564390">
      <w:pPr>
        <w:pStyle w:val="ListParagraph"/>
        <w:numPr>
          <w:ilvl w:val="0"/>
          <w:numId w:val="41"/>
        </w:numPr>
      </w:pPr>
      <w:r>
        <w:t xml:space="preserve">the detention of children, which has led to breaches of numerous obligations under the </w:t>
      </w:r>
      <w:r w:rsidRPr="0046117E">
        <w:rPr>
          <w:i/>
        </w:rPr>
        <w:t>Convention on the Rights of the Child</w:t>
      </w:r>
      <w:r>
        <w:rPr>
          <w:i/>
        </w:rPr>
        <w:t xml:space="preserve"> </w:t>
      </w:r>
      <w:r>
        <w:t>(CRC)</w:t>
      </w:r>
    </w:p>
    <w:p w:rsidR="00564390" w:rsidRDefault="00564390" w:rsidP="00564390">
      <w:pPr>
        <w:pStyle w:val="ListParagraph"/>
        <w:numPr>
          <w:ilvl w:val="0"/>
          <w:numId w:val="41"/>
        </w:numPr>
      </w:pPr>
      <w:r>
        <w:t>the indefinite detention of people who have received adverse security or character assessments,</w:t>
      </w:r>
      <w:r w:rsidRPr="00B072CD">
        <w:t xml:space="preserve"> </w:t>
      </w:r>
      <w:r>
        <w:t>including in circumstances where they have not been convicted of a crime under Australian law</w:t>
      </w:r>
    </w:p>
    <w:p w:rsidR="00564390" w:rsidRDefault="00564390" w:rsidP="00564390">
      <w:pPr>
        <w:pStyle w:val="ListParagraph"/>
        <w:numPr>
          <w:ilvl w:val="0"/>
          <w:numId w:val="41"/>
        </w:numPr>
      </w:pPr>
      <w:r>
        <w:t>conditions of detention, which in some cases have not met international standards</w:t>
      </w:r>
    </w:p>
    <w:p w:rsidR="00564390" w:rsidRDefault="00564390" w:rsidP="00564390">
      <w:pPr>
        <w:pStyle w:val="ListParagraph"/>
        <w:numPr>
          <w:ilvl w:val="0"/>
          <w:numId w:val="41"/>
        </w:numPr>
      </w:pPr>
      <w:r>
        <w:t xml:space="preserve">the impacts of immigration detention on mental health </w:t>
      </w:r>
    </w:p>
    <w:p w:rsidR="00564390" w:rsidRDefault="00564390" w:rsidP="00564390">
      <w:pPr>
        <w:pStyle w:val="ListParagraph"/>
        <w:numPr>
          <w:ilvl w:val="0"/>
          <w:numId w:val="41"/>
        </w:numPr>
      </w:pPr>
      <w:r>
        <w:t>the need for increased use of alternatives to immigration detention.</w:t>
      </w:r>
    </w:p>
    <w:p w:rsidR="00564390" w:rsidRDefault="00564390" w:rsidP="00564390">
      <w:r>
        <w:t xml:space="preserve">Further information about these concerns can be found in the Commission publication, </w:t>
      </w:r>
      <w:r w:rsidRPr="008448A9">
        <w:rPr>
          <w:i/>
        </w:rPr>
        <w:t>Asylum Seekers, Refugees and Human Rights: Snapshot Report</w:t>
      </w:r>
      <w:r>
        <w:t>.</w:t>
      </w:r>
      <w:r>
        <w:rPr>
          <w:rStyle w:val="EndnoteReference"/>
        </w:rPr>
        <w:endnoteReference w:id="3"/>
      </w:r>
      <w:r>
        <w:t xml:space="preserve"> </w:t>
      </w:r>
    </w:p>
    <w:p w:rsidR="00564390" w:rsidRDefault="00564390" w:rsidP="00564390">
      <w:r w:rsidRPr="007941A1">
        <w:t xml:space="preserve">The Commission </w:t>
      </w:r>
      <w:r>
        <w:t xml:space="preserve">can </w:t>
      </w:r>
      <w:r w:rsidRPr="007941A1">
        <w:t>also investigate and, where appropriate, tr</w:t>
      </w:r>
      <w:r>
        <w:t>y</w:t>
      </w:r>
      <w:r w:rsidRPr="007941A1">
        <w:t xml:space="preserve"> to resolve through conciliation</w:t>
      </w:r>
      <w:r>
        <w:t>,</w:t>
      </w:r>
      <w:r w:rsidRPr="007941A1">
        <w:t xml:space="preserve"> complaints </w:t>
      </w:r>
      <w:r>
        <w:t xml:space="preserve">it receives </w:t>
      </w:r>
      <w:r w:rsidRPr="007941A1">
        <w:t>from people in immigration detention regarding alleged breaches of human rights.</w:t>
      </w:r>
    </w:p>
    <w:p w:rsidR="002A1738" w:rsidRPr="0063385B" w:rsidRDefault="00911F0F" w:rsidP="002A1738">
      <w:pPr>
        <w:pStyle w:val="Heading2"/>
      </w:pPr>
      <w:bookmarkStart w:id="20" w:name="_Toc503948657"/>
      <w:r>
        <w:t xml:space="preserve">Inspection </w:t>
      </w:r>
      <w:r w:rsidR="002A1738" w:rsidRPr="0063385B">
        <w:t>methodology</w:t>
      </w:r>
      <w:bookmarkEnd w:id="20"/>
      <w:r w:rsidR="002A1738" w:rsidRPr="0063385B">
        <w:t xml:space="preserve"> </w:t>
      </w:r>
    </w:p>
    <w:p w:rsidR="00447917" w:rsidRPr="00F65A1B" w:rsidRDefault="00447917" w:rsidP="00447917">
      <w:r>
        <w:t>The Commission inspected the</w:t>
      </w:r>
      <w:r w:rsidR="00382305">
        <w:t xml:space="preserve"> PIDC on 21 August 2017</w:t>
      </w:r>
      <w:r>
        <w:t xml:space="preserve">. The inspection was conducted by </w:t>
      </w:r>
      <w:r w:rsidR="00382305">
        <w:t>three</w:t>
      </w:r>
      <w:r>
        <w:t xml:space="preserve"> Commission staff. </w:t>
      </w:r>
    </w:p>
    <w:p w:rsidR="00447917" w:rsidRDefault="00447917" w:rsidP="00447917">
      <w:r>
        <w:t xml:space="preserve">During the inspection, the Commission team met with representatives from </w:t>
      </w:r>
      <w:r w:rsidR="00900D4E">
        <w:t>Home Affairs</w:t>
      </w:r>
      <w:r>
        <w:t xml:space="preserve">, ABF, Serco </w:t>
      </w:r>
      <w:r w:rsidRPr="001552E5">
        <w:t>and I</w:t>
      </w:r>
      <w:r>
        <w:t>nternational Health and Medical Services (I</w:t>
      </w:r>
      <w:r w:rsidRPr="001552E5">
        <w:t>HMS</w:t>
      </w:r>
      <w:r>
        <w:t>)</w:t>
      </w:r>
      <w:r w:rsidRPr="001552E5">
        <w:t>; conducted an inspection</w:t>
      </w:r>
      <w:r>
        <w:t xml:space="preserve"> of the physical conditions of detention; and held individual private interviews with</w:t>
      </w:r>
      <w:r w:rsidR="006A2C3B">
        <w:t xml:space="preserve"> eight</w:t>
      </w:r>
      <w:r>
        <w:t xml:space="preserve"> people detained at the</w:t>
      </w:r>
      <w:r w:rsidR="006A2C3B">
        <w:t xml:space="preserve"> PIDC</w:t>
      </w:r>
      <w:r>
        <w:t xml:space="preserve">. </w:t>
      </w:r>
    </w:p>
    <w:p w:rsidR="00447917" w:rsidRDefault="00447917" w:rsidP="00447917">
      <w:r>
        <w:t>The Commission considered the evidence gathered during the inspection against human rights standards derived from international law that are relevant to immigration detention.</w:t>
      </w:r>
    </w:p>
    <w:p w:rsidR="00820A26" w:rsidRDefault="00EE526F" w:rsidP="00820A26">
      <w:pPr>
        <w:pStyle w:val="Heading2"/>
      </w:pPr>
      <w:bookmarkStart w:id="21" w:name="_Toc503948658"/>
      <w:r>
        <w:lastRenderedPageBreak/>
        <w:t>Relevant h</w:t>
      </w:r>
      <w:r w:rsidR="00820A26">
        <w:t>uman rights standards</w:t>
      </w:r>
      <w:bookmarkEnd w:id="21"/>
      <w:r w:rsidR="00820A26">
        <w:t xml:space="preserve"> </w:t>
      </w:r>
    </w:p>
    <w:p w:rsidR="00DF7E30" w:rsidRDefault="00DF7E30" w:rsidP="00DF7E30">
      <w:r>
        <w:t xml:space="preserve">This section provides a summary of some of the key international human rights standards relevant to the situation of people in immigration detention. Further information about these and other relevant standards can be found in the Commission publication, </w:t>
      </w:r>
      <w:r w:rsidRPr="00964DFA">
        <w:rPr>
          <w:i/>
        </w:rPr>
        <w:t xml:space="preserve">Human rights standards for immigration </w:t>
      </w:r>
      <w:r>
        <w:rPr>
          <w:i/>
        </w:rPr>
        <w:t>detention</w:t>
      </w:r>
      <w:r w:rsidRPr="00964DFA">
        <w:t>.</w:t>
      </w:r>
      <w:r w:rsidRPr="00964DFA">
        <w:rPr>
          <w:rStyle w:val="EndnoteReference"/>
        </w:rPr>
        <w:endnoteReference w:id="4"/>
      </w:r>
      <w:r>
        <w:t xml:space="preserve"> </w:t>
      </w:r>
    </w:p>
    <w:p w:rsidR="00F82856" w:rsidRPr="00C453BD" w:rsidRDefault="00F82856" w:rsidP="00F82856">
      <w:r>
        <w:t>The</w:t>
      </w:r>
      <w:r w:rsidR="006C62B5">
        <w:t xml:space="preserve"> PIDC </w:t>
      </w:r>
      <w:r>
        <w:t xml:space="preserve">is a </w:t>
      </w:r>
      <w:r w:rsidR="00911F0F">
        <w:t>medium</w:t>
      </w:r>
      <w:r>
        <w:t xml:space="preserve">-security detention facility </w:t>
      </w:r>
      <w:r w:rsidR="00EC159D">
        <w:t xml:space="preserve">that </w:t>
      </w:r>
      <w:r w:rsidR="00E578D9">
        <w:t>is not used to detain children</w:t>
      </w:r>
      <w:r w:rsidR="001D6431">
        <w:t>.</w:t>
      </w:r>
      <w:r w:rsidR="00E578D9">
        <w:t xml:space="preserve"> </w:t>
      </w:r>
      <w:r>
        <w:t xml:space="preserve">As such, </w:t>
      </w:r>
      <w:r w:rsidR="00446B44">
        <w:t xml:space="preserve">human rights </w:t>
      </w:r>
      <w:r>
        <w:t>standards relating to the detention of c</w:t>
      </w:r>
      <w:r w:rsidR="00DF7E30">
        <w:t>hildren were not applicable</w:t>
      </w:r>
      <w:r>
        <w:t xml:space="preserve"> to this </w:t>
      </w:r>
      <w:r w:rsidR="00911F0F">
        <w:t>inspection</w:t>
      </w:r>
      <w:r>
        <w:t>.</w:t>
      </w:r>
    </w:p>
    <w:p w:rsidR="00334E23" w:rsidRDefault="00334E23" w:rsidP="00334E23">
      <w:pPr>
        <w:pStyle w:val="Heading3"/>
      </w:pPr>
      <w:bookmarkStart w:id="22" w:name="_Toc496005038"/>
      <w:bookmarkStart w:id="23" w:name="_Toc503948659"/>
      <w:r>
        <w:t>Treatment of people in detention</w:t>
      </w:r>
      <w:bookmarkEnd w:id="22"/>
      <w:bookmarkEnd w:id="23"/>
      <w:r>
        <w:t xml:space="preserve"> </w:t>
      </w:r>
    </w:p>
    <w:p w:rsidR="00334E23" w:rsidRDefault="00334E23" w:rsidP="00334E23">
      <w:r>
        <w:t xml:space="preserve">Australia is obliged under articles 9(1) and 10(1) of the </w:t>
      </w:r>
      <w:r>
        <w:rPr>
          <w:i/>
        </w:rPr>
        <w:t>International Covenant on</w:t>
      </w:r>
      <w:r w:rsidRPr="00327A3B">
        <w:rPr>
          <w:i/>
        </w:rPr>
        <w:t xml:space="preserve"> Civil and Political Rights</w:t>
      </w:r>
      <w:r>
        <w:t xml:space="preserve"> (ICCPR) to, respectively, uphold the right to security of the person and ensure that p</w:t>
      </w:r>
      <w:r w:rsidRPr="009B5BB3">
        <w:t xml:space="preserve">eople in detention </w:t>
      </w:r>
      <w:r>
        <w:t xml:space="preserve">are </w:t>
      </w:r>
      <w:r w:rsidRPr="009B5BB3">
        <w:t>treated with humanity and respect for the inherent dignity of the human person.</w:t>
      </w:r>
      <w:r>
        <w:rPr>
          <w:rStyle w:val="EndnoteReference"/>
        </w:rPr>
        <w:endnoteReference w:id="5"/>
      </w:r>
      <w:r>
        <w:t xml:space="preserve"> Australia also has obligations under article 7 of the ICCPR and articles 2(1) and 16(1) of the </w:t>
      </w:r>
      <w:r w:rsidRPr="00327A3B">
        <w:rPr>
          <w:i/>
        </w:rPr>
        <w:t>Convention Against Torture</w:t>
      </w:r>
      <w:r>
        <w:rPr>
          <w:i/>
        </w:rPr>
        <w:t xml:space="preserve"> and o</w:t>
      </w:r>
      <w:r w:rsidRPr="000D0D42">
        <w:rPr>
          <w:i/>
        </w:rPr>
        <w:t>ther Cruel, Inhuman or Degrading Treatment or Punishment</w:t>
      </w:r>
      <w:r w:rsidRPr="00327A3B">
        <w:rPr>
          <w:i/>
        </w:rPr>
        <w:t xml:space="preserve"> </w:t>
      </w:r>
      <w:r>
        <w:t>(CAT) not to subject anyone to torture or to cruel, inhuman or degrading treatment or punishment, and to take effective measures to prevent these acts from occurring.</w:t>
      </w:r>
      <w:r>
        <w:rPr>
          <w:rStyle w:val="EndnoteReference"/>
        </w:rPr>
        <w:endnoteReference w:id="6"/>
      </w:r>
    </w:p>
    <w:p w:rsidR="00334E23" w:rsidRDefault="00334E23" w:rsidP="00334E23">
      <w:r>
        <w:t xml:space="preserve">These obligations require Australia to ensure that people in detention are treated fairly and reasonably, and in a manner that upholds their dignity. They should enjoy a safe environment free from bullying, harassment, abuse and violence. Security measures should be commensurate with identified risks, and should be the least restrictive possible in the circumstances, taking into account the particular vulnerabilities of people in detention. Measures that may constitute torture or cruel, inhuman or degrading treatment or punishment (such as collective punishment, corporal punishment, excessive use of force and holding people incommunicado) should be prohibited. </w:t>
      </w:r>
    </w:p>
    <w:p w:rsidR="00334E23" w:rsidRDefault="00334E23" w:rsidP="00334E23">
      <w:pPr>
        <w:pStyle w:val="Heading3"/>
      </w:pPr>
      <w:bookmarkStart w:id="24" w:name="_Toc496005039"/>
      <w:bookmarkStart w:id="25" w:name="_Toc503948660"/>
      <w:r>
        <w:t>Conditions of detention</w:t>
      </w:r>
      <w:bookmarkEnd w:id="24"/>
      <w:bookmarkEnd w:id="25"/>
      <w:r>
        <w:t xml:space="preserve"> </w:t>
      </w:r>
    </w:p>
    <w:p w:rsidR="00334E23" w:rsidRDefault="00334E23" w:rsidP="00334E23">
      <w:r>
        <w:t xml:space="preserve">Australia has a range of obligations under the </w:t>
      </w:r>
      <w:r w:rsidRPr="00327A3B">
        <w:rPr>
          <w:i/>
        </w:rPr>
        <w:t>International Covenant on Economic, Social and Cultural Rights</w:t>
      </w:r>
      <w:r>
        <w:t xml:space="preserve"> (ICESCR) relevant to the material conditions of immigration detention. These include the right to education (articles 6(2) and 13); the right to an adequate standard of living, including adequate food, clothing and housing (article 11); the right to the highest attainable standard of health (article 12); and the right to take part in cultural life (article 15(1)(a)).</w:t>
      </w:r>
      <w:r>
        <w:rPr>
          <w:rStyle w:val="EndnoteReference"/>
        </w:rPr>
        <w:endnoteReference w:id="7"/>
      </w:r>
      <w:r>
        <w:t xml:space="preserve"> </w:t>
      </w:r>
    </w:p>
    <w:p w:rsidR="00334E23" w:rsidRDefault="00334E23" w:rsidP="00334E23">
      <w:r>
        <w:t>Australia’s obligations under the ICCPR and CAT to treat people in detention with humanity and respect, and not to subject anyone to cruel, inhuman or degrading treatment or punishment, are also relevant to conditions of detention.</w:t>
      </w:r>
      <w:r>
        <w:rPr>
          <w:rStyle w:val="EndnoteReference"/>
        </w:rPr>
        <w:endnoteReference w:id="8"/>
      </w:r>
      <w:r>
        <w:t xml:space="preserve"> In addition, Australia has an obligation under articles 17 and 18 of the ICCPR to uphold the right to privacy and </w:t>
      </w:r>
      <w:r w:rsidRPr="00E91E4B">
        <w:t xml:space="preserve">freedom of </w:t>
      </w:r>
      <w:r>
        <w:t>religion respectively.</w:t>
      </w:r>
      <w:r>
        <w:rPr>
          <w:rStyle w:val="EndnoteReference"/>
        </w:rPr>
        <w:endnoteReference w:id="9"/>
      </w:r>
    </w:p>
    <w:p w:rsidR="00334E23" w:rsidRDefault="00334E23" w:rsidP="00334E23">
      <w:r>
        <w:t xml:space="preserve">These obligations require Australia to ensure that detention facilities are safe, hygienic and uphold human dignity. People in detention should have their basic needs met and have access to essential services (such as health care and primary </w:t>
      </w:r>
      <w:r>
        <w:lastRenderedPageBreak/>
        <w:t xml:space="preserve">and secondary education) to a standard commensurate with those provided in the Australian community. </w:t>
      </w:r>
    </w:p>
    <w:p w:rsidR="00334E23" w:rsidRDefault="00334E23" w:rsidP="00334E23">
      <w:r w:rsidRPr="00A53DEA">
        <w:t xml:space="preserve">People in detention should have opportunities to engage in meaningful activities and excursions </w:t>
      </w:r>
      <w:r>
        <w:t>that</w:t>
      </w:r>
      <w:r w:rsidRPr="00A53DEA">
        <w:t xml:space="preserve"> provide physical and mental stimulation.</w:t>
      </w:r>
      <w:r>
        <w:t xml:space="preserve"> </w:t>
      </w:r>
      <w:r w:rsidRPr="00A53DEA">
        <w:t>People in detention should also be able to profess and practise the religion of their choice</w:t>
      </w:r>
      <w:r>
        <w:t>, including through being able to attend religious services, receiving pastoral visits from religious representatives and celebrating major religious holidays and festivals.</w:t>
      </w:r>
    </w:p>
    <w:p w:rsidR="00334E23" w:rsidRDefault="00334E23" w:rsidP="004D0E86">
      <w:r>
        <w:t>In light of the negative impacts of detention on mental health, the length of detention should be limited to the minimum period necessary to achieve a legitimate aim, and community-based alternatives to detention should be used wherever feasible.</w:t>
      </w:r>
      <w:r w:rsidR="004D0E86">
        <w:t xml:space="preserve"> </w:t>
      </w:r>
    </w:p>
    <w:p w:rsidR="00334E23" w:rsidRDefault="00334E23" w:rsidP="00334E23">
      <w:pPr>
        <w:pStyle w:val="Heading3"/>
      </w:pPr>
      <w:bookmarkStart w:id="26" w:name="_Toc496005040"/>
      <w:bookmarkStart w:id="27" w:name="_Toc503948661"/>
      <w:r>
        <w:t>Communication, association and complaints</w:t>
      </w:r>
      <w:bookmarkEnd w:id="26"/>
      <w:bookmarkEnd w:id="27"/>
    </w:p>
    <w:p w:rsidR="00334E23" w:rsidRDefault="00334E23" w:rsidP="00334E23">
      <w:r>
        <w:t>Australia has a range of obligations under the ICCPR relevant to communication between people in detention and their family members, friends, representatives and communities outside detention. These include the right to freedom of expression and to seek, receive and impart information and ideas (article 19(b)); the right to freedom of association with others (article 22); and the right of e</w:t>
      </w:r>
      <w:r w:rsidRPr="000607ED">
        <w:t>thnic, religious</w:t>
      </w:r>
      <w:r>
        <w:t xml:space="preserve"> and </w:t>
      </w:r>
      <w:r w:rsidRPr="000607ED">
        <w:t xml:space="preserve">linguistic minorities, in community with the other members of their group, to enjoy their own culture, to profess </w:t>
      </w:r>
      <w:r>
        <w:t>and practise their own religion and to use their own language (article 27).</w:t>
      </w:r>
      <w:r>
        <w:rPr>
          <w:rStyle w:val="EndnoteReference"/>
        </w:rPr>
        <w:endnoteReference w:id="10"/>
      </w:r>
      <w:r>
        <w:t xml:space="preserve"> Under the ICESCR, Australia also has an obligation to uphold the right to take part in cultural life (article 15(1)(a)).</w:t>
      </w:r>
      <w:r>
        <w:rPr>
          <w:rStyle w:val="EndnoteReference"/>
        </w:rPr>
        <w:endnoteReference w:id="11"/>
      </w:r>
    </w:p>
    <w:p w:rsidR="00334E23" w:rsidRDefault="00334E23" w:rsidP="00334E23">
      <w:r>
        <w:t>In addition, Australia has obligations under articles 23(1) of the ICCPR and 10(1) of the ICESCR to afford protection and assistance to the family as the natural and fundamental group unit of society.</w:t>
      </w:r>
      <w:r>
        <w:rPr>
          <w:rStyle w:val="EndnoteReference"/>
        </w:rPr>
        <w:endnoteReference w:id="12"/>
      </w:r>
      <w:r>
        <w:t xml:space="preserve"> Australia also has obligations under article 17(1) of the ICCPR and article 16(1) of the CRC not to subject anyone to arbitrary or unlawful interference with their family.</w:t>
      </w:r>
      <w:r>
        <w:rPr>
          <w:rStyle w:val="EndnoteReference"/>
        </w:rPr>
        <w:endnoteReference w:id="13"/>
      </w:r>
    </w:p>
    <w:p w:rsidR="00334E23" w:rsidRDefault="00334E23" w:rsidP="00334E23">
      <w:r>
        <w:t xml:space="preserve">These obligations require Australia to ensure that detention does not have a disproportionate impact on people’s ability to express themselves, communicate and associate with others, and remain in contact with their family members, friends, representatives and communities. People in detention should be able to receive regular visits, and should have access to adequate communication facilities (such as telephones and computers) as well as news and library services. People in detention should, if possible, be located in facilities within a reasonable distance from their family members, friends and communities. </w:t>
      </w:r>
    </w:p>
    <w:p w:rsidR="00334E23" w:rsidRDefault="00334E23" w:rsidP="00334E23">
      <w:r>
        <w:t>External communication, in particular access to complaints processes, is also essential for the prevention of torture and other cruel, inhuman or degrading treatment or punishment. Australia has obligations under articles 13 and 16(1) of the CAT to ensure that anyone who alleges that they have been subjected to torture or to cruel, inhuman or degrading treatment or punishment, has the right to complain to and have their case examined by competent authorities.</w:t>
      </w:r>
      <w:r>
        <w:rPr>
          <w:rStyle w:val="EndnoteReference"/>
        </w:rPr>
        <w:endnoteReference w:id="14"/>
      </w:r>
    </w:p>
    <w:p w:rsidR="00334E23" w:rsidRDefault="00334E23" w:rsidP="00334E23">
      <w:r>
        <w:t xml:space="preserve">To ensure these obligations are upheld, people in detention should have opportunities to raise concerns and issues regarding treatment and conditions in detention, and make complaints both internally and to independent monitors (including the Commission and the Commonwealth Ombudsman), without fear of repercussions. </w:t>
      </w:r>
    </w:p>
    <w:p w:rsidR="00334E23" w:rsidRPr="009027BD" w:rsidRDefault="00334E23" w:rsidP="00334E23">
      <w:pPr>
        <w:pStyle w:val="Heading3"/>
      </w:pPr>
      <w:bookmarkStart w:id="28" w:name="_Toc496005041"/>
      <w:bookmarkStart w:id="29" w:name="_Toc503948662"/>
      <w:r>
        <w:lastRenderedPageBreak/>
        <w:t>Legal and policy framework</w:t>
      </w:r>
      <w:bookmarkEnd w:id="28"/>
      <w:bookmarkEnd w:id="29"/>
      <w:r>
        <w:t xml:space="preserve"> </w:t>
      </w:r>
    </w:p>
    <w:p w:rsidR="00334E23" w:rsidRDefault="00334E23" w:rsidP="00334E23">
      <w:r>
        <w:t xml:space="preserve">Australia has an obligation under article 9 of the ICCPR not to subject anyone to </w:t>
      </w:r>
      <w:r w:rsidRPr="001D11A3">
        <w:t>arbitrary detention</w:t>
      </w:r>
      <w:r>
        <w:t>.</w:t>
      </w:r>
      <w:r>
        <w:rPr>
          <w:rStyle w:val="EndnoteReference"/>
        </w:rPr>
        <w:endnoteReference w:id="15"/>
      </w:r>
      <w:r>
        <w:t xml:space="preserve"> </w:t>
      </w:r>
      <w:r w:rsidRPr="009A260A">
        <w:t>According to the U</w:t>
      </w:r>
      <w:r>
        <w:t>nited Nations</w:t>
      </w:r>
      <w:r w:rsidRPr="009A260A">
        <w:t xml:space="preserve"> Human Rights Committee,</w:t>
      </w:r>
      <w:r>
        <w:t xml:space="preserve"> ‘arbitrary detention’ includes detention that, </w:t>
      </w:r>
      <w:r w:rsidRPr="009A260A">
        <w:t>although lawful under domestic law</w:t>
      </w:r>
      <w:r>
        <w:t>, is unjust or disproportionate. I</w:t>
      </w:r>
      <w:r w:rsidRPr="009A260A">
        <w:t>n order for the detention of a person not to be arbitrary, it must be a reasonable and necessary mea</w:t>
      </w:r>
      <w:r>
        <w:t>sure in all the circumstances.</w:t>
      </w:r>
      <w:r>
        <w:rPr>
          <w:rStyle w:val="EndnoteReference"/>
        </w:rPr>
        <w:endnoteReference w:id="16"/>
      </w:r>
    </w:p>
    <w:p w:rsidR="00334E23" w:rsidRPr="00B42895" w:rsidRDefault="00334E23" w:rsidP="00334E23">
      <w:r>
        <w:t>Australia has further obligations under article 9 of the ICCPR to ensure that a</w:t>
      </w:r>
      <w:r w:rsidRPr="009B242F">
        <w:t xml:space="preserve">nyone who is arrested has the right to be informed </w:t>
      </w:r>
      <w:r w:rsidRPr="00B42895">
        <w:t>of the reasons for their arrest and the charges against them, and that anyone who is detained has the right to challenge the legality of their detention in court.</w:t>
      </w:r>
      <w:r>
        <w:rPr>
          <w:rStyle w:val="EndnoteReference"/>
        </w:rPr>
        <w:endnoteReference w:id="17"/>
      </w:r>
    </w:p>
    <w:p w:rsidR="00334E23" w:rsidRDefault="00334E23" w:rsidP="00334E23">
      <w:r>
        <w:t>These obligations require Australia to ensure that people are only detained in immigration detention facilities when it is reasonable and necessary in their individual circumstances (such as where they pose an unacceptable health or security risk), and for a limited period of time. Community-based alternatives to detention should be used wherever possible. People held in immigration detention should be informed of the reasons for their d</w:t>
      </w:r>
      <w:r w:rsidR="00C64B50">
        <w:t>etention and be able to seek judicial</w:t>
      </w:r>
      <w:r>
        <w:t xml:space="preserve"> review of whether their detention is arbitrary.</w:t>
      </w:r>
    </w:p>
    <w:p w:rsidR="00AE5330" w:rsidRDefault="00AE5330" w:rsidP="00AE5330">
      <w:pPr>
        <w:pStyle w:val="Heading2"/>
      </w:pPr>
      <w:bookmarkStart w:id="30" w:name="_Toc503948663"/>
      <w:r>
        <w:t>National context</w:t>
      </w:r>
      <w:bookmarkEnd w:id="30"/>
    </w:p>
    <w:p w:rsidR="00820A26" w:rsidRPr="00BB0474" w:rsidRDefault="00820A26" w:rsidP="00AE5330">
      <w:r w:rsidRPr="00BB0474">
        <w:t>The Commission last</w:t>
      </w:r>
      <w:r w:rsidR="00401BED">
        <w:t xml:space="preserve"> inspected </w:t>
      </w:r>
      <w:r w:rsidR="00FE0658" w:rsidRPr="00BB0474">
        <w:t xml:space="preserve">the </w:t>
      </w:r>
      <w:r w:rsidR="00BF2524">
        <w:t xml:space="preserve">PIDC </w:t>
      </w:r>
      <w:r w:rsidRPr="00BB0474">
        <w:t xml:space="preserve">in </w:t>
      </w:r>
      <w:r w:rsidR="00BF2524">
        <w:t>July 2008</w:t>
      </w:r>
      <w:r w:rsidRPr="004326E4">
        <w:t>.</w:t>
      </w:r>
      <w:r w:rsidRPr="00BB0474">
        <w:t xml:space="preserve"> </w:t>
      </w:r>
      <w:r w:rsidR="00BE73D3" w:rsidRPr="00BB0474">
        <w:t xml:space="preserve">Since that time, </w:t>
      </w:r>
      <w:r w:rsidR="00C772EC" w:rsidRPr="00BB0474">
        <w:t>there have been a number of significant changes</w:t>
      </w:r>
      <w:r w:rsidR="006F2AE9" w:rsidRPr="00BB0474">
        <w:t xml:space="preserve"> </w:t>
      </w:r>
      <w:r w:rsidR="00BB0474">
        <w:t>in the legal, policy and operational context surrounding Australia’s immigration detention system.</w:t>
      </w:r>
      <w:r w:rsidR="0048441A">
        <w:t xml:space="preserve"> </w:t>
      </w:r>
    </w:p>
    <w:p w:rsidR="003614E7" w:rsidRDefault="003614E7" w:rsidP="003614E7">
      <w:pPr>
        <w:pStyle w:val="Heading3"/>
      </w:pPr>
      <w:bookmarkStart w:id="31" w:name="_Toc503948664"/>
      <w:r>
        <w:t>Number of people in detention</w:t>
      </w:r>
      <w:bookmarkEnd w:id="31"/>
    </w:p>
    <w:p w:rsidR="00BF2524" w:rsidRDefault="00BF2524" w:rsidP="00BF2524">
      <w:r>
        <w:t>T</w:t>
      </w:r>
      <w:r w:rsidRPr="00C211F8">
        <w:t>he</w:t>
      </w:r>
      <w:r>
        <w:t xml:space="preserve"> </w:t>
      </w:r>
      <w:r w:rsidRPr="00C211F8">
        <w:t>number of people in closed immigration dete</w:t>
      </w:r>
      <w:r>
        <w:t xml:space="preserve">ntion, and particularly the number </w:t>
      </w:r>
      <w:r w:rsidR="00C64F86">
        <w:t xml:space="preserve">of children in detention, has fluctuated </w:t>
      </w:r>
      <w:r w:rsidR="00CD7FBA">
        <w:t xml:space="preserve">significantly over the past decade. At the time of the Commission’s 2008 </w:t>
      </w:r>
      <w:r w:rsidR="00652DFD">
        <w:t xml:space="preserve">inspection of </w:t>
      </w:r>
      <w:r w:rsidR="00CD7FBA">
        <w:t xml:space="preserve">the PIDC, there were 385 people </w:t>
      </w:r>
      <w:r w:rsidR="005E7173">
        <w:t>(</w:t>
      </w:r>
      <w:r w:rsidR="00CD7FBA">
        <w:t>including 15</w:t>
      </w:r>
      <w:r w:rsidR="005E7173">
        <w:t xml:space="preserve"> children) in detention across Australia</w:t>
      </w:r>
      <w:r>
        <w:t>.</w:t>
      </w:r>
      <w:r w:rsidR="007B75CE">
        <w:rPr>
          <w:rStyle w:val="EndnoteReference"/>
        </w:rPr>
        <w:endnoteReference w:id="18"/>
      </w:r>
      <w:r>
        <w:t xml:space="preserve"> The number of people in detention </w:t>
      </w:r>
      <w:r w:rsidR="00CD7FBA">
        <w:t xml:space="preserve">increased dramatically over the subsequent years, </w:t>
      </w:r>
      <w:r>
        <w:t>peaked at over 10,000 in July 2013, before declining</w:t>
      </w:r>
      <w:r w:rsidR="00CD7FBA">
        <w:t xml:space="preserve"> again</w:t>
      </w:r>
      <w:r>
        <w:t xml:space="preserve"> to fewer than 2,000 in early 2015.</w:t>
      </w:r>
      <w:r>
        <w:rPr>
          <w:rStyle w:val="EndnoteReference"/>
        </w:rPr>
        <w:endnoteReference w:id="19"/>
      </w:r>
      <w:r>
        <w:t xml:space="preserve"> The number of children in detention dropped from a high of almost 2,000 in July 2013 to fewer than 200 in early 2015.</w:t>
      </w:r>
      <w:r>
        <w:rPr>
          <w:rStyle w:val="EndnoteReference"/>
        </w:rPr>
        <w:endnoteReference w:id="20"/>
      </w:r>
    </w:p>
    <w:p w:rsidR="00BF2524" w:rsidRDefault="00BF2524" w:rsidP="00BF2524">
      <w:r>
        <w:t xml:space="preserve">As at </w:t>
      </w:r>
      <w:r w:rsidR="00C84268">
        <w:t xml:space="preserve">August </w:t>
      </w:r>
      <w:r>
        <w:t xml:space="preserve">2017, there were </w:t>
      </w:r>
      <w:r w:rsidRPr="00D326E6">
        <w:t>1,2</w:t>
      </w:r>
      <w:r w:rsidR="00C146BE">
        <w:t>59</w:t>
      </w:r>
      <w:r>
        <w:t xml:space="preserve"> people in immigration detention in Australia, including just one child.</w:t>
      </w:r>
      <w:r>
        <w:rPr>
          <w:rStyle w:val="EndnoteReference"/>
        </w:rPr>
        <w:endnoteReference w:id="21"/>
      </w:r>
    </w:p>
    <w:p w:rsidR="003614E7" w:rsidRDefault="003614E7" w:rsidP="003614E7">
      <w:pPr>
        <w:pStyle w:val="Heading3"/>
      </w:pPr>
      <w:bookmarkStart w:id="32" w:name="_Toc503948665"/>
      <w:r>
        <w:t>Length of detention</w:t>
      </w:r>
      <w:bookmarkEnd w:id="32"/>
    </w:p>
    <w:p w:rsidR="00011EB8" w:rsidRDefault="00011EB8" w:rsidP="00011EB8">
      <w:r>
        <w:t>While the overall number of people in detention has declined, the average length of detenti</w:t>
      </w:r>
      <w:r w:rsidR="0009375C">
        <w:t xml:space="preserve">on has increased significantly. </w:t>
      </w:r>
      <w:r>
        <w:t xml:space="preserve">In July 2013, the average length of detention hit a low of </w:t>
      </w:r>
      <w:r w:rsidRPr="006F3565">
        <w:t>72 days.</w:t>
      </w:r>
      <w:r w:rsidRPr="006F3565">
        <w:rPr>
          <w:rStyle w:val="EndnoteReference"/>
        </w:rPr>
        <w:endnoteReference w:id="22"/>
      </w:r>
      <w:r w:rsidRPr="006F3565">
        <w:t xml:space="preserve"> Since then, the average length has steadily increased, peaking at 493 days in January 2017.</w:t>
      </w:r>
      <w:r w:rsidRPr="006F3565">
        <w:rPr>
          <w:rStyle w:val="EndnoteReference"/>
        </w:rPr>
        <w:endnoteReference w:id="23"/>
      </w:r>
      <w:r w:rsidRPr="006F3565">
        <w:t xml:space="preserve"> As at </w:t>
      </w:r>
      <w:r w:rsidR="00BC3145">
        <w:t xml:space="preserve">August </w:t>
      </w:r>
      <w:r w:rsidRPr="006F3565">
        <w:t>2</w:t>
      </w:r>
      <w:r>
        <w:t>017, the average stood at 44</w:t>
      </w:r>
      <w:r w:rsidR="00E233A1">
        <w:t>5</w:t>
      </w:r>
      <w:r>
        <w:t xml:space="preserve"> days.</w:t>
      </w:r>
      <w:r>
        <w:rPr>
          <w:rStyle w:val="EndnoteReference"/>
        </w:rPr>
        <w:endnoteReference w:id="24"/>
      </w:r>
    </w:p>
    <w:p w:rsidR="0009375C" w:rsidRDefault="00984B5A" w:rsidP="0009375C">
      <w:r>
        <w:t>In July 2008, 131 people had been detained for over a year, comprising around a third of people in detention.</w:t>
      </w:r>
      <w:r w:rsidR="00721A01">
        <w:rPr>
          <w:rStyle w:val="EndnoteReference"/>
        </w:rPr>
        <w:endnoteReference w:id="25"/>
      </w:r>
      <w:r>
        <w:t xml:space="preserve"> By </w:t>
      </w:r>
      <w:r w:rsidR="0009375C">
        <w:t xml:space="preserve">July 2013, </w:t>
      </w:r>
      <w:r>
        <w:t xml:space="preserve">the number of people detained for more than a year had increased to </w:t>
      </w:r>
      <w:r w:rsidR="0009375C" w:rsidRPr="008029AA">
        <w:t>228</w:t>
      </w:r>
      <w:r>
        <w:t xml:space="preserve"> people, but they r</w:t>
      </w:r>
      <w:r w:rsidR="001B3E15">
        <w:t>epresented just</w:t>
      </w:r>
      <w:r>
        <w:t xml:space="preserve"> two per cent of </w:t>
      </w:r>
      <w:r>
        <w:lastRenderedPageBreak/>
        <w:t>the detention population.</w:t>
      </w:r>
      <w:r w:rsidR="0009375C">
        <w:rPr>
          <w:rStyle w:val="EndnoteReference"/>
        </w:rPr>
        <w:endnoteReference w:id="26"/>
      </w:r>
      <w:r w:rsidR="0009375C">
        <w:t xml:space="preserve"> The number of people in long-term detention has since increased</w:t>
      </w:r>
      <w:r w:rsidR="00715CEA">
        <w:t xml:space="preserve">, both in terms of overall numbers and as a </w:t>
      </w:r>
      <w:r w:rsidR="00A414F5">
        <w:t>proportion of the</w:t>
      </w:r>
      <w:r w:rsidR="0009375C">
        <w:t xml:space="preserve"> detention population. As at</w:t>
      </w:r>
      <w:r w:rsidR="00721A01">
        <w:t xml:space="preserve"> August</w:t>
      </w:r>
      <w:r w:rsidR="0009375C">
        <w:t xml:space="preserve"> 2017, </w:t>
      </w:r>
      <w:r w:rsidR="003E53AF">
        <w:t>454</w:t>
      </w:r>
      <w:r w:rsidR="0009375C">
        <w:t xml:space="preserve"> people </w:t>
      </w:r>
      <w:r w:rsidR="0009375C">
        <w:rPr>
          <w:rFonts w:ascii="Helvetica" w:hAnsi="Helvetica"/>
          <w:color w:val="333333"/>
          <w:shd w:val="clear" w:color="auto" w:fill="FFFFFF"/>
        </w:rPr>
        <w:t>—</w:t>
      </w:r>
      <w:r w:rsidR="0009375C">
        <w:t xml:space="preserve"> or more than a third of the people in detention </w:t>
      </w:r>
      <w:r w:rsidR="0009375C">
        <w:rPr>
          <w:rFonts w:ascii="Helvetica" w:hAnsi="Helvetica"/>
          <w:color w:val="333333"/>
          <w:shd w:val="clear" w:color="auto" w:fill="FFFFFF"/>
        </w:rPr>
        <w:t>—</w:t>
      </w:r>
      <w:r w:rsidR="0009375C">
        <w:t xml:space="preserve"> had been detained for over a year.</w:t>
      </w:r>
      <w:r w:rsidR="0009375C">
        <w:rPr>
          <w:rStyle w:val="EndnoteReference"/>
        </w:rPr>
        <w:endnoteReference w:id="27"/>
      </w:r>
      <w:r w:rsidR="0009375C">
        <w:t xml:space="preserve"> </w:t>
      </w:r>
    </w:p>
    <w:p w:rsidR="00B97703" w:rsidRDefault="000A323C" w:rsidP="00B97703">
      <w:pPr>
        <w:pStyle w:val="Heading3"/>
      </w:pPr>
      <w:bookmarkStart w:id="33" w:name="_Toc503948666"/>
      <w:r>
        <w:t>Reasons for detention</w:t>
      </w:r>
      <w:bookmarkEnd w:id="33"/>
    </w:p>
    <w:p w:rsidR="00A0236A" w:rsidRDefault="00A0236A" w:rsidP="00DB666E">
      <w:r>
        <w:t>In July 2008, the majority of people in immigration detention had been detained as a result of overstaying their visas. People who had been detained following a visa cancellation were the second-largest group in detention. Just six o</w:t>
      </w:r>
      <w:r w:rsidR="001B74AF">
        <w:t>f the people in detention at this</w:t>
      </w:r>
      <w:r>
        <w:t xml:space="preserve"> time were asylum seekers who had arrived by boat.</w:t>
      </w:r>
      <w:r w:rsidR="001E3064">
        <w:rPr>
          <w:rStyle w:val="EndnoteReference"/>
        </w:rPr>
        <w:endnoteReference w:id="28"/>
      </w:r>
    </w:p>
    <w:p w:rsidR="00DB666E" w:rsidRDefault="001A162E" w:rsidP="00DB666E">
      <w:r>
        <w:t xml:space="preserve">The increase in the detention population over subsequent years was primarily driven by an increase in the number of asylum seekers arriving in Australia by boat. </w:t>
      </w:r>
      <w:r w:rsidR="006D7540">
        <w:t xml:space="preserve">By July 2013, </w:t>
      </w:r>
      <w:r w:rsidR="006C1090">
        <w:t>this group represented over 90 per cent of the detention population.</w:t>
      </w:r>
      <w:r w:rsidR="00967F9C" w:rsidRPr="006F3565">
        <w:rPr>
          <w:rStyle w:val="EndnoteReference"/>
        </w:rPr>
        <w:endnoteReference w:id="29"/>
      </w:r>
      <w:r w:rsidR="00F060D0">
        <w:t xml:space="preserve"> Since the beginning of 2014, most asylum seekers who arrived by boat were progressively released from detention </w:t>
      </w:r>
      <w:r w:rsidR="00DB666E">
        <w:t>(although they remained by far the largest group in detention until 2016).</w:t>
      </w:r>
      <w:r w:rsidR="00DB666E">
        <w:rPr>
          <w:rStyle w:val="EndnoteReference"/>
        </w:rPr>
        <w:endnoteReference w:id="30"/>
      </w:r>
    </w:p>
    <w:p w:rsidR="00DB666E" w:rsidRDefault="00DB666E" w:rsidP="00DB666E">
      <w:r>
        <w:t xml:space="preserve">At the same time, the number of people in detention due to having their visas cancelled has increased. This increase has been largely due to legislative amendments that broadened the scope of </w:t>
      </w:r>
      <w:r>
        <w:rPr>
          <w:lang w:val="en"/>
        </w:rPr>
        <w:t xml:space="preserve">section 501 of the </w:t>
      </w:r>
      <w:r>
        <w:rPr>
          <w:i/>
          <w:lang w:val="en"/>
        </w:rPr>
        <w:t xml:space="preserve">Migration Act 1958 </w:t>
      </w:r>
      <w:r>
        <w:rPr>
          <w:lang w:val="en"/>
        </w:rPr>
        <w:t>(Cth) (the Migration Act).</w:t>
      </w:r>
      <w:r>
        <w:rPr>
          <w:rStyle w:val="EndnoteReference"/>
          <w:lang w:val="en"/>
        </w:rPr>
        <w:endnoteReference w:id="31"/>
      </w:r>
      <w:r>
        <w:rPr>
          <w:lang w:val="en"/>
        </w:rPr>
        <w:t xml:space="preserve"> Section 501 allows </w:t>
      </w:r>
      <w:r>
        <w:rPr>
          <w:rFonts w:cs="Arial"/>
        </w:rPr>
        <w:t xml:space="preserve">the </w:t>
      </w:r>
      <w:r w:rsidRPr="0021699D">
        <w:rPr>
          <w:rFonts w:cs="Arial"/>
        </w:rPr>
        <w:t xml:space="preserve">Minister </w:t>
      </w:r>
      <w:r>
        <w:rPr>
          <w:rFonts w:cs="Arial"/>
        </w:rPr>
        <w:t>or their delegate to refuse or cancel a visa on the basis that a person does not pass the ‘character test’. Since this section was amended in late 2014, visa cancellations on character grounds have increased dramatically, from 76 cancellations in the 2013</w:t>
      </w:r>
      <w:r>
        <w:t>–</w:t>
      </w:r>
      <w:r>
        <w:rPr>
          <w:rFonts w:cs="Arial"/>
        </w:rPr>
        <w:t xml:space="preserve">14 financial year to </w:t>
      </w:r>
      <w:r w:rsidRPr="00B207A4">
        <w:rPr>
          <w:rFonts w:cs="Arial"/>
        </w:rPr>
        <w:t>58</w:t>
      </w:r>
      <w:r>
        <w:rPr>
          <w:rFonts w:cs="Arial"/>
        </w:rPr>
        <w:t>0 in 2014</w:t>
      </w:r>
      <w:r>
        <w:t>–</w:t>
      </w:r>
      <w:r w:rsidR="003A5BD1">
        <w:rPr>
          <w:rFonts w:cs="Arial"/>
        </w:rPr>
        <w:t>15;</w:t>
      </w:r>
      <w:r>
        <w:rPr>
          <w:rFonts w:cs="Arial"/>
        </w:rPr>
        <w:t xml:space="preserve"> </w:t>
      </w:r>
      <w:r w:rsidRPr="00B207A4">
        <w:rPr>
          <w:rFonts w:cs="Arial"/>
        </w:rPr>
        <w:t>983</w:t>
      </w:r>
      <w:r>
        <w:rPr>
          <w:rFonts w:cs="Arial"/>
        </w:rPr>
        <w:t xml:space="preserve"> in 2015</w:t>
      </w:r>
      <w:r>
        <w:t>–</w:t>
      </w:r>
      <w:r>
        <w:rPr>
          <w:rFonts w:cs="Arial"/>
        </w:rPr>
        <w:t>16</w:t>
      </w:r>
      <w:r w:rsidR="003A5BD1">
        <w:rPr>
          <w:rFonts w:cs="Arial"/>
        </w:rPr>
        <w:t>; and 1,</w:t>
      </w:r>
      <w:r w:rsidR="00C473CD">
        <w:rPr>
          <w:rFonts w:cs="Arial"/>
        </w:rPr>
        <w:t>284</w:t>
      </w:r>
      <w:r w:rsidR="003A5BD1">
        <w:rPr>
          <w:rFonts w:cs="Arial"/>
        </w:rPr>
        <w:t xml:space="preserve"> in 2016–17</w:t>
      </w:r>
      <w:r>
        <w:rPr>
          <w:rFonts w:cs="Arial"/>
        </w:rPr>
        <w:t>.</w:t>
      </w:r>
      <w:r>
        <w:rPr>
          <w:rStyle w:val="EndnoteReference"/>
          <w:rFonts w:cs="Arial"/>
        </w:rPr>
        <w:endnoteReference w:id="32"/>
      </w:r>
    </w:p>
    <w:p w:rsidR="00DB666E" w:rsidRPr="002E781F" w:rsidRDefault="00DB666E" w:rsidP="00DB666E">
      <w:r w:rsidRPr="008A6395">
        <w:t xml:space="preserve">As at </w:t>
      </w:r>
      <w:r w:rsidR="0077392B" w:rsidRPr="008A6395">
        <w:t xml:space="preserve">August </w:t>
      </w:r>
      <w:r w:rsidRPr="008A6395">
        <w:t>2017, people who had had their visas cancelled under section 501 were</w:t>
      </w:r>
      <w:r w:rsidRPr="002E781F">
        <w:t xml:space="preserve"> the largest group in detention, comprising </w:t>
      </w:r>
      <w:r w:rsidR="008A6395">
        <w:t xml:space="preserve">over </w:t>
      </w:r>
      <w:r>
        <w:t xml:space="preserve">a third </w:t>
      </w:r>
      <w:r w:rsidRPr="002E781F">
        <w:t xml:space="preserve">of the detention population. </w:t>
      </w:r>
      <w:r>
        <w:t>Asylum seekers who</w:t>
      </w:r>
      <w:r w:rsidRPr="002E781F">
        <w:t xml:space="preserve"> arrived by boat</w:t>
      </w:r>
      <w:r>
        <w:t xml:space="preserve"> were the second-largest group in detention</w:t>
      </w:r>
      <w:r w:rsidRPr="002E781F">
        <w:t xml:space="preserve">, </w:t>
      </w:r>
      <w:r>
        <w:t xml:space="preserve">at around a quarter of the population, </w:t>
      </w:r>
      <w:r w:rsidRPr="002E781F">
        <w:t xml:space="preserve">followed by </w:t>
      </w:r>
      <w:r>
        <w:t xml:space="preserve">people who had overstayed their visa </w:t>
      </w:r>
      <w:r w:rsidRPr="002E781F">
        <w:t>and people who had had their visa cancelled on non-character grounds.</w:t>
      </w:r>
      <w:r w:rsidRPr="002E781F">
        <w:rPr>
          <w:rStyle w:val="EndnoteReference"/>
        </w:rPr>
        <w:endnoteReference w:id="33"/>
      </w:r>
      <w:r w:rsidRPr="002E781F">
        <w:t xml:space="preserve"> </w:t>
      </w:r>
    </w:p>
    <w:p w:rsidR="009341F1" w:rsidRPr="002E781F" w:rsidRDefault="00004287" w:rsidP="00004287">
      <w:pPr>
        <w:pStyle w:val="Heading3"/>
      </w:pPr>
      <w:bookmarkStart w:id="34" w:name="_Toc503948667"/>
      <w:r w:rsidRPr="002E781F">
        <w:t>Administration of the detention network</w:t>
      </w:r>
      <w:bookmarkEnd w:id="34"/>
    </w:p>
    <w:p w:rsidR="00900D4E" w:rsidRDefault="00900D4E" w:rsidP="00900D4E">
      <w:bookmarkStart w:id="35" w:name="_Toc503948668"/>
      <w:r>
        <w:t>Up until mid-2015,</w:t>
      </w:r>
      <w:r w:rsidRPr="002E781F">
        <w:t xml:space="preserve"> Australia’s immigration detention network was administ</w:t>
      </w:r>
      <w:r>
        <w:t>ered by the Department of Immigration and Citizenship (subsequently renamed the Department of Immigration and Border Protection, and currently named the Department of Home Affairs).</w:t>
      </w:r>
    </w:p>
    <w:p w:rsidR="00900D4E" w:rsidRDefault="00900D4E" w:rsidP="00900D4E">
      <w:r w:rsidRPr="009110CC">
        <w:t xml:space="preserve">On 1 July 2015, </w:t>
      </w:r>
      <w:r>
        <w:t xml:space="preserve">the Department of Immigration and Border Protection and the </w:t>
      </w:r>
      <w:r w:rsidRPr="009110CC">
        <w:t xml:space="preserve">Australian Customs and Border Protection Service </w:t>
      </w:r>
      <w:r>
        <w:t>merged to form a single department. The ABF was established as the new frontline operational agency for this department. The ABF became responsible for administering detention operations and removals; while the Department of Immigration and Border Protection remained responsible for the o</w:t>
      </w:r>
      <w:r w:rsidRPr="009C628C">
        <w:t>verall policy framework</w:t>
      </w:r>
      <w:r>
        <w:t xml:space="preserve"> for detention, as well as matters relating to </w:t>
      </w:r>
      <w:r w:rsidRPr="009C628C">
        <w:t>visa processing, case management</w:t>
      </w:r>
      <w:r>
        <w:t xml:space="preserve"> and</w:t>
      </w:r>
      <w:r w:rsidRPr="009C628C">
        <w:t xml:space="preserve"> status resolution</w:t>
      </w:r>
      <w:r>
        <w:t xml:space="preserve">. </w:t>
      </w:r>
    </w:p>
    <w:p w:rsidR="00900D4E" w:rsidRPr="00696ED8" w:rsidRDefault="00900D4E" w:rsidP="00900D4E">
      <w:r>
        <w:t xml:space="preserve">On 20 December 2017, the Department of Immigration and Border Protection and the ABF became part of the newly-established Department of Home Affairs. The new </w:t>
      </w:r>
      <w:r>
        <w:lastRenderedPageBreak/>
        <w:t xml:space="preserve">Department incorporates all of the functions previously undertaken by the Department of Immigration and Border Protection, along with a range of functions relating to </w:t>
      </w:r>
      <w:r w:rsidRPr="00C178C7">
        <w:t>law enforcement,</w:t>
      </w:r>
      <w:r>
        <w:t xml:space="preserve"> n</w:t>
      </w:r>
      <w:r w:rsidRPr="00C178C7">
        <w:t>ational security</w:t>
      </w:r>
      <w:r>
        <w:t xml:space="preserve"> and emergency management.</w:t>
      </w:r>
      <w:r>
        <w:rPr>
          <w:rStyle w:val="EndnoteReference"/>
        </w:rPr>
        <w:endnoteReference w:id="34"/>
      </w:r>
    </w:p>
    <w:p w:rsidR="00900D4E" w:rsidRDefault="00900D4E" w:rsidP="00900D4E">
      <w:r>
        <w:t>As was the case in 2014, external contractors continue to play a central role in the management of immigration detention facilities. Serco Australia remains the contracted detention services provider, responsible for the day-to-day running of the facilities including security and provision of services and activities. IHMS remains the contracted health services provider, responsible for providing onsite physical and mental health services to people in detention.</w:t>
      </w:r>
    </w:p>
    <w:p w:rsidR="00B4191C" w:rsidRPr="002E781F" w:rsidRDefault="00B4191C" w:rsidP="00B4191C">
      <w:pPr>
        <w:pStyle w:val="Heading3"/>
      </w:pPr>
      <w:r>
        <w:t>Ratification of OPCAT</w:t>
      </w:r>
      <w:bookmarkEnd w:id="35"/>
    </w:p>
    <w:p w:rsidR="007B4B81" w:rsidRDefault="007B4B81" w:rsidP="007B4B81">
      <w:r>
        <w:t xml:space="preserve">On 15 December 2017, the Australian Government ratified the Optional Protocol to the Convention Against Torture and other Cruel, Inhuman or Degrading Treatment or Punishment (OPCAT). OPCAT provides for ongoing independent monitoring of places of detention, to ensure adherence to minimum standards in conditions and treatment. </w:t>
      </w:r>
    </w:p>
    <w:p w:rsidR="00FC12BE" w:rsidRDefault="00FC12BE" w:rsidP="00FC12BE">
      <w:r>
        <w:t xml:space="preserve">At the request of the Attorney-General, the Commission is undertaking a consultation process regarding how best to implement OPCAT. Based on the experience in jurisdictions that have ratified and implemented OPCAT, the Commission sees this as an opportunity to consider, in a more systematic way, the adequacy and appropriateness of conditions of detention. The Commission looks forward to continuing to work with the Government to support the implementation of OPCAT. </w:t>
      </w:r>
    </w:p>
    <w:p w:rsidR="00AE5330" w:rsidRPr="004326E4" w:rsidRDefault="00FC12BE" w:rsidP="00FC12BE">
      <w:pPr>
        <w:pStyle w:val="Heading2"/>
      </w:pPr>
      <w:r w:rsidRPr="004326E4">
        <w:t xml:space="preserve"> </w:t>
      </w:r>
      <w:bookmarkStart w:id="36" w:name="_Toc503948669"/>
      <w:r w:rsidR="001A3DDE">
        <w:t>Perth Immigration Detention Centre</w:t>
      </w:r>
      <w:bookmarkEnd w:id="36"/>
    </w:p>
    <w:p w:rsidR="00915F5A" w:rsidRDefault="004D2E71" w:rsidP="00E34A8F">
      <w:r>
        <w:t>The</w:t>
      </w:r>
      <w:r w:rsidR="009461D6">
        <w:t xml:space="preserve"> PIDC </w:t>
      </w:r>
      <w:r w:rsidR="00041FE3">
        <w:t>opened in</w:t>
      </w:r>
      <w:r w:rsidR="005C55BA">
        <w:t xml:space="preserve"> 1981</w:t>
      </w:r>
      <w:r w:rsidR="00CB3413">
        <w:t>. It was originally a</w:t>
      </w:r>
      <w:r w:rsidR="007B22CF">
        <w:t xml:space="preserve"> secure facility for the Australian Federal Police</w:t>
      </w:r>
      <w:r w:rsidR="002A0FC7">
        <w:t xml:space="preserve"> but was l</w:t>
      </w:r>
      <w:r w:rsidR="007B22CF">
        <w:t xml:space="preserve">ater converted into an immigration detention facility. </w:t>
      </w:r>
      <w:r w:rsidR="00123F48">
        <w:t>It is</w:t>
      </w:r>
      <w:r w:rsidR="00176382">
        <w:t xml:space="preserve"> a</w:t>
      </w:r>
      <w:r w:rsidR="00A87938">
        <w:t xml:space="preserve"> small, medium-security facility adjacent to Perth airport, </w:t>
      </w:r>
      <w:r w:rsidR="00831072">
        <w:t>with a</w:t>
      </w:r>
      <w:r w:rsidR="00E05D74">
        <w:t>n official</w:t>
      </w:r>
      <w:r w:rsidR="00831072">
        <w:t xml:space="preserve"> capacity of </w:t>
      </w:r>
      <w:r w:rsidR="005027BA">
        <w:t>32</w:t>
      </w:r>
      <w:r w:rsidR="00F76FD8">
        <w:t xml:space="preserve">. </w:t>
      </w:r>
      <w:r w:rsidR="00831072">
        <w:t xml:space="preserve">The PIDC </w:t>
      </w:r>
      <w:r w:rsidR="00123F48">
        <w:t>currently accommodates</w:t>
      </w:r>
      <w:r w:rsidR="00F76FD8">
        <w:t xml:space="preserve"> single</w:t>
      </w:r>
      <w:r w:rsidR="00123F48">
        <w:t xml:space="preserve"> </w:t>
      </w:r>
      <w:r w:rsidR="00A87938">
        <w:t xml:space="preserve">adult men </w:t>
      </w:r>
      <w:r w:rsidR="005207A0">
        <w:t xml:space="preserve">and women across two compounds. </w:t>
      </w:r>
      <w:r w:rsidR="00397B00">
        <w:t>The facility also</w:t>
      </w:r>
      <w:r w:rsidR="008557DB">
        <w:t xml:space="preserve"> contains </w:t>
      </w:r>
      <w:r w:rsidR="00397B00">
        <w:t xml:space="preserve">two </w:t>
      </w:r>
      <w:r w:rsidR="00B4457E">
        <w:t xml:space="preserve">rooms designed for single separation. </w:t>
      </w:r>
    </w:p>
    <w:p w:rsidR="003B5503" w:rsidRDefault="00B519C8" w:rsidP="00702C21">
      <w:r>
        <w:t xml:space="preserve">At the time of the Commission’s </w:t>
      </w:r>
      <w:r w:rsidR="0046784F">
        <w:t>inspection</w:t>
      </w:r>
      <w:r>
        <w:t xml:space="preserve">, there were </w:t>
      </w:r>
      <w:r w:rsidR="006D4E39">
        <w:t>21 people detained at the PIDC, around three-q</w:t>
      </w:r>
      <w:r w:rsidR="002F7C43">
        <w:t xml:space="preserve">uarters of whom were male. Most of these people had been detained </w:t>
      </w:r>
      <w:r w:rsidR="00AB7A75">
        <w:t xml:space="preserve">as a result of having their visas cancelled under section 501. The remaining people included were either individuals who had not been immigration cleared on arrival at an Australian airport (referred to as ‘airport turnarounds’); individuals who had not complied with their visa obligations (such as through overstaying their visa); </w:t>
      </w:r>
      <w:r w:rsidR="00F74460">
        <w:t xml:space="preserve">or </w:t>
      </w:r>
      <w:r w:rsidR="00AB7A75">
        <w:t>asylum seekers who ha</w:t>
      </w:r>
      <w:r w:rsidR="00702C21">
        <w:t xml:space="preserve">d arrived in Australia by boat. </w:t>
      </w:r>
    </w:p>
    <w:p w:rsidR="00702C21" w:rsidRDefault="00702C21" w:rsidP="00702C21">
      <w:r>
        <w:t xml:space="preserve">The detention population included people of a dozen </w:t>
      </w:r>
      <w:r w:rsidR="00466C70">
        <w:t xml:space="preserve">different </w:t>
      </w:r>
      <w:r>
        <w:t xml:space="preserve">nationalities, with the largest countries of origin being the United Kingdom, New Zealand and Vietnam. </w:t>
      </w:r>
    </w:p>
    <w:p w:rsidR="00130631" w:rsidRDefault="00130631" w:rsidP="00130631">
      <w:pPr>
        <w:pStyle w:val="Heading1"/>
      </w:pPr>
      <w:bookmarkStart w:id="37" w:name="_Toc503948670"/>
      <w:r>
        <w:lastRenderedPageBreak/>
        <w:t>Key issues and concerns</w:t>
      </w:r>
      <w:bookmarkEnd w:id="37"/>
    </w:p>
    <w:p w:rsidR="00130631" w:rsidRDefault="00130631" w:rsidP="00130631">
      <w:pPr>
        <w:pStyle w:val="Heading2"/>
      </w:pPr>
      <w:bookmarkStart w:id="38" w:name="_Toc503948671"/>
      <w:r>
        <w:t>Treatment of people in detention</w:t>
      </w:r>
      <w:bookmarkEnd w:id="38"/>
    </w:p>
    <w:p w:rsidR="00CA2830" w:rsidRDefault="00642107" w:rsidP="009E084B">
      <w:pPr>
        <w:pStyle w:val="Heading3"/>
      </w:pPr>
      <w:bookmarkStart w:id="39" w:name="_Toc503948672"/>
      <w:r>
        <w:t xml:space="preserve">Safety, </w:t>
      </w:r>
      <w:r w:rsidR="009E084B">
        <w:t xml:space="preserve">security </w:t>
      </w:r>
      <w:r>
        <w:t>and relationships with staff</w:t>
      </w:r>
      <w:bookmarkEnd w:id="39"/>
    </w:p>
    <w:p w:rsidR="00A41441" w:rsidRDefault="00A41441" w:rsidP="00A41441">
      <w:r w:rsidRPr="005A5618">
        <w:t xml:space="preserve">The </w:t>
      </w:r>
      <w:r>
        <w:t xml:space="preserve">PIDC </w:t>
      </w:r>
      <w:r w:rsidRPr="005A5618">
        <w:t xml:space="preserve">is a </w:t>
      </w:r>
      <w:r>
        <w:t>medium</w:t>
      </w:r>
      <w:r w:rsidRPr="005A5618">
        <w:t>-security facility. Security features obser</w:t>
      </w:r>
      <w:r>
        <w:t>ved by the Commission included</w:t>
      </w:r>
      <w:r w:rsidRPr="005A5618">
        <w:t xml:space="preserve"> external </w:t>
      </w:r>
      <w:r>
        <w:t xml:space="preserve">security beams, </w:t>
      </w:r>
      <w:r w:rsidR="00FE65DD">
        <w:t xml:space="preserve">high fencing, </w:t>
      </w:r>
      <w:r>
        <w:t xml:space="preserve">secure doors and numerous internal and </w:t>
      </w:r>
      <w:r w:rsidRPr="005A5618">
        <w:t xml:space="preserve">external security cameras. </w:t>
      </w:r>
      <w:r w:rsidR="00466C41">
        <w:t xml:space="preserve">The staff team at the PIDC does not include </w:t>
      </w:r>
      <w:r w:rsidR="001D3DEB">
        <w:t>Emergency Response Team of</w:t>
      </w:r>
      <w:r w:rsidR="00466C41">
        <w:t>ficers.</w:t>
      </w:r>
    </w:p>
    <w:p w:rsidR="006E7C92" w:rsidRDefault="00FA67E5" w:rsidP="00A41441">
      <w:r>
        <w:t>Some of the people interviewed by the Commission indicated that they did not feel safe in detenti</w:t>
      </w:r>
      <w:r w:rsidR="006E7C92">
        <w:t xml:space="preserve">on. </w:t>
      </w:r>
      <w:r>
        <w:t xml:space="preserve">Concerns about physical safety </w:t>
      </w:r>
      <w:r w:rsidR="009022B9">
        <w:t xml:space="preserve">generally stemmed from witnessing distressing incidents in detention; being detained alongside people who </w:t>
      </w:r>
      <w:r>
        <w:t>had previously committed crimes or had significan</w:t>
      </w:r>
      <w:r w:rsidR="009022B9">
        <w:t xml:space="preserve">t mental health issues; </w:t>
      </w:r>
      <w:r w:rsidR="006E7C92">
        <w:t>or negative experiences in other detentio</w:t>
      </w:r>
      <w:r w:rsidR="009022B9">
        <w:t xml:space="preserve">n facilities (such as assaults or intimidation). </w:t>
      </w:r>
      <w:r w:rsidR="00FD0E0A">
        <w:t xml:space="preserve">None of those interviewed reported that their safety had been seriously threatened </w:t>
      </w:r>
      <w:r w:rsidR="00FD5BD1">
        <w:t xml:space="preserve">during their time at </w:t>
      </w:r>
      <w:r w:rsidR="001E325F">
        <w:t>the PIDC.</w:t>
      </w:r>
    </w:p>
    <w:p w:rsidR="001E325F" w:rsidRDefault="001E325F" w:rsidP="00A41441">
      <w:r>
        <w:t>Facility staff noted that the mixed cohort at the PIDC (which included people with varying risk profiles) could present a challenge</w:t>
      </w:r>
      <w:r w:rsidR="00EE0566">
        <w:t xml:space="preserve"> in terms of maintaining security</w:t>
      </w:r>
      <w:r w:rsidR="00D207FB">
        <w:t>, as the physical inf</w:t>
      </w:r>
      <w:r w:rsidR="006365B8">
        <w:t>rastructure of the facility did</w:t>
      </w:r>
      <w:r w:rsidR="00D207FB">
        <w:t xml:space="preserve"> not allow for s</w:t>
      </w:r>
      <w:r w:rsidR="00686368">
        <w:t>egregation of different groups.</w:t>
      </w:r>
      <w:r w:rsidR="00EE0566">
        <w:t xml:space="preserve"> </w:t>
      </w:r>
    </w:p>
    <w:p w:rsidR="00FD5BD1" w:rsidRDefault="00B61F0F" w:rsidP="00C06090">
      <w:r>
        <w:t>Thos</w:t>
      </w:r>
      <w:r w:rsidR="00FE65DD">
        <w:t>e interviewed by the Commission</w:t>
      </w:r>
      <w:r>
        <w:t xml:space="preserve"> </w:t>
      </w:r>
      <w:r w:rsidR="004A6816">
        <w:t xml:space="preserve">indicated that their interactions with staff </w:t>
      </w:r>
      <w:r w:rsidR="00E9612B">
        <w:t xml:space="preserve">(particularly medical staff) </w:t>
      </w:r>
      <w:r w:rsidR="004A6816">
        <w:t>had ge</w:t>
      </w:r>
      <w:r w:rsidR="00E9612B">
        <w:t xml:space="preserve">nerally been positive. </w:t>
      </w:r>
      <w:r>
        <w:t xml:space="preserve">Some, however, indicated that their experiences with staff have been mixed. </w:t>
      </w:r>
      <w:r w:rsidR="00E9612B">
        <w:t xml:space="preserve">One person, for example, felt that he had been treated disrespectfully by one staff member but </w:t>
      </w:r>
      <w:r w:rsidR="00135873">
        <w:t xml:space="preserve">spoke highly of another staff member in a similar role. </w:t>
      </w:r>
    </w:p>
    <w:p w:rsidR="00A26208" w:rsidRPr="00C06090" w:rsidRDefault="00A26208" w:rsidP="00C06090">
      <w:r>
        <w:t xml:space="preserve">Overall, the Commission did not identify serious concerns relating to physical safety or relationships between staff and people detained at the PIDC. </w:t>
      </w:r>
    </w:p>
    <w:p w:rsidR="009E084B" w:rsidRDefault="005A3F51" w:rsidP="005A3F51">
      <w:pPr>
        <w:pStyle w:val="Heading3"/>
      </w:pPr>
      <w:bookmarkStart w:id="40" w:name="_Toc503948673"/>
      <w:r>
        <w:t>Use of force and restraints</w:t>
      </w:r>
      <w:bookmarkEnd w:id="40"/>
    </w:p>
    <w:p w:rsidR="00FE07F7" w:rsidRDefault="00805313" w:rsidP="00AA1802">
      <w:r>
        <w:t xml:space="preserve">A number of </w:t>
      </w:r>
      <w:r w:rsidR="00FB0552">
        <w:t>people interviewed by the Commission</w:t>
      </w:r>
      <w:r w:rsidR="00FE07F7">
        <w:t xml:space="preserve"> reported that they had been mechanically restrained </w:t>
      </w:r>
      <w:r w:rsidR="007A5EE3">
        <w:t>when being escorted outside detention (such as to attend court hearings, excursions or medical appointments</w:t>
      </w:r>
      <w:r w:rsidR="0030055B">
        <w:t>, or when being transferred between detention facilities</w:t>
      </w:r>
      <w:r w:rsidR="007A5EE3">
        <w:t xml:space="preserve">). </w:t>
      </w:r>
      <w:r w:rsidR="007A6D63">
        <w:t xml:space="preserve">Some noted that they found the use of restraints distressing. </w:t>
      </w:r>
    </w:p>
    <w:p w:rsidR="0014112B" w:rsidRDefault="00FE07F7" w:rsidP="00FE07F7">
      <w:r>
        <w:t xml:space="preserve">A small number </w:t>
      </w:r>
      <w:r w:rsidR="002B5449">
        <w:t xml:space="preserve">of people </w:t>
      </w:r>
      <w:r>
        <w:t>indicated that they had not previously been mechanically restrained during their t</w:t>
      </w:r>
      <w:r w:rsidR="00392808">
        <w:t xml:space="preserve">ime </w:t>
      </w:r>
      <w:r>
        <w:t>at the PIDC, but had recently been told (without explanation) that they would need to be restrained when attending external appointments.</w:t>
      </w:r>
      <w:r w:rsidR="0014112B">
        <w:t xml:space="preserve"> </w:t>
      </w:r>
      <w:r w:rsidR="00DF4807">
        <w:t xml:space="preserve">These individuals reported that they had </w:t>
      </w:r>
      <w:r w:rsidR="0014112B">
        <w:t xml:space="preserve">refused </w:t>
      </w:r>
      <w:r w:rsidR="00DF4807">
        <w:t xml:space="preserve">to attend the appointment due to concerns about the use of restraints. </w:t>
      </w:r>
    </w:p>
    <w:p w:rsidR="00441F7A" w:rsidRDefault="00FE07F7" w:rsidP="00FE07F7">
      <w:r>
        <w:t xml:space="preserve">Facility staff </w:t>
      </w:r>
      <w:r w:rsidR="009A6078">
        <w:t>advised that this change in practice was due to the</w:t>
      </w:r>
      <w:r w:rsidR="00533A4A">
        <w:t xml:space="preserve"> fact that the acting</w:t>
      </w:r>
      <w:r w:rsidR="009A6078">
        <w:t xml:space="preserve"> ABF Superintendent</w:t>
      </w:r>
      <w:r w:rsidR="00533A4A">
        <w:t xml:space="preserve"> had been o</w:t>
      </w:r>
      <w:r w:rsidR="009A6078">
        <w:t xml:space="preserve">n leave, and the </w:t>
      </w:r>
      <w:r w:rsidR="00441F7A">
        <w:t xml:space="preserve">relieving </w:t>
      </w:r>
      <w:r w:rsidR="009A6078">
        <w:t xml:space="preserve">Superintendent </w:t>
      </w:r>
      <w:r w:rsidR="00533A4A">
        <w:t xml:space="preserve">had adopted a </w:t>
      </w:r>
      <w:r w:rsidR="009A6078">
        <w:t xml:space="preserve">different approach to the use of restraints. </w:t>
      </w:r>
      <w:r w:rsidR="00F00E70">
        <w:t>H</w:t>
      </w:r>
      <w:r w:rsidR="00441F7A">
        <w:t xml:space="preserve">owever, this was evidently </w:t>
      </w:r>
      <w:r w:rsidR="00441F7A">
        <w:lastRenderedPageBreak/>
        <w:t>unclear to people detained at the PIDC</w:t>
      </w:r>
      <w:r w:rsidR="00FE65DD">
        <w:t xml:space="preserve">, who did not understand why </w:t>
      </w:r>
      <w:r w:rsidR="00F00E70">
        <w:t xml:space="preserve">the policy had changed in the absence of any change in their own behaviour. </w:t>
      </w:r>
    </w:p>
    <w:p w:rsidR="006076E8" w:rsidRDefault="00880F1E" w:rsidP="00B17748">
      <w:r>
        <w:t xml:space="preserve">The Commission considers that people in detention should be given a clear explanation of the reasons for using mechanical restraints, </w:t>
      </w:r>
      <w:r w:rsidR="00382B30">
        <w:t>particularly where ther</w:t>
      </w:r>
      <w:r>
        <w:t xml:space="preserve">e has been a change in practice. </w:t>
      </w:r>
      <w:r w:rsidR="00382B30">
        <w:t xml:space="preserve">The Commission is also concerned that </w:t>
      </w:r>
      <w:r>
        <w:t>that the</w:t>
      </w:r>
      <w:r w:rsidR="00FE65DD">
        <w:t xml:space="preserve"> recent</w:t>
      </w:r>
      <w:r>
        <w:t xml:space="preserve"> </w:t>
      </w:r>
      <w:r w:rsidR="00042E72">
        <w:t xml:space="preserve">use of restraints in </w:t>
      </w:r>
      <w:r w:rsidR="00FE65DD">
        <w:t>circumstances</w:t>
      </w:r>
      <w:r w:rsidR="00042E72">
        <w:t xml:space="preserve"> where </w:t>
      </w:r>
      <w:r w:rsidR="00556FD2">
        <w:t>restraints</w:t>
      </w:r>
      <w:r w:rsidR="006076E8">
        <w:t xml:space="preserve"> had previously been deemed unnecessary</w:t>
      </w:r>
      <w:r w:rsidR="00042E72">
        <w:t>,</w:t>
      </w:r>
      <w:r w:rsidR="00E95CF0">
        <w:t xml:space="preserve"> and </w:t>
      </w:r>
      <w:r w:rsidR="00A23166">
        <w:t xml:space="preserve">without there having been any change </w:t>
      </w:r>
      <w:r w:rsidR="008578A9">
        <w:t>in the</w:t>
      </w:r>
      <w:r w:rsidR="00E0770B">
        <w:t xml:space="preserve"> affected</w:t>
      </w:r>
      <w:r w:rsidR="008578A9">
        <w:t xml:space="preserve"> person’s risk profile, may have</w:t>
      </w:r>
      <w:r w:rsidR="0011300D">
        <w:t xml:space="preserve"> at times</w:t>
      </w:r>
      <w:r w:rsidR="008578A9">
        <w:t xml:space="preserve"> been excessive</w:t>
      </w:r>
      <w:r w:rsidR="0011300D">
        <w:t xml:space="preserve">. </w:t>
      </w:r>
      <w:r w:rsidR="003D0673">
        <w:t>Th</w:t>
      </w:r>
      <w:r w:rsidR="00B17748">
        <w:t>e Commission has previously recommended a broader review of the use of restraints on people in detention.</w:t>
      </w:r>
      <w:r w:rsidR="008B3074">
        <w:rPr>
          <w:rStyle w:val="EndnoteReference"/>
        </w:rPr>
        <w:endnoteReference w:id="35"/>
      </w:r>
      <w:r w:rsidR="00B17748">
        <w:t xml:space="preserve"> </w:t>
      </w:r>
    </w:p>
    <w:p w:rsidR="00E85A4E" w:rsidRDefault="00E85A4E" w:rsidP="00E85A4E">
      <w:pPr>
        <w:pStyle w:val="ListParagraph"/>
        <w:keepNext/>
        <w:keepLines/>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E85A4E" w:rsidRPr="00A32E6A" w:rsidRDefault="00E85A4E" w:rsidP="00807F28">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Where mechanical restraints are used on people in detention (particularly where there has been a change in practice), facility staff should provide a clear explanation of the reasons for the use of restraints. </w:t>
      </w:r>
    </w:p>
    <w:p w:rsidR="00E85A4E" w:rsidRDefault="00E85A4E" w:rsidP="00807F28">
      <w:pPr>
        <w:spacing w:before="0" w:after="0"/>
      </w:pPr>
    </w:p>
    <w:p w:rsidR="00113818" w:rsidRPr="00EB4E19" w:rsidRDefault="00113818" w:rsidP="00807F28">
      <w:pPr>
        <w:pStyle w:val="ListParagraph"/>
        <w:keepNext/>
        <w:keepLines/>
        <w:numPr>
          <w:ilvl w:val="0"/>
          <w:numId w:val="42"/>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rsidR="00113818" w:rsidRPr="00EB4E19" w:rsidRDefault="00113818" w:rsidP="00880F1E">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EB4E19">
        <w:rPr>
          <w:i/>
          <w:color w:val="FFFFFF" w:themeColor="background1"/>
        </w:rPr>
        <w:t xml:space="preserve">The </w:t>
      </w:r>
      <w:r w:rsidR="00900D4E">
        <w:rPr>
          <w:i/>
          <w:color w:val="FFFFFF" w:themeColor="background1"/>
        </w:rPr>
        <w:t>Department of Home Affairs</w:t>
      </w:r>
      <w:r w:rsidRPr="00EB4E19">
        <w:rPr>
          <w:i/>
          <w:color w:val="FFFFFF" w:themeColor="background1"/>
        </w:rPr>
        <w:t xml:space="preserve"> and facility staff should review policies</w:t>
      </w:r>
      <w:r>
        <w:rPr>
          <w:i/>
          <w:color w:val="FFFFFF" w:themeColor="background1"/>
        </w:rPr>
        <w:t xml:space="preserve"> and practices </w:t>
      </w:r>
      <w:r w:rsidRPr="00EB4E19">
        <w:rPr>
          <w:i/>
          <w:color w:val="FFFFFF" w:themeColor="background1"/>
        </w:rPr>
        <w:t>relating to the use of mechanical restraints, to ensure people in detention are not subject to more restrictive measures than are necessary in their individual circumstances. Particular consideration should be given to limiting the use of mechanical restraint</w:t>
      </w:r>
      <w:r>
        <w:rPr>
          <w:i/>
          <w:color w:val="FFFFFF" w:themeColor="background1"/>
        </w:rPr>
        <w:t>s during medical consultations and during transit where the risk of escape is low.</w:t>
      </w:r>
    </w:p>
    <w:p w:rsidR="00473C28" w:rsidRDefault="00473C28" w:rsidP="00473C28">
      <w:pPr>
        <w:pStyle w:val="Heading3"/>
      </w:pPr>
      <w:bookmarkStart w:id="41" w:name="_Toc503948674"/>
      <w:r>
        <w:t>Other invasive</w:t>
      </w:r>
      <w:r w:rsidR="00255E67">
        <w:t xml:space="preserve"> and </w:t>
      </w:r>
      <w:r>
        <w:t>restrictive measures</w:t>
      </w:r>
      <w:bookmarkEnd w:id="41"/>
      <w:r>
        <w:t xml:space="preserve"> </w:t>
      </w:r>
    </w:p>
    <w:p w:rsidR="00473C28" w:rsidRDefault="00274CAD" w:rsidP="009C1ECF">
      <w:r>
        <w:t xml:space="preserve">A small number of people </w:t>
      </w:r>
      <w:r w:rsidR="00F67F5E">
        <w:t xml:space="preserve">reported that they had been body searched or that their rooms had been searched while in detention. Some noted that they found these searches embarrassing. </w:t>
      </w:r>
    </w:p>
    <w:p w:rsidR="004B5534" w:rsidRDefault="003F6840" w:rsidP="004B4D6D">
      <w:r>
        <w:t>A</w:t>
      </w:r>
      <w:r w:rsidR="00BE1C4E">
        <w:t>t the time of the Commission’s inspection</w:t>
      </w:r>
      <w:r>
        <w:t xml:space="preserve">, one person was being held in separate accommodation arrangements due safety issues. </w:t>
      </w:r>
      <w:r w:rsidR="00036707">
        <w:t>Facility staff indicated that this individual had</w:t>
      </w:r>
      <w:r w:rsidR="00EF4986">
        <w:t xml:space="preserve"> been in detention for a prolonged period of time and</w:t>
      </w:r>
      <w:r w:rsidR="007519D5">
        <w:t xml:space="preserve"> could not be accommodated at other detention facilities due to s</w:t>
      </w:r>
      <w:r w:rsidR="00036707">
        <w:t xml:space="preserve">ignificant </w:t>
      </w:r>
      <w:r w:rsidR="00EF4986">
        <w:t>health issues</w:t>
      </w:r>
      <w:r w:rsidR="00036707">
        <w:t>.</w:t>
      </w:r>
      <w:r w:rsidR="00EF4986">
        <w:t xml:space="preserve"> </w:t>
      </w:r>
      <w:r w:rsidR="00036707">
        <w:t>T</w:t>
      </w:r>
      <w:r w:rsidR="004B5534">
        <w:t xml:space="preserve">his person did not request a private interview with Commission staff. However, Commission </w:t>
      </w:r>
      <w:r>
        <w:t xml:space="preserve">staff were permitted to </w:t>
      </w:r>
      <w:r w:rsidR="00BE1C4E">
        <w:t>inspect</w:t>
      </w:r>
      <w:r>
        <w:t xml:space="preserve"> the separate accommodation area</w:t>
      </w:r>
      <w:r w:rsidR="00BD4CDE">
        <w:t xml:space="preserve"> (referred to as ‘High-Care Accommodation’)</w:t>
      </w:r>
      <w:r>
        <w:t>.</w:t>
      </w:r>
      <w:r w:rsidR="004B4D6D">
        <w:t xml:space="preserve"> </w:t>
      </w:r>
    </w:p>
    <w:p w:rsidR="00F204DB" w:rsidRDefault="00F204DB" w:rsidP="00191CDA">
      <w:r>
        <w:t xml:space="preserve">Given the limited accommodation options at the PIDC for those requiring separation, the </w:t>
      </w:r>
      <w:r w:rsidR="004B4D6D">
        <w:t xml:space="preserve">Commission </w:t>
      </w:r>
      <w:r w:rsidR="004B4D6D" w:rsidRPr="003178E7">
        <w:t>did not identify</w:t>
      </w:r>
      <w:r w:rsidR="004B4D6D">
        <w:t xml:space="preserve"> particular</w:t>
      </w:r>
      <w:r w:rsidR="004B4D6D" w:rsidRPr="003178E7">
        <w:t xml:space="preserve"> concerns about the use of single separation for </w:t>
      </w:r>
      <w:r>
        <w:t>this individual</w:t>
      </w:r>
      <w:r w:rsidR="005D06FF">
        <w:t xml:space="preserve">. </w:t>
      </w:r>
      <w:r w:rsidR="00191CDA">
        <w:t>H</w:t>
      </w:r>
      <w:r>
        <w:t>owever, the Commission considers that</w:t>
      </w:r>
      <w:r w:rsidR="00240E78">
        <w:t xml:space="preserve"> the PIDC is not a</w:t>
      </w:r>
      <w:r w:rsidR="0007795F">
        <w:t xml:space="preserve">n appropriate facility for people who are in long-term detention and/or have significant health issues. </w:t>
      </w:r>
      <w:r w:rsidR="00191CDA">
        <w:t xml:space="preserve">These issues are discussed </w:t>
      </w:r>
      <w:r w:rsidR="00191CDA" w:rsidRPr="00DF0350">
        <w:t xml:space="preserve">further in Section </w:t>
      </w:r>
      <w:r w:rsidR="00177CD4" w:rsidRPr="00DF0350">
        <w:t>3.5</w:t>
      </w:r>
      <w:r w:rsidR="00191CDA" w:rsidRPr="00DF0350">
        <w:t>.</w:t>
      </w:r>
    </w:p>
    <w:p w:rsidR="00053B2C" w:rsidRDefault="00053B2C" w:rsidP="00053B2C">
      <w:pPr>
        <w:pStyle w:val="Heading2"/>
      </w:pPr>
      <w:bookmarkStart w:id="42" w:name="_Toc503948675"/>
      <w:r>
        <w:lastRenderedPageBreak/>
        <w:t>Conditions of detention</w:t>
      </w:r>
      <w:bookmarkEnd w:id="42"/>
    </w:p>
    <w:p w:rsidR="00053B2C" w:rsidRDefault="00B45F66" w:rsidP="00053B2C">
      <w:pPr>
        <w:pStyle w:val="Heading3"/>
      </w:pPr>
      <w:bookmarkStart w:id="43" w:name="_Toc503948676"/>
      <w:r>
        <w:t>Accommodation</w:t>
      </w:r>
      <w:r w:rsidR="008B7B37">
        <w:t>, sanitation and exercise facilities</w:t>
      </w:r>
      <w:bookmarkEnd w:id="43"/>
      <w:r w:rsidR="008B7B37">
        <w:t xml:space="preserve"> </w:t>
      </w:r>
    </w:p>
    <w:p w:rsidR="0002153D" w:rsidRDefault="00AC74FC" w:rsidP="00324C6E">
      <w:r>
        <w:t xml:space="preserve">People detained at the PIDC are </w:t>
      </w:r>
      <w:r w:rsidR="002011C2">
        <w:t xml:space="preserve">accommodated according to gender in one of two single-storey compounds, connected by communal spaces. </w:t>
      </w:r>
    </w:p>
    <w:p w:rsidR="00103561" w:rsidRPr="0002153D" w:rsidRDefault="00170033" w:rsidP="0002153D">
      <w:r>
        <w:t>In the men’s compound, rooms accommodated</w:t>
      </w:r>
      <w:r w:rsidR="00DB37D0">
        <w:t xml:space="preserve"> up to </w:t>
      </w:r>
      <w:r>
        <w:t>seven people with a mix of bunk beds and single beds. The</w:t>
      </w:r>
      <w:r w:rsidR="00103561">
        <w:t>r</w:t>
      </w:r>
      <w:r w:rsidR="0020253C">
        <w:t>e were several shared bathrooms, one of which also conta</w:t>
      </w:r>
      <w:r w:rsidR="00A95F1D">
        <w:t>ined shared laundry facilities.</w:t>
      </w:r>
      <w:r w:rsidR="0002153D">
        <w:t xml:space="preserve"> The compound had two indoor common areas: a multipurpose room containing a </w:t>
      </w:r>
      <w:r w:rsidR="0002153D" w:rsidRPr="0002153D">
        <w:t>library,</w:t>
      </w:r>
      <w:r w:rsidR="0002153D">
        <w:t xml:space="preserve"> </w:t>
      </w:r>
      <w:r w:rsidR="0002153D" w:rsidRPr="0002153D">
        <w:t xml:space="preserve">television, </w:t>
      </w:r>
      <w:r w:rsidR="0002153D">
        <w:t>couches and</w:t>
      </w:r>
      <w:r w:rsidR="0002153D" w:rsidRPr="0002153D">
        <w:t xml:space="preserve"> games</w:t>
      </w:r>
      <w:r w:rsidR="0002153D">
        <w:t>; and common room containing a pool table, television, couches and a fridge.</w:t>
      </w:r>
    </w:p>
    <w:p w:rsidR="00BF3582" w:rsidRDefault="00B910E1" w:rsidP="00324C6E">
      <w:r>
        <w:t>The women’s compound contained four</w:t>
      </w:r>
      <w:r w:rsidR="00103561">
        <w:t xml:space="preserve"> rooms</w:t>
      </w:r>
      <w:r w:rsidR="00E07A58">
        <w:t xml:space="preserve"> (converted from cells</w:t>
      </w:r>
      <w:r w:rsidR="0087066A">
        <w:t xml:space="preserve"> used</w:t>
      </w:r>
      <w:r w:rsidR="000052DF">
        <w:t xml:space="preserve"> previously when the PIDC was a</w:t>
      </w:r>
      <w:r w:rsidR="0087066A">
        <w:t xml:space="preserve"> secure police facility</w:t>
      </w:r>
      <w:r w:rsidR="00E07A58">
        <w:t>)</w:t>
      </w:r>
      <w:r>
        <w:t xml:space="preserve">, each with </w:t>
      </w:r>
      <w:r w:rsidR="00103561">
        <w:t xml:space="preserve">two bunk beds, and one shared bathroom. </w:t>
      </w:r>
      <w:r w:rsidR="00BF033B">
        <w:t>The</w:t>
      </w:r>
      <w:r w:rsidR="00C15B80">
        <w:t xml:space="preserve"> compound also had two common areas: an outdoor covered common area, containing a seating area</w:t>
      </w:r>
      <w:r w:rsidR="008B7B37">
        <w:t xml:space="preserve">, </w:t>
      </w:r>
      <w:r w:rsidR="00C15B80">
        <w:t>television</w:t>
      </w:r>
      <w:r w:rsidR="008B7B37">
        <w:t xml:space="preserve"> and gym equipment</w:t>
      </w:r>
      <w:r w:rsidR="00C15B80">
        <w:t>; and a</w:t>
      </w:r>
      <w:r w:rsidR="00BF033B">
        <w:t xml:space="preserve"> small multipurpose room, containing </w:t>
      </w:r>
      <w:r w:rsidR="00BF033B" w:rsidRPr="00BF033B">
        <w:t xml:space="preserve">computers, </w:t>
      </w:r>
      <w:r w:rsidR="00BF033B">
        <w:t>a televisio</w:t>
      </w:r>
      <w:r w:rsidR="00C15B80">
        <w:t xml:space="preserve">n, couches and a small library. </w:t>
      </w:r>
    </w:p>
    <w:p w:rsidR="00E661A9" w:rsidRDefault="00E661A9" w:rsidP="00324C6E">
      <w:r>
        <w:t>The facility also contain</w:t>
      </w:r>
      <w:r w:rsidR="009A28F9">
        <w:t>ed</w:t>
      </w:r>
      <w:r>
        <w:t xml:space="preserve"> two rooms used for single separation, which are</w:t>
      </w:r>
      <w:r w:rsidR="009A28F9">
        <w:t xml:space="preserve"> separate from the main accommodation compounds. There was </w:t>
      </w:r>
      <w:r>
        <w:t xml:space="preserve">one high-security </w:t>
      </w:r>
      <w:r w:rsidR="00555788">
        <w:t xml:space="preserve">room </w:t>
      </w:r>
      <w:r w:rsidR="009A28F9">
        <w:t>containing a s</w:t>
      </w:r>
      <w:r>
        <w:t>ingle bed and open ensuite bathroom</w:t>
      </w:r>
      <w:r w:rsidR="009A28F9">
        <w:t xml:space="preserve"> (with partitions for privacy)</w:t>
      </w:r>
      <w:r>
        <w:t xml:space="preserve">; </w:t>
      </w:r>
      <w:r w:rsidR="009A28F9">
        <w:t xml:space="preserve">and a lower-security room containing bunk beds and an ensuite bathroom. </w:t>
      </w:r>
    </w:p>
    <w:p w:rsidR="008B7B37" w:rsidRDefault="008B7B37" w:rsidP="008B7B37">
      <w:r>
        <w:t>Both accommodation compounds at the PIDC open onto outdoor courtyard</w:t>
      </w:r>
      <w:r w:rsidR="00B6578F">
        <w:t>s</w:t>
      </w:r>
      <w:r>
        <w:t xml:space="preserve">. The courtyard in the men’s compound is an ‘active courtyard’, which consists of an open space covered with synthetic grass, with small garden beds around the perimeter and an undercover gym </w:t>
      </w:r>
      <w:r w:rsidR="00381960">
        <w:t>o</w:t>
      </w:r>
      <w:r>
        <w:t>n one side. The female compound contains a ‘passive courtyard’ with garden beds, potted plants, tables and chairs</w:t>
      </w:r>
      <w:r w:rsidR="00A43F1D">
        <w:t xml:space="preserve"> and shared laundry facilities</w:t>
      </w:r>
      <w:r>
        <w:t xml:space="preserve">. Both courtyards are protected by shade cloths, although staff reported that the cloths are not </w:t>
      </w:r>
      <w:r w:rsidR="00381960">
        <w:t xml:space="preserve">particularly </w:t>
      </w:r>
      <w:r>
        <w:t>effective due</w:t>
      </w:r>
      <w:r w:rsidR="00E047CF">
        <w:t xml:space="preserve"> to</w:t>
      </w:r>
      <w:r>
        <w:t xml:space="preserve"> their height above the yards. </w:t>
      </w:r>
    </w:p>
    <w:p w:rsidR="005664B3" w:rsidRDefault="0063038D" w:rsidP="00324C6E">
      <w:r>
        <w:t>Some of the people interviewed by the Commission no</w:t>
      </w:r>
      <w:r w:rsidR="002A06FD">
        <w:t xml:space="preserve">ted that their accommodation or living areas were </w:t>
      </w:r>
      <w:r w:rsidR="00A63937">
        <w:t>cramped, especially whe</w:t>
      </w:r>
      <w:r w:rsidR="009603DF">
        <w:t xml:space="preserve">re bedrooms were being shared between </w:t>
      </w:r>
      <w:r w:rsidR="00A63937">
        <w:t>several people.</w:t>
      </w:r>
      <w:r w:rsidR="00314417">
        <w:t xml:space="preserve"> Facility staff also indicated that </w:t>
      </w:r>
      <w:r w:rsidR="00B96EAD">
        <w:t xml:space="preserve">the use of the PIDC to detain both men and women </w:t>
      </w:r>
      <w:r w:rsidR="00AC0559">
        <w:t xml:space="preserve">at the same time </w:t>
      </w:r>
      <w:r w:rsidR="005664B3">
        <w:t xml:space="preserve">could </w:t>
      </w:r>
      <w:r w:rsidR="00AC0559">
        <w:t xml:space="preserve">lead to more cramped conditions, </w:t>
      </w:r>
      <w:r w:rsidR="00B96EAD">
        <w:t>as</w:t>
      </w:r>
      <w:r w:rsidR="00AC0559">
        <w:t xml:space="preserve"> it required staff to separate the facility in to male and female </w:t>
      </w:r>
      <w:r w:rsidR="005664B3">
        <w:t xml:space="preserve">areas </w:t>
      </w:r>
      <w:r w:rsidR="00AC0559">
        <w:t xml:space="preserve">and limit </w:t>
      </w:r>
      <w:r w:rsidR="005664B3">
        <w:t>movement between compounds.</w:t>
      </w:r>
    </w:p>
    <w:p w:rsidR="00A10AEB" w:rsidRDefault="00C31EAD" w:rsidP="00EA1468">
      <w:r>
        <w:t>The Commission considers that accommodation</w:t>
      </w:r>
      <w:r w:rsidR="008B7B37">
        <w:t xml:space="preserve">, </w:t>
      </w:r>
      <w:r>
        <w:t xml:space="preserve">living areas </w:t>
      </w:r>
      <w:r w:rsidR="008B7B37">
        <w:t xml:space="preserve">and exercise facilities </w:t>
      </w:r>
      <w:r>
        <w:t>at the PIDC are generally small and cramped</w:t>
      </w:r>
      <w:r w:rsidR="00957FDA">
        <w:t xml:space="preserve">, with limited outdoor space. </w:t>
      </w:r>
      <w:r w:rsidR="000325DD">
        <w:t xml:space="preserve">This is particularly true of the women’s compound: </w:t>
      </w:r>
      <w:r>
        <w:t>the bedrooms</w:t>
      </w:r>
      <w:r w:rsidR="00E07A58">
        <w:t xml:space="preserve"> retain some of the restrictive </w:t>
      </w:r>
      <w:r w:rsidR="00631363">
        <w:t xml:space="preserve">character </w:t>
      </w:r>
      <w:r w:rsidR="00B555D1">
        <w:t xml:space="preserve">of the former </w:t>
      </w:r>
      <w:r w:rsidR="00BE6EC6">
        <w:t>cells</w:t>
      </w:r>
      <w:r w:rsidR="00CA3E7B">
        <w:t>;</w:t>
      </w:r>
      <w:r w:rsidR="00B30B9F">
        <w:t xml:space="preserve"> the </w:t>
      </w:r>
      <w:r w:rsidR="0094459B">
        <w:t>shared living areas are small</w:t>
      </w:r>
      <w:r w:rsidR="00B30B9F">
        <w:t xml:space="preserve">, especially the </w:t>
      </w:r>
      <w:r>
        <w:t>indoor multipu</w:t>
      </w:r>
      <w:r w:rsidR="00B30B9F">
        <w:t xml:space="preserve">rpose room which </w:t>
      </w:r>
      <w:r w:rsidR="000325DD">
        <w:t>has no natural light; and the</w:t>
      </w:r>
      <w:r w:rsidR="00CA3E7B">
        <w:t>re is insufficient space to run around in the</w:t>
      </w:r>
      <w:r w:rsidR="000325DD">
        <w:t xml:space="preserve"> ‘passive courtyard’</w:t>
      </w:r>
      <w:r w:rsidR="00CA3E7B">
        <w:t xml:space="preserve">. </w:t>
      </w:r>
    </w:p>
    <w:p w:rsidR="00EA1468" w:rsidRDefault="008A7EDA" w:rsidP="00EA1468">
      <w:r>
        <w:t xml:space="preserve">The </w:t>
      </w:r>
      <w:r w:rsidR="00A10AEB">
        <w:t>Commission</w:t>
      </w:r>
      <w:r>
        <w:t xml:space="preserve"> </w:t>
      </w:r>
      <w:r w:rsidR="00A10AEB">
        <w:t>acknowledges</w:t>
      </w:r>
      <w:r>
        <w:t xml:space="preserve"> the efforts of facility staff to provide adequate </w:t>
      </w:r>
      <w:r w:rsidR="00A10AEB">
        <w:t>living conditions for people detained at the PIDC. However, the physical limitations of the facility a</w:t>
      </w:r>
      <w:r w:rsidR="00523F82">
        <w:t>re such that it is o</w:t>
      </w:r>
      <w:r w:rsidR="0032115F">
        <w:t xml:space="preserve">nly suitable for very short periods of detention </w:t>
      </w:r>
      <w:r w:rsidR="00EA1468">
        <w:t>(such as in cases where a person is to be rapidly removed from Australia)</w:t>
      </w:r>
      <w:r w:rsidR="00A10AEB">
        <w:t xml:space="preserve">. The </w:t>
      </w:r>
      <w:r w:rsidR="00C80679">
        <w:t>Commission</w:t>
      </w:r>
      <w:r w:rsidR="00A10AEB">
        <w:t xml:space="preserve"> considers that the PIDC is </w:t>
      </w:r>
      <w:r w:rsidR="0032115F">
        <w:t xml:space="preserve">not an </w:t>
      </w:r>
      <w:r w:rsidR="00EA1468">
        <w:t xml:space="preserve">appropriate facility for people who are likely to be in </w:t>
      </w:r>
      <w:r w:rsidR="00EA1468">
        <w:lastRenderedPageBreak/>
        <w:t>detention for extended periods of time</w:t>
      </w:r>
      <w:r w:rsidR="00EA1468" w:rsidRPr="008C3967">
        <w:t xml:space="preserve">. This issue is discussed </w:t>
      </w:r>
      <w:r w:rsidR="00EA1468" w:rsidRPr="00DF0350">
        <w:t>further in Section 3.5</w:t>
      </w:r>
      <w:r w:rsidR="00DF0350" w:rsidRPr="00DF0350">
        <w:t>(a)</w:t>
      </w:r>
      <w:r w:rsidR="00EA1468" w:rsidRPr="00DF0350">
        <w:t>.</w:t>
      </w:r>
    </w:p>
    <w:p w:rsidR="007970B3" w:rsidRDefault="007970B3" w:rsidP="007970B3">
      <w:pPr>
        <w:pStyle w:val="Heading3"/>
      </w:pPr>
      <w:bookmarkStart w:id="44" w:name="_Toc503948677"/>
      <w:r>
        <w:t>Activities and excursions</w:t>
      </w:r>
      <w:bookmarkEnd w:id="44"/>
    </w:p>
    <w:p w:rsidR="0017069A" w:rsidRDefault="00203771" w:rsidP="00203771">
      <w:r>
        <w:t xml:space="preserve">Activities available at the PIDC include </w:t>
      </w:r>
      <w:r w:rsidRPr="00203771">
        <w:t>personal tr</w:t>
      </w:r>
      <w:r>
        <w:t xml:space="preserve">ainer sessions, sporting activities, arts and crafts, </w:t>
      </w:r>
      <w:r w:rsidRPr="00203771">
        <w:t>games</w:t>
      </w:r>
      <w:r>
        <w:t xml:space="preserve"> and educational activities.</w:t>
      </w:r>
      <w:r w:rsidR="00ED4C7A">
        <w:t xml:space="preserve"> Religious visits are also available</w:t>
      </w:r>
      <w:r w:rsidR="0017069A">
        <w:t xml:space="preserve">. </w:t>
      </w:r>
    </w:p>
    <w:p w:rsidR="00754F03" w:rsidRDefault="00203771" w:rsidP="00203771">
      <w:r>
        <w:t xml:space="preserve">Staff reported that they faced significant challenges in offering meaningful activities at the PIDC due to the lack of dedicated facilities, with activities being held either in the courtyards or the dining room. There is no classroom and no dedicated </w:t>
      </w:r>
      <w:r w:rsidR="00964F94">
        <w:t xml:space="preserve">space </w:t>
      </w:r>
      <w:r>
        <w:t xml:space="preserve">for religious services. </w:t>
      </w:r>
      <w:r w:rsidR="0017069A">
        <w:t xml:space="preserve">Some of the people interviewed by the Commission indicated that they </w:t>
      </w:r>
      <w:r w:rsidR="00096A1E">
        <w:t>found the activities</w:t>
      </w:r>
      <w:r w:rsidR="00964F94">
        <w:t xml:space="preserve"> on offer</w:t>
      </w:r>
      <w:r w:rsidR="00096A1E">
        <w:t xml:space="preserve"> ‘basic’ or ‘boring’, with one noting the lack of meaningful </w:t>
      </w:r>
      <w:r w:rsidR="001532BF">
        <w:t>educational</w:t>
      </w:r>
      <w:r w:rsidR="00096A1E">
        <w:t xml:space="preserve"> activities in particular. </w:t>
      </w:r>
      <w:r w:rsidR="000541E8">
        <w:t xml:space="preserve">It was also noted that activities are reduced on weekends due to staffing limitations. </w:t>
      </w:r>
    </w:p>
    <w:p w:rsidR="001532BF" w:rsidRDefault="00301D8D" w:rsidP="00301D8D">
      <w:r>
        <w:t xml:space="preserve">Facility staff </w:t>
      </w:r>
      <w:r w:rsidR="00F5674C">
        <w:t>reported</w:t>
      </w:r>
      <w:r>
        <w:t xml:space="preserve"> that excursions from the facility are available, but have recently been restricted due to new risk asse</w:t>
      </w:r>
      <w:r w:rsidR="00370DF9">
        <w:t xml:space="preserve">ssment requirements. Excursion sites </w:t>
      </w:r>
      <w:r>
        <w:t>include</w:t>
      </w:r>
      <w:r w:rsidR="00DB363F">
        <w:t>d</w:t>
      </w:r>
      <w:r>
        <w:t xml:space="preserve"> parks, </w:t>
      </w:r>
      <w:r w:rsidR="00DB363F">
        <w:t>a</w:t>
      </w:r>
      <w:r w:rsidR="00370DF9">
        <w:t xml:space="preserve"> </w:t>
      </w:r>
      <w:r>
        <w:t>swimming pool and the</w:t>
      </w:r>
      <w:r w:rsidR="00370DF9">
        <w:t xml:space="preserve"> zoo. A number of the people interviewed by the Commission indicated that they had attended excursions while detained at the PIDC, although some noted that they had not been permitted to attend due to their risk rating or had declined to attend due to concerns about being mechanically restrained. </w:t>
      </w:r>
    </w:p>
    <w:p w:rsidR="009C4091" w:rsidRDefault="009F0C2F" w:rsidP="009F0C2F">
      <w:r w:rsidRPr="00604ACD">
        <w:t>The Commission</w:t>
      </w:r>
      <w:r>
        <w:t xml:space="preserve"> acknowledges the efforts of facility staff to provide meaningful activities </w:t>
      </w:r>
      <w:r w:rsidR="00151E4D">
        <w:t>for people detained at the PIDC</w:t>
      </w:r>
      <w:r>
        <w:t xml:space="preserve">. </w:t>
      </w:r>
      <w:r w:rsidR="00151E4D">
        <w:t xml:space="preserve">However, the Commission considers that the lack of dedicated facilities for activities highlights the unsuitability of the PIDC for anything other than very short periods of detention. </w:t>
      </w:r>
      <w:r w:rsidR="00E11010">
        <w:t xml:space="preserve">The Commission </w:t>
      </w:r>
      <w:r w:rsidR="00C62E60">
        <w:t xml:space="preserve">welcomes efforts to provide regular excursions, which are likely to be of significant benefit to people detained at the PIDC due to the facility’s small size and </w:t>
      </w:r>
      <w:r w:rsidR="00E11010">
        <w:t xml:space="preserve">limited </w:t>
      </w:r>
      <w:r w:rsidR="00C62E60">
        <w:t xml:space="preserve">outdoor space. </w:t>
      </w:r>
    </w:p>
    <w:p w:rsidR="009F0C2F" w:rsidRDefault="00C62E60" w:rsidP="009F0C2F">
      <w:r>
        <w:t xml:space="preserve">In light of the recent </w:t>
      </w:r>
      <w:r w:rsidR="009C4091">
        <w:t xml:space="preserve">restrictions on excursions resulting from risk assessment processes, the </w:t>
      </w:r>
      <w:r w:rsidR="009F0C2F">
        <w:t xml:space="preserve">Commission suggests that </w:t>
      </w:r>
      <w:r w:rsidR="0025375D">
        <w:t xml:space="preserve">facility </w:t>
      </w:r>
      <w:r w:rsidR="009F0C2F">
        <w:t xml:space="preserve">staff </w:t>
      </w:r>
      <w:r w:rsidR="0025375D">
        <w:t xml:space="preserve">continue to </w:t>
      </w:r>
      <w:r w:rsidR="009F0C2F">
        <w:t xml:space="preserve">explore options for providing excursions to more secure venues, with a view to </w:t>
      </w:r>
      <w:r w:rsidR="00600E11">
        <w:t xml:space="preserve">minimising the use of restraints on excursions and </w:t>
      </w:r>
      <w:r w:rsidR="009F0C2F">
        <w:t>extending excursion opportunities to people who are cons</w:t>
      </w:r>
      <w:r w:rsidR="00600E11">
        <w:t xml:space="preserve">idered to present a higher risk. </w:t>
      </w:r>
    </w:p>
    <w:p w:rsidR="009C4091" w:rsidRDefault="009C4091" w:rsidP="009C4091">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9C4091" w:rsidRDefault="009C4091" w:rsidP="009C4091">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Facility staff should </w:t>
      </w:r>
      <w:r w:rsidR="0025375D">
        <w:rPr>
          <w:i/>
          <w:color w:val="FFFFFF" w:themeColor="background1"/>
        </w:rPr>
        <w:t xml:space="preserve">continue to </w:t>
      </w:r>
      <w:r>
        <w:rPr>
          <w:i/>
          <w:color w:val="FFFFFF" w:themeColor="background1"/>
        </w:rPr>
        <w:t xml:space="preserve">explore options for providing excursions to secure sites suitable for people who are considered to present a higher risk. </w:t>
      </w:r>
    </w:p>
    <w:p w:rsidR="00053B2C" w:rsidRDefault="005145BC" w:rsidP="00053B2C">
      <w:pPr>
        <w:pStyle w:val="Heading3"/>
      </w:pPr>
      <w:bookmarkStart w:id="45" w:name="_Toc503948678"/>
      <w:r>
        <w:t>Food</w:t>
      </w:r>
      <w:bookmarkEnd w:id="45"/>
      <w:r>
        <w:t xml:space="preserve"> </w:t>
      </w:r>
    </w:p>
    <w:p w:rsidR="00053B2C" w:rsidRDefault="008237A3" w:rsidP="008237A3">
      <w:r>
        <w:t xml:space="preserve">Food is prepared in a </w:t>
      </w:r>
      <w:r w:rsidR="000A20CC">
        <w:t xml:space="preserve">central kitchen, with meals served in the adjacent dining room. </w:t>
      </w:r>
      <w:r w:rsidR="000A20CC" w:rsidRPr="000A20CC">
        <w:t xml:space="preserve">Continental breakfast </w:t>
      </w:r>
      <w:r w:rsidR="000A20CC">
        <w:t xml:space="preserve">supplies and snacks are </w:t>
      </w:r>
      <w:r w:rsidR="000A20CC" w:rsidRPr="000A20CC">
        <w:t>available in the dining r</w:t>
      </w:r>
      <w:r w:rsidR="000A20CC">
        <w:t xml:space="preserve">oom. </w:t>
      </w:r>
      <w:r w:rsidR="00197F06">
        <w:t xml:space="preserve">People </w:t>
      </w:r>
      <w:r w:rsidR="00197F06" w:rsidRPr="00E23903">
        <w:t xml:space="preserve">in </w:t>
      </w:r>
      <w:r w:rsidR="00197F06" w:rsidRPr="00DF0350">
        <w:t>detention can purchase additional snacks using points (see Section 3.2(d) below).</w:t>
      </w:r>
    </w:p>
    <w:p w:rsidR="00197F06" w:rsidRDefault="0038397C" w:rsidP="00197F06">
      <w:r>
        <w:t xml:space="preserve">A number of </w:t>
      </w:r>
      <w:r w:rsidR="00197F06">
        <w:t xml:space="preserve">people interviewed by the Commission </w:t>
      </w:r>
      <w:r>
        <w:t xml:space="preserve">raised concerns about the food, reporting that it was of a low quality </w:t>
      </w:r>
      <w:r w:rsidR="00197F06">
        <w:t xml:space="preserve">or did not adequately cater for their dietary needs. </w:t>
      </w:r>
      <w:r>
        <w:t xml:space="preserve">One person noted the lack of opportunities at the PIDC for people to cook their own food. </w:t>
      </w:r>
    </w:p>
    <w:p w:rsidR="0083489A" w:rsidRDefault="0083489A" w:rsidP="0083489A">
      <w:pPr>
        <w:pStyle w:val="Heading3"/>
      </w:pPr>
      <w:bookmarkStart w:id="46" w:name="_Toc503948679"/>
      <w:r>
        <w:lastRenderedPageBreak/>
        <w:t>Personal items</w:t>
      </w:r>
      <w:bookmarkEnd w:id="46"/>
      <w:r>
        <w:t xml:space="preserve"> </w:t>
      </w:r>
    </w:p>
    <w:p w:rsidR="00AF6B8E" w:rsidRDefault="00AF6B8E" w:rsidP="00AF6B8E">
      <w:r>
        <w:t xml:space="preserve">People in detention earn points which can be used to purchase personal items such as cigarettes, drinks, snacks, phone cards and toiletries. People are allocated 25 points at the beginning of each week and can earn 25 additional points through participating in activities, plus a further ten points for good behaviour. </w:t>
      </w:r>
    </w:p>
    <w:p w:rsidR="00AF6B8E" w:rsidRDefault="00AF6B8E" w:rsidP="00AF6B8E">
      <w:r>
        <w:t xml:space="preserve">Very limited feedback was provided to the Commission regarding the points system or the items available for purchase. </w:t>
      </w:r>
    </w:p>
    <w:p w:rsidR="000B7008" w:rsidRDefault="000B7008" w:rsidP="000B7008">
      <w:pPr>
        <w:pStyle w:val="Heading2"/>
      </w:pPr>
      <w:bookmarkStart w:id="47" w:name="_Toc503948680"/>
      <w:r>
        <w:t>Physical and mental health</w:t>
      </w:r>
      <w:bookmarkEnd w:id="47"/>
      <w:r>
        <w:t xml:space="preserve"> </w:t>
      </w:r>
    </w:p>
    <w:p w:rsidR="00E37469" w:rsidRDefault="006C1156" w:rsidP="00E37469">
      <w:pPr>
        <w:pStyle w:val="Heading3"/>
      </w:pPr>
      <w:bookmarkStart w:id="48" w:name="_Toc503948681"/>
      <w:r>
        <w:t>Health services</w:t>
      </w:r>
      <w:bookmarkEnd w:id="48"/>
      <w:r>
        <w:t xml:space="preserve"> </w:t>
      </w:r>
    </w:p>
    <w:p w:rsidR="002B52C7" w:rsidRDefault="006C72A6" w:rsidP="002B52C7">
      <w:r>
        <w:t xml:space="preserve">Health services are provided onsite at the PIDC by IHMS. The medical clinic is open from 9:00am to 5:00pm Monday to Friday, and is staffed by a general practitioner and registered nurse. </w:t>
      </w:r>
    </w:p>
    <w:p w:rsidR="00F160A6" w:rsidRDefault="00F160A6" w:rsidP="002B52C7">
      <w:r>
        <w:t>Where specialist treatment is required, people are referred to external providers in Perth</w:t>
      </w:r>
      <w:r w:rsidR="00640A27">
        <w:t>, with waiting times</w:t>
      </w:r>
      <w:r>
        <w:t xml:space="preserve"> in line with community standards. Facility staff reported that telehealth may be used in cases where specialist care is not immediately available in Perth. </w:t>
      </w:r>
      <w:r w:rsidR="0044696F">
        <w:t xml:space="preserve">Services may also be provided through the medical clinic at the Yongah Hill Immigration Detention Centre (around an hours’ drive from the PIDC). </w:t>
      </w:r>
    </w:p>
    <w:p w:rsidR="009C0D60" w:rsidRDefault="009C0D60" w:rsidP="002B52C7">
      <w:r>
        <w:t xml:space="preserve">A mental health nurse is onsite for six hours </w:t>
      </w:r>
      <w:r w:rsidR="006936A2">
        <w:t xml:space="preserve">per day </w:t>
      </w:r>
      <w:r>
        <w:t>from Monday to Friday, and 12 hours</w:t>
      </w:r>
      <w:r w:rsidR="006936A2">
        <w:t xml:space="preserve"> per day</w:t>
      </w:r>
      <w:r>
        <w:t xml:space="preserve"> on weekends. Visiting psychologists and psychiatrists also provide mental health assistance onsite, while the Association for Services to Torture and Trauma Survivors provides counselling </w:t>
      </w:r>
      <w:r w:rsidR="00022F54">
        <w:t xml:space="preserve">on a needs basis to people who have experienced torture or trauma. </w:t>
      </w:r>
    </w:p>
    <w:p w:rsidR="009A24A1" w:rsidRDefault="0059100F" w:rsidP="002B52C7">
      <w:r>
        <w:t xml:space="preserve">Facility staff noted that </w:t>
      </w:r>
      <w:r w:rsidR="00CA1526">
        <w:t>chronic health conditions</w:t>
      </w:r>
      <w:r>
        <w:t xml:space="preserve"> can often be managed more effectively at the PIDC than at larger facilities, as staff are </w:t>
      </w:r>
      <w:r w:rsidR="00CA1526">
        <w:t xml:space="preserve">able to interact regularly with </w:t>
      </w:r>
      <w:r>
        <w:t xml:space="preserve">all </w:t>
      </w:r>
      <w:r w:rsidR="00CA1526">
        <w:t>people in detention</w:t>
      </w:r>
      <w:r>
        <w:t xml:space="preserve"> </w:t>
      </w:r>
      <w:r w:rsidR="00CA1526">
        <w:t xml:space="preserve">and develop </w:t>
      </w:r>
      <w:r>
        <w:t xml:space="preserve">a detailed </w:t>
      </w:r>
      <w:r w:rsidR="00CA1526">
        <w:t>understanding of the</w:t>
      </w:r>
      <w:r w:rsidR="006B0747">
        <w:t>ir</w:t>
      </w:r>
      <w:r w:rsidR="00D657B4">
        <w:t xml:space="preserve"> health needs. </w:t>
      </w:r>
      <w:r w:rsidR="009A24A1">
        <w:t>A number of people interviewed by the Commission provided positive feedback on the health services and medical staff at the PIDC.</w:t>
      </w:r>
    </w:p>
    <w:p w:rsidR="00F1432C" w:rsidRDefault="00F1432C" w:rsidP="00F1432C">
      <w:r>
        <w:t>Overall, the Commission did not identify major or systemic concerns regarding the provision of health care at the PIDC.</w:t>
      </w:r>
    </w:p>
    <w:p w:rsidR="00E37469" w:rsidRDefault="001206C3" w:rsidP="00E37469">
      <w:pPr>
        <w:pStyle w:val="Heading3"/>
      </w:pPr>
      <w:bookmarkStart w:id="49" w:name="_Toc503948682"/>
      <w:r>
        <w:t>Health issues</w:t>
      </w:r>
      <w:bookmarkEnd w:id="49"/>
      <w:r>
        <w:t xml:space="preserve"> </w:t>
      </w:r>
    </w:p>
    <w:p w:rsidR="00FE28A1" w:rsidRDefault="009A24A1" w:rsidP="001206C3">
      <w:r>
        <w:t>Facility</w:t>
      </w:r>
      <w:r w:rsidR="00A353D5">
        <w:t xml:space="preserve"> staff</w:t>
      </w:r>
      <w:r>
        <w:t xml:space="preserve"> </w:t>
      </w:r>
      <w:r w:rsidR="001A71DA">
        <w:t>reported</w:t>
      </w:r>
      <w:r>
        <w:t xml:space="preserve"> </w:t>
      </w:r>
      <w:r w:rsidR="00CA1526">
        <w:t>that, due to the increase in the number of</w:t>
      </w:r>
      <w:r w:rsidR="005B0C1A">
        <w:t xml:space="preserve"> people detained at the PIDC after </w:t>
      </w:r>
      <w:r w:rsidR="00CA1526">
        <w:t>having their visas cancelled under section 501, there has been a significant shift in the types of health issues encounter</w:t>
      </w:r>
      <w:r w:rsidR="00F97B8C">
        <w:t>ed</w:t>
      </w:r>
      <w:r w:rsidR="00CA1526">
        <w:t xml:space="preserve"> by medical staff. </w:t>
      </w:r>
      <w:r w:rsidR="006B0747">
        <w:t xml:space="preserve">This included an increase in chronic physical and mental health conditions, and an increase in the number of people with a history of drug abuse. </w:t>
      </w:r>
      <w:r w:rsidR="006F0F44">
        <w:t>Related to both of these trends, staff reported that they at times experienced difficulties in securing approval for hepatitis C tre</w:t>
      </w:r>
      <w:r w:rsidR="00991893">
        <w:t xml:space="preserve">atment for people in detention, including in cases where the person would be eligible for treatment had they been living in the Australian community. </w:t>
      </w:r>
    </w:p>
    <w:p w:rsidR="002C4E7A" w:rsidRDefault="00577431" w:rsidP="001206C3">
      <w:r>
        <w:lastRenderedPageBreak/>
        <w:t>Some of the people interviewed by the Commission expressed concerns about their mental health,</w:t>
      </w:r>
      <w:r w:rsidR="00D657B4">
        <w:t xml:space="preserve"> particularly th</w:t>
      </w:r>
      <w:r>
        <w:t>e negative impact of detention on their mental health.</w:t>
      </w:r>
      <w:r w:rsidR="00771842">
        <w:t xml:space="preserve"> Several reported that they were receiving treatment for mental health issues. However, a number of people noted that </w:t>
      </w:r>
      <w:r w:rsidR="007670C3">
        <w:t>mental</w:t>
      </w:r>
      <w:r w:rsidR="00771842">
        <w:t xml:space="preserve"> health treatment was not effective </w:t>
      </w:r>
      <w:r w:rsidR="007670C3">
        <w:t>or helpful due to the fact that they remained in detention. In the words of one person, counselling was ‘n</w:t>
      </w:r>
      <w:r w:rsidR="007670C3" w:rsidRPr="007670C3">
        <w:t xml:space="preserve">ot helpful because my problems can't be fixed by someone talking to me. My problem is I'm locked </w:t>
      </w:r>
      <w:r w:rsidR="005C3AEA">
        <w:t xml:space="preserve">up </w:t>
      </w:r>
      <w:r w:rsidR="007670C3" w:rsidRPr="007670C3">
        <w:t>here</w:t>
      </w:r>
      <w:r w:rsidR="007670C3">
        <w:t xml:space="preserve"> and there is no justice for me.’</w:t>
      </w:r>
    </w:p>
    <w:p w:rsidR="008C1643" w:rsidRDefault="0005370A" w:rsidP="00933F0A">
      <w:r w:rsidRPr="004969D9">
        <w:t>The Commission</w:t>
      </w:r>
      <w:r w:rsidR="00401F2E">
        <w:t xml:space="preserve"> </w:t>
      </w:r>
      <w:r>
        <w:t>acknowledge</w:t>
      </w:r>
      <w:r w:rsidR="00A353D5">
        <w:t>s</w:t>
      </w:r>
      <w:r>
        <w:t xml:space="preserve"> the </w:t>
      </w:r>
      <w:r w:rsidRPr="004969D9">
        <w:t xml:space="preserve">efforts of successive Australian Governments to strengthen the mental health services and response across the immigration detention network. However, the Commission notes that it is often the detention environment itself </w:t>
      </w:r>
      <w:r>
        <w:t>that</w:t>
      </w:r>
      <w:r w:rsidRPr="004969D9">
        <w:t xml:space="preserve"> causes mental health concerns</w:t>
      </w:r>
      <w:r w:rsidR="004A70D6">
        <w:t>.</w:t>
      </w:r>
      <w:r w:rsidR="008C1643" w:rsidRPr="004969D9">
        <w:rPr>
          <w:rStyle w:val="EndnoteReference"/>
        </w:rPr>
        <w:endnoteReference w:id="36"/>
      </w:r>
      <w:r w:rsidR="00905037">
        <w:t xml:space="preserve"> </w:t>
      </w:r>
      <w:r w:rsidR="00933F0A">
        <w:t>In its recent Concluding Observations on Australia, the United Nations Human Rights Committee raised concerns about ‘the high reported rates of mental health problems among migrants in detention, which allegedly correlate to the length and conditions of detention’.</w:t>
      </w:r>
      <w:r w:rsidR="00933F0A">
        <w:rPr>
          <w:rStyle w:val="EndnoteReference"/>
        </w:rPr>
        <w:endnoteReference w:id="37"/>
      </w:r>
      <w:r w:rsidR="00933F0A">
        <w:t xml:space="preserve"> </w:t>
      </w:r>
      <w:r w:rsidR="008C1643" w:rsidRPr="00202119">
        <w:t xml:space="preserve">As such, </w:t>
      </w:r>
      <w:r w:rsidR="008C1643">
        <w:t>only</w:t>
      </w:r>
      <w:r w:rsidR="008C1643" w:rsidRPr="00202119">
        <w:t xml:space="preserve"> the </w:t>
      </w:r>
      <w:r w:rsidR="008C1643">
        <w:t xml:space="preserve">prompt </w:t>
      </w:r>
      <w:r w:rsidR="008C1643" w:rsidRPr="00807E65">
        <w:t>removal of people from immigration detention facilities will address the problem of high levels of mental ill health in the Australian immigration detention system.</w:t>
      </w:r>
    </w:p>
    <w:p w:rsidR="00BF2811" w:rsidRDefault="00BF2811" w:rsidP="00BF2811">
      <w:pPr>
        <w:pStyle w:val="Heading2"/>
      </w:pPr>
      <w:bookmarkStart w:id="50" w:name="_Toc503948683"/>
      <w:r>
        <w:t>Communication and complaints</w:t>
      </w:r>
      <w:bookmarkEnd w:id="50"/>
      <w:r>
        <w:t xml:space="preserve"> </w:t>
      </w:r>
    </w:p>
    <w:p w:rsidR="00130631" w:rsidRDefault="00067139" w:rsidP="00DB3DCC">
      <w:pPr>
        <w:pStyle w:val="Heading3"/>
      </w:pPr>
      <w:bookmarkStart w:id="51" w:name="_Toc503948684"/>
      <w:r>
        <w:t>Mobile phone policy</w:t>
      </w:r>
      <w:bookmarkEnd w:id="51"/>
      <w:r>
        <w:t xml:space="preserve"> </w:t>
      </w:r>
    </w:p>
    <w:p w:rsidR="000A68C7" w:rsidRPr="00E32A0F" w:rsidRDefault="000A68C7" w:rsidP="000A68C7">
      <w:r w:rsidRPr="00E32A0F">
        <w:t xml:space="preserve">In February 2017, </w:t>
      </w:r>
      <w:r w:rsidR="00900D4E">
        <w:t>Home Affairs</w:t>
      </w:r>
      <w:r w:rsidRPr="00E32A0F">
        <w:t xml:space="preserve"> introduced a new policy </w:t>
      </w:r>
      <w:r>
        <w:t>that</w:t>
      </w:r>
      <w:r w:rsidRPr="00E32A0F">
        <w:t xml:space="preserve"> prohibits the possession and use of mobile phones in immigration detention facilities. According to a media release issued in November 2016, the new policy was implemented in response to concerns that some people in detention were using mobile phones ‘to organise criminal activities, threaten other detainees, create or escalate disturbances and plan escapes by enlisting outsiders to assist them’. The media release indicated that people in detention would be given increased access to landlines phones in place of mobile phones.</w:t>
      </w:r>
      <w:r w:rsidRPr="00E32A0F">
        <w:rPr>
          <w:rStyle w:val="EndnoteReference"/>
        </w:rPr>
        <w:endnoteReference w:id="38"/>
      </w:r>
    </w:p>
    <w:p w:rsidR="001A4AA2" w:rsidRDefault="000A68C7" w:rsidP="000A68C7">
      <w:r w:rsidRPr="00E32A0F">
        <w:t>In mid-February, the Federal Court issued an injunction preventing the implementation of the new mobile policy. As a result, some people in detention have been able to retain their mobile phones. However, those who had already surrendered their phones to facility staff have not had them returned.</w:t>
      </w:r>
    </w:p>
    <w:p w:rsidR="00684509" w:rsidRDefault="001A4AA2" w:rsidP="006266DC">
      <w:r>
        <w:t xml:space="preserve">In </w:t>
      </w:r>
      <w:r w:rsidR="00D76B19">
        <w:t>September, t</w:t>
      </w:r>
      <w:r w:rsidR="000A68C7">
        <w:t xml:space="preserve">he Australian Government </w:t>
      </w:r>
      <w:r w:rsidR="00684509">
        <w:t xml:space="preserve">introduced the </w:t>
      </w:r>
      <w:r w:rsidR="00684509" w:rsidRPr="00684509">
        <w:t>Migration Amendment (Prohibiting Items in Immigration Detention Facilities) Bill 2017</w:t>
      </w:r>
      <w:r w:rsidR="00684509">
        <w:t xml:space="preserve">. The Bill would allow the </w:t>
      </w:r>
      <w:r w:rsidR="003E7935" w:rsidRPr="003E7935">
        <w:t>Minister to determine, by</w:t>
      </w:r>
      <w:r w:rsidR="006266DC">
        <w:t xml:space="preserve"> legislative instrument, things </w:t>
      </w:r>
      <w:r w:rsidR="003E7935" w:rsidRPr="003E7935">
        <w:t>to be prohibited in immigration detention facilities</w:t>
      </w:r>
      <w:r w:rsidR="006266DC">
        <w:t>. Any item may be declared prohibited if the Minister is satisfied ‘might be a risk to the health, safety or security of persons in the facility, or to the order of the facility’.</w:t>
      </w:r>
      <w:r w:rsidR="009E4D96">
        <w:rPr>
          <w:rStyle w:val="EndnoteReference"/>
        </w:rPr>
        <w:endnoteReference w:id="39"/>
      </w:r>
      <w:r w:rsidR="009D0FC1">
        <w:t xml:space="preserve"> The Go</w:t>
      </w:r>
      <w:r w:rsidR="00EA06CB">
        <w:t>vernment has indicated that, should the Bill be passed, the Minister intends to determine mobile phones and SIM cards to be</w:t>
      </w:r>
      <w:r w:rsidR="00CA313C">
        <w:t xml:space="preserve"> prohibited.</w:t>
      </w:r>
      <w:r w:rsidR="00CA313C">
        <w:rPr>
          <w:rStyle w:val="EndnoteReference"/>
        </w:rPr>
        <w:endnoteReference w:id="40"/>
      </w:r>
    </w:p>
    <w:p w:rsidR="009379C7" w:rsidRPr="003E7935" w:rsidRDefault="009379C7" w:rsidP="00B804F2">
      <w:r>
        <w:t xml:space="preserve">The Bill was referred to the Senate Legal and Constitutional Affairs Committee for inquiry and report. In November, the Committee recommended that the Bill be passed, subject to amendments </w:t>
      </w:r>
      <w:r w:rsidR="00B804F2">
        <w:t>‘to ensure that detainees have access to communication facilities that will reasonably meet their needs, and enable timely, and where appropriate, private contact with friends, family, and legal services’.</w:t>
      </w:r>
      <w:r w:rsidR="00793981">
        <w:rPr>
          <w:rStyle w:val="EndnoteReference"/>
        </w:rPr>
        <w:endnoteReference w:id="41"/>
      </w:r>
      <w:r w:rsidR="00B804F2">
        <w:t xml:space="preserve"> The </w:t>
      </w:r>
      <w:r w:rsidR="00B804F2">
        <w:lastRenderedPageBreak/>
        <w:t xml:space="preserve">Committee also recommended that </w:t>
      </w:r>
      <w:r w:rsidR="00900D4E">
        <w:t>Home Affairs</w:t>
      </w:r>
      <w:r w:rsidR="007177B0">
        <w:t xml:space="preserve"> establish a central information registry to record the status and location of people in immigration detention, to facilitate communication with people outside detention.</w:t>
      </w:r>
      <w:r w:rsidR="00793981">
        <w:rPr>
          <w:rStyle w:val="EndnoteReference"/>
        </w:rPr>
        <w:endnoteReference w:id="42"/>
      </w:r>
      <w:r w:rsidR="007177B0">
        <w:t xml:space="preserve"> </w:t>
      </w:r>
    </w:p>
    <w:p w:rsidR="00BD6C68" w:rsidRDefault="009928AB" w:rsidP="00BD6C68">
      <w:r>
        <w:t>The Commission considers that</w:t>
      </w:r>
      <w:r w:rsidR="00E53CE7">
        <w:t xml:space="preserve"> prohibiting </w:t>
      </w:r>
      <w:r>
        <w:t xml:space="preserve">all mobile phone use </w:t>
      </w:r>
      <w:r w:rsidR="00E53CE7">
        <w:t xml:space="preserve">in immigration detention </w:t>
      </w:r>
      <w:r>
        <w:t>may restrict access to external communication to a greater degree than is necessary to ensure safety and security. As such, the Commission considers that this policy should be reviewed to ensure that access to mobile phones is restricted only to the extent necessary, and on an individualised basis r</w:t>
      </w:r>
      <w:r w:rsidR="00B27D71">
        <w:t>ather than as a blanket policy.</w:t>
      </w:r>
      <w:r w:rsidR="000E14AF">
        <w:rPr>
          <w:rStyle w:val="EndnoteReference"/>
        </w:rPr>
        <w:endnoteReference w:id="43"/>
      </w:r>
      <w:r w:rsidR="00BD6C68">
        <w:t xml:space="preserve"> The Commission has also recommended further amendments to the </w:t>
      </w:r>
      <w:r w:rsidR="00BD6C68" w:rsidRPr="00684509">
        <w:t>Migration Amendment (Prohibiting Items in Immigration Detention Facilities) Bill 2017</w:t>
      </w:r>
      <w:r w:rsidR="00BD6C68">
        <w:t xml:space="preserve">, to ensure that possession of items which do not present inherent risks to safety and security (such as mobile phones) </w:t>
      </w:r>
      <w:r w:rsidR="003F4EDB">
        <w:t>may</w:t>
      </w:r>
      <w:r w:rsidR="00BD6C68">
        <w:t xml:space="preserve"> only be prohibited in </w:t>
      </w:r>
      <w:r w:rsidR="001712FE">
        <w:t xml:space="preserve">certain </w:t>
      </w:r>
      <w:r w:rsidR="00403B46">
        <w:t>circumstances.</w:t>
      </w:r>
      <w:r w:rsidR="001712FE">
        <w:rPr>
          <w:rStyle w:val="EndnoteReference"/>
        </w:rPr>
        <w:endnoteReference w:id="44"/>
      </w:r>
    </w:p>
    <w:p w:rsidR="00E24A7D" w:rsidRDefault="00E24A7D" w:rsidP="00E24A7D">
      <w:pPr>
        <w:pStyle w:val="ListParagraph"/>
        <w:keepNext/>
        <w:keepLines/>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E24A7D" w:rsidRDefault="00E24A7D" w:rsidP="00E24A7D">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The </w:t>
      </w:r>
      <w:r w:rsidR="00900D4E">
        <w:rPr>
          <w:i/>
          <w:color w:val="FFFFFF" w:themeColor="background1"/>
        </w:rPr>
        <w:t>Department of Home Affairs</w:t>
      </w:r>
      <w:r>
        <w:rPr>
          <w:i/>
          <w:color w:val="FFFFFF" w:themeColor="background1"/>
        </w:rPr>
        <w:t xml:space="preserve"> should review its policy regarding the use of mobile phones in immigration detention facilities, with a view to restricting mobile phone usage only in response to unacceptable risks determined through an individualised assessment process. </w:t>
      </w:r>
    </w:p>
    <w:p w:rsidR="00305AD4" w:rsidRDefault="0095456E" w:rsidP="00305AD4">
      <w:pPr>
        <w:pStyle w:val="Heading3"/>
      </w:pPr>
      <w:bookmarkStart w:id="52" w:name="_Toc503948685"/>
      <w:r>
        <w:t>Communication facilities</w:t>
      </w:r>
      <w:bookmarkEnd w:id="52"/>
      <w:r>
        <w:t xml:space="preserve"> </w:t>
      </w:r>
    </w:p>
    <w:p w:rsidR="00024523" w:rsidRDefault="00F93533" w:rsidP="00AF34FD">
      <w:r>
        <w:t xml:space="preserve">Landline phones were located in both compounds at the PIDC. </w:t>
      </w:r>
      <w:r w:rsidR="00356AD3">
        <w:t xml:space="preserve">Computers with internet access were </w:t>
      </w:r>
      <w:r w:rsidR="00236F6D">
        <w:t>available 24 hours a day in a dedicated computer room.</w:t>
      </w:r>
    </w:p>
    <w:p w:rsidR="003227B2" w:rsidRDefault="003227B2" w:rsidP="00AF34FD">
      <w:r>
        <w:t xml:space="preserve">People interviewed by the Commission provided limited feedback relating to communication facilities. </w:t>
      </w:r>
      <w:r w:rsidR="008C6898">
        <w:t xml:space="preserve">A small number indicated that they had at times experienced difficulties accessing communication facilities, whereas others reported experiencing no difficulties. </w:t>
      </w:r>
      <w:r w:rsidR="00EF3101">
        <w:t>Some expressed concern that the computers had n</w:t>
      </w:r>
      <w:r w:rsidR="00D65DE8">
        <w:t>ot been working for several day</w:t>
      </w:r>
      <w:r w:rsidR="00D269DE">
        <w:t>s</w:t>
      </w:r>
      <w:r w:rsidR="00EF3101">
        <w:t xml:space="preserve">. Facility staff explained that this was due to a nationwide outage affecting both staff and facility computers across the detention network. </w:t>
      </w:r>
    </w:p>
    <w:p w:rsidR="00933F0A" w:rsidRPr="00236F6D" w:rsidRDefault="00933F0A" w:rsidP="00933F0A">
      <w:r>
        <w:t xml:space="preserve">In its submission to the Legal and Constitutional Affairs Committee inquiry into the </w:t>
      </w:r>
      <w:r w:rsidRPr="00684509">
        <w:t>Migration Amendment (Prohibiting Items in Immigration Detention Facilities) Bill 2017</w:t>
      </w:r>
      <w:r>
        <w:t xml:space="preserve">, the Commission recommended that </w:t>
      </w:r>
      <w:r w:rsidR="00E67E0F" w:rsidRPr="00E67E0F">
        <w:t>ensure that all people in immigration detention have adequate opportunities to communicate with people outside detention.</w:t>
      </w:r>
      <w:r w:rsidR="00E67E0F">
        <w:rPr>
          <w:rStyle w:val="EndnoteReference"/>
        </w:rPr>
        <w:endnoteReference w:id="45"/>
      </w:r>
      <w:r w:rsidR="00E67E0F">
        <w:t xml:space="preserve"> This recommendation was endorsed by the Committee.</w:t>
      </w:r>
      <w:r w:rsidR="00E67E0F">
        <w:rPr>
          <w:rStyle w:val="EndnoteReference"/>
        </w:rPr>
        <w:endnoteReference w:id="46"/>
      </w:r>
      <w:r w:rsidR="00E67E0F">
        <w:t xml:space="preserve"> </w:t>
      </w:r>
    </w:p>
    <w:p w:rsidR="00DB3DCC" w:rsidRDefault="00DB3DCC" w:rsidP="00DB3DCC">
      <w:pPr>
        <w:pStyle w:val="Heading3"/>
      </w:pPr>
      <w:bookmarkStart w:id="53" w:name="_Toc503948686"/>
      <w:r>
        <w:t>Visits</w:t>
      </w:r>
      <w:bookmarkEnd w:id="53"/>
    </w:p>
    <w:p w:rsidR="00DF29D7" w:rsidRDefault="00C73610" w:rsidP="001062E4">
      <w:r>
        <w:t>The PIDC has a small visits room</w:t>
      </w:r>
      <w:r w:rsidR="0037615C">
        <w:t xml:space="preserve"> that is used for one visit at a time, with people in detention able to see up to four visitors at once. </w:t>
      </w:r>
      <w:r>
        <w:t xml:space="preserve">There is also a private interview room used for legal visits and a non-contact visits room. </w:t>
      </w:r>
    </w:p>
    <w:p w:rsidR="00933A58" w:rsidRDefault="005B2E82" w:rsidP="005B2E82">
      <w:r>
        <w:t xml:space="preserve">Few of the people interviewed by the Commission provided feedback relating to the </w:t>
      </w:r>
      <w:r w:rsidR="004447F4">
        <w:t>process for requesting and receiving visits</w:t>
      </w:r>
      <w:r>
        <w:t>. However, one person noted that the</w:t>
      </w:r>
      <w:r w:rsidR="004447F4">
        <w:t xml:space="preserve"> visits were only available during limited hours, which could make it difficult</w:t>
      </w:r>
      <w:r w:rsidR="009450D3">
        <w:t xml:space="preserve"> </w:t>
      </w:r>
      <w:r w:rsidR="00364127">
        <w:t xml:space="preserve">for people in </w:t>
      </w:r>
      <w:r w:rsidR="00364127">
        <w:lastRenderedPageBreak/>
        <w:t xml:space="preserve">detention </w:t>
      </w:r>
      <w:r w:rsidR="009450D3">
        <w:t xml:space="preserve">to receive visits from </w:t>
      </w:r>
      <w:r w:rsidR="00910DAE">
        <w:t>family members and</w:t>
      </w:r>
      <w:r w:rsidR="00364127">
        <w:t xml:space="preserve"> friends </w:t>
      </w:r>
      <w:r w:rsidR="009450D3">
        <w:t xml:space="preserve">who </w:t>
      </w:r>
      <w:r w:rsidR="00D000F1">
        <w:t>work</w:t>
      </w:r>
      <w:r w:rsidR="009450D3">
        <w:t xml:space="preserve"> during business hours. </w:t>
      </w:r>
    </w:p>
    <w:p w:rsidR="005B2E82" w:rsidRDefault="005B2E82" w:rsidP="005B2E82">
      <w:r w:rsidRPr="00A56D6F">
        <w:t xml:space="preserve">Facility staff indicated </w:t>
      </w:r>
      <w:r w:rsidR="004447F4" w:rsidRPr="00A56D6F">
        <w:t>that</w:t>
      </w:r>
      <w:r w:rsidR="00933A58" w:rsidRPr="00A56D6F">
        <w:t xml:space="preserve"> visits were not available after hours due to staffing limitations. </w:t>
      </w:r>
      <w:r w:rsidRPr="00A56D6F">
        <w:t xml:space="preserve">The Commission </w:t>
      </w:r>
      <w:r w:rsidR="00385AF4">
        <w:t xml:space="preserve">recognises </w:t>
      </w:r>
      <w:r w:rsidR="00933A58" w:rsidRPr="00A56D6F">
        <w:t xml:space="preserve">the challenges </w:t>
      </w:r>
      <w:r w:rsidR="00385AF4">
        <w:t xml:space="preserve">presented by </w:t>
      </w:r>
      <w:r w:rsidR="00933A58" w:rsidRPr="00A56D6F">
        <w:t xml:space="preserve">limited staffing at </w:t>
      </w:r>
      <w:r w:rsidRPr="00A56D6F">
        <w:t>sma</w:t>
      </w:r>
      <w:r w:rsidR="00C81CD0">
        <w:t>ll facilities</w:t>
      </w:r>
      <w:r w:rsidRPr="00A56D6F">
        <w:t xml:space="preserve"> such as the PIDC. Nonetheless, the Commission suggests that facility staff explore options for </w:t>
      </w:r>
      <w:r w:rsidR="00933A58" w:rsidRPr="00A56D6F">
        <w:t xml:space="preserve">facilitating </w:t>
      </w:r>
      <w:r w:rsidRPr="00A56D6F">
        <w:t xml:space="preserve">after-hours visits, such as </w:t>
      </w:r>
      <w:r w:rsidR="00933A58" w:rsidRPr="00A56D6F">
        <w:t>offering such visits on request or on a limited number of days.</w:t>
      </w:r>
    </w:p>
    <w:p w:rsidR="00535F6B" w:rsidRDefault="00535F6B" w:rsidP="00535F6B">
      <w:r>
        <w:t>A number of people</w:t>
      </w:r>
      <w:r w:rsidR="00AD53AF">
        <w:t xml:space="preserve"> </w:t>
      </w:r>
      <w:r w:rsidR="001275CD">
        <w:t xml:space="preserve">raised concerns about the impact of their detention on family members. </w:t>
      </w:r>
      <w:r w:rsidR="00AD53AF">
        <w:t>This included people who had relatives living interstate, and</w:t>
      </w:r>
      <w:r w:rsidR="00F76629">
        <w:t xml:space="preserve"> </w:t>
      </w:r>
      <w:r w:rsidR="00847ECB">
        <w:t xml:space="preserve">people </w:t>
      </w:r>
      <w:r w:rsidR="00F76629">
        <w:t>who</w:t>
      </w:r>
      <w:r w:rsidR="00847ECB">
        <w:t xml:space="preserve">se relatives </w:t>
      </w:r>
      <w:r w:rsidR="00647377">
        <w:t xml:space="preserve">were dependents or otherwise </w:t>
      </w:r>
      <w:r w:rsidR="00847ECB">
        <w:t xml:space="preserve">relied on them for </w:t>
      </w:r>
      <w:r w:rsidR="001275CD">
        <w:t xml:space="preserve">care and support. </w:t>
      </w:r>
    </w:p>
    <w:p w:rsidR="005B2E82" w:rsidRDefault="005B2E82" w:rsidP="005B2E82">
      <w:r>
        <w:t>The Commission considers that people in detention should be accommodated as close as possible to any family members and friends who are living in the Australian community.</w:t>
      </w:r>
      <w:r w:rsidR="00AD1EEC">
        <w:t xml:space="preserve"> Where </w:t>
      </w:r>
      <w:r w:rsidR="00A1007D">
        <w:t>a person in detention has caring responsibilities, the</w:t>
      </w:r>
      <w:r w:rsidR="008A59F3">
        <w:t>ir cases should be considered</w:t>
      </w:r>
      <w:r w:rsidR="007A6183">
        <w:t xml:space="preserve"> as a priority</w:t>
      </w:r>
      <w:r w:rsidR="008A59F3">
        <w:t xml:space="preserve"> for release </w:t>
      </w:r>
      <w:r w:rsidR="00AD1EEC">
        <w:t>in</w:t>
      </w:r>
      <w:r w:rsidR="008A59F3">
        <w:t>to</w:t>
      </w:r>
      <w:r w:rsidR="00AD1EEC">
        <w:t xml:space="preserve"> alternativ</w:t>
      </w:r>
      <w:r w:rsidR="008A59F3">
        <w:t>e community-based arrangements</w:t>
      </w:r>
      <w:r w:rsidR="007A6183">
        <w:t>.</w:t>
      </w:r>
    </w:p>
    <w:p w:rsidR="007057D4" w:rsidRDefault="007057D4" w:rsidP="000E2B8F">
      <w:pPr>
        <w:pStyle w:val="ListParagraph"/>
        <w:keepNext/>
        <w:keepLines/>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7057D4" w:rsidRDefault="007057D4" w:rsidP="000E2B8F">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The </w:t>
      </w:r>
      <w:r w:rsidR="00900D4E">
        <w:rPr>
          <w:i/>
          <w:color w:val="FFFFFF" w:themeColor="background1"/>
        </w:rPr>
        <w:t>Department of Home Affairs</w:t>
      </w:r>
      <w:r>
        <w:rPr>
          <w:i/>
          <w:color w:val="FFFFFF" w:themeColor="background1"/>
        </w:rPr>
        <w:t xml:space="preserve"> should accommodate people in immigration detention as close as possible to family members and friends living in the Australian community. </w:t>
      </w:r>
    </w:p>
    <w:p w:rsidR="00865DE7" w:rsidRDefault="00865DE7" w:rsidP="008A334E">
      <w:pPr>
        <w:spacing w:before="0" w:after="0"/>
      </w:pPr>
    </w:p>
    <w:p w:rsidR="00865DE7" w:rsidRDefault="00865DE7" w:rsidP="000E2B8F">
      <w:pPr>
        <w:pStyle w:val="ListParagraph"/>
        <w:keepNext/>
        <w:keepLines/>
        <w:numPr>
          <w:ilvl w:val="0"/>
          <w:numId w:val="42"/>
        </w:numPr>
        <w:pBdr>
          <w:top w:val="single" w:sz="4" w:space="4" w:color="auto"/>
          <w:left w:val="single" w:sz="4" w:space="4" w:color="auto"/>
          <w:bottom w:val="single" w:sz="4" w:space="4" w:color="auto"/>
          <w:right w:val="single" w:sz="4" w:space="4" w:color="auto"/>
        </w:pBdr>
        <w:shd w:val="clear" w:color="auto" w:fill="237BBC"/>
        <w:spacing w:before="0"/>
        <w:contextualSpacing w:val="0"/>
        <w:rPr>
          <w:color w:val="FFFFFF" w:themeColor="background1"/>
        </w:rPr>
      </w:pPr>
    </w:p>
    <w:p w:rsidR="00865DE7" w:rsidRPr="00A32E6A" w:rsidRDefault="00865DE7" w:rsidP="000E2B8F">
      <w:pPr>
        <w:keepNext/>
        <w:keepLines/>
        <w:pBdr>
          <w:top w:val="single" w:sz="4" w:space="4" w:color="auto"/>
          <w:left w:val="single" w:sz="4" w:space="4" w:color="auto"/>
          <w:bottom w:val="single" w:sz="4" w:space="4" w:color="auto"/>
          <w:right w:val="single" w:sz="4" w:space="4" w:color="auto"/>
        </w:pBdr>
        <w:shd w:val="clear" w:color="auto" w:fill="237BBC"/>
        <w:spacing w:after="0"/>
        <w:rPr>
          <w:i/>
        </w:rPr>
      </w:pPr>
      <w:r>
        <w:rPr>
          <w:i/>
          <w:color w:val="FFFFFF" w:themeColor="background1"/>
        </w:rPr>
        <w:t>Where a person in immigration detention has caring responsibilities, t</w:t>
      </w:r>
      <w:r w:rsidRPr="00A32E6A">
        <w:rPr>
          <w:i/>
          <w:color w:val="FFFFFF" w:themeColor="background1"/>
        </w:rPr>
        <w:t xml:space="preserve">he Minister and </w:t>
      </w:r>
      <w:r w:rsidR="00900D4E">
        <w:rPr>
          <w:i/>
          <w:color w:val="FFFFFF" w:themeColor="background1"/>
        </w:rPr>
        <w:t>Department of Home Affairs</w:t>
      </w:r>
      <w:r w:rsidRPr="00A32E6A">
        <w:rPr>
          <w:i/>
          <w:color w:val="FFFFFF" w:themeColor="background1"/>
        </w:rPr>
        <w:t xml:space="preserve"> should</w:t>
      </w:r>
      <w:r>
        <w:rPr>
          <w:i/>
          <w:color w:val="FFFFFF" w:themeColor="background1"/>
        </w:rPr>
        <w:t xml:space="preserve"> consider their cases as a priority for release into alternative community-based arrangements. </w:t>
      </w:r>
    </w:p>
    <w:p w:rsidR="00BA6889" w:rsidRDefault="00BA6889" w:rsidP="00BA6889">
      <w:pPr>
        <w:pStyle w:val="Heading3"/>
      </w:pPr>
      <w:bookmarkStart w:id="54" w:name="_Toc503948687"/>
      <w:r>
        <w:t>Complaints</w:t>
      </w:r>
      <w:bookmarkEnd w:id="54"/>
    </w:p>
    <w:p w:rsidR="00BA6889" w:rsidRDefault="00BA6889" w:rsidP="00BA6889">
      <w:r>
        <w:t xml:space="preserve">People in detention have the right to make complaints about conditions and treatment both internally and to external agencies such as the Commission and the Commonwealth Ombudsman. </w:t>
      </w:r>
    </w:p>
    <w:p w:rsidR="00BA6889" w:rsidRDefault="00BA6889" w:rsidP="00BA6889">
      <w:r>
        <w:t>The Commission observed that facility staff had, as requested, put up posters to notify people in detention about the Commission’s inspection of the</w:t>
      </w:r>
      <w:r w:rsidR="00E315E3">
        <w:t xml:space="preserve"> PIDC</w:t>
      </w:r>
      <w:r>
        <w:t xml:space="preserve">. The Commission also observed signs or posters advertising external complaints processes. </w:t>
      </w:r>
    </w:p>
    <w:p w:rsidR="00BA6889" w:rsidRDefault="00BA6889" w:rsidP="00BA6889">
      <w:r>
        <w:t xml:space="preserve">A number of the people interviewed by the Commission reported that they had made a complaint internally or to an external agency. However, most of these individuals highlighted the limitations of complaints processes in terms of resolving issues of concern. It was noted, for example, that the findings and recommendations of external agencies were not enforceable. </w:t>
      </w:r>
    </w:p>
    <w:p w:rsidR="00C101B0" w:rsidRPr="007E7BD6" w:rsidRDefault="00C101B0" w:rsidP="00C101B0">
      <w:pPr>
        <w:pStyle w:val="Heading2"/>
      </w:pPr>
      <w:bookmarkStart w:id="55" w:name="_Toc503948688"/>
      <w:r w:rsidRPr="007E7BD6">
        <w:lastRenderedPageBreak/>
        <w:t>Legislative and policy framework</w:t>
      </w:r>
      <w:bookmarkEnd w:id="55"/>
    </w:p>
    <w:p w:rsidR="003F753E" w:rsidRDefault="003F753E" w:rsidP="003F753E">
      <w:pPr>
        <w:pStyle w:val="Heading3"/>
      </w:pPr>
      <w:bookmarkStart w:id="56" w:name="_Toc496005076"/>
      <w:bookmarkStart w:id="57" w:name="_Toc503948689"/>
      <w:r>
        <w:t>Indefinite mandatory detention</w:t>
      </w:r>
      <w:bookmarkEnd w:id="56"/>
      <w:bookmarkEnd w:id="57"/>
    </w:p>
    <w:p w:rsidR="00967953" w:rsidRDefault="003F753E" w:rsidP="003F753E">
      <w:r>
        <w:t>The Commission has long expressed concern that Australia’s legislative framework for immigration detention does not contain adequate safeguards to prevent detention from becoming arbitrary.</w:t>
      </w:r>
      <w:r>
        <w:rPr>
          <w:rStyle w:val="EndnoteReference"/>
        </w:rPr>
        <w:endnoteReference w:id="47"/>
      </w:r>
      <w:r>
        <w:t xml:space="preserve"> People can be detained for prolonged periods of time, on an indefinite basis, and in </w:t>
      </w:r>
      <w:r w:rsidRPr="003613ED">
        <w:t xml:space="preserve">circumstances where there is no valid justification for their detention under international law. </w:t>
      </w:r>
    </w:p>
    <w:p w:rsidR="009D6210" w:rsidRDefault="009D6210" w:rsidP="009D6210">
      <w:r>
        <w:t>In its recent Concluding Observations on Australia, the United Nations Human Rights Committee found that Australia’s system of indefinite mandatory detention ‘</w:t>
      </w:r>
      <w:r w:rsidRPr="009D6210">
        <w:t xml:space="preserve">does not meet the legal standards under article 9 of the </w:t>
      </w:r>
      <w:r>
        <w:t xml:space="preserve">[ICCPR] </w:t>
      </w:r>
      <w:r w:rsidRPr="009D6210">
        <w:t>due to the lengthy periods</w:t>
      </w:r>
      <w:r>
        <w:t xml:space="preserve"> of migrant detention it allows’.</w:t>
      </w:r>
      <w:r>
        <w:rPr>
          <w:rStyle w:val="EndnoteReference"/>
        </w:rPr>
        <w:endnoteReference w:id="48"/>
      </w:r>
      <w:r>
        <w:t xml:space="preserve"> The Commit</w:t>
      </w:r>
      <w:r w:rsidR="00CC73F9">
        <w:t>tee recommended that Australia ‘</w:t>
      </w:r>
      <w:r>
        <w:t xml:space="preserve">bring </w:t>
      </w:r>
      <w:r w:rsidRPr="00F0788B">
        <w:t>its legislation and practices related to immigration detention into complianc</w:t>
      </w:r>
      <w:r>
        <w:t xml:space="preserve">e with article 9’, including through reducing the initial period of mandatory detention; ensuring that ongoing detention is </w:t>
      </w:r>
      <w:r w:rsidRPr="00B63245">
        <w:t>justified as reasonable, necessary and proportionate in light of individual</w:t>
      </w:r>
      <w:r>
        <w:t xml:space="preserve"> </w:t>
      </w:r>
      <w:r w:rsidRPr="00B63245">
        <w:t>circumstances</w:t>
      </w:r>
      <w:r>
        <w:t xml:space="preserve">; ensuring that detention </w:t>
      </w:r>
      <w:r w:rsidRPr="00B63245">
        <w:t>is subject to periodic judicial review</w:t>
      </w:r>
      <w:r>
        <w:t>; expanding the use of alternatives to detention; and considering the introduction of a time limit on the overall duration of detention.</w:t>
      </w:r>
      <w:r>
        <w:rPr>
          <w:rStyle w:val="EndnoteReference"/>
        </w:rPr>
        <w:endnoteReference w:id="49"/>
      </w:r>
    </w:p>
    <w:p w:rsidR="00063D48" w:rsidRDefault="009115DA" w:rsidP="008163BD">
      <w:r>
        <w:t xml:space="preserve">Facility staff indicated that </w:t>
      </w:r>
      <w:r w:rsidR="008163BD">
        <w:t xml:space="preserve">some of the people </w:t>
      </w:r>
      <w:r w:rsidR="00821DCE">
        <w:t xml:space="preserve">held </w:t>
      </w:r>
      <w:r w:rsidR="008163BD">
        <w:t xml:space="preserve">at the PIDC are </w:t>
      </w:r>
      <w:r w:rsidR="00821DCE">
        <w:t xml:space="preserve">detained </w:t>
      </w:r>
      <w:r w:rsidR="008163BD">
        <w:t>for very short periods of time, including ‘airport tur</w:t>
      </w:r>
      <w:r w:rsidR="00860F8A">
        <w:t xml:space="preserve">narounds’ who may only be held in detention for a </w:t>
      </w:r>
      <w:r w:rsidR="003A4368">
        <w:t>few days</w:t>
      </w:r>
      <w:r w:rsidR="008163BD">
        <w:t xml:space="preserve">. </w:t>
      </w:r>
      <w:r w:rsidR="00063D48">
        <w:t>Howeve</w:t>
      </w:r>
      <w:r w:rsidR="00ED6862">
        <w:t xml:space="preserve">r, staff also reported that some individuals are held at the PIDC for far longer periods of time. </w:t>
      </w:r>
    </w:p>
    <w:p w:rsidR="00E9606E" w:rsidRDefault="00063D48" w:rsidP="00E9606E">
      <w:r>
        <w:t>Most of the people interviewed by the Commission</w:t>
      </w:r>
      <w:r w:rsidR="0002482A">
        <w:t xml:space="preserve"> reported that they</w:t>
      </w:r>
      <w:r>
        <w:t xml:space="preserve"> had been in detention for at least a year, and in some cases for several years. </w:t>
      </w:r>
      <w:r w:rsidR="00073372">
        <w:t xml:space="preserve">Some of these individuals had been detained in other facilities prior to being transferred to the PIDC. However, a number had been held at the PIDC for </w:t>
      </w:r>
      <w:r w:rsidR="00491A8C">
        <w:t>several months.</w:t>
      </w:r>
    </w:p>
    <w:p w:rsidR="00E9606E" w:rsidRDefault="00844E3D" w:rsidP="00844E3D">
      <w:r>
        <w:t>The Commission wishes to acknowledge th</w:t>
      </w:r>
      <w:r w:rsidR="00860F8A">
        <w:t>e</w:t>
      </w:r>
      <w:r>
        <w:t xml:space="preserve"> facility staff recognised the limitations of the PIDC </w:t>
      </w:r>
      <w:r w:rsidR="00C71845">
        <w:t>and had</w:t>
      </w:r>
      <w:r>
        <w:t xml:space="preserve"> made efforts to ensure adequate support for people in long-term </w:t>
      </w:r>
      <w:r w:rsidRPr="00DF0350">
        <w:t>detention. However, a</w:t>
      </w:r>
      <w:r w:rsidR="00E9606E" w:rsidRPr="00DF0350">
        <w:t>s noted in Section 3.2(a), the Commission considers that the</w:t>
      </w:r>
      <w:r w:rsidR="00E9606E">
        <w:t xml:space="preserve"> PIDC </w:t>
      </w:r>
      <w:r w:rsidR="00E9606E">
        <w:rPr>
          <w:rFonts w:ascii="Helvetica" w:hAnsi="Helvetica"/>
          <w:color w:val="333333"/>
          <w:shd w:val="clear" w:color="auto" w:fill="FFFFFF"/>
        </w:rPr>
        <w:t>—</w:t>
      </w:r>
      <w:r w:rsidR="00E9606E">
        <w:t xml:space="preserve"> in light of its small size and the basic nature of its facilities </w:t>
      </w:r>
      <w:r w:rsidR="00E9606E">
        <w:rPr>
          <w:rFonts w:ascii="Helvetica" w:hAnsi="Helvetica"/>
          <w:color w:val="333333"/>
          <w:shd w:val="clear" w:color="auto" w:fill="FFFFFF"/>
        </w:rPr>
        <w:t>—</w:t>
      </w:r>
      <w:r w:rsidR="00E9606E">
        <w:t xml:space="preserve"> is not an appropriate facility for people who are likely to be in detention for extended periods of time. As such, the Commission recommends that the PIDC should only be used in cases where the person is expected to be in detention for a very short period of time, and should not be used for periods of detention </w:t>
      </w:r>
      <w:r w:rsidR="00911F0F">
        <w:t>that</w:t>
      </w:r>
      <w:r w:rsidR="00E9606E">
        <w:t xml:space="preserve"> exceed a month.</w:t>
      </w:r>
      <w:r>
        <w:t xml:space="preserve"> </w:t>
      </w:r>
    </w:p>
    <w:p w:rsidR="00C30E09" w:rsidRDefault="00ED6862" w:rsidP="003F753E">
      <w:r>
        <w:t>T</w:t>
      </w:r>
      <w:r w:rsidR="003F753E">
        <w:t>he Commission</w:t>
      </w:r>
      <w:r>
        <w:t xml:space="preserve"> also</w:t>
      </w:r>
      <w:r w:rsidR="003F753E">
        <w:t xml:space="preserve"> became aware of cases in which ongoing detention may not have been justifiable in the circumstances.</w:t>
      </w:r>
      <w:r w:rsidR="00F06CB5">
        <w:t xml:space="preserve"> This included, f</w:t>
      </w:r>
      <w:r w:rsidR="00C30E09">
        <w:t>or example,</w:t>
      </w:r>
      <w:r w:rsidR="00F06CB5">
        <w:t xml:space="preserve"> cases</w:t>
      </w:r>
      <w:r w:rsidR="0035340F">
        <w:t xml:space="preserve"> in which t</w:t>
      </w:r>
      <w:r w:rsidR="00F06CB5">
        <w:t>he person had had their visa cancelled under section 501 on the basis of historical convictions, and</w:t>
      </w:r>
      <w:r w:rsidR="002F4C5A">
        <w:t xml:space="preserve"> had</w:t>
      </w:r>
      <w:r w:rsidR="0035340F">
        <w:t xml:space="preserve"> been living in the community </w:t>
      </w:r>
      <w:r w:rsidR="009E7C66">
        <w:t xml:space="preserve">for years </w:t>
      </w:r>
      <w:r w:rsidR="0035340F">
        <w:t>after serving their term of imprisonment. The Commission questions whether ongoing immigration detention is necessary in these cases, given that the criminal justice system has determined that the people in question should be permitted to live freely in the community.</w:t>
      </w:r>
      <w:r w:rsidR="00F06CB5">
        <w:t xml:space="preserve"> </w:t>
      </w:r>
    </w:p>
    <w:p w:rsidR="003F753E" w:rsidRPr="00A32E6A" w:rsidRDefault="003F753E" w:rsidP="004453F8">
      <w:pPr>
        <w:pStyle w:val="ListParagraph"/>
        <w:keepNext/>
        <w:keepLines/>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i/>
          <w:color w:val="FFFFFF" w:themeColor="background1"/>
        </w:rPr>
      </w:pPr>
    </w:p>
    <w:p w:rsidR="003F753E" w:rsidRDefault="003F753E" w:rsidP="004453F8">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A32E6A">
        <w:rPr>
          <w:i/>
          <w:color w:val="FFFFFF" w:themeColor="background1"/>
        </w:rPr>
        <w:t xml:space="preserve">The Australian Government should </w:t>
      </w:r>
      <w:r>
        <w:rPr>
          <w:i/>
          <w:color w:val="FFFFFF" w:themeColor="background1"/>
        </w:rPr>
        <w:t xml:space="preserve">introduce </w:t>
      </w:r>
      <w:r w:rsidRPr="00A32E6A">
        <w:rPr>
          <w:i/>
          <w:color w:val="FFFFFF" w:themeColor="background1"/>
        </w:rPr>
        <w:t xml:space="preserve">legislation to replace the current system of mandatory immigration detention with a case-by-case assessment process </w:t>
      </w:r>
      <w:r>
        <w:rPr>
          <w:i/>
          <w:color w:val="FFFFFF" w:themeColor="background1"/>
        </w:rPr>
        <w:t xml:space="preserve">that </w:t>
      </w:r>
      <w:r w:rsidRPr="00A32E6A">
        <w:rPr>
          <w:i/>
          <w:color w:val="FFFFFF" w:themeColor="background1"/>
        </w:rPr>
        <w:t>takes individual circumstances into consideration.</w:t>
      </w:r>
      <w:r>
        <w:rPr>
          <w:i/>
          <w:color w:val="FFFFFF" w:themeColor="background1"/>
        </w:rPr>
        <w:t xml:space="preserve"> Closed</w:t>
      </w:r>
      <w:r w:rsidRPr="00A32E6A">
        <w:rPr>
          <w:i/>
          <w:color w:val="FFFFFF" w:themeColor="background1"/>
        </w:rPr>
        <w:t xml:space="preserve"> detention </w:t>
      </w:r>
      <w:r>
        <w:rPr>
          <w:i/>
          <w:color w:val="FFFFFF" w:themeColor="background1"/>
        </w:rPr>
        <w:t xml:space="preserve">should </w:t>
      </w:r>
      <w:r w:rsidRPr="00A32E6A">
        <w:rPr>
          <w:i/>
          <w:color w:val="FFFFFF" w:themeColor="background1"/>
        </w:rPr>
        <w:t xml:space="preserve">only </w:t>
      </w:r>
      <w:r>
        <w:rPr>
          <w:i/>
          <w:color w:val="FFFFFF" w:themeColor="background1"/>
        </w:rPr>
        <w:t xml:space="preserve">be </w:t>
      </w:r>
      <w:r w:rsidRPr="00A32E6A">
        <w:rPr>
          <w:i/>
          <w:color w:val="FFFFFF" w:themeColor="background1"/>
        </w:rPr>
        <w:t xml:space="preserve">used as a last resort </w:t>
      </w:r>
      <w:r>
        <w:rPr>
          <w:i/>
          <w:color w:val="FFFFFF" w:themeColor="background1"/>
        </w:rPr>
        <w:t>in circumstances where:</w:t>
      </w:r>
    </w:p>
    <w:p w:rsidR="003F753E" w:rsidRDefault="003F753E" w:rsidP="004453F8">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a) a person has been </w:t>
      </w:r>
      <w:r w:rsidRPr="00A32E6A">
        <w:rPr>
          <w:i/>
          <w:color w:val="FFFFFF" w:themeColor="background1"/>
        </w:rPr>
        <w:t>individually assessed as posing an unacceptable risk to the Australian community</w:t>
      </w:r>
      <w:r>
        <w:rPr>
          <w:i/>
          <w:color w:val="FFFFFF" w:themeColor="background1"/>
        </w:rPr>
        <w:t>, and that risk c</w:t>
      </w:r>
      <w:r w:rsidRPr="00A32E6A">
        <w:rPr>
          <w:i/>
          <w:color w:val="FFFFFF" w:themeColor="background1"/>
        </w:rPr>
        <w:t xml:space="preserve">annot be </w:t>
      </w:r>
      <w:r>
        <w:rPr>
          <w:i/>
          <w:color w:val="FFFFFF" w:themeColor="background1"/>
        </w:rPr>
        <w:t>managed</w:t>
      </w:r>
      <w:r w:rsidRPr="00A32E6A">
        <w:rPr>
          <w:i/>
          <w:color w:val="FFFFFF" w:themeColor="background1"/>
        </w:rPr>
        <w:t xml:space="preserve"> in a less rest</w:t>
      </w:r>
      <w:r>
        <w:rPr>
          <w:i/>
          <w:color w:val="FFFFFF" w:themeColor="background1"/>
        </w:rPr>
        <w:t>rictive way</w:t>
      </w:r>
    </w:p>
    <w:p w:rsidR="003F753E" w:rsidRPr="00A32E6A" w:rsidRDefault="003F753E" w:rsidP="004453F8">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b) the necessity for continued detention has been individually assessed by a court or tribunal, </w:t>
      </w:r>
      <w:r w:rsidRPr="00A32E6A">
        <w:rPr>
          <w:i/>
          <w:color w:val="FFFFFF" w:themeColor="background1"/>
        </w:rPr>
        <w:t>with further assessments to occur periodically up to a maximum time limit.</w:t>
      </w:r>
    </w:p>
    <w:p w:rsidR="00E9606E" w:rsidRDefault="00E9606E" w:rsidP="00E9606E">
      <w:pPr>
        <w:spacing w:before="0" w:after="0"/>
      </w:pPr>
    </w:p>
    <w:p w:rsidR="00E9606E" w:rsidRDefault="00E9606E" w:rsidP="00E9606E">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spacing w:before="0"/>
        <w:contextualSpacing w:val="0"/>
        <w:rPr>
          <w:color w:val="FFFFFF" w:themeColor="background1"/>
        </w:rPr>
      </w:pPr>
    </w:p>
    <w:p w:rsidR="00E9606E" w:rsidRPr="00A32E6A" w:rsidRDefault="00E9606E" w:rsidP="00E9606E">
      <w:pPr>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The </w:t>
      </w:r>
      <w:r w:rsidR="00900D4E">
        <w:rPr>
          <w:i/>
          <w:color w:val="FFFFFF" w:themeColor="background1"/>
        </w:rPr>
        <w:t>Department of Home Affairs</w:t>
      </w:r>
      <w:r>
        <w:rPr>
          <w:i/>
          <w:color w:val="FFFFFF" w:themeColor="background1"/>
        </w:rPr>
        <w:t xml:space="preserve"> should ensure that the </w:t>
      </w:r>
      <w:r w:rsidR="00675B53">
        <w:rPr>
          <w:i/>
          <w:color w:val="FFFFFF" w:themeColor="background1"/>
        </w:rPr>
        <w:t xml:space="preserve">PIDC </w:t>
      </w:r>
      <w:r w:rsidRPr="00DE60E1">
        <w:rPr>
          <w:i/>
          <w:color w:val="FFFFFF" w:themeColor="background1"/>
        </w:rPr>
        <w:t>facility is only used for short periods of detention not exceeding one month.</w:t>
      </w:r>
    </w:p>
    <w:p w:rsidR="00C101B0" w:rsidRDefault="00C101B0" w:rsidP="00C101B0">
      <w:pPr>
        <w:pStyle w:val="Heading3"/>
      </w:pPr>
      <w:bookmarkStart w:id="58" w:name="_Toc503948690"/>
      <w:r>
        <w:t>Community alternatives to detention</w:t>
      </w:r>
      <w:bookmarkEnd w:id="58"/>
    </w:p>
    <w:p w:rsidR="00770B44" w:rsidRDefault="00770B44" w:rsidP="00770B44">
      <w:r>
        <w:t>The Commission welcomes the Government’s ongoing commitment to using community-based alternatives to detention where possible, especially for children and other vulnerable groups. The Commission acknowledges that most people have their immigration status resolved while living in the community, rather than in closed detention.</w:t>
      </w:r>
    </w:p>
    <w:p w:rsidR="007B247B" w:rsidRDefault="00E96FC4" w:rsidP="00AB371F">
      <w:r>
        <w:t xml:space="preserve">During the inspection, however, </w:t>
      </w:r>
      <w:r w:rsidR="007B247B">
        <w:t>t</w:t>
      </w:r>
      <w:r w:rsidR="00AB371F">
        <w:t xml:space="preserve">he Commission </w:t>
      </w:r>
      <w:r w:rsidR="007B247B">
        <w:t xml:space="preserve">became </w:t>
      </w:r>
      <w:r w:rsidR="00AB371F">
        <w:t>particularly concerned about the circumstances of a small number of</w:t>
      </w:r>
      <w:r w:rsidR="00CE2552">
        <w:t xml:space="preserve"> highly</w:t>
      </w:r>
      <w:r w:rsidR="00AB371F">
        <w:t xml:space="preserve"> vulnerable individuals detained at the</w:t>
      </w:r>
      <w:r w:rsidR="00CE2552">
        <w:t xml:space="preserve"> PIDC. This include people who had experienced trauma, had significant mental health issues or </w:t>
      </w:r>
      <w:r w:rsidR="00AB371F">
        <w:t xml:space="preserve">had serious </w:t>
      </w:r>
      <w:r w:rsidR="00CE2552">
        <w:t xml:space="preserve">physical </w:t>
      </w:r>
      <w:r w:rsidR="00AB371F">
        <w:t xml:space="preserve">health issues requiring a high level of care. </w:t>
      </w:r>
    </w:p>
    <w:p w:rsidR="00AB371F" w:rsidRDefault="00AB371F" w:rsidP="00AB371F">
      <w:r>
        <w:t xml:space="preserve">The Commission acknowledges the efforts of facility </w:t>
      </w:r>
      <w:r w:rsidR="008E7A02">
        <w:t xml:space="preserve">staff and contractors </w:t>
      </w:r>
      <w:r>
        <w:t>to ensure adequate care for these individuals. Indeed,</w:t>
      </w:r>
      <w:r w:rsidR="005F35D2">
        <w:t xml:space="preserve"> it may be the case that staff are able to provide more intensive support to vulnerable individuals in a smaller facility such as the PIDC, than would be possible in </w:t>
      </w:r>
      <w:r>
        <w:t xml:space="preserve">larger detention facilities with bigger populations. However, the Commission considers that a detention facility is simply not a suitable environment for managing the care of people with significant </w:t>
      </w:r>
      <w:r w:rsidR="00B11A65">
        <w:t>vulnerabilities</w:t>
      </w:r>
      <w:r w:rsidR="00A353D5">
        <w:t>, such as those with complex health care needs</w:t>
      </w:r>
      <w:r w:rsidR="00B11A65">
        <w:t xml:space="preserve">. </w:t>
      </w:r>
      <w:r>
        <w:t xml:space="preserve"> </w:t>
      </w:r>
    </w:p>
    <w:p w:rsidR="00AB371F" w:rsidRDefault="00AB371F" w:rsidP="00AB371F">
      <w:r>
        <w:t xml:space="preserve">The Commission considers that community-based alternatives should be explored </w:t>
      </w:r>
      <w:r w:rsidRPr="004C64DE">
        <w:t>for all people in detention</w:t>
      </w:r>
      <w:r>
        <w:t xml:space="preserve">, and especially for those who have significant vulnerabilities. </w:t>
      </w:r>
      <w:r w:rsidRPr="004C64DE">
        <w:t>Ongoing detention should only occur when a person presents an</w:t>
      </w:r>
      <w:r>
        <w:t xml:space="preserve"> unacceptable risk </w:t>
      </w:r>
      <w:r w:rsidRPr="004C64DE">
        <w:t>that cannot be managed in a less restrictive way.</w:t>
      </w:r>
    </w:p>
    <w:p w:rsidR="00B103D3" w:rsidRDefault="00B103D3" w:rsidP="00B103D3">
      <w:pPr>
        <w:pStyle w:val="ListParagraph"/>
        <w:keepNext/>
        <w:keepLines/>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B103D3" w:rsidRPr="00A32E6A" w:rsidRDefault="00B103D3" w:rsidP="00B103D3">
      <w:pPr>
        <w:keepNext/>
        <w:keepLines/>
        <w:pBdr>
          <w:top w:val="single" w:sz="4" w:space="4" w:color="auto"/>
          <w:left w:val="single" w:sz="4" w:space="4" w:color="auto"/>
          <w:bottom w:val="single" w:sz="4" w:space="4" w:color="auto"/>
          <w:right w:val="single" w:sz="4" w:space="4" w:color="auto"/>
        </w:pBdr>
        <w:shd w:val="clear" w:color="auto" w:fill="237BBC"/>
        <w:spacing w:after="0"/>
        <w:rPr>
          <w:i/>
        </w:rPr>
      </w:pPr>
      <w:r w:rsidRPr="00A32E6A">
        <w:rPr>
          <w:i/>
          <w:color w:val="FFFFFF" w:themeColor="background1"/>
        </w:rPr>
        <w:t xml:space="preserve">The Minister and </w:t>
      </w:r>
      <w:r w:rsidR="00900D4E">
        <w:rPr>
          <w:i/>
          <w:color w:val="FFFFFF" w:themeColor="background1"/>
        </w:rPr>
        <w:t>Department of Home Affairs</w:t>
      </w:r>
      <w:r w:rsidRPr="00A32E6A">
        <w:rPr>
          <w:i/>
          <w:color w:val="FFFFFF" w:themeColor="background1"/>
        </w:rPr>
        <w:t xml:space="preserve"> should </w:t>
      </w:r>
      <w:r>
        <w:rPr>
          <w:i/>
          <w:color w:val="FFFFFF" w:themeColor="background1"/>
        </w:rPr>
        <w:t>routinely consider all people in immigration detention (especially those with significant vulnerabilities) for release into alternative community-based arrangements.</w:t>
      </w:r>
    </w:p>
    <w:p w:rsidR="00C101B0" w:rsidRDefault="00C101B0" w:rsidP="00C101B0">
      <w:pPr>
        <w:pStyle w:val="Heading3"/>
      </w:pPr>
      <w:bookmarkStart w:id="59" w:name="_Toc503948691"/>
      <w:r>
        <w:t>Case management and status resolution</w:t>
      </w:r>
      <w:bookmarkEnd w:id="59"/>
    </w:p>
    <w:p w:rsidR="0025700A" w:rsidRDefault="0025700A" w:rsidP="00774DD8">
      <w:r w:rsidRPr="004C64DE">
        <w:t>People in</w:t>
      </w:r>
      <w:r>
        <w:t xml:space="preserve"> immigration</w:t>
      </w:r>
      <w:r w:rsidRPr="004C64DE">
        <w:t xml:space="preserve"> detention are assigned a </w:t>
      </w:r>
      <w:r w:rsidR="00900D4E">
        <w:t>Home Affairs</w:t>
      </w:r>
      <w:r w:rsidRPr="004C64DE">
        <w:t xml:space="preserve"> </w:t>
      </w:r>
      <w:r>
        <w:t>Status Resolution Officer</w:t>
      </w:r>
      <w:r w:rsidRPr="004C64DE">
        <w:t xml:space="preserve">, whose role is </w:t>
      </w:r>
      <w:r>
        <w:t xml:space="preserve">to </w:t>
      </w:r>
      <w:r w:rsidRPr="004C64DE">
        <w:t xml:space="preserve">assist people in resolving their immigration status. Status resolution options may include applying for a substantive visa, appealing a visa cancellation or voluntarily returning to one’s country of citizenship. </w:t>
      </w:r>
      <w:r>
        <w:t>Status Resolution Officer</w:t>
      </w:r>
      <w:r w:rsidR="00DF6084">
        <w:t>s</w:t>
      </w:r>
      <w:r w:rsidRPr="004C64DE">
        <w:t xml:space="preserve"> also </w:t>
      </w:r>
      <w:r>
        <w:t xml:space="preserve">refer </w:t>
      </w:r>
      <w:r w:rsidRPr="004C64DE">
        <w:t>people for possible release from detention into alternative community arrangements.</w:t>
      </w:r>
      <w:r>
        <w:t xml:space="preserve"> </w:t>
      </w:r>
      <w:r w:rsidR="00774DD8">
        <w:t>Case managers from the Department of Immigration and Border Protection previously provided welfare services to people in detention, but Status Resolution Officers no longer fulfil this role.</w:t>
      </w:r>
    </w:p>
    <w:p w:rsidR="00833500" w:rsidRDefault="00096CFF" w:rsidP="00833500">
      <w:r>
        <w:t xml:space="preserve">A small number of </w:t>
      </w:r>
      <w:r w:rsidR="00842D54">
        <w:t xml:space="preserve">people </w:t>
      </w:r>
      <w:r w:rsidR="00842D54" w:rsidRPr="00C11E51">
        <w:t>interviewed by the Commission</w:t>
      </w:r>
      <w:r w:rsidR="00842D54">
        <w:t xml:space="preserve"> </w:t>
      </w:r>
      <w:r w:rsidR="00796480">
        <w:t xml:space="preserve">raised </w:t>
      </w:r>
      <w:r>
        <w:t>concern</w:t>
      </w:r>
      <w:r w:rsidR="00E3381E">
        <w:t>s</w:t>
      </w:r>
      <w:r w:rsidR="00C23537">
        <w:t xml:space="preserve"> that Status Resolution Officers </w:t>
      </w:r>
      <w:r>
        <w:t xml:space="preserve">could not provide </w:t>
      </w:r>
      <w:r w:rsidR="005B38C3">
        <w:t xml:space="preserve">adequate </w:t>
      </w:r>
      <w:r w:rsidR="00C23537">
        <w:t>case management support</w:t>
      </w:r>
      <w:r w:rsidR="005B38C3">
        <w:t>.</w:t>
      </w:r>
      <w:r w:rsidR="00796480">
        <w:t xml:space="preserve"> </w:t>
      </w:r>
      <w:r w:rsidR="002335BC">
        <w:t xml:space="preserve">For example, one person claimed that their </w:t>
      </w:r>
      <w:r w:rsidR="00C23537">
        <w:t>Officer</w:t>
      </w:r>
      <w:r w:rsidR="002335BC">
        <w:t xml:space="preserve"> simply encouraged them to return to their country of origin without canv</w:t>
      </w:r>
      <w:r w:rsidR="00801964">
        <w:t>assing other options</w:t>
      </w:r>
      <w:r w:rsidR="002335BC">
        <w:t xml:space="preserve">. </w:t>
      </w:r>
      <w:r w:rsidR="00796480">
        <w:t xml:space="preserve">Some also expressed confusion about the status resolution </w:t>
      </w:r>
      <w:r w:rsidR="002335BC">
        <w:t>process</w:t>
      </w:r>
      <w:r w:rsidR="00CB290F">
        <w:t>,</w:t>
      </w:r>
      <w:r w:rsidR="002335BC">
        <w:t xml:space="preserve"> and </w:t>
      </w:r>
      <w:r w:rsidR="00CB290F">
        <w:t xml:space="preserve">it appeared that they were not </w:t>
      </w:r>
      <w:r w:rsidR="002335BC">
        <w:t>fully aware of the current status of their case or the</w:t>
      </w:r>
      <w:r w:rsidR="0043422F">
        <w:t xml:space="preserve">ir </w:t>
      </w:r>
      <w:r w:rsidR="002335BC">
        <w:t xml:space="preserve">options for status resolution. </w:t>
      </w:r>
      <w:r w:rsidR="00833500">
        <w:t>A small number indicated that they had not received independent legal or migration advice regarding their case.</w:t>
      </w:r>
      <w:r w:rsidR="00833500" w:rsidRPr="0028580E">
        <w:t xml:space="preserve"> </w:t>
      </w:r>
    </w:p>
    <w:p w:rsidR="00294C1A" w:rsidRDefault="00294C1A" w:rsidP="00294C1A">
      <w:r>
        <w:t xml:space="preserve">The Commission acknowledges that some of these comments may reflect the reduction in the scope of the case manager role and its present limitations, rather than issues with the performance of individual </w:t>
      </w:r>
      <w:r w:rsidR="008C3A6F">
        <w:t>o</w:t>
      </w:r>
      <w:r w:rsidR="001A3D49">
        <w:t>fficers</w:t>
      </w:r>
      <w:r>
        <w:t xml:space="preserve">. </w:t>
      </w:r>
      <w:r w:rsidR="00B922C4">
        <w:t xml:space="preserve">It was also evident that a number of the people </w:t>
      </w:r>
      <w:r w:rsidR="0009106B">
        <w:t>interviewed</w:t>
      </w:r>
      <w:r w:rsidR="00B922C4">
        <w:t xml:space="preserve"> by</w:t>
      </w:r>
      <w:r w:rsidR="0009106B">
        <w:t xml:space="preserve"> the Commission had complex immigration cases </w:t>
      </w:r>
      <w:r w:rsidR="00A80369">
        <w:t xml:space="preserve">that </w:t>
      </w:r>
      <w:r w:rsidR="00592B62">
        <w:t xml:space="preserve">may be difficult to resolve. </w:t>
      </w:r>
      <w:r>
        <w:t xml:space="preserve">Nonetheless, this feedback </w:t>
      </w:r>
      <w:r w:rsidR="0025700A">
        <w:t xml:space="preserve">further confirms the concerns previously raised by the Commission that </w:t>
      </w:r>
      <w:r w:rsidR="000D35DD">
        <w:t xml:space="preserve">Status Resolution Officers </w:t>
      </w:r>
      <w:r w:rsidR="0025700A">
        <w:t>are not</w:t>
      </w:r>
      <w:r w:rsidR="00C853A4">
        <w:t xml:space="preserve"> currently</w:t>
      </w:r>
      <w:r w:rsidR="0025700A">
        <w:t xml:space="preserve"> able to provi</w:t>
      </w:r>
      <w:r w:rsidR="000D35DD">
        <w:t xml:space="preserve">de people in detention with adequate case management support. </w:t>
      </w:r>
    </w:p>
    <w:p w:rsidR="00B733FD" w:rsidRDefault="00B733FD" w:rsidP="00B733FD">
      <w:r>
        <w:t xml:space="preserve">The Commission is concerned that the limitations of the case management system may delay or complicate the status resolution process. As a result, people may be detained for longer periods than is necessary or miss opportunities for status resolution simply because they were unaware of their options or how to pursue them. As such, the Commission considers that it would be beneficial to review the case management system, to determine whether it is operating as effectively as possible to assist people in detention to resolve their status. </w:t>
      </w:r>
    </w:p>
    <w:p w:rsidR="00B733FD" w:rsidRDefault="00402E9E" w:rsidP="00B733FD">
      <w:r w:rsidRPr="003B3760">
        <w:t xml:space="preserve">Given the limitations of the </w:t>
      </w:r>
      <w:r>
        <w:t>Status Resolution Officer</w:t>
      </w:r>
      <w:r w:rsidRPr="003B3760">
        <w:t xml:space="preserve"> role, it is</w:t>
      </w:r>
      <w:r w:rsidR="005A36C4">
        <w:t xml:space="preserve"> particularly</w:t>
      </w:r>
      <w:r w:rsidRPr="003B3760">
        <w:t xml:space="preserve"> important that people in detention are able to access alternative forms of advice and assistance with status resolution. The Commission therefore considers that </w:t>
      </w:r>
      <w:r>
        <w:t>Status Resolution Officers</w:t>
      </w:r>
      <w:r w:rsidRPr="003B3760">
        <w:t xml:space="preserve"> should have the capacity</w:t>
      </w:r>
      <w:r>
        <w:t xml:space="preserve"> to assist people in detention to access</w:t>
      </w:r>
      <w:r w:rsidR="005A36C4">
        <w:t xml:space="preserve"> independent</w:t>
      </w:r>
      <w:r>
        <w:t xml:space="preserve"> legal and migration advice, for example through providing information and referrals to relevant services (such as Legal Aid and specialist migration and asylum seeker advice services). </w:t>
      </w:r>
      <w:r w:rsidR="00B733FD">
        <w:t xml:space="preserve"> </w:t>
      </w:r>
    </w:p>
    <w:p w:rsidR="00402E9E" w:rsidRDefault="00402E9E" w:rsidP="007E21ED">
      <w:pPr>
        <w:pStyle w:val="ListParagraph"/>
        <w:keepNext/>
        <w:keepLines/>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402E9E" w:rsidRDefault="00402E9E" w:rsidP="007E21ED">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A32E6A">
        <w:rPr>
          <w:i/>
          <w:color w:val="FFFFFF" w:themeColor="background1"/>
        </w:rPr>
        <w:t xml:space="preserve">The </w:t>
      </w:r>
      <w:r w:rsidR="00900D4E">
        <w:rPr>
          <w:i/>
          <w:color w:val="FFFFFF" w:themeColor="background1"/>
        </w:rPr>
        <w:t>Department of Home Affairs</w:t>
      </w:r>
      <w:r w:rsidRPr="00A32E6A">
        <w:rPr>
          <w:i/>
          <w:color w:val="FFFFFF" w:themeColor="background1"/>
        </w:rPr>
        <w:t xml:space="preserve"> should review the case management system for people in immigration detention </w:t>
      </w:r>
      <w:r>
        <w:rPr>
          <w:i/>
          <w:color w:val="FFFFFF" w:themeColor="background1"/>
        </w:rPr>
        <w:t>to determine:</w:t>
      </w:r>
    </w:p>
    <w:p w:rsidR="00402E9E" w:rsidRDefault="00402E9E" w:rsidP="007E21ED">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a) the extent to which the case management system addresses the needs of people in detention</w:t>
      </w:r>
    </w:p>
    <w:p w:rsidR="00402E9E" w:rsidRDefault="00402E9E" w:rsidP="007E21ED">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b) whether the case management system is operating</w:t>
      </w:r>
      <w:r w:rsidRPr="00A32E6A">
        <w:rPr>
          <w:i/>
          <w:color w:val="FFFFFF" w:themeColor="background1"/>
        </w:rPr>
        <w:t xml:space="preserve"> </w:t>
      </w:r>
      <w:r>
        <w:rPr>
          <w:i/>
          <w:color w:val="FFFFFF" w:themeColor="background1"/>
        </w:rPr>
        <w:t xml:space="preserve">as </w:t>
      </w:r>
      <w:r w:rsidRPr="00A32E6A">
        <w:rPr>
          <w:i/>
          <w:color w:val="FFFFFF" w:themeColor="background1"/>
        </w:rPr>
        <w:t>effectively</w:t>
      </w:r>
      <w:r>
        <w:rPr>
          <w:i/>
          <w:color w:val="FFFFFF" w:themeColor="background1"/>
        </w:rPr>
        <w:t xml:space="preserve"> as possible to facilitate status resolution, including through ensuring that people in detention have access to sufficient advice about their status and options for resolution.</w:t>
      </w:r>
    </w:p>
    <w:p w:rsidR="00402E9E" w:rsidRDefault="00402E9E" w:rsidP="00402E9E">
      <w:pPr>
        <w:spacing w:before="0" w:after="0"/>
      </w:pPr>
    </w:p>
    <w:p w:rsidR="00402E9E" w:rsidRDefault="00402E9E" w:rsidP="007E21ED">
      <w:pPr>
        <w:pStyle w:val="ListParagraph"/>
        <w:keepNext/>
        <w:keepLines/>
        <w:numPr>
          <w:ilvl w:val="0"/>
          <w:numId w:val="42"/>
        </w:numPr>
        <w:pBdr>
          <w:top w:val="single" w:sz="4" w:space="4" w:color="auto"/>
          <w:left w:val="single" w:sz="4" w:space="4" w:color="auto"/>
          <w:bottom w:val="single" w:sz="4" w:space="4" w:color="auto"/>
          <w:right w:val="single" w:sz="4" w:space="4" w:color="auto"/>
        </w:pBdr>
        <w:shd w:val="clear" w:color="auto" w:fill="237BBC"/>
        <w:spacing w:before="0"/>
        <w:contextualSpacing w:val="0"/>
        <w:rPr>
          <w:color w:val="FFFFFF" w:themeColor="background1"/>
        </w:rPr>
      </w:pPr>
    </w:p>
    <w:p w:rsidR="00402E9E" w:rsidRPr="00A32E6A" w:rsidRDefault="00402E9E" w:rsidP="007E21ED">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A32E6A">
        <w:rPr>
          <w:i/>
          <w:color w:val="FFFFFF" w:themeColor="background1"/>
        </w:rPr>
        <w:t xml:space="preserve">Recognising the limited role of </w:t>
      </w:r>
      <w:r>
        <w:rPr>
          <w:i/>
          <w:color w:val="FFFFFF" w:themeColor="background1"/>
        </w:rPr>
        <w:t>Status Resolution Officers</w:t>
      </w:r>
      <w:r w:rsidRPr="00A32E6A">
        <w:rPr>
          <w:i/>
          <w:color w:val="FFFFFF" w:themeColor="background1"/>
        </w:rPr>
        <w:t xml:space="preserve">, the </w:t>
      </w:r>
      <w:r w:rsidR="00900D4E">
        <w:rPr>
          <w:i/>
          <w:color w:val="FFFFFF" w:themeColor="background1"/>
        </w:rPr>
        <w:t>Department of Home Affairs</w:t>
      </w:r>
      <w:r w:rsidRPr="00A32E6A">
        <w:rPr>
          <w:i/>
          <w:color w:val="FFFFFF" w:themeColor="background1"/>
        </w:rPr>
        <w:t xml:space="preserve"> should </w:t>
      </w:r>
      <w:r>
        <w:rPr>
          <w:i/>
          <w:color w:val="FFFFFF" w:themeColor="background1"/>
        </w:rPr>
        <w:t>introduce</w:t>
      </w:r>
      <w:r w:rsidRPr="00A32E6A">
        <w:rPr>
          <w:i/>
          <w:color w:val="FFFFFF" w:themeColor="background1"/>
        </w:rPr>
        <w:t xml:space="preserve"> capacity for </w:t>
      </w:r>
      <w:r>
        <w:rPr>
          <w:i/>
          <w:color w:val="FFFFFF" w:themeColor="background1"/>
        </w:rPr>
        <w:t>Status Resolution Officers</w:t>
      </w:r>
      <w:r w:rsidRPr="00A32E6A">
        <w:rPr>
          <w:i/>
          <w:color w:val="FFFFFF" w:themeColor="background1"/>
        </w:rPr>
        <w:t xml:space="preserve"> to provide people in detention with appropriate information and referrals to </w:t>
      </w:r>
      <w:r w:rsidR="00644A3E">
        <w:rPr>
          <w:i/>
          <w:color w:val="FFFFFF" w:themeColor="background1"/>
        </w:rPr>
        <w:t xml:space="preserve">independent </w:t>
      </w:r>
      <w:r w:rsidRPr="00A32E6A">
        <w:rPr>
          <w:i/>
          <w:color w:val="FFFFFF" w:themeColor="background1"/>
        </w:rPr>
        <w:t>migration and legal advice.</w:t>
      </w:r>
    </w:p>
    <w:p w:rsidR="00632226" w:rsidRDefault="00632226">
      <w:pPr>
        <w:spacing w:before="0" w:after="0"/>
      </w:pPr>
      <w:r>
        <w:br w:type="page"/>
      </w:r>
    </w:p>
    <w:p w:rsidR="00BA2573" w:rsidRDefault="00BA2573" w:rsidP="00484812">
      <w:pPr>
        <w:pStyle w:val="Heading1"/>
      </w:pPr>
      <w:bookmarkStart w:id="60" w:name="_Toc503948692"/>
      <w:r>
        <w:lastRenderedPageBreak/>
        <w:t>Summary of recommendations</w:t>
      </w:r>
      <w:bookmarkEnd w:id="60"/>
    </w:p>
    <w:p w:rsidR="00BA2573" w:rsidRDefault="00BA2573" w:rsidP="00BA2573">
      <w:pPr>
        <w:pStyle w:val="Heading2"/>
      </w:pPr>
      <w:bookmarkStart w:id="61" w:name="_Toc503948693"/>
      <w:r>
        <w:t>Recommendations to the Australian Government</w:t>
      </w:r>
      <w:bookmarkEnd w:id="61"/>
    </w:p>
    <w:p w:rsidR="007B4CE9" w:rsidRPr="002C49C7" w:rsidRDefault="007B4CE9" w:rsidP="007B4CE9">
      <w:pPr>
        <w:keepNext/>
        <w:keepLines/>
        <w:pBdr>
          <w:top w:val="single" w:sz="4" w:space="4" w:color="auto"/>
          <w:left w:val="single" w:sz="4" w:space="4" w:color="auto"/>
          <w:bottom w:val="single" w:sz="4" w:space="4" w:color="auto"/>
          <w:right w:val="single" w:sz="4" w:space="4" w:color="auto"/>
        </w:pBdr>
        <w:shd w:val="clear" w:color="auto" w:fill="237BBC"/>
        <w:rPr>
          <w:b/>
          <w:i/>
          <w:color w:val="FFFFFF" w:themeColor="background1"/>
        </w:rPr>
      </w:pPr>
      <w:r w:rsidRPr="002C49C7">
        <w:rPr>
          <w:b/>
          <w:i/>
          <w:color w:val="FFFFFF" w:themeColor="background1"/>
        </w:rPr>
        <w:t>Recommendation 7</w:t>
      </w:r>
      <w:r w:rsidR="00630254">
        <w:rPr>
          <w:b/>
          <w:i/>
          <w:color w:val="FFFFFF" w:themeColor="background1"/>
        </w:rPr>
        <w:t xml:space="preserve"> (indefinite mandatory detention)</w:t>
      </w:r>
    </w:p>
    <w:p w:rsidR="007B4CE9" w:rsidRDefault="007B4CE9" w:rsidP="007B4CE9">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A32E6A">
        <w:rPr>
          <w:i/>
          <w:color w:val="FFFFFF" w:themeColor="background1"/>
        </w:rPr>
        <w:t xml:space="preserve">The Australian Government should </w:t>
      </w:r>
      <w:r>
        <w:rPr>
          <w:i/>
          <w:color w:val="FFFFFF" w:themeColor="background1"/>
        </w:rPr>
        <w:t xml:space="preserve">introduce </w:t>
      </w:r>
      <w:r w:rsidRPr="00A32E6A">
        <w:rPr>
          <w:i/>
          <w:color w:val="FFFFFF" w:themeColor="background1"/>
        </w:rPr>
        <w:t xml:space="preserve">legislation to replace the current system of mandatory immigration detention with a case-by-case assessment process </w:t>
      </w:r>
      <w:r>
        <w:rPr>
          <w:i/>
          <w:color w:val="FFFFFF" w:themeColor="background1"/>
        </w:rPr>
        <w:t xml:space="preserve">that </w:t>
      </w:r>
      <w:r w:rsidRPr="00A32E6A">
        <w:rPr>
          <w:i/>
          <w:color w:val="FFFFFF" w:themeColor="background1"/>
        </w:rPr>
        <w:t>takes individual circumstances into consideration.</w:t>
      </w:r>
      <w:r>
        <w:rPr>
          <w:i/>
          <w:color w:val="FFFFFF" w:themeColor="background1"/>
        </w:rPr>
        <w:t xml:space="preserve"> Closed</w:t>
      </w:r>
      <w:r w:rsidRPr="00A32E6A">
        <w:rPr>
          <w:i/>
          <w:color w:val="FFFFFF" w:themeColor="background1"/>
        </w:rPr>
        <w:t xml:space="preserve"> detention </w:t>
      </w:r>
      <w:r>
        <w:rPr>
          <w:i/>
          <w:color w:val="FFFFFF" w:themeColor="background1"/>
        </w:rPr>
        <w:t xml:space="preserve">should </w:t>
      </w:r>
      <w:r w:rsidRPr="00A32E6A">
        <w:rPr>
          <w:i/>
          <w:color w:val="FFFFFF" w:themeColor="background1"/>
        </w:rPr>
        <w:t xml:space="preserve">only </w:t>
      </w:r>
      <w:r>
        <w:rPr>
          <w:i/>
          <w:color w:val="FFFFFF" w:themeColor="background1"/>
        </w:rPr>
        <w:t xml:space="preserve">be </w:t>
      </w:r>
      <w:r w:rsidRPr="00A32E6A">
        <w:rPr>
          <w:i/>
          <w:color w:val="FFFFFF" w:themeColor="background1"/>
        </w:rPr>
        <w:t xml:space="preserve">used as a last resort </w:t>
      </w:r>
      <w:r>
        <w:rPr>
          <w:i/>
          <w:color w:val="FFFFFF" w:themeColor="background1"/>
        </w:rPr>
        <w:t>in circumstances where:</w:t>
      </w:r>
    </w:p>
    <w:p w:rsidR="007B4CE9" w:rsidRDefault="007B4CE9" w:rsidP="007B4CE9">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a) a person has been </w:t>
      </w:r>
      <w:r w:rsidRPr="00A32E6A">
        <w:rPr>
          <w:i/>
          <w:color w:val="FFFFFF" w:themeColor="background1"/>
        </w:rPr>
        <w:t>individually assessed as posing an unacceptable risk to the Australian community</w:t>
      </w:r>
      <w:r>
        <w:rPr>
          <w:i/>
          <w:color w:val="FFFFFF" w:themeColor="background1"/>
        </w:rPr>
        <w:t>, and that risk c</w:t>
      </w:r>
      <w:r w:rsidRPr="00A32E6A">
        <w:rPr>
          <w:i/>
          <w:color w:val="FFFFFF" w:themeColor="background1"/>
        </w:rPr>
        <w:t xml:space="preserve">annot be </w:t>
      </w:r>
      <w:r>
        <w:rPr>
          <w:i/>
          <w:color w:val="FFFFFF" w:themeColor="background1"/>
        </w:rPr>
        <w:t>managed</w:t>
      </w:r>
      <w:r w:rsidRPr="00A32E6A">
        <w:rPr>
          <w:i/>
          <w:color w:val="FFFFFF" w:themeColor="background1"/>
        </w:rPr>
        <w:t xml:space="preserve"> in a less rest</w:t>
      </w:r>
      <w:r>
        <w:rPr>
          <w:i/>
          <w:color w:val="FFFFFF" w:themeColor="background1"/>
        </w:rPr>
        <w:t>rictive way</w:t>
      </w:r>
    </w:p>
    <w:p w:rsidR="007B4CE9" w:rsidRPr="00A32E6A" w:rsidRDefault="007B4CE9" w:rsidP="007B4CE9">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b) the necessity for continued detention has been individually assessed by a court or tribunal, </w:t>
      </w:r>
      <w:r w:rsidRPr="00A32E6A">
        <w:rPr>
          <w:i/>
          <w:color w:val="FFFFFF" w:themeColor="background1"/>
        </w:rPr>
        <w:t>with further assessments to occur periodically up to a maximum time limit.</w:t>
      </w:r>
    </w:p>
    <w:p w:rsidR="00896EF0" w:rsidRDefault="00896EF0" w:rsidP="00896EF0">
      <w:pPr>
        <w:pStyle w:val="Heading2"/>
      </w:pPr>
      <w:bookmarkStart w:id="62" w:name="_Toc503948694"/>
      <w:r>
        <w:t xml:space="preserve">Joint recommendations to the </w:t>
      </w:r>
      <w:r w:rsidR="00900D4E">
        <w:t>Department of Home Affairs</w:t>
      </w:r>
      <w:r>
        <w:t xml:space="preserve"> and facility staff</w:t>
      </w:r>
      <w:bookmarkEnd w:id="62"/>
    </w:p>
    <w:p w:rsidR="007B4CE9" w:rsidRPr="002C49C7" w:rsidRDefault="007B4CE9" w:rsidP="007B4CE9">
      <w:pPr>
        <w:keepNext/>
        <w:keepLines/>
        <w:pBdr>
          <w:top w:val="single" w:sz="4" w:space="4" w:color="auto"/>
          <w:left w:val="single" w:sz="4" w:space="4" w:color="auto"/>
          <w:bottom w:val="single" w:sz="4" w:space="4" w:color="auto"/>
          <w:right w:val="single" w:sz="4" w:space="4" w:color="auto"/>
        </w:pBdr>
        <w:shd w:val="clear" w:color="auto" w:fill="237BBC"/>
        <w:rPr>
          <w:b/>
          <w:i/>
          <w:color w:val="FFFFFF" w:themeColor="background1"/>
        </w:rPr>
      </w:pPr>
      <w:r w:rsidRPr="002C49C7">
        <w:rPr>
          <w:b/>
          <w:i/>
          <w:color w:val="FFFFFF" w:themeColor="background1"/>
        </w:rPr>
        <w:t>Recommendation 2</w:t>
      </w:r>
      <w:r w:rsidR="00630254">
        <w:rPr>
          <w:b/>
          <w:i/>
          <w:color w:val="FFFFFF" w:themeColor="background1"/>
        </w:rPr>
        <w:t xml:space="preserve"> (mechanical restraints)</w:t>
      </w:r>
    </w:p>
    <w:p w:rsidR="007B4CE9" w:rsidRPr="00EB4E19" w:rsidRDefault="007B4CE9" w:rsidP="007B4CE9">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EB4E19">
        <w:rPr>
          <w:i/>
          <w:color w:val="FFFFFF" w:themeColor="background1"/>
        </w:rPr>
        <w:t xml:space="preserve">The </w:t>
      </w:r>
      <w:r w:rsidR="00900D4E">
        <w:rPr>
          <w:i/>
          <w:color w:val="FFFFFF" w:themeColor="background1"/>
        </w:rPr>
        <w:t>Department of Home Affairs</w:t>
      </w:r>
      <w:r w:rsidRPr="00EB4E19">
        <w:rPr>
          <w:i/>
          <w:color w:val="FFFFFF" w:themeColor="background1"/>
        </w:rPr>
        <w:t xml:space="preserve"> and facility staff should review policies</w:t>
      </w:r>
      <w:r>
        <w:rPr>
          <w:i/>
          <w:color w:val="FFFFFF" w:themeColor="background1"/>
        </w:rPr>
        <w:t xml:space="preserve"> and practices </w:t>
      </w:r>
      <w:r w:rsidRPr="00EB4E19">
        <w:rPr>
          <w:i/>
          <w:color w:val="FFFFFF" w:themeColor="background1"/>
        </w:rPr>
        <w:t>relating to the use of mechanical restraints, to ensure people in detention are not subject to more restrictive measures than are necessary in their individual circumstances. Particular consideration should be given to limiting the use of mechanical restraint</w:t>
      </w:r>
      <w:r>
        <w:rPr>
          <w:i/>
          <w:color w:val="FFFFFF" w:themeColor="background1"/>
        </w:rPr>
        <w:t>s during medical consultations and during transit where the risk of escape is low.</w:t>
      </w:r>
    </w:p>
    <w:p w:rsidR="00BA2573" w:rsidRDefault="00BA2573" w:rsidP="00BA2573">
      <w:pPr>
        <w:pStyle w:val="Heading2"/>
      </w:pPr>
      <w:bookmarkStart w:id="63" w:name="_Toc503948695"/>
      <w:r>
        <w:t>Recommendations to the</w:t>
      </w:r>
      <w:r w:rsidR="0008349A">
        <w:t xml:space="preserve"> Minister and</w:t>
      </w:r>
      <w:r>
        <w:t xml:space="preserve"> </w:t>
      </w:r>
      <w:r w:rsidR="00900D4E">
        <w:t>Department of Home Affairs</w:t>
      </w:r>
      <w:bookmarkEnd w:id="63"/>
    </w:p>
    <w:p w:rsidR="007B4CE9" w:rsidRPr="002C49C7" w:rsidRDefault="007B4CE9" w:rsidP="007B4CE9">
      <w:pPr>
        <w:keepNext/>
        <w:keepLines/>
        <w:pBdr>
          <w:top w:val="single" w:sz="4" w:space="4" w:color="auto"/>
          <w:left w:val="single" w:sz="4" w:space="4" w:color="auto"/>
          <w:bottom w:val="single" w:sz="4" w:space="4" w:color="auto"/>
          <w:right w:val="single" w:sz="4" w:space="4" w:color="auto"/>
        </w:pBdr>
        <w:shd w:val="clear" w:color="auto" w:fill="237BBC"/>
        <w:spacing w:after="0"/>
        <w:rPr>
          <w:b/>
          <w:i/>
          <w:color w:val="FFFFFF" w:themeColor="background1"/>
        </w:rPr>
      </w:pPr>
      <w:r w:rsidRPr="002C49C7">
        <w:rPr>
          <w:b/>
          <w:i/>
          <w:color w:val="FFFFFF" w:themeColor="background1"/>
        </w:rPr>
        <w:t>Recommendation 4</w:t>
      </w:r>
      <w:r w:rsidR="00630254">
        <w:rPr>
          <w:b/>
          <w:i/>
          <w:color w:val="FFFFFF" w:themeColor="background1"/>
        </w:rPr>
        <w:t xml:space="preserve"> (mobile phones)</w:t>
      </w:r>
    </w:p>
    <w:p w:rsidR="007B4CE9" w:rsidRDefault="007B4CE9" w:rsidP="007B4CE9">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The </w:t>
      </w:r>
      <w:r w:rsidR="00900D4E">
        <w:rPr>
          <w:i/>
          <w:color w:val="FFFFFF" w:themeColor="background1"/>
        </w:rPr>
        <w:t>Department of Home Affairs</w:t>
      </w:r>
      <w:r>
        <w:rPr>
          <w:i/>
          <w:color w:val="FFFFFF" w:themeColor="background1"/>
        </w:rPr>
        <w:t xml:space="preserve"> should review its policy regarding the use of mobile phones in immigration detention facilities, with a view to restricting mobile phone usage only in response to unacceptable risks determined through an individualised assessment process. </w:t>
      </w:r>
    </w:p>
    <w:p w:rsidR="002530D8" w:rsidRDefault="002530D8" w:rsidP="002E1DCB">
      <w:pPr>
        <w:spacing w:before="0" w:after="0"/>
      </w:pPr>
    </w:p>
    <w:p w:rsidR="007B4CE9" w:rsidRPr="002C49C7" w:rsidRDefault="007B4CE9" w:rsidP="002E1DCB">
      <w:pPr>
        <w:keepNext/>
        <w:keepLines/>
        <w:pBdr>
          <w:top w:val="single" w:sz="4" w:space="4" w:color="auto"/>
          <w:left w:val="single" w:sz="4" w:space="4" w:color="auto"/>
          <w:bottom w:val="single" w:sz="4" w:space="4" w:color="auto"/>
          <w:right w:val="single" w:sz="4" w:space="4" w:color="auto"/>
        </w:pBdr>
        <w:shd w:val="clear" w:color="auto" w:fill="237BBC"/>
        <w:spacing w:before="0" w:after="0"/>
        <w:rPr>
          <w:b/>
          <w:i/>
          <w:color w:val="FFFFFF" w:themeColor="background1"/>
        </w:rPr>
      </w:pPr>
      <w:r w:rsidRPr="002C49C7">
        <w:rPr>
          <w:b/>
          <w:i/>
          <w:color w:val="FFFFFF" w:themeColor="background1"/>
        </w:rPr>
        <w:t>Recommendation 5</w:t>
      </w:r>
      <w:r w:rsidR="00630254">
        <w:rPr>
          <w:b/>
          <w:i/>
          <w:color w:val="FFFFFF" w:themeColor="background1"/>
        </w:rPr>
        <w:t xml:space="preserve"> (family unity)</w:t>
      </w:r>
    </w:p>
    <w:p w:rsidR="007B4CE9" w:rsidRDefault="007B4CE9" w:rsidP="007B4CE9">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The </w:t>
      </w:r>
      <w:r w:rsidR="00900D4E">
        <w:rPr>
          <w:i/>
          <w:color w:val="FFFFFF" w:themeColor="background1"/>
        </w:rPr>
        <w:t>Department of Home Affairs</w:t>
      </w:r>
      <w:r>
        <w:rPr>
          <w:i/>
          <w:color w:val="FFFFFF" w:themeColor="background1"/>
        </w:rPr>
        <w:t xml:space="preserve"> should accommodate people in immigration detention as close as possible to family members and friends living in the Australian community. </w:t>
      </w:r>
    </w:p>
    <w:p w:rsidR="007B4CE9" w:rsidRDefault="007B4CE9" w:rsidP="002E1DCB">
      <w:pPr>
        <w:spacing w:before="0" w:after="0"/>
      </w:pPr>
    </w:p>
    <w:p w:rsidR="007B4CE9" w:rsidRPr="002C49C7" w:rsidRDefault="007B4CE9" w:rsidP="002E1DCB">
      <w:pPr>
        <w:keepNext/>
        <w:keepLines/>
        <w:pBdr>
          <w:top w:val="single" w:sz="4" w:space="4" w:color="auto"/>
          <w:left w:val="single" w:sz="4" w:space="4" w:color="auto"/>
          <w:bottom w:val="single" w:sz="4" w:space="4" w:color="auto"/>
          <w:right w:val="single" w:sz="4" w:space="4" w:color="auto"/>
        </w:pBdr>
        <w:shd w:val="clear" w:color="auto" w:fill="237BBC"/>
        <w:spacing w:before="0" w:after="0"/>
        <w:rPr>
          <w:b/>
          <w:i/>
          <w:color w:val="FFFFFF" w:themeColor="background1"/>
        </w:rPr>
      </w:pPr>
      <w:r w:rsidRPr="002C49C7">
        <w:rPr>
          <w:b/>
          <w:i/>
          <w:color w:val="FFFFFF" w:themeColor="background1"/>
        </w:rPr>
        <w:lastRenderedPageBreak/>
        <w:t>Recommendation 6</w:t>
      </w:r>
      <w:r w:rsidR="003519C0">
        <w:rPr>
          <w:b/>
          <w:i/>
          <w:color w:val="FFFFFF" w:themeColor="background1"/>
        </w:rPr>
        <w:t xml:space="preserve"> (people with caring responsibilities)</w:t>
      </w:r>
    </w:p>
    <w:p w:rsidR="007B4CE9" w:rsidRPr="00A32E6A" w:rsidRDefault="007B4CE9" w:rsidP="007B4CE9">
      <w:pPr>
        <w:keepNext/>
        <w:keepLines/>
        <w:pBdr>
          <w:top w:val="single" w:sz="4" w:space="4" w:color="auto"/>
          <w:left w:val="single" w:sz="4" w:space="4" w:color="auto"/>
          <w:bottom w:val="single" w:sz="4" w:space="4" w:color="auto"/>
          <w:right w:val="single" w:sz="4" w:space="4" w:color="auto"/>
        </w:pBdr>
        <w:shd w:val="clear" w:color="auto" w:fill="237BBC"/>
        <w:spacing w:after="0"/>
        <w:rPr>
          <w:i/>
        </w:rPr>
      </w:pPr>
      <w:r>
        <w:rPr>
          <w:i/>
          <w:color w:val="FFFFFF" w:themeColor="background1"/>
        </w:rPr>
        <w:t>Where a person in immigration detention has caring responsibilities, t</w:t>
      </w:r>
      <w:r w:rsidRPr="00A32E6A">
        <w:rPr>
          <w:i/>
          <w:color w:val="FFFFFF" w:themeColor="background1"/>
        </w:rPr>
        <w:t xml:space="preserve">he Minister and </w:t>
      </w:r>
      <w:r w:rsidR="00900D4E">
        <w:rPr>
          <w:i/>
          <w:color w:val="FFFFFF" w:themeColor="background1"/>
        </w:rPr>
        <w:t>Department of Home Affairs</w:t>
      </w:r>
      <w:r w:rsidRPr="00A32E6A">
        <w:rPr>
          <w:i/>
          <w:color w:val="FFFFFF" w:themeColor="background1"/>
        </w:rPr>
        <w:t xml:space="preserve"> should</w:t>
      </w:r>
      <w:r>
        <w:rPr>
          <w:i/>
          <w:color w:val="FFFFFF" w:themeColor="background1"/>
        </w:rPr>
        <w:t xml:space="preserve"> consider their cases as a priority for release into alternative community-based arrangements. </w:t>
      </w:r>
    </w:p>
    <w:p w:rsidR="007B4CE9" w:rsidRDefault="007B4CE9" w:rsidP="002E1DCB">
      <w:pPr>
        <w:spacing w:before="0" w:after="0"/>
      </w:pPr>
    </w:p>
    <w:p w:rsidR="007B4CE9" w:rsidRPr="002C49C7" w:rsidRDefault="007B4CE9" w:rsidP="002E1DCB">
      <w:pPr>
        <w:pBdr>
          <w:top w:val="single" w:sz="4" w:space="4" w:color="auto"/>
          <w:left w:val="single" w:sz="4" w:space="4" w:color="auto"/>
          <w:bottom w:val="single" w:sz="4" w:space="4" w:color="auto"/>
          <w:right w:val="single" w:sz="4" w:space="4" w:color="auto"/>
        </w:pBdr>
        <w:shd w:val="clear" w:color="auto" w:fill="237BBC"/>
        <w:spacing w:before="0" w:after="0"/>
        <w:rPr>
          <w:b/>
          <w:i/>
          <w:color w:val="FFFFFF" w:themeColor="background1"/>
        </w:rPr>
      </w:pPr>
      <w:r w:rsidRPr="002C49C7">
        <w:rPr>
          <w:b/>
          <w:i/>
          <w:color w:val="FFFFFF" w:themeColor="background1"/>
        </w:rPr>
        <w:t>Recommendation 8</w:t>
      </w:r>
      <w:r w:rsidR="003519C0">
        <w:rPr>
          <w:b/>
          <w:i/>
          <w:color w:val="FFFFFF" w:themeColor="background1"/>
        </w:rPr>
        <w:t xml:space="preserve"> (length of detention)</w:t>
      </w:r>
    </w:p>
    <w:p w:rsidR="007B4CE9" w:rsidRPr="00A32E6A" w:rsidRDefault="007B4CE9" w:rsidP="007B4CE9">
      <w:pPr>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The </w:t>
      </w:r>
      <w:r w:rsidR="00900D4E">
        <w:rPr>
          <w:i/>
          <w:color w:val="FFFFFF" w:themeColor="background1"/>
        </w:rPr>
        <w:t>Department of Home Affairs</w:t>
      </w:r>
      <w:r>
        <w:rPr>
          <w:i/>
          <w:color w:val="FFFFFF" w:themeColor="background1"/>
        </w:rPr>
        <w:t xml:space="preserve"> should ensure that the PIDC </w:t>
      </w:r>
      <w:r w:rsidRPr="00DE60E1">
        <w:rPr>
          <w:i/>
          <w:color w:val="FFFFFF" w:themeColor="background1"/>
        </w:rPr>
        <w:t>facility is only used for short periods of detention not exceeding one month.</w:t>
      </w:r>
    </w:p>
    <w:p w:rsidR="007B4CE9" w:rsidRDefault="007B4CE9" w:rsidP="002E1DCB">
      <w:pPr>
        <w:spacing w:before="0" w:after="0"/>
      </w:pPr>
    </w:p>
    <w:p w:rsidR="007B4CE9" w:rsidRPr="002C49C7" w:rsidRDefault="007B4CE9" w:rsidP="002E1DCB">
      <w:pPr>
        <w:keepNext/>
        <w:keepLines/>
        <w:pBdr>
          <w:top w:val="single" w:sz="4" w:space="4" w:color="auto"/>
          <w:left w:val="single" w:sz="4" w:space="4" w:color="auto"/>
          <w:bottom w:val="single" w:sz="4" w:space="4" w:color="auto"/>
          <w:right w:val="single" w:sz="4" w:space="4" w:color="auto"/>
        </w:pBdr>
        <w:shd w:val="clear" w:color="auto" w:fill="237BBC"/>
        <w:spacing w:before="0" w:after="0"/>
        <w:rPr>
          <w:b/>
          <w:i/>
          <w:color w:val="FFFFFF" w:themeColor="background1"/>
        </w:rPr>
      </w:pPr>
      <w:r w:rsidRPr="002C49C7">
        <w:rPr>
          <w:b/>
          <w:i/>
          <w:color w:val="FFFFFF" w:themeColor="background1"/>
        </w:rPr>
        <w:t>Recommendation 9</w:t>
      </w:r>
      <w:r w:rsidR="003519C0">
        <w:rPr>
          <w:b/>
          <w:i/>
          <w:color w:val="FFFFFF" w:themeColor="background1"/>
        </w:rPr>
        <w:t xml:space="preserve"> (alternatives to detention)</w:t>
      </w:r>
    </w:p>
    <w:p w:rsidR="007B4CE9" w:rsidRPr="00A32E6A" w:rsidRDefault="007B4CE9" w:rsidP="007B4CE9">
      <w:pPr>
        <w:keepNext/>
        <w:keepLines/>
        <w:pBdr>
          <w:top w:val="single" w:sz="4" w:space="4" w:color="auto"/>
          <w:left w:val="single" w:sz="4" w:space="4" w:color="auto"/>
          <w:bottom w:val="single" w:sz="4" w:space="4" w:color="auto"/>
          <w:right w:val="single" w:sz="4" w:space="4" w:color="auto"/>
        </w:pBdr>
        <w:shd w:val="clear" w:color="auto" w:fill="237BBC"/>
        <w:spacing w:after="0"/>
        <w:rPr>
          <w:i/>
        </w:rPr>
      </w:pPr>
      <w:r w:rsidRPr="00A32E6A">
        <w:rPr>
          <w:i/>
          <w:color w:val="FFFFFF" w:themeColor="background1"/>
        </w:rPr>
        <w:t xml:space="preserve">The Minister and </w:t>
      </w:r>
      <w:r w:rsidR="00900D4E">
        <w:rPr>
          <w:i/>
          <w:color w:val="FFFFFF" w:themeColor="background1"/>
        </w:rPr>
        <w:t>Department of Home Affairs</w:t>
      </w:r>
      <w:r w:rsidRPr="00A32E6A">
        <w:rPr>
          <w:i/>
          <w:color w:val="FFFFFF" w:themeColor="background1"/>
        </w:rPr>
        <w:t xml:space="preserve"> should </w:t>
      </w:r>
      <w:r>
        <w:rPr>
          <w:i/>
          <w:color w:val="FFFFFF" w:themeColor="background1"/>
        </w:rPr>
        <w:t>routinely consider all people in immigration detention (especially those with significant vulnerabilities) for release into alternative community-based arrangements.</w:t>
      </w:r>
    </w:p>
    <w:p w:rsidR="007B4CE9" w:rsidRDefault="007B4CE9" w:rsidP="002E1DCB">
      <w:pPr>
        <w:spacing w:before="0" w:after="0"/>
      </w:pPr>
    </w:p>
    <w:p w:rsidR="007B4CE9" w:rsidRPr="002C49C7" w:rsidRDefault="007B4CE9" w:rsidP="002E1DCB">
      <w:pPr>
        <w:keepNext/>
        <w:keepLines/>
        <w:pBdr>
          <w:top w:val="single" w:sz="4" w:space="4" w:color="auto"/>
          <w:left w:val="single" w:sz="4" w:space="4" w:color="auto"/>
          <w:bottom w:val="single" w:sz="4" w:space="4" w:color="auto"/>
          <w:right w:val="single" w:sz="4" w:space="4" w:color="auto"/>
        </w:pBdr>
        <w:shd w:val="clear" w:color="auto" w:fill="237BBC"/>
        <w:spacing w:before="0"/>
        <w:rPr>
          <w:b/>
          <w:i/>
          <w:color w:val="FFFFFF" w:themeColor="background1"/>
        </w:rPr>
      </w:pPr>
      <w:r w:rsidRPr="002C49C7">
        <w:rPr>
          <w:b/>
          <w:i/>
          <w:color w:val="FFFFFF" w:themeColor="background1"/>
        </w:rPr>
        <w:t>Recommendation 10</w:t>
      </w:r>
      <w:r w:rsidR="003519C0">
        <w:rPr>
          <w:b/>
          <w:i/>
          <w:color w:val="FFFFFF" w:themeColor="background1"/>
        </w:rPr>
        <w:t xml:space="preserve"> (case management)</w:t>
      </w:r>
    </w:p>
    <w:p w:rsidR="007B4CE9" w:rsidRDefault="007B4CE9" w:rsidP="007B4CE9">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A32E6A">
        <w:rPr>
          <w:i/>
          <w:color w:val="FFFFFF" w:themeColor="background1"/>
        </w:rPr>
        <w:t xml:space="preserve">The </w:t>
      </w:r>
      <w:r w:rsidR="00900D4E">
        <w:rPr>
          <w:i/>
          <w:color w:val="FFFFFF" w:themeColor="background1"/>
        </w:rPr>
        <w:t>Department of Home Affairs</w:t>
      </w:r>
      <w:r w:rsidRPr="00A32E6A">
        <w:rPr>
          <w:i/>
          <w:color w:val="FFFFFF" w:themeColor="background1"/>
        </w:rPr>
        <w:t xml:space="preserve"> should review the case management system for people in immigration detention </w:t>
      </w:r>
      <w:r>
        <w:rPr>
          <w:i/>
          <w:color w:val="FFFFFF" w:themeColor="background1"/>
        </w:rPr>
        <w:t>to determine:</w:t>
      </w:r>
    </w:p>
    <w:p w:rsidR="007B4CE9" w:rsidRDefault="007B4CE9" w:rsidP="007B4CE9">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a) the extent to which the case management system addresses the needs of people in detention</w:t>
      </w:r>
    </w:p>
    <w:p w:rsidR="007B4CE9" w:rsidRDefault="007B4CE9" w:rsidP="007B4CE9">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b) whether the case management system is operating</w:t>
      </w:r>
      <w:r w:rsidRPr="00A32E6A">
        <w:rPr>
          <w:i/>
          <w:color w:val="FFFFFF" w:themeColor="background1"/>
        </w:rPr>
        <w:t xml:space="preserve"> </w:t>
      </w:r>
      <w:r>
        <w:rPr>
          <w:i/>
          <w:color w:val="FFFFFF" w:themeColor="background1"/>
        </w:rPr>
        <w:t xml:space="preserve">as </w:t>
      </w:r>
      <w:r w:rsidRPr="00A32E6A">
        <w:rPr>
          <w:i/>
          <w:color w:val="FFFFFF" w:themeColor="background1"/>
        </w:rPr>
        <w:t>effectively</w:t>
      </w:r>
      <w:r>
        <w:rPr>
          <w:i/>
          <w:color w:val="FFFFFF" w:themeColor="background1"/>
        </w:rPr>
        <w:t xml:space="preserve"> as possible to facilitate status resolution, including through ensuring that people in detention have access to sufficient advice about their status and options for resolution.</w:t>
      </w:r>
    </w:p>
    <w:p w:rsidR="007B4CE9" w:rsidRDefault="007B4CE9" w:rsidP="007B4CE9">
      <w:pPr>
        <w:spacing w:before="0" w:after="0"/>
      </w:pPr>
    </w:p>
    <w:p w:rsidR="007B4CE9" w:rsidRPr="002C49C7" w:rsidRDefault="007B4CE9" w:rsidP="002E1DCB">
      <w:pPr>
        <w:keepNext/>
        <w:keepLines/>
        <w:pBdr>
          <w:top w:val="single" w:sz="4" w:space="4" w:color="auto"/>
          <w:left w:val="single" w:sz="4" w:space="4" w:color="auto"/>
          <w:bottom w:val="single" w:sz="4" w:space="4" w:color="auto"/>
          <w:right w:val="single" w:sz="4" w:space="4" w:color="auto"/>
        </w:pBdr>
        <w:shd w:val="clear" w:color="auto" w:fill="237BBC"/>
        <w:spacing w:before="0"/>
        <w:rPr>
          <w:b/>
          <w:i/>
          <w:color w:val="FFFFFF" w:themeColor="background1"/>
        </w:rPr>
      </w:pPr>
      <w:r w:rsidRPr="002C49C7">
        <w:rPr>
          <w:b/>
          <w:i/>
          <w:color w:val="FFFFFF" w:themeColor="background1"/>
        </w:rPr>
        <w:t>Recommendation 11</w:t>
      </w:r>
      <w:r w:rsidR="003519C0">
        <w:rPr>
          <w:b/>
          <w:i/>
          <w:color w:val="FFFFFF" w:themeColor="background1"/>
        </w:rPr>
        <w:t xml:space="preserve"> (migration and legal advice)</w:t>
      </w:r>
    </w:p>
    <w:p w:rsidR="007B4CE9" w:rsidRPr="00A32E6A" w:rsidRDefault="007B4CE9" w:rsidP="007B4CE9">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A32E6A">
        <w:rPr>
          <w:i/>
          <w:color w:val="FFFFFF" w:themeColor="background1"/>
        </w:rPr>
        <w:t xml:space="preserve">Recognising the limited role of </w:t>
      </w:r>
      <w:r>
        <w:rPr>
          <w:i/>
          <w:color w:val="FFFFFF" w:themeColor="background1"/>
        </w:rPr>
        <w:t>Status Resolution Officers</w:t>
      </w:r>
      <w:r w:rsidRPr="00A32E6A">
        <w:rPr>
          <w:i/>
          <w:color w:val="FFFFFF" w:themeColor="background1"/>
        </w:rPr>
        <w:t xml:space="preserve">, the </w:t>
      </w:r>
      <w:r w:rsidR="00900D4E">
        <w:rPr>
          <w:i/>
          <w:color w:val="FFFFFF" w:themeColor="background1"/>
        </w:rPr>
        <w:t>Department of Home Affairs</w:t>
      </w:r>
      <w:r w:rsidRPr="00A32E6A">
        <w:rPr>
          <w:i/>
          <w:color w:val="FFFFFF" w:themeColor="background1"/>
        </w:rPr>
        <w:t xml:space="preserve"> should </w:t>
      </w:r>
      <w:r>
        <w:rPr>
          <w:i/>
          <w:color w:val="FFFFFF" w:themeColor="background1"/>
        </w:rPr>
        <w:t>introduce</w:t>
      </w:r>
      <w:r w:rsidRPr="00A32E6A">
        <w:rPr>
          <w:i/>
          <w:color w:val="FFFFFF" w:themeColor="background1"/>
        </w:rPr>
        <w:t xml:space="preserve"> capacity for </w:t>
      </w:r>
      <w:r>
        <w:rPr>
          <w:i/>
          <w:color w:val="FFFFFF" w:themeColor="background1"/>
        </w:rPr>
        <w:t>Status Resolution Officers</w:t>
      </w:r>
      <w:r w:rsidRPr="00A32E6A">
        <w:rPr>
          <w:i/>
          <w:color w:val="FFFFFF" w:themeColor="background1"/>
        </w:rPr>
        <w:t xml:space="preserve"> to provide people in detention with appropriate information and referrals to </w:t>
      </w:r>
      <w:r>
        <w:rPr>
          <w:i/>
          <w:color w:val="FFFFFF" w:themeColor="background1"/>
        </w:rPr>
        <w:t xml:space="preserve">independent </w:t>
      </w:r>
      <w:r w:rsidRPr="00A32E6A">
        <w:rPr>
          <w:i/>
          <w:color w:val="FFFFFF" w:themeColor="background1"/>
        </w:rPr>
        <w:t>migration and legal advice.</w:t>
      </w:r>
    </w:p>
    <w:p w:rsidR="00BA2573" w:rsidRDefault="00BA2573" w:rsidP="00BA2573">
      <w:pPr>
        <w:pStyle w:val="Heading2"/>
      </w:pPr>
      <w:bookmarkStart w:id="64" w:name="_Toc503948696"/>
      <w:r>
        <w:t>Recommendations to facility staff</w:t>
      </w:r>
      <w:bookmarkEnd w:id="64"/>
    </w:p>
    <w:p w:rsidR="00BA57B2" w:rsidRPr="002C49C7" w:rsidRDefault="00BA57B2" w:rsidP="00BA57B2">
      <w:pPr>
        <w:keepNext/>
        <w:keepLines/>
        <w:pBdr>
          <w:top w:val="single" w:sz="4" w:space="4" w:color="auto"/>
          <w:left w:val="single" w:sz="4" w:space="4" w:color="auto"/>
          <w:bottom w:val="single" w:sz="4" w:space="4" w:color="auto"/>
          <w:right w:val="single" w:sz="4" w:space="4" w:color="auto"/>
        </w:pBdr>
        <w:shd w:val="clear" w:color="auto" w:fill="237BBC"/>
        <w:spacing w:after="0"/>
        <w:rPr>
          <w:b/>
          <w:i/>
          <w:color w:val="FFFFFF" w:themeColor="background1"/>
        </w:rPr>
      </w:pPr>
      <w:r w:rsidRPr="002C49C7">
        <w:rPr>
          <w:b/>
          <w:i/>
          <w:color w:val="FFFFFF" w:themeColor="background1"/>
        </w:rPr>
        <w:t>Recommendation 1</w:t>
      </w:r>
      <w:r w:rsidR="003519C0">
        <w:rPr>
          <w:b/>
          <w:i/>
          <w:color w:val="FFFFFF" w:themeColor="background1"/>
        </w:rPr>
        <w:t xml:space="preserve"> (explanation for use of mechanical restraints)</w:t>
      </w:r>
    </w:p>
    <w:p w:rsidR="00BA57B2" w:rsidRPr="00A32E6A" w:rsidRDefault="00BA57B2" w:rsidP="00BA57B2">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Where mechanical restraints are used on people in detention (particularly where there has been a change in practice), facility staff should provide a clear explanation of the reasons for the use of restraints. </w:t>
      </w:r>
    </w:p>
    <w:p w:rsidR="00BA57B2" w:rsidRDefault="00BA57B2">
      <w:pPr>
        <w:spacing w:before="0" w:after="0"/>
      </w:pPr>
    </w:p>
    <w:p w:rsidR="007B4CE9" w:rsidRPr="002C49C7" w:rsidRDefault="007B4CE9" w:rsidP="002E1DCB">
      <w:pPr>
        <w:keepNext/>
        <w:keepLines/>
        <w:pBdr>
          <w:top w:val="single" w:sz="4" w:space="4" w:color="auto"/>
          <w:left w:val="single" w:sz="4" w:space="4" w:color="auto"/>
          <w:bottom w:val="single" w:sz="4" w:space="4" w:color="auto"/>
          <w:right w:val="single" w:sz="4" w:space="4" w:color="auto"/>
        </w:pBdr>
        <w:shd w:val="clear" w:color="auto" w:fill="237BBC"/>
        <w:spacing w:before="0"/>
        <w:rPr>
          <w:b/>
          <w:i/>
          <w:color w:val="FFFFFF" w:themeColor="background1"/>
        </w:rPr>
      </w:pPr>
      <w:r w:rsidRPr="002C49C7">
        <w:rPr>
          <w:b/>
          <w:i/>
          <w:color w:val="FFFFFF" w:themeColor="background1"/>
        </w:rPr>
        <w:lastRenderedPageBreak/>
        <w:t>Recommendation 3</w:t>
      </w:r>
      <w:r w:rsidR="003519C0">
        <w:rPr>
          <w:b/>
          <w:i/>
          <w:color w:val="FFFFFF" w:themeColor="background1"/>
        </w:rPr>
        <w:t xml:space="preserve"> (excursions)</w:t>
      </w:r>
    </w:p>
    <w:p w:rsidR="007B4CE9" w:rsidRDefault="007B4CE9" w:rsidP="002E1DCB">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Facility staff should continue to explore options for providing excursions to secure sites suitable for people who are considered to present a higher risk. </w:t>
      </w:r>
    </w:p>
    <w:p w:rsidR="007B4CE9" w:rsidRDefault="007B4CE9">
      <w:pPr>
        <w:spacing w:before="0" w:after="0"/>
      </w:pPr>
    </w:p>
    <w:p w:rsidR="007B4CE9" w:rsidRDefault="007B4CE9">
      <w:pPr>
        <w:spacing w:before="0" w:after="0"/>
      </w:pPr>
    </w:p>
    <w:p w:rsidR="00BA2573" w:rsidRDefault="00BA2573">
      <w:pPr>
        <w:spacing w:before="0" w:after="0"/>
      </w:pPr>
      <w:r>
        <w:br w:type="page"/>
      </w:r>
    </w:p>
    <w:p w:rsidR="00AE0C81" w:rsidRDefault="001D18F0" w:rsidP="00484812">
      <w:pPr>
        <w:pStyle w:val="Heading1"/>
      </w:pPr>
      <w:bookmarkStart w:id="65" w:name="_Toc503948697"/>
      <w:r>
        <w:lastRenderedPageBreak/>
        <w:t>Appendix: Photos taken during the Commissi</w:t>
      </w:r>
      <w:r w:rsidR="0014551A">
        <w:t>o</w:t>
      </w:r>
      <w:r>
        <w:t xml:space="preserve">n’s </w:t>
      </w:r>
      <w:r w:rsidR="00FA0AC4">
        <w:t>inspection</w:t>
      </w:r>
      <w:bookmarkEnd w:id="65"/>
    </w:p>
    <w:p w:rsidR="00F41FF0" w:rsidRDefault="00F41FF0" w:rsidP="00F41FF0">
      <w:pPr>
        <w:pStyle w:val="Heading2"/>
      </w:pPr>
      <w:bookmarkStart w:id="66" w:name="_Toc503948698"/>
      <w:r>
        <w:t>Men’s compound</w:t>
      </w:r>
      <w:bookmarkEnd w:id="66"/>
    </w:p>
    <w:p w:rsidR="00A06453" w:rsidRDefault="00A06453" w:rsidP="00F41FF0">
      <w:r>
        <w:rPr>
          <w:noProof/>
        </w:rPr>
        <w:drawing>
          <wp:inline distT="0" distB="0" distL="0" distR="0">
            <wp:extent cx="5039360" cy="1777302"/>
            <wp:effectExtent l="19050" t="19050" r="8890" b="13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70821_103712_HDR.jp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040000" cy="1777528"/>
                    </a:xfrm>
                    <a:prstGeom prst="rect">
                      <a:avLst/>
                    </a:prstGeom>
                    <a:ln>
                      <a:solidFill>
                        <a:srgbClr val="237BBC"/>
                      </a:solidFill>
                    </a:ln>
                    <a:extLst>
                      <a:ext uri="{53640926-AAD7-44D8-BBD7-CCE9431645EC}">
                        <a14:shadowObscured xmlns:a14="http://schemas.microsoft.com/office/drawing/2010/main"/>
                      </a:ext>
                    </a:extLst>
                  </pic:spPr>
                </pic:pic>
              </a:graphicData>
            </a:graphic>
          </wp:inline>
        </w:drawing>
      </w:r>
    </w:p>
    <w:p w:rsidR="00C55392" w:rsidRDefault="00A06453" w:rsidP="00C55392">
      <w:r>
        <w:rPr>
          <w:noProof/>
        </w:rPr>
        <w:drawing>
          <wp:inline distT="0" distB="0" distL="0" distR="0">
            <wp:extent cx="5040000" cy="2836800"/>
            <wp:effectExtent l="19050" t="19050" r="27305" b="209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70821_103723_HD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0000" cy="2836800"/>
                    </a:xfrm>
                    <a:prstGeom prst="rect">
                      <a:avLst/>
                    </a:prstGeom>
                    <a:ln>
                      <a:solidFill>
                        <a:srgbClr val="237BBC"/>
                      </a:solidFill>
                    </a:ln>
                  </pic:spPr>
                </pic:pic>
              </a:graphicData>
            </a:graphic>
          </wp:inline>
        </w:drawing>
      </w:r>
    </w:p>
    <w:p w:rsidR="00A06453" w:rsidRDefault="00A06453" w:rsidP="00F41FF0">
      <w:r>
        <w:rPr>
          <w:noProof/>
        </w:rPr>
        <w:drawing>
          <wp:inline distT="0" distB="0" distL="0" distR="0">
            <wp:extent cx="5039547" cy="2454408"/>
            <wp:effectExtent l="19050" t="19050" r="27940" b="222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70821_103536_HDR.jp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040000" cy="2454629"/>
                    </a:xfrm>
                    <a:prstGeom prst="rect">
                      <a:avLst/>
                    </a:prstGeom>
                    <a:ln w="9525" cap="flat" cmpd="sng" algn="ctr">
                      <a:solidFill>
                        <a:srgbClr val="237BBC"/>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55788" w:rsidRDefault="00555788" w:rsidP="00F41FF0">
      <w:r>
        <w:rPr>
          <w:noProof/>
        </w:rPr>
        <w:lastRenderedPageBreak/>
        <w:drawing>
          <wp:inline distT="0" distB="0" distL="0" distR="0" wp14:anchorId="3EA26CAF" wp14:editId="78305A20">
            <wp:extent cx="5040000" cy="2836800"/>
            <wp:effectExtent l="19050" t="19050" r="27305" b="209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70821_104141_HD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0000" cy="2836800"/>
                    </a:xfrm>
                    <a:prstGeom prst="rect">
                      <a:avLst/>
                    </a:prstGeom>
                    <a:ln>
                      <a:solidFill>
                        <a:srgbClr val="237BBC"/>
                      </a:solidFill>
                    </a:ln>
                  </pic:spPr>
                </pic:pic>
              </a:graphicData>
            </a:graphic>
          </wp:inline>
        </w:drawing>
      </w:r>
    </w:p>
    <w:p w:rsidR="00A06453" w:rsidRDefault="00A06453" w:rsidP="00F41FF0">
      <w:r>
        <w:rPr>
          <w:noProof/>
        </w:rPr>
        <w:drawing>
          <wp:inline distT="0" distB="0" distL="0" distR="0" wp14:anchorId="05E60308" wp14:editId="640EEDCC">
            <wp:extent cx="5040000" cy="2836800"/>
            <wp:effectExtent l="19050" t="19050" r="27305" b="209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70821_104551_HD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000" cy="2836800"/>
                    </a:xfrm>
                    <a:prstGeom prst="rect">
                      <a:avLst/>
                    </a:prstGeom>
                    <a:ln>
                      <a:solidFill>
                        <a:srgbClr val="237BBC"/>
                      </a:solidFill>
                    </a:ln>
                  </pic:spPr>
                </pic:pic>
              </a:graphicData>
            </a:graphic>
          </wp:inline>
        </w:drawing>
      </w:r>
    </w:p>
    <w:p w:rsidR="00A06453" w:rsidRDefault="00A06453" w:rsidP="00F41FF0">
      <w:r>
        <w:rPr>
          <w:noProof/>
        </w:rPr>
        <w:drawing>
          <wp:inline distT="0" distB="0" distL="0" distR="0">
            <wp:extent cx="5040000" cy="2836800"/>
            <wp:effectExtent l="19050" t="19050" r="27305" b="209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70821_104508_HD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0000" cy="2836800"/>
                    </a:xfrm>
                    <a:prstGeom prst="rect">
                      <a:avLst/>
                    </a:prstGeom>
                    <a:ln>
                      <a:solidFill>
                        <a:srgbClr val="237BBC"/>
                      </a:solidFill>
                    </a:ln>
                  </pic:spPr>
                </pic:pic>
              </a:graphicData>
            </a:graphic>
          </wp:inline>
        </w:drawing>
      </w:r>
    </w:p>
    <w:p w:rsidR="00F41FF0" w:rsidRPr="00F41FF0" w:rsidRDefault="00F41FF0" w:rsidP="00F41FF0">
      <w:pPr>
        <w:pStyle w:val="Heading2"/>
      </w:pPr>
      <w:bookmarkStart w:id="67" w:name="_Toc503948699"/>
      <w:r>
        <w:lastRenderedPageBreak/>
        <w:t>Women’s compound</w:t>
      </w:r>
      <w:bookmarkEnd w:id="67"/>
    </w:p>
    <w:p w:rsidR="00C55392" w:rsidRDefault="007D0293">
      <w:pPr>
        <w:spacing w:before="0" w:after="0"/>
      </w:pPr>
      <w:r>
        <w:rPr>
          <w:noProof/>
        </w:rPr>
        <w:drawing>
          <wp:inline distT="0" distB="0" distL="0" distR="0">
            <wp:extent cx="5040000" cy="2102400"/>
            <wp:effectExtent l="19050" t="19050" r="8255"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70821_105006_HDR.jp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5040000" cy="2102400"/>
                    </a:xfrm>
                    <a:prstGeom prst="rect">
                      <a:avLst/>
                    </a:prstGeom>
                    <a:ln>
                      <a:solidFill>
                        <a:srgbClr val="237BBC"/>
                      </a:solidFill>
                    </a:ln>
                    <a:extLst>
                      <a:ext uri="{53640926-AAD7-44D8-BBD7-CCE9431645EC}">
                        <a14:shadowObscured xmlns:a14="http://schemas.microsoft.com/office/drawing/2010/main"/>
                      </a:ext>
                    </a:extLst>
                  </pic:spPr>
                </pic:pic>
              </a:graphicData>
            </a:graphic>
          </wp:inline>
        </w:drawing>
      </w:r>
    </w:p>
    <w:p w:rsidR="007D0293" w:rsidRDefault="007D0293">
      <w:pPr>
        <w:spacing w:before="0" w:after="0"/>
      </w:pPr>
    </w:p>
    <w:p w:rsidR="007D0293" w:rsidRDefault="007D0293">
      <w:pPr>
        <w:spacing w:before="0" w:after="0"/>
      </w:pPr>
      <w:r>
        <w:rPr>
          <w:noProof/>
        </w:rPr>
        <w:drawing>
          <wp:inline distT="0" distB="0" distL="0" distR="0">
            <wp:extent cx="5040000" cy="2836800"/>
            <wp:effectExtent l="19050" t="19050" r="27305" b="209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70821_110038_HD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0000" cy="2836800"/>
                    </a:xfrm>
                    <a:prstGeom prst="rect">
                      <a:avLst/>
                    </a:prstGeom>
                    <a:ln>
                      <a:solidFill>
                        <a:srgbClr val="237BBC"/>
                      </a:solidFill>
                    </a:ln>
                  </pic:spPr>
                </pic:pic>
              </a:graphicData>
            </a:graphic>
          </wp:inline>
        </w:drawing>
      </w:r>
    </w:p>
    <w:p w:rsidR="007D0293" w:rsidRDefault="007D0293">
      <w:pPr>
        <w:spacing w:before="0" w:after="0"/>
      </w:pPr>
    </w:p>
    <w:p w:rsidR="007D0293" w:rsidRDefault="007D0293">
      <w:pPr>
        <w:spacing w:before="0" w:after="0"/>
      </w:pPr>
      <w:r>
        <w:rPr>
          <w:noProof/>
        </w:rPr>
        <w:drawing>
          <wp:inline distT="0" distB="0" distL="0" distR="0">
            <wp:extent cx="5040000" cy="2836800"/>
            <wp:effectExtent l="19050" t="19050" r="27305" b="209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170821_105036_HD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40000" cy="2836800"/>
                    </a:xfrm>
                    <a:prstGeom prst="rect">
                      <a:avLst/>
                    </a:prstGeom>
                    <a:ln>
                      <a:solidFill>
                        <a:srgbClr val="237BBC"/>
                      </a:solidFill>
                    </a:ln>
                  </pic:spPr>
                </pic:pic>
              </a:graphicData>
            </a:graphic>
          </wp:inline>
        </w:drawing>
      </w:r>
    </w:p>
    <w:p w:rsidR="007D0293" w:rsidRDefault="007D0293">
      <w:pPr>
        <w:spacing w:before="0" w:after="0"/>
      </w:pPr>
    </w:p>
    <w:p w:rsidR="007D0293" w:rsidRDefault="007D0293">
      <w:pPr>
        <w:spacing w:before="0" w:after="0"/>
      </w:pPr>
      <w:r>
        <w:rPr>
          <w:noProof/>
        </w:rPr>
        <w:lastRenderedPageBreak/>
        <w:drawing>
          <wp:inline distT="0" distB="0" distL="0" distR="0">
            <wp:extent cx="5040000" cy="2836800"/>
            <wp:effectExtent l="19050" t="19050" r="27305" b="209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70821_110557_HD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40000" cy="2836800"/>
                    </a:xfrm>
                    <a:prstGeom prst="rect">
                      <a:avLst/>
                    </a:prstGeom>
                    <a:ln>
                      <a:solidFill>
                        <a:srgbClr val="237BBC"/>
                      </a:solidFill>
                    </a:ln>
                  </pic:spPr>
                </pic:pic>
              </a:graphicData>
            </a:graphic>
          </wp:inline>
        </w:drawing>
      </w:r>
    </w:p>
    <w:p w:rsidR="00555788" w:rsidRDefault="007E549E" w:rsidP="00555788">
      <w:pPr>
        <w:pStyle w:val="Heading2"/>
      </w:pPr>
      <w:bookmarkStart w:id="68" w:name="_Toc503948700"/>
      <w:r>
        <w:t xml:space="preserve">‘High-Care Accommodation’ </w:t>
      </w:r>
      <w:r w:rsidR="00555788">
        <w:t>room</w:t>
      </w:r>
      <w:bookmarkEnd w:id="68"/>
    </w:p>
    <w:p w:rsidR="00555788" w:rsidRPr="00555788" w:rsidRDefault="00555788" w:rsidP="00555788">
      <w:r>
        <w:rPr>
          <w:noProof/>
        </w:rPr>
        <w:drawing>
          <wp:inline distT="0" distB="0" distL="0" distR="0">
            <wp:extent cx="5040000" cy="2836800"/>
            <wp:effectExtent l="19050" t="19050" r="27305" b="209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70821_111104_HD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40000" cy="2836800"/>
                    </a:xfrm>
                    <a:prstGeom prst="rect">
                      <a:avLst/>
                    </a:prstGeom>
                    <a:ln>
                      <a:solidFill>
                        <a:srgbClr val="237BBC"/>
                      </a:solidFill>
                    </a:ln>
                  </pic:spPr>
                </pic:pic>
              </a:graphicData>
            </a:graphic>
          </wp:inline>
        </w:drawing>
      </w:r>
    </w:p>
    <w:p w:rsidR="00555788" w:rsidRDefault="00555788">
      <w:pPr>
        <w:spacing w:before="0" w:after="0"/>
        <w:rPr>
          <w:b/>
          <w:i/>
          <w:color w:val="000000"/>
          <w:sz w:val="28"/>
          <w:szCs w:val="26"/>
        </w:rPr>
      </w:pPr>
      <w:r>
        <w:br w:type="page"/>
      </w:r>
    </w:p>
    <w:p w:rsidR="00980A52" w:rsidRDefault="00555788" w:rsidP="00555788">
      <w:pPr>
        <w:pStyle w:val="Heading2"/>
      </w:pPr>
      <w:bookmarkStart w:id="69" w:name="_Toc503948701"/>
      <w:r>
        <w:lastRenderedPageBreak/>
        <w:t>Shared facilities</w:t>
      </w:r>
      <w:bookmarkEnd w:id="69"/>
    </w:p>
    <w:p w:rsidR="00555788" w:rsidRPr="00555788" w:rsidRDefault="00555788" w:rsidP="00555788">
      <w:r>
        <w:t>From top to bottom: dining room, visits room, private interview room, non-contact visits room.</w:t>
      </w:r>
    </w:p>
    <w:p w:rsidR="00555788" w:rsidRPr="00555788" w:rsidRDefault="00555788" w:rsidP="00555788">
      <w:r>
        <w:rPr>
          <w:noProof/>
        </w:rPr>
        <w:drawing>
          <wp:inline distT="0" distB="0" distL="0" distR="0">
            <wp:extent cx="5040000" cy="2836800"/>
            <wp:effectExtent l="19050" t="19050" r="27305" b="209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70821_104918_HD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40000" cy="2836800"/>
                    </a:xfrm>
                    <a:prstGeom prst="rect">
                      <a:avLst/>
                    </a:prstGeom>
                    <a:ln>
                      <a:solidFill>
                        <a:srgbClr val="237BBC"/>
                      </a:solidFill>
                    </a:ln>
                  </pic:spPr>
                </pic:pic>
              </a:graphicData>
            </a:graphic>
          </wp:inline>
        </w:drawing>
      </w:r>
    </w:p>
    <w:p w:rsidR="00980A52" w:rsidRDefault="00555788">
      <w:pPr>
        <w:spacing w:before="0" w:after="0"/>
      </w:pPr>
      <w:r>
        <w:rPr>
          <w:noProof/>
        </w:rPr>
        <w:drawing>
          <wp:inline distT="0" distB="0" distL="0" distR="0">
            <wp:extent cx="5040000" cy="2836800"/>
            <wp:effectExtent l="19050" t="19050" r="27305" b="209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70821_102910_HD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40000" cy="2836800"/>
                    </a:xfrm>
                    <a:prstGeom prst="rect">
                      <a:avLst/>
                    </a:prstGeom>
                    <a:ln>
                      <a:solidFill>
                        <a:srgbClr val="237BBC"/>
                      </a:solidFill>
                    </a:ln>
                  </pic:spPr>
                </pic:pic>
              </a:graphicData>
            </a:graphic>
          </wp:inline>
        </w:drawing>
      </w:r>
    </w:p>
    <w:p w:rsidR="00555788" w:rsidRDefault="00555788">
      <w:pPr>
        <w:spacing w:before="0" w:after="0"/>
      </w:pPr>
    </w:p>
    <w:p w:rsidR="00555788" w:rsidRDefault="00555788">
      <w:pPr>
        <w:spacing w:before="0" w:after="0"/>
      </w:pPr>
      <w:r>
        <w:rPr>
          <w:noProof/>
        </w:rPr>
        <w:lastRenderedPageBreak/>
        <w:drawing>
          <wp:inline distT="0" distB="0" distL="0" distR="0">
            <wp:extent cx="5040000" cy="2836800"/>
            <wp:effectExtent l="19050" t="19050" r="27305" b="209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170821_101857_HD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40000" cy="2836800"/>
                    </a:xfrm>
                    <a:prstGeom prst="rect">
                      <a:avLst/>
                    </a:prstGeom>
                    <a:ln>
                      <a:solidFill>
                        <a:srgbClr val="237BBC"/>
                      </a:solidFill>
                    </a:ln>
                  </pic:spPr>
                </pic:pic>
              </a:graphicData>
            </a:graphic>
          </wp:inline>
        </w:drawing>
      </w:r>
    </w:p>
    <w:p w:rsidR="00555788" w:rsidRDefault="00555788">
      <w:pPr>
        <w:spacing w:before="0" w:after="0"/>
      </w:pPr>
    </w:p>
    <w:p w:rsidR="00555788" w:rsidRDefault="00555788">
      <w:pPr>
        <w:spacing w:before="0" w:after="0"/>
      </w:pPr>
      <w:r>
        <w:rPr>
          <w:noProof/>
        </w:rPr>
        <w:drawing>
          <wp:inline distT="0" distB="0" distL="0" distR="0">
            <wp:extent cx="5040000" cy="2836800"/>
            <wp:effectExtent l="19050" t="19050" r="27305" b="209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170821_102020_HD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40000" cy="2836800"/>
                    </a:xfrm>
                    <a:prstGeom prst="rect">
                      <a:avLst/>
                    </a:prstGeom>
                    <a:ln>
                      <a:solidFill>
                        <a:srgbClr val="237BBC"/>
                      </a:solidFill>
                    </a:ln>
                  </pic:spPr>
                </pic:pic>
              </a:graphicData>
            </a:graphic>
          </wp:inline>
        </w:drawing>
      </w:r>
    </w:p>
    <w:p w:rsidR="00555788" w:rsidRDefault="00555788">
      <w:pPr>
        <w:spacing w:before="0" w:after="0"/>
      </w:pPr>
    </w:p>
    <w:p w:rsidR="000B6C34" w:rsidRDefault="000B6C34">
      <w:pPr>
        <w:spacing w:before="0" w:after="0"/>
      </w:pPr>
      <w:r>
        <w:br w:type="page"/>
      </w:r>
    </w:p>
    <w:p w:rsidR="00AE7CE1" w:rsidRDefault="000B6C34" w:rsidP="000B6C34">
      <w:pPr>
        <w:pStyle w:val="Heading1"/>
        <w:numPr>
          <w:ilvl w:val="0"/>
          <w:numId w:val="0"/>
        </w:numPr>
        <w:ind w:left="851" w:hanging="851"/>
      </w:pPr>
      <w:bookmarkStart w:id="70" w:name="_Toc503948702"/>
      <w:r>
        <w:lastRenderedPageBreak/>
        <w:t>Endnotes</w:t>
      </w:r>
      <w:bookmarkEnd w:id="70"/>
    </w:p>
    <w:sectPr w:rsidR="00AE7CE1" w:rsidSect="00B63D24">
      <w:headerReference w:type="even" r:id="rId28"/>
      <w:headerReference w:type="default" r:id="rId29"/>
      <w:footerReference w:type="default" r:id="rId30"/>
      <w:headerReference w:type="first" r:id="rId31"/>
      <w:endnotePr>
        <w:numFmt w:val="decimal"/>
      </w:endnotePr>
      <w:pgSz w:w="11906" w:h="16838" w:code="9"/>
      <w:pgMar w:top="1134" w:right="1418" w:bottom="1134" w:left="1418"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6210" w:rsidRDefault="009D6210" w:rsidP="00F14C6D">
      <w:r>
        <w:separator/>
      </w:r>
    </w:p>
  </w:endnote>
  <w:endnote w:type="continuationSeparator" w:id="0">
    <w:p w:rsidR="009D6210" w:rsidRDefault="009D6210" w:rsidP="00F14C6D">
      <w:r>
        <w:continuationSeparator/>
      </w:r>
    </w:p>
  </w:endnote>
  <w:endnote w:id="1">
    <w:p w:rsidR="009D6210" w:rsidRDefault="009D6210" w:rsidP="00564390">
      <w:pPr>
        <w:pStyle w:val="EndnoteText"/>
      </w:pPr>
      <w:r>
        <w:rPr>
          <w:rStyle w:val="EndnoteReference"/>
        </w:rPr>
        <w:endnoteRef/>
      </w:r>
      <w:r>
        <w:t xml:space="preserve"> Reports from previous monitoring visits to immigration detention facilities can be found on the Commission’s website at </w:t>
      </w:r>
      <w:hyperlink r:id="rId1" w:history="1">
        <w:r w:rsidRPr="00E92965">
          <w:rPr>
            <w:rStyle w:val="Hyperlink"/>
          </w:rPr>
          <w:t>https://www.humanrights.gov.au/our-work/asylum-seekers-and-refugees/immigration-detention-reports-and-photos</w:t>
        </w:r>
      </w:hyperlink>
      <w:r>
        <w:t xml:space="preserve"> </w:t>
      </w:r>
    </w:p>
  </w:endnote>
  <w:endnote w:id="2">
    <w:p w:rsidR="009D6210" w:rsidRDefault="009D6210" w:rsidP="00564390">
      <w:pPr>
        <w:pStyle w:val="EndnoteText"/>
      </w:pPr>
      <w:r>
        <w:rPr>
          <w:rStyle w:val="EndnoteReference"/>
        </w:rPr>
        <w:endnoteRef/>
      </w:r>
      <w:r>
        <w:t xml:space="preserve"> Human Rights and Equal Opportunity Commission, </w:t>
      </w:r>
      <w:r w:rsidRPr="00832CD0">
        <w:rPr>
          <w:i/>
        </w:rPr>
        <w:t>Those who've come across the seas: Detention of unauthorised arrivals</w:t>
      </w:r>
      <w:r>
        <w:t xml:space="preserve"> (1998). At </w:t>
      </w:r>
      <w:hyperlink r:id="rId2" w:history="1">
        <w:r w:rsidRPr="00E92965">
          <w:rPr>
            <w:rStyle w:val="Hyperlink"/>
          </w:rPr>
          <w:t>https://www.humanrights.gov.au/our-work/asylum-seekers-and-refugees/publications/those-whove-come-across-seas-detention</w:t>
        </w:r>
      </w:hyperlink>
      <w:r>
        <w:t xml:space="preserve"> (viewed 11 May 2017); </w:t>
      </w:r>
      <w:r w:rsidRPr="00832CD0">
        <w:t>Human Rights and Equal Opportunity Commission</w:t>
      </w:r>
      <w:r>
        <w:t xml:space="preserve">, </w:t>
      </w:r>
      <w:r w:rsidRPr="00832CD0">
        <w:rPr>
          <w:i/>
        </w:rPr>
        <w:t>A last resort? National Inquiry into Children in Immigration Detention</w:t>
      </w:r>
      <w:r>
        <w:t xml:space="preserve"> (2004). At </w:t>
      </w:r>
      <w:hyperlink r:id="rId3" w:history="1">
        <w:r w:rsidRPr="00E92965">
          <w:rPr>
            <w:rStyle w:val="Hyperlink"/>
          </w:rPr>
          <w:t>https://www.humanrights.gov.au/our-work/asylum-seekers-and-refugees/projects/last-resort-report-national-inquiry-children</w:t>
        </w:r>
      </w:hyperlink>
      <w:r>
        <w:t xml:space="preserve"> (viewed 11 May 2017); Australian Human Rights Commission, </w:t>
      </w:r>
      <w:r w:rsidRPr="00832CD0">
        <w:rPr>
          <w:i/>
        </w:rPr>
        <w:t>The Forgotten Children: National Inquiry into Children in Immigration Detention</w:t>
      </w:r>
      <w:r>
        <w:t xml:space="preserve"> (</w:t>
      </w:r>
      <w:r w:rsidRPr="00832CD0">
        <w:t>2014</w:t>
      </w:r>
      <w:r>
        <w:t xml:space="preserve">). At </w:t>
      </w:r>
      <w:hyperlink r:id="rId4" w:history="1">
        <w:r w:rsidRPr="00E92965">
          <w:rPr>
            <w:rStyle w:val="Hyperlink"/>
          </w:rPr>
          <w:t>https://www.humanrights.gov.au/our-work/asylum-seekers-and-refugees/projects/national-inquiry-children-immigration-detention-index</w:t>
        </w:r>
      </w:hyperlink>
      <w:r>
        <w:t xml:space="preserve"> (viewed 11 May 2017).</w:t>
      </w:r>
    </w:p>
  </w:endnote>
  <w:endnote w:id="3">
    <w:p w:rsidR="009D6210" w:rsidRDefault="009D6210" w:rsidP="00564390">
      <w:pPr>
        <w:pStyle w:val="EndnoteText"/>
      </w:pPr>
      <w:r>
        <w:rPr>
          <w:rStyle w:val="EndnoteReference"/>
        </w:rPr>
        <w:endnoteRef/>
      </w:r>
      <w:r>
        <w:t xml:space="preserve"> </w:t>
      </w:r>
      <w:r w:rsidRPr="007419E0">
        <w:t>Australian Human Rights Commission,</w:t>
      </w:r>
      <w:r w:rsidRPr="00FF5A90">
        <w:rPr>
          <w:i/>
        </w:rPr>
        <w:t xml:space="preserve"> Asylum seekers, refugees and human rights: Snapshot Report (2nd edition)</w:t>
      </w:r>
      <w:r>
        <w:t xml:space="preserve"> (2017) 11–25. At </w:t>
      </w:r>
      <w:hyperlink r:id="rId5" w:history="1">
        <w:r w:rsidRPr="00E92965">
          <w:rPr>
            <w:rStyle w:val="Hyperlink"/>
          </w:rPr>
          <w:t>https://www.humanrights.gov.au/our-work/asylum-seekers-and-refugees/publications/asylum-seekers-refugees-and-human-rights-snapsho-0</w:t>
        </w:r>
      </w:hyperlink>
      <w:r>
        <w:t xml:space="preserve"> (viewed 11 May 2017). </w:t>
      </w:r>
    </w:p>
  </w:endnote>
  <w:endnote w:id="4">
    <w:p w:rsidR="009D6210" w:rsidRPr="00A56DEB" w:rsidRDefault="009D6210" w:rsidP="00DF7E30">
      <w:pPr>
        <w:pStyle w:val="EndnoteText"/>
      </w:pPr>
      <w:r>
        <w:rPr>
          <w:rStyle w:val="EndnoteReference"/>
        </w:rPr>
        <w:endnoteRef/>
      </w:r>
      <w:r>
        <w:t xml:space="preserve"> Australian Human Rights Commission, </w:t>
      </w:r>
      <w:r w:rsidRPr="00A56DEB">
        <w:rPr>
          <w:i/>
        </w:rPr>
        <w:t>Human rights standards for immigration protection</w:t>
      </w:r>
      <w:r>
        <w:rPr>
          <w:i/>
        </w:rPr>
        <w:t xml:space="preserve"> </w:t>
      </w:r>
      <w:r>
        <w:t xml:space="preserve">(2013). At </w:t>
      </w:r>
      <w:hyperlink r:id="rId6" w:history="1">
        <w:r w:rsidRPr="00E92965">
          <w:rPr>
            <w:rStyle w:val="Hyperlink"/>
          </w:rPr>
          <w:t>https://www.humanrights.gov.au/our-work/asylum-seekers-and-refugees/publications/human-rights-standards-immigration-detention</w:t>
        </w:r>
      </w:hyperlink>
      <w:r>
        <w:t xml:space="preserve"> (viewed 11 May 2017). </w:t>
      </w:r>
    </w:p>
  </w:endnote>
  <w:endnote w:id="5">
    <w:p w:rsidR="009D6210" w:rsidRDefault="009D6210" w:rsidP="00334E23">
      <w:pPr>
        <w:pStyle w:val="EndnoteText"/>
      </w:pPr>
      <w:r>
        <w:rPr>
          <w:rStyle w:val="EndnoteReference"/>
        </w:rPr>
        <w:endnoteRef/>
      </w:r>
      <w:r>
        <w:t xml:space="preserve"> </w:t>
      </w:r>
      <w:r w:rsidRPr="009F3605">
        <w:rPr>
          <w:i/>
        </w:rPr>
        <w:t>International Covenant on Civil and Political Rights</w:t>
      </w:r>
      <w:r>
        <w:t>, opened for signature 16 December 1966, 999 UNTS 171 (entered into force 23 March 1976) arts 9(1), 10(1)</w:t>
      </w:r>
    </w:p>
  </w:endnote>
  <w:endnote w:id="6">
    <w:p w:rsidR="009D6210" w:rsidRDefault="009D6210" w:rsidP="00334E23">
      <w:pPr>
        <w:pStyle w:val="EndnoteText"/>
      </w:pPr>
      <w:r>
        <w:rPr>
          <w:rStyle w:val="EndnoteReference"/>
        </w:rPr>
        <w:endnoteRef/>
      </w:r>
      <w:r>
        <w:t xml:space="preserve"> </w:t>
      </w:r>
      <w:r w:rsidRPr="009F3605">
        <w:rPr>
          <w:i/>
        </w:rPr>
        <w:t>International Covenant on Civil and Political Rights</w:t>
      </w:r>
      <w:r>
        <w:t xml:space="preserve">, opened for signature 16 December 1966, 999 UNTS 171 (entered into force 23 March 1976) art 7; </w:t>
      </w:r>
      <w:r w:rsidRPr="00820166">
        <w:rPr>
          <w:i/>
        </w:rPr>
        <w:t>Convention against Torture and Other Cruel, Inhuman or Degrading Treatment or Punishment</w:t>
      </w:r>
      <w:r>
        <w:t>, opened for signature 10 December 1984, 1465 UNTS 85 (entered into force</w:t>
      </w:r>
      <w:r w:rsidRPr="00820166">
        <w:rPr>
          <w:i/>
        </w:rPr>
        <w:t xml:space="preserve"> </w:t>
      </w:r>
      <w:r>
        <w:t>26 June 1987) arts 2(1), 16(1).</w:t>
      </w:r>
    </w:p>
  </w:endnote>
  <w:endnote w:id="7">
    <w:p w:rsidR="009D6210" w:rsidRDefault="009D6210" w:rsidP="00334E23">
      <w:pPr>
        <w:pStyle w:val="EndnoteText"/>
      </w:pPr>
      <w:r>
        <w:rPr>
          <w:rStyle w:val="EndnoteReference"/>
        </w:rPr>
        <w:endnoteRef/>
      </w:r>
      <w:r>
        <w:t xml:space="preserve"> </w:t>
      </w:r>
      <w:r>
        <w:rPr>
          <w:i/>
        </w:rPr>
        <w:t>International Covenant on Economic, Social and Cultural Rights</w:t>
      </w:r>
      <w:r>
        <w:t xml:space="preserve">, opened for signature 16 December 1966, 993 UNTS 3 (entered into force 3 January 1976) arts 6(2), 11, 12, 13, 15(1a). </w:t>
      </w:r>
    </w:p>
  </w:endnote>
  <w:endnote w:id="8">
    <w:p w:rsidR="009D6210" w:rsidRDefault="009D6210" w:rsidP="00334E23">
      <w:pPr>
        <w:pStyle w:val="EndnoteText"/>
      </w:pPr>
      <w:r>
        <w:rPr>
          <w:rStyle w:val="EndnoteReference"/>
        </w:rPr>
        <w:endnoteRef/>
      </w:r>
      <w:r>
        <w:t xml:space="preserve"> </w:t>
      </w:r>
      <w:r w:rsidRPr="009F3605">
        <w:rPr>
          <w:i/>
        </w:rPr>
        <w:t>International Covenant on Civil and Political Rights</w:t>
      </w:r>
      <w:r>
        <w:t xml:space="preserve">, opened for signature 16 December 1966, 999 UNTS 171 (entered into force 23 March 1976) arts 7, 10(1); </w:t>
      </w:r>
      <w:r w:rsidRPr="00820166">
        <w:rPr>
          <w:i/>
        </w:rPr>
        <w:t>Convention against Torture and Other Cruel, Inhuman or Degrading Treatment or Punishment</w:t>
      </w:r>
      <w:r>
        <w:t>, opened for signature 10 December 1984, 1465 UNTS 85 (entered into force</w:t>
      </w:r>
      <w:r w:rsidRPr="00820166">
        <w:rPr>
          <w:i/>
        </w:rPr>
        <w:t xml:space="preserve"> </w:t>
      </w:r>
      <w:r>
        <w:t>26 June 1987) arts 2(1), 16(1).</w:t>
      </w:r>
    </w:p>
  </w:endnote>
  <w:endnote w:id="9">
    <w:p w:rsidR="009D6210" w:rsidRDefault="009D6210" w:rsidP="00334E23">
      <w:pPr>
        <w:pStyle w:val="EndnoteText"/>
      </w:pPr>
      <w:r>
        <w:rPr>
          <w:rStyle w:val="EndnoteReference"/>
        </w:rPr>
        <w:endnoteRef/>
      </w:r>
      <w:r>
        <w:t xml:space="preserve"> </w:t>
      </w:r>
      <w:r w:rsidRPr="009F3605">
        <w:rPr>
          <w:i/>
        </w:rPr>
        <w:t>International Covenant on Civil and Political Rights</w:t>
      </w:r>
      <w:r>
        <w:t>, opened for signature 16 December 1966, 999 UNTS 171 (entered into force 23 March 1976) arts 17, 18.</w:t>
      </w:r>
    </w:p>
  </w:endnote>
  <w:endnote w:id="10">
    <w:p w:rsidR="009D6210" w:rsidRDefault="009D6210" w:rsidP="00334E23">
      <w:pPr>
        <w:pStyle w:val="EndnoteText"/>
      </w:pPr>
      <w:r>
        <w:rPr>
          <w:rStyle w:val="EndnoteReference"/>
        </w:rPr>
        <w:endnoteRef/>
      </w:r>
      <w:r>
        <w:t xml:space="preserve"> </w:t>
      </w:r>
      <w:r w:rsidRPr="009F3605">
        <w:rPr>
          <w:i/>
        </w:rPr>
        <w:t>International Covenant on Civil and Political Rights</w:t>
      </w:r>
      <w:r>
        <w:t xml:space="preserve">, opened for signature 16 December 1966, 999 UNTS 171 (entered into force 23 March 1976) arts 19(b), 22, 27. </w:t>
      </w:r>
    </w:p>
  </w:endnote>
  <w:endnote w:id="11">
    <w:p w:rsidR="009D6210" w:rsidRDefault="009D6210" w:rsidP="00334E23">
      <w:pPr>
        <w:pStyle w:val="EndnoteText"/>
      </w:pPr>
      <w:r>
        <w:rPr>
          <w:rStyle w:val="EndnoteReference"/>
        </w:rPr>
        <w:endnoteRef/>
      </w:r>
      <w:r>
        <w:t xml:space="preserve"> </w:t>
      </w:r>
      <w:r>
        <w:rPr>
          <w:i/>
        </w:rPr>
        <w:t>International Covenant on Economic, Social and Cultural Rights</w:t>
      </w:r>
      <w:r>
        <w:t xml:space="preserve">, opened for signature 16 December 1966, 993 UNTS 3 (entered into force 3 January 1976) art 15(1a). </w:t>
      </w:r>
    </w:p>
  </w:endnote>
  <w:endnote w:id="12">
    <w:p w:rsidR="009D6210" w:rsidRDefault="009D6210" w:rsidP="00334E23">
      <w:pPr>
        <w:pStyle w:val="EndnoteText"/>
      </w:pPr>
      <w:r>
        <w:rPr>
          <w:rStyle w:val="EndnoteReference"/>
        </w:rPr>
        <w:endnoteRef/>
      </w:r>
      <w:r>
        <w:t xml:space="preserve"> </w:t>
      </w:r>
      <w:r w:rsidRPr="009F3605">
        <w:rPr>
          <w:i/>
        </w:rPr>
        <w:t>International Covenant on Civil and Political Rights</w:t>
      </w:r>
      <w:r>
        <w:t xml:space="preserve">, opened for signature 16 December 1966, 999 UNTS 171 (entered into force 23 March 1976) art 23(1); </w:t>
      </w:r>
      <w:r>
        <w:rPr>
          <w:i/>
        </w:rPr>
        <w:t>International Covenant on Economic, Social and Cultural Rights</w:t>
      </w:r>
      <w:r>
        <w:t xml:space="preserve">, opened for signature 16 December 1966, 993 UNTS 3 (entered into force 3 January 1976) art 10(1). </w:t>
      </w:r>
    </w:p>
  </w:endnote>
  <w:endnote w:id="13">
    <w:p w:rsidR="009D6210" w:rsidRDefault="009D6210" w:rsidP="00334E23">
      <w:pPr>
        <w:pStyle w:val="EndnoteText"/>
      </w:pPr>
      <w:r>
        <w:rPr>
          <w:rStyle w:val="EndnoteReference"/>
        </w:rPr>
        <w:endnoteRef/>
      </w:r>
      <w:r>
        <w:t xml:space="preserve"> </w:t>
      </w:r>
      <w:r w:rsidRPr="009F3605">
        <w:rPr>
          <w:i/>
        </w:rPr>
        <w:t>International Covenant on Civil and Political Rights</w:t>
      </w:r>
      <w:r>
        <w:t>, opened for signature 16 December 1966, 999 UNTS 171 (entered into force 23 March 1976) art 17(1);</w:t>
      </w:r>
      <w:r w:rsidRPr="0014371C">
        <w:rPr>
          <w:i/>
        </w:rPr>
        <w:t xml:space="preserve"> </w:t>
      </w:r>
      <w:r w:rsidRPr="001716DB">
        <w:rPr>
          <w:i/>
        </w:rPr>
        <w:t>Convention on the Rights of the Child</w:t>
      </w:r>
      <w:r>
        <w:t>, opened for signature 20 November 1989, 1577 UNTS 3 (entered into force 2 September 1990) art 16(1).</w:t>
      </w:r>
    </w:p>
  </w:endnote>
  <w:endnote w:id="14">
    <w:p w:rsidR="009D6210" w:rsidRDefault="009D6210" w:rsidP="00334E23">
      <w:pPr>
        <w:pStyle w:val="EndnoteText"/>
      </w:pPr>
      <w:r>
        <w:rPr>
          <w:rStyle w:val="EndnoteReference"/>
        </w:rPr>
        <w:endnoteRef/>
      </w:r>
      <w:r>
        <w:t xml:space="preserve"> </w:t>
      </w:r>
      <w:r w:rsidRPr="00820166">
        <w:rPr>
          <w:i/>
        </w:rPr>
        <w:t>Convention against Torture and Other Cruel, Inhuman or Degrading Treatment or Punishment</w:t>
      </w:r>
      <w:r>
        <w:t>, opened for signature 10 December 1984, 1465 UNTS 85 (entered into force</w:t>
      </w:r>
      <w:r w:rsidRPr="00820166">
        <w:rPr>
          <w:i/>
        </w:rPr>
        <w:t xml:space="preserve"> </w:t>
      </w:r>
      <w:r>
        <w:t>26 June 1987) arts 13, 16(1).</w:t>
      </w:r>
    </w:p>
  </w:endnote>
  <w:endnote w:id="15">
    <w:p w:rsidR="009D6210" w:rsidRDefault="009D6210" w:rsidP="00334E23">
      <w:pPr>
        <w:pStyle w:val="EndnoteText"/>
      </w:pPr>
      <w:r>
        <w:rPr>
          <w:rStyle w:val="EndnoteReference"/>
        </w:rPr>
        <w:endnoteRef/>
      </w:r>
      <w:r>
        <w:t xml:space="preserve"> </w:t>
      </w:r>
      <w:r w:rsidRPr="009F3605">
        <w:rPr>
          <w:i/>
        </w:rPr>
        <w:t>International Covenant on Civil and Political Rights</w:t>
      </w:r>
      <w:r>
        <w:t>, opened for signature 16 December 1966, 999 UNTS 171 (entered into force 23 March 1976) art 9(1)</w:t>
      </w:r>
    </w:p>
  </w:endnote>
  <w:endnote w:id="16">
    <w:p w:rsidR="009D6210" w:rsidRPr="009C471B" w:rsidRDefault="009D6210" w:rsidP="00334E23">
      <w:pPr>
        <w:pStyle w:val="EndnoteText"/>
        <w:rPr>
          <w:rFonts w:cs="Arial"/>
        </w:rPr>
      </w:pPr>
      <w:r w:rsidRPr="0064585D">
        <w:rPr>
          <w:rStyle w:val="EndnoteReference"/>
          <w:rFonts w:cs="Arial"/>
        </w:rPr>
        <w:endnoteRef/>
      </w:r>
      <w:r w:rsidRPr="0064585D">
        <w:rPr>
          <w:rFonts w:cs="Arial"/>
        </w:rPr>
        <w:t xml:space="preserve"> Human Rights Committee, </w:t>
      </w:r>
      <w:r w:rsidRPr="0064585D">
        <w:rPr>
          <w:rFonts w:cs="Arial"/>
          <w:i/>
        </w:rPr>
        <w:t>Van Alphen v Netherlands</w:t>
      </w:r>
      <w:r w:rsidRPr="0064585D">
        <w:rPr>
          <w:rFonts w:cs="Arial"/>
        </w:rPr>
        <w:t xml:space="preserve">, Communication No. 305/1988, UN Doc CCPR/C/39/D/305/1988 (23 July 1990) [5.8]. At </w:t>
      </w:r>
      <w:hyperlink r:id="rId7" w:history="1">
        <w:r w:rsidRPr="009C471B">
          <w:rPr>
            <w:rStyle w:val="Hyperlink"/>
            <w:rFonts w:cs="Arial"/>
          </w:rPr>
          <w:t>http://www.refworld.org/docid/525414304.html</w:t>
        </w:r>
      </w:hyperlink>
      <w:r w:rsidRPr="009C471B">
        <w:rPr>
          <w:rFonts w:cs="Arial"/>
          <w:color w:val="3F3F3F"/>
        </w:rPr>
        <w:t xml:space="preserve"> </w:t>
      </w:r>
      <w:r w:rsidRPr="0064585D">
        <w:rPr>
          <w:rFonts w:cs="Arial"/>
        </w:rPr>
        <w:t>(viewed 7 December 2016</w:t>
      </w:r>
      <w:r w:rsidRPr="00CA40E2">
        <w:rPr>
          <w:rFonts w:cs="Arial"/>
        </w:rPr>
        <w:t xml:space="preserve">); </w:t>
      </w:r>
      <w:r w:rsidRPr="002A0E66">
        <w:rPr>
          <w:rFonts w:cs="Arial"/>
        </w:rPr>
        <w:t xml:space="preserve">Human Rights Committee, </w:t>
      </w:r>
      <w:r w:rsidRPr="00254312">
        <w:rPr>
          <w:rFonts w:cs="Arial"/>
          <w:i/>
          <w:iCs/>
        </w:rPr>
        <w:t>A v Australia</w:t>
      </w:r>
      <w:r w:rsidRPr="00263ACA">
        <w:rPr>
          <w:rFonts w:cs="Arial"/>
        </w:rPr>
        <w:t>, Communication No. 560/1993, UN Doc CCPR/C/59/D/560/1993 (</w:t>
      </w:r>
      <w:r w:rsidRPr="00B32803">
        <w:rPr>
          <w:rFonts w:cs="Arial"/>
        </w:rPr>
        <w:t xml:space="preserve">3 April1997) [9.4]. At </w:t>
      </w:r>
      <w:hyperlink r:id="rId8" w:history="1">
        <w:r w:rsidRPr="00EE5A03">
          <w:rPr>
            <w:rStyle w:val="Hyperlink"/>
            <w:rFonts w:cs="Arial"/>
          </w:rPr>
          <w:t>http://www.refworld.org/docid/3ae6b71a0.html</w:t>
        </w:r>
      </w:hyperlink>
      <w:r w:rsidRPr="0015670A">
        <w:rPr>
          <w:rFonts w:cs="Arial"/>
        </w:rPr>
        <w:t xml:space="preserve"> (viewed 7 December 2016).</w:t>
      </w:r>
    </w:p>
  </w:endnote>
  <w:endnote w:id="17">
    <w:p w:rsidR="009D6210" w:rsidRDefault="009D6210" w:rsidP="00334E23">
      <w:pPr>
        <w:pStyle w:val="EndnoteText"/>
      </w:pPr>
      <w:r>
        <w:rPr>
          <w:rStyle w:val="EndnoteReference"/>
        </w:rPr>
        <w:endnoteRef/>
      </w:r>
      <w:r>
        <w:t xml:space="preserve"> </w:t>
      </w:r>
      <w:r w:rsidRPr="009F3605">
        <w:rPr>
          <w:i/>
        </w:rPr>
        <w:t>International Covenant on Civil and Political Rights</w:t>
      </w:r>
      <w:r>
        <w:t>, opened for signature 16 December 1966, 999 UNTS 171 (entered into force 23 March 1976) arts 9(2), 9(4)</w:t>
      </w:r>
    </w:p>
  </w:endnote>
  <w:endnote w:id="18">
    <w:p w:rsidR="009D6210" w:rsidRPr="007B75CE" w:rsidRDefault="009D6210">
      <w:pPr>
        <w:pStyle w:val="EndnoteText"/>
      </w:pPr>
      <w:r>
        <w:rPr>
          <w:rStyle w:val="EndnoteReference"/>
        </w:rPr>
        <w:endnoteRef/>
      </w:r>
      <w:r>
        <w:t xml:space="preserve"> Department of Immigration and Citizenship, </w:t>
      </w:r>
      <w:r>
        <w:rPr>
          <w:i/>
        </w:rPr>
        <w:t xml:space="preserve">Immigration Detention Statistics Summary </w:t>
      </w:r>
      <w:r>
        <w:t xml:space="preserve">(18 July 2008) 1. The Commission visited the PIDC on 14 and 15 July 2008. </w:t>
      </w:r>
    </w:p>
  </w:endnote>
  <w:endnote w:id="19">
    <w:p w:rsidR="009D6210" w:rsidRPr="00B071D4" w:rsidRDefault="009D6210" w:rsidP="00BF2524">
      <w:pPr>
        <w:pStyle w:val="EndnoteText"/>
      </w:pPr>
      <w:r>
        <w:rPr>
          <w:rStyle w:val="EndnoteReference"/>
        </w:rPr>
        <w:endnoteRef/>
      </w:r>
      <w:r>
        <w:t xml:space="preserve"> Department of Immigration and Citizenship, </w:t>
      </w:r>
      <w:r w:rsidRPr="00EB4FB4">
        <w:rPr>
          <w:i/>
        </w:rPr>
        <w:t>Immigration Detention Statistics Summary</w:t>
      </w:r>
      <w:r>
        <w:t xml:space="preserve"> (31 July 2013) 3–4. At </w:t>
      </w:r>
      <w:hyperlink r:id="rId9" w:history="1">
        <w:r w:rsidRPr="00AD64A5">
          <w:rPr>
            <w:rStyle w:val="Hyperlink"/>
          </w:rPr>
          <w:t>http://www.border.gov.au/ReportsandPublications/Documents/statistics/immigration-detention-statistics-july2013.pdf</w:t>
        </w:r>
      </w:hyperlink>
      <w:r>
        <w:t xml:space="preserve"> (viewed 12 May 2017); </w:t>
      </w:r>
      <w:r w:rsidR="00900D4E">
        <w:t xml:space="preserve">Department of </w:t>
      </w:r>
      <w:r w:rsidR="00861EBE">
        <w:t>Immigration and Border Protection</w:t>
      </w:r>
      <w:r>
        <w:t xml:space="preserve">, </w:t>
      </w:r>
      <w:r w:rsidRPr="007D3190">
        <w:rPr>
          <w:i/>
        </w:rPr>
        <w:t>Immigration Detention and Community Statistics Summary</w:t>
      </w:r>
      <w:r>
        <w:t xml:space="preserve"> (28 February 2015) 3, 5. At </w:t>
      </w:r>
      <w:hyperlink r:id="rId10" w:history="1">
        <w:r w:rsidRPr="00AD64A5">
          <w:rPr>
            <w:rStyle w:val="Hyperlink"/>
          </w:rPr>
          <w:t>http://www.border.gov.au/ReportsandPublications/Documents/statistics/immigration-detention-statistics-feb2015.pdf</w:t>
        </w:r>
      </w:hyperlink>
      <w:r>
        <w:t xml:space="preserve"> (viewed 12 May 2017).  </w:t>
      </w:r>
    </w:p>
  </w:endnote>
  <w:endnote w:id="20">
    <w:p w:rsidR="009D6210" w:rsidRDefault="009D6210" w:rsidP="00BF2524">
      <w:pPr>
        <w:pStyle w:val="EndnoteText"/>
      </w:pPr>
      <w:r>
        <w:rPr>
          <w:rStyle w:val="EndnoteReference"/>
        </w:rPr>
        <w:endnoteRef/>
      </w:r>
      <w:r>
        <w:t xml:space="preserve"> Department of Immigration and Citizenship, </w:t>
      </w:r>
      <w:r w:rsidRPr="00EB4FB4">
        <w:rPr>
          <w:i/>
        </w:rPr>
        <w:t>Immigration Detention Statistics Summary</w:t>
      </w:r>
      <w:r>
        <w:t xml:space="preserve"> (31 July 2013) 3, 7. At </w:t>
      </w:r>
      <w:hyperlink r:id="rId11" w:history="1">
        <w:r w:rsidRPr="00AD64A5">
          <w:rPr>
            <w:rStyle w:val="Hyperlink"/>
          </w:rPr>
          <w:t>http://www.border.gov.au/ReportsandPublications/Documents/statistics/immigration-detention-statistics-july2013.pdf</w:t>
        </w:r>
      </w:hyperlink>
      <w:r>
        <w:t xml:space="preserve"> (viewed 12 May 2017); </w:t>
      </w:r>
      <w:r w:rsidR="00900D4E">
        <w:t xml:space="preserve">Department of </w:t>
      </w:r>
      <w:r w:rsidR="00861EBE">
        <w:t>Immigration and Border Protection</w:t>
      </w:r>
      <w:r>
        <w:t xml:space="preserve">, </w:t>
      </w:r>
      <w:r w:rsidRPr="007D3190">
        <w:rPr>
          <w:i/>
        </w:rPr>
        <w:t>Immigration Detention and Community Statistics Summary</w:t>
      </w:r>
      <w:r>
        <w:t xml:space="preserve"> (28 February 2015) 3, 8. At </w:t>
      </w:r>
      <w:hyperlink r:id="rId12" w:history="1">
        <w:r w:rsidRPr="00AD64A5">
          <w:rPr>
            <w:rStyle w:val="Hyperlink"/>
          </w:rPr>
          <w:t>http://www.border.gov.au/ReportsandPublications/Documents/statistics/immigration-detention-statistics-feb2015.pdf</w:t>
        </w:r>
      </w:hyperlink>
      <w:r>
        <w:t xml:space="preserve"> (viewed 12 May 2017). </w:t>
      </w:r>
    </w:p>
  </w:endnote>
  <w:endnote w:id="21">
    <w:p w:rsidR="009D6210" w:rsidRDefault="009D6210" w:rsidP="00BF2524">
      <w:pPr>
        <w:pStyle w:val="EndnoteText"/>
      </w:pPr>
      <w:r>
        <w:rPr>
          <w:rStyle w:val="EndnoteReference"/>
        </w:rPr>
        <w:endnoteRef/>
      </w:r>
      <w:r>
        <w:t xml:space="preserve"> </w:t>
      </w:r>
      <w:r w:rsidR="00900D4E">
        <w:t xml:space="preserve">Department of </w:t>
      </w:r>
      <w:r w:rsidR="00861EBE">
        <w:t>Immigration and Border Protection</w:t>
      </w:r>
      <w:r>
        <w:t xml:space="preserve">, </w:t>
      </w:r>
      <w:r w:rsidRPr="007D3190">
        <w:rPr>
          <w:i/>
        </w:rPr>
        <w:t>Immigration Detention and Community Statistics Summary</w:t>
      </w:r>
      <w:r>
        <w:t xml:space="preserve"> (31 August 2017) 4. At </w:t>
      </w:r>
      <w:hyperlink r:id="rId13" w:history="1">
        <w:r w:rsidRPr="00C210A9">
          <w:rPr>
            <w:rStyle w:val="Hyperlink"/>
          </w:rPr>
          <w:t>http://www.border.gov.au/ReportsandPublications/Documents/statistics/immigration-detention-statistics-31-august-2017.pdf</w:t>
        </w:r>
      </w:hyperlink>
      <w:r>
        <w:t xml:space="preserve"> (viewed 16 October 2017). Note that these figures do not include people detained in the Regional Processing Centres in Nauru and Manus Island, Papua New Guinea. </w:t>
      </w:r>
    </w:p>
  </w:endnote>
  <w:endnote w:id="22">
    <w:p w:rsidR="009D6210" w:rsidRDefault="009D6210" w:rsidP="00011EB8">
      <w:pPr>
        <w:pStyle w:val="EndnoteText"/>
      </w:pPr>
      <w:r>
        <w:rPr>
          <w:rStyle w:val="EndnoteReference"/>
        </w:rPr>
        <w:endnoteRef/>
      </w:r>
      <w:r>
        <w:t xml:space="preserve"> Department of Immigration and Citizenship, </w:t>
      </w:r>
      <w:r w:rsidRPr="00EB4FB4">
        <w:rPr>
          <w:i/>
        </w:rPr>
        <w:t>Immigration Detention Statistics Summary</w:t>
      </w:r>
      <w:r>
        <w:t xml:space="preserve"> (31 July 2013) 9. At </w:t>
      </w:r>
      <w:hyperlink r:id="rId14" w:history="1">
        <w:r w:rsidRPr="00AD64A5">
          <w:rPr>
            <w:rStyle w:val="Hyperlink"/>
          </w:rPr>
          <w:t>http://www.border.gov.au/ReportsandPublications/Documents/statistics/immigration-detention-statistics-july2013.pdf</w:t>
        </w:r>
      </w:hyperlink>
      <w:r>
        <w:t xml:space="preserve"> (viewed 12 May 2017).</w:t>
      </w:r>
    </w:p>
  </w:endnote>
  <w:endnote w:id="23">
    <w:p w:rsidR="009D6210" w:rsidRDefault="009D6210" w:rsidP="00011EB8">
      <w:pPr>
        <w:pStyle w:val="EndnoteText"/>
      </w:pPr>
      <w:r w:rsidRPr="00B6134D">
        <w:rPr>
          <w:rStyle w:val="EndnoteReference"/>
        </w:rPr>
        <w:endnoteRef/>
      </w:r>
      <w:r w:rsidRPr="00B6134D">
        <w:t xml:space="preserve"> </w:t>
      </w:r>
      <w:r w:rsidR="00900D4E">
        <w:t xml:space="preserve">Department of </w:t>
      </w:r>
      <w:r w:rsidR="00861EBE">
        <w:t>Immigration and Border Protection</w:t>
      </w:r>
      <w:r w:rsidRPr="00B6134D">
        <w:t xml:space="preserve">, </w:t>
      </w:r>
      <w:r w:rsidRPr="00B6134D">
        <w:rPr>
          <w:i/>
        </w:rPr>
        <w:t>Immigration Detention and Community Statistics Summary</w:t>
      </w:r>
      <w:r w:rsidRPr="00B6134D">
        <w:t xml:space="preserve"> (31 January 2017)</w:t>
      </w:r>
      <w:r>
        <w:t xml:space="preserve"> 11</w:t>
      </w:r>
      <w:r w:rsidRPr="00B6134D">
        <w:t xml:space="preserve">. At </w:t>
      </w:r>
      <w:hyperlink r:id="rId15" w:history="1">
        <w:r w:rsidRPr="00B6134D">
          <w:rPr>
            <w:rStyle w:val="Hyperlink"/>
          </w:rPr>
          <w:t>http://www.border.gov.au/ReportsandPublications/Documents/statistics/immigration-detention-statistics-31-jan-2017.pdf</w:t>
        </w:r>
      </w:hyperlink>
      <w:r w:rsidRPr="00B6134D">
        <w:t xml:space="preserve"> (viewed 12 May 2017).</w:t>
      </w:r>
    </w:p>
  </w:endnote>
  <w:endnote w:id="24">
    <w:p w:rsidR="009D6210" w:rsidRDefault="009D6210" w:rsidP="00011EB8">
      <w:pPr>
        <w:pStyle w:val="EndnoteText"/>
      </w:pPr>
      <w:r w:rsidRPr="005B2F22">
        <w:rPr>
          <w:rStyle w:val="EndnoteReference"/>
        </w:rPr>
        <w:endnoteRef/>
      </w:r>
      <w:r w:rsidRPr="005B2F22">
        <w:t xml:space="preserve"> </w:t>
      </w:r>
      <w:r w:rsidR="00900D4E">
        <w:t xml:space="preserve">Department of </w:t>
      </w:r>
      <w:r w:rsidR="00861EBE">
        <w:t>Immigration and Border Protection</w:t>
      </w:r>
      <w:r w:rsidR="00E233A1">
        <w:t xml:space="preserve">, </w:t>
      </w:r>
      <w:r w:rsidR="00E233A1" w:rsidRPr="007D3190">
        <w:rPr>
          <w:i/>
        </w:rPr>
        <w:t>Immigration Detention and Community Statistics Summary</w:t>
      </w:r>
      <w:r w:rsidR="00E233A1">
        <w:t xml:space="preserve"> (31 August 2017) 11. At </w:t>
      </w:r>
      <w:hyperlink r:id="rId16" w:history="1">
        <w:r w:rsidR="00E233A1" w:rsidRPr="00C210A9">
          <w:rPr>
            <w:rStyle w:val="Hyperlink"/>
          </w:rPr>
          <w:t>http://www.border.gov.au/ReportsandPublications/Documents/statistics/immigration-detention-statistics-31-august-2017.pdf</w:t>
        </w:r>
      </w:hyperlink>
      <w:r w:rsidR="00E233A1">
        <w:t xml:space="preserve"> (viewed 16 October 2017).</w:t>
      </w:r>
    </w:p>
  </w:endnote>
  <w:endnote w:id="25">
    <w:p w:rsidR="009D6210" w:rsidRPr="007B75CE" w:rsidRDefault="009D6210" w:rsidP="00721A01">
      <w:pPr>
        <w:pStyle w:val="EndnoteText"/>
      </w:pPr>
      <w:r>
        <w:rPr>
          <w:rStyle w:val="EndnoteReference"/>
        </w:rPr>
        <w:endnoteRef/>
      </w:r>
      <w:r>
        <w:t xml:space="preserve"> Department of Immigration and Citizenship, </w:t>
      </w:r>
      <w:r>
        <w:rPr>
          <w:i/>
        </w:rPr>
        <w:t xml:space="preserve">Immigration Detention Statistics Summary </w:t>
      </w:r>
      <w:r>
        <w:t>(18 July 2008) 4.</w:t>
      </w:r>
    </w:p>
  </w:endnote>
  <w:endnote w:id="26">
    <w:p w:rsidR="009D6210" w:rsidRPr="007B3D71" w:rsidRDefault="009D6210" w:rsidP="0009375C">
      <w:pPr>
        <w:pStyle w:val="EndnoteText"/>
      </w:pPr>
      <w:r w:rsidRPr="007B3D71">
        <w:rPr>
          <w:rStyle w:val="EndnoteReference"/>
        </w:rPr>
        <w:endnoteRef/>
      </w:r>
      <w:r w:rsidRPr="007B3D71">
        <w:t xml:space="preserve"> Department of Immigration and Citizenship, </w:t>
      </w:r>
      <w:r w:rsidRPr="007B3D71">
        <w:rPr>
          <w:i/>
        </w:rPr>
        <w:t>Immigration Detention Statistics Summary</w:t>
      </w:r>
      <w:r w:rsidRPr="007B3D71">
        <w:t xml:space="preserve"> (31 July 2013) 9. At </w:t>
      </w:r>
      <w:hyperlink r:id="rId17" w:history="1">
        <w:r w:rsidRPr="007B3D71">
          <w:rPr>
            <w:rStyle w:val="Hyperlink"/>
          </w:rPr>
          <w:t>http://www.border.gov.au/ReportsandPublications/Documents/statistics/immigration-detention-statistics-july2013.pdf</w:t>
        </w:r>
      </w:hyperlink>
      <w:r>
        <w:t xml:space="preserve"> (viewed 12 May 2017).</w:t>
      </w:r>
    </w:p>
  </w:endnote>
  <w:endnote w:id="27">
    <w:p w:rsidR="009D6210" w:rsidRDefault="009D6210" w:rsidP="005A4714">
      <w:pPr>
        <w:pStyle w:val="EndnoteText"/>
      </w:pPr>
      <w:r w:rsidRPr="007B3D71">
        <w:rPr>
          <w:rStyle w:val="EndnoteReference"/>
        </w:rPr>
        <w:endnoteRef/>
      </w:r>
      <w:r w:rsidRPr="007B3D71">
        <w:t xml:space="preserve"> </w:t>
      </w:r>
      <w:r w:rsidR="00900D4E">
        <w:t xml:space="preserve">Department of </w:t>
      </w:r>
      <w:r w:rsidR="00861EBE">
        <w:t>Immigration and Border Protection</w:t>
      </w:r>
      <w:r>
        <w:t xml:space="preserve">, </w:t>
      </w:r>
      <w:r w:rsidRPr="007D3190">
        <w:rPr>
          <w:i/>
        </w:rPr>
        <w:t>Immigration Detention and Community Statistics Summary</w:t>
      </w:r>
      <w:r>
        <w:t xml:space="preserve"> (31 August 2017) 11. At </w:t>
      </w:r>
      <w:hyperlink r:id="rId18" w:history="1">
        <w:r w:rsidRPr="00C210A9">
          <w:rPr>
            <w:rStyle w:val="Hyperlink"/>
          </w:rPr>
          <w:t>http://www.border.gov.au/ReportsandPublications/Documents/statistics/immigration-detention-statistics-31-august-2017.pdf</w:t>
        </w:r>
      </w:hyperlink>
      <w:r>
        <w:t xml:space="preserve"> (viewed 16 October 2017).</w:t>
      </w:r>
    </w:p>
  </w:endnote>
  <w:endnote w:id="28">
    <w:p w:rsidR="009D6210" w:rsidRDefault="009D6210">
      <w:pPr>
        <w:pStyle w:val="EndnoteText"/>
      </w:pPr>
      <w:r>
        <w:rPr>
          <w:rStyle w:val="EndnoteReference"/>
        </w:rPr>
        <w:endnoteRef/>
      </w:r>
      <w:r>
        <w:t xml:space="preserve"> Department of Immigration and Citizenship, </w:t>
      </w:r>
      <w:r>
        <w:rPr>
          <w:i/>
        </w:rPr>
        <w:t xml:space="preserve">Immigration Detention Statistics Summary </w:t>
      </w:r>
      <w:r>
        <w:t>(18 July 2008) 2.</w:t>
      </w:r>
    </w:p>
  </w:endnote>
  <w:endnote w:id="29">
    <w:p w:rsidR="009D6210" w:rsidRDefault="009D6210" w:rsidP="00967F9C">
      <w:pPr>
        <w:pStyle w:val="EndnoteText"/>
      </w:pPr>
      <w:r>
        <w:rPr>
          <w:rStyle w:val="EndnoteReference"/>
        </w:rPr>
        <w:endnoteRef/>
      </w:r>
      <w:r>
        <w:t xml:space="preserve"> Department of Immigration and Citizenship, </w:t>
      </w:r>
      <w:r w:rsidRPr="00EB4FB4">
        <w:rPr>
          <w:i/>
        </w:rPr>
        <w:t>Immigration Detention Statistics Summary</w:t>
      </w:r>
      <w:r>
        <w:t xml:space="preserve"> (31 July 2013) 5. At </w:t>
      </w:r>
      <w:hyperlink r:id="rId19" w:history="1">
        <w:r w:rsidRPr="00AD64A5">
          <w:rPr>
            <w:rStyle w:val="Hyperlink"/>
          </w:rPr>
          <w:t>http://www.border.gov.au/ReportsandPublications/Documents/statistics/immigration-detention-statistics-july2013.pdf</w:t>
        </w:r>
      </w:hyperlink>
      <w:r>
        <w:t xml:space="preserve"> (viewed 12 May 2017).</w:t>
      </w:r>
    </w:p>
  </w:endnote>
  <w:endnote w:id="30">
    <w:p w:rsidR="009D6210" w:rsidRDefault="009D6210" w:rsidP="00DB666E">
      <w:pPr>
        <w:pStyle w:val="EndnoteText"/>
      </w:pPr>
      <w:r>
        <w:rPr>
          <w:rStyle w:val="EndnoteReference"/>
        </w:rPr>
        <w:endnoteRef/>
      </w:r>
      <w:r>
        <w:t xml:space="preserve"> See the </w:t>
      </w:r>
      <w:r w:rsidR="00900D4E">
        <w:t>Department of Home Affairs</w:t>
      </w:r>
      <w:r w:rsidR="00861EBE">
        <w:t>’</w:t>
      </w:r>
      <w:r>
        <w:t xml:space="preserve"> immigration detention statistics summaries, available at </w:t>
      </w:r>
      <w:hyperlink r:id="rId20" w:history="1">
        <w:r w:rsidRPr="00AD64A5">
          <w:rPr>
            <w:rStyle w:val="Hyperlink"/>
          </w:rPr>
          <w:t>http://www.border.gov.au/about/reports-publications/research-statistics/statistics/live-in-australia/immigration-detention</w:t>
        </w:r>
      </w:hyperlink>
      <w:r>
        <w:t xml:space="preserve"> (viewed 12 May 2017). </w:t>
      </w:r>
    </w:p>
  </w:endnote>
  <w:endnote w:id="31">
    <w:p w:rsidR="009D6210" w:rsidRDefault="009D6210" w:rsidP="00DB666E">
      <w:pPr>
        <w:pStyle w:val="EndnoteText"/>
      </w:pPr>
      <w:r>
        <w:rPr>
          <w:rStyle w:val="EndnoteReference"/>
        </w:rPr>
        <w:endnoteRef/>
      </w:r>
      <w:r>
        <w:t xml:space="preserve"> </w:t>
      </w:r>
      <w:r w:rsidRPr="00514A7E">
        <w:rPr>
          <w:i/>
          <w:lang w:val="en"/>
        </w:rPr>
        <w:t>Migration Amendment (Character and General Visa Cancellation) Act 2014</w:t>
      </w:r>
      <w:r>
        <w:rPr>
          <w:lang w:val="en"/>
        </w:rPr>
        <w:t xml:space="preserve"> (Cth)</w:t>
      </w:r>
    </w:p>
  </w:endnote>
  <w:endnote w:id="32">
    <w:p w:rsidR="009D6210" w:rsidRPr="002E781F" w:rsidRDefault="009D6210" w:rsidP="00DB666E">
      <w:pPr>
        <w:pStyle w:val="EndnoteText"/>
      </w:pPr>
      <w:r>
        <w:rPr>
          <w:rStyle w:val="EndnoteReference"/>
        </w:rPr>
        <w:endnoteRef/>
      </w:r>
      <w:r>
        <w:t xml:space="preserve"> </w:t>
      </w:r>
      <w:r w:rsidR="00900D4E">
        <w:rPr>
          <w:rFonts w:cs="Arial"/>
        </w:rPr>
        <w:t xml:space="preserve">Department of </w:t>
      </w:r>
      <w:r w:rsidR="00861EBE">
        <w:rPr>
          <w:rFonts w:cs="Arial"/>
        </w:rPr>
        <w:t>Immigration and Border Protection</w:t>
      </w:r>
      <w:r>
        <w:rPr>
          <w:rFonts w:cs="Arial"/>
        </w:rPr>
        <w:t xml:space="preserve">, </w:t>
      </w:r>
      <w:r w:rsidRPr="00E06DD6">
        <w:rPr>
          <w:rFonts w:cs="Arial"/>
          <w:i/>
        </w:rPr>
        <w:t>Key visa cancellation statistics</w:t>
      </w:r>
      <w:r>
        <w:rPr>
          <w:rFonts w:cs="Arial"/>
        </w:rPr>
        <w:t xml:space="preserve"> (n.d.). At </w:t>
      </w:r>
      <w:hyperlink r:id="rId21" w:history="1">
        <w:r w:rsidRPr="002E781F">
          <w:rPr>
            <w:rStyle w:val="Hyperlink"/>
            <w:rFonts w:cs="Arial"/>
          </w:rPr>
          <w:t>http://www.border.gov.au/about/reports-publications/research-statistics/statistics/key-cancellation-statistics</w:t>
        </w:r>
      </w:hyperlink>
      <w:r>
        <w:rPr>
          <w:rFonts w:cs="Arial"/>
        </w:rPr>
        <w:t xml:space="preserve"> (viewed 29 November 2016); </w:t>
      </w:r>
      <w:r w:rsidR="00900D4E">
        <w:rPr>
          <w:rFonts w:cs="Arial"/>
        </w:rPr>
        <w:t xml:space="preserve">Department of </w:t>
      </w:r>
      <w:r w:rsidR="00861EBE">
        <w:rPr>
          <w:rFonts w:cs="Arial"/>
        </w:rPr>
        <w:t>Immigration and Border Protection</w:t>
      </w:r>
      <w:r>
        <w:rPr>
          <w:rFonts w:cs="Arial"/>
        </w:rPr>
        <w:t xml:space="preserve">, </w:t>
      </w:r>
      <w:r>
        <w:rPr>
          <w:rFonts w:cs="Arial"/>
          <w:i/>
        </w:rPr>
        <w:t>Annual Report 2016–17</w:t>
      </w:r>
      <w:r w:rsidRPr="003464F8">
        <w:rPr>
          <w:rFonts w:cs="Arial"/>
        </w:rPr>
        <w:t xml:space="preserve"> </w:t>
      </w:r>
      <w:r>
        <w:rPr>
          <w:rFonts w:cs="Arial"/>
        </w:rPr>
        <w:t xml:space="preserve">(2017) 8. At </w:t>
      </w:r>
      <w:hyperlink r:id="rId22" w:history="1">
        <w:r w:rsidRPr="00C210A9">
          <w:rPr>
            <w:rStyle w:val="Hyperlink"/>
            <w:rFonts w:cs="Arial"/>
          </w:rPr>
          <w:t>http://www.border.gov.au/ReportsandPublications/Documents/annual-reports/complete-annual-report-2016-17.pdf</w:t>
        </w:r>
      </w:hyperlink>
      <w:r>
        <w:rPr>
          <w:rFonts w:cs="Arial"/>
        </w:rPr>
        <w:t xml:space="preserve"> (viewed 23 October 2017). </w:t>
      </w:r>
    </w:p>
  </w:endnote>
  <w:endnote w:id="33">
    <w:p w:rsidR="009D6210" w:rsidRPr="002E781F" w:rsidRDefault="009D6210" w:rsidP="00DB666E">
      <w:pPr>
        <w:pStyle w:val="EndnoteText"/>
      </w:pPr>
      <w:r w:rsidRPr="002E781F">
        <w:rPr>
          <w:rStyle w:val="EndnoteReference"/>
        </w:rPr>
        <w:endnoteRef/>
      </w:r>
      <w:r w:rsidRPr="002E781F">
        <w:t xml:space="preserve"> </w:t>
      </w:r>
      <w:r w:rsidR="00900D4E">
        <w:t xml:space="preserve">Department of </w:t>
      </w:r>
      <w:r w:rsidR="00861EBE">
        <w:t>Immigration and Border Protection</w:t>
      </w:r>
      <w:r>
        <w:t xml:space="preserve">, </w:t>
      </w:r>
      <w:r w:rsidRPr="007D3190">
        <w:rPr>
          <w:i/>
        </w:rPr>
        <w:t>Immigration Detention and Community Statistics Summary</w:t>
      </w:r>
      <w:r>
        <w:t xml:space="preserve"> (31 August 2017) 4. At </w:t>
      </w:r>
      <w:hyperlink r:id="rId23" w:history="1">
        <w:r w:rsidRPr="00C210A9">
          <w:rPr>
            <w:rStyle w:val="Hyperlink"/>
          </w:rPr>
          <w:t>http://www.border.gov.au/ReportsandPublications/Documents/statistics/immigration-detention-statistics-31-august-2017.pdf</w:t>
        </w:r>
      </w:hyperlink>
      <w:r>
        <w:t xml:space="preserve"> (viewed 16 October 2017).</w:t>
      </w:r>
    </w:p>
  </w:endnote>
  <w:endnote w:id="34">
    <w:p w:rsidR="00900D4E" w:rsidRDefault="00900D4E" w:rsidP="00900D4E">
      <w:pPr>
        <w:pStyle w:val="EndnoteText"/>
      </w:pPr>
      <w:r>
        <w:rPr>
          <w:rStyle w:val="EndnoteReference"/>
        </w:rPr>
        <w:endnoteRef/>
      </w:r>
      <w:r>
        <w:t xml:space="preserve"> Department of Home Affairs, ‘</w:t>
      </w:r>
      <w:r w:rsidRPr="002154A7">
        <w:t>Update on Machinery of Government changes</w:t>
      </w:r>
      <w:r>
        <w:t xml:space="preserve">’ (Media Release, 20 December 2017). At </w:t>
      </w:r>
      <w:hyperlink r:id="rId24" w:history="1">
        <w:r w:rsidRPr="006C2570">
          <w:rPr>
            <w:rStyle w:val="Hyperlink"/>
          </w:rPr>
          <w:t>https://www.homeaffairs.gov.au/News/Pages/machinery-government-changes.aspx</w:t>
        </w:r>
      </w:hyperlink>
      <w:r>
        <w:t xml:space="preserve"> (viewed 18 January 2018). </w:t>
      </w:r>
    </w:p>
  </w:endnote>
  <w:endnote w:id="35">
    <w:p w:rsidR="008B3074" w:rsidRDefault="008B3074" w:rsidP="008B3074">
      <w:pPr>
        <w:pStyle w:val="EndnoteText"/>
      </w:pPr>
      <w:r>
        <w:rPr>
          <w:rStyle w:val="EndnoteReference"/>
        </w:rPr>
        <w:endnoteRef/>
      </w:r>
      <w:r>
        <w:t xml:space="preserve"> See Australian Human Rights Commission, </w:t>
      </w:r>
      <w:r w:rsidRPr="00DD7D05">
        <w:rPr>
          <w:i/>
        </w:rPr>
        <w:t>Inspection of Maribyrnong Immigration Detention Centre</w:t>
      </w:r>
      <w:r>
        <w:t xml:space="preserve"> (2017) 15. At </w:t>
      </w:r>
      <w:hyperlink r:id="rId25" w:history="1">
        <w:r w:rsidRPr="00546441">
          <w:rPr>
            <w:rStyle w:val="Hyperlink"/>
          </w:rPr>
          <w:t>https://www.humanrights.gov.au/our-work/asylum-seekers-and-refugees/publications/inspection-maribyrnong-immigration-detention</w:t>
        </w:r>
      </w:hyperlink>
      <w:r>
        <w:t xml:space="preserve"> (viewed 17 January 2018); Australian Human Rights Commission, </w:t>
      </w:r>
      <w:r w:rsidRPr="00ED36DA">
        <w:rPr>
          <w:i/>
        </w:rPr>
        <w:t>Inspection of Melbourne Immigration Transit Accommodation</w:t>
      </w:r>
      <w:r>
        <w:t xml:space="preserve"> (2017) 13–14. At </w:t>
      </w:r>
      <w:hyperlink r:id="rId26" w:history="1">
        <w:r w:rsidRPr="00546441">
          <w:rPr>
            <w:rStyle w:val="Hyperlink"/>
          </w:rPr>
          <w:t>https://www.humanrights.gov.au/our-work/asylum-seekers-and-refugees/publications/inspection-melbourne-immigration-transit</w:t>
        </w:r>
      </w:hyperlink>
      <w:r>
        <w:t xml:space="preserve"> (viewed 17 January 2018); Australian Human Rights Commission, </w:t>
      </w:r>
      <w:r w:rsidRPr="00ED36DA">
        <w:rPr>
          <w:i/>
        </w:rPr>
        <w:t>Inspection of Villawood Immigration Detention Centre</w:t>
      </w:r>
      <w:r>
        <w:t xml:space="preserve"> (2017) 15–16. At </w:t>
      </w:r>
      <w:hyperlink r:id="rId27" w:history="1">
        <w:r w:rsidRPr="00546441">
          <w:rPr>
            <w:rStyle w:val="Hyperlink"/>
          </w:rPr>
          <w:t>https://www.humanrights.gov.au/our-work/asylum-seekers-and-refugees/publications/inspection-villawood-immigration-detention-centre</w:t>
        </w:r>
      </w:hyperlink>
      <w:r>
        <w:t xml:space="preserve"> (viewed 17 January 2018). </w:t>
      </w:r>
    </w:p>
  </w:endnote>
  <w:endnote w:id="36">
    <w:p w:rsidR="009D6210" w:rsidRDefault="009D6210" w:rsidP="008C1643">
      <w:pPr>
        <w:pStyle w:val="EndnoteText"/>
      </w:pPr>
      <w:r>
        <w:rPr>
          <w:rStyle w:val="EndnoteReference"/>
        </w:rPr>
        <w:endnoteRef/>
      </w:r>
      <w:r>
        <w:t xml:space="preserve"> </w:t>
      </w:r>
      <w:r w:rsidRPr="0037309A">
        <w:t xml:space="preserve">Louise </w:t>
      </w:r>
      <w:r>
        <w:t xml:space="preserve">K </w:t>
      </w:r>
      <w:r w:rsidRPr="0037309A">
        <w:t>Newman</w:t>
      </w:r>
      <w:r>
        <w:t xml:space="preserve">, Nicholas G Procter and Michael J Dudley, ‘Suicide and self-harm in immigration detention’ (2011) 195(6) </w:t>
      </w:r>
      <w:r>
        <w:rPr>
          <w:i/>
        </w:rPr>
        <w:t>Medical Journal of Australia</w:t>
      </w:r>
      <w:r>
        <w:t xml:space="preserve"> 310; </w:t>
      </w:r>
      <w:r w:rsidRPr="004F6266">
        <w:t>M</w:t>
      </w:r>
      <w:r>
        <w:t>elissa</w:t>
      </w:r>
      <w:r w:rsidRPr="004F6266">
        <w:t xml:space="preserve"> Bull </w:t>
      </w:r>
      <w:r w:rsidRPr="004F6266">
        <w:rPr>
          <w:iCs/>
        </w:rPr>
        <w:t>et al</w:t>
      </w:r>
      <w:r w:rsidRPr="004F6266">
        <w:t xml:space="preserve">, ‘Sickness in the System of Long-term Immigration Detention’ (2013) 26 </w:t>
      </w:r>
      <w:r w:rsidRPr="004F6266">
        <w:rPr>
          <w:i/>
          <w:iCs/>
        </w:rPr>
        <w:t xml:space="preserve">Journal of Refugee Studies </w:t>
      </w:r>
      <w:r w:rsidRPr="004F6266">
        <w:t xml:space="preserve">47; </w:t>
      </w:r>
      <w:r>
        <w:t xml:space="preserve">Ilan </w:t>
      </w:r>
      <w:r w:rsidRPr="004F6266">
        <w:t xml:space="preserve">Katz </w:t>
      </w:r>
      <w:r w:rsidRPr="008A0C59">
        <w:rPr>
          <w:iCs/>
        </w:rPr>
        <w:t>et al</w:t>
      </w:r>
      <w:r w:rsidRPr="004F6266">
        <w:t>,</w:t>
      </w:r>
      <w:r>
        <w:t xml:space="preserve"> </w:t>
      </w:r>
      <w:r w:rsidRPr="00DC02DA">
        <w:rPr>
          <w:i/>
        </w:rPr>
        <w:t>The experiences of Irregular Maritime Arrivals detained in immigration detention facilities</w:t>
      </w:r>
      <w:r>
        <w:rPr>
          <w:i/>
        </w:rPr>
        <w:t xml:space="preserve">: Final report </w:t>
      </w:r>
      <w:r>
        <w:t xml:space="preserve">(2013). At </w:t>
      </w:r>
      <w:hyperlink r:id="rId28" w:history="1">
        <w:r w:rsidRPr="002A4551">
          <w:rPr>
            <w:rStyle w:val="Hyperlink"/>
          </w:rPr>
          <w:t>http://www.border.gov.au/ReportsandPublications/Documents/research/IMA-experiences-IDF.pdf</w:t>
        </w:r>
      </w:hyperlink>
      <w:r>
        <w:t xml:space="preserve"> (viewed 7 December 2016).</w:t>
      </w:r>
    </w:p>
  </w:endnote>
  <w:endnote w:id="37">
    <w:p w:rsidR="009D6210" w:rsidRPr="00D43E92" w:rsidRDefault="009D6210" w:rsidP="00933F0A">
      <w:pPr>
        <w:pStyle w:val="EndnoteText"/>
      </w:pPr>
      <w:r>
        <w:rPr>
          <w:rStyle w:val="EndnoteReference"/>
        </w:rPr>
        <w:endnoteRef/>
      </w:r>
      <w:r>
        <w:t xml:space="preserve"> </w:t>
      </w:r>
      <w:r w:rsidRPr="00D43E92">
        <w:t xml:space="preserve">United Nations Human Rights Committee, </w:t>
      </w:r>
      <w:r w:rsidRPr="00D43E92">
        <w:rPr>
          <w:i/>
        </w:rPr>
        <w:t>Concluding observations on the sixth periodic report of Australia</w:t>
      </w:r>
      <w:r w:rsidRPr="00D43E92">
        <w:t>, 121st sess, Agenda Item 5, UN Doc CCPR/C/AUS/CO/6 (9 November 2017)</w:t>
      </w:r>
      <w:r>
        <w:t xml:space="preserve"> [37].</w:t>
      </w:r>
    </w:p>
  </w:endnote>
  <w:endnote w:id="38">
    <w:p w:rsidR="009D6210" w:rsidRPr="00207E16" w:rsidRDefault="009D6210" w:rsidP="000A68C7">
      <w:pPr>
        <w:pStyle w:val="EndnoteText"/>
      </w:pPr>
      <w:r>
        <w:rPr>
          <w:rStyle w:val="EndnoteReference"/>
        </w:rPr>
        <w:endnoteRef/>
      </w:r>
      <w:r>
        <w:t xml:space="preserve"> </w:t>
      </w:r>
      <w:r w:rsidR="00900D4E">
        <w:t xml:space="preserve">Department of </w:t>
      </w:r>
      <w:r w:rsidR="00861EBE">
        <w:t>Immigration and Border Protection</w:t>
      </w:r>
      <w:r>
        <w:t>, ‘</w:t>
      </w:r>
      <w:r w:rsidRPr="00E67BBB">
        <w:t>New measures to combat illegal activity within immigration detention facilities</w:t>
      </w:r>
      <w:r>
        <w:t xml:space="preserve">’ (Media Release, 11 November 2016). At </w:t>
      </w:r>
      <w:hyperlink r:id="rId29" w:history="1">
        <w:r w:rsidRPr="00113B8B">
          <w:rPr>
            <w:rStyle w:val="Hyperlink"/>
          </w:rPr>
          <w:t>http://newsroom.border.gov.au/releases/new-measures-to-combat-illegal-activity-within-immigration-detention-facilities</w:t>
        </w:r>
      </w:hyperlink>
      <w:r>
        <w:t xml:space="preserve"> (viewed 26 May 2017). </w:t>
      </w:r>
    </w:p>
  </w:endnote>
  <w:endnote w:id="39">
    <w:p w:rsidR="009D6210" w:rsidRDefault="009D6210">
      <w:pPr>
        <w:pStyle w:val="EndnoteText"/>
      </w:pPr>
      <w:r>
        <w:rPr>
          <w:rStyle w:val="EndnoteReference"/>
        </w:rPr>
        <w:endnoteRef/>
      </w:r>
      <w:r>
        <w:t xml:space="preserve"> </w:t>
      </w:r>
      <w:r w:rsidRPr="00684509">
        <w:t>Migration Amendment (Prohibiting Items in Immigration Detention Facilities) Bill 2017</w:t>
      </w:r>
      <w:r>
        <w:t xml:space="preserve"> (Cth) sch 1 item 2.</w:t>
      </w:r>
    </w:p>
  </w:endnote>
  <w:endnote w:id="40">
    <w:p w:rsidR="009D6210" w:rsidRDefault="009D6210" w:rsidP="00CA313C">
      <w:pPr>
        <w:pStyle w:val="EndnoteText"/>
      </w:pPr>
      <w:r>
        <w:rPr>
          <w:rStyle w:val="EndnoteReference"/>
        </w:rPr>
        <w:endnoteRef/>
      </w:r>
      <w:r>
        <w:t xml:space="preserve"> </w:t>
      </w:r>
      <w:r w:rsidRPr="00CA313C">
        <w:t>Statement of Compatibility with Human Rights</w:t>
      </w:r>
      <w:r>
        <w:t xml:space="preserve">, Explanatory Memorandum, </w:t>
      </w:r>
      <w:r w:rsidRPr="00684509">
        <w:t>Migration Amendment (Prohibiting Items in Immigration Detention Facilities) Bill 2017</w:t>
      </w:r>
      <w:r>
        <w:t xml:space="preserve"> (Cth). </w:t>
      </w:r>
    </w:p>
  </w:endnote>
  <w:endnote w:id="41">
    <w:p w:rsidR="009D6210" w:rsidRPr="00793981" w:rsidRDefault="009D6210" w:rsidP="00793981">
      <w:pPr>
        <w:pStyle w:val="EndnoteText"/>
      </w:pPr>
      <w:r>
        <w:rPr>
          <w:rStyle w:val="EndnoteReference"/>
        </w:rPr>
        <w:endnoteRef/>
      </w:r>
      <w:r>
        <w:t xml:space="preserve"> Senate Legal and Constitutional Affairs Legislation Committee, Parliament of Australia, </w:t>
      </w:r>
      <w:r w:rsidRPr="001B7C0A">
        <w:rPr>
          <w:i/>
        </w:rPr>
        <w:t>Inquiry into the Migration Amendment (Prohibiting Items in Immigration Detention Facilities) Bill 2017 [Provisions]</w:t>
      </w:r>
      <w:r>
        <w:t xml:space="preserve"> (2017) 25. </w:t>
      </w:r>
    </w:p>
  </w:endnote>
  <w:endnote w:id="42">
    <w:p w:rsidR="009D6210" w:rsidRPr="00793981" w:rsidRDefault="009D6210" w:rsidP="00793981">
      <w:pPr>
        <w:pStyle w:val="EndnoteText"/>
      </w:pPr>
      <w:r>
        <w:rPr>
          <w:rStyle w:val="EndnoteReference"/>
        </w:rPr>
        <w:endnoteRef/>
      </w:r>
      <w:r>
        <w:t xml:space="preserve"> Senate Legal and Constitutional Affairs Legislation Committee, Parliament of Australia, </w:t>
      </w:r>
      <w:r w:rsidRPr="001B7C0A">
        <w:rPr>
          <w:i/>
        </w:rPr>
        <w:t>Inquiry into the Migration Amendment (Prohibiting Items in Immigration Detention Facilities) Bill 2017 [Provisions]</w:t>
      </w:r>
      <w:r>
        <w:t xml:space="preserve"> (2017) 25. </w:t>
      </w:r>
    </w:p>
  </w:endnote>
  <w:endnote w:id="43">
    <w:p w:rsidR="009D6210" w:rsidRDefault="009D6210">
      <w:pPr>
        <w:pStyle w:val="EndnoteText"/>
      </w:pPr>
      <w:r>
        <w:rPr>
          <w:rStyle w:val="EndnoteReference"/>
        </w:rPr>
        <w:endnoteRef/>
      </w:r>
      <w:r>
        <w:t xml:space="preserve"> For further information and recommendations, see Australian Human Rights Commission, Submission No 11 to the </w:t>
      </w:r>
      <w:r w:rsidRPr="00DD336F">
        <w:t>Senate Standing Committee on Legal and Constitutional Affairs, Parliament of Australia</w:t>
      </w:r>
      <w:r>
        <w:t xml:space="preserve">, </w:t>
      </w:r>
      <w:r w:rsidRPr="001B7C0A">
        <w:rPr>
          <w:i/>
        </w:rPr>
        <w:t>Inquiry into the Migration Amendment (Prohibiting Items in Immigration Detention Facilities) Bill 2017 [Provisions]</w:t>
      </w:r>
      <w:r>
        <w:t xml:space="preserve">, 11 October 2017. </w:t>
      </w:r>
    </w:p>
  </w:endnote>
  <w:endnote w:id="44">
    <w:p w:rsidR="009D6210" w:rsidRDefault="009D6210" w:rsidP="001712FE">
      <w:pPr>
        <w:pStyle w:val="EndnoteText"/>
      </w:pPr>
      <w:r>
        <w:rPr>
          <w:rStyle w:val="EndnoteReference"/>
        </w:rPr>
        <w:endnoteRef/>
      </w:r>
      <w:r>
        <w:t xml:space="preserve"> Australian Human Rights Commission, Submission No 11 to the </w:t>
      </w:r>
      <w:r w:rsidRPr="00DD336F">
        <w:t>Senate Standing Committee on Legal and Constitutional Affairs, Parliament of Australia</w:t>
      </w:r>
      <w:r>
        <w:t xml:space="preserve">, </w:t>
      </w:r>
      <w:r w:rsidRPr="001B7C0A">
        <w:rPr>
          <w:i/>
        </w:rPr>
        <w:t>Inquiry into the Migration Amendment (Prohibiting Items in Immigration Detention Facilities) Bill 2017 [Provisions]</w:t>
      </w:r>
      <w:r>
        <w:t>, 11 October 2017, 8–9.</w:t>
      </w:r>
    </w:p>
  </w:endnote>
  <w:endnote w:id="45">
    <w:p w:rsidR="009D6210" w:rsidRDefault="009D6210" w:rsidP="00E67E0F">
      <w:pPr>
        <w:pStyle w:val="EndnoteText"/>
      </w:pPr>
      <w:r>
        <w:rPr>
          <w:rStyle w:val="EndnoteReference"/>
        </w:rPr>
        <w:endnoteRef/>
      </w:r>
      <w:r>
        <w:t xml:space="preserve"> Australian Human Rights Commission, Submission No 11 to the </w:t>
      </w:r>
      <w:r w:rsidRPr="00DD336F">
        <w:t>Senate Standing Committee on Legal and Constitutional Affairs, Parliament of Australia</w:t>
      </w:r>
      <w:r>
        <w:t xml:space="preserve">, </w:t>
      </w:r>
      <w:r w:rsidRPr="001B7C0A">
        <w:rPr>
          <w:i/>
        </w:rPr>
        <w:t>Inquiry into the Migration Amendment (Prohibiting Items in Immigration Detention Facilities) Bill 2017 [Provisions]</w:t>
      </w:r>
      <w:r>
        <w:t>, 11 October 2017, 11.</w:t>
      </w:r>
    </w:p>
  </w:endnote>
  <w:endnote w:id="46">
    <w:p w:rsidR="009D6210" w:rsidRPr="00793981" w:rsidRDefault="009D6210" w:rsidP="00E67E0F">
      <w:pPr>
        <w:pStyle w:val="EndnoteText"/>
      </w:pPr>
      <w:r>
        <w:rPr>
          <w:rStyle w:val="EndnoteReference"/>
        </w:rPr>
        <w:endnoteRef/>
      </w:r>
      <w:r>
        <w:t xml:space="preserve"> Senate Legal and Constitutional Affairs Legislation Committee, Parliament of Australia, </w:t>
      </w:r>
      <w:r w:rsidRPr="001B7C0A">
        <w:rPr>
          <w:i/>
        </w:rPr>
        <w:t>Inquiry into the Migration Amendment (Prohibiting Items in Immigration Detention Facilities) Bill 2017 [Provisions]</w:t>
      </w:r>
      <w:r>
        <w:t xml:space="preserve"> (2017) 25. </w:t>
      </w:r>
    </w:p>
  </w:endnote>
  <w:endnote w:id="47">
    <w:p w:rsidR="009D6210" w:rsidRPr="005B10A6" w:rsidRDefault="009D6210" w:rsidP="003F753E">
      <w:pPr>
        <w:pStyle w:val="EndnoteText"/>
      </w:pPr>
      <w:r>
        <w:rPr>
          <w:rStyle w:val="EndnoteReference"/>
        </w:rPr>
        <w:endnoteRef/>
      </w:r>
      <w:r>
        <w:t xml:space="preserve"> See </w:t>
      </w:r>
      <w:r w:rsidRPr="007419E0">
        <w:t>Australian Human Rights Commission,</w:t>
      </w:r>
      <w:r w:rsidRPr="00FF5A90">
        <w:rPr>
          <w:i/>
        </w:rPr>
        <w:t xml:space="preserve"> Asylum seekers, refugees and human rights: Snapshot Report (2nd edition)</w:t>
      </w:r>
      <w:r>
        <w:t xml:space="preserve"> (2017) 11–25. At </w:t>
      </w:r>
      <w:hyperlink r:id="rId30" w:history="1">
        <w:r w:rsidRPr="00E92965">
          <w:rPr>
            <w:rStyle w:val="Hyperlink"/>
          </w:rPr>
          <w:t>https://www.humanrights.gov.au/our-work/asylum-seekers-and-refugees/publications/asylum-seekers-refugees-and-human-rights-snapsho-0</w:t>
        </w:r>
      </w:hyperlink>
      <w:r>
        <w:t xml:space="preserve"> (viewed 11 May 2017). See also Australian Human Rights Commission, </w:t>
      </w:r>
      <w:r w:rsidRPr="005B10A6">
        <w:rPr>
          <w:i/>
        </w:rPr>
        <w:t>Inspection of Maribyrnong Immigration Detention Centre: Report</w:t>
      </w:r>
      <w:r>
        <w:t xml:space="preserve"> (2017) 26–29. At </w:t>
      </w:r>
      <w:hyperlink r:id="rId31" w:history="1">
        <w:r w:rsidRPr="008F3708">
          <w:rPr>
            <w:rStyle w:val="Hyperlink"/>
          </w:rPr>
          <w:t>https://www.humanrights.gov.au/our-work/asylum-seekers-and-refugees/publications/inspection-maribyrnong-immigration-detention</w:t>
        </w:r>
      </w:hyperlink>
      <w:r>
        <w:t xml:space="preserve"> (viewed 17 October 2017); Australian Human Rights Commission, </w:t>
      </w:r>
      <w:r>
        <w:rPr>
          <w:i/>
        </w:rPr>
        <w:t xml:space="preserve">Inspection of Melbourne Immigration Transit Accommodation: Report </w:t>
      </w:r>
      <w:r>
        <w:t xml:space="preserve">(2017) 24–27. At </w:t>
      </w:r>
      <w:hyperlink r:id="rId32" w:history="1">
        <w:r w:rsidRPr="008F3708">
          <w:rPr>
            <w:rStyle w:val="Hyperlink"/>
          </w:rPr>
          <w:t>https://www.humanrights.gov.au/our-work/asylum-seekers-and-refugees/publications/inspection-melbourne-immigration-transit</w:t>
        </w:r>
      </w:hyperlink>
      <w:r>
        <w:t xml:space="preserve"> (viewed 17 October 2017). </w:t>
      </w:r>
    </w:p>
  </w:endnote>
  <w:endnote w:id="48">
    <w:p w:rsidR="009D6210" w:rsidRPr="00D43E92" w:rsidRDefault="009D6210" w:rsidP="009D6210">
      <w:pPr>
        <w:pStyle w:val="EndnoteText"/>
      </w:pPr>
      <w:r>
        <w:rPr>
          <w:rStyle w:val="EndnoteReference"/>
        </w:rPr>
        <w:endnoteRef/>
      </w:r>
      <w:r>
        <w:t xml:space="preserve"> </w:t>
      </w:r>
      <w:r w:rsidRPr="00D43E92">
        <w:t xml:space="preserve">United Nations Human Rights Committee, </w:t>
      </w:r>
      <w:r w:rsidRPr="00D43E92">
        <w:rPr>
          <w:i/>
        </w:rPr>
        <w:t>Concluding observations on the sixth periodic report of Australia</w:t>
      </w:r>
      <w:r w:rsidRPr="00D43E92">
        <w:t>, 121st sess, Agenda Item 5, UN Doc CCPR/C/AUS/CO/6 (9 November 2017)</w:t>
      </w:r>
      <w:r>
        <w:t xml:space="preserve"> [3</w:t>
      </w:r>
      <w:r w:rsidR="00CC73F9">
        <w:t>7</w:t>
      </w:r>
      <w:r>
        <w:t>].</w:t>
      </w:r>
    </w:p>
  </w:endnote>
  <w:endnote w:id="49">
    <w:p w:rsidR="009D6210" w:rsidRPr="00D43E92" w:rsidRDefault="009D6210" w:rsidP="009D6210">
      <w:pPr>
        <w:pStyle w:val="EndnoteText"/>
      </w:pPr>
      <w:r>
        <w:rPr>
          <w:rStyle w:val="EndnoteReference"/>
        </w:rPr>
        <w:endnoteRef/>
      </w:r>
      <w:r>
        <w:t xml:space="preserve"> </w:t>
      </w:r>
      <w:r w:rsidRPr="00D43E92">
        <w:t xml:space="preserve">United Nations Human Rights Committee, </w:t>
      </w:r>
      <w:r w:rsidRPr="00D43E92">
        <w:rPr>
          <w:i/>
        </w:rPr>
        <w:t>Concluding observations on the sixth periodic report of Australia</w:t>
      </w:r>
      <w:r w:rsidRPr="00D43E92">
        <w:t>, 121st sess, Agenda Item 5, UN Doc CCPR/C/AUS/CO/6 (9 November 2017)</w:t>
      </w:r>
      <w:r>
        <w:t xml:space="preserve"> [38].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210" w:rsidRPr="0090165F" w:rsidRDefault="009D6210" w:rsidP="00162A8D">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210" w:rsidRPr="004A187B" w:rsidRDefault="009D6210" w:rsidP="008B23BC">
    <w:pPr>
      <w:pStyle w:val="Footer"/>
    </w:pPr>
    <w:r>
      <w:rPr>
        <w:noProof/>
      </w:rPr>
      <mc:AlternateContent>
        <mc:Choice Requires="wps">
          <w:drawing>
            <wp:anchor distT="0" distB="0" distL="114300" distR="114300" simplePos="0" relativeHeight="251660288" behindDoc="0" locked="0" layoutInCell="1" allowOverlap="1">
              <wp:simplePos x="0" y="0"/>
              <wp:positionH relativeFrom="column">
                <wp:posOffset>-548005</wp:posOffset>
              </wp:positionH>
              <wp:positionV relativeFrom="paragraph">
                <wp:posOffset>-1339215</wp:posOffset>
              </wp:positionV>
              <wp:extent cx="6071235" cy="90678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1235" cy="906780"/>
                      </a:xfrm>
                      <a:prstGeom prst="rect">
                        <a:avLst/>
                      </a:prstGeom>
                      <a:noFill/>
                      <a:ln w="6350">
                        <a:noFill/>
                      </a:ln>
                      <a:effectLst/>
                    </wps:spPr>
                    <wps:txbx>
                      <w:txbxContent>
                        <w:p w:rsidR="009D6210" w:rsidRPr="0003606D" w:rsidRDefault="009D6210" w:rsidP="00730BD2">
                          <w:pPr>
                            <w:pStyle w:val="coveraddress"/>
                          </w:pPr>
                          <w:r w:rsidRPr="0003606D">
                            <w:t>ABN 47 996 232 602</w:t>
                          </w:r>
                        </w:p>
                        <w:p w:rsidR="009D6210" w:rsidRPr="0003606D" w:rsidRDefault="009D6210" w:rsidP="00730BD2">
                          <w:pPr>
                            <w:pStyle w:val="coveraddress"/>
                          </w:pPr>
                          <w:r w:rsidRPr="0003606D">
                            <w:t>Level 3, 175 Pitt Street, Sydney NSW 2000</w:t>
                          </w:r>
                        </w:p>
                        <w:p w:rsidR="009D6210" w:rsidRPr="0003606D" w:rsidRDefault="009D6210" w:rsidP="00730BD2">
                          <w:pPr>
                            <w:pStyle w:val="coveraddress"/>
                          </w:pPr>
                          <w:r w:rsidRPr="0003606D">
                            <w:t>GPO Box 5218, Sydney NSW 2001</w:t>
                          </w:r>
                        </w:p>
                        <w:p w:rsidR="009D6210" w:rsidRPr="0003606D" w:rsidRDefault="009D6210" w:rsidP="00730BD2">
                          <w:pPr>
                            <w:pStyle w:val="coveraddress"/>
                          </w:pPr>
                          <w:r w:rsidRPr="0003606D">
                            <w:t>General enquiries 1300 369 711</w:t>
                          </w:r>
                        </w:p>
                        <w:p w:rsidR="009D6210" w:rsidRPr="0003606D" w:rsidRDefault="009D6210" w:rsidP="00730BD2">
                          <w:pPr>
                            <w:pStyle w:val="coveraddress"/>
                          </w:pPr>
                          <w:r w:rsidRPr="0003606D">
                            <w:t>Complaints info line 1300 656 419</w:t>
                          </w:r>
                        </w:p>
                        <w:p w:rsidR="009D6210" w:rsidRPr="0003606D" w:rsidRDefault="009D6210" w:rsidP="00730BD2">
                          <w:pPr>
                            <w:pStyle w:val="coveraddress"/>
                          </w:pPr>
                          <w:r w:rsidRPr="0003606D">
                            <w:t>TTY 1800 620 241</w:t>
                          </w:r>
                        </w:p>
                        <w:p w:rsidR="009D6210" w:rsidRPr="00B63D24" w:rsidRDefault="009D6210" w:rsidP="00730BD2">
                          <w:pPr>
                            <w:pStyle w:val="Footer"/>
                          </w:pPr>
                          <w:r w:rsidRPr="00B63D24">
                            <w:tab/>
                          </w:r>
                        </w:p>
                        <w:p w:rsidR="009D6210" w:rsidRPr="00B63D24" w:rsidRDefault="009D6210" w:rsidP="00B63D24">
                          <w:pPr>
                            <w:pStyle w:val="Foo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8" type="#_x0000_t202" style="position:absolute;margin-left:-43.15pt;margin-top:-105.45pt;width:478.05pt;height:7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" filled="f" stroked="f" strokeweight=".5pt">
              <v:path arrowok="t"/>
              <v:textbox inset="0,0,0,0">
                <w:txbxContent>
                  <w:p w:rsidR="009D6210" w:rsidRPr="0003606D" w:rsidRDefault="009D6210" w:rsidP="00730BD2">
                    <w:pPr>
                      <w:pStyle w:val="coveraddress"/>
                    </w:pPr>
                    <w:r w:rsidRPr="0003606D">
                      <w:t>ABN 47 996 232 602</w:t>
                    </w:r>
                  </w:p>
                  <w:p w:rsidR="009D6210" w:rsidRPr="0003606D" w:rsidRDefault="009D6210" w:rsidP="00730BD2">
                    <w:pPr>
                      <w:pStyle w:val="coveraddress"/>
                    </w:pPr>
                    <w:r w:rsidRPr="0003606D">
                      <w:t>Level 3, 175 Pitt Street, Sydney NSW 2000</w:t>
                    </w:r>
                  </w:p>
                  <w:p w:rsidR="009D6210" w:rsidRPr="0003606D" w:rsidRDefault="009D6210" w:rsidP="00730BD2">
                    <w:pPr>
                      <w:pStyle w:val="coveraddress"/>
                    </w:pPr>
                    <w:r w:rsidRPr="0003606D">
                      <w:t>GPO Box 5218, Sydney NSW 2001</w:t>
                    </w:r>
                  </w:p>
                  <w:p w:rsidR="009D6210" w:rsidRPr="0003606D" w:rsidRDefault="009D6210" w:rsidP="00730BD2">
                    <w:pPr>
                      <w:pStyle w:val="coveraddress"/>
                    </w:pPr>
                    <w:r w:rsidRPr="0003606D">
                      <w:t>General enquiries 1300 369 711</w:t>
                    </w:r>
                  </w:p>
                  <w:p w:rsidR="009D6210" w:rsidRPr="0003606D" w:rsidRDefault="009D6210" w:rsidP="00730BD2">
                    <w:pPr>
                      <w:pStyle w:val="coveraddress"/>
                    </w:pPr>
                    <w:r w:rsidRPr="0003606D">
                      <w:t>Complaints info line 1300 656 419</w:t>
                    </w:r>
                  </w:p>
                  <w:p w:rsidR="009D6210" w:rsidRPr="0003606D" w:rsidRDefault="009D6210" w:rsidP="00730BD2">
                    <w:pPr>
                      <w:pStyle w:val="coveraddress"/>
                    </w:pPr>
                    <w:r w:rsidRPr="0003606D">
                      <w:t>TTY 1800 620 241</w:t>
                    </w:r>
                  </w:p>
                  <w:p w:rsidR="009D6210" w:rsidRPr="00B63D24" w:rsidRDefault="009D6210" w:rsidP="00730BD2">
                    <w:pPr>
                      <w:pStyle w:val="Footer"/>
                    </w:pPr>
                    <w:r w:rsidRPr="00B63D24">
                      <w:tab/>
                    </w:r>
                  </w:p>
                  <w:p w:rsidR="009D6210" w:rsidRPr="00B63D24" w:rsidRDefault="009D6210" w:rsidP="00B63D24">
                    <w:pPr>
                      <w:pStyle w:val="Foote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210" w:rsidRPr="0090165F" w:rsidRDefault="009D6210" w:rsidP="00162A8D">
    <w:pPr>
      <w:pStyle w:val="Footer"/>
      <w:jc w:val="right"/>
    </w:pPr>
    <w:r>
      <w:rPr>
        <w:rStyle w:val="PageNumber"/>
      </w:rPr>
      <w:fldChar w:fldCharType="begin"/>
    </w:r>
    <w:r>
      <w:rPr>
        <w:rStyle w:val="PageNumber"/>
      </w:rPr>
      <w:instrText xml:space="preserve"> PAGE </w:instrText>
    </w:r>
    <w:r>
      <w:rPr>
        <w:rStyle w:val="PageNumber"/>
      </w:rPr>
      <w:fldChar w:fldCharType="separate"/>
    </w:r>
    <w:r w:rsidR="00B95721">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6210" w:rsidRDefault="009D6210" w:rsidP="00F14C6D">
      <w:r>
        <w:separator/>
      </w:r>
    </w:p>
  </w:footnote>
  <w:footnote w:type="continuationSeparator" w:id="0">
    <w:p w:rsidR="009D6210" w:rsidRDefault="009D6210" w:rsidP="00F14C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210" w:rsidRDefault="00B9572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8" o:spid="_x0000_s2050" type="#_x0000_t75" style="position:absolute;margin-left:0;margin-top:0;width:595.65pt;height:870.15pt;z-index:-251660288;mso-position-horizontal:center;mso-position-horizontal-relative:margin;mso-position-vertical:center;mso-position-vertical-relative:margin" o:allowincell="f">
          <v:imagedata r:id="rId1" o:title="MS word cover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210" w:rsidRPr="00D27262" w:rsidRDefault="00B95721" w:rsidP="002B1B65">
    <w:pPr>
      <w:spacing w:before="0" w:after="0"/>
      <w:jc w:val="right"/>
      <w:rPr>
        <w:sz w:val="22"/>
        <w:szCs w:val="22"/>
      </w:rPr>
    </w:pPr>
    <w:r>
      <w:rPr>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9" o:spid="_x0000_s2051" type="#_x0000_t75" style="position:absolute;left:0;text-align:left;margin-left:0;margin-top:0;width:595.65pt;height:870.15pt;z-index:-251659264;mso-position-horizontal:center;mso-position-horizontal-relative:margin;mso-position-vertical:center;mso-position-vertical-relative:margin" o:allowincell="f">
          <v:imagedata r:id="rId1" o:title="MS word cover1"/>
          <w10:wrap anchorx="margin" anchory="margin"/>
        </v:shape>
      </w:pict>
    </w:r>
    <w:r w:rsidR="009D6210" w:rsidRPr="00D27262">
      <w:rPr>
        <w:sz w:val="22"/>
        <w:szCs w:val="22"/>
      </w:rPr>
      <w:t>Au</w:t>
    </w:r>
    <w:r w:rsidR="009D6210">
      <w:rPr>
        <w:sz w:val="22"/>
        <w:szCs w:val="22"/>
      </w:rPr>
      <w:t>stralian Human Rights Commission</w:t>
    </w:r>
  </w:p>
  <w:p w:rsidR="009D6210" w:rsidRDefault="009D6210" w:rsidP="002B1B65">
    <w:pPr>
      <w:pStyle w:val="Footer"/>
      <w:jc w:val="right"/>
      <w:rPr>
        <w:i/>
        <w:szCs w:val="22"/>
      </w:rPr>
    </w:pPr>
    <w:r w:rsidRPr="00D27262">
      <w:rPr>
        <w:b/>
        <w:i/>
        <w:szCs w:val="22"/>
      </w:rPr>
      <w:t>Short document title</w:t>
    </w:r>
    <w:r w:rsidRPr="00D27262">
      <w:rPr>
        <w:i/>
        <w:szCs w:val="22"/>
      </w:rPr>
      <w:t xml:space="preserve">, </w:t>
    </w:r>
    <w:r>
      <w:rPr>
        <w:i/>
        <w:szCs w:val="22"/>
      </w:rPr>
      <w:t>Short description – Date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9" w:type="dxa"/>
      <w:tblInd w:w="108" w:type="dxa"/>
      <w:tblLayout w:type="fixed"/>
      <w:tblLook w:val="00A0" w:firstRow="1" w:lastRow="0" w:firstColumn="1" w:lastColumn="0" w:noHBand="0" w:noVBand="0"/>
    </w:tblPr>
    <w:tblGrid>
      <w:gridCol w:w="1508"/>
      <w:gridCol w:w="2688"/>
      <w:gridCol w:w="2302"/>
      <w:gridCol w:w="2130"/>
      <w:gridCol w:w="1721"/>
    </w:tblGrid>
    <w:tr w:rsidR="009D6210" w:rsidRPr="00B85DD4" w:rsidTr="00165E3C">
      <w:trPr>
        <w:trHeight w:val="1276"/>
      </w:trPr>
      <w:tc>
        <w:tcPr>
          <w:tcW w:w="1508" w:type="dxa"/>
        </w:tcPr>
        <w:p w:rsidR="009D6210" w:rsidRPr="00B85DD4" w:rsidRDefault="009D6210" w:rsidP="00B520BC">
          <w:pPr>
            <w:pStyle w:val="Header"/>
            <w:tabs>
              <w:tab w:val="left" w:pos="4686"/>
              <w:tab w:val="left" w:pos="7088"/>
              <w:tab w:val="left" w:pos="7242"/>
            </w:tabs>
            <w:ind w:left="-108"/>
            <w:rPr>
              <w:rFonts w:cs="ArialMT"/>
              <w:b/>
              <w:spacing w:val="-20"/>
            </w:rPr>
          </w:pPr>
        </w:p>
      </w:tc>
      <w:tc>
        <w:tcPr>
          <w:tcW w:w="2688" w:type="dxa"/>
          <w:vAlign w:val="center"/>
        </w:tcPr>
        <w:p w:rsidR="009D6210" w:rsidRPr="00B85DD4" w:rsidRDefault="009D6210" w:rsidP="002B1B65">
          <w:pPr>
            <w:spacing w:before="0" w:after="0"/>
            <w:rPr>
              <w:rFonts w:cs="ArialMT"/>
              <w:i/>
              <w:color w:val="808080"/>
              <w:sz w:val="17"/>
            </w:rPr>
          </w:pPr>
        </w:p>
      </w:tc>
      <w:tc>
        <w:tcPr>
          <w:tcW w:w="2302" w:type="dxa"/>
        </w:tcPr>
        <w:p w:rsidR="009D6210" w:rsidRPr="00B85DD4" w:rsidRDefault="009D6210" w:rsidP="00B520BC">
          <w:pPr>
            <w:pStyle w:val="HeaderFooter"/>
            <w:rPr>
              <w:b/>
              <w:spacing w:val="-20"/>
              <w:sz w:val="40"/>
            </w:rPr>
          </w:pPr>
        </w:p>
      </w:tc>
      <w:tc>
        <w:tcPr>
          <w:tcW w:w="2130" w:type="dxa"/>
        </w:tcPr>
        <w:p w:rsidR="009D6210" w:rsidRPr="00B85DD4" w:rsidRDefault="009D6210" w:rsidP="00B520BC">
          <w:pPr>
            <w:pStyle w:val="HeaderFooter"/>
            <w:rPr>
              <w:b/>
              <w:spacing w:val="-20"/>
              <w:sz w:val="40"/>
            </w:rPr>
          </w:pPr>
        </w:p>
      </w:tc>
      <w:tc>
        <w:tcPr>
          <w:tcW w:w="1721" w:type="dxa"/>
        </w:tcPr>
        <w:p w:rsidR="009D6210" w:rsidRPr="00B85DD4" w:rsidRDefault="009D6210" w:rsidP="00B520BC">
          <w:pPr>
            <w:pStyle w:val="HeaderFooter"/>
            <w:spacing w:before="227" w:after="340"/>
            <w:rPr>
              <w:b/>
              <w:spacing w:val="-20"/>
              <w:sz w:val="40"/>
            </w:rPr>
          </w:pPr>
        </w:p>
      </w:tc>
    </w:tr>
  </w:tbl>
  <w:p w:rsidR="009D6210" w:rsidRDefault="00B95721">
    <w:pPr>
      <w:pStyle w:val="Header"/>
    </w:pPr>
    <w:r>
      <w:rPr>
        <w:rFonts w:cs="ArialMT"/>
        <w:b/>
        <w:noProof/>
        <w:spacing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7" o:spid="_x0000_s2056" type="#_x0000_t75" style="position:absolute;margin-left:-71.05pt;margin-top:-116pt;width:595.65pt;height:870.15pt;z-index:-251661312;mso-position-horizontal-relative:margin;mso-position-vertical-relative:margin" o:allowincell="f">
          <v:imagedata r:id="rId1" o:title="MS word cover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210" w:rsidRDefault="00B9572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21" o:spid="_x0000_s2053" type="#_x0000_t75" style="position:absolute;margin-left:0;margin-top:0;width:595.65pt;height:870.15pt;z-index:-251657216;mso-position-horizontal:center;mso-position-horizontal-relative:margin;mso-position-vertical:center;mso-position-vertical-relative:margin" o:allowincell="f">
          <v:imagedata r:id="rId1" o:title="MS word cover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210" w:rsidRPr="00D27262" w:rsidRDefault="009D6210" w:rsidP="00B34946">
    <w:pPr>
      <w:spacing w:before="0" w:after="60"/>
      <w:jc w:val="right"/>
      <w:rPr>
        <w:sz w:val="22"/>
        <w:szCs w:val="22"/>
      </w:rPr>
    </w:pPr>
    <w:r w:rsidRPr="00D27262">
      <w:rPr>
        <w:sz w:val="22"/>
        <w:szCs w:val="22"/>
      </w:rPr>
      <w:t>Au</w:t>
    </w:r>
    <w:r>
      <w:rPr>
        <w:sz w:val="22"/>
        <w:szCs w:val="22"/>
      </w:rPr>
      <w:t>stralian Human Rights Commission</w:t>
    </w:r>
  </w:p>
  <w:p w:rsidR="009D6210" w:rsidRPr="001E5676" w:rsidRDefault="009D6210" w:rsidP="002F4CE1">
    <w:pPr>
      <w:pStyle w:val="Footer"/>
      <w:spacing w:after="240"/>
      <w:jc w:val="right"/>
      <w:rPr>
        <w:i/>
        <w:sz w:val="18"/>
        <w:szCs w:val="18"/>
      </w:rPr>
    </w:pPr>
    <w:r>
      <w:rPr>
        <w:b/>
        <w:i/>
        <w:sz w:val="18"/>
        <w:szCs w:val="18"/>
      </w:rPr>
      <w:t xml:space="preserve">Inspection of Perth Immigration Detention Centre: Report </w:t>
    </w:r>
    <w:r>
      <w:rPr>
        <w:rFonts w:ascii="Helvetica" w:hAnsi="Helvetica"/>
        <w:color w:val="333333"/>
        <w:shd w:val="clear" w:color="auto" w:fill="FFFFFF"/>
      </w:rPr>
      <w:t>—</w:t>
    </w:r>
    <w:r>
      <w:rPr>
        <w:i/>
        <w:sz w:val="18"/>
        <w:szCs w:val="18"/>
      </w:rPr>
      <w:t xml:space="preserve"> 21 August 2017</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9" w:type="dxa"/>
      <w:tblInd w:w="108" w:type="dxa"/>
      <w:tblLayout w:type="fixed"/>
      <w:tblLook w:val="00A0" w:firstRow="1" w:lastRow="0" w:firstColumn="1" w:lastColumn="0" w:noHBand="0" w:noVBand="0"/>
    </w:tblPr>
    <w:tblGrid>
      <w:gridCol w:w="1508"/>
      <w:gridCol w:w="2688"/>
      <w:gridCol w:w="2302"/>
      <w:gridCol w:w="2130"/>
      <w:gridCol w:w="1721"/>
    </w:tblGrid>
    <w:tr w:rsidR="009D6210" w:rsidRPr="00B85DD4" w:rsidTr="002B1B65">
      <w:trPr>
        <w:trHeight w:val="1603"/>
      </w:trPr>
      <w:tc>
        <w:tcPr>
          <w:tcW w:w="1508" w:type="dxa"/>
        </w:tcPr>
        <w:p w:rsidR="009D6210" w:rsidRPr="00B85DD4" w:rsidRDefault="009D6210" w:rsidP="00B520BC">
          <w:pPr>
            <w:pStyle w:val="Header"/>
            <w:tabs>
              <w:tab w:val="left" w:pos="4686"/>
              <w:tab w:val="left" w:pos="7088"/>
              <w:tab w:val="left" w:pos="7242"/>
            </w:tabs>
            <w:ind w:left="-108"/>
            <w:rPr>
              <w:rFonts w:cs="ArialMT"/>
              <w:b/>
              <w:spacing w:val="-20"/>
            </w:rPr>
          </w:pPr>
          <w:r w:rsidRPr="00140274">
            <w:rPr>
              <w:rFonts w:cs="ArialMT"/>
              <w:b/>
              <w:noProof/>
              <w:spacing w:val="-20"/>
            </w:rPr>
            <w:drawing>
              <wp:inline distT="0" distB="0" distL="0" distR="0">
                <wp:extent cx="819150" cy="819150"/>
                <wp:effectExtent l="0" t="0" r="0" b="0"/>
                <wp:docPr id="14" name="Picture 2" descr="Description: HREOC-Globe_PMS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REOC-Globe_PMS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2688" w:type="dxa"/>
          <w:vAlign w:val="center"/>
        </w:tcPr>
        <w:p w:rsidR="009D6210" w:rsidRPr="00D36BB2" w:rsidRDefault="009D6210" w:rsidP="002B1B65">
          <w:pPr>
            <w:pStyle w:val="LogoType"/>
            <w:pBdr>
              <w:bottom w:val="single" w:sz="4" w:space="1" w:color="808080"/>
            </w:pBdr>
            <w:spacing w:line="240" w:lineRule="auto"/>
          </w:pPr>
          <w:r w:rsidRPr="00D36BB2">
            <w:t>Australian</w:t>
          </w:r>
        </w:p>
        <w:p w:rsidR="009D6210" w:rsidRPr="00D36BB2" w:rsidRDefault="009D6210" w:rsidP="002B1B65">
          <w:pPr>
            <w:pStyle w:val="LogoType"/>
            <w:pBdr>
              <w:bottom w:val="single" w:sz="4" w:space="1" w:color="808080"/>
            </w:pBdr>
            <w:spacing w:line="240" w:lineRule="auto"/>
          </w:pPr>
          <w:r w:rsidRPr="00D36BB2">
            <w:t>Human Rights</w:t>
          </w:r>
        </w:p>
        <w:p w:rsidR="009D6210" w:rsidRPr="00D36BB2" w:rsidRDefault="009D6210" w:rsidP="002B1B65">
          <w:pPr>
            <w:pStyle w:val="LogoType"/>
            <w:pBdr>
              <w:bottom w:val="single" w:sz="4" w:space="1" w:color="808080"/>
            </w:pBdr>
            <w:spacing w:line="240" w:lineRule="auto"/>
          </w:pPr>
          <w:r w:rsidRPr="00D36BB2">
            <w:t>Commission</w:t>
          </w:r>
        </w:p>
        <w:p w:rsidR="009D6210" w:rsidRPr="00B85DD4" w:rsidRDefault="009D6210" w:rsidP="002B1B65">
          <w:pPr>
            <w:spacing w:before="0" w:after="0"/>
            <w:rPr>
              <w:rFonts w:cs="ArialMT"/>
              <w:i/>
              <w:color w:val="808080"/>
              <w:sz w:val="17"/>
            </w:rPr>
          </w:pPr>
          <w:r w:rsidRPr="00B85DD4">
            <w:rPr>
              <w:rFonts w:cs="ArialMT"/>
              <w:i/>
              <w:color w:val="808080"/>
              <w:sz w:val="17"/>
            </w:rPr>
            <w:t>everyone, everywhere, everyday</w:t>
          </w:r>
        </w:p>
      </w:tc>
      <w:tc>
        <w:tcPr>
          <w:tcW w:w="2302" w:type="dxa"/>
        </w:tcPr>
        <w:p w:rsidR="009D6210" w:rsidRPr="00B85DD4" w:rsidRDefault="009D6210" w:rsidP="00B520BC">
          <w:pPr>
            <w:pStyle w:val="HeaderFooter"/>
            <w:rPr>
              <w:b/>
              <w:spacing w:val="-20"/>
              <w:sz w:val="40"/>
            </w:rPr>
          </w:pPr>
        </w:p>
      </w:tc>
      <w:tc>
        <w:tcPr>
          <w:tcW w:w="2130" w:type="dxa"/>
        </w:tcPr>
        <w:p w:rsidR="009D6210" w:rsidRPr="00B85DD4" w:rsidRDefault="009D6210" w:rsidP="00B520BC">
          <w:pPr>
            <w:pStyle w:val="HeaderFooter"/>
            <w:rPr>
              <w:b/>
              <w:spacing w:val="-20"/>
              <w:sz w:val="40"/>
            </w:rPr>
          </w:pPr>
        </w:p>
      </w:tc>
      <w:tc>
        <w:tcPr>
          <w:tcW w:w="1721" w:type="dxa"/>
        </w:tcPr>
        <w:p w:rsidR="009D6210" w:rsidRPr="00B85DD4" w:rsidRDefault="009D6210" w:rsidP="00B520BC">
          <w:pPr>
            <w:pStyle w:val="HeaderFooter"/>
            <w:spacing w:before="227" w:after="340"/>
            <w:rPr>
              <w:b/>
              <w:spacing w:val="-20"/>
              <w:sz w:val="40"/>
            </w:rPr>
          </w:pPr>
        </w:p>
      </w:tc>
    </w:tr>
  </w:tbl>
  <w:p w:rsidR="009D6210" w:rsidRDefault="00B95721">
    <w:pPr>
      <w:pStyle w:val="Header"/>
    </w:pPr>
    <w:r>
      <w:rPr>
        <w:rFonts w:cs="ArialMT"/>
        <w:b/>
        <w:noProof/>
        <w:spacing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20" o:spid="_x0000_s2055" type="#_x0000_t75" style="position:absolute;margin-left:0;margin-top:0;width:595.65pt;height:870.15pt;z-index:-251658240;mso-position-horizontal:center;mso-position-horizontal-relative:margin;mso-position-vertical:center;mso-position-vertical-relative:margin" o:allowincell="f">
          <v:imagedata r:id="rId2" o:title="MS word cover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D00DF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785881"/>
    <w:multiLevelType w:val="multilevel"/>
    <w:tmpl w:val="0D60825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1" w15:restartNumberingAfterBreak="0">
    <w:nsid w:val="11633D76"/>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6B95AB4"/>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B083C9A"/>
    <w:multiLevelType w:val="hybridMultilevel"/>
    <w:tmpl w:val="2A125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243B1A64"/>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82130BC"/>
    <w:multiLevelType w:val="hybridMultilevel"/>
    <w:tmpl w:val="2848B230"/>
    <w:lvl w:ilvl="0" w:tplc="82BE52F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87970A2"/>
    <w:multiLevelType w:val="hybridMultilevel"/>
    <w:tmpl w:val="485EA6EA"/>
    <w:lvl w:ilvl="0" w:tplc="C3DC8B78">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B4E0873"/>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49031F4"/>
    <w:multiLevelType w:val="hybridMultilevel"/>
    <w:tmpl w:val="19508716"/>
    <w:lvl w:ilvl="0" w:tplc="0C09000F">
      <w:start w:val="1"/>
      <w:numFmt w:val="decimal"/>
      <w:lvlText w:val="%1."/>
      <w:lvlJc w:val="left"/>
      <w:pPr>
        <w:tabs>
          <w:tab w:val="num" w:pos="720"/>
        </w:tabs>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1" w15:restartNumberingAfterBreak="0">
    <w:nsid w:val="36285511"/>
    <w:multiLevelType w:val="hybridMultilevel"/>
    <w:tmpl w:val="7F3C8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9D907EF"/>
    <w:multiLevelType w:val="multilevel"/>
    <w:tmpl w:val="D72E98AA"/>
    <w:lvl w:ilvl="0">
      <w:start w:val="1"/>
      <w:numFmt w:val="decimal"/>
      <w:suff w:val="nothing"/>
      <w:lvlText w:val="Recommendation %1"/>
      <w:lvlJc w:val="left"/>
      <w:pPr>
        <w:ind w:left="360" w:hanging="360"/>
      </w:pPr>
      <w:rPr>
        <w:rFonts w:hint="default"/>
        <w:b/>
        <w:i/>
        <w:color w:val="FFFFFF" w:themeColor="background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ECE19DF"/>
    <w:multiLevelType w:val="multilevel"/>
    <w:tmpl w:val="4F443BA0"/>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3112F44"/>
    <w:multiLevelType w:val="hybridMultilevel"/>
    <w:tmpl w:val="06F65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61A09E4"/>
    <w:multiLevelType w:val="multilevel"/>
    <w:tmpl w:val="4F443BA0"/>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8E4767"/>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9FF7A73"/>
    <w:multiLevelType w:val="multilevel"/>
    <w:tmpl w:val="8F7C2D86"/>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lowerLetter"/>
      <w:pStyle w:val="Heading3"/>
      <w:lvlText w:val="(%3)"/>
      <w:lvlJc w:val="left"/>
      <w:pPr>
        <w:tabs>
          <w:tab w:val="num" w:pos="851"/>
        </w:tabs>
        <w:ind w:left="851" w:hanging="851"/>
      </w:pPr>
      <w:rPr>
        <w:rFonts w:hint="default"/>
      </w:rPr>
    </w:lvl>
    <w:lvl w:ilvl="3">
      <w:start w:val="1"/>
      <w:numFmt w:val="lowerRoman"/>
      <w:pStyle w:val="Heading4"/>
      <w:lvlText w:val="(%4)"/>
      <w:lvlJc w:val="left"/>
      <w:pPr>
        <w:tabs>
          <w:tab w:val="num" w:pos="851"/>
        </w:tabs>
        <w:ind w:left="851" w:hanging="851"/>
      </w:pPr>
      <w:rPr>
        <w:rFonts w:hint="default"/>
      </w:rPr>
    </w:lvl>
    <w:lvl w:ilvl="4">
      <w:start w:val="1"/>
      <w:numFmt w:val="decimal"/>
      <w:pStyle w:val="Heading5"/>
      <w:lvlText w:val="%1.%2.%3.%4.%5"/>
      <w:lvlJc w:val="left"/>
      <w:pPr>
        <w:tabs>
          <w:tab w:val="num" w:pos="0"/>
        </w:tabs>
        <w:ind w:left="1008" w:hanging="1008"/>
      </w:pPr>
      <w:rPr>
        <w:rFonts w:hint="default"/>
      </w:rPr>
    </w:lvl>
    <w:lvl w:ilvl="5">
      <w:start w:val="1"/>
      <w:numFmt w:val="decimal"/>
      <w:pStyle w:val="Heading6"/>
      <w:lvlText w:val="%1.%2.%3.%4.%5.%6"/>
      <w:lvlJc w:val="left"/>
      <w:pPr>
        <w:tabs>
          <w:tab w:val="num" w:pos="0"/>
        </w:tabs>
        <w:ind w:left="1152" w:hanging="1152"/>
      </w:pPr>
      <w:rPr>
        <w:rFonts w:hint="default"/>
      </w:rPr>
    </w:lvl>
    <w:lvl w:ilvl="6">
      <w:start w:val="1"/>
      <w:numFmt w:val="decimal"/>
      <w:pStyle w:val="Heading7"/>
      <w:lvlText w:val="%1.%2.%3.%4.%5.%6.%7"/>
      <w:lvlJc w:val="left"/>
      <w:pPr>
        <w:tabs>
          <w:tab w:val="num" w:pos="0"/>
        </w:tabs>
        <w:ind w:left="1296" w:hanging="1296"/>
      </w:pPr>
      <w:rPr>
        <w:rFonts w:hint="default"/>
      </w:rPr>
    </w:lvl>
    <w:lvl w:ilvl="7">
      <w:start w:val="1"/>
      <w:numFmt w:val="decimal"/>
      <w:pStyle w:val="Heading8"/>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29" w15:restartNumberingAfterBreak="0">
    <w:nsid w:val="4B9008C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4CC612F5"/>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2" w15:restartNumberingAfterBreak="0">
    <w:nsid w:val="4FC33B71"/>
    <w:multiLevelType w:val="hybridMultilevel"/>
    <w:tmpl w:val="6FBA9208"/>
    <w:lvl w:ilvl="0" w:tplc="0C09000F">
      <w:start w:val="1"/>
      <w:numFmt w:val="decimal"/>
      <w:lvlText w:val="%1."/>
      <w:lvlJc w:val="left"/>
      <w:pPr>
        <w:tabs>
          <w:tab w:val="num" w:pos="720"/>
        </w:tabs>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3" w15:restartNumberingAfterBreak="0">
    <w:nsid w:val="51591086"/>
    <w:multiLevelType w:val="hybridMultilevel"/>
    <w:tmpl w:val="1D128A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39D7D54"/>
    <w:multiLevelType w:val="hybridMultilevel"/>
    <w:tmpl w:val="065E8C4E"/>
    <w:lvl w:ilvl="0" w:tplc="4BF216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5335883"/>
    <w:multiLevelType w:val="hybridMultilevel"/>
    <w:tmpl w:val="C45EB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343539E"/>
    <w:multiLevelType w:val="hybridMultilevel"/>
    <w:tmpl w:val="5110461E"/>
    <w:lvl w:ilvl="0" w:tplc="0C090001">
      <w:start w:val="1"/>
      <w:numFmt w:val="bullet"/>
      <w:lvlText w:val=""/>
      <w:lvlJc w:val="left"/>
      <w:pPr>
        <w:tabs>
          <w:tab w:val="num" w:pos="1080"/>
        </w:tabs>
        <w:ind w:left="1080" w:hanging="360"/>
      </w:pPr>
      <w:rPr>
        <w:rFonts w:ascii="Symbol" w:hAnsi="Symbol"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7" w15:restartNumberingAfterBreak="0">
    <w:nsid w:val="722E1368"/>
    <w:multiLevelType w:val="hybridMultilevel"/>
    <w:tmpl w:val="4F443BA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2BC79B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774D1A58"/>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8"/>
  </w:num>
  <w:num w:numId="2">
    <w:abstractNumId w:val="28"/>
  </w:num>
  <w:num w:numId="3">
    <w:abstractNumId w:val="34"/>
  </w:num>
  <w:num w:numId="4">
    <w:abstractNumId w:val="17"/>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7"/>
  </w:num>
  <w:num w:numId="9">
    <w:abstractNumId w:val="6"/>
  </w:num>
  <w:num w:numId="10">
    <w:abstractNumId w:val="5"/>
  </w:num>
  <w:num w:numId="11">
    <w:abstractNumId w:val="4"/>
  </w:num>
  <w:num w:numId="12">
    <w:abstractNumId w:val="8"/>
  </w:num>
  <w:num w:numId="13">
    <w:abstractNumId w:val="1"/>
  </w:num>
  <w:num w:numId="14">
    <w:abstractNumId w:val="0"/>
  </w:num>
  <w:num w:numId="15">
    <w:abstractNumId w:val="3"/>
  </w:num>
  <w:num w:numId="16">
    <w:abstractNumId w:val="2"/>
  </w:num>
  <w:num w:numId="17">
    <w:abstractNumId w:val="31"/>
  </w:num>
  <w:num w:numId="18">
    <w:abstractNumId w:val="23"/>
  </w:num>
  <w:num w:numId="19">
    <w:abstractNumId w:val="15"/>
  </w:num>
  <w:num w:numId="20">
    <w:abstractNumId w:val="37"/>
  </w:num>
  <w:num w:numId="21">
    <w:abstractNumId w:val="26"/>
  </w:num>
  <w:num w:numId="22">
    <w:abstractNumId w:val="24"/>
  </w:num>
  <w:num w:numId="23">
    <w:abstractNumId w:val="39"/>
  </w:num>
  <w:num w:numId="24">
    <w:abstractNumId w:val="11"/>
  </w:num>
  <w:num w:numId="25">
    <w:abstractNumId w:val="38"/>
  </w:num>
  <w:num w:numId="26">
    <w:abstractNumId w:val="27"/>
  </w:num>
  <w:num w:numId="27">
    <w:abstractNumId w:val="12"/>
  </w:num>
  <w:num w:numId="28">
    <w:abstractNumId w:val="16"/>
  </w:num>
  <w:num w:numId="29">
    <w:abstractNumId w:val="30"/>
  </w:num>
  <w:num w:numId="30">
    <w:abstractNumId w:val="29"/>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36"/>
  </w:num>
  <w:num w:numId="36">
    <w:abstractNumId w:val="14"/>
  </w:num>
  <w:num w:numId="37">
    <w:abstractNumId w:val="10"/>
  </w:num>
  <w:num w:numId="38">
    <w:abstractNumId w:val="25"/>
  </w:num>
  <w:num w:numId="39">
    <w:abstractNumId w:val="13"/>
  </w:num>
  <w:num w:numId="40">
    <w:abstractNumId w:val="35"/>
  </w:num>
  <w:num w:numId="41">
    <w:abstractNumId w:val="21"/>
  </w:num>
  <w:num w:numId="42">
    <w:abstractNumId w:val="22"/>
  </w:num>
  <w:num w:numId="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AU" w:vendorID="64" w:dllVersion="0" w:nlCheck="1" w:checkStyle="0"/>
  <w:activeWritingStyle w:appName="MSWord" w:lang="en-AU" w:vendorID="64" w:dllVersion="131078" w:nlCheck="1" w:checkStyle="1"/>
  <w:activeWritingStyle w:appName="MSWord" w:lang="en-US" w:vendorID="64" w:dllVersion="131078" w:nlCheck="1"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2A8"/>
    <w:rsid w:val="00000108"/>
    <w:rsid w:val="000024FC"/>
    <w:rsid w:val="00003D42"/>
    <w:rsid w:val="00004287"/>
    <w:rsid w:val="000052DF"/>
    <w:rsid w:val="00005857"/>
    <w:rsid w:val="00007E89"/>
    <w:rsid w:val="00010B57"/>
    <w:rsid w:val="00011BB6"/>
    <w:rsid w:val="00011EB8"/>
    <w:rsid w:val="000122FB"/>
    <w:rsid w:val="00013E6C"/>
    <w:rsid w:val="00014B9C"/>
    <w:rsid w:val="000159ED"/>
    <w:rsid w:val="0001693E"/>
    <w:rsid w:val="00017C87"/>
    <w:rsid w:val="0002153D"/>
    <w:rsid w:val="00022C28"/>
    <w:rsid w:val="00022F54"/>
    <w:rsid w:val="00024523"/>
    <w:rsid w:val="0002482A"/>
    <w:rsid w:val="000248BC"/>
    <w:rsid w:val="0002502D"/>
    <w:rsid w:val="00026844"/>
    <w:rsid w:val="00026B72"/>
    <w:rsid w:val="00030241"/>
    <w:rsid w:val="00031C53"/>
    <w:rsid w:val="000325DD"/>
    <w:rsid w:val="000335A4"/>
    <w:rsid w:val="00034A89"/>
    <w:rsid w:val="00036707"/>
    <w:rsid w:val="000409B7"/>
    <w:rsid w:val="00040CB8"/>
    <w:rsid w:val="00041488"/>
    <w:rsid w:val="000416A7"/>
    <w:rsid w:val="00041EEA"/>
    <w:rsid w:val="00041FE3"/>
    <w:rsid w:val="0004247D"/>
    <w:rsid w:val="000428B4"/>
    <w:rsid w:val="00042C49"/>
    <w:rsid w:val="00042E72"/>
    <w:rsid w:val="00044604"/>
    <w:rsid w:val="00044E03"/>
    <w:rsid w:val="00045DB5"/>
    <w:rsid w:val="00047019"/>
    <w:rsid w:val="00051699"/>
    <w:rsid w:val="00053170"/>
    <w:rsid w:val="00053646"/>
    <w:rsid w:val="0005370A"/>
    <w:rsid w:val="00053B2C"/>
    <w:rsid w:val="00053D6B"/>
    <w:rsid w:val="00053F9C"/>
    <w:rsid w:val="000541E8"/>
    <w:rsid w:val="0005595B"/>
    <w:rsid w:val="00056CF7"/>
    <w:rsid w:val="000579B1"/>
    <w:rsid w:val="00060366"/>
    <w:rsid w:val="0006039E"/>
    <w:rsid w:val="000607ED"/>
    <w:rsid w:val="0006343D"/>
    <w:rsid w:val="000635E8"/>
    <w:rsid w:val="00063D48"/>
    <w:rsid w:val="00064E1F"/>
    <w:rsid w:val="00067139"/>
    <w:rsid w:val="00073372"/>
    <w:rsid w:val="000749FF"/>
    <w:rsid w:val="00074CDF"/>
    <w:rsid w:val="00074E5E"/>
    <w:rsid w:val="00075C59"/>
    <w:rsid w:val="000766BB"/>
    <w:rsid w:val="00076CD2"/>
    <w:rsid w:val="00077209"/>
    <w:rsid w:val="00077567"/>
    <w:rsid w:val="0007795F"/>
    <w:rsid w:val="00081D9A"/>
    <w:rsid w:val="00082451"/>
    <w:rsid w:val="0008311A"/>
    <w:rsid w:val="0008349A"/>
    <w:rsid w:val="0008366A"/>
    <w:rsid w:val="00085C00"/>
    <w:rsid w:val="0008664B"/>
    <w:rsid w:val="00087957"/>
    <w:rsid w:val="0009106B"/>
    <w:rsid w:val="000915CA"/>
    <w:rsid w:val="00092E05"/>
    <w:rsid w:val="0009375C"/>
    <w:rsid w:val="00093A84"/>
    <w:rsid w:val="00096A1E"/>
    <w:rsid w:val="00096CFF"/>
    <w:rsid w:val="0009736B"/>
    <w:rsid w:val="000A0516"/>
    <w:rsid w:val="000A0807"/>
    <w:rsid w:val="000A12CA"/>
    <w:rsid w:val="000A135D"/>
    <w:rsid w:val="000A1DB8"/>
    <w:rsid w:val="000A1DDD"/>
    <w:rsid w:val="000A20CC"/>
    <w:rsid w:val="000A323C"/>
    <w:rsid w:val="000A42C2"/>
    <w:rsid w:val="000A48AC"/>
    <w:rsid w:val="000A4AF1"/>
    <w:rsid w:val="000A6456"/>
    <w:rsid w:val="000A68C7"/>
    <w:rsid w:val="000A6CD9"/>
    <w:rsid w:val="000A7757"/>
    <w:rsid w:val="000B009F"/>
    <w:rsid w:val="000B0A5D"/>
    <w:rsid w:val="000B214A"/>
    <w:rsid w:val="000B3E11"/>
    <w:rsid w:val="000B4937"/>
    <w:rsid w:val="000B5E1F"/>
    <w:rsid w:val="000B6C34"/>
    <w:rsid w:val="000B6DE1"/>
    <w:rsid w:val="000B7008"/>
    <w:rsid w:val="000B7047"/>
    <w:rsid w:val="000C24F6"/>
    <w:rsid w:val="000C2ACD"/>
    <w:rsid w:val="000C2BCE"/>
    <w:rsid w:val="000C40C9"/>
    <w:rsid w:val="000C4D4B"/>
    <w:rsid w:val="000C5066"/>
    <w:rsid w:val="000C5267"/>
    <w:rsid w:val="000C6D5E"/>
    <w:rsid w:val="000C7327"/>
    <w:rsid w:val="000D06D7"/>
    <w:rsid w:val="000D09E7"/>
    <w:rsid w:val="000D0BB2"/>
    <w:rsid w:val="000D0BF6"/>
    <w:rsid w:val="000D1E86"/>
    <w:rsid w:val="000D2AFD"/>
    <w:rsid w:val="000D35DD"/>
    <w:rsid w:val="000D516F"/>
    <w:rsid w:val="000D623F"/>
    <w:rsid w:val="000D7201"/>
    <w:rsid w:val="000D7558"/>
    <w:rsid w:val="000D7C4C"/>
    <w:rsid w:val="000E0049"/>
    <w:rsid w:val="000E130A"/>
    <w:rsid w:val="000E14AF"/>
    <w:rsid w:val="000E1969"/>
    <w:rsid w:val="000E1B18"/>
    <w:rsid w:val="000E1E91"/>
    <w:rsid w:val="000E2298"/>
    <w:rsid w:val="000E2766"/>
    <w:rsid w:val="000E2B8F"/>
    <w:rsid w:val="000E2D0D"/>
    <w:rsid w:val="000E3054"/>
    <w:rsid w:val="000E3136"/>
    <w:rsid w:val="000E3CB7"/>
    <w:rsid w:val="000E50FE"/>
    <w:rsid w:val="000E538E"/>
    <w:rsid w:val="000E5F87"/>
    <w:rsid w:val="000E6102"/>
    <w:rsid w:val="000E63B0"/>
    <w:rsid w:val="000E6A9F"/>
    <w:rsid w:val="000E6AC1"/>
    <w:rsid w:val="000E6D37"/>
    <w:rsid w:val="000E751B"/>
    <w:rsid w:val="000F020F"/>
    <w:rsid w:val="000F1DE3"/>
    <w:rsid w:val="000F4892"/>
    <w:rsid w:val="000F49CA"/>
    <w:rsid w:val="000F7C87"/>
    <w:rsid w:val="00100C4F"/>
    <w:rsid w:val="00101878"/>
    <w:rsid w:val="00103129"/>
    <w:rsid w:val="00103217"/>
    <w:rsid w:val="00103561"/>
    <w:rsid w:val="001036BC"/>
    <w:rsid w:val="00104B42"/>
    <w:rsid w:val="001062E4"/>
    <w:rsid w:val="00106659"/>
    <w:rsid w:val="00107ECB"/>
    <w:rsid w:val="00110483"/>
    <w:rsid w:val="00110706"/>
    <w:rsid w:val="00110E26"/>
    <w:rsid w:val="0011119D"/>
    <w:rsid w:val="0011182F"/>
    <w:rsid w:val="0011300D"/>
    <w:rsid w:val="00113118"/>
    <w:rsid w:val="00113818"/>
    <w:rsid w:val="00113D69"/>
    <w:rsid w:val="001147FC"/>
    <w:rsid w:val="001163BB"/>
    <w:rsid w:val="001173B8"/>
    <w:rsid w:val="00117F43"/>
    <w:rsid w:val="001206C3"/>
    <w:rsid w:val="001210F1"/>
    <w:rsid w:val="00121EFA"/>
    <w:rsid w:val="00122923"/>
    <w:rsid w:val="001236BA"/>
    <w:rsid w:val="00123F48"/>
    <w:rsid w:val="0012537A"/>
    <w:rsid w:val="001266AB"/>
    <w:rsid w:val="001271AD"/>
    <w:rsid w:val="001273D4"/>
    <w:rsid w:val="001275CD"/>
    <w:rsid w:val="00127859"/>
    <w:rsid w:val="00130631"/>
    <w:rsid w:val="001342F1"/>
    <w:rsid w:val="001345B7"/>
    <w:rsid w:val="001346CD"/>
    <w:rsid w:val="00134774"/>
    <w:rsid w:val="001348B8"/>
    <w:rsid w:val="00135873"/>
    <w:rsid w:val="001359F0"/>
    <w:rsid w:val="00136930"/>
    <w:rsid w:val="00140274"/>
    <w:rsid w:val="0014112B"/>
    <w:rsid w:val="00141754"/>
    <w:rsid w:val="00141D04"/>
    <w:rsid w:val="0014371C"/>
    <w:rsid w:val="0014551A"/>
    <w:rsid w:val="00145B16"/>
    <w:rsid w:val="00146050"/>
    <w:rsid w:val="001464A2"/>
    <w:rsid w:val="0014704C"/>
    <w:rsid w:val="00147205"/>
    <w:rsid w:val="00147350"/>
    <w:rsid w:val="001473A9"/>
    <w:rsid w:val="001478FC"/>
    <w:rsid w:val="00151263"/>
    <w:rsid w:val="00151E4D"/>
    <w:rsid w:val="00152BCF"/>
    <w:rsid w:val="001532BF"/>
    <w:rsid w:val="00154AF2"/>
    <w:rsid w:val="001550CA"/>
    <w:rsid w:val="001552E5"/>
    <w:rsid w:val="00155823"/>
    <w:rsid w:val="001570EB"/>
    <w:rsid w:val="0015741B"/>
    <w:rsid w:val="00157AEF"/>
    <w:rsid w:val="00160B91"/>
    <w:rsid w:val="001619D0"/>
    <w:rsid w:val="00162437"/>
    <w:rsid w:val="00162A8D"/>
    <w:rsid w:val="00163719"/>
    <w:rsid w:val="00165E3C"/>
    <w:rsid w:val="00166B2F"/>
    <w:rsid w:val="00166D06"/>
    <w:rsid w:val="00170033"/>
    <w:rsid w:val="0017069A"/>
    <w:rsid w:val="001712FE"/>
    <w:rsid w:val="00171615"/>
    <w:rsid w:val="0017355A"/>
    <w:rsid w:val="0017398A"/>
    <w:rsid w:val="00173FB5"/>
    <w:rsid w:val="00176382"/>
    <w:rsid w:val="0017643D"/>
    <w:rsid w:val="00177AE9"/>
    <w:rsid w:val="00177CD4"/>
    <w:rsid w:val="00181243"/>
    <w:rsid w:val="00183DB4"/>
    <w:rsid w:val="001840F8"/>
    <w:rsid w:val="0018512B"/>
    <w:rsid w:val="00185652"/>
    <w:rsid w:val="00185783"/>
    <w:rsid w:val="00185A34"/>
    <w:rsid w:val="00186176"/>
    <w:rsid w:val="00186BA8"/>
    <w:rsid w:val="001876D7"/>
    <w:rsid w:val="00190852"/>
    <w:rsid w:val="00191CDA"/>
    <w:rsid w:val="00191E09"/>
    <w:rsid w:val="00191FA0"/>
    <w:rsid w:val="00192155"/>
    <w:rsid w:val="00193266"/>
    <w:rsid w:val="0019474E"/>
    <w:rsid w:val="001949CC"/>
    <w:rsid w:val="0019672A"/>
    <w:rsid w:val="001977C2"/>
    <w:rsid w:val="00197F06"/>
    <w:rsid w:val="001A01FF"/>
    <w:rsid w:val="001A0365"/>
    <w:rsid w:val="001A0416"/>
    <w:rsid w:val="001A162E"/>
    <w:rsid w:val="001A2354"/>
    <w:rsid w:val="001A3783"/>
    <w:rsid w:val="001A3BE1"/>
    <w:rsid w:val="001A3CEF"/>
    <w:rsid w:val="001A3D49"/>
    <w:rsid w:val="001A3DDE"/>
    <w:rsid w:val="001A451F"/>
    <w:rsid w:val="001A4AA2"/>
    <w:rsid w:val="001A4B15"/>
    <w:rsid w:val="001A57D4"/>
    <w:rsid w:val="001A71DA"/>
    <w:rsid w:val="001A7796"/>
    <w:rsid w:val="001B0353"/>
    <w:rsid w:val="001B2E25"/>
    <w:rsid w:val="001B3614"/>
    <w:rsid w:val="001B3CE8"/>
    <w:rsid w:val="001B3E15"/>
    <w:rsid w:val="001B3EEB"/>
    <w:rsid w:val="001B4321"/>
    <w:rsid w:val="001B6BAF"/>
    <w:rsid w:val="001B74AF"/>
    <w:rsid w:val="001B7C0A"/>
    <w:rsid w:val="001C04C1"/>
    <w:rsid w:val="001C161A"/>
    <w:rsid w:val="001C1F8B"/>
    <w:rsid w:val="001C29DD"/>
    <w:rsid w:val="001C3372"/>
    <w:rsid w:val="001C61E0"/>
    <w:rsid w:val="001C79B5"/>
    <w:rsid w:val="001C7E4A"/>
    <w:rsid w:val="001D11A3"/>
    <w:rsid w:val="001D141D"/>
    <w:rsid w:val="001D18F0"/>
    <w:rsid w:val="001D242C"/>
    <w:rsid w:val="001D3DEB"/>
    <w:rsid w:val="001D6431"/>
    <w:rsid w:val="001D69B2"/>
    <w:rsid w:val="001D6FE2"/>
    <w:rsid w:val="001D7146"/>
    <w:rsid w:val="001E01F4"/>
    <w:rsid w:val="001E09F0"/>
    <w:rsid w:val="001E0B84"/>
    <w:rsid w:val="001E3064"/>
    <w:rsid w:val="001E325F"/>
    <w:rsid w:val="001E36A6"/>
    <w:rsid w:val="001E3DBA"/>
    <w:rsid w:val="001E40A1"/>
    <w:rsid w:val="001E5676"/>
    <w:rsid w:val="001E5FD1"/>
    <w:rsid w:val="001E7262"/>
    <w:rsid w:val="001E7374"/>
    <w:rsid w:val="001E75F8"/>
    <w:rsid w:val="001E79FA"/>
    <w:rsid w:val="001F01F7"/>
    <w:rsid w:val="001F0EAB"/>
    <w:rsid w:val="001F1A18"/>
    <w:rsid w:val="001F1E22"/>
    <w:rsid w:val="001F2BBB"/>
    <w:rsid w:val="001F3FAE"/>
    <w:rsid w:val="001F4142"/>
    <w:rsid w:val="001F45DF"/>
    <w:rsid w:val="001F47A4"/>
    <w:rsid w:val="001F4F85"/>
    <w:rsid w:val="001F5F16"/>
    <w:rsid w:val="001F6BA2"/>
    <w:rsid w:val="001F6DB8"/>
    <w:rsid w:val="00200677"/>
    <w:rsid w:val="002011C2"/>
    <w:rsid w:val="00201C81"/>
    <w:rsid w:val="002023E8"/>
    <w:rsid w:val="00202526"/>
    <w:rsid w:val="0020253C"/>
    <w:rsid w:val="00202EEA"/>
    <w:rsid w:val="00203771"/>
    <w:rsid w:val="00203BAA"/>
    <w:rsid w:val="002057A1"/>
    <w:rsid w:val="0020752D"/>
    <w:rsid w:val="00207E16"/>
    <w:rsid w:val="00210062"/>
    <w:rsid w:val="0021203C"/>
    <w:rsid w:val="00214B18"/>
    <w:rsid w:val="00214B56"/>
    <w:rsid w:val="002157EA"/>
    <w:rsid w:val="00215B8E"/>
    <w:rsid w:val="0022297C"/>
    <w:rsid w:val="00223721"/>
    <w:rsid w:val="00223E8D"/>
    <w:rsid w:val="002258BC"/>
    <w:rsid w:val="002269E3"/>
    <w:rsid w:val="002274CC"/>
    <w:rsid w:val="00230268"/>
    <w:rsid w:val="00230CBE"/>
    <w:rsid w:val="002310C2"/>
    <w:rsid w:val="00231556"/>
    <w:rsid w:val="00231ED1"/>
    <w:rsid w:val="00231EFD"/>
    <w:rsid w:val="002335BC"/>
    <w:rsid w:val="00233B06"/>
    <w:rsid w:val="002347B1"/>
    <w:rsid w:val="00235130"/>
    <w:rsid w:val="00236334"/>
    <w:rsid w:val="00236344"/>
    <w:rsid w:val="00236750"/>
    <w:rsid w:val="00236F6D"/>
    <w:rsid w:val="002404D7"/>
    <w:rsid w:val="00240E78"/>
    <w:rsid w:val="002425EF"/>
    <w:rsid w:val="00242624"/>
    <w:rsid w:val="0024295E"/>
    <w:rsid w:val="00242AF3"/>
    <w:rsid w:val="002433B4"/>
    <w:rsid w:val="00244D23"/>
    <w:rsid w:val="002452CD"/>
    <w:rsid w:val="0024557E"/>
    <w:rsid w:val="00245DDD"/>
    <w:rsid w:val="00246CC4"/>
    <w:rsid w:val="00246EA6"/>
    <w:rsid w:val="00251DB6"/>
    <w:rsid w:val="00252235"/>
    <w:rsid w:val="00252352"/>
    <w:rsid w:val="00252486"/>
    <w:rsid w:val="00252813"/>
    <w:rsid w:val="002530D8"/>
    <w:rsid w:val="00253389"/>
    <w:rsid w:val="0025375D"/>
    <w:rsid w:val="002538D7"/>
    <w:rsid w:val="00253A31"/>
    <w:rsid w:val="00254751"/>
    <w:rsid w:val="00255124"/>
    <w:rsid w:val="002553B5"/>
    <w:rsid w:val="00255E67"/>
    <w:rsid w:val="0025700A"/>
    <w:rsid w:val="00257BA0"/>
    <w:rsid w:val="002602B4"/>
    <w:rsid w:val="00261EC6"/>
    <w:rsid w:val="00261FF9"/>
    <w:rsid w:val="0026315F"/>
    <w:rsid w:val="00264B0C"/>
    <w:rsid w:val="00264D67"/>
    <w:rsid w:val="00264ED7"/>
    <w:rsid w:val="0026532F"/>
    <w:rsid w:val="00266943"/>
    <w:rsid w:val="00271285"/>
    <w:rsid w:val="00274173"/>
    <w:rsid w:val="00274A38"/>
    <w:rsid w:val="00274C53"/>
    <w:rsid w:val="00274CAD"/>
    <w:rsid w:val="00274D4A"/>
    <w:rsid w:val="00276E35"/>
    <w:rsid w:val="00276FA7"/>
    <w:rsid w:val="0028082C"/>
    <w:rsid w:val="00280841"/>
    <w:rsid w:val="002817CF"/>
    <w:rsid w:val="00281C77"/>
    <w:rsid w:val="002822D0"/>
    <w:rsid w:val="002828AF"/>
    <w:rsid w:val="002863D7"/>
    <w:rsid w:val="002873B4"/>
    <w:rsid w:val="00290873"/>
    <w:rsid w:val="00291B1B"/>
    <w:rsid w:val="00292A18"/>
    <w:rsid w:val="00292EAD"/>
    <w:rsid w:val="00293390"/>
    <w:rsid w:val="00293918"/>
    <w:rsid w:val="002940C0"/>
    <w:rsid w:val="00294C1A"/>
    <w:rsid w:val="002A06FD"/>
    <w:rsid w:val="002A0C8B"/>
    <w:rsid w:val="002A0FC7"/>
    <w:rsid w:val="002A0FFD"/>
    <w:rsid w:val="002A1738"/>
    <w:rsid w:val="002A1F2C"/>
    <w:rsid w:val="002A223F"/>
    <w:rsid w:val="002A249D"/>
    <w:rsid w:val="002A41CC"/>
    <w:rsid w:val="002A44EF"/>
    <w:rsid w:val="002A4951"/>
    <w:rsid w:val="002A656E"/>
    <w:rsid w:val="002A66B8"/>
    <w:rsid w:val="002B063C"/>
    <w:rsid w:val="002B1075"/>
    <w:rsid w:val="002B1816"/>
    <w:rsid w:val="002B1B65"/>
    <w:rsid w:val="002B2627"/>
    <w:rsid w:val="002B2E06"/>
    <w:rsid w:val="002B31FC"/>
    <w:rsid w:val="002B48DC"/>
    <w:rsid w:val="002B52C7"/>
    <w:rsid w:val="002B5449"/>
    <w:rsid w:val="002B6757"/>
    <w:rsid w:val="002C1866"/>
    <w:rsid w:val="002C1ADC"/>
    <w:rsid w:val="002C2618"/>
    <w:rsid w:val="002C33E6"/>
    <w:rsid w:val="002C3A88"/>
    <w:rsid w:val="002C3CEC"/>
    <w:rsid w:val="002C4BC5"/>
    <w:rsid w:val="002C4E7A"/>
    <w:rsid w:val="002C6480"/>
    <w:rsid w:val="002D2909"/>
    <w:rsid w:val="002D303D"/>
    <w:rsid w:val="002D3403"/>
    <w:rsid w:val="002D7928"/>
    <w:rsid w:val="002D7DBA"/>
    <w:rsid w:val="002E03EE"/>
    <w:rsid w:val="002E0B90"/>
    <w:rsid w:val="002E170F"/>
    <w:rsid w:val="002E1DCB"/>
    <w:rsid w:val="002E20E3"/>
    <w:rsid w:val="002E3585"/>
    <w:rsid w:val="002E4367"/>
    <w:rsid w:val="002E4BF6"/>
    <w:rsid w:val="002E5EC9"/>
    <w:rsid w:val="002E62A7"/>
    <w:rsid w:val="002E6743"/>
    <w:rsid w:val="002E781F"/>
    <w:rsid w:val="002F005C"/>
    <w:rsid w:val="002F0133"/>
    <w:rsid w:val="002F0D7E"/>
    <w:rsid w:val="002F0E46"/>
    <w:rsid w:val="002F0E84"/>
    <w:rsid w:val="002F1686"/>
    <w:rsid w:val="002F2B76"/>
    <w:rsid w:val="002F3B3E"/>
    <w:rsid w:val="002F4159"/>
    <w:rsid w:val="002F48F2"/>
    <w:rsid w:val="002F4C5A"/>
    <w:rsid w:val="002F4CE1"/>
    <w:rsid w:val="002F6855"/>
    <w:rsid w:val="002F71F3"/>
    <w:rsid w:val="002F7C43"/>
    <w:rsid w:val="0030055B"/>
    <w:rsid w:val="00300F22"/>
    <w:rsid w:val="00301702"/>
    <w:rsid w:val="00301926"/>
    <w:rsid w:val="00301D8D"/>
    <w:rsid w:val="00302973"/>
    <w:rsid w:val="003039F5"/>
    <w:rsid w:val="003041D5"/>
    <w:rsid w:val="00304A37"/>
    <w:rsid w:val="00304F55"/>
    <w:rsid w:val="00305915"/>
    <w:rsid w:val="00305AD4"/>
    <w:rsid w:val="003064F0"/>
    <w:rsid w:val="003067DE"/>
    <w:rsid w:val="00310ED4"/>
    <w:rsid w:val="00312301"/>
    <w:rsid w:val="003127BF"/>
    <w:rsid w:val="00313B75"/>
    <w:rsid w:val="00314417"/>
    <w:rsid w:val="0031492A"/>
    <w:rsid w:val="00314E58"/>
    <w:rsid w:val="00316C1A"/>
    <w:rsid w:val="00317305"/>
    <w:rsid w:val="003177B7"/>
    <w:rsid w:val="00317DA9"/>
    <w:rsid w:val="0032115F"/>
    <w:rsid w:val="0032183C"/>
    <w:rsid w:val="003227B2"/>
    <w:rsid w:val="00322E83"/>
    <w:rsid w:val="00323C73"/>
    <w:rsid w:val="00324697"/>
    <w:rsid w:val="00324C6E"/>
    <w:rsid w:val="00325319"/>
    <w:rsid w:val="00325A22"/>
    <w:rsid w:val="00326AF3"/>
    <w:rsid w:val="003272E1"/>
    <w:rsid w:val="00327A3B"/>
    <w:rsid w:val="003303E5"/>
    <w:rsid w:val="00330958"/>
    <w:rsid w:val="00330F7F"/>
    <w:rsid w:val="00331141"/>
    <w:rsid w:val="0033226D"/>
    <w:rsid w:val="003326B5"/>
    <w:rsid w:val="003337A7"/>
    <w:rsid w:val="00334E23"/>
    <w:rsid w:val="003355EE"/>
    <w:rsid w:val="00335B3D"/>
    <w:rsid w:val="0033607D"/>
    <w:rsid w:val="00337537"/>
    <w:rsid w:val="003404EC"/>
    <w:rsid w:val="00340B57"/>
    <w:rsid w:val="00341662"/>
    <w:rsid w:val="00344758"/>
    <w:rsid w:val="00344BBF"/>
    <w:rsid w:val="003464F8"/>
    <w:rsid w:val="00347142"/>
    <w:rsid w:val="00350C57"/>
    <w:rsid w:val="003519C0"/>
    <w:rsid w:val="00351BD1"/>
    <w:rsid w:val="00351C35"/>
    <w:rsid w:val="0035340F"/>
    <w:rsid w:val="00354450"/>
    <w:rsid w:val="0035650A"/>
    <w:rsid w:val="003565A8"/>
    <w:rsid w:val="003566EA"/>
    <w:rsid w:val="00356AD3"/>
    <w:rsid w:val="00357EE9"/>
    <w:rsid w:val="003614E7"/>
    <w:rsid w:val="00364103"/>
    <w:rsid w:val="00364127"/>
    <w:rsid w:val="003656C4"/>
    <w:rsid w:val="003658C5"/>
    <w:rsid w:val="00365976"/>
    <w:rsid w:val="00366F44"/>
    <w:rsid w:val="00370267"/>
    <w:rsid w:val="00370343"/>
    <w:rsid w:val="003707DA"/>
    <w:rsid w:val="00370DF9"/>
    <w:rsid w:val="00372C79"/>
    <w:rsid w:val="003731D1"/>
    <w:rsid w:val="00374543"/>
    <w:rsid w:val="00374855"/>
    <w:rsid w:val="003749C5"/>
    <w:rsid w:val="0037615C"/>
    <w:rsid w:val="00380378"/>
    <w:rsid w:val="00381960"/>
    <w:rsid w:val="00382305"/>
    <w:rsid w:val="00382B30"/>
    <w:rsid w:val="0038397C"/>
    <w:rsid w:val="00383B58"/>
    <w:rsid w:val="00383CB9"/>
    <w:rsid w:val="003844FE"/>
    <w:rsid w:val="003850ED"/>
    <w:rsid w:val="003856E0"/>
    <w:rsid w:val="00385AF4"/>
    <w:rsid w:val="003874DF"/>
    <w:rsid w:val="00387526"/>
    <w:rsid w:val="00390DDE"/>
    <w:rsid w:val="00390E16"/>
    <w:rsid w:val="003916E0"/>
    <w:rsid w:val="00391B3A"/>
    <w:rsid w:val="00391BD7"/>
    <w:rsid w:val="00392808"/>
    <w:rsid w:val="00392C8D"/>
    <w:rsid w:val="00393984"/>
    <w:rsid w:val="00393BA8"/>
    <w:rsid w:val="00394880"/>
    <w:rsid w:val="00394FD3"/>
    <w:rsid w:val="00396578"/>
    <w:rsid w:val="00396BB2"/>
    <w:rsid w:val="003972A4"/>
    <w:rsid w:val="00397B00"/>
    <w:rsid w:val="003A011A"/>
    <w:rsid w:val="003A15A6"/>
    <w:rsid w:val="003A3F1C"/>
    <w:rsid w:val="003A4368"/>
    <w:rsid w:val="003A448B"/>
    <w:rsid w:val="003A5BD1"/>
    <w:rsid w:val="003A6832"/>
    <w:rsid w:val="003B068F"/>
    <w:rsid w:val="003B1E95"/>
    <w:rsid w:val="003B2199"/>
    <w:rsid w:val="003B3760"/>
    <w:rsid w:val="003B4EBA"/>
    <w:rsid w:val="003B5503"/>
    <w:rsid w:val="003B5C89"/>
    <w:rsid w:val="003B6110"/>
    <w:rsid w:val="003B6909"/>
    <w:rsid w:val="003C3B3F"/>
    <w:rsid w:val="003C4342"/>
    <w:rsid w:val="003C7423"/>
    <w:rsid w:val="003C7B90"/>
    <w:rsid w:val="003D0673"/>
    <w:rsid w:val="003D0903"/>
    <w:rsid w:val="003D16E2"/>
    <w:rsid w:val="003D17D6"/>
    <w:rsid w:val="003D3638"/>
    <w:rsid w:val="003D4D77"/>
    <w:rsid w:val="003D75BA"/>
    <w:rsid w:val="003D79A3"/>
    <w:rsid w:val="003E0565"/>
    <w:rsid w:val="003E07E2"/>
    <w:rsid w:val="003E2327"/>
    <w:rsid w:val="003E2734"/>
    <w:rsid w:val="003E3A69"/>
    <w:rsid w:val="003E3CA6"/>
    <w:rsid w:val="003E4B0B"/>
    <w:rsid w:val="003E53AF"/>
    <w:rsid w:val="003E650F"/>
    <w:rsid w:val="003E6E67"/>
    <w:rsid w:val="003E790D"/>
    <w:rsid w:val="003E7935"/>
    <w:rsid w:val="003F0BC3"/>
    <w:rsid w:val="003F1309"/>
    <w:rsid w:val="003F4EDB"/>
    <w:rsid w:val="003F5235"/>
    <w:rsid w:val="003F6840"/>
    <w:rsid w:val="003F753E"/>
    <w:rsid w:val="003F77EC"/>
    <w:rsid w:val="00400F09"/>
    <w:rsid w:val="00401BED"/>
    <w:rsid w:val="00401C26"/>
    <w:rsid w:val="00401F2E"/>
    <w:rsid w:val="00402610"/>
    <w:rsid w:val="00402E9E"/>
    <w:rsid w:val="00402EEE"/>
    <w:rsid w:val="00403B46"/>
    <w:rsid w:val="00404070"/>
    <w:rsid w:val="00404A45"/>
    <w:rsid w:val="00405081"/>
    <w:rsid w:val="0040541B"/>
    <w:rsid w:val="004056DA"/>
    <w:rsid w:val="00405741"/>
    <w:rsid w:val="00411799"/>
    <w:rsid w:val="00414961"/>
    <w:rsid w:val="00414EF2"/>
    <w:rsid w:val="004158F4"/>
    <w:rsid w:val="0041731C"/>
    <w:rsid w:val="004178A0"/>
    <w:rsid w:val="00417EC0"/>
    <w:rsid w:val="004219DF"/>
    <w:rsid w:val="00421B13"/>
    <w:rsid w:val="00422417"/>
    <w:rsid w:val="004225BF"/>
    <w:rsid w:val="004232FD"/>
    <w:rsid w:val="0042397A"/>
    <w:rsid w:val="00424233"/>
    <w:rsid w:val="00424D0A"/>
    <w:rsid w:val="0042527E"/>
    <w:rsid w:val="004254A1"/>
    <w:rsid w:val="004305E6"/>
    <w:rsid w:val="0043130F"/>
    <w:rsid w:val="00431C75"/>
    <w:rsid w:val="00432009"/>
    <w:rsid w:val="004326E4"/>
    <w:rsid w:val="004333D6"/>
    <w:rsid w:val="0043422F"/>
    <w:rsid w:val="004347F0"/>
    <w:rsid w:val="00435B77"/>
    <w:rsid w:val="00441AAE"/>
    <w:rsid w:val="00441F7A"/>
    <w:rsid w:val="004427AA"/>
    <w:rsid w:val="0044351D"/>
    <w:rsid w:val="00443E79"/>
    <w:rsid w:val="004447F4"/>
    <w:rsid w:val="004453F8"/>
    <w:rsid w:val="00445645"/>
    <w:rsid w:val="0044696F"/>
    <w:rsid w:val="00446B44"/>
    <w:rsid w:val="00447617"/>
    <w:rsid w:val="00447917"/>
    <w:rsid w:val="00447B3E"/>
    <w:rsid w:val="00447F4B"/>
    <w:rsid w:val="004528AA"/>
    <w:rsid w:val="004529A2"/>
    <w:rsid w:val="0045337B"/>
    <w:rsid w:val="00454AC1"/>
    <w:rsid w:val="004558ED"/>
    <w:rsid w:val="00455A6C"/>
    <w:rsid w:val="004576C1"/>
    <w:rsid w:val="004601AD"/>
    <w:rsid w:val="00460F4F"/>
    <w:rsid w:val="0046117E"/>
    <w:rsid w:val="00461C6A"/>
    <w:rsid w:val="00464569"/>
    <w:rsid w:val="00464628"/>
    <w:rsid w:val="0046468C"/>
    <w:rsid w:val="00464A8E"/>
    <w:rsid w:val="00465412"/>
    <w:rsid w:val="0046588D"/>
    <w:rsid w:val="00466637"/>
    <w:rsid w:val="00466C41"/>
    <w:rsid w:val="00466C70"/>
    <w:rsid w:val="0046784F"/>
    <w:rsid w:val="004705BA"/>
    <w:rsid w:val="0047115E"/>
    <w:rsid w:val="004712FB"/>
    <w:rsid w:val="00471818"/>
    <w:rsid w:val="00472E91"/>
    <w:rsid w:val="00472EFF"/>
    <w:rsid w:val="00473C28"/>
    <w:rsid w:val="00474063"/>
    <w:rsid w:val="00476793"/>
    <w:rsid w:val="0047709E"/>
    <w:rsid w:val="004772E7"/>
    <w:rsid w:val="004778C0"/>
    <w:rsid w:val="00477E8E"/>
    <w:rsid w:val="00480638"/>
    <w:rsid w:val="00480706"/>
    <w:rsid w:val="004821A5"/>
    <w:rsid w:val="00483273"/>
    <w:rsid w:val="0048406F"/>
    <w:rsid w:val="0048441A"/>
    <w:rsid w:val="00484812"/>
    <w:rsid w:val="0048542C"/>
    <w:rsid w:val="00486334"/>
    <w:rsid w:val="00486951"/>
    <w:rsid w:val="00487E47"/>
    <w:rsid w:val="004904EB"/>
    <w:rsid w:val="0049132B"/>
    <w:rsid w:val="00491A8C"/>
    <w:rsid w:val="00492A87"/>
    <w:rsid w:val="00493571"/>
    <w:rsid w:val="00496442"/>
    <w:rsid w:val="004A02B5"/>
    <w:rsid w:val="004A187B"/>
    <w:rsid w:val="004A2D3C"/>
    <w:rsid w:val="004A31E6"/>
    <w:rsid w:val="004A41AD"/>
    <w:rsid w:val="004A520E"/>
    <w:rsid w:val="004A655B"/>
    <w:rsid w:val="004A6816"/>
    <w:rsid w:val="004A70D6"/>
    <w:rsid w:val="004B004D"/>
    <w:rsid w:val="004B159E"/>
    <w:rsid w:val="004B1B46"/>
    <w:rsid w:val="004B2504"/>
    <w:rsid w:val="004B32AB"/>
    <w:rsid w:val="004B4D6D"/>
    <w:rsid w:val="004B5534"/>
    <w:rsid w:val="004B7804"/>
    <w:rsid w:val="004B7C42"/>
    <w:rsid w:val="004C04D4"/>
    <w:rsid w:val="004C22CF"/>
    <w:rsid w:val="004C355B"/>
    <w:rsid w:val="004C5468"/>
    <w:rsid w:val="004C5F2B"/>
    <w:rsid w:val="004C64DE"/>
    <w:rsid w:val="004C6A53"/>
    <w:rsid w:val="004C7412"/>
    <w:rsid w:val="004D04BF"/>
    <w:rsid w:val="004D0BF7"/>
    <w:rsid w:val="004D0E86"/>
    <w:rsid w:val="004D2647"/>
    <w:rsid w:val="004D2E71"/>
    <w:rsid w:val="004D3420"/>
    <w:rsid w:val="004D5315"/>
    <w:rsid w:val="004D605D"/>
    <w:rsid w:val="004D76B6"/>
    <w:rsid w:val="004D7941"/>
    <w:rsid w:val="004D7E79"/>
    <w:rsid w:val="004E01CF"/>
    <w:rsid w:val="004E0ABB"/>
    <w:rsid w:val="004E0DFF"/>
    <w:rsid w:val="004E1219"/>
    <w:rsid w:val="004E4848"/>
    <w:rsid w:val="004E48C3"/>
    <w:rsid w:val="004E5E47"/>
    <w:rsid w:val="004E69C4"/>
    <w:rsid w:val="004E6A35"/>
    <w:rsid w:val="004F1C7C"/>
    <w:rsid w:val="004F40CE"/>
    <w:rsid w:val="004F47BA"/>
    <w:rsid w:val="004F64E7"/>
    <w:rsid w:val="004F6C8D"/>
    <w:rsid w:val="004F6E2D"/>
    <w:rsid w:val="004F6F03"/>
    <w:rsid w:val="004F76C5"/>
    <w:rsid w:val="005027BA"/>
    <w:rsid w:val="0050490D"/>
    <w:rsid w:val="00506A93"/>
    <w:rsid w:val="00506E70"/>
    <w:rsid w:val="00507B0D"/>
    <w:rsid w:val="005120CA"/>
    <w:rsid w:val="005123F0"/>
    <w:rsid w:val="00513093"/>
    <w:rsid w:val="00513540"/>
    <w:rsid w:val="0051354E"/>
    <w:rsid w:val="00513941"/>
    <w:rsid w:val="00513ABA"/>
    <w:rsid w:val="005145BC"/>
    <w:rsid w:val="00514616"/>
    <w:rsid w:val="00514AA0"/>
    <w:rsid w:val="00515A13"/>
    <w:rsid w:val="005207A0"/>
    <w:rsid w:val="0052319D"/>
    <w:rsid w:val="00523BA4"/>
    <w:rsid w:val="00523F82"/>
    <w:rsid w:val="00524538"/>
    <w:rsid w:val="00525832"/>
    <w:rsid w:val="00527779"/>
    <w:rsid w:val="00527CE7"/>
    <w:rsid w:val="0053051D"/>
    <w:rsid w:val="005305CA"/>
    <w:rsid w:val="0053179B"/>
    <w:rsid w:val="0053229C"/>
    <w:rsid w:val="00532577"/>
    <w:rsid w:val="005338E5"/>
    <w:rsid w:val="00533A4A"/>
    <w:rsid w:val="00533E8F"/>
    <w:rsid w:val="00534043"/>
    <w:rsid w:val="00535276"/>
    <w:rsid w:val="00535F6B"/>
    <w:rsid w:val="00541089"/>
    <w:rsid w:val="00541C35"/>
    <w:rsid w:val="0054306F"/>
    <w:rsid w:val="00543604"/>
    <w:rsid w:val="005438D7"/>
    <w:rsid w:val="00544B3D"/>
    <w:rsid w:val="00546A0F"/>
    <w:rsid w:val="00550D58"/>
    <w:rsid w:val="0055106C"/>
    <w:rsid w:val="005516A7"/>
    <w:rsid w:val="00551BF0"/>
    <w:rsid w:val="00552E6B"/>
    <w:rsid w:val="00553642"/>
    <w:rsid w:val="00555788"/>
    <w:rsid w:val="00555ABA"/>
    <w:rsid w:val="00556FD2"/>
    <w:rsid w:val="00557096"/>
    <w:rsid w:val="00557983"/>
    <w:rsid w:val="00560E2A"/>
    <w:rsid w:val="00561491"/>
    <w:rsid w:val="00561E10"/>
    <w:rsid w:val="00562550"/>
    <w:rsid w:val="00562A0C"/>
    <w:rsid w:val="00563375"/>
    <w:rsid w:val="00564208"/>
    <w:rsid w:val="00564390"/>
    <w:rsid w:val="0056450C"/>
    <w:rsid w:val="00564737"/>
    <w:rsid w:val="0056537E"/>
    <w:rsid w:val="005660C8"/>
    <w:rsid w:val="005664B3"/>
    <w:rsid w:val="005666BF"/>
    <w:rsid w:val="0056677B"/>
    <w:rsid w:val="00566A98"/>
    <w:rsid w:val="00566C90"/>
    <w:rsid w:val="005715F6"/>
    <w:rsid w:val="00571664"/>
    <w:rsid w:val="00571CEB"/>
    <w:rsid w:val="00572BFB"/>
    <w:rsid w:val="00572CA4"/>
    <w:rsid w:val="005735EB"/>
    <w:rsid w:val="00573769"/>
    <w:rsid w:val="005754EC"/>
    <w:rsid w:val="00575793"/>
    <w:rsid w:val="00575B89"/>
    <w:rsid w:val="00576DF2"/>
    <w:rsid w:val="00577431"/>
    <w:rsid w:val="005815AC"/>
    <w:rsid w:val="005817F1"/>
    <w:rsid w:val="005904EB"/>
    <w:rsid w:val="00590B8F"/>
    <w:rsid w:val="0059100F"/>
    <w:rsid w:val="005914C1"/>
    <w:rsid w:val="00591951"/>
    <w:rsid w:val="00592B62"/>
    <w:rsid w:val="00592BC6"/>
    <w:rsid w:val="00592F0C"/>
    <w:rsid w:val="00593BB2"/>
    <w:rsid w:val="0059423F"/>
    <w:rsid w:val="0059469A"/>
    <w:rsid w:val="0059597F"/>
    <w:rsid w:val="0059690E"/>
    <w:rsid w:val="00596AD7"/>
    <w:rsid w:val="00597BA7"/>
    <w:rsid w:val="005A000D"/>
    <w:rsid w:val="005A0397"/>
    <w:rsid w:val="005A03F8"/>
    <w:rsid w:val="005A064D"/>
    <w:rsid w:val="005A07CB"/>
    <w:rsid w:val="005A297C"/>
    <w:rsid w:val="005A3228"/>
    <w:rsid w:val="005A36C4"/>
    <w:rsid w:val="005A3F51"/>
    <w:rsid w:val="005A4714"/>
    <w:rsid w:val="005A5618"/>
    <w:rsid w:val="005A5ABB"/>
    <w:rsid w:val="005A71B8"/>
    <w:rsid w:val="005A75F6"/>
    <w:rsid w:val="005A7BF4"/>
    <w:rsid w:val="005B0525"/>
    <w:rsid w:val="005B0C1A"/>
    <w:rsid w:val="005B0DFC"/>
    <w:rsid w:val="005B16C4"/>
    <w:rsid w:val="005B23A2"/>
    <w:rsid w:val="005B2E82"/>
    <w:rsid w:val="005B2F22"/>
    <w:rsid w:val="005B38C3"/>
    <w:rsid w:val="005B4A1A"/>
    <w:rsid w:val="005B5C2A"/>
    <w:rsid w:val="005B656B"/>
    <w:rsid w:val="005B7573"/>
    <w:rsid w:val="005B79F7"/>
    <w:rsid w:val="005C1584"/>
    <w:rsid w:val="005C197B"/>
    <w:rsid w:val="005C354D"/>
    <w:rsid w:val="005C3AEA"/>
    <w:rsid w:val="005C3D9F"/>
    <w:rsid w:val="005C55BA"/>
    <w:rsid w:val="005C57DF"/>
    <w:rsid w:val="005C5D41"/>
    <w:rsid w:val="005C6477"/>
    <w:rsid w:val="005D02F3"/>
    <w:rsid w:val="005D06FF"/>
    <w:rsid w:val="005D1F34"/>
    <w:rsid w:val="005D2771"/>
    <w:rsid w:val="005D383D"/>
    <w:rsid w:val="005D424C"/>
    <w:rsid w:val="005D5726"/>
    <w:rsid w:val="005D5D09"/>
    <w:rsid w:val="005E086D"/>
    <w:rsid w:val="005E1365"/>
    <w:rsid w:val="005E1DB2"/>
    <w:rsid w:val="005E4947"/>
    <w:rsid w:val="005E4D5E"/>
    <w:rsid w:val="005E6D81"/>
    <w:rsid w:val="005E7173"/>
    <w:rsid w:val="005F071D"/>
    <w:rsid w:val="005F0C0C"/>
    <w:rsid w:val="005F1535"/>
    <w:rsid w:val="005F239B"/>
    <w:rsid w:val="005F2C5F"/>
    <w:rsid w:val="005F2F9A"/>
    <w:rsid w:val="005F35D2"/>
    <w:rsid w:val="005F3B1F"/>
    <w:rsid w:val="005F72A8"/>
    <w:rsid w:val="005F741B"/>
    <w:rsid w:val="005F7CB3"/>
    <w:rsid w:val="00600E11"/>
    <w:rsid w:val="0060333C"/>
    <w:rsid w:val="0060352F"/>
    <w:rsid w:val="00605FF4"/>
    <w:rsid w:val="006076E8"/>
    <w:rsid w:val="00607FB2"/>
    <w:rsid w:val="0061117C"/>
    <w:rsid w:val="006112D7"/>
    <w:rsid w:val="00611CEB"/>
    <w:rsid w:val="00611DED"/>
    <w:rsid w:val="006148F8"/>
    <w:rsid w:val="00616EA6"/>
    <w:rsid w:val="00617C7F"/>
    <w:rsid w:val="00623B09"/>
    <w:rsid w:val="006258D1"/>
    <w:rsid w:val="006266DC"/>
    <w:rsid w:val="00626864"/>
    <w:rsid w:val="00630254"/>
    <w:rsid w:val="0063038D"/>
    <w:rsid w:val="00631110"/>
    <w:rsid w:val="00631363"/>
    <w:rsid w:val="00631981"/>
    <w:rsid w:val="00632226"/>
    <w:rsid w:val="0063262B"/>
    <w:rsid w:val="006327D5"/>
    <w:rsid w:val="0063385B"/>
    <w:rsid w:val="00633A59"/>
    <w:rsid w:val="00634AAD"/>
    <w:rsid w:val="006365B8"/>
    <w:rsid w:val="00637D2E"/>
    <w:rsid w:val="0064064A"/>
    <w:rsid w:val="00640A1E"/>
    <w:rsid w:val="00640A27"/>
    <w:rsid w:val="00641254"/>
    <w:rsid w:val="00642107"/>
    <w:rsid w:val="006427F0"/>
    <w:rsid w:val="00642A68"/>
    <w:rsid w:val="00644312"/>
    <w:rsid w:val="00644A3E"/>
    <w:rsid w:val="0064532F"/>
    <w:rsid w:val="00645A98"/>
    <w:rsid w:val="006462A1"/>
    <w:rsid w:val="00647298"/>
    <w:rsid w:val="00647377"/>
    <w:rsid w:val="006503E2"/>
    <w:rsid w:val="0065052B"/>
    <w:rsid w:val="00651B38"/>
    <w:rsid w:val="006529C9"/>
    <w:rsid w:val="00652DFD"/>
    <w:rsid w:val="00652F98"/>
    <w:rsid w:val="00653B20"/>
    <w:rsid w:val="00654793"/>
    <w:rsid w:val="00656408"/>
    <w:rsid w:val="00660570"/>
    <w:rsid w:val="00662753"/>
    <w:rsid w:val="00664D7F"/>
    <w:rsid w:val="00665C84"/>
    <w:rsid w:val="0066762C"/>
    <w:rsid w:val="00667D23"/>
    <w:rsid w:val="006708B1"/>
    <w:rsid w:val="00670D67"/>
    <w:rsid w:val="00671662"/>
    <w:rsid w:val="00673821"/>
    <w:rsid w:val="00674D18"/>
    <w:rsid w:val="00675134"/>
    <w:rsid w:val="00675AB9"/>
    <w:rsid w:val="00675B53"/>
    <w:rsid w:val="0068058D"/>
    <w:rsid w:val="006815EE"/>
    <w:rsid w:val="0068204D"/>
    <w:rsid w:val="00682168"/>
    <w:rsid w:val="00682B23"/>
    <w:rsid w:val="00682F15"/>
    <w:rsid w:val="00683907"/>
    <w:rsid w:val="00684509"/>
    <w:rsid w:val="00685980"/>
    <w:rsid w:val="00686368"/>
    <w:rsid w:val="00686618"/>
    <w:rsid w:val="00686919"/>
    <w:rsid w:val="00686F3B"/>
    <w:rsid w:val="006877B3"/>
    <w:rsid w:val="006921AA"/>
    <w:rsid w:val="00692F3C"/>
    <w:rsid w:val="00692F41"/>
    <w:rsid w:val="006936A2"/>
    <w:rsid w:val="00694C9F"/>
    <w:rsid w:val="00696456"/>
    <w:rsid w:val="00696ED8"/>
    <w:rsid w:val="006A079D"/>
    <w:rsid w:val="006A0E2A"/>
    <w:rsid w:val="006A2C3B"/>
    <w:rsid w:val="006A2C97"/>
    <w:rsid w:val="006A347A"/>
    <w:rsid w:val="006A42E2"/>
    <w:rsid w:val="006A480A"/>
    <w:rsid w:val="006A524E"/>
    <w:rsid w:val="006A5459"/>
    <w:rsid w:val="006A6BB3"/>
    <w:rsid w:val="006A6C74"/>
    <w:rsid w:val="006B0059"/>
    <w:rsid w:val="006B0747"/>
    <w:rsid w:val="006B15A8"/>
    <w:rsid w:val="006B348D"/>
    <w:rsid w:val="006B391C"/>
    <w:rsid w:val="006B3EB4"/>
    <w:rsid w:val="006B44BE"/>
    <w:rsid w:val="006B54CE"/>
    <w:rsid w:val="006B7F36"/>
    <w:rsid w:val="006C0833"/>
    <w:rsid w:val="006C1090"/>
    <w:rsid w:val="006C1156"/>
    <w:rsid w:val="006C13ED"/>
    <w:rsid w:val="006C18B1"/>
    <w:rsid w:val="006C1A1F"/>
    <w:rsid w:val="006C389D"/>
    <w:rsid w:val="006C43B9"/>
    <w:rsid w:val="006C4ABB"/>
    <w:rsid w:val="006C62B5"/>
    <w:rsid w:val="006C72A6"/>
    <w:rsid w:val="006D09A7"/>
    <w:rsid w:val="006D11CE"/>
    <w:rsid w:val="006D37BF"/>
    <w:rsid w:val="006D3B1F"/>
    <w:rsid w:val="006D4E39"/>
    <w:rsid w:val="006D582A"/>
    <w:rsid w:val="006D5EE5"/>
    <w:rsid w:val="006D6467"/>
    <w:rsid w:val="006D7540"/>
    <w:rsid w:val="006D76C8"/>
    <w:rsid w:val="006E0288"/>
    <w:rsid w:val="006E1291"/>
    <w:rsid w:val="006E2A41"/>
    <w:rsid w:val="006E3319"/>
    <w:rsid w:val="006E5A03"/>
    <w:rsid w:val="006E6339"/>
    <w:rsid w:val="006E6D3B"/>
    <w:rsid w:val="006E6DB0"/>
    <w:rsid w:val="006E7C92"/>
    <w:rsid w:val="006F0F44"/>
    <w:rsid w:val="006F1170"/>
    <w:rsid w:val="006F25B8"/>
    <w:rsid w:val="006F2AE9"/>
    <w:rsid w:val="006F3565"/>
    <w:rsid w:val="006F47B5"/>
    <w:rsid w:val="006F5062"/>
    <w:rsid w:val="006F5810"/>
    <w:rsid w:val="006F588F"/>
    <w:rsid w:val="006F63EC"/>
    <w:rsid w:val="006F681E"/>
    <w:rsid w:val="00701480"/>
    <w:rsid w:val="00701548"/>
    <w:rsid w:val="00701AC4"/>
    <w:rsid w:val="00702C21"/>
    <w:rsid w:val="007057D4"/>
    <w:rsid w:val="00705B67"/>
    <w:rsid w:val="00705D59"/>
    <w:rsid w:val="0070626F"/>
    <w:rsid w:val="007062A6"/>
    <w:rsid w:val="007113A4"/>
    <w:rsid w:val="007124FA"/>
    <w:rsid w:val="007130D5"/>
    <w:rsid w:val="00715CEA"/>
    <w:rsid w:val="00716AC2"/>
    <w:rsid w:val="00716DE2"/>
    <w:rsid w:val="00716F08"/>
    <w:rsid w:val="007177B0"/>
    <w:rsid w:val="00720E90"/>
    <w:rsid w:val="00721A01"/>
    <w:rsid w:val="00722384"/>
    <w:rsid w:val="00723635"/>
    <w:rsid w:val="00725DB2"/>
    <w:rsid w:val="0072655B"/>
    <w:rsid w:val="00730540"/>
    <w:rsid w:val="00730BD2"/>
    <w:rsid w:val="00730EFA"/>
    <w:rsid w:val="00730F0B"/>
    <w:rsid w:val="007318D8"/>
    <w:rsid w:val="00733336"/>
    <w:rsid w:val="007366B1"/>
    <w:rsid w:val="00737B54"/>
    <w:rsid w:val="00740407"/>
    <w:rsid w:val="007405CB"/>
    <w:rsid w:val="0074091F"/>
    <w:rsid w:val="00741352"/>
    <w:rsid w:val="007419E0"/>
    <w:rsid w:val="00742282"/>
    <w:rsid w:val="00743745"/>
    <w:rsid w:val="00744392"/>
    <w:rsid w:val="007461FB"/>
    <w:rsid w:val="00750CC4"/>
    <w:rsid w:val="00750E74"/>
    <w:rsid w:val="007519D5"/>
    <w:rsid w:val="007537B2"/>
    <w:rsid w:val="007540BF"/>
    <w:rsid w:val="00754F03"/>
    <w:rsid w:val="007566D2"/>
    <w:rsid w:val="00760F1C"/>
    <w:rsid w:val="0076128F"/>
    <w:rsid w:val="00761594"/>
    <w:rsid w:val="00762585"/>
    <w:rsid w:val="00762CCD"/>
    <w:rsid w:val="00763301"/>
    <w:rsid w:val="007638BB"/>
    <w:rsid w:val="00764939"/>
    <w:rsid w:val="00764AAD"/>
    <w:rsid w:val="007670C3"/>
    <w:rsid w:val="007676E9"/>
    <w:rsid w:val="00770B44"/>
    <w:rsid w:val="00770DCB"/>
    <w:rsid w:val="00771842"/>
    <w:rsid w:val="00771ABA"/>
    <w:rsid w:val="00771F51"/>
    <w:rsid w:val="00772AFB"/>
    <w:rsid w:val="00773050"/>
    <w:rsid w:val="0077392B"/>
    <w:rsid w:val="00774DD8"/>
    <w:rsid w:val="00775167"/>
    <w:rsid w:val="00775485"/>
    <w:rsid w:val="007764EF"/>
    <w:rsid w:val="007803A5"/>
    <w:rsid w:val="007805D4"/>
    <w:rsid w:val="00781418"/>
    <w:rsid w:val="007823E9"/>
    <w:rsid w:val="00782D5B"/>
    <w:rsid w:val="00783291"/>
    <w:rsid w:val="00783538"/>
    <w:rsid w:val="0078499E"/>
    <w:rsid w:val="007857E7"/>
    <w:rsid w:val="0078609F"/>
    <w:rsid w:val="00790308"/>
    <w:rsid w:val="007921AE"/>
    <w:rsid w:val="00793981"/>
    <w:rsid w:val="007941A1"/>
    <w:rsid w:val="00795E1E"/>
    <w:rsid w:val="00796480"/>
    <w:rsid w:val="00796F53"/>
    <w:rsid w:val="007970B3"/>
    <w:rsid w:val="0079772F"/>
    <w:rsid w:val="00797E99"/>
    <w:rsid w:val="007A0826"/>
    <w:rsid w:val="007A2124"/>
    <w:rsid w:val="007A2649"/>
    <w:rsid w:val="007A3506"/>
    <w:rsid w:val="007A3D27"/>
    <w:rsid w:val="007A5687"/>
    <w:rsid w:val="007A5EE3"/>
    <w:rsid w:val="007A6183"/>
    <w:rsid w:val="007A6D63"/>
    <w:rsid w:val="007A7390"/>
    <w:rsid w:val="007A7D8C"/>
    <w:rsid w:val="007A7E02"/>
    <w:rsid w:val="007B080C"/>
    <w:rsid w:val="007B0C0F"/>
    <w:rsid w:val="007B1428"/>
    <w:rsid w:val="007B22CF"/>
    <w:rsid w:val="007B247B"/>
    <w:rsid w:val="007B2CC6"/>
    <w:rsid w:val="007B2CD5"/>
    <w:rsid w:val="007B3D71"/>
    <w:rsid w:val="007B4B81"/>
    <w:rsid w:val="007B4CE9"/>
    <w:rsid w:val="007B5257"/>
    <w:rsid w:val="007B561C"/>
    <w:rsid w:val="007B6DBB"/>
    <w:rsid w:val="007B73CB"/>
    <w:rsid w:val="007B75CE"/>
    <w:rsid w:val="007C23C9"/>
    <w:rsid w:val="007C2ACE"/>
    <w:rsid w:val="007C2F70"/>
    <w:rsid w:val="007C3703"/>
    <w:rsid w:val="007C42FF"/>
    <w:rsid w:val="007C4E5E"/>
    <w:rsid w:val="007C56C8"/>
    <w:rsid w:val="007C57C8"/>
    <w:rsid w:val="007C63FF"/>
    <w:rsid w:val="007C6BAA"/>
    <w:rsid w:val="007D0293"/>
    <w:rsid w:val="007D12CC"/>
    <w:rsid w:val="007D13A9"/>
    <w:rsid w:val="007D19D8"/>
    <w:rsid w:val="007D2D4E"/>
    <w:rsid w:val="007D3190"/>
    <w:rsid w:val="007D3DCA"/>
    <w:rsid w:val="007D3E0F"/>
    <w:rsid w:val="007D6628"/>
    <w:rsid w:val="007D6DFE"/>
    <w:rsid w:val="007D7B1D"/>
    <w:rsid w:val="007D7BDA"/>
    <w:rsid w:val="007E1533"/>
    <w:rsid w:val="007E21ED"/>
    <w:rsid w:val="007E549E"/>
    <w:rsid w:val="007E54B7"/>
    <w:rsid w:val="007E5B88"/>
    <w:rsid w:val="007E7188"/>
    <w:rsid w:val="007E755C"/>
    <w:rsid w:val="007E7743"/>
    <w:rsid w:val="007E7B97"/>
    <w:rsid w:val="007E7BD6"/>
    <w:rsid w:val="007E7D57"/>
    <w:rsid w:val="007F0D0B"/>
    <w:rsid w:val="007F1924"/>
    <w:rsid w:val="007F3A5B"/>
    <w:rsid w:val="007F60D6"/>
    <w:rsid w:val="007F794C"/>
    <w:rsid w:val="008000BB"/>
    <w:rsid w:val="008007A8"/>
    <w:rsid w:val="00801524"/>
    <w:rsid w:val="00801578"/>
    <w:rsid w:val="00801964"/>
    <w:rsid w:val="00802627"/>
    <w:rsid w:val="008028B4"/>
    <w:rsid w:val="008029AA"/>
    <w:rsid w:val="00803BA7"/>
    <w:rsid w:val="0080415F"/>
    <w:rsid w:val="0080423F"/>
    <w:rsid w:val="008042D9"/>
    <w:rsid w:val="00805313"/>
    <w:rsid w:val="008054B1"/>
    <w:rsid w:val="00805AE7"/>
    <w:rsid w:val="00807F28"/>
    <w:rsid w:val="0081056E"/>
    <w:rsid w:val="00811138"/>
    <w:rsid w:val="008118C0"/>
    <w:rsid w:val="0081282C"/>
    <w:rsid w:val="0081301C"/>
    <w:rsid w:val="008130F3"/>
    <w:rsid w:val="00814FC0"/>
    <w:rsid w:val="00815E8F"/>
    <w:rsid w:val="008163BD"/>
    <w:rsid w:val="00816579"/>
    <w:rsid w:val="0081704D"/>
    <w:rsid w:val="0081797A"/>
    <w:rsid w:val="00817E51"/>
    <w:rsid w:val="0082090A"/>
    <w:rsid w:val="00820A26"/>
    <w:rsid w:val="00820AAE"/>
    <w:rsid w:val="00821DCE"/>
    <w:rsid w:val="00823120"/>
    <w:rsid w:val="008237A3"/>
    <w:rsid w:val="00823992"/>
    <w:rsid w:val="00824A61"/>
    <w:rsid w:val="00825199"/>
    <w:rsid w:val="00826254"/>
    <w:rsid w:val="00827953"/>
    <w:rsid w:val="00827E9B"/>
    <w:rsid w:val="00830A31"/>
    <w:rsid w:val="00831072"/>
    <w:rsid w:val="00832CD0"/>
    <w:rsid w:val="00833500"/>
    <w:rsid w:val="0083412C"/>
    <w:rsid w:val="0083489A"/>
    <w:rsid w:val="00834BED"/>
    <w:rsid w:val="00834D1C"/>
    <w:rsid w:val="00835C75"/>
    <w:rsid w:val="008360F1"/>
    <w:rsid w:val="00836D24"/>
    <w:rsid w:val="00836E6B"/>
    <w:rsid w:val="00837CDD"/>
    <w:rsid w:val="00840051"/>
    <w:rsid w:val="0084069D"/>
    <w:rsid w:val="00840A58"/>
    <w:rsid w:val="00841AF4"/>
    <w:rsid w:val="00842D54"/>
    <w:rsid w:val="00842E17"/>
    <w:rsid w:val="00843899"/>
    <w:rsid w:val="008442E3"/>
    <w:rsid w:val="008448A9"/>
    <w:rsid w:val="00844E3D"/>
    <w:rsid w:val="00845067"/>
    <w:rsid w:val="0084539D"/>
    <w:rsid w:val="00845510"/>
    <w:rsid w:val="00846099"/>
    <w:rsid w:val="008461D6"/>
    <w:rsid w:val="00846231"/>
    <w:rsid w:val="00846C66"/>
    <w:rsid w:val="00846F31"/>
    <w:rsid w:val="00846FC5"/>
    <w:rsid w:val="008472BA"/>
    <w:rsid w:val="00847ECB"/>
    <w:rsid w:val="00850884"/>
    <w:rsid w:val="0085167D"/>
    <w:rsid w:val="00851971"/>
    <w:rsid w:val="00851B9F"/>
    <w:rsid w:val="0085203E"/>
    <w:rsid w:val="00852427"/>
    <w:rsid w:val="008524D7"/>
    <w:rsid w:val="00852EBE"/>
    <w:rsid w:val="0085399C"/>
    <w:rsid w:val="00853DD8"/>
    <w:rsid w:val="00854F40"/>
    <w:rsid w:val="008552FD"/>
    <w:rsid w:val="008557DB"/>
    <w:rsid w:val="008559E5"/>
    <w:rsid w:val="00856679"/>
    <w:rsid w:val="00857473"/>
    <w:rsid w:val="008578A9"/>
    <w:rsid w:val="00857BEC"/>
    <w:rsid w:val="00860B7A"/>
    <w:rsid w:val="00860F8A"/>
    <w:rsid w:val="00861EA3"/>
    <w:rsid w:val="00861EBE"/>
    <w:rsid w:val="0086231B"/>
    <w:rsid w:val="00862A3C"/>
    <w:rsid w:val="008632ED"/>
    <w:rsid w:val="008638E6"/>
    <w:rsid w:val="00864A45"/>
    <w:rsid w:val="00865DE7"/>
    <w:rsid w:val="008662BF"/>
    <w:rsid w:val="00867B63"/>
    <w:rsid w:val="0087066A"/>
    <w:rsid w:val="0087138B"/>
    <w:rsid w:val="0087155E"/>
    <w:rsid w:val="00872074"/>
    <w:rsid w:val="008724DE"/>
    <w:rsid w:val="00872D95"/>
    <w:rsid w:val="008756B0"/>
    <w:rsid w:val="00877F9B"/>
    <w:rsid w:val="00880D60"/>
    <w:rsid w:val="00880F1E"/>
    <w:rsid w:val="00881348"/>
    <w:rsid w:val="00881631"/>
    <w:rsid w:val="00882C79"/>
    <w:rsid w:val="00886A93"/>
    <w:rsid w:val="00886BC3"/>
    <w:rsid w:val="00886E6A"/>
    <w:rsid w:val="00887BD1"/>
    <w:rsid w:val="0089029F"/>
    <w:rsid w:val="008914AA"/>
    <w:rsid w:val="00891A1C"/>
    <w:rsid w:val="0089283A"/>
    <w:rsid w:val="00893361"/>
    <w:rsid w:val="008936E6"/>
    <w:rsid w:val="008949BF"/>
    <w:rsid w:val="008952CF"/>
    <w:rsid w:val="00896C83"/>
    <w:rsid w:val="00896EF0"/>
    <w:rsid w:val="008A02BD"/>
    <w:rsid w:val="008A0905"/>
    <w:rsid w:val="008A166B"/>
    <w:rsid w:val="008A181B"/>
    <w:rsid w:val="008A1F51"/>
    <w:rsid w:val="008A334E"/>
    <w:rsid w:val="008A369F"/>
    <w:rsid w:val="008A376C"/>
    <w:rsid w:val="008A3D57"/>
    <w:rsid w:val="008A3EE8"/>
    <w:rsid w:val="008A570B"/>
    <w:rsid w:val="008A575B"/>
    <w:rsid w:val="008A59F3"/>
    <w:rsid w:val="008A5B87"/>
    <w:rsid w:val="008A610D"/>
    <w:rsid w:val="008A6395"/>
    <w:rsid w:val="008A639F"/>
    <w:rsid w:val="008A70BC"/>
    <w:rsid w:val="008A7EDA"/>
    <w:rsid w:val="008B1029"/>
    <w:rsid w:val="008B15BE"/>
    <w:rsid w:val="008B1637"/>
    <w:rsid w:val="008B23BC"/>
    <w:rsid w:val="008B3074"/>
    <w:rsid w:val="008B48CF"/>
    <w:rsid w:val="008B5D73"/>
    <w:rsid w:val="008B7B37"/>
    <w:rsid w:val="008C1109"/>
    <w:rsid w:val="008C1643"/>
    <w:rsid w:val="008C2C23"/>
    <w:rsid w:val="008C3967"/>
    <w:rsid w:val="008C3A6F"/>
    <w:rsid w:val="008C3FFC"/>
    <w:rsid w:val="008C4137"/>
    <w:rsid w:val="008C6898"/>
    <w:rsid w:val="008C6B98"/>
    <w:rsid w:val="008C6D7A"/>
    <w:rsid w:val="008D0F5B"/>
    <w:rsid w:val="008D23ED"/>
    <w:rsid w:val="008D3CCC"/>
    <w:rsid w:val="008D3F54"/>
    <w:rsid w:val="008D4F97"/>
    <w:rsid w:val="008D50F6"/>
    <w:rsid w:val="008D536E"/>
    <w:rsid w:val="008D5575"/>
    <w:rsid w:val="008D599A"/>
    <w:rsid w:val="008D63E5"/>
    <w:rsid w:val="008E1546"/>
    <w:rsid w:val="008E239C"/>
    <w:rsid w:val="008E262B"/>
    <w:rsid w:val="008E38F7"/>
    <w:rsid w:val="008E3B76"/>
    <w:rsid w:val="008E3D60"/>
    <w:rsid w:val="008E3F4C"/>
    <w:rsid w:val="008E7A02"/>
    <w:rsid w:val="008F0197"/>
    <w:rsid w:val="008F23D8"/>
    <w:rsid w:val="008F32B1"/>
    <w:rsid w:val="008F3362"/>
    <w:rsid w:val="008F5805"/>
    <w:rsid w:val="008F59E2"/>
    <w:rsid w:val="008F5E98"/>
    <w:rsid w:val="008F66BF"/>
    <w:rsid w:val="008F6FAF"/>
    <w:rsid w:val="0090050B"/>
    <w:rsid w:val="00900D4E"/>
    <w:rsid w:val="0090165F"/>
    <w:rsid w:val="00901728"/>
    <w:rsid w:val="00901B3D"/>
    <w:rsid w:val="00901B82"/>
    <w:rsid w:val="009022B9"/>
    <w:rsid w:val="009027BD"/>
    <w:rsid w:val="00902ADD"/>
    <w:rsid w:val="00905037"/>
    <w:rsid w:val="009078EE"/>
    <w:rsid w:val="00910DAE"/>
    <w:rsid w:val="009110CC"/>
    <w:rsid w:val="009115DA"/>
    <w:rsid w:val="009117EB"/>
    <w:rsid w:val="00911F0F"/>
    <w:rsid w:val="009127C5"/>
    <w:rsid w:val="00912B09"/>
    <w:rsid w:val="00913F7C"/>
    <w:rsid w:val="00914902"/>
    <w:rsid w:val="00915260"/>
    <w:rsid w:val="00915F5A"/>
    <w:rsid w:val="009173A3"/>
    <w:rsid w:val="0092270D"/>
    <w:rsid w:val="0092333E"/>
    <w:rsid w:val="00924100"/>
    <w:rsid w:val="009244C0"/>
    <w:rsid w:val="00924CB1"/>
    <w:rsid w:val="009251FA"/>
    <w:rsid w:val="00925EE8"/>
    <w:rsid w:val="00926946"/>
    <w:rsid w:val="00931BC4"/>
    <w:rsid w:val="00933A58"/>
    <w:rsid w:val="00933F0A"/>
    <w:rsid w:val="009341F1"/>
    <w:rsid w:val="00934301"/>
    <w:rsid w:val="00935203"/>
    <w:rsid w:val="00937926"/>
    <w:rsid w:val="009379C7"/>
    <w:rsid w:val="00937B34"/>
    <w:rsid w:val="009400F6"/>
    <w:rsid w:val="00941D83"/>
    <w:rsid w:val="00942E85"/>
    <w:rsid w:val="009434CA"/>
    <w:rsid w:val="0094459B"/>
    <w:rsid w:val="0094474E"/>
    <w:rsid w:val="009450D3"/>
    <w:rsid w:val="009461D6"/>
    <w:rsid w:val="00947242"/>
    <w:rsid w:val="00950466"/>
    <w:rsid w:val="00950AB1"/>
    <w:rsid w:val="00950FE4"/>
    <w:rsid w:val="009517D6"/>
    <w:rsid w:val="009517DF"/>
    <w:rsid w:val="0095456E"/>
    <w:rsid w:val="00955E13"/>
    <w:rsid w:val="00957FDA"/>
    <w:rsid w:val="009603DF"/>
    <w:rsid w:val="009606D7"/>
    <w:rsid w:val="009606F2"/>
    <w:rsid w:val="00961DE3"/>
    <w:rsid w:val="00964DFA"/>
    <w:rsid w:val="00964F94"/>
    <w:rsid w:val="00965729"/>
    <w:rsid w:val="009657CA"/>
    <w:rsid w:val="00965A83"/>
    <w:rsid w:val="00965D2C"/>
    <w:rsid w:val="00966C2F"/>
    <w:rsid w:val="00966E42"/>
    <w:rsid w:val="00967953"/>
    <w:rsid w:val="00967F9C"/>
    <w:rsid w:val="00970287"/>
    <w:rsid w:val="0097512B"/>
    <w:rsid w:val="009751A7"/>
    <w:rsid w:val="00976E04"/>
    <w:rsid w:val="00980351"/>
    <w:rsid w:val="009806AB"/>
    <w:rsid w:val="00980A52"/>
    <w:rsid w:val="009814F1"/>
    <w:rsid w:val="00981ACA"/>
    <w:rsid w:val="009842A9"/>
    <w:rsid w:val="00984783"/>
    <w:rsid w:val="00984B5A"/>
    <w:rsid w:val="00985B5E"/>
    <w:rsid w:val="009868C4"/>
    <w:rsid w:val="00987601"/>
    <w:rsid w:val="00987634"/>
    <w:rsid w:val="00987BB6"/>
    <w:rsid w:val="0099078A"/>
    <w:rsid w:val="00990A4B"/>
    <w:rsid w:val="00991893"/>
    <w:rsid w:val="00991B6D"/>
    <w:rsid w:val="00992154"/>
    <w:rsid w:val="0099227A"/>
    <w:rsid w:val="009925F6"/>
    <w:rsid w:val="009928AB"/>
    <w:rsid w:val="00994401"/>
    <w:rsid w:val="0099441E"/>
    <w:rsid w:val="009946BA"/>
    <w:rsid w:val="00996159"/>
    <w:rsid w:val="009970C8"/>
    <w:rsid w:val="009A043E"/>
    <w:rsid w:val="009A1760"/>
    <w:rsid w:val="009A24A1"/>
    <w:rsid w:val="009A28F9"/>
    <w:rsid w:val="009A2A84"/>
    <w:rsid w:val="009A4863"/>
    <w:rsid w:val="009A5650"/>
    <w:rsid w:val="009A6078"/>
    <w:rsid w:val="009A6378"/>
    <w:rsid w:val="009A6C54"/>
    <w:rsid w:val="009A7410"/>
    <w:rsid w:val="009A74A0"/>
    <w:rsid w:val="009B0790"/>
    <w:rsid w:val="009B1027"/>
    <w:rsid w:val="009B1B4A"/>
    <w:rsid w:val="009B242F"/>
    <w:rsid w:val="009B24EC"/>
    <w:rsid w:val="009B375C"/>
    <w:rsid w:val="009B4620"/>
    <w:rsid w:val="009B5338"/>
    <w:rsid w:val="009B57F9"/>
    <w:rsid w:val="009B5BB3"/>
    <w:rsid w:val="009B6095"/>
    <w:rsid w:val="009B65E6"/>
    <w:rsid w:val="009C0D60"/>
    <w:rsid w:val="009C1311"/>
    <w:rsid w:val="009C1D05"/>
    <w:rsid w:val="009C1ECF"/>
    <w:rsid w:val="009C2778"/>
    <w:rsid w:val="009C37F9"/>
    <w:rsid w:val="009C4091"/>
    <w:rsid w:val="009C4B04"/>
    <w:rsid w:val="009C628C"/>
    <w:rsid w:val="009C70D7"/>
    <w:rsid w:val="009C7E93"/>
    <w:rsid w:val="009D0D86"/>
    <w:rsid w:val="009D0FB3"/>
    <w:rsid w:val="009D0FC1"/>
    <w:rsid w:val="009D1F4C"/>
    <w:rsid w:val="009D2712"/>
    <w:rsid w:val="009D2C11"/>
    <w:rsid w:val="009D2C7F"/>
    <w:rsid w:val="009D2E58"/>
    <w:rsid w:val="009D3729"/>
    <w:rsid w:val="009D6210"/>
    <w:rsid w:val="009D67F6"/>
    <w:rsid w:val="009E084B"/>
    <w:rsid w:val="009E0DC2"/>
    <w:rsid w:val="009E0FE1"/>
    <w:rsid w:val="009E3059"/>
    <w:rsid w:val="009E4883"/>
    <w:rsid w:val="009E4909"/>
    <w:rsid w:val="009E4D96"/>
    <w:rsid w:val="009E4E9E"/>
    <w:rsid w:val="009E5198"/>
    <w:rsid w:val="009E7214"/>
    <w:rsid w:val="009E7C66"/>
    <w:rsid w:val="009F04D2"/>
    <w:rsid w:val="009F0764"/>
    <w:rsid w:val="009F0C2F"/>
    <w:rsid w:val="009F1ACB"/>
    <w:rsid w:val="009F2764"/>
    <w:rsid w:val="009F4BCD"/>
    <w:rsid w:val="009F5F36"/>
    <w:rsid w:val="009F6D8C"/>
    <w:rsid w:val="00A0050F"/>
    <w:rsid w:val="00A0236A"/>
    <w:rsid w:val="00A03D28"/>
    <w:rsid w:val="00A0406E"/>
    <w:rsid w:val="00A06453"/>
    <w:rsid w:val="00A1007D"/>
    <w:rsid w:val="00A10AEB"/>
    <w:rsid w:val="00A11307"/>
    <w:rsid w:val="00A1139C"/>
    <w:rsid w:val="00A115B5"/>
    <w:rsid w:val="00A12129"/>
    <w:rsid w:val="00A1232D"/>
    <w:rsid w:val="00A1371F"/>
    <w:rsid w:val="00A13A94"/>
    <w:rsid w:val="00A13AF3"/>
    <w:rsid w:val="00A14FF3"/>
    <w:rsid w:val="00A15055"/>
    <w:rsid w:val="00A16563"/>
    <w:rsid w:val="00A16610"/>
    <w:rsid w:val="00A1662F"/>
    <w:rsid w:val="00A16EE2"/>
    <w:rsid w:val="00A21388"/>
    <w:rsid w:val="00A22E77"/>
    <w:rsid w:val="00A23166"/>
    <w:rsid w:val="00A24695"/>
    <w:rsid w:val="00A24911"/>
    <w:rsid w:val="00A25090"/>
    <w:rsid w:val="00A2528A"/>
    <w:rsid w:val="00A25E5F"/>
    <w:rsid w:val="00A26208"/>
    <w:rsid w:val="00A26A17"/>
    <w:rsid w:val="00A27316"/>
    <w:rsid w:val="00A27791"/>
    <w:rsid w:val="00A279C1"/>
    <w:rsid w:val="00A30C34"/>
    <w:rsid w:val="00A32E6A"/>
    <w:rsid w:val="00A353D5"/>
    <w:rsid w:val="00A36064"/>
    <w:rsid w:val="00A36479"/>
    <w:rsid w:val="00A37DA9"/>
    <w:rsid w:val="00A402B2"/>
    <w:rsid w:val="00A403BF"/>
    <w:rsid w:val="00A403F0"/>
    <w:rsid w:val="00A41355"/>
    <w:rsid w:val="00A41389"/>
    <w:rsid w:val="00A41441"/>
    <w:rsid w:val="00A414F5"/>
    <w:rsid w:val="00A419EE"/>
    <w:rsid w:val="00A42504"/>
    <w:rsid w:val="00A43B92"/>
    <w:rsid w:val="00A43F1D"/>
    <w:rsid w:val="00A444F2"/>
    <w:rsid w:val="00A44A06"/>
    <w:rsid w:val="00A460E2"/>
    <w:rsid w:val="00A46CFA"/>
    <w:rsid w:val="00A46E1E"/>
    <w:rsid w:val="00A4706B"/>
    <w:rsid w:val="00A474E8"/>
    <w:rsid w:val="00A51857"/>
    <w:rsid w:val="00A51E95"/>
    <w:rsid w:val="00A53361"/>
    <w:rsid w:val="00A53568"/>
    <w:rsid w:val="00A53DEA"/>
    <w:rsid w:val="00A54251"/>
    <w:rsid w:val="00A564ED"/>
    <w:rsid w:val="00A56D6F"/>
    <w:rsid w:val="00A56DEB"/>
    <w:rsid w:val="00A57D4B"/>
    <w:rsid w:val="00A6179E"/>
    <w:rsid w:val="00A61CAC"/>
    <w:rsid w:val="00A61E1A"/>
    <w:rsid w:val="00A62A12"/>
    <w:rsid w:val="00A63285"/>
    <w:rsid w:val="00A63937"/>
    <w:rsid w:val="00A64283"/>
    <w:rsid w:val="00A64316"/>
    <w:rsid w:val="00A64B06"/>
    <w:rsid w:val="00A64B09"/>
    <w:rsid w:val="00A6555C"/>
    <w:rsid w:val="00A664C4"/>
    <w:rsid w:val="00A733FE"/>
    <w:rsid w:val="00A734E4"/>
    <w:rsid w:val="00A77006"/>
    <w:rsid w:val="00A80369"/>
    <w:rsid w:val="00A804D9"/>
    <w:rsid w:val="00A80851"/>
    <w:rsid w:val="00A82573"/>
    <w:rsid w:val="00A828B4"/>
    <w:rsid w:val="00A82DB8"/>
    <w:rsid w:val="00A85710"/>
    <w:rsid w:val="00A8578B"/>
    <w:rsid w:val="00A85B39"/>
    <w:rsid w:val="00A860D5"/>
    <w:rsid w:val="00A864B4"/>
    <w:rsid w:val="00A8675D"/>
    <w:rsid w:val="00A86A23"/>
    <w:rsid w:val="00A87938"/>
    <w:rsid w:val="00A92915"/>
    <w:rsid w:val="00A92F92"/>
    <w:rsid w:val="00A93E21"/>
    <w:rsid w:val="00A94DB8"/>
    <w:rsid w:val="00A9516C"/>
    <w:rsid w:val="00A95B4A"/>
    <w:rsid w:val="00A95B66"/>
    <w:rsid w:val="00A95F1D"/>
    <w:rsid w:val="00A96892"/>
    <w:rsid w:val="00A97858"/>
    <w:rsid w:val="00AA1802"/>
    <w:rsid w:val="00AA19E7"/>
    <w:rsid w:val="00AA2051"/>
    <w:rsid w:val="00AA22E8"/>
    <w:rsid w:val="00AA259C"/>
    <w:rsid w:val="00AA3609"/>
    <w:rsid w:val="00AA5DD3"/>
    <w:rsid w:val="00AA610F"/>
    <w:rsid w:val="00AA6133"/>
    <w:rsid w:val="00AB0478"/>
    <w:rsid w:val="00AB086F"/>
    <w:rsid w:val="00AB12E6"/>
    <w:rsid w:val="00AB2719"/>
    <w:rsid w:val="00AB371F"/>
    <w:rsid w:val="00AB3B40"/>
    <w:rsid w:val="00AB5EC9"/>
    <w:rsid w:val="00AB780B"/>
    <w:rsid w:val="00AB7A08"/>
    <w:rsid w:val="00AB7A75"/>
    <w:rsid w:val="00AC0559"/>
    <w:rsid w:val="00AC0A8E"/>
    <w:rsid w:val="00AC2D3D"/>
    <w:rsid w:val="00AC3B78"/>
    <w:rsid w:val="00AC483F"/>
    <w:rsid w:val="00AC71C0"/>
    <w:rsid w:val="00AC74FC"/>
    <w:rsid w:val="00AC7C24"/>
    <w:rsid w:val="00AD013C"/>
    <w:rsid w:val="00AD128F"/>
    <w:rsid w:val="00AD1EEC"/>
    <w:rsid w:val="00AD25C7"/>
    <w:rsid w:val="00AD28EC"/>
    <w:rsid w:val="00AD3CAD"/>
    <w:rsid w:val="00AD53AF"/>
    <w:rsid w:val="00AD7206"/>
    <w:rsid w:val="00AE0C81"/>
    <w:rsid w:val="00AE15DE"/>
    <w:rsid w:val="00AE1BBA"/>
    <w:rsid w:val="00AE253D"/>
    <w:rsid w:val="00AE2FAA"/>
    <w:rsid w:val="00AE3227"/>
    <w:rsid w:val="00AE3B18"/>
    <w:rsid w:val="00AE5330"/>
    <w:rsid w:val="00AE5D2C"/>
    <w:rsid w:val="00AE6885"/>
    <w:rsid w:val="00AE7CE1"/>
    <w:rsid w:val="00AF038A"/>
    <w:rsid w:val="00AF039B"/>
    <w:rsid w:val="00AF2124"/>
    <w:rsid w:val="00AF34FD"/>
    <w:rsid w:val="00AF441F"/>
    <w:rsid w:val="00AF59BE"/>
    <w:rsid w:val="00AF6B8E"/>
    <w:rsid w:val="00AF7EED"/>
    <w:rsid w:val="00B019FF"/>
    <w:rsid w:val="00B02AE8"/>
    <w:rsid w:val="00B04AA5"/>
    <w:rsid w:val="00B05283"/>
    <w:rsid w:val="00B071D4"/>
    <w:rsid w:val="00B10167"/>
    <w:rsid w:val="00B103D3"/>
    <w:rsid w:val="00B108EA"/>
    <w:rsid w:val="00B11A65"/>
    <w:rsid w:val="00B1263C"/>
    <w:rsid w:val="00B12666"/>
    <w:rsid w:val="00B12C32"/>
    <w:rsid w:val="00B13896"/>
    <w:rsid w:val="00B17748"/>
    <w:rsid w:val="00B17933"/>
    <w:rsid w:val="00B20017"/>
    <w:rsid w:val="00B207A4"/>
    <w:rsid w:val="00B229BF"/>
    <w:rsid w:val="00B235F5"/>
    <w:rsid w:val="00B24B1D"/>
    <w:rsid w:val="00B24C41"/>
    <w:rsid w:val="00B2510B"/>
    <w:rsid w:val="00B25DDF"/>
    <w:rsid w:val="00B26613"/>
    <w:rsid w:val="00B26A4D"/>
    <w:rsid w:val="00B277E0"/>
    <w:rsid w:val="00B27D71"/>
    <w:rsid w:val="00B27E16"/>
    <w:rsid w:val="00B30568"/>
    <w:rsid w:val="00B30B9F"/>
    <w:rsid w:val="00B31CEB"/>
    <w:rsid w:val="00B31E2B"/>
    <w:rsid w:val="00B32B29"/>
    <w:rsid w:val="00B33473"/>
    <w:rsid w:val="00B34946"/>
    <w:rsid w:val="00B35CE0"/>
    <w:rsid w:val="00B368C1"/>
    <w:rsid w:val="00B3755D"/>
    <w:rsid w:val="00B40B0D"/>
    <w:rsid w:val="00B4191C"/>
    <w:rsid w:val="00B42358"/>
    <w:rsid w:val="00B42895"/>
    <w:rsid w:val="00B4378A"/>
    <w:rsid w:val="00B444C9"/>
    <w:rsid w:val="00B444DE"/>
    <w:rsid w:val="00B4457E"/>
    <w:rsid w:val="00B45F66"/>
    <w:rsid w:val="00B475E7"/>
    <w:rsid w:val="00B47939"/>
    <w:rsid w:val="00B502C6"/>
    <w:rsid w:val="00B519C8"/>
    <w:rsid w:val="00B519FD"/>
    <w:rsid w:val="00B520BC"/>
    <w:rsid w:val="00B53056"/>
    <w:rsid w:val="00B54DC7"/>
    <w:rsid w:val="00B555D1"/>
    <w:rsid w:val="00B55C68"/>
    <w:rsid w:val="00B55F3E"/>
    <w:rsid w:val="00B573F6"/>
    <w:rsid w:val="00B57A7A"/>
    <w:rsid w:val="00B61248"/>
    <w:rsid w:val="00B6134D"/>
    <w:rsid w:val="00B617CF"/>
    <w:rsid w:val="00B61F0F"/>
    <w:rsid w:val="00B62F6A"/>
    <w:rsid w:val="00B63245"/>
    <w:rsid w:val="00B63D24"/>
    <w:rsid w:val="00B642BE"/>
    <w:rsid w:val="00B648DA"/>
    <w:rsid w:val="00B6578F"/>
    <w:rsid w:val="00B66D47"/>
    <w:rsid w:val="00B725D8"/>
    <w:rsid w:val="00B72840"/>
    <w:rsid w:val="00B72942"/>
    <w:rsid w:val="00B733FD"/>
    <w:rsid w:val="00B77925"/>
    <w:rsid w:val="00B77E29"/>
    <w:rsid w:val="00B77EBF"/>
    <w:rsid w:val="00B80099"/>
    <w:rsid w:val="00B804F2"/>
    <w:rsid w:val="00B81C6D"/>
    <w:rsid w:val="00B82AEB"/>
    <w:rsid w:val="00B8488B"/>
    <w:rsid w:val="00B85597"/>
    <w:rsid w:val="00B85F15"/>
    <w:rsid w:val="00B86520"/>
    <w:rsid w:val="00B867AE"/>
    <w:rsid w:val="00B8769E"/>
    <w:rsid w:val="00B87821"/>
    <w:rsid w:val="00B87F64"/>
    <w:rsid w:val="00B910E1"/>
    <w:rsid w:val="00B9177D"/>
    <w:rsid w:val="00B9179F"/>
    <w:rsid w:val="00B91D02"/>
    <w:rsid w:val="00B922C4"/>
    <w:rsid w:val="00B924E6"/>
    <w:rsid w:val="00B92539"/>
    <w:rsid w:val="00B9325B"/>
    <w:rsid w:val="00B95666"/>
    <w:rsid w:val="00B95721"/>
    <w:rsid w:val="00B95E78"/>
    <w:rsid w:val="00B96EAD"/>
    <w:rsid w:val="00B97703"/>
    <w:rsid w:val="00BA191C"/>
    <w:rsid w:val="00BA245A"/>
    <w:rsid w:val="00BA2573"/>
    <w:rsid w:val="00BA262D"/>
    <w:rsid w:val="00BA52F6"/>
    <w:rsid w:val="00BA5698"/>
    <w:rsid w:val="00BA57B2"/>
    <w:rsid w:val="00BA5D12"/>
    <w:rsid w:val="00BA6889"/>
    <w:rsid w:val="00BA69DC"/>
    <w:rsid w:val="00BA7CBE"/>
    <w:rsid w:val="00BB0474"/>
    <w:rsid w:val="00BB09A9"/>
    <w:rsid w:val="00BB34FB"/>
    <w:rsid w:val="00BB3A7B"/>
    <w:rsid w:val="00BB5219"/>
    <w:rsid w:val="00BB5A38"/>
    <w:rsid w:val="00BB6716"/>
    <w:rsid w:val="00BB7084"/>
    <w:rsid w:val="00BB72AF"/>
    <w:rsid w:val="00BC047D"/>
    <w:rsid w:val="00BC0A95"/>
    <w:rsid w:val="00BC1E0D"/>
    <w:rsid w:val="00BC201F"/>
    <w:rsid w:val="00BC2A5B"/>
    <w:rsid w:val="00BC2BC3"/>
    <w:rsid w:val="00BC3145"/>
    <w:rsid w:val="00BC32FD"/>
    <w:rsid w:val="00BC4A82"/>
    <w:rsid w:val="00BC5178"/>
    <w:rsid w:val="00BC79EB"/>
    <w:rsid w:val="00BC7C3B"/>
    <w:rsid w:val="00BD1DE8"/>
    <w:rsid w:val="00BD1F57"/>
    <w:rsid w:val="00BD298B"/>
    <w:rsid w:val="00BD2B23"/>
    <w:rsid w:val="00BD4CDE"/>
    <w:rsid w:val="00BD5183"/>
    <w:rsid w:val="00BD6C68"/>
    <w:rsid w:val="00BD6F85"/>
    <w:rsid w:val="00BD7FCF"/>
    <w:rsid w:val="00BE04E2"/>
    <w:rsid w:val="00BE1BF1"/>
    <w:rsid w:val="00BE1C4E"/>
    <w:rsid w:val="00BE2658"/>
    <w:rsid w:val="00BE4C8A"/>
    <w:rsid w:val="00BE53A8"/>
    <w:rsid w:val="00BE6E7C"/>
    <w:rsid w:val="00BE6EC6"/>
    <w:rsid w:val="00BE73D3"/>
    <w:rsid w:val="00BE7988"/>
    <w:rsid w:val="00BF02D0"/>
    <w:rsid w:val="00BF033B"/>
    <w:rsid w:val="00BF1396"/>
    <w:rsid w:val="00BF1C26"/>
    <w:rsid w:val="00BF2524"/>
    <w:rsid w:val="00BF2811"/>
    <w:rsid w:val="00BF3419"/>
    <w:rsid w:val="00BF3512"/>
    <w:rsid w:val="00BF3582"/>
    <w:rsid w:val="00BF4806"/>
    <w:rsid w:val="00BF6F3D"/>
    <w:rsid w:val="00BF7B03"/>
    <w:rsid w:val="00C002E2"/>
    <w:rsid w:val="00C031B6"/>
    <w:rsid w:val="00C04872"/>
    <w:rsid w:val="00C0595C"/>
    <w:rsid w:val="00C05A14"/>
    <w:rsid w:val="00C06090"/>
    <w:rsid w:val="00C060B2"/>
    <w:rsid w:val="00C064DC"/>
    <w:rsid w:val="00C06B21"/>
    <w:rsid w:val="00C06E40"/>
    <w:rsid w:val="00C071C6"/>
    <w:rsid w:val="00C07285"/>
    <w:rsid w:val="00C101B0"/>
    <w:rsid w:val="00C10D7C"/>
    <w:rsid w:val="00C11E51"/>
    <w:rsid w:val="00C12037"/>
    <w:rsid w:val="00C137C8"/>
    <w:rsid w:val="00C13897"/>
    <w:rsid w:val="00C13B6E"/>
    <w:rsid w:val="00C146BE"/>
    <w:rsid w:val="00C15B80"/>
    <w:rsid w:val="00C15EF4"/>
    <w:rsid w:val="00C175A5"/>
    <w:rsid w:val="00C201E6"/>
    <w:rsid w:val="00C20716"/>
    <w:rsid w:val="00C22AB8"/>
    <w:rsid w:val="00C231C3"/>
    <w:rsid w:val="00C23318"/>
    <w:rsid w:val="00C23537"/>
    <w:rsid w:val="00C240A4"/>
    <w:rsid w:val="00C24B4E"/>
    <w:rsid w:val="00C25BDA"/>
    <w:rsid w:val="00C26015"/>
    <w:rsid w:val="00C269D0"/>
    <w:rsid w:val="00C26E80"/>
    <w:rsid w:val="00C30E09"/>
    <w:rsid w:val="00C31EAD"/>
    <w:rsid w:val="00C327DE"/>
    <w:rsid w:val="00C33104"/>
    <w:rsid w:val="00C332D4"/>
    <w:rsid w:val="00C337A8"/>
    <w:rsid w:val="00C33E4D"/>
    <w:rsid w:val="00C3473E"/>
    <w:rsid w:val="00C34E5B"/>
    <w:rsid w:val="00C35059"/>
    <w:rsid w:val="00C36F76"/>
    <w:rsid w:val="00C40F02"/>
    <w:rsid w:val="00C41CF2"/>
    <w:rsid w:val="00C43060"/>
    <w:rsid w:val="00C43320"/>
    <w:rsid w:val="00C438FF"/>
    <w:rsid w:val="00C44060"/>
    <w:rsid w:val="00C453BD"/>
    <w:rsid w:val="00C459D8"/>
    <w:rsid w:val="00C4638B"/>
    <w:rsid w:val="00C473CD"/>
    <w:rsid w:val="00C474E5"/>
    <w:rsid w:val="00C50CE8"/>
    <w:rsid w:val="00C519DE"/>
    <w:rsid w:val="00C51D04"/>
    <w:rsid w:val="00C55392"/>
    <w:rsid w:val="00C55661"/>
    <w:rsid w:val="00C56B73"/>
    <w:rsid w:val="00C56C11"/>
    <w:rsid w:val="00C57542"/>
    <w:rsid w:val="00C61BDB"/>
    <w:rsid w:val="00C62E60"/>
    <w:rsid w:val="00C63E53"/>
    <w:rsid w:val="00C64B50"/>
    <w:rsid w:val="00C64F86"/>
    <w:rsid w:val="00C66779"/>
    <w:rsid w:val="00C71804"/>
    <w:rsid w:val="00C71845"/>
    <w:rsid w:val="00C71865"/>
    <w:rsid w:val="00C72218"/>
    <w:rsid w:val="00C727B1"/>
    <w:rsid w:val="00C72CE2"/>
    <w:rsid w:val="00C73610"/>
    <w:rsid w:val="00C739D6"/>
    <w:rsid w:val="00C74B8B"/>
    <w:rsid w:val="00C76074"/>
    <w:rsid w:val="00C772EC"/>
    <w:rsid w:val="00C775A5"/>
    <w:rsid w:val="00C80679"/>
    <w:rsid w:val="00C81CD0"/>
    <w:rsid w:val="00C82974"/>
    <w:rsid w:val="00C8355B"/>
    <w:rsid w:val="00C83F59"/>
    <w:rsid w:val="00C84268"/>
    <w:rsid w:val="00C853A4"/>
    <w:rsid w:val="00C854D4"/>
    <w:rsid w:val="00C86143"/>
    <w:rsid w:val="00C90556"/>
    <w:rsid w:val="00C9069D"/>
    <w:rsid w:val="00C90916"/>
    <w:rsid w:val="00C90F83"/>
    <w:rsid w:val="00C923DE"/>
    <w:rsid w:val="00C926FD"/>
    <w:rsid w:val="00C9276E"/>
    <w:rsid w:val="00C92FB5"/>
    <w:rsid w:val="00C9554D"/>
    <w:rsid w:val="00C96C90"/>
    <w:rsid w:val="00CA0D78"/>
    <w:rsid w:val="00CA1526"/>
    <w:rsid w:val="00CA2163"/>
    <w:rsid w:val="00CA2830"/>
    <w:rsid w:val="00CA313C"/>
    <w:rsid w:val="00CA37C7"/>
    <w:rsid w:val="00CA3E7B"/>
    <w:rsid w:val="00CA47A4"/>
    <w:rsid w:val="00CA4855"/>
    <w:rsid w:val="00CA4F79"/>
    <w:rsid w:val="00CA6D1B"/>
    <w:rsid w:val="00CA7631"/>
    <w:rsid w:val="00CB0990"/>
    <w:rsid w:val="00CB1B78"/>
    <w:rsid w:val="00CB201E"/>
    <w:rsid w:val="00CB2190"/>
    <w:rsid w:val="00CB24FE"/>
    <w:rsid w:val="00CB2794"/>
    <w:rsid w:val="00CB290F"/>
    <w:rsid w:val="00CB3413"/>
    <w:rsid w:val="00CB4A9C"/>
    <w:rsid w:val="00CB5E5E"/>
    <w:rsid w:val="00CB6C59"/>
    <w:rsid w:val="00CB7CC5"/>
    <w:rsid w:val="00CC058A"/>
    <w:rsid w:val="00CC1B6A"/>
    <w:rsid w:val="00CC2840"/>
    <w:rsid w:val="00CC3BA8"/>
    <w:rsid w:val="00CC3BB2"/>
    <w:rsid w:val="00CC3BFC"/>
    <w:rsid w:val="00CC4B6B"/>
    <w:rsid w:val="00CC73F9"/>
    <w:rsid w:val="00CD00C9"/>
    <w:rsid w:val="00CD0420"/>
    <w:rsid w:val="00CD106B"/>
    <w:rsid w:val="00CD134E"/>
    <w:rsid w:val="00CD3154"/>
    <w:rsid w:val="00CD48BA"/>
    <w:rsid w:val="00CD5596"/>
    <w:rsid w:val="00CD5653"/>
    <w:rsid w:val="00CD58FD"/>
    <w:rsid w:val="00CD5E7F"/>
    <w:rsid w:val="00CD69A4"/>
    <w:rsid w:val="00CD6C31"/>
    <w:rsid w:val="00CD750B"/>
    <w:rsid w:val="00CD7FBA"/>
    <w:rsid w:val="00CE20D9"/>
    <w:rsid w:val="00CE2552"/>
    <w:rsid w:val="00CE2A13"/>
    <w:rsid w:val="00CE385E"/>
    <w:rsid w:val="00CE5CC4"/>
    <w:rsid w:val="00CE681F"/>
    <w:rsid w:val="00CE6D72"/>
    <w:rsid w:val="00CE7897"/>
    <w:rsid w:val="00CE7DC1"/>
    <w:rsid w:val="00CF0586"/>
    <w:rsid w:val="00CF209E"/>
    <w:rsid w:val="00CF2380"/>
    <w:rsid w:val="00D000F1"/>
    <w:rsid w:val="00D03585"/>
    <w:rsid w:val="00D03918"/>
    <w:rsid w:val="00D05AA7"/>
    <w:rsid w:val="00D078A2"/>
    <w:rsid w:val="00D07B98"/>
    <w:rsid w:val="00D07FDE"/>
    <w:rsid w:val="00D10583"/>
    <w:rsid w:val="00D13987"/>
    <w:rsid w:val="00D14739"/>
    <w:rsid w:val="00D14B80"/>
    <w:rsid w:val="00D14C42"/>
    <w:rsid w:val="00D14D41"/>
    <w:rsid w:val="00D170E0"/>
    <w:rsid w:val="00D17866"/>
    <w:rsid w:val="00D17D7C"/>
    <w:rsid w:val="00D200CA"/>
    <w:rsid w:val="00D207FB"/>
    <w:rsid w:val="00D23017"/>
    <w:rsid w:val="00D23323"/>
    <w:rsid w:val="00D24355"/>
    <w:rsid w:val="00D243B5"/>
    <w:rsid w:val="00D25401"/>
    <w:rsid w:val="00D26685"/>
    <w:rsid w:val="00D269DE"/>
    <w:rsid w:val="00D275C6"/>
    <w:rsid w:val="00D31B3D"/>
    <w:rsid w:val="00D320F9"/>
    <w:rsid w:val="00D33151"/>
    <w:rsid w:val="00D331BF"/>
    <w:rsid w:val="00D343FA"/>
    <w:rsid w:val="00D35933"/>
    <w:rsid w:val="00D363B5"/>
    <w:rsid w:val="00D37803"/>
    <w:rsid w:val="00D37855"/>
    <w:rsid w:val="00D406CD"/>
    <w:rsid w:val="00D41590"/>
    <w:rsid w:val="00D418FF"/>
    <w:rsid w:val="00D423A3"/>
    <w:rsid w:val="00D42C86"/>
    <w:rsid w:val="00D43286"/>
    <w:rsid w:val="00D43E92"/>
    <w:rsid w:val="00D45A86"/>
    <w:rsid w:val="00D45AAB"/>
    <w:rsid w:val="00D46C7D"/>
    <w:rsid w:val="00D528F1"/>
    <w:rsid w:val="00D5296E"/>
    <w:rsid w:val="00D5311E"/>
    <w:rsid w:val="00D55C3F"/>
    <w:rsid w:val="00D56561"/>
    <w:rsid w:val="00D6008E"/>
    <w:rsid w:val="00D60579"/>
    <w:rsid w:val="00D60993"/>
    <w:rsid w:val="00D609C4"/>
    <w:rsid w:val="00D61ECF"/>
    <w:rsid w:val="00D62565"/>
    <w:rsid w:val="00D632CF"/>
    <w:rsid w:val="00D657B4"/>
    <w:rsid w:val="00D65C76"/>
    <w:rsid w:val="00D65DE8"/>
    <w:rsid w:val="00D66D0C"/>
    <w:rsid w:val="00D67325"/>
    <w:rsid w:val="00D71800"/>
    <w:rsid w:val="00D734C7"/>
    <w:rsid w:val="00D73EF4"/>
    <w:rsid w:val="00D7455F"/>
    <w:rsid w:val="00D746CF"/>
    <w:rsid w:val="00D74D4D"/>
    <w:rsid w:val="00D75D71"/>
    <w:rsid w:val="00D76B19"/>
    <w:rsid w:val="00D76FAE"/>
    <w:rsid w:val="00D77C58"/>
    <w:rsid w:val="00D82212"/>
    <w:rsid w:val="00D823EC"/>
    <w:rsid w:val="00D82C8D"/>
    <w:rsid w:val="00D833BE"/>
    <w:rsid w:val="00D857FA"/>
    <w:rsid w:val="00D85FCC"/>
    <w:rsid w:val="00D86887"/>
    <w:rsid w:val="00D86F32"/>
    <w:rsid w:val="00D90726"/>
    <w:rsid w:val="00D93873"/>
    <w:rsid w:val="00D95470"/>
    <w:rsid w:val="00DA0423"/>
    <w:rsid w:val="00DA0706"/>
    <w:rsid w:val="00DA0D52"/>
    <w:rsid w:val="00DA2315"/>
    <w:rsid w:val="00DA268A"/>
    <w:rsid w:val="00DA2ADE"/>
    <w:rsid w:val="00DA2F73"/>
    <w:rsid w:val="00DA3DAD"/>
    <w:rsid w:val="00DA4151"/>
    <w:rsid w:val="00DA6C6F"/>
    <w:rsid w:val="00DB0E37"/>
    <w:rsid w:val="00DB1E80"/>
    <w:rsid w:val="00DB2854"/>
    <w:rsid w:val="00DB363F"/>
    <w:rsid w:val="00DB37D0"/>
    <w:rsid w:val="00DB3DCC"/>
    <w:rsid w:val="00DB666E"/>
    <w:rsid w:val="00DB6F3B"/>
    <w:rsid w:val="00DB7B78"/>
    <w:rsid w:val="00DC0F2B"/>
    <w:rsid w:val="00DC2C63"/>
    <w:rsid w:val="00DC3A8F"/>
    <w:rsid w:val="00DC3FBE"/>
    <w:rsid w:val="00DC40F1"/>
    <w:rsid w:val="00DC44AE"/>
    <w:rsid w:val="00DC462F"/>
    <w:rsid w:val="00DC5133"/>
    <w:rsid w:val="00DC5676"/>
    <w:rsid w:val="00DC5AA0"/>
    <w:rsid w:val="00DC6291"/>
    <w:rsid w:val="00DC6DE9"/>
    <w:rsid w:val="00DD00F9"/>
    <w:rsid w:val="00DD16B3"/>
    <w:rsid w:val="00DD1DC7"/>
    <w:rsid w:val="00DD2522"/>
    <w:rsid w:val="00DD2A2A"/>
    <w:rsid w:val="00DD336F"/>
    <w:rsid w:val="00DD407B"/>
    <w:rsid w:val="00DD61BB"/>
    <w:rsid w:val="00DD6A21"/>
    <w:rsid w:val="00DD7A02"/>
    <w:rsid w:val="00DE60CA"/>
    <w:rsid w:val="00DE723E"/>
    <w:rsid w:val="00DE7A36"/>
    <w:rsid w:val="00DF0350"/>
    <w:rsid w:val="00DF047E"/>
    <w:rsid w:val="00DF261A"/>
    <w:rsid w:val="00DF29D7"/>
    <w:rsid w:val="00DF30F6"/>
    <w:rsid w:val="00DF38C1"/>
    <w:rsid w:val="00DF4807"/>
    <w:rsid w:val="00DF4E54"/>
    <w:rsid w:val="00DF5604"/>
    <w:rsid w:val="00DF6084"/>
    <w:rsid w:val="00DF64CF"/>
    <w:rsid w:val="00DF6800"/>
    <w:rsid w:val="00DF7E30"/>
    <w:rsid w:val="00E016A7"/>
    <w:rsid w:val="00E01F61"/>
    <w:rsid w:val="00E03328"/>
    <w:rsid w:val="00E047CF"/>
    <w:rsid w:val="00E04E25"/>
    <w:rsid w:val="00E0545E"/>
    <w:rsid w:val="00E057A5"/>
    <w:rsid w:val="00E05D74"/>
    <w:rsid w:val="00E05E8B"/>
    <w:rsid w:val="00E0737B"/>
    <w:rsid w:val="00E0770B"/>
    <w:rsid w:val="00E07A58"/>
    <w:rsid w:val="00E07E5B"/>
    <w:rsid w:val="00E10F32"/>
    <w:rsid w:val="00E11010"/>
    <w:rsid w:val="00E11925"/>
    <w:rsid w:val="00E11F20"/>
    <w:rsid w:val="00E120C3"/>
    <w:rsid w:val="00E15BF4"/>
    <w:rsid w:val="00E17DE0"/>
    <w:rsid w:val="00E21857"/>
    <w:rsid w:val="00E21898"/>
    <w:rsid w:val="00E21E22"/>
    <w:rsid w:val="00E226E7"/>
    <w:rsid w:val="00E22766"/>
    <w:rsid w:val="00E233A1"/>
    <w:rsid w:val="00E23890"/>
    <w:rsid w:val="00E23903"/>
    <w:rsid w:val="00E24A7D"/>
    <w:rsid w:val="00E24CDA"/>
    <w:rsid w:val="00E24FA3"/>
    <w:rsid w:val="00E25FCC"/>
    <w:rsid w:val="00E2662E"/>
    <w:rsid w:val="00E26B28"/>
    <w:rsid w:val="00E26B56"/>
    <w:rsid w:val="00E31465"/>
    <w:rsid w:val="00E315E3"/>
    <w:rsid w:val="00E32827"/>
    <w:rsid w:val="00E328CD"/>
    <w:rsid w:val="00E3381E"/>
    <w:rsid w:val="00E34A8F"/>
    <w:rsid w:val="00E36B95"/>
    <w:rsid w:val="00E36F7C"/>
    <w:rsid w:val="00E37469"/>
    <w:rsid w:val="00E4003F"/>
    <w:rsid w:val="00E40581"/>
    <w:rsid w:val="00E42CC7"/>
    <w:rsid w:val="00E45272"/>
    <w:rsid w:val="00E458F6"/>
    <w:rsid w:val="00E45954"/>
    <w:rsid w:val="00E45B98"/>
    <w:rsid w:val="00E4633D"/>
    <w:rsid w:val="00E477D7"/>
    <w:rsid w:val="00E47A17"/>
    <w:rsid w:val="00E5277A"/>
    <w:rsid w:val="00E53CE7"/>
    <w:rsid w:val="00E53F7F"/>
    <w:rsid w:val="00E542D1"/>
    <w:rsid w:val="00E55D4B"/>
    <w:rsid w:val="00E578D9"/>
    <w:rsid w:val="00E578FC"/>
    <w:rsid w:val="00E57E7A"/>
    <w:rsid w:val="00E6235B"/>
    <w:rsid w:val="00E630F8"/>
    <w:rsid w:val="00E636FE"/>
    <w:rsid w:val="00E64EB5"/>
    <w:rsid w:val="00E65813"/>
    <w:rsid w:val="00E65B92"/>
    <w:rsid w:val="00E661A9"/>
    <w:rsid w:val="00E66806"/>
    <w:rsid w:val="00E6696F"/>
    <w:rsid w:val="00E66E55"/>
    <w:rsid w:val="00E67073"/>
    <w:rsid w:val="00E67BBB"/>
    <w:rsid w:val="00E67E0F"/>
    <w:rsid w:val="00E70590"/>
    <w:rsid w:val="00E70E76"/>
    <w:rsid w:val="00E71853"/>
    <w:rsid w:val="00E726F3"/>
    <w:rsid w:val="00E73548"/>
    <w:rsid w:val="00E7391D"/>
    <w:rsid w:val="00E810F0"/>
    <w:rsid w:val="00E85A1E"/>
    <w:rsid w:val="00E85A4E"/>
    <w:rsid w:val="00E8768A"/>
    <w:rsid w:val="00E87719"/>
    <w:rsid w:val="00E878A4"/>
    <w:rsid w:val="00E91E4B"/>
    <w:rsid w:val="00E9233A"/>
    <w:rsid w:val="00E94A7C"/>
    <w:rsid w:val="00E95557"/>
    <w:rsid w:val="00E95712"/>
    <w:rsid w:val="00E95CF0"/>
    <w:rsid w:val="00E95FAD"/>
    <w:rsid w:val="00E9606E"/>
    <w:rsid w:val="00E9612B"/>
    <w:rsid w:val="00E96B11"/>
    <w:rsid w:val="00E96FC4"/>
    <w:rsid w:val="00E9725B"/>
    <w:rsid w:val="00EA06CB"/>
    <w:rsid w:val="00EA081E"/>
    <w:rsid w:val="00EA1468"/>
    <w:rsid w:val="00EA25D8"/>
    <w:rsid w:val="00EA2A2E"/>
    <w:rsid w:val="00EA328D"/>
    <w:rsid w:val="00EA3762"/>
    <w:rsid w:val="00EA44D9"/>
    <w:rsid w:val="00EB025B"/>
    <w:rsid w:val="00EB0528"/>
    <w:rsid w:val="00EB3DF2"/>
    <w:rsid w:val="00EB3FC8"/>
    <w:rsid w:val="00EB47C1"/>
    <w:rsid w:val="00EB4DDF"/>
    <w:rsid w:val="00EB4E19"/>
    <w:rsid w:val="00EB4FB4"/>
    <w:rsid w:val="00EB615D"/>
    <w:rsid w:val="00EB6A76"/>
    <w:rsid w:val="00EC05C4"/>
    <w:rsid w:val="00EC06AB"/>
    <w:rsid w:val="00EC10E8"/>
    <w:rsid w:val="00EC159D"/>
    <w:rsid w:val="00EC19E5"/>
    <w:rsid w:val="00EC270B"/>
    <w:rsid w:val="00EC3819"/>
    <w:rsid w:val="00EC4F6E"/>
    <w:rsid w:val="00EC63CA"/>
    <w:rsid w:val="00EC6A1A"/>
    <w:rsid w:val="00ED04D7"/>
    <w:rsid w:val="00ED21AE"/>
    <w:rsid w:val="00ED2DA4"/>
    <w:rsid w:val="00ED4C7A"/>
    <w:rsid w:val="00ED555F"/>
    <w:rsid w:val="00ED62CC"/>
    <w:rsid w:val="00ED6862"/>
    <w:rsid w:val="00ED6FE1"/>
    <w:rsid w:val="00EE01A8"/>
    <w:rsid w:val="00EE0566"/>
    <w:rsid w:val="00EE0801"/>
    <w:rsid w:val="00EE103F"/>
    <w:rsid w:val="00EE2C5B"/>
    <w:rsid w:val="00EE2C8C"/>
    <w:rsid w:val="00EE4A39"/>
    <w:rsid w:val="00EE4A4C"/>
    <w:rsid w:val="00EE51C7"/>
    <w:rsid w:val="00EE526F"/>
    <w:rsid w:val="00EE6630"/>
    <w:rsid w:val="00EE75C1"/>
    <w:rsid w:val="00EF1457"/>
    <w:rsid w:val="00EF2E1B"/>
    <w:rsid w:val="00EF2E1F"/>
    <w:rsid w:val="00EF3101"/>
    <w:rsid w:val="00EF3CAD"/>
    <w:rsid w:val="00EF4986"/>
    <w:rsid w:val="00EF4DDB"/>
    <w:rsid w:val="00EF5820"/>
    <w:rsid w:val="00EF6D3F"/>
    <w:rsid w:val="00EF7FC1"/>
    <w:rsid w:val="00F00E70"/>
    <w:rsid w:val="00F01593"/>
    <w:rsid w:val="00F01C74"/>
    <w:rsid w:val="00F01E4D"/>
    <w:rsid w:val="00F03468"/>
    <w:rsid w:val="00F0522E"/>
    <w:rsid w:val="00F05C2B"/>
    <w:rsid w:val="00F05F3F"/>
    <w:rsid w:val="00F060D0"/>
    <w:rsid w:val="00F06AF0"/>
    <w:rsid w:val="00F06CB5"/>
    <w:rsid w:val="00F0788B"/>
    <w:rsid w:val="00F07DBB"/>
    <w:rsid w:val="00F101F1"/>
    <w:rsid w:val="00F10B4F"/>
    <w:rsid w:val="00F10C34"/>
    <w:rsid w:val="00F12866"/>
    <w:rsid w:val="00F1432C"/>
    <w:rsid w:val="00F14C6D"/>
    <w:rsid w:val="00F160A6"/>
    <w:rsid w:val="00F16EBD"/>
    <w:rsid w:val="00F177F0"/>
    <w:rsid w:val="00F204DB"/>
    <w:rsid w:val="00F2146D"/>
    <w:rsid w:val="00F236D1"/>
    <w:rsid w:val="00F23F7D"/>
    <w:rsid w:val="00F3046F"/>
    <w:rsid w:val="00F3088B"/>
    <w:rsid w:val="00F312D2"/>
    <w:rsid w:val="00F313AB"/>
    <w:rsid w:val="00F3317C"/>
    <w:rsid w:val="00F338BB"/>
    <w:rsid w:val="00F33CEC"/>
    <w:rsid w:val="00F346DE"/>
    <w:rsid w:val="00F34BC9"/>
    <w:rsid w:val="00F37154"/>
    <w:rsid w:val="00F37839"/>
    <w:rsid w:val="00F4080D"/>
    <w:rsid w:val="00F40B99"/>
    <w:rsid w:val="00F41FF0"/>
    <w:rsid w:val="00F42F17"/>
    <w:rsid w:val="00F45171"/>
    <w:rsid w:val="00F4551A"/>
    <w:rsid w:val="00F455E3"/>
    <w:rsid w:val="00F512C6"/>
    <w:rsid w:val="00F52440"/>
    <w:rsid w:val="00F52ACB"/>
    <w:rsid w:val="00F53970"/>
    <w:rsid w:val="00F5528E"/>
    <w:rsid w:val="00F55FEF"/>
    <w:rsid w:val="00F5674C"/>
    <w:rsid w:val="00F56DC6"/>
    <w:rsid w:val="00F57C94"/>
    <w:rsid w:val="00F600CF"/>
    <w:rsid w:val="00F6121F"/>
    <w:rsid w:val="00F63224"/>
    <w:rsid w:val="00F63F0C"/>
    <w:rsid w:val="00F648C4"/>
    <w:rsid w:val="00F654F3"/>
    <w:rsid w:val="00F65C81"/>
    <w:rsid w:val="00F662B5"/>
    <w:rsid w:val="00F6631E"/>
    <w:rsid w:val="00F6633E"/>
    <w:rsid w:val="00F66979"/>
    <w:rsid w:val="00F67F5E"/>
    <w:rsid w:val="00F70509"/>
    <w:rsid w:val="00F71B32"/>
    <w:rsid w:val="00F72350"/>
    <w:rsid w:val="00F7319A"/>
    <w:rsid w:val="00F74057"/>
    <w:rsid w:val="00F74460"/>
    <w:rsid w:val="00F76629"/>
    <w:rsid w:val="00F76FD8"/>
    <w:rsid w:val="00F77A4E"/>
    <w:rsid w:val="00F81F53"/>
    <w:rsid w:val="00F825BC"/>
    <w:rsid w:val="00F82856"/>
    <w:rsid w:val="00F82A6B"/>
    <w:rsid w:val="00F82FAB"/>
    <w:rsid w:val="00F8302E"/>
    <w:rsid w:val="00F83668"/>
    <w:rsid w:val="00F84386"/>
    <w:rsid w:val="00F8446D"/>
    <w:rsid w:val="00F90FBA"/>
    <w:rsid w:val="00F9291B"/>
    <w:rsid w:val="00F92CF9"/>
    <w:rsid w:val="00F93533"/>
    <w:rsid w:val="00F9364D"/>
    <w:rsid w:val="00F94D95"/>
    <w:rsid w:val="00F96A35"/>
    <w:rsid w:val="00F9755F"/>
    <w:rsid w:val="00F97B8C"/>
    <w:rsid w:val="00F97BA1"/>
    <w:rsid w:val="00FA03B3"/>
    <w:rsid w:val="00FA0AC4"/>
    <w:rsid w:val="00FA12B3"/>
    <w:rsid w:val="00FA172A"/>
    <w:rsid w:val="00FA3007"/>
    <w:rsid w:val="00FA4428"/>
    <w:rsid w:val="00FA4916"/>
    <w:rsid w:val="00FA67E5"/>
    <w:rsid w:val="00FB0552"/>
    <w:rsid w:val="00FB0B2E"/>
    <w:rsid w:val="00FB1C02"/>
    <w:rsid w:val="00FB1C10"/>
    <w:rsid w:val="00FB3C1A"/>
    <w:rsid w:val="00FB43A1"/>
    <w:rsid w:val="00FB452A"/>
    <w:rsid w:val="00FB5A6E"/>
    <w:rsid w:val="00FC12BE"/>
    <w:rsid w:val="00FC17B2"/>
    <w:rsid w:val="00FC1D23"/>
    <w:rsid w:val="00FC319F"/>
    <w:rsid w:val="00FC363C"/>
    <w:rsid w:val="00FC48B4"/>
    <w:rsid w:val="00FC49AA"/>
    <w:rsid w:val="00FC52A1"/>
    <w:rsid w:val="00FC6402"/>
    <w:rsid w:val="00FD01B5"/>
    <w:rsid w:val="00FD0500"/>
    <w:rsid w:val="00FD0E0A"/>
    <w:rsid w:val="00FD2714"/>
    <w:rsid w:val="00FD4488"/>
    <w:rsid w:val="00FD57D3"/>
    <w:rsid w:val="00FD5B37"/>
    <w:rsid w:val="00FD5BD1"/>
    <w:rsid w:val="00FD6255"/>
    <w:rsid w:val="00FD6361"/>
    <w:rsid w:val="00FE00A0"/>
    <w:rsid w:val="00FE03D2"/>
    <w:rsid w:val="00FE0658"/>
    <w:rsid w:val="00FE07F7"/>
    <w:rsid w:val="00FE128C"/>
    <w:rsid w:val="00FE28A1"/>
    <w:rsid w:val="00FE2B96"/>
    <w:rsid w:val="00FE2DC7"/>
    <w:rsid w:val="00FE2ECB"/>
    <w:rsid w:val="00FE48E7"/>
    <w:rsid w:val="00FE5377"/>
    <w:rsid w:val="00FE59AA"/>
    <w:rsid w:val="00FE65DD"/>
    <w:rsid w:val="00FE7417"/>
    <w:rsid w:val="00FF0FDA"/>
    <w:rsid w:val="00FF2572"/>
    <w:rsid w:val="00FF32EA"/>
    <w:rsid w:val="00FF3B14"/>
    <w:rsid w:val="00FF48D4"/>
    <w:rsid w:val="00FF5A90"/>
    <w:rsid w:val="00FF5B9E"/>
    <w:rsid w:val="00FF5FC0"/>
    <w:rsid w:val="00FF64F7"/>
    <w:rsid w:val="00FF6A68"/>
    <w:rsid w:val="00FF6D5D"/>
    <w:rsid w:val="00FF7E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4:discardImageEditingData/>
  <w15:chartTrackingRefBased/>
  <w15:docId w15:val="{9517CFE2-7D07-460B-A7CF-9CBF930B9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lsdException w:name="toc 5" w:locked="1"/>
    <w:lsdException w:name="toc 6" w:locked="1"/>
    <w:lsdException w:name="toc 7" w:locked="1"/>
    <w:lsdException w:name="toc 8" w:locked="1"/>
    <w:lsdException w:name="toc 9" w:locked="1"/>
    <w:lsdException w:name="Normal Indent" w:locked="1"/>
    <w:lsdException w:name="annotation text" w:locked="1"/>
    <w:lsdException w:name="footer"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annotation reference" w:locked="1"/>
    <w:lsdException w:name="line number" w:locked="1"/>
    <w:lsdException w:name="page number"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iPriority="99"/>
    <w:lsdException w:name="FollowedHyperlink" w:locked="1"/>
    <w:lsdException w:name="Strong" w:qFormat="1"/>
    <w:lsdException w:name="Emphasis" w:locked="1" w:qFormat="1"/>
    <w:lsdException w:name="Document Map" w:locked="1"/>
    <w:lsdException w:name="Plain Text" w:locked="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semiHidden="1" w:unhideWhenUsed="1"/>
    <w:lsdException w:name="HTML Typewriter" w:locked="1"/>
    <w:lsdException w:name="HTML Variable" w:locked="1"/>
    <w:lsdException w:name="Normal Table" w:semiHidden="1" w:unhideWhenUsed="1"/>
    <w:lsdException w:name="annotation subject" w:lock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1B65"/>
    <w:pPr>
      <w:spacing w:before="240" w:after="240"/>
    </w:pPr>
    <w:rPr>
      <w:rFonts w:ascii="Arial" w:eastAsia="MS Mincho" w:hAnsi="Arial"/>
      <w:sz w:val="24"/>
      <w:szCs w:val="24"/>
    </w:rPr>
  </w:style>
  <w:style w:type="paragraph" w:styleId="Heading1">
    <w:name w:val="heading 1"/>
    <w:basedOn w:val="Normal"/>
    <w:next w:val="Normal"/>
    <w:link w:val="Heading1Char"/>
    <w:qFormat/>
    <w:rsid w:val="008007A8"/>
    <w:pPr>
      <w:keepNext/>
      <w:keepLines/>
      <w:numPr>
        <w:numId w:val="2"/>
      </w:numPr>
      <w:spacing w:before="360"/>
      <w:outlineLvl w:val="0"/>
    </w:pPr>
    <w:rPr>
      <w:b/>
      <w:bCs/>
      <w:sz w:val="28"/>
      <w:szCs w:val="28"/>
    </w:rPr>
  </w:style>
  <w:style w:type="paragraph" w:styleId="Heading2">
    <w:name w:val="heading 2"/>
    <w:basedOn w:val="Heading1"/>
    <w:next w:val="Normal"/>
    <w:link w:val="Heading2Char"/>
    <w:qFormat/>
    <w:rsid w:val="008007A8"/>
    <w:pPr>
      <w:numPr>
        <w:ilvl w:val="1"/>
      </w:numPr>
      <w:outlineLvl w:val="1"/>
    </w:pPr>
    <w:rPr>
      <w:bCs w:val="0"/>
      <w:i/>
      <w:color w:val="000000"/>
      <w:szCs w:val="26"/>
    </w:rPr>
  </w:style>
  <w:style w:type="paragraph" w:styleId="Heading3">
    <w:name w:val="heading 3"/>
    <w:basedOn w:val="Heading2"/>
    <w:next w:val="Normal"/>
    <w:link w:val="Heading3Char"/>
    <w:qFormat/>
    <w:rsid w:val="008007A8"/>
    <w:pPr>
      <w:numPr>
        <w:ilvl w:val="2"/>
      </w:numPr>
      <w:outlineLvl w:val="2"/>
    </w:pPr>
    <w:rPr>
      <w:b w:val="0"/>
      <w:bCs/>
      <w:color w:val="auto"/>
      <w:sz w:val="24"/>
    </w:rPr>
  </w:style>
  <w:style w:type="paragraph" w:styleId="Heading4">
    <w:name w:val="heading 4"/>
    <w:basedOn w:val="Heading3"/>
    <w:next w:val="Normal"/>
    <w:link w:val="Heading4Char"/>
    <w:qFormat/>
    <w:rsid w:val="008007A8"/>
    <w:pPr>
      <w:numPr>
        <w:ilvl w:val="3"/>
      </w:numPr>
      <w:outlineLvl w:val="3"/>
    </w:pPr>
    <w:rPr>
      <w:bCs w:val="0"/>
      <w:i w:val="0"/>
      <w:iCs/>
    </w:rPr>
  </w:style>
  <w:style w:type="paragraph" w:styleId="Heading5">
    <w:name w:val="heading 5"/>
    <w:basedOn w:val="Normal"/>
    <w:next w:val="Normal"/>
    <w:link w:val="Heading5Char"/>
    <w:qFormat/>
    <w:locked/>
    <w:rsid w:val="008007A8"/>
    <w:pPr>
      <w:keepNext/>
      <w:keepLines/>
      <w:numPr>
        <w:ilvl w:val="4"/>
        <w:numId w:val="2"/>
      </w:numPr>
      <w:spacing w:before="200"/>
      <w:outlineLvl w:val="4"/>
    </w:pPr>
    <w:rPr>
      <w:rFonts w:ascii="Cambria" w:hAnsi="Cambria"/>
      <w:color w:val="243F60"/>
    </w:rPr>
  </w:style>
  <w:style w:type="paragraph" w:styleId="Heading6">
    <w:name w:val="heading 6"/>
    <w:basedOn w:val="Normal"/>
    <w:next w:val="Normal"/>
    <w:link w:val="Heading6Char"/>
    <w:qFormat/>
    <w:locked/>
    <w:rsid w:val="008007A8"/>
    <w:pPr>
      <w:keepNext/>
      <w:keepLines/>
      <w:numPr>
        <w:ilvl w:val="5"/>
        <w:numId w:val="2"/>
      </w:numPr>
      <w:spacing w:before="200"/>
      <w:outlineLvl w:val="5"/>
    </w:pPr>
    <w:rPr>
      <w:rFonts w:ascii="Cambria" w:hAnsi="Cambria"/>
      <w:i/>
      <w:iCs/>
      <w:color w:val="243F60"/>
    </w:rPr>
  </w:style>
  <w:style w:type="paragraph" w:styleId="Heading7">
    <w:name w:val="heading 7"/>
    <w:basedOn w:val="Normal"/>
    <w:next w:val="Normal"/>
    <w:link w:val="Heading7Char"/>
    <w:qFormat/>
    <w:locked/>
    <w:rsid w:val="008007A8"/>
    <w:pPr>
      <w:keepNext/>
      <w:keepLines/>
      <w:numPr>
        <w:ilvl w:val="6"/>
        <w:numId w:val="2"/>
      </w:numPr>
      <w:spacing w:before="200"/>
      <w:outlineLvl w:val="6"/>
    </w:pPr>
    <w:rPr>
      <w:rFonts w:ascii="Cambria" w:hAnsi="Cambria"/>
      <w:i/>
      <w:iCs/>
      <w:color w:val="404040"/>
    </w:rPr>
  </w:style>
  <w:style w:type="paragraph" w:styleId="Heading8">
    <w:name w:val="heading 8"/>
    <w:basedOn w:val="Normal"/>
    <w:next w:val="Normal"/>
    <w:link w:val="Heading8Char"/>
    <w:qFormat/>
    <w:locked/>
    <w:rsid w:val="008007A8"/>
    <w:pPr>
      <w:keepNext/>
      <w:keepLines/>
      <w:numPr>
        <w:ilvl w:val="7"/>
        <w:numId w:val="2"/>
      </w:numPr>
      <w:spacing w:before="200"/>
      <w:outlineLvl w:val="7"/>
    </w:pPr>
    <w:rPr>
      <w:rFonts w:ascii="Cambria" w:hAnsi="Cambria"/>
      <w:color w:val="404040"/>
      <w:sz w:val="20"/>
      <w:szCs w:val="20"/>
    </w:rPr>
  </w:style>
  <w:style w:type="paragraph" w:styleId="Heading9">
    <w:name w:val="heading 9"/>
    <w:basedOn w:val="Normal"/>
    <w:next w:val="Normal"/>
    <w:link w:val="Heading9Char"/>
    <w:qFormat/>
    <w:locked/>
    <w:rsid w:val="008007A8"/>
    <w:pPr>
      <w:keepNext/>
      <w:keepLines/>
      <w:numPr>
        <w:ilvl w:val="8"/>
        <w:numId w:val="2"/>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07A8"/>
    <w:rPr>
      <w:rFonts w:ascii="Arial" w:eastAsia="MS Mincho" w:hAnsi="Arial"/>
      <w:b/>
      <w:bCs/>
      <w:sz w:val="28"/>
      <w:szCs w:val="28"/>
      <w:lang w:val="en-AU" w:eastAsia="en-AU" w:bidi="ar-SA"/>
    </w:rPr>
  </w:style>
  <w:style w:type="character" w:customStyle="1" w:styleId="Heading2Char">
    <w:name w:val="Heading 2 Char"/>
    <w:link w:val="Heading2"/>
    <w:rsid w:val="008007A8"/>
    <w:rPr>
      <w:rFonts w:ascii="Arial" w:eastAsia="MS Mincho" w:hAnsi="Arial"/>
      <w:b/>
      <w:i/>
      <w:color w:val="000000"/>
      <w:sz w:val="28"/>
      <w:szCs w:val="26"/>
      <w:lang w:val="en-AU" w:eastAsia="en-AU" w:bidi="ar-SA"/>
    </w:rPr>
  </w:style>
  <w:style w:type="character" w:customStyle="1" w:styleId="Heading3Char">
    <w:name w:val="Heading 3 Char"/>
    <w:link w:val="Heading3"/>
    <w:rsid w:val="008007A8"/>
    <w:rPr>
      <w:rFonts w:ascii="Arial" w:eastAsia="MS Mincho" w:hAnsi="Arial"/>
      <w:bCs/>
      <w:i/>
      <w:sz w:val="24"/>
      <w:szCs w:val="26"/>
      <w:lang w:val="en-AU" w:eastAsia="en-AU" w:bidi="ar-SA"/>
    </w:rPr>
  </w:style>
  <w:style w:type="character" w:customStyle="1" w:styleId="Heading4Char">
    <w:name w:val="Heading 4 Char"/>
    <w:link w:val="Heading4"/>
    <w:rsid w:val="008007A8"/>
    <w:rPr>
      <w:rFonts w:ascii="Arial" w:eastAsia="MS Mincho" w:hAnsi="Arial"/>
      <w:iCs/>
      <w:sz w:val="24"/>
      <w:szCs w:val="26"/>
      <w:lang w:val="en-AU" w:eastAsia="en-AU" w:bidi="ar-SA"/>
    </w:rPr>
  </w:style>
  <w:style w:type="character" w:styleId="Strong">
    <w:name w:val="Strong"/>
    <w:qFormat/>
    <w:locked/>
    <w:rsid w:val="000B0A5D"/>
    <w:rPr>
      <w:b/>
      <w:bCs/>
    </w:rPr>
  </w:style>
  <w:style w:type="character" w:customStyle="1" w:styleId="Heading5Char">
    <w:name w:val="Heading 5 Char"/>
    <w:link w:val="Heading5"/>
    <w:semiHidden/>
    <w:rsid w:val="008007A8"/>
    <w:rPr>
      <w:rFonts w:ascii="Cambria" w:eastAsia="MS Mincho" w:hAnsi="Cambria"/>
      <w:color w:val="243F60"/>
      <w:sz w:val="24"/>
      <w:szCs w:val="24"/>
      <w:lang w:val="en-AU" w:eastAsia="en-AU" w:bidi="ar-SA"/>
    </w:rPr>
  </w:style>
  <w:style w:type="character" w:customStyle="1" w:styleId="Heading6Char">
    <w:name w:val="Heading 6 Char"/>
    <w:link w:val="Heading6"/>
    <w:semiHidden/>
    <w:rsid w:val="008007A8"/>
    <w:rPr>
      <w:rFonts w:ascii="Cambria" w:eastAsia="MS Mincho" w:hAnsi="Cambria"/>
      <w:i/>
      <w:iCs/>
      <w:color w:val="243F60"/>
      <w:sz w:val="24"/>
      <w:szCs w:val="24"/>
      <w:lang w:val="en-AU" w:eastAsia="en-AU" w:bidi="ar-SA"/>
    </w:rPr>
  </w:style>
  <w:style w:type="character" w:customStyle="1" w:styleId="Heading7Char">
    <w:name w:val="Heading 7 Char"/>
    <w:link w:val="Heading7"/>
    <w:semiHidden/>
    <w:rsid w:val="008007A8"/>
    <w:rPr>
      <w:rFonts w:ascii="Cambria" w:eastAsia="MS Mincho" w:hAnsi="Cambria"/>
      <w:i/>
      <w:iCs/>
      <w:color w:val="404040"/>
      <w:sz w:val="24"/>
      <w:szCs w:val="24"/>
      <w:lang w:val="en-AU" w:eastAsia="en-AU" w:bidi="ar-SA"/>
    </w:rPr>
  </w:style>
  <w:style w:type="character" w:customStyle="1" w:styleId="Heading8Char">
    <w:name w:val="Heading 8 Char"/>
    <w:link w:val="Heading8"/>
    <w:semiHidden/>
    <w:rsid w:val="008007A8"/>
    <w:rPr>
      <w:rFonts w:ascii="Cambria" w:eastAsia="MS Mincho" w:hAnsi="Cambria"/>
      <w:color w:val="404040"/>
      <w:lang w:val="en-AU" w:eastAsia="en-AU" w:bidi="ar-SA"/>
    </w:rPr>
  </w:style>
  <w:style w:type="character" w:customStyle="1" w:styleId="Heading9Char">
    <w:name w:val="Heading 9 Char"/>
    <w:link w:val="Heading9"/>
    <w:semiHidden/>
    <w:rsid w:val="008007A8"/>
    <w:rPr>
      <w:rFonts w:ascii="Cambria" w:eastAsia="MS Mincho" w:hAnsi="Cambria"/>
      <w:i/>
      <w:iCs/>
      <w:color w:val="404040"/>
      <w:lang w:val="en-AU" w:eastAsia="en-AU" w:bidi="ar-SA"/>
    </w:rPr>
  </w:style>
  <w:style w:type="paragraph" w:styleId="Header">
    <w:name w:val="header"/>
    <w:basedOn w:val="Normal"/>
    <w:link w:val="HeaderChar"/>
    <w:semiHidden/>
    <w:rsid w:val="0090165F"/>
    <w:pPr>
      <w:tabs>
        <w:tab w:val="center" w:pos="4513"/>
        <w:tab w:val="right" w:pos="9026"/>
      </w:tabs>
      <w:spacing w:after="0"/>
    </w:pPr>
    <w:rPr>
      <w:sz w:val="22"/>
    </w:rPr>
  </w:style>
  <w:style w:type="character" w:customStyle="1" w:styleId="HeaderChar">
    <w:name w:val="Header Char"/>
    <w:link w:val="Header"/>
    <w:rsid w:val="0090165F"/>
    <w:rPr>
      <w:rFonts w:ascii="Arial" w:hAnsi="Arial"/>
      <w:sz w:val="22"/>
      <w:szCs w:val="24"/>
      <w:lang w:val="en-AU" w:eastAsia="en-AU" w:bidi="ar-SA"/>
    </w:rPr>
  </w:style>
  <w:style w:type="paragraph" w:styleId="Footer">
    <w:name w:val="footer"/>
    <w:basedOn w:val="Normal"/>
    <w:link w:val="FooterChar"/>
    <w:uiPriority w:val="99"/>
    <w:semiHidden/>
    <w:rsid w:val="00B34946"/>
    <w:pPr>
      <w:tabs>
        <w:tab w:val="right" w:pos="2835"/>
        <w:tab w:val="right" w:pos="5670"/>
      </w:tabs>
      <w:spacing w:before="0" w:after="60"/>
    </w:pPr>
    <w:rPr>
      <w:color w:val="404040"/>
      <w:sz w:val="16"/>
    </w:rPr>
  </w:style>
  <w:style w:type="character" w:customStyle="1" w:styleId="FooterChar">
    <w:name w:val="Footer Char"/>
    <w:link w:val="Footer"/>
    <w:uiPriority w:val="99"/>
    <w:semiHidden/>
    <w:rsid w:val="00B34946"/>
    <w:rPr>
      <w:rFonts w:ascii="Arial" w:eastAsia="MS Mincho" w:hAnsi="Arial"/>
      <w:color w:val="404040"/>
      <w:sz w:val="16"/>
      <w:szCs w:val="24"/>
    </w:rPr>
  </w:style>
  <w:style w:type="paragraph" w:styleId="TOC3">
    <w:name w:val="toc 3"/>
    <w:basedOn w:val="Normal"/>
    <w:next w:val="Normal"/>
    <w:autoRedefine/>
    <w:uiPriority w:val="39"/>
    <w:qFormat/>
    <w:locked/>
    <w:rsid w:val="00A92F92"/>
    <w:pPr>
      <w:tabs>
        <w:tab w:val="left" w:pos="1202"/>
        <w:tab w:val="right" w:leader="dot" w:pos="9060"/>
      </w:tabs>
      <w:spacing w:before="0" w:after="0"/>
      <w:ind w:left="1202" w:hanging="720"/>
    </w:pPr>
    <w:rPr>
      <w:rFonts w:cs="Arial"/>
      <w:i/>
      <w:noProof/>
    </w:rPr>
  </w:style>
  <w:style w:type="character" w:styleId="PlaceholderText">
    <w:name w:val="Placeholder Text"/>
    <w:uiPriority w:val="99"/>
    <w:semiHidden/>
    <w:locked/>
    <w:rsid w:val="005D1F34"/>
    <w:rPr>
      <w:color w:val="808080"/>
    </w:rPr>
  </w:style>
  <w:style w:type="paragraph" w:styleId="ListContinue4">
    <w:name w:val="List Continue 4"/>
    <w:basedOn w:val="Normal"/>
    <w:semiHidden/>
    <w:locked/>
    <w:rsid w:val="0090165F"/>
    <w:pPr>
      <w:spacing w:after="120"/>
      <w:ind w:left="1132"/>
    </w:pPr>
  </w:style>
  <w:style w:type="numbering" w:styleId="111111">
    <w:name w:val="Outline List 2"/>
    <w:basedOn w:val="NoList"/>
    <w:semiHidden/>
    <w:locked/>
    <w:rsid w:val="00E45954"/>
    <w:pPr>
      <w:numPr>
        <w:numId w:val="17"/>
      </w:numPr>
    </w:pPr>
  </w:style>
  <w:style w:type="paragraph" w:styleId="TOC1">
    <w:name w:val="toc 1"/>
    <w:basedOn w:val="Normal"/>
    <w:next w:val="Normal"/>
    <w:autoRedefine/>
    <w:uiPriority w:val="39"/>
    <w:qFormat/>
    <w:locked/>
    <w:rsid w:val="00682B23"/>
    <w:pPr>
      <w:tabs>
        <w:tab w:val="right" w:leader="dot" w:pos="9060"/>
      </w:tabs>
      <w:spacing w:after="0"/>
      <w:ind w:left="720" w:hanging="720"/>
    </w:pPr>
    <w:rPr>
      <w:b/>
      <w:noProof/>
    </w:rPr>
  </w:style>
  <w:style w:type="paragraph" w:styleId="TOC2">
    <w:name w:val="toc 2"/>
    <w:basedOn w:val="Normal"/>
    <w:next w:val="Normal"/>
    <w:autoRedefine/>
    <w:uiPriority w:val="39"/>
    <w:qFormat/>
    <w:locked/>
    <w:rsid w:val="00A92F92"/>
    <w:pPr>
      <w:tabs>
        <w:tab w:val="right" w:leader="dot" w:pos="9060"/>
      </w:tabs>
      <w:spacing w:before="0" w:after="0"/>
      <w:ind w:left="958" w:hanging="720"/>
    </w:pPr>
    <w:rPr>
      <w:b/>
      <w:i/>
      <w:noProof/>
    </w:rPr>
  </w:style>
  <w:style w:type="paragraph" w:styleId="TOC4">
    <w:name w:val="toc 4"/>
    <w:basedOn w:val="Normal"/>
    <w:next w:val="Normal"/>
    <w:autoRedefine/>
    <w:uiPriority w:val="39"/>
    <w:semiHidden/>
    <w:locked/>
    <w:rsid w:val="00814FC0"/>
    <w:pPr>
      <w:tabs>
        <w:tab w:val="left" w:pos="1440"/>
        <w:tab w:val="right" w:leader="dot" w:pos="9060"/>
      </w:tabs>
      <w:spacing w:before="0" w:after="0"/>
      <w:ind w:left="1440" w:hanging="720"/>
    </w:pPr>
    <w:rPr>
      <w:noProof/>
    </w:rPr>
  </w:style>
  <w:style w:type="character" w:styleId="Hyperlink">
    <w:name w:val="Hyperlink"/>
    <w:uiPriority w:val="99"/>
    <w:unhideWhenUsed/>
    <w:locked/>
    <w:rsid w:val="0024557E"/>
    <w:rPr>
      <w:color w:val="0000FF"/>
      <w:u w:val="single"/>
    </w:rPr>
  </w:style>
  <w:style w:type="paragraph" w:styleId="TOCHeading">
    <w:name w:val="TOC Heading"/>
    <w:basedOn w:val="Normal"/>
    <w:next w:val="Normal"/>
    <w:uiPriority w:val="39"/>
    <w:qFormat/>
    <w:locked/>
    <w:rsid w:val="007540BF"/>
    <w:pPr>
      <w:spacing w:before="0" w:after="360"/>
    </w:pPr>
    <w:rPr>
      <w:b/>
      <w:color w:val="000000"/>
      <w:lang w:val="en-US" w:eastAsia="en-US"/>
    </w:rPr>
  </w:style>
  <w:style w:type="paragraph" w:styleId="EndnoteText">
    <w:name w:val="endnote text"/>
    <w:basedOn w:val="Normal"/>
    <w:link w:val="EndnoteTextChar1"/>
    <w:rsid w:val="000E130A"/>
    <w:pPr>
      <w:spacing w:before="0" w:after="0"/>
    </w:pPr>
    <w:rPr>
      <w:sz w:val="20"/>
      <w:szCs w:val="20"/>
    </w:rPr>
  </w:style>
  <w:style w:type="character" w:customStyle="1" w:styleId="EndnoteTextChar1">
    <w:name w:val="Endnote Text Char1"/>
    <w:link w:val="EndnoteText"/>
    <w:rsid w:val="000E130A"/>
    <w:rPr>
      <w:rFonts w:ascii="Arial" w:eastAsia="MS Mincho" w:hAnsi="Arial"/>
      <w:lang w:val="en-AU" w:eastAsia="en-AU" w:bidi="ar-SA"/>
    </w:rPr>
  </w:style>
  <w:style w:type="character" w:styleId="EndnoteReference">
    <w:name w:val="endnote reference"/>
    <w:rsid w:val="000A1DB8"/>
    <w:rPr>
      <w:rFonts w:ascii="Arial" w:hAnsi="Arial"/>
      <w:sz w:val="20"/>
      <w:vertAlign w:val="superscript"/>
    </w:rPr>
  </w:style>
  <w:style w:type="numbering" w:styleId="1ai">
    <w:name w:val="Outline List 1"/>
    <w:basedOn w:val="NoList"/>
    <w:semiHidden/>
    <w:locked/>
    <w:rsid w:val="00E45954"/>
    <w:pPr>
      <w:numPr>
        <w:numId w:val="18"/>
      </w:numPr>
    </w:pPr>
  </w:style>
  <w:style w:type="numbering" w:styleId="ArticleSection">
    <w:name w:val="Outline List 3"/>
    <w:basedOn w:val="NoList"/>
    <w:semiHidden/>
    <w:locked/>
    <w:rsid w:val="00E45954"/>
    <w:pPr>
      <w:numPr>
        <w:numId w:val="19"/>
      </w:numPr>
    </w:pPr>
  </w:style>
  <w:style w:type="paragraph" w:styleId="BlockText">
    <w:name w:val="Block Text"/>
    <w:basedOn w:val="Normal"/>
    <w:semiHidden/>
    <w:locked/>
    <w:rsid w:val="00E45954"/>
    <w:pPr>
      <w:spacing w:after="120"/>
      <w:ind w:left="1440" w:right="1440"/>
    </w:pPr>
  </w:style>
  <w:style w:type="paragraph" w:styleId="BodyText">
    <w:name w:val="Body Text"/>
    <w:basedOn w:val="Normal"/>
    <w:semiHidden/>
    <w:locked/>
    <w:rsid w:val="00E45954"/>
    <w:pPr>
      <w:spacing w:after="120"/>
    </w:pPr>
  </w:style>
  <w:style w:type="paragraph" w:styleId="BodyText2">
    <w:name w:val="Body Text 2"/>
    <w:basedOn w:val="Normal"/>
    <w:semiHidden/>
    <w:locked/>
    <w:rsid w:val="00E45954"/>
    <w:pPr>
      <w:spacing w:after="120" w:line="480" w:lineRule="auto"/>
    </w:pPr>
  </w:style>
  <w:style w:type="paragraph" w:styleId="BodyText3">
    <w:name w:val="Body Text 3"/>
    <w:basedOn w:val="Normal"/>
    <w:semiHidden/>
    <w:locked/>
    <w:rsid w:val="00E45954"/>
    <w:pPr>
      <w:spacing w:after="120"/>
    </w:pPr>
    <w:rPr>
      <w:sz w:val="16"/>
      <w:szCs w:val="16"/>
    </w:rPr>
  </w:style>
  <w:style w:type="paragraph" w:styleId="BodyTextFirstIndent">
    <w:name w:val="Body Text First Indent"/>
    <w:basedOn w:val="BodyText"/>
    <w:semiHidden/>
    <w:locked/>
    <w:rsid w:val="00E45954"/>
    <w:pPr>
      <w:ind w:firstLine="210"/>
    </w:pPr>
  </w:style>
  <w:style w:type="paragraph" w:styleId="BodyTextIndent">
    <w:name w:val="Body Text Indent"/>
    <w:basedOn w:val="Normal"/>
    <w:semiHidden/>
    <w:locked/>
    <w:rsid w:val="00E45954"/>
    <w:pPr>
      <w:spacing w:after="120"/>
      <w:ind w:left="283"/>
    </w:pPr>
  </w:style>
  <w:style w:type="paragraph" w:styleId="BodyTextFirstIndent2">
    <w:name w:val="Body Text First Indent 2"/>
    <w:basedOn w:val="BodyTextIndent"/>
    <w:semiHidden/>
    <w:locked/>
    <w:rsid w:val="00E45954"/>
    <w:pPr>
      <w:ind w:firstLine="210"/>
    </w:pPr>
  </w:style>
  <w:style w:type="paragraph" w:styleId="BodyTextIndent2">
    <w:name w:val="Body Text Indent 2"/>
    <w:basedOn w:val="Normal"/>
    <w:semiHidden/>
    <w:locked/>
    <w:rsid w:val="00E45954"/>
    <w:pPr>
      <w:spacing w:after="120" w:line="480" w:lineRule="auto"/>
      <w:ind w:left="283"/>
    </w:pPr>
  </w:style>
  <w:style w:type="paragraph" w:styleId="BodyTextIndent3">
    <w:name w:val="Body Text Indent 3"/>
    <w:basedOn w:val="Normal"/>
    <w:semiHidden/>
    <w:locked/>
    <w:rsid w:val="00E45954"/>
    <w:pPr>
      <w:spacing w:after="120"/>
      <w:ind w:left="283"/>
    </w:pPr>
    <w:rPr>
      <w:sz w:val="16"/>
      <w:szCs w:val="16"/>
    </w:rPr>
  </w:style>
  <w:style w:type="paragraph" w:styleId="Closing">
    <w:name w:val="Closing"/>
    <w:basedOn w:val="Normal"/>
    <w:semiHidden/>
    <w:locked/>
    <w:rsid w:val="00E45954"/>
    <w:pPr>
      <w:ind w:left="4252"/>
    </w:pPr>
  </w:style>
  <w:style w:type="paragraph" w:styleId="Date">
    <w:name w:val="Date"/>
    <w:basedOn w:val="Normal"/>
    <w:next w:val="Normal"/>
    <w:semiHidden/>
    <w:locked/>
    <w:rsid w:val="00C33104"/>
    <w:pPr>
      <w:spacing w:before="120" w:after="120"/>
      <w:jc w:val="right"/>
    </w:pPr>
    <w:rPr>
      <w:color w:val="595959"/>
      <w:sz w:val="26"/>
    </w:rPr>
  </w:style>
  <w:style w:type="paragraph" w:styleId="E-mailSignature">
    <w:name w:val="E-mail Signature"/>
    <w:basedOn w:val="Normal"/>
    <w:semiHidden/>
    <w:locked/>
    <w:rsid w:val="00E45954"/>
  </w:style>
  <w:style w:type="character" w:styleId="Emphasis">
    <w:name w:val="Emphasis"/>
    <w:qFormat/>
    <w:locked/>
    <w:rsid w:val="00E45954"/>
    <w:rPr>
      <w:i/>
      <w:iCs/>
    </w:rPr>
  </w:style>
  <w:style w:type="paragraph" w:styleId="EnvelopeAddress">
    <w:name w:val="envelope address"/>
    <w:basedOn w:val="Normal"/>
    <w:semiHidden/>
    <w:locked/>
    <w:rsid w:val="000A1DB8"/>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locked/>
    <w:rsid w:val="00E45954"/>
    <w:rPr>
      <w:rFonts w:cs="Arial"/>
      <w:sz w:val="20"/>
      <w:szCs w:val="20"/>
    </w:rPr>
  </w:style>
  <w:style w:type="character" w:styleId="FootnoteReference">
    <w:name w:val="footnote reference"/>
    <w:semiHidden/>
    <w:rsid w:val="000A1DB8"/>
    <w:rPr>
      <w:rFonts w:ascii="Arial" w:hAnsi="Arial"/>
      <w:sz w:val="20"/>
      <w:vertAlign w:val="superscript"/>
    </w:rPr>
  </w:style>
  <w:style w:type="paragraph" w:styleId="FootnoteText">
    <w:name w:val="footnote text"/>
    <w:basedOn w:val="Normal"/>
    <w:semiHidden/>
    <w:rsid w:val="000E130A"/>
    <w:pPr>
      <w:spacing w:before="0" w:after="0"/>
    </w:pPr>
    <w:rPr>
      <w:sz w:val="20"/>
      <w:szCs w:val="20"/>
    </w:rPr>
  </w:style>
  <w:style w:type="character" w:styleId="HTMLAcronym">
    <w:name w:val="HTML Acronym"/>
    <w:basedOn w:val="DefaultParagraphFont"/>
    <w:semiHidden/>
    <w:locked/>
    <w:rsid w:val="00E45954"/>
  </w:style>
  <w:style w:type="paragraph" w:styleId="HTMLAddress">
    <w:name w:val="HTML Address"/>
    <w:basedOn w:val="Normal"/>
    <w:semiHidden/>
    <w:locked/>
    <w:rsid w:val="00E45954"/>
    <w:rPr>
      <w:i/>
      <w:iCs/>
    </w:rPr>
  </w:style>
  <w:style w:type="character" w:styleId="HTMLCite">
    <w:name w:val="HTML Cite"/>
    <w:semiHidden/>
    <w:locked/>
    <w:rsid w:val="00E45954"/>
    <w:rPr>
      <w:i/>
      <w:iCs/>
    </w:rPr>
  </w:style>
  <w:style w:type="character" w:styleId="HTMLCode">
    <w:name w:val="HTML Code"/>
    <w:semiHidden/>
    <w:locked/>
    <w:rsid w:val="00E45954"/>
    <w:rPr>
      <w:rFonts w:ascii="Courier New" w:hAnsi="Courier New" w:cs="Courier New"/>
      <w:sz w:val="20"/>
      <w:szCs w:val="20"/>
    </w:rPr>
  </w:style>
  <w:style w:type="character" w:styleId="HTMLDefinition">
    <w:name w:val="HTML Definition"/>
    <w:semiHidden/>
    <w:locked/>
    <w:rsid w:val="00E45954"/>
    <w:rPr>
      <w:i/>
      <w:iCs/>
    </w:rPr>
  </w:style>
  <w:style w:type="character" w:styleId="HTMLKeyboard">
    <w:name w:val="HTML Keyboard"/>
    <w:semiHidden/>
    <w:locked/>
    <w:rsid w:val="00E45954"/>
    <w:rPr>
      <w:rFonts w:ascii="Courier New" w:hAnsi="Courier New" w:cs="Courier New"/>
      <w:sz w:val="20"/>
      <w:szCs w:val="20"/>
    </w:rPr>
  </w:style>
  <w:style w:type="paragraph" w:styleId="HTMLPreformatted">
    <w:name w:val="HTML Preformatted"/>
    <w:basedOn w:val="Normal"/>
    <w:semiHidden/>
    <w:locked/>
    <w:rsid w:val="00E45954"/>
    <w:rPr>
      <w:rFonts w:ascii="Courier New" w:hAnsi="Courier New" w:cs="Courier New"/>
      <w:sz w:val="20"/>
      <w:szCs w:val="20"/>
    </w:rPr>
  </w:style>
  <w:style w:type="character" w:styleId="HTMLSample">
    <w:name w:val="HTML Sample"/>
    <w:semiHidden/>
    <w:locked/>
    <w:rsid w:val="00E45954"/>
    <w:rPr>
      <w:rFonts w:ascii="Courier New" w:hAnsi="Courier New" w:cs="Courier New"/>
    </w:rPr>
  </w:style>
  <w:style w:type="character" w:styleId="HTMLTypewriter">
    <w:name w:val="HTML Typewriter"/>
    <w:semiHidden/>
    <w:locked/>
    <w:rsid w:val="00E45954"/>
    <w:rPr>
      <w:rFonts w:ascii="Courier New" w:hAnsi="Courier New" w:cs="Courier New"/>
      <w:sz w:val="20"/>
      <w:szCs w:val="20"/>
    </w:rPr>
  </w:style>
  <w:style w:type="character" w:styleId="HTMLVariable">
    <w:name w:val="HTML Variable"/>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style>
  <w:style w:type="paragraph" w:styleId="List2">
    <w:name w:val="List 2"/>
    <w:basedOn w:val="Normal"/>
    <w:semiHidden/>
    <w:locked/>
    <w:rsid w:val="00E45954"/>
    <w:pPr>
      <w:ind w:left="566" w:hanging="283"/>
    </w:pPr>
  </w:style>
  <w:style w:type="paragraph" w:styleId="List3">
    <w:name w:val="List 3"/>
    <w:basedOn w:val="Normal"/>
    <w:semiHidden/>
    <w:locked/>
    <w:rsid w:val="00E45954"/>
    <w:pPr>
      <w:ind w:left="849" w:hanging="283"/>
    </w:pPr>
  </w:style>
  <w:style w:type="paragraph" w:styleId="List4">
    <w:name w:val="List 4"/>
    <w:basedOn w:val="Normal"/>
    <w:semiHidden/>
    <w:locked/>
    <w:rsid w:val="00E45954"/>
    <w:pPr>
      <w:ind w:left="1132" w:hanging="283"/>
    </w:pPr>
  </w:style>
  <w:style w:type="paragraph" w:styleId="List5">
    <w:name w:val="List 5"/>
    <w:basedOn w:val="Normal"/>
    <w:semiHidden/>
    <w:locked/>
    <w:rsid w:val="00E45954"/>
    <w:pPr>
      <w:ind w:left="1415" w:hanging="283"/>
    </w:pPr>
  </w:style>
  <w:style w:type="paragraph" w:styleId="ListBullet">
    <w:name w:val="List Bullet"/>
    <w:basedOn w:val="Normal"/>
    <w:semiHidden/>
    <w:locked/>
    <w:rsid w:val="00E45954"/>
    <w:pPr>
      <w:numPr>
        <w:numId w:val="7"/>
      </w:numPr>
    </w:pPr>
  </w:style>
  <w:style w:type="paragraph" w:styleId="ListBullet2">
    <w:name w:val="List Bullet 2"/>
    <w:basedOn w:val="Normal"/>
    <w:semiHidden/>
    <w:locked/>
    <w:rsid w:val="00E45954"/>
    <w:pPr>
      <w:numPr>
        <w:numId w:val="8"/>
      </w:numPr>
    </w:pPr>
  </w:style>
  <w:style w:type="paragraph" w:styleId="ListBullet3">
    <w:name w:val="List Bullet 3"/>
    <w:basedOn w:val="Normal"/>
    <w:semiHidden/>
    <w:locked/>
    <w:rsid w:val="00E45954"/>
    <w:pPr>
      <w:numPr>
        <w:numId w:val="9"/>
      </w:numPr>
    </w:pPr>
  </w:style>
  <w:style w:type="paragraph" w:styleId="ListBullet4">
    <w:name w:val="List Bullet 4"/>
    <w:basedOn w:val="Normal"/>
    <w:semiHidden/>
    <w:locked/>
    <w:rsid w:val="00E45954"/>
    <w:pPr>
      <w:numPr>
        <w:numId w:val="10"/>
      </w:numPr>
    </w:pPr>
  </w:style>
  <w:style w:type="paragraph" w:styleId="ListBullet5">
    <w:name w:val="List Bullet 5"/>
    <w:basedOn w:val="Normal"/>
    <w:semiHidden/>
    <w:locked/>
    <w:rsid w:val="00E45954"/>
    <w:pPr>
      <w:numPr>
        <w:numId w:val="11"/>
      </w:numPr>
    </w:pPr>
  </w:style>
  <w:style w:type="paragraph" w:styleId="ListContinue">
    <w:name w:val="List Continue"/>
    <w:basedOn w:val="Normal"/>
    <w:semiHidden/>
    <w:locked/>
    <w:rsid w:val="00E45954"/>
    <w:pPr>
      <w:spacing w:after="120"/>
      <w:ind w:left="283"/>
    </w:pPr>
  </w:style>
  <w:style w:type="paragraph" w:styleId="ListContinue2">
    <w:name w:val="List Continue 2"/>
    <w:basedOn w:val="Normal"/>
    <w:semiHidden/>
    <w:locked/>
    <w:rsid w:val="00E45954"/>
    <w:pPr>
      <w:spacing w:after="120"/>
      <w:ind w:left="566"/>
    </w:pPr>
  </w:style>
  <w:style w:type="paragraph" w:styleId="ListContinue3">
    <w:name w:val="List Continue 3"/>
    <w:basedOn w:val="Normal"/>
    <w:semiHidden/>
    <w:locked/>
    <w:rsid w:val="00E45954"/>
    <w:pPr>
      <w:spacing w:after="120"/>
      <w:ind w:left="849"/>
    </w:pPr>
  </w:style>
  <w:style w:type="paragraph" w:styleId="ListContinue5">
    <w:name w:val="List Continue 5"/>
    <w:basedOn w:val="Normal"/>
    <w:semiHidden/>
    <w:locked/>
    <w:rsid w:val="00E45954"/>
    <w:pPr>
      <w:spacing w:after="120"/>
      <w:ind w:left="1415"/>
    </w:pPr>
  </w:style>
  <w:style w:type="paragraph" w:styleId="ListNumber">
    <w:name w:val="List Number"/>
    <w:basedOn w:val="Normal"/>
    <w:semiHidden/>
    <w:locked/>
    <w:rsid w:val="00E45954"/>
    <w:pPr>
      <w:numPr>
        <w:numId w:val="12"/>
      </w:numPr>
    </w:pPr>
  </w:style>
  <w:style w:type="paragraph" w:styleId="ListNumber2">
    <w:name w:val="List Number 2"/>
    <w:basedOn w:val="Normal"/>
    <w:semiHidden/>
    <w:locked/>
    <w:rsid w:val="00E45954"/>
    <w:pPr>
      <w:numPr>
        <w:numId w:val="15"/>
      </w:numPr>
    </w:pPr>
  </w:style>
  <w:style w:type="paragraph" w:styleId="ListNumber3">
    <w:name w:val="List Number 3"/>
    <w:basedOn w:val="Normal"/>
    <w:semiHidden/>
    <w:locked/>
    <w:rsid w:val="00E45954"/>
    <w:pPr>
      <w:numPr>
        <w:numId w:val="16"/>
      </w:numPr>
    </w:pPr>
  </w:style>
  <w:style w:type="paragraph" w:styleId="ListNumber4">
    <w:name w:val="List Number 4"/>
    <w:basedOn w:val="Normal"/>
    <w:semiHidden/>
    <w:locked/>
    <w:rsid w:val="00E45954"/>
    <w:pPr>
      <w:numPr>
        <w:numId w:val="13"/>
      </w:numPr>
    </w:pPr>
  </w:style>
  <w:style w:type="paragraph" w:styleId="ListNumber5">
    <w:name w:val="List Number 5"/>
    <w:basedOn w:val="Normal"/>
    <w:semiHidden/>
    <w:locked/>
    <w:rsid w:val="00E45954"/>
    <w:pPr>
      <w:numPr>
        <w:numId w:val="14"/>
      </w:numPr>
    </w:pPr>
  </w:style>
  <w:style w:type="paragraph" w:styleId="MessageHeader">
    <w:name w:val="Message Header"/>
    <w:basedOn w:val="Normal"/>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locked/>
    <w:rsid w:val="00E45954"/>
    <w:rPr>
      <w:rFonts w:ascii="Times New Roman" w:hAnsi="Times New Roman"/>
    </w:rPr>
  </w:style>
  <w:style w:type="paragraph" w:styleId="NormalIndent">
    <w:name w:val="Normal Indent"/>
    <w:basedOn w:val="Normal"/>
    <w:semiHidden/>
    <w:locked/>
    <w:rsid w:val="00E45954"/>
    <w:pPr>
      <w:ind w:left="720"/>
    </w:pPr>
  </w:style>
  <w:style w:type="paragraph" w:styleId="NoteHeading">
    <w:name w:val="Note Heading"/>
    <w:basedOn w:val="Normal"/>
    <w:next w:val="Normal"/>
    <w:semiHidden/>
    <w:locked/>
    <w:rsid w:val="00E45954"/>
  </w:style>
  <w:style w:type="character" w:styleId="PageNumber">
    <w:name w:val="page number"/>
    <w:basedOn w:val="DefaultParagraphFont"/>
    <w:semiHidden/>
    <w:locked/>
    <w:rsid w:val="00E45954"/>
  </w:style>
  <w:style w:type="paragraph" w:styleId="PlainText">
    <w:name w:val="Plain Text"/>
    <w:basedOn w:val="Normal"/>
    <w:semiHidden/>
    <w:locked/>
    <w:rsid w:val="00E45954"/>
    <w:rPr>
      <w:rFonts w:ascii="Courier New" w:hAnsi="Courier New" w:cs="Courier New"/>
      <w:sz w:val="20"/>
      <w:szCs w:val="20"/>
    </w:rPr>
  </w:style>
  <w:style w:type="paragraph" w:styleId="Salutation">
    <w:name w:val="Salutation"/>
    <w:basedOn w:val="Normal"/>
    <w:next w:val="Normal"/>
    <w:semiHidden/>
    <w:locked/>
    <w:rsid w:val="00E45954"/>
  </w:style>
  <w:style w:type="paragraph" w:styleId="Signature">
    <w:name w:val="Signature"/>
    <w:basedOn w:val="Normal"/>
    <w:semiHidden/>
    <w:locked/>
    <w:rsid w:val="00E45954"/>
    <w:pPr>
      <w:ind w:left="4252"/>
    </w:pPr>
  </w:style>
  <w:style w:type="paragraph" w:styleId="Subtitle">
    <w:name w:val="Subtitle"/>
    <w:basedOn w:val="Normal"/>
    <w:link w:val="SubtitleChar"/>
    <w:qFormat/>
    <w:locked/>
    <w:rsid w:val="00323C73"/>
    <w:pPr>
      <w:spacing w:before="40" w:after="0"/>
      <w:jc w:val="right"/>
      <w:outlineLvl w:val="1"/>
    </w:pPr>
    <w:rPr>
      <w:rFonts w:cs="Arial"/>
      <w:b/>
      <w:caps/>
      <w:sz w:val="26"/>
    </w:rPr>
  </w:style>
  <w:style w:type="table" w:styleId="Table3Deffects1">
    <w:name w:val="Table 3D effects 1"/>
    <w:basedOn w:val="TableNormal"/>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locked/>
    <w:rsid w:val="00E45954"/>
    <w:pPr>
      <w:spacing w:after="60"/>
      <w:jc w:val="center"/>
      <w:outlineLvl w:val="0"/>
    </w:pPr>
    <w:rPr>
      <w:rFonts w:cs="Arial"/>
      <w:b/>
      <w:bCs/>
      <w:kern w:val="28"/>
      <w:sz w:val="32"/>
      <w:szCs w:val="32"/>
    </w:rPr>
  </w:style>
  <w:style w:type="character" w:styleId="FollowedHyperlink">
    <w:name w:val="FollowedHyperlink"/>
    <w:semiHidden/>
    <w:locked/>
    <w:rsid w:val="00E45954"/>
    <w:rPr>
      <w:color w:val="800080"/>
      <w:u w:val="single"/>
    </w:rPr>
  </w:style>
  <w:style w:type="paragraph" w:customStyle="1" w:styleId="MainTitle">
    <w:name w:val="Main Title"/>
    <w:semiHidden/>
    <w:qFormat/>
    <w:rsid w:val="00FD01B5"/>
    <w:pPr>
      <w:spacing w:line="740" w:lineRule="exact"/>
      <w:contextualSpacing/>
      <w:jc w:val="right"/>
    </w:pPr>
    <w:rPr>
      <w:rFonts w:ascii="Arial" w:hAnsi="Arial"/>
      <w:bCs/>
      <w:color w:val="237BBC"/>
      <w:kern w:val="32"/>
      <w:sz w:val="56"/>
      <w:szCs w:val="32"/>
    </w:rPr>
  </w:style>
  <w:style w:type="paragraph" w:customStyle="1" w:styleId="HeaderFooter">
    <w:name w:val="Header &amp; Footer"/>
    <w:basedOn w:val="Normal"/>
    <w:semiHidden/>
    <w:rsid w:val="00591951"/>
    <w:pPr>
      <w:spacing w:line="200" w:lineRule="exact"/>
      <w:jc w:val="both"/>
    </w:pPr>
    <w:rPr>
      <w:rFonts w:eastAsia="Times New Roman" w:cs="ArialMT"/>
      <w:color w:val="000000"/>
      <w:sz w:val="16"/>
      <w:lang w:eastAsia="en-US"/>
    </w:rPr>
  </w:style>
  <w:style w:type="paragraph" w:customStyle="1" w:styleId="LogoType">
    <w:name w:val="Logo Type"/>
    <w:basedOn w:val="Header"/>
    <w:semiHidden/>
    <w:rsid w:val="00591951"/>
    <w:pPr>
      <w:pBdr>
        <w:bottom w:val="single" w:sz="4" w:space="4" w:color="auto"/>
      </w:pBdr>
      <w:tabs>
        <w:tab w:val="clear" w:pos="4513"/>
        <w:tab w:val="clear" w:pos="9026"/>
        <w:tab w:val="left" w:pos="4686"/>
        <w:tab w:val="left" w:pos="7088"/>
        <w:tab w:val="left" w:pos="7242"/>
      </w:tabs>
      <w:spacing w:before="0" w:line="320" w:lineRule="exact"/>
    </w:pPr>
    <w:rPr>
      <w:rFonts w:cs="ArialMT"/>
      <w:b/>
      <w:color w:val="808080"/>
      <w:spacing w:val="-20"/>
      <w:sz w:val="32"/>
      <w:lang w:eastAsia="en-US"/>
    </w:rPr>
  </w:style>
  <w:style w:type="paragraph" w:styleId="BalloonText">
    <w:name w:val="Balloon Text"/>
    <w:basedOn w:val="Normal"/>
    <w:link w:val="BalloonTextChar"/>
    <w:semiHidden/>
    <w:locked/>
    <w:rsid w:val="00A96892"/>
    <w:pPr>
      <w:spacing w:before="0" w:after="0"/>
    </w:pPr>
    <w:rPr>
      <w:rFonts w:ascii="Tahoma" w:hAnsi="Tahoma" w:cs="Tahoma"/>
      <w:sz w:val="16"/>
      <w:szCs w:val="16"/>
    </w:rPr>
  </w:style>
  <w:style w:type="character" w:customStyle="1" w:styleId="BalloonTextChar">
    <w:name w:val="Balloon Text Char"/>
    <w:link w:val="BalloonText"/>
    <w:rsid w:val="00A96892"/>
    <w:rPr>
      <w:rFonts w:ascii="Tahoma" w:eastAsia="MS Mincho" w:hAnsi="Tahoma" w:cs="Tahoma"/>
      <w:sz w:val="16"/>
      <w:szCs w:val="16"/>
    </w:rPr>
  </w:style>
  <w:style w:type="character" w:customStyle="1" w:styleId="CharChar">
    <w:name w:val="Char Char"/>
    <w:semiHidden/>
    <w:locked/>
    <w:rsid w:val="000A48AC"/>
    <w:rPr>
      <w:rFonts w:ascii="Arial" w:hAnsi="Arial" w:cs="Arial"/>
      <w:lang w:val="en-AU" w:eastAsia="en-AU" w:bidi="ar-SA"/>
    </w:rPr>
  </w:style>
  <w:style w:type="character" w:customStyle="1" w:styleId="EndnoteTextChar">
    <w:name w:val="Endnote Text Char"/>
    <w:semiHidden/>
    <w:locked/>
    <w:rsid w:val="00EB6A76"/>
    <w:rPr>
      <w:rFonts w:ascii="Arial" w:hAnsi="Arial"/>
      <w:lang w:bidi="ar-SA"/>
    </w:rPr>
  </w:style>
  <w:style w:type="character" w:customStyle="1" w:styleId="SubtitleChar">
    <w:name w:val="Subtitle Char"/>
    <w:link w:val="Subtitle"/>
    <w:rsid w:val="00323C73"/>
    <w:rPr>
      <w:rFonts w:ascii="Arial" w:eastAsia="MS Mincho" w:hAnsi="Arial" w:cs="Arial"/>
      <w:b/>
      <w:caps/>
      <w:sz w:val="26"/>
      <w:szCs w:val="24"/>
    </w:rPr>
  </w:style>
  <w:style w:type="paragraph" w:customStyle="1" w:styleId="SubmissionNormal">
    <w:name w:val="Submission Normal"/>
    <w:basedOn w:val="Normal"/>
    <w:link w:val="SubmissionNormalChar"/>
    <w:rsid w:val="00B34946"/>
    <w:pPr>
      <w:numPr>
        <w:numId w:val="36"/>
      </w:numPr>
      <w:tabs>
        <w:tab w:val="clear" w:pos="720"/>
      </w:tabs>
      <w:ind w:hanging="720"/>
    </w:pPr>
    <w:rPr>
      <w:rFonts w:eastAsia="Times New Roman"/>
    </w:rPr>
  </w:style>
  <w:style w:type="character" w:customStyle="1" w:styleId="SubmissionNormalChar">
    <w:name w:val="Submission Normal Char"/>
    <w:link w:val="SubmissionNormal"/>
    <w:rsid w:val="00B34946"/>
    <w:rPr>
      <w:rFonts w:ascii="Arial" w:hAnsi="Arial"/>
      <w:sz w:val="24"/>
      <w:szCs w:val="24"/>
    </w:rPr>
  </w:style>
  <w:style w:type="paragraph" w:customStyle="1" w:styleId="coveraddresses">
    <w:name w:val="cover addresses"/>
    <w:basedOn w:val="Footer"/>
    <w:qFormat/>
    <w:rsid w:val="00730BD2"/>
    <w:pPr>
      <w:spacing w:after="40"/>
    </w:pPr>
    <w:rPr>
      <w:szCs w:val="16"/>
    </w:rPr>
  </w:style>
  <w:style w:type="paragraph" w:customStyle="1" w:styleId="coveraddress">
    <w:name w:val="cover address"/>
    <w:basedOn w:val="coveraddresses"/>
    <w:qFormat/>
    <w:rsid w:val="00730BD2"/>
  </w:style>
  <w:style w:type="paragraph" w:styleId="ListParagraph">
    <w:name w:val="List Paragraph"/>
    <w:basedOn w:val="Normal"/>
    <w:uiPriority w:val="34"/>
    <w:qFormat/>
    <w:rsid w:val="00274D4A"/>
    <w:pPr>
      <w:ind w:left="720"/>
      <w:contextualSpacing/>
    </w:pPr>
  </w:style>
  <w:style w:type="paragraph" w:styleId="Caption">
    <w:name w:val="caption"/>
    <w:basedOn w:val="Normal"/>
    <w:next w:val="Normal"/>
    <w:semiHidden/>
    <w:unhideWhenUsed/>
    <w:qFormat/>
    <w:locked/>
    <w:rsid w:val="001A3BE1"/>
    <w:pPr>
      <w:spacing w:before="0"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5407942">
      <w:bodyDiv w:val="1"/>
      <w:marLeft w:val="0"/>
      <w:marRight w:val="0"/>
      <w:marTop w:val="0"/>
      <w:marBottom w:val="0"/>
      <w:divBdr>
        <w:top w:val="none" w:sz="0" w:space="0" w:color="auto"/>
        <w:left w:val="none" w:sz="0" w:space="0" w:color="auto"/>
        <w:bottom w:val="none" w:sz="0" w:space="0" w:color="auto"/>
        <w:right w:val="none" w:sz="0" w:space="0" w:color="auto"/>
      </w:divBdr>
    </w:div>
    <w:div w:id="384647632">
      <w:bodyDiv w:val="1"/>
      <w:marLeft w:val="0"/>
      <w:marRight w:val="0"/>
      <w:marTop w:val="0"/>
      <w:marBottom w:val="0"/>
      <w:divBdr>
        <w:top w:val="none" w:sz="0" w:space="0" w:color="auto"/>
        <w:left w:val="none" w:sz="0" w:space="0" w:color="auto"/>
        <w:bottom w:val="none" w:sz="0" w:space="0" w:color="auto"/>
        <w:right w:val="none" w:sz="0" w:space="0" w:color="auto"/>
      </w:divBdr>
    </w:div>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930895900">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 w:id="1094935705">
      <w:bodyDiv w:val="1"/>
      <w:marLeft w:val="0"/>
      <w:marRight w:val="0"/>
      <w:marTop w:val="0"/>
      <w:marBottom w:val="0"/>
      <w:divBdr>
        <w:top w:val="none" w:sz="0" w:space="0" w:color="auto"/>
        <w:left w:val="none" w:sz="0" w:space="0" w:color="auto"/>
        <w:bottom w:val="none" w:sz="0" w:space="0" w:color="auto"/>
        <w:right w:val="none" w:sz="0" w:space="0" w:color="auto"/>
      </w:divBdr>
    </w:div>
    <w:div w:id="1432699783">
      <w:bodyDiv w:val="1"/>
      <w:marLeft w:val="0"/>
      <w:marRight w:val="0"/>
      <w:marTop w:val="0"/>
      <w:marBottom w:val="0"/>
      <w:divBdr>
        <w:top w:val="none" w:sz="0" w:space="0" w:color="auto"/>
        <w:left w:val="none" w:sz="0" w:space="0" w:color="auto"/>
        <w:bottom w:val="none" w:sz="0" w:space="0" w:color="auto"/>
        <w:right w:val="none" w:sz="0" w:space="0" w:color="auto"/>
      </w:divBdr>
    </w:div>
    <w:div w:id="1627543904">
      <w:bodyDiv w:val="1"/>
      <w:marLeft w:val="0"/>
      <w:marRight w:val="0"/>
      <w:marTop w:val="0"/>
      <w:marBottom w:val="0"/>
      <w:divBdr>
        <w:top w:val="none" w:sz="0" w:space="0" w:color="auto"/>
        <w:left w:val="none" w:sz="0" w:space="0" w:color="auto"/>
        <w:bottom w:val="none" w:sz="0" w:space="0" w:color="auto"/>
        <w:right w:val="none" w:sz="0" w:space="0" w:color="auto"/>
      </w:divBdr>
    </w:div>
    <w:div w:id="1878352602">
      <w:bodyDiv w:val="1"/>
      <w:marLeft w:val="0"/>
      <w:marRight w:val="0"/>
      <w:marTop w:val="0"/>
      <w:marBottom w:val="0"/>
      <w:divBdr>
        <w:top w:val="none" w:sz="0" w:space="0" w:color="auto"/>
        <w:left w:val="none" w:sz="0" w:space="0" w:color="auto"/>
        <w:bottom w:val="none" w:sz="0" w:space="0" w:color="auto"/>
        <w:right w:val="none" w:sz="0" w:space="0" w:color="auto"/>
      </w:divBdr>
    </w:div>
    <w:div w:id="1945647947">
      <w:bodyDiv w:val="1"/>
      <w:marLeft w:val="0"/>
      <w:marRight w:val="0"/>
      <w:marTop w:val="0"/>
      <w:marBottom w:val="0"/>
      <w:divBdr>
        <w:top w:val="none" w:sz="0" w:space="0" w:color="auto"/>
        <w:left w:val="none" w:sz="0" w:space="0" w:color="auto"/>
        <w:bottom w:val="none" w:sz="0" w:space="0" w:color="auto"/>
        <w:right w:val="none" w:sz="0" w:space="0" w:color="auto"/>
      </w:divBdr>
    </w:div>
    <w:div w:id="1960261489">
      <w:bodyDiv w:val="1"/>
      <w:marLeft w:val="0"/>
      <w:marRight w:val="0"/>
      <w:marTop w:val="0"/>
      <w:marBottom w:val="0"/>
      <w:divBdr>
        <w:top w:val="none" w:sz="0" w:space="0" w:color="auto"/>
        <w:left w:val="none" w:sz="0" w:space="0" w:color="auto"/>
        <w:bottom w:val="none" w:sz="0" w:space="0" w:color="auto"/>
        <w:right w:val="none" w:sz="0" w:space="0" w:color="auto"/>
      </w:divBdr>
    </w:div>
    <w:div w:id="2031183363">
      <w:bodyDiv w:val="1"/>
      <w:marLeft w:val="0"/>
      <w:marRight w:val="0"/>
      <w:marTop w:val="0"/>
      <w:marBottom w:val="0"/>
      <w:divBdr>
        <w:top w:val="none" w:sz="0" w:space="0" w:color="auto"/>
        <w:left w:val="none" w:sz="0" w:space="0" w:color="auto"/>
        <w:bottom w:val="none" w:sz="0" w:space="0" w:color="auto"/>
        <w:right w:val="none" w:sz="0" w:space="0" w:color="auto"/>
      </w:divBdr>
    </w:div>
    <w:div w:id="205877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3.xml"/></Relationships>
</file>

<file path=word/_rels/endnotes.xml.rels><?xml version="1.0" encoding="UTF-8" standalone="yes"?>
<Relationships xmlns="http://schemas.openxmlformats.org/package/2006/relationships"><Relationship Id="rId8" Type="http://schemas.openxmlformats.org/officeDocument/2006/relationships/hyperlink" Target="http://www.refworld.org/docid/3ae6b71a0.html" TargetMode="External"/><Relationship Id="rId13" Type="http://schemas.openxmlformats.org/officeDocument/2006/relationships/hyperlink" Target="http://www.border.gov.au/ReportsandPublications/Documents/statistics/immigration-detention-statistics-31-august-2017.pdf" TargetMode="External"/><Relationship Id="rId18" Type="http://schemas.openxmlformats.org/officeDocument/2006/relationships/hyperlink" Target="http://www.border.gov.au/ReportsandPublications/Documents/statistics/immigration-detention-statistics-31-august-2017.pdf" TargetMode="External"/><Relationship Id="rId26" Type="http://schemas.openxmlformats.org/officeDocument/2006/relationships/hyperlink" Target="https://www.humanrights.gov.au/our-work/asylum-seekers-and-refugees/publications/inspection-melbourne-immigration-transit" TargetMode="External"/><Relationship Id="rId3" Type="http://schemas.openxmlformats.org/officeDocument/2006/relationships/hyperlink" Target="https://www.humanrights.gov.au/our-work/asylum-seekers-and-refugees/projects/last-resort-report-national-inquiry-children" TargetMode="External"/><Relationship Id="rId21" Type="http://schemas.openxmlformats.org/officeDocument/2006/relationships/hyperlink" Target="http://www.border.gov.au/about/reports-publications/research-statistics/statistics/key-cancellation-statistics" TargetMode="External"/><Relationship Id="rId7" Type="http://schemas.openxmlformats.org/officeDocument/2006/relationships/hyperlink" Target="http://www.refworld.org/docid/525414304.html" TargetMode="External"/><Relationship Id="rId12" Type="http://schemas.openxmlformats.org/officeDocument/2006/relationships/hyperlink" Target="http://www.border.gov.au/ReportsandPublications/Documents/statistics/immigration-detention-statistics-feb2015.pdf" TargetMode="External"/><Relationship Id="rId17" Type="http://schemas.openxmlformats.org/officeDocument/2006/relationships/hyperlink" Target="http://www.border.gov.au/ReportsandPublications/Documents/statistics/immigration-detention-statistics-july2013.pdf" TargetMode="External"/><Relationship Id="rId25" Type="http://schemas.openxmlformats.org/officeDocument/2006/relationships/hyperlink" Target="https://www.humanrights.gov.au/our-work/asylum-seekers-and-refugees/publications/inspection-maribyrnong-immigration-detention" TargetMode="External"/><Relationship Id="rId2" Type="http://schemas.openxmlformats.org/officeDocument/2006/relationships/hyperlink" Target="https://www.humanrights.gov.au/our-work/asylum-seekers-and-refugees/publications/those-whove-come-across-seas-detention" TargetMode="External"/><Relationship Id="rId16" Type="http://schemas.openxmlformats.org/officeDocument/2006/relationships/hyperlink" Target="http://www.border.gov.au/ReportsandPublications/Documents/statistics/immigration-detention-statistics-31-august-2017.pdf" TargetMode="External"/><Relationship Id="rId20" Type="http://schemas.openxmlformats.org/officeDocument/2006/relationships/hyperlink" Target="http://www.border.gov.au/about/reports-publications/research-statistics/statistics/live-in-australia/immigration-detention" TargetMode="External"/><Relationship Id="rId29" Type="http://schemas.openxmlformats.org/officeDocument/2006/relationships/hyperlink" Target="http://newsroom.border.gov.au/releases/new-measures-to-combat-illegal-activity-within-immigration-detention-facilities" TargetMode="External"/><Relationship Id="rId1" Type="http://schemas.openxmlformats.org/officeDocument/2006/relationships/hyperlink" Target="https://www.humanrights.gov.au/our-work/asylum-seekers-and-refugees/immigration-detention-reports-and-photos" TargetMode="External"/><Relationship Id="rId6" Type="http://schemas.openxmlformats.org/officeDocument/2006/relationships/hyperlink" Target="https://www.humanrights.gov.au/our-work/asylum-seekers-and-refugees/publications/human-rights-standards-immigration-detention" TargetMode="External"/><Relationship Id="rId11" Type="http://schemas.openxmlformats.org/officeDocument/2006/relationships/hyperlink" Target="http://www.border.gov.au/ReportsandPublications/Documents/statistics/immigration-detention-statistics-july2013.pdf" TargetMode="External"/><Relationship Id="rId24" Type="http://schemas.openxmlformats.org/officeDocument/2006/relationships/hyperlink" Target="https://www.homeaffairs.gov.au/News/Pages/machinery-government-changes.aspx" TargetMode="External"/><Relationship Id="rId32" Type="http://schemas.openxmlformats.org/officeDocument/2006/relationships/hyperlink" Target="https://www.humanrights.gov.au/our-work/asylum-seekers-and-refugees/publications/inspection-melbourne-immigration-transit" TargetMode="External"/><Relationship Id="rId5" Type="http://schemas.openxmlformats.org/officeDocument/2006/relationships/hyperlink" Target="https://www.humanrights.gov.au/our-work/asylum-seekers-and-refugees/publications/asylum-seekers-refugees-and-human-rights-snapsho-0" TargetMode="External"/><Relationship Id="rId15" Type="http://schemas.openxmlformats.org/officeDocument/2006/relationships/hyperlink" Target="http://www.border.gov.au/ReportsandPublications/Documents/statistics/immigration-detention-statistics-31-jan-2017.pdf" TargetMode="External"/><Relationship Id="rId23" Type="http://schemas.openxmlformats.org/officeDocument/2006/relationships/hyperlink" Target="http://www.border.gov.au/ReportsandPublications/Documents/statistics/immigration-detention-statistics-31-august-2017.pdf" TargetMode="External"/><Relationship Id="rId28" Type="http://schemas.openxmlformats.org/officeDocument/2006/relationships/hyperlink" Target="http://www.border.gov.au/ReportsandPublications/Documents/research/IMA-experiences-IDF.pdf" TargetMode="External"/><Relationship Id="rId10" Type="http://schemas.openxmlformats.org/officeDocument/2006/relationships/hyperlink" Target="http://www.border.gov.au/ReportsandPublications/Documents/statistics/immigration-detention-statistics-feb2015.pdf" TargetMode="External"/><Relationship Id="rId19" Type="http://schemas.openxmlformats.org/officeDocument/2006/relationships/hyperlink" Target="http://www.border.gov.au/ReportsandPublications/Documents/statistics/immigration-detention-statistics-july2013.pdf" TargetMode="External"/><Relationship Id="rId31" Type="http://schemas.openxmlformats.org/officeDocument/2006/relationships/hyperlink" Target="https://www.humanrights.gov.au/our-work/asylum-seekers-and-refugees/publications/inspection-maribyrnong-immigration-detention" TargetMode="External"/><Relationship Id="rId4" Type="http://schemas.openxmlformats.org/officeDocument/2006/relationships/hyperlink" Target="https://www.humanrights.gov.au/our-work/asylum-seekers-and-refugees/projects/national-inquiry-children-immigration-detention-index" TargetMode="External"/><Relationship Id="rId9" Type="http://schemas.openxmlformats.org/officeDocument/2006/relationships/hyperlink" Target="http://www.border.gov.au/ReportsandPublications/Documents/statistics/immigration-detention-statistics-july2013.pdf" TargetMode="External"/><Relationship Id="rId14" Type="http://schemas.openxmlformats.org/officeDocument/2006/relationships/hyperlink" Target="http://www.border.gov.au/ReportsandPublications/Documents/statistics/immigration-detention-statistics-july2013.pdf" TargetMode="External"/><Relationship Id="rId22" Type="http://schemas.openxmlformats.org/officeDocument/2006/relationships/hyperlink" Target="http://www.border.gov.au/ReportsandPublications/Documents/annual-reports/complete-annual-report-2016-17.pdf" TargetMode="External"/><Relationship Id="rId27" Type="http://schemas.openxmlformats.org/officeDocument/2006/relationships/hyperlink" Target="https://www.humanrights.gov.au/our-work/asylum-seekers-and-refugees/publications/inspection-villawood-immigration-detention-centre" TargetMode="External"/><Relationship Id="rId30" Type="http://schemas.openxmlformats.org/officeDocument/2006/relationships/hyperlink" Target="https://www.humanrights.gov.au/our-work/asylum-seekers-and-refugees/publications/asylum-seekers-refugees-and-human-rights-snapsho-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0C6220-3AA7-439C-A88D-83E06EB4C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1511</TotalTime>
  <Pages>35</Pages>
  <Words>8817</Words>
  <Characters>52262</Characters>
  <Application>Microsoft Office Word</Application>
  <DocSecurity>0</DocSecurity>
  <Lines>435</Lines>
  <Paragraphs>121</Paragraphs>
  <ScaleCrop>false</ScaleCrop>
  <HeadingPairs>
    <vt:vector size="2" baseType="variant">
      <vt:variant>
        <vt:lpstr>Title</vt:lpstr>
      </vt:variant>
      <vt:variant>
        <vt:i4>1</vt:i4>
      </vt:variant>
    </vt:vector>
  </HeadingPairs>
  <TitlesOfParts>
    <vt:vector size="1" baseType="lpstr">
      <vt:lpstr>Year</vt:lpstr>
    </vt:vector>
  </TitlesOfParts>
  <Company>Human Rights and Equal Opportunity Commission</Company>
  <LinksUpToDate>false</LinksUpToDate>
  <CharactersWithSpaces>60958</CharactersWithSpaces>
  <SharedDoc>false</SharedDoc>
  <HLinks>
    <vt:vector size="36" baseType="variant">
      <vt:variant>
        <vt:i4>1572920</vt:i4>
      </vt:variant>
      <vt:variant>
        <vt:i4>32</vt:i4>
      </vt:variant>
      <vt:variant>
        <vt:i4>0</vt:i4>
      </vt:variant>
      <vt:variant>
        <vt:i4>5</vt:i4>
      </vt:variant>
      <vt:variant>
        <vt:lpwstr/>
      </vt:variant>
      <vt:variant>
        <vt:lpwstr>_Toc209941772</vt:lpwstr>
      </vt:variant>
      <vt:variant>
        <vt:i4>1572920</vt:i4>
      </vt:variant>
      <vt:variant>
        <vt:i4>26</vt:i4>
      </vt:variant>
      <vt:variant>
        <vt:i4>0</vt:i4>
      </vt:variant>
      <vt:variant>
        <vt:i4>5</vt:i4>
      </vt:variant>
      <vt:variant>
        <vt:lpwstr/>
      </vt:variant>
      <vt:variant>
        <vt:lpwstr>_Toc209941771</vt:lpwstr>
      </vt:variant>
      <vt:variant>
        <vt:i4>1572920</vt:i4>
      </vt:variant>
      <vt:variant>
        <vt:i4>20</vt:i4>
      </vt:variant>
      <vt:variant>
        <vt:i4>0</vt:i4>
      </vt:variant>
      <vt:variant>
        <vt:i4>5</vt:i4>
      </vt:variant>
      <vt:variant>
        <vt:lpwstr/>
      </vt:variant>
      <vt:variant>
        <vt:lpwstr>_Toc209941771</vt:lpwstr>
      </vt:variant>
      <vt:variant>
        <vt:i4>1572920</vt:i4>
      </vt:variant>
      <vt:variant>
        <vt:i4>14</vt:i4>
      </vt:variant>
      <vt:variant>
        <vt:i4>0</vt:i4>
      </vt:variant>
      <vt:variant>
        <vt:i4>5</vt:i4>
      </vt:variant>
      <vt:variant>
        <vt:lpwstr/>
      </vt:variant>
      <vt:variant>
        <vt:lpwstr>_Toc209941770</vt:lpwstr>
      </vt:variant>
      <vt:variant>
        <vt:i4>1638456</vt:i4>
      </vt:variant>
      <vt:variant>
        <vt:i4>8</vt:i4>
      </vt:variant>
      <vt:variant>
        <vt:i4>0</vt:i4>
      </vt:variant>
      <vt:variant>
        <vt:i4>5</vt:i4>
      </vt:variant>
      <vt:variant>
        <vt:lpwstr/>
      </vt:variant>
      <vt:variant>
        <vt:lpwstr>_Toc209941769</vt:lpwstr>
      </vt:variant>
      <vt:variant>
        <vt:i4>1638456</vt:i4>
      </vt:variant>
      <vt:variant>
        <vt:i4>2</vt:i4>
      </vt:variant>
      <vt:variant>
        <vt:i4>0</vt:i4>
      </vt:variant>
      <vt:variant>
        <vt:i4>5</vt:i4>
      </vt:variant>
      <vt:variant>
        <vt:lpwstr/>
      </vt:variant>
      <vt:variant>
        <vt:lpwstr>_Toc209941766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dc:title>
  <dc:subject/>
  <dc:creator>Lucy Morgan</dc:creator>
  <cp:keywords/>
  <cp:lastModifiedBy>Lucy Morgan</cp:lastModifiedBy>
  <cp:revision>890</cp:revision>
  <cp:lastPrinted>2017-06-14T07:09:00Z</cp:lastPrinted>
  <dcterms:created xsi:type="dcterms:W3CDTF">2017-06-07T05:40:00Z</dcterms:created>
  <dcterms:modified xsi:type="dcterms:W3CDTF">2018-07-19T04:48:00Z</dcterms:modified>
</cp:coreProperties>
</file>