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028BC" w14:textId="024E5E18" w:rsidR="00C76584" w:rsidRDefault="00035CE4">
      <w:pPr>
        <w:rPr>
          <w:rFonts w:cs="Open Sans"/>
          <w:szCs w:val="24"/>
        </w:rPr>
      </w:pPr>
      <w:r>
        <w:rPr>
          <w:rFonts w:cs="Open Sans"/>
          <w:noProof/>
          <w:szCs w:val="24"/>
        </w:rPr>
        <w:drawing>
          <wp:anchor distT="0" distB="0" distL="114300" distR="114300" simplePos="0" relativeHeight="251658240" behindDoc="1" locked="0" layoutInCell="1" allowOverlap="1" wp14:anchorId="137C7B7D" wp14:editId="68A9DE93">
            <wp:simplePos x="0" y="0"/>
            <wp:positionH relativeFrom="column">
              <wp:posOffset>-882323</wp:posOffset>
            </wp:positionH>
            <wp:positionV relativeFrom="paragraph">
              <wp:posOffset>-720090</wp:posOffset>
            </wp:positionV>
            <wp:extent cx="7532087" cy="10700272"/>
            <wp:effectExtent l="0" t="0" r="0" b="635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 AusHRC 127_Cov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4567" cy="10774827"/>
                    </a:xfrm>
                    <a:prstGeom prst="rect">
                      <a:avLst/>
                    </a:prstGeom>
                  </pic:spPr>
                </pic:pic>
              </a:graphicData>
            </a:graphic>
            <wp14:sizeRelH relativeFrom="margin">
              <wp14:pctWidth>0</wp14:pctWidth>
            </wp14:sizeRelH>
            <wp14:sizeRelV relativeFrom="margin">
              <wp14:pctHeight>0</wp14:pctHeight>
            </wp14:sizeRelV>
          </wp:anchor>
        </w:drawing>
      </w:r>
      <w:r w:rsidR="00C76584">
        <w:rPr>
          <w:rFonts w:cs="Open Sans"/>
          <w:szCs w:val="24"/>
        </w:rPr>
        <w:br w:type="page"/>
      </w:r>
    </w:p>
    <w:p w14:paraId="01877843" w14:textId="77777777" w:rsidR="00DA6773" w:rsidRDefault="00DA6773" w:rsidP="00F35A7A">
      <w:pPr>
        <w:rPr>
          <w:rFonts w:cs="Open Sans"/>
          <w:szCs w:val="24"/>
        </w:rPr>
      </w:pPr>
    </w:p>
    <w:p w14:paraId="451D4C26" w14:textId="77777777" w:rsidR="00ED149D" w:rsidRDefault="00ED149D" w:rsidP="00F35A7A">
      <w:pPr>
        <w:rPr>
          <w:rFonts w:cs="Open Sans"/>
          <w:szCs w:val="24"/>
        </w:rPr>
      </w:pPr>
    </w:p>
    <w:p w14:paraId="0FFF3549" w14:textId="77777777" w:rsidR="00ED149D" w:rsidRDefault="00ED149D" w:rsidP="00F35A7A">
      <w:pPr>
        <w:rPr>
          <w:rFonts w:cs="Open Sans"/>
          <w:szCs w:val="24"/>
        </w:rPr>
      </w:pPr>
    </w:p>
    <w:p w14:paraId="4CABEA8A" w14:textId="69D6D7E7" w:rsidR="00ED149D" w:rsidRPr="00DB545C" w:rsidRDefault="00ED149D" w:rsidP="00ED149D">
      <w:pPr>
        <w:pStyle w:val="CopyrightText"/>
        <w:spacing w:after="113"/>
        <w:rPr>
          <w:rFonts w:ascii="Open Sans" w:hAnsi="Open Sans" w:cs="Open Sans"/>
          <w:sz w:val="20"/>
          <w:szCs w:val="20"/>
        </w:rPr>
      </w:pPr>
      <w:r w:rsidRPr="00DB545C">
        <w:rPr>
          <w:rFonts w:ascii="Open Sans" w:hAnsi="Open Sans" w:cs="Open Sans"/>
          <w:sz w:val="20"/>
          <w:szCs w:val="20"/>
        </w:rPr>
        <w:t>© Australian Human Rights Commission 201</w:t>
      </w:r>
      <w:r w:rsidR="00DD527E">
        <w:rPr>
          <w:rFonts w:ascii="Open Sans" w:hAnsi="Open Sans" w:cs="Open Sans"/>
          <w:sz w:val="20"/>
          <w:szCs w:val="20"/>
        </w:rPr>
        <w:t>8</w:t>
      </w:r>
      <w:r w:rsidRPr="00DB545C">
        <w:rPr>
          <w:rFonts w:ascii="Open Sans" w:hAnsi="Open Sans" w:cs="Open Sans"/>
          <w:sz w:val="20"/>
          <w:szCs w:val="20"/>
        </w:rPr>
        <w:t>.</w:t>
      </w:r>
    </w:p>
    <w:p w14:paraId="7A5192BC" w14:textId="77777777" w:rsidR="00ED149D" w:rsidRPr="00DB545C" w:rsidRDefault="00ED149D" w:rsidP="00ED149D">
      <w:pPr>
        <w:pStyle w:val="CopyrightText"/>
        <w:spacing w:after="240"/>
        <w:rPr>
          <w:rFonts w:ascii="Open Sans" w:hAnsi="Open Sans" w:cs="Open Sans"/>
          <w:sz w:val="20"/>
          <w:szCs w:val="20"/>
        </w:rPr>
      </w:pPr>
      <w:r w:rsidRPr="00DB545C">
        <w:rPr>
          <w:rFonts w:ascii="Open Sans" w:hAnsi="Open Sans" w:cs="Open Sans"/>
          <w:sz w:val="20"/>
          <w:szCs w:val="20"/>
        </w:rPr>
        <w:t xml:space="preserve">The Australian Human Rights Commission encourages the dissemination and exchange of information presented in this publication and endorses the use of the </w:t>
      </w:r>
      <w:r w:rsidRPr="00DB545C">
        <w:rPr>
          <w:rFonts w:ascii="Open Sans" w:hAnsi="Open Sans" w:cs="Open Sans"/>
          <w:b/>
          <w:bCs/>
          <w:sz w:val="20"/>
          <w:szCs w:val="20"/>
        </w:rPr>
        <w:t>Australian Governments Open Access and Licensing Framework</w:t>
      </w:r>
      <w:r w:rsidRPr="00DB545C">
        <w:rPr>
          <w:rFonts w:ascii="Open Sans" w:hAnsi="Open Sans" w:cs="Open Sans"/>
          <w:sz w:val="20"/>
          <w:szCs w:val="20"/>
        </w:rPr>
        <w:t xml:space="preserve"> (</w:t>
      </w:r>
      <w:proofErr w:type="spellStart"/>
      <w:r w:rsidRPr="00DB545C">
        <w:rPr>
          <w:rFonts w:ascii="Open Sans" w:hAnsi="Open Sans" w:cs="Open Sans"/>
          <w:sz w:val="20"/>
          <w:szCs w:val="20"/>
        </w:rPr>
        <w:t>AusGOAL</w:t>
      </w:r>
      <w:proofErr w:type="spellEnd"/>
      <w:r w:rsidRPr="00DB545C">
        <w:rPr>
          <w:rFonts w:ascii="Open Sans" w:hAnsi="Open Sans" w:cs="Open Sans"/>
          <w:sz w:val="20"/>
          <w:szCs w:val="20"/>
        </w:rPr>
        <w:t>).</w:t>
      </w:r>
    </w:p>
    <w:p w14:paraId="26773800" w14:textId="77777777" w:rsidR="00ED149D" w:rsidRPr="00DB545C" w:rsidRDefault="00ED149D" w:rsidP="00ED149D">
      <w:pPr>
        <w:pStyle w:val="CopyrightText"/>
        <w:spacing w:after="200"/>
        <w:rPr>
          <w:rFonts w:ascii="Open Sans" w:hAnsi="Open Sans" w:cs="Open Sans"/>
          <w:sz w:val="20"/>
          <w:szCs w:val="20"/>
        </w:rPr>
      </w:pPr>
      <w:r w:rsidRPr="00DB545C">
        <w:rPr>
          <w:rFonts w:ascii="Open Sans" w:hAnsi="Open Sans" w:cs="Open Sans"/>
          <w:noProof/>
          <w:sz w:val="20"/>
          <w:szCs w:val="20"/>
        </w:rPr>
        <w:drawing>
          <wp:inline distT="0" distB="0" distL="0" distR="0" wp14:anchorId="787F7597" wp14:editId="4CCF2834">
            <wp:extent cx="1046674" cy="336431"/>
            <wp:effectExtent l="0" t="0" r="0" b="0"/>
            <wp:docPr id="4" name="Immagine 4" descr="Creative Commons CCBY logo." title="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95036" cy="351976"/>
                    </a:xfrm>
                    <a:prstGeom prst="rect">
                      <a:avLst/>
                    </a:prstGeom>
                  </pic:spPr>
                </pic:pic>
              </a:graphicData>
            </a:graphic>
          </wp:inline>
        </w:drawing>
      </w:r>
    </w:p>
    <w:p w14:paraId="46AC1BA9" w14:textId="77777777" w:rsidR="00ED149D" w:rsidRPr="00DB545C" w:rsidRDefault="00ED149D" w:rsidP="00ED149D">
      <w:pPr>
        <w:pStyle w:val="CopyrightText"/>
        <w:spacing w:after="113"/>
        <w:rPr>
          <w:rFonts w:ascii="Open Sans" w:hAnsi="Open Sans" w:cs="Open Sans"/>
          <w:sz w:val="20"/>
          <w:szCs w:val="20"/>
        </w:rPr>
      </w:pPr>
      <w:r w:rsidRPr="00DB545C">
        <w:rPr>
          <w:rFonts w:ascii="Open Sans" w:hAnsi="Open Sans" w:cs="Open Sans"/>
          <w:sz w:val="20"/>
          <w:szCs w:val="20"/>
        </w:rPr>
        <w:t xml:space="preserve">All material presented in this publication is licensed under the </w:t>
      </w:r>
      <w:hyperlink r:id="rId16" w:history="1">
        <w:r w:rsidRPr="00B15565">
          <w:rPr>
            <w:rStyle w:val="Hyperlink"/>
            <w:rFonts w:ascii="Open Sans" w:hAnsi="Open Sans" w:cs="Open Sans"/>
            <w:sz w:val="20"/>
            <w:szCs w:val="20"/>
          </w:rPr>
          <w:t>Creative Commons Attribution 4.0 International Licence</w:t>
        </w:r>
      </w:hyperlink>
      <w:r w:rsidRPr="00DB545C">
        <w:rPr>
          <w:rFonts w:ascii="Open Sans" w:hAnsi="Open Sans" w:cs="Open Sans"/>
          <w:sz w:val="20"/>
          <w:szCs w:val="20"/>
        </w:rPr>
        <w:t>, with the exception of:</w:t>
      </w:r>
    </w:p>
    <w:p w14:paraId="53ADFD0F" w14:textId="77777777" w:rsidR="00ED149D" w:rsidRPr="00DB545C" w:rsidRDefault="00ED149D" w:rsidP="00ED149D">
      <w:pPr>
        <w:pStyle w:val="CopyrightText"/>
        <w:spacing w:after="0"/>
        <w:ind w:left="283" w:hanging="113"/>
        <w:rPr>
          <w:rFonts w:ascii="Open Sans" w:hAnsi="Open Sans" w:cs="Open Sans"/>
          <w:sz w:val="20"/>
          <w:szCs w:val="20"/>
        </w:rPr>
      </w:pPr>
      <w:r w:rsidRPr="00DB545C">
        <w:rPr>
          <w:rFonts w:ascii="Open Sans" w:hAnsi="Open Sans" w:cs="Open Sans"/>
          <w:sz w:val="20"/>
          <w:szCs w:val="20"/>
        </w:rPr>
        <w:t>•</w:t>
      </w:r>
      <w:r w:rsidRPr="00DB545C">
        <w:rPr>
          <w:rFonts w:ascii="Open Sans" w:hAnsi="Open Sans" w:cs="Open Sans"/>
          <w:sz w:val="20"/>
          <w:szCs w:val="20"/>
        </w:rPr>
        <w:tab/>
        <w:t>the Commission’s logo, any branding or trademarks; and</w:t>
      </w:r>
    </w:p>
    <w:p w14:paraId="54D1FA0C" w14:textId="77777777" w:rsidR="00ED149D" w:rsidRPr="00DB545C" w:rsidRDefault="00ED149D" w:rsidP="00ED149D">
      <w:pPr>
        <w:pStyle w:val="CopyrightText"/>
        <w:spacing w:after="113"/>
        <w:ind w:left="283" w:hanging="113"/>
        <w:rPr>
          <w:rFonts w:ascii="Open Sans" w:hAnsi="Open Sans" w:cs="Open Sans"/>
          <w:sz w:val="20"/>
          <w:szCs w:val="20"/>
        </w:rPr>
      </w:pPr>
      <w:r w:rsidRPr="00DB545C">
        <w:rPr>
          <w:rFonts w:ascii="Open Sans" w:hAnsi="Open Sans" w:cs="Open Sans"/>
          <w:sz w:val="20"/>
          <w:szCs w:val="20"/>
        </w:rPr>
        <w:t>•</w:t>
      </w:r>
      <w:r w:rsidRPr="00DB545C">
        <w:rPr>
          <w:rFonts w:ascii="Open Sans" w:hAnsi="Open Sans" w:cs="Open Sans"/>
          <w:sz w:val="20"/>
          <w:szCs w:val="20"/>
        </w:rPr>
        <w:tab/>
        <w:t>where otherwise indicated.</w:t>
      </w:r>
    </w:p>
    <w:p w14:paraId="167270C9" w14:textId="77777777" w:rsidR="00ED149D" w:rsidRPr="00DB545C" w:rsidRDefault="00ED149D" w:rsidP="00ED149D">
      <w:pPr>
        <w:pStyle w:val="CopyrightText"/>
        <w:spacing w:after="113"/>
        <w:rPr>
          <w:rFonts w:ascii="Open Sans" w:hAnsi="Open Sans" w:cs="Open Sans"/>
          <w:sz w:val="20"/>
          <w:szCs w:val="20"/>
        </w:rPr>
      </w:pPr>
      <w:r w:rsidRPr="00DB545C">
        <w:rPr>
          <w:rFonts w:ascii="Open Sans" w:hAnsi="Open Sans" w:cs="Open Sans"/>
          <w:sz w:val="20"/>
          <w:szCs w:val="20"/>
        </w:rPr>
        <w:t xml:space="preserve">To view a copy of this licence, visit </w:t>
      </w:r>
      <w:hyperlink r:id="rId17" w:history="1">
        <w:r w:rsidRPr="00DB545C">
          <w:rPr>
            <w:rStyle w:val="Hyperlink"/>
            <w:rFonts w:ascii="Open Sans" w:hAnsi="Open Sans" w:cs="Open Sans"/>
            <w:sz w:val="20"/>
            <w:szCs w:val="20"/>
          </w:rPr>
          <w:t>http://creativecommons.org/licenses/by/4.0/legalcode</w:t>
        </w:r>
      </w:hyperlink>
      <w:r w:rsidRPr="00DB545C">
        <w:rPr>
          <w:rFonts w:ascii="Open Sans" w:hAnsi="Open Sans" w:cs="Open Sans"/>
          <w:sz w:val="20"/>
          <w:szCs w:val="20"/>
        </w:rPr>
        <w:t>.</w:t>
      </w:r>
    </w:p>
    <w:p w14:paraId="3F5D7B01" w14:textId="77777777" w:rsidR="00ED149D" w:rsidRPr="00DB545C" w:rsidRDefault="00ED149D" w:rsidP="00ED149D">
      <w:pPr>
        <w:pStyle w:val="CopyrightText"/>
        <w:spacing w:after="113"/>
        <w:rPr>
          <w:rFonts w:ascii="Open Sans" w:hAnsi="Open Sans" w:cs="Open Sans"/>
          <w:sz w:val="20"/>
          <w:szCs w:val="20"/>
        </w:rPr>
      </w:pPr>
      <w:r w:rsidRPr="00DB545C">
        <w:rPr>
          <w:rFonts w:ascii="Open Sans" w:hAnsi="Open Sans" w:cs="Open Sans"/>
          <w:sz w:val="20"/>
          <w:szCs w:val="20"/>
        </w:rPr>
        <w:t>In essence, you are free to copy, communicate and adapt the publication, as long as you attribute the Australian Human Rights Commission and abide by the other licence terms.</w:t>
      </w:r>
    </w:p>
    <w:p w14:paraId="0044A0BF" w14:textId="77777777" w:rsidR="00ED149D" w:rsidRPr="00DB545C" w:rsidRDefault="00ED149D" w:rsidP="00ED149D">
      <w:pPr>
        <w:pStyle w:val="CopyrightText"/>
        <w:spacing w:after="0"/>
        <w:rPr>
          <w:rFonts w:ascii="Open Sans" w:hAnsi="Open Sans" w:cs="Open Sans"/>
          <w:b/>
          <w:bCs/>
          <w:sz w:val="20"/>
          <w:szCs w:val="20"/>
        </w:rPr>
      </w:pPr>
      <w:r w:rsidRPr="00DB545C">
        <w:rPr>
          <w:rFonts w:ascii="Open Sans" w:hAnsi="Open Sans" w:cs="Open Sans"/>
          <w:b/>
          <w:bCs/>
          <w:sz w:val="20"/>
          <w:szCs w:val="20"/>
        </w:rPr>
        <w:t xml:space="preserve">Please give attribution to: </w:t>
      </w:r>
    </w:p>
    <w:p w14:paraId="63D76885" w14:textId="7225B3F3" w:rsidR="00ED149D" w:rsidRPr="00DB545C" w:rsidRDefault="00ED149D" w:rsidP="00ED149D">
      <w:pPr>
        <w:pStyle w:val="CopyrightText"/>
        <w:spacing w:after="113"/>
        <w:rPr>
          <w:rFonts w:ascii="Open Sans" w:hAnsi="Open Sans" w:cs="Open Sans"/>
          <w:sz w:val="20"/>
          <w:szCs w:val="20"/>
          <w:rtl/>
          <w:lang w:bidi="ar-YE"/>
        </w:rPr>
      </w:pPr>
      <w:r w:rsidRPr="00DB545C">
        <w:rPr>
          <w:rFonts w:ascii="Open Sans" w:hAnsi="Open Sans" w:cs="Open Sans"/>
          <w:sz w:val="20"/>
          <w:szCs w:val="20"/>
        </w:rPr>
        <w:t>© Australian Human Rights Commission 201</w:t>
      </w:r>
      <w:r w:rsidR="00DD527E">
        <w:rPr>
          <w:rFonts w:ascii="Open Sans" w:hAnsi="Open Sans" w:cs="Open Sans"/>
          <w:sz w:val="20"/>
          <w:szCs w:val="20"/>
        </w:rPr>
        <w:t>8</w:t>
      </w:r>
      <w:r w:rsidRPr="00DB545C">
        <w:rPr>
          <w:rFonts w:ascii="Open Sans" w:hAnsi="Open Sans" w:cs="Open Sans"/>
          <w:sz w:val="20"/>
          <w:szCs w:val="20"/>
        </w:rPr>
        <w:t>.</w:t>
      </w:r>
    </w:p>
    <w:p w14:paraId="59D1ABCE" w14:textId="77777777" w:rsidR="00ED149D" w:rsidRPr="00DB545C" w:rsidRDefault="00ED149D" w:rsidP="00ED149D">
      <w:pPr>
        <w:pStyle w:val="CopyrightText"/>
        <w:spacing w:after="113"/>
        <w:rPr>
          <w:rFonts w:ascii="Open Sans" w:hAnsi="Open Sans" w:cs="Open Sans"/>
          <w:b/>
          <w:bCs/>
          <w:sz w:val="20"/>
          <w:szCs w:val="20"/>
        </w:rPr>
      </w:pPr>
      <w:r w:rsidRPr="00DB545C">
        <w:rPr>
          <w:rStyle w:val="Bold"/>
          <w:rFonts w:ascii="Open Sans" w:hAnsi="Open Sans" w:cs="Open Sans"/>
          <w:sz w:val="20"/>
          <w:szCs w:val="20"/>
        </w:rPr>
        <w:t>ISSN 1837-1183</w:t>
      </w:r>
    </w:p>
    <w:p w14:paraId="5BB8DEDE" w14:textId="77777777" w:rsidR="00ED149D" w:rsidRPr="00DB545C" w:rsidRDefault="00ED149D" w:rsidP="00ED149D">
      <w:pPr>
        <w:pStyle w:val="CopyrightText"/>
        <w:rPr>
          <w:rFonts w:ascii="Open Sans" w:hAnsi="Open Sans" w:cs="Open Sans"/>
          <w:sz w:val="20"/>
          <w:szCs w:val="20"/>
        </w:rPr>
      </w:pPr>
      <w:r w:rsidRPr="00DB545C">
        <w:rPr>
          <w:rFonts w:ascii="Open Sans" w:hAnsi="Open Sans" w:cs="Open Sans"/>
          <w:b/>
          <w:bCs/>
          <w:sz w:val="20"/>
          <w:szCs w:val="20"/>
        </w:rPr>
        <w:t>Further information</w:t>
      </w:r>
    </w:p>
    <w:p w14:paraId="5E4ACD1A" w14:textId="77777777" w:rsidR="00ED149D" w:rsidRPr="00DB545C" w:rsidRDefault="00ED149D" w:rsidP="00ED149D">
      <w:pPr>
        <w:pStyle w:val="CopyrightText"/>
        <w:rPr>
          <w:rFonts w:ascii="Open Sans" w:hAnsi="Open Sans" w:cs="Open Sans"/>
          <w:sz w:val="20"/>
          <w:szCs w:val="20"/>
        </w:rPr>
      </w:pPr>
      <w:r w:rsidRPr="00DB545C">
        <w:rPr>
          <w:rFonts w:ascii="Open Sans" w:hAnsi="Open Sans" w:cs="Open Sans"/>
          <w:sz w:val="20"/>
          <w:szCs w:val="20"/>
        </w:rPr>
        <w:t>For further information about the Australian Human Rights Commission or copyright in this publication, please contact:</w:t>
      </w:r>
    </w:p>
    <w:p w14:paraId="76AB5235" w14:textId="77777777" w:rsidR="00ED149D" w:rsidRPr="00DB545C" w:rsidRDefault="00ED149D" w:rsidP="00ED149D">
      <w:pPr>
        <w:pStyle w:val="CopyrightText"/>
        <w:spacing w:after="0" w:line="240" w:lineRule="auto"/>
        <w:rPr>
          <w:rFonts w:ascii="Open Sans" w:hAnsi="Open Sans" w:cs="Open Sans"/>
          <w:sz w:val="20"/>
          <w:szCs w:val="20"/>
        </w:rPr>
      </w:pPr>
      <w:r w:rsidRPr="00DB545C">
        <w:rPr>
          <w:rFonts w:ascii="Open Sans" w:hAnsi="Open Sans" w:cs="Open Sans"/>
          <w:sz w:val="20"/>
          <w:szCs w:val="20"/>
        </w:rPr>
        <w:t>Communications Unit</w:t>
      </w:r>
    </w:p>
    <w:p w14:paraId="257DAD72" w14:textId="77777777" w:rsidR="00ED149D" w:rsidRPr="00DB545C" w:rsidRDefault="00ED149D" w:rsidP="00ED149D">
      <w:pPr>
        <w:pStyle w:val="CopyrightText"/>
        <w:spacing w:after="0" w:line="240" w:lineRule="auto"/>
        <w:rPr>
          <w:rFonts w:ascii="Open Sans" w:hAnsi="Open Sans" w:cs="Open Sans"/>
          <w:sz w:val="20"/>
          <w:szCs w:val="20"/>
        </w:rPr>
      </w:pPr>
      <w:r w:rsidRPr="00DB545C">
        <w:rPr>
          <w:rFonts w:ascii="Open Sans" w:hAnsi="Open Sans" w:cs="Open Sans"/>
          <w:sz w:val="20"/>
          <w:szCs w:val="20"/>
        </w:rPr>
        <w:t>Australian Human Rights Commission</w:t>
      </w:r>
    </w:p>
    <w:p w14:paraId="6173C15C" w14:textId="77777777" w:rsidR="00ED149D" w:rsidRPr="00DB545C" w:rsidRDefault="00ED149D" w:rsidP="00ED149D">
      <w:pPr>
        <w:pStyle w:val="CopyrightText"/>
        <w:spacing w:after="0" w:line="240" w:lineRule="auto"/>
        <w:rPr>
          <w:rFonts w:ascii="Open Sans" w:hAnsi="Open Sans" w:cs="Open Sans"/>
          <w:sz w:val="20"/>
          <w:szCs w:val="20"/>
        </w:rPr>
      </w:pPr>
      <w:r w:rsidRPr="00DB545C">
        <w:rPr>
          <w:rFonts w:ascii="Open Sans" w:hAnsi="Open Sans" w:cs="Open Sans"/>
          <w:sz w:val="20"/>
          <w:szCs w:val="20"/>
        </w:rPr>
        <w:t>GPO Box 5218</w:t>
      </w:r>
    </w:p>
    <w:p w14:paraId="30CDC32F" w14:textId="77777777" w:rsidR="00ED149D" w:rsidRPr="00DB545C" w:rsidRDefault="00ED149D" w:rsidP="00ED149D">
      <w:pPr>
        <w:pStyle w:val="CopyrightText"/>
        <w:spacing w:after="0" w:line="240" w:lineRule="auto"/>
        <w:rPr>
          <w:rFonts w:ascii="Open Sans" w:hAnsi="Open Sans" w:cs="Open Sans"/>
          <w:sz w:val="20"/>
          <w:szCs w:val="20"/>
        </w:rPr>
      </w:pPr>
      <w:r w:rsidRPr="00DB545C">
        <w:rPr>
          <w:rFonts w:ascii="Open Sans" w:hAnsi="Open Sans" w:cs="Open Sans"/>
          <w:sz w:val="20"/>
          <w:szCs w:val="20"/>
        </w:rPr>
        <w:t>SYDNEY NSW 2001</w:t>
      </w:r>
    </w:p>
    <w:p w14:paraId="60C5B6F7" w14:textId="77777777" w:rsidR="00ED149D" w:rsidRPr="00DB545C" w:rsidRDefault="00ED149D" w:rsidP="00ED149D">
      <w:pPr>
        <w:pStyle w:val="CopyrightText"/>
        <w:spacing w:after="0" w:line="240" w:lineRule="auto"/>
        <w:rPr>
          <w:rFonts w:ascii="Open Sans" w:hAnsi="Open Sans" w:cs="Open Sans"/>
          <w:sz w:val="20"/>
          <w:szCs w:val="20"/>
        </w:rPr>
      </w:pPr>
      <w:r w:rsidRPr="00DB545C">
        <w:rPr>
          <w:rFonts w:ascii="Open Sans" w:hAnsi="Open Sans" w:cs="Open Sans"/>
          <w:sz w:val="20"/>
          <w:szCs w:val="20"/>
        </w:rPr>
        <w:t>Telephone: (02) 9284 9600</w:t>
      </w:r>
    </w:p>
    <w:p w14:paraId="1C091A38" w14:textId="77777777" w:rsidR="00ED149D" w:rsidRPr="00DB545C" w:rsidRDefault="00ED149D" w:rsidP="00ED149D">
      <w:pPr>
        <w:pStyle w:val="CopyrightText"/>
        <w:spacing w:after="113"/>
        <w:rPr>
          <w:rStyle w:val="Hyperlink"/>
          <w:rFonts w:ascii="Open Sans" w:hAnsi="Open Sans" w:cs="Open Sans"/>
          <w:sz w:val="20"/>
          <w:szCs w:val="20"/>
        </w:rPr>
      </w:pPr>
      <w:r w:rsidRPr="00DB545C">
        <w:rPr>
          <w:rFonts w:ascii="Open Sans" w:hAnsi="Open Sans" w:cs="Open Sans"/>
          <w:sz w:val="20"/>
          <w:szCs w:val="20"/>
        </w:rPr>
        <w:t xml:space="preserve">Email: </w:t>
      </w:r>
      <w:hyperlink r:id="rId18" w:history="1">
        <w:r w:rsidRPr="00DB545C">
          <w:rPr>
            <w:rStyle w:val="Hyperlink"/>
            <w:rFonts w:ascii="Open Sans" w:hAnsi="Open Sans" w:cs="Open Sans"/>
            <w:sz w:val="20"/>
            <w:szCs w:val="20"/>
          </w:rPr>
          <w:t>communications@humanrights.gov.au</w:t>
        </w:r>
      </w:hyperlink>
      <w:r w:rsidRPr="00DB545C">
        <w:rPr>
          <w:rFonts w:ascii="Open Sans" w:hAnsi="Open Sans" w:cs="Open Sans"/>
          <w:sz w:val="20"/>
          <w:szCs w:val="20"/>
        </w:rPr>
        <w:t>.</w:t>
      </w:r>
    </w:p>
    <w:p w14:paraId="243F8CD2" w14:textId="77777777" w:rsidR="00ED149D" w:rsidRPr="00DB545C" w:rsidRDefault="00ED149D" w:rsidP="00ED149D">
      <w:pPr>
        <w:pStyle w:val="CopyrightText"/>
        <w:rPr>
          <w:rFonts w:ascii="Open Sans" w:hAnsi="Open Sans" w:cs="Open Sans"/>
          <w:sz w:val="20"/>
          <w:szCs w:val="20"/>
        </w:rPr>
      </w:pPr>
      <w:r w:rsidRPr="00DB545C">
        <w:rPr>
          <w:rFonts w:ascii="Open Sans" w:hAnsi="Open Sans" w:cs="Open Sans"/>
          <w:b/>
          <w:bCs/>
          <w:sz w:val="20"/>
          <w:szCs w:val="20"/>
        </w:rPr>
        <w:t>Design and layout</w:t>
      </w:r>
      <w:r w:rsidRPr="00DB545C">
        <w:rPr>
          <w:rFonts w:ascii="Open Sans" w:hAnsi="Open Sans" w:cs="Open Sans"/>
          <w:sz w:val="20"/>
          <w:szCs w:val="20"/>
        </w:rPr>
        <w:t xml:space="preserve"> Dancin</w:t>
      </w:r>
      <w:r w:rsidRPr="00DB545C">
        <w:rPr>
          <w:rFonts w:ascii="Open Sans" w:hAnsi="Open Sans" w:cs="Open Sans"/>
          <w:sz w:val="20"/>
          <w:szCs w:val="20"/>
          <w:lang w:bidi="ar-YE"/>
        </w:rPr>
        <w:t>g</w:t>
      </w:r>
      <w:r w:rsidRPr="00DB545C">
        <w:rPr>
          <w:rFonts w:ascii="Open Sans" w:hAnsi="Open Sans" w:cs="Open Sans"/>
          <w:sz w:val="20"/>
          <w:szCs w:val="20"/>
        </w:rPr>
        <w:t>irl Desi</w:t>
      </w:r>
      <w:r w:rsidRPr="00DB545C">
        <w:rPr>
          <w:rFonts w:ascii="Open Sans" w:hAnsi="Open Sans" w:cs="Open Sans"/>
          <w:sz w:val="20"/>
          <w:szCs w:val="20"/>
          <w:lang w:bidi="ar-YE"/>
        </w:rPr>
        <w:t>g</w:t>
      </w:r>
      <w:r w:rsidRPr="00DB545C">
        <w:rPr>
          <w:rFonts w:ascii="Open Sans" w:hAnsi="Open Sans" w:cs="Open Sans"/>
          <w:sz w:val="20"/>
          <w:szCs w:val="20"/>
        </w:rPr>
        <w:t>ns</w:t>
      </w:r>
    </w:p>
    <w:p w14:paraId="350A09CA" w14:textId="77777777" w:rsidR="00ED149D" w:rsidRPr="00DB545C" w:rsidRDefault="00ED149D" w:rsidP="00ED149D">
      <w:pPr>
        <w:rPr>
          <w:rFonts w:cs="Open Sans"/>
          <w:sz w:val="20"/>
        </w:rPr>
      </w:pPr>
      <w:r w:rsidRPr="00DB545C">
        <w:rPr>
          <w:rFonts w:cs="Open Sans"/>
          <w:b/>
          <w:bCs/>
          <w:sz w:val="20"/>
        </w:rPr>
        <w:t>Printing</w:t>
      </w:r>
      <w:r w:rsidRPr="00DB545C">
        <w:rPr>
          <w:rFonts w:cs="Open Sans"/>
          <w:sz w:val="20"/>
        </w:rPr>
        <w:t xml:space="preserve"> Masterprint Pty Limited</w:t>
      </w:r>
    </w:p>
    <w:p w14:paraId="5D265862" w14:textId="77777777" w:rsidR="00ED149D" w:rsidRPr="00AB4037" w:rsidRDefault="00ED149D" w:rsidP="00F35A7A">
      <w:pPr>
        <w:rPr>
          <w:rFonts w:cs="Open Sans"/>
          <w:szCs w:val="24"/>
        </w:rPr>
      </w:pPr>
    </w:p>
    <w:p w14:paraId="231984D0" w14:textId="77777777" w:rsidR="00DA6773" w:rsidRPr="00AB4037" w:rsidRDefault="00DA6773" w:rsidP="00F35A7A">
      <w:pPr>
        <w:rPr>
          <w:rFonts w:cs="Open Sans"/>
          <w:szCs w:val="24"/>
        </w:rPr>
      </w:pPr>
    </w:p>
    <w:p w14:paraId="2508F7E8" w14:textId="77777777" w:rsidR="00ED149D" w:rsidRDefault="00ED149D">
      <w:pPr>
        <w:rPr>
          <w:rFonts w:cs="Open Sans"/>
          <w:szCs w:val="24"/>
        </w:rPr>
      </w:pPr>
      <w:r>
        <w:rPr>
          <w:rFonts w:cs="Open Sans"/>
          <w:szCs w:val="24"/>
        </w:rPr>
        <w:br w:type="page"/>
      </w:r>
    </w:p>
    <w:p w14:paraId="641B38AD" w14:textId="77777777" w:rsidR="00F35A7A" w:rsidRPr="00ED149D" w:rsidRDefault="00F35A7A" w:rsidP="00ED149D">
      <w:pPr>
        <w:rPr>
          <w:rFonts w:cs="Open Sans"/>
        </w:rPr>
      </w:pPr>
    </w:p>
    <w:p w14:paraId="035A23F0" w14:textId="77777777" w:rsidR="00F35A7A" w:rsidRPr="00ED149D" w:rsidRDefault="00F35A7A" w:rsidP="00ED149D">
      <w:pPr>
        <w:rPr>
          <w:rFonts w:cs="Open Sans"/>
        </w:rPr>
      </w:pPr>
    </w:p>
    <w:p w14:paraId="34214E8F" w14:textId="77777777" w:rsidR="00ED149D" w:rsidRPr="00ED149D" w:rsidRDefault="00ED149D" w:rsidP="00ED149D">
      <w:pPr>
        <w:rPr>
          <w:rFonts w:cs="Open Sans"/>
        </w:rPr>
      </w:pPr>
    </w:p>
    <w:p w14:paraId="7CCF8968" w14:textId="77777777" w:rsidR="00ED149D" w:rsidRPr="00F72D73" w:rsidRDefault="00251F57" w:rsidP="00F72D73">
      <w:pPr>
        <w:rPr>
          <w:rFonts w:cs="Open Sans"/>
          <w:b/>
          <w:sz w:val="36"/>
          <w:szCs w:val="36"/>
        </w:rPr>
      </w:pPr>
      <w:r w:rsidRPr="00ED149D">
        <w:rPr>
          <w:rFonts w:cs="Open Sans"/>
          <w:b/>
          <w:sz w:val="36"/>
          <w:szCs w:val="36"/>
        </w:rPr>
        <w:t>Ms HM and Master YM</w:t>
      </w:r>
      <w:r w:rsidR="00F35A7A" w:rsidRPr="00ED149D">
        <w:rPr>
          <w:rFonts w:cs="Open Sans"/>
          <w:b/>
          <w:sz w:val="36"/>
          <w:szCs w:val="36"/>
        </w:rPr>
        <w:t xml:space="preserve"> v </w:t>
      </w:r>
      <w:r w:rsidR="00621F1F" w:rsidRPr="00ED149D">
        <w:rPr>
          <w:rFonts w:cs="Open Sans"/>
          <w:b/>
          <w:sz w:val="36"/>
          <w:szCs w:val="36"/>
        </w:rPr>
        <w:t>Commonwealth (</w:t>
      </w:r>
      <w:r w:rsidR="00DD659E" w:rsidRPr="00ED149D">
        <w:rPr>
          <w:rFonts w:cs="Open Sans"/>
          <w:b/>
          <w:sz w:val="36"/>
          <w:szCs w:val="36"/>
        </w:rPr>
        <w:t>Department of Home Affairs</w:t>
      </w:r>
      <w:r w:rsidR="00621F1F" w:rsidRPr="00ED149D">
        <w:rPr>
          <w:rFonts w:cs="Open Sans"/>
          <w:b/>
          <w:sz w:val="36"/>
          <w:szCs w:val="36"/>
        </w:rPr>
        <w:t>)</w:t>
      </w:r>
    </w:p>
    <w:p w14:paraId="40D7433B" w14:textId="2B7554DC" w:rsidR="00F35A7A" w:rsidRPr="00ED149D" w:rsidRDefault="00621F1F" w:rsidP="00F35A7A">
      <w:pPr>
        <w:rPr>
          <w:rFonts w:cs="Open Sans"/>
          <w:sz w:val="32"/>
          <w:szCs w:val="32"/>
        </w:rPr>
      </w:pPr>
      <w:r w:rsidRPr="00ED149D">
        <w:rPr>
          <w:rFonts w:cs="Open Sans"/>
          <w:sz w:val="32"/>
          <w:szCs w:val="32"/>
        </w:rPr>
        <w:t>[201</w:t>
      </w:r>
      <w:r w:rsidR="00DD527E">
        <w:rPr>
          <w:rFonts w:cs="Open Sans"/>
          <w:sz w:val="32"/>
          <w:szCs w:val="32"/>
        </w:rPr>
        <w:t>8</w:t>
      </w:r>
      <w:r w:rsidRPr="00ED149D">
        <w:rPr>
          <w:rFonts w:cs="Open Sans"/>
          <w:sz w:val="32"/>
          <w:szCs w:val="32"/>
        </w:rPr>
        <w:t xml:space="preserve">] </w:t>
      </w:r>
      <w:proofErr w:type="spellStart"/>
      <w:r w:rsidR="00251F57" w:rsidRPr="00ED149D">
        <w:rPr>
          <w:rFonts w:cs="Open Sans"/>
          <w:sz w:val="32"/>
          <w:szCs w:val="32"/>
        </w:rPr>
        <w:t>AusHRC</w:t>
      </w:r>
      <w:proofErr w:type="spellEnd"/>
      <w:r w:rsidR="00251F57" w:rsidRPr="00ED149D">
        <w:rPr>
          <w:rFonts w:cs="Open Sans"/>
          <w:sz w:val="32"/>
          <w:szCs w:val="32"/>
        </w:rPr>
        <w:t xml:space="preserve"> 127</w:t>
      </w:r>
    </w:p>
    <w:p w14:paraId="1D3B105E" w14:textId="77777777" w:rsidR="00ED149D" w:rsidRPr="00ED149D" w:rsidRDefault="00ED149D" w:rsidP="00F35A7A">
      <w:pPr>
        <w:rPr>
          <w:rFonts w:cs="Open Sans"/>
          <w:szCs w:val="24"/>
        </w:rPr>
      </w:pPr>
    </w:p>
    <w:p w14:paraId="7DEFA922" w14:textId="77777777" w:rsidR="00ED149D" w:rsidRDefault="00ED149D" w:rsidP="00F35A7A">
      <w:pPr>
        <w:rPr>
          <w:rFonts w:cs="Open Sans"/>
          <w:szCs w:val="24"/>
        </w:rPr>
      </w:pPr>
    </w:p>
    <w:p w14:paraId="6E386606" w14:textId="77777777" w:rsidR="00F72D73" w:rsidRPr="00ED149D" w:rsidRDefault="00F72D73" w:rsidP="00F35A7A">
      <w:pPr>
        <w:rPr>
          <w:rFonts w:cs="Open Sans"/>
          <w:szCs w:val="24"/>
        </w:rPr>
      </w:pPr>
    </w:p>
    <w:p w14:paraId="04AEEAF2" w14:textId="77777777" w:rsidR="00ED149D" w:rsidRPr="00ED149D" w:rsidRDefault="00F35A7A" w:rsidP="00F35A7A">
      <w:pPr>
        <w:rPr>
          <w:rFonts w:cs="Open Sans"/>
          <w:i/>
          <w:sz w:val="28"/>
          <w:szCs w:val="28"/>
        </w:rPr>
      </w:pPr>
      <w:r w:rsidRPr="00ED149D">
        <w:rPr>
          <w:rFonts w:cs="Open Sans"/>
          <w:i/>
          <w:sz w:val="28"/>
          <w:szCs w:val="28"/>
        </w:rPr>
        <w:t xml:space="preserve">Report into </w:t>
      </w:r>
      <w:r w:rsidR="009B5633" w:rsidRPr="00ED149D">
        <w:rPr>
          <w:rFonts w:cs="Open Sans"/>
          <w:i/>
          <w:sz w:val="28"/>
          <w:szCs w:val="28"/>
        </w:rPr>
        <w:t>arbitrary interference with family</w:t>
      </w:r>
      <w:r w:rsidR="00F078FA" w:rsidRPr="00ED149D">
        <w:rPr>
          <w:rFonts w:cs="Open Sans"/>
          <w:i/>
          <w:sz w:val="28"/>
          <w:szCs w:val="28"/>
        </w:rPr>
        <w:t xml:space="preserve"> and failure to </w:t>
      </w:r>
      <w:r w:rsidR="005A7793">
        <w:rPr>
          <w:rFonts w:cs="Open Sans"/>
          <w:i/>
          <w:sz w:val="28"/>
          <w:szCs w:val="28"/>
        </w:rPr>
        <w:br/>
      </w:r>
      <w:r w:rsidR="00F078FA" w:rsidRPr="00ED149D">
        <w:rPr>
          <w:rFonts w:cs="Open Sans"/>
          <w:i/>
          <w:sz w:val="28"/>
          <w:szCs w:val="28"/>
        </w:rPr>
        <w:t>consider the best interests of the child</w:t>
      </w:r>
    </w:p>
    <w:p w14:paraId="4577F5A5" w14:textId="77777777" w:rsidR="00ED149D" w:rsidRDefault="00ED149D" w:rsidP="00F35A7A">
      <w:pPr>
        <w:rPr>
          <w:rFonts w:cs="Open Sans"/>
          <w:szCs w:val="24"/>
        </w:rPr>
      </w:pPr>
    </w:p>
    <w:p w14:paraId="26178978" w14:textId="77777777" w:rsidR="00ED149D" w:rsidRDefault="00ED149D" w:rsidP="00F35A7A">
      <w:pPr>
        <w:rPr>
          <w:rFonts w:cs="Open Sans"/>
          <w:szCs w:val="24"/>
        </w:rPr>
      </w:pPr>
    </w:p>
    <w:p w14:paraId="700181DB" w14:textId="77777777" w:rsidR="00ED149D" w:rsidRPr="00ED149D" w:rsidRDefault="00ED149D" w:rsidP="00F35A7A">
      <w:pPr>
        <w:rPr>
          <w:rFonts w:cs="Open Sans"/>
          <w:szCs w:val="24"/>
        </w:rPr>
      </w:pPr>
    </w:p>
    <w:p w14:paraId="04DF906B" w14:textId="4F453ED5" w:rsidR="00F35A7A" w:rsidRPr="00ED149D" w:rsidRDefault="00F35A7A" w:rsidP="00F35A7A">
      <w:pPr>
        <w:rPr>
          <w:rFonts w:cs="Open Sans"/>
          <w:b/>
          <w:i/>
          <w:szCs w:val="24"/>
        </w:rPr>
      </w:pPr>
      <w:r w:rsidRPr="00ED149D">
        <w:rPr>
          <w:rFonts w:cs="Open Sans"/>
          <w:b/>
          <w:szCs w:val="24"/>
        </w:rPr>
        <w:t>Australian Human Rights Commission 201</w:t>
      </w:r>
      <w:r w:rsidR="00DD527E">
        <w:rPr>
          <w:rFonts w:cs="Open Sans"/>
          <w:b/>
          <w:szCs w:val="24"/>
        </w:rPr>
        <w:t>8</w:t>
      </w:r>
    </w:p>
    <w:p w14:paraId="0FB4150B" w14:textId="77777777" w:rsidR="00ED149D" w:rsidRPr="00DB545C" w:rsidRDefault="00ED149D" w:rsidP="00ED149D">
      <w:pPr>
        <w:rPr>
          <w:rFonts w:cs="Open Sans"/>
        </w:rPr>
      </w:pPr>
    </w:p>
    <w:p w14:paraId="0A97F501" w14:textId="77777777" w:rsidR="00F72D73" w:rsidRDefault="00F72D73" w:rsidP="00ED149D">
      <w:pPr>
        <w:rPr>
          <w:rFonts w:cs="Open Sans"/>
        </w:rPr>
      </w:pPr>
    </w:p>
    <w:p w14:paraId="029EEF13" w14:textId="77777777" w:rsidR="00F72D73" w:rsidRDefault="00F72D73" w:rsidP="00ED149D">
      <w:pPr>
        <w:rPr>
          <w:rFonts w:cs="Open Sans"/>
        </w:rPr>
      </w:pPr>
    </w:p>
    <w:p w14:paraId="264658DC" w14:textId="77777777" w:rsidR="00F72D73" w:rsidRPr="00DB545C" w:rsidRDefault="00F72D73" w:rsidP="00ED149D">
      <w:pPr>
        <w:rPr>
          <w:rFonts w:cs="Open Sans"/>
        </w:rPr>
      </w:pPr>
    </w:p>
    <w:p w14:paraId="73CBC929" w14:textId="77777777" w:rsidR="00ED149D" w:rsidRPr="00DB545C" w:rsidRDefault="00ED149D" w:rsidP="00ED149D">
      <w:pPr>
        <w:rPr>
          <w:rFonts w:cs="Open Sans"/>
        </w:rPr>
      </w:pPr>
    </w:p>
    <w:p w14:paraId="6BF1278C" w14:textId="77777777" w:rsidR="00ED149D" w:rsidRPr="00DB545C" w:rsidRDefault="00ED149D" w:rsidP="00ED149D">
      <w:pPr>
        <w:rPr>
          <w:rFonts w:cs="Open Sans"/>
        </w:rPr>
      </w:pPr>
    </w:p>
    <w:p w14:paraId="1D87173A" w14:textId="77777777" w:rsidR="00F35A7A" w:rsidRPr="00F72D73" w:rsidRDefault="00ED149D" w:rsidP="00F35A7A">
      <w:pPr>
        <w:rPr>
          <w:rFonts w:cs="Open Sans"/>
        </w:rPr>
      </w:pPr>
      <w:r w:rsidRPr="00DB545C">
        <w:rPr>
          <w:rFonts w:cs="Open Sans"/>
          <w:noProof/>
          <w:lang w:eastAsia="en-AU"/>
        </w:rPr>
        <w:drawing>
          <wp:inline distT="0" distB="0" distL="0" distR="0" wp14:anchorId="42462097" wp14:editId="175D288F">
            <wp:extent cx="1689100" cy="5461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9100" cy="546100"/>
                    </a:xfrm>
                    <a:prstGeom prst="rect">
                      <a:avLst/>
                    </a:prstGeom>
                  </pic:spPr>
                </pic:pic>
              </a:graphicData>
            </a:graphic>
          </wp:inline>
        </w:drawing>
      </w:r>
    </w:p>
    <w:p w14:paraId="6292DF2A" w14:textId="77777777" w:rsidR="00ED149D" w:rsidRDefault="00ED149D">
      <w:pPr>
        <w:spacing w:after="0"/>
        <w:rPr>
          <w:rFonts w:cs="Open Sans"/>
          <w:color w:val="7F7F7F" w:themeColor="text1" w:themeTint="80"/>
          <w:szCs w:val="24"/>
        </w:rPr>
      </w:pPr>
      <w:r>
        <w:rPr>
          <w:rFonts w:cs="Open Sans"/>
          <w:color w:val="7F7F7F" w:themeColor="text1" w:themeTint="80"/>
          <w:szCs w:val="24"/>
        </w:rPr>
        <w:br w:type="page"/>
      </w:r>
    </w:p>
    <w:p w14:paraId="378838F5" w14:textId="77777777" w:rsidR="00F35A7A" w:rsidRPr="00AB4037" w:rsidRDefault="00F35A7A" w:rsidP="00ED149D">
      <w:pPr>
        <w:spacing w:after="0"/>
        <w:rPr>
          <w:rFonts w:cs="Open Sans"/>
        </w:rPr>
      </w:pPr>
      <w:r w:rsidRPr="00AB4037">
        <w:rPr>
          <w:rFonts w:cs="Open Sans"/>
        </w:rPr>
        <w:lastRenderedPageBreak/>
        <w:t>The Hon Christian Porter MP</w:t>
      </w:r>
    </w:p>
    <w:p w14:paraId="7FFDDBA7" w14:textId="77777777" w:rsidR="00F35A7A" w:rsidRPr="00AB4037" w:rsidRDefault="00F35A7A" w:rsidP="00ED149D">
      <w:pPr>
        <w:spacing w:after="0"/>
        <w:rPr>
          <w:rFonts w:cs="Open Sans"/>
        </w:rPr>
      </w:pPr>
      <w:r w:rsidRPr="00AB4037">
        <w:rPr>
          <w:rFonts w:cs="Open Sans"/>
        </w:rPr>
        <w:t>Attorney-General</w:t>
      </w:r>
    </w:p>
    <w:p w14:paraId="48E08EE7" w14:textId="77777777" w:rsidR="00F35A7A" w:rsidRPr="00AB4037" w:rsidRDefault="00F35A7A" w:rsidP="00ED149D">
      <w:pPr>
        <w:spacing w:after="0"/>
        <w:rPr>
          <w:rFonts w:cs="Open Sans"/>
          <w:color w:val="231F20"/>
        </w:rPr>
      </w:pPr>
      <w:r w:rsidRPr="00AB4037">
        <w:rPr>
          <w:rFonts w:cs="Open Sans"/>
          <w:color w:val="231F20"/>
        </w:rPr>
        <w:t>Parliament House</w:t>
      </w:r>
    </w:p>
    <w:p w14:paraId="69D709DC" w14:textId="77777777" w:rsidR="00F35A7A" w:rsidRPr="00ED149D" w:rsidRDefault="00F35A7A" w:rsidP="00F35A7A">
      <w:pPr>
        <w:rPr>
          <w:rFonts w:cs="Open Sans"/>
        </w:rPr>
      </w:pPr>
      <w:r w:rsidRPr="00AB4037">
        <w:rPr>
          <w:rFonts w:cs="Open Sans"/>
          <w:color w:val="231F20"/>
        </w:rPr>
        <w:t>Canberra ACT 2600</w:t>
      </w:r>
    </w:p>
    <w:p w14:paraId="79A223DF" w14:textId="77777777" w:rsidR="00F35A7A" w:rsidRPr="00AB4037" w:rsidRDefault="00F35A7A" w:rsidP="00621F1F">
      <w:pPr>
        <w:contextualSpacing/>
        <w:rPr>
          <w:rFonts w:cs="Open Sans"/>
          <w:szCs w:val="24"/>
        </w:rPr>
      </w:pPr>
      <w:r w:rsidRPr="00AB4037">
        <w:rPr>
          <w:rFonts w:cs="Open Sans"/>
          <w:szCs w:val="24"/>
        </w:rPr>
        <w:t>Dear Attorney</w:t>
      </w:r>
    </w:p>
    <w:p w14:paraId="5C4711E1" w14:textId="77777777" w:rsidR="00F35A7A" w:rsidRPr="00AB4037" w:rsidRDefault="00F35A7A" w:rsidP="00621F1F">
      <w:pPr>
        <w:contextualSpacing/>
        <w:rPr>
          <w:rFonts w:cs="Open Sans"/>
          <w:szCs w:val="24"/>
        </w:rPr>
      </w:pPr>
    </w:p>
    <w:p w14:paraId="2D85C5EC" w14:textId="77777777" w:rsidR="00F35A7A" w:rsidRDefault="00F35A7A" w:rsidP="00621F1F">
      <w:pPr>
        <w:contextualSpacing/>
        <w:rPr>
          <w:rFonts w:cs="Open Sans"/>
          <w:szCs w:val="24"/>
        </w:rPr>
      </w:pPr>
      <w:r w:rsidRPr="00AB4037">
        <w:rPr>
          <w:rFonts w:cs="Open Sans"/>
          <w:szCs w:val="24"/>
        </w:rPr>
        <w:t xml:space="preserve">I have completed my report pursuant to </w:t>
      </w:r>
      <w:r w:rsidR="00855288" w:rsidRPr="00AB4037">
        <w:rPr>
          <w:rFonts w:cs="Open Sans"/>
          <w:szCs w:val="24"/>
        </w:rPr>
        <w:t xml:space="preserve">s </w:t>
      </w:r>
      <w:r w:rsidR="00760359" w:rsidRPr="00AB4037">
        <w:rPr>
          <w:rFonts w:cs="Open Sans"/>
          <w:szCs w:val="24"/>
        </w:rPr>
        <w:t>11(1)(f)</w:t>
      </w:r>
      <w:r w:rsidRPr="00AB4037">
        <w:rPr>
          <w:rFonts w:cs="Open Sans"/>
          <w:szCs w:val="24"/>
        </w:rPr>
        <w:t xml:space="preserve"> of the </w:t>
      </w:r>
      <w:r w:rsidRPr="00AB4037">
        <w:rPr>
          <w:rFonts w:cs="Open Sans"/>
          <w:i/>
          <w:szCs w:val="24"/>
        </w:rPr>
        <w:t xml:space="preserve">Australian Human Rights Commission Act 1986 </w:t>
      </w:r>
      <w:r w:rsidRPr="00AB4037">
        <w:rPr>
          <w:rFonts w:cs="Open Sans"/>
          <w:szCs w:val="24"/>
        </w:rPr>
        <w:t>(</w:t>
      </w:r>
      <w:proofErr w:type="spellStart"/>
      <w:r w:rsidRPr="00AB4037">
        <w:rPr>
          <w:rFonts w:cs="Open Sans"/>
          <w:szCs w:val="24"/>
        </w:rPr>
        <w:t>Cth</w:t>
      </w:r>
      <w:proofErr w:type="spellEnd"/>
      <w:r w:rsidRPr="00AB4037">
        <w:rPr>
          <w:rFonts w:cs="Open Sans"/>
          <w:szCs w:val="24"/>
        </w:rPr>
        <w:t xml:space="preserve">) into the complaint of </w:t>
      </w:r>
      <w:r w:rsidR="00DD659E" w:rsidRPr="00AB4037">
        <w:rPr>
          <w:rFonts w:cs="Open Sans"/>
          <w:szCs w:val="24"/>
        </w:rPr>
        <w:t xml:space="preserve">arbitrary </w:t>
      </w:r>
      <w:r w:rsidR="00F078FA" w:rsidRPr="00AB4037">
        <w:rPr>
          <w:rFonts w:cs="Open Sans"/>
          <w:szCs w:val="24"/>
        </w:rPr>
        <w:t>interference with family and failure to consider the best interests of the child</w:t>
      </w:r>
      <w:r w:rsidRPr="00AB4037">
        <w:rPr>
          <w:rFonts w:cs="Open Sans"/>
          <w:szCs w:val="24"/>
        </w:rPr>
        <w:t xml:space="preserve"> made by </w:t>
      </w:r>
      <w:r w:rsidR="00F078FA" w:rsidRPr="00AB4037">
        <w:rPr>
          <w:rFonts w:cs="Open Sans"/>
          <w:szCs w:val="24"/>
        </w:rPr>
        <w:t>Ms HM on her own behalf and on behalf of her son, Master YM,</w:t>
      </w:r>
      <w:r w:rsidR="00AB10E7" w:rsidRPr="00AB4037">
        <w:rPr>
          <w:rFonts w:cs="Open Sans"/>
          <w:szCs w:val="24"/>
        </w:rPr>
        <w:t xml:space="preserve"> </w:t>
      </w:r>
      <w:r w:rsidRPr="00AB4037">
        <w:rPr>
          <w:rFonts w:cs="Open Sans"/>
          <w:szCs w:val="24"/>
        </w:rPr>
        <w:t xml:space="preserve">against </w:t>
      </w:r>
      <w:r w:rsidR="005F4F23" w:rsidRPr="00AB4037">
        <w:rPr>
          <w:rFonts w:cs="Open Sans"/>
          <w:szCs w:val="24"/>
        </w:rPr>
        <w:t>the Commonwealth of Australia—</w:t>
      </w:r>
      <w:r w:rsidR="00DD659E" w:rsidRPr="00AB4037">
        <w:rPr>
          <w:rFonts w:cs="Open Sans"/>
          <w:szCs w:val="24"/>
        </w:rPr>
        <w:t>specifically, against the former Department of Immigration and Border Protection and now the Department of Home Affairs</w:t>
      </w:r>
      <w:r w:rsidRPr="00AB4037">
        <w:rPr>
          <w:rFonts w:cs="Open Sans"/>
          <w:szCs w:val="24"/>
        </w:rPr>
        <w:t xml:space="preserve"> (</w:t>
      </w:r>
      <w:r w:rsidR="00DD659E" w:rsidRPr="00AB4037">
        <w:rPr>
          <w:rFonts w:cs="Open Sans"/>
          <w:szCs w:val="24"/>
        </w:rPr>
        <w:t>department</w:t>
      </w:r>
      <w:r w:rsidRPr="00AB4037">
        <w:rPr>
          <w:rFonts w:cs="Open Sans"/>
          <w:szCs w:val="24"/>
        </w:rPr>
        <w:t>).</w:t>
      </w:r>
    </w:p>
    <w:p w14:paraId="0006B8C5" w14:textId="77777777" w:rsidR="001A0FAD" w:rsidRDefault="001A0FAD" w:rsidP="00621F1F">
      <w:pPr>
        <w:contextualSpacing/>
        <w:rPr>
          <w:rFonts w:cs="Open Sans"/>
          <w:szCs w:val="24"/>
        </w:rPr>
      </w:pPr>
    </w:p>
    <w:p w14:paraId="1CEAFC5D" w14:textId="18A94883" w:rsidR="001A0FAD" w:rsidRDefault="001A0FAD" w:rsidP="00621F1F">
      <w:pPr>
        <w:contextualSpacing/>
        <w:rPr>
          <w:rFonts w:cs="Open Sans"/>
          <w:szCs w:val="24"/>
        </w:rPr>
      </w:pPr>
      <w:r>
        <w:rPr>
          <w:rFonts w:cs="Open Sans"/>
          <w:szCs w:val="24"/>
        </w:rPr>
        <w:t>Ms HM complains that the</w:t>
      </w:r>
      <w:r w:rsidR="006A24F4">
        <w:rPr>
          <w:rFonts w:cs="Open Sans"/>
          <w:szCs w:val="24"/>
        </w:rPr>
        <w:t xml:space="preserve"> </w:t>
      </w:r>
      <w:r w:rsidR="00CA7736">
        <w:rPr>
          <w:rFonts w:cs="Open Sans"/>
          <w:szCs w:val="24"/>
        </w:rPr>
        <w:t xml:space="preserve">then </w:t>
      </w:r>
      <w:r w:rsidR="00C40937">
        <w:rPr>
          <w:rFonts w:cs="Open Sans"/>
          <w:szCs w:val="24"/>
        </w:rPr>
        <w:t xml:space="preserve">Assistant Minister for Immigration and Border Protection’s </w:t>
      </w:r>
      <w:r w:rsidR="00CA7736">
        <w:rPr>
          <w:rFonts w:cs="Open Sans"/>
          <w:szCs w:val="24"/>
        </w:rPr>
        <w:t xml:space="preserve">(Assistant Minister) </w:t>
      </w:r>
      <w:r w:rsidR="00C40937">
        <w:rPr>
          <w:rFonts w:cs="Open Sans"/>
          <w:szCs w:val="24"/>
        </w:rPr>
        <w:t xml:space="preserve">decision not </w:t>
      </w:r>
      <w:r>
        <w:rPr>
          <w:rFonts w:cs="Open Sans"/>
          <w:szCs w:val="24"/>
        </w:rPr>
        <w:t>to intervene in her case, le</w:t>
      </w:r>
      <w:r w:rsidR="00CA7736">
        <w:rPr>
          <w:rFonts w:cs="Open Sans"/>
          <w:szCs w:val="24"/>
        </w:rPr>
        <w:t>ading</w:t>
      </w:r>
      <w:r>
        <w:rPr>
          <w:rFonts w:cs="Open Sans"/>
          <w:szCs w:val="24"/>
        </w:rPr>
        <w:t xml:space="preserve"> to a require</w:t>
      </w:r>
      <w:r w:rsidR="003B7ADC">
        <w:rPr>
          <w:rFonts w:cs="Open Sans"/>
          <w:szCs w:val="24"/>
        </w:rPr>
        <w:t>ment that Ms HM leave Australia</w:t>
      </w:r>
      <w:r w:rsidR="00282DC5">
        <w:rPr>
          <w:rFonts w:cs="Open Sans"/>
          <w:szCs w:val="24"/>
        </w:rPr>
        <w:t>,</w:t>
      </w:r>
      <w:r w:rsidR="003B7ADC">
        <w:rPr>
          <w:rFonts w:cs="Open Sans"/>
          <w:szCs w:val="24"/>
        </w:rPr>
        <w:t xml:space="preserve"> </w:t>
      </w:r>
      <w:r w:rsidR="00465CAC">
        <w:rPr>
          <w:rFonts w:cs="Open Sans"/>
          <w:szCs w:val="24"/>
        </w:rPr>
        <w:t xml:space="preserve">is an arbitrary interference with family, contrary to articles 17 and 23 of the </w:t>
      </w:r>
      <w:r w:rsidR="00465CAC" w:rsidRPr="00301A3F">
        <w:rPr>
          <w:rFonts w:cs="Open Sans"/>
          <w:i/>
          <w:szCs w:val="24"/>
        </w:rPr>
        <w:t>International Covenant on Civil and Political Rights</w:t>
      </w:r>
      <w:r w:rsidR="00465CAC" w:rsidRPr="00301A3F">
        <w:rPr>
          <w:rFonts w:cs="Open Sans"/>
          <w:szCs w:val="24"/>
        </w:rPr>
        <w:t xml:space="preserve"> (ICCPR)</w:t>
      </w:r>
      <w:r w:rsidR="00465CAC">
        <w:rPr>
          <w:rFonts w:cs="Open Sans"/>
          <w:szCs w:val="24"/>
        </w:rPr>
        <w:t xml:space="preserve">. </w:t>
      </w:r>
      <w:r w:rsidR="00F97201">
        <w:rPr>
          <w:rFonts w:cs="Open Sans"/>
          <w:szCs w:val="24"/>
        </w:rPr>
        <w:t xml:space="preserve">She also complains that </w:t>
      </w:r>
      <w:r w:rsidR="007A3B8D">
        <w:rPr>
          <w:rFonts w:cs="Open Sans"/>
          <w:szCs w:val="24"/>
        </w:rPr>
        <w:t>the</w:t>
      </w:r>
      <w:r w:rsidR="00F97201">
        <w:rPr>
          <w:rFonts w:cs="Open Sans"/>
          <w:szCs w:val="24"/>
        </w:rPr>
        <w:t xml:space="preserve"> department failed to take Master YM’s best interests into account as a primary consideration, contrary to article 3 of the </w:t>
      </w:r>
      <w:r w:rsidR="00F97201" w:rsidRPr="00AB4037">
        <w:rPr>
          <w:rFonts w:cs="Open Sans"/>
          <w:i/>
          <w:szCs w:val="24"/>
        </w:rPr>
        <w:t>Convention on the Rights of the Child</w:t>
      </w:r>
      <w:r w:rsidR="00F97201">
        <w:rPr>
          <w:rFonts w:cs="Open Sans"/>
          <w:i/>
          <w:szCs w:val="24"/>
        </w:rPr>
        <w:t xml:space="preserve"> </w:t>
      </w:r>
      <w:r w:rsidR="00F97201">
        <w:rPr>
          <w:rFonts w:cs="Open Sans"/>
          <w:szCs w:val="24"/>
        </w:rPr>
        <w:t>(CRC).</w:t>
      </w:r>
    </w:p>
    <w:p w14:paraId="7DE0485C" w14:textId="77777777" w:rsidR="00F35A7A" w:rsidRPr="00AB4037" w:rsidRDefault="00F35A7A" w:rsidP="00621F1F">
      <w:pPr>
        <w:contextualSpacing/>
        <w:rPr>
          <w:rFonts w:cs="Open Sans"/>
          <w:szCs w:val="24"/>
        </w:rPr>
      </w:pPr>
    </w:p>
    <w:p w14:paraId="2044F154" w14:textId="77777777" w:rsidR="00F35A7A" w:rsidRDefault="00433F95" w:rsidP="00621F1F">
      <w:pPr>
        <w:contextualSpacing/>
        <w:rPr>
          <w:rFonts w:cs="Open Sans"/>
          <w:szCs w:val="24"/>
        </w:rPr>
      </w:pPr>
      <w:r>
        <w:rPr>
          <w:rFonts w:cs="Open Sans"/>
          <w:szCs w:val="24"/>
        </w:rPr>
        <w:t xml:space="preserve">As a result of this inquiry, </w:t>
      </w:r>
      <w:r w:rsidR="00301A3F">
        <w:rPr>
          <w:rFonts w:cs="Open Sans"/>
          <w:szCs w:val="24"/>
        </w:rPr>
        <w:t xml:space="preserve">I have found that the decision by the </w:t>
      </w:r>
      <w:r w:rsidR="00E277FA">
        <w:rPr>
          <w:rFonts w:cs="Open Sans"/>
          <w:szCs w:val="24"/>
        </w:rPr>
        <w:t xml:space="preserve">then </w:t>
      </w:r>
      <w:r w:rsidR="00301A3F">
        <w:rPr>
          <w:rFonts w:cs="Open Sans"/>
          <w:szCs w:val="24"/>
        </w:rPr>
        <w:t xml:space="preserve">Assistant Minister not to exercise her discretionary powers to intervene in Ms HM’s case, </w:t>
      </w:r>
      <w:r w:rsidR="00433680">
        <w:rPr>
          <w:rFonts w:cs="Open Sans"/>
          <w:szCs w:val="24"/>
        </w:rPr>
        <w:t xml:space="preserve">and consequently the requirement that Ms HM not be allowed to remain in Australia at least while Master YM completed his secondary education, was </w:t>
      </w:r>
      <w:r w:rsidR="00301A3F">
        <w:rPr>
          <w:rFonts w:cs="Open Sans"/>
          <w:szCs w:val="24"/>
        </w:rPr>
        <w:t xml:space="preserve">an arbitrary interference with family, contrary to articles 17 and 23 of the </w:t>
      </w:r>
      <w:r w:rsidR="00465CAC">
        <w:rPr>
          <w:rFonts w:cs="Open Sans"/>
          <w:szCs w:val="24"/>
        </w:rPr>
        <w:t>ICCPR</w:t>
      </w:r>
      <w:r w:rsidR="00301A3F">
        <w:rPr>
          <w:rFonts w:cs="Open Sans"/>
          <w:szCs w:val="24"/>
        </w:rPr>
        <w:t>.</w:t>
      </w:r>
    </w:p>
    <w:p w14:paraId="0FEAD964" w14:textId="77777777" w:rsidR="005A6E7E" w:rsidRDefault="005A6E7E" w:rsidP="00621F1F">
      <w:pPr>
        <w:contextualSpacing/>
        <w:rPr>
          <w:rFonts w:cs="Open Sans"/>
          <w:szCs w:val="24"/>
        </w:rPr>
      </w:pPr>
    </w:p>
    <w:p w14:paraId="3FA29BCF" w14:textId="77777777" w:rsidR="005A6E7E" w:rsidRPr="00AB4037" w:rsidRDefault="005A6E7E" w:rsidP="00621F1F">
      <w:pPr>
        <w:contextualSpacing/>
        <w:rPr>
          <w:rFonts w:cs="Open Sans"/>
          <w:szCs w:val="24"/>
        </w:rPr>
      </w:pPr>
      <w:r>
        <w:rPr>
          <w:rFonts w:cs="Open Sans"/>
          <w:szCs w:val="24"/>
        </w:rPr>
        <w:t>I have also found that Master YM’s best interests were not given active consideration</w:t>
      </w:r>
      <w:r w:rsidR="000205AB">
        <w:rPr>
          <w:rFonts w:cs="Open Sans"/>
          <w:szCs w:val="24"/>
        </w:rPr>
        <w:t xml:space="preserve"> in the department’s 2015 submission to the </w:t>
      </w:r>
      <w:r w:rsidR="003A15F0">
        <w:rPr>
          <w:rFonts w:cs="Open Sans"/>
          <w:szCs w:val="24"/>
        </w:rPr>
        <w:t xml:space="preserve">Assistant Minister, and accordingly were not taken into account as a primary consideration in breach of article 3 of the </w:t>
      </w:r>
      <w:r w:rsidR="00766E9F">
        <w:rPr>
          <w:rFonts w:cs="Open Sans"/>
          <w:szCs w:val="24"/>
        </w:rPr>
        <w:t>CRC</w:t>
      </w:r>
      <w:r w:rsidR="003A15F0">
        <w:rPr>
          <w:rFonts w:cs="Open Sans"/>
          <w:szCs w:val="24"/>
        </w:rPr>
        <w:t>.</w:t>
      </w:r>
    </w:p>
    <w:p w14:paraId="5C401CCE" w14:textId="77777777" w:rsidR="0096513B" w:rsidRDefault="0096513B">
      <w:pPr>
        <w:rPr>
          <w:rFonts w:cs="Open Sans"/>
        </w:rPr>
      </w:pPr>
      <w:r>
        <w:rPr>
          <w:rFonts w:cs="Open Sans"/>
        </w:rPr>
        <w:br w:type="page"/>
      </w:r>
    </w:p>
    <w:p w14:paraId="229DE50D" w14:textId="77777777" w:rsidR="005A6E7E" w:rsidRPr="00AB4037" w:rsidRDefault="005A6E7E" w:rsidP="00F35A7A">
      <w:pPr>
        <w:rPr>
          <w:rFonts w:cs="Open Sans"/>
        </w:rPr>
      </w:pPr>
    </w:p>
    <w:p w14:paraId="1E68F1E0" w14:textId="77777777" w:rsidR="00CA7736" w:rsidRPr="00AB4037" w:rsidRDefault="00E13187" w:rsidP="00F35A7A">
      <w:pPr>
        <w:rPr>
          <w:rFonts w:cs="Open Sans"/>
          <w:szCs w:val="24"/>
        </w:rPr>
      </w:pPr>
      <w:r w:rsidRPr="00AB4037">
        <w:rPr>
          <w:rFonts w:cs="Open Sans"/>
          <w:szCs w:val="24"/>
        </w:rPr>
        <w:t>The department</w:t>
      </w:r>
      <w:r w:rsidR="00F35A7A" w:rsidRPr="00AB4037">
        <w:rPr>
          <w:rFonts w:cs="Open Sans"/>
          <w:szCs w:val="24"/>
        </w:rPr>
        <w:t xml:space="preserve"> provided </w:t>
      </w:r>
      <w:r w:rsidRPr="00AB4037">
        <w:rPr>
          <w:rFonts w:cs="Open Sans"/>
          <w:szCs w:val="24"/>
        </w:rPr>
        <w:t>a</w:t>
      </w:r>
      <w:r w:rsidR="00F35A7A" w:rsidRPr="00AB4037">
        <w:rPr>
          <w:rFonts w:cs="Open Sans"/>
          <w:szCs w:val="24"/>
        </w:rPr>
        <w:t xml:space="preserve"> response to my findings and recommendations on</w:t>
      </w:r>
      <w:r w:rsidRPr="00AB4037">
        <w:rPr>
          <w:rFonts w:cs="Open Sans"/>
          <w:szCs w:val="24"/>
        </w:rPr>
        <w:t xml:space="preserve"> </w:t>
      </w:r>
      <w:r w:rsidR="00424B1B" w:rsidRPr="00AB4037">
        <w:rPr>
          <w:rFonts w:cs="Open Sans"/>
          <w:szCs w:val="24"/>
        </w:rPr>
        <w:t>1</w:t>
      </w:r>
      <w:r w:rsidR="00F8147F" w:rsidRPr="00AB4037">
        <w:rPr>
          <w:rFonts w:cs="Open Sans"/>
          <w:szCs w:val="24"/>
        </w:rPr>
        <w:t>0</w:t>
      </w:r>
      <w:r w:rsidR="005A7793">
        <w:rPr>
          <w:rFonts w:cs="Open Sans"/>
          <w:szCs w:val="24"/>
        </w:rPr>
        <w:t> </w:t>
      </w:r>
      <w:r w:rsidR="000F346F" w:rsidRPr="00AB4037">
        <w:rPr>
          <w:rFonts w:cs="Open Sans"/>
          <w:szCs w:val="24"/>
        </w:rPr>
        <w:t>October</w:t>
      </w:r>
      <w:r w:rsidR="00F8147F" w:rsidRPr="00AB4037">
        <w:rPr>
          <w:rFonts w:cs="Open Sans"/>
          <w:szCs w:val="24"/>
        </w:rPr>
        <w:t xml:space="preserve"> 2018</w:t>
      </w:r>
      <w:r w:rsidR="00F35A7A" w:rsidRPr="00AB4037">
        <w:rPr>
          <w:rFonts w:cs="Open Sans"/>
          <w:szCs w:val="24"/>
        </w:rPr>
        <w:t xml:space="preserve">. </w:t>
      </w:r>
      <w:r w:rsidRPr="00AB4037">
        <w:rPr>
          <w:rFonts w:cs="Open Sans"/>
          <w:szCs w:val="24"/>
        </w:rPr>
        <w:t>That response can be found</w:t>
      </w:r>
      <w:r w:rsidR="00626656">
        <w:rPr>
          <w:rFonts w:cs="Open Sans"/>
          <w:szCs w:val="24"/>
        </w:rPr>
        <w:t xml:space="preserve"> in Part 8 </w:t>
      </w:r>
      <w:r w:rsidR="00F35A7A" w:rsidRPr="00AB4037">
        <w:rPr>
          <w:rFonts w:cs="Open Sans"/>
          <w:szCs w:val="24"/>
        </w:rPr>
        <w:t>of this report.</w:t>
      </w:r>
      <w:r w:rsidR="00F423E7">
        <w:rPr>
          <w:rFonts w:cs="Open Sans"/>
          <w:szCs w:val="24"/>
        </w:rPr>
        <w:t xml:space="preserve"> The Department accepted my recommendation to refer the matter back to the current Minister for further consideration of the use of his public interest powers.</w:t>
      </w:r>
    </w:p>
    <w:p w14:paraId="3B13E329" w14:textId="77777777" w:rsidR="00F35A7A" w:rsidRDefault="00F35A7A" w:rsidP="00F35A7A">
      <w:pPr>
        <w:rPr>
          <w:rFonts w:cs="Open Sans"/>
          <w:szCs w:val="24"/>
        </w:rPr>
      </w:pPr>
      <w:r w:rsidRPr="00AB4037">
        <w:rPr>
          <w:rFonts w:cs="Open Sans"/>
          <w:szCs w:val="24"/>
        </w:rPr>
        <w:t>I enclose a copy of my report.</w:t>
      </w:r>
    </w:p>
    <w:p w14:paraId="04FE6BFF" w14:textId="77777777" w:rsidR="00ED149D" w:rsidRPr="00AB4037" w:rsidRDefault="00ED149D" w:rsidP="00F35A7A">
      <w:pPr>
        <w:rPr>
          <w:rFonts w:cs="Open Sans"/>
          <w:szCs w:val="24"/>
        </w:rPr>
      </w:pPr>
    </w:p>
    <w:p w14:paraId="2F81CFC8" w14:textId="77777777" w:rsidR="00535CD9" w:rsidRDefault="00F35A7A" w:rsidP="00F35A7A">
      <w:pPr>
        <w:rPr>
          <w:rFonts w:cs="Open Sans"/>
          <w:szCs w:val="24"/>
        </w:rPr>
      </w:pPr>
      <w:r w:rsidRPr="00AB4037">
        <w:rPr>
          <w:rFonts w:cs="Open Sans"/>
          <w:szCs w:val="24"/>
        </w:rPr>
        <w:t>Yours sincerely,</w:t>
      </w:r>
    </w:p>
    <w:p w14:paraId="220D03B3" w14:textId="7BD5DEBD" w:rsidR="00CA7736" w:rsidRDefault="00CA7736" w:rsidP="00F35A7A">
      <w:pPr>
        <w:rPr>
          <w:rFonts w:cs="Open Sans"/>
          <w:szCs w:val="24"/>
        </w:rPr>
      </w:pPr>
    </w:p>
    <w:p w14:paraId="6853ADE9" w14:textId="77777777" w:rsidR="00F35A7A" w:rsidRPr="00AB4037" w:rsidRDefault="00F35A7A" w:rsidP="00ED149D">
      <w:pPr>
        <w:spacing w:after="0"/>
        <w:rPr>
          <w:rFonts w:cs="Open Sans"/>
          <w:szCs w:val="24"/>
        </w:rPr>
      </w:pPr>
      <w:r w:rsidRPr="00AB4037">
        <w:rPr>
          <w:rFonts w:cs="Open Sans"/>
          <w:szCs w:val="24"/>
        </w:rPr>
        <w:t>Emeritus Professor Rosalind Croucher AM</w:t>
      </w:r>
    </w:p>
    <w:p w14:paraId="6D43B336" w14:textId="77777777" w:rsidR="00F35A7A" w:rsidRPr="00AB4037" w:rsidRDefault="00F35A7A" w:rsidP="00ED149D">
      <w:pPr>
        <w:spacing w:after="0"/>
        <w:rPr>
          <w:rFonts w:cs="Open Sans"/>
          <w:b/>
          <w:szCs w:val="24"/>
        </w:rPr>
      </w:pPr>
      <w:r w:rsidRPr="00AB4037">
        <w:rPr>
          <w:rFonts w:cs="Open Sans"/>
          <w:b/>
          <w:szCs w:val="24"/>
        </w:rPr>
        <w:t xml:space="preserve">President </w:t>
      </w:r>
    </w:p>
    <w:p w14:paraId="593F0A37" w14:textId="77777777" w:rsidR="00F35A7A" w:rsidRPr="00AB4037" w:rsidRDefault="00F35A7A" w:rsidP="00F72D73">
      <w:pPr>
        <w:rPr>
          <w:rFonts w:cs="Open Sans"/>
          <w:szCs w:val="24"/>
        </w:rPr>
      </w:pPr>
      <w:r w:rsidRPr="00AB4037">
        <w:rPr>
          <w:rFonts w:cs="Open Sans"/>
          <w:szCs w:val="24"/>
        </w:rPr>
        <w:t>Australian Human Rights Commission</w:t>
      </w:r>
    </w:p>
    <w:p w14:paraId="6277B386" w14:textId="3EE84770" w:rsidR="0057442C" w:rsidRDefault="00DD527E" w:rsidP="00F35A7A">
      <w:pPr>
        <w:rPr>
          <w:rFonts w:cs="Open Sans"/>
          <w:szCs w:val="24"/>
        </w:rPr>
      </w:pPr>
      <w:r>
        <w:rPr>
          <w:rFonts w:cs="Open Sans"/>
          <w:szCs w:val="24"/>
        </w:rPr>
        <w:t>October</w:t>
      </w:r>
      <w:r w:rsidR="0057442C">
        <w:rPr>
          <w:rFonts w:cs="Open Sans"/>
          <w:szCs w:val="24"/>
        </w:rPr>
        <w:t xml:space="preserve"> </w:t>
      </w:r>
      <w:r>
        <w:rPr>
          <w:rFonts w:cs="Open Sans"/>
          <w:szCs w:val="24"/>
        </w:rPr>
        <w:t>2018</w:t>
      </w:r>
    </w:p>
    <w:p w14:paraId="252F09D4" w14:textId="77777777" w:rsidR="00047511" w:rsidRDefault="00047511" w:rsidP="00F35A7A">
      <w:pPr>
        <w:rPr>
          <w:rFonts w:cs="Open Sans"/>
          <w:szCs w:val="24"/>
        </w:rPr>
      </w:pPr>
    </w:p>
    <w:p w14:paraId="1898BDF2" w14:textId="77777777" w:rsidR="00480909" w:rsidRDefault="00480909">
      <w:pPr>
        <w:rPr>
          <w:rFonts w:cs="Open Sans"/>
          <w:szCs w:val="24"/>
        </w:rPr>
      </w:pPr>
      <w:r>
        <w:rPr>
          <w:rFonts w:cs="Open Sans"/>
          <w:szCs w:val="24"/>
        </w:rPr>
        <w:br w:type="page"/>
      </w:r>
    </w:p>
    <w:sdt>
      <w:sdtPr>
        <w:rPr>
          <w:rFonts w:cs="Open Sans"/>
          <w:b w:val="0"/>
          <w:sz w:val="24"/>
          <w:lang w:val="en-AU"/>
        </w:rPr>
        <w:id w:val="-512752674"/>
        <w:docPartObj>
          <w:docPartGallery w:val="Table of Contents"/>
          <w:docPartUnique/>
        </w:docPartObj>
      </w:sdtPr>
      <w:sdtEndPr>
        <w:rPr>
          <w:bCs/>
          <w:noProof/>
        </w:rPr>
      </w:sdtEndPr>
      <w:sdtContent>
        <w:p w14:paraId="36BB9BAC" w14:textId="77777777" w:rsidR="008F3A9F" w:rsidRPr="00480909" w:rsidRDefault="008F3A9F" w:rsidP="008F3A9F">
          <w:pPr>
            <w:pStyle w:val="TOCHeading"/>
            <w:rPr>
              <w:rFonts w:cs="Open Sans"/>
              <w:sz w:val="32"/>
              <w:szCs w:val="32"/>
            </w:rPr>
          </w:pPr>
          <w:r w:rsidRPr="00480909">
            <w:rPr>
              <w:rFonts w:cs="Open Sans"/>
              <w:sz w:val="32"/>
              <w:szCs w:val="32"/>
            </w:rPr>
            <w:t>Contents</w:t>
          </w:r>
        </w:p>
        <w:p w14:paraId="564FD625" w14:textId="77777777" w:rsidR="00480909" w:rsidRDefault="00480909" w:rsidP="00480909">
          <w:pPr>
            <w:rPr>
              <w:lang w:val="en-US"/>
            </w:rPr>
          </w:pPr>
        </w:p>
        <w:p w14:paraId="4FD74047" w14:textId="77777777" w:rsidR="00480909" w:rsidRPr="00480909" w:rsidRDefault="00480909" w:rsidP="00480909">
          <w:pPr>
            <w:rPr>
              <w:lang w:val="en-US"/>
            </w:rPr>
          </w:pPr>
        </w:p>
        <w:p w14:paraId="36A96D3C" w14:textId="74A186C1" w:rsidR="00DD527E" w:rsidRDefault="008F3A9F">
          <w:pPr>
            <w:pStyle w:val="TOC1"/>
            <w:rPr>
              <w:rFonts w:asciiTheme="minorHAnsi" w:eastAsiaTheme="minorEastAsia" w:hAnsiTheme="minorHAnsi" w:cstheme="minorBidi"/>
              <w:b w:val="0"/>
              <w:noProof/>
              <w:spacing w:val="0"/>
              <w:szCs w:val="24"/>
              <w:lang w:val="it-IT" w:eastAsia="it-IT"/>
            </w:rPr>
          </w:pPr>
          <w:r w:rsidRPr="00AB4037">
            <w:rPr>
              <w:rFonts w:cs="Open Sans"/>
            </w:rPr>
            <w:fldChar w:fldCharType="begin"/>
          </w:r>
          <w:r w:rsidRPr="00AB4037">
            <w:rPr>
              <w:rFonts w:cs="Open Sans"/>
            </w:rPr>
            <w:instrText xml:space="preserve"> TOC \o "1-3" \h \z \u </w:instrText>
          </w:r>
          <w:r w:rsidRPr="00AB4037">
            <w:rPr>
              <w:rFonts w:cs="Open Sans"/>
            </w:rPr>
            <w:fldChar w:fldCharType="separate"/>
          </w:r>
          <w:hyperlink w:anchor="_Toc535564741" w:history="1">
            <w:r w:rsidR="00DD527E" w:rsidRPr="00633152">
              <w:rPr>
                <w:rStyle w:val="Hyperlink"/>
                <w:rFonts w:cs="Open Sans"/>
                <w:noProof/>
              </w:rPr>
              <w:t>1</w:t>
            </w:r>
            <w:r w:rsidR="00DD527E">
              <w:rPr>
                <w:rFonts w:asciiTheme="minorHAnsi" w:eastAsiaTheme="minorEastAsia" w:hAnsiTheme="minorHAnsi" w:cstheme="minorBidi"/>
                <w:b w:val="0"/>
                <w:noProof/>
                <w:spacing w:val="0"/>
                <w:szCs w:val="24"/>
                <w:lang w:val="it-IT" w:eastAsia="it-IT"/>
              </w:rPr>
              <w:tab/>
            </w:r>
            <w:r w:rsidR="00DD527E" w:rsidRPr="00633152">
              <w:rPr>
                <w:rStyle w:val="Hyperlink"/>
                <w:rFonts w:cs="Open Sans"/>
                <w:noProof/>
              </w:rPr>
              <w:t>Introduction to this inquiry</w:t>
            </w:r>
            <w:r w:rsidR="00DD527E">
              <w:rPr>
                <w:noProof/>
                <w:webHidden/>
              </w:rPr>
              <w:tab/>
            </w:r>
            <w:r w:rsidR="00DD527E">
              <w:rPr>
                <w:noProof/>
                <w:webHidden/>
              </w:rPr>
              <w:fldChar w:fldCharType="begin"/>
            </w:r>
            <w:r w:rsidR="00DD527E">
              <w:rPr>
                <w:noProof/>
                <w:webHidden/>
              </w:rPr>
              <w:instrText xml:space="preserve"> PAGEREF _Toc535564741 \h </w:instrText>
            </w:r>
            <w:r w:rsidR="00DD527E">
              <w:rPr>
                <w:noProof/>
                <w:webHidden/>
              </w:rPr>
            </w:r>
            <w:r w:rsidR="00DD527E">
              <w:rPr>
                <w:noProof/>
                <w:webHidden/>
              </w:rPr>
              <w:fldChar w:fldCharType="separate"/>
            </w:r>
            <w:r w:rsidR="00DD527E">
              <w:rPr>
                <w:noProof/>
                <w:webHidden/>
              </w:rPr>
              <w:t>7</w:t>
            </w:r>
            <w:r w:rsidR="00DD527E">
              <w:rPr>
                <w:noProof/>
                <w:webHidden/>
              </w:rPr>
              <w:fldChar w:fldCharType="end"/>
            </w:r>
          </w:hyperlink>
        </w:p>
        <w:p w14:paraId="1CD06B9E" w14:textId="23EEE64C" w:rsidR="00DD527E" w:rsidRDefault="00DF5590">
          <w:pPr>
            <w:pStyle w:val="TOC1"/>
            <w:rPr>
              <w:rFonts w:asciiTheme="minorHAnsi" w:eastAsiaTheme="minorEastAsia" w:hAnsiTheme="minorHAnsi" w:cstheme="minorBidi"/>
              <w:b w:val="0"/>
              <w:noProof/>
              <w:spacing w:val="0"/>
              <w:szCs w:val="24"/>
              <w:lang w:val="it-IT" w:eastAsia="it-IT"/>
            </w:rPr>
          </w:pPr>
          <w:hyperlink w:anchor="_Toc535564742" w:history="1">
            <w:r w:rsidR="00DD527E" w:rsidRPr="00633152">
              <w:rPr>
                <w:rStyle w:val="Hyperlink"/>
                <w:rFonts w:cs="Open Sans"/>
                <w:noProof/>
              </w:rPr>
              <w:t>2</w:t>
            </w:r>
            <w:r w:rsidR="00DD527E">
              <w:rPr>
                <w:rFonts w:asciiTheme="minorHAnsi" w:eastAsiaTheme="minorEastAsia" w:hAnsiTheme="minorHAnsi" w:cstheme="minorBidi"/>
                <w:b w:val="0"/>
                <w:noProof/>
                <w:spacing w:val="0"/>
                <w:szCs w:val="24"/>
                <w:lang w:val="it-IT" w:eastAsia="it-IT"/>
              </w:rPr>
              <w:tab/>
            </w:r>
            <w:r w:rsidR="00DD527E" w:rsidRPr="00633152">
              <w:rPr>
                <w:rStyle w:val="Hyperlink"/>
                <w:rFonts w:cs="Open Sans"/>
                <w:noProof/>
              </w:rPr>
              <w:t>Complaints</w:t>
            </w:r>
            <w:r w:rsidR="00DD527E">
              <w:rPr>
                <w:noProof/>
                <w:webHidden/>
              </w:rPr>
              <w:tab/>
            </w:r>
            <w:r w:rsidR="00DD527E">
              <w:rPr>
                <w:noProof/>
                <w:webHidden/>
              </w:rPr>
              <w:fldChar w:fldCharType="begin"/>
            </w:r>
            <w:r w:rsidR="00DD527E">
              <w:rPr>
                <w:noProof/>
                <w:webHidden/>
              </w:rPr>
              <w:instrText xml:space="preserve"> PAGEREF _Toc535564742 \h </w:instrText>
            </w:r>
            <w:r w:rsidR="00DD527E">
              <w:rPr>
                <w:noProof/>
                <w:webHidden/>
              </w:rPr>
            </w:r>
            <w:r w:rsidR="00DD527E">
              <w:rPr>
                <w:noProof/>
                <w:webHidden/>
              </w:rPr>
              <w:fldChar w:fldCharType="separate"/>
            </w:r>
            <w:r w:rsidR="00DD527E">
              <w:rPr>
                <w:noProof/>
                <w:webHidden/>
              </w:rPr>
              <w:t>8</w:t>
            </w:r>
            <w:r w:rsidR="00DD527E">
              <w:rPr>
                <w:noProof/>
                <w:webHidden/>
              </w:rPr>
              <w:fldChar w:fldCharType="end"/>
            </w:r>
          </w:hyperlink>
        </w:p>
        <w:p w14:paraId="02BD578E" w14:textId="1AC0F3E6" w:rsidR="00DD527E" w:rsidRDefault="00DF5590">
          <w:pPr>
            <w:pStyle w:val="TOC1"/>
            <w:rPr>
              <w:rFonts w:asciiTheme="minorHAnsi" w:eastAsiaTheme="minorEastAsia" w:hAnsiTheme="minorHAnsi" w:cstheme="minorBidi"/>
              <w:b w:val="0"/>
              <w:noProof/>
              <w:spacing w:val="0"/>
              <w:szCs w:val="24"/>
              <w:lang w:val="it-IT" w:eastAsia="it-IT"/>
            </w:rPr>
          </w:pPr>
          <w:hyperlink w:anchor="_Toc535564743" w:history="1">
            <w:r w:rsidR="00DD527E" w:rsidRPr="00633152">
              <w:rPr>
                <w:rStyle w:val="Hyperlink"/>
                <w:rFonts w:cs="Open Sans"/>
                <w:noProof/>
              </w:rPr>
              <w:t>3</w:t>
            </w:r>
            <w:r w:rsidR="00DD527E">
              <w:rPr>
                <w:rFonts w:asciiTheme="minorHAnsi" w:eastAsiaTheme="minorEastAsia" w:hAnsiTheme="minorHAnsi" w:cstheme="minorBidi"/>
                <w:b w:val="0"/>
                <w:noProof/>
                <w:spacing w:val="0"/>
                <w:szCs w:val="24"/>
                <w:lang w:val="it-IT" w:eastAsia="it-IT"/>
              </w:rPr>
              <w:tab/>
            </w:r>
            <w:r w:rsidR="00DD527E" w:rsidRPr="00633152">
              <w:rPr>
                <w:rStyle w:val="Hyperlink"/>
                <w:rFonts w:cs="Open Sans"/>
                <w:noProof/>
              </w:rPr>
              <w:t>Migration history</w:t>
            </w:r>
            <w:r w:rsidR="00DD527E">
              <w:rPr>
                <w:noProof/>
                <w:webHidden/>
              </w:rPr>
              <w:tab/>
            </w:r>
            <w:r w:rsidR="00DD527E">
              <w:rPr>
                <w:noProof/>
                <w:webHidden/>
              </w:rPr>
              <w:fldChar w:fldCharType="begin"/>
            </w:r>
            <w:r w:rsidR="00DD527E">
              <w:rPr>
                <w:noProof/>
                <w:webHidden/>
              </w:rPr>
              <w:instrText xml:space="preserve"> PAGEREF _Toc535564743 \h </w:instrText>
            </w:r>
            <w:r w:rsidR="00DD527E">
              <w:rPr>
                <w:noProof/>
                <w:webHidden/>
              </w:rPr>
            </w:r>
            <w:r w:rsidR="00DD527E">
              <w:rPr>
                <w:noProof/>
                <w:webHidden/>
              </w:rPr>
              <w:fldChar w:fldCharType="separate"/>
            </w:r>
            <w:r w:rsidR="00DD527E">
              <w:rPr>
                <w:noProof/>
                <w:webHidden/>
              </w:rPr>
              <w:t>10</w:t>
            </w:r>
            <w:r w:rsidR="00DD527E">
              <w:rPr>
                <w:noProof/>
                <w:webHidden/>
              </w:rPr>
              <w:fldChar w:fldCharType="end"/>
            </w:r>
          </w:hyperlink>
        </w:p>
        <w:p w14:paraId="34D49D2E" w14:textId="14648F3B" w:rsidR="00DD527E" w:rsidRDefault="00DF5590">
          <w:pPr>
            <w:pStyle w:val="TOC1"/>
            <w:rPr>
              <w:rFonts w:asciiTheme="minorHAnsi" w:eastAsiaTheme="minorEastAsia" w:hAnsiTheme="minorHAnsi" w:cstheme="minorBidi"/>
              <w:b w:val="0"/>
              <w:noProof/>
              <w:spacing w:val="0"/>
              <w:szCs w:val="24"/>
              <w:lang w:val="it-IT" w:eastAsia="it-IT"/>
            </w:rPr>
          </w:pPr>
          <w:hyperlink w:anchor="_Toc535564744" w:history="1">
            <w:r w:rsidR="00DD527E" w:rsidRPr="00633152">
              <w:rPr>
                <w:rStyle w:val="Hyperlink"/>
                <w:rFonts w:cs="Open Sans"/>
                <w:noProof/>
              </w:rPr>
              <w:t>4</w:t>
            </w:r>
            <w:r w:rsidR="00DD527E">
              <w:rPr>
                <w:rFonts w:asciiTheme="minorHAnsi" w:eastAsiaTheme="minorEastAsia" w:hAnsiTheme="minorHAnsi" w:cstheme="minorBidi"/>
                <w:b w:val="0"/>
                <w:noProof/>
                <w:spacing w:val="0"/>
                <w:szCs w:val="24"/>
                <w:lang w:val="it-IT" w:eastAsia="it-IT"/>
              </w:rPr>
              <w:tab/>
            </w:r>
            <w:r w:rsidR="00DD527E" w:rsidRPr="00633152">
              <w:rPr>
                <w:rStyle w:val="Hyperlink"/>
                <w:rFonts w:cs="Open Sans"/>
                <w:noProof/>
              </w:rPr>
              <w:t>Legislative framework</w:t>
            </w:r>
            <w:r w:rsidR="00DD527E">
              <w:rPr>
                <w:noProof/>
                <w:webHidden/>
              </w:rPr>
              <w:tab/>
            </w:r>
            <w:r w:rsidR="00DD527E">
              <w:rPr>
                <w:noProof/>
                <w:webHidden/>
              </w:rPr>
              <w:fldChar w:fldCharType="begin"/>
            </w:r>
            <w:r w:rsidR="00DD527E">
              <w:rPr>
                <w:noProof/>
                <w:webHidden/>
              </w:rPr>
              <w:instrText xml:space="preserve"> PAGEREF _Toc535564744 \h </w:instrText>
            </w:r>
            <w:r w:rsidR="00DD527E">
              <w:rPr>
                <w:noProof/>
                <w:webHidden/>
              </w:rPr>
            </w:r>
            <w:r w:rsidR="00DD527E">
              <w:rPr>
                <w:noProof/>
                <w:webHidden/>
              </w:rPr>
              <w:fldChar w:fldCharType="separate"/>
            </w:r>
            <w:r w:rsidR="00DD527E">
              <w:rPr>
                <w:noProof/>
                <w:webHidden/>
              </w:rPr>
              <w:t>13</w:t>
            </w:r>
            <w:r w:rsidR="00DD527E">
              <w:rPr>
                <w:noProof/>
                <w:webHidden/>
              </w:rPr>
              <w:fldChar w:fldCharType="end"/>
            </w:r>
          </w:hyperlink>
        </w:p>
        <w:p w14:paraId="5B9EC933" w14:textId="5EA88015" w:rsidR="00DD527E" w:rsidRDefault="00DF5590">
          <w:pPr>
            <w:pStyle w:val="TOC2"/>
            <w:tabs>
              <w:tab w:val="left" w:pos="1440"/>
            </w:tabs>
            <w:rPr>
              <w:rFonts w:asciiTheme="minorHAnsi" w:eastAsiaTheme="minorEastAsia" w:hAnsiTheme="minorHAnsi" w:cstheme="minorBidi"/>
              <w:b w:val="0"/>
              <w:noProof/>
              <w:spacing w:val="0"/>
              <w:szCs w:val="24"/>
              <w:lang w:val="it-IT" w:eastAsia="it-IT"/>
            </w:rPr>
          </w:pPr>
          <w:hyperlink w:anchor="_Toc535564745" w:history="1">
            <w:r w:rsidR="00DD527E" w:rsidRPr="00633152">
              <w:rPr>
                <w:rStyle w:val="Hyperlink"/>
                <w:noProof/>
              </w:rPr>
              <w:t>4.1</w:t>
            </w:r>
            <w:r w:rsidR="00DD527E">
              <w:rPr>
                <w:rFonts w:asciiTheme="minorHAnsi" w:eastAsiaTheme="minorEastAsia" w:hAnsiTheme="minorHAnsi" w:cstheme="minorBidi"/>
                <w:b w:val="0"/>
                <w:noProof/>
                <w:spacing w:val="0"/>
                <w:szCs w:val="24"/>
                <w:lang w:val="it-IT" w:eastAsia="it-IT"/>
              </w:rPr>
              <w:tab/>
            </w:r>
            <w:r w:rsidR="00DD527E" w:rsidRPr="00633152">
              <w:rPr>
                <w:rStyle w:val="Hyperlink"/>
                <w:noProof/>
              </w:rPr>
              <w:t>Functions of the Commission</w:t>
            </w:r>
            <w:r w:rsidR="00DD527E">
              <w:rPr>
                <w:noProof/>
                <w:webHidden/>
              </w:rPr>
              <w:tab/>
            </w:r>
            <w:r w:rsidR="00DD527E">
              <w:rPr>
                <w:noProof/>
                <w:webHidden/>
              </w:rPr>
              <w:fldChar w:fldCharType="begin"/>
            </w:r>
            <w:r w:rsidR="00DD527E">
              <w:rPr>
                <w:noProof/>
                <w:webHidden/>
              </w:rPr>
              <w:instrText xml:space="preserve"> PAGEREF _Toc535564745 \h </w:instrText>
            </w:r>
            <w:r w:rsidR="00DD527E">
              <w:rPr>
                <w:noProof/>
                <w:webHidden/>
              </w:rPr>
            </w:r>
            <w:r w:rsidR="00DD527E">
              <w:rPr>
                <w:noProof/>
                <w:webHidden/>
              </w:rPr>
              <w:fldChar w:fldCharType="separate"/>
            </w:r>
            <w:r w:rsidR="00DD527E">
              <w:rPr>
                <w:noProof/>
                <w:webHidden/>
              </w:rPr>
              <w:t>13</w:t>
            </w:r>
            <w:r w:rsidR="00DD527E">
              <w:rPr>
                <w:noProof/>
                <w:webHidden/>
              </w:rPr>
              <w:fldChar w:fldCharType="end"/>
            </w:r>
          </w:hyperlink>
        </w:p>
        <w:p w14:paraId="7599920D" w14:textId="57E0B6FC" w:rsidR="00DD527E" w:rsidRDefault="00DF5590">
          <w:pPr>
            <w:pStyle w:val="TOC2"/>
            <w:tabs>
              <w:tab w:val="left" w:pos="1440"/>
            </w:tabs>
            <w:rPr>
              <w:rFonts w:asciiTheme="minorHAnsi" w:eastAsiaTheme="minorEastAsia" w:hAnsiTheme="minorHAnsi" w:cstheme="minorBidi"/>
              <w:b w:val="0"/>
              <w:noProof/>
              <w:spacing w:val="0"/>
              <w:szCs w:val="24"/>
              <w:lang w:val="it-IT" w:eastAsia="it-IT"/>
            </w:rPr>
          </w:pPr>
          <w:hyperlink w:anchor="_Toc535564746" w:history="1">
            <w:r w:rsidR="00DD527E" w:rsidRPr="00633152">
              <w:rPr>
                <w:rStyle w:val="Hyperlink"/>
                <w:noProof/>
              </w:rPr>
              <w:t>4.2</w:t>
            </w:r>
            <w:r w:rsidR="00DD527E">
              <w:rPr>
                <w:rFonts w:asciiTheme="minorHAnsi" w:eastAsiaTheme="minorEastAsia" w:hAnsiTheme="minorHAnsi" w:cstheme="minorBidi"/>
                <w:b w:val="0"/>
                <w:noProof/>
                <w:spacing w:val="0"/>
                <w:szCs w:val="24"/>
                <w:lang w:val="it-IT" w:eastAsia="it-IT"/>
              </w:rPr>
              <w:tab/>
            </w:r>
            <w:r w:rsidR="00DD527E" w:rsidRPr="00633152">
              <w:rPr>
                <w:rStyle w:val="Hyperlink"/>
                <w:noProof/>
              </w:rPr>
              <w:t>What is a human right?</w:t>
            </w:r>
            <w:r w:rsidR="00DD527E">
              <w:rPr>
                <w:noProof/>
                <w:webHidden/>
              </w:rPr>
              <w:tab/>
            </w:r>
            <w:r w:rsidR="00DD527E">
              <w:rPr>
                <w:noProof/>
                <w:webHidden/>
              </w:rPr>
              <w:fldChar w:fldCharType="begin"/>
            </w:r>
            <w:r w:rsidR="00DD527E">
              <w:rPr>
                <w:noProof/>
                <w:webHidden/>
              </w:rPr>
              <w:instrText xml:space="preserve"> PAGEREF _Toc535564746 \h </w:instrText>
            </w:r>
            <w:r w:rsidR="00DD527E">
              <w:rPr>
                <w:noProof/>
                <w:webHidden/>
              </w:rPr>
            </w:r>
            <w:r w:rsidR="00DD527E">
              <w:rPr>
                <w:noProof/>
                <w:webHidden/>
              </w:rPr>
              <w:fldChar w:fldCharType="separate"/>
            </w:r>
            <w:r w:rsidR="00DD527E">
              <w:rPr>
                <w:noProof/>
                <w:webHidden/>
              </w:rPr>
              <w:t>13</w:t>
            </w:r>
            <w:r w:rsidR="00DD527E">
              <w:rPr>
                <w:noProof/>
                <w:webHidden/>
              </w:rPr>
              <w:fldChar w:fldCharType="end"/>
            </w:r>
          </w:hyperlink>
        </w:p>
        <w:p w14:paraId="1F84E57A" w14:textId="609AD2FD" w:rsidR="00DD527E" w:rsidRDefault="00DF5590">
          <w:pPr>
            <w:pStyle w:val="TOC2"/>
            <w:tabs>
              <w:tab w:val="left" w:pos="1440"/>
            </w:tabs>
            <w:rPr>
              <w:rFonts w:asciiTheme="minorHAnsi" w:eastAsiaTheme="minorEastAsia" w:hAnsiTheme="minorHAnsi" w:cstheme="minorBidi"/>
              <w:b w:val="0"/>
              <w:noProof/>
              <w:spacing w:val="0"/>
              <w:szCs w:val="24"/>
              <w:lang w:val="it-IT" w:eastAsia="it-IT"/>
            </w:rPr>
          </w:pPr>
          <w:hyperlink w:anchor="_Toc535564747" w:history="1">
            <w:r w:rsidR="00DD527E" w:rsidRPr="00633152">
              <w:rPr>
                <w:rStyle w:val="Hyperlink"/>
                <w:noProof/>
              </w:rPr>
              <w:t>4.3</w:t>
            </w:r>
            <w:r w:rsidR="00DD527E">
              <w:rPr>
                <w:rFonts w:asciiTheme="minorHAnsi" w:eastAsiaTheme="minorEastAsia" w:hAnsiTheme="minorHAnsi" w:cstheme="minorBidi"/>
                <w:b w:val="0"/>
                <w:noProof/>
                <w:spacing w:val="0"/>
                <w:szCs w:val="24"/>
                <w:lang w:val="it-IT" w:eastAsia="it-IT"/>
              </w:rPr>
              <w:tab/>
            </w:r>
            <w:r w:rsidR="00DD527E" w:rsidRPr="00633152">
              <w:rPr>
                <w:rStyle w:val="Hyperlink"/>
                <w:noProof/>
              </w:rPr>
              <w:t>What is an ‘act’ or ‘practice’</w:t>
            </w:r>
            <w:r w:rsidR="00DD527E">
              <w:rPr>
                <w:noProof/>
                <w:webHidden/>
              </w:rPr>
              <w:tab/>
            </w:r>
            <w:r w:rsidR="00DD527E">
              <w:rPr>
                <w:noProof/>
                <w:webHidden/>
              </w:rPr>
              <w:fldChar w:fldCharType="begin"/>
            </w:r>
            <w:r w:rsidR="00DD527E">
              <w:rPr>
                <w:noProof/>
                <w:webHidden/>
              </w:rPr>
              <w:instrText xml:space="preserve"> PAGEREF _Toc535564747 \h </w:instrText>
            </w:r>
            <w:r w:rsidR="00DD527E">
              <w:rPr>
                <w:noProof/>
                <w:webHidden/>
              </w:rPr>
            </w:r>
            <w:r w:rsidR="00DD527E">
              <w:rPr>
                <w:noProof/>
                <w:webHidden/>
              </w:rPr>
              <w:fldChar w:fldCharType="separate"/>
            </w:r>
            <w:r w:rsidR="00DD527E">
              <w:rPr>
                <w:noProof/>
                <w:webHidden/>
              </w:rPr>
              <w:t>14</w:t>
            </w:r>
            <w:r w:rsidR="00DD527E">
              <w:rPr>
                <w:noProof/>
                <w:webHidden/>
              </w:rPr>
              <w:fldChar w:fldCharType="end"/>
            </w:r>
          </w:hyperlink>
        </w:p>
        <w:p w14:paraId="48642A66" w14:textId="5B62FDC9" w:rsidR="00DD527E" w:rsidRDefault="00DF5590">
          <w:pPr>
            <w:pStyle w:val="TOC1"/>
            <w:rPr>
              <w:rFonts w:asciiTheme="minorHAnsi" w:eastAsiaTheme="minorEastAsia" w:hAnsiTheme="minorHAnsi" w:cstheme="minorBidi"/>
              <w:b w:val="0"/>
              <w:noProof/>
              <w:spacing w:val="0"/>
              <w:szCs w:val="24"/>
              <w:lang w:val="it-IT" w:eastAsia="it-IT"/>
            </w:rPr>
          </w:pPr>
          <w:hyperlink w:anchor="_Toc535564748" w:history="1">
            <w:r w:rsidR="00DD527E" w:rsidRPr="00633152">
              <w:rPr>
                <w:rStyle w:val="Hyperlink"/>
                <w:rFonts w:cs="Open Sans"/>
                <w:noProof/>
              </w:rPr>
              <w:t>5</w:t>
            </w:r>
            <w:r w:rsidR="00DD527E">
              <w:rPr>
                <w:rFonts w:asciiTheme="minorHAnsi" w:eastAsiaTheme="minorEastAsia" w:hAnsiTheme="minorHAnsi" w:cstheme="minorBidi"/>
                <w:b w:val="0"/>
                <w:noProof/>
                <w:spacing w:val="0"/>
                <w:szCs w:val="24"/>
                <w:lang w:val="it-IT" w:eastAsia="it-IT"/>
              </w:rPr>
              <w:tab/>
            </w:r>
            <w:r w:rsidR="00DD527E" w:rsidRPr="00633152">
              <w:rPr>
                <w:rStyle w:val="Hyperlink"/>
                <w:rFonts w:cs="Open Sans"/>
                <w:noProof/>
              </w:rPr>
              <w:t>Best interests of children</w:t>
            </w:r>
            <w:r w:rsidR="00DD527E">
              <w:rPr>
                <w:noProof/>
                <w:webHidden/>
              </w:rPr>
              <w:tab/>
            </w:r>
            <w:r w:rsidR="00DD527E">
              <w:rPr>
                <w:noProof/>
                <w:webHidden/>
              </w:rPr>
              <w:fldChar w:fldCharType="begin"/>
            </w:r>
            <w:r w:rsidR="00DD527E">
              <w:rPr>
                <w:noProof/>
                <w:webHidden/>
              </w:rPr>
              <w:instrText xml:space="preserve"> PAGEREF _Toc535564748 \h </w:instrText>
            </w:r>
            <w:r w:rsidR="00DD527E">
              <w:rPr>
                <w:noProof/>
                <w:webHidden/>
              </w:rPr>
            </w:r>
            <w:r w:rsidR="00DD527E">
              <w:rPr>
                <w:noProof/>
                <w:webHidden/>
              </w:rPr>
              <w:fldChar w:fldCharType="separate"/>
            </w:r>
            <w:r w:rsidR="00DD527E">
              <w:rPr>
                <w:noProof/>
                <w:webHidden/>
              </w:rPr>
              <w:t>15</w:t>
            </w:r>
            <w:r w:rsidR="00DD527E">
              <w:rPr>
                <w:noProof/>
                <w:webHidden/>
              </w:rPr>
              <w:fldChar w:fldCharType="end"/>
            </w:r>
          </w:hyperlink>
        </w:p>
        <w:p w14:paraId="45BB63EB" w14:textId="1B831019" w:rsidR="00DD527E" w:rsidRDefault="00DF5590">
          <w:pPr>
            <w:pStyle w:val="TOC2"/>
            <w:tabs>
              <w:tab w:val="left" w:pos="1440"/>
            </w:tabs>
            <w:rPr>
              <w:rFonts w:asciiTheme="minorHAnsi" w:eastAsiaTheme="minorEastAsia" w:hAnsiTheme="minorHAnsi" w:cstheme="minorBidi"/>
              <w:b w:val="0"/>
              <w:noProof/>
              <w:spacing w:val="0"/>
              <w:szCs w:val="24"/>
              <w:lang w:val="it-IT" w:eastAsia="it-IT"/>
            </w:rPr>
          </w:pPr>
          <w:hyperlink w:anchor="_Toc535564749" w:history="1">
            <w:r w:rsidR="00DD527E" w:rsidRPr="00633152">
              <w:rPr>
                <w:rStyle w:val="Hyperlink"/>
                <w:noProof/>
              </w:rPr>
              <w:t>5.1</w:t>
            </w:r>
            <w:r w:rsidR="00DD527E">
              <w:rPr>
                <w:rFonts w:asciiTheme="minorHAnsi" w:eastAsiaTheme="minorEastAsia" w:hAnsiTheme="minorHAnsi" w:cstheme="minorBidi"/>
                <w:b w:val="0"/>
                <w:noProof/>
                <w:spacing w:val="0"/>
                <w:szCs w:val="24"/>
                <w:lang w:val="it-IT" w:eastAsia="it-IT"/>
              </w:rPr>
              <w:tab/>
            </w:r>
            <w:r w:rsidR="00DD527E" w:rsidRPr="00633152">
              <w:rPr>
                <w:rStyle w:val="Hyperlink"/>
                <w:noProof/>
              </w:rPr>
              <w:t>The department’s referrals to the Minister</w:t>
            </w:r>
            <w:r w:rsidR="00DD527E">
              <w:rPr>
                <w:noProof/>
                <w:webHidden/>
              </w:rPr>
              <w:tab/>
            </w:r>
            <w:r w:rsidR="00DD527E">
              <w:rPr>
                <w:noProof/>
                <w:webHidden/>
              </w:rPr>
              <w:fldChar w:fldCharType="begin"/>
            </w:r>
            <w:r w:rsidR="00DD527E">
              <w:rPr>
                <w:noProof/>
                <w:webHidden/>
              </w:rPr>
              <w:instrText xml:space="preserve"> PAGEREF _Toc535564749 \h </w:instrText>
            </w:r>
            <w:r w:rsidR="00DD527E">
              <w:rPr>
                <w:noProof/>
                <w:webHidden/>
              </w:rPr>
            </w:r>
            <w:r w:rsidR="00DD527E">
              <w:rPr>
                <w:noProof/>
                <w:webHidden/>
              </w:rPr>
              <w:fldChar w:fldCharType="separate"/>
            </w:r>
            <w:r w:rsidR="00DD527E">
              <w:rPr>
                <w:noProof/>
                <w:webHidden/>
              </w:rPr>
              <w:t>17</w:t>
            </w:r>
            <w:r w:rsidR="00DD527E">
              <w:rPr>
                <w:noProof/>
                <w:webHidden/>
              </w:rPr>
              <w:fldChar w:fldCharType="end"/>
            </w:r>
          </w:hyperlink>
        </w:p>
        <w:p w14:paraId="40F5188B" w14:textId="2EE85B8F" w:rsidR="00DD527E" w:rsidRDefault="00DF5590">
          <w:pPr>
            <w:pStyle w:val="TOC1"/>
            <w:rPr>
              <w:rFonts w:asciiTheme="minorHAnsi" w:eastAsiaTheme="minorEastAsia" w:hAnsiTheme="minorHAnsi" w:cstheme="minorBidi"/>
              <w:b w:val="0"/>
              <w:noProof/>
              <w:spacing w:val="0"/>
              <w:szCs w:val="24"/>
              <w:lang w:val="it-IT" w:eastAsia="it-IT"/>
            </w:rPr>
          </w:pPr>
          <w:hyperlink w:anchor="_Toc535564750" w:history="1">
            <w:r w:rsidR="00DD527E" w:rsidRPr="00633152">
              <w:rPr>
                <w:rStyle w:val="Hyperlink"/>
                <w:rFonts w:cs="Open Sans"/>
                <w:noProof/>
              </w:rPr>
              <w:t>6</w:t>
            </w:r>
            <w:r w:rsidR="00DD527E">
              <w:rPr>
                <w:rFonts w:asciiTheme="minorHAnsi" w:eastAsiaTheme="minorEastAsia" w:hAnsiTheme="minorHAnsi" w:cstheme="minorBidi"/>
                <w:b w:val="0"/>
                <w:noProof/>
                <w:spacing w:val="0"/>
                <w:szCs w:val="24"/>
                <w:lang w:val="it-IT" w:eastAsia="it-IT"/>
              </w:rPr>
              <w:tab/>
            </w:r>
            <w:r w:rsidR="00DD527E" w:rsidRPr="00633152">
              <w:rPr>
                <w:rStyle w:val="Hyperlink"/>
                <w:rFonts w:cs="Open Sans"/>
                <w:noProof/>
              </w:rPr>
              <w:t>Arb</w:t>
            </w:r>
            <w:r w:rsidR="00DD527E" w:rsidRPr="00633152">
              <w:rPr>
                <w:rStyle w:val="Hyperlink"/>
                <w:noProof/>
              </w:rPr>
              <w:t>itrary</w:t>
            </w:r>
            <w:r w:rsidR="00DD527E" w:rsidRPr="00633152">
              <w:rPr>
                <w:rStyle w:val="Hyperlink"/>
                <w:rFonts w:cs="Open Sans"/>
                <w:noProof/>
              </w:rPr>
              <w:t xml:space="preserve"> or unlawful interference with family</w:t>
            </w:r>
            <w:r w:rsidR="00DD527E">
              <w:rPr>
                <w:noProof/>
                <w:webHidden/>
              </w:rPr>
              <w:tab/>
            </w:r>
            <w:r w:rsidR="00DD527E">
              <w:rPr>
                <w:noProof/>
                <w:webHidden/>
              </w:rPr>
              <w:fldChar w:fldCharType="begin"/>
            </w:r>
            <w:r w:rsidR="00DD527E">
              <w:rPr>
                <w:noProof/>
                <w:webHidden/>
              </w:rPr>
              <w:instrText xml:space="preserve"> PAGEREF _Toc535564750 \h </w:instrText>
            </w:r>
            <w:r w:rsidR="00DD527E">
              <w:rPr>
                <w:noProof/>
                <w:webHidden/>
              </w:rPr>
            </w:r>
            <w:r w:rsidR="00DD527E">
              <w:rPr>
                <w:noProof/>
                <w:webHidden/>
              </w:rPr>
              <w:fldChar w:fldCharType="separate"/>
            </w:r>
            <w:r w:rsidR="00DD527E">
              <w:rPr>
                <w:noProof/>
                <w:webHidden/>
              </w:rPr>
              <w:t>20</w:t>
            </w:r>
            <w:r w:rsidR="00DD527E">
              <w:rPr>
                <w:noProof/>
                <w:webHidden/>
              </w:rPr>
              <w:fldChar w:fldCharType="end"/>
            </w:r>
          </w:hyperlink>
        </w:p>
        <w:p w14:paraId="15BB7519" w14:textId="618466E4" w:rsidR="00DD527E" w:rsidRDefault="00DF5590">
          <w:pPr>
            <w:pStyle w:val="TOC2"/>
            <w:tabs>
              <w:tab w:val="left" w:pos="1440"/>
            </w:tabs>
            <w:rPr>
              <w:rFonts w:asciiTheme="minorHAnsi" w:eastAsiaTheme="minorEastAsia" w:hAnsiTheme="minorHAnsi" w:cstheme="minorBidi"/>
              <w:b w:val="0"/>
              <w:noProof/>
              <w:spacing w:val="0"/>
              <w:szCs w:val="24"/>
              <w:lang w:val="it-IT" w:eastAsia="it-IT"/>
            </w:rPr>
          </w:pPr>
          <w:hyperlink w:anchor="_Toc535564751" w:history="1">
            <w:r w:rsidR="00DD527E" w:rsidRPr="00633152">
              <w:rPr>
                <w:rStyle w:val="Hyperlink"/>
                <w:noProof/>
              </w:rPr>
              <w:t>6.1</w:t>
            </w:r>
            <w:r w:rsidR="00DD527E">
              <w:rPr>
                <w:rFonts w:asciiTheme="minorHAnsi" w:eastAsiaTheme="minorEastAsia" w:hAnsiTheme="minorHAnsi" w:cstheme="minorBidi"/>
                <w:b w:val="0"/>
                <w:noProof/>
                <w:spacing w:val="0"/>
                <w:szCs w:val="24"/>
                <w:lang w:val="it-IT" w:eastAsia="it-IT"/>
              </w:rPr>
              <w:tab/>
            </w:r>
            <w:r w:rsidR="00DD527E" w:rsidRPr="00633152">
              <w:rPr>
                <w:rStyle w:val="Hyperlink"/>
                <w:noProof/>
              </w:rPr>
              <w:t>Interference</w:t>
            </w:r>
            <w:r w:rsidR="00DD527E">
              <w:rPr>
                <w:noProof/>
                <w:webHidden/>
              </w:rPr>
              <w:tab/>
            </w:r>
            <w:r w:rsidR="00DD527E">
              <w:rPr>
                <w:noProof/>
                <w:webHidden/>
              </w:rPr>
              <w:fldChar w:fldCharType="begin"/>
            </w:r>
            <w:r w:rsidR="00DD527E">
              <w:rPr>
                <w:noProof/>
                <w:webHidden/>
              </w:rPr>
              <w:instrText xml:space="preserve"> PAGEREF _Toc535564751 \h </w:instrText>
            </w:r>
            <w:r w:rsidR="00DD527E">
              <w:rPr>
                <w:noProof/>
                <w:webHidden/>
              </w:rPr>
            </w:r>
            <w:r w:rsidR="00DD527E">
              <w:rPr>
                <w:noProof/>
                <w:webHidden/>
              </w:rPr>
              <w:fldChar w:fldCharType="separate"/>
            </w:r>
            <w:r w:rsidR="00DD527E">
              <w:rPr>
                <w:noProof/>
                <w:webHidden/>
              </w:rPr>
              <w:t>20</w:t>
            </w:r>
            <w:r w:rsidR="00DD527E">
              <w:rPr>
                <w:noProof/>
                <w:webHidden/>
              </w:rPr>
              <w:fldChar w:fldCharType="end"/>
            </w:r>
          </w:hyperlink>
        </w:p>
        <w:p w14:paraId="53880970" w14:textId="5CB20985" w:rsidR="00DD527E" w:rsidRDefault="00DF5590">
          <w:pPr>
            <w:pStyle w:val="TOC2"/>
            <w:tabs>
              <w:tab w:val="left" w:pos="1440"/>
            </w:tabs>
            <w:rPr>
              <w:rFonts w:asciiTheme="minorHAnsi" w:eastAsiaTheme="minorEastAsia" w:hAnsiTheme="minorHAnsi" w:cstheme="minorBidi"/>
              <w:b w:val="0"/>
              <w:noProof/>
              <w:spacing w:val="0"/>
              <w:szCs w:val="24"/>
              <w:lang w:val="it-IT" w:eastAsia="it-IT"/>
            </w:rPr>
          </w:pPr>
          <w:hyperlink w:anchor="_Toc535564752" w:history="1">
            <w:r w:rsidR="00DD527E" w:rsidRPr="00633152">
              <w:rPr>
                <w:rStyle w:val="Hyperlink"/>
                <w:noProof/>
              </w:rPr>
              <w:t>6.2</w:t>
            </w:r>
            <w:r w:rsidR="00DD527E">
              <w:rPr>
                <w:rFonts w:asciiTheme="minorHAnsi" w:eastAsiaTheme="minorEastAsia" w:hAnsiTheme="minorHAnsi" w:cstheme="minorBidi"/>
                <w:b w:val="0"/>
                <w:noProof/>
                <w:spacing w:val="0"/>
                <w:szCs w:val="24"/>
                <w:lang w:val="it-IT" w:eastAsia="it-IT"/>
              </w:rPr>
              <w:tab/>
            </w:r>
            <w:r w:rsidR="00DD527E" w:rsidRPr="00633152">
              <w:rPr>
                <w:rStyle w:val="Hyperlink"/>
                <w:noProof/>
              </w:rPr>
              <w:t>Arbitrary or unlawful</w:t>
            </w:r>
            <w:r w:rsidR="00DD527E">
              <w:rPr>
                <w:noProof/>
                <w:webHidden/>
              </w:rPr>
              <w:tab/>
            </w:r>
            <w:r w:rsidR="00DD527E">
              <w:rPr>
                <w:noProof/>
                <w:webHidden/>
              </w:rPr>
              <w:fldChar w:fldCharType="begin"/>
            </w:r>
            <w:r w:rsidR="00DD527E">
              <w:rPr>
                <w:noProof/>
                <w:webHidden/>
              </w:rPr>
              <w:instrText xml:space="preserve"> PAGEREF _Toc535564752 \h </w:instrText>
            </w:r>
            <w:r w:rsidR="00DD527E">
              <w:rPr>
                <w:noProof/>
                <w:webHidden/>
              </w:rPr>
            </w:r>
            <w:r w:rsidR="00DD527E">
              <w:rPr>
                <w:noProof/>
                <w:webHidden/>
              </w:rPr>
              <w:fldChar w:fldCharType="separate"/>
            </w:r>
            <w:r w:rsidR="00DD527E">
              <w:rPr>
                <w:noProof/>
                <w:webHidden/>
              </w:rPr>
              <w:t>23</w:t>
            </w:r>
            <w:r w:rsidR="00DD527E">
              <w:rPr>
                <w:noProof/>
                <w:webHidden/>
              </w:rPr>
              <w:fldChar w:fldCharType="end"/>
            </w:r>
          </w:hyperlink>
        </w:p>
        <w:p w14:paraId="24DEE0DC" w14:textId="22765633" w:rsidR="00DD527E" w:rsidRDefault="00DF5590">
          <w:pPr>
            <w:pStyle w:val="TOC1"/>
            <w:rPr>
              <w:rFonts w:asciiTheme="minorHAnsi" w:eastAsiaTheme="minorEastAsia" w:hAnsiTheme="minorHAnsi" w:cstheme="minorBidi"/>
              <w:b w:val="0"/>
              <w:noProof/>
              <w:spacing w:val="0"/>
              <w:szCs w:val="24"/>
              <w:lang w:val="it-IT" w:eastAsia="it-IT"/>
            </w:rPr>
          </w:pPr>
          <w:hyperlink w:anchor="_Toc535564753" w:history="1">
            <w:r w:rsidR="00DD527E" w:rsidRPr="00633152">
              <w:rPr>
                <w:rStyle w:val="Hyperlink"/>
                <w:rFonts w:cs="Open Sans"/>
                <w:noProof/>
              </w:rPr>
              <w:t>7</w:t>
            </w:r>
            <w:r w:rsidR="00DD527E">
              <w:rPr>
                <w:rFonts w:asciiTheme="minorHAnsi" w:eastAsiaTheme="minorEastAsia" w:hAnsiTheme="minorHAnsi" w:cstheme="minorBidi"/>
                <w:b w:val="0"/>
                <w:noProof/>
                <w:spacing w:val="0"/>
                <w:szCs w:val="24"/>
                <w:lang w:val="it-IT" w:eastAsia="it-IT"/>
              </w:rPr>
              <w:tab/>
            </w:r>
            <w:r w:rsidR="00DD527E" w:rsidRPr="00633152">
              <w:rPr>
                <w:rStyle w:val="Hyperlink"/>
                <w:rFonts w:cs="Open Sans"/>
                <w:noProof/>
              </w:rPr>
              <w:t>Recommendations</w:t>
            </w:r>
            <w:r w:rsidR="00DD527E">
              <w:rPr>
                <w:noProof/>
                <w:webHidden/>
              </w:rPr>
              <w:tab/>
            </w:r>
            <w:r w:rsidR="00DD527E">
              <w:rPr>
                <w:noProof/>
                <w:webHidden/>
              </w:rPr>
              <w:fldChar w:fldCharType="begin"/>
            </w:r>
            <w:r w:rsidR="00DD527E">
              <w:rPr>
                <w:noProof/>
                <w:webHidden/>
              </w:rPr>
              <w:instrText xml:space="preserve"> PAGEREF _Toc535564753 \h </w:instrText>
            </w:r>
            <w:r w:rsidR="00DD527E">
              <w:rPr>
                <w:noProof/>
                <w:webHidden/>
              </w:rPr>
            </w:r>
            <w:r w:rsidR="00DD527E">
              <w:rPr>
                <w:noProof/>
                <w:webHidden/>
              </w:rPr>
              <w:fldChar w:fldCharType="separate"/>
            </w:r>
            <w:r w:rsidR="00DD527E">
              <w:rPr>
                <w:noProof/>
                <w:webHidden/>
              </w:rPr>
              <w:t>25</w:t>
            </w:r>
            <w:r w:rsidR="00DD527E">
              <w:rPr>
                <w:noProof/>
                <w:webHidden/>
              </w:rPr>
              <w:fldChar w:fldCharType="end"/>
            </w:r>
          </w:hyperlink>
        </w:p>
        <w:p w14:paraId="1565233A" w14:textId="0838F46D" w:rsidR="00DD527E" w:rsidRDefault="00DF5590">
          <w:pPr>
            <w:pStyle w:val="TOC1"/>
            <w:rPr>
              <w:rFonts w:asciiTheme="minorHAnsi" w:eastAsiaTheme="minorEastAsia" w:hAnsiTheme="minorHAnsi" w:cstheme="minorBidi"/>
              <w:b w:val="0"/>
              <w:noProof/>
              <w:spacing w:val="0"/>
              <w:szCs w:val="24"/>
              <w:lang w:val="it-IT" w:eastAsia="it-IT"/>
            </w:rPr>
          </w:pPr>
          <w:hyperlink w:anchor="_Toc535564754" w:history="1">
            <w:r w:rsidR="00DD527E" w:rsidRPr="00633152">
              <w:rPr>
                <w:rStyle w:val="Hyperlink"/>
                <w:rFonts w:cs="Open Sans"/>
                <w:noProof/>
              </w:rPr>
              <w:t>8</w:t>
            </w:r>
            <w:r w:rsidR="00DD527E">
              <w:rPr>
                <w:rFonts w:asciiTheme="minorHAnsi" w:eastAsiaTheme="minorEastAsia" w:hAnsiTheme="minorHAnsi" w:cstheme="minorBidi"/>
                <w:b w:val="0"/>
                <w:noProof/>
                <w:spacing w:val="0"/>
                <w:szCs w:val="24"/>
                <w:lang w:val="it-IT" w:eastAsia="it-IT"/>
              </w:rPr>
              <w:tab/>
            </w:r>
            <w:r w:rsidR="00DD527E" w:rsidRPr="00633152">
              <w:rPr>
                <w:rStyle w:val="Hyperlink"/>
                <w:rFonts w:cs="Open Sans"/>
                <w:noProof/>
              </w:rPr>
              <w:t>The department’s response to my findings and recommendations</w:t>
            </w:r>
            <w:r w:rsidR="00DD527E">
              <w:rPr>
                <w:noProof/>
                <w:webHidden/>
              </w:rPr>
              <w:tab/>
            </w:r>
            <w:r w:rsidR="00DD527E">
              <w:rPr>
                <w:noProof/>
                <w:webHidden/>
              </w:rPr>
              <w:fldChar w:fldCharType="begin"/>
            </w:r>
            <w:r w:rsidR="00DD527E">
              <w:rPr>
                <w:noProof/>
                <w:webHidden/>
              </w:rPr>
              <w:instrText xml:space="preserve"> PAGEREF _Toc535564754 \h </w:instrText>
            </w:r>
            <w:r w:rsidR="00DD527E">
              <w:rPr>
                <w:noProof/>
                <w:webHidden/>
              </w:rPr>
            </w:r>
            <w:r w:rsidR="00DD527E">
              <w:rPr>
                <w:noProof/>
                <w:webHidden/>
              </w:rPr>
              <w:fldChar w:fldCharType="separate"/>
            </w:r>
            <w:r w:rsidR="00DD527E">
              <w:rPr>
                <w:noProof/>
                <w:webHidden/>
              </w:rPr>
              <w:t>27</w:t>
            </w:r>
            <w:r w:rsidR="00DD527E">
              <w:rPr>
                <w:noProof/>
                <w:webHidden/>
              </w:rPr>
              <w:fldChar w:fldCharType="end"/>
            </w:r>
          </w:hyperlink>
        </w:p>
        <w:p w14:paraId="1D2EA459" w14:textId="27BDC7DF" w:rsidR="008F3A9F" w:rsidRPr="00AB4037" w:rsidRDefault="008F3A9F" w:rsidP="008F3A9F">
          <w:pPr>
            <w:rPr>
              <w:rFonts w:cs="Open Sans"/>
            </w:rPr>
          </w:pPr>
          <w:r w:rsidRPr="00AB4037">
            <w:rPr>
              <w:rFonts w:cs="Open Sans"/>
              <w:b/>
              <w:bCs/>
              <w:noProof/>
            </w:rPr>
            <w:fldChar w:fldCharType="end"/>
          </w:r>
        </w:p>
      </w:sdtContent>
    </w:sdt>
    <w:p w14:paraId="2163BEC7" w14:textId="77777777" w:rsidR="00480909" w:rsidRDefault="00480909">
      <w:pPr>
        <w:rPr>
          <w:rFonts w:cs="Open Sans"/>
        </w:rPr>
      </w:pPr>
      <w:r>
        <w:rPr>
          <w:rFonts w:cs="Open Sans"/>
        </w:rPr>
        <w:br w:type="page"/>
      </w:r>
    </w:p>
    <w:p w14:paraId="0A9AA6F9" w14:textId="77777777" w:rsidR="00E0039D" w:rsidRPr="00AB4037" w:rsidRDefault="00E0039D" w:rsidP="00E0039D">
      <w:pPr>
        <w:pStyle w:val="Heading1"/>
        <w:rPr>
          <w:rFonts w:cs="Open Sans"/>
        </w:rPr>
      </w:pPr>
      <w:bookmarkStart w:id="0" w:name="_Toc452472689"/>
      <w:bookmarkStart w:id="1" w:name="_Toc487445596"/>
      <w:bookmarkStart w:id="2" w:name="_Toc487531381"/>
      <w:bookmarkStart w:id="3" w:name="_Toc487531400"/>
      <w:bookmarkStart w:id="4" w:name="_Toc487531470"/>
      <w:bookmarkStart w:id="5" w:name="_Toc487531590"/>
      <w:bookmarkStart w:id="6" w:name="_Toc522262476"/>
      <w:bookmarkStart w:id="7" w:name="_Toc535564741"/>
      <w:r w:rsidRPr="00AB4037">
        <w:rPr>
          <w:rFonts w:cs="Open Sans"/>
        </w:rPr>
        <w:lastRenderedPageBreak/>
        <w:t>Introduction to this inquiry</w:t>
      </w:r>
      <w:bookmarkEnd w:id="0"/>
      <w:bookmarkEnd w:id="1"/>
      <w:bookmarkEnd w:id="2"/>
      <w:bookmarkEnd w:id="3"/>
      <w:bookmarkEnd w:id="4"/>
      <w:bookmarkEnd w:id="5"/>
      <w:bookmarkEnd w:id="6"/>
      <w:bookmarkEnd w:id="7"/>
    </w:p>
    <w:p w14:paraId="6A04474A" w14:textId="77777777" w:rsidR="00E0039D" w:rsidRPr="00AB4037" w:rsidRDefault="00E0039D" w:rsidP="00E0039D">
      <w:pPr>
        <w:numPr>
          <w:ilvl w:val="0"/>
          <w:numId w:val="29"/>
        </w:numPr>
        <w:spacing w:before="240"/>
        <w:rPr>
          <w:rFonts w:cs="Open Sans"/>
          <w:szCs w:val="24"/>
        </w:rPr>
      </w:pPr>
      <w:bookmarkStart w:id="8" w:name="_Toc430854474"/>
      <w:bookmarkStart w:id="9" w:name="_Toc435187441"/>
      <w:bookmarkStart w:id="10" w:name="_Toc453855975"/>
      <w:bookmarkStart w:id="11" w:name="_Toc453856985"/>
      <w:r w:rsidRPr="00AB4037">
        <w:rPr>
          <w:rFonts w:cs="Open Sans"/>
          <w:szCs w:val="24"/>
        </w:rPr>
        <w:t xml:space="preserve">This is a </w:t>
      </w:r>
      <w:r w:rsidR="005D058C">
        <w:rPr>
          <w:rFonts w:cs="Open Sans"/>
          <w:szCs w:val="24"/>
        </w:rPr>
        <w:t>report</w:t>
      </w:r>
      <w:r w:rsidRPr="00AB4037">
        <w:rPr>
          <w:rFonts w:cs="Open Sans"/>
          <w:szCs w:val="24"/>
        </w:rPr>
        <w:t xml:space="preserve"> setting out the findings of the Australian Human Rights Commission (Commission) following an inquiry into a complaint by Ms HM and Master YM agains</w:t>
      </w:r>
      <w:r w:rsidR="0010012C">
        <w:rPr>
          <w:rFonts w:cs="Open Sans"/>
          <w:szCs w:val="24"/>
        </w:rPr>
        <w:t>t the Commonwealth of Australia</w:t>
      </w:r>
      <w:r w:rsidRPr="00AB4037">
        <w:rPr>
          <w:rFonts w:cs="Open Sans"/>
          <w:szCs w:val="24"/>
        </w:rPr>
        <w:t>—</w:t>
      </w:r>
      <w:r w:rsidRPr="00AB4037">
        <w:rPr>
          <w:rFonts w:cs="Open Sans"/>
        </w:rPr>
        <w:t>specifically, against the former Department of Immigration and Border Protection and now the Department of Home Affairs (department) alleging breaches of his human rights.</w:t>
      </w:r>
      <w:bookmarkEnd w:id="8"/>
      <w:bookmarkEnd w:id="9"/>
      <w:bookmarkEnd w:id="10"/>
      <w:bookmarkEnd w:id="11"/>
    </w:p>
    <w:p w14:paraId="412FE1DC" w14:textId="77777777" w:rsidR="00E0039D" w:rsidRPr="00AB4037" w:rsidRDefault="00E0039D" w:rsidP="00E0039D">
      <w:pPr>
        <w:pStyle w:val="ListParagraph"/>
        <w:numPr>
          <w:ilvl w:val="0"/>
          <w:numId w:val="29"/>
        </w:numPr>
        <w:spacing w:before="240"/>
        <w:contextualSpacing w:val="0"/>
        <w:rPr>
          <w:rFonts w:cs="Open Sans"/>
          <w:szCs w:val="24"/>
        </w:rPr>
      </w:pPr>
      <w:r w:rsidRPr="00AB4037">
        <w:rPr>
          <w:rFonts w:cs="Open Sans"/>
          <w:szCs w:val="24"/>
        </w:rPr>
        <w:t>Ms HM’s son, Master YM, was born in Australia and acquired Australian citizenship when he turned 10 years of age. He was 15 years of age at the time of Ms HM’s complaint to the Commission.</w:t>
      </w:r>
    </w:p>
    <w:p w14:paraId="64F8980D" w14:textId="77777777" w:rsidR="00E0039D" w:rsidRPr="00AB4037" w:rsidRDefault="00E0039D" w:rsidP="00E0039D">
      <w:pPr>
        <w:pStyle w:val="ListParagraph"/>
        <w:numPr>
          <w:ilvl w:val="0"/>
          <w:numId w:val="29"/>
        </w:numPr>
        <w:spacing w:before="240"/>
        <w:contextualSpacing w:val="0"/>
        <w:rPr>
          <w:rFonts w:cs="Open Sans"/>
          <w:szCs w:val="24"/>
        </w:rPr>
      </w:pPr>
      <w:r w:rsidRPr="00AB4037">
        <w:rPr>
          <w:rFonts w:cs="Open Sans"/>
          <w:szCs w:val="24"/>
        </w:rPr>
        <w:t>Ms HM is a South Korean citizen who arrived in Australia with her then husband and two daughters on 3 September 1998. Ms HM departed Australia in July 2016 after the then Assistant Minister for Immigration and Border Protection</w:t>
      </w:r>
      <w:r w:rsidR="00245EC9">
        <w:rPr>
          <w:rFonts w:cs="Open Sans"/>
          <w:szCs w:val="24"/>
        </w:rPr>
        <w:t xml:space="preserve"> (Assistant Minister)</w:t>
      </w:r>
      <w:r w:rsidRPr="00AB4037">
        <w:rPr>
          <w:rFonts w:cs="Open Sans"/>
          <w:szCs w:val="24"/>
        </w:rPr>
        <w:t xml:space="preserve"> declined to exercise her public interest power under s 417 of the </w:t>
      </w:r>
      <w:r w:rsidRPr="00AB4037">
        <w:rPr>
          <w:rFonts w:cs="Open Sans"/>
          <w:i/>
          <w:szCs w:val="24"/>
        </w:rPr>
        <w:t xml:space="preserve">Migration Act 1958 </w:t>
      </w:r>
      <w:r w:rsidRPr="00AB4037">
        <w:rPr>
          <w:rFonts w:cs="Open Sans"/>
          <w:szCs w:val="24"/>
        </w:rPr>
        <w:t>(</w:t>
      </w:r>
      <w:proofErr w:type="spellStart"/>
      <w:r w:rsidRPr="00AB4037">
        <w:rPr>
          <w:rFonts w:cs="Open Sans"/>
          <w:szCs w:val="24"/>
        </w:rPr>
        <w:t>Cth</w:t>
      </w:r>
      <w:proofErr w:type="spellEnd"/>
      <w:r w:rsidRPr="00AB4037">
        <w:rPr>
          <w:rFonts w:cs="Open Sans"/>
          <w:szCs w:val="24"/>
        </w:rPr>
        <w:t xml:space="preserve">) </w:t>
      </w:r>
      <w:r w:rsidR="004F26E5">
        <w:rPr>
          <w:rFonts w:cs="Open Sans"/>
          <w:szCs w:val="24"/>
        </w:rPr>
        <w:t xml:space="preserve">(Migration Act) </w:t>
      </w:r>
      <w:r w:rsidRPr="00AB4037">
        <w:rPr>
          <w:rFonts w:cs="Open Sans"/>
          <w:szCs w:val="24"/>
        </w:rPr>
        <w:t>to grant Ms HM a visa allowing her to stay in Australia either permanently or for the period of Master YM’s secondary school education. Master YM remains in Australia and is currently completing year 12 at an inner-west high school. He is living in Youth Off the Streets accommodation.</w:t>
      </w:r>
    </w:p>
    <w:p w14:paraId="2FEE107A" w14:textId="77777777" w:rsidR="00E0039D" w:rsidRPr="00AB4037" w:rsidRDefault="00E0039D" w:rsidP="00E0039D">
      <w:pPr>
        <w:pStyle w:val="ListParagraph"/>
        <w:numPr>
          <w:ilvl w:val="0"/>
          <w:numId w:val="29"/>
        </w:numPr>
        <w:spacing w:before="240"/>
        <w:contextualSpacing w:val="0"/>
        <w:rPr>
          <w:rFonts w:cs="Open Sans"/>
        </w:rPr>
      </w:pPr>
      <w:r w:rsidRPr="00AB4037">
        <w:rPr>
          <w:rFonts w:cs="Open Sans"/>
          <w:szCs w:val="24"/>
        </w:rPr>
        <w:t xml:space="preserve">Ms HM complains that the Assistant Minister’s decision not to intervene in her case led to a requirement that she leave Australia and this was inconsistent with Australia’s obligations under the </w:t>
      </w:r>
      <w:r w:rsidRPr="00AB4037">
        <w:rPr>
          <w:rFonts w:cs="Open Sans"/>
          <w:i/>
          <w:szCs w:val="24"/>
        </w:rPr>
        <w:t>Convention on the Rights of the Child</w:t>
      </w:r>
      <w:r w:rsidRPr="00AB4037">
        <w:rPr>
          <w:rStyle w:val="EndnoteReference"/>
          <w:rFonts w:ascii="Open Sans" w:hAnsi="Open Sans" w:cs="Open Sans"/>
        </w:rPr>
        <w:endnoteReference w:id="1"/>
      </w:r>
      <w:r w:rsidRPr="00AB4037">
        <w:rPr>
          <w:rFonts w:cs="Open Sans"/>
          <w:szCs w:val="24"/>
        </w:rPr>
        <w:t xml:space="preserve"> (CRC</w:t>
      </w:r>
      <w:r w:rsidRPr="00AB4037">
        <w:rPr>
          <w:rFonts w:cs="Open Sans"/>
        </w:rPr>
        <w:t xml:space="preserve">) </w:t>
      </w:r>
      <w:r w:rsidRPr="00AB4037">
        <w:rPr>
          <w:rFonts w:cs="Open Sans"/>
          <w:szCs w:val="24"/>
        </w:rPr>
        <w:t xml:space="preserve">and the </w:t>
      </w:r>
      <w:r w:rsidRPr="00AB4037">
        <w:rPr>
          <w:rFonts w:cs="Open Sans"/>
          <w:i/>
          <w:szCs w:val="24"/>
        </w:rPr>
        <w:t>International Covenant on Civil and Political Rights</w:t>
      </w:r>
      <w:r w:rsidRPr="00AB4037">
        <w:rPr>
          <w:rStyle w:val="EndnoteReference"/>
          <w:rFonts w:ascii="Open Sans" w:hAnsi="Open Sans" w:cs="Open Sans"/>
        </w:rPr>
        <w:endnoteReference w:id="2"/>
      </w:r>
      <w:r w:rsidRPr="00AB4037">
        <w:rPr>
          <w:rFonts w:cs="Open Sans"/>
          <w:szCs w:val="24"/>
        </w:rPr>
        <w:t xml:space="preserve"> (ICCPR).</w:t>
      </w:r>
    </w:p>
    <w:p w14:paraId="5AFAE56C" w14:textId="77777777" w:rsidR="00E0039D" w:rsidRPr="00AB4037" w:rsidRDefault="00E0039D" w:rsidP="00E0039D">
      <w:pPr>
        <w:pStyle w:val="SubmissionNormal"/>
        <w:numPr>
          <w:ilvl w:val="0"/>
          <w:numId w:val="29"/>
        </w:numPr>
        <w:rPr>
          <w:rFonts w:cs="Open Sans"/>
        </w:rPr>
      </w:pPr>
      <w:r w:rsidRPr="00AB4037">
        <w:rPr>
          <w:rFonts w:cs="Open Sans"/>
        </w:rPr>
        <w:t xml:space="preserve">This inquiry has been undertaken pursuant to s 11(1)(f) of the </w:t>
      </w:r>
      <w:r w:rsidRPr="00AB4037">
        <w:rPr>
          <w:rFonts w:cs="Open Sans"/>
          <w:i/>
        </w:rPr>
        <w:t xml:space="preserve">Australian Human Rights Commission Act 1986 </w:t>
      </w:r>
      <w:r w:rsidRPr="00AB4037">
        <w:rPr>
          <w:rFonts w:cs="Open Sans"/>
        </w:rPr>
        <w:t>(</w:t>
      </w:r>
      <w:proofErr w:type="spellStart"/>
      <w:r w:rsidRPr="00AB4037">
        <w:rPr>
          <w:rFonts w:cs="Open Sans"/>
        </w:rPr>
        <w:t>Cth</w:t>
      </w:r>
      <w:proofErr w:type="spellEnd"/>
      <w:r w:rsidRPr="00AB4037">
        <w:rPr>
          <w:rFonts w:cs="Open Sans"/>
        </w:rPr>
        <w:t>) (AHRC Act)</w:t>
      </w:r>
      <w:r w:rsidRPr="00AB4037">
        <w:rPr>
          <w:rFonts w:cs="Open Sans"/>
          <w:i/>
        </w:rPr>
        <w:t>.</w:t>
      </w:r>
    </w:p>
    <w:p w14:paraId="6640368D" w14:textId="77777777" w:rsidR="00E0039D" w:rsidRPr="00AB4037" w:rsidRDefault="00E0039D" w:rsidP="00E0039D">
      <w:pPr>
        <w:numPr>
          <w:ilvl w:val="0"/>
          <w:numId w:val="29"/>
        </w:numPr>
        <w:tabs>
          <w:tab w:val="clear" w:pos="720"/>
          <w:tab w:val="num" w:pos="1080"/>
        </w:tabs>
        <w:spacing w:before="240"/>
        <w:rPr>
          <w:rFonts w:cs="Open Sans"/>
        </w:rPr>
      </w:pPr>
      <w:r w:rsidRPr="00AB4037">
        <w:rPr>
          <w:rFonts w:cs="Open Sans"/>
          <w:szCs w:val="24"/>
        </w:rPr>
        <w:t>As a result of this inquiry, I find the following:</w:t>
      </w:r>
    </w:p>
    <w:p w14:paraId="4879A2A7" w14:textId="79BBE52A" w:rsidR="00E0039D" w:rsidRDefault="00E0039D" w:rsidP="00E0039D">
      <w:pPr>
        <w:pStyle w:val="SubmissionNormal"/>
        <w:numPr>
          <w:ilvl w:val="1"/>
          <w:numId w:val="29"/>
        </w:numPr>
        <w:rPr>
          <w:rFonts w:cs="Open Sans"/>
        </w:rPr>
      </w:pPr>
      <w:r w:rsidRPr="00AB4037">
        <w:rPr>
          <w:rFonts w:cs="Open Sans"/>
        </w:rPr>
        <w:t xml:space="preserve">the decision of the then Assistant Minister for Immigration and Border </w:t>
      </w:r>
      <w:proofErr w:type="spellStart"/>
      <w:r w:rsidRPr="00AB4037">
        <w:rPr>
          <w:rFonts w:cs="Open Sans"/>
        </w:rPr>
        <w:t>Protectionon</w:t>
      </w:r>
      <w:proofErr w:type="spellEnd"/>
      <w:r w:rsidRPr="00AB4037">
        <w:rPr>
          <w:rFonts w:cs="Open Sans"/>
        </w:rPr>
        <w:t xml:space="preserve"> 15 September 2015 not to exercise her discretionary powers to intervene in Ms HM’s case, leading to a requirement that Ms HM leave Australia, is an arbitrary interference with family, contrary to articles 17 and 23 of the ICCPR</w:t>
      </w:r>
    </w:p>
    <w:p w14:paraId="7D61BBED" w14:textId="77777777" w:rsidR="00A55F4E" w:rsidRDefault="00A55F4E">
      <w:pPr>
        <w:spacing w:after="0"/>
      </w:pPr>
      <w:r>
        <w:br w:type="page"/>
      </w:r>
    </w:p>
    <w:p w14:paraId="29737C71" w14:textId="77777777" w:rsidR="00E0039D" w:rsidRPr="00AB4037" w:rsidRDefault="00E0039D" w:rsidP="00E0039D">
      <w:pPr>
        <w:pStyle w:val="SubmissionNormal"/>
        <w:numPr>
          <w:ilvl w:val="1"/>
          <w:numId w:val="29"/>
        </w:numPr>
        <w:rPr>
          <w:rFonts w:cs="Open Sans"/>
        </w:rPr>
      </w:pPr>
      <w:r w:rsidRPr="00AB4037">
        <w:rPr>
          <w:rFonts w:cs="Open Sans"/>
        </w:rPr>
        <w:lastRenderedPageBreak/>
        <w:t>the department’s 2015 submission to the Assistant Minister for the consideration of the exercise of her discretionary powers to grant Ms HM a visa failed to take account of Master YM’s best interests as a primary consideration on the basis of relevant information contemporaneous to the referral, contrary to article 3 of the CRC.</w:t>
      </w:r>
    </w:p>
    <w:p w14:paraId="4E79D2F1" w14:textId="77777777" w:rsidR="00E0039D" w:rsidRPr="00AB4037" w:rsidRDefault="00E0039D" w:rsidP="00E0039D">
      <w:pPr>
        <w:pStyle w:val="ListParagraph"/>
        <w:numPr>
          <w:ilvl w:val="0"/>
          <w:numId w:val="29"/>
        </w:numPr>
        <w:tabs>
          <w:tab w:val="clear" w:pos="720"/>
          <w:tab w:val="num" w:pos="1080"/>
        </w:tabs>
        <w:rPr>
          <w:rFonts w:cs="Open Sans"/>
          <w:szCs w:val="24"/>
        </w:rPr>
      </w:pPr>
      <w:r w:rsidRPr="00AB4037">
        <w:rPr>
          <w:rFonts w:cs="Open Sans"/>
          <w:szCs w:val="24"/>
        </w:rPr>
        <w:t xml:space="preserve">Ms HM has requested that her name and the name of her son not be published in connection with this inquiry. I consider that the preservation of </w:t>
      </w:r>
      <w:r w:rsidR="00D13FDB">
        <w:rPr>
          <w:rFonts w:cs="Open Sans"/>
          <w:szCs w:val="24"/>
        </w:rPr>
        <w:t>their</w:t>
      </w:r>
      <w:r w:rsidR="00D13FDB" w:rsidRPr="00AB4037">
        <w:rPr>
          <w:rFonts w:cs="Open Sans"/>
          <w:szCs w:val="24"/>
        </w:rPr>
        <w:t xml:space="preserve"> </w:t>
      </w:r>
      <w:r w:rsidRPr="00AB4037">
        <w:rPr>
          <w:rFonts w:cs="Open Sans"/>
          <w:szCs w:val="24"/>
        </w:rPr>
        <w:t xml:space="preserve">anonymity is necessary to protect their human rights. Accordingly, I have given a direction under s 14(2) of the AHRC Act and refer to the mother and son by the pseudonyms ‘HM’ and ‘YM’, respectively, in this document. </w:t>
      </w:r>
    </w:p>
    <w:p w14:paraId="329E43DD" w14:textId="77777777" w:rsidR="00E0039D" w:rsidRPr="00AB4037" w:rsidRDefault="00E0039D" w:rsidP="00E0039D">
      <w:pPr>
        <w:pStyle w:val="Heading1"/>
        <w:rPr>
          <w:rFonts w:cs="Open Sans"/>
        </w:rPr>
      </w:pPr>
      <w:bookmarkStart w:id="12" w:name="_Toc498937192"/>
      <w:bookmarkStart w:id="13" w:name="_Toc522262477"/>
      <w:bookmarkStart w:id="14" w:name="_Toc535564742"/>
      <w:bookmarkEnd w:id="12"/>
      <w:r w:rsidRPr="00AB4037">
        <w:rPr>
          <w:rFonts w:cs="Open Sans"/>
        </w:rPr>
        <w:t>Complaints</w:t>
      </w:r>
      <w:bookmarkEnd w:id="13"/>
      <w:bookmarkEnd w:id="14"/>
    </w:p>
    <w:p w14:paraId="7C9E46BB" w14:textId="77777777" w:rsidR="00E0039D" w:rsidRPr="00AB4037" w:rsidRDefault="00E0039D" w:rsidP="00E0039D">
      <w:pPr>
        <w:numPr>
          <w:ilvl w:val="0"/>
          <w:numId w:val="29"/>
        </w:numPr>
        <w:spacing w:before="240"/>
        <w:rPr>
          <w:rFonts w:cs="Open Sans"/>
          <w:szCs w:val="24"/>
        </w:rPr>
      </w:pPr>
      <w:r w:rsidRPr="00AB4037">
        <w:rPr>
          <w:rFonts w:cs="Open Sans"/>
          <w:szCs w:val="24"/>
        </w:rPr>
        <w:t>Ms HM arrived in Australia with her then husband and two daughters on 3</w:t>
      </w:r>
      <w:r w:rsidR="005A7793">
        <w:rPr>
          <w:rFonts w:cs="Open Sans"/>
          <w:szCs w:val="24"/>
        </w:rPr>
        <w:t> </w:t>
      </w:r>
      <w:r w:rsidRPr="00AB4037">
        <w:rPr>
          <w:rFonts w:cs="Open Sans"/>
          <w:szCs w:val="24"/>
        </w:rPr>
        <w:t>September 1998. Prior to her departure on 11 July 2016, Ms HM had lived in Australia for more than 17 years, with only brief periods offshore.</w:t>
      </w:r>
    </w:p>
    <w:p w14:paraId="5F0C5EC8" w14:textId="77777777" w:rsidR="00E0039D" w:rsidRPr="00AB4037" w:rsidRDefault="00E0039D" w:rsidP="00E0039D">
      <w:pPr>
        <w:pStyle w:val="SubmissionNormal"/>
        <w:numPr>
          <w:ilvl w:val="0"/>
          <w:numId w:val="29"/>
        </w:numPr>
        <w:rPr>
          <w:rFonts w:cs="Open Sans"/>
        </w:rPr>
      </w:pPr>
      <w:r w:rsidRPr="00AB4037">
        <w:rPr>
          <w:rFonts w:cs="Open Sans"/>
        </w:rPr>
        <w:t xml:space="preserve">Ms HM’s son, Master YM, was born in Australia on 24 February 2000. Master YM acquired Australian citizenship on 24 February 2010 by virtue of s 12(1)(b) of the </w:t>
      </w:r>
      <w:r w:rsidRPr="00AB4037">
        <w:rPr>
          <w:rFonts w:cs="Open Sans"/>
          <w:i/>
        </w:rPr>
        <w:t xml:space="preserve">Australian Citizenship Act 2007 </w:t>
      </w:r>
      <w:r w:rsidRPr="00AB4037">
        <w:rPr>
          <w:rFonts w:cs="Open Sans"/>
        </w:rPr>
        <w:t>(</w:t>
      </w:r>
      <w:proofErr w:type="spellStart"/>
      <w:r w:rsidRPr="00AB4037">
        <w:rPr>
          <w:rFonts w:cs="Open Sans"/>
        </w:rPr>
        <w:t>Cth</w:t>
      </w:r>
      <w:proofErr w:type="spellEnd"/>
      <w:r w:rsidRPr="00AB4037">
        <w:rPr>
          <w:rFonts w:cs="Open Sans"/>
        </w:rPr>
        <w:t>). Master YM has lived in Australia all his life and completed all his education in Australia, save for a period of seven months when he returned to South Korea with his family. Master YM is currently completing year 12 at an inner-west high school.</w:t>
      </w:r>
    </w:p>
    <w:p w14:paraId="789CF964" w14:textId="77777777" w:rsidR="00E0039D" w:rsidRPr="00AB4037" w:rsidRDefault="00E0039D" w:rsidP="00E0039D">
      <w:pPr>
        <w:numPr>
          <w:ilvl w:val="0"/>
          <w:numId w:val="29"/>
        </w:numPr>
        <w:spacing w:before="240"/>
        <w:rPr>
          <w:rFonts w:cs="Open Sans"/>
          <w:szCs w:val="24"/>
        </w:rPr>
      </w:pPr>
      <w:r w:rsidRPr="00AB4037">
        <w:rPr>
          <w:rFonts w:cs="Open Sans"/>
          <w:szCs w:val="24"/>
        </w:rPr>
        <w:t>Ms HM’s elder daughter was eight years old when she first arrived in Australia in 1998. Having completed her secondary schooling in Australia, she returned to South Korea on 31 October 2009 to study and has subsequently visited her family in Australia. Ms HM’s younger daughter arrived in Australia when she was two years old. She completed all her primary and secondary education in Australia. She returned to South Korea on 15 November 2015 following the decision of the Assistant Minister not to exercise her public interest power to grant her a visa allowing her to stay in Australia either permanently or temporarily.</w:t>
      </w:r>
    </w:p>
    <w:p w14:paraId="39187042" w14:textId="77777777" w:rsidR="00E0039D" w:rsidRDefault="00E0039D" w:rsidP="00E0039D">
      <w:pPr>
        <w:numPr>
          <w:ilvl w:val="0"/>
          <w:numId w:val="29"/>
        </w:numPr>
        <w:spacing w:before="240"/>
        <w:rPr>
          <w:rFonts w:cs="Open Sans"/>
          <w:szCs w:val="24"/>
        </w:rPr>
      </w:pPr>
      <w:r w:rsidRPr="00AB4037">
        <w:rPr>
          <w:rFonts w:cs="Open Sans"/>
          <w:szCs w:val="24"/>
        </w:rPr>
        <w:t>Ms HM and her husband divorced on 24 April 2008. Ms HM’s former husband now lives in South Korea.</w:t>
      </w:r>
    </w:p>
    <w:p w14:paraId="7997626C" w14:textId="77777777" w:rsidR="00A55F4E" w:rsidRDefault="00A55F4E">
      <w:pPr>
        <w:spacing w:after="0"/>
      </w:pPr>
      <w:r>
        <w:br w:type="page"/>
      </w:r>
    </w:p>
    <w:p w14:paraId="3FA7D041" w14:textId="77777777" w:rsidR="00E0039D" w:rsidRPr="00AB4037" w:rsidRDefault="00E0039D" w:rsidP="00E0039D">
      <w:pPr>
        <w:numPr>
          <w:ilvl w:val="0"/>
          <w:numId w:val="29"/>
        </w:numPr>
        <w:spacing w:before="240"/>
        <w:rPr>
          <w:rFonts w:cs="Open Sans"/>
          <w:szCs w:val="24"/>
        </w:rPr>
      </w:pPr>
      <w:r w:rsidRPr="00AB4037">
        <w:rPr>
          <w:rFonts w:cs="Open Sans"/>
          <w:szCs w:val="24"/>
        </w:rPr>
        <w:lastRenderedPageBreak/>
        <w:t>Ms HM submits that she and her son have lived together in Australia as a family for a significant period and</w:t>
      </w:r>
      <w:r w:rsidR="0099643A">
        <w:rPr>
          <w:rFonts w:cs="Open Sans"/>
          <w:szCs w:val="24"/>
        </w:rPr>
        <w:t xml:space="preserve"> that</w:t>
      </w:r>
      <w:r w:rsidRPr="00AB4037">
        <w:rPr>
          <w:rFonts w:cs="Open Sans"/>
          <w:szCs w:val="24"/>
        </w:rPr>
        <w:t xml:space="preserve"> they have integrated into Australian society. Ms HM says that she volunteered at various local Korean-Australian churches, including the Australian Philadelphia Church, which was founded by her then husband. She was also involved with the Sydney Full Gospel Church, assisting with church events, attending weekly bible study groups and as a member of the church choir. Ms HM submits that she was awarded a missionary student diploma attained through a program run by the Sydney Full Gospel Church. Ms HM has provided letters of support from two Pastors of the Sydney Full Gospel Church, the Korean Society of Sydney and a congregation member. The department has also received a petition containing 329 signatures from congregation members. The department notes that these documents confirm Ms HM’s activities, character, and the connection of herself and her children with the church.</w:t>
      </w:r>
    </w:p>
    <w:p w14:paraId="23ED33BE" w14:textId="77777777" w:rsidR="00E0039D" w:rsidRPr="00AB4037" w:rsidRDefault="00E0039D" w:rsidP="00E0039D">
      <w:pPr>
        <w:numPr>
          <w:ilvl w:val="0"/>
          <w:numId w:val="29"/>
        </w:numPr>
        <w:spacing w:before="240"/>
        <w:rPr>
          <w:rFonts w:cs="Open Sans"/>
          <w:szCs w:val="24"/>
        </w:rPr>
      </w:pPr>
      <w:r w:rsidRPr="00AB4037">
        <w:rPr>
          <w:rFonts w:cs="Open Sans"/>
          <w:szCs w:val="24"/>
        </w:rPr>
        <w:t>Ms HM was granted permission to work in February 2012, and she advises that she worked cash-in-hand as a cleaner for several friends and associates.</w:t>
      </w:r>
    </w:p>
    <w:p w14:paraId="5DE6C99A" w14:textId="77777777" w:rsidR="00E0039D" w:rsidRPr="00AB4037" w:rsidRDefault="00E0039D" w:rsidP="00E0039D">
      <w:pPr>
        <w:numPr>
          <w:ilvl w:val="0"/>
          <w:numId w:val="29"/>
        </w:numPr>
        <w:spacing w:before="240"/>
        <w:rPr>
          <w:rFonts w:cs="Open Sans"/>
          <w:szCs w:val="24"/>
        </w:rPr>
      </w:pPr>
      <w:r w:rsidRPr="00AB4037">
        <w:rPr>
          <w:rFonts w:cs="Open Sans"/>
          <w:szCs w:val="24"/>
        </w:rPr>
        <w:t>Ms HM also describes Master YM’s strong ties to the Australian community. She submits that he is involved in programs through the Sydney Full Gospel Church, including participating in a mission to Vanuatu in January 2014 and missions to Dubbo in 2014–2017. He is also involved in the Church drama team and in Church-organised outreach programs assisting disadvantaged people.</w:t>
      </w:r>
    </w:p>
    <w:p w14:paraId="79D10104" w14:textId="77777777" w:rsidR="00E0039D" w:rsidRPr="00AB4037" w:rsidRDefault="00E0039D" w:rsidP="00E0039D">
      <w:pPr>
        <w:numPr>
          <w:ilvl w:val="0"/>
          <w:numId w:val="29"/>
        </w:numPr>
        <w:spacing w:before="240"/>
        <w:rPr>
          <w:rFonts w:cs="Open Sans"/>
          <w:szCs w:val="24"/>
        </w:rPr>
      </w:pPr>
      <w:r w:rsidRPr="00AB4037">
        <w:rPr>
          <w:rFonts w:cs="Open Sans"/>
          <w:szCs w:val="24"/>
        </w:rPr>
        <w:t xml:space="preserve">Master YM has undertaken casual employment throughout his schooling, including working at McDonalds in 2014 and </w:t>
      </w:r>
      <w:proofErr w:type="spellStart"/>
      <w:r w:rsidRPr="00AB4037">
        <w:rPr>
          <w:rFonts w:cs="Open Sans"/>
          <w:szCs w:val="24"/>
        </w:rPr>
        <w:t>Mojee</w:t>
      </w:r>
      <w:proofErr w:type="spellEnd"/>
      <w:r w:rsidRPr="00AB4037">
        <w:rPr>
          <w:rFonts w:cs="Open Sans"/>
          <w:szCs w:val="24"/>
        </w:rPr>
        <w:t xml:space="preserve"> Strathfield Restaurant in 2015. In a letter to the Commission received on 27 November 2017, Master YM submits that he has deep and enduring ties to the Australian community, including through his friendships and through the church. Master YM states:</w:t>
      </w:r>
    </w:p>
    <w:p w14:paraId="6221021E" w14:textId="77777777" w:rsidR="00E0039D" w:rsidRDefault="00E0039D" w:rsidP="00E0039D">
      <w:pPr>
        <w:spacing w:before="240"/>
        <w:ind w:left="1134"/>
        <w:rPr>
          <w:rFonts w:cs="Open Sans"/>
          <w:sz w:val="22"/>
          <w:szCs w:val="22"/>
        </w:rPr>
      </w:pPr>
      <w:r w:rsidRPr="00AB4037">
        <w:rPr>
          <w:rFonts w:cs="Open Sans"/>
          <w:sz w:val="22"/>
          <w:szCs w:val="22"/>
        </w:rPr>
        <w:t>These past 2 years have been quite a challenge for me, struggling to adjust to the sudden changes due to my mother’s absence. Despite these hardships my mother and I both agreed for me to continue residing in Australia. I have been to Korea before when I was in year 1, living there for about 6 months. While there, I</w:t>
      </w:r>
      <w:r w:rsidR="005A7793">
        <w:rPr>
          <w:rFonts w:cs="Open Sans"/>
          <w:sz w:val="22"/>
          <w:szCs w:val="22"/>
        </w:rPr>
        <w:t> </w:t>
      </w:r>
      <w:r w:rsidRPr="00AB4037">
        <w:rPr>
          <w:rFonts w:cs="Open Sans"/>
          <w:sz w:val="22"/>
          <w:szCs w:val="22"/>
        </w:rPr>
        <w:t>had to study in a Korean school and was very startled at how different it was to Australia … My parents did speak Korean at home ever since I was young but it’s hard for me [to] express fluently in Korean. It was difficult to communicate with my classmates in Korean and hard for me to understand the Korean classes and culture itself …</w:t>
      </w:r>
    </w:p>
    <w:p w14:paraId="275B28EB" w14:textId="77777777" w:rsidR="00A55F4E" w:rsidRDefault="00A55F4E">
      <w:pPr>
        <w:spacing w:after="0"/>
        <w:rPr>
          <w:rFonts w:cs="Open Sans"/>
          <w:sz w:val="22"/>
          <w:szCs w:val="22"/>
        </w:rPr>
      </w:pPr>
      <w:r>
        <w:rPr>
          <w:rFonts w:cs="Open Sans"/>
          <w:sz w:val="22"/>
          <w:szCs w:val="22"/>
        </w:rPr>
        <w:br w:type="page"/>
      </w:r>
    </w:p>
    <w:p w14:paraId="6F3D880D" w14:textId="77777777" w:rsidR="00E0039D" w:rsidRPr="00AB4037" w:rsidRDefault="00E0039D" w:rsidP="00E0039D">
      <w:pPr>
        <w:spacing w:before="240"/>
        <w:ind w:left="1134"/>
        <w:rPr>
          <w:rFonts w:cs="Open Sans"/>
          <w:sz w:val="22"/>
          <w:szCs w:val="22"/>
        </w:rPr>
      </w:pPr>
      <w:r w:rsidRPr="00AB4037">
        <w:rPr>
          <w:rFonts w:cs="Open Sans"/>
          <w:sz w:val="22"/>
          <w:szCs w:val="22"/>
        </w:rPr>
        <w:lastRenderedPageBreak/>
        <w:t>Honestly education is not the main reason [to stay in Australia], the reason why I</w:t>
      </w:r>
      <w:r w:rsidR="005A7793">
        <w:rPr>
          <w:rFonts w:cs="Open Sans"/>
          <w:sz w:val="22"/>
          <w:szCs w:val="22"/>
        </w:rPr>
        <w:t> </w:t>
      </w:r>
      <w:r w:rsidRPr="00AB4037">
        <w:rPr>
          <w:rFonts w:cs="Open Sans"/>
          <w:sz w:val="22"/>
          <w:szCs w:val="22"/>
        </w:rPr>
        <w:t>want to stay here is because I want to be with my friends, go to the church that I</w:t>
      </w:r>
      <w:r w:rsidR="005A7793">
        <w:rPr>
          <w:rFonts w:cs="Open Sans"/>
          <w:sz w:val="22"/>
          <w:szCs w:val="22"/>
        </w:rPr>
        <w:t> </w:t>
      </w:r>
      <w:r w:rsidRPr="00AB4037">
        <w:rPr>
          <w:rFonts w:cs="Open Sans"/>
          <w:sz w:val="22"/>
          <w:szCs w:val="22"/>
        </w:rPr>
        <w:t>have been serving since I was young and I want to be able to freely express my ideas without restrictions.</w:t>
      </w:r>
    </w:p>
    <w:p w14:paraId="26993BE8" w14:textId="77777777" w:rsidR="00E0039D" w:rsidRPr="00AB4037" w:rsidRDefault="00E0039D" w:rsidP="00E0039D">
      <w:pPr>
        <w:spacing w:before="240"/>
        <w:ind w:left="1134"/>
        <w:rPr>
          <w:rFonts w:cs="Open Sans"/>
          <w:sz w:val="22"/>
          <w:szCs w:val="22"/>
        </w:rPr>
      </w:pPr>
      <w:r w:rsidRPr="00AB4037">
        <w:rPr>
          <w:rFonts w:cs="Open Sans"/>
          <w:sz w:val="22"/>
          <w:szCs w:val="22"/>
        </w:rPr>
        <w:t>I believe these are the basic rights that a person should have; I want to live in a place where I’d truly feel attached.</w:t>
      </w:r>
    </w:p>
    <w:p w14:paraId="5F9BFD62" w14:textId="77777777" w:rsidR="00E0039D" w:rsidRPr="00AB4037" w:rsidRDefault="00E0039D" w:rsidP="00E0039D">
      <w:pPr>
        <w:numPr>
          <w:ilvl w:val="0"/>
          <w:numId w:val="29"/>
        </w:numPr>
        <w:spacing w:before="240"/>
        <w:rPr>
          <w:rFonts w:cs="Open Sans"/>
          <w:szCs w:val="24"/>
        </w:rPr>
      </w:pPr>
      <w:r w:rsidRPr="00AB4037">
        <w:rPr>
          <w:rFonts w:cs="Open Sans"/>
          <w:szCs w:val="24"/>
        </w:rPr>
        <w:t>Master YM was 16 years old when his mother departed Australia. Since her departure, Master YM has lived at multiple residences. He now lives at Youth off the Streets, an organisation suggested to him by his school counsellor.</w:t>
      </w:r>
    </w:p>
    <w:p w14:paraId="7E548B17" w14:textId="77777777" w:rsidR="00E0039D" w:rsidRPr="00ED149D" w:rsidRDefault="00E0039D" w:rsidP="00E0039D">
      <w:pPr>
        <w:numPr>
          <w:ilvl w:val="0"/>
          <w:numId w:val="29"/>
        </w:numPr>
        <w:spacing w:before="240"/>
        <w:rPr>
          <w:rFonts w:cs="Open Sans"/>
          <w:szCs w:val="24"/>
        </w:rPr>
      </w:pPr>
      <w:r w:rsidRPr="00AB4037">
        <w:rPr>
          <w:rFonts w:cs="Open Sans"/>
          <w:szCs w:val="24"/>
        </w:rPr>
        <w:t>Master YM communicates with his mother and sisters daily via applications such as Facetime and Messenger.</w:t>
      </w:r>
    </w:p>
    <w:p w14:paraId="0C68E02E" w14:textId="77777777" w:rsidR="00E0039D" w:rsidRPr="00AB4037" w:rsidRDefault="00E0039D" w:rsidP="00E0039D">
      <w:pPr>
        <w:pStyle w:val="Heading1"/>
        <w:rPr>
          <w:rFonts w:cs="Open Sans"/>
        </w:rPr>
      </w:pPr>
      <w:bookmarkStart w:id="15" w:name="_Toc510446661"/>
      <w:bookmarkStart w:id="16" w:name="_Toc522262478"/>
      <w:bookmarkStart w:id="17" w:name="_Toc535564743"/>
      <w:r w:rsidRPr="00AB4037">
        <w:rPr>
          <w:rFonts w:cs="Open Sans"/>
        </w:rPr>
        <w:t>Migration history</w:t>
      </w:r>
      <w:bookmarkEnd w:id="15"/>
      <w:bookmarkEnd w:id="16"/>
      <w:bookmarkEnd w:id="17"/>
    </w:p>
    <w:p w14:paraId="2E6CEAB3" w14:textId="77777777" w:rsidR="00E0039D" w:rsidRPr="00AB4037" w:rsidRDefault="00E0039D" w:rsidP="00E0039D">
      <w:pPr>
        <w:pStyle w:val="SubmissionNormal"/>
        <w:numPr>
          <w:ilvl w:val="0"/>
          <w:numId w:val="29"/>
        </w:numPr>
        <w:rPr>
          <w:rFonts w:cs="Open Sans"/>
        </w:rPr>
      </w:pPr>
      <w:r w:rsidRPr="00AB4037">
        <w:rPr>
          <w:rFonts w:cs="Open Sans"/>
        </w:rPr>
        <w:t xml:space="preserve">Ms HM first entered Australia with her then husband and two daughters in 1998. They arrived as holders of Subclass 976 visas and were subsequently granted Tourist (Long Stay) (Subclass 686) visas </w:t>
      </w:r>
      <w:r w:rsidR="006604F8">
        <w:rPr>
          <w:rFonts w:cs="Open Sans"/>
        </w:rPr>
        <w:t>which</w:t>
      </w:r>
      <w:r w:rsidR="006604F8" w:rsidRPr="00AB4037">
        <w:rPr>
          <w:rFonts w:cs="Open Sans"/>
        </w:rPr>
        <w:t xml:space="preserve"> </w:t>
      </w:r>
      <w:r w:rsidRPr="00AB4037">
        <w:rPr>
          <w:rFonts w:cs="Open Sans"/>
        </w:rPr>
        <w:t>expire</w:t>
      </w:r>
      <w:r w:rsidR="006604F8">
        <w:rPr>
          <w:rFonts w:cs="Open Sans"/>
        </w:rPr>
        <w:t>d</w:t>
      </w:r>
      <w:r w:rsidRPr="00AB4037">
        <w:rPr>
          <w:rFonts w:cs="Open Sans"/>
        </w:rPr>
        <w:t xml:space="preserve"> on 3 March 1999.</w:t>
      </w:r>
    </w:p>
    <w:p w14:paraId="2374B264" w14:textId="77777777" w:rsidR="00E0039D" w:rsidRPr="00AB4037" w:rsidRDefault="00E0039D" w:rsidP="00E0039D">
      <w:pPr>
        <w:pStyle w:val="SubmissionNormal"/>
        <w:numPr>
          <w:ilvl w:val="0"/>
          <w:numId w:val="29"/>
        </w:numPr>
        <w:rPr>
          <w:rFonts w:cs="Open Sans"/>
        </w:rPr>
      </w:pPr>
      <w:r w:rsidRPr="00AB4037">
        <w:rPr>
          <w:rFonts w:cs="Open Sans"/>
        </w:rPr>
        <w:t>On 24 February 1999, Ms HM’s husband made an application for a Specialist Entry (Religious Worker) (Subclass 428) visa, including Ms HM and their children as dependants. In the interim, a Bridging visa A was granted, succeeded on 25 July 2000 by a Bridging visa B.</w:t>
      </w:r>
    </w:p>
    <w:p w14:paraId="4EEC663E" w14:textId="77777777" w:rsidR="00E0039D" w:rsidRPr="00AB4037" w:rsidRDefault="00E0039D" w:rsidP="00E0039D">
      <w:pPr>
        <w:pStyle w:val="SubmissionNormal"/>
        <w:numPr>
          <w:ilvl w:val="0"/>
          <w:numId w:val="29"/>
        </w:numPr>
        <w:rPr>
          <w:rFonts w:cs="Open Sans"/>
        </w:rPr>
      </w:pPr>
      <w:r w:rsidRPr="00AB4037">
        <w:rPr>
          <w:rFonts w:cs="Open Sans"/>
        </w:rPr>
        <w:t>On 23 January 2002, the department refused Ms HM’s husband’s Subclass 428 visa application. On 26 February 2003, the Migration Review Tribunal (MRT) affirmed the department’s decision.</w:t>
      </w:r>
    </w:p>
    <w:p w14:paraId="5E1B300A" w14:textId="77777777" w:rsidR="00E0039D" w:rsidRPr="00AB4037" w:rsidRDefault="00E0039D" w:rsidP="00E0039D">
      <w:pPr>
        <w:pStyle w:val="SubmissionNormal"/>
        <w:numPr>
          <w:ilvl w:val="0"/>
          <w:numId w:val="29"/>
        </w:numPr>
        <w:rPr>
          <w:rFonts w:cs="Open Sans"/>
        </w:rPr>
      </w:pPr>
      <w:r w:rsidRPr="00AB4037">
        <w:rPr>
          <w:rFonts w:cs="Open Sans"/>
        </w:rPr>
        <w:t>Ms HM’s husband founded the Australian Philadelphia Church and on 30</w:t>
      </w:r>
      <w:r w:rsidR="005A7793">
        <w:rPr>
          <w:rFonts w:cs="Open Sans"/>
        </w:rPr>
        <w:t> </w:t>
      </w:r>
      <w:r w:rsidRPr="00AB4037">
        <w:rPr>
          <w:rFonts w:cs="Open Sans"/>
        </w:rPr>
        <w:t>August 2003, subsequent to the failure of his previous application, he, Ms HM and their children were granted Subclass 428 visas (valid for two years).</w:t>
      </w:r>
    </w:p>
    <w:p w14:paraId="540ECF77" w14:textId="77777777" w:rsidR="00E0039D" w:rsidRPr="00AB4037" w:rsidRDefault="00E0039D" w:rsidP="00E0039D">
      <w:pPr>
        <w:pStyle w:val="SubmissionNormal"/>
        <w:numPr>
          <w:ilvl w:val="0"/>
          <w:numId w:val="29"/>
        </w:numPr>
        <w:rPr>
          <w:rFonts w:cs="Open Sans"/>
        </w:rPr>
      </w:pPr>
      <w:r w:rsidRPr="00AB4037">
        <w:rPr>
          <w:rFonts w:cs="Open Sans"/>
        </w:rPr>
        <w:t>On 24 August 2005, Ms HM’s husband applied for a Subclass 856 Employer Nomination Scheme visa nominated by the Australian Philadelphia Church. The department requested further information to progress the application, however, Ms HM’s husband unexpectedly left Australia on 29</w:t>
      </w:r>
      <w:r w:rsidR="005A7793">
        <w:rPr>
          <w:rFonts w:cs="Open Sans"/>
        </w:rPr>
        <w:t> </w:t>
      </w:r>
      <w:r w:rsidRPr="00AB4037">
        <w:rPr>
          <w:rFonts w:cs="Open Sans"/>
        </w:rPr>
        <w:t>March 2006 without his family before a decision on the application was made. The application was withdrawn and in June 2006 Ms HM left Australia with her children for South Korea.</w:t>
      </w:r>
    </w:p>
    <w:p w14:paraId="5739EE48" w14:textId="77777777" w:rsidR="00E0039D" w:rsidRPr="00AB4037" w:rsidRDefault="00E0039D" w:rsidP="00E0039D">
      <w:pPr>
        <w:pStyle w:val="SubmissionNormal"/>
        <w:numPr>
          <w:ilvl w:val="0"/>
          <w:numId w:val="29"/>
        </w:numPr>
        <w:rPr>
          <w:rFonts w:cs="Open Sans"/>
        </w:rPr>
      </w:pPr>
      <w:r w:rsidRPr="00AB4037">
        <w:rPr>
          <w:rFonts w:cs="Open Sans"/>
        </w:rPr>
        <w:t>On 17 January 2007, Ms HM and her children returned to Australia. Ms</w:t>
      </w:r>
      <w:r w:rsidR="005A7793">
        <w:rPr>
          <w:rFonts w:cs="Open Sans"/>
        </w:rPr>
        <w:t> </w:t>
      </w:r>
      <w:r w:rsidRPr="00AB4037">
        <w:rPr>
          <w:rFonts w:cs="Open Sans"/>
        </w:rPr>
        <w:t>HM’s husband did not accompany the family.</w:t>
      </w:r>
    </w:p>
    <w:p w14:paraId="64772921" w14:textId="77777777" w:rsidR="00E0039D" w:rsidRPr="00AB4037" w:rsidRDefault="00E0039D" w:rsidP="00E0039D">
      <w:pPr>
        <w:pStyle w:val="SubmissionNormal"/>
        <w:numPr>
          <w:ilvl w:val="0"/>
          <w:numId w:val="29"/>
        </w:numPr>
        <w:rPr>
          <w:rFonts w:cs="Open Sans"/>
        </w:rPr>
      </w:pPr>
      <w:r w:rsidRPr="00AB4037">
        <w:rPr>
          <w:rFonts w:cs="Open Sans"/>
        </w:rPr>
        <w:lastRenderedPageBreak/>
        <w:t>Ms HM subsequently made two further Subclass 428 visa applications. Ms HM withdrew the first application, sponsored by the Australian Philadelphia Church. The department refused Ms HM’s second application, sponsored by Sydney Sae Saran Presbyterian Church Incorporated, on the basis that the ‘duties’ she undertook at that church were more accurately described as the ‘duties’ of an ‘adherent’ rather than a ‘religious worker’. On 12 May 2008, this decision was affirmed on appeal by the MRT.</w:t>
      </w:r>
    </w:p>
    <w:p w14:paraId="4A71C32F" w14:textId="77777777" w:rsidR="00E0039D" w:rsidRPr="00AB4037" w:rsidRDefault="00E0039D" w:rsidP="00E0039D">
      <w:pPr>
        <w:pStyle w:val="SubmissionNormal"/>
        <w:numPr>
          <w:ilvl w:val="0"/>
          <w:numId w:val="29"/>
        </w:numPr>
        <w:rPr>
          <w:rFonts w:cs="Open Sans"/>
        </w:rPr>
      </w:pPr>
      <w:r w:rsidRPr="00AB4037">
        <w:rPr>
          <w:rFonts w:cs="Open Sans"/>
        </w:rPr>
        <w:t>On 19 September 2008, Ms HM made her first request for Ministerial intervention under s 351 of the Migration Act. According to the department, Ms HM claimed ‘that the return of her spouse to South Korea in 2006 had forced the withdrawal of their Subclass 856 application and the family’s return to South Korea where the marital relationship subsequently broke down’. Ms HM further claimed that the children could not come to terms with the Korean education system and were treated as outsiders. She claimed that her former husband did not want her or the children to live with him and she therefore returned to Australia. On 9</w:t>
      </w:r>
      <w:r w:rsidR="005A7793">
        <w:rPr>
          <w:rFonts w:cs="Open Sans"/>
        </w:rPr>
        <w:t> </w:t>
      </w:r>
      <w:r w:rsidRPr="00AB4037">
        <w:rPr>
          <w:rFonts w:cs="Open Sans"/>
        </w:rPr>
        <w:t>February 2011, the then Minister decided not to intervene under s 351 in Ms HM’s first application for ministerial intervention.</w:t>
      </w:r>
    </w:p>
    <w:p w14:paraId="0959C702" w14:textId="77777777" w:rsidR="00E0039D" w:rsidRPr="00AB4037" w:rsidRDefault="00E0039D" w:rsidP="00E0039D">
      <w:pPr>
        <w:pStyle w:val="SubmissionNormal"/>
        <w:numPr>
          <w:ilvl w:val="0"/>
          <w:numId w:val="29"/>
        </w:numPr>
        <w:rPr>
          <w:rFonts w:cs="Open Sans"/>
        </w:rPr>
      </w:pPr>
      <w:r w:rsidRPr="00AB4037">
        <w:rPr>
          <w:rFonts w:cs="Open Sans"/>
        </w:rPr>
        <w:t>On 15 March 2011, Ms HM made a second ministerial intervention request under s 351</w:t>
      </w:r>
      <w:r w:rsidR="006A33A2">
        <w:rPr>
          <w:rFonts w:cs="Open Sans"/>
        </w:rPr>
        <w:t>,</w:t>
      </w:r>
      <w:r w:rsidRPr="00AB4037">
        <w:rPr>
          <w:rFonts w:cs="Open Sans"/>
        </w:rPr>
        <w:t xml:space="preserve"> including her daughters as dependants. The department states that this request reiterated previous claims and made further claims in respect of Master YM and the hardship he would experience if she and his sister had to depart. Ms HM also made claims as to the family’s integration into the Australian community over the almost 13 year period they had lived in Australia and provided supporting documentation in the form of school reports, a psychiatrist report for Master YM, a petition from the Australian Korean community and two letters from Ms</w:t>
      </w:r>
      <w:r w:rsidR="005A7793">
        <w:rPr>
          <w:rFonts w:cs="Open Sans"/>
        </w:rPr>
        <w:t> </w:t>
      </w:r>
      <w:r w:rsidRPr="00AB4037">
        <w:rPr>
          <w:rFonts w:cs="Open Sans"/>
        </w:rPr>
        <w:t>HM’s eldest daughter.</w:t>
      </w:r>
    </w:p>
    <w:p w14:paraId="54343E8A" w14:textId="77777777" w:rsidR="00E0039D" w:rsidRPr="00AB4037" w:rsidRDefault="00E0039D" w:rsidP="00E0039D">
      <w:pPr>
        <w:pStyle w:val="SubmissionNormal"/>
        <w:numPr>
          <w:ilvl w:val="0"/>
          <w:numId w:val="29"/>
        </w:numPr>
        <w:rPr>
          <w:rFonts w:cs="Open Sans"/>
        </w:rPr>
      </w:pPr>
      <w:r w:rsidRPr="00AB4037">
        <w:rPr>
          <w:rFonts w:cs="Open Sans"/>
        </w:rPr>
        <w:t>On 17 May 2011, Ms HM lodged a Protection visa (PV) application. As a result of lodging this application the department decided it was ‘inappropriate to progress’ Ms HM’s second ministerial intervention request pending the outcome of the PV application. The department subsequently refused Ms HM’s PV application, a decision that was affirmed on appeal to the Refugee Review Tribunal in November 2011.</w:t>
      </w:r>
    </w:p>
    <w:p w14:paraId="7350116A" w14:textId="77777777" w:rsidR="00E0039D" w:rsidRDefault="00E0039D" w:rsidP="00E0039D">
      <w:pPr>
        <w:pStyle w:val="SubmissionNormal"/>
        <w:numPr>
          <w:ilvl w:val="0"/>
          <w:numId w:val="29"/>
        </w:numPr>
        <w:rPr>
          <w:rFonts w:cs="Open Sans"/>
        </w:rPr>
      </w:pPr>
      <w:r w:rsidRPr="00AB4037">
        <w:rPr>
          <w:rFonts w:cs="Open Sans"/>
        </w:rPr>
        <w:t>On 29 December 2011, Ms HM made a third request for ministerial intervention, this time under s 417 of the Migration Act.</w:t>
      </w:r>
    </w:p>
    <w:p w14:paraId="61B9152E" w14:textId="77777777" w:rsidR="005A7793" w:rsidRDefault="005A7793">
      <w:pPr>
        <w:spacing w:after="0"/>
      </w:pPr>
      <w:r>
        <w:br w:type="page"/>
      </w:r>
    </w:p>
    <w:p w14:paraId="146E615A" w14:textId="77777777" w:rsidR="00E0039D" w:rsidRPr="00AB4037" w:rsidRDefault="00E0039D" w:rsidP="00E0039D">
      <w:pPr>
        <w:pStyle w:val="SubmissionNormal"/>
        <w:numPr>
          <w:ilvl w:val="0"/>
          <w:numId w:val="29"/>
        </w:numPr>
        <w:rPr>
          <w:rFonts w:cs="Open Sans"/>
        </w:rPr>
      </w:pPr>
      <w:r w:rsidRPr="00AB4037">
        <w:rPr>
          <w:rFonts w:cs="Open Sans"/>
        </w:rPr>
        <w:lastRenderedPageBreak/>
        <w:t>On 12 July 2013, the former Parliamentary Secretary for Multicultural Affairs made a decision to begin consideration of the case of Ms HM and her younger daughter under s 417 of the Migration Act to grant a Subclass 151 Former Resident visa subject to health and character checks and the provision of a signed Australian Values Statement. The Parliamentary Secretary made this decision following consideration of the department’s submission that stated under the heading ‘Preferred option …The Department considers that intervention under section 417 of the Act may be appropriate in this case’. The department has not provided any information as to why the grant of this visa was not progressed following the Secretary’s decision.</w:t>
      </w:r>
    </w:p>
    <w:p w14:paraId="699972CA" w14:textId="77777777" w:rsidR="00E0039D" w:rsidRPr="00AB4037" w:rsidRDefault="00E0039D" w:rsidP="00E0039D">
      <w:pPr>
        <w:pStyle w:val="SubmissionNormal"/>
        <w:numPr>
          <w:ilvl w:val="0"/>
          <w:numId w:val="29"/>
        </w:numPr>
        <w:rPr>
          <w:rFonts w:cs="Open Sans"/>
        </w:rPr>
      </w:pPr>
      <w:r w:rsidRPr="00AB4037">
        <w:rPr>
          <w:rFonts w:cs="Open Sans"/>
        </w:rPr>
        <w:t>On 15 September 2015, following a further submission from the department recommending that the Assistant Minister intervene to grant Ms HM and her younger daughter a visa on either a permanent or a temporary basis, the Assistant Minister decided not to exercise her public interest power under s 417 of the Migration Act in relation to Ms HM and her younger daughter. Ms HM’s younger daughter departed Australia for South Korea on 15 November 2015 following this decision of the Assistant Minister.</w:t>
      </w:r>
    </w:p>
    <w:p w14:paraId="3ED598F5" w14:textId="77777777" w:rsidR="00E0039D" w:rsidRPr="00AB4037" w:rsidRDefault="00E0039D" w:rsidP="00E0039D">
      <w:pPr>
        <w:pStyle w:val="SubmissionNormal"/>
        <w:numPr>
          <w:ilvl w:val="0"/>
          <w:numId w:val="29"/>
        </w:numPr>
        <w:rPr>
          <w:rFonts w:cs="Open Sans"/>
        </w:rPr>
      </w:pPr>
      <w:r w:rsidRPr="00AB4037">
        <w:rPr>
          <w:rFonts w:cs="Open Sans"/>
        </w:rPr>
        <w:t>On 11 December 2015, Ms HM applied for a Medical Treatment Support Visa (UB602) which was refused on 14 December 2015.</w:t>
      </w:r>
    </w:p>
    <w:p w14:paraId="2359C639" w14:textId="77777777" w:rsidR="00E0039D" w:rsidRPr="00AB4037" w:rsidRDefault="00E0039D" w:rsidP="00E0039D">
      <w:pPr>
        <w:pStyle w:val="SubmissionNormal"/>
        <w:numPr>
          <w:ilvl w:val="0"/>
          <w:numId w:val="29"/>
        </w:numPr>
        <w:rPr>
          <w:rFonts w:cs="Open Sans"/>
        </w:rPr>
      </w:pPr>
      <w:r w:rsidRPr="00AB4037">
        <w:rPr>
          <w:rFonts w:cs="Open Sans"/>
        </w:rPr>
        <w:t>Ms HM was granted a Bridging Visa E until 11 January 2016 in order to make ‘alternative guardianship arrangements for her son Master YM so he can continue his education in Australia’.</w:t>
      </w:r>
    </w:p>
    <w:p w14:paraId="46163CAB" w14:textId="77777777" w:rsidR="00E0039D" w:rsidRPr="00AB4037" w:rsidRDefault="00E0039D" w:rsidP="00E0039D">
      <w:pPr>
        <w:pStyle w:val="SubmissionNormal"/>
        <w:numPr>
          <w:ilvl w:val="0"/>
          <w:numId w:val="29"/>
        </w:numPr>
        <w:rPr>
          <w:rFonts w:cs="Open Sans"/>
        </w:rPr>
      </w:pPr>
      <w:r w:rsidRPr="00AB4037">
        <w:rPr>
          <w:rFonts w:cs="Open Sans"/>
        </w:rPr>
        <w:t>Ms HM departed Australia on 11 July 2016. Ms HM says that her migration agent and Customs informed her upon her departure that she would be unable to return to Australia for 3 years.</w:t>
      </w:r>
    </w:p>
    <w:p w14:paraId="5E223C4B" w14:textId="77777777" w:rsidR="00E0039D" w:rsidRDefault="00E0039D" w:rsidP="00E0039D">
      <w:pPr>
        <w:pStyle w:val="SubmissionNormal"/>
        <w:numPr>
          <w:ilvl w:val="0"/>
          <w:numId w:val="29"/>
        </w:numPr>
        <w:rPr>
          <w:rFonts w:cs="Open Sans"/>
        </w:rPr>
      </w:pPr>
      <w:r w:rsidRPr="00AB4037">
        <w:rPr>
          <w:rFonts w:cs="Open Sans"/>
        </w:rPr>
        <w:t>It is noteworthy that Ms HM has been generally compliant with Australian migration law for the period of time she resided in Australia.</w:t>
      </w:r>
    </w:p>
    <w:p w14:paraId="626FF0B8" w14:textId="77777777" w:rsidR="00A55F4E" w:rsidRDefault="00A55F4E">
      <w:pPr>
        <w:spacing w:after="0"/>
      </w:pPr>
      <w:r>
        <w:br w:type="page"/>
      </w:r>
    </w:p>
    <w:p w14:paraId="7B72BD20" w14:textId="77777777" w:rsidR="00E0039D" w:rsidRPr="00AB4037" w:rsidRDefault="00E0039D" w:rsidP="00E0039D">
      <w:pPr>
        <w:pStyle w:val="Heading1"/>
        <w:rPr>
          <w:rFonts w:cs="Open Sans"/>
        </w:rPr>
      </w:pPr>
      <w:bookmarkStart w:id="18" w:name="_Toc452472691"/>
      <w:bookmarkStart w:id="19" w:name="_Toc487445598"/>
      <w:bookmarkStart w:id="20" w:name="_Toc487531383"/>
      <w:bookmarkStart w:id="21" w:name="_Toc487531402"/>
      <w:bookmarkStart w:id="22" w:name="_Toc487531472"/>
      <w:bookmarkStart w:id="23" w:name="_Toc487531592"/>
      <w:bookmarkStart w:id="24" w:name="_Toc522262479"/>
      <w:bookmarkStart w:id="25" w:name="_Toc535564744"/>
      <w:r w:rsidRPr="00AB4037">
        <w:rPr>
          <w:rFonts w:cs="Open Sans"/>
        </w:rPr>
        <w:lastRenderedPageBreak/>
        <w:t>Legislative framework</w:t>
      </w:r>
      <w:bookmarkEnd w:id="18"/>
      <w:bookmarkEnd w:id="19"/>
      <w:bookmarkEnd w:id="20"/>
      <w:bookmarkEnd w:id="21"/>
      <w:bookmarkEnd w:id="22"/>
      <w:bookmarkEnd w:id="23"/>
      <w:bookmarkEnd w:id="24"/>
      <w:bookmarkEnd w:id="25"/>
    </w:p>
    <w:p w14:paraId="7BCE5F3F" w14:textId="77777777" w:rsidR="00E0039D" w:rsidRPr="00AB4037" w:rsidRDefault="00E0039D" w:rsidP="00480909">
      <w:pPr>
        <w:pStyle w:val="Heading2"/>
      </w:pPr>
      <w:bookmarkStart w:id="26" w:name="_Toc452472692"/>
      <w:bookmarkStart w:id="27" w:name="_Toc487445599"/>
      <w:bookmarkStart w:id="28" w:name="_Toc487531384"/>
      <w:bookmarkStart w:id="29" w:name="_Toc487531403"/>
      <w:bookmarkStart w:id="30" w:name="_Toc487531473"/>
      <w:bookmarkStart w:id="31" w:name="_Toc487531593"/>
      <w:bookmarkStart w:id="32" w:name="_Toc522262480"/>
      <w:bookmarkStart w:id="33" w:name="_Toc535564745"/>
      <w:r w:rsidRPr="00AB4037">
        <w:t xml:space="preserve">Functions of the </w:t>
      </w:r>
      <w:r w:rsidRPr="00480909">
        <w:t>Commission</w:t>
      </w:r>
      <w:bookmarkEnd w:id="26"/>
      <w:bookmarkEnd w:id="27"/>
      <w:bookmarkEnd w:id="28"/>
      <w:bookmarkEnd w:id="29"/>
      <w:bookmarkEnd w:id="30"/>
      <w:bookmarkEnd w:id="31"/>
      <w:bookmarkEnd w:id="32"/>
      <w:bookmarkEnd w:id="33"/>
    </w:p>
    <w:p w14:paraId="3728E002" w14:textId="77777777" w:rsidR="00E0039D" w:rsidRPr="00AB4037" w:rsidRDefault="00E0039D" w:rsidP="00E0039D">
      <w:pPr>
        <w:numPr>
          <w:ilvl w:val="0"/>
          <w:numId w:val="29"/>
        </w:numPr>
        <w:tabs>
          <w:tab w:val="num" w:pos="960"/>
        </w:tabs>
        <w:spacing w:before="240"/>
        <w:rPr>
          <w:rFonts w:cs="Open Sans"/>
          <w:szCs w:val="24"/>
        </w:rPr>
      </w:pPr>
      <w:r w:rsidRPr="00AB4037">
        <w:rPr>
          <w:rFonts w:cs="Open Sans"/>
          <w:szCs w:val="24"/>
        </w:rPr>
        <w:t>Section 11(1)(f) of the AHRC Act provides that the Commission has the function to inquire into any act or practice that may be inconsistent with, or contrary to, any human right.</w:t>
      </w:r>
    </w:p>
    <w:p w14:paraId="36268AC3" w14:textId="77777777" w:rsidR="00E0039D" w:rsidRPr="00AB4037" w:rsidRDefault="00E0039D" w:rsidP="00E0039D">
      <w:pPr>
        <w:numPr>
          <w:ilvl w:val="0"/>
          <w:numId w:val="29"/>
        </w:numPr>
        <w:tabs>
          <w:tab w:val="num" w:pos="960"/>
        </w:tabs>
        <w:spacing w:before="240"/>
        <w:rPr>
          <w:rFonts w:cs="Open Sans"/>
          <w:szCs w:val="24"/>
        </w:rPr>
      </w:pPr>
      <w:r w:rsidRPr="00AB4037">
        <w:rPr>
          <w:rFonts w:cs="Open Sans"/>
          <w:szCs w:val="24"/>
        </w:rPr>
        <w:t>Section 20(1)(b) of the AHRC Act requires the Commission to perform this function when a complaint is made to it in writing alleging that an act is inconsistent with, or contrary to, any human right.</w:t>
      </w:r>
    </w:p>
    <w:p w14:paraId="7FA6331A" w14:textId="77777777" w:rsidR="00E0039D" w:rsidRPr="00AB4037" w:rsidRDefault="00E0039D" w:rsidP="00E0039D">
      <w:pPr>
        <w:numPr>
          <w:ilvl w:val="0"/>
          <w:numId w:val="29"/>
        </w:numPr>
        <w:tabs>
          <w:tab w:val="num" w:pos="960"/>
        </w:tabs>
        <w:spacing w:before="240"/>
        <w:rPr>
          <w:rFonts w:cs="Open Sans"/>
          <w:szCs w:val="24"/>
        </w:rPr>
      </w:pPr>
      <w:r w:rsidRPr="00AB4037">
        <w:rPr>
          <w:rFonts w:cs="Open Sans"/>
          <w:szCs w:val="24"/>
        </w:rPr>
        <w:t>Section 8(6) of the AHRC Act requires that the functions of the Commission under s 11(1)(f) be performed by the President.</w:t>
      </w:r>
    </w:p>
    <w:p w14:paraId="26036B9A" w14:textId="77777777" w:rsidR="00E0039D" w:rsidRPr="00AB4037" w:rsidRDefault="00E0039D" w:rsidP="00480909">
      <w:pPr>
        <w:pStyle w:val="Heading2"/>
      </w:pPr>
      <w:bookmarkStart w:id="34" w:name="_Toc452472694"/>
      <w:bookmarkStart w:id="35" w:name="_Toc487445601"/>
      <w:bookmarkStart w:id="36" w:name="_Toc487531386"/>
      <w:bookmarkStart w:id="37" w:name="_Toc487531405"/>
      <w:bookmarkStart w:id="38" w:name="_Toc487531475"/>
      <w:bookmarkStart w:id="39" w:name="_Toc487531595"/>
      <w:bookmarkStart w:id="40" w:name="_Toc522262481"/>
      <w:bookmarkStart w:id="41" w:name="_Toc535564746"/>
      <w:r w:rsidRPr="00AB4037">
        <w:t>What is a human right?</w:t>
      </w:r>
      <w:bookmarkEnd w:id="34"/>
      <w:bookmarkEnd w:id="35"/>
      <w:bookmarkEnd w:id="36"/>
      <w:bookmarkEnd w:id="37"/>
      <w:bookmarkEnd w:id="38"/>
      <w:bookmarkEnd w:id="39"/>
      <w:bookmarkEnd w:id="40"/>
      <w:bookmarkEnd w:id="41"/>
    </w:p>
    <w:p w14:paraId="6C43AFDC" w14:textId="77777777" w:rsidR="00E0039D" w:rsidRPr="00AB4037" w:rsidRDefault="00E0039D" w:rsidP="00E0039D">
      <w:pPr>
        <w:numPr>
          <w:ilvl w:val="0"/>
          <w:numId w:val="29"/>
        </w:numPr>
        <w:spacing w:before="240"/>
        <w:rPr>
          <w:rFonts w:cs="Open Sans"/>
          <w:szCs w:val="24"/>
        </w:rPr>
      </w:pPr>
      <w:bookmarkStart w:id="42" w:name="_Toc452472695"/>
      <w:bookmarkStart w:id="43" w:name="_Toc487445602"/>
      <w:bookmarkStart w:id="44" w:name="_Toc487531387"/>
      <w:bookmarkStart w:id="45" w:name="_Toc487531406"/>
      <w:bookmarkStart w:id="46" w:name="_Toc487531476"/>
      <w:bookmarkStart w:id="47" w:name="_Toc487531596"/>
      <w:r w:rsidRPr="00AB4037">
        <w:rPr>
          <w:rFonts w:cs="Open Sans"/>
          <w:szCs w:val="24"/>
        </w:rPr>
        <w:t>The rights and freedoms recognised by the ICCPR and the CRC are ‘human rights’ within the meaning of the AHRC Act.</w:t>
      </w:r>
      <w:r w:rsidRPr="00AB4037">
        <w:rPr>
          <w:rFonts w:cs="Open Sans"/>
          <w:sz w:val="20"/>
          <w:vertAlign w:val="superscript"/>
        </w:rPr>
        <w:endnoteReference w:id="3"/>
      </w:r>
      <w:r w:rsidRPr="00AB4037">
        <w:rPr>
          <w:rFonts w:cs="Open Sans"/>
          <w:szCs w:val="24"/>
        </w:rPr>
        <w:t xml:space="preserve"> The following articles of these treaties are relevant to the acts and practices the subject of the present inquiry.</w:t>
      </w:r>
    </w:p>
    <w:p w14:paraId="7BBE7E9C" w14:textId="77777777" w:rsidR="00E0039D" w:rsidRPr="00AB4037" w:rsidRDefault="00E0039D" w:rsidP="00E0039D">
      <w:pPr>
        <w:numPr>
          <w:ilvl w:val="0"/>
          <w:numId w:val="29"/>
        </w:numPr>
        <w:spacing w:before="240"/>
        <w:rPr>
          <w:rFonts w:cs="Open Sans"/>
          <w:szCs w:val="24"/>
        </w:rPr>
      </w:pPr>
      <w:r w:rsidRPr="00AB4037">
        <w:rPr>
          <w:rFonts w:cs="Open Sans"/>
          <w:szCs w:val="24"/>
        </w:rPr>
        <w:t>Article 17(1) of the ICCPR provides:</w:t>
      </w:r>
    </w:p>
    <w:p w14:paraId="560C11E5" w14:textId="77777777" w:rsidR="00E0039D" w:rsidRPr="00AB4037" w:rsidRDefault="00E0039D" w:rsidP="00E0039D">
      <w:pPr>
        <w:spacing w:before="40"/>
        <w:ind w:left="1440"/>
        <w:jc w:val="both"/>
        <w:rPr>
          <w:rFonts w:cs="Open Sans"/>
          <w:sz w:val="22"/>
          <w:szCs w:val="22"/>
        </w:rPr>
      </w:pPr>
      <w:r w:rsidRPr="00AB4037">
        <w:rPr>
          <w:rFonts w:cs="Open Sans"/>
          <w:sz w:val="22"/>
          <w:szCs w:val="22"/>
        </w:rPr>
        <w:t>No one shall be subjected to arbitrary or unlawful interference with his privacy, family, home or correspondence, nor to unlawful attacks on his honour and reputation.</w:t>
      </w:r>
    </w:p>
    <w:p w14:paraId="28175556" w14:textId="77777777" w:rsidR="00E0039D" w:rsidRPr="00AB4037" w:rsidRDefault="00E0039D" w:rsidP="00E0039D">
      <w:pPr>
        <w:numPr>
          <w:ilvl w:val="0"/>
          <w:numId w:val="29"/>
        </w:numPr>
        <w:spacing w:before="240"/>
        <w:rPr>
          <w:rFonts w:cs="Open Sans"/>
          <w:szCs w:val="24"/>
        </w:rPr>
      </w:pPr>
      <w:r w:rsidRPr="00AB4037">
        <w:rPr>
          <w:rFonts w:cs="Open Sans"/>
          <w:szCs w:val="24"/>
        </w:rPr>
        <w:t>Article 23(1) of the ICCPR provides:</w:t>
      </w:r>
    </w:p>
    <w:p w14:paraId="2231813C" w14:textId="77777777" w:rsidR="00E0039D" w:rsidRPr="00AB4037" w:rsidRDefault="00E0039D" w:rsidP="00E0039D">
      <w:pPr>
        <w:spacing w:before="240"/>
        <w:ind w:left="1440"/>
        <w:rPr>
          <w:rFonts w:cs="Open Sans"/>
          <w:szCs w:val="24"/>
        </w:rPr>
      </w:pPr>
      <w:r w:rsidRPr="00AB4037">
        <w:rPr>
          <w:rFonts w:cs="Open Sans"/>
          <w:sz w:val="22"/>
          <w:szCs w:val="22"/>
        </w:rPr>
        <w:t>The family is the natural and fundamental group unit of society and is entitled to protection by society and the State.</w:t>
      </w:r>
    </w:p>
    <w:p w14:paraId="6037AF17" w14:textId="77777777" w:rsidR="00E0039D" w:rsidRPr="00AB4037" w:rsidRDefault="00E0039D" w:rsidP="00E0039D">
      <w:pPr>
        <w:numPr>
          <w:ilvl w:val="0"/>
          <w:numId w:val="29"/>
        </w:numPr>
        <w:spacing w:before="240"/>
        <w:rPr>
          <w:rFonts w:cs="Open Sans"/>
          <w:szCs w:val="24"/>
        </w:rPr>
      </w:pPr>
      <w:r w:rsidRPr="00AB4037">
        <w:rPr>
          <w:rFonts w:cs="Open Sans"/>
          <w:szCs w:val="24"/>
        </w:rPr>
        <w:t>Article 3 of the CRC provides:</w:t>
      </w:r>
    </w:p>
    <w:p w14:paraId="5344EC75" w14:textId="77777777" w:rsidR="00E0039D" w:rsidRDefault="00E0039D" w:rsidP="00E0039D">
      <w:pPr>
        <w:spacing w:before="240"/>
        <w:ind w:left="1440"/>
        <w:rPr>
          <w:rFonts w:cs="Open Sans"/>
          <w:sz w:val="22"/>
          <w:szCs w:val="24"/>
        </w:rPr>
      </w:pPr>
      <w:r w:rsidRPr="00AB4037">
        <w:rPr>
          <w:rFonts w:cs="Open Sans"/>
          <w:sz w:val="22"/>
          <w:szCs w:val="24"/>
        </w:rPr>
        <w:t>In all actions concerning children, whether undertaken by public or private social welfare institutions, courts of law, administrative authorities or legislative bodies, the best interests of the child shall be a primarily consideration.</w:t>
      </w:r>
    </w:p>
    <w:p w14:paraId="16301BF3" w14:textId="77777777" w:rsidR="00A55F4E" w:rsidRDefault="00A55F4E">
      <w:pPr>
        <w:spacing w:after="0"/>
      </w:pPr>
      <w:r>
        <w:br w:type="page"/>
      </w:r>
    </w:p>
    <w:p w14:paraId="4EACEBC7" w14:textId="77777777" w:rsidR="00E0039D" w:rsidRPr="00AB4037" w:rsidRDefault="00E0039D" w:rsidP="00480909">
      <w:pPr>
        <w:pStyle w:val="Heading2"/>
      </w:pPr>
      <w:bookmarkStart w:id="48" w:name="_Toc328405012"/>
      <w:bookmarkStart w:id="49" w:name="_Toc452472693"/>
      <w:bookmarkStart w:id="50" w:name="_Toc487445600"/>
      <w:bookmarkStart w:id="51" w:name="_Toc487531385"/>
      <w:bookmarkStart w:id="52" w:name="_Toc487531404"/>
      <w:bookmarkStart w:id="53" w:name="_Toc487531474"/>
      <w:bookmarkStart w:id="54" w:name="_Toc487531594"/>
      <w:bookmarkStart w:id="55" w:name="_Toc522262482"/>
      <w:bookmarkStart w:id="56" w:name="_Toc535564747"/>
      <w:r w:rsidRPr="00AB4037">
        <w:lastRenderedPageBreak/>
        <w:t>What is an ‘act’ or ‘</w:t>
      </w:r>
      <w:r w:rsidRPr="00480909">
        <w:t>practice’</w:t>
      </w:r>
      <w:bookmarkEnd w:id="48"/>
      <w:bookmarkEnd w:id="49"/>
      <w:bookmarkEnd w:id="50"/>
      <w:bookmarkEnd w:id="51"/>
      <w:bookmarkEnd w:id="52"/>
      <w:bookmarkEnd w:id="53"/>
      <w:bookmarkEnd w:id="54"/>
      <w:bookmarkEnd w:id="55"/>
      <w:bookmarkEnd w:id="56"/>
    </w:p>
    <w:p w14:paraId="5ADE1B77" w14:textId="77777777" w:rsidR="00E0039D" w:rsidRPr="00AB4037" w:rsidRDefault="00E0039D" w:rsidP="00E0039D">
      <w:pPr>
        <w:pStyle w:val="SubmissionNormal"/>
        <w:numPr>
          <w:ilvl w:val="0"/>
          <w:numId w:val="29"/>
        </w:numPr>
        <w:rPr>
          <w:rFonts w:cs="Open Sans"/>
        </w:rPr>
      </w:pPr>
      <w:r w:rsidRPr="00AB4037">
        <w:rPr>
          <w:rFonts w:cs="Open Sans"/>
        </w:rPr>
        <w:t>The terms ‘act’ and ‘practice’ are defined in s 3(1) of the AHRC Act to include an act done or a practice engaged in ‘by or on behalf of the Commonwealth’. Section 3(3) provides that a reference to, or the doing of, an act includes a reference to the refusal or failure to do an act.</w:t>
      </w:r>
    </w:p>
    <w:p w14:paraId="15D08CD5" w14:textId="77777777" w:rsidR="00E0039D" w:rsidRPr="00AB4037" w:rsidRDefault="00E0039D" w:rsidP="00E0039D">
      <w:pPr>
        <w:pStyle w:val="SubmissionNormal"/>
        <w:numPr>
          <w:ilvl w:val="0"/>
          <w:numId w:val="29"/>
        </w:numPr>
        <w:rPr>
          <w:rFonts w:cs="Open Sans"/>
        </w:rPr>
      </w:pPr>
      <w:r w:rsidRPr="00AB4037">
        <w:rPr>
          <w:rFonts w:cs="Open Sans"/>
        </w:rPr>
        <w:t>The functions of the Commission identified in s 11(1)(f) of the AHRC Act are only engaged where the act complained of is not one required by law to be taken, that is, where the relevant act or practice is within the discretion of the Commonwealth.</w:t>
      </w:r>
      <w:r w:rsidRPr="00AB4037">
        <w:rPr>
          <w:rStyle w:val="EndnoteReference"/>
          <w:rFonts w:ascii="Open Sans" w:hAnsi="Open Sans" w:cs="Open Sans"/>
        </w:rPr>
        <w:endnoteReference w:id="4"/>
      </w:r>
      <w:r w:rsidRPr="00AB4037">
        <w:rPr>
          <w:rFonts w:cs="Open Sans"/>
        </w:rPr>
        <w:t xml:space="preserve"> Therefore, if a law requires that the act or practice be done by or on behalf of the Commonwealth, and there is no discretion involved, the act or practice done pursuant to that statutory provision will be outside the scope of the Commission’s human rights inquiry jurisdiction.</w:t>
      </w:r>
    </w:p>
    <w:p w14:paraId="7CB790BB" w14:textId="77777777" w:rsidR="00E0039D" w:rsidRPr="00AB4037" w:rsidRDefault="00E0039D" w:rsidP="00E0039D">
      <w:pPr>
        <w:pStyle w:val="SubmissionNormal"/>
        <w:numPr>
          <w:ilvl w:val="0"/>
          <w:numId w:val="29"/>
        </w:numPr>
        <w:rPr>
          <w:rFonts w:cs="Open Sans"/>
        </w:rPr>
      </w:pPr>
      <w:r w:rsidRPr="00AB4037">
        <w:rPr>
          <w:rFonts w:cs="Open Sans"/>
        </w:rPr>
        <w:t>Section 417 of the Migration Act provides that if the Minister thinks that it is in the public interest to do so, the Minister may substitute for a decision of the Refugee Review Tribunal, a decision that is more favourable to the applicant.</w:t>
      </w:r>
    </w:p>
    <w:p w14:paraId="29384F78" w14:textId="77777777" w:rsidR="00E0039D" w:rsidRPr="00AB4037" w:rsidRDefault="00E0039D" w:rsidP="00E0039D">
      <w:pPr>
        <w:pStyle w:val="SubmissionNormal"/>
        <w:numPr>
          <w:ilvl w:val="0"/>
          <w:numId w:val="29"/>
        </w:numPr>
        <w:rPr>
          <w:rFonts w:cs="Open Sans"/>
        </w:rPr>
      </w:pPr>
      <w:r w:rsidRPr="00AB4037">
        <w:rPr>
          <w:rFonts w:cs="Open Sans"/>
        </w:rPr>
        <w:t xml:space="preserve">The exercise of this power is </w:t>
      </w:r>
      <w:r w:rsidR="00A77194">
        <w:rPr>
          <w:rFonts w:cs="Open Sans"/>
        </w:rPr>
        <w:t>conditional</w:t>
      </w:r>
      <w:r w:rsidR="00A77194" w:rsidRPr="00AB4037">
        <w:rPr>
          <w:rFonts w:cs="Open Sans"/>
        </w:rPr>
        <w:t xml:space="preserve"> </w:t>
      </w:r>
      <w:r w:rsidRPr="00AB4037">
        <w:rPr>
          <w:rFonts w:cs="Open Sans"/>
        </w:rPr>
        <w:t>upon the Minister being satisfied that it is in the public interest to do so. This emphasises the breadth of the Minister’s power, as the expression ‘in the public interest’ has ‘no fixed and precise content and involves a value judgment often to be made by reference to undefined matters’.</w:t>
      </w:r>
      <w:r w:rsidRPr="00AB4037">
        <w:rPr>
          <w:rStyle w:val="EndnoteReference"/>
          <w:rFonts w:ascii="Open Sans" w:hAnsi="Open Sans" w:cs="Open Sans"/>
        </w:rPr>
        <w:endnoteReference w:id="5"/>
      </w:r>
      <w:r w:rsidRPr="00AB4037">
        <w:rPr>
          <w:rFonts w:cs="Open Sans"/>
        </w:rPr>
        <w:t xml:space="preserve"> Consistent with what was said in </w:t>
      </w:r>
      <w:r w:rsidRPr="00AB4037">
        <w:rPr>
          <w:rStyle w:val="Emphasis"/>
          <w:rFonts w:cs="Open Sans"/>
        </w:rPr>
        <w:t xml:space="preserve">Secretary, Department of Defence v HREOC, Burgess &amp; </w:t>
      </w:r>
      <w:proofErr w:type="spellStart"/>
      <w:r w:rsidRPr="00AB4037">
        <w:rPr>
          <w:rStyle w:val="Emphasis"/>
          <w:rFonts w:cs="Open Sans"/>
        </w:rPr>
        <w:t>Ors</w:t>
      </w:r>
      <w:proofErr w:type="spellEnd"/>
      <w:r w:rsidRPr="00AB4037">
        <w:rPr>
          <w:rFonts w:cs="Open Sans"/>
          <w:i/>
          <w:iCs/>
        </w:rPr>
        <w:t xml:space="preserve"> </w:t>
      </w:r>
      <w:r w:rsidRPr="00AB4037">
        <w:rPr>
          <w:rFonts w:cs="Open Sans"/>
        </w:rPr>
        <w:t>(1997) 78 FCR 208, such an exercise of discretionary power may be the subject of an inquiry under s 11(1)(f)</w:t>
      </w:r>
      <w:r w:rsidR="0057646A">
        <w:rPr>
          <w:rFonts w:cs="Open Sans"/>
        </w:rPr>
        <w:t xml:space="preserve"> of the AHRC Act</w:t>
      </w:r>
      <w:r w:rsidRPr="00AB4037">
        <w:rPr>
          <w:rFonts w:cs="Open Sans"/>
        </w:rPr>
        <w:t>.</w:t>
      </w:r>
    </w:p>
    <w:p w14:paraId="704D7A0B" w14:textId="77777777" w:rsidR="00E0039D" w:rsidRDefault="00E0039D" w:rsidP="00E0039D">
      <w:pPr>
        <w:pStyle w:val="SubmissionNormal"/>
        <w:numPr>
          <w:ilvl w:val="0"/>
          <w:numId w:val="29"/>
        </w:numPr>
        <w:rPr>
          <w:rFonts w:cs="Open Sans"/>
        </w:rPr>
      </w:pPr>
      <w:r w:rsidRPr="00AB4037">
        <w:rPr>
          <w:rFonts w:cs="Open Sans"/>
        </w:rPr>
        <w:t>I find that the decision by the then Assistant Minister on 15 September 2015 not to exercise her discretionary power under s 417 of the Migration Act constitutes an act within the definition of the AHRC Act. I have also considered the department’s submission to the Assistant Minister and in particular, whether it demonstrates that Master YM’s best interests were explored and taken into account as a primary consideration.</w:t>
      </w:r>
    </w:p>
    <w:p w14:paraId="674FF4D3" w14:textId="77777777" w:rsidR="00A55F4E" w:rsidRDefault="00A55F4E">
      <w:pPr>
        <w:spacing w:after="0"/>
      </w:pPr>
      <w:r>
        <w:br w:type="page"/>
      </w:r>
    </w:p>
    <w:p w14:paraId="0170342C" w14:textId="77777777" w:rsidR="00E0039D" w:rsidRPr="00AB4037" w:rsidRDefault="00E0039D" w:rsidP="00E0039D">
      <w:pPr>
        <w:pStyle w:val="Heading1"/>
        <w:rPr>
          <w:rFonts w:cs="Open Sans"/>
        </w:rPr>
      </w:pPr>
      <w:bookmarkStart w:id="57" w:name="_Toc408839480"/>
      <w:bookmarkStart w:id="58" w:name="_Toc510446666"/>
      <w:bookmarkStart w:id="59" w:name="_Toc522262483"/>
      <w:bookmarkStart w:id="60" w:name="_Toc535564748"/>
      <w:r w:rsidRPr="00AB4037">
        <w:rPr>
          <w:rFonts w:cs="Open Sans"/>
        </w:rPr>
        <w:lastRenderedPageBreak/>
        <w:t>Best interests of children</w:t>
      </w:r>
      <w:bookmarkEnd w:id="57"/>
      <w:bookmarkEnd w:id="58"/>
      <w:bookmarkEnd w:id="59"/>
      <w:bookmarkEnd w:id="60"/>
    </w:p>
    <w:p w14:paraId="488E3694" w14:textId="77777777" w:rsidR="00E0039D" w:rsidRPr="00AB4037" w:rsidRDefault="00E0039D" w:rsidP="00E0039D">
      <w:pPr>
        <w:pStyle w:val="SubmissionNormal"/>
        <w:numPr>
          <w:ilvl w:val="0"/>
          <w:numId w:val="29"/>
        </w:numPr>
        <w:rPr>
          <w:rFonts w:cs="Open Sans"/>
        </w:rPr>
      </w:pPr>
      <w:r w:rsidRPr="00AB4037">
        <w:rPr>
          <w:rFonts w:cs="Open Sans"/>
        </w:rPr>
        <w:t>Article 3 of the CRC requires that, in all actions concerning children, their best interests must be a primary consideration</w:t>
      </w:r>
      <w:r w:rsidRPr="00AB4037">
        <w:rPr>
          <w:rFonts w:cs="Open Sans"/>
          <w:b/>
        </w:rPr>
        <w:t xml:space="preserve"> </w:t>
      </w:r>
      <w:r w:rsidRPr="00AB4037">
        <w:rPr>
          <w:rFonts w:cs="Open Sans"/>
        </w:rPr>
        <w:t>of the decision maker.</w:t>
      </w:r>
    </w:p>
    <w:p w14:paraId="12D0A742" w14:textId="77777777" w:rsidR="00E0039D" w:rsidRPr="00AB4037" w:rsidRDefault="00E0039D" w:rsidP="00E0039D">
      <w:pPr>
        <w:pStyle w:val="SubmissionNormal"/>
        <w:numPr>
          <w:ilvl w:val="0"/>
          <w:numId w:val="29"/>
        </w:numPr>
        <w:rPr>
          <w:rFonts w:cs="Open Sans"/>
        </w:rPr>
      </w:pPr>
      <w:r w:rsidRPr="00AB4037">
        <w:rPr>
          <w:rFonts w:cs="Open Sans"/>
        </w:rPr>
        <w:t xml:space="preserve">The United Nations Children’s Fund (UNICEF) Implementation Handbook for the </w:t>
      </w:r>
      <w:r w:rsidR="0022414E">
        <w:rPr>
          <w:rFonts w:cs="Open Sans"/>
        </w:rPr>
        <w:t>CRC</w:t>
      </w:r>
      <w:r w:rsidRPr="00AB4037">
        <w:rPr>
          <w:rFonts w:cs="Open Sans"/>
        </w:rPr>
        <w:t xml:space="preserve"> provides the following guidance on the interpretation of ‘primary consideration’ under article 3:</w:t>
      </w:r>
    </w:p>
    <w:p w14:paraId="69AD4599" w14:textId="77777777" w:rsidR="00E0039D" w:rsidRPr="00AB4037" w:rsidRDefault="00E0039D" w:rsidP="00E0039D">
      <w:pPr>
        <w:spacing w:before="240"/>
        <w:ind w:left="1440"/>
        <w:rPr>
          <w:rFonts w:cs="Open Sans"/>
          <w:sz w:val="22"/>
          <w:szCs w:val="24"/>
        </w:rPr>
      </w:pPr>
      <w:r w:rsidRPr="00AB4037">
        <w:rPr>
          <w:rFonts w:cs="Open Sans"/>
          <w:sz w:val="22"/>
          <w:szCs w:val="24"/>
        </w:rPr>
        <w:t>The wording of article 3 indicates that the best interests of the child will not always be the single, overriding factor to be considered; there may be competing or conflicting human rights interests …</w:t>
      </w:r>
    </w:p>
    <w:p w14:paraId="3753E862" w14:textId="77777777" w:rsidR="00E0039D" w:rsidRPr="00AB4037" w:rsidRDefault="00E0039D" w:rsidP="00E0039D">
      <w:pPr>
        <w:spacing w:before="240"/>
        <w:ind w:left="1440"/>
        <w:rPr>
          <w:rFonts w:cs="Open Sans"/>
          <w:sz w:val="22"/>
          <w:szCs w:val="24"/>
        </w:rPr>
      </w:pPr>
      <w:r w:rsidRPr="00AB4037">
        <w:rPr>
          <w:rFonts w:cs="Open Sans"/>
          <w:sz w:val="22"/>
          <w:szCs w:val="24"/>
        </w:rPr>
        <w:t>The child’s interests, however, must be the subject of active consideration; it needs to be demonstrated that children’s interests have been explored and taken into account as a primary consideration.</w:t>
      </w:r>
      <w:r w:rsidRPr="00AB4037">
        <w:rPr>
          <w:rStyle w:val="EndnoteReference"/>
          <w:rFonts w:ascii="Open Sans" w:hAnsi="Open Sans" w:cs="Open Sans"/>
          <w:szCs w:val="24"/>
        </w:rPr>
        <w:endnoteReference w:id="6"/>
      </w:r>
    </w:p>
    <w:p w14:paraId="2906BD5D" w14:textId="77777777" w:rsidR="00E0039D" w:rsidRPr="00AB4037" w:rsidRDefault="00E0039D" w:rsidP="00E0039D">
      <w:pPr>
        <w:pStyle w:val="SubmissionNormal"/>
        <w:numPr>
          <w:ilvl w:val="0"/>
          <w:numId w:val="29"/>
        </w:numPr>
        <w:rPr>
          <w:rFonts w:cs="Open Sans"/>
        </w:rPr>
      </w:pPr>
      <w:r w:rsidRPr="00AB4037">
        <w:rPr>
          <w:rFonts w:cs="Open Sans"/>
        </w:rPr>
        <w:t>Article 45 of the CRC recognises the special competence of UNICEF and other United Nations organs to provide expert advice on the implementation of the Convention in areas falling within the scope of their respective mandates.</w:t>
      </w:r>
    </w:p>
    <w:p w14:paraId="029B5063" w14:textId="77777777" w:rsidR="00E0039D" w:rsidRPr="00AB4037" w:rsidRDefault="00E0039D" w:rsidP="00E0039D">
      <w:pPr>
        <w:pStyle w:val="SubmissionNormal"/>
        <w:numPr>
          <w:ilvl w:val="0"/>
          <w:numId w:val="29"/>
        </w:numPr>
        <w:spacing w:before="0"/>
        <w:rPr>
          <w:rFonts w:cs="Open Sans"/>
        </w:rPr>
      </w:pPr>
      <w:r w:rsidRPr="00AB4037">
        <w:rPr>
          <w:rFonts w:cs="Open Sans"/>
        </w:rPr>
        <w:t xml:space="preserve">In </w:t>
      </w:r>
      <w:r w:rsidRPr="00AB4037">
        <w:rPr>
          <w:rFonts w:cs="Open Sans"/>
          <w:i/>
        </w:rPr>
        <w:t>Wan v Minister for Immigration &amp; Multicultural Affairs</w:t>
      </w:r>
      <w:r w:rsidRPr="00AB4037">
        <w:rPr>
          <w:rFonts w:cs="Open Sans"/>
        </w:rPr>
        <w:t xml:space="preserve"> (2001) 107 FCR 133, (</w:t>
      </w:r>
      <w:r w:rsidRPr="00AB4037">
        <w:rPr>
          <w:rFonts w:cs="Open Sans"/>
          <w:i/>
        </w:rPr>
        <w:t>Wan v MIMA</w:t>
      </w:r>
      <w:r w:rsidRPr="00AB4037">
        <w:rPr>
          <w:rFonts w:cs="Open Sans"/>
        </w:rPr>
        <w:t>) the Full Court of the Federal Court held that it was necessary for the decision-maker to identify what the best interests of the children were in determining whether to grant a permanent residence visa to an applicant with two Australian citizen children, where character concerns about the applicant were raised by the department.</w:t>
      </w:r>
    </w:p>
    <w:p w14:paraId="1B6790E7" w14:textId="77777777" w:rsidR="00E0039D" w:rsidRPr="00AB4037" w:rsidRDefault="00E0039D" w:rsidP="00E0039D">
      <w:pPr>
        <w:pStyle w:val="SubmissionNormal"/>
        <w:numPr>
          <w:ilvl w:val="0"/>
          <w:numId w:val="29"/>
        </w:numPr>
        <w:rPr>
          <w:rFonts w:cs="Open Sans"/>
        </w:rPr>
      </w:pPr>
      <w:r w:rsidRPr="00AB4037">
        <w:rPr>
          <w:rFonts w:cs="Open Sans"/>
        </w:rPr>
        <w:t xml:space="preserve">In the decision of the United Kingdom Supreme Court, </w:t>
      </w:r>
      <w:r w:rsidRPr="00AB4037">
        <w:rPr>
          <w:rFonts w:cs="Open Sans"/>
          <w:i/>
        </w:rPr>
        <w:t>ZH (Tanzania) (FC) v Secretary of State for the Home Department</w:t>
      </w:r>
      <w:r w:rsidRPr="00AB4037">
        <w:rPr>
          <w:rFonts w:cs="Open Sans"/>
        </w:rPr>
        <w:t>,</w:t>
      </w:r>
      <w:r w:rsidRPr="00AB4037">
        <w:rPr>
          <w:rStyle w:val="EndnoteReference"/>
          <w:rFonts w:ascii="Open Sans" w:hAnsi="Open Sans" w:cs="Open Sans"/>
        </w:rPr>
        <w:endnoteReference w:id="7"/>
      </w:r>
      <w:r w:rsidRPr="00AB4037">
        <w:rPr>
          <w:rFonts w:cs="Open Sans"/>
        </w:rPr>
        <w:t xml:space="preserve"> which considered the rights of citizen children born to a mother unlawfully residing in the UK,</w:t>
      </w:r>
      <w:r w:rsidRPr="00AB4037">
        <w:rPr>
          <w:rFonts w:cs="Open Sans"/>
          <w:i/>
        </w:rPr>
        <w:t xml:space="preserve"> </w:t>
      </w:r>
      <w:r w:rsidRPr="00AB4037">
        <w:rPr>
          <w:rFonts w:cs="Open Sans"/>
        </w:rPr>
        <w:t>Lady Hale for the majority stated:</w:t>
      </w:r>
    </w:p>
    <w:p w14:paraId="6F2EA477" w14:textId="77777777" w:rsidR="00E0039D" w:rsidRPr="00AB4037" w:rsidRDefault="00E0039D" w:rsidP="00E0039D">
      <w:pPr>
        <w:pStyle w:val="SubmissionNormal"/>
        <w:numPr>
          <w:ilvl w:val="0"/>
          <w:numId w:val="0"/>
        </w:numPr>
        <w:ind w:left="1440"/>
        <w:rPr>
          <w:rFonts w:cs="Open Sans"/>
          <w:sz w:val="22"/>
          <w:szCs w:val="22"/>
        </w:rPr>
      </w:pPr>
      <w:r w:rsidRPr="00AB4037">
        <w:rPr>
          <w:rFonts w:cs="Open Sans"/>
          <w:sz w:val="22"/>
          <w:szCs w:val="22"/>
        </w:rPr>
        <w:t>Although nationality is not a ‘trump card’ it is of particular importance in assessing the best interests of any child. The UNCRC recognises the right of every child to be registered and acquire a nationality (Article 7) and to preserve her identity, including her nationality (Article 8).</w:t>
      </w:r>
    </w:p>
    <w:p w14:paraId="6B686310" w14:textId="77777777" w:rsidR="00E0039D" w:rsidRPr="00AB4037" w:rsidRDefault="00E0039D" w:rsidP="00E0039D">
      <w:pPr>
        <w:pStyle w:val="SubmissionNormal"/>
        <w:numPr>
          <w:ilvl w:val="0"/>
          <w:numId w:val="0"/>
        </w:numPr>
        <w:ind w:left="1440"/>
        <w:rPr>
          <w:rFonts w:cs="Open Sans"/>
          <w:sz w:val="22"/>
          <w:szCs w:val="22"/>
        </w:rPr>
      </w:pPr>
      <w:r w:rsidRPr="00AB4037">
        <w:rPr>
          <w:rFonts w:cs="Open Sans"/>
          <w:sz w:val="22"/>
          <w:szCs w:val="22"/>
        </w:rPr>
        <w:t>…</w:t>
      </w:r>
    </w:p>
    <w:p w14:paraId="1EAD4424" w14:textId="77777777" w:rsidR="00E0039D" w:rsidRDefault="00E0039D" w:rsidP="00E0039D">
      <w:pPr>
        <w:pStyle w:val="SubmissionNormal"/>
        <w:numPr>
          <w:ilvl w:val="0"/>
          <w:numId w:val="0"/>
        </w:numPr>
        <w:ind w:left="1440"/>
        <w:rPr>
          <w:rFonts w:cs="Open Sans"/>
          <w:sz w:val="22"/>
          <w:szCs w:val="22"/>
        </w:rPr>
      </w:pPr>
      <w:r w:rsidRPr="00AB4037">
        <w:rPr>
          <w:rFonts w:cs="Open Sans"/>
          <w:sz w:val="22"/>
          <w:szCs w:val="22"/>
        </w:rPr>
        <w:t>Nor should the intrinsic importance of citizenship be played down. As citizens these children have rights which they will not be able to exercise if they move to another country. They will lose the advantages of growing up and being educated in their own country, their own culture and their own language. They will have lost all this when they come back as adults.</w:t>
      </w:r>
      <w:r w:rsidRPr="00AB4037">
        <w:rPr>
          <w:rStyle w:val="EndnoteReference"/>
          <w:rFonts w:ascii="Open Sans" w:hAnsi="Open Sans" w:cs="Open Sans"/>
          <w:szCs w:val="22"/>
        </w:rPr>
        <w:endnoteReference w:id="8"/>
      </w:r>
    </w:p>
    <w:p w14:paraId="781BDF22" w14:textId="77777777" w:rsidR="00AC3F5E" w:rsidRPr="00AB4037" w:rsidRDefault="00AC3F5E" w:rsidP="00AC3F5E"/>
    <w:p w14:paraId="604C152F" w14:textId="77777777" w:rsidR="00E0039D" w:rsidRPr="00AB4037" w:rsidRDefault="00E0039D" w:rsidP="00E0039D">
      <w:pPr>
        <w:pStyle w:val="SubmissionNormal"/>
        <w:numPr>
          <w:ilvl w:val="0"/>
          <w:numId w:val="29"/>
        </w:numPr>
        <w:rPr>
          <w:rFonts w:cs="Open Sans"/>
        </w:rPr>
      </w:pPr>
      <w:r w:rsidRPr="00AB4037">
        <w:rPr>
          <w:rFonts w:cs="Open Sans"/>
        </w:rPr>
        <w:lastRenderedPageBreak/>
        <w:t xml:space="preserve">In </w:t>
      </w:r>
      <w:r w:rsidRPr="00AB4037">
        <w:rPr>
          <w:rFonts w:cs="Open Sans"/>
          <w:i/>
        </w:rPr>
        <w:t xml:space="preserve">Wan v MIMA, </w:t>
      </w:r>
      <w:r w:rsidRPr="00AB4037">
        <w:rPr>
          <w:rFonts w:cs="Open Sans"/>
        </w:rPr>
        <w:t>the court regarded the following issues as important:</w:t>
      </w:r>
    </w:p>
    <w:p w14:paraId="61D59366" w14:textId="77777777" w:rsidR="00E0039D" w:rsidRPr="00AB4037" w:rsidRDefault="00E0039D" w:rsidP="005A7793">
      <w:pPr>
        <w:pStyle w:val="SubmissionNormal"/>
        <w:numPr>
          <w:ilvl w:val="0"/>
          <w:numId w:val="55"/>
        </w:numPr>
        <w:ind w:left="1797" w:hanging="357"/>
        <w:rPr>
          <w:rFonts w:cs="Open Sans"/>
          <w:sz w:val="22"/>
          <w:szCs w:val="22"/>
        </w:rPr>
      </w:pPr>
      <w:r w:rsidRPr="00AB4037">
        <w:rPr>
          <w:rFonts w:cs="Open Sans"/>
          <w:sz w:val="22"/>
          <w:szCs w:val="22"/>
        </w:rPr>
        <w:t>the fact that the children, as citizens of Australia, would be deprived of the country of their own and their mother’s citizenship, ‘and of its protection and support, socially, culturally and medically, and in many other ways evoked by, but not confined to, the broad concept of lifestyle’ (</w:t>
      </w:r>
      <w:proofErr w:type="spellStart"/>
      <w:r w:rsidRPr="00AB4037">
        <w:rPr>
          <w:rFonts w:cs="Open Sans"/>
          <w:i/>
          <w:sz w:val="22"/>
          <w:szCs w:val="22"/>
        </w:rPr>
        <w:t>Vaitaiki</w:t>
      </w:r>
      <w:proofErr w:type="spellEnd"/>
      <w:r w:rsidRPr="00AB4037">
        <w:rPr>
          <w:rFonts w:cs="Open Sans"/>
          <w:i/>
          <w:sz w:val="22"/>
          <w:szCs w:val="22"/>
        </w:rPr>
        <w:t xml:space="preserve"> </w:t>
      </w:r>
      <w:r w:rsidRPr="00AB4037">
        <w:rPr>
          <w:rFonts w:cs="Open Sans"/>
          <w:sz w:val="22"/>
          <w:szCs w:val="22"/>
        </w:rPr>
        <w:t>per Burchett J at 232; 614)</w:t>
      </w:r>
      <w:r w:rsidRPr="00AB4037">
        <w:rPr>
          <w:rStyle w:val="EndnoteReference"/>
          <w:rFonts w:ascii="Open Sans" w:hAnsi="Open Sans" w:cs="Open Sans"/>
          <w:szCs w:val="22"/>
        </w:rPr>
        <w:endnoteReference w:id="9"/>
      </w:r>
      <w:r w:rsidRPr="00AB4037">
        <w:rPr>
          <w:rFonts w:cs="Open Sans"/>
          <w:sz w:val="22"/>
          <w:szCs w:val="22"/>
        </w:rPr>
        <w:t>…</w:t>
      </w:r>
    </w:p>
    <w:p w14:paraId="59849C66" w14:textId="77777777" w:rsidR="00E0039D" w:rsidRPr="00AB4037" w:rsidRDefault="00E0039D" w:rsidP="005A7793">
      <w:pPr>
        <w:pStyle w:val="SubmissionNormal"/>
        <w:numPr>
          <w:ilvl w:val="0"/>
          <w:numId w:val="55"/>
        </w:numPr>
        <w:ind w:left="1797" w:hanging="357"/>
        <w:rPr>
          <w:rFonts w:cs="Open Sans"/>
          <w:sz w:val="22"/>
          <w:szCs w:val="22"/>
        </w:rPr>
      </w:pPr>
      <w:r w:rsidRPr="00AB4037">
        <w:rPr>
          <w:rFonts w:cs="Open Sans"/>
          <w:sz w:val="22"/>
          <w:szCs w:val="22"/>
        </w:rPr>
        <w:t>the resultant social and linguistic disruption of their childhood as well as the loss of their homeland</w:t>
      </w:r>
    </w:p>
    <w:p w14:paraId="4F70E7EB" w14:textId="77777777" w:rsidR="00E0039D" w:rsidRPr="00AB4037" w:rsidRDefault="00E0039D" w:rsidP="005A7793">
      <w:pPr>
        <w:pStyle w:val="SubmissionNormal"/>
        <w:numPr>
          <w:ilvl w:val="0"/>
          <w:numId w:val="55"/>
        </w:numPr>
        <w:ind w:left="1797" w:hanging="357"/>
        <w:rPr>
          <w:rFonts w:cs="Open Sans"/>
          <w:sz w:val="22"/>
          <w:szCs w:val="22"/>
        </w:rPr>
      </w:pPr>
      <w:r w:rsidRPr="00AB4037">
        <w:rPr>
          <w:rFonts w:cs="Open Sans"/>
          <w:sz w:val="22"/>
          <w:szCs w:val="22"/>
        </w:rPr>
        <w:t xml:space="preserve">the loss of educational opportunities available to the children in Australia </w:t>
      </w:r>
    </w:p>
    <w:p w14:paraId="397E0DAB" w14:textId="77777777" w:rsidR="00E0039D" w:rsidRPr="00AB4037" w:rsidRDefault="00E0039D" w:rsidP="005A7793">
      <w:pPr>
        <w:pStyle w:val="SubmissionNormal"/>
        <w:numPr>
          <w:ilvl w:val="0"/>
          <w:numId w:val="55"/>
        </w:numPr>
        <w:ind w:left="1797" w:hanging="357"/>
        <w:rPr>
          <w:rFonts w:cs="Open Sans"/>
        </w:rPr>
      </w:pPr>
      <w:r w:rsidRPr="00AB4037">
        <w:rPr>
          <w:rFonts w:cs="Open Sans"/>
          <w:sz w:val="22"/>
          <w:szCs w:val="22"/>
        </w:rPr>
        <w:t>their resultant isolation from the normal contacts of children with their mother and their mother’s family</w:t>
      </w:r>
      <w:r w:rsidRPr="00AB4037">
        <w:rPr>
          <w:rFonts w:cs="Open Sans"/>
        </w:rPr>
        <w:t>.</w:t>
      </w:r>
      <w:r w:rsidRPr="00AB4037">
        <w:rPr>
          <w:rStyle w:val="EndnoteReference"/>
          <w:rFonts w:ascii="Open Sans" w:hAnsi="Open Sans" w:cs="Open Sans"/>
        </w:rPr>
        <w:endnoteReference w:id="10"/>
      </w:r>
      <w:r w:rsidRPr="00AB4037">
        <w:rPr>
          <w:rFonts w:cs="Open Sans"/>
        </w:rPr>
        <w:t xml:space="preserve"> </w:t>
      </w:r>
    </w:p>
    <w:p w14:paraId="33DF3728" w14:textId="77777777" w:rsidR="00E0039D" w:rsidRPr="00AB4037" w:rsidRDefault="00E0039D" w:rsidP="00E0039D">
      <w:pPr>
        <w:pStyle w:val="SubmissionNormal"/>
        <w:numPr>
          <w:ilvl w:val="0"/>
          <w:numId w:val="29"/>
        </w:numPr>
        <w:rPr>
          <w:rFonts w:cs="Open Sans"/>
        </w:rPr>
      </w:pPr>
      <w:r w:rsidRPr="00AB4037">
        <w:rPr>
          <w:rFonts w:cs="Open Sans"/>
        </w:rPr>
        <w:t>Master YM engages article 3 of the CRC as he was under 18 at the time of the department’s referral of his mother’s case to the Minister, and at the time of the</w:t>
      </w:r>
      <w:r w:rsidR="006804D9">
        <w:rPr>
          <w:rFonts w:cs="Open Sans"/>
        </w:rPr>
        <w:t xml:space="preserve"> then</w:t>
      </w:r>
      <w:r w:rsidRPr="00AB4037">
        <w:rPr>
          <w:rFonts w:cs="Open Sans"/>
        </w:rPr>
        <w:t xml:space="preserve"> </w:t>
      </w:r>
      <w:proofErr w:type="spellStart"/>
      <w:r w:rsidR="00332283">
        <w:rPr>
          <w:rFonts w:cs="Open Sans"/>
        </w:rPr>
        <w:t>Asisstant</w:t>
      </w:r>
      <w:proofErr w:type="spellEnd"/>
      <w:r w:rsidR="00332283">
        <w:rPr>
          <w:rFonts w:cs="Open Sans"/>
        </w:rPr>
        <w:t xml:space="preserve"> </w:t>
      </w:r>
      <w:r w:rsidRPr="00AB4037">
        <w:rPr>
          <w:rFonts w:cs="Open Sans"/>
        </w:rPr>
        <w:t>Minister’s decision.</w:t>
      </w:r>
      <w:r w:rsidRPr="00AB4037">
        <w:rPr>
          <w:rStyle w:val="EndnoteReference"/>
          <w:rFonts w:ascii="Open Sans" w:hAnsi="Open Sans" w:cs="Open Sans"/>
        </w:rPr>
        <w:endnoteReference w:id="11"/>
      </w:r>
      <w:r w:rsidRPr="00AB4037">
        <w:rPr>
          <w:rFonts w:cs="Open Sans"/>
        </w:rPr>
        <w:t xml:space="preserve"> The case law and guidelines indicate that his best interests must be the subject of </w:t>
      </w:r>
      <w:r w:rsidRPr="00AB4037">
        <w:rPr>
          <w:rFonts w:cs="Open Sans"/>
          <w:i/>
        </w:rPr>
        <w:t>active</w:t>
      </w:r>
      <w:r w:rsidRPr="00AB4037">
        <w:rPr>
          <w:rFonts w:cs="Open Sans"/>
        </w:rPr>
        <w:t xml:space="preserve"> consideration by the department, and may be balanced with other considerations, such as the need to uphold the integrity of Australia’s migration system, consideration of their parents’ migration histories and integration into the Australian community. </w:t>
      </w:r>
    </w:p>
    <w:p w14:paraId="1553D1CD" w14:textId="77777777" w:rsidR="00E0039D" w:rsidRDefault="00E0039D" w:rsidP="00E0039D">
      <w:pPr>
        <w:pStyle w:val="SubmissionNormal"/>
        <w:numPr>
          <w:ilvl w:val="0"/>
          <w:numId w:val="29"/>
        </w:numPr>
        <w:rPr>
          <w:rFonts w:cs="Open Sans"/>
        </w:rPr>
      </w:pPr>
      <w:r w:rsidRPr="00AB4037">
        <w:rPr>
          <w:rFonts w:cs="Open Sans"/>
        </w:rPr>
        <w:t>The starting point is to identify what decision the best interests of the child suggest should be made.</w:t>
      </w:r>
      <w:r w:rsidRPr="00AB4037">
        <w:rPr>
          <w:rStyle w:val="EndnoteReference"/>
          <w:rFonts w:ascii="Open Sans" w:hAnsi="Open Sans" w:cs="Open Sans"/>
        </w:rPr>
        <w:endnoteReference w:id="12"/>
      </w:r>
      <w:r w:rsidRPr="00AB4037">
        <w:rPr>
          <w:rFonts w:cs="Open Sans"/>
        </w:rPr>
        <w:t xml:space="preserve"> This requires an examination of each child’s best interests, bearing in mind their individual circumstances.</w:t>
      </w:r>
      <w:r w:rsidRPr="00AB4037">
        <w:rPr>
          <w:rStyle w:val="EndnoteReference"/>
          <w:rFonts w:ascii="Open Sans" w:hAnsi="Open Sans" w:cs="Open Sans"/>
        </w:rPr>
        <w:endnoteReference w:id="13"/>
      </w:r>
      <w:r w:rsidRPr="00AB4037">
        <w:rPr>
          <w:rFonts w:cs="Open Sans"/>
        </w:rPr>
        <w:t xml:space="preserve"> The CRC requires that consideration must be given to the holistic development of each child, which includes consideration of family life, social networks and education.</w:t>
      </w:r>
    </w:p>
    <w:p w14:paraId="4BA457E6" w14:textId="77777777" w:rsidR="00A55F4E" w:rsidRDefault="00A55F4E">
      <w:pPr>
        <w:spacing w:after="0"/>
      </w:pPr>
      <w:r>
        <w:br w:type="page"/>
      </w:r>
    </w:p>
    <w:p w14:paraId="7ACCF5C2" w14:textId="77777777" w:rsidR="00E0039D" w:rsidRPr="00AB4037" w:rsidRDefault="00E0039D" w:rsidP="00E0039D">
      <w:pPr>
        <w:pStyle w:val="SubmissionNormal"/>
        <w:numPr>
          <w:ilvl w:val="0"/>
          <w:numId w:val="29"/>
        </w:numPr>
        <w:rPr>
          <w:rFonts w:cs="Open Sans"/>
        </w:rPr>
      </w:pPr>
      <w:r w:rsidRPr="00AB4037">
        <w:rPr>
          <w:rFonts w:cs="Open Sans"/>
        </w:rPr>
        <w:lastRenderedPageBreak/>
        <w:t xml:space="preserve">These interests then must be balanced against relevant competing interests. In </w:t>
      </w:r>
      <w:r w:rsidRPr="00AB4037">
        <w:rPr>
          <w:rFonts w:cs="Open Sans"/>
          <w:i/>
        </w:rPr>
        <w:t>Wan v MIMA</w:t>
      </w:r>
      <w:r w:rsidRPr="00AB4037">
        <w:rPr>
          <w:rFonts w:cs="Open Sans"/>
        </w:rPr>
        <w:t>, the Court described the balancing of interests decision makers must consider as follows:</w:t>
      </w:r>
    </w:p>
    <w:p w14:paraId="23FD0033" w14:textId="77777777" w:rsidR="00E0039D" w:rsidRPr="00AB4037" w:rsidRDefault="00F34912" w:rsidP="00E0039D">
      <w:pPr>
        <w:pStyle w:val="SubmissionNormal"/>
        <w:numPr>
          <w:ilvl w:val="0"/>
          <w:numId w:val="0"/>
        </w:numPr>
        <w:ind w:left="1440"/>
        <w:rPr>
          <w:rFonts w:cs="Open Sans"/>
          <w:sz w:val="22"/>
        </w:rPr>
      </w:pPr>
      <w:r>
        <w:rPr>
          <w:rFonts w:cs="Open Sans"/>
          <w:sz w:val="22"/>
        </w:rPr>
        <w:t>…</w:t>
      </w:r>
      <w:r w:rsidR="00E0039D" w:rsidRPr="00AB4037">
        <w:rPr>
          <w:rFonts w:cs="Open Sans"/>
          <w:sz w:val="22"/>
        </w:rPr>
        <w:t xml:space="preserve"> the Tribunal might have concluded that the best interests of Mr </w:t>
      </w:r>
      <w:proofErr w:type="spellStart"/>
      <w:r w:rsidR="00E0039D" w:rsidRPr="00AB4037">
        <w:rPr>
          <w:rFonts w:cs="Open Sans"/>
          <w:sz w:val="22"/>
        </w:rPr>
        <w:t>Wan’s</w:t>
      </w:r>
      <w:proofErr w:type="spellEnd"/>
      <w:r w:rsidR="00E0039D" w:rsidRPr="00AB4037">
        <w:rPr>
          <w:rFonts w:cs="Open Sans"/>
          <w:sz w:val="22"/>
        </w:rPr>
        <w:t xml:space="preserve"> children required that Mr Wan be granted the visa, but that the damage to their interests that would flow from his being refused the visa would be of only slight or moderate significance. If the Tribunal had also concluded that the expectations of the Australian community were that a non-citizen who engaged in conduct of the kind engaged in by Mr Wan would not be granted a visa, and that a decision to grant such a visa would be a most serious affront to the expectations of the Australian community, it would be entitled to conclude that, in the circumstances of the case, the best interests of the children were outweighed by the strength of community expectations.</w:t>
      </w:r>
      <w:r w:rsidR="00E0039D" w:rsidRPr="00AB4037">
        <w:rPr>
          <w:rStyle w:val="EndnoteReference"/>
          <w:rFonts w:ascii="Open Sans" w:hAnsi="Open Sans" w:cs="Open Sans"/>
        </w:rPr>
        <w:endnoteReference w:id="14"/>
      </w:r>
    </w:p>
    <w:p w14:paraId="3BFD6D95" w14:textId="77777777" w:rsidR="00E0039D" w:rsidRPr="00AB4037" w:rsidRDefault="00E0039D" w:rsidP="00E0039D">
      <w:pPr>
        <w:pStyle w:val="SubmissionNormal"/>
        <w:numPr>
          <w:ilvl w:val="0"/>
          <w:numId w:val="29"/>
        </w:numPr>
        <w:rPr>
          <w:rFonts w:cs="Open Sans"/>
        </w:rPr>
      </w:pPr>
      <w:r w:rsidRPr="00AB4037">
        <w:rPr>
          <w:rFonts w:cs="Open Sans"/>
        </w:rPr>
        <w:t>This balancing of interest</w:t>
      </w:r>
      <w:r w:rsidR="00023A5A">
        <w:rPr>
          <w:rFonts w:cs="Open Sans"/>
        </w:rPr>
        <w:t>s</w:t>
      </w:r>
      <w:r w:rsidRPr="00AB4037">
        <w:rPr>
          <w:rFonts w:cs="Open Sans"/>
        </w:rPr>
        <w:t xml:space="preserve"> is elaborated on by Lady Hale in the United Kingdom Privy Council case </w:t>
      </w:r>
      <w:proofErr w:type="spellStart"/>
      <w:r w:rsidRPr="00AB4037">
        <w:rPr>
          <w:rFonts w:cs="Open Sans"/>
          <w:i/>
        </w:rPr>
        <w:t>Naidike</w:t>
      </w:r>
      <w:proofErr w:type="spellEnd"/>
      <w:r w:rsidRPr="00AB4037">
        <w:rPr>
          <w:rFonts w:cs="Open Sans"/>
          <w:i/>
        </w:rPr>
        <w:t xml:space="preserve"> v Attorney-General of Trinidad and Tobago </w:t>
      </w:r>
      <w:r w:rsidRPr="00AB4037">
        <w:rPr>
          <w:rFonts w:cs="Open Sans"/>
        </w:rPr>
        <w:t>[2004] UKPC 49:</w:t>
      </w:r>
    </w:p>
    <w:p w14:paraId="0461CACB" w14:textId="77777777" w:rsidR="00E0039D" w:rsidRPr="00AB4037" w:rsidRDefault="00E0039D" w:rsidP="00E0039D">
      <w:pPr>
        <w:pStyle w:val="SubmissionNormal"/>
        <w:numPr>
          <w:ilvl w:val="0"/>
          <w:numId w:val="0"/>
        </w:numPr>
        <w:ind w:left="1440"/>
        <w:rPr>
          <w:rFonts w:cs="Open Sans"/>
          <w:sz w:val="22"/>
          <w:szCs w:val="22"/>
        </w:rPr>
      </w:pPr>
      <w:r w:rsidRPr="00AB4037">
        <w:rPr>
          <w:rFonts w:cs="Open Sans"/>
          <w:sz w:val="22"/>
          <w:szCs w:val="22"/>
        </w:rPr>
        <w:t>The decision-maker has to balance the reason for the expulsion against the impact upon other family members, including any alternative means of preserving family ties. The reason for deporting may be comparatively weak, while the impact on the rest of the family, either of being left behind or being forced to leave their own country, may be severe. On the other hand, the reason for deporting may be very strong, or it may be entirely reasonable to expect the other family members to leave with the person deported.</w:t>
      </w:r>
      <w:r w:rsidRPr="00AB4037">
        <w:rPr>
          <w:rStyle w:val="EndnoteReference"/>
          <w:rFonts w:ascii="Open Sans" w:hAnsi="Open Sans" w:cs="Open Sans"/>
          <w:szCs w:val="22"/>
        </w:rPr>
        <w:endnoteReference w:id="15"/>
      </w:r>
      <w:r w:rsidRPr="00AB4037">
        <w:rPr>
          <w:rFonts w:cs="Open Sans"/>
          <w:sz w:val="22"/>
          <w:szCs w:val="22"/>
        </w:rPr>
        <w:t xml:space="preserve"> </w:t>
      </w:r>
    </w:p>
    <w:p w14:paraId="36AD832C" w14:textId="77777777" w:rsidR="00E0039D" w:rsidRPr="00AB4037" w:rsidRDefault="00E0039D" w:rsidP="00F34912">
      <w:pPr>
        <w:pStyle w:val="Heading2"/>
      </w:pPr>
      <w:bookmarkStart w:id="61" w:name="_Toc510446667"/>
      <w:bookmarkStart w:id="62" w:name="_Toc522262484"/>
      <w:bookmarkStart w:id="63" w:name="_Toc535564749"/>
      <w:r w:rsidRPr="00AB4037">
        <w:t>The department’s referrals to the Minister</w:t>
      </w:r>
      <w:bookmarkEnd w:id="61"/>
      <w:bookmarkEnd w:id="62"/>
      <w:bookmarkEnd w:id="63"/>
    </w:p>
    <w:p w14:paraId="398DF604" w14:textId="77777777" w:rsidR="00E0039D" w:rsidRPr="00AB4037" w:rsidRDefault="00E0039D" w:rsidP="00E0039D">
      <w:pPr>
        <w:pStyle w:val="SubmissionNormal"/>
        <w:numPr>
          <w:ilvl w:val="0"/>
          <w:numId w:val="29"/>
        </w:numPr>
        <w:rPr>
          <w:rFonts w:cs="Open Sans"/>
        </w:rPr>
      </w:pPr>
      <w:r w:rsidRPr="00AB4037">
        <w:rPr>
          <w:rFonts w:cs="Open Sans"/>
        </w:rPr>
        <w:t xml:space="preserve">The department referred Ms HM’s case to the </w:t>
      </w:r>
      <w:r w:rsidR="003F41C6">
        <w:rPr>
          <w:rFonts w:cs="Open Sans"/>
        </w:rPr>
        <w:t xml:space="preserve">then </w:t>
      </w:r>
      <w:r w:rsidRPr="00AB4037">
        <w:rPr>
          <w:rFonts w:cs="Open Sans"/>
        </w:rPr>
        <w:t>Assistant Minister in September 2015 to consider the exercise of her discretionary powers under s 417 of the Migration Act to grant a visa to Ms HM and her younger daughter. The department recommended that the Minister intervene to grant Ms HM a visitor visa for three years, or grant her a Former Resident (Subclass 151) permanent visa. The department’s submission noted that in 2013 the former Parliamentary Secretary had made a decision to begin considering the grant of a Former Resident (Subclass 151) permanent visa to Ms HM.</w:t>
      </w:r>
    </w:p>
    <w:p w14:paraId="1623D8CA" w14:textId="77777777" w:rsidR="00E0039D" w:rsidRDefault="00E0039D" w:rsidP="00E0039D">
      <w:pPr>
        <w:pStyle w:val="SubmissionNormal"/>
        <w:numPr>
          <w:ilvl w:val="0"/>
          <w:numId w:val="29"/>
        </w:numPr>
        <w:rPr>
          <w:rFonts w:cs="Open Sans"/>
        </w:rPr>
      </w:pPr>
      <w:r w:rsidRPr="00AB4037">
        <w:rPr>
          <w:rFonts w:cs="Open Sans"/>
        </w:rPr>
        <w:t>In its submission to the Assistant Minister in 2015, the department did not refer to the best interests of Master YM at all, other than noting that Ms</w:t>
      </w:r>
      <w:r w:rsidR="005A7793">
        <w:rPr>
          <w:rFonts w:cs="Open Sans"/>
        </w:rPr>
        <w:t> </w:t>
      </w:r>
      <w:r w:rsidRPr="00AB4037">
        <w:rPr>
          <w:rFonts w:cs="Open Sans"/>
        </w:rPr>
        <w:t>HM had an Australian citizen son, who was 15 years of age.</w:t>
      </w:r>
    </w:p>
    <w:p w14:paraId="78406EFB" w14:textId="77777777" w:rsidR="005A7793" w:rsidRDefault="005A7793">
      <w:pPr>
        <w:spacing w:after="0"/>
      </w:pPr>
      <w:r>
        <w:br w:type="page"/>
      </w:r>
    </w:p>
    <w:p w14:paraId="5AEE9CD3" w14:textId="77777777" w:rsidR="00E0039D" w:rsidRPr="00AB4037" w:rsidRDefault="00E0039D" w:rsidP="00E0039D">
      <w:pPr>
        <w:pStyle w:val="SubmissionNormal"/>
        <w:numPr>
          <w:ilvl w:val="0"/>
          <w:numId w:val="29"/>
        </w:numPr>
        <w:rPr>
          <w:rFonts w:cs="Open Sans"/>
        </w:rPr>
      </w:pPr>
      <w:r w:rsidRPr="00AB4037">
        <w:rPr>
          <w:rFonts w:cs="Open Sans"/>
        </w:rPr>
        <w:lastRenderedPageBreak/>
        <w:t xml:space="preserve">The department’s submission did attach earlier submissions from the department to former Ministers relating to Ms HM and her family. These earlier submissions prepared in 2011 and 2013 both considered the engagement of article 3 of the CRC. </w:t>
      </w:r>
    </w:p>
    <w:p w14:paraId="0F033E6B" w14:textId="77777777" w:rsidR="00E0039D" w:rsidRPr="00AB4037" w:rsidRDefault="00E0039D" w:rsidP="00E0039D">
      <w:pPr>
        <w:pStyle w:val="SubmissionNormal"/>
        <w:numPr>
          <w:ilvl w:val="0"/>
          <w:numId w:val="29"/>
        </w:numPr>
        <w:rPr>
          <w:rFonts w:cs="Open Sans"/>
        </w:rPr>
      </w:pPr>
      <w:r w:rsidRPr="00AB4037">
        <w:rPr>
          <w:rFonts w:cs="Open Sans"/>
        </w:rPr>
        <w:t>The 2013 submission contained the following analysis of the best interests of the children. The department stated:</w:t>
      </w:r>
    </w:p>
    <w:p w14:paraId="0A7E5AB4" w14:textId="77777777" w:rsidR="00E0039D" w:rsidRPr="00AB4037" w:rsidRDefault="00E0039D" w:rsidP="00E0039D">
      <w:pPr>
        <w:pStyle w:val="SubmissionNormal"/>
        <w:numPr>
          <w:ilvl w:val="0"/>
          <w:numId w:val="0"/>
        </w:numPr>
        <w:ind w:left="1440"/>
        <w:rPr>
          <w:rFonts w:cs="Open Sans"/>
          <w:sz w:val="22"/>
          <w:szCs w:val="22"/>
        </w:rPr>
      </w:pPr>
      <w:r w:rsidRPr="00AB4037">
        <w:rPr>
          <w:rFonts w:cs="Open Sans"/>
          <w:sz w:val="22"/>
          <w:szCs w:val="22"/>
        </w:rPr>
        <w:t>In terms of your consideration of the impact of a decision not to intervene in this case, as it might affect family unity and the best interests of the child, you may wish to take into account the following:</w:t>
      </w:r>
    </w:p>
    <w:p w14:paraId="2C6A57F9" w14:textId="77777777" w:rsidR="00E0039D" w:rsidRPr="00AB4037" w:rsidRDefault="00E0039D" w:rsidP="00E0039D">
      <w:pPr>
        <w:pStyle w:val="SubmissionNormal"/>
        <w:numPr>
          <w:ilvl w:val="0"/>
          <w:numId w:val="0"/>
        </w:numPr>
        <w:ind w:left="1440"/>
        <w:rPr>
          <w:rFonts w:cs="Open Sans"/>
          <w:sz w:val="22"/>
          <w:szCs w:val="22"/>
        </w:rPr>
      </w:pPr>
      <w:r w:rsidRPr="00AB4037">
        <w:rPr>
          <w:rFonts w:cs="Open Sans"/>
          <w:sz w:val="22"/>
          <w:szCs w:val="22"/>
        </w:rPr>
        <w:t>[Ms HM’s] daughter, [redacted] is 17 years old (she attains majority on 15</w:t>
      </w:r>
      <w:r w:rsidR="005A7793">
        <w:rPr>
          <w:rFonts w:cs="Open Sans"/>
          <w:sz w:val="22"/>
          <w:szCs w:val="22"/>
        </w:rPr>
        <w:t> </w:t>
      </w:r>
      <w:r w:rsidRPr="00AB4037">
        <w:rPr>
          <w:rFonts w:cs="Open Sans"/>
          <w:sz w:val="22"/>
          <w:szCs w:val="22"/>
        </w:rPr>
        <w:t>November 2013). She arrived in Australia when she was two years old and she has lived here for a cumulative period of more than 13 years. [Master YM] is 13 years old and is an Australian citizen.</w:t>
      </w:r>
    </w:p>
    <w:p w14:paraId="06BDC839" w14:textId="77777777" w:rsidR="00E0039D" w:rsidRPr="00AB4037" w:rsidRDefault="00E0039D" w:rsidP="00E0039D">
      <w:pPr>
        <w:pStyle w:val="SubmissionNormal"/>
        <w:numPr>
          <w:ilvl w:val="0"/>
          <w:numId w:val="0"/>
        </w:numPr>
        <w:ind w:left="1440"/>
        <w:rPr>
          <w:rFonts w:cs="Open Sans"/>
          <w:sz w:val="22"/>
          <w:szCs w:val="22"/>
        </w:rPr>
      </w:pPr>
      <w:r w:rsidRPr="00AB4037">
        <w:rPr>
          <w:rFonts w:cs="Open Sans"/>
          <w:sz w:val="22"/>
          <w:szCs w:val="22"/>
        </w:rPr>
        <w:t>With the exception of a seven-month period, both children have completed all their education in Australia. Both children are also at significant stages in their education. [Ms HM’s daughter] completing senior high school studies in Year 11 at [removed] Girls’ High School and [Master YM] completed Year 7 at [removed] Boys’ High School.</w:t>
      </w:r>
    </w:p>
    <w:p w14:paraId="39B6E13D" w14:textId="77777777" w:rsidR="00E0039D" w:rsidRPr="00AB4037" w:rsidRDefault="00E0039D" w:rsidP="00E0039D">
      <w:pPr>
        <w:pStyle w:val="SubmissionNormal"/>
        <w:numPr>
          <w:ilvl w:val="0"/>
          <w:numId w:val="29"/>
        </w:numPr>
        <w:rPr>
          <w:rFonts w:cs="Open Sans"/>
        </w:rPr>
      </w:pPr>
      <w:r w:rsidRPr="00AB4037">
        <w:rPr>
          <w:rFonts w:cs="Open Sans"/>
        </w:rPr>
        <w:t xml:space="preserve">The department noted that, in South Korea, school education is free between the ages of six and fifteen, and senior high school students pay modest tuition fees. The medium of instruction is Korean. The department noted that, in 2010, the Department of Foreign Affairs and Trade advised that children with limited Korean would face educational disadvantages in Korea. </w:t>
      </w:r>
    </w:p>
    <w:p w14:paraId="37EBB348" w14:textId="77777777" w:rsidR="00E0039D" w:rsidRPr="00AB4037" w:rsidRDefault="00E0039D" w:rsidP="00E0039D">
      <w:pPr>
        <w:pStyle w:val="SubmissionNormal"/>
        <w:numPr>
          <w:ilvl w:val="0"/>
          <w:numId w:val="29"/>
        </w:numPr>
        <w:rPr>
          <w:rFonts w:cs="Open Sans"/>
        </w:rPr>
      </w:pPr>
      <w:r w:rsidRPr="00AB4037">
        <w:rPr>
          <w:rFonts w:cs="Open Sans"/>
        </w:rPr>
        <w:t>The department noted that Ms HM’s children had travelled to Korea previously, however both her younger daughter and Master YM ‘are said to have reacted badly to their experiences there’. In this regard, the department referred to a consultant forensic psychiatrist report dated 11</w:t>
      </w:r>
      <w:r w:rsidR="005A7793">
        <w:rPr>
          <w:rFonts w:cs="Open Sans"/>
        </w:rPr>
        <w:t> </w:t>
      </w:r>
      <w:r w:rsidRPr="00AB4037">
        <w:rPr>
          <w:rFonts w:cs="Open Sans"/>
        </w:rPr>
        <w:t>March 2011</w:t>
      </w:r>
      <w:r w:rsidR="00245EC9">
        <w:rPr>
          <w:rFonts w:cs="Open Sans"/>
        </w:rPr>
        <w:t>,</w:t>
      </w:r>
      <w:r w:rsidRPr="00AB4037">
        <w:rPr>
          <w:rFonts w:cs="Open Sans"/>
        </w:rPr>
        <w:t xml:space="preserve"> for Master YM, which states:</w:t>
      </w:r>
    </w:p>
    <w:p w14:paraId="6849ADFE" w14:textId="77777777" w:rsidR="00E0039D" w:rsidRDefault="00E0039D" w:rsidP="00E0039D">
      <w:pPr>
        <w:pStyle w:val="SubmissionNormal"/>
        <w:numPr>
          <w:ilvl w:val="0"/>
          <w:numId w:val="0"/>
        </w:numPr>
        <w:ind w:left="1440"/>
        <w:rPr>
          <w:rFonts w:cs="Open Sans"/>
          <w:sz w:val="22"/>
          <w:szCs w:val="22"/>
        </w:rPr>
      </w:pPr>
      <w:r w:rsidRPr="00AB4037">
        <w:rPr>
          <w:rFonts w:cs="Open Sans"/>
          <w:sz w:val="22"/>
          <w:szCs w:val="22"/>
        </w:rPr>
        <w:t>From the information available to the writer, it is the writer’s opinion within reasonable medical certainty the [Master YM] has psychiatric diagnoses, as per DSM-IV-TR (American Psychiatric Association 2000), consistent with the early stages of Adjustment Disorder with mixed anxiety and depressed mood, at the prospect of his mother being deported from Australia and him having to leave Australia to be with his</w:t>
      </w:r>
      <w:r w:rsidR="005A7793">
        <w:rPr>
          <w:rFonts w:cs="Open Sans"/>
          <w:sz w:val="22"/>
          <w:szCs w:val="22"/>
        </w:rPr>
        <w:t> </w:t>
      </w:r>
      <w:r w:rsidRPr="00AB4037">
        <w:rPr>
          <w:rFonts w:cs="Open Sans"/>
          <w:sz w:val="22"/>
          <w:szCs w:val="22"/>
        </w:rPr>
        <w:t>mother.</w:t>
      </w:r>
    </w:p>
    <w:p w14:paraId="6DA4C522" w14:textId="77777777" w:rsidR="00A55F4E" w:rsidRDefault="00A55F4E">
      <w:pPr>
        <w:spacing w:after="0"/>
      </w:pPr>
      <w:r>
        <w:br w:type="page"/>
      </w:r>
    </w:p>
    <w:p w14:paraId="652B9DB7" w14:textId="77777777" w:rsidR="00E0039D" w:rsidRPr="00AB4037" w:rsidRDefault="00E0039D" w:rsidP="00E0039D">
      <w:pPr>
        <w:pStyle w:val="SubmissionNormal"/>
        <w:numPr>
          <w:ilvl w:val="0"/>
          <w:numId w:val="29"/>
        </w:numPr>
        <w:rPr>
          <w:rFonts w:cs="Open Sans"/>
        </w:rPr>
      </w:pPr>
      <w:r w:rsidRPr="00AB4037">
        <w:rPr>
          <w:rFonts w:cs="Open Sans"/>
        </w:rPr>
        <w:lastRenderedPageBreak/>
        <w:t xml:space="preserve">The department continues: </w:t>
      </w:r>
    </w:p>
    <w:p w14:paraId="554E52C4" w14:textId="77777777" w:rsidR="00E0039D" w:rsidRPr="00AB4037" w:rsidRDefault="00E0039D" w:rsidP="00E0039D">
      <w:pPr>
        <w:pStyle w:val="SubmissionNormal"/>
        <w:numPr>
          <w:ilvl w:val="0"/>
          <w:numId w:val="0"/>
        </w:numPr>
        <w:ind w:left="1440"/>
        <w:rPr>
          <w:rFonts w:cs="Open Sans"/>
          <w:sz w:val="22"/>
          <w:szCs w:val="22"/>
        </w:rPr>
      </w:pPr>
      <w:r w:rsidRPr="00AB4037">
        <w:rPr>
          <w:rFonts w:cs="Open Sans"/>
          <w:sz w:val="22"/>
          <w:szCs w:val="22"/>
        </w:rPr>
        <w:t>In the psychiatrist’s opinion, [Master YM] will be at risk of developing a ‘Major Depressive Disorder’ if he is ‘separated from his mother or forced to leave Australia to be with her’. As a ‘worst-case scenario’, the psychiatrist posits that ‘[Master YM] may attempt suicide and die’.</w:t>
      </w:r>
    </w:p>
    <w:p w14:paraId="38CA0883" w14:textId="77777777" w:rsidR="00E0039D" w:rsidRPr="00AB4037" w:rsidRDefault="00E0039D" w:rsidP="00E0039D">
      <w:pPr>
        <w:pStyle w:val="SubmissionNormal"/>
        <w:numPr>
          <w:ilvl w:val="0"/>
          <w:numId w:val="29"/>
        </w:numPr>
        <w:rPr>
          <w:rFonts w:cs="Open Sans"/>
        </w:rPr>
      </w:pPr>
      <w:r w:rsidRPr="00AB4037">
        <w:rPr>
          <w:rFonts w:cs="Open Sans"/>
        </w:rPr>
        <w:t xml:space="preserve">The department then went on to consider the family’s extensive involvement in the Korean community in Australia, the fact that the children are highly familiar with the Korean culture and the Korean language, Master YM’s school reports that indicate he has achieved a ‘basic’ level of writing </w:t>
      </w:r>
      <w:r w:rsidR="00EB2FA7">
        <w:rPr>
          <w:rFonts w:cs="Open Sans"/>
        </w:rPr>
        <w:t xml:space="preserve">in </w:t>
      </w:r>
      <w:r w:rsidRPr="00AB4037">
        <w:rPr>
          <w:rFonts w:cs="Open Sans"/>
        </w:rPr>
        <w:t>Korean and the fact that many members of the children’s extended family live in Korea and they may have access to support from these family members.</w:t>
      </w:r>
    </w:p>
    <w:p w14:paraId="39B5653A" w14:textId="77777777" w:rsidR="00E0039D" w:rsidRPr="00AB4037" w:rsidRDefault="00E0039D" w:rsidP="00E0039D">
      <w:pPr>
        <w:pStyle w:val="SubmissionNormal"/>
        <w:numPr>
          <w:ilvl w:val="0"/>
          <w:numId w:val="29"/>
        </w:numPr>
        <w:rPr>
          <w:rFonts w:cs="Open Sans"/>
        </w:rPr>
      </w:pPr>
      <w:r w:rsidRPr="00AB4037">
        <w:rPr>
          <w:rFonts w:cs="Open Sans"/>
        </w:rPr>
        <w:t>The department then concluded:</w:t>
      </w:r>
    </w:p>
    <w:p w14:paraId="7EF94187" w14:textId="77777777" w:rsidR="00E0039D" w:rsidRPr="00AB4037" w:rsidRDefault="00E0039D" w:rsidP="00E0039D">
      <w:pPr>
        <w:pStyle w:val="SubmissionNormal"/>
        <w:numPr>
          <w:ilvl w:val="0"/>
          <w:numId w:val="0"/>
        </w:numPr>
        <w:ind w:left="1440"/>
        <w:rPr>
          <w:rFonts w:cs="Open Sans"/>
          <w:sz w:val="22"/>
          <w:szCs w:val="22"/>
        </w:rPr>
      </w:pPr>
      <w:r w:rsidRPr="00AB4037">
        <w:rPr>
          <w:rFonts w:cs="Open Sans"/>
          <w:sz w:val="22"/>
          <w:szCs w:val="22"/>
        </w:rPr>
        <w:t>While [Master YM] as an Australian citizen cannot be removed from Australia, if his family chooses for him to return to Korea, he will continue to hold Australian citizenship and be able to continue living with the parent as a family unit. Your decision does not mean that [Master YM] will be denied the right to know and be cared for by the parent…since the family as a whole is able to return to South Korea to live.</w:t>
      </w:r>
    </w:p>
    <w:p w14:paraId="3B53C19E" w14:textId="77777777" w:rsidR="00E0039D" w:rsidRPr="00AB4037" w:rsidRDefault="00E0039D" w:rsidP="00E0039D">
      <w:pPr>
        <w:pStyle w:val="SubmissionNormal"/>
        <w:numPr>
          <w:ilvl w:val="0"/>
          <w:numId w:val="0"/>
        </w:numPr>
        <w:ind w:left="1440"/>
        <w:rPr>
          <w:rFonts w:cs="Open Sans"/>
          <w:sz w:val="22"/>
          <w:szCs w:val="22"/>
        </w:rPr>
      </w:pPr>
      <w:r w:rsidRPr="00AB4037">
        <w:rPr>
          <w:rFonts w:cs="Open Sans"/>
          <w:sz w:val="22"/>
          <w:szCs w:val="22"/>
        </w:rPr>
        <w:t>While healthcare and education may not be of the same standard as in Australia, there is access to basic services and this would not place Australia in breach of its international obligations if [Master YM] and [his younger sister] were to depart Australia.</w:t>
      </w:r>
    </w:p>
    <w:p w14:paraId="1737A1B1" w14:textId="77777777" w:rsidR="00E0039D" w:rsidRDefault="00E0039D" w:rsidP="00E0039D">
      <w:pPr>
        <w:pStyle w:val="SubmissionNormal"/>
        <w:numPr>
          <w:ilvl w:val="0"/>
          <w:numId w:val="29"/>
        </w:numPr>
        <w:rPr>
          <w:rFonts w:cs="Open Sans"/>
        </w:rPr>
      </w:pPr>
      <w:r w:rsidRPr="00AB4037">
        <w:rPr>
          <w:rFonts w:cs="Open Sans"/>
        </w:rPr>
        <w:t>The department then identified the ‘Preferred option’ as intervention under s 417 of the Migration Act to grant a Former Resident (Subclass 151) permanent visa to Ms HM and her younger daughter. As mentioned above, the Parliamentary Secretary agreed with this recommendation and made a decision to begin considering the grant of this visa. The department has provided no explanation as to why this visa was not progressed.</w:t>
      </w:r>
    </w:p>
    <w:p w14:paraId="4C42CE3B" w14:textId="77777777" w:rsidR="00A55F4E" w:rsidRDefault="00A55F4E">
      <w:pPr>
        <w:spacing w:after="0"/>
      </w:pPr>
      <w:r>
        <w:br w:type="page"/>
      </w:r>
    </w:p>
    <w:p w14:paraId="39EE797D" w14:textId="77777777" w:rsidR="00E0039D" w:rsidRPr="00AB4037" w:rsidRDefault="00E0039D" w:rsidP="00E0039D">
      <w:pPr>
        <w:pStyle w:val="SubmissionNormal"/>
        <w:numPr>
          <w:ilvl w:val="0"/>
          <w:numId w:val="29"/>
        </w:numPr>
        <w:rPr>
          <w:rFonts w:cs="Open Sans"/>
        </w:rPr>
      </w:pPr>
      <w:r w:rsidRPr="00AB4037">
        <w:rPr>
          <w:rFonts w:cs="Open Sans"/>
        </w:rPr>
        <w:lastRenderedPageBreak/>
        <w:t>In the department’s 2015 submission to the Assistant Minister, no individualised consideration is given to changes in Master YM’s circumstances since the 2013 referral including the advanced stage of his secondary studies, his social networks and his mental health concerns. This is particularly concerning in light of the fact that:</w:t>
      </w:r>
    </w:p>
    <w:p w14:paraId="0CB771E7" w14:textId="77777777" w:rsidR="00E0039D" w:rsidRPr="00AB4037" w:rsidRDefault="00E0039D" w:rsidP="00E0039D">
      <w:pPr>
        <w:pStyle w:val="SubmissionNormal"/>
        <w:numPr>
          <w:ilvl w:val="1"/>
          <w:numId w:val="29"/>
        </w:numPr>
        <w:rPr>
          <w:rFonts w:cs="Open Sans"/>
        </w:rPr>
      </w:pPr>
      <w:r w:rsidRPr="00AB4037">
        <w:rPr>
          <w:rFonts w:cs="Open Sans"/>
        </w:rPr>
        <w:t>the 2013 submission refers to a psychiatrist report dated 11 March 2011 that concludes that ‘Master YM will be at risk of developing a “Major Depressive Disorder” if he is “separated from his mother or forced to leave Australia to be with her”’, and</w:t>
      </w:r>
    </w:p>
    <w:p w14:paraId="749954F3" w14:textId="77777777" w:rsidR="00E0039D" w:rsidRPr="00AB4037" w:rsidRDefault="00E0039D" w:rsidP="00E0039D">
      <w:pPr>
        <w:pStyle w:val="SubmissionNormal"/>
        <w:numPr>
          <w:ilvl w:val="1"/>
          <w:numId w:val="29"/>
        </w:numPr>
        <w:rPr>
          <w:rFonts w:cs="Open Sans"/>
        </w:rPr>
      </w:pPr>
      <w:r w:rsidRPr="00AB4037">
        <w:rPr>
          <w:rFonts w:cs="Open Sans"/>
        </w:rPr>
        <w:t>Master YM at 15 years of age is at a critical juncture in his secondary school education.</w:t>
      </w:r>
    </w:p>
    <w:p w14:paraId="395CEAA9" w14:textId="77777777" w:rsidR="00E0039D" w:rsidRPr="00AB4037" w:rsidRDefault="00E0039D" w:rsidP="00E0039D">
      <w:pPr>
        <w:pStyle w:val="SubmissionNormal"/>
        <w:numPr>
          <w:ilvl w:val="0"/>
          <w:numId w:val="29"/>
        </w:numPr>
        <w:rPr>
          <w:rFonts w:cs="Open Sans"/>
        </w:rPr>
      </w:pPr>
      <w:r w:rsidRPr="00AB4037">
        <w:rPr>
          <w:rFonts w:cs="Open Sans"/>
        </w:rPr>
        <w:t>No up to date information in relation to Master YM’s mental health or educational status is included in the 2015 submission.</w:t>
      </w:r>
    </w:p>
    <w:p w14:paraId="3CA31CF4" w14:textId="77777777" w:rsidR="00E0039D" w:rsidRPr="00AB4037" w:rsidRDefault="00E0039D" w:rsidP="00E0039D">
      <w:pPr>
        <w:pStyle w:val="SubmissionNormal"/>
        <w:numPr>
          <w:ilvl w:val="0"/>
          <w:numId w:val="29"/>
        </w:numPr>
        <w:rPr>
          <w:rFonts w:cs="Open Sans"/>
        </w:rPr>
      </w:pPr>
      <w:r w:rsidRPr="00AB4037">
        <w:rPr>
          <w:rFonts w:cs="Open Sans"/>
        </w:rPr>
        <w:t>I find that Master YM’s best interests were not given active consideration in the department’s 2015 submission to the Assistant Minister, and accordingly were not taken into account as a primary consideration in breach of article 3 of the CRC.</w:t>
      </w:r>
    </w:p>
    <w:p w14:paraId="589A8206" w14:textId="77777777" w:rsidR="00E0039D" w:rsidRPr="00AB4037" w:rsidRDefault="00E0039D" w:rsidP="00E0039D">
      <w:pPr>
        <w:pStyle w:val="Heading1"/>
        <w:rPr>
          <w:rFonts w:cs="Open Sans"/>
        </w:rPr>
      </w:pPr>
      <w:bookmarkStart w:id="64" w:name="_Toc510446668"/>
      <w:bookmarkStart w:id="65" w:name="_Toc522262485"/>
      <w:bookmarkStart w:id="66" w:name="_Toc535564750"/>
      <w:r w:rsidRPr="00AB4037">
        <w:rPr>
          <w:rFonts w:cs="Open Sans"/>
        </w:rPr>
        <w:t>Arb</w:t>
      </w:r>
      <w:r w:rsidRPr="00480909">
        <w:t>itrary</w:t>
      </w:r>
      <w:r w:rsidRPr="00AB4037">
        <w:rPr>
          <w:rFonts w:cs="Open Sans"/>
        </w:rPr>
        <w:t xml:space="preserve"> or unlawful interference with family</w:t>
      </w:r>
      <w:bookmarkEnd w:id="64"/>
      <w:bookmarkEnd w:id="65"/>
      <w:bookmarkEnd w:id="66"/>
    </w:p>
    <w:p w14:paraId="3A7B01A9" w14:textId="77777777" w:rsidR="00E0039D" w:rsidRPr="00AB4037" w:rsidRDefault="00E0039D" w:rsidP="00F34912">
      <w:pPr>
        <w:pStyle w:val="Heading2"/>
      </w:pPr>
      <w:bookmarkStart w:id="67" w:name="_Toc510446669"/>
      <w:bookmarkStart w:id="68" w:name="_Toc522262486"/>
      <w:bookmarkStart w:id="69" w:name="_Toc535564751"/>
      <w:r w:rsidRPr="00AB4037">
        <w:t>Interference</w:t>
      </w:r>
      <w:bookmarkEnd w:id="67"/>
      <w:bookmarkEnd w:id="68"/>
      <w:bookmarkEnd w:id="69"/>
    </w:p>
    <w:p w14:paraId="1BFB964D" w14:textId="77777777" w:rsidR="00E0039D" w:rsidRPr="00AB4037" w:rsidRDefault="00E0039D" w:rsidP="00E0039D">
      <w:pPr>
        <w:numPr>
          <w:ilvl w:val="0"/>
          <w:numId w:val="29"/>
        </w:numPr>
        <w:spacing w:before="240"/>
        <w:rPr>
          <w:rFonts w:cs="Open Sans"/>
          <w:szCs w:val="24"/>
        </w:rPr>
      </w:pPr>
      <w:r w:rsidRPr="00AB4037">
        <w:rPr>
          <w:rFonts w:cs="Open Sans"/>
          <w:szCs w:val="24"/>
        </w:rPr>
        <w:t>Professor Manfred Nowak states that, ‘since life together is an essential criterion for the existence of a family, members of a family are entitled to a stronger right to live together than other persons’.</w:t>
      </w:r>
      <w:r w:rsidRPr="00AB4037">
        <w:rPr>
          <w:rStyle w:val="EndnoteReference"/>
          <w:rFonts w:ascii="Open Sans" w:hAnsi="Open Sans" w:cs="Open Sans"/>
          <w:szCs w:val="24"/>
        </w:rPr>
        <w:endnoteReference w:id="16"/>
      </w:r>
    </w:p>
    <w:p w14:paraId="1DC1BCA6" w14:textId="77777777" w:rsidR="00E0039D" w:rsidRDefault="00E0039D" w:rsidP="00E0039D">
      <w:pPr>
        <w:numPr>
          <w:ilvl w:val="0"/>
          <w:numId w:val="29"/>
        </w:numPr>
        <w:spacing w:before="240"/>
        <w:rPr>
          <w:rFonts w:cs="Open Sans"/>
          <w:szCs w:val="24"/>
        </w:rPr>
      </w:pPr>
      <w:r w:rsidRPr="00AB4037">
        <w:rPr>
          <w:rFonts w:cs="Open Sans"/>
          <w:szCs w:val="24"/>
        </w:rPr>
        <w:t xml:space="preserve">For the reasons set out in Commission report [2008] </w:t>
      </w:r>
      <w:proofErr w:type="spellStart"/>
      <w:r w:rsidRPr="00AB4037">
        <w:rPr>
          <w:rFonts w:cs="Open Sans"/>
          <w:szCs w:val="24"/>
        </w:rPr>
        <w:t>AusHRC</w:t>
      </w:r>
      <w:proofErr w:type="spellEnd"/>
      <w:r w:rsidRPr="00AB4037">
        <w:rPr>
          <w:rFonts w:cs="Open Sans"/>
          <w:szCs w:val="24"/>
        </w:rPr>
        <w:t xml:space="preserve"> 39,</w:t>
      </w:r>
      <w:r w:rsidRPr="00AB4037">
        <w:rPr>
          <w:rStyle w:val="EndnoteReference"/>
          <w:rFonts w:ascii="Open Sans" w:hAnsi="Open Sans" w:cs="Open Sans"/>
          <w:szCs w:val="24"/>
        </w:rPr>
        <w:endnoteReference w:id="17"/>
      </w:r>
      <w:r w:rsidRPr="00AB4037">
        <w:rPr>
          <w:rFonts w:cs="Open Sans"/>
          <w:szCs w:val="24"/>
        </w:rPr>
        <w:t xml:space="preserve"> the Commission is of the view that in cases alleging a State’s arbitrary interference with a person’s family, it is appropriate to assess the alleged breach under article 17(1). If an act is assessed as breaching the right not to be subjected to an arbitrary interference with a person’s family, it will usually follow that that breach is in addition to (or in conjunction with) a breach of article 23(1).</w:t>
      </w:r>
    </w:p>
    <w:p w14:paraId="2C6EFA62" w14:textId="77777777" w:rsidR="00A55F4E" w:rsidRDefault="00A55F4E">
      <w:pPr>
        <w:spacing w:after="0"/>
      </w:pPr>
      <w:r>
        <w:br w:type="page"/>
      </w:r>
    </w:p>
    <w:p w14:paraId="38883F6B" w14:textId="77777777" w:rsidR="00E0039D" w:rsidRPr="00AB4037" w:rsidRDefault="00E0039D" w:rsidP="00E0039D">
      <w:pPr>
        <w:numPr>
          <w:ilvl w:val="0"/>
          <w:numId w:val="29"/>
        </w:numPr>
        <w:spacing w:before="240"/>
        <w:rPr>
          <w:rFonts w:cs="Open Sans"/>
          <w:szCs w:val="24"/>
        </w:rPr>
      </w:pPr>
      <w:r w:rsidRPr="00AB4037">
        <w:rPr>
          <w:rFonts w:cs="Open Sans"/>
          <w:szCs w:val="24"/>
        </w:rPr>
        <w:lastRenderedPageBreak/>
        <w:t>To make out a breach of article 17(1) and 23(1) of the ICCPR, the complainants must be able to be identified as ‘families’. The United Nations Human Rights Committee (UNHRC) has confirmed that the term ‘family’ is to be interpreted broadly,</w:t>
      </w:r>
      <w:r w:rsidRPr="00AB4037">
        <w:rPr>
          <w:rStyle w:val="EndnoteReference"/>
          <w:rFonts w:ascii="Open Sans" w:hAnsi="Open Sans" w:cs="Open Sans"/>
          <w:szCs w:val="24"/>
        </w:rPr>
        <w:endnoteReference w:id="18"/>
      </w:r>
      <w:r w:rsidRPr="00AB4037">
        <w:rPr>
          <w:rFonts w:cs="Open Sans"/>
          <w:szCs w:val="24"/>
        </w:rPr>
        <w:t xml:space="preserve"> but an effective family life or family connection must be shown to exist.</w:t>
      </w:r>
      <w:r w:rsidRPr="00AB4037">
        <w:rPr>
          <w:rStyle w:val="EndnoteReference"/>
          <w:rFonts w:ascii="Open Sans" w:hAnsi="Open Sans" w:cs="Open Sans"/>
          <w:szCs w:val="24"/>
        </w:rPr>
        <w:endnoteReference w:id="19"/>
      </w:r>
      <w:r w:rsidRPr="00AB4037">
        <w:rPr>
          <w:rFonts w:cs="Open Sans"/>
          <w:szCs w:val="24"/>
        </w:rPr>
        <w:t xml:space="preserve"> In this matter, evidence of effective family life exists in that, prior to her departure Ms HM and Master YM shared their lives together, lived together, had economic ties, and a regular and intense relationship as mother and son. They existed as a family unit and had a long and settled family life in Australia for 16 years. </w:t>
      </w:r>
    </w:p>
    <w:p w14:paraId="5DF5C017" w14:textId="77777777" w:rsidR="00E0039D" w:rsidRPr="00AB4037" w:rsidRDefault="00E0039D" w:rsidP="00E0039D">
      <w:pPr>
        <w:pStyle w:val="SubmissionNormal"/>
        <w:numPr>
          <w:ilvl w:val="0"/>
          <w:numId w:val="29"/>
        </w:numPr>
        <w:rPr>
          <w:rFonts w:cs="Open Sans"/>
        </w:rPr>
      </w:pPr>
      <w:r w:rsidRPr="00AB4037">
        <w:rPr>
          <w:rFonts w:cs="Open Sans"/>
        </w:rPr>
        <w:t>In assessing these complaints, I consider that the relevant act is the Assistant Minister’s decision not to intervene in Ms HM’s case in 2015 pursuant to the discretionary powers contained in s 417 of the Migration Act that led to the requirement that Ms HM leave Australia.</w:t>
      </w:r>
    </w:p>
    <w:p w14:paraId="37D7127D" w14:textId="77777777" w:rsidR="00E0039D" w:rsidRPr="00AB4037" w:rsidRDefault="00E0039D" w:rsidP="00E0039D">
      <w:pPr>
        <w:pStyle w:val="SubmissionNormal"/>
        <w:numPr>
          <w:ilvl w:val="0"/>
          <w:numId w:val="29"/>
        </w:numPr>
        <w:rPr>
          <w:rFonts w:cs="Open Sans"/>
        </w:rPr>
      </w:pPr>
      <w:r w:rsidRPr="00AB4037">
        <w:rPr>
          <w:rFonts w:cs="Open Sans"/>
        </w:rPr>
        <w:t>The 2013 departmental submissions to the Minister (that were attached to the 2015 submission) assert that a decision not to intervene in this case would not constitute an interference with family on the basis that any family separation would occur only through the volition of Ms HM. This is because Master YM is eligible for citizenship in Korea, and accordingly it is open for the family to remain together in Korea. This is reiterated in the department’s response to the Commission dated 17 December 2015, where it states:</w:t>
      </w:r>
    </w:p>
    <w:p w14:paraId="50ED20F9" w14:textId="77777777" w:rsidR="00E0039D" w:rsidRPr="00AB4037" w:rsidRDefault="00E0039D" w:rsidP="00E0039D">
      <w:pPr>
        <w:pStyle w:val="SubmissionNormal"/>
        <w:numPr>
          <w:ilvl w:val="0"/>
          <w:numId w:val="0"/>
        </w:numPr>
        <w:ind w:left="1440"/>
        <w:rPr>
          <w:rFonts w:cs="Open Sans"/>
          <w:sz w:val="22"/>
          <w:szCs w:val="22"/>
        </w:rPr>
      </w:pPr>
      <w:r w:rsidRPr="00AB4037">
        <w:rPr>
          <w:rFonts w:cs="Open Sans"/>
          <w:sz w:val="22"/>
          <w:szCs w:val="22"/>
        </w:rPr>
        <w:t>South Korean law provides for dual citizenship for those born abroad to at least one South Korean citizen. As such, the department’s assessment is that requiring [Master YM’s] mother to depart Australia does not in itself impact upon the integrity of her family unit unless she chooses for [Master YM] to remain in Australia after her departure.</w:t>
      </w:r>
    </w:p>
    <w:p w14:paraId="3416C8F3" w14:textId="77777777" w:rsidR="00E0039D" w:rsidRDefault="00E0039D" w:rsidP="00E0039D">
      <w:pPr>
        <w:pStyle w:val="SubmissionNormal"/>
        <w:numPr>
          <w:ilvl w:val="0"/>
          <w:numId w:val="0"/>
        </w:numPr>
        <w:ind w:left="1440"/>
        <w:rPr>
          <w:rFonts w:cs="Open Sans"/>
          <w:sz w:val="22"/>
          <w:szCs w:val="22"/>
        </w:rPr>
      </w:pPr>
      <w:r w:rsidRPr="00AB4037">
        <w:rPr>
          <w:rFonts w:cs="Open Sans"/>
          <w:sz w:val="22"/>
          <w:szCs w:val="22"/>
        </w:rPr>
        <w:t>DIBP’s judgement is that [Master YM] will not be denied the right to know or be cared for by his parents or be separated from them, since the family as a whole is able to return to South Korea to live.</w:t>
      </w:r>
    </w:p>
    <w:p w14:paraId="6927D99B" w14:textId="77777777" w:rsidR="00A55F4E" w:rsidRDefault="00A55F4E">
      <w:pPr>
        <w:spacing w:after="0"/>
      </w:pPr>
      <w:r>
        <w:br w:type="page"/>
      </w:r>
    </w:p>
    <w:p w14:paraId="38D40C84" w14:textId="77777777" w:rsidR="00E0039D" w:rsidRPr="00AB4037" w:rsidRDefault="00E0039D" w:rsidP="00E0039D">
      <w:pPr>
        <w:numPr>
          <w:ilvl w:val="0"/>
          <w:numId w:val="29"/>
        </w:numPr>
        <w:spacing w:before="240"/>
        <w:rPr>
          <w:rFonts w:cs="Open Sans"/>
          <w:szCs w:val="24"/>
        </w:rPr>
      </w:pPr>
      <w:r w:rsidRPr="00AB4037">
        <w:rPr>
          <w:rFonts w:cs="Open Sans"/>
          <w:szCs w:val="24"/>
        </w:rPr>
        <w:lastRenderedPageBreak/>
        <w:t xml:space="preserve">In </w:t>
      </w:r>
      <w:proofErr w:type="spellStart"/>
      <w:r w:rsidRPr="00AB4037">
        <w:rPr>
          <w:rFonts w:cs="Open Sans"/>
          <w:i/>
          <w:szCs w:val="24"/>
        </w:rPr>
        <w:t>Winata</w:t>
      </w:r>
      <w:proofErr w:type="spellEnd"/>
      <w:r w:rsidRPr="00AB4037">
        <w:rPr>
          <w:rFonts w:cs="Open Sans"/>
          <w:i/>
          <w:szCs w:val="24"/>
        </w:rPr>
        <w:t xml:space="preserve"> v Australia</w:t>
      </w:r>
      <w:r w:rsidRPr="00AB4037">
        <w:rPr>
          <w:rFonts w:cs="Open Sans"/>
          <w:szCs w:val="24"/>
        </w:rPr>
        <w:t>,</w:t>
      </w:r>
      <w:r w:rsidRPr="00AB4037">
        <w:rPr>
          <w:rStyle w:val="EndnoteReference"/>
          <w:rFonts w:ascii="Open Sans" w:hAnsi="Open Sans" w:cs="Open Sans"/>
          <w:szCs w:val="24"/>
        </w:rPr>
        <w:endnoteReference w:id="20"/>
      </w:r>
      <w:r w:rsidRPr="00AB4037">
        <w:rPr>
          <w:rFonts w:cs="Open Sans"/>
          <w:szCs w:val="24"/>
        </w:rPr>
        <w:t xml:space="preserve"> the UNHRC made findings in relation to a family in similar circumstances where both parents, originally from Indonesia, had overstayed their visas and Australia proposed to deport them. The parents’ </w:t>
      </w:r>
      <w:proofErr w:type="gramStart"/>
      <w:r w:rsidRPr="00AB4037">
        <w:rPr>
          <w:rFonts w:cs="Open Sans"/>
          <w:szCs w:val="24"/>
        </w:rPr>
        <w:t>13</w:t>
      </w:r>
      <w:r w:rsidR="005A7793">
        <w:rPr>
          <w:rFonts w:cs="Open Sans"/>
          <w:szCs w:val="24"/>
        </w:rPr>
        <w:t> </w:t>
      </w:r>
      <w:r w:rsidRPr="00AB4037">
        <w:rPr>
          <w:rFonts w:cs="Open Sans"/>
          <w:szCs w:val="24"/>
        </w:rPr>
        <w:t>year old</w:t>
      </w:r>
      <w:proofErr w:type="gramEnd"/>
      <w:r w:rsidRPr="00AB4037">
        <w:rPr>
          <w:rFonts w:cs="Open Sans"/>
          <w:szCs w:val="24"/>
        </w:rPr>
        <w:t xml:space="preserve"> Australian-born son was an Australian citizen who did not speak Indonesian and had never visited Indonesia. The UNHRC commented that</w:t>
      </w:r>
      <w:r w:rsidRPr="00AB4037">
        <w:rPr>
          <w:rFonts w:cs="Open Sans"/>
          <w:iCs/>
          <w:szCs w:val="24"/>
          <w:lang w:eastAsia="en-AU"/>
        </w:rPr>
        <w:t>:</w:t>
      </w:r>
    </w:p>
    <w:p w14:paraId="39F0EB6F" w14:textId="77777777" w:rsidR="00E0039D" w:rsidRPr="00AB4037" w:rsidRDefault="00E0039D" w:rsidP="00E0039D">
      <w:pPr>
        <w:spacing w:before="240"/>
        <w:ind w:left="1440"/>
        <w:rPr>
          <w:rFonts w:cs="Open Sans"/>
          <w:sz w:val="22"/>
          <w:szCs w:val="22"/>
        </w:rPr>
      </w:pPr>
      <w:r w:rsidRPr="00AB4037">
        <w:rPr>
          <w:rFonts w:cs="Open Sans"/>
          <w:sz w:val="22"/>
          <w:szCs w:val="22"/>
        </w:rPr>
        <w:t>In the present case, the Committee considers that a decision of the State party to deport two parents and to compel the family to choose whether a 13-year old child, who has attained citizenship of the State party after living there 10</w:t>
      </w:r>
      <w:r w:rsidR="005A7793">
        <w:rPr>
          <w:rFonts w:cs="Open Sans"/>
          <w:sz w:val="22"/>
          <w:szCs w:val="22"/>
        </w:rPr>
        <w:t> </w:t>
      </w:r>
      <w:r w:rsidRPr="00AB4037">
        <w:rPr>
          <w:rFonts w:cs="Open Sans"/>
          <w:sz w:val="22"/>
          <w:szCs w:val="22"/>
        </w:rPr>
        <w:t>years, either remains alone in the State party or accompanies his parents is to be considered ‘interference’ with the family, at least in circumstances where, as here, substantial changes to long settled family life would follow in either case.</w:t>
      </w:r>
      <w:r w:rsidRPr="00AB4037">
        <w:rPr>
          <w:rFonts w:cs="Open Sans"/>
          <w:iCs/>
          <w:sz w:val="20"/>
          <w:vertAlign w:val="superscript"/>
          <w:lang w:eastAsia="en-AU"/>
        </w:rPr>
        <w:endnoteReference w:id="21"/>
      </w:r>
    </w:p>
    <w:p w14:paraId="6A84E61A" w14:textId="77777777" w:rsidR="00E0039D" w:rsidRPr="00AB4037" w:rsidRDefault="00E0039D" w:rsidP="00E0039D">
      <w:pPr>
        <w:numPr>
          <w:ilvl w:val="0"/>
          <w:numId w:val="29"/>
        </w:numPr>
        <w:spacing w:before="240"/>
        <w:rPr>
          <w:rFonts w:cs="Open Sans"/>
          <w:szCs w:val="24"/>
        </w:rPr>
      </w:pPr>
      <w:r w:rsidRPr="00AB4037">
        <w:rPr>
          <w:rFonts w:cs="Open Sans"/>
          <w:szCs w:val="24"/>
        </w:rPr>
        <w:t xml:space="preserve">In </w:t>
      </w:r>
      <w:proofErr w:type="spellStart"/>
      <w:r w:rsidRPr="00AB4037">
        <w:rPr>
          <w:rFonts w:cs="Open Sans"/>
          <w:i/>
          <w:szCs w:val="24"/>
        </w:rPr>
        <w:t>Madafferi</w:t>
      </w:r>
      <w:proofErr w:type="spellEnd"/>
      <w:r w:rsidRPr="00AB4037">
        <w:rPr>
          <w:rFonts w:cs="Open Sans"/>
          <w:i/>
          <w:szCs w:val="24"/>
        </w:rPr>
        <w:t xml:space="preserve"> v Australia</w:t>
      </w:r>
      <w:r w:rsidRPr="00AB4037">
        <w:rPr>
          <w:rFonts w:cs="Open Sans"/>
          <w:szCs w:val="24"/>
        </w:rPr>
        <w:t>, the UNHRC reiterated this principle stating that:</w:t>
      </w:r>
    </w:p>
    <w:p w14:paraId="077C590D" w14:textId="77777777" w:rsidR="00E0039D" w:rsidRPr="00AB4037" w:rsidRDefault="00E0039D" w:rsidP="00E0039D">
      <w:pPr>
        <w:spacing w:before="240"/>
        <w:ind w:left="1440"/>
        <w:rPr>
          <w:rFonts w:cs="Open Sans"/>
          <w:sz w:val="22"/>
          <w:szCs w:val="22"/>
        </w:rPr>
      </w:pPr>
      <w:r w:rsidRPr="00AB4037">
        <w:rPr>
          <w:rFonts w:cs="Open Sans"/>
          <w:sz w:val="22"/>
          <w:szCs w:val="22"/>
        </w:rPr>
        <w:t>In the present case, the Committee considers that a decision by the State party to deport the father of a family with four minor children and to compel the family to choose whether they should accompany him or stay in the State party is to be considered ‘interference’ with the family, at least in circumstances where, as here, substantial changes to long settled family life would follow in either case.</w:t>
      </w:r>
      <w:r w:rsidRPr="00AB4037">
        <w:rPr>
          <w:rFonts w:cs="Open Sans"/>
          <w:sz w:val="20"/>
          <w:vertAlign w:val="superscript"/>
        </w:rPr>
        <w:endnoteReference w:id="22"/>
      </w:r>
    </w:p>
    <w:p w14:paraId="487106E3" w14:textId="77777777" w:rsidR="00E0039D" w:rsidRPr="00AB4037" w:rsidRDefault="00E0039D" w:rsidP="00E0039D">
      <w:pPr>
        <w:pStyle w:val="SubmissionNormal"/>
        <w:numPr>
          <w:ilvl w:val="0"/>
          <w:numId w:val="29"/>
        </w:numPr>
        <w:rPr>
          <w:rFonts w:cs="Open Sans"/>
        </w:rPr>
      </w:pPr>
      <w:r w:rsidRPr="00AB4037">
        <w:rPr>
          <w:rFonts w:cs="Open Sans"/>
        </w:rPr>
        <w:t>As has been described, there is substantial evidence of long settled family life in Australia for Ms HM and Master YM. Ms HM and Master YM lived together in Australia for 16 years. Ms HM and Master YM have developed strong social, vocational and cultural networks within the Australian-Korean church community. This is supported by a petition signed by 329 members of the Australian-Korean community provided to the department in support of the 2013 referral. At the time of the last referral to the Assistant Minister in 2015, and the Assistant Minister’s refusal to intervene to grant Ms HM a visa, Master YM was 15 years old and enrolled at an inner-west high school. With the exception of a brief six month period when he was in year 1, Master HM’s entire life and education has been in Australia. Based on his own letter to the Commission in relation to this matter, it is clear he has relationships and friendships through school and church. In a letter to the Commission, Master YM has detailed his strong and persisting relationship with his mother and the impact of their separation on him. He states:</w:t>
      </w:r>
    </w:p>
    <w:p w14:paraId="33221107" w14:textId="77777777" w:rsidR="00E0039D" w:rsidRPr="00AB4037" w:rsidRDefault="00E0039D" w:rsidP="00E0039D">
      <w:pPr>
        <w:pStyle w:val="SubmissionNormal"/>
        <w:numPr>
          <w:ilvl w:val="0"/>
          <w:numId w:val="0"/>
        </w:numPr>
        <w:ind w:left="1440"/>
        <w:rPr>
          <w:rFonts w:cs="Open Sans"/>
          <w:sz w:val="22"/>
          <w:szCs w:val="22"/>
        </w:rPr>
      </w:pPr>
      <w:r w:rsidRPr="00AB4037">
        <w:rPr>
          <w:rFonts w:cs="Open Sans"/>
          <w:sz w:val="22"/>
          <w:szCs w:val="22"/>
        </w:rPr>
        <w:t>When my mum got deported obviously as an under aged child I felt scared but I was more afraid of having to live in Korea as a foreign student. I</w:t>
      </w:r>
      <w:r w:rsidR="005A7793">
        <w:rPr>
          <w:rFonts w:cs="Open Sans"/>
          <w:sz w:val="22"/>
          <w:szCs w:val="22"/>
        </w:rPr>
        <w:t> </w:t>
      </w:r>
      <w:r w:rsidRPr="00AB4037">
        <w:rPr>
          <w:rFonts w:cs="Open Sans"/>
          <w:sz w:val="22"/>
          <w:szCs w:val="22"/>
        </w:rPr>
        <w:t>really hope through this letter you’ll be able to help me, to bring back my mother to Australia, so that I can be under my mother’s care again.</w:t>
      </w:r>
    </w:p>
    <w:p w14:paraId="3CF3F5DC" w14:textId="77777777" w:rsidR="00E0039D" w:rsidRPr="00AB4037" w:rsidRDefault="00E0039D" w:rsidP="00E0039D">
      <w:pPr>
        <w:pStyle w:val="SubmissionNormal"/>
        <w:numPr>
          <w:ilvl w:val="0"/>
          <w:numId w:val="29"/>
        </w:numPr>
        <w:rPr>
          <w:rFonts w:cs="Open Sans"/>
        </w:rPr>
      </w:pPr>
      <w:r w:rsidRPr="00AB4037">
        <w:rPr>
          <w:rFonts w:cs="Open Sans"/>
        </w:rPr>
        <w:lastRenderedPageBreak/>
        <w:t>Given the established nature of the family unit, I find that the Assistant Minister’s failure to intervene, leading to a requirement that Ms HM leave Australia, constitutes an interference with the family.</w:t>
      </w:r>
    </w:p>
    <w:p w14:paraId="762BDB3A" w14:textId="77777777" w:rsidR="00E0039D" w:rsidRPr="00AB4037" w:rsidRDefault="00E0039D" w:rsidP="00F34912">
      <w:pPr>
        <w:pStyle w:val="Heading2"/>
      </w:pPr>
      <w:bookmarkStart w:id="70" w:name="_Toc510446670"/>
      <w:bookmarkStart w:id="71" w:name="_Toc522262487"/>
      <w:bookmarkStart w:id="72" w:name="_Toc535564752"/>
      <w:r w:rsidRPr="00AB4037">
        <w:t>Arbitrary or unlawful</w:t>
      </w:r>
      <w:bookmarkEnd w:id="70"/>
      <w:bookmarkEnd w:id="71"/>
      <w:bookmarkEnd w:id="72"/>
    </w:p>
    <w:p w14:paraId="0B8625E7" w14:textId="77777777" w:rsidR="00E0039D" w:rsidRPr="00AB4037" w:rsidRDefault="00E0039D" w:rsidP="00E0039D">
      <w:pPr>
        <w:numPr>
          <w:ilvl w:val="0"/>
          <w:numId w:val="29"/>
        </w:numPr>
        <w:spacing w:before="240"/>
        <w:rPr>
          <w:rFonts w:cs="Open Sans"/>
          <w:szCs w:val="24"/>
        </w:rPr>
      </w:pPr>
      <w:r w:rsidRPr="00AB4037">
        <w:rPr>
          <w:rFonts w:cs="Open Sans"/>
          <w:szCs w:val="24"/>
        </w:rPr>
        <w:t>An unlawful interference with a person’s family is prohibited by article 17(1) of the ICCPR. A lawful interference with a person’s family will be prohibited by article 17(1) if it is arbitrary.</w:t>
      </w:r>
    </w:p>
    <w:p w14:paraId="3468BCB3" w14:textId="77777777" w:rsidR="00E0039D" w:rsidRPr="00AB4037" w:rsidRDefault="00E0039D" w:rsidP="00E0039D">
      <w:pPr>
        <w:pStyle w:val="SubmissionNormal"/>
        <w:numPr>
          <w:ilvl w:val="0"/>
          <w:numId w:val="29"/>
        </w:numPr>
        <w:rPr>
          <w:rFonts w:cs="Open Sans"/>
        </w:rPr>
      </w:pPr>
      <w:r w:rsidRPr="00AB4037">
        <w:rPr>
          <w:rFonts w:cs="Open Sans"/>
        </w:rPr>
        <w:t xml:space="preserve">In its General Comment on article 17, the UNHRC confirmed that a lawful interference with a person’s family may nevertheless be arbitrary, unless it is in accordance with the provisions, aims and objectives of the Covenant and is reasonable in the particular circumstances. </w:t>
      </w:r>
    </w:p>
    <w:p w14:paraId="311BF831" w14:textId="77777777" w:rsidR="00E0039D" w:rsidRPr="00AB4037" w:rsidRDefault="00E0039D" w:rsidP="00E0039D">
      <w:pPr>
        <w:pStyle w:val="SubmissionNormal"/>
        <w:numPr>
          <w:ilvl w:val="0"/>
          <w:numId w:val="29"/>
        </w:numPr>
        <w:rPr>
          <w:rFonts w:cs="Open Sans"/>
          <w:i/>
        </w:rPr>
      </w:pPr>
      <w:r w:rsidRPr="00AB4037">
        <w:rPr>
          <w:rFonts w:cs="Open Sans"/>
        </w:rPr>
        <w:t xml:space="preserve">In </w:t>
      </w:r>
      <w:proofErr w:type="spellStart"/>
      <w:r w:rsidRPr="00AB4037">
        <w:rPr>
          <w:rFonts w:cs="Open Sans"/>
          <w:i/>
        </w:rPr>
        <w:t>Canepa</w:t>
      </w:r>
      <w:proofErr w:type="spellEnd"/>
      <w:r w:rsidRPr="00AB4037">
        <w:rPr>
          <w:rFonts w:cs="Open Sans"/>
          <w:i/>
        </w:rPr>
        <w:t xml:space="preserve"> v Canada</w:t>
      </w:r>
      <w:r w:rsidRPr="00AB4037">
        <w:rPr>
          <w:rFonts w:cs="Open Sans"/>
        </w:rPr>
        <w:t>, the UNHRC discussed what could be seen to constitute ‘arbitrary’ interference:</w:t>
      </w:r>
    </w:p>
    <w:p w14:paraId="190D4F7D" w14:textId="77777777" w:rsidR="00E0039D" w:rsidRPr="00AB4037" w:rsidRDefault="00E0039D" w:rsidP="00E0039D">
      <w:pPr>
        <w:pStyle w:val="SubmissionNormal"/>
        <w:numPr>
          <w:ilvl w:val="0"/>
          <w:numId w:val="0"/>
        </w:numPr>
        <w:ind w:left="1440"/>
        <w:rPr>
          <w:rFonts w:cs="Open Sans"/>
          <w:i/>
        </w:rPr>
      </w:pPr>
      <w:r w:rsidRPr="00AB4037">
        <w:rPr>
          <w:rFonts w:cs="Open Sans"/>
          <w:sz w:val="22"/>
        </w:rPr>
        <w:t>The Committee observes that arbitrariness within the meaning of article 17 is not confined to procedural arbitrariness, but extends to the reasonableness of the interference with the person’s rights under article 17 and its compatibility with the purposes, aims and objectives of the Covenant. The separation of a person from his family by means of his expulsion could be regarded as an arbitrary interference with the family and as a violation of article 17 if in the circumstances of the case the separation of the author from his family and its effects on him were disproportionate to the objectives of removal.</w:t>
      </w:r>
      <w:r w:rsidRPr="00AB4037">
        <w:rPr>
          <w:rStyle w:val="EndnoteReference"/>
          <w:rFonts w:ascii="Open Sans" w:hAnsi="Open Sans" w:cs="Open Sans"/>
        </w:rPr>
        <w:endnoteReference w:id="23"/>
      </w:r>
    </w:p>
    <w:p w14:paraId="2EAF202A" w14:textId="77777777" w:rsidR="00E0039D" w:rsidRPr="00AB4037" w:rsidRDefault="00E0039D" w:rsidP="00E0039D">
      <w:pPr>
        <w:pStyle w:val="SubmissionNormal"/>
        <w:numPr>
          <w:ilvl w:val="0"/>
          <w:numId w:val="29"/>
        </w:numPr>
        <w:rPr>
          <w:rFonts w:cs="Open Sans"/>
        </w:rPr>
      </w:pPr>
      <w:r w:rsidRPr="00AB4037">
        <w:rPr>
          <w:rFonts w:cs="Open Sans"/>
        </w:rPr>
        <w:t xml:space="preserve">It follows that the prohibition against arbitrary interference with family incorporates notions of reasonableness. In relation to the meaning of reasonableness, the UNHRC stated in </w:t>
      </w:r>
      <w:proofErr w:type="spellStart"/>
      <w:r w:rsidRPr="00AB4037">
        <w:rPr>
          <w:rFonts w:cs="Open Sans"/>
          <w:i/>
        </w:rPr>
        <w:t>Toonen</w:t>
      </w:r>
      <w:proofErr w:type="spellEnd"/>
      <w:r w:rsidRPr="00AB4037">
        <w:rPr>
          <w:rFonts w:cs="Open Sans"/>
          <w:i/>
        </w:rPr>
        <w:t xml:space="preserve"> v Australia</w:t>
      </w:r>
      <w:r w:rsidRPr="00AB4037">
        <w:rPr>
          <w:rFonts w:cs="Open Sans"/>
        </w:rPr>
        <w:t>:</w:t>
      </w:r>
    </w:p>
    <w:p w14:paraId="0F71B61D" w14:textId="77777777" w:rsidR="00E0039D" w:rsidRDefault="00E0039D" w:rsidP="00E0039D">
      <w:pPr>
        <w:pStyle w:val="SubmissionNormal"/>
        <w:numPr>
          <w:ilvl w:val="0"/>
          <w:numId w:val="0"/>
        </w:numPr>
        <w:ind w:left="1440"/>
        <w:rPr>
          <w:rFonts w:cs="Open Sans"/>
          <w:sz w:val="22"/>
        </w:rPr>
      </w:pPr>
      <w:r w:rsidRPr="00AB4037">
        <w:rPr>
          <w:rFonts w:cs="Open Sans"/>
          <w:sz w:val="22"/>
        </w:rPr>
        <w:t>The Committee interprets the requirement of reasonableness to imply that any interference with privacy must be proportional to the end sought and be necessary in the circumstances of any given case.</w:t>
      </w:r>
      <w:r w:rsidRPr="00AB4037">
        <w:rPr>
          <w:rStyle w:val="EndnoteReference"/>
          <w:rFonts w:ascii="Open Sans" w:hAnsi="Open Sans" w:cs="Open Sans"/>
        </w:rPr>
        <w:endnoteReference w:id="24"/>
      </w:r>
    </w:p>
    <w:p w14:paraId="18643B9F" w14:textId="77777777" w:rsidR="00A55F4E" w:rsidRDefault="00A55F4E">
      <w:pPr>
        <w:spacing w:after="0"/>
      </w:pPr>
      <w:r>
        <w:br w:type="page"/>
      </w:r>
    </w:p>
    <w:p w14:paraId="5850085E" w14:textId="77777777" w:rsidR="00E0039D" w:rsidRPr="00AB4037" w:rsidRDefault="00E0039D" w:rsidP="00E0039D">
      <w:pPr>
        <w:numPr>
          <w:ilvl w:val="0"/>
          <w:numId w:val="29"/>
        </w:numPr>
        <w:spacing w:before="240"/>
        <w:rPr>
          <w:rFonts w:cs="Open Sans"/>
          <w:szCs w:val="24"/>
        </w:rPr>
      </w:pPr>
      <w:r w:rsidRPr="00AB4037">
        <w:rPr>
          <w:rFonts w:cs="Open Sans"/>
          <w:szCs w:val="24"/>
        </w:rPr>
        <w:lastRenderedPageBreak/>
        <w:t xml:space="preserve">While the </w:t>
      </w:r>
      <w:proofErr w:type="spellStart"/>
      <w:r w:rsidRPr="00AB4037">
        <w:rPr>
          <w:rFonts w:cs="Open Sans"/>
          <w:i/>
          <w:szCs w:val="24"/>
        </w:rPr>
        <w:t>Toonen</w:t>
      </w:r>
      <w:proofErr w:type="spellEnd"/>
      <w:r w:rsidRPr="00AB4037">
        <w:rPr>
          <w:rFonts w:cs="Open Sans"/>
          <w:szCs w:val="24"/>
        </w:rPr>
        <w:t xml:space="preserve"> case concerned a breach of article 17(1) in relation to the right to privacy, these comments apply equally to an arbitrary interference with the family. In </w:t>
      </w:r>
      <w:proofErr w:type="spellStart"/>
      <w:r w:rsidRPr="00AB4037">
        <w:rPr>
          <w:rFonts w:cs="Open Sans"/>
          <w:i/>
          <w:szCs w:val="24"/>
        </w:rPr>
        <w:t>Winata</w:t>
      </w:r>
      <w:proofErr w:type="spellEnd"/>
      <w:r w:rsidRPr="00AB4037">
        <w:rPr>
          <w:rFonts w:cs="Open Sans"/>
          <w:szCs w:val="24"/>
        </w:rPr>
        <w:t>, the UNHRC observed that:</w:t>
      </w:r>
    </w:p>
    <w:p w14:paraId="115DF48A" w14:textId="77777777" w:rsidR="00E0039D" w:rsidRPr="00AB4037" w:rsidRDefault="00E0039D" w:rsidP="00E0039D">
      <w:pPr>
        <w:spacing w:before="240"/>
        <w:ind w:left="1440"/>
        <w:rPr>
          <w:rFonts w:cs="Open Sans"/>
          <w:sz w:val="22"/>
          <w:szCs w:val="22"/>
        </w:rPr>
      </w:pPr>
      <w:r w:rsidRPr="00AB4037">
        <w:rPr>
          <w:rFonts w:cs="Open Sans"/>
          <w:sz w:val="22"/>
          <w:szCs w:val="22"/>
        </w:rPr>
        <w:t>It is certainly unobjectionable under the Covenant that a State party may require, under its laws, the departure of persons who remain in its territory beyond limited duration permits. Nor is the fact that a child is born, or that by operation of law such a child receives citizenship either at birth or at a later time, sufficient of itself to make a proposed deportation of one or both parents arbitrary. Accordingly, there is significant scope for States parties to enforce their immigration policy and to require departure of unlawfully present persons. That discretion is, however, not unlimited and may come to be exercised arbitrarily in certain circumstances.</w:t>
      </w:r>
      <w:r w:rsidRPr="00AB4037">
        <w:rPr>
          <w:rStyle w:val="EndnoteReference"/>
          <w:rFonts w:ascii="Open Sans" w:hAnsi="Open Sans" w:cs="Open Sans"/>
          <w:szCs w:val="24"/>
        </w:rPr>
        <w:endnoteReference w:id="25"/>
      </w:r>
    </w:p>
    <w:p w14:paraId="5C7B054F" w14:textId="77777777" w:rsidR="00E0039D" w:rsidRPr="00AB4037" w:rsidRDefault="00E0039D" w:rsidP="00E0039D">
      <w:pPr>
        <w:numPr>
          <w:ilvl w:val="0"/>
          <w:numId w:val="29"/>
        </w:numPr>
        <w:spacing w:before="240"/>
        <w:rPr>
          <w:rFonts w:cs="Open Sans"/>
          <w:szCs w:val="24"/>
        </w:rPr>
      </w:pPr>
      <w:r w:rsidRPr="00AB4037">
        <w:rPr>
          <w:rFonts w:cs="Open Sans"/>
          <w:szCs w:val="24"/>
        </w:rPr>
        <w:t xml:space="preserve">A crucial element of the reasoning in </w:t>
      </w:r>
      <w:proofErr w:type="spellStart"/>
      <w:r w:rsidRPr="00AB4037">
        <w:rPr>
          <w:rFonts w:cs="Open Sans"/>
          <w:i/>
          <w:szCs w:val="24"/>
        </w:rPr>
        <w:t>Winata</w:t>
      </w:r>
      <w:proofErr w:type="spellEnd"/>
      <w:r w:rsidRPr="00AB4037">
        <w:rPr>
          <w:rFonts w:cs="Open Sans"/>
          <w:szCs w:val="24"/>
        </w:rPr>
        <w:t xml:space="preserve"> which led the UNHRC to the conclusion that removal would be arbitrary was the length of time that the family had been in Australia and the integration of the family into the Australian community. This reasoning was affirmed in </w:t>
      </w:r>
      <w:proofErr w:type="spellStart"/>
      <w:r w:rsidRPr="00AB4037">
        <w:rPr>
          <w:rFonts w:cs="Open Sans"/>
          <w:i/>
          <w:szCs w:val="24"/>
        </w:rPr>
        <w:t>Sahid</w:t>
      </w:r>
      <w:proofErr w:type="spellEnd"/>
      <w:r w:rsidRPr="00AB4037">
        <w:rPr>
          <w:rFonts w:cs="Open Sans"/>
          <w:i/>
          <w:szCs w:val="24"/>
        </w:rPr>
        <w:t xml:space="preserve"> v New Zealand</w:t>
      </w:r>
      <w:r w:rsidRPr="00AB4037">
        <w:rPr>
          <w:rFonts w:cs="Open Sans"/>
          <w:szCs w:val="24"/>
        </w:rPr>
        <w:t>,</w:t>
      </w:r>
      <w:r w:rsidRPr="00AB4037">
        <w:rPr>
          <w:rStyle w:val="EndnoteReference"/>
          <w:rFonts w:ascii="Open Sans" w:hAnsi="Open Sans" w:cs="Open Sans"/>
          <w:szCs w:val="24"/>
        </w:rPr>
        <w:endnoteReference w:id="26"/>
      </w:r>
      <w:r w:rsidRPr="00AB4037">
        <w:rPr>
          <w:rFonts w:cs="Open Sans"/>
          <w:szCs w:val="24"/>
        </w:rPr>
        <w:t xml:space="preserve"> where the UNHRC stated: </w:t>
      </w:r>
    </w:p>
    <w:p w14:paraId="768783DC" w14:textId="77777777" w:rsidR="00E0039D" w:rsidRPr="00AB4037" w:rsidRDefault="00E0039D" w:rsidP="00E0039D">
      <w:pPr>
        <w:autoSpaceDE w:val="0"/>
        <w:autoSpaceDN w:val="0"/>
        <w:adjustRightInd w:val="0"/>
        <w:ind w:left="1418"/>
        <w:rPr>
          <w:rFonts w:cs="Open Sans"/>
          <w:spacing w:val="0"/>
          <w:sz w:val="22"/>
          <w:szCs w:val="22"/>
          <w:lang w:eastAsia="en-AU"/>
        </w:rPr>
      </w:pPr>
      <w:r w:rsidRPr="00AB4037">
        <w:rPr>
          <w:rFonts w:cs="Open Sans"/>
          <w:spacing w:val="0"/>
          <w:sz w:val="22"/>
          <w:szCs w:val="22"/>
          <w:lang w:eastAsia="en-AU"/>
        </w:rPr>
        <w:t xml:space="preserve">In extraordinary circumstances, a State party must demonstrate factors justifying the removal of persons within its jurisdiction that go beyond a simple enforcement of its immigration law in order to avoid a characterization of arbitrariness. In </w:t>
      </w:r>
      <w:proofErr w:type="spellStart"/>
      <w:r w:rsidRPr="00AB4037">
        <w:rPr>
          <w:rFonts w:cs="Open Sans"/>
          <w:spacing w:val="0"/>
          <w:sz w:val="22"/>
          <w:szCs w:val="22"/>
          <w:lang w:eastAsia="en-AU"/>
        </w:rPr>
        <w:t>Winata</w:t>
      </w:r>
      <w:proofErr w:type="spellEnd"/>
      <w:r w:rsidRPr="00AB4037">
        <w:rPr>
          <w:rFonts w:cs="Open Sans"/>
          <w:spacing w:val="0"/>
          <w:sz w:val="22"/>
          <w:szCs w:val="22"/>
          <w:lang w:eastAsia="en-AU"/>
        </w:rPr>
        <w:t>, the extraordinary circumstance was the State party’s intention to remove the parents of a minor, born in the State party, who had become a naturalized citizen after</w:t>
      </w:r>
      <w:r w:rsidR="005A7793">
        <w:rPr>
          <w:rFonts w:cs="Open Sans"/>
          <w:spacing w:val="0"/>
          <w:sz w:val="22"/>
          <w:szCs w:val="22"/>
          <w:lang w:eastAsia="en-AU"/>
        </w:rPr>
        <w:t> </w:t>
      </w:r>
      <w:r w:rsidRPr="00AB4037">
        <w:rPr>
          <w:rFonts w:cs="Open Sans"/>
          <w:spacing w:val="0"/>
          <w:sz w:val="22"/>
          <w:szCs w:val="22"/>
          <w:lang w:eastAsia="en-AU"/>
        </w:rPr>
        <w:t>the required years’ residence in that country.</w:t>
      </w:r>
      <w:r w:rsidRPr="00AB4037">
        <w:rPr>
          <w:rStyle w:val="EndnoteReference"/>
          <w:rFonts w:ascii="Open Sans" w:hAnsi="Open Sans" w:cs="Open Sans"/>
          <w:spacing w:val="0"/>
          <w:szCs w:val="22"/>
          <w:lang w:eastAsia="en-AU"/>
        </w:rPr>
        <w:endnoteReference w:id="27"/>
      </w:r>
    </w:p>
    <w:p w14:paraId="47DA78CC" w14:textId="77777777" w:rsidR="00E0039D" w:rsidRPr="00AB4037" w:rsidRDefault="00E0039D" w:rsidP="00E0039D">
      <w:pPr>
        <w:numPr>
          <w:ilvl w:val="0"/>
          <w:numId w:val="29"/>
        </w:numPr>
        <w:spacing w:before="240"/>
        <w:rPr>
          <w:rFonts w:cs="Open Sans"/>
          <w:szCs w:val="24"/>
        </w:rPr>
      </w:pPr>
      <w:r w:rsidRPr="00AB4037">
        <w:rPr>
          <w:rFonts w:cs="Open Sans"/>
          <w:szCs w:val="24"/>
        </w:rPr>
        <w:t xml:space="preserve">I am of the view that similar ‘exceptional’ circumstances exist in this case to those in </w:t>
      </w:r>
      <w:proofErr w:type="spellStart"/>
      <w:r w:rsidRPr="00AB4037">
        <w:rPr>
          <w:rFonts w:cs="Open Sans"/>
          <w:i/>
          <w:szCs w:val="24"/>
        </w:rPr>
        <w:t>Winata</w:t>
      </w:r>
      <w:proofErr w:type="spellEnd"/>
      <w:r w:rsidRPr="00AB4037">
        <w:rPr>
          <w:rFonts w:cs="Open Sans"/>
          <w:szCs w:val="24"/>
        </w:rPr>
        <w:t>. These circumstances include:</w:t>
      </w:r>
    </w:p>
    <w:p w14:paraId="2358F6EA" w14:textId="77777777" w:rsidR="00E0039D" w:rsidRPr="00AB4037" w:rsidRDefault="00E0039D" w:rsidP="00E0039D">
      <w:pPr>
        <w:numPr>
          <w:ilvl w:val="0"/>
          <w:numId w:val="56"/>
        </w:numPr>
        <w:spacing w:before="240"/>
        <w:rPr>
          <w:rFonts w:cs="Open Sans"/>
          <w:szCs w:val="24"/>
        </w:rPr>
      </w:pPr>
      <w:r w:rsidRPr="00AB4037">
        <w:rPr>
          <w:rFonts w:cs="Open Sans"/>
          <w:szCs w:val="24"/>
        </w:rPr>
        <w:t xml:space="preserve">Master YM’s age at the time of the 2015 referral to the </w:t>
      </w:r>
      <w:r w:rsidR="00774E38">
        <w:rPr>
          <w:rFonts w:cs="Open Sans"/>
          <w:szCs w:val="24"/>
        </w:rPr>
        <w:t>then</w:t>
      </w:r>
      <w:r w:rsidR="00B02829">
        <w:rPr>
          <w:rFonts w:cs="Open Sans"/>
          <w:szCs w:val="24"/>
        </w:rPr>
        <w:t xml:space="preserve"> </w:t>
      </w:r>
      <w:r w:rsidRPr="00AB4037">
        <w:rPr>
          <w:rFonts w:cs="Open Sans"/>
          <w:szCs w:val="24"/>
        </w:rPr>
        <w:t>Assistant Minister</w:t>
      </w:r>
    </w:p>
    <w:p w14:paraId="27052974" w14:textId="77777777" w:rsidR="00E0039D" w:rsidRPr="00AB4037" w:rsidRDefault="00E0039D" w:rsidP="00E0039D">
      <w:pPr>
        <w:numPr>
          <w:ilvl w:val="0"/>
          <w:numId w:val="56"/>
        </w:numPr>
        <w:spacing w:before="240"/>
        <w:rPr>
          <w:rFonts w:cs="Open Sans"/>
          <w:szCs w:val="24"/>
        </w:rPr>
      </w:pPr>
      <w:r w:rsidRPr="00AB4037">
        <w:rPr>
          <w:rFonts w:cs="Open Sans"/>
          <w:szCs w:val="24"/>
        </w:rPr>
        <w:t>Master YM’s lifelong residence in Australia and his integration into the</w:t>
      </w:r>
      <w:r w:rsidR="005A7793">
        <w:rPr>
          <w:rFonts w:cs="Open Sans"/>
          <w:szCs w:val="24"/>
        </w:rPr>
        <w:t> </w:t>
      </w:r>
      <w:r w:rsidRPr="00AB4037">
        <w:rPr>
          <w:rFonts w:cs="Open Sans"/>
          <w:szCs w:val="24"/>
        </w:rPr>
        <w:t>Australian community</w:t>
      </w:r>
    </w:p>
    <w:p w14:paraId="0C1414B2" w14:textId="77777777" w:rsidR="00E0039D" w:rsidRDefault="00E0039D" w:rsidP="00E0039D">
      <w:pPr>
        <w:numPr>
          <w:ilvl w:val="0"/>
          <w:numId w:val="56"/>
        </w:numPr>
        <w:spacing w:before="240"/>
        <w:rPr>
          <w:rFonts w:cs="Open Sans"/>
          <w:szCs w:val="24"/>
        </w:rPr>
      </w:pPr>
      <w:r w:rsidRPr="00AB4037">
        <w:rPr>
          <w:rFonts w:cs="Open Sans"/>
          <w:szCs w:val="24"/>
        </w:rPr>
        <w:t>the advanced stage of Master YM’s secondary school education in Australia, and the fact that his entire education has taken place in Australia.</w:t>
      </w:r>
    </w:p>
    <w:p w14:paraId="796AA410" w14:textId="77777777" w:rsidR="00A55F4E" w:rsidRDefault="00A55F4E">
      <w:pPr>
        <w:spacing w:after="0"/>
      </w:pPr>
      <w:r>
        <w:br w:type="page"/>
      </w:r>
    </w:p>
    <w:p w14:paraId="0B24EAE2" w14:textId="77777777" w:rsidR="00E0039D" w:rsidRPr="00AB4037" w:rsidRDefault="00E0039D" w:rsidP="00E0039D">
      <w:pPr>
        <w:numPr>
          <w:ilvl w:val="0"/>
          <w:numId w:val="29"/>
        </w:numPr>
        <w:spacing w:before="240"/>
        <w:rPr>
          <w:rFonts w:cs="Open Sans"/>
          <w:szCs w:val="24"/>
        </w:rPr>
      </w:pPr>
      <w:r w:rsidRPr="00AB4037">
        <w:rPr>
          <w:rFonts w:cs="Open Sans"/>
          <w:szCs w:val="24"/>
        </w:rPr>
        <w:lastRenderedPageBreak/>
        <w:t xml:space="preserve">In the present case, the Commission is not aware of additional bases put forward by the Assistant Minister for her refusal to intervene in Ms </w:t>
      </w:r>
      <w:r w:rsidRPr="00AB4037">
        <w:rPr>
          <w:rFonts w:cs="Open Sans"/>
        </w:rPr>
        <w:t>HM</w:t>
      </w:r>
      <w:r w:rsidRPr="00AB4037">
        <w:rPr>
          <w:rFonts w:cs="Open Sans"/>
          <w:szCs w:val="24"/>
        </w:rPr>
        <w:t>’s case, although I do note that she is not required to give reasons. I am not aware of any additional factors, such as a risk to the community, public order or security, which may otherwise suggest that the failure to intervene would not be arbitrary, in the sense of being necessary in the circumstances to achieve a particular end and being proportional to the end sought. Bearing in mind Ms</w:t>
      </w:r>
      <w:r w:rsidR="005A7793">
        <w:rPr>
          <w:rFonts w:cs="Open Sans"/>
          <w:szCs w:val="24"/>
        </w:rPr>
        <w:t> </w:t>
      </w:r>
      <w:r w:rsidRPr="00AB4037">
        <w:rPr>
          <w:rFonts w:cs="Open Sans"/>
        </w:rPr>
        <w:t>HM</w:t>
      </w:r>
      <w:r w:rsidRPr="00AB4037">
        <w:rPr>
          <w:rFonts w:cs="Open Sans"/>
          <w:szCs w:val="24"/>
        </w:rPr>
        <w:t>’s and Master YM’s long period of residence in Australia and her and her son’s integration into the Australian community, I consider that additional factors would be required in order to justify the failure to intervene.</w:t>
      </w:r>
    </w:p>
    <w:p w14:paraId="22539753" w14:textId="77777777" w:rsidR="00E0039D" w:rsidRPr="00AB4037" w:rsidRDefault="00E0039D" w:rsidP="00E0039D">
      <w:pPr>
        <w:pStyle w:val="SubmissionNormal"/>
        <w:numPr>
          <w:ilvl w:val="0"/>
          <w:numId w:val="29"/>
        </w:numPr>
        <w:rPr>
          <w:rFonts w:cs="Open Sans"/>
        </w:rPr>
      </w:pPr>
      <w:r w:rsidRPr="00AB4037">
        <w:rPr>
          <w:rFonts w:cs="Open Sans"/>
        </w:rPr>
        <w:t>For the reasons outlined above, I find that the decision of the Assistant Minister not to intervene in Ms YM’s case, and consequently the requirement that Ms HM not be allowed to remain in Australia at least while Master YM completed his secondary education, was an arbitrary interference with family, contrary to articles 17 and 23 of the ICCPR.</w:t>
      </w:r>
    </w:p>
    <w:p w14:paraId="7BE11FF8" w14:textId="77777777" w:rsidR="00E0039D" w:rsidRPr="00AB4037" w:rsidRDefault="00E0039D" w:rsidP="00E0039D">
      <w:pPr>
        <w:pStyle w:val="Heading1"/>
        <w:rPr>
          <w:rFonts w:cs="Open Sans"/>
        </w:rPr>
      </w:pPr>
      <w:bookmarkStart w:id="73" w:name="_Toc498937221"/>
      <w:bookmarkStart w:id="74" w:name="_Toc498937222"/>
      <w:bookmarkStart w:id="75" w:name="_Toc498937223"/>
      <w:bookmarkStart w:id="76" w:name="_Toc498937224"/>
      <w:bookmarkStart w:id="77" w:name="_Toc498937225"/>
      <w:bookmarkStart w:id="78" w:name="_Toc498937226"/>
      <w:bookmarkStart w:id="79" w:name="_Toc498937227"/>
      <w:bookmarkStart w:id="80" w:name="_Ref472516244"/>
      <w:bookmarkStart w:id="81" w:name="_Toc473014822"/>
      <w:bookmarkStart w:id="82" w:name="_Toc522262488"/>
      <w:bookmarkStart w:id="83" w:name="_Toc535564753"/>
      <w:bookmarkEnd w:id="42"/>
      <w:bookmarkEnd w:id="43"/>
      <w:bookmarkEnd w:id="44"/>
      <w:bookmarkEnd w:id="45"/>
      <w:bookmarkEnd w:id="46"/>
      <w:bookmarkEnd w:id="47"/>
      <w:bookmarkEnd w:id="73"/>
      <w:bookmarkEnd w:id="74"/>
      <w:bookmarkEnd w:id="75"/>
      <w:bookmarkEnd w:id="76"/>
      <w:bookmarkEnd w:id="77"/>
      <w:bookmarkEnd w:id="78"/>
      <w:bookmarkEnd w:id="79"/>
      <w:r w:rsidRPr="00AB4037">
        <w:rPr>
          <w:rFonts w:cs="Open Sans"/>
        </w:rPr>
        <w:t>Recommendations</w:t>
      </w:r>
      <w:bookmarkEnd w:id="80"/>
      <w:bookmarkEnd w:id="81"/>
      <w:bookmarkEnd w:id="82"/>
      <w:bookmarkEnd w:id="83"/>
    </w:p>
    <w:p w14:paraId="06945E9D" w14:textId="77777777" w:rsidR="00E0039D" w:rsidRPr="00AB4037" w:rsidRDefault="00E0039D" w:rsidP="00E0039D">
      <w:pPr>
        <w:numPr>
          <w:ilvl w:val="0"/>
          <w:numId w:val="29"/>
        </w:numPr>
        <w:tabs>
          <w:tab w:val="clear" w:pos="720"/>
          <w:tab w:val="num" w:pos="1080"/>
        </w:tabs>
        <w:spacing w:before="240"/>
        <w:rPr>
          <w:rFonts w:cs="Open Sans"/>
        </w:rPr>
      </w:pPr>
      <w:bookmarkStart w:id="84" w:name="_Toc438218056"/>
      <w:r w:rsidRPr="00AB4037">
        <w:rPr>
          <w:rFonts w:cs="Open Sans"/>
          <w:szCs w:val="24"/>
        </w:rPr>
        <w:t>As a result of this inquiry, I find the following:</w:t>
      </w:r>
    </w:p>
    <w:p w14:paraId="04FE67B5" w14:textId="77777777" w:rsidR="00E0039D" w:rsidRPr="00AB4037" w:rsidRDefault="00E0039D" w:rsidP="00E0039D">
      <w:pPr>
        <w:pStyle w:val="SubmissionNormal"/>
        <w:numPr>
          <w:ilvl w:val="1"/>
          <w:numId w:val="29"/>
        </w:numPr>
        <w:rPr>
          <w:rFonts w:cs="Open Sans"/>
        </w:rPr>
      </w:pPr>
      <w:r w:rsidRPr="00AB4037">
        <w:rPr>
          <w:rFonts w:cs="Open Sans"/>
        </w:rPr>
        <w:t xml:space="preserve">the decision of the </w:t>
      </w:r>
      <w:r w:rsidR="00215A73">
        <w:rPr>
          <w:rFonts w:cs="Open Sans"/>
        </w:rPr>
        <w:t xml:space="preserve">then </w:t>
      </w:r>
      <w:r w:rsidRPr="00AB4037">
        <w:rPr>
          <w:rFonts w:cs="Open Sans"/>
        </w:rPr>
        <w:t>Assistant Minister on 15 September 2015 not to exercise her discretionary powers to intervene in Ms HM’s case, leading to a requirement that Ms HM leave Australia, is an arbitrary interference with family, contrary to articles 17 and 23 of the ICCPR</w:t>
      </w:r>
    </w:p>
    <w:p w14:paraId="2EDD46D9" w14:textId="77777777" w:rsidR="00E0039D" w:rsidRPr="00AB4037" w:rsidRDefault="00E0039D" w:rsidP="00E0039D">
      <w:pPr>
        <w:pStyle w:val="SubmissionNormal"/>
        <w:numPr>
          <w:ilvl w:val="1"/>
          <w:numId w:val="29"/>
        </w:numPr>
        <w:rPr>
          <w:rFonts w:cs="Open Sans"/>
        </w:rPr>
      </w:pPr>
      <w:r w:rsidRPr="00AB4037">
        <w:rPr>
          <w:rFonts w:cs="Open Sans"/>
        </w:rPr>
        <w:t>the department’s 2015 submission to the Assistant Minister for the consideration of the exercise of her discretionary powers to grant Ms HM a visa failed to take account of Master YM’s best interests as a primary consideration on the basis of relevant information contemporaneous to the referral, contrary to article 3 of the CRC.</w:t>
      </w:r>
    </w:p>
    <w:p w14:paraId="79F3C03B" w14:textId="77777777" w:rsidR="00E0039D" w:rsidRPr="00AB4037" w:rsidRDefault="00E0039D" w:rsidP="00E0039D">
      <w:pPr>
        <w:pStyle w:val="ListParagraph"/>
        <w:numPr>
          <w:ilvl w:val="0"/>
          <w:numId w:val="29"/>
        </w:numPr>
        <w:spacing w:before="240"/>
        <w:rPr>
          <w:rFonts w:cs="Open Sans"/>
        </w:rPr>
      </w:pPr>
      <w:r w:rsidRPr="00AB4037">
        <w:rPr>
          <w:rFonts w:cs="Open Sans"/>
          <w:szCs w:val="24"/>
        </w:rPr>
        <w:t>Where, after conducting an inquiry, the Commission finds that an act or practice engaged in by a respondent is inconsistent with, or contrary to, any human right, the Commission is required to serve notice on the respondent setting out its findings and reasons for those findings.</w:t>
      </w:r>
      <w:r w:rsidRPr="00AB4037">
        <w:rPr>
          <w:rStyle w:val="EndnoteReference"/>
          <w:rFonts w:ascii="Open Sans" w:hAnsi="Open Sans" w:cs="Open Sans"/>
          <w:szCs w:val="24"/>
        </w:rPr>
        <w:endnoteReference w:id="28"/>
      </w:r>
      <w:r w:rsidRPr="00AB4037">
        <w:rPr>
          <w:rFonts w:cs="Open Sans"/>
          <w:szCs w:val="24"/>
        </w:rPr>
        <w:t xml:space="preserve"> The Commission may include in the notice any recommendation for preventing a repetition of the act or a continuation of the practice.</w:t>
      </w:r>
      <w:r w:rsidRPr="00AB4037">
        <w:rPr>
          <w:rStyle w:val="EndnoteReference"/>
          <w:rFonts w:ascii="Open Sans" w:hAnsi="Open Sans" w:cs="Open Sans"/>
          <w:szCs w:val="24"/>
        </w:rPr>
        <w:endnoteReference w:id="29"/>
      </w:r>
      <w:r w:rsidRPr="00AB4037">
        <w:rPr>
          <w:rFonts w:cs="Open Sans"/>
          <w:szCs w:val="24"/>
        </w:rPr>
        <w:t xml:space="preserve"> The Commission may also recommend other action to remedy or reduce the loss or damage suffered by a person.</w:t>
      </w:r>
      <w:r w:rsidRPr="00AB4037">
        <w:rPr>
          <w:rStyle w:val="EndnoteReference"/>
          <w:rFonts w:ascii="Open Sans" w:hAnsi="Open Sans" w:cs="Open Sans"/>
          <w:szCs w:val="24"/>
        </w:rPr>
        <w:endnoteReference w:id="30"/>
      </w:r>
      <w:bookmarkEnd w:id="84"/>
    </w:p>
    <w:p w14:paraId="172289A1" w14:textId="77777777" w:rsidR="00A55F4E" w:rsidRDefault="00A55F4E">
      <w:pPr>
        <w:spacing w:after="0"/>
      </w:pPr>
      <w:r>
        <w:br w:type="page"/>
      </w:r>
    </w:p>
    <w:p w14:paraId="23069213" w14:textId="77777777" w:rsidR="00E0039D" w:rsidRPr="00BE224B" w:rsidRDefault="00E0039D" w:rsidP="00BE224B">
      <w:pPr>
        <w:pStyle w:val="ListParagraph"/>
        <w:numPr>
          <w:ilvl w:val="0"/>
          <w:numId w:val="29"/>
        </w:numPr>
        <w:spacing w:before="240"/>
        <w:contextualSpacing w:val="0"/>
        <w:rPr>
          <w:rFonts w:cs="Open Sans"/>
        </w:rPr>
      </w:pPr>
      <w:r w:rsidRPr="00AB4037">
        <w:rPr>
          <w:rFonts w:eastAsia="Arial" w:cs="Open Sans"/>
          <w:color w:val="231F20"/>
          <w:szCs w:val="24"/>
        </w:rPr>
        <w:lastRenderedPageBreak/>
        <w:t>The Minister’s guidelines on ministerial powers</w:t>
      </w:r>
      <w:r w:rsidRPr="00AB4037">
        <w:rPr>
          <w:rStyle w:val="EndnoteReference"/>
          <w:rFonts w:ascii="Open Sans" w:eastAsia="Arial" w:hAnsi="Open Sans" w:cs="Open Sans"/>
          <w:color w:val="231F20"/>
          <w:szCs w:val="24"/>
        </w:rPr>
        <w:endnoteReference w:id="31"/>
      </w:r>
      <w:r w:rsidRPr="00AB4037">
        <w:rPr>
          <w:rFonts w:eastAsia="Arial" w:cs="Open Sans"/>
          <w:color w:val="231F20"/>
          <w:szCs w:val="24"/>
        </w:rPr>
        <w:t xml:space="preserve"> outline cases that should and should not be brought to the Minister’s attention. Cases that have ‘unique or exceptional circumstances’ may be referred to the Minister. Unique or exceptional circumstances are defined to</w:t>
      </w:r>
      <w:r w:rsidRPr="00AB4037">
        <w:rPr>
          <w:rFonts w:eastAsia="Arial" w:cs="Open Sans"/>
          <w:color w:val="231F20"/>
          <w:spacing w:val="-18"/>
          <w:szCs w:val="24"/>
        </w:rPr>
        <w:t xml:space="preserve"> </w:t>
      </w:r>
      <w:r w:rsidRPr="00AB4037">
        <w:rPr>
          <w:rFonts w:eastAsia="Arial" w:cs="Open Sans"/>
          <w:color w:val="231F20"/>
          <w:szCs w:val="24"/>
        </w:rPr>
        <w:t>include:</w:t>
      </w:r>
    </w:p>
    <w:p w14:paraId="4E1E994D" w14:textId="77777777" w:rsidR="00E0039D" w:rsidRPr="00BE224B" w:rsidRDefault="00E0039D" w:rsidP="00BE224B">
      <w:pPr>
        <w:pStyle w:val="ListParagraph"/>
        <w:widowControl w:val="0"/>
        <w:numPr>
          <w:ilvl w:val="0"/>
          <w:numId w:val="57"/>
        </w:numPr>
        <w:tabs>
          <w:tab w:val="left" w:pos="1365"/>
        </w:tabs>
        <w:spacing w:before="114" w:line="249" w:lineRule="auto"/>
        <w:ind w:right="764" w:hanging="170"/>
        <w:contextualSpacing w:val="0"/>
        <w:rPr>
          <w:rFonts w:eastAsia="Arial" w:cs="Open Sans"/>
          <w:sz w:val="14"/>
          <w:szCs w:val="14"/>
        </w:rPr>
      </w:pPr>
      <w:r w:rsidRPr="00AB4037">
        <w:rPr>
          <w:rFonts w:cs="Open Sans"/>
          <w:color w:val="231F20"/>
        </w:rPr>
        <w:t>strong compassionate circumstances such that a failure to recognise them would result in irreparable harm and continuing hardship to an Australian citizen or an Australian family unit (where at least one member of the family is an Australian citizen or Australian permanent</w:t>
      </w:r>
      <w:r w:rsidRPr="00AB4037">
        <w:rPr>
          <w:rFonts w:cs="Open Sans"/>
          <w:color w:val="231F20"/>
          <w:spacing w:val="-11"/>
        </w:rPr>
        <w:t xml:space="preserve"> </w:t>
      </w:r>
      <w:r w:rsidRPr="00AB4037">
        <w:rPr>
          <w:rFonts w:cs="Open Sans"/>
          <w:color w:val="231F20"/>
        </w:rPr>
        <w:t>resident).</w:t>
      </w:r>
      <w:r w:rsidRPr="00AB4037">
        <w:rPr>
          <w:rStyle w:val="EndnoteReference"/>
          <w:rFonts w:ascii="Open Sans" w:hAnsi="Open Sans" w:cs="Open Sans"/>
          <w:color w:val="231F20"/>
        </w:rPr>
        <w:endnoteReference w:id="32"/>
      </w:r>
      <w:r w:rsidRPr="00AB4037">
        <w:rPr>
          <w:rFonts w:eastAsia="Arial" w:cs="Open Sans"/>
          <w:sz w:val="14"/>
          <w:szCs w:val="14"/>
        </w:rPr>
        <w:t xml:space="preserve"> </w:t>
      </w:r>
    </w:p>
    <w:p w14:paraId="06EBF3DF" w14:textId="77777777" w:rsidR="00E0039D" w:rsidRPr="00BE224B" w:rsidRDefault="00E0039D" w:rsidP="00BE224B">
      <w:pPr>
        <w:pStyle w:val="ListParagraph"/>
        <w:numPr>
          <w:ilvl w:val="0"/>
          <w:numId w:val="29"/>
        </w:numPr>
        <w:spacing w:before="240"/>
        <w:contextualSpacing w:val="0"/>
        <w:rPr>
          <w:rFonts w:eastAsia="Arial" w:cs="Open Sans"/>
          <w:color w:val="231F20"/>
          <w:szCs w:val="24"/>
        </w:rPr>
      </w:pPr>
      <w:r w:rsidRPr="00AB4037">
        <w:rPr>
          <w:rFonts w:eastAsia="Arial" w:cs="Open Sans"/>
          <w:color w:val="231F20"/>
          <w:szCs w:val="24"/>
        </w:rPr>
        <w:t>I note that listed under cases that should not be referred to the Minister include where the ‘person has left Australia’.</w:t>
      </w:r>
    </w:p>
    <w:p w14:paraId="24F75DC6" w14:textId="77777777" w:rsidR="00E0039D" w:rsidRPr="00BE224B" w:rsidRDefault="00E0039D" w:rsidP="00BE224B">
      <w:pPr>
        <w:pStyle w:val="ListParagraph"/>
        <w:numPr>
          <w:ilvl w:val="0"/>
          <w:numId w:val="29"/>
        </w:numPr>
        <w:spacing w:before="240"/>
        <w:contextualSpacing w:val="0"/>
        <w:rPr>
          <w:rFonts w:eastAsia="Arial" w:cs="Open Sans"/>
          <w:sz w:val="14"/>
          <w:szCs w:val="14"/>
        </w:rPr>
      </w:pPr>
      <w:r w:rsidRPr="00AB4037">
        <w:rPr>
          <w:rFonts w:eastAsia="Arial" w:cs="Open Sans"/>
          <w:color w:val="231F20"/>
          <w:szCs w:val="24"/>
        </w:rPr>
        <w:t>The guidelines anticipate that the department may refer a matter back to the Minister for reconsideration of the use of his or her public interest powers in certain circumstances, in particular, where a matter raises ‘unique or exceptional’ circumstances.</w:t>
      </w:r>
    </w:p>
    <w:p w14:paraId="40D52B67" w14:textId="77777777" w:rsidR="00E0039D" w:rsidRPr="00BE224B" w:rsidRDefault="00E0039D" w:rsidP="00BE224B">
      <w:pPr>
        <w:pStyle w:val="ListParagraph"/>
        <w:numPr>
          <w:ilvl w:val="0"/>
          <w:numId w:val="29"/>
        </w:numPr>
        <w:spacing w:before="240"/>
        <w:contextualSpacing w:val="0"/>
        <w:rPr>
          <w:rFonts w:eastAsia="Arial" w:cs="Open Sans"/>
          <w:color w:val="231F20"/>
          <w:szCs w:val="24"/>
        </w:rPr>
      </w:pPr>
      <w:r w:rsidRPr="00AB4037">
        <w:rPr>
          <w:rFonts w:eastAsia="Arial" w:cs="Open Sans"/>
          <w:color w:val="231F20"/>
          <w:szCs w:val="24"/>
        </w:rPr>
        <w:t xml:space="preserve">I note that the Department may be inclined not to refer the case back to the Minister because Ms HM has left Australia. However, I consider the continuing hardship on Master YM who is currently completing secondary school alone while living in </w:t>
      </w:r>
      <w:r w:rsidRPr="00AB4037">
        <w:rPr>
          <w:rFonts w:cs="Open Sans"/>
          <w:szCs w:val="24"/>
        </w:rPr>
        <w:t xml:space="preserve">Youth Off the Streets accommodation </w:t>
      </w:r>
      <w:r w:rsidRPr="00AB4037">
        <w:rPr>
          <w:rFonts w:eastAsia="Arial" w:cs="Open Sans"/>
          <w:color w:val="231F20"/>
          <w:szCs w:val="24"/>
        </w:rPr>
        <w:t>give rise to strong compelling circumstances warranting referral to the Minister.</w:t>
      </w:r>
    </w:p>
    <w:p w14:paraId="4CEEEA48" w14:textId="77777777" w:rsidR="00E0039D" w:rsidRPr="000E02F7" w:rsidRDefault="00E0039D" w:rsidP="00BE224B">
      <w:pPr>
        <w:pStyle w:val="ListParagraph"/>
        <w:numPr>
          <w:ilvl w:val="0"/>
          <w:numId w:val="29"/>
        </w:numPr>
        <w:spacing w:before="240"/>
        <w:contextualSpacing w:val="0"/>
        <w:rPr>
          <w:rFonts w:cs="Open Sans"/>
        </w:rPr>
      </w:pPr>
      <w:r w:rsidRPr="00AB4037">
        <w:rPr>
          <w:rFonts w:cs="Open Sans"/>
          <w:szCs w:val="24"/>
        </w:rPr>
        <w:t>Accordingly, I recommend that the department refer the matter back to the current Minister for further consideration of the use of his public interest powers. I further recommend that the Minister consider exercising his powers in a manner consistent with the findings set out in this report.</w:t>
      </w:r>
    </w:p>
    <w:p w14:paraId="049E9A29" w14:textId="77777777" w:rsidR="000E02F7" w:rsidRDefault="000E02F7">
      <w:pPr>
        <w:spacing w:after="0"/>
      </w:pPr>
      <w:r>
        <w:br w:type="page"/>
      </w:r>
    </w:p>
    <w:p w14:paraId="538CCDBE" w14:textId="77777777" w:rsidR="00F8147F" w:rsidRPr="00AB4037" w:rsidRDefault="00F8147F" w:rsidP="00E0039D">
      <w:pPr>
        <w:pStyle w:val="Heading1"/>
        <w:rPr>
          <w:rFonts w:cs="Open Sans"/>
        </w:rPr>
      </w:pPr>
      <w:bookmarkStart w:id="85" w:name="_Toc535564754"/>
      <w:r w:rsidRPr="00AB4037">
        <w:rPr>
          <w:rFonts w:cs="Open Sans"/>
        </w:rPr>
        <w:lastRenderedPageBreak/>
        <w:t>The department’s response to my findings and recommendations</w:t>
      </w:r>
      <w:bookmarkEnd w:id="85"/>
    </w:p>
    <w:p w14:paraId="5BBDCA5D" w14:textId="77777777" w:rsidR="00F8147F" w:rsidRDefault="00F8147F" w:rsidP="00BA7D1F">
      <w:pPr>
        <w:pStyle w:val="ListParagraph"/>
        <w:widowControl w:val="0"/>
        <w:numPr>
          <w:ilvl w:val="0"/>
          <w:numId w:val="29"/>
        </w:numPr>
        <w:tabs>
          <w:tab w:val="left" w:pos="797"/>
          <w:tab w:val="left" w:pos="798"/>
        </w:tabs>
        <w:autoSpaceDE w:val="0"/>
        <w:autoSpaceDN w:val="0"/>
        <w:spacing w:before="240"/>
        <w:contextualSpacing w:val="0"/>
        <w:rPr>
          <w:rFonts w:cs="Open Sans"/>
        </w:rPr>
      </w:pPr>
      <w:r w:rsidRPr="0096513B">
        <w:rPr>
          <w:rFonts w:cs="Open Sans"/>
        </w:rPr>
        <w:t xml:space="preserve">On </w:t>
      </w:r>
      <w:r w:rsidR="00433680" w:rsidRPr="0096513B">
        <w:rPr>
          <w:rFonts w:cs="Open Sans"/>
        </w:rPr>
        <w:t>17 September</w:t>
      </w:r>
      <w:r w:rsidRPr="0096513B">
        <w:rPr>
          <w:rFonts w:cs="Open Sans"/>
        </w:rPr>
        <w:t xml:space="preserve"> 2018, I provided the department with a notice of my findings and recommendations in respect of </w:t>
      </w:r>
      <w:r w:rsidR="00881C4C" w:rsidRPr="0096513B">
        <w:rPr>
          <w:rFonts w:cs="Open Sans"/>
        </w:rPr>
        <w:t>Ms HM and Master YM’s</w:t>
      </w:r>
      <w:r w:rsidRPr="0096513B">
        <w:rPr>
          <w:rFonts w:cs="Open Sans"/>
        </w:rPr>
        <w:t xml:space="preserve"> complaint.</w:t>
      </w:r>
    </w:p>
    <w:p w14:paraId="1B09318C" w14:textId="77777777" w:rsidR="00F8147F" w:rsidRPr="00AB4037" w:rsidRDefault="00F8147F" w:rsidP="0096513B">
      <w:pPr>
        <w:pStyle w:val="ListParagraph"/>
        <w:keepNext/>
        <w:numPr>
          <w:ilvl w:val="0"/>
          <w:numId w:val="29"/>
        </w:numPr>
        <w:tabs>
          <w:tab w:val="left" w:pos="797"/>
          <w:tab w:val="left" w:pos="798"/>
        </w:tabs>
        <w:autoSpaceDE w:val="0"/>
        <w:autoSpaceDN w:val="0"/>
        <w:spacing w:before="240"/>
        <w:contextualSpacing w:val="0"/>
        <w:rPr>
          <w:rFonts w:cs="Open Sans"/>
        </w:rPr>
      </w:pPr>
      <w:r w:rsidRPr="00AB4037">
        <w:rPr>
          <w:rFonts w:cs="Open Sans"/>
        </w:rPr>
        <w:t xml:space="preserve">On 10 </w:t>
      </w:r>
      <w:r w:rsidR="00E0039D" w:rsidRPr="00AB4037">
        <w:rPr>
          <w:rFonts w:cs="Open Sans"/>
        </w:rPr>
        <w:t>October</w:t>
      </w:r>
      <w:r w:rsidRPr="00AB4037">
        <w:rPr>
          <w:rFonts w:cs="Open Sans"/>
        </w:rPr>
        <w:t xml:space="preserve"> 2018, the department provided the following response to my findings and recommendations: </w:t>
      </w:r>
    </w:p>
    <w:p w14:paraId="4ABE8094" w14:textId="77777777" w:rsidR="009F7FC1" w:rsidRDefault="00F8147F" w:rsidP="009F7FC1">
      <w:pPr>
        <w:pStyle w:val="ListParagraph"/>
        <w:tabs>
          <w:tab w:val="left" w:pos="1276"/>
        </w:tabs>
        <w:spacing w:before="240"/>
        <w:ind w:left="1276"/>
        <w:contextualSpacing w:val="0"/>
        <w:rPr>
          <w:rFonts w:cs="Open Sans"/>
          <w:sz w:val="22"/>
          <w:szCs w:val="24"/>
        </w:rPr>
      </w:pPr>
      <w:r w:rsidRPr="00AB4037">
        <w:rPr>
          <w:rFonts w:cs="Open Sans"/>
          <w:sz w:val="22"/>
          <w:szCs w:val="24"/>
        </w:rPr>
        <w:t>The Department notes the findings of the AHRC in this case.</w:t>
      </w:r>
    </w:p>
    <w:p w14:paraId="09579ADD" w14:textId="77777777" w:rsidR="00775F2F" w:rsidRDefault="009F7FC1" w:rsidP="00775F2F">
      <w:pPr>
        <w:pStyle w:val="ListParagraph"/>
        <w:tabs>
          <w:tab w:val="left" w:pos="1276"/>
        </w:tabs>
        <w:spacing w:before="240"/>
        <w:ind w:left="1276"/>
        <w:contextualSpacing w:val="0"/>
        <w:rPr>
          <w:rFonts w:cs="Open Sans"/>
          <w:sz w:val="22"/>
          <w:szCs w:val="24"/>
        </w:rPr>
      </w:pPr>
      <w:r w:rsidRPr="009F7FC1">
        <w:rPr>
          <w:rFonts w:cs="Open Sans"/>
          <w:sz w:val="22"/>
          <w:szCs w:val="24"/>
        </w:rPr>
        <w:t>The Department takes its international obligations under the ICCPR seriously. Any submission to a relevant Minister for exercise of the public interest powers under section 417 of the Migration Act 1958 encompasses a range of matters including a person's immigration history, family disposition, connections to Australia and overseas as well as relevant international obligations.</w:t>
      </w:r>
    </w:p>
    <w:p w14:paraId="00DCD5BF" w14:textId="77777777" w:rsidR="00775F2F" w:rsidRPr="00D15FB7" w:rsidRDefault="00775F2F" w:rsidP="00775F2F">
      <w:pPr>
        <w:pStyle w:val="ListParagraph"/>
        <w:tabs>
          <w:tab w:val="left" w:pos="1276"/>
        </w:tabs>
        <w:spacing w:before="240"/>
        <w:ind w:left="1276"/>
        <w:contextualSpacing w:val="0"/>
        <w:rPr>
          <w:rFonts w:cs="Open Sans"/>
          <w:sz w:val="22"/>
          <w:szCs w:val="24"/>
        </w:rPr>
      </w:pPr>
      <w:r w:rsidRPr="00D15FB7">
        <w:rPr>
          <w:rFonts w:cs="Open Sans"/>
          <w:sz w:val="22"/>
          <w:szCs w:val="24"/>
        </w:rPr>
        <w:t>The decisions are made at the discretion of the deciding Minister, who deems what is in the public interest at the time of decision. The former Assistant Minister decided that it was not in the public interest to intervene in Ms HM's case, taking into consideration a range of primary considerations as it was within her personal power to do. In these particular circumstances the Department maintains that the decision of the then Assistant Minister is not an arbitrary interference with the family.</w:t>
      </w:r>
    </w:p>
    <w:p w14:paraId="3300C279" w14:textId="77777777" w:rsidR="00775F2F" w:rsidRPr="00D15FB7" w:rsidRDefault="00775F2F" w:rsidP="00775F2F">
      <w:pPr>
        <w:pStyle w:val="ListParagraph"/>
        <w:tabs>
          <w:tab w:val="left" w:pos="1276"/>
        </w:tabs>
        <w:spacing w:before="240"/>
        <w:ind w:left="1276"/>
        <w:contextualSpacing w:val="0"/>
        <w:rPr>
          <w:rFonts w:cs="Open Sans"/>
          <w:sz w:val="22"/>
          <w:szCs w:val="24"/>
        </w:rPr>
      </w:pPr>
      <w:r w:rsidRPr="00D15FB7">
        <w:rPr>
          <w:rFonts w:cs="Open Sans"/>
          <w:sz w:val="22"/>
          <w:szCs w:val="24"/>
        </w:rPr>
        <w:t>Ms HM consequently departed Australia and decided that her then minor Australian citizen son, Master YM, should continue residing in Australia. Master YM was free to depart with his mother, noting that the Department and the Australian Government have no power to compel an Australian citizen to depart Australia. There are no obvious barriers to Master YM reuniting with his family overseas.</w:t>
      </w:r>
    </w:p>
    <w:p w14:paraId="3F317DBD" w14:textId="77777777" w:rsidR="009F4456" w:rsidRPr="00D15FB7" w:rsidRDefault="0005031F" w:rsidP="009F4456">
      <w:pPr>
        <w:pStyle w:val="ListParagraph"/>
        <w:tabs>
          <w:tab w:val="left" w:pos="1276"/>
        </w:tabs>
        <w:spacing w:before="240"/>
        <w:ind w:left="1276"/>
        <w:contextualSpacing w:val="0"/>
        <w:rPr>
          <w:rFonts w:cs="Open Sans"/>
          <w:sz w:val="22"/>
          <w:szCs w:val="24"/>
        </w:rPr>
      </w:pPr>
      <w:r w:rsidRPr="00D15FB7">
        <w:rPr>
          <w:rFonts w:cs="Open Sans"/>
          <w:sz w:val="22"/>
          <w:szCs w:val="24"/>
        </w:rPr>
        <w:t>…</w:t>
      </w:r>
    </w:p>
    <w:p w14:paraId="68B1A292" w14:textId="77777777" w:rsidR="009F4456" w:rsidRPr="00D15FB7" w:rsidRDefault="009F4456" w:rsidP="009F4456">
      <w:pPr>
        <w:pStyle w:val="ListParagraph"/>
        <w:tabs>
          <w:tab w:val="left" w:pos="1276"/>
        </w:tabs>
        <w:spacing w:before="240"/>
        <w:ind w:left="1276"/>
        <w:contextualSpacing w:val="0"/>
        <w:rPr>
          <w:rFonts w:cs="Open Sans"/>
          <w:sz w:val="22"/>
          <w:szCs w:val="24"/>
        </w:rPr>
      </w:pPr>
      <w:r w:rsidRPr="00D15FB7">
        <w:rPr>
          <w:rFonts w:cs="Open Sans"/>
          <w:sz w:val="22"/>
          <w:szCs w:val="24"/>
        </w:rPr>
        <w:t>The Department does not accept the findings that the Department's 2015 submission failed to take account of Master YM's best interests as a primary consideration on the basis of relevant information contemporaneous to the referral, contrary to article 3 of the CRC.</w:t>
      </w:r>
    </w:p>
    <w:p w14:paraId="01B6BA92" w14:textId="77777777" w:rsidR="009F4456" w:rsidRPr="00D15FB7" w:rsidRDefault="009F4456" w:rsidP="009F4456">
      <w:pPr>
        <w:pStyle w:val="ListParagraph"/>
        <w:tabs>
          <w:tab w:val="left" w:pos="1276"/>
        </w:tabs>
        <w:spacing w:before="240"/>
        <w:ind w:left="1276"/>
        <w:contextualSpacing w:val="0"/>
        <w:rPr>
          <w:rFonts w:cs="Open Sans"/>
          <w:sz w:val="22"/>
          <w:szCs w:val="24"/>
        </w:rPr>
      </w:pPr>
      <w:r w:rsidRPr="00D15FB7">
        <w:rPr>
          <w:rFonts w:cs="Open Sans"/>
          <w:sz w:val="22"/>
          <w:szCs w:val="24"/>
        </w:rPr>
        <w:t>The Department provides a Minister with an assessment of Australia's international obligations when a case is presented for initial consideration on a submission, this being the substantive document that contains the detailed history, claims and circumstances of a case. This same document is presented again when a case is ready for decision.</w:t>
      </w:r>
    </w:p>
    <w:p w14:paraId="5A202C5C" w14:textId="77777777" w:rsidR="00BA7D1F" w:rsidRDefault="00BA7D1F" w:rsidP="009F4456">
      <w:pPr>
        <w:pStyle w:val="ListParagraph"/>
        <w:tabs>
          <w:tab w:val="left" w:pos="1276"/>
        </w:tabs>
        <w:spacing w:before="240"/>
        <w:ind w:left="1276"/>
        <w:contextualSpacing w:val="0"/>
        <w:rPr>
          <w:rFonts w:cs="Open Sans"/>
          <w:sz w:val="22"/>
          <w:szCs w:val="24"/>
        </w:rPr>
      </w:pPr>
    </w:p>
    <w:p w14:paraId="1F529D8B" w14:textId="77777777" w:rsidR="009F4456" w:rsidRDefault="009F4456" w:rsidP="009F4456">
      <w:pPr>
        <w:pStyle w:val="ListParagraph"/>
        <w:tabs>
          <w:tab w:val="left" w:pos="1276"/>
        </w:tabs>
        <w:spacing w:before="240"/>
        <w:ind w:left="1276"/>
        <w:contextualSpacing w:val="0"/>
        <w:rPr>
          <w:rFonts w:cs="Open Sans"/>
          <w:sz w:val="22"/>
          <w:szCs w:val="24"/>
        </w:rPr>
      </w:pPr>
      <w:r w:rsidRPr="00D15FB7">
        <w:rPr>
          <w:rFonts w:cs="Open Sans"/>
          <w:sz w:val="22"/>
          <w:szCs w:val="24"/>
        </w:rPr>
        <w:lastRenderedPageBreak/>
        <w:t>At the point of decision, it is the Department's practice to inform a Minister of any material changes in circumstances, or significant new claims that a person or their representative chooses to provide to the Department while the case has been prepared for the decision stage.</w:t>
      </w:r>
    </w:p>
    <w:p w14:paraId="3F7298FD" w14:textId="77777777" w:rsidR="009F4456" w:rsidRPr="00D15FB7" w:rsidRDefault="009F4456" w:rsidP="009F4456">
      <w:pPr>
        <w:pStyle w:val="ListParagraph"/>
        <w:tabs>
          <w:tab w:val="left" w:pos="1276"/>
        </w:tabs>
        <w:spacing w:before="240"/>
        <w:ind w:left="1276"/>
        <w:contextualSpacing w:val="0"/>
        <w:rPr>
          <w:rFonts w:cs="Open Sans"/>
          <w:sz w:val="22"/>
          <w:szCs w:val="24"/>
        </w:rPr>
      </w:pPr>
      <w:r w:rsidRPr="00D15FB7">
        <w:rPr>
          <w:rFonts w:cs="Open Sans"/>
          <w:sz w:val="22"/>
          <w:szCs w:val="24"/>
        </w:rPr>
        <w:t>At the time of decision in Ms HM's case, her Australian citizen son remained a minor and there was no updated information provided by the family to suggest that, with the passage of time, additional CRC or ICCPR assessments were necessary.</w:t>
      </w:r>
    </w:p>
    <w:p w14:paraId="2A64044B" w14:textId="77777777" w:rsidR="009F4456" w:rsidRDefault="009F4456" w:rsidP="009F4456">
      <w:pPr>
        <w:pStyle w:val="ListParagraph"/>
        <w:tabs>
          <w:tab w:val="left" w:pos="1276"/>
        </w:tabs>
        <w:spacing w:before="240"/>
        <w:ind w:left="1276"/>
        <w:contextualSpacing w:val="0"/>
        <w:rPr>
          <w:rFonts w:cs="Open Sans"/>
          <w:sz w:val="22"/>
          <w:szCs w:val="24"/>
        </w:rPr>
      </w:pPr>
      <w:r w:rsidRPr="00D15FB7">
        <w:rPr>
          <w:rFonts w:cs="Open Sans"/>
          <w:sz w:val="22"/>
          <w:szCs w:val="24"/>
        </w:rPr>
        <w:t>It is the Department's view that introduction of a new process of undertaking an assessment against the relevant international obligations at both stages of processing, without clear reason for repeating that assessment, would impose an administrative burden of information collection which is inconsistent with the efficient management of this caseload.</w:t>
      </w:r>
    </w:p>
    <w:p w14:paraId="5A0577AD" w14:textId="77777777" w:rsidR="00046397" w:rsidRPr="00046397" w:rsidRDefault="00046397" w:rsidP="00046397">
      <w:pPr>
        <w:pStyle w:val="ListParagraph"/>
        <w:tabs>
          <w:tab w:val="left" w:pos="1276"/>
        </w:tabs>
        <w:spacing w:before="240"/>
        <w:ind w:left="1276"/>
        <w:contextualSpacing w:val="0"/>
        <w:rPr>
          <w:rFonts w:cs="Open Sans"/>
          <w:sz w:val="22"/>
          <w:szCs w:val="24"/>
        </w:rPr>
      </w:pPr>
      <w:r w:rsidRPr="00D15FB7">
        <w:rPr>
          <w:rFonts w:cs="Open Sans"/>
          <w:sz w:val="22"/>
          <w:szCs w:val="24"/>
        </w:rPr>
        <w:t>…</w:t>
      </w:r>
    </w:p>
    <w:p w14:paraId="1ECD1E29" w14:textId="77777777" w:rsidR="00967C1F" w:rsidRDefault="00046397" w:rsidP="00967C1F">
      <w:pPr>
        <w:pStyle w:val="ListParagraph"/>
        <w:tabs>
          <w:tab w:val="left" w:pos="1276"/>
        </w:tabs>
        <w:spacing w:before="240"/>
        <w:ind w:left="1276"/>
        <w:contextualSpacing w:val="0"/>
        <w:rPr>
          <w:rFonts w:cs="Open Sans"/>
          <w:b/>
          <w:sz w:val="22"/>
          <w:szCs w:val="24"/>
        </w:rPr>
      </w:pPr>
      <w:r>
        <w:rPr>
          <w:rFonts w:cs="Open Sans"/>
          <w:b/>
          <w:sz w:val="22"/>
          <w:szCs w:val="24"/>
        </w:rPr>
        <w:t>Department’s R</w:t>
      </w:r>
      <w:r w:rsidR="00F8147F" w:rsidRPr="00AB4037">
        <w:rPr>
          <w:rFonts w:cs="Open Sans"/>
          <w:b/>
          <w:sz w:val="22"/>
          <w:szCs w:val="24"/>
        </w:rPr>
        <w:t>esponse to Recommendation 1</w:t>
      </w:r>
    </w:p>
    <w:p w14:paraId="3E0ADD77" w14:textId="77777777" w:rsidR="00967C1F" w:rsidRPr="00C013B9" w:rsidRDefault="00967C1F" w:rsidP="00967C1F">
      <w:pPr>
        <w:pStyle w:val="ListParagraph"/>
        <w:tabs>
          <w:tab w:val="left" w:pos="1276"/>
        </w:tabs>
        <w:spacing w:before="240"/>
        <w:ind w:left="1276"/>
        <w:contextualSpacing w:val="0"/>
        <w:rPr>
          <w:rFonts w:cs="Open Sans"/>
          <w:sz w:val="22"/>
          <w:szCs w:val="24"/>
        </w:rPr>
      </w:pPr>
      <w:r w:rsidRPr="00C013B9">
        <w:rPr>
          <w:rFonts w:cs="Open Sans"/>
          <w:sz w:val="22"/>
          <w:szCs w:val="24"/>
        </w:rPr>
        <w:t>Although Master YM is no longer a minor and does not engage CRC obligations, Master YM's continuing hardship raises strong compassionate circumstances. The Department will therefore prepare a section 417 submission for Ms HM for the Minister's consideration.</w:t>
      </w:r>
    </w:p>
    <w:p w14:paraId="41DEFE83" w14:textId="77777777" w:rsidR="00967C1F" w:rsidRPr="00C013B9" w:rsidRDefault="00967C1F" w:rsidP="00967C1F">
      <w:pPr>
        <w:pStyle w:val="ListParagraph"/>
        <w:tabs>
          <w:tab w:val="left" w:pos="1276"/>
        </w:tabs>
        <w:spacing w:before="240"/>
        <w:ind w:left="1276"/>
        <w:contextualSpacing w:val="0"/>
        <w:rPr>
          <w:rFonts w:cs="Open Sans"/>
          <w:sz w:val="22"/>
          <w:szCs w:val="24"/>
        </w:rPr>
      </w:pPr>
      <w:r w:rsidRPr="00C013B9">
        <w:rPr>
          <w:rFonts w:cs="Open Sans"/>
          <w:sz w:val="22"/>
          <w:szCs w:val="24"/>
        </w:rPr>
        <w:t>The Department notes that the Minister's intervention powers under section 417 of the Act allows him to grant a visa to a person, if he thinks it is in the public interest to do so. The Minister's public interest powers are non-delegable and non-compellable and he is not required to exercise or consider exercising his power. Further, what is in the public interest is a matter for the Minister to determine.</w:t>
      </w:r>
    </w:p>
    <w:p w14:paraId="22D6D117" w14:textId="77777777" w:rsidR="00824151" w:rsidRDefault="00967C1F" w:rsidP="00824151">
      <w:pPr>
        <w:pStyle w:val="ListParagraph"/>
        <w:tabs>
          <w:tab w:val="left" w:pos="1276"/>
        </w:tabs>
        <w:spacing w:before="240"/>
        <w:ind w:left="1276"/>
        <w:contextualSpacing w:val="0"/>
        <w:rPr>
          <w:rFonts w:cs="Open Sans"/>
          <w:b/>
          <w:sz w:val="22"/>
          <w:szCs w:val="24"/>
        </w:rPr>
      </w:pPr>
      <w:r>
        <w:rPr>
          <w:rFonts w:cs="Open Sans"/>
          <w:b/>
          <w:sz w:val="22"/>
          <w:szCs w:val="24"/>
        </w:rPr>
        <w:t>Department’s Response to Recommendation 2</w:t>
      </w:r>
    </w:p>
    <w:p w14:paraId="26202F9B" w14:textId="77777777" w:rsidR="00824151" w:rsidRDefault="00824151" w:rsidP="00824151">
      <w:pPr>
        <w:pStyle w:val="ListParagraph"/>
        <w:tabs>
          <w:tab w:val="left" w:pos="1276"/>
        </w:tabs>
        <w:spacing w:before="240"/>
        <w:ind w:left="1276"/>
        <w:contextualSpacing w:val="0"/>
        <w:rPr>
          <w:rFonts w:cs="Open Sans"/>
          <w:sz w:val="22"/>
          <w:szCs w:val="24"/>
        </w:rPr>
      </w:pPr>
      <w:r w:rsidRPr="00824151">
        <w:rPr>
          <w:rFonts w:cs="Open Sans"/>
          <w:sz w:val="22"/>
          <w:szCs w:val="24"/>
        </w:rPr>
        <w:t>As noted in the response to recommendation 1, the Minister's intervention powers under section 417 of the Act allows him to grant a visa to a person, if he thinks it is in the public interest to do so. The Minister's public interest powers are non-delegable and non-compellable and he is not required to exercise or consider exercising his power. Further, what is in the public interest is a matter for the Minister to determine.</w:t>
      </w:r>
    </w:p>
    <w:p w14:paraId="3BCF1564" w14:textId="77777777" w:rsidR="0096513B" w:rsidRPr="0096513B" w:rsidRDefault="0096513B" w:rsidP="0096513B">
      <w:pPr>
        <w:rPr>
          <w:rFonts w:cs="Open Sans"/>
          <w:sz w:val="22"/>
          <w:szCs w:val="24"/>
        </w:rPr>
      </w:pPr>
      <w:r>
        <w:rPr>
          <w:rFonts w:cs="Open Sans"/>
          <w:sz w:val="22"/>
          <w:szCs w:val="24"/>
        </w:rPr>
        <w:br w:type="page"/>
      </w:r>
    </w:p>
    <w:p w14:paraId="12746D21" w14:textId="77777777" w:rsidR="00F8147F" w:rsidRPr="00AB4037" w:rsidRDefault="00F8147F" w:rsidP="00BA7D1F">
      <w:pPr>
        <w:pStyle w:val="ListParagraph"/>
        <w:widowControl w:val="0"/>
        <w:numPr>
          <w:ilvl w:val="0"/>
          <w:numId w:val="29"/>
        </w:numPr>
        <w:tabs>
          <w:tab w:val="left" w:pos="797"/>
          <w:tab w:val="left" w:pos="798"/>
        </w:tabs>
        <w:autoSpaceDE w:val="0"/>
        <w:autoSpaceDN w:val="0"/>
        <w:spacing w:before="240"/>
        <w:contextualSpacing w:val="0"/>
        <w:rPr>
          <w:rFonts w:cs="Open Sans"/>
        </w:rPr>
      </w:pPr>
      <w:r w:rsidRPr="00AB4037">
        <w:rPr>
          <w:rFonts w:cs="Open Sans"/>
        </w:rPr>
        <w:lastRenderedPageBreak/>
        <w:t>I report accordingly to the Attorney-General.</w:t>
      </w:r>
    </w:p>
    <w:p w14:paraId="178B4FA0" w14:textId="47D44DD3" w:rsidR="005E17AA" w:rsidRDefault="005E17AA" w:rsidP="00F8147F">
      <w:pPr>
        <w:pStyle w:val="BodyText"/>
        <w:spacing w:before="240"/>
        <w:contextualSpacing/>
        <w:rPr>
          <w:rFonts w:cs="Open Sans"/>
          <w:sz w:val="26"/>
        </w:rPr>
      </w:pPr>
      <w:bookmarkStart w:id="86" w:name="_GoBack"/>
      <w:bookmarkEnd w:id="86"/>
    </w:p>
    <w:p w14:paraId="567A6F49" w14:textId="77777777" w:rsidR="00F8147F" w:rsidRPr="00AB4037" w:rsidRDefault="00F8147F" w:rsidP="00BA7D1F">
      <w:pPr>
        <w:keepLines/>
        <w:widowControl w:val="0"/>
        <w:autoSpaceDE w:val="0"/>
        <w:autoSpaceDN w:val="0"/>
        <w:contextualSpacing/>
        <w:rPr>
          <w:rFonts w:eastAsia="Arial" w:cs="Open Sans"/>
          <w:spacing w:val="0"/>
          <w:szCs w:val="24"/>
        </w:rPr>
      </w:pPr>
      <w:r w:rsidRPr="00AB4037">
        <w:rPr>
          <w:rFonts w:eastAsia="Arial" w:cs="Open Sans"/>
          <w:spacing w:val="0"/>
          <w:szCs w:val="24"/>
        </w:rPr>
        <w:t>Emeritus Professor Rosalind Croucher AM</w:t>
      </w:r>
    </w:p>
    <w:p w14:paraId="320C2C45" w14:textId="77777777" w:rsidR="00C827D1" w:rsidRDefault="00C827D1" w:rsidP="00BA7D1F">
      <w:pPr>
        <w:keepLines/>
        <w:widowControl w:val="0"/>
        <w:autoSpaceDE w:val="0"/>
        <w:autoSpaceDN w:val="0"/>
        <w:ind w:right="4112"/>
        <w:contextualSpacing/>
        <w:rPr>
          <w:rFonts w:eastAsia="Arial" w:cs="Open Sans"/>
          <w:b/>
          <w:bCs/>
          <w:spacing w:val="0"/>
          <w:szCs w:val="24"/>
        </w:rPr>
      </w:pPr>
      <w:r>
        <w:rPr>
          <w:rFonts w:eastAsia="Arial" w:cs="Open Sans"/>
          <w:b/>
          <w:bCs/>
          <w:spacing w:val="0"/>
          <w:szCs w:val="24"/>
        </w:rPr>
        <w:t>President</w:t>
      </w:r>
    </w:p>
    <w:p w14:paraId="180B2A5C" w14:textId="77777777" w:rsidR="00F8147F" w:rsidRPr="00AB4037" w:rsidRDefault="00F8147F" w:rsidP="00BA7D1F">
      <w:pPr>
        <w:keepLines/>
        <w:widowControl w:val="0"/>
        <w:autoSpaceDE w:val="0"/>
        <w:autoSpaceDN w:val="0"/>
        <w:ind w:right="4111"/>
        <w:rPr>
          <w:rFonts w:eastAsia="Arial" w:cs="Open Sans"/>
          <w:spacing w:val="0"/>
          <w:szCs w:val="24"/>
        </w:rPr>
      </w:pPr>
      <w:r w:rsidRPr="00AB4037">
        <w:rPr>
          <w:rFonts w:eastAsia="Arial" w:cs="Open Sans"/>
          <w:spacing w:val="0"/>
          <w:szCs w:val="24"/>
        </w:rPr>
        <w:t>Australian Human Rights Commission</w:t>
      </w:r>
    </w:p>
    <w:p w14:paraId="7F64D659" w14:textId="3206047A" w:rsidR="008F3A9F" w:rsidRPr="00BA7D1F" w:rsidRDefault="00035CE4" w:rsidP="00BA7D1F">
      <w:pPr>
        <w:pStyle w:val="BodyText"/>
        <w:keepLines/>
        <w:ind w:right="5091"/>
        <w:contextualSpacing/>
        <w:rPr>
          <w:rFonts w:cs="Open Sans"/>
        </w:rPr>
      </w:pPr>
      <w:bookmarkStart w:id="87" w:name="_bookmark32"/>
      <w:bookmarkEnd w:id="87"/>
      <w:r>
        <w:rPr>
          <w:rFonts w:cs="Open Sans"/>
        </w:rPr>
        <w:t>October 2018</w:t>
      </w:r>
    </w:p>
    <w:p w14:paraId="5A8006BF" w14:textId="77777777" w:rsidR="00BE224B" w:rsidRDefault="00BE224B">
      <w:pPr>
        <w:spacing w:after="0"/>
        <w:rPr>
          <w:rFonts w:cs="Open Sans"/>
          <w:b/>
          <w:szCs w:val="24"/>
        </w:rPr>
      </w:pPr>
      <w:r>
        <w:rPr>
          <w:rFonts w:cs="Open Sans"/>
          <w:b/>
          <w:szCs w:val="24"/>
        </w:rPr>
        <w:br w:type="page"/>
      </w:r>
    </w:p>
    <w:p w14:paraId="7C8FB54F" w14:textId="77777777" w:rsidR="00E80287" w:rsidRPr="00AB4037" w:rsidRDefault="00BE224B" w:rsidP="008F3A9F">
      <w:pPr>
        <w:rPr>
          <w:rFonts w:cs="Open Sans"/>
          <w:b/>
          <w:szCs w:val="24"/>
        </w:rPr>
      </w:pPr>
      <w:r>
        <w:rPr>
          <w:rFonts w:cs="Open Sans"/>
          <w:b/>
          <w:szCs w:val="24"/>
        </w:rPr>
        <w:lastRenderedPageBreak/>
        <w:t>Endnotes</w:t>
      </w:r>
    </w:p>
    <w:sectPr w:rsidR="00E80287" w:rsidRPr="00AB4037" w:rsidSect="00BA7D1F">
      <w:footerReference w:type="default" r:id="rId20"/>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E40B7" w14:textId="77777777" w:rsidR="002C047E" w:rsidRDefault="002C047E" w:rsidP="00F14C6D">
      <w:r>
        <w:separator/>
      </w:r>
    </w:p>
  </w:endnote>
  <w:endnote w:type="continuationSeparator" w:id="0">
    <w:p w14:paraId="1F9BBE15" w14:textId="77777777" w:rsidR="002C047E" w:rsidRDefault="002C047E" w:rsidP="00F14C6D">
      <w:r>
        <w:continuationSeparator/>
      </w:r>
    </w:p>
  </w:endnote>
  <w:endnote w:id="1">
    <w:p w14:paraId="3FC19CC9" w14:textId="77777777" w:rsidR="00E0039D" w:rsidRPr="006A1268" w:rsidRDefault="00E0039D" w:rsidP="00E0039D">
      <w:pPr>
        <w:pStyle w:val="EndnoteText"/>
        <w:ind w:left="284" w:hanging="284"/>
        <w:contextualSpacing/>
        <w:rPr>
          <w:color w:val="000000"/>
          <w:spacing w:val="2"/>
          <w:lang w:eastAsia="en-AU"/>
        </w:rPr>
      </w:pPr>
      <w:r w:rsidRPr="00960F13">
        <w:rPr>
          <w:rStyle w:val="EndnoteReference"/>
        </w:rPr>
        <w:endnoteRef/>
      </w:r>
      <w:r w:rsidRPr="006A1268">
        <w:tab/>
      </w:r>
      <w:r w:rsidRPr="006A1268">
        <w:rPr>
          <w:i/>
        </w:rPr>
        <w:t>Convention on the Rights of the Child</w:t>
      </w:r>
      <w:r w:rsidRPr="006A1268">
        <w:t>, opened for signature 20 November 1989, 1577 UNTS 3 (entered into force 2 September 1990)</w:t>
      </w:r>
      <w:r w:rsidRPr="006A1268">
        <w:rPr>
          <w:color w:val="000000"/>
          <w:spacing w:val="2"/>
          <w:shd w:val="clear" w:color="auto" w:fill="FFFFFF"/>
        </w:rPr>
        <w:t>.</w:t>
      </w:r>
    </w:p>
  </w:endnote>
  <w:endnote w:id="2">
    <w:p w14:paraId="01A88EAF" w14:textId="77777777" w:rsidR="00E0039D" w:rsidRPr="006A1268" w:rsidRDefault="00E0039D" w:rsidP="00E0039D">
      <w:pPr>
        <w:pStyle w:val="EndnoteText"/>
        <w:ind w:left="284" w:hanging="284"/>
        <w:contextualSpacing/>
      </w:pPr>
      <w:r w:rsidRPr="006A1268">
        <w:rPr>
          <w:rStyle w:val="EndnoteReference"/>
        </w:rPr>
        <w:endnoteRef/>
      </w:r>
      <w:r w:rsidRPr="006A1268">
        <w:tab/>
      </w:r>
      <w:r w:rsidRPr="006A1268">
        <w:rPr>
          <w:i/>
        </w:rPr>
        <w:t>International Covenant on Civil and Political Rights</w:t>
      </w:r>
      <w:r w:rsidRPr="006A1268">
        <w:t>, opened for signature 16 December 1966, 999 UNTS 171 (entered into force 23 March 1976).</w:t>
      </w:r>
    </w:p>
  </w:endnote>
  <w:endnote w:id="3">
    <w:p w14:paraId="3A7683E0" w14:textId="77777777" w:rsidR="00E0039D" w:rsidRPr="006A1268" w:rsidRDefault="00E0039D" w:rsidP="00E0039D">
      <w:pPr>
        <w:pStyle w:val="EndnoteText"/>
        <w:ind w:left="284" w:hanging="284"/>
        <w:contextualSpacing/>
        <w:rPr>
          <w:rStyle w:val="EndnoteReference"/>
          <w:rFonts w:cs="Arial"/>
          <w:i/>
        </w:rPr>
      </w:pPr>
      <w:r w:rsidRPr="006A1268">
        <w:rPr>
          <w:rStyle w:val="EndnoteReference"/>
          <w:rFonts w:cs="Arial"/>
        </w:rPr>
        <w:endnoteRef/>
      </w:r>
      <w:r w:rsidRPr="006A1268">
        <w:tab/>
        <w:t>The ICCPR is referred to in the definition of ‘human rights’ in s 3(1) of the AHRC Act.</w:t>
      </w:r>
      <w:r w:rsidRPr="006A1268">
        <w:rPr>
          <w:rStyle w:val="EndnoteReference"/>
          <w:rFonts w:cs="Arial"/>
        </w:rPr>
        <w:t xml:space="preserve"> </w:t>
      </w:r>
      <w:r w:rsidRPr="006A1268">
        <w:t xml:space="preserve">On 22 October 1992, the Attorney-General made a declaration under s 47 that the CRC is an international instrument relating to human rights and freedoms for the purposes of the AHRC Act: </w:t>
      </w:r>
      <w:r w:rsidRPr="006A1268">
        <w:rPr>
          <w:i/>
        </w:rPr>
        <w:t xml:space="preserve">Human Rights and Equal Opportunity Commission Act 1986 </w:t>
      </w:r>
      <w:r w:rsidR="002845A4">
        <w:rPr>
          <w:i/>
        </w:rPr>
        <w:t>–</w:t>
      </w:r>
      <w:r w:rsidRPr="006A1268">
        <w:rPr>
          <w:i/>
        </w:rPr>
        <w:t xml:space="preserve"> Declaration of the United Nations Convention on the Rights of the Child</w:t>
      </w:r>
      <w:r w:rsidRPr="006A1268">
        <w:t>.</w:t>
      </w:r>
    </w:p>
  </w:endnote>
  <w:endnote w:id="4">
    <w:p w14:paraId="6FADF9F8" w14:textId="77777777" w:rsidR="00E0039D" w:rsidRPr="006A1268" w:rsidRDefault="00E0039D" w:rsidP="00E0039D">
      <w:pPr>
        <w:pStyle w:val="EndnoteText"/>
        <w:ind w:left="284" w:hanging="284"/>
        <w:contextualSpacing/>
      </w:pPr>
      <w:r w:rsidRPr="006A1268">
        <w:rPr>
          <w:rStyle w:val="EndnoteReference"/>
        </w:rPr>
        <w:endnoteRef/>
      </w:r>
      <w:r w:rsidRPr="006A1268">
        <w:tab/>
        <w:t xml:space="preserve">See </w:t>
      </w:r>
      <w:r w:rsidRPr="006A1268">
        <w:rPr>
          <w:rStyle w:val="Emphasis"/>
        </w:rPr>
        <w:t>Secretary, Department of Defence v HREOC, Burgess &amp; Ors</w:t>
      </w:r>
      <w:r w:rsidRPr="006A1268">
        <w:rPr>
          <w:i/>
          <w:iCs/>
        </w:rPr>
        <w:t xml:space="preserve"> </w:t>
      </w:r>
      <w:r w:rsidRPr="006A1268">
        <w:t>(1997) 78 FCR 208, where Branson J found that the Commission could not, in conducting its inquiry, disregard the legal obligations of the secretary in exercising a statutory power. Note in particular 212-3 and 214-5.</w:t>
      </w:r>
    </w:p>
  </w:endnote>
  <w:endnote w:id="5">
    <w:p w14:paraId="005BA359" w14:textId="77777777" w:rsidR="00E0039D" w:rsidRPr="006A1268" w:rsidRDefault="00E0039D" w:rsidP="00E0039D">
      <w:pPr>
        <w:pStyle w:val="EndnoteText"/>
        <w:ind w:left="284" w:hanging="284"/>
        <w:contextualSpacing/>
      </w:pPr>
      <w:r w:rsidRPr="006A1268">
        <w:rPr>
          <w:rStyle w:val="EndnoteReference"/>
        </w:rPr>
        <w:endnoteRef/>
      </w:r>
      <w:r w:rsidRPr="006A1268">
        <w:tab/>
        <w:t xml:space="preserve">See </w:t>
      </w:r>
      <w:r w:rsidRPr="006A1268">
        <w:rPr>
          <w:i/>
        </w:rPr>
        <w:t xml:space="preserve">Plaintiff S10/2010 v Minister for Immigration and Citizenship </w:t>
      </w:r>
      <w:r w:rsidRPr="006A1268">
        <w:t>(Plaintiff S10) (2012) 246 CLR 636, 667-668 per Gummow, Hayne, Crennan and Bell JJ. See also the reasons of French CJ and Kiefel J in Plaintiff S10 at 648-649 [30] (and the authorities there referred to) and the reasons of Heydon J at 671 [113].</w:t>
      </w:r>
    </w:p>
  </w:endnote>
  <w:endnote w:id="6">
    <w:p w14:paraId="5696315F" w14:textId="77777777" w:rsidR="00E0039D" w:rsidRPr="00BF3B5F" w:rsidRDefault="00E0039D" w:rsidP="00E0039D">
      <w:pPr>
        <w:pStyle w:val="EndnoteText"/>
        <w:ind w:left="284" w:hanging="284"/>
        <w:contextualSpacing/>
      </w:pPr>
      <w:r w:rsidRPr="00BF3B5F">
        <w:rPr>
          <w:rStyle w:val="EndnoteReference"/>
        </w:rPr>
        <w:endnoteRef/>
      </w:r>
      <w:r w:rsidRPr="006A1268">
        <w:tab/>
      </w:r>
      <w:r w:rsidRPr="00BF3B5F">
        <w:t xml:space="preserve">Rachel Hodgkin and Peter Newell, UNICEF, </w:t>
      </w:r>
      <w:r w:rsidRPr="00BF3B5F">
        <w:rPr>
          <w:i/>
        </w:rPr>
        <w:t>UNICEF Implementation Handbook for the Convention on the Rights of the Child</w:t>
      </w:r>
      <w:r w:rsidRPr="00BF3B5F">
        <w:t xml:space="preserve"> (3</w:t>
      </w:r>
      <w:r w:rsidRPr="00BF3B5F">
        <w:rPr>
          <w:vertAlign w:val="superscript"/>
        </w:rPr>
        <w:t>rd</w:t>
      </w:r>
      <w:r w:rsidRPr="00BF3B5F">
        <w:t xml:space="preserve"> ed, 2007) 38.</w:t>
      </w:r>
    </w:p>
  </w:endnote>
  <w:endnote w:id="7">
    <w:p w14:paraId="5AF0F183" w14:textId="77777777" w:rsidR="00E0039D" w:rsidRPr="006A1268" w:rsidRDefault="00E0039D" w:rsidP="00E0039D">
      <w:pPr>
        <w:pStyle w:val="EndnoteText"/>
        <w:ind w:left="284" w:hanging="284"/>
        <w:contextualSpacing/>
      </w:pPr>
      <w:r w:rsidRPr="006A1268">
        <w:rPr>
          <w:rStyle w:val="EndnoteReference"/>
        </w:rPr>
        <w:endnoteRef/>
      </w:r>
      <w:r w:rsidRPr="006A1268">
        <w:tab/>
        <w:t>[2011] UKSC 4.</w:t>
      </w:r>
    </w:p>
  </w:endnote>
  <w:endnote w:id="8">
    <w:p w14:paraId="686E1B4F" w14:textId="77777777" w:rsidR="00E0039D" w:rsidRPr="006A1268" w:rsidRDefault="00E0039D" w:rsidP="00E0039D">
      <w:pPr>
        <w:pStyle w:val="EndnoteText"/>
        <w:ind w:left="284" w:hanging="284"/>
        <w:contextualSpacing/>
      </w:pPr>
      <w:r w:rsidRPr="006A1268">
        <w:rPr>
          <w:rStyle w:val="EndnoteReference"/>
        </w:rPr>
        <w:endnoteRef/>
      </w:r>
      <w:r w:rsidRPr="006A1268">
        <w:tab/>
        <w:t>[2011] UKSC 4, 15 [30], [32].</w:t>
      </w:r>
    </w:p>
  </w:endnote>
  <w:endnote w:id="9">
    <w:p w14:paraId="631A950A" w14:textId="77777777" w:rsidR="00E0039D" w:rsidRPr="006A1268" w:rsidRDefault="00E0039D" w:rsidP="00E0039D">
      <w:pPr>
        <w:pStyle w:val="EndnoteText"/>
        <w:ind w:left="284" w:hanging="284"/>
        <w:contextualSpacing/>
      </w:pPr>
      <w:r w:rsidRPr="006A1268">
        <w:rPr>
          <w:rStyle w:val="EndnoteReference"/>
        </w:rPr>
        <w:endnoteRef/>
      </w:r>
      <w:r w:rsidRPr="006A1268">
        <w:tab/>
      </w:r>
      <w:r w:rsidRPr="006A1268">
        <w:rPr>
          <w:i/>
        </w:rPr>
        <w:t xml:space="preserve">Vaitaiki, Tevita Musie v Minister for Immigration &amp; Ethnic Affairs </w:t>
      </w:r>
      <w:r w:rsidRPr="006A1268">
        <w:t>150 ALR 607.</w:t>
      </w:r>
    </w:p>
  </w:endnote>
  <w:endnote w:id="10">
    <w:p w14:paraId="0DD49DB1" w14:textId="77777777" w:rsidR="00E0039D" w:rsidRPr="006A1268" w:rsidRDefault="00E0039D" w:rsidP="00E0039D">
      <w:pPr>
        <w:pStyle w:val="EndnoteText"/>
        <w:ind w:left="284" w:hanging="284"/>
        <w:contextualSpacing/>
      </w:pPr>
      <w:r w:rsidRPr="006A1268">
        <w:rPr>
          <w:rStyle w:val="EndnoteReference"/>
        </w:rPr>
        <w:endnoteRef/>
      </w:r>
      <w:r w:rsidRPr="006A1268">
        <w:tab/>
      </w:r>
      <w:r w:rsidRPr="006A1268">
        <w:rPr>
          <w:i/>
        </w:rPr>
        <w:t>Wan v Minister for Immigration &amp; Multicultural Affairs</w:t>
      </w:r>
      <w:r w:rsidRPr="006A1268">
        <w:t xml:space="preserve"> (2001) 107 FCR 133, 141 [30].</w:t>
      </w:r>
    </w:p>
  </w:endnote>
  <w:endnote w:id="11">
    <w:p w14:paraId="30B248D9" w14:textId="77777777" w:rsidR="00E0039D" w:rsidRPr="006A1268" w:rsidRDefault="00E0039D" w:rsidP="00E0039D">
      <w:pPr>
        <w:pStyle w:val="EndnoteText"/>
        <w:ind w:left="284" w:hanging="284"/>
        <w:contextualSpacing/>
      </w:pPr>
      <w:r w:rsidRPr="006A1268">
        <w:rPr>
          <w:rStyle w:val="EndnoteReference"/>
        </w:rPr>
        <w:endnoteRef/>
      </w:r>
      <w:r w:rsidRPr="006A1268">
        <w:tab/>
        <w:t xml:space="preserve">UN Committee on the Rights of the Child, </w:t>
      </w:r>
      <w:r w:rsidRPr="006A1268">
        <w:rPr>
          <w:i/>
        </w:rPr>
        <w:t>General Comment No. 14 (2013)</w:t>
      </w:r>
      <w:r w:rsidRPr="006A1268">
        <w:t xml:space="preserve"> </w:t>
      </w:r>
      <w:r w:rsidRPr="006A1268">
        <w:rPr>
          <w:i/>
        </w:rPr>
        <w:t>on the right of the child to have his or her best interests taken as a primary consideration</w:t>
      </w:r>
      <w:r w:rsidRPr="006A1268">
        <w:t xml:space="preserve"> </w:t>
      </w:r>
      <w:r w:rsidRPr="006A1268">
        <w:rPr>
          <w:i/>
        </w:rPr>
        <w:t>(art. 3, para. 1)</w:t>
      </w:r>
      <w:r w:rsidRPr="006A1268">
        <w:t>, 62</w:t>
      </w:r>
      <w:r w:rsidRPr="006A1268">
        <w:rPr>
          <w:vertAlign w:val="superscript"/>
        </w:rPr>
        <w:t>nd</w:t>
      </w:r>
      <w:r w:rsidRPr="006A1268">
        <w:t xml:space="preserve"> sess, UN Doc CRC/C/GC/14 (29 May 2013) [21].</w:t>
      </w:r>
    </w:p>
  </w:endnote>
  <w:endnote w:id="12">
    <w:p w14:paraId="42A1737D" w14:textId="77777777" w:rsidR="00E0039D" w:rsidRPr="006A1268" w:rsidRDefault="00E0039D" w:rsidP="00E0039D">
      <w:pPr>
        <w:pStyle w:val="EndnoteText"/>
        <w:ind w:left="284" w:hanging="284"/>
        <w:contextualSpacing/>
      </w:pPr>
      <w:r w:rsidRPr="006A1268">
        <w:rPr>
          <w:rStyle w:val="EndnoteReference"/>
        </w:rPr>
        <w:endnoteRef/>
      </w:r>
      <w:r w:rsidRPr="006A1268">
        <w:tab/>
      </w:r>
      <w:r w:rsidRPr="006A1268">
        <w:rPr>
          <w:i/>
        </w:rPr>
        <w:t>Wan v Minister for Immigration &amp; Multicultural Affairs</w:t>
      </w:r>
      <w:r w:rsidRPr="006A1268">
        <w:t xml:space="preserve"> (2001) 107 FCR 133 [26].</w:t>
      </w:r>
    </w:p>
  </w:endnote>
  <w:endnote w:id="13">
    <w:p w14:paraId="46D86743" w14:textId="77777777" w:rsidR="00E0039D" w:rsidRPr="006A1268" w:rsidRDefault="00E0039D" w:rsidP="00E0039D">
      <w:pPr>
        <w:pStyle w:val="EndnoteText"/>
        <w:ind w:left="284" w:hanging="284"/>
        <w:contextualSpacing/>
      </w:pPr>
      <w:r w:rsidRPr="006A1268">
        <w:rPr>
          <w:rStyle w:val="EndnoteReference"/>
        </w:rPr>
        <w:endnoteRef/>
      </w:r>
      <w:r w:rsidRPr="006A1268">
        <w:tab/>
        <w:t xml:space="preserve">UN Committee on the Rights of the Child, </w:t>
      </w:r>
      <w:r w:rsidRPr="006A1268">
        <w:rPr>
          <w:i/>
        </w:rPr>
        <w:t>General Comment No. 14 (2013)</w:t>
      </w:r>
      <w:r w:rsidRPr="006A1268">
        <w:t xml:space="preserve"> </w:t>
      </w:r>
      <w:r w:rsidRPr="006A1268">
        <w:rPr>
          <w:i/>
        </w:rPr>
        <w:t>on the right of the child to have his or her best interests taken as a primary consideration</w:t>
      </w:r>
      <w:r w:rsidRPr="006A1268">
        <w:t xml:space="preserve"> </w:t>
      </w:r>
      <w:r w:rsidRPr="006A1268">
        <w:rPr>
          <w:i/>
        </w:rPr>
        <w:t>(art. 3, para. 1)</w:t>
      </w:r>
      <w:r w:rsidRPr="006A1268">
        <w:t>, 62</w:t>
      </w:r>
      <w:r w:rsidRPr="006A1268">
        <w:rPr>
          <w:vertAlign w:val="superscript"/>
        </w:rPr>
        <w:t>nd</w:t>
      </w:r>
      <w:r w:rsidRPr="006A1268">
        <w:t xml:space="preserve"> sess, UN Doc CRC/C/GC/14 (29 May 2013) [32].</w:t>
      </w:r>
    </w:p>
  </w:endnote>
  <w:endnote w:id="14">
    <w:p w14:paraId="76FE61E8" w14:textId="77777777" w:rsidR="00E0039D" w:rsidRPr="006A1268" w:rsidRDefault="00E0039D" w:rsidP="00E0039D">
      <w:pPr>
        <w:pStyle w:val="EndnoteText"/>
        <w:ind w:left="284" w:hanging="284"/>
        <w:contextualSpacing/>
      </w:pPr>
      <w:r w:rsidRPr="006A1268">
        <w:rPr>
          <w:rStyle w:val="EndnoteReference"/>
        </w:rPr>
        <w:endnoteRef/>
      </w:r>
      <w:r w:rsidRPr="006A1268">
        <w:tab/>
      </w:r>
      <w:r w:rsidRPr="006A1268">
        <w:rPr>
          <w:i/>
        </w:rPr>
        <w:t>Wan v Minister for Immigration &amp; Multicultural Affairs</w:t>
      </w:r>
      <w:r w:rsidRPr="006A1268">
        <w:t xml:space="preserve"> (2001) 107 FCR 133 [33].</w:t>
      </w:r>
    </w:p>
  </w:endnote>
  <w:endnote w:id="15">
    <w:p w14:paraId="17FF090E" w14:textId="77777777" w:rsidR="00E0039D" w:rsidRPr="006A1268" w:rsidRDefault="00E0039D" w:rsidP="00E0039D">
      <w:pPr>
        <w:pStyle w:val="EndnoteText"/>
        <w:ind w:left="284" w:hanging="284"/>
        <w:contextualSpacing/>
        <w:rPr>
          <w:i/>
          <w:iCs/>
        </w:rPr>
      </w:pPr>
      <w:r w:rsidRPr="006A1268">
        <w:rPr>
          <w:rStyle w:val="EndnoteReference"/>
        </w:rPr>
        <w:endnoteRef/>
      </w:r>
      <w:r w:rsidRPr="006A1268">
        <w:tab/>
      </w:r>
      <w:r w:rsidRPr="006A1268">
        <w:rPr>
          <w:i/>
          <w:iCs/>
        </w:rPr>
        <w:t xml:space="preserve">Naidike v Attorney-General of Trinidad and Tobago </w:t>
      </w:r>
      <w:r w:rsidRPr="006A1268">
        <w:t>[2004] UKPC 49 [2005] 1 AC 538 [75] (Lady Hale).</w:t>
      </w:r>
    </w:p>
  </w:endnote>
  <w:endnote w:id="16">
    <w:p w14:paraId="2E0B16A9" w14:textId="77777777" w:rsidR="00E0039D" w:rsidRPr="006A1268" w:rsidRDefault="00E0039D" w:rsidP="00E0039D">
      <w:pPr>
        <w:pStyle w:val="EndnoteText"/>
        <w:ind w:left="284" w:hanging="284"/>
        <w:contextualSpacing/>
      </w:pPr>
      <w:r w:rsidRPr="006A1268">
        <w:rPr>
          <w:rStyle w:val="EndnoteReference"/>
        </w:rPr>
        <w:endnoteRef/>
      </w:r>
      <w:r w:rsidRPr="006A1268">
        <w:tab/>
        <w:t xml:space="preserve">Manfred Nowak, </w:t>
      </w:r>
      <w:r w:rsidRPr="006A1268">
        <w:rPr>
          <w:i/>
        </w:rPr>
        <w:t xml:space="preserve">U.N. Covenant on Civil and Political Rights: CCPR Commentary </w:t>
      </w:r>
      <w:r w:rsidRPr="006A1268">
        <w:t>(N.P. Engel, 2</w:t>
      </w:r>
      <w:r w:rsidRPr="006A1268">
        <w:rPr>
          <w:vertAlign w:val="superscript"/>
        </w:rPr>
        <w:t>nd</w:t>
      </w:r>
      <w:r w:rsidRPr="006A1268">
        <w:t xml:space="preserve"> ed 2005) 519.</w:t>
      </w:r>
    </w:p>
  </w:endnote>
  <w:endnote w:id="17">
    <w:p w14:paraId="7A710A30" w14:textId="77777777" w:rsidR="00E0039D" w:rsidRPr="006A1268" w:rsidRDefault="00E0039D" w:rsidP="00E0039D">
      <w:pPr>
        <w:pStyle w:val="EndnoteText"/>
        <w:ind w:left="284" w:hanging="284"/>
        <w:contextualSpacing/>
        <w:rPr>
          <w:i/>
        </w:rPr>
      </w:pPr>
      <w:r w:rsidRPr="006A1268">
        <w:rPr>
          <w:rStyle w:val="EndnoteReference"/>
        </w:rPr>
        <w:endnoteRef/>
      </w:r>
      <w:r w:rsidRPr="006A1268">
        <w:tab/>
        <w:t xml:space="preserve">Human Rights and Equal Opportunity Commission, </w:t>
      </w:r>
      <w:r w:rsidRPr="006A1268">
        <w:rPr>
          <w:i/>
        </w:rPr>
        <w:t xml:space="preserve">Nguyen and Okoye v Commonwealth (Department of Immigration and Multicultural Affairs) and GSL (Australia) Pty Ltd </w:t>
      </w:r>
      <w:r w:rsidRPr="006A1268">
        <w:t>[2008] AusHRC 39 [80]-[88].</w:t>
      </w:r>
    </w:p>
  </w:endnote>
  <w:endnote w:id="18">
    <w:p w14:paraId="5DA0C780" w14:textId="77777777" w:rsidR="00E0039D" w:rsidRPr="006A1268" w:rsidRDefault="00E0039D" w:rsidP="00E0039D">
      <w:pPr>
        <w:pStyle w:val="EndnoteText"/>
        <w:ind w:left="284" w:hanging="284"/>
        <w:contextualSpacing/>
      </w:pPr>
      <w:r w:rsidRPr="006A1268">
        <w:rPr>
          <w:rStyle w:val="EndnoteReference"/>
        </w:rPr>
        <w:endnoteRef/>
      </w:r>
      <w:r w:rsidRPr="006A1268">
        <w:tab/>
        <w:t xml:space="preserve">UN Human Rights Committee, </w:t>
      </w:r>
      <w:r w:rsidRPr="006A1268">
        <w:rPr>
          <w:i/>
        </w:rPr>
        <w:t>General Comment No. 16:</w:t>
      </w:r>
      <w:r w:rsidRPr="006A1268">
        <w:t xml:space="preserve"> </w:t>
      </w:r>
      <w:r w:rsidRPr="006A1268">
        <w:rPr>
          <w:i/>
        </w:rPr>
        <w:t>Article 17 (Right to Privacy) The Right to Respect of Privacy, Family, Home and Correspondence, and Protection of Honour and Reputation</w:t>
      </w:r>
      <w:r w:rsidRPr="006A1268">
        <w:t>, 32</w:t>
      </w:r>
      <w:r w:rsidRPr="006A1268">
        <w:rPr>
          <w:vertAlign w:val="superscript"/>
        </w:rPr>
        <w:t>nd</w:t>
      </w:r>
      <w:r w:rsidRPr="006A1268">
        <w:t xml:space="preserve"> sess, UN Doc HRI/GEN/1/Rev.1 (8 April 1988) [5]; UN Human Rights Committee, </w:t>
      </w:r>
      <w:r w:rsidRPr="006A1268">
        <w:rPr>
          <w:i/>
        </w:rPr>
        <w:t>General Comment No. 19:</w:t>
      </w:r>
      <w:r w:rsidRPr="006A1268">
        <w:t xml:space="preserve"> </w:t>
      </w:r>
      <w:r w:rsidRPr="006A1268">
        <w:rPr>
          <w:i/>
        </w:rPr>
        <w:t>Article 23 (The Family) Protection of the Family, the Right to Marriage and Equality of the Spouses,</w:t>
      </w:r>
      <w:r w:rsidRPr="006A1268">
        <w:t xml:space="preserve"> 39</w:t>
      </w:r>
      <w:r w:rsidRPr="006A1268">
        <w:rPr>
          <w:vertAlign w:val="superscript"/>
        </w:rPr>
        <w:t>th</w:t>
      </w:r>
      <w:r w:rsidRPr="006A1268">
        <w:t xml:space="preserve"> sess, UN Doc HRI/GEN/1/Rev.1 (27 July 1990) [2]; UN Human Rights Committee, </w:t>
      </w:r>
      <w:r w:rsidRPr="006A1268">
        <w:rPr>
          <w:i/>
        </w:rPr>
        <w:t>Views: Communication No. 201/1985</w:t>
      </w:r>
      <w:r w:rsidRPr="006A1268">
        <w:t>, 33</w:t>
      </w:r>
      <w:r w:rsidRPr="006A1268">
        <w:rPr>
          <w:vertAlign w:val="superscript"/>
        </w:rPr>
        <w:t>rd</w:t>
      </w:r>
      <w:r w:rsidRPr="006A1268">
        <w:t xml:space="preserve"> sess, UN Doc CCPR/C/33/D/201/1985 (27 July 1988) 24 [10.3] (‘</w:t>
      </w:r>
      <w:r w:rsidRPr="006A1268">
        <w:rPr>
          <w:i/>
        </w:rPr>
        <w:t>Hendriks v the Netherlands</w:t>
      </w:r>
      <w:r w:rsidRPr="006A1268">
        <w:t>’).</w:t>
      </w:r>
    </w:p>
  </w:endnote>
  <w:endnote w:id="19">
    <w:p w14:paraId="7C126146" w14:textId="77777777" w:rsidR="00E0039D" w:rsidRDefault="00E0039D" w:rsidP="00E0039D">
      <w:pPr>
        <w:pStyle w:val="EndnoteText"/>
        <w:ind w:left="284" w:hanging="284"/>
        <w:contextualSpacing/>
      </w:pPr>
      <w:r w:rsidRPr="006A1268">
        <w:rPr>
          <w:rStyle w:val="EndnoteReference"/>
        </w:rPr>
        <w:endnoteRef/>
      </w:r>
      <w:r w:rsidRPr="006A1268">
        <w:tab/>
        <w:t xml:space="preserve">UN Human Rights Committee, </w:t>
      </w:r>
      <w:r w:rsidRPr="006A1268">
        <w:rPr>
          <w:i/>
        </w:rPr>
        <w:t>Views: Communication No. 68/1980</w:t>
      </w:r>
      <w:r w:rsidRPr="006A1268">
        <w:t>, 12</w:t>
      </w:r>
      <w:r w:rsidRPr="006A1268">
        <w:rPr>
          <w:vertAlign w:val="superscript"/>
        </w:rPr>
        <w:t>th</w:t>
      </w:r>
      <w:r w:rsidRPr="006A1268">
        <w:t xml:space="preserve"> Sess,</w:t>
      </w:r>
      <w:r w:rsidRPr="006A1268">
        <w:rPr>
          <w:i/>
        </w:rPr>
        <w:t xml:space="preserve"> </w:t>
      </w:r>
      <w:r w:rsidRPr="006A1268">
        <w:t>UN Doc CCPR/C/OP/1 (31 March 1981) (‘</w:t>
      </w:r>
      <w:r w:rsidRPr="006A1268">
        <w:rPr>
          <w:i/>
        </w:rPr>
        <w:t>A.S. v Canada</w:t>
      </w:r>
      <w:r w:rsidRPr="002845A4">
        <w:t>’</w:t>
      </w:r>
      <w:r w:rsidRPr="006A1268">
        <w:t xml:space="preserve">). See also, Sarah Joseph and Melissa Castan, </w:t>
      </w:r>
      <w:r w:rsidRPr="006A1268">
        <w:rPr>
          <w:i/>
        </w:rPr>
        <w:t>The International Covenant on Civil and Political Rights: Cases, Materials and Commentary</w:t>
      </w:r>
      <w:r w:rsidRPr="006A1268">
        <w:t xml:space="preserve"> (Oxford University Press, 3</w:t>
      </w:r>
      <w:r w:rsidRPr="006A1268">
        <w:rPr>
          <w:vertAlign w:val="superscript"/>
        </w:rPr>
        <w:t>rd</w:t>
      </w:r>
      <w:r w:rsidRPr="006A1268">
        <w:t xml:space="preserve"> ed, 2013) 669-670.</w:t>
      </w:r>
    </w:p>
    <w:p w14:paraId="682AAA38" w14:textId="77777777" w:rsidR="00BA7D1F" w:rsidRDefault="00BA7D1F" w:rsidP="00E0039D">
      <w:pPr>
        <w:pStyle w:val="EndnoteText"/>
        <w:ind w:left="284" w:hanging="284"/>
        <w:contextualSpacing/>
      </w:pPr>
    </w:p>
    <w:p w14:paraId="47D126D8" w14:textId="77777777" w:rsidR="00BA7D1F" w:rsidRPr="006A1268" w:rsidRDefault="00BA7D1F" w:rsidP="00E0039D">
      <w:pPr>
        <w:pStyle w:val="EndnoteText"/>
        <w:ind w:left="284" w:hanging="284"/>
        <w:contextualSpacing/>
      </w:pPr>
    </w:p>
  </w:endnote>
  <w:endnote w:id="20">
    <w:p w14:paraId="3DCC1A04" w14:textId="77777777" w:rsidR="00BA7D1F" w:rsidRPr="006A1268" w:rsidRDefault="00E0039D" w:rsidP="00BA7D1F">
      <w:pPr>
        <w:pStyle w:val="EndnoteText"/>
        <w:ind w:left="284" w:hanging="284"/>
        <w:contextualSpacing/>
      </w:pPr>
      <w:r w:rsidRPr="006A1268">
        <w:rPr>
          <w:rStyle w:val="EndnoteReference"/>
        </w:rPr>
        <w:endnoteRef/>
      </w:r>
      <w:r w:rsidRPr="006A1268">
        <w:tab/>
        <w:t xml:space="preserve">UN Human Rights Committee, </w:t>
      </w:r>
      <w:r w:rsidRPr="006A1268">
        <w:rPr>
          <w:i/>
        </w:rPr>
        <w:t>Views: Communication No. 930/2000</w:t>
      </w:r>
      <w:r w:rsidRPr="006A1268">
        <w:t>, 72</w:t>
      </w:r>
      <w:r w:rsidRPr="006A1268">
        <w:rPr>
          <w:vertAlign w:val="superscript"/>
        </w:rPr>
        <w:t>nd</w:t>
      </w:r>
      <w:r w:rsidRPr="006A1268">
        <w:t xml:space="preserve"> sess, UN Doc CCPR/C/72/D/930/2000 (26 July 2001) (‘</w:t>
      </w:r>
      <w:r w:rsidRPr="006A1268">
        <w:rPr>
          <w:i/>
        </w:rPr>
        <w:t>Winata v Australia</w:t>
      </w:r>
      <w:r w:rsidRPr="006A1268">
        <w:t>’).</w:t>
      </w:r>
    </w:p>
  </w:endnote>
  <w:endnote w:id="21">
    <w:p w14:paraId="5A0ED45B" w14:textId="77777777" w:rsidR="00E0039D" w:rsidRPr="00512E0E" w:rsidRDefault="00E0039D" w:rsidP="00E0039D">
      <w:pPr>
        <w:pStyle w:val="EndnoteText"/>
        <w:ind w:left="284" w:hanging="284"/>
        <w:contextualSpacing/>
        <w:rPr>
          <w:lang w:val="it-IT"/>
        </w:rPr>
      </w:pPr>
      <w:r w:rsidRPr="006A1268">
        <w:rPr>
          <w:rStyle w:val="EndnoteReference"/>
        </w:rPr>
        <w:endnoteRef/>
      </w:r>
      <w:r w:rsidRPr="00512E0E">
        <w:rPr>
          <w:lang w:val="it-IT"/>
        </w:rPr>
        <w:tab/>
      </w:r>
      <w:r w:rsidRPr="00512E0E">
        <w:rPr>
          <w:i/>
          <w:lang w:val="it-IT"/>
        </w:rPr>
        <w:t>Winata v Australia</w:t>
      </w:r>
      <w:r w:rsidRPr="00512E0E">
        <w:rPr>
          <w:lang w:val="it-IT"/>
        </w:rPr>
        <w:t>, UN Doc CCPR/C/72/D/930/2000, 11 [7.2].</w:t>
      </w:r>
    </w:p>
  </w:endnote>
  <w:endnote w:id="22">
    <w:p w14:paraId="05F59D26" w14:textId="77777777" w:rsidR="00E0039D" w:rsidRPr="006A1268" w:rsidRDefault="00E0039D" w:rsidP="00E0039D">
      <w:pPr>
        <w:pStyle w:val="EndnoteText"/>
        <w:ind w:left="284" w:hanging="284"/>
        <w:contextualSpacing/>
      </w:pPr>
      <w:r w:rsidRPr="006A1268">
        <w:rPr>
          <w:rStyle w:val="EndnoteReference"/>
        </w:rPr>
        <w:endnoteRef/>
      </w:r>
      <w:r w:rsidRPr="006A1268">
        <w:tab/>
        <w:t xml:space="preserve">UN Human Rights Committee, </w:t>
      </w:r>
      <w:r w:rsidRPr="006A1268">
        <w:rPr>
          <w:i/>
        </w:rPr>
        <w:t>Views: Communication No. 1011/2001</w:t>
      </w:r>
      <w:r w:rsidRPr="006A1268">
        <w:t>, 81</w:t>
      </w:r>
      <w:r w:rsidR="002845A4" w:rsidRPr="002845A4">
        <w:rPr>
          <w:vertAlign w:val="superscript"/>
        </w:rPr>
        <w:t>st</w:t>
      </w:r>
      <w:r w:rsidRPr="006A1268">
        <w:t xml:space="preserve"> sess, UN Doc CCPR/C/81/D/1011/2001 (26 July 2004) 21 [9.8] (‘</w:t>
      </w:r>
      <w:r w:rsidRPr="006A1268">
        <w:rPr>
          <w:i/>
        </w:rPr>
        <w:t>Madafferi v Australia</w:t>
      </w:r>
      <w:r w:rsidRPr="006A1268">
        <w:t>’).</w:t>
      </w:r>
    </w:p>
  </w:endnote>
  <w:endnote w:id="23">
    <w:p w14:paraId="3A9A7879" w14:textId="77777777" w:rsidR="00E0039D" w:rsidRPr="006A1268" w:rsidRDefault="00E0039D" w:rsidP="00E0039D">
      <w:pPr>
        <w:pStyle w:val="EndnoteText"/>
        <w:ind w:left="284" w:hanging="284"/>
        <w:contextualSpacing/>
      </w:pPr>
      <w:r w:rsidRPr="006A1268">
        <w:rPr>
          <w:rStyle w:val="EndnoteReference"/>
        </w:rPr>
        <w:endnoteRef/>
      </w:r>
      <w:r w:rsidRPr="006A1268">
        <w:tab/>
        <w:t xml:space="preserve">UN Human Rights Committee, </w:t>
      </w:r>
      <w:r w:rsidRPr="006A1268">
        <w:rPr>
          <w:i/>
        </w:rPr>
        <w:t>Views: Communication No. 558/1993</w:t>
      </w:r>
      <w:r w:rsidRPr="006A1268">
        <w:t>, 59</w:t>
      </w:r>
      <w:r w:rsidRPr="006A1268">
        <w:rPr>
          <w:vertAlign w:val="superscript"/>
        </w:rPr>
        <w:t>th</w:t>
      </w:r>
      <w:r w:rsidRPr="006A1268">
        <w:t xml:space="preserve"> sess, UN Doc CCPR/C/59/D/558/1993 (3 April 1997)</w:t>
      </w:r>
      <w:r w:rsidRPr="006A1268">
        <w:rPr>
          <w:i/>
        </w:rPr>
        <w:t xml:space="preserve"> </w:t>
      </w:r>
      <w:r w:rsidRPr="006A1268">
        <w:t>(‘</w:t>
      </w:r>
      <w:r w:rsidRPr="006A1268">
        <w:rPr>
          <w:i/>
        </w:rPr>
        <w:t>Canepa v Canada</w:t>
      </w:r>
      <w:r w:rsidRPr="006A1268">
        <w:t>’).</w:t>
      </w:r>
    </w:p>
  </w:endnote>
  <w:endnote w:id="24">
    <w:p w14:paraId="530C803D" w14:textId="77777777" w:rsidR="00E0039D" w:rsidRPr="006A1268" w:rsidRDefault="00E0039D" w:rsidP="00E0039D">
      <w:pPr>
        <w:pStyle w:val="EndnoteText"/>
        <w:ind w:left="284" w:hanging="284"/>
        <w:contextualSpacing/>
      </w:pPr>
      <w:r w:rsidRPr="006A1268">
        <w:rPr>
          <w:rStyle w:val="EndnoteReference"/>
        </w:rPr>
        <w:endnoteRef/>
      </w:r>
      <w:r w:rsidRPr="006A1268">
        <w:tab/>
        <w:t xml:space="preserve">UN Human Rights Committee, </w:t>
      </w:r>
      <w:r w:rsidRPr="006A1268">
        <w:rPr>
          <w:i/>
        </w:rPr>
        <w:t>Views: Communication No. 488/1992</w:t>
      </w:r>
      <w:r w:rsidRPr="006A1268">
        <w:t>, 50</w:t>
      </w:r>
      <w:r w:rsidRPr="006A1268">
        <w:rPr>
          <w:vertAlign w:val="superscript"/>
        </w:rPr>
        <w:t>th</w:t>
      </w:r>
      <w:r w:rsidRPr="006A1268">
        <w:t xml:space="preserve"> sess, UN Doc CCPR/C/50/D/488/1992 (31 March 1994) 11 [8.3] (‘</w:t>
      </w:r>
      <w:r w:rsidRPr="006A1268">
        <w:rPr>
          <w:i/>
        </w:rPr>
        <w:t>Toonen v Australia</w:t>
      </w:r>
      <w:r w:rsidRPr="006A1268">
        <w:t>’).</w:t>
      </w:r>
    </w:p>
  </w:endnote>
  <w:endnote w:id="25">
    <w:p w14:paraId="21A08C8A" w14:textId="77777777" w:rsidR="00E0039D" w:rsidRPr="00512E0E" w:rsidRDefault="00E0039D" w:rsidP="00E0039D">
      <w:pPr>
        <w:pStyle w:val="EndnoteText"/>
        <w:ind w:left="284" w:hanging="284"/>
        <w:contextualSpacing/>
        <w:rPr>
          <w:lang w:val="it-IT"/>
        </w:rPr>
      </w:pPr>
      <w:r w:rsidRPr="006A1268">
        <w:rPr>
          <w:rStyle w:val="EndnoteReference"/>
        </w:rPr>
        <w:endnoteRef/>
      </w:r>
      <w:r w:rsidRPr="00512E0E">
        <w:rPr>
          <w:lang w:val="it-IT"/>
        </w:rPr>
        <w:tab/>
      </w:r>
      <w:r w:rsidRPr="00512E0E">
        <w:rPr>
          <w:i/>
          <w:lang w:val="it-IT"/>
        </w:rPr>
        <w:t>Winata v Australia</w:t>
      </w:r>
      <w:r w:rsidRPr="00512E0E">
        <w:rPr>
          <w:lang w:val="it-IT"/>
        </w:rPr>
        <w:t>, UN Doc CCPR/C/72/D/930/2000, 11 [7.3].</w:t>
      </w:r>
    </w:p>
  </w:endnote>
  <w:endnote w:id="26">
    <w:p w14:paraId="273C3E96" w14:textId="77777777" w:rsidR="00E0039D" w:rsidRPr="006A1268" w:rsidRDefault="00E0039D" w:rsidP="00E0039D">
      <w:pPr>
        <w:pStyle w:val="EndnoteText"/>
        <w:ind w:left="284" w:hanging="284"/>
        <w:contextualSpacing/>
      </w:pPr>
      <w:r w:rsidRPr="006A1268">
        <w:rPr>
          <w:rStyle w:val="EndnoteReference"/>
        </w:rPr>
        <w:endnoteRef/>
      </w:r>
      <w:r w:rsidRPr="006A1268">
        <w:tab/>
        <w:t>UN Human Rights Committee, Communication No. 893/1999, 77</w:t>
      </w:r>
      <w:r w:rsidRPr="006A1268">
        <w:rPr>
          <w:vertAlign w:val="superscript"/>
        </w:rPr>
        <w:t>th</w:t>
      </w:r>
      <w:r w:rsidRPr="006A1268">
        <w:t xml:space="preserve"> sess, UN Doc CCPR/C/77/D/893/1999 (28 March 2003) 12 [8.2] (‘</w:t>
      </w:r>
      <w:r w:rsidRPr="006A1268">
        <w:rPr>
          <w:i/>
        </w:rPr>
        <w:t>Sahid v New Zealand</w:t>
      </w:r>
      <w:r w:rsidRPr="006A1268">
        <w:t>’).</w:t>
      </w:r>
    </w:p>
  </w:endnote>
  <w:endnote w:id="27">
    <w:p w14:paraId="4D39B9A9" w14:textId="77777777" w:rsidR="00E0039D" w:rsidRPr="006A1268" w:rsidRDefault="00E0039D" w:rsidP="00E0039D">
      <w:pPr>
        <w:pStyle w:val="EndnoteText"/>
        <w:ind w:left="284" w:hanging="284"/>
        <w:contextualSpacing/>
      </w:pPr>
      <w:r w:rsidRPr="006A1268">
        <w:rPr>
          <w:rStyle w:val="EndnoteReference"/>
        </w:rPr>
        <w:endnoteRef/>
      </w:r>
      <w:r w:rsidRPr="006A1268">
        <w:tab/>
      </w:r>
      <w:r w:rsidRPr="006A1268">
        <w:rPr>
          <w:i/>
        </w:rPr>
        <w:t>Sahid v New Zealand</w:t>
      </w:r>
      <w:r w:rsidRPr="006A1268">
        <w:t>, UN Doc CCPR/C/77/D/893/1999, 12 [8.2].</w:t>
      </w:r>
    </w:p>
  </w:endnote>
  <w:endnote w:id="28">
    <w:p w14:paraId="3A9478F0" w14:textId="77777777" w:rsidR="00E0039D" w:rsidRPr="006A1268" w:rsidRDefault="00E0039D" w:rsidP="00E0039D">
      <w:pPr>
        <w:pStyle w:val="EndnoteText"/>
        <w:ind w:left="284" w:hanging="284"/>
        <w:contextualSpacing/>
        <w:rPr>
          <w:rStyle w:val="EndnoteReference"/>
        </w:rPr>
      </w:pPr>
      <w:r w:rsidRPr="006A1268">
        <w:rPr>
          <w:rStyle w:val="EndnoteReference"/>
        </w:rPr>
        <w:endnoteRef/>
      </w:r>
      <w:r w:rsidRPr="006A1268">
        <w:rPr>
          <w:rStyle w:val="EndnoteReference"/>
        </w:rPr>
        <w:t xml:space="preserve"> </w:t>
      </w:r>
      <w:r w:rsidRPr="006A1268">
        <w:rPr>
          <w:rStyle w:val="EndnoteReference"/>
        </w:rPr>
        <w:tab/>
      </w:r>
      <w:r w:rsidRPr="006A1268">
        <w:rPr>
          <w:i/>
        </w:rPr>
        <w:t xml:space="preserve">Australian Human Rights Commission Act 1986 </w:t>
      </w:r>
      <w:r w:rsidRPr="00512E0E">
        <w:t>(Cth)</w:t>
      </w:r>
      <w:r w:rsidRPr="002845A4">
        <w:t xml:space="preserve"> s</w:t>
      </w:r>
      <w:r w:rsidRPr="002845A4">
        <w:rPr>
          <w:rStyle w:val="EndnoteReference"/>
        </w:rPr>
        <w:t xml:space="preserve"> </w:t>
      </w:r>
      <w:r w:rsidRPr="006A1268">
        <w:t>29(2)(a).</w:t>
      </w:r>
    </w:p>
  </w:endnote>
  <w:endnote w:id="29">
    <w:p w14:paraId="6CF06248" w14:textId="77777777" w:rsidR="00E0039D" w:rsidRPr="006A1268" w:rsidRDefault="00E0039D" w:rsidP="00E0039D">
      <w:pPr>
        <w:pStyle w:val="EndnoteText"/>
        <w:ind w:left="284" w:hanging="284"/>
        <w:contextualSpacing/>
        <w:rPr>
          <w:rStyle w:val="EndnoteReference"/>
        </w:rPr>
      </w:pPr>
      <w:r w:rsidRPr="006A1268">
        <w:rPr>
          <w:rStyle w:val="EndnoteReference"/>
        </w:rPr>
        <w:endnoteRef/>
      </w:r>
      <w:r w:rsidRPr="006A1268">
        <w:rPr>
          <w:rStyle w:val="EndnoteReference"/>
        </w:rPr>
        <w:t xml:space="preserve"> </w:t>
      </w:r>
      <w:r w:rsidRPr="006A1268">
        <w:rPr>
          <w:rStyle w:val="EndnoteReference"/>
        </w:rPr>
        <w:tab/>
      </w:r>
      <w:r w:rsidRPr="006A1268">
        <w:rPr>
          <w:i/>
        </w:rPr>
        <w:t>Australian Human Rights Commission Act 1986</w:t>
      </w:r>
      <w:r w:rsidRPr="00512E0E">
        <w:t xml:space="preserve"> (Cth) </w:t>
      </w:r>
      <w:r w:rsidRPr="006A1268">
        <w:t>s 29(2)(b).</w:t>
      </w:r>
    </w:p>
  </w:endnote>
  <w:endnote w:id="30">
    <w:p w14:paraId="5CF74EDA" w14:textId="77777777" w:rsidR="00E0039D" w:rsidRPr="006A1268" w:rsidRDefault="00E0039D" w:rsidP="00E0039D">
      <w:pPr>
        <w:pStyle w:val="EndnoteText"/>
        <w:ind w:left="284" w:hanging="284"/>
        <w:contextualSpacing/>
      </w:pPr>
      <w:r w:rsidRPr="006A1268">
        <w:rPr>
          <w:rStyle w:val="EndnoteReference"/>
        </w:rPr>
        <w:endnoteRef/>
      </w:r>
      <w:r w:rsidRPr="006A1268">
        <w:rPr>
          <w:rStyle w:val="EndnoteReference"/>
        </w:rPr>
        <w:t xml:space="preserve"> </w:t>
      </w:r>
      <w:r w:rsidRPr="006A1268">
        <w:rPr>
          <w:rStyle w:val="EndnoteReference"/>
        </w:rPr>
        <w:tab/>
      </w:r>
      <w:r w:rsidRPr="006A1268">
        <w:rPr>
          <w:i/>
        </w:rPr>
        <w:t>Australian Human Rights Commission Act 1986</w:t>
      </w:r>
      <w:r w:rsidRPr="006A1268">
        <w:t xml:space="preserve"> (Cth) s 29(2)(c).</w:t>
      </w:r>
    </w:p>
  </w:endnote>
  <w:endnote w:id="31">
    <w:p w14:paraId="1698F437" w14:textId="77777777" w:rsidR="00E0039D" w:rsidRPr="006A1268" w:rsidRDefault="00E0039D" w:rsidP="00E0039D">
      <w:pPr>
        <w:pStyle w:val="EndnoteText"/>
        <w:ind w:left="284" w:hanging="284"/>
        <w:contextualSpacing/>
      </w:pPr>
      <w:r w:rsidRPr="006A1268">
        <w:rPr>
          <w:rStyle w:val="EndnoteReference"/>
        </w:rPr>
        <w:endnoteRef/>
      </w:r>
      <w:r w:rsidRPr="006A1268">
        <w:rPr>
          <w:rStyle w:val="EndnoteReference"/>
        </w:rPr>
        <w:tab/>
      </w:r>
      <w:r w:rsidRPr="006A1268">
        <w:t>Department of Immigration and Home Affairs, Procedures Advice Manual, PAM3: Act Act – Ministerial powers – Minister’s guidelines on ministerial powers (s 351, s 417 and s 501J), sections 4 and 10.</w:t>
      </w:r>
    </w:p>
  </w:endnote>
  <w:endnote w:id="32">
    <w:p w14:paraId="04DD8E7E" w14:textId="77777777" w:rsidR="00E0039D" w:rsidRDefault="00E0039D" w:rsidP="002845A4">
      <w:pPr>
        <w:pStyle w:val="EndnoteText"/>
        <w:contextual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0002EFF" w:usb1="C000247B" w:usb2="00000009" w:usb3="00000000" w:csb0="000001FF" w:csb1="00000000"/>
  </w:font>
  <w:font w:name="Times-Roman">
    <w:altName w:val="Times New Roman"/>
    <w:panose1 w:val="00000000000000000000"/>
    <w:charset w:val="CC"/>
    <w:family w:val="auto"/>
    <w:notTrueType/>
    <w:pitch w:val="default"/>
    <w:sig w:usb0="00000203" w:usb1="00000000" w:usb2="00000000" w:usb3="00000000" w:csb0="00000005" w:csb1="00000000"/>
  </w:font>
  <w:font w:name="ヒラギノ角ゴ Pro W3">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HelveticaNeue">
    <w:altName w:val="Helvetica Neue"/>
    <w:charset w:val="00"/>
    <w:family w:val="auto"/>
    <w:pitch w:val="variable"/>
    <w:sig w:usb0="E50002FF" w:usb1="500079DB" w:usb2="00000010" w:usb3="00000000" w:csb0="00000001" w:csb1="00000000"/>
  </w:font>
  <w:font w:name="HelveticaNeueLT Pro 57 Cn">
    <w:altName w:val="Arial"/>
    <w:panose1 w:val="00000000000000000000"/>
    <w:charset w:val="4D"/>
    <w:family w:val="swiss"/>
    <w:notTrueType/>
    <w:pitch w:val="variable"/>
    <w:sig w:usb0="800000AF" w:usb1="5000205B" w:usb2="00000000" w:usb3="00000000" w:csb0="0000009B" w:csb1="00000000"/>
  </w:font>
  <w:font w:name="Arial Unicode MS">
    <w:altName w:val="Yu Gothic"/>
    <w:panose1 w:val="020B0604020202020204"/>
    <w:charset w:val="80"/>
    <w:family w:val="swiss"/>
    <w:pitch w:val="variable"/>
    <w:sig w:usb0="F7FFAFFF" w:usb1="E9DFFFFF" w:usb2="0000003F" w:usb3="00000000" w:csb0="003F01FF" w:csb1="00000000"/>
  </w:font>
  <w:font w:name="HelveticaNeueLT Pro 55 Roman">
    <w:altName w:val="Arial"/>
    <w:panose1 w:val="00000000000000000000"/>
    <w:charset w:val="4D"/>
    <w:family w:val="swiss"/>
    <w:notTrueType/>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2EF20" w14:textId="30D9C58F" w:rsidR="00155410" w:rsidRPr="00992A7C" w:rsidRDefault="00992A7C" w:rsidP="00BA7D1F">
    <w:pPr>
      <w:jc w:val="right"/>
      <w:rPr>
        <w:sz w:val="19"/>
        <w:szCs w:val="19"/>
      </w:rPr>
    </w:pPr>
    <w:r w:rsidRPr="00992A7C">
      <w:rPr>
        <w:rFonts w:cs="Open Sans"/>
        <w:b/>
        <w:sz w:val="19"/>
        <w:szCs w:val="19"/>
      </w:rPr>
      <w:t>Ms HM and Master YM v Commonwealth (Department of Home Affairs)</w:t>
    </w:r>
    <w:r w:rsidRPr="00992A7C">
      <w:rPr>
        <w:rFonts w:cs="Open Sans"/>
        <w:sz w:val="19"/>
        <w:szCs w:val="19"/>
      </w:rPr>
      <w:t xml:space="preserve"> • [201</w:t>
    </w:r>
    <w:r w:rsidR="00DD527E">
      <w:rPr>
        <w:rFonts w:cs="Open Sans"/>
        <w:sz w:val="19"/>
        <w:szCs w:val="19"/>
      </w:rPr>
      <w:t>8</w:t>
    </w:r>
    <w:r w:rsidRPr="00992A7C">
      <w:rPr>
        <w:rFonts w:cs="Open Sans"/>
        <w:sz w:val="19"/>
        <w:szCs w:val="19"/>
      </w:rPr>
      <w:t xml:space="preserve">] </w:t>
    </w:r>
    <w:proofErr w:type="spellStart"/>
    <w:r w:rsidRPr="00992A7C">
      <w:rPr>
        <w:rFonts w:cs="Open Sans"/>
        <w:sz w:val="19"/>
        <w:szCs w:val="19"/>
      </w:rPr>
      <w:t>AusHRC</w:t>
    </w:r>
    <w:proofErr w:type="spellEnd"/>
    <w:r w:rsidRPr="00992A7C">
      <w:rPr>
        <w:rFonts w:cs="Open Sans"/>
        <w:sz w:val="19"/>
        <w:szCs w:val="19"/>
      </w:rPr>
      <w:t xml:space="preserve"> 127 • </w:t>
    </w:r>
    <w:r w:rsidR="00155410" w:rsidRPr="00992A7C">
      <w:rPr>
        <w:sz w:val="19"/>
        <w:szCs w:val="19"/>
      </w:rPr>
      <w:fldChar w:fldCharType="begin"/>
    </w:r>
    <w:r w:rsidR="00155410" w:rsidRPr="00992A7C">
      <w:rPr>
        <w:sz w:val="19"/>
        <w:szCs w:val="19"/>
      </w:rPr>
      <w:instrText xml:space="preserve"> PAGE   \* MERGEFORMAT </w:instrText>
    </w:r>
    <w:r w:rsidR="00155410" w:rsidRPr="00992A7C">
      <w:rPr>
        <w:sz w:val="19"/>
        <w:szCs w:val="19"/>
      </w:rPr>
      <w:fldChar w:fldCharType="separate"/>
    </w:r>
    <w:r w:rsidR="00BC4442">
      <w:rPr>
        <w:noProof/>
        <w:sz w:val="19"/>
        <w:szCs w:val="19"/>
      </w:rPr>
      <w:t>21</w:t>
    </w:r>
    <w:r w:rsidR="00155410" w:rsidRPr="00992A7C">
      <w:rPr>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D0DB8F" w14:textId="77777777" w:rsidR="002C047E" w:rsidRDefault="002C047E" w:rsidP="00F14C6D">
      <w:r>
        <w:separator/>
      </w:r>
    </w:p>
  </w:footnote>
  <w:footnote w:type="continuationSeparator" w:id="0">
    <w:p w14:paraId="30757BDB" w14:textId="77777777" w:rsidR="002C047E" w:rsidRDefault="002C047E" w:rsidP="00F14C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48259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C009348"/>
    <w:lvl w:ilvl="0">
      <w:numFmt w:val="decimal"/>
      <w:pStyle w:val="Dash"/>
      <w:lvlText w:val="*"/>
      <w:lvlJc w:val="left"/>
    </w:lvl>
  </w:abstractNum>
  <w:abstractNum w:abstractNumId="11" w15:restartNumberingAfterBreak="0">
    <w:nsid w:val="00AF6119"/>
    <w:multiLevelType w:val="hybridMultilevel"/>
    <w:tmpl w:val="A740CB70"/>
    <w:lvl w:ilvl="0" w:tplc="107E1B0E">
      <w:start w:val="1"/>
      <w:numFmt w:val="lowerLetter"/>
      <w:lvlText w:val="(%1)"/>
      <w:lvlJc w:val="left"/>
      <w:pPr>
        <w:ind w:left="2002" w:hanging="341"/>
      </w:pPr>
      <w:rPr>
        <w:rFonts w:ascii="Arial" w:eastAsia="Arial" w:hAnsi="Arial" w:cs="Arial" w:hint="default"/>
        <w:color w:val="231F20"/>
        <w:w w:val="100"/>
        <w:sz w:val="22"/>
        <w:szCs w:val="22"/>
      </w:rPr>
    </w:lvl>
    <w:lvl w:ilvl="1" w:tplc="70A87D8E">
      <w:numFmt w:val="bullet"/>
      <w:lvlText w:val="•"/>
      <w:lvlJc w:val="left"/>
      <w:pPr>
        <w:ind w:left="2787" w:hanging="341"/>
      </w:pPr>
      <w:rPr>
        <w:rFonts w:hint="default"/>
      </w:rPr>
    </w:lvl>
    <w:lvl w:ilvl="2" w:tplc="4F307122">
      <w:numFmt w:val="bullet"/>
      <w:lvlText w:val="•"/>
      <w:lvlJc w:val="left"/>
      <w:pPr>
        <w:ind w:left="3574" w:hanging="341"/>
      </w:pPr>
      <w:rPr>
        <w:rFonts w:hint="default"/>
      </w:rPr>
    </w:lvl>
    <w:lvl w:ilvl="3" w:tplc="BB740586">
      <w:numFmt w:val="bullet"/>
      <w:lvlText w:val="•"/>
      <w:lvlJc w:val="left"/>
      <w:pPr>
        <w:ind w:left="4360" w:hanging="341"/>
      </w:pPr>
      <w:rPr>
        <w:rFonts w:hint="default"/>
      </w:rPr>
    </w:lvl>
    <w:lvl w:ilvl="4" w:tplc="67DA88C4">
      <w:numFmt w:val="bullet"/>
      <w:lvlText w:val="•"/>
      <w:lvlJc w:val="left"/>
      <w:pPr>
        <w:ind w:left="5147" w:hanging="341"/>
      </w:pPr>
      <w:rPr>
        <w:rFonts w:hint="default"/>
      </w:rPr>
    </w:lvl>
    <w:lvl w:ilvl="5" w:tplc="5C220676">
      <w:numFmt w:val="bullet"/>
      <w:lvlText w:val="•"/>
      <w:lvlJc w:val="left"/>
      <w:pPr>
        <w:ind w:left="5933" w:hanging="341"/>
      </w:pPr>
      <w:rPr>
        <w:rFonts w:hint="default"/>
      </w:rPr>
    </w:lvl>
    <w:lvl w:ilvl="6" w:tplc="1E3C4BD6">
      <w:numFmt w:val="bullet"/>
      <w:lvlText w:val="•"/>
      <w:lvlJc w:val="left"/>
      <w:pPr>
        <w:ind w:left="6720" w:hanging="341"/>
      </w:pPr>
      <w:rPr>
        <w:rFonts w:hint="default"/>
      </w:rPr>
    </w:lvl>
    <w:lvl w:ilvl="7" w:tplc="BEC88B9E">
      <w:numFmt w:val="bullet"/>
      <w:lvlText w:val="•"/>
      <w:lvlJc w:val="left"/>
      <w:pPr>
        <w:ind w:left="7506" w:hanging="341"/>
      </w:pPr>
      <w:rPr>
        <w:rFonts w:hint="default"/>
      </w:rPr>
    </w:lvl>
    <w:lvl w:ilvl="8" w:tplc="B1B29696">
      <w:numFmt w:val="bullet"/>
      <w:lvlText w:val="•"/>
      <w:lvlJc w:val="left"/>
      <w:pPr>
        <w:ind w:left="8293" w:hanging="341"/>
      </w:pPr>
      <w:rPr>
        <w:rFonts w:hint="default"/>
      </w:rPr>
    </w:lvl>
  </w:abstractNum>
  <w:abstractNum w:abstractNumId="12" w15:restartNumberingAfterBreak="0">
    <w:nsid w:val="036B5C1A"/>
    <w:multiLevelType w:val="hybridMultilevel"/>
    <w:tmpl w:val="2AF0B57E"/>
    <w:lvl w:ilvl="0" w:tplc="CC48783C">
      <w:start w:val="1"/>
      <w:numFmt w:val="decimal"/>
      <w:lvlText w:val="%1."/>
      <w:lvlJc w:val="left"/>
      <w:pPr>
        <w:ind w:left="797" w:hanging="681"/>
      </w:pPr>
      <w:rPr>
        <w:rFonts w:ascii="Arial" w:eastAsia="Arial" w:hAnsi="Arial" w:cs="Arial" w:hint="default"/>
        <w:color w:val="231F20"/>
        <w:spacing w:val="-14"/>
        <w:w w:val="100"/>
        <w:sz w:val="24"/>
        <w:szCs w:val="24"/>
      </w:rPr>
    </w:lvl>
    <w:lvl w:ilvl="1" w:tplc="0C090001">
      <w:start w:val="1"/>
      <w:numFmt w:val="bullet"/>
      <w:lvlText w:val=""/>
      <w:lvlJc w:val="left"/>
      <w:pPr>
        <w:ind w:left="1648" w:hanging="227"/>
      </w:pPr>
      <w:rPr>
        <w:rFonts w:ascii="Symbol" w:hAnsi="Symbol" w:hint="default"/>
        <w:color w:val="231F20"/>
        <w:spacing w:val="-12"/>
        <w:w w:val="100"/>
        <w:sz w:val="22"/>
        <w:szCs w:val="22"/>
      </w:rPr>
    </w:lvl>
    <w:lvl w:ilvl="2" w:tplc="F9D8901C">
      <w:numFmt w:val="bullet"/>
      <w:lvlText w:val="•"/>
      <w:lvlJc w:val="left"/>
      <w:pPr>
        <w:ind w:left="2480" w:hanging="227"/>
      </w:pPr>
      <w:rPr>
        <w:rFonts w:hint="default"/>
      </w:rPr>
    </w:lvl>
    <w:lvl w:ilvl="3" w:tplc="0EF419F4">
      <w:numFmt w:val="bullet"/>
      <w:lvlText w:val="•"/>
      <w:lvlJc w:val="left"/>
      <w:pPr>
        <w:ind w:left="3321" w:hanging="227"/>
      </w:pPr>
      <w:rPr>
        <w:rFonts w:hint="default"/>
      </w:rPr>
    </w:lvl>
    <w:lvl w:ilvl="4" w:tplc="F41ECD4E">
      <w:numFmt w:val="bullet"/>
      <w:lvlText w:val="•"/>
      <w:lvlJc w:val="left"/>
      <w:pPr>
        <w:ind w:left="4161" w:hanging="227"/>
      </w:pPr>
      <w:rPr>
        <w:rFonts w:hint="default"/>
      </w:rPr>
    </w:lvl>
    <w:lvl w:ilvl="5" w:tplc="DD54768C">
      <w:numFmt w:val="bullet"/>
      <w:lvlText w:val="•"/>
      <w:lvlJc w:val="left"/>
      <w:pPr>
        <w:ind w:left="5002" w:hanging="227"/>
      </w:pPr>
      <w:rPr>
        <w:rFonts w:hint="default"/>
      </w:rPr>
    </w:lvl>
    <w:lvl w:ilvl="6" w:tplc="6E60E896">
      <w:numFmt w:val="bullet"/>
      <w:lvlText w:val="•"/>
      <w:lvlJc w:val="left"/>
      <w:pPr>
        <w:ind w:left="5843" w:hanging="227"/>
      </w:pPr>
      <w:rPr>
        <w:rFonts w:hint="default"/>
      </w:rPr>
    </w:lvl>
    <w:lvl w:ilvl="7" w:tplc="468E0412">
      <w:numFmt w:val="bullet"/>
      <w:lvlText w:val="•"/>
      <w:lvlJc w:val="left"/>
      <w:pPr>
        <w:ind w:left="6683" w:hanging="227"/>
      </w:pPr>
      <w:rPr>
        <w:rFonts w:hint="default"/>
      </w:rPr>
    </w:lvl>
    <w:lvl w:ilvl="8" w:tplc="64E05C64">
      <w:numFmt w:val="bullet"/>
      <w:lvlText w:val="•"/>
      <w:lvlJc w:val="left"/>
      <w:pPr>
        <w:ind w:left="7524" w:hanging="227"/>
      </w:pPr>
      <w:rPr>
        <w:rFonts w:hint="default"/>
      </w:rPr>
    </w:lvl>
  </w:abstractNum>
  <w:abstractNum w:abstractNumId="13" w15:restartNumberingAfterBreak="0">
    <w:nsid w:val="03807DD2"/>
    <w:multiLevelType w:val="hybridMultilevel"/>
    <w:tmpl w:val="5636D87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04B656DB"/>
    <w:multiLevelType w:val="hybridMultilevel"/>
    <w:tmpl w:val="A740CB70"/>
    <w:lvl w:ilvl="0" w:tplc="107E1B0E">
      <w:start w:val="1"/>
      <w:numFmt w:val="lowerLetter"/>
      <w:lvlText w:val="(%1)"/>
      <w:lvlJc w:val="left"/>
      <w:pPr>
        <w:ind w:left="2002" w:hanging="341"/>
      </w:pPr>
      <w:rPr>
        <w:rFonts w:ascii="Arial" w:eastAsia="Arial" w:hAnsi="Arial" w:cs="Arial" w:hint="default"/>
        <w:color w:val="231F20"/>
        <w:w w:val="100"/>
        <w:sz w:val="22"/>
        <w:szCs w:val="22"/>
      </w:rPr>
    </w:lvl>
    <w:lvl w:ilvl="1" w:tplc="70A87D8E">
      <w:numFmt w:val="bullet"/>
      <w:lvlText w:val="•"/>
      <w:lvlJc w:val="left"/>
      <w:pPr>
        <w:ind w:left="2787" w:hanging="341"/>
      </w:pPr>
      <w:rPr>
        <w:rFonts w:hint="default"/>
      </w:rPr>
    </w:lvl>
    <w:lvl w:ilvl="2" w:tplc="4F307122">
      <w:numFmt w:val="bullet"/>
      <w:lvlText w:val="•"/>
      <w:lvlJc w:val="left"/>
      <w:pPr>
        <w:ind w:left="3574" w:hanging="341"/>
      </w:pPr>
      <w:rPr>
        <w:rFonts w:hint="default"/>
      </w:rPr>
    </w:lvl>
    <w:lvl w:ilvl="3" w:tplc="BB740586">
      <w:numFmt w:val="bullet"/>
      <w:lvlText w:val="•"/>
      <w:lvlJc w:val="left"/>
      <w:pPr>
        <w:ind w:left="4360" w:hanging="341"/>
      </w:pPr>
      <w:rPr>
        <w:rFonts w:hint="default"/>
      </w:rPr>
    </w:lvl>
    <w:lvl w:ilvl="4" w:tplc="67DA88C4">
      <w:numFmt w:val="bullet"/>
      <w:lvlText w:val="•"/>
      <w:lvlJc w:val="left"/>
      <w:pPr>
        <w:ind w:left="5147" w:hanging="341"/>
      </w:pPr>
      <w:rPr>
        <w:rFonts w:hint="default"/>
      </w:rPr>
    </w:lvl>
    <w:lvl w:ilvl="5" w:tplc="5C220676">
      <w:numFmt w:val="bullet"/>
      <w:lvlText w:val="•"/>
      <w:lvlJc w:val="left"/>
      <w:pPr>
        <w:ind w:left="5933" w:hanging="341"/>
      </w:pPr>
      <w:rPr>
        <w:rFonts w:hint="default"/>
      </w:rPr>
    </w:lvl>
    <w:lvl w:ilvl="6" w:tplc="1E3C4BD6">
      <w:numFmt w:val="bullet"/>
      <w:lvlText w:val="•"/>
      <w:lvlJc w:val="left"/>
      <w:pPr>
        <w:ind w:left="6720" w:hanging="341"/>
      </w:pPr>
      <w:rPr>
        <w:rFonts w:hint="default"/>
      </w:rPr>
    </w:lvl>
    <w:lvl w:ilvl="7" w:tplc="BEC88B9E">
      <w:numFmt w:val="bullet"/>
      <w:lvlText w:val="•"/>
      <w:lvlJc w:val="left"/>
      <w:pPr>
        <w:ind w:left="7506" w:hanging="341"/>
      </w:pPr>
      <w:rPr>
        <w:rFonts w:hint="default"/>
      </w:rPr>
    </w:lvl>
    <w:lvl w:ilvl="8" w:tplc="B1B29696">
      <w:numFmt w:val="bullet"/>
      <w:lvlText w:val="•"/>
      <w:lvlJc w:val="left"/>
      <w:pPr>
        <w:ind w:left="8293" w:hanging="341"/>
      </w:pPr>
      <w:rPr>
        <w:rFonts w:hint="default"/>
      </w:rPr>
    </w:lvl>
  </w:abstractNum>
  <w:abstractNum w:abstractNumId="15" w15:restartNumberingAfterBreak="0">
    <w:nsid w:val="060801F2"/>
    <w:multiLevelType w:val="hybridMultilevel"/>
    <w:tmpl w:val="1A20C148"/>
    <w:lvl w:ilvl="0" w:tplc="0CDEEFAC">
      <w:start w:val="1"/>
      <w:numFmt w:val="decimal"/>
      <w:pStyle w:val="BodyListParagraph"/>
      <w:lvlText w:val="%1."/>
      <w:lvlJc w:val="left"/>
      <w:pPr>
        <w:tabs>
          <w:tab w:val="num" w:pos="680"/>
        </w:tabs>
        <w:ind w:left="680" w:hanging="680"/>
      </w:pPr>
      <w:rPr>
        <w:rFonts w:ascii="Arial" w:hAnsi="Arial"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377CF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4677A96"/>
    <w:multiLevelType w:val="hybridMultilevel"/>
    <w:tmpl w:val="483EEB74"/>
    <w:lvl w:ilvl="0" w:tplc="CC48783C">
      <w:start w:val="1"/>
      <w:numFmt w:val="decimal"/>
      <w:lvlText w:val="%1."/>
      <w:lvlJc w:val="left"/>
      <w:pPr>
        <w:ind w:left="797" w:hanging="681"/>
      </w:pPr>
      <w:rPr>
        <w:rFonts w:ascii="Arial" w:eastAsia="Arial" w:hAnsi="Arial" w:cs="Arial" w:hint="default"/>
        <w:color w:val="231F20"/>
        <w:spacing w:val="-14"/>
        <w:w w:val="100"/>
        <w:sz w:val="24"/>
        <w:szCs w:val="24"/>
      </w:rPr>
    </w:lvl>
    <w:lvl w:ilvl="1" w:tplc="0C090001">
      <w:start w:val="1"/>
      <w:numFmt w:val="bullet"/>
      <w:lvlText w:val=""/>
      <w:lvlJc w:val="left"/>
      <w:pPr>
        <w:ind w:left="1648" w:hanging="227"/>
      </w:pPr>
      <w:rPr>
        <w:rFonts w:ascii="Symbol" w:hAnsi="Symbol" w:hint="default"/>
        <w:color w:val="231F20"/>
        <w:spacing w:val="-12"/>
        <w:w w:val="100"/>
        <w:sz w:val="22"/>
        <w:szCs w:val="22"/>
      </w:rPr>
    </w:lvl>
    <w:lvl w:ilvl="2" w:tplc="F9D8901C">
      <w:numFmt w:val="bullet"/>
      <w:lvlText w:val="•"/>
      <w:lvlJc w:val="left"/>
      <w:pPr>
        <w:ind w:left="2480" w:hanging="227"/>
      </w:pPr>
      <w:rPr>
        <w:rFonts w:hint="default"/>
      </w:rPr>
    </w:lvl>
    <w:lvl w:ilvl="3" w:tplc="0EF419F4">
      <w:numFmt w:val="bullet"/>
      <w:lvlText w:val="•"/>
      <w:lvlJc w:val="left"/>
      <w:pPr>
        <w:ind w:left="3321" w:hanging="227"/>
      </w:pPr>
      <w:rPr>
        <w:rFonts w:hint="default"/>
      </w:rPr>
    </w:lvl>
    <w:lvl w:ilvl="4" w:tplc="F41ECD4E">
      <w:numFmt w:val="bullet"/>
      <w:lvlText w:val="•"/>
      <w:lvlJc w:val="left"/>
      <w:pPr>
        <w:ind w:left="4161" w:hanging="227"/>
      </w:pPr>
      <w:rPr>
        <w:rFonts w:hint="default"/>
      </w:rPr>
    </w:lvl>
    <w:lvl w:ilvl="5" w:tplc="DD54768C">
      <w:numFmt w:val="bullet"/>
      <w:lvlText w:val="•"/>
      <w:lvlJc w:val="left"/>
      <w:pPr>
        <w:ind w:left="5002" w:hanging="227"/>
      </w:pPr>
      <w:rPr>
        <w:rFonts w:hint="default"/>
      </w:rPr>
    </w:lvl>
    <w:lvl w:ilvl="6" w:tplc="6E60E896">
      <w:numFmt w:val="bullet"/>
      <w:lvlText w:val="•"/>
      <w:lvlJc w:val="left"/>
      <w:pPr>
        <w:ind w:left="5843" w:hanging="227"/>
      </w:pPr>
      <w:rPr>
        <w:rFonts w:hint="default"/>
      </w:rPr>
    </w:lvl>
    <w:lvl w:ilvl="7" w:tplc="468E0412">
      <w:numFmt w:val="bullet"/>
      <w:lvlText w:val="•"/>
      <w:lvlJc w:val="left"/>
      <w:pPr>
        <w:ind w:left="6683" w:hanging="227"/>
      </w:pPr>
      <w:rPr>
        <w:rFonts w:hint="default"/>
      </w:rPr>
    </w:lvl>
    <w:lvl w:ilvl="8" w:tplc="64E05C64">
      <w:numFmt w:val="bullet"/>
      <w:lvlText w:val="•"/>
      <w:lvlJc w:val="left"/>
      <w:pPr>
        <w:ind w:left="7524" w:hanging="227"/>
      </w:pPr>
      <w:rPr>
        <w:rFonts w:hint="default"/>
      </w:rPr>
    </w:lvl>
  </w:abstractNum>
  <w:abstractNum w:abstractNumId="18" w15:restartNumberingAfterBreak="0">
    <w:nsid w:val="16B43D8C"/>
    <w:multiLevelType w:val="hybridMultilevel"/>
    <w:tmpl w:val="ADEE3042"/>
    <w:lvl w:ilvl="0" w:tplc="C4A6B3C4">
      <w:start w:val="1"/>
      <w:numFmt w:val="bullet"/>
      <w:lvlText w:val="•"/>
      <w:lvlJc w:val="left"/>
      <w:pPr>
        <w:ind w:left="1364" w:hanging="171"/>
      </w:pPr>
      <w:rPr>
        <w:rFonts w:ascii="Arial" w:eastAsia="Arial" w:hAnsi="Arial" w:hint="default"/>
        <w:color w:val="231F20"/>
        <w:w w:val="99"/>
        <w:sz w:val="24"/>
        <w:szCs w:val="24"/>
      </w:rPr>
    </w:lvl>
    <w:lvl w:ilvl="1" w:tplc="D272085C">
      <w:start w:val="1"/>
      <w:numFmt w:val="bullet"/>
      <w:lvlText w:val="•"/>
      <w:lvlJc w:val="left"/>
      <w:pPr>
        <w:ind w:left="2154" w:hanging="171"/>
      </w:pPr>
      <w:rPr>
        <w:rFonts w:hint="default"/>
      </w:rPr>
    </w:lvl>
    <w:lvl w:ilvl="2" w:tplc="2B2C99F4">
      <w:start w:val="1"/>
      <w:numFmt w:val="bullet"/>
      <w:lvlText w:val="•"/>
      <w:lvlJc w:val="left"/>
      <w:pPr>
        <w:ind w:left="2949" w:hanging="171"/>
      </w:pPr>
      <w:rPr>
        <w:rFonts w:hint="default"/>
      </w:rPr>
    </w:lvl>
    <w:lvl w:ilvl="3" w:tplc="A5646B8A">
      <w:start w:val="1"/>
      <w:numFmt w:val="bullet"/>
      <w:lvlText w:val="•"/>
      <w:lvlJc w:val="left"/>
      <w:pPr>
        <w:ind w:left="3743" w:hanging="171"/>
      </w:pPr>
      <w:rPr>
        <w:rFonts w:hint="default"/>
      </w:rPr>
    </w:lvl>
    <w:lvl w:ilvl="4" w:tplc="EC1A67E6">
      <w:start w:val="1"/>
      <w:numFmt w:val="bullet"/>
      <w:lvlText w:val="•"/>
      <w:lvlJc w:val="left"/>
      <w:pPr>
        <w:ind w:left="4538" w:hanging="171"/>
      </w:pPr>
      <w:rPr>
        <w:rFonts w:hint="default"/>
      </w:rPr>
    </w:lvl>
    <w:lvl w:ilvl="5" w:tplc="605045D4">
      <w:start w:val="1"/>
      <w:numFmt w:val="bullet"/>
      <w:lvlText w:val="•"/>
      <w:lvlJc w:val="left"/>
      <w:pPr>
        <w:ind w:left="5332" w:hanging="171"/>
      </w:pPr>
      <w:rPr>
        <w:rFonts w:hint="default"/>
      </w:rPr>
    </w:lvl>
    <w:lvl w:ilvl="6" w:tplc="3D86C414">
      <w:start w:val="1"/>
      <w:numFmt w:val="bullet"/>
      <w:lvlText w:val="•"/>
      <w:lvlJc w:val="left"/>
      <w:pPr>
        <w:ind w:left="6127" w:hanging="171"/>
      </w:pPr>
      <w:rPr>
        <w:rFonts w:hint="default"/>
      </w:rPr>
    </w:lvl>
    <w:lvl w:ilvl="7" w:tplc="D1DC5CCC">
      <w:start w:val="1"/>
      <w:numFmt w:val="bullet"/>
      <w:lvlText w:val="•"/>
      <w:lvlJc w:val="left"/>
      <w:pPr>
        <w:ind w:left="6921" w:hanging="171"/>
      </w:pPr>
      <w:rPr>
        <w:rFonts w:hint="default"/>
      </w:rPr>
    </w:lvl>
    <w:lvl w:ilvl="8" w:tplc="566A950A">
      <w:start w:val="1"/>
      <w:numFmt w:val="bullet"/>
      <w:lvlText w:val="•"/>
      <w:lvlJc w:val="left"/>
      <w:pPr>
        <w:ind w:left="7716" w:hanging="171"/>
      </w:pPr>
      <w:rPr>
        <w:rFonts w:hint="default"/>
      </w:rPr>
    </w:lvl>
  </w:abstractNum>
  <w:abstractNum w:abstractNumId="19" w15:restartNumberingAfterBreak="0">
    <w:nsid w:val="18AC303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A73616A"/>
    <w:multiLevelType w:val="hybridMultilevel"/>
    <w:tmpl w:val="B99AEB08"/>
    <w:lvl w:ilvl="0" w:tplc="39D4F0F2">
      <w:start w:val="1"/>
      <w:numFmt w:val="lowerLetter"/>
      <w:lvlText w:val="(%1)"/>
      <w:lvlJc w:val="left"/>
      <w:pPr>
        <w:ind w:left="797" w:hanging="681"/>
      </w:pPr>
      <w:rPr>
        <w:rFonts w:ascii="Arial" w:eastAsia="Arial" w:hAnsi="Arial" w:cs="Arial" w:hint="default"/>
        <w:b/>
        <w:bCs/>
        <w:color w:val="231F20"/>
        <w:spacing w:val="-10"/>
        <w:w w:val="100"/>
        <w:sz w:val="24"/>
        <w:szCs w:val="24"/>
      </w:rPr>
    </w:lvl>
    <w:lvl w:ilvl="1" w:tplc="0A3E2D4A">
      <w:numFmt w:val="bullet"/>
      <w:lvlText w:val="•"/>
      <w:lvlJc w:val="left"/>
      <w:pPr>
        <w:ind w:left="1642" w:hanging="681"/>
      </w:pPr>
      <w:rPr>
        <w:rFonts w:hint="default"/>
      </w:rPr>
    </w:lvl>
    <w:lvl w:ilvl="2" w:tplc="EC1C9B4E">
      <w:numFmt w:val="bullet"/>
      <w:lvlText w:val="•"/>
      <w:lvlJc w:val="left"/>
      <w:pPr>
        <w:ind w:left="2485" w:hanging="681"/>
      </w:pPr>
      <w:rPr>
        <w:rFonts w:hint="default"/>
      </w:rPr>
    </w:lvl>
    <w:lvl w:ilvl="3" w:tplc="AA840A10">
      <w:numFmt w:val="bullet"/>
      <w:lvlText w:val="•"/>
      <w:lvlJc w:val="left"/>
      <w:pPr>
        <w:ind w:left="3327" w:hanging="681"/>
      </w:pPr>
      <w:rPr>
        <w:rFonts w:hint="default"/>
      </w:rPr>
    </w:lvl>
    <w:lvl w:ilvl="4" w:tplc="856C0504">
      <w:numFmt w:val="bullet"/>
      <w:lvlText w:val="•"/>
      <w:lvlJc w:val="left"/>
      <w:pPr>
        <w:ind w:left="4170" w:hanging="681"/>
      </w:pPr>
      <w:rPr>
        <w:rFonts w:hint="default"/>
      </w:rPr>
    </w:lvl>
    <w:lvl w:ilvl="5" w:tplc="B8288FAA">
      <w:numFmt w:val="bullet"/>
      <w:lvlText w:val="•"/>
      <w:lvlJc w:val="left"/>
      <w:pPr>
        <w:ind w:left="5012" w:hanging="681"/>
      </w:pPr>
      <w:rPr>
        <w:rFonts w:hint="default"/>
      </w:rPr>
    </w:lvl>
    <w:lvl w:ilvl="6" w:tplc="D748685A">
      <w:numFmt w:val="bullet"/>
      <w:lvlText w:val="•"/>
      <w:lvlJc w:val="left"/>
      <w:pPr>
        <w:ind w:left="5855" w:hanging="681"/>
      </w:pPr>
      <w:rPr>
        <w:rFonts w:hint="default"/>
      </w:rPr>
    </w:lvl>
    <w:lvl w:ilvl="7" w:tplc="CD42FD6C">
      <w:numFmt w:val="bullet"/>
      <w:lvlText w:val="•"/>
      <w:lvlJc w:val="left"/>
      <w:pPr>
        <w:ind w:left="6697" w:hanging="681"/>
      </w:pPr>
      <w:rPr>
        <w:rFonts w:hint="default"/>
      </w:rPr>
    </w:lvl>
    <w:lvl w:ilvl="8" w:tplc="C84E0130">
      <w:numFmt w:val="bullet"/>
      <w:lvlText w:val="•"/>
      <w:lvlJc w:val="left"/>
      <w:pPr>
        <w:ind w:left="7540" w:hanging="681"/>
      </w:pPr>
      <w:rPr>
        <w:rFonts w:hint="default"/>
      </w:rPr>
    </w:lvl>
  </w:abstractNum>
  <w:abstractNum w:abstractNumId="21" w15:restartNumberingAfterBreak="0">
    <w:nsid w:val="1DCB237C"/>
    <w:multiLevelType w:val="hybridMultilevel"/>
    <w:tmpl w:val="CB0E8624"/>
    <w:lvl w:ilvl="0" w:tplc="FFFFFFFF">
      <w:start w:val="1"/>
      <w:numFmt w:val="decimal"/>
      <w:pStyle w:val="SubmissionNormal"/>
      <w:lvlText w:val="%1."/>
      <w:lvlJc w:val="left"/>
      <w:pPr>
        <w:tabs>
          <w:tab w:val="num" w:pos="3240"/>
        </w:tabs>
        <w:ind w:left="3240" w:hanging="360"/>
      </w:pPr>
      <w:rPr>
        <w:rFonts w:cs="Times New Roman" w:hint="default"/>
        <w:b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20337929"/>
    <w:multiLevelType w:val="singleLevel"/>
    <w:tmpl w:val="0862F6CA"/>
    <w:lvl w:ilvl="0">
      <w:start w:val="1"/>
      <w:numFmt w:val="bullet"/>
      <w:pStyle w:val="Bullet"/>
      <w:lvlText w:val="•"/>
      <w:lvlJc w:val="left"/>
      <w:pPr>
        <w:tabs>
          <w:tab w:val="num" w:pos="360"/>
        </w:tabs>
        <w:ind w:left="360" w:hanging="360"/>
      </w:pPr>
      <w:rPr>
        <w:rFonts w:ascii="Arial" w:hAnsi="Arial" w:hint="default"/>
        <w:sz w:val="21"/>
      </w:rPr>
    </w:lvl>
  </w:abstractNum>
  <w:abstractNum w:abstractNumId="23"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260A13C5"/>
    <w:multiLevelType w:val="hybridMultilevel"/>
    <w:tmpl w:val="E83E56C8"/>
    <w:lvl w:ilvl="0" w:tplc="7A58F36C">
      <w:start w:val="1"/>
      <w:numFmt w:val="lowerLetter"/>
      <w:lvlText w:val="(%1)"/>
      <w:lvlJc w:val="left"/>
      <w:pPr>
        <w:ind w:left="2421" w:hanging="360"/>
      </w:pPr>
      <w:rPr>
        <w:rFont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25" w15:restartNumberingAfterBreak="0">
    <w:nsid w:val="297817C3"/>
    <w:multiLevelType w:val="multilevel"/>
    <w:tmpl w:val="20A0E41A"/>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ascii="Arial" w:hAnsi="Arial" w:hint="default"/>
        <w:b w:val="0"/>
        <w:i/>
        <w:sz w:val="24"/>
      </w:rPr>
    </w:lvl>
    <w:lvl w:ilvl="3">
      <w:start w:val="1"/>
      <w:numFmt w:val="lowerRoman"/>
      <w:pStyle w:val="Heading4"/>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2FEC38E4"/>
    <w:multiLevelType w:val="hybridMultilevel"/>
    <w:tmpl w:val="BDD62F94"/>
    <w:lvl w:ilvl="0" w:tplc="CC48783C">
      <w:start w:val="1"/>
      <w:numFmt w:val="decimal"/>
      <w:lvlText w:val="%1."/>
      <w:lvlJc w:val="left"/>
      <w:pPr>
        <w:ind w:left="797" w:hanging="681"/>
      </w:pPr>
      <w:rPr>
        <w:rFonts w:ascii="Arial" w:eastAsia="Arial" w:hAnsi="Arial" w:cs="Arial" w:hint="default"/>
        <w:color w:val="231F20"/>
        <w:spacing w:val="-14"/>
        <w:w w:val="100"/>
        <w:sz w:val="24"/>
        <w:szCs w:val="24"/>
      </w:rPr>
    </w:lvl>
    <w:lvl w:ilvl="1" w:tplc="21342842">
      <w:numFmt w:val="bullet"/>
      <w:lvlText w:val="•"/>
      <w:lvlJc w:val="left"/>
      <w:pPr>
        <w:ind w:left="1648" w:hanging="227"/>
      </w:pPr>
      <w:rPr>
        <w:rFonts w:ascii="Arial" w:eastAsia="Arial" w:hAnsi="Arial" w:cs="Arial" w:hint="default"/>
        <w:color w:val="231F20"/>
        <w:spacing w:val="-12"/>
        <w:w w:val="100"/>
        <w:sz w:val="22"/>
        <w:szCs w:val="22"/>
      </w:rPr>
    </w:lvl>
    <w:lvl w:ilvl="2" w:tplc="F9D8901C">
      <w:numFmt w:val="bullet"/>
      <w:lvlText w:val="•"/>
      <w:lvlJc w:val="left"/>
      <w:pPr>
        <w:ind w:left="2480" w:hanging="227"/>
      </w:pPr>
      <w:rPr>
        <w:rFonts w:hint="default"/>
      </w:rPr>
    </w:lvl>
    <w:lvl w:ilvl="3" w:tplc="0EF419F4">
      <w:numFmt w:val="bullet"/>
      <w:lvlText w:val="•"/>
      <w:lvlJc w:val="left"/>
      <w:pPr>
        <w:ind w:left="3321" w:hanging="227"/>
      </w:pPr>
      <w:rPr>
        <w:rFonts w:hint="default"/>
      </w:rPr>
    </w:lvl>
    <w:lvl w:ilvl="4" w:tplc="F41ECD4E">
      <w:numFmt w:val="bullet"/>
      <w:lvlText w:val="•"/>
      <w:lvlJc w:val="left"/>
      <w:pPr>
        <w:ind w:left="4161" w:hanging="227"/>
      </w:pPr>
      <w:rPr>
        <w:rFonts w:hint="default"/>
      </w:rPr>
    </w:lvl>
    <w:lvl w:ilvl="5" w:tplc="DD54768C">
      <w:numFmt w:val="bullet"/>
      <w:lvlText w:val="•"/>
      <w:lvlJc w:val="left"/>
      <w:pPr>
        <w:ind w:left="5002" w:hanging="227"/>
      </w:pPr>
      <w:rPr>
        <w:rFonts w:hint="default"/>
      </w:rPr>
    </w:lvl>
    <w:lvl w:ilvl="6" w:tplc="6E60E896">
      <w:numFmt w:val="bullet"/>
      <w:lvlText w:val="•"/>
      <w:lvlJc w:val="left"/>
      <w:pPr>
        <w:ind w:left="5843" w:hanging="227"/>
      </w:pPr>
      <w:rPr>
        <w:rFonts w:hint="default"/>
      </w:rPr>
    </w:lvl>
    <w:lvl w:ilvl="7" w:tplc="468E0412">
      <w:numFmt w:val="bullet"/>
      <w:lvlText w:val="•"/>
      <w:lvlJc w:val="left"/>
      <w:pPr>
        <w:ind w:left="6683" w:hanging="227"/>
      </w:pPr>
      <w:rPr>
        <w:rFonts w:hint="default"/>
      </w:rPr>
    </w:lvl>
    <w:lvl w:ilvl="8" w:tplc="64E05C64">
      <w:numFmt w:val="bullet"/>
      <w:lvlText w:val="•"/>
      <w:lvlJc w:val="left"/>
      <w:pPr>
        <w:ind w:left="7524" w:hanging="227"/>
      </w:pPr>
      <w:rPr>
        <w:rFonts w:hint="default"/>
      </w:rPr>
    </w:lvl>
  </w:abstractNum>
  <w:abstractNum w:abstractNumId="27" w15:restartNumberingAfterBreak="0">
    <w:nsid w:val="307667D0"/>
    <w:multiLevelType w:val="hybridMultilevel"/>
    <w:tmpl w:val="C6E853E6"/>
    <w:lvl w:ilvl="0" w:tplc="024C9BB6">
      <w:start w:val="1"/>
      <w:numFmt w:val="decimal"/>
      <w:lvlText w:val="%1."/>
      <w:lvlJc w:val="left"/>
      <w:pPr>
        <w:ind w:left="797" w:hanging="681"/>
      </w:pPr>
      <w:rPr>
        <w:rFonts w:ascii="Arial" w:eastAsia="Arial" w:hAnsi="Arial" w:cs="Arial" w:hint="default"/>
        <w:color w:val="231F20"/>
        <w:spacing w:val="-14"/>
        <w:w w:val="100"/>
        <w:sz w:val="24"/>
        <w:szCs w:val="24"/>
      </w:rPr>
    </w:lvl>
    <w:lvl w:ilvl="1" w:tplc="0CB26E1A">
      <w:numFmt w:val="bullet"/>
      <w:lvlText w:val="•"/>
      <w:lvlJc w:val="left"/>
      <w:pPr>
        <w:ind w:left="1648" w:hanging="227"/>
      </w:pPr>
      <w:rPr>
        <w:rFonts w:hint="default"/>
        <w:spacing w:val="-5"/>
        <w:w w:val="100"/>
      </w:rPr>
    </w:lvl>
    <w:lvl w:ilvl="2" w:tplc="56AA4458">
      <w:numFmt w:val="bullet"/>
      <w:lvlText w:val="•"/>
      <w:lvlJc w:val="left"/>
      <w:pPr>
        <w:ind w:left="2489" w:hanging="227"/>
      </w:pPr>
      <w:rPr>
        <w:rFonts w:hint="default"/>
      </w:rPr>
    </w:lvl>
    <w:lvl w:ilvl="3" w:tplc="566CF8A4">
      <w:numFmt w:val="bullet"/>
      <w:lvlText w:val="•"/>
      <w:lvlJc w:val="left"/>
      <w:pPr>
        <w:ind w:left="3339" w:hanging="227"/>
      </w:pPr>
      <w:rPr>
        <w:rFonts w:hint="default"/>
      </w:rPr>
    </w:lvl>
    <w:lvl w:ilvl="4" w:tplc="385EE8E6">
      <w:numFmt w:val="bullet"/>
      <w:lvlText w:val="•"/>
      <w:lvlJc w:val="left"/>
      <w:pPr>
        <w:ind w:left="4188" w:hanging="227"/>
      </w:pPr>
      <w:rPr>
        <w:rFonts w:hint="default"/>
      </w:rPr>
    </w:lvl>
    <w:lvl w:ilvl="5" w:tplc="3C9A4B70">
      <w:numFmt w:val="bullet"/>
      <w:lvlText w:val="•"/>
      <w:lvlJc w:val="left"/>
      <w:pPr>
        <w:ind w:left="5038" w:hanging="227"/>
      </w:pPr>
      <w:rPr>
        <w:rFonts w:hint="default"/>
      </w:rPr>
    </w:lvl>
    <w:lvl w:ilvl="6" w:tplc="9F82E486">
      <w:numFmt w:val="bullet"/>
      <w:lvlText w:val="•"/>
      <w:lvlJc w:val="left"/>
      <w:pPr>
        <w:ind w:left="5887" w:hanging="227"/>
      </w:pPr>
      <w:rPr>
        <w:rFonts w:hint="default"/>
      </w:rPr>
    </w:lvl>
    <w:lvl w:ilvl="7" w:tplc="8F2059C0">
      <w:numFmt w:val="bullet"/>
      <w:lvlText w:val="•"/>
      <w:lvlJc w:val="left"/>
      <w:pPr>
        <w:ind w:left="6737" w:hanging="227"/>
      </w:pPr>
      <w:rPr>
        <w:rFonts w:hint="default"/>
      </w:rPr>
    </w:lvl>
    <w:lvl w:ilvl="8" w:tplc="6FBC07B0">
      <w:numFmt w:val="bullet"/>
      <w:lvlText w:val="•"/>
      <w:lvlJc w:val="left"/>
      <w:pPr>
        <w:ind w:left="7586" w:hanging="227"/>
      </w:pPr>
      <w:rPr>
        <w:rFonts w:hint="default"/>
      </w:rPr>
    </w:lvl>
  </w:abstractNum>
  <w:abstractNum w:abstractNumId="28" w15:restartNumberingAfterBreak="0">
    <w:nsid w:val="31D275F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49031F4"/>
    <w:multiLevelType w:val="hybridMultilevel"/>
    <w:tmpl w:val="19508716"/>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0" w15:restartNumberingAfterBreak="0">
    <w:nsid w:val="34D1682C"/>
    <w:multiLevelType w:val="hybridMultilevel"/>
    <w:tmpl w:val="9094063C"/>
    <w:lvl w:ilvl="0" w:tplc="FA74FE3A">
      <w:start w:val="1"/>
      <w:numFmt w:val="lowerLetter"/>
      <w:lvlText w:val="%1."/>
      <w:lvlJc w:val="left"/>
      <w:pPr>
        <w:ind w:left="2457" w:hanging="360"/>
      </w:pPr>
      <w:rPr>
        <w:rFonts w:cs="Arial" w:hint="default"/>
      </w:rPr>
    </w:lvl>
    <w:lvl w:ilvl="1" w:tplc="0C090019" w:tentative="1">
      <w:start w:val="1"/>
      <w:numFmt w:val="lowerLetter"/>
      <w:lvlText w:val="%2."/>
      <w:lvlJc w:val="left"/>
      <w:pPr>
        <w:ind w:left="3177" w:hanging="360"/>
      </w:pPr>
    </w:lvl>
    <w:lvl w:ilvl="2" w:tplc="0C09001B" w:tentative="1">
      <w:start w:val="1"/>
      <w:numFmt w:val="lowerRoman"/>
      <w:lvlText w:val="%3."/>
      <w:lvlJc w:val="right"/>
      <w:pPr>
        <w:ind w:left="3897" w:hanging="180"/>
      </w:pPr>
    </w:lvl>
    <w:lvl w:ilvl="3" w:tplc="0C09000F" w:tentative="1">
      <w:start w:val="1"/>
      <w:numFmt w:val="decimal"/>
      <w:lvlText w:val="%4."/>
      <w:lvlJc w:val="left"/>
      <w:pPr>
        <w:ind w:left="4617" w:hanging="360"/>
      </w:pPr>
    </w:lvl>
    <w:lvl w:ilvl="4" w:tplc="0C090019" w:tentative="1">
      <w:start w:val="1"/>
      <w:numFmt w:val="lowerLetter"/>
      <w:lvlText w:val="%5."/>
      <w:lvlJc w:val="left"/>
      <w:pPr>
        <w:ind w:left="5337" w:hanging="360"/>
      </w:pPr>
    </w:lvl>
    <w:lvl w:ilvl="5" w:tplc="0C09001B" w:tentative="1">
      <w:start w:val="1"/>
      <w:numFmt w:val="lowerRoman"/>
      <w:lvlText w:val="%6."/>
      <w:lvlJc w:val="right"/>
      <w:pPr>
        <w:ind w:left="6057" w:hanging="180"/>
      </w:pPr>
    </w:lvl>
    <w:lvl w:ilvl="6" w:tplc="0C09000F" w:tentative="1">
      <w:start w:val="1"/>
      <w:numFmt w:val="decimal"/>
      <w:lvlText w:val="%7."/>
      <w:lvlJc w:val="left"/>
      <w:pPr>
        <w:ind w:left="6777" w:hanging="360"/>
      </w:pPr>
    </w:lvl>
    <w:lvl w:ilvl="7" w:tplc="0C090019" w:tentative="1">
      <w:start w:val="1"/>
      <w:numFmt w:val="lowerLetter"/>
      <w:lvlText w:val="%8."/>
      <w:lvlJc w:val="left"/>
      <w:pPr>
        <w:ind w:left="7497" w:hanging="360"/>
      </w:pPr>
    </w:lvl>
    <w:lvl w:ilvl="8" w:tplc="0C09001B" w:tentative="1">
      <w:start w:val="1"/>
      <w:numFmt w:val="lowerRoman"/>
      <w:lvlText w:val="%9."/>
      <w:lvlJc w:val="right"/>
      <w:pPr>
        <w:ind w:left="8217" w:hanging="180"/>
      </w:pPr>
    </w:lvl>
  </w:abstractNum>
  <w:abstractNum w:abstractNumId="31" w15:restartNumberingAfterBreak="0">
    <w:nsid w:val="3B155EDB"/>
    <w:multiLevelType w:val="hybridMultilevel"/>
    <w:tmpl w:val="A9F0E170"/>
    <w:lvl w:ilvl="0" w:tplc="0C090001">
      <w:start w:val="1"/>
      <w:numFmt w:val="bullet"/>
      <w:lvlText w:val=""/>
      <w:lvlJc w:val="left"/>
      <w:pPr>
        <w:ind w:left="2203" w:hanging="360"/>
      </w:pPr>
      <w:rPr>
        <w:rFonts w:ascii="Symbol" w:hAnsi="Symbol" w:hint="default"/>
      </w:rPr>
    </w:lvl>
    <w:lvl w:ilvl="1" w:tplc="0C090003" w:tentative="1">
      <w:start w:val="1"/>
      <w:numFmt w:val="bullet"/>
      <w:lvlText w:val="o"/>
      <w:lvlJc w:val="left"/>
      <w:pPr>
        <w:ind w:left="2923" w:hanging="360"/>
      </w:pPr>
      <w:rPr>
        <w:rFonts w:ascii="Courier New" w:hAnsi="Courier New" w:cs="Courier New" w:hint="default"/>
      </w:rPr>
    </w:lvl>
    <w:lvl w:ilvl="2" w:tplc="0C090005" w:tentative="1">
      <w:start w:val="1"/>
      <w:numFmt w:val="bullet"/>
      <w:lvlText w:val=""/>
      <w:lvlJc w:val="left"/>
      <w:pPr>
        <w:ind w:left="3643" w:hanging="360"/>
      </w:pPr>
      <w:rPr>
        <w:rFonts w:ascii="Wingdings" w:hAnsi="Wingdings" w:hint="default"/>
      </w:rPr>
    </w:lvl>
    <w:lvl w:ilvl="3" w:tplc="0C090001" w:tentative="1">
      <w:start w:val="1"/>
      <w:numFmt w:val="bullet"/>
      <w:lvlText w:val=""/>
      <w:lvlJc w:val="left"/>
      <w:pPr>
        <w:ind w:left="4363" w:hanging="360"/>
      </w:pPr>
      <w:rPr>
        <w:rFonts w:ascii="Symbol" w:hAnsi="Symbol" w:hint="default"/>
      </w:rPr>
    </w:lvl>
    <w:lvl w:ilvl="4" w:tplc="0C090003" w:tentative="1">
      <w:start w:val="1"/>
      <w:numFmt w:val="bullet"/>
      <w:lvlText w:val="o"/>
      <w:lvlJc w:val="left"/>
      <w:pPr>
        <w:ind w:left="5083" w:hanging="360"/>
      </w:pPr>
      <w:rPr>
        <w:rFonts w:ascii="Courier New" w:hAnsi="Courier New" w:cs="Courier New" w:hint="default"/>
      </w:rPr>
    </w:lvl>
    <w:lvl w:ilvl="5" w:tplc="0C090005" w:tentative="1">
      <w:start w:val="1"/>
      <w:numFmt w:val="bullet"/>
      <w:lvlText w:val=""/>
      <w:lvlJc w:val="left"/>
      <w:pPr>
        <w:ind w:left="5803" w:hanging="360"/>
      </w:pPr>
      <w:rPr>
        <w:rFonts w:ascii="Wingdings" w:hAnsi="Wingdings" w:hint="default"/>
      </w:rPr>
    </w:lvl>
    <w:lvl w:ilvl="6" w:tplc="0C090001" w:tentative="1">
      <w:start w:val="1"/>
      <w:numFmt w:val="bullet"/>
      <w:lvlText w:val=""/>
      <w:lvlJc w:val="left"/>
      <w:pPr>
        <w:ind w:left="6523" w:hanging="360"/>
      </w:pPr>
      <w:rPr>
        <w:rFonts w:ascii="Symbol" w:hAnsi="Symbol" w:hint="default"/>
      </w:rPr>
    </w:lvl>
    <w:lvl w:ilvl="7" w:tplc="0C090003" w:tentative="1">
      <w:start w:val="1"/>
      <w:numFmt w:val="bullet"/>
      <w:lvlText w:val="o"/>
      <w:lvlJc w:val="left"/>
      <w:pPr>
        <w:ind w:left="7243" w:hanging="360"/>
      </w:pPr>
      <w:rPr>
        <w:rFonts w:ascii="Courier New" w:hAnsi="Courier New" w:cs="Courier New" w:hint="default"/>
      </w:rPr>
    </w:lvl>
    <w:lvl w:ilvl="8" w:tplc="0C090005" w:tentative="1">
      <w:start w:val="1"/>
      <w:numFmt w:val="bullet"/>
      <w:lvlText w:val=""/>
      <w:lvlJc w:val="left"/>
      <w:pPr>
        <w:ind w:left="7963" w:hanging="360"/>
      </w:pPr>
      <w:rPr>
        <w:rFonts w:ascii="Wingdings" w:hAnsi="Wingdings" w:hint="default"/>
      </w:rPr>
    </w:lvl>
  </w:abstractNum>
  <w:abstractNum w:abstractNumId="32" w15:restartNumberingAfterBreak="0">
    <w:nsid w:val="3B724835"/>
    <w:multiLevelType w:val="hybridMultilevel"/>
    <w:tmpl w:val="B420BBDA"/>
    <w:lvl w:ilvl="0" w:tplc="7A58F36C">
      <w:start w:val="1"/>
      <w:numFmt w:val="lowerLetter"/>
      <w:lvlText w:val="(%1)"/>
      <w:lvlJc w:val="left"/>
      <w:pPr>
        <w:ind w:left="1800" w:hanging="360"/>
      </w:pPr>
      <w:rPr>
        <w:rFont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3" w15:restartNumberingAfterBreak="0">
    <w:nsid w:val="3BAB4E2D"/>
    <w:multiLevelType w:val="hybridMultilevel"/>
    <w:tmpl w:val="973C80BE"/>
    <w:lvl w:ilvl="0" w:tplc="7A385D32">
      <w:start w:val="1"/>
      <w:numFmt w:val="lowerLetter"/>
      <w:lvlText w:val="%1."/>
      <w:lvlJc w:val="left"/>
      <w:pPr>
        <w:ind w:left="1440" w:hanging="360"/>
      </w:pPr>
      <w:rPr>
        <w:rFonts w:ascii="Arial" w:eastAsia="Times New Roman" w:hAnsi="Arial" w:cs="Times New Roman"/>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3F26484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42D80E88"/>
    <w:multiLevelType w:val="hybridMultilevel"/>
    <w:tmpl w:val="71C2B596"/>
    <w:lvl w:ilvl="0" w:tplc="D654D4AA">
      <w:start w:val="1"/>
      <w:numFmt w:val="lowerRoman"/>
      <w:lvlText w:val="(%1)"/>
      <w:lvlJc w:val="left"/>
      <w:pPr>
        <w:ind w:left="1818" w:hanging="397"/>
      </w:pPr>
      <w:rPr>
        <w:rFonts w:ascii="Arial" w:eastAsia="Arial" w:hAnsi="Arial" w:cs="Arial" w:hint="default"/>
        <w:color w:val="231F20"/>
        <w:spacing w:val="-12"/>
        <w:w w:val="100"/>
        <w:sz w:val="22"/>
        <w:szCs w:val="22"/>
      </w:rPr>
    </w:lvl>
    <w:lvl w:ilvl="1" w:tplc="24227408">
      <w:numFmt w:val="bullet"/>
      <w:lvlText w:val="•"/>
      <w:lvlJc w:val="left"/>
      <w:pPr>
        <w:ind w:left="2566" w:hanging="397"/>
      </w:pPr>
      <w:rPr>
        <w:rFonts w:hint="default"/>
      </w:rPr>
    </w:lvl>
    <w:lvl w:ilvl="2" w:tplc="D5048720">
      <w:numFmt w:val="bullet"/>
      <w:lvlText w:val="•"/>
      <w:lvlJc w:val="left"/>
      <w:pPr>
        <w:ind w:left="3313" w:hanging="397"/>
      </w:pPr>
      <w:rPr>
        <w:rFonts w:hint="default"/>
      </w:rPr>
    </w:lvl>
    <w:lvl w:ilvl="3" w:tplc="530A0EC0">
      <w:numFmt w:val="bullet"/>
      <w:lvlText w:val="•"/>
      <w:lvlJc w:val="left"/>
      <w:pPr>
        <w:ind w:left="4059" w:hanging="397"/>
      </w:pPr>
      <w:rPr>
        <w:rFonts w:hint="default"/>
      </w:rPr>
    </w:lvl>
    <w:lvl w:ilvl="4" w:tplc="60DA18A6">
      <w:numFmt w:val="bullet"/>
      <w:lvlText w:val="•"/>
      <w:lvlJc w:val="left"/>
      <w:pPr>
        <w:ind w:left="4806" w:hanging="397"/>
      </w:pPr>
      <w:rPr>
        <w:rFonts w:hint="default"/>
      </w:rPr>
    </w:lvl>
    <w:lvl w:ilvl="5" w:tplc="FEFA42D4">
      <w:numFmt w:val="bullet"/>
      <w:lvlText w:val="•"/>
      <w:lvlJc w:val="left"/>
      <w:pPr>
        <w:ind w:left="5552" w:hanging="397"/>
      </w:pPr>
      <w:rPr>
        <w:rFonts w:hint="default"/>
      </w:rPr>
    </w:lvl>
    <w:lvl w:ilvl="6" w:tplc="0C52EE04">
      <w:numFmt w:val="bullet"/>
      <w:lvlText w:val="•"/>
      <w:lvlJc w:val="left"/>
      <w:pPr>
        <w:ind w:left="6299" w:hanging="397"/>
      </w:pPr>
      <w:rPr>
        <w:rFonts w:hint="default"/>
      </w:rPr>
    </w:lvl>
    <w:lvl w:ilvl="7" w:tplc="B88C498C">
      <w:numFmt w:val="bullet"/>
      <w:lvlText w:val="•"/>
      <w:lvlJc w:val="left"/>
      <w:pPr>
        <w:ind w:left="7045" w:hanging="397"/>
      </w:pPr>
      <w:rPr>
        <w:rFonts w:hint="default"/>
      </w:rPr>
    </w:lvl>
    <w:lvl w:ilvl="8" w:tplc="DB2CE138">
      <w:numFmt w:val="bullet"/>
      <w:lvlText w:val="•"/>
      <w:lvlJc w:val="left"/>
      <w:pPr>
        <w:ind w:left="7792" w:hanging="397"/>
      </w:pPr>
      <w:rPr>
        <w:rFonts w:hint="default"/>
      </w:rPr>
    </w:lvl>
  </w:abstractNum>
  <w:abstractNum w:abstractNumId="37" w15:restartNumberingAfterBreak="0">
    <w:nsid w:val="46126F2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494653E8"/>
    <w:multiLevelType w:val="hybridMultilevel"/>
    <w:tmpl w:val="82CE8B58"/>
    <w:lvl w:ilvl="0" w:tplc="CC48783C">
      <w:start w:val="1"/>
      <w:numFmt w:val="decimal"/>
      <w:lvlText w:val="%1."/>
      <w:lvlJc w:val="left"/>
      <w:pPr>
        <w:ind w:left="797" w:hanging="681"/>
      </w:pPr>
      <w:rPr>
        <w:rFonts w:ascii="Arial" w:eastAsia="Arial" w:hAnsi="Arial" w:cs="Arial" w:hint="default"/>
        <w:color w:val="231F20"/>
        <w:spacing w:val="-14"/>
        <w:w w:val="100"/>
        <w:sz w:val="24"/>
        <w:szCs w:val="24"/>
      </w:rPr>
    </w:lvl>
    <w:lvl w:ilvl="1" w:tplc="0C090001">
      <w:start w:val="1"/>
      <w:numFmt w:val="bullet"/>
      <w:lvlText w:val=""/>
      <w:lvlJc w:val="left"/>
      <w:pPr>
        <w:ind w:left="1648" w:hanging="227"/>
      </w:pPr>
      <w:rPr>
        <w:rFonts w:ascii="Symbol" w:hAnsi="Symbol" w:hint="default"/>
        <w:color w:val="231F20"/>
        <w:spacing w:val="-12"/>
        <w:w w:val="100"/>
        <w:sz w:val="22"/>
        <w:szCs w:val="22"/>
      </w:rPr>
    </w:lvl>
    <w:lvl w:ilvl="2" w:tplc="F9D8901C">
      <w:numFmt w:val="bullet"/>
      <w:lvlText w:val="•"/>
      <w:lvlJc w:val="left"/>
      <w:pPr>
        <w:ind w:left="2480" w:hanging="227"/>
      </w:pPr>
      <w:rPr>
        <w:rFonts w:hint="default"/>
      </w:rPr>
    </w:lvl>
    <w:lvl w:ilvl="3" w:tplc="0EF419F4">
      <w:numFmt w:val="bullet"/>
      <w:lvlText w:val="•"/>
      <w:lvlJc w:val="left"/>
      <w:pPr>
        <w:ind w:left="3321" w:hanging="227"/>
      </w:pPr>
      <w:rPr>
        <w:rFonts w:hint="default"/>
      </w:rPr>
    </w:lvl>
    <w:lvl w:ilvl="4" w:tplc="F41ECD4E">
      <w:numFmt w:val="bullet"/>
      <w:lvlText w:val="•"/>
      <w:lvlJc w:val="left"/>
      <w:pPr>
        <w:ind w:left="4161" w:hanging="227"/>
      </w:pPr>
      <w:rPr>
        <w:rFonts w:hint="default"/>
      </w:rPr>
    </w:lvl>
    <w:lvl w:ilvl="5" w:tplc="DD54768C">
      <w:numFmt w:val="bullet"/>
      <w:lvlText w:val="•"/>
      <w:lvlJc w:val="left"/>
      <w:pPr>
        <w:ind w:left="5002" w:hanging="227"/>
      </w:pPr>
      <w:rPr>
        <w:rFonts w:hint="default"/>
      </w:rPr>
    </w:lvl>
    <w:lvl w:ilvl="6" w:tplc="6E60E896">
      <w:numFmt w:val="bullet"/>
      <w:lvlText w:val="•"/>
      <w:lvlJc w:val="left"/>
      <w:pPr>
        <w:ind w:left="5843" w:hanging="227"/>
      </w:pPr>
      <w:rPr>
        <w:rFonts w:hint="default"/>
      </w:rPr>
    </w:lvl>
    <w:lvl w:ilvl="7" w:tplc="468E0412">
      <w:numFmt w:val="bullet"/>
      <w:lvlText w:val="•"/>
      <w:lvlJc w:val="left"/>
      <w:pPr>
        <w:ind w:left="6683" w:hanging="227"/>
      </w:pPr>
      <w:rPr>
        <w:rFonts w:hint="default"/>
      </w:rPr>
    </w:lvl>
    <w:lvl w:ilvl="8" w:tplc="64E05C64">
      <w:numFmt w:val="bullet"/>
      <w:lvlText w:val="•"/>
      <w:lvlJc w:val="left"/>
      <w:pPr>
        <w:ind w:left="7524" w:hanging="227"/>
      </w:pPr>
      <w:rPr>
        <w:rFonts w:hint="default"/>
      </w:rPr>
    </w:lvl>
  </w:abstractNum>
  <w:abstractNum w:abstractNumId="39"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4AE45BFD"/>
    <w:multiLevelType w:val="hybridMultilevel"/>
    <w:tmpl w:val="60D8BBE6"/>
    <w:lvl w:ilvl="0" w:tplc="7A58F36C">
      <w:start w:val="1"/>
      <w:numFmt w:val="lowerLetter"/>
      <w:lvlText w:val="(%1)"/>
      <w:lvlJc w:val="left"/>
      <w:pPr>
        <w:ind w:left="1899" w:hanging="360"/>
      </w:pPr>
      <w:rPr>
        <w:rFont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2619" w:hanging="360"/>
      </w:pPr>
    </w:lvl>
    <w:lvl w:ilvl="2" w:tplc="0C09001B" w:tentative="1">
      <w:start w:val="1"/>
      <w:numFmt w:val="lowerRoman"/>
      <w:lvlText w:val="%3."/>
      <w:lvlJc w:val="right"/>
      <w:pPr>
        <w:ind w:left="3339" w:hanging="180"/>
      </w:pPr>
    </w:lvl>
    <w:lvl w:ilvl="3" w:tplc="0C09000F" w:tentative="1">
      <w:start w:val="1"/>
      <w:numFmt w:val="decimal"/>
      <w:lvlText w:val="%4."/>
      <w:lvlJc w:val="left"/>
      <w:pPr>
        <w:ind w:left="4059" w:hanging="360"/>
      </w:pPr>
    </w:lvl>
    <w:lvl w:ilvl="4" w:tplc="0C090019" w:tentative="1">
      <w:start w:val="1"/>
      <w:numFmt w:val="lowerLetter"/>
      <w:lvlText w:val="%5."/>
      <w:lvlJc w:val="left"/>
      <w:pPr>
        <w:ind w:left="4779" w:hanging="360"/>
      </w:pPr>
    </w:lvl>
    <w:lvl w:ilvl="5" w:tplc="0C09001B" w:tentative="1">
      <w:start w:val="1"/>
      <w:numFmt w:val="lowerRoman"/>
      <w:lvlText w:val="%6."/>
      <w:lvlJc w:val="right"/>
      <w:pPr>
        <w:ind w:left="5499" w:hanging="180"/>
      </w:pPr>
    </w:lvl>
    <w:lvl w:ilvl="6" w:tplc="0C09000F" w:tentative="1">
      <w:start w:val="1"/>
      <w:numFmt w:val="decimal"/>
      <w:lvlText w:val="%7."/>
      <w:lvlJc w:val="left"/>
      <w:pPr>
        <w:ind w:left="6219" w:hanging="360"/>
      </w:pPr>
    </w:lvl>
    <w:lvl w:ilvl="7" w:tplc="0C090019" w:tentative="1">
      <w:start w:val="1"/>
      <w:numFmt w:val="lowerLetter"/>
      <w:lvlText w:val="%8."/>
      <w:lvlJc w:val="left"/>
      <w:pPr>
        <w:ind w:left="6939" w:hanging="360"/>
      </w:pPr>
    </w:lvl>
    <w:lvl w:ilvl="8" w:tplc="0C09001B" w:tentative="1">
      <w:start w:val="1"/>
      <w:numFmt w:val="lowerRoman"/>
      <w:lvlText w:val="%9."/>
      <w:lvlJc w:val="right"/>
      <w:pPr>
        <w:ind w:left="7659" w:hanging="180"/>
      </w:pPr>
    </w:lvl>
  </w:abstractNum>
  <w:abstractNum w:abstractNumId="41" w15:restartNumberingAfterBreak="0">
    <w:nsid w:val="4B7A5E77"/>
    <w:multiLevelType w:val="hybridMultilevel"/>
    <w:tmpl w:val="FB6886AE"/>
    <w:lvl w:ilvl="0" w:tplc="107E1B0E">
      <w:start w:val="1"/>
      <w:numFmt w:val="lowerLetter"/>
      <w:lvlText w:val="(%1)"/>
      <w:lvlJc w:val="left"/>
      <w:pPr>
        <w:ind w:left="1636" w:hanging="360"/>
      </w:pPr>
      <w:rPr>
        <w:rFonts w:ascii="Arial" w:eastAsia="Arial" w:hAnsi="Arial" w:cs="Arial" w:hint="default"/>
        <w:color w:val="231F20"/>
        <w:w w:val="100"/>
        <w:sz w:val="22"/>
        <w:szCs w:val="22"/>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42" w15:restartNumberingAfterBreak="0">
    <w:nsid w:val="4D394C6E"/>
    <w:multiLevelType w:val="hybridMultilevel"/>
    <w:tmpl w:val="CC9CF3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 w15:restartNumberingAfterBreak="0">
    <w:nsid w:val="4FC33B71"/>
    <w:multiLevelType w:val="hybridMultilevel"/>
    <w:tmpl w:val="6FBA9208"/>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5" w15:restartNumberingAfterBreak="0">
    <w:nsid w:val="55E751D7"/>
    <w:multiLevelType w:val="hybridMultilevel"/>
    <w:tmpl w:val="C686B9C4"/>
    <w:lvl w:ilvl="0" w:tplc="CC48783C">
      <w:start w:val="1"/>
      <w:numFmt w:val="decimal"/>
      <w:lvlText w:val="%1."/>
      <w:lvlJc w:val="left"/>
      <w:pPr>
        <w:ind w:left="797" w:hanging="681"/>
      </w:pPr>
      <w:rPr>
        <w:rFonts w:ascii="Arial" w:eastAsia="Arial" w:hAnsi="Arial" w:cs="Arial" w:hint="default"/>
        <w:color w:val="231F20"/>
        <w:spacing w:val="-14"/>
        <w:w w:val="100"/>
        <w:sz w:val="24"/>
        <w:szCs w:val="24"/>
      </w:rPr>
    </w:lvl>
    <w:lvl w:ilvl="1" w:tplc="21342842">
      <w:numFmt w:val="bullet"/>
      <w:lvlText w:val="•"/>
      <w:lvlJc w:val="left"/>
      <w:pPr>
        <w:ind w:left="1648" w:hanging="227"/>
      </w:pPr>
      <w:rPr>
        <w:rFonts w:ascii="Arial" w:eastAsia="Arial" w:hAnsi="Arial" w:cs="Arial" w:hint="default"/>
        <w:color w:val="231F20"/>
        <w:spacing w:val="-12"/>
        <w:w w:val="100"/>
        <w:sz w:val="22"/>
        <w:szCs w:val="22"/>
      </w:rPr>
    </w:lvl>
    <w:lvl w:ilvl="2" w:tplc="F9D8901C">
      <w:numFmt w:val="bullet"/>
      <w:lvlText w:val="•"/>
      <w:lvlJc w:val="left"/>
      <w:pPr>
        <w:ind w:left="2480" w:hanging="227"/>
      </w:pPr>
      <w:rPr>
        <w:rFonts w:hint="default"/>
      </w:rPr>
    </w:lvl>
    <w:lvl w:ilvl="3" w:tplc="0EF419F4">
      <w:numFmt w:val="bullet"/>
      <w:lvlText w:val="•"/>
      <w:lvlJc w:val="left"/>
      <w:pPr>
        <w:ind w:left="3321" w:hanging="227"/>
      </w:pPr>
      <w:rPr>
        <w:rFonts w:hint="default"/>
      </w:rPr>
    </w:lvl>
    <w:lvl w:ilvl="4" w:tplc="F41ECD4E">
      <w:numFmt w:val="bullet"/>
      <w:lvlText w:val="•"/>
      <w:lvlJc w:val="left"/>
      <w:pPr>
        <w:ind w:left="4161" w:hanging="227"/>
      </w:pPr>
      <w:rPr>
        <w:rFonts w:hint="default"/>
      </w:rPr>
    </w:lvl>
    <w:lvl w:ilvl="5" w:tplc="DD54768C">
      <w:numFmt w:val="bullet"/>
      <w:lvlText w:val="•"/>
      <w:lvlJc w:val="left"/>
      <w:pPr>
        <w:ind w:left="5002" w:hanging="227"/>
      </w:pPr>
      <w:rPr>
        <w:rFonts w:hint="default"/>
      </w:rPr>
    </w:lvl>
    <w:lvl w:ilvl="6" w:tplc="6E60E896">
      <w:numFmt w:val="bullet"/>
      <w:lvlText w:val="•"/>
      <w:lvlJc w:val="left"/>
      <w:pPr>
        <w:ind w:left="5843" w:hanging="227"/>
      </w:pPr>
      <w:rPr>
        <w:rFonts w:hint="default"/>
      </w:rPr>
    </w:lvl>
    <w:lvl w:ilvl="7" w:tplc="468E0412">
      <w:numFmt w:val="bullet"/>
      <w:lvlText w:val="•"/>
      <w:lvlJc w:val="left"/>
      <w:pPr>
        <w:ind w:left="6683" w:hanging="227"/>
      </w:pPr>
      <w:rPr>
        <w:rFonts w:hint="default"/>
      </w:rPr>
    </w:lvl>
    <w:lvl w:ilvl="8" w:tplc="64E05C64">
      <w:numFmt w:val="bullet"/>
      <w:lvlText w:val="•"/>
      <w:lvlJc w:val="left"/>
      <w:pPr>
        <w:ind w:left="7524" w:hanging="227"/>
      </w:pPr>
      <w:rPr>
        <w:rFonts w:hint="default"/>
      </w:rPr>
    </w:lvl>
  </w:abstractNum>
  <w:abstractNum w:abstractNumId="46" w15:restartNumberingAfterBreak="0">
    <w:nsid w:val="58DC2631"/>
    <w:multiLevelType w:val="hybridMultilevel"/>
    <w:tmpl w:val="B38A2542"/>
    <w:lvl w:ilvl="0" w:tplc="024C9BB6">
      <w:start w:val="1"/>
      <w:numFmt w:val="decimal"/>
      <w:lvlText w:val="%1."/>
      <w:lvlJc w:val="left"/>
      <w:pPr>
        <w:ind w:left="797" w:hanging="681"/>
      </w:pPr>
      <w:rPr>
        <w:rFonts w:ascii="Arial" w:eastAsia="Arial" w:hAnsi="Arial" w:cs="Arial" w:hint="default"/>
        <w:color w:val="231F20"/>
        <w:spacing w:val="-14"/>
        <w:w w:val="100"/>
        <w:sz w:val="24"/>
        <w:szCs w:val="24"/>
      </w:rPr>
    </w:lvl>
    <w:lvl w:ilvl="1" w:tplc="0C090001">
      <w:start w:val="1"/>
      <w:numFmt w:val="bullet"/>
      <w:lvlText w:val=""/>
      <w:lvlJc w:val="left"/>
      <w:pPr>
        <w:ind w:left="1648" w:hanging="227"/>
      </w:pPr>
      <w:rPr>
        <w:rFonts w:ascii="Symbol" w:hAnsi="Symbol" w:hint="default"/>
        <w:spacing w:val="-5"/>
        <w:w w:val="100"/>
      </w:rPr>
    </w:lvl>
    <w:lvl w:ilvl="2" w:tplc="56AA4458">
      <w:numFmt w:val="bullet"/>
      <w:lvlText w:val="•"/>
      <w:lvlJc w:val="left"/>
      <w:pPr>
        <w:ind w:left="2489" w:hanging="227"/>
      </w:pPr>
      <w:rPr>
        <w:rFonts w:hint="default"/>
      </w:rPr>
    </w:lvl>
    <w:lvl w:ilvl="3" w:tplc="566CF8A4">
      <w:numFmt w:val="bullet"/>
      <w:lvlText w:val="•"/>
      <w:lvlJc w:val="left"/>
      <w:pPr>
        <w:ind w:left="3339" w:hanging="227"/>
      </w:pPr>
      <w:rPr>
        <w:rFonts w:hint="default"/>
      </w:rPr>
    </w:lvl>
    <w:lvl w:ilvl="4" w:tplc="385EE8E6">
      <w:numFmt w:val="bullet"/>
      <w:lvlText w:val="•"/>
      <w:lvlJc w:val="left"/>
      <w:pPr>
        <w:ind w:left="4188" w:hanging="227"/>
      </w:pPr>
      <w:rPr>
        <w:rFonts w:hint="default"/>
      </w:rPr>
    </w:lvl>
    <w:lvl w:ilvl="5" w:tplc="3C9A4B70">
      <w:numFmt w:val="bullet"/>
      <w:lvlText w:val="•"/>
      <w:lvlJc w:val="left"/>
      <w:pPr>
        <w:ind w:left="5038" w:hanging="227"/>
      </w:pPr>
      <w:rPr>
        <w:rFonts w:hint="default"/>
      </w:rPr>
    </w:lvl>
    <w:lvl w:ilvl="6" w:tplc="9F82E486">
      <w:numFmt w:val="bullet"/>
      <w:lvlText w:val="•"/>
      <w:lvlJc w:val="left"/>
      <w:pPr>
        <w:ind w:left="5887" w:hanging="227"/>
      </w:pPr>
      <w:rPr>
        <w:rFonts w:hint="default"/>
      </w:rPr>
    </w:lvl>
    <w:lvl w:ilvl="7" w:tplc="8F2059C0">
      <w:numFmt w:val="bullet"/>
      <w:lvlText w:val="•"/>
      <w:lvlJc w:val="left"/>
      <w:pPr>
        <w:ind w:left="6737" w:hanging="227"/>
      </w:pPr>
      <w:rPr>
        <w:rFonts w:hint="default"/>
      </w:rPr>
    </w:lvl>
    <w:lvl w:ilvl="8" w:tplc="6FBC07B0">
      <w:numFmt w:val="bullet"/>
      <w:lvlText w:val="•"/>
      <w:lvlJc w:val="left"/>
      <w:pPr>
        <w:ind w:left="7586" w:hanging="227"/>
      </w:pPr>
      <w:rPr>
        <w:rFonts w:hint="default"/>
      </w:rPr>
    </w:lvl>
  </w:abstractNum>
  <w:abstractNum w:abstractNumId="47" w15:restartNumberingAfterBreak="0">
    <w:nsid w:val="5DC3452E"/>
    <w:multiLevelType w:val="hybridMultilevel"/>
    <w:tmpl w:val="C686B9C4"/>
    <w:lvl w:ilvl="0" w:tplc="CC48783C">
      <w:start w:val="1"/>
      <w:numFmt w:val="decimal"/>
      <w:lvlText w:val="%1."/>
      <w:lvlJc w:val="left"/>
      <w:pPr>
        <w:ind w:left="797" w:hanging="681"/>
      </w:pPr>
      <w:rPr>
        <w:rFonts w:ascii="Arial" w:eastAsia="Arial" w:hAnsi="Arial" w:cs="Arial" w:hint="default"/>
        <w:color w:val="231F20"/>
        <w:spacing w:val="-14"/>
        <w:w w:val="100"/>
        <w:sz w:val="24"/>
        <w:szCs w:val="24"/>
      </w:rPr>
    </w:lvl>
    <w:lvl w:ilvl="1" w:tplc="21342842">
      <w:numFmt w:val="bullet"/>
      <w:lvlText w:val="•"/>
      <w:lvlJc w:val="left"/>
      <w:pPr>
        <w:ind w:left="1648" w:hanging="227"/>
      </w:pPr>
      <w:rPr>
        <w:rFonts w:ascii="Arial" w:eastAsia="Arial" w:hAnsi="Arial" w:cs="Arial" w:hint="default"/>
        <w:color w:val="231F20"/>
        <w:spacing w:val="-12"/>
        <w:w w:val="100"/>
        <w:sz w:val="22"/>
        <w:szCs w:val="22"/>
      </w:rPr>
    </w:lvl>
    <w:lvl w:ilvl="2" w:tplc="F9D8901C">
      <w:numFmt w:val="bullet"/>
      <w:lvlText w:val="•"/>
      <w:lvlJc w:val="left"/>
      <w:pPr>
        <w:ind w:left="2480" w:hanging="227"/>
      </w:pPr>
      <w:rPr>
        <w:rFonts w:hint="default"/>
      </w:rPr>
    </w:lvl>
    <w:lvl w:ilvl="3" w:tplc="0EF419F4">
      <w:numFmt w:val="bullet"/>
      <w:lvlText w:val="•"/>
      <w:lvlJc w:val="left"/>
      <w:pPr>
        <w:ind w:left="3321" w:hanging="227"/>
      </w:pPr>
      <w:rPr>
        <w:rFonts w:hint="default"/>
      </w:rPr>
    </w:lvl>
    <w:lvl w:ilvl="4" w:tplc="F41ECD4E">
      <w:numFmt w:val="bullet"/>
      <w:lvlText w:val="•"/>
      <w:lvlJc w:val="left"/>
      <w:pPr>
        <w:ind w:left="4161" w:hanging="227"/>
      </w:pPr>
      <w:rPr>
        <w:rFonts w:hint="default"/>
      </w:rPr>
    </w:lvl>
    <w:lvl w:ilvl="5" w:tplc="DD54768C">
      <w:numFmt w:val="bullet"/>
      <w:lvlText w:val="•"/>
      <w:lvlJc w:val="left"/>
      <w:pPr>
        <w:ind w:left="5002" w:hanging="227"/>
      </w:pPr>
      <w:rPr>
        <w:rFonts w:hint="default"/>
      </w:rPr>
    </w:lvl>
    <w:lvl w:ilvl="6" w:tplc="6E60E896">
      <w:numFmt w:val="bullet"/>
      <w:lvlText w:val="•"/>
      <w:lvlJc w:val="left"/>
      <w:pPr>
        <w:ind w:left="5843" w:hanging="227"/>
      </w:pPr>
      <w:rPr>
        <w:rFonts w:hint="default"/>
      </w:rPr>
    </w:lvl>
    <w:lvl w:ilvl="7" w:tplc="468E0412">
      <w:numFmt w:val="bullet"/>
      <w:lvlText w:val="•"/>
      <w:lvlJc w:val="left"/>
      <w:pPr>
        <w:ind w:left="6683" w:hanging="227"/>
      </w:pPr>
      <w:rPr>
        <w:rFonts w:hint="default"/>
      </w:rPr>
    </w:lvl>
    <w:lvl w:ilvl="8" w:tplc="64E05C64">
      <w:numFmt w:val="bullet"/>
      <w:lvlText w:val="•"/>
      <w:lvlJc w:val="left"/>
      <w:pPr>
        <w:ind w:left="7524" w:hanging="227"/>
      </w:pPr>
      <w:rPr>
        <w:rFonts w:hint="default"/>
      </w:rPr>
    </w:lvl>
  </w:abstractNum>
  <w:abstractNum w:abstractNumId="48" w15:restartNumberingAfterBreak="0">
    <w:nsid w:val="6343539E"/>
    <w:multiLevelType w:val="hybridMultilevel"/>
    <w:tmpl w:val="5110461E"/>
    <w:lvl w:ilvl="0" w:tplc="0C090001">
      <w:start w:val="1"/>
      <w:numFmt w:val="bullet"/>
      <w:lvlText w:val=""/>
      <w:lvlJc w:val="left"/>
      <w:pPr>
        <w:tabs>
          <w:tab w:val="num" w:pos="1080"/>
        </w:tabs>
        <w:ind w:left="1080" w:hanging="360"/>
      </w:pPr>
      <w:rPr>
        <w:rFonts w:ascii="Symbol" w:hAnsi="Symbol"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9" w15:restartNumberingAfterBreak="0">
    <w:nsid w:val="65F22E90"/>
    <w:multiLevelType w:val="hybridMultilevel"/>
    <w:tmpl w:val="87BE0EA4"/>
    <w:lvl w:ilvl="0" w:tplc="0BE6BA22">
      <w:start w:val="1"/>
      <w:numFmt w:val="bullet"/>
      <w:lvlText w:val=""/>
      <w:lvlJc w:val="left"/>
      <w:pPr>
        <w:ind w:left="1800" w:hanging="360"/>
      </w:pPr>
      <w:rPr>
        <w:rFonts w:ascii="Symbol" w:hAnsi="Symbol" w:hint="default"/>
        <w:sz w:val="22"/>
        <w:szCs w:val="22"/>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0" w15:restartNumberingAfterBreak="0">
    <w:nsid w:val="67864953"/>
    <w:multiLevelType w:val="hybridMultilevel"/>
    <w:tmpl w:val="92D8D702"/>
    <w:lvl w:ilvl="0" w:tplc="29121B88">
      <w:start w:val="1"/>
      <w:numFmt w:val="lowerLetter"/>
      <w:lvlText w:val="(%1)"/>
      <w:lvlJc w:val="left"/>
      <w:pPr>
        <w:ind w:left="1440" w:hanging="360"/>
      </w:pPr>
      <w:rPr>
        <w:rFonts w:ascii="Open Sans" w:eastAsia="Times New Roman" w:hAnsi="Open Sans" w:cs="Open Sans" w:hint="default"/>
        <w:sz w:val="22"/>
        <w:szCs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1" w15:restartNumberingAfterBreak="0">
    <w:nsid w:val="6EFE46D5"/>
    <w:multiLevelType w:val="multilevel"/>
    <w:tmpl w:val="B0506A1C"/>
    <w:lvl w:ilvl="0">
      <w:start w:val="1"/>
      <w:numFmt w:val="decimal"/>
      <w:lvlText w:val="%1"/>
      <w:lvlJc w:val="left"/>
      <w:pPr>
        <w:ind w:left="797" w:hanging="681"/>
      </w:pPr>
      <w:rPr>
        <w:rFonts w:ascii="Arial" w:eastAsia="Arial" w:hAnsi="Arial" w:cs="Arial" w:hint="default"/>
        <w:b/>
        <w:bCs/>
        <w:color w:val="231F20"/>
        <w:w w:val="100"/>
        <w:sz w:val="28"/>
        <w:szCs w:val="28"/>
      </w:rPr>
    </w:lvl>
    <w:lvl w:ilvl="1">
      <w:start w:val="1"/>
      <w:numFmt w:val="decimal"/>
      <w:lvlText w:val="%1.%2"/>
      <w:lvlJc w:val="left"/>
      <w:pPr>
        <w:ind w:left="797" w:hanging="681"/>
      </w:pPr>
      <w:rPr>
        <w:rFonts w:ascii="Arial" w:eastAsia="Arial" w:hAnsi="Arial" w:cs="Arial" w:hint="default"/>
        <w:b/>
        <w:bCs/>
        <w:color w:val="231F20"/>
        <w:spacing w:val="-1"/>
        <w:w w:val="100"/>
        <w:sz w:val="28"/>
        <w:szCs w:val="28"/>
      </w:rPr>
    </w:lvl>
    <w:lvl w:ilvl="2">
      <w:numFmt w:val="bullet"/>
      <w:lvlText w:val="•"/>
      <w:lvlJc w:val="left"/>
      <w:pPr>
        <w:ind w:left="2231" w:hanging="681"/>
      </w:pPr>
      <w:rPr>
        <w:rFonts w:hint="default"/>
      </w:rPr>
    </w:lvl>
    <w:lvl w:ilvl="3">
      <w:numFmt w:val="bullet"/>
      <w:lvlText w:val="•"/>
      <w:lvlJc w:val="left"/>
      <w:pPr>
        <w:ind w:left="3103" w:hanging="681"/>
      </w:pPr>
      <w:rPr>
        <w:rFonts w:hint="default"/>
      </w:rPr>
    </w:lvl>
    <w:lvl w:ilvl="4">
      <w:numFmt w:val="bullet"/>
      <w:lvlText w:val="•"/>
      <w:lvlJc w:val="left"/>
      <w:pPr>
        <w:ind w:left="3975" w:hanging="681"/>
      </w:pPr>
      <w:rPr>
        <w:rFonts w:hint="default"/>
      </w:rPr>
    </w:lvl>
    <w:lvl w:ilvl="5">
      <w:numFmt w:val="bullet"/>
      <w:lvlText w:val="•"/>
      <w:lvlJc w:val="left"/>
      <w:pPr>
        <w:ind w:left="4846" w:hanging="681"/>
      </w:pPr>
      <w:rPr>
        <w:rFonts w:hint="default"/>
      </w:rPr>
    </w:lvl>
    <w:lvl w:ilvl="6">
      <w:numFmt w:val="bullet"/>
      <w:lvlText w:val="•"/>
      <w:lvlJc w:val="left"/>
      <w:pPr>
        <w:ind w:left="5718" w:hanging="681"/>
      </w:pPr>
      <w:rPr>
        <w:rFonts w:hint="default"/>
      </w:rPr>
    </w:lvl>
    <w:lvl w:ilvl="7">
      <w:numFmt w:val="bullet"/>
      <w:lvlText w:val="•"/>
      <w:lvlJc w:val="left"/>
      <w:pPr>
        <w:ind w:left="6590" w:hanging="681"/>
      </w:pPr>
      <w:rPr>
        <w:rFonts w:hint="default"/>
      </w:rPr>
    </w:lvl>
    <w:lvl w:ilvl="8">
      <w:numFmt w:val="bullet"/>
      <w:lvlText w:val="•"/>
      <w:lvlJc w:val="left"/>
      <w:pPr>
        <w:ind w:left="7462" w:hanging="681"/>
      </w:pPr>
      <w:rPr>
        <w:rFonts w:hint="default"/>
      </w:rPr>
    </w:lvl>
  </w:abstractNum>
  <w:abstractNum w:abstractNumId="52" w15:restartNumberingAfterBreak="0">
    <w:nsid w:val="74B056A6"/>
    <w:multiLevelType w:val="hybridMultilevel"/>
    <w:tmpl w:val="D6482AE2"/>
    <w:lvl w:ilvl="0" w:tplc="7A58F36C">
      <w:start w:val="1"/>
      <w:numFmt w:val="lowerLetter"/>
      <w:lvlText w:val="(%1)"/>
      <w:lvlJc w:val="left"/>
      <w:pPr>
        <w:ind w:left="2160" w:hanging="360"/>
      </w:pPr>
      <w:rPr>
        <w:rFont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3" w15:restartNumberingAfterBreak="0">
    <w:nsid w:val="74C74663"/>
    <w:multiLevelType w:val="hybridMultilevel"/>
    <w:tmpl w:val="4B742E6E"/>
    <w:lvl w:ilvl="0" w:tplc="1D3AB68C">
      <w:start w:val="1"/>
      <w:numFmt w:val="decimal"/>
      <w:lvlText w:val="%1."/>
      <w:lvlJc w:val="left"/>
      <w:pPr>
        <w:tabs>
          <w:tab w:val="num" w:pos="720"/>
        </w:tabs>
        <w:ind w:left="720" w:hanging="720"/>
      </w:pPr>
      <w:rPr>
        <w:rFonts w:cs="Times New Roman" w:hint="default"/>
        <w:b w:val="0"/>
        <w:i w:val="0"/>
        <w:sz w:val="24"/>
        <w:szCs w:val="24"/>
      </w:rPr>
    </w:lvl>
    <w:lvl w:ilvl="1" w:tplc="A3F2E37C">
      <w:start w:val="1"/>
      <w:numFmt w:val="bullet"/>
      <w:lvlText w:val=""/>
      <w:lvlJc w:val="left"/>
      <w:pPr>
        <w:tabs>
          <w:tab w:val="num" w:pos="1440"/>
        </w:tabs>
        <w:ind w:left="1440" w:hanging="360"/>
      </w:pPr>
      <w:rPr>
        <w:rFonts w:ascii="Symbol" w:hAnsi="Symbol" w:hint="default"/>
        <w:b w:val="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7D4E74BB"/>
    <w:multiLevelType w:val="hybridMultilevel"/>
    <w:tmpl w:val="EBE4081A"/>
    <w:lvl w:ilvl="0" w:tplc="686C8210">
      <w:start w:val="1"/>
      <w:numFmt w:val="decimal"/>
      <w:lvlText w:val="%1."/>
      <w:lvlJc w:val="left"/>
      <w:pPr>
        <w:tabs>
          <w:tab w:val="num" w:pos="360"/>
        </w:tabs>
        <w:ind w:left="360" w:hanging="360"/>
      </w:pPr>
      <w:rPr>
        <w:rFonts w:cs="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43"/>
  </w:num>
  <w:num w:numId="12">
    <w:abstractNumId w:val="34"/>
  </w:num>
  <w:num w:numId="13">
    <w:abstractNumId w:val="23"/>
  </w:num>
  <w:num w:numId="14">
    <w:abstractNumId w:val="39"/>
  </w:num>
  <w:num w:numId="15">
    <w:abstractNumId w:val="25"/>
  </w:num>
  <w:num w:numId="16">
    <w:abstractNumId w:val="13"/>
  </w:num>
  <w:num w:numId="17">
    <w:abstractNumId w:val="54"/>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37"/>
  </w:num>
  <w:num w:numId="21">
    <w:abstractNumId w:val="35"/>
  </w:num>
  <w:num w:numId="22">
    <w:abstractNumId w:val="19"/>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48"/>
  </w:num>
  <w:num w:numId="28">
    <w:abstractNumId w:val="21"/>
  </w:num>
  <w:num w:numId="29">
    <w:abstractNumId w:val="53"/>
  </w:num>
  <w:num w:numId="30">
    <w:abstractNumId w:val="22"/>
  </w:num>
  <w:num w:numId="31">
    <w:abstractNumId w:val="10"/>
    <w:lvlOverride w:ilvl="0">
      <w:lvl w:ilvl="0">
        <w:start w:val="1"/>
        <w:numFmt w:val="bullet"/>
        <w:pStyle w:val="Dash"/>
        <w:lvlText w:val=""/>
        <w:legacy w:legacy="1" w:legacySpace="0" w:legacyIndent="397"/>
        <w:lvlJc w:val="left"/>
        <w:pPr>
          <w:ind w:left="681" w:hanging="397"/>
        </w:pPr>
        <w:rPr>
          <w:rFonts w:ascii="Symbol" w:hAnsi="Symbol" w:hint="default"/>
          <w:sz w:val="24"/>
        </w:rPr>
      </w:lvl>
    </w:lvlOverride>
  </w:num>
  <w:num w:numId="32">
    <w:abstractNumId w:val="15"/>
  </w:num>
  <w:num w:numId="33">
    <w:abstractNumId w:val="49"/>
  </w:num>
  <w:num w:numId="34">
    <w:abstractNumId w:val="31"/>
  </w:num>
  <w:num w:numId="35">
    <w:abstractNumId w:val="41"/>
  </w:num>
  <w:num w:numId="36">
    <w:abstractNumId w:val="33"/>
  </w:num>
  <w:num w:numId="37">
    <w:abstractNumId w:val="11"/>
  </w:num>
  <w:num w:numId="38">
    <w:abstractNumId w:val="30"/>
  </w:num>
  <w:num w:numId="39">
    <w:abstractNumId w:val="24"/>
  </w:num>
  <w:num w:numId="40">
    <w:abstractNumId w:val="40"/>
  </w:num>
  <w:num w:numId="41">
    <w:abstractNumId w:val="52"/>
  </w:num>
  <w:num w:numId="42">
    <w:abstractNumId w:val="32"/>
  </w:num>
  <w:num w:numId="43">
    <w:abstractNumId w:val="20"/>
  </w:num>
  <w:num w:numId="44">
    <w:abstractNumId w:val="36"/>
  </w:num>
  <w:num w:numId="45">
    <w:abstractNumId w:val="45"/>
  </w:num>
  <w:num w:numId="46">
    <w:abstractNumId w:val="51"/>
  </w:num>
  <w:num w:numId="47">
    <w:abstractNumId w:val="26"/>
  </w:num>
  <w:num w:numId="48">
    <w:abstractNumId w:val="27"/>
  </w:num>
  <w:num w:numId="49">
    <w:abstractNumId w:val="47"/>
  </w:num>
  <w:num w:numId="50">
    <w:abstractNumId w:val="14"/>
  </w:num>
  <w:num w:numId="51">
    <w:abstractNumId w:val="38"/>
  </w:num>
  <w:num w:numId="52">
    <w:abstractNumId w:val="17"/>
  </w:num>
  <w:num w:numId="53">
    <w:abstractNumId w:val="46"/>
  </w:num>
  <w:num w:numId="54">
    <w:abstractNumId w:val="12"/>
  </w:num>
  <w:num w:numId="55">
    <w:abstractNumId w:val="50"/>
  </w:num>
  <w:num w:numId="56">
    <w:abstractNumId w:val="42"/>
  </w:num>
  <w:num w:numId="57">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20"/>
  <w:displayHorizontalDrawingGridEvery w:val="2"/>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A9F"/>
    <w:rsid w:val="0001254B"/>
    <w:rsid w:val="00013272"/>
    <w:rsid w:val="000205AB"/>
    <w:rsid w:val="00021134"/>
    <w:rsid w:val="00023A5A"/>
    <w:rsid w:val="00035CE4"/>
    <w:rsid w:val="00046397"/>
    <w:rsid w:val="00047511"/>
    <w:rsid w:val="0005031F"/>
    <w:rsid w:val="000540A0"/>
    <w:rsid w:val="000579B1"/>
    <w:rsid w:val="00061380"/>
    <w:rsid w:val="00066915"/>
    <w:rsid w:val="00067F1D"/>
    <w:rsid w:val="00074750"/>
    <w:rsid w:val="00074CD6"/>
    <w:rsid w:val="00080AA0"/>
    <w:rsid w:val="00085FD4"/>
    <w:rsid w:val="000A62EC"/>
    <w:rsid w:val="000B0A5D"/>
    <w:rsid w:val="000B20D1"/>
    <w:rsid w:val="000C621C"/>
    <w:rsid w:val="000E02F7"/>
    <w:rsid w:val="000F346F"/>
    <w:rsid w:val="000F4920"/>
    <w:rsid w:val="0010012C"/>
    <w:rsid w:val="001011C8"/>
    <w:rsid w:val="0010206C"/>
    <w:rsid w:val="0010634D"/>
    <w:rsid w:val="00115D9A"/>
    <w:rsid w:val="00125A0D"/>
    <w:rsid w:val="00132462"/>
    <w:rsid w:val="00140077"/>
    <w:rsid w:val="0015063A"/>
    <w:rsid w:val="001523D8"/>
    <w:rsid w:val="00155410"/>
    <w:rsid w:val="001566D4"/>
    <w:rsid w:val="00162A8D"/>
    <w:rsid w:val="00180772"/>
    <w:rsid w:val="0018395B"/>
    <w:rsid w:val="00184098"/>
    <w:rsid w:val="001867A2"/>
    <w:rsid w:val="001A0FAD"/>
    <w:rsid w:val="001A5D46"/>
    <w:rsid w:val="001B0353"/>
    <w:rsid w:val="001B1FD5"/>
    <w:rsid w:val="001C139C"/>
    <w:rsid w:val="001C451B"/>
    <w:rsid w:val="001C67F0"/>
    <w:rsid w:val="001D5515"/>
    <w:rsid w:val="001D62FA"/>
    <w:rsid w:val="001D79CC"/>
    <w:rsid w:val="001E771B"/>
    <w:rsid w:val="001F2BBB"/>
    <w:rsid w:val="001F7AFC"/>
    <w:rsid w:val="00202569"/>
    <w:rsid w:val="0020759E"/>
    <w:rsid w:val="00215A73"/>
    <w:rsid w:val="0022414E"/>
    <w:rsid w:val="0022777A"/>
    <w:rsid w:val="00231ED1"/>
    <w:rsid w:val="0023303F"/>
    <w:rsid w:val="0024300C"/>
    <w:rsid w:val="0024557E"/>
    <w:rsid w:val="00245EC9"/>
    <w:rsid w:val="00251F57"/>
    <w:rsid w:val="0025247E"/>
    <w:rsid w:val="002624AF"/>
    <w:rsid w:val="002652D6"/>
    <w:rsid w:val="002665EC"/>
    <w:rsid w:val="002702D9"/>
    <w:rsid w:val="0027726B"/>
    <w:rsid w:val="00282DC5"/>
    <w:rsid w:val="00284124"/>
    <w:rsid w:val="002845A4"/>
    <w:rsid w:val="002B00A3"/>
    <w:rsid w:val="002B1A55"/>
    <w:rsid w:val="002B4349"/>
    <w:rsid w:val="002C047E"/>
    <w:rsid w:val="002D4479"/>
    <w:rsid w:val="002E4A11"/>
    <w:rsid w:val="002E6247"/>
    <w:rsid w:val="002E66AA"/>
    <w:rsid w:val="002F0E05"/>
    <w:rsid w:val="002F3F00"/>
    <w:rsid w:val="002F51D3"/>
    <w:rsid w:val="00301A3F"/>
    <w:rsid w:val="003040CA"/>
    <w:rsid w:val="00310ED4"/>
    <w:rsid w:val="0031292A"/>
    <w:rsid w:val="0031492A"/>
    <w:rsid w:val="00316504"/>
    <w:rsid w:val="00316C1A"/>
    <w:rsid w:val="00316C4A"/>
    <w:rsid w:val="00321AF0"/>
    <w:rsid w:val="00325E9C"/>
    <w:rsid w:val="00332283"/>
    <w:rsid w:val="00344B75"/>
    <w:rsid w:val="00347D10"/>
    <w:rsid w:val="00364252"/>
    <w:rsid w:val="00377C8F"/>
    <w:rsid w:val="00383F5C"/>
    <w:rsid w:val="003931C7"/>
    <w:rsid w:val="003955AE"/>
    <w:rsid w:val="00395B25"/>
    <w:rsid w:val="003A09F4"/>
    <w:rsid w:val="003A15F0"/>
    <w:rsid w:val="003A533F"/>
    <w:rsid w:val="003B18A7"/>
    <w:rsid w:val="003B6B8D"/>
    <w:rsid w:val="003B6DBB"/>
    <w:rsid w:val="003B7ADC"/>
    <w:rsid w:val="003C213D"/>
    <w:rsid w:val="003E5780"/>
    <w:rsid w:val="003E7627"/>
    <w:rsid w:val="003F0CEE"/>
    <w:rsid w:val="003F41C6"/>
    <w:rsid w:val="003F76CC"/>
    <w:rsid w:val="004024A1"/>
    <w:rsid w:val="004126B5"/>
    <w:rsid w:val="0041464C"/>
    <w:rsid w:val="00414D7B"/>
    <w:rsid w:val="00420E90"/>
    <w:rsid w:val="004215B3"/>
    <w:rsid w:val="00423C72"/>
    <w:rsid w:val="00424B1B"/>
    <w:rsid w:val="00425562"/>
    <w:rsid w:val="004324B5"/>
    <w:rsid w:val="00433680"/>
    <w:rsid w:val="00433F95"/>
    <w:rsid w:val="00436363"/>
    <w:rsid w:val="0044261B"/>
    <w:rsid w:val="00444303"/>
    <w:rsid w:val="004561BE"/>
    <w:rsid w:val="00462D4C"/>
    <w:rsid w:val="00465CAC"/>
    <w:rsid w:val="00473DB9"/>
    <w:rsid w:val="00474063"/>
    <w:rsid w:val="00476EEA"/>
    <w:rsid w:val="00480068"/>
    <w:rsid w:val="00480909"/>
    <w:rsid w:val="00485A06"/>
    <w:rsid w:val="00486581"/>
    <w:rsid w:val="00486D85"/>
    <w:rsid w:val="00494D4B"/>
    <w:rsid w:val="004A28DE"/>
    <w:rsid w:val="004A6D1B"/>
    <w:rsid w:val="004A722D"/>
    <w:rsid w:val="004D1794"/>
    <w:rsid w:val="004D5E32"/>
    <w:rsid w:val="004E092F"/>
    <w:rsid w:val="004F26E5"/>
    <w:rsid w:val="004F3A80"/>
    <w:rsid w:val="004F53EF"/>
    <w:rsid w:val="005019BE"/>
    <w:rsid w:val="00503E04"/>
    <w:rsid w:val="00504B28"/>
    <w:rsid w:val="00512DC6"/>
    <w:rsid w:val="00512E0E"/>
    <w:rsid w:val="00513540"/>
    <w:rsid w:val="0051790F"/>
    <w:rsid w:val="00522CED"/>
    <w:rsid w:val="0052497E"/>
    <w:rsid w:val="00535CD9"/>
    <w:rsid w:val="0053679C"/>
    <w:rsid w:val="00546719"/>
    <w:rsid w:val="00554C04"/>
    <w:rsid w:val="0057442C"/>
    <w:rsid w:val="0057646A"/>
    <w:rsid w:val="00592F9E"/>
    <w:rsid w:val="005A6E7E"/>
    <w:rsid w:val="005A7793"/>
    <w:rsid w:val="005B3E26"/>
    <w:rsid w:val="005B42E6"/>
    <w:rsid w:val="005B59CF"/>
    <w:rsid w:val="005B7515"/>
    <w:rsid w:val="005C1654"/>
    <w:rsid w:val="005C4136"/>
    <w:rsid w:val="005D04F4"/>
    <w:rsid w:val="005D058C"/>
    <w:rsid w:val="005D1F34"/>
    <w:rsid w:val="005E17AA"/>
    <w:rsid w:val="005E34C9"/>
    <w:rsid w:val="005E40E8"/>
    <w:rsid w:val="005F4F23"/>
    <w:rsid w:val="005F5F45"/>
    <w:rsid w:val="006068FD"/>
    <w:rsid w:val="00614071"/>
    <w:rsid w:val="00621224"/>
    <w:rsid w:val="00621F1F"/>
    <w:rsid w:val="00625C4B"/>
    <w:rsid w:val="00626656"/>
    <w:rsid w:val="006604F8"/>
    <w:rsid w:val="00677CB0"/>
    <w:rsid w:val="006804D9"/>
    <w:rsid w:val="00690313"/>
    <w:rsid w:val="006907B4"/>
    <w:rsid w:val="00696390"/>
    <w:rsid w:val="006A1DA9"/>
    <w:rsid w:val="006A24F4"/>
    <w:rsid w:val="006A33A2"/>
    <w:rsid w:val="006A6BB3"/>
    <w:rsid w:val="006A6F46"/>
    <w:rsid w:val="006B3680"/>
    <w:rsid w:val="006C201C"/>
    <w:rsid w:val="006C24CA"/>
    <w:rsid w:val="006D448C"/>
    <w:rsid w:val="006D5EE5"/>
    <w:rsid w:val="006E06ED"/>
    <w:rsid w:val="006E06F5"/>
    <w:rsid w:val="006E7B9D"/>
    <w:rsid w:val="006F20A3"/>
    <w:rsid w:val="006F7424"/>
    <w:rsid w:val="006F7921"/>
    <w:rsid w:val="007039FC"/>
    <w:rsid w:val="00706FAB"/>
    <w:rsid w:val="00707793"/>
    <w:rsid w:val="00715D91"/>
    <w:rsid w:val="007169BB"/>
    <w:rsid w:val="00725D5E"/>
    <w:rsid w:val="00727BB3"/>
    <w:rsid w:val="00732499"/>
    <w:rsid w:val="00732F5A"/>
    <w:rsid w:val="0075307B"/>
    <w:rsid w:val="007548CA"/>
    <w:rsid w:val="00760359"/>
    <w:rsid w:val="00766E9F"/>
    <w:rsid w:val="00770DCB"/>
    <w:rsid w:val="00774E38"/>
    <w:rsid w:val="00775485"/>
    <w:rsid w:val="00775F2F"/>
    <w:rsid w:val="0078273F"/>
    <w:rsid w:val="007841E1"/>
    <w:rsid w:val="00794501"/>
    <w:rsid w:val="007A3B8D"/>
    <w:rsid w:val="007C1A49"/>
    <w:rsid w:val="007C31F5"/>
    <w:rsid w:val="007C3698"/>
    <w:rsid w:val="007C3F94"/>
    <w:rsid w:val="007D40BD"/>
    <w:rsid w:val="007E1866"/>
    <w:rsid w:val="007E24B1"/>
    <w:rsid w:val="007E6434"/>
    <w:rsid w:val="00802320"/>
    <w:rsid w:val="00804837"/>
    <w:rsid w:val="00810ABF"/>
    <w:rsid w:val="00811F89"/>
    <w:rsid w:val="008125EE"/>
    <w:rsid w:val="00823015"/>
    <w:rsid w:val="00824151"/>
    <w:rsid w:val="0083209A"/>
    <w:rsid w:val="00855288"/>
    <w:rsid w:val="008719B3"/>
    <w:rsid w:val="008724DE"/>
    <w:rsid w:val="00881C4C"/>
    <w:rsid w:val="00893A11"/>
    <w:rsid w:val="008A2AF7"/>
    <w:rsid w:val="008A3D57"/>
    <w:rsid w:val="008B4891"/>
    <w:rsid w:val="008D0182"/>
    <w:rsid w:val="008E3D60"/>
    <w:rsid w:val="008F3A9F"/>
    <w:rsid w:val="0090165F"/>
    <w:rsid w:val="009042DE"/>
    <w:rsid w:val="00916B94"/>
    <w:rsid w:val="00921CB7"/>
    <w:rsid w:val="00923C10"/>
    <w:rsid w:val="00923C4F"/>
    <w:rsid w:val="009248AF"/>
    <w:rsid w:val="00925D5C"/>
    <w:rsid w:val="00945FBC"/>
    <w:rsid w:val="009472C4"/>
    <w:rsid w:val="00950E88"/>
    <w:rsid w:val="00952077"/>
    <w:rsid w:val="0096513B"/>
    <w:rsid w:val="00966C2F"/>
    <w:rsid w:val="00967C1F"/>
    <w:rsid w:val="009802F3"/>
    <w:rsid w:val="00992A7C"/>
    <w:rsid w:val="0099643A"/>
    <w:rsid w:val="009A3958"/>
    <w:rsid w:val="009A5753"/>
    <w:rsid w:val="009B5633"/>
    <w:rsid w:val="009C3EC3"/>
    <w:rsid w:val="009C5FB8"/>
    <w:rsid w:val="009D139D"/>
    <w:rsid w:val="009D2998"/>
    <w:rsid w:val="009E7FC4"/>
    <w:rsid w:val="009F074D"/>
    <w:rsid w:val="009F4456"/>
    <w:rsid w:val="009F51D9"/>
    <w:rsid w:val="009F7AAC"/>
    <w:rsid w:val="009F7FC1"/>
    <w:rsid w:val="00A02F56"/>
    <w:rsid w:val="00A0406E"/>
    <w:rsid w:val="00A24F83"/>
    <w:rsid w:val="00A3730D"/>
    <w:rsid w:val="00A41355"/>
    <w:rsid w:val="00A43B92"/>
    <w:rsid w:val="00A44720"/>
    <w:rsid w:val="00A55F4E"/>
    <w:rsid w:val="00A6179E"/>
    <w:rsid w:val="00A66F67"/>
    <w:rsid w:val="00A77194"/>
    <w:rsid w:val="00AA1F18"/>
    <w:rsid w:val="00AB10E7"/>
    <w:rsid w:val="00AB4037"/>
    <w:rsid w:val="00AC27AB"/>
    <w:rsid w:val="00AC3F5E"/>
    <w:rsid w:val="00AC6A34"/>
    <w:rsid w:val="00AE76EB"/>
    <w:rsid w:val="00B02829"/>
    <w:rsid w:val="00B12BB0"/>
    <w:rsid w:val="00B22697"/>
    <w:rsid w:val="00B277E0"/>
    <w:rsid w:val="00B432AB"/>
    <w:rsid w:val="00B52E2D"/>
    <w:rsid w:val="00B744D2"/>
    <w:rsid w:val="00B76653"/>
    <w:rsid w:val="00B91D33"/>
    <w:rsid w:val="00BA262D"/>
    <w:rsid w:val="00BA7D1F"/>
    <w:rsid w:val="00BB2966"/>
    <w:rsid w:val="00BC1623"/>
    <w:rsid w:val="00BC4442"/>
    <w:rsid w:val="00BC79EB"/>
    <w:rsid w:val="00BD7056"/>
    <w:rsid w:val="00BE224B"/>
    <w:rsid w:val="00BE634E"/>
    <w:rsid w:val="00BF4BAF"/>
    <w:rsid w:val="00C013B9"/>
    <w:rsid w:val="00C025E9"/>
    <w:rsid w:val="00C02F60"/>
    <w:rsid w:val="00C076F2"/>
    <w:rsid w:val="00C247EB"/>
    <w:rsid w:val="00C2534C"/>
    <w:rsid w:val="00C25BDA"/>
    <w:rsid w:val="00C33314"/>
    <w:rsid w:val="00C40937"/>
    <w:rsid w:val="00C438E8"/>
    <w:rsid w:val="00C45812"/>
    <w:rsid w:val="00C53971"/>
    <w:rsid w:val="00C54FB1"/>
    <w:rsid w:val="00C6152A"/>
    <w:rsid w:val="00C72B9B"/>
    <w:rsid w:val="00C76584"/>
    <w:rsid w:val="00C80F9F"/>
    <w:rsid w:val="00C827D1"/>
    <w:rsid w:val="00C946DB"/>
    <w:rsid w:val="00C96736"/>
    <w:rsid w:val="00C96D13"/>
    <w:rsid w:val="00C97F91"/>
    <w:rsid w:val="00CA0D78"/>
    <w:rsid w:val="00CA3D20"/>
    <w:rsid w:val="00CA7736"/>
    <w:rsid w:val="00CB27A8"/>
    <w:rsid w:val="00CC2A41"/>
    <w:rsid w:val="00CC5630"/>
    <w:rsid w:val="00CC7EDF"/>
    <w:rsid w:val="00CD6A1E"/>
    <w:rsid w:val="00CD6BFE"/>
    <w:rsid w:val="00CE7182"/>
    <w:rsid w:val="00CE7EF1"/>
    <w:rsid w:val="00CF44EA"/>
    <w:rsid w:val="00CF7E9E"/>
    <w:rsid w:val="00D13FDB"/>
    <w:rsid w:val="00D15FB7"/>
    <w:rsid w:val="00D33A7C"/>
    <w:rsid w:val="00D36D90"/>
    <w:rsid w:val="00D474FA"/>
    <w:rsid w:val="00D60C1F"/>
    <w:rsid w:val="00D65C76"/>
    <w:rsid w:val="00D71D89"/>
    <w:rsid w:val="00D745A8"/>
    <w:rsid w:val="00D81010"/>
    <w:rsid w:val="00D96C86"/>
    <w:rsid w:val="00DA2F73"/>
    <w:rsid w:val="00DA2F92"/>
    <w:rsid w:val="00DA42E8"/>
    <w:rsid w:val="00DA4CFF"/>
    <w:rsid w:val="00DA6773"/>
    <w:rsid w:val="00DA72AF"/>
    <w:rsid w:val="00DB32AC"/>
    <w:rsid w:val="00DB6AF3"/>
    <w:rsid w:val="00DC193F"/>
    <w:rsid w:val="00DC3C4F"/>
    <w:rsid w:val="00DC462F"/>
    <w:rsid w:val="00DD1DAD"/>
    <w:rsid w:val="00DD527E"/>
    <w:rsid w:val="00DD659E"/>
    <w:rsid w:val="00DE2F09"/>
    <w:rsid w:val="00DE4623"/>
    <w:rsid w:val="00DF5590"/>
    <w:rsid w:val="00DF7E34"/>
    <w:rsid w:val="00E0039D"/>
    <w:rsid w:val="00E10B59"/>
    <w:rsid w:val="00E13187"/>
    <w:rsid w:val="00E24FA3"/>
    <w:rsid w:val="00E277FA"/>
    <w:rsid w:val="00E328CD"/>
    <w:rsid w:val="00E32CE7"/>
    <w:rsid w:val="00E34419"/>
    <w:rsid w:val="00E45954"/>
    <w:rsid w:val="00E52A9B"/>
    <w:rsid w:val="00E57A43"/>
    <w:rsid w:val="00E70A9D"/>
    <w:rsid w:val="00E75D90"/>
    <w:rsid w:val="00E80287"/>
    <w:rsid w:val="00E835AF"/>
    <w:rsid w:val="00E97EF8"/>
    <w:rsid w:val="00EA0A45"/>
    <w:rsid w:val="00EA0D1E"/>
    <w:rsid w:val="00EA3E49"/>
    <w:rsid w:val="00EB2FA7"/>
    <w:rsid w:val="00EB4068"/>
    <w:rsid w:val="00ED149D"/>
    <w:rsid w:val="00ED2E41"/>
    <w:rsid w:val="00EE0706"/>
    <w:rsid w:val="00EE44D7"/>
    <w:rsid w:val="00EE4C23"/>
    <w:rsid w:val="00EE5D9F"/>
    <w:rsid w:val="00EF2F23"/>
    <w:rsid w:val="00F070C9"/>
    <w:rsid w:val="00F078FA"/>
    <w:rsid w:val="00F11172"/>
    <w:rsid w:val="00F14C6D"/>
    <w:rsid w:val="00F271DE"/>
    <w:rsid w:val="00F3026B"/>
    <w:rsid w:val="00F3100E"/>
    <w:rsid w:val="00F34912"/>
    <w:rsid w:val="00F35A7A"/>
    <w:rsid w:val="00F423E7"/>
    <w:rsid w:val="00F63ECE"/>
    <w:rsid w:val="00F71A6E"/>
    <w:rsid w:val="00F72D73"/>
    <w:rsid w:val="00F8147F"/>
    <w:rsid w:val="00F81D31"/>
    <w:rsid w:val="00F9078E"/>
    <w:rsid w:val="00F95982"/>
    <w:rsid w:val="00F97201"/>
    <w:rsid w:val="00F97BAB"/>
    <w:rsid w:val="00FA36C0"/>
    <w:rsid w:val="00FA7805"/>
    <w:rsid w:val="00FB7A55"/>
    <w:rsid w:val="00FC582E"/>
    <w:rsid w:val="00FD754C"/>
    <w:rsid w:val="00FF1A1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86B4C33"/>
  <w15:chartTrackingRefBased/>
  <w15:docId w15:val="{57C9B4ED-DC63-4B57-AC69-7126531B4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nhideWhenUsed="1"/>
    <w:lsdException w:name="toc 6" w:locked="1" w:semiHidden="1" w:unhideWhenUsed="1"/>
    <w:lsdException w:name="toc 7" w:locked="1" w:semiHidden="1" w:uiPriority="39" w:unhideWhenUsed="1"/>
    <w:lsdException w:name="toc 8" w:locked="1" w:semiHidden="1" w:unhideWhenUsed="1"/>
    <w:lsdException w:name="toc 9" w:locked="1" w:semiHidden="1" w:unhideWhenUsed="1"/>
    <w:lsdException w:name="Normal Indent" w:locked="1" w:semiHidden="1" w:unhideWhenUsed="1"/>
    <w:lsdException w:name="footnote text" w:semiHidden="1" w:unhideWhenUsed="1" w:qFormat="1"/>
    <w:lsdException w:name="annotation text" w:locked="1" w:semiHidden="1" w:uiPriority="99"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locked="1" w:semiHidden="1" w:uiPriority="99" w:unhideWhenUsed="1"/>
    <w:lsdException w:name="line number" w:locked="1" w:semiHidden="1" w:unhideWhenUsed="1"/>
    <w:lsdException w:name="page number" w:locked="1" w:semiHidden="1" w:unhideWhenUsed="1"/>
    <w:lsdException w:name="endnote reference" w:semiHidden="1" w:uiPriority="99"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nhideWhenUsed="1"/>
    <w:lsdException w:name="Strong" w:qFormat="1"/>
    <w:lsdException w:name="Emphasis" w:locked="1" w:uiPriority="99"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D149D"/>
    <w:pPr>
      <w:spacing w:after="240"/>
    </w:pPr>
    <w:rPr>
      <w:rFonts w:ascii="Open Sans" w:hAnsi="Open Sans"/>
      <w:spacing w:val="-5"/>
      <w:sz w:val="24"/>
      <w:lang w:eastAsia="en-US"/>
    </w:rPr>
  </w:style>
  <w:style w:type="paragraph" w:styleId="Heading1">
    <w:name w:val="heading 1"/>
    <w:basedOn w:val="Normal"/>
    <w:next w:val="Normal"/>
    <w:link w:val="Heading1Char"/>
    <w:qFormat/>
    <w:rsid w:val="00480909"/>
    <w:pPr>
      <w:keepNext/>
      <w:keepLines/>
      <w:numPr>
        <w:numId w:val="15"/>
      </w:numPr>
      <w:spacing w:before="360"/>
      <w:ind w:left="720" w:hanging="720"/>
      <w:outlineLvl w:val="0"/>
    </w:pPr>
    <w:rPr>
      <w:b/>
      <w:bCs/>
      <w:sz w:val="32"/>
      <w:szCs w:val="28"/>
    </w:rPr>
  </w:style>
  <w:style w:type="paragraph" w:styleId="Heading2">
    <w:name w:val="heading 2"/>
    <w:basedOn w:val="Heading1"/>
    <w:next w:val="Normal"/>
    <w:link w:val="Heading2Char"/>
    <w:qFormat/>
    <w:rsid w:val="00480909"/>
    <w:pPr>
      <w:numPr>
        <w:ilvl w:val="1"/>
      </w:numPr>
      <w:ind w:left="720" w:hanging="720"/>
      <w:outlineLvl w:val="1"/>
    </w:pPr>
    <w:rPr>
      <w:bCs w:val="0"/>
      <w:color w:val="000000"/>
      <w:sz w:val="28"/>
      <w:szCs w:val="26"/>
    </w:rPr>
  </w:style>
  <w:style w:type="paragraph" w:styleId="Heading3">
    <w:name w:val="heading 3"/>
    <w:basedOn w:val="Heading2"/>
    <w:next w:val="Normal"/>
    <w:link w:val="Heading3Char"/>
    <w:qFormat/>
    <w:rsid w:val="00AC27AB"/>
    <w:pPr>
      <w:numPr>
        <w:ilvl w:val="2"/>
      </w:numPr>
      <w:outlineLvl w:val="2"/>
    </w:pPr>
    <w:rPr>
      <w:b w:val="0"/>
      <w:bCs/>
      <w:color w:val="auto"/>
      <w:sz w:val="24"/>
    </w:rPr>
  </w:style>
  <w:style w:type="paragraph" w:styleId="Heading4">
    <w:name w:val="heading 4"/>
    <w:basedOn w:val="Heading3"/>
    <w:next w:val="Normal"/>
    <w:link w:val="Heading4Char"/>
    <w:qFormat/>
    <w:rsid w:val="00AC27AB"/>
    <w:pPr>
      <w:numPr>
        <w:ilvl w:val="3"/>
      </w:numPr>
      <w:outlineLvl w:val="3"/>
    </w:pPr>
    <w:rPr>
      <w:bCs w:val="0"/>
      <w:i/>
      <w:iCs/>
    </w:rPr>
  </w:style>
  <w:style w:type="paragraph" w:styleId="Heading5">
    <w:name w:val="heading 5"/>
    <w:basedOn w:val="Normal"/>
    <w:next w:val="Normal"/>
    <w:link w:val="Heading5Char"/>
    <w:qFormat/>
    <w:locked/>
    <w:rsid w:val="00F14C6D"/>
    <w:pPr>
      <w:keepNext/>
      <w:keepLines/>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hAnsi="Cambria"/>
      <w:color w:val="404040"/>
      <w:sz w:val="20"/>
    </w:rPr>
  </w:style>
  <w:style w:type="paragraph" w:styleId="Heading9">
    <w:name w:val="heading 9"/>
    <w:basedOn w:val="Normal"/>
    <w:next w:val="Normal"/>
    <w:link w:val="Heading9Char"/>
    <w:qFormat/>
    <w:locked/>
    <w:rsid w:val="00F14C6D"/>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0909"/>
    <w:rPr>
      <w:rFonts w:ascii="Arial" w:hAnsi="Arial"/>
      <w:b/>
      <w:bCs/>
      <w:spacing w:val="-5"/>
      <w:sz w:val="32"/>
      <w:szCs w:val="28"/>
      <w:lang w:eastAsia="en-US"/>
    </w:rPr>
  </w:style>
  <w:style w:type="character" w:customStyle="1" w:styleId="Heading2Char">
    <w:name w:val="Heading 2 Char"/>
    <w:basedOn w:val="DefaultParagraphFont"/>
    <w:link w:val="Heading2"/>
    <w:rsid w:val="00480909"/>
    <w:rPr>
      <w:rFonts w:ascii="Arial" w:hAnsi="Arial"/>
      <w:b/>
      <w:color w:val="000000"/>
      <w:spacing w:val="-5"/>
      <w:sz w:val="28"/>
      <w:szCs w:val="26"/>
      <w:lang w:eastAsia="en-US"/>
    </w:rPr>
  </w:style>
  <w:style w:type="character" w:customStyle="1" w:styleId="Heading3Char">
    <w:name w:val="Heading 3 Char"/>
    <w:basedOn w:val="DefaultParagraphFont"/>
    <w:link w:val="Heading3"/>
    <w:rsid w:val="00AC27AB"/>
    <w:rPr>
      <w:rFonts w:ascii="Arial" w:hAnsi="Arial"/>
      <w:bCs/>
      <w:i/>
      <w:sz w:val="24"/>
      <w:szCs w:val="26"/>
      <w:lang w:val="en-AU" w:eastAsia="en-AU" w:bidi="ar-SA"/>
    </w:rPr>
  </w:style>
  <w:style w:type="character" w:customStyle="1" w:styleId="Heading4Char">
    <w:name w:val="Heading 4 Char"/>
    <w:basedOn w:val="DefaultParagraphFont"/>
    <w:link w:val="Heading4"/>
    <w:rsid w:val="00AC27AB"/>
    <w:rPr>
      <w:rFonts w:ascii="Arial" w:hAnsi="Arial"/>
      <w:iCs/>
      <w:sz w:val="24"/>
      <w:szCs w:val="26"/>
      <w:lang w:val="en-AU" w:eastAsia="en-AU" w:bidi="ar-SA"/>
    </w:rPr>
  </w:style>
  <w:style w:type="character" w:styleId="Strong">
    <w:name w:val="Strong"/>
    <w:basedOn w:val="DefaultParagraphFont"/>
    <w:qFormat/>
    <w:locked/>
    <w:rsid w:val="000B0A5D"/>
    <w:rPr>
      <w:b/>
      <w:bCs/>
    </w:rPr>
  </w:style>
  <w:style w:type="character" w:customStyle="1" w:styleId="Heading5Char">
    <w:name w:val="Heading 5 Char"/>
    <w:basedOn w:val="DefaultParagraphFont"/>
    <w:link w:val="Heading5"/>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rsid w:val="00F14C6D"/>
    <w:rPr>
      <w:rFonts w:ascii="Cambria" w:hAnsi="Cambria"/>
      <w:color w:val="404040"/>
      <w:lang w:val="en-AU" w:eastAsia="en-AU" w:bidi="ar-SA"/>
    </w:rPr>
  </w:style>
  <w:style w:type="character" w:customStyle="1" w:styleId="Heading9Char">
    <w:name w:val="Heading 9 Char"/>
    <w:basedOn w:val="DefaultParagraphFont"/>
    <w:link w:val="Heading9"/>
    <w:rsid w:val="00F14C6D"/>
    <w:rPr>
      <w:rFonts w:ascii="Cambria" w:hAnsi="Cambria"/>
      <w:i/>
      <w:iCs/>
      <w:color w:val="404040"/>
      <w:lang w:val="en-AU" w:eastAsia="en-AU" w:bidi="ar-SA"/>
    </w:rPr>
  </w:style>
  <w:style w:type="paragraph" w:styleId="Header">
    <w:name w:val="header"/>
    <w:basedOn w:val="Normal"/>
    <w:link w:val="HeaderChar"/>
    <w:rsid w:val="00E75D90"/>
    <w:pPr>
      <w:tabs>
        <w:tab w:val="center" w:pos="4513"/>
        <w:tab w:val="right" w:pos="9026"/>
      </w:tabs>
      <w:jc w:val="right"/>
    </w:pPr>
    <w:rPr>
      <w:sz w:val="22"/>
    </w:rPr>
  </w:style>
  <w:style w:type="character" w:customStyle="1" w:styleId="HeaderChar">
    <w:name w:val="Header Char"/>
    <w:basedOn w:val="DefaultParagraphFont"/>
    <w:link w:val="Header"/>
    <w:rsid w:val="00E75D90"/>
    <w:rPr>
      <w:rFonts w:ascii="Arial" w:hAnsi="Arial"/>
      <w:sz w:val="22"/>
      <w:szCs w:val="24"/>
    </w:rPr>
  </w:style>
  <w:style w:type="paragraph" w:styleId="Footer">
    <w:name w:val="footer"/>
    <w:basedOn w:val="Normal"/>
    <w:link w:val="FooterChar"/>
    <w:uiPriority w:val="99"/>
    <w:rsid w:val="00E75D90"/>
    <w:pPr>
      <w:tabs>
        <w:tab w:val="center" w:pos="4513"/>
        <w:tab w:val="right" w:pos="9026"/>
      </w:tabs>
      <w:jc w:val="right"/>
    </w:pPr>
    <w:rPr>
      <w:sz w:val="22"/>
    </w:rPr>
  </w:style>
  <w:style w:type="character" w:customStyle="1" w:styleId="FooterChar">
    <w:name w:val="Footer Char"/>
    <w:basedOn w:val="DefaultParagraphFont"/>
    <w:link w:val="Footer"/>
    <w:uiPriority w:val="99"/>
    <w:rsid w:val="00E75D90"/>
    <w:rPr>
      <w:rFonts w:ascii="Arial" w:hAnsi="Arial"/>
      <w:sz w:val="22"/>
      <w:szCs w:val="24"/>
    </w:rPr>
  </w:style>
  <w:style w:type="paragraph" w:styleId="TOC3">
    <w:name w:val="toc 3"/>
    <w:basedOn w:val="Normal"/>
    <w:next w:val="Normal"/>
    <w:autoRedefine/>
    <w:uiPriority w:val="39"/>
    <w:qFormat/>
    <w:locked/>
    <w:rsid w:val="002702D9"/>
    <w:pPr>
      <w:ind w:left="1202" w:hanging="720"/>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qFormat/>
    <w:locked/>
    <w:rsid w:val="00480909"/>
    <w:pPr>
      <w:tabs>
        <w:tab w:val="right" w:leader="dot" w:pos="9060"/>
      </w:tabs>
      <w:ind w:left="720" w:hanging="720"/>
    </w:pPr>
    <w:rPr>
      <w:b/>
    </w:rPr>
  </w:style>
  <w:style w:type="paragraph" w:styleId="TOC2">
    <w:name w:val="toc 2"/>
    <w:basedOn w:val="Normal"/>
    <w:next w:val="Normal"/>
    <w:autoRedefine/>
    <w:uiPriority w:val="39"/>
    <w:qFormat/>
    <w:locked/>
    <w:rsid w:val="00480909"/>
    <w:pPr>
      <w:tabs>
        <w:tab w:val="right" w:leader="dot" w:pos="9060"/>
      </w:tabs>
      <w:ind w:left="1440" w:hanging="720"/>
    </w:pPr>
    <w:rPr>
      <w:b/>
    </w:rPr>
  </w:style>
  <w:style w:type="paragraph" w:styleId="TOC4">
    <w:name w:val="toc 4"/>
    <w:basedOn w:val="Normal"/>
    <w:next w:val="Normal"/>
    <w:autoRedefine/>
    <w:uiPriority w:val="39"/>
    <w:semiHidden/>
    <w:locked/>
    <w:rsid w:val="008A2AF7"/>
    <w:pPr>
      <w:tabs>
        <w:tab w:val="left" w:pos="1440"/>
        <w:tab w:val="right" w:leader="dot" w:pos="9060"/>
      </w:tabs>
      <w:ind w:left="1440" w:hanging="720"/>
    </w:pPr>
    <w:rPr>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rPr>
      <w:b/>
      <w:sz w:val="28"/>
      <w:lang w:val="en-US"/>
    </w:rPr>
  </w:style>
  <w:style w:type="paragraph" w:styleId="EndnoteText">
    <w:name w:val="endnote text"/>
    <w:basedOn w:val="Normal"/>
    <w:link w:val="EndnoteTextChar"/>
    <w:rsid w:val="00480909"/>
    <w:rPr>
      <w:sz w:val="20"/>
    </w:rPr>
  </w:style>
  <w:style w:type="character" w:customStyle="1" w:styleId="EndnoteTextChar">
    <w:name w:val="Endnote Text Char"/>
    <w:basedOn w:val="DefaultParagraphFont"/>
    <w:link w:val="EndnoteText"/>
    <w:rsid w:val="00480909"/>
    <w:rPr>
      <w:rFonts w:ascii="Open Sans" w:hAnsi="Open Sans"/>
      <w:spacing w:val="-5"/>
      <w:lang w:eastAsia="en-US"/>
    </w:rPr>
  </w:style>
  <w:style w:type="character" w:styleId="EndnoteReference">
    <w:name w:val="endnote reference"/>
    <w:basedOn w:val="DefaultParagraphFont"/>
    <w:uiPriority w:val="99"/>
    <w:rsid w:val="00074CD6"/>
    <w:rPr>
      <w:rFonts w:ascii="Arial" w:hAnsi="Arial"/>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locked/>
    <w:rsid w:val="00E45954"/>
    <w:pPr>
      <w:spacing w:after="120"/>
      <w:ind w:left="1440" w:right="1440"/>
    </w:pPr>
  </w:style>
  <w:style w:type="paragraph" w:styleId="BodyText">
    <w:name w:val="Body Text"/>
    <w:basedOn w:val="Normal"/>
    <w:link w:val="BodyTextChar"/>
    <w:locked/>
    <w:rsid w:val="00E45954"/>
    <w:pPr>
      <w:spacing w:after="120"/>
    </w:pPr>
  </w:style>
  <w:style w:type="paragraph" w:styleId="BodyText2">
    <w:name w:val="Body Text 2"/>
    <w:basedOn w:val="Normal"/>
    <w:link w:val="BodyText2Char"/>
    <w:semiHidden/>
    <w:locked/>
    <w:rsid w:val="00E45954"/>
    <w:pPr>
      <w:spacing w:after="120" w:line="480" w:lineRule="auto"/>
    </w:pPr>
  </w:style>
  <w:style w:type="paragraph" w:styleId="BodyText3">
    <w:name w:val="Body Text 3"/>
    <w:basedOn w:val="Normal"/>
    <w:link w:val="BodyText3Char"/>
    <w:semiHidden/>
    <w:locked/>
    <w:rsid w:val="00E45954"/>
    <w:pPr>
      <w:spacing w:after="120"/>
    </w:pPr>
    <w:rPr>
      <w:sz w:val="16"/>
      <w:szCs w:val="16"/>
    </w:rPr>
  </w:style>
  <w:style w:type="paragraph" w:styleId="BodyTextFirstIndent">
    <w:name w:val="Body Text First Indent"/>
    <w:basedOn w:val="BodyText"/>
    <w:link w:val="BodyTextFirstIndentChar"/>
    <w:semiHidden/>
    <w:locked/>
    <w:rsid w:val="00E45954"/>
    <w:pPr>
      <w:ind w:firstLine="210"/>
    </w:pPr>
  </w:style>
  <w:style w:type="paragraph" w:styleId="BodyTextIndent">
    <w:name w:val="Body Text Indent"/>
    <w:basedOn w:val="Normal"/>
    <w:link w:val="BodyTextIndentChar"/>
    <w:semiHidden/>
    <w:locked/>
    <w:rsid w:val="00E45954"/>
    <w:pPr>
      <w:spacing w:after="120"/>
      <w:ind w:left="283"/>
    </w:pPr>
  </w:style>
  <w:style w:type="paragraph" w:styleId="BodyTextFirstIndent2">
    <w:name w:val="Body Text First Indent 2"/>
    <w:basedOn w:val="BodyTextIndent"/>
    <w:link w:val="BodyTextFirstIndent2Char"/>
    <w:semiHidden/>
    <w:locked/>
    <w:rsid w:val="00E45954"/>
    <w:pPr>
      <w:ind w:firstLine="210"/>
    </w:pPr>
  </w:style>
  <w:style w:type="paragraph" w:styleId="BodyTextIndent2">
    <w:name w:val="Body Text Indent 2"/>
    <w:basedOn w:val="Normal"/>
    <w:link w:val="BodyTextIndent2Char"/>
    <w:semiHidden/>
    <w:locked/>
    <w:rsid w:val="00E45954"/>
    <w:pPr>
      <w:spacing w:after="120" w:line="480" w:lineRule="auto"/>
      <w:ind w:left="283"/>
    </w:pPr>
  </w:style>
  <w:style w:type="paragraph" w:styleId="BodyTextIndent3">
    <w:name w:val="Body Text Indent 3"/>
    <w:basedOn w:val="Normal"/>
    <w:link w:val="BodyTextIndent3Char"/>
    <w:semiHidden/>
    <w:locked/>
    <w:rsid w:val="00E45954"/>
    <w:pPr>
      <w:spacing w:after="120"/>
      <w:ind w:left="283"/>
    </w:pPr>
    <w:rPr>
      <w:sz w:val="16"/>
      <w:szCs w:val="16"/>
    </w:rPr>
  </w:style>
  <w:style w:type="paragraph" w:styleId="Closing">
    <w:name w:val="Closing"/>
    <w:basedOn w:val="Normal"/>
    <w:link w:val="ClosingChar"/>
    <w:semiHidden/>
    <w:locked/>
    <w:rsid w:val="00E45954"/>
    <w:pPr>
      <w:ind w:left="4252"/>
    </w:pPr>
  </w:style>
  <w:style w:type="paragraph" w:styleId="Date">
    <w:name w:val="Date"/>
    <w:basedOn w:val="Normal"/>
    <w:next w:val="Normal"/>
    <w:link w:val="DateChar"/>
    <w:semiHidden/>
    <w:locked/>
    <w:rsid w:val="00E45954"/>
  </w:style>
  <w:style w:type="paragraph" w:styleId="E-mailSignature">
    <w:name w:val="E-mail Signature"/>
    <w:basedOn w:val="Normal"/>
    <w:link w:val="E-mailSignatureChar"/>
    <w:semiHidden/>
    <w:locked/>
    <w:rsid w:val="00E45954"/>
  </w:style>
  <w:style w:type="character" w:styleId="Emphasis">
    <w:name w:val="Emphasis"/>
    <w:basedOn w:val="DefaultParagraphFont"/>
    <w:uiPriority w:val="99"/>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E45954"/>
    <w:rPr>
      <w:rFonts w:cs="Arial"/>
      <w:sz w:val="20"/>
    </w:rPr>
  </w:style>
  <w:style w:type="character" w:styleId="FootnoteReference">
    <w:name w:val="footnote reference"/>
    <w:aliases w:val="4_G"/>
    <w:basedOn w:val="DefaultParagraphFont"/>
    <w:qFormat/>
    <w:rsid w:val="00074CD6"/>
    <w:rPr>
      <w:rFonts w:ascii="Arial" w:hAnsi="Arial"/>
      <w:sz w:val="20"/>
      <w:vertAlign w:val="superscript"/>
    </w:rPr>
  </w:style>
  <w:style w:type="paragraph" w:styleId="FootnoteText">
    <w:name w:val="footnote text"/>
    <w:aliases w:val="Footnote Text Char1 Char,Footnote Text Char Char Char,Footnote Text Char1 Char Char Char,Footnote Text Char Char Char Char Char,Footnote Text Char2 Char Char Char Char Char,Footnote Text Char1,Footnote Text Char Char"/>
    <w:basedOn w:val="Normal"/>
    <w:link w:val="FootnoteTextChar"/>
    <w:qFormat/>
    <w:rsid w:val="00706FAB"/>
    <w:rPr>
      <w:sz w:val="20"/>
    </w:rPr>
  </w:style>
  <w:style w:type="character" w:styleId="HTMLAcronym">
    <w:name w:val="HTML Acronym"/>
    <w:basedOn w:val="DefaultParagraphFont"/>
    <w:semiHidden/>
    <w:locked/>
    <w:rsid w:val="00E45954"/>
  </w:style>
  <w:style w:type="paragraph" w:styleId="HTMLAddress">
    <w:name w:val="HTML Address"/>
    <w:basedOn w:val="Normal"/>
    <w:link w:val="HTMLAddressChar"/>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link w:val="HTMLPreformattedChar"/>
    <w:uiPriority w:val="99"/>
    <w:semiHidden/>
    <w:locked/>
    <w:rsid w:val="00E45954"/>
    <w:rPr>
      <w:rFonts w:ascii="Courier New" w:hAnsi="Courier New" w:cs="Courier New"/>
      <w:sz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rsid w:val="00074CD6"/>
    <w:pPr>
      <w:numPr>
        <w:numId w:val="14"/>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link w:val="MessageHeaderChar"/>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locked/>
    <w:rsid w:val="00E45954"/>
    <w:pPr>
      <w:ind w:left="720"/>
    </w:pPr>
  </w:style>
  <w:style w:type="paragraph" w:styleId="NoteHeading">
    <w:name w:val="Note Heading"/>
    <w:basedOn w:val="Normal"/>
    <w:next w:val="Normal"/>
    <w:link w:val="NoteHeadingChar"/>
    <w:locked/>
    <w:rsid w:val="00E45954"/>
  </w:style>
  <w:style w:type="character" w:styleId="PageNumber">
    <w:name w:val="page number"/>
    <w:basedOn w:val="DefaultParagraphFont"/>
    <w:locked/>
    <w:rsid w:val="00E45954"/>
  </w:style>
  <w:style w:type="paragraph" w:styleId="PlainText">
    <w:name w:val="Plain Text"/>
    <w:basedOn w:val="Normal"/>
    <w:link w:val="PlainTextChar"/>
    <w:semiHidden/>
    <w:locked/>
    <w:rsid w:val="00E45954"/>
    <w:rPr>
      <w:rFonts w:ascii="Courier New" w:hAnsi="Courier New" w:cs="Courier New"/>
      <w:sz w:val="20"/>
    </w:rPr>
  </w:style>
  <w:style w:type="paragraph" w:styleId="Salutation">
    <w:name w:val="Salutation"/>
    <w:basedOn w:val="Normal"/>
    <w:next w:val="Normal"/>
    <w:link w:val="SalutationChar"/>
    <w:semiHidden/>
    <w:locked/>
    <w:rsid w:val="00E45954"/>
  </w:style>
  <w:style w:type="paragraph" w:styleId="Signature">
    <w:name w:val="Signature"/>
    <w:basedOn w:val="Normal"/>
    <w:link w:val="SignatureChar"/>
    <w:semiHidden/>
    <w:locked/>
    <w:rsid w:val="00E45954"/>
    <w:pPr>
      <w:ind w:left="4252"/>
    </w:pPr>
  </w:style>
  <w:style w:type="paragraph" w:styleId="Subtitle">
    <w:name w:val="Subtitle"/>
    <w:basedOn w:val="Normal"/>
    <w:link w:val="SubtitleChar"/>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semiHidden/>
    <w:locked/>
    <w:rsid w:val="00950E88"/>
    <w:pPr>
      <w:numPr>
        <w:numId w:val="1"/>
      </w:numPr>
    </w:pPr>
  </w:style>
  <w:style w:type="paragraph" w:customStyle="1" w:styleId="Contactdetails">
    <w:name w:val="Contact details"/>
    <w:basedOn w:val="Normal"/>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aliases w:val="Footnote Text Char1 Char Char,Footnote Text Char Char Char Char,Footnote Text Char1 Char Char Char Char,Footnote Text Char Char Char Char Char Char,Footnote Text Char2 Char Char Char Char Char Char,Footnote Text Char1 Char1"/>
    <w:basedOn w:val="DefaultParagraphFont"/>
    <w:link w:val="FootnoteText"/>
    <w:locked/>
    <w:rsid w:val="00706FAB"/>
    <w:rPr>
      <w:rFonts w:ascii="Arial" w:hAnsi="Arial"/>
      <w:lang w:val="en-AU" w:eastAsia="en-AU" w:bidi="ar-SA"/>
    </w:rPr>
  </w:style>
  <w:style w:type="paragraph" w:styleId="BalloonText">
    <w:name w:val="Balloon Text"/>
    <w:basedOn w:val="Normal"/>
    <w:link w:val="BalloonTextChar1"/>
    <w:locked/>
    <w:rsid w:val="008F3A9F"/>
    <w:rPr>
      <w:rFonts w:ascii="Tahoma" w:hAnsi="Tahoma" w:cs="Tahoma"/>
      <w:sz w:val="16"/>
      <w:szCs w:val="16"/>
    </w:rPr>
  </w:style>
  <w:style w:type="character" w:customStyle="1" w:styleId="BalloonTextChar">
    <w:name w:val="Balloon Text Char"/>
    <w:basedOn w:val="DefaultParagraphFont"/>
    <w:uiPriority w:val="99"/>
    <w:semiHidden/>
    <w:rsid w:val="008F3A9F"/>
    <w:rPr>
      <w:rFonts w:ascii="Segoe UI" w:hAnsi="Segoe UI" w:cs="Segoe UI"/>
      <w:spacing w:val="-5"/>
      <w:sz w:val="18"/>
      <w:szCs w:val="18"/>
      <w:lang w:eastAsia="en-US"/>
    </w:rPr>
  </w:style>
  <w:style w:type="character" w:customStyle="1" w:styleId="BodyTextChar">
    <w:name w:val="Body Text Char"/>
    <w:basedOn w:val="DefaultParagraphFont"/>
    <w:link w:val="BodyText"/>
    <w:locked/>
    <w:rsid w:val="008F3A9F"/>
    <w:rPr>
      <w:rFonts w:ascii="Arial" w:hAnsi="Arial"/>
      <w:sz w:val="24"/>
      <w:szCs w:val="24"/>
    </w:rPr>
  </w:style>
  <w:style w:type="character" w:customStyle="1" w:styleId="BodyText2Char">
    <w:name w:val="Body Text 2 Char"/>
    <w:basedOn w:val="DefaultParagraphFont"/>
    <w:link w:val="BodyText2"/>
    <w:semiHidden/>
    <w:locked/>
    <w:rsid w:val="008F3A9F"/>
    <w:rPr>
      <w:rFonts w:ascii="Arial" w:hAnsi="Arial"/>
      <w:sz w:val="24"/>
      <w:szCs w:val="24"/>
    </w:rPr>
  </w:style>
  <w:style w:type="character" w:customStyle="1" w:styleId="BodyText3Char">
    <w:name w:val="Body Text 3 Char"/>
    <w:basedOn w:val="DefaultParagraphFont"/>
    <w:link w:val="BodyText3"/>
    <w:semiHidden/>
    <w:locked/>
    <w:rsid w:val="008F3A9F"/>
    <w:rPr>
      <w:rFonts w:ascii="Arial" w:hAnsi="Arial"/>
      <w:sz w:val="16"/>
      <w:szCs w:val="16"/>
    </w:rPr>
  </w:style>
  <w:style w:type="character" w:customStyle="1" w:styleId="BodyTextFirstIndentChar">
    <w:name w:val="Body Text First Indent Char"/>
    <w:basedOn w:val="BodyTextChar"/>
    <w:link w:val="BodyTextFirstIndent"/>
    <w:semiHidden/>
    <w:locked/>
    <w:rsid w:val="008F3A9F"/>
    <w:rPr>
      <w:rFonts w:ascii="Arial" w:hAnsi="Arial"/>
      <w:sz w:val="24"/>
      <w:szCs w:val="24"/>
    </w:rPr>
  </w:style>
  <w:style w:type="character" w:customStyle="1" w:styleId="BodyTextIndentChar">
    <w:name w:val="Body Text Indent Char"/>
    <w:basedOn w:val="DefaultParagraphFont"/>
    <w:link w:val="BodyTextIndent"/>
    <w:semiHidden/>
    <w:locked/>
    <w:rsid w:val="008F3A9F"/>
    <w:rPr>
      <w:rFonts w:ascii="Arial" w:hAnsi="Arial"/>
      <w:sz w:val="24"/>
      <w:szCs w:val="24"/>
    </w:rPr>
  </w:style>
  <w:style w:type="character" w:customStyle="1" w:styleId="BodyTextFirstIndent2Char">
    <w:name w:val="Body Text First Indent 2 Char"/>
    <w:basedOn w:val="BodyTextIndentChar"/>
    <w:link w:val="BodyTextFirstIndent2"/>
    <w:semiHidden/>
    <w:locked/>
    <w:rsid w:val="008F3A9F"/>
    <w:rPr>
      <w:rFonts w:ascii="Arial" w:hAnsi="Arial"/>
      <w:sz w:val="24"/>
      <w:szCs w:val="24"/>
    </w:rPr>
  </w:style>
  <w:style w:type="character" w:customStyle="1" w:styleId="BodyTextIndent2Char">
    <w:name w:val="Body Text Indent 2 Char"/>
    <w:basedOn w:val="DefaultParagraphFont"/>
    <w:link w:val="BodyTextIndent2"/>
    <w:semiHidden/>
    <w:locked/>
    <w:rsid w:val="008F3A9F"/>
    <w:rPr>
      <w:rFonts w:ascii="Arial" w:hAnsi="Arial"/>
      <w:sz w:val="24"/>
      <w:szCs w:val="24"/>
    </w:rPr>
  </w:style>
  <w:style w:type="character" w:customStyle="1" w:styleId="BodyTextIndent3Char">
    <w:name w:val="Body Text Indent 3 Char"/>
    <w:basedOn w:val="DefaultParagraphFont"/>
    <w:link w:val="BodyTextIndent3"/>
    <w:semiHidden/>
    <w:locked/>
    <w:rsid w:val="008F3A9F"/>
    <w:rPr>
      <w:rFonts w:ascii="Arial" w:hAnsi="Arial"/>
      <w:sz w:val="16"/>
      <w:szCs w:val="16"/>
    </w:rPr>
  </w:style>
  <w:style w:type="character" w:customStyle="1" w:styleId="ClosingChar">
    <w:name w:val="Closing Char"/>
    <w:basedOn w:val="DefaultParagraphFont"/>
    <w:link w:val="Closing"/>
    <w:semiHidden/>
    <w:locked/>
    <w:rsid w:val="008F3A9F"/>
    <w:rPr>
      <w:rFonts w:ascii="Arial" w:hAnsi="Arial"/>
      <w:sz w:val="24"/>
      <w:szCs w:val="24"/>
    </w:rPr>
  </w:style>
  <w:style w:type="character" w:customStyle="1" w:styleId="DateChar">
    <w:name w:val="Date Char"/>
    <w:basedOn w:val="DefaultParagraphFont"/>
    <w:link w:val="Date"/>
    <w:semiHidden/>
    <w:locked/>
    <w:rsid w:val="008F3A9F"/>
    <w:rPr>
      <w:rFonts w:ascii="Arial" w:hAnsi="Arial"/>
      <w:sz w:val="24"/>
      <w:szCs w:val="24"/>
    </w:rPr>
  </w:style>
  <w:style w:type="character" w:customStyle="1" w:styleId="E-mailSignatureChar">
    <w:name w:val="E-mail Signature Char"/>
    <w:basedOn w:val="DefaultParagraphFont"/>
    <w:link w:val="E-mailSignature"/>
    <w:semiHidden/>
    <w:locked/>
    <w:rsid w:val="008F3A9F"/>
    <w:rPr>
      <w:rFonts w:ascii="Arial" w:hAnsi="Arial"/>
      <w:sz w:val="24"/>
      <w:szCs w:val="24"/>
    </w:rPr>
  </w:style>
  <w:style w:type="character" w:customStyle="1" w:styleId="HTMLAddressChar">
    <w:name w:val="HTML Address Char"/>
    <w:basedOn w:val="DefaultParagraphFont"/>
    <w:link w:val="HTMLAddress"/>
    <w:semiHidden/>
    <w:locked/>
    <w:rsid w:val="008F3A9F"/>
    <w:rPr>
      <w:rFonts w:ascii="Arial" w:hAnsi="Arial"/>
      <w:i/>
      <w:iCs/>
      <w:sz w:val="24"/>
      <w:szCs w:val="24"/>
    </w:rPr>
  </w:style>
  <w:style w:type="character" w:customStyle="1" w:styleId="HTMLPreformattedChar">
    <w:name w:val="HTML Preformatted Char"/>
    <w:basedOn w:val="DefaultParagraphFont"/>
    <w:link w:val="HTMLPreformatted"/>
    <w:uiPriority w:val="99"/>
    <w:semiHidden/>
    <w:locked/>
    <w:rsid w:val="008F3A9F"/>
    <w:rPr>
      <w:rFonts w:ascii="Courier New" w:hAnsi="Courier New" w:cs="Courier New"/>
    </w:rPr>
  </w:style>
  <w:style w:type="character" w:customStyle="1" w:styleId="MessageHeaderChar">
    <w:name w:val="Message Header Char"/>
    <w:basedOn w:val="DefaultParagraphFont"/>
    <w:link w:val="MessageHeader"/>
    <w:semiHidden/>
    <w:locked/>
    <w:rsid w:val="008F3A9F"/>
    <w:rPr>
      <w:rFonts w:ascii="Arial" w:hAnsi="Arial" w:cs="Arial"/>
      <w:sz w:val="24"/>
      <w:szCs w:val="24"/>
      <w:shd w:val="pct20" w:color="auto" w:fill="auto"/>
    </w:rPr>
  </w:style>
  <w:style w:type="character" w:customStyle="1" w:styleId="NoteHeadingChar">
    <w:name w:val="Note Heading Char"/>
    <w:basedOn w:val="DefaultParagraphFont"/>
    <w:link w:val="NoteHeading"/>
    <w:locked/>
    <w:rsid w:val="008F3A9F"/>
    <w:rPr>
      <w:rFonts w:ascii="Arial" w:hAnsi="Arial"/>
      <w:sz w:val="24"/>
      <w:szCs w:val="24"/>
    </w:rPr>
  </w:style>
  <w:style w:type="character" w:customStyle="1" w:styleId="PlainTextChar">
    <w:name w:val="Plain Text Char"/>
    <w:basedOn w:val="DefaultParagraphFont"/>
    <w:link w:val="PlainText"/>
    <w:semiHidden/>
    <w:locked/>
    <w:rsid w:val="008F3A9F"/>
    <w:rPr>
      <w:rFonts w:ascii="Courier New" w:hAnsi="Courier New" w:cs="Courier New"/>
    </w:rPr>
  </w:style>
  <w:style w:type="character" w:customStyle="1" w:styleId="SalutationChar">
    <w:name w:val="Salutation Char"/>
    <w:basedOn w:val="DefaultParagraphFont"/>
    <w:link w:val="Salutation"/>
    <w:semiHidden/>
    <w:locked/>
    <w:rsid w:val="008F3A9F"/>
    <w:rPr>
      <w:rFonts w:ascii="Arial" w:hAnsi="Arial"/>
      <w:sz w:val="24"/>
      <w:szCs w:val="24"/>
    </w:rPr>
  </w:style>
  <w:style w:type="character" w:customStyle="1" w:styleId="SignatureChar">
    <w:name w:val="Signature Char"/>
    <w:basedOn w:val="DefaultParagraphFont"/>
    <w:link w:val="Signature"/>
    <w:semiHidden/>
    <w:locked/>
    <w:rsid w:val="008F3A9F"/>
    <w:rPr>
      <w:rFonts w:ascii="Arial" w:hAnsi="Arial"/>
      <w:sz w:val="24"/>
      <w:szCs w:val="24"/>
    </w:rPr>
  </w:style>
  <w:style w:type="character" w:customStyle="1" w:styleId="SubtitleChar">
    <w:name w:val="Subtitle Char"/>
    <w:basedOn w:val="DefaultParagraphFont"/>
    <w:link w:val="Subtitle"/>
    <w:locked/>
    <w:rsid w:val="008F3A9F"/>
    <w:rPr>
      <w:rFonts w:ascii="Arial" w:hAnsi="Arial" w:cs="Arial"/>
      <w:sz w:val="24"/>
      <w:szCs w:val="24"/>
    </w:rPr>
  </w:style>
  <w:style w:type="character" w:customStyle="1" w:styleId="TitleChar">
    <w:name w:val="Title Char"/>
    <w:basedOn w:val="DefaultParagraphFont"/>
    <w:link w:val="Title"/>
    <w:locked/>
    <w:rsid w:val="008F3A9F"/>
    <w:rPr>
      <w:rFonts w:ascii="Arial" w:hAnsi="Arial" w:cs="Arial"/>
      <w:b/>
      <w:bCs/>
      <w:kern w:val="28"/>
      <w:sz w:val="32"/>
      <w:szCs w:val="32"/>
    </w:rPr>
  </w:style>
  <w:style w:type="paragraph" w:customStyle="1" w:styleId="DocumentLabel">
    <w:name w:val="Document Label"/>
    <w:basedOn w:val="Normal"/>
    <w:next w:val="Normal"/>
    <w:uiPriority w:val="99"/>
    <w:rsid w:val="008F3A9F"/>
    <w:pPr>
      <w:keepNext/>
      <w:keepLines/>
      <w:spacing w:before="400" w:after="120" w:line="240" w:lineRule="atLeast"/>
      <w:ind w:left="-840"/>
    </w:pPr>
    <w:rPr>
      <w:rFonts w:ascii="Arial Black" w:hAnsi="Arial Black"/>
      <w:kern w:val="28"/>
      <w:sz w:val="96"/>
    </w:rPr>
  </w:style>
  <w:style w:type="character" w:styleId="CommentReference">
    <w:name w:val="annotation reference"/>
    <w:basedOn w:val="DefaultParagraphFont"/>
    <w:uiPriority w:val="99"/>
    <w:locked/>
    <w:rsid w:val="008F3A9F"/>
    <w:rPr>
      <w:rFonts w:cs="Times New Roman"/>
      <w:sz w:val="16"/>
      <w:szCs w:val="16"/>
    </w:rPr>
  </w:style>
  <w:style w:type="paragraph" w:styleId="CommentText">
    <w:name w:val="annotation text"/>
    <w:basedOn w:val="Normal"/>
    <w:link w:val="CommentTextChar"/>
    <w:uiPriority w:val="99"/>
    <w:locked/>
    <w:rsid w:val="008F3A9F"/>
  </w:style>
  <w:style w:type="character" w:customStyle="1" w:styleId="CommentTextChar">
    <w:name w:val="Comment Text Char"/>
    <w:basedOn w:val="DefaultParagraphFont"/>
    <w:link w:val="CommentText"/>
    <w:uiPriority w:val="99"/>
    <w:rsid w:val="008F3A9F"/>
    <w:rPr>
      <w:rFonts w:ascii="Arial" w:hAnsi="Arial"/>
      <w:spacing w:val="-5"/>
      <w:sz w:val="24"/>
      <w:lang w:eastAsia="en-US"/>
    </w:rPr>
  </w:style>
  <w:style w:type="paragraph" w:styleId="CommentSubject">
    <w:name w:val="annotation subject"/>
    <w:basedOn w:val="CommentText"/>
    <w:next w:val="CommentText"/>
    <w:link w:val="CommentSubjectChar"/>
    <w:locked/>
    <w:rsid w:val="008F3A9F"/>
    <w:rPr>
      <w:b/>
      <w:bCs/>
    </w:rPr>
  </w:style>
  <w:style w:type="character" w:customStyle="1" w:styleId="CommentSubjectChar">
    <w:name w:val="Comment Subject Char"/>
    <w:basedOn w:val="CommentTextChar"/>
    <w:link w:val="CommentSubject"/>
    <w:rsid w:val="008F3A9F"/>
    <w:rPr>
      <w:rFonts w:ascii="Arial" w:hAnsi="Arial"/>
      <w:b/>
      <w:bCs/>
      <w:spacing w:val="-5"/>
      <w:sz w:val="24"/>
      <w:lang w:eastAsia="en-US"/>
    </w:rPr>
  </w:style>
  <w:style w:type="character" w:customStyle="1" w:styleId="BalloonTextChar1">
    <w:name w:val="Balloon Text Char1"/>
    <w:basedOn w:val="DefaultParagraphFont"/>
    <w:link w:val="BalloonText"/>
    <w:locked/>
    <w:rsid w:val="008F3A9F"/>
    <w:rPr>
      <w:rFonts w:ascii="Tahoma" w:hAnsi="Tahoma" w:cs="Tahoma"/>
      <w:spacing w:val="-5"/>
      <w:sz w:val="16"/>
      <w:szCs w:val="16"/>
      <w:lang w:eastAsia="en-US"/>
    </w:rPr>
  </w:style>
  <w:style w:type="character" w:customStyle="1" w:styleId="citation">
    <w:name w:val="citation"/>
    <w:basedOn w:val="DefaultParagraphFont"/>
    <w:uiPriority w:val="99"/>
    <w:rsid w:val="008F3A9F"/>
    <w:rPr>
      <w:rFonts w:cs="Times New Roman"/>
    </w:rPr>
  </w:style>
  <w:style w:type="paragraph" w:customStyle="1" w:styleId="Definition">
    <w:name w:val="Definition"/>
    <w:aliases w:val="dd"/>
    <w:basedOn w:val="Normal"/>
    <w:uiPriority w:val="99"/>
    <w:rsid w:val="008F3A9F"/>
    <w:pPr>
      <w:autoSpaceDE w:val="0"/>
      <w:autoSpaceDN w:val="0"/>
      <w:spacing w:before="180" w:line="260" w:lineRule="atLeast"/>
      <w:ind w:left="1134"/>
    </w:pPr>
    <w:rPr>
      <w:rFonts w:ascii="Times" w:hAnsi="Times" w:cs="Times"/>
      <w:spacing w:val="0"/>
      <w:sz w:val="22"/>
      <w:szCs w:val="22"/>
      <w:lang w:eastAsia="en-AU"/>
    </w:rPr>
  </w:style>
  <w:style w:type="paragraph" w:customStyle="1" w:styleId="indenta">
    <w:name w:val="indent(a)"/>
    <w:aliases w:val="a,paragraph"/>
    <w:basedOn w:val="Normal"/>
    <w:rsid w:val="008F3A9F"/>
    <w:pPr>
      <w:tabs>
        <w:tab w:val="right" w:pos="1531"/>
      </w:tabs>
      <w:autoSpaceDE w:val="0"/>
      <w:autoSpaceDN w:val="0"/>
      <w:spacing w:before="40" w:line="260" w:lineRule="atLeast"/>
      <w:ind w:left="1644" w:hanging="1644"/>
    </w:pPr>
    <w:rPr>
      <w:rFonts w:ascii="Times" w:hAnsi="Times" w:cs="Times"/>
      <w:spacing w:val="0"/>
      <w:sz w:val="22"/>
      <w:szCs w:val="22"/>
      <w:lang w:eastAsia="en-AU"/>
    </w:rPr>
  </w:style>
  <w:style w:type="paragraph" w:customStyle="1" w:styleId="indentii">
    <w:name w:val="indent(ii)"/>
    <w:aliases w:val="aa,paragraph(sub)"/>
    <w:basedOn w:val="indenta"/>
    <w:rsid w:val="008F3A9F"/>
    <w:pPr>
      <w:tabs>
        <w:tab w:val="clear" w:pos="1531"/>
        <w:tab w:val="right" w:pos="1985"/>
      </w:tabs>
      <w:ind w:left="2098" w:hanging="2098"/>
    </w:pPr>
  </w:style>
  <w:style w:type="character" w:customStyle="1" w:styleId="streetline">
    <w:name w:val="streetline"/>
    <w:basedOn w:val="DefaultParagraphFont"/>
    <w:uiPriority w:val="99"/>
    <w:rsid w:val="008F3A9F"/>
    <w:rPr>
      <w:rFonts w:cs="Times New Roman"/>
    </w:rPr>
  </w:style>
  <w:style w:type="character" w:customStyle="1" w:styleId="locality3">
    <w:name w:val="locality3"/>
    <w:basedOn w:val="DefaultParagraphFont"/>
    <w:uiPriority w:val="99"/>
    <w:rsid w:val="008F3A9F"/>
    <w:rPr>
      <w:rFonts w:cs="Times New Roman"/>
      <w:color w:val="666666"/>
    </w:rPr>
  </w:style>
  <w:style w:type="character" w:customStyle="1" w:styleId="state">
    <w:name w:val="state"/>
    <w:basedOn w:val="DefaultParagraphFont"/>
    <w:uiPriority w:val="99"/>
    <w:rsid w:val="008F3A9F"/>
    <w:rPr>
      <w:rFonts w:cs="Times New Roman"/>
    </w:rPr>
  </w:style>
  <w:style w:type="character" w:customStyle="1" w:styleId="postcode">
    <w:name w:val="postcode"/>
    <w:basedOn w:val="DefaultParagraphFont"/>
    <w:uiPriority w:val="99"/>
    <w:rsid w:val="008F3A9F"/>
    <w:rPr>
      <w:rFonts w:cs="Times New Roman"/>
    </w:rPr>
  </w:style>
  <w:style w:type="paragraph" w:styleId="Revision">
    <w:name w:val="Revision"/>
    <w:hidden/>
    <w:uiPriority w:val="99"/>
    <w:semiHidden/>
    <w:rsid w:val="008F3A9F"/>
    <w:rPr>
      <w:rFonts w:ascii="Arial" w:hAnsi="Arial"/>
      <w:spacing w:val="-5"/>
      <w:lang w:eastAsia="en-US"/>
    </w:rPr>
  </w:style>
  <w:style w:type="paragraph" w:customStyle="1" w:styleId="subsection">
    <w:name w:val="subsection"/>
    <w:aliases w:val="ss"/>
    <w:rsid w:val="008F3A9F"/>
    <w:pPr>
      <w:tabs>
        <w:tab w:val="right" w:pos="1021"/>
      </w:tabs>
      <w:spacing w:before="180"/>
      <w:ind w:left="1134" w:hanging="1134"/>
    </w:pPr>
    <w:rPr>
      <w:sz w:val="22"/>
      <w:szCs w:val="22"/>
    </w:rPr>
  </w:style>
  <w:style w:type="paragraph" w:customStyle="1" w:styleId="Style1">
    <w:name w:val="Style1"/>
    <w:basedOn w:val="FootnoteText"/>
    <w:uiPriority w:val="99"/>
    <w:rsid w:val="008F3A9F"/>
    <w:rPr>
      <w:sz w:val="24"/>
    </w:rPr>
  </w:style>
  <w:style w:type="paragraph" w:customStyle="1" w:styleId="SubmissionNormal">
    <w:name w:val="Submission Normal"/>
    <w:aliases w:val="No Spacing,No Spacing1,No Spacing11"/>
    <w:basedOn w:val="Normal"/>
    <w:link w:val="SubmissionNormalChar"/>
    <w:qFormat/>
    <w:rsid w:val="008F3A9F"/>
    <w:pPr>
      <w:numPr>
        <w:numId w:val="28"/>
      </w:numPr>
      <w:spacing w:before="240"/>
    </w:pPr>
    <w:rPr>
      <w:spacing w:val="0"/>
      <w:szCs w:val="24"/>
      <w:lang w:eastAsia="en-AU"/>
    </w:rPr>
  </w:style>
  <w:style w:type="character" w:customStyle="1" w:styleId="SubmissionNormalChar">
    <w:name w:val="Submission Normal Char"/>
    <w:aliases w:val="No Spacing Char,No Spacing1 Char"/>
    <w:basedOn w:val="DefaultParagraphFont"/>
    <w:link w:val="SubmissionNormal"/>
    <w:locked/>
    <w:rsid w:val="008F3A9F"/>
    <w:rPr>
      <w:rFonts w:ascii="Arial" w:hAnsi="Arial"/>
      <w:sz w:val="24"/>
      <w:szCs w:val="24"/>
    </w:rPr>
  </w:style>
  <w:style w:type="paragraph" w:customStyle="1" w:styleId="msolistparagraph0">
    <w:name w:val="msolistparagraph"/>
    <w:basedOn w:val="Normal"/>
    <w:uiPriority w:val="99"/>
    <w:rsid w:val="008F3A9F"/>
    <w:pPr>
      <w:ind w:left="720"/>
    </w:pPr>
    <w:rPr>
      <w:rFonts w:ascii="Calibri" w:hAnsi="Calibri"/>
      <w:spacing w:val="0"/>
      <w:sz w:val="22"/>
      <w:szCs w:val="22"/>
      <w:lang w:eastAsia="en-AU"/>
    </w:rPr>
  </w:style>
  <w:style w:type="paragraph" w:customStyle="1" w:styleId="MainTitle">
    <w:name w:val="Main Title"/>
    <w:uiPriority w:val="99"/>
    <w:semiHidden/>
    <w:rsid w:val="008F3A9F"/>
    <w:pPr>
      <w:pBdr>
        <w:top w:val="single" w:sz="12" w:space="10" w:color="0070C0"/>
        <w:bottom w:val="single" w:sz="12" w:space="10" w:color="0070C0"/>
      </w:pBdr>
      <w:spacing w:before="240" w:after="240"/>
    </w:pPr>
    <w:rPr>
      <w:rFonts w:ascii="Arial" w:hAnsi="Arial"/>
      <w:bCs/>
      <w:kern w:val="32"/>
      <w:sz w:val="100"/>
      <w:szCs w:val="32"/>
    </w:rPr>
  </w:style>
  <w:style w:type="paragraph" w:styleId="ListParagraph">
    <w:name w:val="List Paragraph"/>
    <w:basedOn w:val="Normal"/>
    <w:uiPriority w:val="1"/>
    <w:qFormat/>
    <w:rsid w:val="008F3A9F"/>
    <w:pPr>
      <w:ind w:left="720"/>
      <w:contextualSpacing/>
    </w:pPr>
  </w:style>
  <w:style w:type="paragraph" w:customStyle="1" w:styleId="paragraphsub">
    <w:name w:val="paragraphsub"/>
    <w:basedOn w:val="Normal"/>
    <w:rsid w:val="008F3A9F"/>
    <w:pPr>
      <w:spacing w:before="100" w:beforeAutospacing="1" w:after="100" w:afterAutospacing="1"/>
    </w:pPr>
    <w:rPr>
      <w:rFonts w:ascii="Times New Roman" w:hAnsi="Times New Roman"/>
      <w:spacing w:val="0"/>
      <w:szCs w:val="24"/>
      <w:lang w:eastAsia="en-AU"/>
    </w:rPr>
  </w:style>
  <w:style w:type="character" w:customStyle="1" w:styleId="EndnoteTextChar1">
    <w:name w:val="Endnote Text Char1"/>
    <w:rsid w:val="008F3A9F"/>
    <w:rPr>
      <w:rFonts w:ascii="Arial" w:hAnsi="Arial"/>
    </w:rPr>
  </w:style>
  <w:style w:type="numbering" w:customStyle="1" w:styleId="NoList1">
    <w:name w:val="No List1"/>
    <w:next w:val="NoList"/>
    <w:uiPriority w:val="99"/>
    <w:semiHidden/>
    <w:unhideWhenUsed/>
    <w:rsid w:val="008F3A9F"/>
  </w:style>
  <w:style w:type="paragraph" w:customStyle="1" w:styleId="Bullet">
    <w:name w:val="Bullet"/>
    <w:basedOn w:val="Normal"/>
    <w:rsid w:val="008F3A9F"/>
    <w:pPr>
      <w:numPr>
        <w:numId w:val="30"/>
      </w:numPr>
      <w:spacing w:before="60" w:after="60" w:line="360" w:lineRule="exact"/>
      <w:ind w:left="0" w:firstLine="0"/>
      <w:jc w:val="both"/>
    </w:pPr>
    <w:rPr>
      <w:color w:val="000000"/>
      <w:spacing w:val="0"/>
    </w:rPr>
  </w:style>
  <w:style w:type="paragraph" w:customStyle="1" w:styleId="Dash">
    <w:name w:val="Dash"/>
    <w:basedOn w:val="Normal"/>
    <w:rsid w:val="008F3A9F"/>
    <w:pPr>
      <w:numPr>
        <w:numId w:val="31"/>
      </w:numPr>
      <w:tabs>
        <w:tab w:val="num" w:pos="360"/>
      </w:tabs>
      <w:spacing w:before="20" w:after="20" w:line="360" w:lineRule="exact"/>
      <w:ind w:left="0" w:firstLine="0"/>
      <w:jc w:val="both"/>
    </w:pPr>
    <w:rPr>
      <w:color w:val="000000"/>
      <w:spacing w:val="0"/>
    </w:rPr>
  </w:style>
  <w:style w:type="paragraph" w:customStyle="1" w:styleId="IndentedParagraph">
    <w:name w:val="Indented Paragraph"/>
    <w:basedOn w:val="Normal"/>
    <w:rsid w:val="008F3A9F"/>
    <w:pPr>
      <w:spacing w:line="360" w:lineRule="exact"/>
      <w:ind w:left="1440"/>
      <w:jc w:val="both"/>
    </w:pPr>
    <w:rPr>
      <w:color w:val="000000"/>
      <w:spacing w:val="0"/>
    </w:rPr>
  </w:style>
  <w:style w:type="paragraph" w:customStyle="1" w:styleId="BasicParagraph">
    <w:name w:val="[Basic Paragraph]"/>
    <w:basedOn w:val="Normal"/>
    <w:rsid w:val="008F3A9F"/>
    <w:pPr>
      <w:widowControl w:val="0"/>
      <w:autoSpaceDE w:val="0"/>
      <w:autoSpaceDN w:val="0"/>
      <w:adjustRightInd w:val="0"/>
      <w:spacing w:line="288" w:lineRule="auto"/>
      <w:textAlignment w:val="center"/>
    </w:pPr>
    <w:rPr>
      <w:rFonts w:ascii="Times-Roman" w:hAnsi="Times-Roman" w:cs="Times-Roman"/>
      <w:color w:val="000000"/>
      <w:spacing w:val="0"/>
      <w:szCs w:val="24"/>
      <w:lang w:val="en-US" w:bidi="en-US"/>
    </w:rPr>
  </w:style>
  <w:style w:type="table" w:customStyle="1" w:styleId="TableGrid10">
    <w:name w:val="Table Grid1"/>
    <w:basedOn w:val="TableNormal"/>
    <w:next w:val="TableGrid"/>
    <w:rsid w:val="008F3A9F"/>
    <w:pPr>
      <w:spacing w:line="3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lock">
    <w:name w:val="Address Block"/>
    <w:basedOn w:val="BodyText"/>
    <w:rsid w:val="008F3A9F"/>
    <w:pPr>
      <w:keepNext/>
      <w:keepLines/>
      <w:spacing w:after="0"/>
      <w:jc w:val="both"/>
    </w:pPr>
    <w:rPr>
      <w:rFonts w:cs="ArialMT"/>
      <w:color w:val="000000"/>
      <w:lang w:val="en-US" w:bidi="en-US"/>
    </w:rPr>
  </w:style>
  <w:style w:type="paragraph" w:customStyle="1" w:styleId="Addressee">
    <w:name w:val="Addressee"/>
    <w:basedOn w:val="BodyText"/>
    <w:rsid w:val="008F3A9F"/>
    <w:pPr>
      <w:spacing w:before="227" w:after="340"/>
      <w:jc w:val="both"/>
    </w:pPr>
    <w:rPr>
      <w:rFonts w:cs="ArialMT"/>
      <w:color w:val="000000"/>
      <w:lang w:val="en-US" w:bidi="en-US"/>
    </w:rPr>
  </w:style>
  <w:style w:type="paragraph" w:customStyle="1" w:styleId="Titleofletter">
    <w:name w:val="Title of letter"/>
    <w:basedOn w:val="BodyText"/>
    <w:rsid w:val="008F3A9F"/>
    <w:pPr>
      <w:jc w:val="both"/>
    </w:pPr>
    <w:rPr>
      <w:rFonts w:cs="ArialMT"/>
      <w:b/>
      <w:color w:val="000000"/>
      <w:lang w:val="en-US" w:bidi="en-US"/>
    </w:rPr>
  </w:style>
  <w:style w:type="paragraph" w:customStyle="1" w:styleId="YoursSincerley">
    <w:name w:val="Yours Sincerley"/>
    <w:basedOn w:val="BodyText"/>
    <w:rsid w:val="008F3A9F"/>
    <w:pPr>
      <w:keepNext/>
      <w:keepLines/>
      <w:spacing w:after="901"/>
      <w:jc w:val="both"/>
    </w:pPr>
    <w:rPr>
      <w:rFonts w:cs="ArialMT"/>
      <w:color w:val="000000"/>
      <w:lang w:val="en-US" w:bidi="en-US"/>
    </w:rPr>
  </w:style>
  <w:style w:type="paragraph" w:customStyle="1" w:styleId="HeaderFooter">
    <w:name w:val="Header &amp; Footer"/>
    <w:basedOn w:val="Normal"/>
    <w:rsid w:val="008F3A9F"/>
    <w:pPr>
      <w:spacing w:line="200" w:lineRule="exact"/>
      <w:jc w:val="both"/>
    </w:pPr>
    <w:rPr>
      <w:rFonts w:cs="ArialMT"/>
      <w:color w:val="000000"/>
      <w:spacing w:val="0"/>
      <w:sz w:val="16"/>
      <w:szCs w:val="24"/>
    </w:rPr>
  </w:style>
  <w:style w:type="paragraph" w:customStyle="1" w:styleId="LogoType">
    <w:name w:val="Logo Type"/>
    <w:basedOn w:val="Header"/>
    <w:rsid w:val="008F3A9F"/>
    <w:pPr>
      <w:pBdr>
        <w:bottom w:val="single" w:sz="4" w:space="4" w:color="auto"/>
      </w:pBdr>
      <w:tabs>
        <w:tab w:val="clear" w:pos="4513"/>
        <w:tab w:val="clear" w:pos="9026"/>
        <w:tab w:val="left" w:pos="4686"/>
        <w:tab w:val="left" w:pos="7088"/>
        <w:tab w:val="left" w:pos="7242"/>
      </w:tabs>
      <w:spacing w:line="320" w:lineRule="exact"/>
      <w:jc w:val="left"/>
    </w:pPr>
    <w:rPr>
      <w:rFonts w:cs="ArialMT"/>
      <w:b/>
      <w:color w:val="808080"/>
      <w:spacing w:val="-20"/>
      <w:sz w:val="32"/>
    </w:rPr>
  </w:style>
  <w:style w:type="paragraph" w:customStyle="1" w:styleId="OurRef">
    <w:name w:val="Our Ref:"/>
    <w:basedOn w:val="BodyText"/>
    <w:rsid w:val="008F3A9F"/>
    <w:pPr>
      <w:spacing w:after="193"/>
    </w:pPr>
    <w:rPr>
      <w:rFonts w:cs="ArialMT"/>
      <w:color w:val="000000"/>
      <w:lang w:val="en-US" w:bidi="en-US"/>
    </w:rPr>
  </w:style>
  <w:style w:type="paragraph" w:customStyle="1" w:styleId="StyleAddresseeAfter1135pt">
    <w:name w:val="Style Addressee + After:  11.35 pt"/>
    <w:basedOn w:val="Addressee"/>
    <w:rsid w:val="008F3A9F"/>
    <w:pPr>
      <w:spacing w:before="267" w:after="267"/>
    </w:pPr>
    <w:rPr>
      <w:rFonts w:cs="Times New Roman"/>
    </w:rPr>
  </w:style>
  <w:style w:type="paragraph" w:customStyle="1" w:styleId="DateInsert">
    <w:name w:val="Date Insert"/>
    <w:basedOn w:val="AddressBlock"/>
    <w:rsid w:val="008F3A9F"/>
    <w:pPr>
      <w:spacing w:after="227" w:line="320" w:lineRule="exact"/>
    </w:pPr>
  </w:style>
  <w:style w:type="paragraph" w:customStyle="1" w:styleId="NameInsert">
    <w:name w:val="Name Insert"/>
    <w:basedOn w:val="BodyText"/>
    <w:rsid w:val="008F3A9F"/>
    <w:pPr>
      <w:jc w:val="both"/>
    </w:pPr>
    <w:rPr>
      <w:color w:val="000000"/>
      <w:lang w:val="en-US" w:bidi="en-US"/>
    </w:rPr>
  </w:style>
  <w:style w:type="character" w:customStyle="1" w:styleId="black1">
    <w:name w:val="black1"/>
    <w:rsid w:val="008F3A9F"/>
    <w:rPr>
      <w:rFonts w:cs="Times New Roman"/>
      <w:color w:val="000000"/>
    </w:rPr>
  </w:style>
  <w:style w:type="numbering" w:customStyle="1" w:styleId="1111111">
    <w:name w:val="1 / 1.1 / 1.1.11"/>
    <w:basedOn w:val="NoList"/>
    <w:next w:val="111111"/>
    <w:rsid w:val="008F3A9F"/>
  </w:style>
  <w:style w:type="numbering" w:customStyle="1" w:styleId="1ai1">
    <w:name w:val="1 / a / i1"/>
    <w:basedOn w:val="NoList"/>
    <w:next w:val="1ai"/>
    <w:semiHidden/>
    <w:rsid w:val="008F3A9F"/>
  </w:style>
  <w:style w:type="numbering" w:customStyle="1" w:styleId="ArticleSection1">
    <w:name w:val="Article / Section1"/>
    <w:basedOn w:val="NoList"/>
    <w:next w:val="ArticleSection"/>
    <w:semiHidden/>
    <w:rsid w:val="008F3A9F"/>
  </w:style>
  <w:style w:type="paragraph" w:customStyle="1" w:styleId="Reply">
    <w:name w:val="Reply"/>
    <w:basedOn w:val="Normal"/>
    <w:semiHidden/>
    <w:rsid w:val="008F3A9F"/>
    <w:pPr>
      <w:spacing w:before="240" w:after="120" w:line="280" w:lineRule="exact"/>
    </w:pPr>
    <w:rPr>
      <w:color w:val="000000"/>
      <w:spacing w:val="0"/>
    </w:rPr>
  </w:style>
  <w:style w:type="paragraph" w:customStyle="1" w:styleId="ActHead5">
    <w:name w:val="ActHead 5"/>
    <w:aliases w:val="s"/>
    <w:basedOn w:val="Normal"/>
    <w:next w:val="Normal"/>
    <w:rsid w:val="008F3A9F"/>
    <w:pPr>
      <w:keepNext/>
      <w:keepLines/>
      <w:spacing w:before="280"/>
      <w:ind w:left="1134" w:hanging="1134"/>
      <w:outlineLvl w:val="4"/>
    </w:pPr>
    <w:rPr>
      <w:rFonts w:ascii="Times New Roman" w:hAnsi="Times New Roman"/>
      <w:b/>
      <w:bCs/>
      <w:spacing w:val="0"/>
      <w:kern w:val="28"/>
      <w:szCs w:val="24"/>
      <w:lang w:eastAsia="en-AU"/>
    </w:rPr>
  </w:style>
  <w:style w:type="character" w:customStyle="1" w:styleId="CharSectno">
    <w:name w:val="CharSectno"/>
    <w:basedOn w:val="DefaultParagraphFont"/>
    <w:rsid w:val="008F3A9F"/>
    <w:rPr>
      <w:rFonts w:cs="Times New Roman"/>
    </w:rPr>
  </w:style>
  <w:style w:type="paragraph" w:styleId="Quote">
    <w:name w:val="Quote"/>
    <w:basedOn w:val="Normal"/>
    <w:link w:val="QuoteChar"/>
    <w:qFormat/>
    <w:rsid w:val="008F3A9F"/>
    <w:pPr>
      <w:spacing w:before="240"/>
      <w:ind w:left="1440"/>
    </w:pPr>
    <w:rPr>
      <w:spacing w:val="0"/>
      <w:sz w:val="22"/>
      <w:szCs w:val="22"/>
      <w:lang w:eastAsia="en-AU"/>
    </w:rPr>
  </w:style>
  <w:style w:type="character" w:customStyle="1" w:styleId="QuoteChar">
    <w:name w:val="Quote Char"/>
    <w:basedOn w:val="DefaultParagraphFont"/>
    <w:link w:val="Quote"/>
    <w:rsid w:val="008F3A9F"/>
    <w:rPr>
      <w:rFonts w:ascii="Arial" w:hAnsi="Arial"/>
      <w:sz w:val="22"/>
      <w:szCs w:val="22"/>
    </w:rPr>
  </w:style>
  <w:style w:type="paragraph" w:customStyle="1" w:styleId="r2">
    <w:name w:val="r2"/>
    <w:basedOn w:val="Normal"/>
    <w:rsid w:val="008F3A9F"/>
    <w:pPr>
      <w:spacing w:before="100" w:beforeAutospacing="1" w:after="100" w:afterAutospacing="1"/>
    </w:pPr>
    <w:rPr>
      <w:rFonts w:ascii="Times New Roman" w:hAnsi="Times New Roman"/>
      <w:spacing w:val="0"/>
      <w:szCs w:val="24"/>
      <w:lang w:eastAsia="en-AU"/>
    </w:rPr>
  </w:style>
  <w:style w:type="paragraph" w:customStyle="1" w:styleId="p1">
    <w:name w:val="p1"/>
    <w:basedOn w:val="Normal"/>
    <w:rsid w:val="008F3A9F"/>
    <w:pPr>
      <w:spacing w:before="100" w:beforeAutospacing="1" w:after="100" w:afterAutospacing="1"/>
    </w:pPr>
    <w:rPr>
      <w:rFonts w:ascii="Times New Roman" w:hAnsi="Times New Roman"/>
      <w:spacing w:val="0"/>
      <w:szCs w:val="24"/>
      <w:lang w:eastAsia="en-AU"/>
    </w:rPr>
  </w:style>
  <w:style w:type="paragraph" w:customStyle="1" w:styleId="ps1-text-column2">
    <w:name w:val="ps_1-text-column2"/>
    <w:basedOn w:val="Normal"/>
    <w:rsid w:val="008F3A9F"/>
    <w:pPr>
      <w:spacing w:before="100" w:beforeAutospacing="1" w:after="100" w:afterAutospacing="1"/>
    </w:pPr>
    <w:rPr>
      <w:rFonts w:ascii="Times New Roman" w:hAnsi="Times New Roman"/>
      <w:spacing w:val="0"/>
      <w:szCs w:val="24"/>
      <w:lang w:eastAsia="en-AU"/>
    </w:rPr>
  </w:style>
  <w:style w:type="paragraph" w:customStyle="1" w:styleId="ps1-sub-subheading">
    <w:name w:val="ps_1-sub-subheading"/>
    <w:basedOn w:val="Normal"/>
    <w:rsid w:val="008F3A9F"/>
    <w:pPr>
      <w:spacing w:before="100" w:beforeAutospacing="1" w:after="100" w:afterAutospacing="1"/>
    </w:pPr>
    <w:rPr>
      <w:rFonts w:ascii="Times New Roman" w:hAnsi="Times New Roman"/>
      <w:spacing w:val="0"/>
      <w:szCs w:val="24"/>
      <w:lang w:eastAsia="en-AU"/>
    </w:rPr>
  </w:style>
  <w:style w:type="paragraph" w:customStyle="1" w:styleId="ps1-dotpoint">
    <w:name w:val="ps_1-dotpoint"/>
    <w:basedOn w:val="Normal"/>
    <w:rsid w:val="008F3A9F"/>
    <w:pPr>
      <w:spacing w:before="100" w:beforeAutospacing="1" w:after="100" w:afterAutospacing="1"/>
    </w:pPr>
    <w:rPr>
      <w:rFonts w:ascii="Times New Roman" w:hAnsi="Times New Roman"/>
      <w:spacing w:val="0"/>
      <w:szCs w:val="24"/>
      <w:lang w:eastAsia="en-AU"/>
    </w:rPr>
  </w:style>
  <w:style w:type="paragraph" w:customStyle="1" w:styleId="psblackbullet64134">
    <w:name w:val="ps_blackbullet64134"/>
    <w:basedOn w:val="Normal"/>
    <w:rsid w:val="008F3A9F"/>
    <w:pPr>
      <w:spacing w:before="100" w:beforeAutospacing="1" w:after="100" w:afterAutospacing="1"/>
    </w:pPr>
    <w:rPr>
      <w:rFonts w:ascii="Times New Roman" w:hAnsi="Times New Roman"/>
      <w:spacing w:val="0"/>
      <w:szCs w:val="24"/>
      <w:lang w:eastAsia="en-AU"/>
    </w:rPr>
  </w:style>
  <w:style w:type="paragraph" w:customStyle="1" w:styleId="ps0start134indent">
    <w:name w:val="ps_0start134indent"/>
    <w:basedOn w:val="Normal"/>
    <w:rsid w:val="008F3A9F"/>
    <w:pPr>
      <w:spacing w:before="100" w:beforeAutospacing="1" w:after="100" w:afterAutospacing="1"/>
    </w:pPr>
    <w:rPr>
      <w:rFonts w:ascii="Times New Roman" w:hAnsi="Times New Roman"/>
      <w:spacing w:val="0"/>
      <w:szCs w:val="24"/>
      <w:lang w:eastAsia="en-AU"/>
    </w:rPr>
  </w:style>
  <w:style w:type="paragraph" w:customStyle="1" w:styleId="psblack401414024140341etc">
    <w:name w:val="ps_black401414024140341etc"/>
    <w:basedOn w:val="Normal"/>
    <w:rsid w:val="008F3A9F"/>
    <w:pPr>
      <w:spacing w:before="100" w:beforeAutospacing="1" w:after="100" w:afterAutospacing="1"/>
    </w:pPr>
    <w:rPr>
      <w:rFonts w:ascii="Times New Roman" w:hAnsi="Times New Roman"/>
      <w:spacing w:val="0"/>
      <w:szCs w:val="24"/>
      <w:lang w:eastAsia="en-AU"/>
    </w:rPr>
  </w:style>
  <w:style w:type="paragraph" w:customStyle="1" w:styleId="Body">
    <w:name w:val="Body"/>
    <w:rsid w:val="008F3A9F"/>
    <w:pPr>
      <w:keepLines/>
      <w:spacing w:after="200" w:line="288" w:lineRule="auto"/>
    </w:pPr>
    <w:rPr>
      <w:rFonts w:ascii="Arial" w:eastAsia="ヒラギノ角ゴ Pro W3" w:hAnsi="Arial"/>
      <w:color w:val="000000"/>
      <w:sz w:val="24"/>
      <w:lang w:val="en-US"/>
    </w:rPr>
  </w:style>
  <w:style w:type="paragraph" w:customStyle="1" w:styleId="BodyBullet">
    <w:name w:val="Body Bullet"/>
    <w:rsid w:val="008F3A9F"/>
    <w:pPr>
      <w:spacing w:after="200"/>
    </w:pPr>
    <w:rPr>
      <w:rFonts w:ascii="Arial" w:eastAsia="ヒラギノ角ゴ Pro W3" w:hAnsi="Arial"/>
      <w:color w:val="000000"/>
      <w:sz w:val="24"/>
      <w:lang w:val="en-US"/>
    </w:rPr>
  </w:style>
  <w:style w:type="paragraph" w:customStyle="1" w:styleId="Default">
    <w:name w:val="Default"/>
    <w:rsid w:val="008F3A9F"/>
    <w:pPr>
      <w:autoSpaceDE w:val="0"/>
      <w:autoSpaceDN w:val="0"/>
      <w:adjustRightInd w:val="0"/>
    </w:pPr>
    <w:rPr>
      <w:rFonts w:ascii="Arial" w:hAnsi="Arial" w:cs="Arial"/>
      <w:color w:val="000000"/>
      <w:sz w:val="24"/>
      <w:szCs w:val="24"/>
    </w:rPr>
  </w:style>
  <w:style w:type="paragraph" w:customStyle="1" w:styleId="BodyListParagraph">
    <w:name w:val="Body List Paragraph"/>
    <w:basedOn w:val="Normal"/>
    <w:uiPriority w:val="99"/>
    <w:rsid w:val="008F3A9F"/>
    <w:pPr>
      <w:keepLines/>
      <w:widowControl w:val="0"/>
      <w:numPr>
        <w:numId w:val="32"/>
      </w:numPr>
      <w:suppressAutoHyphens/>
      <w:autoSpaceDE w:val="0"/>
      <w:autoSpaceDN w:val="0"/>
      <w:adjustRightInd w:val="0"/>
      <w:spacing w:after="113" w:line="288" w:lineRule="auto"/>
      <w:textAlignment w:val="center"/>
    </w:pPr>
    <w:rPr>
      <w:rFonts w:eastAsiaTheme="minorEastAsia" w:cs="HelveticaNeue"/>
      <w:color w:val="000000"/>
      <w:spacing w:val="0"/>
      <w:szCs w:val="17"/>
      <w:lang w:val="en-US" w:eastAsia="en-AU"/>
    </w:rPr>
  </w:style>
  <w:style w:type="paragraph" w:customStyle="1" w:styleId="NumberedParagraphs">
    <w:name w:val="Numbered Paragraphs"/>
    <w:rsid w:val="008F3A9F"/>
    <w:pPr>
      <w:keepLines/>
      <w:tabs>
        <w:tab w:val="left" w:pos="567"/>
      </w:tabs>
      <w:spacing w:after="200" w:line="288" w:lineRule="auto"/>
    </w:pPr>
    <w:rPr>
      <w:rFonts w:ascii="Arial" w:eastAsia="ヒラギノ角ゴ Pro W3" w:hAnsi="Arial"/>
      <w:color w:val="000000"/>
      <w:sz w:val="24"/>
      <w:lang w:val="en-US"/>
    </w:rPr>
  </w:style>
  <w:style w:type="numbering" w:customStyle="1" w:styleId="NumberedList">
    <w:name w:val="Numbered List"/>
    <w:rsid w:val="008F3A9F"/>
  </w:style>
  <w:style w:type="paragraph" w:customStyle="1" w:styleId="EndnoteText1">
    <w:name w:val="Endnote Text1"/>
    <w:rsid w:val="008F3A9F"/>
    <w:pPr>
      <w:keepLines/>
      <w:ind w:left="397" w:hanging="397"/>
    </w:pPr>
    <w:rPr>
      <w:rFonts w:ascii="Arial" w:eastAsia="ヒラギノ角ゴ Pro W3" w:hAnsi="Arial"/>
      <w:color w:val="000000"/>
      <w:lang w:val="en-US"/>
    </w:rPr>
  </w:style>
  <w:style w:type="paragraph" w:customStyle="1" w:styleId="Quote20mm">
    <w:name w:val="Quote (20mm)"/>
    <w:rsid w:val="008F3A9F"/>
    <w:pPr>
      <w:keepLines/>
      <w:spacing w:after="200" w:line="288" w:lineRule="auto"/>
      <w:ind w:left="1134"/>
    </w:pPr>
    <w:rPr>
      <w:rFonts w:ascii="Arial" w:eastAsia="ヒラギノ角ゴ Pro W3" w:hAnsi="Arial"/>
      <w:color w:val="000000"/>
      <w:sz w:val="22"/>
      <w:lang w:val="en-US"/>
    </w:rPr>
  </w:style>
  <w:style w:type="paragraph" w:customStyle="1" w:styleId="definition0">
    <w:name w:val="definition"/>
    <w:basedOn w:val="Normal"/>
    <w:rsid w:val="008F3A9F"/>
    <w:pPr>
      <w:spacing w:before="100" w:beforeAutospacing="1" w:after="100" w:afterAutospacing="1"/>
    </w:pPr>
    <w:rPr>
      <w:rFonts w:ascii="Times New Roman" w:hAnsi="Times New Roman"/>
      <w:spacing w:val="0"/>
      <w:szCs w:val="24"/>
      <w:lang w:eastAsia="en-AU"/>
    </w:rPr>
  </w:style>
  <w:style w:type="paragraph" w:customStyle="1" w:styleId="notetext">
    <w:name w:val="notetext"/>
    <w:basedOn w:val="Normal"/>
    <w:rsid w:val="008F3A9F"/>
    <w:pPr>
      <w:spacing w:before="100" w:beforeAutospacing="1" w:after="100" w:afterAutospacing="1"/>
    </w:pPr>
    <w:rPr>
      <w:rFonts w:ascii="Times New Roman" w:hAnsi="Times New Roman"/>
      <w:spacing w:val="0"/>
      <w:szCs w:val="24"/>
      <w:lang w:eastAsia="en-AU"/>
    </w:rPr>
  </w:style>
  <w:style w:type="paragraph" w:customStyle="1" w:styleId="subsectionhead">
    <w:name w:val="subsectionhead"/>
    <w:basedOn w:val="Normal"/>
    <w:rsid w:val="008F3A9F"/>
    <w:pPr>
      <w:spacing w:before="100" w:beforeAutospacing="1" w:after="100" w:afterAutospacing="1"/>
    </w:pPr>
    <w:rPr>
      <w:rFonts w:ascii="Times New Roman" w:hAnsi="Times New Roman"/>
      <w:spacing w:val="0"/>
      <w:szCs w:val="24"/>
      <w:lang w:eastAsia="en-AU"/>
    </w:rPr>
  </w:style>
  <w:style w:type="paragraph" w:styleId="TOC7">
    <w:name w:val="toc 7"/>
    <w:basedOn w:val="Normal"/>
    <w:next w:val="Normal"/>
    <w:autoRedefine/>
    <w:uiPriority w:val="39"/>
    <w:unhideWhenUsed/>
    <w:locked/>
    <w:rsid w:val="008F3A9F"/>
    <w:pPr>
      <w:spacing w:after="100"/>
    </w:pPr>
  </w:style>
  <w:style w:type="paragraph" w:customStyle="1" w:styleId="CopyrightText">
    <w:name w:val="Copyright Text"/>
    <w:basedOn w:val="Normal"/>
    <w:uiPriority w:val="99"/>
    <w:rsid w:val="00ED149D"/>
    <w:pPr>
      <w:tabs>
        <w:tab w:val="left" w:pos="567"/>
      </w:tabs>
      <w:suppressAutoHyphens/>
      <w:autoSpaceDE w:val="0"/>
      <w:autoSpaceDN w:val="0"/>
      <w:adjustRightInd w:val="0"/>
      <w:spacing w:after="57" w:line="288" w:lineRule="auto"/>
      <w:textAlignment w:val="center"/>
    </w:pPr>
    <w:rPr>
      <w:rFonts w:ascii="HelveticaNeueLT Pro 57 Cn" w:eastAsia="Arial Unicode MS" w:hAnsi="HelveticaNeueLT Pro 57 Cn" w:cs="HelveticaNeueLT Pro 57 Cn"/>
      <w:color w:val="000000"/>
      <w:spacing w:val="0"/>
      <w:sz w:val="16"/>
      <w:szCs w:val="16"/>
      <w:u w:color="000000"/>
      <w:bdr w:val="nil"/>
      <w:lang w:eastAsia="en-AU"/>
    </w:rPr>
  </w:style>
  <w:style w:type="character" w:customStyle="1" w:styleId="Bold">
    <w:name w:val="Bold"/>
    <w:uiPriority w:val="99"/>
    <w:rsid w:val="00ED149D"/>
    <w:rPr>
      <w:rFonts w:ascii="HelveticaNeueLT Pro 55 Roman" w:hAnsi="HelveticaNeueLT Pro 55 Roman" w:cs="HelveticaNeueLT Pro 55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communications@humanrights.gov.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creativecommons.org/licenses/by/4.0/legalcode" TargetMode="Externa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emf"/><Relationship Id="rId10" Type="http://schemas.openxmlformats.org/officeDocument/2006/relationships/settings" Target="setting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8FDF5B15A5C74091762EB145641BD2" ma:contentTypeVersion="927" ma:contentTypeDescription="Create a new document." ma:contentTypeScope="" ma:versionID="b96fff8300f5c5951d46170f8908afb8">
  <xsd:schema xmlns:xsd="http://www.w3.org/2001/XMLSchema" xmlns:xs="http://www.w3.org/2001/XMLSchema" xmlns:p="http://schemas.microsoft.com/office/2006/metadata/properties" xmlns:ns2="0544bb73-b9b2-4315-b463-f353efb89b0b" xmlns:ns3="6500fe01-343b-4fb9-a1b0-68ac19d62e01" xmlns:ns4="57f1fb52-79b9-4278-9d54-1e5db41bfcda" xmlns:ns5="ccf9782b-c747-4be8-886f-341168625564" targetNamespace="http://schemas.microsoft.com/office/2006/metadata/properties" ma:root="true" ma:fieldsID="bdcafd39c87969b52fc62d4a66e74bb2" ns2:_="" ns3:_="" ns4:_="" ns5:_="">
    <xsd:import namespace="0544bb73-b9b2-4315-b463-f353efb89b0b"/>
    <xsd:import namespace="6500fe01-343b-4fb9-a1b0-68ac19d62e01"/>
    <xsd:import namespace="57f1fb52-79b9-4278-9d54-1e5db41bfcda"/>
    <xsd:import namespace="ccf9782b-c747-4be8-886f-341168625564"/>
    <xsd:element name="properties">
      <xsd:complexType>
        <xsd:sequence>
          <xsd:element name="documentManagement">
            <xsd:complexType>
              <xsd:all>
                <xsd:element ref="ns2:Report_x0020_No_x002e_" minOccurs="0"/>
                <xsd:element ref="ns3:Divider" minOccurs="0"/>
                <xsd:element ref="ns4:Subdivider" minOccurs="0"/>
                <xsd:element ref="ns3:TaxCatchAll" minOccurs="0"/>
                <xsd:element ref="ns3:TaxCatchAllLabel" minOccurs="0"/>
                <xsd:element ref="ns3:_dlc_DocId" minOccurs="0"/>
                <xsd:element ref="ns3:_dlc_DocIdUrl" minOccurs="0"/>
                <xsd:element ref="ns3:_dlc_DocIdPersistId"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4:SharedWithUsers" minOccurs="0"/>
                <xsd:element ref="ns4:SharedWithDetails" minOccurs="0"/>
                <xsd:element ref="ns3:TaxKeywordTaxHTField" minOccurs="0"/>
                <xsd:element ref="ns2:Tabled" minOccurs="0"/>
                <xsd:element ref="ns2:Reportstatus" minOccurs="0"/>
                <xsd:element ref="ns2:PublishedonAHRCwebsite" minOccurs="0"/>
                <xsd:element ref="ns2:Transmissiondate" minOccurs="0"/>
                <xsd:element ref="ns2:Tabling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4bb73-b9b2-4315-b463-f353efb89b0b" elementFormDefault="qualified">
    <xsd:import namespace="http://schemas.microsoft.com/office/2006/documentManagement/types"/>
    <xsd:import namespace="http://schemas.microsoft.com/office/infopath/2007/PartnerControls"/>
    <xsd:element name="Report_x0020_No_x002e_" ma:index="1" nillable="true" ma:displayName="Report No." ma:internalName="Report_x0020_No_x002e_">
      <xsd:simpleType>
        <xsd:restriction base="dms:Number"/>
      </xsd:simpleType>
    </xsd:element>
    <xsd:element name="Tabled" ma:index="28" nillable="true" ma:displayName="Tabled" ma:format="Dropdown" ma:internalName="Tabled">
      <xsd:simpleType>
        <xsd:restriction base="dms:Choice">
          <xsd:enumeration value="Yes"/>
          <xsd:enumeration value="No - new act"/>
          <xsd:enumeration value="Pending"/>
        </xsd:restriction>
      </xsd:simpleType>
    </xsd:element>
    <xsd:element name="Reportstatus" ma:index="29" nillable="true" ma:displayName="Report status" ma:format="Dropdown" ma:internalName="Reportstatus">
      <xsd:simpleType>
        <xsd:restriction base="dms:Choice">
          <xsd:enumeration value="Approval from President"/>
          <xsd:enumeration value="Received final proof from desktopper"/>
          <xsd:enumeration value="Sent to printer"/>
          <xsd:enumeration value="Transmitted to Attorney-General"/>
        </xsd:restriction>
      </xsd:simpleType>
    </xsd:element>
    <xsd:element name="PublishedonAHRCwebsite" ma:index="30" nillable="true" ma:displayName="Published on AHRC website" ma:default="1" ma:format="Dropdown" ma:internalName="PublishedonAHRCwebsite">
      <xsd:simpleType>
        <xsd:restriction base="dms:Boolean"/>
      </xsd:simpleType>
    </xsd:element>
    <xsd:element name="Transmissiondate" ma:index="31" nillable="true" ma:displayName="Transmission date" ma:format="DateOnly" ma:internalName="Transmissiondate">
      <xsd:simpleType>
        <xsd:restriction base="dms:DateTime"/>
      </xsd:simpleType>
    </xsd:element>
    <xsd:element name="Tablingdate" ma:index="32" nillable="true" ma:displayName="Tabling date" ma:format="DateOnly" ma:internalName="Tabling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format="Dropdown" ma:internalName="Divider">
      <xsd:simpleType>
        <xsd:union memberTypes="dms:Text">
          <xsd:simpleType>
            <xsd:restriction base="dms:Choice">
              <xsd:enumeration value="-"/>
            </xsd:restriction>
          </xsd:simpleType>
        </xsd:union>
      </xsd:simpleType>
    </xsd:element>
    <xsd:element name="TaxCatchAll" ma:index="6" nillable="true" ma:displayName="Taxonomy Catch All Column" ma:hidden="true" ma:list="{edef69be-0e46-40c7-ae13-0e62df689cd6}" ma:internalName="TaxCatchAll" ma:showField="CatchAllData"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edef69be-0e46-40c7-ae13-0e62df689cd6}" ma:internalName="TaxCatchAllLabel" ma:readOnly="true" ma:showField="CatchAllDataLabel"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27"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3" nillable="true" ma:displayName="Subdivider" ma:format="Dropdown" ma:internalName="Subdivider">
      <xsd:simpleType>
        <xsd:union memberTypes="dms:Text">
          <xsd:simpleType>
            <xsd:restriction base="dms:Choice">
              <xsd:enumeration value="-"/>
            </xsd:restriction>
          </xsd:simpleType>
        </xsd:un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f9782b-c747-4be8-886f-34116862556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Divider xmlns="6500fe01-343b-4fb9-a1b0-68ac19d62e01">Finals</Divider>
    <TaxCatchAll xmlns="6500fe01-343b-4fb9-a1b0-68ac19d62e01"/>
    <TaxKeywordTaxHTField xmlns="6500fe01-343b-4fb9-a1b0-68ac19d62e01">
      <Terms xmlns="http://schemas.microsoft.com/office/infopath/2007/PartnerControls"/>
    </TaxKeywordTaxHTField>
    <_dlc_DocId xmlns="6500fe01-343b-4fb9-a1b0-68ac19d62e01">AHRC-1166401346-7009</_dlc_DocId>
    <_dlc_DocIdUrl xmlns="6500fe01-343b-4fb9-a1b0-68ac19d62e01">
      <Url>https://australianhrc.sharepoint.com/sites/LegalServicesWorkspace/_layouts/15/DocIdRedir.aspx?ID=AHRC-1166401346-7009</Url>
      <Description>AHRC-1166401346-7009</Description>
    </_dlc_DocIdUrl>
    <Report_x0020_No_x002e_ xmlns="0544bb73-b9b2-4315-b463-f353efb89b0b">127</Report_x0020_No_x002e_>
    <Reportstatus xmlns="0544bb73-b9b2-4315-b463-f353efb89b0b" xsi:nil="true"/>
    <Tabled xmlns="0544bb73-b9b2-4315-b463-f353efb89b0b" xsi:nil="true"/>
    <PublishedonAHRCwebsite xmlns="0544bb73-b9b2-4315-b463-f353efb89b0b">true</PublishedonAHRCwebsite>
    <Tablingdate xmlns="0544bb73-b9b2-4315-b463-f353efb89b0b" xsi:nil="true"/>
    <Subdivider xmlns="57f1fb52-79b9-4278-9d54-1e5db41bfcda" xsi:nil="true"/>
    <Transmissiondate xmlns="0544bb73-b9b2-4315-b463-f353efb89b0b" xsi:nil="true"/>
  </documentManagement>
</p:properties>
</file>

<file path=customXml/item5.xml><?xml version="1.0" encoding="utf-8"?>
<?mso-contentType ?>
<SharedContentType xmlns="Microsoft.SharePoint.Taxonomy.ContentTypeSync" SourceId="975c5ac6-a0cc-43ed-b850-4a2ae59237b6"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5FDC4-811E-44A2-B421-7015A2D295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4bb73-b9b2-4315-b463-f353efb89b0b"/>
    <ds:schemaRef ds:uri="6500fe01-343b-4fb9-a1b0-68ac19d62e01"/>
    <ds:schemaRef ds:uri="57f1fb52-79b9-4278-9d54-1e5db41bfcda"/>
    <ds:schemaRef ds:uri="ccf9782b-c747-4be8-886f-341168625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987A2B-795D-4D67-81BC-8BCAEEF06C86}">
  <ds:schemaRefs>
    <ds:schemaRef ds:uri="http://schemas.microsoft.com/sharepoint/v3/contenttype/forms"/>
  </ds:schemaRefs>
</ds:datastoreItem>
</file>

<file path=customXml/itemProps3.xml><?xml version="1.0" encoding="utf-8"?>
<ds:datastoreItem xmlns:ds="http://schemas.openxmlformats.org/officeDocument/2006/customXml" ds:itemID="{C8E958BC-0AC9-4EA1-8BAD-E0D552BCAACE}">
  <ds:schemaRefs>
    <ds:schemaRef ds:uri="http://schemas.microsoft.com/office/2006/metadata/customXsn"/>
  </ds:schemaRefs>
</ds:datastoreItem>
</file>

<file path=customXml/itemProps4.xml><?xml version="1.0" encoding="utf-8"?>
<ds:datastoreItem xmlns:ds="http://schemas.openxmlformats.org/officeDocument/2006/customXml" ds:itemID="{DD9AD928-4471-4CFD-9814-568B6D601D7F}">
  <ds:schemaRefs>
    <ds:schemaRef ds:uri="http://schemas.microsoft.com/office/2006/documentManagement/types"/>
    <ds:schemaRef ds:uri="ccf9782b-c747-4be8-886f-341168625564"/>
    <ds:schemaRef ds:uri="http://schemas.microsoft.com/office/infopath/2007/PartnerControls"/>
    <ds:schemaRef ds:uri="http://www.w3.org/XML/1998/namespace"/>
    <ds:schemaRef ds:uri="http://schemas.openxmlformats.org/package/2006/metadata/core-properties"/>
    <ds:schemaRef ds:uri="http://purl.org/dc/terms/"/>
    <ds:schemaRef ds:uri="0544bb73-b9b2-4315-b463-f353efb89b0b"/>
    <ds:schemaRef ds:uri="http://schemas.microsoft.com/office/2006/metadata/properties"/>
    <ds:schemaRef ds:uri="http://purl.org/dc/dcmitype/"/>
    <ds:schemaRef ds:uri="57f1fb52-79b9-4278-9d54-1e5db41bfcda"/>
    <ds:schemaRef ds:uri="6500fe01-343b-4fb9-a1b0-68ac19d62e01"/>
    <ds:schemaRef ds:uri="http://purl.org/dc/elements/1.1/"/>
  </ds:schemaRefs>
</ds:datastoreItem>
</file>

<file path=customXml/itemProps5.xml><?xml version="1.0" encoding="utf-8"?>
<ds:datastoreItem xmlns:ds="http://schemas.openxmlformats.org/officeDocument/2006/customXml" ds:itemID="{AE9B2669-5459-471C-A1D3-66259381167B}">
  <ds:schemaRefs>
    <ds:schemaRef ds:uri="Microsoft.SharePoint.Taxonomy.ContentTypeSync"/>
  </ds:schemaRefs>
</ds:datastoreItem>
</file>

<file path=customXml/itemProps6.xml><?xml version="1.0" encoding="utf-8"?>
<ds:datastoreItem xmlns:ds="http://schemas.openxmlformats.org/officeDocument/2006/customXml" ds:itemID="{79DB444E-A008-49EA-94EB-02A5C86E97D5}">
  <ds:schemaRefs>
    <ds:schemaRef ds:uri="http://schemas.microsoft.com/sharepoint/events"/>
  </ds:schemaRefs>
</ds:datastoreItem>
</file>

<file path=customXml/itemProps7.xml><?xml version="1.0" encoding="utf-8"?>
<ds:datastoreItem xmlns:ds="http://schemas.openxmlformats.org/officeDocument/2006/customXml" ds:itemID="{8B8B5F22-3A84-4BBA-A5BC-A5CFC4243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8353</Words>
  <Characters>42955</Characters>
  <Application>Microsoft Office Word</Application>
  <DocSecurity>2</DocSecurity>
  <Lines>357</Lines>
  <Paragraphs>102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2018 AusHRC 127_FINAL</vt:lpstr>
      <vt:lpstr>1</vt:lpstr>
    </vt:vector>
  </TitlesOfParts>
  <Company>Australian Human Rights Commission</Company>
  <LinksUpToDate>false</LinksUpToDate>
  <CharactersWithSpaces>51206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AusHRC 127_FINAL</dc:title>
  <dc:subject/>
  <dc:creator>Stephanie Abi-Hanna</dc:creator>
  <cp:keywords/>
  <dc:description/>
  <cp:lastModifiedBy>Leon Wild</cp:lastModifiedBy>
  <cp:revision>3</cp:revision>
  <dcterms:created xsi:type="dcterms:W3CDTF">2019-09-12T05:47:00Z</dcterms:created>
  <dcterms:modified xsi:type="dcterms:W3CDTF">2019-09-12T05:49:00Z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0x010100258FDF5B15A5C74091762EB145641BD2</vt:lpwstr>
  </property>
  <property fmtid="{D5CDD505-2E9C-101B-9397-08002B2CF9AE}" pid="3" name="Order">
    <vt:r8>100</vt:r8>
  </property>
  <property fmtid="{D5CDD505-2E9C-101B-9397-08002B2CF9AE}" pid="4" name="TaxKeyword">
    <vt:lpwstr/>
  </property>
  <property fmtid="{D5CDD505-2E9C-101B-9397-08002B2CF9AE}" pid="5" name="Document Type">
    <vt:lpwstr/>
  </property>
  <property fmtid="{D5CDD505-2E9C-101B-9397-08002B2CF9AE}" pid="6" name="_dlc_DocIdItemGuid">
    <vt:lpwstr>7238316a-3d8d-4ef8-8a87-443decc25812</vt:lpwstr>
  </property>
  <property fmtid="{D5CDD505-2E9C-101B-9397-08002B2CF9AE}" pid="7" name="DocumentSetDescription">
    <vt:lpwstr/>
  </property>
  <property fmtid="{D5CDD505-2E9C-101B-9397-08002B2CF9AE}" pid="8" name="DocSet Type">
    <vt:lpwstr>AHRCA Report</vt:lpwstr>
  </property>
  <property fmtid="{D5CDD505-2E9C-101B-9397-08002B2CF9AE}" pid="9" name="Business Unit">
    <vt:lpwstr>Legal</vt:lpwstr>
  </property>
  <property fmtid="{D5CDD505-2E9C-101B-9397-08002B2CF9AE}" pid="10" name="Supervisor">
    <vt:lpwstr/>
  </property>
  <property fmtid="{D5CDD505-2E9C-101B-9397-08002B2CF9AE}" pid="11" name="Matter Type">
    <vt:lpwstr>AHRCA Report</vt:lpwstr>
  </property>
  <property fmtid="{D5CDD505-2E9C-101B-9397-08002B2CF9AE}" pid="12" name="Officer">
    <vt:lpwstr/>
  </property>
</Properties>
</file>