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3865" w14:textId="27298BA3" w:rsidR="007B241C" w:rsidRDefault="007B241C">
      <w:pPr>
        <w:spacing w:before="0" w:after="0"/>
      </w:pPr>
      <w:r>
        <w:rPr>
          <w:noProof/>
        </w:rPr>
        <w:drawing>
          <wp:anchor distT="0" distB="0" distL="114300" distR="114300" simplePos="0" relativeHeight="251658240" behindDoc="1" locked="0" layoutInCell="1" allowOverlap="1" wp14:anchorId="7FDEA408" wp14:editId="6A4A13F4">
            <wp:simplePos x="0" y="0"/>
            <wp:positionH relativeFrom="column">
              <wp:posOffset>-881769</wp:posOffset>
            </wp:positionH>
            <wp:positionV relativeFrom="paragraph">
              <wp:posOffset>-729422</wp:posOffset>
            </wp:positionV>
            <wp:extent cx="7525863" cy="10700839"/>
            <wp:effectExtent l="0" t="0" r="5715" b="5715"/>
            <wp:wrapNone/>
            <wp:docPr id="3" name="Immagine 3" descr="Cover title: Mr Nauroze Anees v Commonwealth of Australia (Department of Home Affairs)&#10;&#10;[2019] AusHRC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AusHRC 133_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3039" cy="10767917"/>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498C4EF" w14:textId="77777777" w:rsidR="00AF6BA2" w:rsidRPr="00CF56C9" w:rsidRDefault="00AF6BA2" w:rsidP="00CF56C9"/>
    <w:p w14:paraId="75C23866" w14:textId="77777777" w:rsidR="00AF6BA2" w:rsidRPr="00EC55BE" w:rsidRDefault="00AF6BA2" w:rsidP="00AF6BA2">
      <w:pPr>
        <w:rPr>
          <w:rFonts w:cs="Open Sans"/>
          <w:szCs w:val="24"/>
        </w:rPr>
      </w:pPr>
    </w:p>
    <w:p w14:paraId="23DEBF13" w14:textId="77777777" w:rsidR="00CF56C9" w:rsidRPr="00DD18D2" w:rsidRDefault="00CF56C9" w:rsidP="00CF56C9">
      <w:pPr>
        <w:pStyle w:val="CopyrightText"/>
        <w:rPr>
          <w:sz w:val="20"/>
          <w:szCs w:val="20"/>
        </w:rPr>
      </w:pPr>
      <w:r w:rsidRPr="00DD18D2">
        <w:rPr>
          <w:sz w:val="20"/>
          <w:szCs w:val="20"/>
        </w:rPr>
        <w:t>© Australian Human Rights Commission 2019.</w:t>
      </w:r>
    </w:p>
    <w:p w14:paraId="33550722" w14:textId="77777777" w:rsidR="00CF56C9" w:rsidRPr="00DD18D2" w:rsidRDefault="00CF56C9" w:rsidP="00CF56C9">
      <w:pPr>
        <w:pStyle w:val="CopyrightText"/>
        <w:rPr>
          <w:sz w:val="20"/>
          <w:szCs w:val="20"/>
        </w:rPr>
      </w:pPr>
      <w:r w:rsidRPr="00DD18D2">
        <w:rPr>
          <w:sz w:val="20"/>
          <w:szCs w:val="20"/>
        </w:rPr>
        <w:t>The Australian Human Rights Commission encourages the dissemination and exchange of information presented in this publication.</w:t>
      </w:r>
    </w:p>
    <w:p w14:paraId="5FFF64EA" w14:textId="77777777" w:rsidR="00CF56C9" w:rsidRPr="00DD18D2" w:rsidRDefault="00CF56C9" w:rsidP="00CF56C9">
      <w:pPr>
        <w:pStyle w:val="CopyrightText"/>
        <w:rPr>
          <w:sz w:val="20"/>
          <w:szCs w:val="20"/>
        </w:rPr>
      </w:pPr>
      <w:r w:rsidRPr="00DD18D2">
        <w:rPr>
          <w:noProof/>
          <w:sz w:val="20"/>
          <w:szCs w:val="20"/>
        </w:rPr>
        <w:drawing>
          <wp:inline distT="0" distB="0" distL="0" distR="0" wp14:anchorId="1B464C71" wp14:editId="72EF4DE2">
            <wp:extent cx="711200" cy="241300"/>
            <wp:effectExtent l="0" t="0" r="0" b="0"/>
            <wp:docPr id="2" name="Immagin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1200" cy="241300"/>
                    </a:xfrm>
                    <a:prstGeom prst="rect">
                      <a:avLst/>
                    </a:prstGeom>
                  </pic:spPr>
                </pic:pic>
              </a:graphicData>
            </a:graphic>
          </wp:inline>
        </w:drawing>
      </w:r>
    </w:p>
    <w:p w14:paraId="63CF3C5F" w14:textId="77777777" w:rsidR="00CF56C9" w:rsidRPr="00DD18D2" w:rsidRDefault="00CF56C9" w:rsidP="00CF56C9">
      <w:pPr>
        <w:pStyle w:val="CopyrightText"/>
        <w:rPr>
          <w:sz w:val="20"/>
          <w:szCs w:val="20"/>
        </w:rPr>
      </w:pPr>
      <w:r w:rsidRPr="00DD18D2">
        <w:rPr>
          <w:sz w:val="20"/>
          <w:szCs w:val="20"/>
        </w:rPr>
        <w:t>All material presented in this publication is licensed under the Creative Commons Attribution 4.0 International Licence, with the exception of:</w:t>
      </w:r>
    </w:p>
    <w:p w14:paraId="204C00C6" w14:textId="77777777" w:rsidR="00CF56C9" w:rsidRPr="00DD18D2" w:rsidRDefault="00CF56C9" w:rsidP="00CF56C9">
      <w:pPr>
        <w:pStyle w:val="CopyrightText"/>
        <w:spacing w:after="0"/>
        <w:ind w:left="509" w:hanging="113"/>
        <w:rPr>
          <w:sz w:val="20"/>
          <w:szCs w:val="20"/>
        </w:rPr>
      </w:pPr>
      <w:r w:rsidRPr="00DD18D2">
        <w:rPr>
          <w:sz w:val="20"/>
          <w:szCs w:val="20"/>
        </w:rPr>
        <w:t>•</w:t>
      </w:r>
      <w:r w:rsidRPr="00DD18D2">
        <w:rPr>
          <w:sz w:val="20"/>
          <w:szCs w:val="20"/>
        </w:rPr>
        <w:tab/>
        <w:t>photographs and images;</w:t>
      </w:r>
    </w:p>
    <w:p w14:paraId="1EC673DD" w14:textId="77777777" w:rsidR="00CF56C9" w:rsidRPr="00DD18D2" w:rsidRDefault="00CF56C9" w:rsidP="00CF56C9">
      <w:pPr>
        <w:pStyle w:val="CopyrightText"/>
        <w:spacing w:after="0"/>
        <w:ind w:left="509" w:hanging="113"/>
        <w:rPr>
          <w:sz w:val="20"/>
          <w:szCs w:val="20"/>
        </w:rPr>
      </w:pPr>
      <w:r w:rsidRPr="00DD18D2">
        <w:rPr>
          <w:sz w:val="20"/>
          <w:szCs w:val="20"/>
        </w:rPr>
        <w:t>•</w:t>
      </w:r>
      <w:r w:rsidRPr="00DD18D2">
        <w:rPr>
          <w:sz w:val="20"/>
          <w:szCs w:val="20"/>
        </w:rPr>
        <w:tab/>
        <w:t>the Commission’s logo, any branding or trademarks;</w:t>
      </w:r>
    </w:p>
    <w:p w14:paraId="3E57A726" w14:textId="77777777" w:rsidR="00CF56C9" w:rsidRPr="00DD18D2" w:rsidRDefault="00CF56C9" w:rsidP="00CF56C9">
      <w:pPr>
        <w:pStyle w:val="CopyrightText"/>
        <w:spacing w:after="0"/>
        <w:ind w:left="509" w:hanging="113"/>
        <w:rPr>
          <w:sz w:val="20"/>
          <w:szCs w:val="20"/>
        </w:rPr>
      </w:pPr>
      <w:r w:rsidRPr="00DD18D2">
        <w:rPr>
          <w:sz w:val="20"/>
          <w:szCs w:val="20"/>
        </w:rPr>
        <w:t>•</w:t>
      </w:r>
      <w:r w:rsidRPr="00DD18D2">
        <w:rPr>
          <w:sz w:val="20"/>
          <w:szCs w:val="20"/>
        </w:rPr>
        <w:tab/>
        <w:t>content or material provided by third parties; and</w:t>
      </w:r>
    </w:p>
    <w:p w14:paraId="43B429AE" w14:textId="77777777" w:rsidR="00CF56C9" w:rsidRPr="00DD18D2" w:rsidRDefault="00CF56C9" w:rsidP="00CF56C9">
      <w:pPr>
        <w:pStyle w:val="CopyrightText"/>
        <w:spacing w:after="170"/>
        <w:ind w:left="509" w:hanging="113"/>
        <w:rPr>
          <w:sz w:val="20"/>
          <w:szCs w:val="20"/>
        </w:rPr>
      </w:pPr>
      <w:r w:rsidRPr="00DD18D2">
        <w:rPr>
          <w:sz w:val="20"/>
          <w:szCs w:val="20"/>
        </w:rPr>
        <w:t>•</w:t>
      </w:r>
      <w:r w:rsidRPr="00DD18D2">
        <w:rPr>
          <w:sz w:val="20"/>
          <w:szCs w:val="20"/>
        </w:rPr>
        <w:tab/>
        <w:t>where otherwise indicated.</w:t>
      </w:r>
    </w:p>
    <w:p w14:paraId="71AFDFFC" w14:textId="77777777" w:rsidR="00CF56C9" w:rsidRPr="00DD18D2" w:rsidRDefault="00CF56C9" w:rsidP="00CF56C9">
      <w:pPr>
        <w:pStyle w:val="CopyrightText"/>
        <w:rPr>
          <w:sz w:val="20"/>
          <w:szCs w:val="20"/>
        </w:rPr>
      </w:pPr>
      <w:r w:rsidRPr="00DD18D2">
        <w:rPr>
          <w:sz w:val="20"/>
          <w:szCs w:val="20"/>
        </w:rPr>
        <w:t xml:space="preserve">To view a copy of this licence, visit </w:t>
      </w:r>
      <w:hyperlink r:id="rId16" w:history="1">
        <w:r w:rsidRPr="00557B13">
          <w:rPr>
            <w:rStyle w:val="Hyperlink"/>
            <w:sz w:val="20"/>
            <w:szCs w:val="20"/>
          </w:rPr>
          <w:t>http://creativecommons.org/licenses/by/4.0/legalcode</w:t>
        </w:r>
      </w:hyperlink>
      <w:r w:rsidRPr="00DD18D2">
        <w:rPr>
          <w:sz w:val="20"/>
          <w:szCs w:val="20"/>
        </w:rPr>
        <w:t>.</w:t>
      </w:r>
    </w:p>
    <w:p w14:paraId="0330B658" w14:textId="77777777" w:rsidR="00CF56C9" w:rsidRPr="00DD18D2" w:rsidRDefault="00CF56C9" w:rsidP="00CF56C9">
      <w:pPr>
        <w:pStyle w:val="CopyrightText"/>
        <w:rPr>
          <w:sz w:val="20"/>
          <w:szCs w:val="20"/>
        </w:rPr>
      </w:pPr>
      <w:r w:rsidRPr="00DD18D2">
        <w:rPr>
          <w:sz w:val="20"/>
          <w:szCs w:val="20"/>
        </w:rPr>
        <w:t>In essence, you are free to copy, communicate and adapt the publication, as long as you attribute the Australian Human Rights Commission and abide by the other licence terms.</w:t>
      </w:r>
    </w:p>
    <w:p w14:paraId="7ED001BE" w14:textId="77777777" w:rsidR="00CF56C9" w:rsidRPr="00DD18D2" w:rsidRDefault="00CF56C9" w:rsidP="00CF56C9">
      <w:pPr>
        <w:pStyle w:val="CopyrightText"/>
        <w:spacing w:after="170"/>
        <w:rPr>
          <w:sz w:val="20"/>
          <w:szCs w:val="20"/>
        </w:rPr>
      </w:pPr>
      <w:r w:rsidRPr="00DD18D2">
        <w:rPr>
          <w:rStyle w:val="Bold"/>
          <w:sz w:val="20"/>
          <w:szCs w:val="20"/>
        </w:rPr>
        <w:t>Please give attribution to:</w:t>
      </w:r>
      <w:r w:rsidRPr="00DD18D2">
        <w:rPr>
          <w:sz w:val="20"/>
          <w:szCs w:val="20"/>
        </w:rPr>
        <w:t xml:space="preserve"> © Australian Human Rights Commission 2019.</w:t>
      </w:r>
    </w:p>
    <w:p w14:paraId="0CDFC393" w14:textId="77777777" w:rsidR="00CF56C9" w:rsidRPr="00DD18D2" w:rsidRDefault="00CF56C9" w:rsidP="00CF56C9">
      <w:pPr>
        <w:pStyle w:val="CopyrightText"/>
        <w:spacing w:after="240"/>
        <w:rPr>
          <w:sz w:val="20"/>
          <w:szCs w:val="20"/>
        </w:rPr>
      </w:pPr>
      <w:r w:rsidRPr="00DD18D2">
        <w:rPr>
          <w:rStyle w:val="Bold"/>
          <w:sz w:val="20"/>
          <w:szCs w:val="20"/>
        </w:rPr>
        <w:t>ISSN 1837-1183</w:t>
      </w:r>
    </w:p>
    <w:p w14:paraId="7F5E9805" w14:textId="77777777" w:rsidR="00CF56C9" w:rsidRPr="00DD18D2" w:rsidRDefault="00CF56C9" w:rsidP="00CF56C9">
      <w:pPr>
        <w:pStyle w:val="CopyrightText"/>
        <w:rPr>
          <w:rStyle w:val="Bold"/>
          <w:sz w:val="20"/>
          <w:szCs w:val="20"/>
        </w:rPr>
      </w:pPr>
      <w:r w:rsidRPr="00DD18D2">
        <w:rPr>
          <w:rStyle w:val="Bold"/>
          <w:sz w:val="20"/>
          <w:szCs w:val="20"/>
        </w:rPr>
        <w:t>Further information</w:t>
      </w:r>
    </w:p>
    <w:p w14:paraId="6AFAEBCE" w14:textId="77777777" w:rsidR="00CF56C9" w:rsidRPr="00DD18D2" w:rsidRDefault="00CF56C9" w:rsidP="00CF56C9">
      <w:pPr>
        <w:pStyle w:val="CopyrightText"/>
        <w:rPr>
          <w:sz w:val="20"/>
          <w:szCs w:val="20"/>
        </w:rPr>
      </w:pPr>
      <w:r w:rsidRPr="00DD18D2">
        <w:rPr>
          <w:sz w:val="20"/>
          <w:szCs w:val="20"/>
        </w:rPr>
        <w:t>For further information about the Australian Human Rights Commission or copyright in this publication, please contact:</w:t>
      </w:r>
    </w:p>
    <w:p w14:paraId="37351E92" w14:textId="77777777" w:rsidR="00CF56C9" w:rsidRPr="00DD18D2" w:rsidRDefault="00CF56C9" w:rsidP="00CF56C9">
      <w:pPr>
        <w:pStyle w:val="CopyrightText"/>
        <w:spacing w:after="0"/>
        <w:rPr>
          <w:sz w:val="20"/>
          <w:szCs w:val="20"/>
        </w:rPr>
      </w:pPr>
      <w:r w:rsidRPr="00DD18D2">
        <w:rPr>
          <w:sz w:val="20"/>
          <w:szCs w:val="20"/>
        </w:rPr>
        <w:t>Communications Unit</w:t>
      </w:r>
    </w:p>
    <w:p w14:paraId="0BE28DB3" w14:textId="77777777" w:rsidR="00CF56C9" w:rsidRPr="00DD18D2" w:rsidRDefault="00CF56C9" w:rsidP="00CF56C9">
      <w:pPr>
        <w:pStyle w:val="CopyrightText"/>
        <w:spacing w:after="0"/>
        <w:rPr>
          <w:sz w:val="20"/>
          <w:szCs w:val="20"/>
        </w:rPr>
      </w:pPr>
      <w:r w:rsidRPr="00DD18D2">
        <w:rPr>
          <w:sz w:val="20"/>
          <w:szCs w:val="20"/>
        </w:rPr>
        <w:t>Australian Human Rights Commission</w:t>
      </w:r>
    </w:p>
    <w:p w14:paraId="0D62CA85" w14:textId="77777777" w:rsidR="00CF56C9" w:rsidRPr="00DD18D2" w:rsidRDefault="00CF56C9" w:rsidP="00CF56C9">
      <w:pPr>
        <w:pStyle w:val="CopyrightText"/>
        <w:spacing w:after="0"/>
        <w:rPr>
          <w:sz w:val="20"/>
          <w:szCs w:val="20"/>
        </w:rPr>
      </w:pPr>
      <w:r w:rsidRPr="00DD18D2">
        <w:rPr>
          <w:sz w:val="20"/>
          <w:szCs w:val="20"/>
        </w:rPr>
        <w:t>GPO Box 5218</w:t>
      </w:r>
    </w:p>
    <w:p w14:paraId="22001687" w14:textId="77777777" w:rsidR="00CF56C9" w:rsidRPr="00DD18D2" w:rsidRDefault="00CF56C9" w:rsidP="00CF56C9">
      <w:pPr>
        <w:pStyle w:val="CopyrightText"/>
        <w:spacing w:after="0"/>
        <w:rPr>
          <w:sz w:val="20"/>
          <w:szCs w:val="20"/>
        </w:rPr>
      </w:pPr>
      <w:r w:rsidRPr="00DD18D2">
        <w:rPr>
          <w:sz w:val="20"/>
          <w:szCs w:val="20"/>
        </w:rPr>
        <w:t>SYDNEY NSW 2001</w:t>
      </w:r>
    </w:p>
    <w:p w14:paraId="786CF415" w14:textId="77777777" w:rsidR="00CF56C9" w:rsidRPr="00DD18D2" w:rsidRDefault="00CF56C9" w:rsidP="00CF56C9">
      <w:pPr>
        <w:pStyle w:val="CopyrightText"/>
        <w:spacing w:after="0"/>
        <w:rPr>
          <w:sz w:val="20"/>
          <w:szCs w:val="20"/>
        </w:rPr>
      </w:pPr>
      <w:r w:rsidRPr="00DD18D2">
        <w:rPr>
          <w:sz w:val="20"/>
          <w:szCs w:val="20"/>
        </w:rPr>
        <w:t>Telephone: (02) 9284 9600</w:t>
      </w:r>
    </w:p>
    <w:p w14:paraId="06DCCEEE" w14:textId="77777777" w:rsidR="00CF56C9" w:rsidRPr="00DD18D2" w:rsidRDefault="00CF56C9" w:rsidP="00CF56C9">
      <w:pPr>
        <w:pStyle w:val="CopyrightText"/>
        <w:spacing w:after="240"/>
        <w:rPr>
          <w:rStyle w:val="Hyperlink"/>
          <w:sz w:val="20"/>
          <w:szCs w:val="20"/>
        </w:rPr>
      </w:pPr>
      <w:r w:rsidRPr="00DD18D2">
        <w:rPr>
          <w:sz w:val="20"/>
          <w:szCs w:val="20"/>
        </w:rPr>
        <w:t xml:space="preserve">Email: </w:t>
      </w:r>
      <w:hyperlink r:id="rId17" w:history="1">
        <w:r w:rsidRPr="00557B13">
          <w:rPr>
            <w:rStyle w:val="Hyperlink"/>
            <w:sz w:val="20"/>
            <w:szCs w:val="20"/>
          </w:rPr>
          <w:t>communications@humanrights.gov.au</w:t>
        </w:r>
      </w:hyperlink>
      <w:r w:rsidRPr="00DD18D2">
        <w:rPr>
          <w:sz w:val="20"/>
          <w:szCs w:val="20"/>
        </w:rPr>
        <w:t>.</w:t>
      </w:r>
    </w:p>
    <w:p w14:paraId="5FFB3954" w14:textId="77777777" w:rsidR="00CF56C9" w:rsidRPr="00DD18D2" w:rsidRDefault="00CF56C9" w:rsidP="00CF56C9">
      <w:pPr>
        <w:pStyle w:val="CopyrightText"/>
        <w:spacing w:after="0"/>
        <w:rPr>
          <w:sz w:val="20"/>
          <w:szCs w:val="20"/>
        </w:rPr>
      </w:pPr>
      <w:r w:rsidRPr="00DD18D2">
        <w:rPr>
          <w:rStyle w:val="Bold"/>
          <w:sz w:val="20"/>
          <w:szCs w:val="20"/>
        </w:rPr>
        <w:t>Design and layout</w:t>
      </w:r>
      <w:r w:rsidRPr="00DD18D2">
        <w:rPr>
          <w:sz w:val="20"/>
          <w:szCs w:val="20"/>
        </w:rPr>
        <w:t xml:space="preserve"> Dancingirl Designs</w:t>
      </w:r>
    </w:p>
    <w:p w14:paraId="43D3468C" w14:textId="77777777" w:rsidR="00CF56C9" w:rsidRPr="00DD18D2" w:rsidRDefault="00CF56C9" w:rsidP="00CF56C9">
      <w:pPr>
        <w:spacing w:before="0"/>
        <w:rPr>
          <w:sz w:val="20"/>
        </w:rPr>
      </w:pPr>
      <w:r w:rsidRPr="00DD18D2">
        <w:rPr>
          <w:rStyle w:val="Bold"/>
          <w:sz w:val="20"/>
        </w:rPr>
        <w:t>Printing</w:t>
      </w:r>
      <w:r w:rsidRPr="00DD18D2">
        <w:rPr>
          <w:sz w:val="20"/>
        </w:rPr>
        <w:t xml:space="preserve"> Masterprint Pty Limited</w:t>
      </w:r>
    </w:p>
    <w:p w14:paraId="75C23867" w14:textId="77777777" w:rsidR="00AF6BA2" w:rsidRPr="00EC55BE" w:rsidRDefault="00AF6BA2" w:rsidP="00AF6BA2">
      <w:pPr>
        <w:rPr>
          <w:rFonts w:cs="Open Sans"/>
          <w:szCs w:val="24"/>
        </w:rPr>
      </w:pPr>
    </w:p>
    <w:p w14:paraId="75C23868" w14:textId="77777777" w:rsidR="00BC7CED" w:rsidRPr="00EC55BE" w:rsidRDefault="00BC7CED">
      <w:pPr>
        <w:spacing w:before="0" w:after="0"/>
        <w:rPr>
          <w:rFonts w:cs="Open Sans"/>
          <w:b/>
          <w:sz w:val="36"/>
          <w:szCs w:val="36"/>
        </w:rPr>
      </w:pPr>
      <w:r w:rsidRPr="00EC55BE">
        <w:rPr>
          <w:rFonts w:cs="Open Sans"/>
          <w:b/>
          <w:sz w:val="36"/>
          <w:szCs w:val="36"/>
        </w:rPr>
        <w:br w:type="page"/>
      </w:r>
    </w:p>
    <w:p w14:paraId="2B405BD5" w14:textId="77777777" w:rsidR="00CF56C9" w:rsidRDefault="00CF56C9" w:rsidP="00CF56C9"/>
    <w:p w14:paraId="7C280734" w14:textId="77777777" w:rsidR="00CF56C9" w:rsidRDefault="00CF56C9" w:rsidP="00CF56C9"/>
    <w:p w14:paraId="49082C16" w14:textId="77777777" w:rsidR="00CF56C9" w:rsidRDefault="00CF56C9" w:rsidP="00CF56C9"/>
    <w:p w14:paraId="0A744E49" w14:textId="77777777" w:rsidR="00CF56C9" w:rsidRDefault="00CF56C9" w:rsidP="00CF56C9"/>
    <w:p w14:paraId="3B1BCF36" w14:textId="77777777" w:rsidR="00CF56C9" w:rsidRDefault="00CF56C9" w:rsidP="00CF56C9"/>
    <w:p w14:paraId="75C23869" w14:textId="2AEC022A" w:rsidR="00BB2301" w:rsidRPr="00EC55BE" w:rsidRDefault="00BB2301" w:rsidP="00BB2301">
      <w:pPr>
        <w:rPr>
          <w:rFonts w:cs="Open Sans"/>
          <w:b/>
          <w:sz w:val="36"/>
          <w:szCs w:val="36"/>
        </w:rPr>
      </w:pPr>
      <w:r>
        <w:rPr>
          <w:rFonts w:cs="Open Sans"/>
          <w:b/>
          <w:sz w:val="36"/>
          <w:szCs w:val="36"/>
        </w:rPr>
        <w:t xml:space="preserve">Mr </w:t>
      </w:r>
      <w:proofErr w:type="spellStart"/>
      <w:r w:rsidR="00431077">
        <w:rPr>
          <w:rFonts w:cs="Open Sans"/>
          <w:b/>
          <w:sz w:val="36"/>
          <w:szCs w:val="36"/>
        </w:rPr>
        <w:t>Nauroze</w:t>
      </w:r>
      <w:proofErr w:type="spellEnd"/>
      <w:r w:rsidR="00431077">
        <w:rPr>
          <w:rFonts w:cs="Open Sans"/>
          <w:b/>
          <w:sz w:val="36"/>
          <w:szCs w:val="36"/>
        </w:rPr>
        <w:t xml:space="preserve"> </w:t>
      </w:r>
      <w:proofErr w:type="spellStart"/>
      <w:r w:rsidR="00431077">
        <w:rPr>
          <w:rFonts w:cs="Open Sans"/>
          <w:b/>
          <w:sz w:val="36"/>
          <w:szCs w:val="36"/>
        </w:rPr>
        <w:t>Anees</w:t>
      </w:r>
      <w:proofErr w:type="spellEnd"/>
      <w:r>
        <w:rPr>
          <w:rFonts w:cs="Open Sans"/>
          <w:b/>
          <w:sz w:val="36"/>
          <w:szCs w:val="36"/>
        </w:rPr>
        <w:t xml:space="preserve"> v Commonwealth of Australia (Department of Home Affairs)</w:t>
      </w:r>
    </w:p>
    <w:p w14:paraId="75C2386A" w14:textId="44DBC5E7" w:rsidR="00AF6BA2" w:rsidRPr="00EC55BE" w:rsidRDefault="00AF6BA2" w:rsidP="00BB2301">
      <w:pPr>
        <w:rPr>
          <w:rFonts w:cs="Open Sans"/>
          <w:sz w:val="32"/>
          <w:szCs w:val="32"/>
        </w:rPr>
      </w:pPr>
      <w:r w:rsidRPr="00EC55BE">
        <w:rPr>
          <w:rFonts w:cs="Open Sans"/>
          <w:sz w:val="32"/>
          <w:szCs w:val="32"/>
        </w:rPr>
        <w:t>[201</w:t>
      </w:r>
      <w:r w:rsidR="009F641F" w:rsidRPr="00EC55BE">
        <w:rPr>
          <w:rFonts w:cs="Open Sans"/>
          <w:sz w:val="32"/>
          <w:szCs w:val="32"/>
        </w:rPr>
        <w:t>9</w:t>
      </w:r>
      <w:r w:rsidRPr="00EC55BE">
        <w:rPr>
          <w:rFonts w:cs="Open Sans"/>
          <w:sz w:val="32"/>
          <w:szCs w:val="32"/>
        </w:rPr>
        <w:t xml:space="preserve">] </w:t>
      </w:r>
      <w:proofErr w:type="spellStart"/>
      <w:r w:rsidRPr="00EC55BE">
        <w:rPr>
          <w:rFonts w:cs="Open Sans"/>
          <w:sz w:val="32"/>
          <w:szCs w:val="32"/>
        </w:rPr>
        <w:t>AusHRC</w:t>
      </w:r>
      <w:proofErr w:type="spellEnd"/>
      <w:r w:rsidRPr="00EC55BE">
        <w:rPr>
          <w:rFonts w:cs="Open Sans"/>
          <w:sz w:val="32"/>
          <w:szCs w:val="32"/>
        </w:rPr>
        <w:t xml:space="preserve"> 1</w:t>
      </w:r>
      <w:r w:rsidR="009F641F" w:rsidRPr="00EC55BE">
        <w:rPr>
          <w:rFonts w:cs="Open Sans"/>
          <w:sz w:val="32"/>
          <w:szCs w:val="32"/>
        </w:rPr>
        <w:t>3</w:t>
      </w:r>
      <w:r w:rsidR="00431077">
        <w:rPr>
          <w:rFonts w:cs="Open Sans"/>
          <w:sz w:val="32"/>
          <w:szCs w:val="32"/>
        </w:rPr>
        <w:t>3</w:t>
      </w:r>
    </w:p>
    <w:p w14:paraId="75C2386B" w14:textId="2C1C642B" w:rsidR="00AF6BA2" w:rsidRPr="00EC55BE" w:rsidRDefault="00AF6BA2" w:rsidP="00AF6BA2">
      <w:pPr>
        <w:rPr>
          <w:rFonts w:cs="Open Sans"/>
          <w:i/>
          <w:szCs w:val="24"/>
        </w:rPr>
      </w:pPr>
      <w:r w:rsidRPr="00B728CF">
        <w:rPr>
          <w:rFonts w:cs="Open Sans"/>
          <w:i/>
          <w:szCs w:val="24"/>
        </w:rPr>
        <w:t>Report into</w:t>
      </w:r>
      <w:r w:rsidR="00026637" w:rsidRPr="00B728CF">
        <w:rPr>
          <w:rFonts w:cs="Open Sans"/>
          <w:i/>
          <w:szCs w:val="24"/>
        </w:rPr>
        <w:t xml:space="preserve"> </w:t>
      </w:r>
      <w:r w:rsidR="00C77B68" w:rsidRPr="00B728CF">
        <w:rPr>
          <w:rFonts w:cs="Open Sans"/>
          <w:i/>
          <w:szCs w:val="24"/>
        </w:rPr>
        <w:t xml:space="preserve">complaint of </w:t>
      </w:r>
      <w:r w:rsidR="00430AD7" w:rsidRPr="00B728CF">
        <w:rPr>
          <w:rFonts w:cs="Open Sans"/>
          <w:i/>
          <w:szCs w:val="24"/>
        </w:rPr>
        <w:t>arbitrary detention</w:t>
      </w:r>
      <w:r w:rsidR="008E28D5" w:rsidRPr="00B728CF">
        <w:rPr>
          <w:rFonts w:cs="Open Sans"/>
          <w:i/>
          <w:szCs w:val="24"/>
        </w:rPr>
        <w:t xml:space="preserve"> and </w:t>
      </w:r>
      <w:r w:rsidR="00582D1B">
        <w:rPr>
          <w:rFonts w:cs="Open Sans"/>
          <w:i/>
          <w:szCs w:val="24"/>
        </w:rPr>
        <w:t xml:space="preserve">arbitrary </w:t>
      </w:r>
      <w:r w:rsidR="008E28D5" w:rsidRPr="00B728CF">
        <w:rPr>
          <w:rFonts w:cs="Open Sans"/>
          <w:i/>
          <w:szCs w:val="24"/>
        </w:rPr>
        <w:t>interference with family</w:t>
      </w:r>
    </w:p>
    <w:p w14:paraId="75C2386C" w14:textId="77777777" w:rsidR="00AF6BA2" w:rsidRPr="00EC55BE" w:rsidRDefault="00AF6BA2" w:rsidP="00AF6BA2">
      <w:pPr>
        <w:rPr>
          <w:rFonts w:cs="Open Sans"/>
          <w:szCs w:val="24"/>
        </w:rPr>
      </w:pPr>
    </w:p>
    <w:p w14:paraId="75C2386D" w14:textId="77777777" w:rsidR="00AF6BA2" w:rsidRPr="00EC55BE" w:rsidRDefault="00AF6BA2" w:rsidP="00AF6BA2">
      <w:pPr>
        <w:rPr>
          <w:rFonts w:cs="Open Sans"/>
          <w:szCs w:val="24"/>
        </w:rPr>
      </w:pPr>
    </w:p>
    <w:p w14:paraId="75C2386E" w14:textId="77777777" w:rsidR="00AF6BA2" w:rsidRPr="00EC55BE" w:rsidRDefault="00AF6BA2" w:rsidP="00AF6BA2">
      <w:pPr>
        <w:rPr>
          <w:rFonts w:cs="Open Sans"/>
          <w:i/>
          <w:szCs w:val="24"/>
        </w:rPr>
      </w:pPr>
      <w:r w:rsidRPr="00EC55BE">
        <w:rPr>
          <w:rFonts w:cs="Open Sans"/>
          <w:szCs w:val="24"/>
        </w:rPr>
        <w:t>Australian Human Rights Commission 201</w:t>
      </w:r>
      <w:r w:rsidR="009F641F" w:rsidRPr="00EC55BE">
        <w:rPr>
          <w:rFonts w:cs="Open Sans"/>
          <w:szCs w:val="24"/>
        </w:rPr>
        <w:t>9</w:t>
      </w:r>
      <w:r w:rsidRPr="00EC55BE">
        <w:rPr>
          <w:rFonts w:cs="Open Sans"/>
          <w:i/>
          <w:szCs w:val="24"/>
        </w:rPr>
        <w:t xml:space="preserve"> </w:t>
      </w:r>
    </w:p>
    <w:p w14:paraId="75C2386F" w14:textId="77777777" w:rsidR="00AF6BA2" w:rsidRPr="00EC55BE" w:rsidRDefault="00AF6BA2" w:rsidP="00AF6BA2">
      <w:pPr>
        <w:rPr>
          <w:rFonts w:cs="Open Sans"/>
          <w:szCs w:val="24"/>
        </w:rPr>
      </w:pPr>
    </w:p>
    <w:p w14:paraId="75C23870" w14:textId="77777777" w:rsidR="00BC7CED" w:rsidRPr="00EC55BE" w:rsidRDefault="00BC7CED">
      <w:pPr>
        <w:spacing w:before="0" w:after="0"/>
        <w:rPr>
          <w:rFonts w:cs="Open Sans"/>
        </w:rPr>
      </w:pPr>
      <w:r w:rsidRPr="00EC55BE">
        <w:rPr>
          <w:rFonts w:cs="Open Sans"/>
        </w:rPr>
        <w:br w:type="page"/>
      </w:r>
    </w:p>
    <w:p w14:paraId="75C23871" w14:textId="77777777" w:rsidR="00AF6BA2" w:rsidRPr="00B34AEE" w:rsidRDefault="00AF6BA2" w:rsidP="00AF6BA2">
      <w:pPr>
        <w:spacing w:before="0" w:after="0"/>
        <w:rPr>
          <w:rFonts w:cs="Open Sans"/>
        </w:rPr>
      </w:pPr>
      <w:r w:rsidRPr="00B34AEE">
        <w:rPr>
          <w:rFonts w:cs="Open Sans"/>
        </w:rPr>
        <w:lastRenderedPageBreak/>
        <w:t>The Hon</w:t>
      </w:r>
      <w:r w:rsidR="009F641F" w:rsidRPr="00B34AEE">
        <w:rPr>
          <w:rFonts w:cs="Open Sans"/>
        </w:rPr>
        <w:t xml:space="preserve"> </w:t>
      </w:r>
      <w:r w:rsidRPr="00B34AEE">
        <w:rPr>
          <w:rFonts w:cs="Open Sans"/>
        </w:rPr>
        <w:t>Christian Porter MP</w:t>
      </w:r>
    </w:p>
    <w:p w14:paraId="75C23872" w14:textId="77777777" w:rsidR="00AF6BA2" w:rsidRPr="00B34AEE" w:rsidRDefault="00AF6BA2" w:rsidP="00AF6BA2">
      <w:pPr>
        <w:spacing w:before="0" w:after="0"/>
        <w:rPr>
          <w:rFonts w:cs="Open Sans"/>
        </w:rPr>
      </w:pPr>
      <w:r w:rsidRPr="00B34AEE">
        <w:rPr>
          <w:rFonts w:cs="Open Sans"/>
        </w:rPr>
        <w:t xml:space="preserve">Attorney-General </w:t>
      </w:r>
    </w:p>
    <w:p w14:paraId="75C23873" w14:textId="77777777" w:rsidR="00AF6BA2" w:rsidRPr="00B34AEE" w:rsidRDefault="00AF6BA2" w:rsidP="00AF6BA2">
      <w:pPr>
        <w:spacing w:before="0" w:after="0"/>
        <w:rPr>
          <w:rFonts w:cs="Open Sans"/>
          <w:color w:val="231F20"/>
        </w:rPr>
      </w:pPr>
      <w:r w:rsidRPr="00B34AEE">
        <w:rPr>
          <w:rFonts w:cs="Open Sans"/>
          <w:color w:val="231F20"/>
        </w:rPr>
        <w:t>Parliament House</w:t>
      </w:r>
    </w:p>
    <w:p w14:paraId="75C23874" w14:textId="77777777" w:rsidR="00AF6BA2" w:rsidRPr="00B34AEE" w:rsidRDefault="00AF6BA2" w:rsidP="00AF6BA2">
      <w:pPr>
        <w:spacing w:before="0" w:after="0"/>
        <w:rPr>
          <w:rFonts w:cs="Open Sans"/>
        </w:rPr>
      </w:pPr>
      <w:r w:rsidRPr="00B34AEE">
        <w:rPr>
          <w:rFonts w:cs="Open Sans"/>
          <w:color w:val="231F20"/>
        </w:rPr>
        <w:t>Canberra ACT 2600</w:t>
      </w:r>
    </w:p>
    <w:p w14:paraId="75C23875" w14:textId="77777777" w:rsidR="00AF6BA2" w:rsidRPr="00B34AEE" w:rsidRDefault="00AF6BA2" w:rsidP="00AF6BA2">
      <w:pPr>
        <w:rPr>
          <w:rFonts w:cs="Open Sans"/>
          <w:szCs w:val="24"/>
        </w:rPr>
      </w:pPr>
    </w:p>
    <w:p w14:paraId="75C23876" w14:textId="77777777" w:rsidR="00AF6BA2" w:rsidRPr="00B34AEE" w:rsidRDefault="00AF6BA2" w:rsidP="00AF6BA2">
      <w:pPr>
        <w:rPr>
          <w:rFonts w:cs="Open Sans"/>
          <w:szCs w:val="24"/>
        </w:rPr>
      </w:pPr>
      <w:r w:rsidRPr="00B34AEE">
        <w:rPr>
          <w:rFonts w:cs="Open Sans"/>
          <w:szCs w:val="24"/>
        </w:rPr>
        <w:t>Dear Attorney</w:t>
      </w:r>
      <w:r w:rsidR="00901A17">
        <w:rPr>
          <w:rFonts w:cs="Open Sans"/>
          <w:szCs w:val="24"/>
        </w:rPr>
        <w:t>,</w:t>
      </w:r>
    </w:p>
    <w:p w14:paraId="75C23877" w14:textId="01808208" w:rsidR="00F40C28" w:rsidRPr="00BA3A2E" w:rsidRDefault="00AF6BA2" w:rsidP="00F40C28">
      <w:pPr>
        <w:rPr>
          <w:rFonts w:cs="Open Sans"/>
          <w:szCs w:val="24"/>
        </w:rPr>
      </w:pPr>
      <w:r w:rsidRPr="00BA3A2E">
        <w:rPr>
          <w:rFonts w:cs="Open Sans"/>
          <w:szCs w:val="24"/>
        </w:rPr>
        <w:t xml:space="preserve">I have completed my report pursuant to </w:t>
      </w:r>
      <w:r w:rsidR="00470EE0" w:rsidRPr="00BA3A2E">
        <w:rPr>
          <w:rFonts w:cs="Open Sans"/>
          <w:szCs w:val="24"/>
        </w:rPr>
        <w:t>s</w:t>
      </w:r>
      <w:r w:rsidRPr="00BA3A2E">
        <w:rPr>
          <w:rFonts w:cs="Open Sans"/>
          <w:szCs w:val="24"/>
        </w:rPr>
        <w:t xml:space="preserve"> </w:t>
      </w:r>
      <w:r w:rsidR="008D46F3" w:rsidRPr="00BA3A2E">
        <w:rPr>
          <w:rFonts w:cs="Open Sans"/>
          <w:szCs w:val="24"/>
        </w:rPr>
        <w:t>11(1)(f)</w:t>
      </w:r>
      <w:r w:rsidRPr="00BA3A2E">
        <w:rPr>
          <w:rFonts w:cs="Open Sans"/>
          <w:szCs w:val="24"/>
        </w:rPr>
        <w:t xml:space="preserve"> of the </w:t>
      </w:r>
      <w:r w:rsidRPr="00BA3A2E">
        <w:rPr>
          <w:rFonts w:cs="Open Sans"/>
          <w:i/>
          <w:szCs w:val="24"/>
        </w:rPr>
        <w:t xml:space="preserve">Australian Human Rights Commission Act 1986 </w:t>
      </w:r>
      <w:r w:rsidRPr="00BA3A2E">
        <w:rPr>
          <w:rFonts w:cs="Open Sans"/>
          <w:szCs w:val="24"/>
        </w:rPr>
        <w:t>(</w:t>
      </w:r>
      <w:proofErr w:type="spellStart"/>
      <w:r w:rsidRPr="00BA3A2E">
        <w:rPr>
          <w:rFonts w:cs="Open Sans"/>
          <w:szCs w:val="24"/>
        </w:rPr>
        <w:t>Cth</w:t>
      </w:r>
      <w:proofErr w:type="spellEnd"/>
      <w:r w:rsidRPr="00BA3A2E">
        <w:rPr>
          <w:rFonts w:cs="Open Sans"/>
          <w:szCs w:val="24"/>
        </w:rPr>
        <w:t xml:space="preserve">) into the </w:t>
      </w:r>
      <w:r w:rsidR="00F40C28" w:rsidRPr="00BA3A2E">
        <w:rPr>
          <w:rFonts w:cs="Open Sans"/>
          <w:szCs w:val="24"/>
        </w:rPr>
        <w:t>complaint</w:t>
      </w:r>
      <w:r w:rsidR="008D46F3" w:rsidRPr="00BA3A2E">
        <w:rPr>
          <w:rFonts w:cs="Open Sans"/>
          <w:szCs w:val="24"/>
        </w:rPr>
        <w:t xml:space="preserve"> of</w:t>
      </w:r>
      <w:r w:rsidR="00F40C28" w:rsidRPr="00BA3A2E">
        <w:rPr>
          <w:rFonts w:cs="Open Sans"/>
          <w:szCs w:val="24"/>
        </w:rPr>
        <w:t xml:space="preserve"> </w:t>
      </w:r>
      <w:r w:rsidR="00C77B68" w:rsidRPr="00BA3A2E">
        <w:rPr>
          <w:rFonts w:cs="Open Sans"/>
          <w:szCs w:val="24"/>
        </w:rPr>
        <w:t xml:space="preserve">Mr </w:t>
      </w:r>
      <w:r w:rsidR="008B6707" w:rsidRPr="00BA3A2E">
        <w:rPr>
          <w:rFonts w:cs="Open Sans"/>
          <w:szCs w:val="24"/>
        </w:rPr>
        <w:t>Nauroze Anees</w:t>
      </w:r>
      <w:r w:rsidR="00C77B68" w:rsidRPr="00BA3A2E">
        <w:rPr>
          <w:rFonts w:cs="Open Sans"/>
          <w:szCs w:val="24"/>
        </w:rPr>
        <w:t xml:space="preserve"> </w:t>
      </w:r>
      <w:r w:rsidR="00F40C28" w:rsidRPr="00BA3A2E">
        <w:rPr>
          <w:rFonts w:cs="Open Sans"/>
          <w:szCs w:val="24"/>
        </w:rPr>
        <w:t>a</w:t>
      </w:r>
      <w:r w:rsidR="00C77B68" w:rsidRPr="00BA3A2E">
        <w:rPr>
          <w:rFonts w:cs="Open Sans"/>
          <w:szCs w:val="24"/>
        </w:rPr>
        <w:t>lleging</w:t>
      </w:r>
      <w:r w:rsidR="00F40C28" w:rsidRPr="00BA3A2E">
        <w:rPr>
          <w:rFonts w:cs="Open Sans"/>
          <w:szCs w:val="24"/>
        </w:rPr>
        <w:t xml:space="preserve"> </w:t>
      </w:r>
      <w:r w:rsidR="00891CC5" w:rsidRPr="00BA3A2E">
        <w:rPr>
          <w:rFonts w:cs="Open Sans"/>
          <w:szCs w:val="24"/>
        </w:rPr>
        <w:t>a breach of his human rights.</w:t>
      </w:r>
    </w:p>
    <w:p w14:paraId="75C23878" w14:textId="391C6FC4" w:rsidR="00CC7A67" w:rsidRPr="00BA3A2E" w:rsidRDefault="00CC7A67" w:rsidP="00CC7A67">
      <w:pPr>
        <w:rPr>
          <w:rFonts w:cs="Open Sans"/>
        </w:rPr>
      </w:pPr>
      <w:r w:rsidRPr="00BA3A2E">
        <w:rPr>
          <w:rFonts w:cs="Open Sans"/>
        </w:rPr>
        <w:t>Mr</w:t>
      </w:r>
      <w:r w:rsidR="0051120B" w:rsidRPr="00BA3A2E">
        <w:rPr>
          <w:rFonts w:cs="Open Sans"/>
          <w:szCs w:val="24"/>
        </w:rPr>
        <w:t xml:space="preserve"> </w:t>
      </w:r>
      <w:r w:rsidR="00EA5AC9" w:rsidRPr="00BA3A2E">
        <w:rPr>
          <w:rFonts w:cs="Open Sans"/>
          <w:szCs w:val="24"/>
        </w:rPr>
        <w:t>Anees</w:t>
      </w:r>
      <w:r w:rsidR="0051120B" w:rsidRPr="00BA3A2E">
        <w:rPr>
          <w:rFonts w:cs="Open Sans"/>
          <w:szCs w:val="24"/>
        </w:rPr>
        <w:t xml:space="preserve"> </w:t>
      </w:r>
      <w:r w:rsidRPr="00BA3A2E">
        <w:rPr>
          <w:rFonts w:cs="Open Sans"/>
        </w:rPr>
        <w:t>complain</w:t>
      </w:r>
      <w:r w:rsidR="00EA5AC9" w:rsidRPr="00BA3A2E">
        <w:rPr>
          <w:rFonts w:cs="Open Sans"/>
        </w:rPr>
        <w:t>s</w:t>
      </w:r>
      <w:r w:rsidRPr="00BA3A2E">
        <w:rPr>
          <w:rFonts w:cs="Open Sans"/>
        </w:rPr>
        <w:t xml:space="preserve"> that the actions of the </w:t>
      </w:r>
      <w:r w:rsidR="00127DC1" w:rsidRPr="00BA3A2E">
        <w:rPr>
          <w:rFonts w:cs="Open Sans"/>
        </w:rPr>
        <w:t>D</w:t>
      </w:r>
      <w:r w:rsidRPr="00BA3A2E">
        <w:rPr>
          <w:rFonts w:cs="Open Sans"/>
        </w:rPr>
        <w:t>epartment</w:t>
      </w:r>
      <w:r w:rsidR="00127DC1" w:rsidRPr="00BA3A2E">
        <w:rPr>
          <w:rFonts w:cs="Open Sans"/>
        </w:rPr>
        <w:t xml:space="preserve"> of Home Affairs</w:t>
      </w:r>
      <w:r w:rsidRPr="00BA3A2E">
        <w:rPr>
          <w:rFonts w:cs="Open Sans"/>
        </w:rPr>
        <w:t xml:space="preserve"> </w:t>
      </w:r>
      <w:r w:rsidR="00127DC1" w:rsidRPr="00BA3A2E">
        <w:rPr>
          <w:rFonts w:cs="Open Sans"/>
        </w:rPr>
        <w:t xml:space="preserve">(department) </w:t>
      </w:r>
      <w:r w:rsidRPr="00BA3A2E">
        <w:rPr>
          <w:rFonts w:cs="Open Sans"/>
        </w:rPr>
        <w:t xml:space="preserve">amounted to a breach of articles </w:t>
      </w:r>
      <w:r w:rsidR="00EA5AC9" w:rsidRPr="00BA3A2E">
        <w:rPr>
          <w:rFonts w:cs="Open Sans"/>
        </w:rPr>
        <w:t>9(1)</w:t>
      </w:r>
      <w:r w:rsidR="005D0C7F" w:rsidRPr="00BA3A2E">
        <w:rPr>
          <w:rFonts w:cs="Open Sans"/>
        </w:rPr>
        <w:t>, 17(1), 23(1)</w:t>
      </w:r>
      <w:r w:rsidRPr="00BA3A2E">
        <w:rPr>
          <w:rFonts w:cs="Open Sans"/>
        </w:rPr>
        <w:t xml:space="preserve"> of the </w:t>
      </w:r>
      <w:r w:rsidRPr="00BA3A2E">
        <w:rPr>
          <w:rFonts w:cs="Open Sans"/>
          <w:i/>
        </w:rPr>
        <w:t xml:space="preserve">International Covenant on Civil and Political Rights </w:t>
      </w:r>
      <w:r w:rsidRPr="00BA3A2E">
        <w:rPr>
          <w:rFonts w:cs="Open Sans"/>
        </w:rPr>
        <w:t>(ICCPR)</w:t>
      </w:r>
      <w:r w:rsidR="00CF515F" w:rsidRPr="00BA3A2E">
        <w:rPr>
          <w:rFonts w:cs="Open Sans"/>
        </w:rPr>
        <w:t xml:space="preserve">. </w:t>
      </w:r>
    </w:p>
    <w:p w14:paraId="64E20201" w14:textId="7EBFF364" w:rsidR="00F67C76" w:rsidRPr="00BA3A2E" w:rsidRDefault="00F67C76" w:rsidP="00F67C76">
      <w:pPr>
        <w:rPr>
          <w:rFonts w:cs="Open Sans"/>
          <w:szCs w:val="24"/>
        </w:rPr>
      </w:pPr>
      <w:r w:rsidRPr="00BA3A2E">
        <w:rPr>
          <w:rFonts w:cs="Open Sans"/>
          <w:szCs w:val="24"/>
        </w:rPr>
        <w:t>Mr Anees also alleges that he was sexually assaulted by a Serco officer, inconsistent with or contrary to article 10(1) of the ICCPR.</w:t>
      </w:r>
    </w:p>
    <w:p w14:paraId="7866A132" w14:textId="538EDA88" w:rsidR="00A36430" w:rsidRDefault="00B34AEE" w:rsidP="00A36430">
      <w:pPr>
        <w:rPr>
          <w:rFonts w:cs="Open Sans"/>
        </w:rPr>
      </w:pPr>
      <w:r w:rsidRPr="00BA3A2E">
        <w:rPr>
          <w:rFonts w:cs="Open Sans"/>
        </w:rPr>
        <w:t xml:space="preserve">As a result of this inquiry, I </w:t>
      </w:r>
      <w:r w:rsidR="00CC7A67" w:rsidRPr="00BA3A2E">
        <w:rPr>
          <w:rFonts w:cs="Open Sans"/>
        </w:rPr>
        <w:t xml:space="preserve">have found that </w:t>
      </w:r>
      <w:r w:rsidR="00A36430" w:rsidRPr="00BA3A2E">
        <w:rPr>
          <w:rFonts w:cs="Open Sans"/>
        </w:rPr>
        <w:t>the Department’s omission to refer Mr Anees’ case to the Minister for consideration of his discretionary intervention powers until 19 October</w:t>
      </w:r>
      <w:r w:rsidR="00A36430" w:rsidRPr="00A36430">
        <w:rPr>
          <w:rFonts w:cs="Open Sans"/>
        </w:rPr>
        <w:t xml:space="preserve"> 2018, and the Minister’s failure to consider exercising his power to make a residence determination under s 197AB or grant Mr Anees a visa under s 195A of the Migration Act, were acts that were, taken together, inconsistent with or contrary to article 9(1) of the ICCPR.</w:t>
      </w:r>
    </w:p>
    <w:p w14:paraId="1ED4A6BD" w14:textId="4E833CF6" w:rsidR="005F3EAA" w:rsidRPr="00B05B74" w:rsidRDefault="00B05B74" w:rsidP="00B05B74">
      <w:pPr>
        <w:rPr>
          <w:rFonts w:cs="Open Sans"/>
        </w:rPr>
      </w:pPr>
      <w:r>
        <w:rPr>
          <w:rFonts w:cs="Open Sans"/>
        </w:rPr>
        <w:t>I have also found that t</w:t>
      </w:r>
      <w:r w:rsidR="005F3EAA" w:rsidRPr="00B05B74">
        <w:rPr>
          <w:rFonts w:cs="Open Sans"/>
        </w:rPr>
        <w:t>he detention of Mr Anees interfered with his family and family life contrary to articles 17(1) and 23(1) of the ICCPR.</w:t>
      </w:r>
    </w:p>
    <w:p w14:paraId="2E592373" w14:textId="4B4D73AD" w:rsidR="005F3EAA" w:rsidRPr="00582D1B" w:rsidRDefault="00A5640C" w:rsidP="00B05B74">
      <w:pPr>
        <w:rPr>
          <w:rFonts w:cs="Open Sans"/>
        </w:rPr>
      </w:pPr>
      <w:r>
        <w:rPr>
          <w:rFonts w:cs="Open Sans"/>
        </w:rPr>
        <w:t>With respect to article 10 of the ICCPR, I have found that t</w:t>
      </w:r>
      <w:r w:rsidR="005F3EAA" w:rsidRPr="00582D1B">
        <w:rPr>
          <w:rFonts w:cs="Open Sans"/>
        </w:rPr>
        <w:t>he act of sexual assault as alleged by Mr Anees has not been established.</w:t>
      </w:r>
    </w:p>
    <w:p w14:paraId="75C2387D" w14:textId="7895CA76" w:rsidR="00B61B73" w:rsidRPr="00655BF2" w:rsidRDefault="005A6602" w:rsidP="00B61B73">
      <w:pPr>
        <w:rPr>
          <w:rFonts w:cs="Open Sans"/>
          <w:szCs w:val="24"/>
        </w:rPr>
      </w:pPr>
      <w:r>
        <w:rPr>
          <w:rFonts w:cs="Open Sans"/>
          <w:szCs w:val="24"/>
        </w:rPr>
        <w:t>The Department provided a response to my findings and recommendations on 25 September 2019. That response can be found</w:t>
      </w:r>
      <w:r w:rsidR="006D2849" w:rsidRPr="00582D1B">
        <w:rPr>
          <w:rFonts w:cs="Open Sans"/>
          <w:szCs w:val="24"/>
        </w:rPr>
        <w:t xml:space="preserve"> </w:t>
      </w:r>
      <w:r w:rsidR="00B61B73" w:rsidRPr="00582D1B">
        <w:rPr>
          <w:rFonts w:cs="Open Sans"/>
          <w:szCs w:val="24"/>
        </w:rPr>
        <w:t>in Part 1</w:t>
      </w:r>
      <w:r w:rsidR="00582D1B" w:rsidRPr="00582D1B">
        <w:rPr>
          <w:rFonts w:cs="Open Sans"/>
          <w:szCs w:val="24"/>
        </w:rPr>
        <w:t>1</w:t>
      </w:r>
      <w:r w:rsidR="00B61B73" w:rsidRPr="00582D1B">
        <w:rPr>
          <w:rFonts w:cs="Open Sans"/>
          <w:szCs w:val="24"/>
        </w:rPr>
        <w:t xml:space="preserve"> of this report.</w:t>
      </w:r>
    </w:p>
    <w:p w14:paraId="75C2387E" w14:textId="77777777" w:rsidR="00AF6BA2" w:rsidRPr="00655BF2" w:rsidRDefault="00AF6BA2" w:rsidP="005243E3">
      <w:pPr>
        <w:keepNext/>
        <w:rPr>
          <w:rFonts w:cs="Open Sans"/>
          <w:szCs w:val="24"/>
        </w:rPr>
      </w:pPr>
      <w:r w:rsidRPr="00655BF2">
        <w:rPr>
          <w:rFonts w:cs="Open Sans"/>
          <w:szCs w:val="24"/>
        </w:rPr>
        <w:t>I enclose a copy of my report.</w:t>
      </w:r>
    </w:p>
    <w:p w14:paraId="75C23880" w14:textId="4392133C" w:rsidR="00AF6BA2" w:rsidRPr="00535694" w:rsidRDefault="00AF6BA2" w:rsidP="00535694">
      <w:pPr>
        <w:rPr>
          <w:rFonts w:cs="Open Sans"/>
          <w:szCs w:val="24"/>
        </w:rPr>
      </w:pPr>
      <w:r w:rsidRPr="00655BF2">
        <w:rPr>
          <w:rFonts w:cs="Open Sans"/>
          <w:szCs w:val="24"/>
        </w:rPr>
        <w:t>Yours sincerely,</w:t>
      </w:r>
    </w:p>
    <w:p w14:paraId="7E5C1249" w14:textId="55F8C6F4" w:rsidR="00036FC5" w:rsidRDefault="00036FC5" w:rsidP="00AF6BA2">
      <w:pPr>
        <w:spacing w:before="0" w:after="0"/>
        <w:rPr>
          <w:noProof/>
          <w:lang w:eastAsia="en-AU"/>
        </w:rPr>
      </w:pPr>
    </w:p>
    <w:p w14:paraId="43F55688" w14:textId="77777777" w:rsidR="00535694" w:rsidRDefault="00535694" w:rsidP="00AF6BA2">
      <w:pPr>
        <w:spacing w:before="0" w:after="0"/>
        <w:rPr>
          <w:noProof/>
          <w:lang w:eastAsia="en-AU"/>
        </w:rPr>
      </w:pPr>
    </w:p>
    <w:p w14:paraId="75C23881" w14:textId="77777777" w:rsidR="00AF6BA2" w:rsidRPr="00655BF2" w:rsidRDefault="00AF6BA2" w:rsidP="00AF6BA2">
      <w:pPr>
        <w:spacing w:before="0" w:after="0"/>
        <w:rPr>
          <w:rFonts w:cs="Open Sans"/>
          <w:szCs w:val="24"/>
        </w:rPr>
      </w:pPr>
      <w:r w:rsidRPr="00655BF2">
        <w:rPr>
          <w:rFonts w:cs="Open Sans"/>
          <w:szCs w:val="24"/>
        </w:rPr>
        <w:t>Emeritus Professor Rosalind Croucher AM</w:t>
      </w:r>
    </w:p>
    <w:p w14:paraId="75C23882" w14:textId="77777777" w:rsidR="00AF6BA2" w:rsidRPr="00655BF2" w:rsidRDefault="00AF6BA2" w:rsidP="00AF6BA2">
      <w:pPr>
        <w:spacing w:before="0" w:after="0"/>
        <w:rPr>
          <w:rFonts w:cs="Open Sans"/>
          <w:b/>
          <w:szCs w:val="24"/>
        </w:rPr>
      </w:pPr>
      <w:r w:rsidRPr="00655BF2">
        <w:rPr>
          <w:rFonts w:cs="Open Sans"/>
          <w:b/>
          <w:szCs w:val="24"/>
        </w:rPr>
        <w:t xml:space="preserve">President </w:t>
      </w:r>
    </w:p>
    <w:p w14:paraId="75C23883" w14:textId="77777777" w:rsidR="00AF6BA2" w:rsidRPr="00655BF2" w:rsidRDefault="00AF6BA2" w:rsidP="00AF6BA2">
      <w:pPr>
        <w:spacing w:before="0" w:after="0"/>
        <w:rPr>
          <w:rFonts w:cs="Open Sans"/>
          <w:szCs w:val="24"/>
        </w:rPr>
      </w:pPr>
      <w:r w:rsidRPr="00655BF2">
        <w:rPr>
          <w:rFonts w:cs="Open Sans"/>
          <w:szCs w:val="24"/>
        </w:rPr>
        <w:t>Australian Human Rights Commission</w:t>
      </w:r>
    </w:p>
    <w:p w14:paraId="75C23884" w14:textId="60A5D8D3" w:rsidR="0030374B" w:rsidRPr="00EC55BE" w:rsidRDefault="00036FC5" w:rsidP="00AF6BA2">
      <w:pPr>
        <w:rPr>
          <w:rFonts w:cs="Open Sans"/>
          <w:szCs w:val="24"/>
        </w:rPr>
      </w:pPr>
      <w:r>
        <w:rPr>
          <w:rFonts w:cs="Open Sans"/>
          <w:szCs w:val="24"/>
        </w:rPr>
        <w:t>November</w:t>
      </w:r>
      <w:r w:rsidR="009F641F" w:rsidRPr="00655BF2">
        <w:rPr>
          <w:rFonts w:cs="Open Sans"/>
          <w:szCs w:val="24"/>
        </w:rPr>
        <w:t xml:space="preserve"> 2019</w:t>
      </w:r>
    </w:p>
    <w:sdt>
      <w:sdtPr>
        <w:rPr>
          <w:rFonts w:cs="Open Sans"/>
          <w:b w:val="0"/>
          <w:sz w:val="24"/>
          <w:lang w:val="en-AU"/>
        </w:rPr>
        <w:id w:val="-93242703"/>
        <w:docPartObj>
          <w:docPartGallery w:val="Table of Contents"/>
          <w:docPartUnique/>
        </w:docPartObj>
      </w:sdtPr>
      <w:sdtEndPr>
        <w:rPr>
          <w:bCs/>
          <w:noProof/>
        </w:rPr>
      </w:sdtEndPr>
      <w:sdtContent>
        <w:p w14:paraId="75C23886" w14:textId="77777777" w:rsidR="00AF6BA2" w:rsidRPr="005A6602" w:rsidRDefault="00AF6BA2" w:rsidP="00AF6BA2">
          <w:pPr>
            <w:pStyle w:val="TOCHeading"/>
            <w:rPr>
              <w:rFonts w:cs="Open Sans"/>
              <w:szCs w:val="28"/>
            </w:rPr>
          </w:pPr>
          <w:r w:rsidRPr="005A6602">
            <w:rPr>
              <w:rFonts w:cs="Open Sans"/>
              <w:szCs w:val="28"/>
            </w:rPr>
            <w:t>Contents</w:t>
          </w:r>
        </w:p>
        <w:p w14:paraId="56E90363" w14:textId="5DB36E74" w:rsidR="00535694" w:rsidRDefault="00AF6BA2">
          <w:pPr>
            <w:pStyle w:val="TOC1"/>
            <w:rPr>
              <w:rFonts w:asciiTheme="minorHAnsi" w:eastAsiaTheme="minorEastAsia" w:hAnsiTheme="minorHAnsi" w:cstheme="minorBidi"/>
              <w:b w:val="0"/>
              <w:noProof/>
              <w:color w:val="auto"/>
              <w:szCs w:val="24"/>
              <w:lang w:val="it-IT" w:eastAsia="it-IT"/>
            </w:rPr>
          </w:pPr>
          <w:r w:rsidRPr="005A6602">
            <w:rPr>
              <w:rFonts w:cs="Open Sans"/>
              <w:szCs w:val="24"/>
            </w:rPr>
            <w:fldChar w:fldCharType="begin"/>
          </w:r>
          <w:r w:rsidRPr="005A6602">
            <w:rPr>
              <w:rFonts w:cs="Open Sans"/>
              <w:szCs w:val="24"/>
            </w:rPr>
            <w:instrText xml:space="preserve"> TOC \o "1-3" \h \z \u </w:instrText>
          </w:r>
          <w:r w:rsidRPr="005A6602">
            <w:rPr>
              <w:rFonts w:cs="Open Sans"/>
              <w:szCs w:val="24"/>
            </w:rPr>
            <w:fldChar w:fldCharType="separate"/>
          </w:r>
          <w:hyperlink w:anchor="_Toc25740068" w:history="1">
            <w:r w:rsidR="00535694" w:rsidRPr="00BE1365">
              <w:rPr>
                <w:rStyle w:val="Hyperlink"/>
                <w:rFonts w:cs="Open Sans"/>
                <w:noProof/>
              </w:rPr>
              <w:t>1</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Introduction</w:t>
            </w:r>
            <w:r w:rsidR="00535694">
              <w:rPr>
                <w:noProof/>
                <w:webHidden/>
              </w:rPr>
              <w:tab/>
            </w:r>
            <w:r w:rsidR="00535694">
              <w:rPr>
                <w:noProof/>
                <w:webHidden/>
              </w:rPr>
              <w:fldChar w:fldCharType="begin"/>
            </w:r>
            <w:r w:rsidR="00535694">
              <w:rPr>
                <w:noProof/>
                <w:webHidden/>
              </w:rPr>
              <w:instrText xml:space="preserve"> PAGEREF _Toc25740068 \h </w:instrText>
            </w:r>
            <w:r w:rsidR="00535694">
              <w:rPr>
                <w:noProof/>
                <w:webHidden/>
              </w:rPr>
            </w:r>
            <w:r w:rsidR="00535694">
              <w:rPr>
                <w:noProof/>
                <w:webHidden/>
              </w:rPr>
              <w:fldChar w:fldCharType="separate"/>
            </w:r>
            <w:r w:rsidR="00535694">
              <w:rPr>
                <w:noProof/>
                <w:webHidden/>
              </w:rPr>
              <w:t>7</w:t>
            </w:r>
            <w:r w:rsidR="00535694">
              <w:rPr>
                <w:noProof/>
                <w:webHidden/>
              </w:rPr>
              <w:fldChar w:fldCharType="end"/>
            </w:r>
          </w:hyperlink>
        </w:p>
        <w:p w14:paraId="4433C89A" w14:textId="3DDBB469" w:rsidR="00535694" w:rsidRDefault="001B2549">
          <w:pPr>
            <w:pStyle w:val="TOC1"/>
            <w:rPr>
              <w:rFonts w:asciiTheme="minorHAnsi" w:eastAsiaTheme="minorEastAsia" w:hAnsiTheme="minorHAnsi" w:cstheme="minorBidi"/>
              <w:b w:val="0"/>
              <w:noProof/>
              <w:color w:val="auto"/>
              <w:szCs w:val="24"/>
              <w:lang w:val="it-IT" w:eastAsia="it-IT"/>
            </w:rPr>
          </w:pPr>
          <w:hyperlink w:anchor="_Toc25740069" w:history="1">
            <w:r w:rsidR="00535694" w:rsidRPr="00BE1365">
              <w:rPr>
                <w:rStyle w:val="Hyperlink"/>
                <w:rFonts w:cs="Open Sans"/>
                <w:noProof/>
              </w:rPr>
              <w:t>2</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Summary of findings and recommendations</w:t>
            </w:r>
            <w:r w:rsidR="00535694">
              <w:rPr>
                <w:noProof/>
                <w:webHidden/>
              </w:rPr>
              <w:tab/>
            </w:r>
            <w:r w:rsidR="00535694">
              <w:rPr>
                <w:noProof/>
                <w:webHidden/>
              </w:rPr>
              <w:fldChar w:fldCharType="begin"/>
            </w:r>
            <w:r w:rsidR="00535694">
              <w:rPr>
                <w:noProof/>
                <w:webHidden/>
              </w:rPr>
              <w:instrText xml:space="preserve"> PAGEREF _Toc25740069 \h </w:instrText>
            </w:r>
            <w:r w:rsidR="00535694">
              <w:rPr>
                <w:noProof/>
                <w:webHidden/>
              </w:rPr>
            </w:r>
            <w:r w:rsidR="00535694">
              <w:rPr>
                <w:noProof/>
                <w:webHidden/>
              </w:rPr>
              <w:fldChar w:fldCharType="separate"/>
            </w:r>
            <w:r w:rsidR="00535694">
              <w:rPr>
                <w:noProof/>
                <w:webHidden/>
              </w:rPr>
              <w:t>7</w:t>
            </w:r>
            <w:r w:rsidR="00535694">
              <w:rPr>
                <w:noProof/>
                <w:webHidden/>
              </w:rPr>
              <w:fldChar w:fldCharType="end"/>
            </w:r>
          </w:hyperlink>
        </w:p>
        <w:p w14:paraId="11A39B68" w14:textId="78D23E59" w:rsidR="00535694" w:rsidRDefault="001B2549">
          <w:pPr>
            <w:pStyle w:val="TOC1"/>
            <w:rPr>
              <w:rFonts w:asciiTheme="minorHAnsi" w:eastAsiaTheme="minorEastAsia" w:hAnsiTheme="minorHAnsi" w:cstheme="minorBidi"/>
              <w:b w:val="0"/>
              <w:noProof/>
              <w:color w:val="auto"/>
              <w:szCs w:val="24"/>
              <w:lang w:val="it-IT" w:eastAsia="it-IT"/>
            </w:rPr>
          </w:pPr>
          <w:hyperlink w:anchor="_Toc25740070" w:history="1">
            <w:r w:rsidR="00535694" w:rsidRPr="00BE1365">
              <w:rPr>
                <w:rStyle w:val="Hyperlink"/>
                <w:rFonts w:cs="Open Sans"/>
                <w:noProof/>
              </w:rPr>
              <w:t>3</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Background</w:t>
            </w:r>
            <w:r w:rsidR="00535694">
              <w:rPr>
                <w:noProof/>
                <w:webHidden/>
              </w:rPr>
              <w:tab/>
            </w:r>
            <w:r w:rsidR="00535694">
              <w:rPr>
                <w:noProof/>
                <w:webHidden/>
              </w:rPr>
              <w:fldChar w:fldCharType="begin"/>
            </w:r>
            <w:r w:rsidR="00535694">
              <w:rPr>
                <w:noProof/>
                <w:webHidden/>
              </w:rPr>
              <w:instrText xml:space="preserve"> PAGEREF _Toc25740070 \h </w:instrText>
            </w:r>
            <w:r w:rsidR="00535694">
              <w:rPr>
                <w:noProof/>
                <w:webHidden/>
              </w:rPr>
            </w:r>
            <w:r w:rsidR="00535694">
              <w:rPr>
                <w:noProof/>
                <w:webHidden/>
              </w:rPr>
              <w:fldChar w:fldCharType="separate"/>
            </w:r>
            <w:r w:rsidR="00535694">
              <w:rPr>
                <w:noProof/>
                <w:webHidden/>
              </w:rPr>
              <w:t>8</w:t>
            </w:r>
            <w:r w:rsidR="00535694">
              <w:rPr>
                <w:noProof/>
                <w:webHidden/>
              </w:rPr>
              <w:fldChar w:fldCharType="end"/>
            </w:r>
          </w:hyperlink>
        </w:p>
        <w:p w14:paraId="4C8DA7FE" w14:textId="353AAC19" w:rsidR="00535694" w:rsidRDefault="001B2549">
          <w:pPr>
            <w:pStyle w:val="TOC1"/>
            <w:rPr>
              <w:rFonts w:asciiTheme="minorHAnsi" w:eastAsiaTheme="minorEastAsia" w:hAnsiTheme="minorHAnsi" w:cstheme="minorBidi"/>
              <w:b w:val="0"/>
              <w:noProof/>
              <w:color w:val="auto"/>
              <w:szCs w:val="24"/>
              <w:lang w:val="it-IT" w:eastAsia="it-IT"/>
            </w:rPr>
          </w:pPr>
          <w:hyperlink w:anchor="_Toc25740071" w:history="1">
            <w:r w:rsidR="00535694" w:rsidRPr="00BE1365">
              <w:rPr>
                <w:rStyle w:val="Hyperlink"/>
                <w:rFonts w:cs="Open Sans"/>
                <w:noProof/>
              </w:rPr>
              <w:t>4</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Conciliation</w:t>
            </w:r>
            <w:r w:rsidR="00535694">
              <w:rPr>
                <w:noProof/>
                <w:webHidden/>
              </w:rPr>
              <w:tab/>
            </w:r>
            <w:r w:rsidR="00535694">
              <w:rPr>
                <w:noProof/>
                <w:webHidden/>
              </w:rPr>
              <w:fldChar w:fldCharType="begin"/>
            </w:r>
            <w:r w:rsidR="00535694">
              <w:rPr>
                <w:noProof/>
                <w:webHidden/>
              </w:rPr>
              <w:instrText xml:space="preserve"> PAGEREF _Toc25740071 \h </w:instrText>
            </w:r>
            <w:r w:rsidR="00535694">
              <w:rPr>
                <w:noProof/>
                <w:webHidden/>
              </w:rPr>
            </w:r>
            <w:r w:rsidR="00535694">
              <w:rPr>
                <w:noProof/>
                <w:webHidden/>
              </w:rPr>
              <w:fldChar w:fldCharType="separate"/>
            </w:r>
            <w:r w:rsidR="00535694">
              <w:rPr>
                <w:noProof/>
                <w:webHidden/>
              </w:rPr>
              <w:t>10</w:t>
            </w:r>
            <w:r w:rsidR="00535694">
              <w:rPr>
                <w:noProof/>
                <w:webHidden/>
              </w:rPr>
              <w:fldChar w:fldCharType="end"/>
            </w:r>
          </w:hyperlink>
        </w:p>
        <w:p w14:paraId="7172927D" w14:textId="0FFF3EF2" w:rsidR="00535694" w:rsidRDefault="001B2549">
          <w:pPr>
            <w:pStyle w:val="TOC1"/>
            <w:rPr>
              <w:rFonts w:asciiTheme="minorHAnsi" w:eastAsiaTheme="minorEastAsia" w:hAnsiTheme="minorHAnsi" w:cstheme="minorBidi"/>
              <w:b w:val="0"/>
              <w:noProof/>
              <w:color w:val="auto"/>
              <w:szCs w:val="24"/>
              <w:lang w:val="it-IT" w:eastAsia="it-IT"/>
            </w:rPr>
          </w:pPr>
          <w:hyperlink w:anchor="_Toc25740072" w:history="1">
            <w:r w:rsidR="00535694" w:rsidRPr="00BE1365">
              <w:rPr>
                <w:rStyle w:val="Hyperlink"/>
                <w:rFonts w:cs="Open Sans"/>
                <w:noProof/>
              </w:rPr>
              <w:t>5</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Procedural history of this inquiry</w:t>
            </w:r>
            <w:r w:rsidR="00535694">
              <w:rPr>
                <w:noProof/>
                <w:webHidden/>
              </w:rPr>
              <w:tab/>
            </w:r>
            <w:r w:rsidR="00535694">
              <w:rPr>
                <w:noProof/>
                <w:webHidden/>
              </w:rPr>
              <w:fldChar w:fldCharType="begin"/>
            </w:r>
            <w:r w:rsidR="00535694">
              <w:rPr>
                <w:noProof/>
                <w:webHidden/>
              </w:rPr>
              <w:instrText xml:space="preserve"> PAGEREF _Toc25740072 \h </w:instrText>
            </w:r>
            <w:r w:rsidR="00535694">
              <w:rPr>
                <w:noProof/>
                <w:webHidden/>
              </w:rPr>
            </w:r>
            <w:r w:rsidR="00535694">
              <w:rPr>
                <w:noProof/>
                <w:webHidden/>
              </w:rPr>
              <w:fldChar w:fldCharType="separate"/>
            </w:r>
            <w:r w:rsidR="00535694">
              <w:rPr>
                <w:noProof/>
                <w:webHidden/>
              </w:rPr>
              <w:t>10</w:t>
            </w:r>
            <w:r w:rsidR="00535694">
              <w:rPr>
                <w:noProof/>
                <w:webHidden/>
              </w:rPr>
              <w:fldChar w:fldCharType="end"/>
            </w:r>
          </w:hyperlink>
        </w:p>
        <w:p w14:paraId="536AAFBC" w14:textId="07302D36" w:rsidR="00535694" w:rsidRDefault="001B2549">
          <w:pPr>
            <w:pStyle w:val="TOC1"/>
            <w:rPr>
              <w:rFonts w:asciiTheme="minorHAnsi" w:eastAsiaTheme="minorEastAsia" w:hAnsiTheme="minorHAnsi" w:cstheme="minorBidi"/>
              <w:b w:val="0"/>
              <w:noProof/>
              <w:color w:val="auto"/>
              <w:szCs w:val="24"/>
              <w:lang w:val="it-IT" w:eastAsia="it-IT"/>
            </w:rPr>
          </w:pPr>
          <w:hyperlink w:anchor="_Toc25740073" w:history="1">
            <w:r w:rsidR="00535694" w:rsidRPr="00BE1365">
              <w:rPr>
                <w:rStyle w:val="Hyperlink"/>
                <w:rFonts w:cs="Open Sans"/>
                <w:noProof/>
              </w:rPr>
              <w:t>6</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Legislative framework</w:t>
            </w:r>
            <w:r w:rsidR="00535694">
              <w:rPr>
                <w:noProof/>
                <w:webHidden/>
              </w:rPr>
              <w:tab/>
            </w:r>
            <w:r w:rsidR="00535694">
              <w:rPr>
                <w:noProof/>
                <w:webHidden/>
              </w:rPr>
              <w:fldChar w:fldCharType="begin"/>
            </w:r>
            <w:r w:rsidR="00535694">
              <w:rPr>
                <w:noProof/>
                <w:webHidden/>
              </w:rPr>
              <w:instrText xml:space="preserve"> PAGEREF _Toc25740073 \h </w:instrText>
            </w:r>
            <w:r w:rsidR="00535694">
              <w:rPr>
                <w:noProof/>
                <w:webHidden/>
              </w:rPr>
            </w:r>
            <w:r w:rsidR="00535694">
              <w:rPr>
                <w:noProof/>
                <w:webHidden/>
              </w:rPr>
              <w:fldChar w:fldCharType="separate"/>
            </w:r>
            <w:r w:rsidR="00535694">
              <w:rPr>
                <w:noProof/>
                <w:webHidden/>
              </w:rPr>
              <w:t>11</w:t>
            </w:r>
            <w:r w:rsidR="00535694">
              <w:rPr>
                <w:noProof/>
                <w:webHidden/>
              </w:rPr>
              <w:fldChar w:fldCharType="end"/>
            </w:r>
          </w:hyperlink>
        </w:p>
        <w:p w14:paraId="3EE48F8C" w14:textId="784E834C"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74" w:history="1">
            <w:r w:rsidR="00535694" w:rsidRPr="00BE1365">
              <w:rPr>
                <w:rStyle w:val="Hyperlink"/>
                <w:rFonts w:cs="Open Sans"/>
                <w:iCs/>
                <w:noProof/>
              </w:rPr>
              <w:t>6.1</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Functions of the Commission</w:t>
            </w:r>
            <w:r w:rsidR="00535694">
              <w:rPr>
                <w:noProof/>
                <w:webHidden/>
              </w:rPr>
              <w:tab/>
            </w:r>
            <w:r w:rsidR="00535694">
              <w:rPr>
                <w:noProof/>
                <w:webHidden/>
              </w:rPr>
              <w:fldChar w:fldCharType="begin"/>
            </w:r>
            <w:r w:rsidR="00535694">
              <w:rPr>
                <w:noProof/>
                <w:webHidden/>
              </w:rPr>
              <w:instrText xml:space="preserve"> PAGEREF _Toc25740074 \h </w:instrText>
            </w:r>
            <w:r w:rsidR="00535694">
              <w:rPr>
                <w:noProof/>
                <w:webHidden/>
              </w:rPr>
            </w:r>
            <w:r w:rsidR="00535694">
              <w:rPr>
                <w:noProof/>
                <w:webHidden/>
              </w:rPr>
              <w:fldChar w:fldCharType="separate"/>
            </w:r>
            <w:r w:rsidR="00535694">
              <w:rPr>
                <w:noProof/>
                <w:webHidden/>
              </w:rPr>
              <w:t>11</w:t>
            </w:r>
            <w:r w:rsidR="00535694">
              <w:rPr>
                <w:noProof/>
                <w:webHidden/>
              </w:rPr>
              <w:fldChar w:fldCharType="end"/>
            </w:r>
          </w:hyperlink>
        </w:p>
        <w:p w14:paraId="6163B5F0" w14:textId="3DD647D5"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75" w:history="1">
            <w:r w:rsidR="00535694" w:rsidRPr="00BE1365">
              <w:rPr>
                <w:rStyle w:val="Hyperlink"/>
                <w:rFonts w:cs="Open Sans"/>
                <w:iCs/>
                <w:noProof/>
              </w:rPr>
              <w:t>6.2</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What is an ‘act’ or ‘practice?</w:t>
            </w:r>
            <w:r w:rsidR="00535694">
              <w:rPr>
                <w:noProof/>
                <w:webHidden/>
              </w:rPr>
              <w:tab/>
            </w:r>
            <w:r w:rsidR="00535694">
              <w:rPr>
                <w:noProof/>
                <w:webHidden/>
              </w:rPr>
              <w:fldChar w:fldCharType="begin"/>
            </w:r>
            <w:r w:rsidR="00535694">
              <w:rPr>
                <w:noProof/>
                <w:webHidden/>
              </w:rPr>
              <w:instrText xml:space="preserve"> PAGEREF _Toc25740075 \h </w:instrText>
            </w:r>
            <w:r w:rsidR="00535694">
              <w:rPr>
                <w:noProof/>
                <w:webHidden/>
              </w:rPr>
            </w:r>
            <w:r w:rsidR="00535694">
              <w:rPr>
                <w:noProof/>
                <w:webHidden/>
              </w:rPr>
              <w:fldChar w:fldCharType="separate"/>
            </w:r>
            <w:r w:rsidR="00535694">
              <w:rPr>
                <w:noProof/>
                <w:webHidden/>
              </w:rPr>
              <w:t>11</w:t>
            </w:r>
            <w:r w:rsidR="00535694">
              <w:rPr>
                <w:noProof/>
                <w:webHidden/>
              </w:rPr>
              <w:fldChar w:fldCharType="end"/>
            </w:r>
          </w:hyperlink>
        </w:p>
        <w:p w14:paraId="4947AE59" w14:textId="04771A09"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76" w:history="1">
            <w:r w:rsidR="00535694" w:rsidRPr="00BE1365">
              <w:rPr>
                <w:rStyle w:val="Hyperlink"/>
                <w:rFonts w:cs="Open Sans"/>
                <w:iCs/>
                <w:noProof/>
              </w:rPr>
              <w:t>6.3</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What is a ‘human right’?</w:t>
            </w:r>
            <w:r w:rsidR="00535694">
              <w:rPr>
                <w:noProof/>
                <w:webHidden/>
              </w:rPr>
              <w:tab/>
            </w:r>
            <w:r w:rsidR="00535694">
              <w:rPr>
                <w:noProof/>
                <w:webHidden/>
              </w:rPr>
              <w:fldChar w:fldCharType="begin"/>
            </w:r>
            <w:r w:rsidR="00535694">
              <w:rPr>
                <w:noProof/>
                <w:webHidden/>
              </w:rPr>
              <w:instrText xml:space="preserve"> PAGEREF _Toc25740076 \h </w:instrText>
            </w:r>
            <w:r w:rsidR="00535694">
              <w:rPr>
                <w:noProof/>
                <w:webHidden/>
              </w:rPr>
            </w:r>
            <w:r w:rsidR="00535694">
              <w:rPr>
                <w:noProof/>
                <w:webHidden/>
              </w:rPr>
              <w:fldChar w:fldCharType="separate"/>
            </w:r>
            <w:r w:rsidR="00535694">
              <w:rPr>
                <w:noProof/>
                <w:webHidden/>
              </w:rPr>
              <w:t>11</w:t>
            </w:r>
            <w:r w:rsidR="00535694">
              <w:rPr>
                <w:noProof/>
                <w:webHidden/>
              </w:rPr>
              <w:fldChar w:fldCharType="end"/>
            </w:r>
          </w:hyperlink>
        </w:p>
        <w:p w14:paraId="5DF87754" w14:textId="0DE8FE10" w:rsidR="00535694" w:rsidRDefault="001B2549">
          <w:pPr>
            <w:pStyle w:val="TOC1"/>
            <w:rPr>
              <w:rFonts w:asciiTheme="minorHAnsi" w:eastAsiaTheme="minorEastAsia" w:hAnsiTheme="minorHAnsi" w:cstheme="minorBidi"/>
              <w:b w:val="0"/>
              <w:noProof/>
              <w:color w:val="auto"/>
              <w:szCs w:val="24"/>
              <w:lang w:val="it-IT" w:eastAsia="it-IT"/>
            </w:rPr>
          </w:pPr>
          <w:hyperlink w:anchor="_Toc25740077" w:history="1">
            <w:r w:rsidR="00535694" w:rsidRPr="00BE1365">
              <w:rPr>
                <w:rStyle w:val="Hyperlink"/>
                <w:rFonts w:cs="Open Sans"/>
                <w:noProof/>
              </w:rPr>
              <w:t>7</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Arbitrary detention</w:t>
            </w:r>
            <w:r w:rsidR="00535694">
              <w:rPr>
                <w:noProof/>
                <w:webHidden/>
              </w:rPr>
              <w:tab/>
            </w:r>
            <w:r w:rsidR="00535694">
              <w:rPr>
                <w:noProof/>
                <w:webHidden/>
              </w:rPr>
              <w:fldChar w:fldCharType="begin"/>
            </w:r>
            <w:r w:rsidR="00535694">
              <w:rPr>
                <w:noProof/>
                <w:webHidden/>
              </w:rPr>
              <w:instrText xml:space="preserve"> PAGEREF _Toc25740077 \h </w:instrText>
            </w:r>
            <w:r w:rsidR="00535694">
              <w:rPr>
                <w:noProof/>
                <w:webHidden/>
              </w:rPr>
            </w:r>
            <w:r w:rsidR="00535694">
              <w:rPr>
                <w:noProof/>
                <w:webHidden/>
              </w:rPr>
              <w:fldChar w:fldCharType="separate"/>
            </w:r>
            <w:r w:rsidR="00535694">
              <w:rPr>
                <w:noProof/>
                <w:webHidden/>
              </w:rPr>
              <w:t>12</w:t>
            </w:r>
            <w:r w:rsidR="00535694">
              <w:rPr>
                <w:noProof/>
                <w:webHidden/>
              </w:rPr>
              <w:fldChar w:fldCharType="end"/>
            </w:r>
          </w:hyperlink>
        </w:p>
        <w:p w14:paraId="2006BA0B" w14:textId="0E3D4E31"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78" w:history="1">
            <w:r w:rsidR="00535694" w:rsidRPr="00BE1365">
              <w:rPr>
                <w:rStyle w:val="Hyperlink"/>
                <w:rFonts w:cs="Open Sans"/>
                <w:iCs/>
                <w:noProof/>
              </w:rPr>
              <w:t>7.1</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Law on article 9 of the ICCPR</w:t>
            </w:r>
            <w:r w:rsidR="00535694">
              <w:rPr>
                <w:noProof/>
                <w:webHidden/>
              </w:rPr>
              <w:tab/>
            </w:r>
            <w:r w:rsidR="00535694">
              <w:rPr>
                <w:noProof/>
                <w:webHidden/>
              </w:rPr>
              <w:fldChar w:fldCharType="begin"/>
            </w:r>
            <w:r w:rsidR="00535694">
              <w:rPr>
                <w:noProof/>
                <w:webHidden/>
              </w:rPr>
              <w:instrText xml:space="preserve"> PAGEREF _Toc25740078 \h </w:instrText>
            </w:r>
            <w:r w:rsidR="00535694">
              <w:rPr>
                <w:noProof/>
                <w:webHidden/>
              </w:rPr>
            </w:r>
            <w:r w:rsidR="00535694">
              <w:rPr>
                <w:noProof/>
                <w:webHidden/>
              </w:rPr>
              <w:fldChar w:fldCharType="separate"/>
            </w:r>
            <w:r w:rsidR="00535694">
              <w:rPr>
                <w:noProof/>
                <w:webHidden/>
              </w:rPr>
              <w:t>12</w:t>
            </w:r>
            <w:r w:rsidR="00535694">
              <w:rPr>
                <w:noProof/>
                <w:webHidden/>
              </w:rPr>
              <w:fldChar w:fldCharType="end"/>
            </w:r>
          </w:hyperlink>
        </w:p>
        <w:p w14:paraId="3D1BFA62" w14:textId="3203734B"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79" w:history="1">
            <w:r w:rsidR="00535694" w:rsidRPr="00BE1365">
              <w:rPr>
                <w:rStyle w:val="Hyperlink"/>
                <w:rFonts w:cs="Open Sans"/>
                <w:iCs/>
                <w:noProof/>
              </w:rPr>
              <w:t>7.2</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Act or practice of the Commonwealth</w:t>
            </w:r>
            <w:r w:rsidR="00535694">
              <w:rPr>
                <w:noProof/>
                <w:webHidden/>
              </w:rPr>
              <w:tab/>
            </w:r>
            <w:r w:rsidR="00535694">
              <w:rPr>
                <w:noProof/>
                <w:webHidden/>
              </w:rPr>
              <w:fldChar w:fldCharType="begin"/>
            </w:r>
            <w:r w:rsidR="00535694">
              <w:rPr>
                <w:noProof/>
                <w:webHidden/>
              </w:rPr>
              <w:instrText xml:space="preserve"> PAGEREF _Toc25740079 \h </w:instrText>
            </w:r>
            <w:r w:rsidR="00535694">
              <w:rPr>
                <w:noProof/>
                <w:webHidden/>
              </w:rPr>
            </w:r>
            <w:r w:rsidR="00535694">
              <w:rPr>
                <w:noProof/>
                <w:webHidden/>
              </w:rPr>
              <w:fldChar w:fldCharType="separate"/>
            </w:r>
            <w:r w:rsidR="00535694">
              <w:rPr>
                <w:noProof/>
                <w:webHidden/>
              </w:rPr>
              <w:t>13</w:t>
            </w:r>
            <w:r w:rsidR="00535694">
              <w:rPr>
                <w:noProof/>
                <w:webHidden/>
              </w:rPr>
              <w:fldChar w:fldCharType="end"/>
            </w:r>
          </w:hyperlink>
        </w:p>
        <w:p w14:paraId="756158E4" w14:textId="423A2FDE"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80" w:history="1">
            <w:r w:rsidR="00535694" w:rsidRPr="00BE1365">
              <w:rPr>
                <w:rStyle w:val="Hyperlink"/>
                <w:rFonts w:cs="Open Sans"/>
                <w:iCs/>
                <w:noProof/>
              </w:rPr>
              <w:t>7.3</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Findings</w:t>
            </w:r>
            <w:r w:rsidR="00535694">
              <w:rPr>
                <w:noProof/>
                <w:webHidden/>
              </w:rPr>
              <w:tab/>
            </w:r>
            <w:r w:rsidR="00535694">
              <w:rPr>
                <w:noProof/>
                <w:webHidden/>
              </w:rPr>
              <w:fldChar w:fldCharType="begin"/>
            </w:r>
            <w:r w:rsidR="00535694">
              <w:rPr>
                <w:noProof/>
                <w:webHidden/>
              </w:rPr>
              <w:instrText xml:space="preserve"> PAGEREF _Toc25740080 \h </w:instrText>
            </w:r>
            <w:r w:rsidR="00535694">
              <w:rPr>
                <w:noProof/>
                <w:webHidden/>
              </w:rPr>
            </w:r>
            <w:r w:rsidR="00535694">
              <w:rPr>
                <w:noProof/>
                <w:webHidden/>
              </w:rPr>
              <w:fldChar w:fldCharType="separate"/>
            </w:r>
            <w:r w:rsidR="00535694">
              <w:rPr>
                <w:noProof/>
                <w:webHidden/>
              </w:rPr>
              <w:t>14</w:t>
            </w:r>
            <w:r w:rsidR="00535694">
              <w:rPr>
                <w:noProof/>
                <w:webHidden/>
              </w:rPr>
              <w:fldChar w:fldCharType="end"/>
            </w:r>
          </w:hyperlink>
        </w:p>
        <w:p w14:paraId="329C141F" w14:textId="1E828F94" w:rsidR="00535694" w:rsidRDefault="001B2549">
          <w:pPr>
            <w:pStyle w:val="TOC1"/>
            <w:rPr>
              <w:rFonts w:asciiTheme="minorHAnsi" w:eastAsiaTheme="minorEastAsia" w:hAnsiTheme="minorHAnsi" w:cstheme="minorBidi"/>
              <w:b w:val="0"/>
              <w:noProof/>
              <w:color w:val="auto"/>
              <w:szCs w:val="24"/>
              <w:lang w:val="it-IT" w:eastAsia="it-IT"/>
            </w:rPr>
          </w:pPr>
          <w:hyperlink w:anchor="_Toc25740081" w:history="1">
            <w:r w:rsidR="00535694" w:rsidRPr="00BE1365">
              <w:rPr>
                <w:rStyle w:val="Hyperlink"/>
                <w:rFonts w:cs="Open Sans"/>
                <w:noProof/>
              </w:rPr>
              <w:t>8</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Arbitrary interference with family</w:t>
            </w:r>
            <w:r w:rsidR="00535694">
              <w:rPr>
                <w:noProof/>
                <w:webHidden/>
              </w:rPr>
              <w:tab/>
            </w:r>
            <w:r w:rsidR="00535694">
              <w:rPr>
                <w:noProof/>
                <w:webHidden/>
              </w:rPr>
              <w:fldChar w:fldCharType="begin"/>
            </w:r>
            <w:r w:rsidR="00535694">
              <w:rPr>
                <w:noProof/>
                <w:webHidden/>
              </w:rPr>
              <w:instrText xml:space="preserve"> PAGEREF _Toc25740081 \h </w:instrText>
            </w:r>
            <w:r w:rsidR="00535694">
              <w:rPr>
                <w:noProof/>
                <w:webHidden/>
              </w:rPr>
            </w:r>
            <w:r w:rsidR="00535694">
              <w:rPr>
                <w:noProof/>
                <w:webHidden/>
              </w:rPr>
              <w:fldChar w:fldCharType="separate"/>
            </w:r>
            <w:r w:rsidR="00535694">
              <w:rPr>
                <w:noProof/>
                <w:webHidden/>
              </w:rPr>
              <w:t>22</w:t>
            </w:r>
            <w:r w:rsidR="00535694">
              <w:rPr>
                <w:noProof/>
                <w:webHidden/>
              </w:rPr>
              <w:fldChar w:fldCharType="end"/>
            </w:r>
          </w:hyperlink>
        </w:p>
        <w:p w14:paraId="28BCB551" w14:textId="368FB7ED"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82" w:history="1">
            <w:r w:rsidR="00535694" w:rsidRPr="00BE1365">
              <w:rPr>
                <w:rStyle w:val="Hyperlink"/>
                <w:rFonts w:cs="Open Sans"/>
                <w:iCs/>
                <w:noProof/>
              </w:rPr>
              <w:t>8.1</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Articles 17(1) and 23(1)</w:t>
            </w:r>
            <w:r w:rsidR="00535694">
              <w:rPr>
                <w:noProof/>
                <w:webHidden/>
              </w:rPr>
              <w:tab/>
            </w:r>
            <w:r w:rsidR="00535694">
              <w:rPr>
                <w:noProof/>
                <w:webHidden/>
              </w:rPr>
              <w:fldChar w:fldCharType="begin"/>
            </w:r>
            <w:r w:rsidR="00535694">
              <w:rPr>
                <w:noProof/>
                <w:webHidden/>
              </w:rPr>
              <w:instrText xml:space="preserve"> PAGEREF _Toc25740082 \h </w:instrText>
            </w:r>
            <w:r w:rsidR="00535694">
              <w:rPr>
                <w:noProof/>
                <w:webHidden/>
              </w:rPr>
            </w:r>
            <w:r w:rsidR="00535694">
              <w:rPr>
                <w:noProof/>
                <w:webHidden/>
              </w:rPr>
              <w:fldChar w:fldCharType="separate"/>
            </w:r>
            <w:r w:rsidR="00535694">
              <w:rPr>
                <w:noProof/>
                <w:webHidden/>
              </w:rPr>
              <w:t>22</w:t>
            </w:r>
            <w:r w:rsidR="00535694">
              <w:rPr>
                <w:noProof/>
                <w:webHidden/>
              </w:rPr>
              <w:fldChar w:fldCharType="end"/>
            </w:r>
          </w:hyperlink>
        </w:p>
        <w:p w14:paraId="6A84A5E9" w14:textId="70DAA068" w:rsidR="00535694" w:rsidRDefault="001B2549" w:rsidP="00CF56C9">
          <w:pPr>
            <w:pStyle w:val="TOC3"/>
            <w:rPr>
              <w:rFonts w:asciiTheme="minorHAnsi" w:eastAsiaTheme="minorEastAsia" w:hAnsiTheme="minorHAnsi" w:cstheme="minorBidi"/>
              <w:color w:val="auto"/>
              <w:szCs w:val="24"/>
              <w:lang w:val="it-IT" w:eastAsia="it-IT"/>
            </w:rPr>
          </w:pPr>
          <w:hyperlink w:anchor="_Toc25740083" w:history="1">
            <w:r w:rsidR="00535694" w:rsidRPr="00BE1365">
              <w:rPr>
                <w:rStyle w:val="Hyperlink"/>
                <w:rFonts w:cs="Open Sans"/>
              </w:rPr>
              <w:t>(a)</w:t>
            </w:r>
            <w:r w:rsidR="00535694">
              <w:rPr>
                <w:rFonts w:asciiTheme="minorHAnsi" w:eastAsiaTheme="minorEastAsia" w:hAnsiTheme="minorHAnsi" w:cstheme="minorBidi"/>
                <w:color w:val="auto"/>
                <w:szCs w:val="24"/>
                <w:lang w:val="it-IT" w:eastAsia="it-IT"/>
              </w:rPr>
              <w:tab/>
            </w:r>
            <w:r w:rsidR="00535694" w:rsidRPr="00BE1365">
              <w:rPr>
                <w:rStyle w:val="Hyperlink"/>
                <w:rFonts w:cs="Open Sans"/>
                <w:iCs/>
              </w:rPr>
              <w:t>‘Family’</w:t>
            </w:r>
            <w:r w:rsidR="00535694">
              <w:rPr>
                <w:webHidden/>
              </w:rPr>
              <w:tab/>
            </w:r>
            <w:r w:rsidR="00535694">
              <w:rPr>
                <w:webHidden/>
              </w:rPr>
              <w:fldChar w:fldCharType="begin"/>
            </w:r>
            <w:r w:rsidR="00535694">
              <w:rPr>
                <w:webHidden/>
              </w:rPr>
              <w:instrText xml:space="preserve"> PAGEREF _Toc25740083 \h </w:instrText>
            </w:r>
            <w:r w:rsidR="00535694">
              <w:rPr>
                <w:webHidden/>
              </w:rPr>
            </w:r>
            <w:r w:rsidR="00535694">
              <w:rPr>
                <w:webHidden/>
              </w:rPr>
              <w:fldChar w:fldCharType="separate"/>
            </w:r>
            <w:r w:rsidR="00535694">
              <w:rPr>
                <w:webHidden/>
              </w:rPr>
              <w:t>22</w:t>
            </w:r>
            <w:r w:rsidR="00535694">
              <w:rPr>
                <w:webHidden/>
              </w:rPr>
              <w:fldChar w:fldCharType="end"/>
            </w:r>
          </w:hyperlink>
        </w:p>
        <w:p w14:paraId="7DDDD267" w14:textId="620D0D8E" w:rsidR="00535694" w:rsidRDefault="001B2549" w:rsidP="00CF56C9">
          <w:pPr>
            <w:pStyle w:val="TOC3"/>
            <w:rPr>
              <w:rFonts w:asciiTheme="minorHAnsi" w:eastAsiaTheme="minorEastAsia" w:hAnsiTheme="minorHAnsi" w:cstheme="minorBidi"/>
              <w:color w:val="auto"/>
              <w:szCs w:val="24"/>
              <w:lang w:val="it-IT" w:eastAsia="it-IT"/>
            </w:rPr>
          </w:pPr>
          <w:hyperlink w:anchor="_Toc25740084" w:history="1">
            <w:r w:rsidR="00535694" w:rsidRPr="00BE1365">
              <w:rPr>
                <w:rStyle w:val="Hyperlink"/>
                <w:rFonts w:cs="Open Sans"/>
              </w:rPr>
              <w:t>(b)</w:t>
            </w:r>
            <w:r w:rsidR="00535694">
              <w:rPr>
                <w:rFonts w:asciiTheme="minorHAnsi" w:eastAsiaTheme="minorEastAsia" w:hAnsiTheme="minorHAnsi" w:cstheme="minorBidi"/>
                <w:color w:val="auto"/>
                <w:szCs w:val="24"/>
                <w:lang w:val="it-IT" w:eastAsia="it-IT"/>
              </w:rPr>
              <w:tab/>
            </w:r>
            <w:r w:rsidR="00535694" w:rsidRPr="00BE1365">
              <w:rPr>
                <w:rStyle w:val="Hyperlink"/>
                <w:rFonts w:cs="Open Sans"/>
                <w:iCs/>
              </w:rPr>
              <w:t>‘Interference’</w:t>
            </w:r>
            <w:r w:rsidR="00535694">
              <w:rPr>
                <w:webHidden/>
              </w:rPr>
              <w:tab/>
            </w:r>
            <w:r w:rsidR="00535694">
              <w:rPr>
                <w:webHidden/>
              </w:rPr>
              <w:fldChar w:fldCharType="begin"/>
            </w:r>
            <w:r w:rsidR="00535694">
              <w:rPr>
                <w:webHidden/>
              </w:rPr>
              <w:instrText xml:space="preserve"> PAGEREF _Toc25740084 \h </w:instrText>
            </w:r>
            <w:r w:rsidR="00535694">
              <w:rPr>
                <w:webHidden/>
              </w:rPr>
            </w:r>
            <w:r w:rsidR="00535694">
              <w:rPr>
                <w:webHidden/>
              </w:rPr>
              <w:fldChar w:fldCharType="separate"/>
            </w:r>
            <w:r w:rsidR="00535694">
              <w:rPr>
                <w:webHidden/>
              </w:rPr>
              <w:t>24</w:t>
            </w:r>
            <w:r w:rsidR="00535694">
              <w:rPr>
                <w:webHidden/>
              </w:rPr>
              <w:fldChar w:fldCharType="end"/>
            </w:r>
          </w:hyperlink>
        </w:p>
        <w:p w14:paraId="41DDB5CD" w14:textId="4767CAF2" w:rsidR="00535694" w:rsidRDefault="001B2549" w:rsidP="00CF56C9">
          <w:pPr>
            <w:pStyle w:val="TOC3"/>
            <w:rPr>
              <w:rFonts w:asciiTheme="minorHAnsi" w:eastAsiaTheme="minorEastAsia" w:hAnsiTheme="minorHAnsi" w:cstheme="minorBidi"/>
              <w:color w:val="auto"/>
              <w:szCs w:val="24"/>
              <w:lang w:val="it-IT" w:eastAsia="it-IT"/>
            </w:rPr>
          </w:pPr>
          <w:hyperlink w:anchor="_Toc25740085" w:history="1">
            <w:r w:rsidR="00535694" w:rsidRPr="00BE1365">
              <w:rPr>
                <w:rStyle w:val="Hyperlink"/>
                <w:rFonts w:cs="Open Sans"/>
              </w:rPr>
              <w:t>(c)</w:t>
            </w:r>
            <w:r w:rsidR="00535694">
              <w:rPr>
                <w:rFonts w:asciiTheme="minorHAnsi" w:eastAsiaTheme="minorEastAsia" w:hAnsiTheme="minorHAnsi" w:cstheme="minorBidi"/>
                <w:color w:val="auto"/>
                <w:szCs w:val="24"/>
                <w:lang w:val="it-IT" w:eastAsia="it-IT"/>
              </w:rPr>
              <w:tab/>
            </w:r>
            <w:r w:rsidR="00535694" w:rsidRPr="00BE1365">
              <w:rPr>
                <w:rStyle w:val="Hyperlink"/>
                <w:rFonts w:cs="Open Sans"/>
                <w:iCs/>
              </w:rPr>
              <w:t>‘Arbitrary’</w:t>
            </w:r>
            <w:r w:rsidR="00535694">
              <w:rPr>
                <w:webHidden/>
              </w:rPr>
              <w:tab/>
            </w:r>
            <w:r w:rsidR="00535694">
              <w:rPr>
                <w:webHidden/>
              </w:rPr>
              <w:fldChar w:fldCharType="begin"/>
            </w:r>
            <w:r w:rsidR="00535694">
              <w:rPr>
                <w:webHidden/>
              </w:rPr>
              <w:instrText xml:space="preserve"> PAGEREF _Toc25740085 \h </w:instrText>
            </w:r>
            <w:r w:rsidR="00535694">
              <w:rPr>
                <w:webHidden/>
              </w:rPr>
            </w:r>
            <w:r w:rsidR="00535694">
              <w:rPr>
                <w:webHidden/>
              </w:rPr>
              <w:fldChar w:fldCharType="separate"/>
            </w:r>
            <w:r w:rsidR="00535694">
              <w:rPr>
                <w:webHidden/>
              </w:rPr>
              <w:t>24</w:t>
            </w:r>
            <w:r w:rsidR="00535694">
              <w:rPr>
                <w:webHidden/>
              </w:rPr>
              <w:fldChar w:fldCharType="end"/>
            </w:r>
          </w:hyperlink>
        </w:p>
        <w:p w14:paraId="71944107" w14:textId="55446390" w:rsidR="00535694" w:rsidRDefault="001B2549">
          <w:pPr>
            <w:pStyle w:val="TOC1"/>
            <w:rPr>
              <w:rFonts w:asciiTheme="minorHAnsi" w:eastAsiaTheme="minorEastAsia" w:hAnsiTheme="minorHAnsi" w:cstheme="minorBidi"/>
              <w:b w:val="0"/>
              <w:noProof/>
              <w:color w:val="auto"/>
              <w:szCs w:val="24"/>
              <w:lang w:val="it-IT" w:eastAsia="it-IT"/>
            </w:rPr>
          </w:pPr>
          <w:hyperlink w:anchor="_Toc25740086" w:history="1">
            <w:r w:rsidR="00535694" w:rsidRPr="00BE1365">
              <w:rPr>
                <w:rStyle w:val="Hyperlink"/>
                <w:rFonts w:cs="Open Sans"/>
                <w:noProof/>
              </w:rPr>
              <w:t>9</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Right of detainees to be treated with humanity and dignity</w:t>
            </w:r>
            <w:r w:rsidR="00535694">
              <w:rPr>
                <w:noProof/>
                <w:webHidden/>
              </w:rPr>
              <w:tab/>
            </w:r>
            <w:r w:rsidR="00535694">
              <w:rPr>
                <w:noProof/>
                <w:webHidden/>
              </w:rPr>
              <w:fldChar w:fldCharType="begin"/>
            </w:r>
            <w:r w:rsidR="00535694">
              <w:rPr>
                <w:noProof/>
                <w:webHidden/>
              </w:rPr>
              <w:instrText xml:space="preserve"> PAGEREF _Toc25740086 \h </w:instrText>
            </w:r>
            <w:r w:rsidR="00535694">
              <w:rPr>
                <w:noProof/>
                <w:webHidden/>
              </w:rPr>
            </w:r>
            <w:r w:rsidR="00535694">
              <w:rPr>
                <w:noProof/>
                <w:webHidden/>
              </w:rPr>
              <w:fldChar w:fldCharType="separate"/>
            </w:r>
            <w:r w:rsidR="00535694">
              <w:rPr>
                <w:noProof/>
                <w:webHidden/>
              </w:rPr>
              <w:t>26</w:t>
            </w:r>
            <w:r w:rsidR="00535694">
              <w:rPr>
                <w:noProof/>
                <w:webHidden/>
              </w:rPr>
              <w:fldChar w:fldCharType="end"/>
            </w:r>
          </w:hyperlink>
        </w:p>
        <w:p w14:paraId="5F8F954A" w14:textId="38EE8DCB"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87" w:history="1">
            <w:r w:rsidR="00535694" w:rsidRPr="00BE1365">
              <w:rPr>
                <w:rStyle w:val="Hyperlink"/>
                <w:rFonts w:cs="Open Sans"/>
                <w:iCs/>
                <w:noProof/>
              </w:rPr>
              <w:t>9.1</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Alleged sexual assault</w:t>
            </w:r>
            <w:r w:rsidR="00535694">
              <w:rPr>
                <w:noProof/>
                <w:webHidden/>
              </w:rPr>
              <w:tab/>
            </w:r>
            <w:r w:rsidR="00535694">
              <w:rPr>
                <w:noProof/>
                <w:webHidden/>
              </w:rPr>
              <w:fldChar w:fldCharType="begin"/>
            </w:r>
            <w:r w:rsidR="00535694">
              <w:rPr>
                <w:noProof/>
                <w:webHidden/>
              </w:rPr>
              <w:instrText xml:space="preserve"> PAGEREF _Toc25740087 \h </w:instrText>
            </w:r>
            <w:r w:rsidR="00535694">
              <w:rPr>
                <w:noProof/>
                <w:webHidden/>
              </w:rPr>
            </w:r>
            <w:r w:rsidR="00535694">
              <w:rPr>
                <w:noProof/>
                <w:webHidden/>
              </w:rPr>
              <w:fldChar w:fldCharType="separate"/>
            </w:r>
            <w:r w:rsidR="00535694">
              <w:rPr>
                <w:noProof/>
                <w:webHidden/>
              </w:rPr>
              <w:t>27</w:t>
            </w:r>
            <w:r w:rsidR="00535694">
              <w:rPr>
                <w:noProof/>
                <w:webHidden/>
              </w:rPr>
              <w:fldChar w:fldCharType="end"/>
            </w:r>
          </w:hyperlink>
        </w:p>
        <w:p w14:paraId="225F1984" w14:textId="045CD48B" w:rsidR="00535694" w:rsidRDefault="001B2549" w:rsidP="00CF56C9">
          <w:pPr>
            <w:pStyle w:val="TOC2"/>
            <w:rPr>
              <w:rFonts w:asciiTheme="minorHAnsi" w:eastAsiaTheme="minorEastAsia" w:hAnsiTheme="minorHAnsi" w:cstheme="minorBidi"/>
              <w:b/>
              <w:i/>
              <w:noProof/>
              <w:color w:val="auto"/>
              <w:szCs w:val="24"/>
              <w:lang w:val="it-IT" w:eastAsia="it-IT"/>
            </w:rPr>
          </w:pPr>
          <w:hyperlink w:anchor="_Toc25740088" w:history="1">
            <w:r w:rsidR="00535694" w:rsidRPr="00BE1365">
              <w:rPr>
                <w:rStyle w:val="Hyperlink"/>
                <w:rFonts w:cs="Open Sans"/>
                <w:iCs/>
                <w:noProof/>
              </w:rPr>
              <w:t>9.2</w:t>
            </w:r>
            <w:r w:rsidR="00535694">
              <w:rPr>
                <w:rFonts w:asciiTheme="minorHAnsi" w:eastAsiaTheme="minorEastAsia" w:hAnsiTheme="minorHAnsi" w:cstheme="minorBidi"/>
                <w:noProof/>
                <w:color w:val="auto"/>
                <w:szCs w:val="24"/>
                <w:lang w:val="it-IT" w:eastAsia="it-IT"/>
              </w:rPr>
              <w:tab/>
            </w:r>
            <w:r w:rsidR="00535694" w:rsidRPr="00BE1365">
              <w:rPr>
                <w:rStyle w:val="Hyperlink"/>
                <w:rFonts w:cs="Open Sans"/>
                <w:iCs/>
                <w:noProof/>
              </w:rPr>
              <w:t>Finding</w:t>
            </w:r>
            <w:r w:rsidR="00535694">
              <w:rPr>
                <w:noProof/>
                <w:webHidden/>
              </w:rPr>
              <w:tab/>
            </w:r>
            <w:r w:rsidR="00535694">
              <w:rPr>
                <w:noProof/>
                <w:webHidden/>
              </w:rPr>
              <w:fldChar w:fldCharType="begin"/>
            </w:r>
            <w:r w:rsidR="00535694">
              <w:rPr>
                <w:noProof/>
                <w:webHidden/>
              </w:rPr>
              <w:instrText xml:space="preserve"> PAGEREF _Toc25740088 \h </w:instrText>
            </w:r>
            <w:r w:rsidR="00535694">
              <w:rPr>
                <w:noProof/>
                <w:webHidden/>
              </w:rPr>
            </w:r>
            <w:r w:rsidR="00535694">
              <w:rPr>
                <w:noProof/>
                <w:webHidden/>
              </w:rPr>
              <w:fldChar w:fldCharType="separate"/>
            </w:r>
            <w:r w:rsidR="00535694">
              <w:rPr>
                <w:noProof/>
                <w:webHidden/>
              </w:rPr>
              <w:t>27</w:t>
            </w:r>
            <w:r w:rsidR="00535694">
              <w:rPr>
                <w:noProof/>
                <w:webHidden/>
              </w:rPr>
              <w:fldChar w:fldCharType="end"/>
            </w:r>
          </w:hyperlink>
        </w:p>
        <w:p w14:paraId="3562AA6E" w14:textId="74A39750" w:rsidR="00535694" w:rsidRDefault="001B2549">
          <w:pPr>
            <w:pStyle w:val="TOC1"/>
            <w:rPr>
              <w:rFonts w:asciiTheme="minorHAnsi" w:eastAsiaTheme="minorEastAsia" w:hAnsiTheme="minorHAnsi" w:cstheme="minorBidi"/>
              <w:b w:val="0"/>
              <w:noProof/>
              <w:color w:val="auto"/>
              <w:szCs w:val="24"/>
              <w:lang w:val="it-IT" w:eastAsia="it-IT"/>
            </w:rPr>
          </w:pPr>
          <w:hyperlink w:anchor="_Toc25740089" w:history="1">
            <w:r w:rsidR="00535694" w:rsidRPr="00BE1365">
              <w:rPr>
                <w:rStyle w:val="Hyperlink"/>
                <w:rFonts w:cs="Open Sans"/>
                <w:iCs/>
                <w:noProof/>
              </w:rPr>
              <w:t>10</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iCs/>
                <w:noProof/>
              </w:rPr>
              <w:t>Recommendations</w:t>
            </w:r>
            <w:r w:rsidR="00535694">
              <w:rPr>
                <w:noProof/>
                <w:webHidden/>
              </w:rPr>
              <w:tab/>
            </w:r>
            <w:r w:rsidR="00535694">
              <w:rPr>
                <w:noProof/>
                <w:webHidden/>
              </w:rPr>
              <w:fldChar w:fldCharType="begin"/>
            </w:r>
            <w:r w:rsidR="00535694">
              <w:rPr>
                <w:noProof/>
                <w:webHidden/>
              </w:rPr>
              <w:instrText xml:space="preserve"> PAGEREF _Toc25740089 \h </w:instrText>
            </w:r>
            <w:r w:rsidR="00535694">
              <w:rPr>
                <w:noProof/>
                <w:webHidden/>
              </w:rPr>
            </w:r>
            <w:r w:rsidR="00535694">
              <w:rPr>
                <w:noProof/>
                <w:webHidden/>
              </w:rPr>
              <w:fldChar w:fldCharType="separate"/>
            </w:r>
            <w:r w:rsidR="00535694">
              <w:rPr>
                <w:noProof/>
                <w:webHidden/>
              </w:rPr>
              <w:t>30</w:t>
            </w:r>
            <w:r w:rsidR="00535694">
              <w:rPr>
                <w:noProof/>
                <w:webHidden/>
              </w:rPr>
              <w:fldChar w:fldCharType="end"/>
            </w:r>
          </w:hyperlink>
        </w:p>
        <w:p w14:paraId="253110C2" w14:textId="46227D64" w:rsidR="00535694" w:rsidRDefault="001B2549" w:rsidP="00CF56C9">
          <w:pPr>
            <w:pStyle w:val="TOC3"/>
            <w:rPr>
              <w:rFonts w:asciiTheme="minorHAnsi" w:eastAsiaTheme="minorEastAsia" w:hAnsiTheme="minorHAnsi" w:cstheme="minorBidi"/>
              <w:color w:val="auto"/>
              <w:szCs w:val="24"/>
              <w:lang w:val="it-IT" w:eastAsia="it-IT"/>
            </w:rPr>
          </w:pPr>
          <w:hyperlink w:anchor="_Toc25740090" w:history="1">
            <w:r w:rsidR="00535694" w:rsidRPr="00BE1365">
              <w:rPr>
                <w:rStyle w:val="Hyperlink"/>
                <w:rFonts w:cs="Open Sans"/>
                <w:iCs/>
              </w:rPr>
              <w:t>a)</w:t>
            </w:r>
            <w:r w:rsidR="00535694">
              <w:rPr>
                <w:rFonts w:asciiTheme="minorHAnsi" w:eastAsiaTheme="minorEastAsia" w:hAnsiTheme="minorHAnsi" w:cstheme="minorBidi"/>
                <w:color w:val="auto"/>
                <w:szCs w:val="24"/>
                <w:lang w:val="it-IT" w:eastAsia="it-IT"/>
              </w:rPr>
              <w:tab/>
            </w:r>
            <w:r w:rsidR="00535694" w:rsidRPr="00BE1365">
              <w:rPr>
                <w:rStyle w:val="Hyperlink"/>
                <w:rFonts w:cs="Open Sans"/>
                <w:iCs/>
              </w:rPr>
              <w:t>a personalised assessment of the existence and/or extent of any such risk, including a detailed description of the nature of the risk and of the evidence and reasons leading to the assessment</w:t>
            </w:r>
            <w:r w:rsidR="00535694">
              <w:rPr>
                <w:webHidden/>
              </w:rPr>
              <w:tab/>
            </w:r>
            <w:r w:rsidR="00535694">
              <w:rPr>
                <w:webHidden/>
              </w:rPr>
              <w:fldChar w:fldCharType="begin"/>
            </w:r>
            <w:r w:rsidR="00535694">
              <w:rPr>
                <w:webHidden/>
              </w:rPr>
              <w:instrText xml:space="preserve"> PAGEREF _Toc25740090 \h </w:instrText>
            </w:r>
            <w:r w:rsidR="00535694">
              <w:rPr>
                <w:webHidden/>
              </w:rPr>
            </w:r>
            <w:r w:rsidR="00535694">
              <w:rPr>
                <w:webHidden/>
              </w:rPr>
              <w:fldChar w:fldCharType="separate"/>
            </w:r>
            <w:r w:rsidR="00535694">
              <w:rPr>
                <w:webHidden/>
              </w:rPr>
              <w:t>31</w:t>
            </w:r>
            <w:r w:rsidR="00535694">
              <w:rPr>
                <w:webHidden/>
              </w:rPr>
              <w:fldChar w:fldCharType="end"/>
            </w:r>
          </w:hyperlink>
        </w:p>
        <w:p w14:paraId="665CB14D" w14:textId="746E3985" w:rsidR="00535694" w:rsidRDefault="001B2549" w:rsidP="00CF56C9">
          <w:pPr>
            <w:pStyle w:val="TOC3"/>
            <w:rPr>
              <w:rFonts w:asciiTheme="minorHAnsi" w:eastAsiaTheme="minorEastAsia" w:hAnsiTheme="minorHAnsi" w:cstheme="minorBidi"/>
              <w:color w:val="auto"/>
              <w:szCs w:val="24"/>
              <w:lang w:val="it-IT" w:eastAsia="it-IT"/>
            </w:rPr>
          </w:pPr>
          <w:hyperlink w:anchor="_Toc25740091" w:history="1">
            <w:r w:rsidR="00535694" w:rsidRPr="00BE1365">
              <w:rPr>
                <w:rStyle w:val="Hyperlink"/>
                <w:rFonts w:cs="Open Sans"/>
                <w:iCs/>
              </w:rPr>
              <w:t>b)</w:t>
            </w:r>
            <w:r w:rsidR="00535694">
              <w:rPr>
                <w:rFonts w:asciiTheme="minorHAnsi" w:eastAsiaTheme="minorEastAsia" w:hAnsiTheme="minorHAnsi" w:cstheme="minorBidi"/>
                <w:color w:val="auto"/>
                <w:szCs w:val="24"/>
                <w:lang w:val="it-IT" w:eastAsia="it-IT"/>
              </w:rPr>
              <w:tab/>
            </w:r>
            <w:r w:rsidR="00535694" w:rsidRPr="00BE1365">
              <w:rPr>
                <w:rStyle w:val="Hyperlink"/>
                <w:rFonts w:cs="Open Sans"/>
                <w:iCs/>
              </w:rPr>
              <w:t>a description of what measures might be implemented to ameliorate any risk in the event Mr Anees were allowed to reside in the community, for example the imposition of conditions such as a requirement to reside at a specified location, curfews, travel restrictions, reporting requirements or a surety</w:t>
            </w:r>
            <w:r w:rsidR="00535694">
              <w:rPr>
                <w:webHidden/>
              </w:rPr>
              <w:tab/>
            </w:r>
            <w:r w:rsidR="00535694">
              <w:rPr>
                <w:webHidden/>
              </w:rPr>
              <w:fldChar w:fldCharType="begin"/>
            </w:r>
            <w:r w:rsidR="00535694">
              <w:rPr>
                <w:webHidden/>
              </w:rPr>
              <w:instrText xml:space="preserve"> PAGEREF _Toc25740091 \h </w:instrText>
            </w:r>
            <w:r w:rsidR="00535694">
              <w:rPr>
                <w:webHidden/>
              </w:rPr>
            </w:r>
            <w:r w:rsidR="00535694">
              <w:rPr>
                <w:webHidden/>
              </w:rPr>
              <w:fldChar w:fldCharType="separate"/>
            </w:r>
            <w:r w:rsidR="00535694">
              <w:rPr>
                <w:webHidden/>
              </w:rPr>
              <w:t>31</w:t>
            </w:r>
            <w:r w:rsidR="00535694">
              <w:rPr>
                <w:webHidden/>
              </w:rPr>
              <w:fldChar w:fldCharType="end"/>
            </w:r>
          </w:hyperlink>
        </w:p>
        <w:p w14:paraId="0D0AB41D" w14:textId="49557C07" w:rsidR="00535694" w:rsidRDefault="001B2549" w:rsidP="00CF56C9">
          <w:pPr>
            <w:pStyle w:val="TOC3"/>
            <w:rPr>
              <w:rFonts w:asciiTheme="minorHAnsi" w:eastAsiaTheme="minorEastAsia" w:hAnsiTheme="minorHAnsi" w:cstheme="minorBidi"/>
              <w:color w:val="auto"/>
              <w:szCs w:val="24"/>
              <w:lang w:val="it-IT" w:eastAsia="it-IT"/>
            </w:rPr>
          </w:pPr>
          <w:hyperlink w:anchor="_Toc25740092" w:history="1">
            <w:r w:rsidR="00535694" w:rsidRPr="00BE1365">
              <w:rPr>
                <w:rStyle w:val="Hyperlink"/>
                <w:rFonts w:cs="Open Sans"/>
                <w:iCs/>
              </w:rPr>
              <w:t>c)</w:t>
            </w:r>
            <w:r w:rsidR="00535694">
              <w:rPr>
                <w:rFonts w:asciiTheme="minorHAnsi" w:eastAsiaTheme="minorEastAsia" w:hAnsiTheme="minorHAnsi" w:cstheme="minorBidi"/>
                <w:color w:val="auto"/>
                <w:szCs w:val="24"/>
                <w:lang w:val="it-IT" w:eastAsia="it-IT"/>
              </w:rPr>
              <w:tab/>
            </w:r>
            <w:r w:rsidR="00535694" w:rsidRPr="00BE1365">
              <w:rPr>
                <w:rStyle w:val="Hyperlink"/>
                <w:rFonts w:cs="Open Sans"/>
                <w:iCs/>
              </w:rPr>
              <w:t>an assessment of whether any risk, if present, could be satisfactorily addressed by the identified measures.</w:t>
            </w:r>
            <w:r w:rsidR="00535694">
              <w:rPr>
                <w:webHidden/>
              </w:rPr>
              <w:tab/>
            </w:r>
            <w:r w:rsidR="00535694">
              <w:rPr>
                <w:webHidden/>
              </w:rPr>
              <w:fldChar w:fldCharType="begin"/>
            </w:r>
            <w:r w:rsidR="00535694">
              <w:rPr>
                <w:webHidden/>
              </w:rPr>
              <w:instrText xml:space="preserve"> PAGEREF _Toc25740092 \h </w:instrText>
            </w:r>
            <w:r w:rsidR="00535694">
              <w:rPr>
                <w:webHidden/>
              </w:rPr>
            </w:r>
            <w:r w:rsidR="00535694">
              <w:rPr>
                <w:webHidden/>
              </w:rPr>
              <w:fldChar w:fldCharType="separate"/>
            </w:r>
            <w:r w:rsidR="00535694">
              <w:rPr>
                <w:webHidden/>
              </w:rPr>
              <w:t>31</w:t>
            </w:r>
            <w:r w:rsidR="00535694">
              <w:rPr>
                <w:webHidden/>
              </w:rPr>
              <w:fldChar w:fldCharType="end"/>
            </w:r>
          </w:hyperlink>
        </w:p>
        <w:p w14:paraId="6EAC678B" w14:textId="173A4E57" w:rsidR="00535694" w:rsidRDefault="001B2549">
          <w:pPr>
            <w:pStyle w:val="TOC1"/>
            <w:rPr>
              <w:rFonts w:asciiTheme="minorHAnsi" w:eastAsiaTheme="minorEastAsia" w:hAnsiTheme="minorHAnsi" w:cstheme="minorBidi"/>
              <w:b w:val="0"/>
              <w:noProof/>
              <w:color w:val="auto"/>
              <w:szCs w:val="24"/>
              <w:lang w:val="it-IT" w:eastAsia="it-IT"/>
            </w:rPr>
          </w:pPr>
          <w:hyperlink w:anchor="_Toc25740093" w:history="1">
            <w:r w:rsidR="00535694" w:rsidRPr="00BE1365">
              <w:rPr>
                <w:rStyle w:val="Hyperlink"/>
                <w:rFonts w:cs="Open Sans"/>
                <w:noProof/>
              </w:rPr>
              <w:t>11</w:t>
            </w:r>
            <w:r w:rsidR="00535694">
              <w:rPr>
                <w:rFonts w:asciiTheme="minorHAnsi" w:eastAsiaTheme="minorEastAsia" w:hAnsiTheme="minorHAnsi" w:cstheme="minorBidi"/>
                <w:b w:val="0"/>
                <w:noProof/>
                <w:color w:val="auto"/>
                <w:szCs w:val="24"/>
                <w:lang w:val="it-IT" w:eastAsia="it-IT"/>
              </w:rPr>
              <w:tab/>
            </w:r>
            <w:r w:rsidR="00535694" w:rsidRPr="00BE1365">
              <w:rPr>
                <w:rStyle w:val="Hyperlink"/>
                <w:rFonts w:cs="Open Sans"/>
                <w:noProof/>
              </w:rPr>
              <w:t>The department’s response to my findings and recommendations</w:t>
            </w:r>
            <w:r w:rsidR="00535694">
              <w:rPr>
                <w:noProof/>
                <w:webHidden/>
              </w:rPr>
              <w:tab/>
            </w:r>
            <w:r w:rsidR="00535694">
              <w:rPr>
                <w:noProof/>
                <w:webHidden/>
              </w:rPr>
              <w:fldChar w:fldCharType="begin"/>
            </w:r>
            <w:r w:rsidR="00535694">
              <w:rPr>
                <w:noProof/>
                <w:webHidden/>
              </w:rPr>
              <w:instrText xml:space="preserve"> PAGEREF _Toc25740093 \h </w:instrText>
            </w:r>
            <w:r w:rsidR="00535694">
              <w:rPr>
                <w:noProof/>
                <w:webHidden/>
              </w:rPr>
            </w:r>
            <w:r w:rsidR="00535694">
              <w:rPr>
                <w:noProof/>
                <w:webHidden/>
              </w:rPr>
              <w:fldChar w:fldCharType="separate"/>
            </w:r>
            <w:r w:rsidR="00535694">
              <w:rPr>
                <w:noProof/>
                <w:webHidden/>
              </w:rPr>
              <w:t>31</w:t>
            </w:r>
            <w:r w:rsidR="00535694">
              <w:rPr>
                <w:noProof/>
                <w:webHidden/>
              </w:rPr>
              <w:fldChar w:fldCharType="end"/>
            </w:r>
          </w:hyperlink>
        </w:p>
        <w:p w14:paraId="75C238AB" w14:textId="670D2360" w:rsidR="00AF6BA2" w:rsidRPr="00582D1B" w:rsidRDefault="00AF6BA2" w:rsidP="00582D1B">
          <w:pPr>
            <w:spacing w:before="0"/>
            <w:rPr>
              <w:rFonts w:cs="Open Sans"/>
            </w:rPr>
          </w:pPr>
          <w:r w:rsidRPr="005A6602">
            <w:rPr>
              <w:rFonts w:cs="Open Sans"/>
              <w:b/>
              <w:bCs/>
              <w:noProof/>
              <w:szCs w:val="24"/>
            </w:rPr>
            <w:fldChar w:fldCharType="end"/>
          </w:r>
        </w:p>
      </w:sdtContent>
    </w:sdt>
    <w:p w14:paraId="75C238AD" w14:textId="3E43F99F" w:rsidR="00BB2301" w:rsidRPr="005A6602" w:rsidRDefault="00BB2301" w:rsidP="00BB2301">
      <w:pPr>
        <w:pStyle w:val="Heading1"/>
        <w:tabs>
          <w:tab w:val="clear" w:pos="851"/>
          <w:tab w:val="num" w:pos="709"/>
        </w:tabs>
        <w:rPr>
          <w:rFonts w:cs="Open Sans"/>
          <w:sz w:val="36"/>
          <w:szCs w:val="36"/>
        </w:rPr>
      </w:pPr>
      <w:bookmarkStart w:id="0" w:name="_Toc426989314"/>
      <w:bookmarkStart w:id="1" w:name="_Toc5183411"/>
      <w:bookmarkStart w:id="2" w:name="_Toc25740068"/>
      <w:r w:rsidRPr="005A6602">
        <w:rPr>
          <w:rFonts w:cs="Open Sans"/>
          <w:sz w:val="36"/>
          <w:szCs w:val="36"/>
        </w:rPr>
        <w:lastRenderedPageBreak/>
        <w:t>Introduction</w:t>
      </w:r>
      <w:bookmarkEnd w:id="0"/>
      <w:bookmarkEnd w:id="1"/>
      <w:bookmarkEnd w:id="2"/>
    </w:p>
    <w:p w14:paraId="60A0F76E" w14:textId="099C232D" w:rsidR="00A55ED6" w:rsidRPr="00E95FE0" w:rsidRDefault="00A55ED6" w:rsidP="00A55ED6">
      <w:pPr>
        <w:numPr>
          <w:ilvl w:val="0"/>
          <w:numId w:val="16"/>
        </w:numPr>
        <w:rPr>
          <w:rFonts w:cs="Open Sans"/>
          <w:szCs w:val="24"/>
        </w:rPr>
      </w:pPr>
      <w:bookmarkStart w:id="3" w:name="_Toc430854474"/>
      <w:bookmarkStart w:id="4" w:name="_Toc435187441"/>
      <w:bookmarkStart w:id="5" w:name="_Toc453855975"/>
      <w:bookmarkStart w:id="6" w:name="_Toc453856985"/>
      <w:bookmarkStart w:id="7" w:name="_Toc452472690"/>
      <w:bookmarkStart w:id="8" w:name="_Toc487445597"/>
      <w:bookmarkStart w:id="9" w:name="_Toc487531382"/>
      <w:bookmarkStart w:id="10" w:name="_Toc487531401"/>
      <w:bookmarkStart w:id="11" w:name="_Toc487531471"/>
      <w:bookmarkStart w:id="12" w:name="_Toc487531591"/>
      <w:bookmarkStart w:id="13" w:name="_Toc500246038"/>
      <w:bookmarkStart w:id="14" w:name="_Toc5183412"/>
      <w:r w:rsidRPr="00E95FE0">
        <w:rPr>
          <w:rFonts w:cs="Open Sans"/>
          <w:szCs w:val="24"/>
        </w:rPr>
        <w:t xml:space="preserve">This is a </w:t>
      </w:r>
      <w:r w:rsidR="000F51E3">
        <w:rPr>
          <w:rFonts w:cs="Open Sans"/>
          <w:szCs w:val="24"/>
        </w:rPr>
        <w:t>report</w:t>
      </w:r>
      <w:r w:rsidRPr="00E95FE0">
        <w:rPr>
          <w:rFonts w:cs="Open Sans"/>
          <w:szCs w:val="24"/>
        </w:rPr>
        <w:t xml:space="preserve"> setting out the findings of the Australian Human Rights Commission (Commission) following an inquiry into a complaint by </w:t>
      </w:r>
      <w:bookmarkEnd w:id="3"/>
      <w:bookmarkEnd w:id="4"/>
      <w:bookmarkEnd w:id="5"/>
      <w:bookmarkEnd w:id="6"/>
      <w:r w:rsidRPr="00E95FE0">
        <w:rPr>
          <w:rFonts w:cs="Open Sans"/>
          <w:szCs w:val="24"/>
        </w:rPr>
        <w:t xml:space="preserve">Mr Nauroze Anees against the Commonwealth of Australia, Department of Home Affairs (Department) alleging a breach of his human rights. </w:t>
      </w:r>
    </w:p>
    <w:p w14:paraId="1A411B4B" w14:textId="77777777" w:rsidR="00A55ED6" w:rsidRPr="00E95FE0" w:rsidRDefault="00A55ED6" w:rsidP="00A55ED6">
      <w:pPr>
        <w:numPr>
          <w:ilvl w:val="0"/>
          <w:numId w:val="16"/>
        </w:numPr>
        <w:rPr>
          <w:rFonts w:cs="Open Sans"/>
          <w:szCs w:val="24"/>
        </w:rPr>
      </w:pPr>
      <w:r w:rsidRPr="00E95FE0">
        <w:rPr>
          <w:rFonts w:cs="Open Sans"/>
          <w:szCs w:val="24"/>
        </w:rPr>
        <w:t xml:space="preserve">Mr Anees arrived in Australia on a Student visa in 2007. His application for a Partner visa was refused in 2016 under s 501(1) of the </w:t>
      </w:r>
      <w:r w:rsidRPr="00E95FE0">
        <w:rPr>
          <w:rFonts w:cs="Open Sans"/>
          <w:i/>
          <w:szCs w:val="24"/>
        </w:rPr>
        <w:t>Migration Act 1958</w:t>
      </w:r>
      <w:r w:rsidRPr="00E95FE0">
        <w:rPr>
          <w:rFonts w:cs="Open Sans"/>
          <w:szCs w:val="24"/>
        </w:rPr>
        <w:t xml:space="preserve"> (</w:t>
      </w:r>
      <w:proofErr w:type="spellStart"/>
      <w:r w:rsidRPr="00E95FE0">
        <w:rPr>
          <w:rFonts w:cs="Open Sans"/>
          <w:szCs w:val="24"/>
        </w:rPr>
        <w:t>Cth</w:t>
      </w:r>
      <w:proofErr w:type="spellEnd"/>
      <w:r w:rsidRPr="00E95FE0">
        <w:rPr>
          <w:rFonts w:cs="Open Sans"/>
          <w:szCs w:val="24"/>
        </w:rPr>
        <w:t xml:space="preserve">) (Migration Act). Since October 2016, he has been held in closed detention in various immigration detention facilities. He complains that his detention has been arbitrary, and therefore inconsistent with or contrary to article 9(1) of the </w:t>
      </w:r>
      <w:r w:rsidRPr="00E95FE0">
        <w:rPr>
          <w:rFonts w:cs="Open Sans"/>
          <w:i/>
          <w:szCs w:val="24"/>
        </w:rPr>
        <w:t>International Covenant on Civil and Political Rights</w:t>
      </w:r>
      <w:r w:rsidRPr="00E95FE0">
        <w:rPr>
          <w:rFonts w:cs="Open Sans"/>
          <w:szCs w:val="24"/>
        </w:rPr>
        <w:t xml:space="preserve"> (ICCPR).</w:t>
      </w:r>
      <w:r w:rsidRPr="00E95FE0">
        <w:rPr>
          <w:rStyle w:val="EndnoteReference"/>
          <w:rFonts w:ascii="Open Sans" w:hAnsi="Open Sans" w:cs="Open Sans"/>
          <w:szCs w:val="24"/>
        </w:rPr>
        <w:endnoteReference w:id="2"/>
      </w:r>
      <w:r w:rsidRPr="00E95FE0">
        <w:rPr>
          <w:rFonts w:cs="Open Sans"/>
          <w:szCs w:val="24"/>
        </w:rPr>
        <w:t xml:space="preserve"> Mr Anees also complains that his detention has resulted in arbitrary interference with his family contrary to articles 17(1) and 23(1) of the ICCPR.</w:t>
      </w:r>
    </w:p>
    <w:p w14:paraId="4EC0C80A" w14:textId="77777777" w:rsidR="00A55ED6" w:rsidRPr="00E95FE0" w:rsidRDefault="00A55ED6" w:rsidP="00A55ED6">
      <w:pPr>
        <w:numPr>
          <w:ilvl w:val="0"/>
          <w:numId w:val="16"/>
        </w:numPr>
        <w:rPr>
          <w:rFonts w:cs="Open Sans"/>
          <w:szCs w:val="24"/>
        </w:rPr>
      </w:pPr>
      <w:r w:rsidRPr="00E95FE0">
        <w:rPr>
          <w:rFonts w:cs="Open Sans"/>
          <w:szCs w:val="24"/>
        </w:rPr>
        <w:t>Mr Anees alleges that he was sexually assaulted by a Serco officer, inconsistent with or contrary to article 10(1) of the ICCPR.</w:t>
      </w:r>
    </w:p>
    <w:p w14:paraId="54C6FF86" w14:textId="77777777" w:rsidR="00A55ED6" w:rsidRPr="00E95FE0" w:rsidRDefault="00A55ED6" w:rsidP="00A55ED6">
      <w:pPr>
        <w:pStyle w:val="SubmissionNormal"/>
        <w:numPr>
          <w:ilvl w:val="0"/>
          <w:numId w:val="16"/>
        </w:numPr>
        <w:spacing w:before="240" w:after="240"/>
        <w:rPr>
          <w:rFonts w:cs="Open Sans"/>
        </w:rPr>
      </w:pPr>
      <w:r w:rsidRPr="00E95FE0">
        <w:rPr>
          <w:rFonts w:cs="Open Sans"/>
        </w:rPr>
        <w:t xml:space="preserve">This inquiry has been undertaken pursuant to s 11(1)(f) of the </w:t>
      </w:r>
      <w:r w:rsidRPr="00E95FE0">
        <w:rPr>
          <w:rFonts w:cs="Open Sans"/>
          <w:i/>
        </w:rPr>
        <w:t xml:space="preserve">Australian Human Rights Commission Act 1986 </w:t>
      </w:r>
      <w:r w:rsidRPr="00E95FE0">
        <w:rPr>
          <w:rFonts w:cs="Open Sans"/>
        </w:rPr>
        <w:t>(</w:t>
      </w:r>
      <w:proofErr w:type="spellStart"/>
      <w:r w:rsidRPr="00E95FE0">
        <w:rPr>
          <w:rFonts w:cs="Open Sans"/>
        </w:rPr>
        <w:t>Cth</w:t>
      </w:r>
      <w:proofErr w:type="spellEnd"/>
      <w:r w:rsidRPr="00E95FE0">
        <w:rPr>
          <w:rFonts w:cs="Open Sans"/>
        </w:rPr>
        <w:t>) (AHRC Act)</w:t>
      </w:r>
      <w:r w:rsidRPr="00E95FE0">
        <w:rPr>
          <w:rFonts w:cs="Open Sans"/>
          <w:i/>
        </w:rPr>
        <w:t xml:space="preserve">. </w:t>
      </w:r>
    </w:p>
    <w:p w14:paraId="75C238B0" w14:textId="107B0741" w:rsidR="00BB2301" w:rsidRPr="005A6602" w:rsidRDefault="00460AF8" w:rsidP="00BB2301">
      <w:pPr>
        <w:pStyle w:val="Heading1"/>
        <w:tabs>
          <w:tab w:val="clear" w:pos="851"/>
          <w:tab w:val="num" w:pos="709"/>
        </w:tabs>
        <w:rPr>
          <w:rFonts w:cs="Open Sans"/>
          <w:sz w:val="36"/>
          <w:szCs w:val="36"/>
        </w:rPr>
      </w:pPr>
      <w:bookmarkStart w:id="15" w:name="_Toc25740069"/>
      <w:bookmarkEnd w:id="7"/>
      <w:bookmarkEnd w:id="8"/>
      <w:bookmarkEnd w:id="9"/>
      <w:bookmarkEnd w:id="10"/>
      <w:bookmarkEnd w:id="11"/>
      <w:bookmarkEnd w:id="12"/>
      <w:bookmarkEnd w:id="13"/>
      <w:bookmarkEnd w:id="14"/>
      <w:r w:rsidRPr="005A6602">
        <w:rPr>
          <w:rFonts w:cs="Open Sans"/>
          <w:sz w:val="36"/>
          <w:szCs w:val="36"/>
        </w:rPr>
        <w:t>Summary of findings and recommendations</w:t>
      </w:r>
      <w:bookmarkEnd w:id="15"/>
    </w:p>
    <w:p w14:paraId="67506775" w14:textId="77777777" w:rsidR="008B260C" w:rsidRPr="00E95FE0" w:rsidRDefault="008B260C" w:rsidP="008B260C">
      <w:pPr>
        <w:numPr>
          <w:ilvl w:val="0"/>
          <w:numId w:val="16"/>
        </w:numPr>
        <w:tabs>
          <w:tab w:val="clear" w:pos="720"/>
          <w:tab w:val="num" w:pos="1080"/>
        </w:tabs>
        <w:rPr>
          <w:rFonts w:cs="Open Sans"/>
        </w:rPr>
      </w:pPr>
      <w:bookmarkStart w:id="16" w:name="_Toc496011577"/>
      <w:bookmarkStart w:id="17" w:name="_Toc5183413"/>
      <w:r w:rsidRPr="00E95FE0">
        <w:rPr>
          <w:rFonts w:cs="Open Sans"/>
          <w:szCs w:val="24"/>
        </w:rPr>
        <w:t>As a result of this inquiry, I find the following:</w:t>
      </w:r>
    </w:p>
    <w:p w14:paraId="129DF3DC" w14:textId="77777777" w:rsidR="008B260C" w:rsidRPr="00E95FE0" w:rsidRDefault="008B260C" w:rsidP="009F49EA">
      <w:pPr>
        <w:pStyle w:val="ListParagraph"/>
        <w:numPr>
          <w:ilvl w:val="0"/>
          <w:numId w:val="23"/>
        </w:numPr>
        <w:spacing w:before="240" w:after="240"/>
        <w:contextualSpacing w:val="0"/>
        <w:rPr>
          <w:rFonts w:cs="Open Sans"/>
        </w:rPr>
      </w:pPr>
      <w:r w:rsidRPr="00E95FE0">
        <w:rPr>
          <w:rFonts w:cs="Open Sans"/>
        </w:rPr>
        <w:t xml:space="preserve">The Department’s </w:t>
      </w:r>
      <w:r>
        <w:rPr>
          <w:rFonts w:cs="Open Sans"/>
        </w:rPr>
        <w:t>omission</w:t>
      </w:r>
      <w:r w:rsidRPr="00E95FE0">
        <w:rPr>
          <w:rFonts w:cs="Open Sans"/>
        </w:rPr>
        <w:t xml:space="preserve"> to refer Mr Anees’ case to the Minister for consideration of his discretionary intervention powers until 19 October 2018, and the Minister’s failure to consider exercising his power to make a residence determination under s 197AB or grant Mr Anees a visa under s 195A of the Migration Act, were acts that were, taken together, inconsistent with or contrary to article 9(1) of the ICCPR.</w:t>
      </w:r>
    </w:p>
    <w:p w14:paraId="50A0F82B" w14:textId="77777777" w:rsidR="008B260C" w:rsidRPr="00E95FE0" w:rsidRDefault="008B260C" w:rsidP="009F49EA">
      <w:pPr>
        <w:pStyle w:val="ListParagraph"/>
        <w:numPr>
          <w:ilvl w:val="0"/>
          <w:numId w:val="23"/>
        </w:numPr>
        <w:spacing w:before="240" w:after="240"/>
        <w:contextualSpacing w:val="0"/>
        <w:rPr>
          <w:rFonts w:cs="Open Sans"/>
        </w:rPr>
      </w:pPr>
      <w:r w:rsidRPr="00E95FE0">
        <w:rPr>
          <w:rFonts w:cs="Open Sans"/>
        </w:rPr>
        <w:t>The detention of Mr Anees interfered with his family and family life contrary to articles 17(1) and 23(1) of the ICCPR.</w:t>
      </w:r>
    </w:p>
    <w:p w14:paraId="4A5D5AC5" w14:textId="77777777" w:rsidR="008B260C" w:rsidRPr="00E95FE0" w:rsidRDefault="008B260C" w:rsidP="009F49EA">
      <w:pPr>
        <w:pStyle w:val="ListParagraph"/>
        <w:numPr>
          <w:ilvl w:val="0"/>
          <w:numId w:val="23"/>
        </w:numPr>
        <w:spacing w:before="240" w:after="240"/>
        <w:contextualSpacing w:val="0"/>
        <w:rPr>
          <w:rFonts w:cs="Open Sans"/>
        </w:rPr>
      </w:pPr>
      <w:r w:rsidRPr="00E95FE0">
        <w:rPr>
          <w:rFonts w:cs="Open Sans"/>
        </w:rPr>
        <w:t>The act of sexual assault as alleged by Mr Anees has not been established.</w:t>
      </w:r>
    </w:p>
    <w:p w14:paraId="7A70068A" w14:textId="77777777" w:rsidR="008B260C" w:rsidRPr="00E95FE0" w:rsidRDefault="008B260C" w:rsidP="008B260C">
      <w:pPr>
        <w:numPr>
          <w:ilvl w:val="0"/>
          <w:numId w:val="16"/>
        </w:numPr>
        <w:tabs>
          <w:tab w:val="clear" w:pos="720"/>
          <w:tab w:val="num" w:pos="1080"/>
        </w:tabs>
        <w:rPr>
          <w:rFonts w:cs="Open Sans"/>
        </w:rPr>
      </w:pPr>
      <w:r w:rsidRPr="00E95FE0">
        <w:rPr>
          <w:rFonts w:cs="Open Sans"/>
        </w:rPr>
        <w:t xml:space="preserve">In its response to the Commission’s preliminary view in this matter, the Department noted that it mistakenly advised the Minister that Mr Anees was subject to an Intervention Violence Order, which had been struck out. As a result, the Department advised that it will refer Mr Anees’ case to the Minister under ss 195A and 197AB of the Act. </w:t>
      </w:r>
    </w:p>
    <w:p w14:paraId="36B7C735" w14:textId="77777777" w:rsidR="008B260C" w:rsidRPr="00E95FE0" w:rsidRDefault="008B260C" w:rsidP="008B260C">
      <w:pPr>
        <w:numPr>
          <w:ilvl w:val="0"/>
          <w:numId w:val="16"/>
        </w:numPr>
        <w:tabs>
          <w:tab w:val="clear" w:pos="720"/>
          <w:tab w:val="num" w:pos="1080"/>
        </w:tabs>
        <w:rPr>
          <w:rFonts w:cs="Open Sans"/>
        </w:rPr>
      </w:pPr>
      <w:r w:rsidRPr="00E95FE0">
        <w:rPr>
          <w:rFonts w:cs="Open Sans"/>
        </w:rPr>
        <w:lastRenderedPageBreak/>
        <w:t>I recommend that the Minister consider exercising his powers in a manner consistent with the findings set out in this notice.</w:t>
      </w:r>
    </w:p>
    <w:p w14:paraId="43620575" w14:textId="7ECF5B79" w:rsidR="008B260C" w:rsidRPr="00E95FE0" w:rsidRDefault="008B260C" w:rsidP="008B260C">
      <w:pPr>
        <w:pStyle w:val="ListParagraph"/>
        <w:numPr>
          <w:ilvl w:val="0"/>
          <w:numId w:val="16"/>
        </w:numPr>
        <w:spacing w:before="240" w:after="240"/>
        <w:contextualSpacing w:val="0"/>
        <w:rPr>
          <w:rFonts w:cs="Open Sans"/>
        </w:rPr>
      </w:pPr>
      <w:r w:rsidRPr="00E95FE0">
        <w:rPr>
          <w:rFonts w:cs="Open Sans"/>
        </w:rPr>
        <w:t>In the event that the Minister is concerned that Mr Anees may pose some real risk if allowed to reside in the community (such as a risk of re-offending),</w:t>
      </w:r>
      <w:r w:rsidR="00690355">
        <w:rPr>
          <w:rFonts w:cs="Open Sans"/>
        </w:rPr>
        <w:t xml:space="preserve"> I recommend</w:t>
      </w:r>
      <w:r w:rsidRPr="00E95FE0">
        <w:rPr>
          <w:rFonts w:cs="Open Sans"/>
        </w:rPr>
        <w:t xml:space="preserve"> he direct the Department to prepare a detailed submission including the following: </w:t>
      </w:r>
    </w:p>
    <w:p w14:paraId="2278451A" w14:textId="77777777" w:rsidR="008B260C" w:rsidRPr="00E95FE0" w:rsidRDefault="008B260C" w:rsidP="009F49EA">
      <w:pPr>
        <w:pStyle w:val="ListParagraph"/>
        <w:numPr>
          <w:ilvl w:val="0"/>
          <w:numId w:val="24"/>
        </w:numPr>
        <w:spacing w:before="240" w:after="240"/>
        <w:ind w:left="1077" w:hanging="357"/>
        <w:contextualSpacing w:val="0"/>
        <w:rPr>
          <w:rFonts w:cs="Open Sans"/>
        </w:rPr>
      </w:pPr>
      <w:r w:rsidRPr="00E95FE0">
        <w:rPr>
          <w:rFonts w:cs="Open Sans"/>
        </w:rPr>
        <w:t xml:space="preserve">a personalised assessment of the existence and/or extent of any such risk, including a detailed description of the nature of the risk and of the evidence and reasons leading to the assessment </w:t>
      </w:r>
    </w:p>
    <w:p w14:paraId="7AFFC9FD" w14:textId="77777777" w:rsidR="008B260C" w:rsidRPr="00E95FE0" w:rsidRDefault="008B260C" w:rsidP="009F49EA">
      <w:pPr>
        <w:pStyle w:val="ListParagraph"/>
        <w:numPr>
          <w:ilvl w:val="0"/>
          <w:numId w:val="24"/>
        </w:numPr>
        <w:spacing w:before="240" w:after="240"/>
        <w:ind w:left="1077" w:hanging="357"/>
        <w:contextualSpacing w:val="0"/>
        <w:rPr>
          <w:rFonts w:cs="Open Sans"/>
        </w:rPr>
      </w:pPr>
      <w:r w:rsidRPr="00E95FE0">
        <w:rPr>
          <w:rFonts w:cs="Open Sans"/>
        </w:rPr>
        <w:t xml:space="preserve">a description of what measures might be implemented to ameliorate any risk in the event Mr Anees were allowed to reside in the community, for example the imposition of conditions such as a requirement to reside at a specified location, curfews, travel restrictions, reporting requirements or a surety </w:t>
      </w:r>
    </w:p>
    <w:p w14:paraId="41F4DD0E" w14:textId="77777777" w:rsidR="008B260C" w:rsidRPr="00E95FE0" w:rsidRDefault="008B260C" w:rsidP="009F49EA">
      <w:pPr>
        <w:pStyle w:val="ListParagraph"/>
        <w:numPr>
          <w:ilvl w:val="0"/>
          <w:numId w:val="24"/>
        </w:numPr>
        <w:spacing w:before="240" w:after="240"/>
        <w:ind w:left="1077" w:hanging="357"/>
        <w:contextualSpacing w:val="0"/>
        <w:rPr>
          <w:rFonts w:cs="Open Sans"/>
        </w:rPr>
      </w:pPr>
      <w:r w:rsidRPr="00E95FE0">
        <w:rPr>
          <w:rFonts w:cs="Open Sans"/>
        </w:rPr>
        <w:t xml:space="preserve">an assessment of whether any risk, if present, could be satisfactorily addressed by the identified measures. </w:t>
      </w:r>
    </w:p>
    <w:p w14:paraId="75C238C1" w14:textId="0D8B9571" w:rsidR="00BB2301" w:rsidRPr="00CD634E" w:rsidRDefault="005324B0" w:rsidP="000F3721">
      <w:pPr>
        <w:pStyle w:val="Heading1"/>
        <w:tabs>
          <w:tab w:val="clear" w:pos="851"/>
          <w:tab w:val="num" w:pos="709"/>
        </w:tabs>
        <w:spacing w:after="0"/>
        <w:rPr>
          <w:rFonts w:cs="Open Sans"/>
          <w:sz w:val="36"/>
          <w:szCs w:val="36"/>
        </w:rPr>
      </w:pPr>
      <w:bookmarkStart w:id="18" w:name="_Toc25740070"/>
      <w:bookmarkEnd w:id="16"/>
      <w:bookmarkEnd w:id="17"/>
      <w:r>
        <w:rPr>
          <w:rFonts w:cs="Open Sans"/>
          <w:sz w:val="36"/>
          <w:szCs w:val="36"/>
        </w:rPr>
        <w:t>Background</w:t>
      </w:r>
      <w:bookmarkEnd w:id="18"/>
    </w:p>
    <w:p w14:paraId="71D05A8F" w14:textId="77777777" w:rsidR="00362BD1" w:rsidRPr="00E95FE0" w:rsidRDefault="00362BD1" w:rsidP="00362BD1">
      <w:pPr>
        <w:numPr>
          <w:ilvl w:val="0"/>
          <w:numId w:val="16"/>
        </w:numPr>
        <w:rPr>
          <w:rFonts w:cs="Open Sans"/>
          <w:szCs w:val="24"/>
        </w:rPr>
      </w:pPr>
      <w:bookmarkStart w:id="19" w:name="_Toc426989321"/>
      <w:bookmarkStart w:id="20" w:name="_Toc5183414"/>
      <w:r w:rsidRPr="00E95FE0">
        <w:rPr>
          <w:rFonts w:cs="Open Sans"/>
          <w:szCs w:val="24"/>
        </w:rPr>
        <w:t xml:space="preserve">Mr Anees is a national of Pakistan. He arrived in Australia on 20 May 2007 on a Student (Temporary) (Class TU) visa. </w:t>
      </w:r>
    </w:p>
    <w:p w14:paraId="612F26AB" w14:textId="77777777" w:rsidR="00362BD1" w:rsidRPr="00E95FE0" w:rsidRDefault="00362BD1" w:rsidP="00362BD1">
      <w:pPr>
        <w:numPr>
          <w:ilvl w:val="0"/>
          <w:numId w:val="16"/>
        </w:numPr>
        <w:rPr>
          <w:rFonts w:cs="Open Sans"/>
          <w:szCs w:val="24"/>
        </w:rPr>
      </w:pPr>
      <w:r w:rsidRPr="00E95FE0">
        <w:rPr>
          <w:rFonts w:cs="Open Sans"/>
          <w:szCs w:val="24"/>
        </w:rPr>
        <w:t xml:space="preserve">Mr Anees completed a Diploma of Commerce at Melbourne Institute of Business and Technology Pty Ltd and commenced a Bachelor of Commerce at Deakin University in 2009. </w:t>
      </w:r>
    </w:p>
    <w:p w14:paraId="68EB5EBC" w14:textId="16FF04EA" w:rsidR="00362BD1" w:rsidRPr="00E95FE0" w:rsidRDefault="00362BD1" w:rsidP="00362BD1">
      <w:pPr>
        <w:numPr>
          <w:ilvl w:val="0"/>
          <w:numId w:val="16"/>
        </w:numPr>
        <w:rPr>
          <w:rFonts w:cs="Open Sans"/>
          <w:szCs w:val="24"/>
        </w:rPr>
      </w:pPr>
      <w:r w:rsidRPr="00E95FE0">
        <w:rPr>
          <w:rFonts w:cs="Open Sans"/>
          <w:szCs w:val="24"/>
        </w:rPr>
        <w:t xml:space="preserve">In August 2008, Mr Anees met his partner Ms </w:t>
      </w:r>
      <w:r w:rsidR="00C40E58">
        <w:rPr>
          <w:rFonts w:cs="Open Sans"/>
          <w:szCs w:val="24"/>
        </w:rPr>
        <w:t>ND</w:t>
      </w:r>
      <w:r w:rsidRPr="00E95FE0">
        <w:rPr>
          <w:rFonts w:cs="Open Sans"/>
          <w:szCs w:val="24"/>
        </w:rPr>
        <w:t xml:space="preserve">. Ms </w:t>
      </w:r>
      <w:r w:rsidR="00C40E58">
        <w:rPr>
          <w:rFonts w:cs="Open Sans"/>
          <w:szCs w:val="24"/>
        </w:rPr>
        <w:t>ND</w:t>
      </w:r>
      <w:r w:rsidRPr="00E95FE0">
        <w:rPr>
          <w:rFonts w:cs="Open Sans"/>
          <w:szCs w:val="24"/>
        </w:rPr>
        <w:t xml:space="preserve"> is an Australian citizen. She has serious mental health conditions. Mr Anees chose to stop studying to provide care for her. </w:t>
      </w:r>
    </w:p>
    <w:p w14:paraId="289E52BA" w14:textId="77777777" w:rsidR="00362BD1" w:rsidRPr="00E95FE0" w:rsidRDefault="00362BD1" w:rsidP="00362BD1">
      <w:pPr>
        <w:numPr>
          <w:ilvl w:val="0"/>
          <w:numId w:val="16"/>
        </w:numPr>
        <w:rPr>
          <w:rFonts w:cs="Open Sans"/>
          <w:szCs w:val="24"/>
        </w:rPr>
      </w:pPr>
      <w:r w:rsidRPr="00E95FE0">
        <w:rPr>
          <w:rFonts w:cs="Open Sans"/>
          <w:szCs w:val="24"/>
        </w:rPr>
        <w:t>On 15 April 2011, his Student visa was cancelled for non-compliance because he was no longer enrolled as a student.</w:t>
      </w:r>
    </w:p>
    <w:p w14:paraId="5CD869C8" w14:textId="77777777" w:rsidR="00362BD1" w:rsidRPr="00E95FE0" w:rsidRDefault="00362BD1" w:rsidP="00362BD1">
      <w:pPr>
        <w:numPr>
          <w:ilvl w:val="0"/>
          <w:numId w:val="16"/>
        </w:numPr>
        <w:rPr>
          <w:rFonts w:cs="Open Sans"/>
          <w:szCs w:val="24"/>
        </w:rPr>
      </w:pPr>
      <w:r w:rsidRPr="00E95FE0">
        <w:rPr>
          <w:rFonts w:cs="Open Sans"/>
          <w:szCs w:val="24"/>
        </w:rPr>
        <w:t xml:space="preserve">Between January 2011 and October 2013, Mr Anees was convicted of a number of offences outlined in the table below. </w:t>
      </w:r>
    </w:p>
    <w:p w14:paraId="755F110B" w14:textId="77777777" w:rsidR="00362BD1" w:rsidRPr="00E95FE0" w:rsidRDefault="00362BD1" w:rsidP="00362BD1">
      <w:pPr>
        <w:numPr>
          <w:ilvl w:val="0"/>
          <w:numId w:val="16"/>
        </w:numPr>
        <w:rPr>
          <w:rFonts w:cs="Open Sans"/>
          <w:szCs w:val="24"/>
        </w:rPr>
      </w:pPr>
      <w:r w:rsidRPr="00E95FE0">
        <w:rPr>
          <w:rFonts w:cs="Open Sans"/>
          <w:szCs w:val="24"/>
        </w:rPr>
        <w:t xml:space="preserve">In August 2011, he served a 3-month prison sentence. On 25 October 2011, he was released from prison and detained under s 189(1) of the Migration Act because he was an unlawful non-citizen. </w:t>
      </w:r>
    </w:p>
    <w:p w14:paraId="5B1DC8B5" w14:textId="77777777" w:rsidR="00362BD1" w:rsidRPr="00E95FE0" w:rsidRDefault="00362BD1" w:rsidP="00362BD1">
      <w:pPr>
        <w:numPr>
          <w:ilvl w:val="0"/>
          <w:numId w:val="16"/>
        </w:numPr>
        <w:rPr>
          <w:rFonts w:cs="Open Sans"/>
          <w:szCs w:val="24"/>
        </w:rPr>
      </w:pPr>
      <w:r w:rsidRPr="00E95FE0">
        <w:rPr>
          <w:rFonts w:cs="Open Sans"/>
          <w:szCs w:val="24"/>
        </w:rPr>
        <w:lastRenderedPageBreak/>
        <w:t xml:space="preserve">On 20 January 2012, Mr Anees lodged an application for a Partner visa. On 30 January 2012, he was granted a Bridging Visa E and released into the community. </w:t>
      </w:r>
    </w:p>
    <w:p w14:paraId="20A9AF62" w14:textId="77777777" w:rsidR="00362BD1" w:rsidRPr="00E95FE0" w:rsidRDefault="00362BD1" w:rsidP="00362BD1">
      <w:pPr>
        <w:numPr>
          <w:ilvl w:val="0"/>
          <w:numId w:val="16"/>
        </w:numPr>
        <w:rPr>
          <w:rFonts w:cs="Open Sans"/>
          <w:szCs w:val="24"/>
        </w:rPr>
      </w:pPr>
      <w:r w:rsidRPr="00E95FE0">
        <w:rPr>
          <w:rFonts w:cs="Open Sans"/>
          <w:szCs w:val="24"/>
        </w:rPr>
        <w:t>His Partner visa application was initially refused on 20 November 2012 on the basis that he was not in a spousal or defacto relationship with the sponsor.</w:t>
      </w:r>
    </w:p>
    <w:p w14:paraId="28B9FE19" w14:textId="65AB1D18" w:rsidR="00362BD1" w:rsidRPr="00E95FE0" w:rsidRDefault="00362BD1" w:rsidP="00362BD1">
      <w:pPr>
        <w:numPr>
          <w:ilvl w:val="0"/>
          <w:numId w:val="16"/>
        </w:numPr>
        <w:rPr>
          <w:rFonts w:cs="Open Sans"/>
          <w:szCs w:val="24"/>
        </w:rPr>
      </w:pPr>
      <w:r w:rsidRPr="00E95FE0">
        <w:rPr>
          <w:rFonts w:cs="Open Sans"/>
          <w:szCs w:val="24"/>
        </w:rPr>
        <w:t xml:space="preserve">On 6 November 2013, the former Migration Review Tribunal remitted the decision on the basis that at the time of the visa application Mr Anees and Ms </w:t>
      </w:r>
      <w:r w:rsidR="00C40E58">
        <w:rPr>
          <w:rFonts w:cs="Open Sans"/>
          <w:szCs w:val="24"/>
        </w:rPr>
        <w:t>ND</w:t>
      </w:r>
      <w:r w:rsidRPr="00E95FE0">
        <w:rPr>
          <w:rFonts w:cs="Open Sans"/>
          <w:szCs w:val="24"/>
        </w:rPr>
        <w:t xml:space="preserve"> were in a de facto relationship.</w:t>
      </w:r>
    </w:p>
    <w:p w14:paraId="0255C11B" w14:textId="1516256C" w:rsidR="00362BD1" w:rsidRPr="00E95FE0" w:rsidRDefault="00362BD1" w:rsidP="00362BD1">
      <w:pPr>
        <w:numPr>
          <w:ilvl w:val="0"/>
          <w:numId w:val="16"/>
        </w:numPr>
        <w:rPr>
          <w:rFonts w:cs="Open Sans"/>
          <w:szCs w:val="24"/>
        </w:rPr>
      </w:pPr>
      <w:r w:rsidRPr="00E95FE0">
        <w:rPr>
          <w:rFonts w:cs="Open Sans"/>
          <w:szCs w:val="24"/>
        </w:rPr>
        <w:t xml:space="preserve">On 21 September 2016, Mr Anees’ Partner visa application was refused under s 501(1) of the Migration Act. His associated Bridging Visa E was cancelled under s 501F(3) of the Migration Act. </w:t>
      </w:r>
    </w:p>
    <w:p w14:paraId="2EDDC8E1" w14:textId="77777777" w:rsidR="00362BD1" w:rsidRPr="00E95FE0" w:rsidRDefault="00362BD1" w:rsidP="00362BD1">
      <w:pPr>
        <w:numPr>
          <w:ilvl w:val="0"/>
          <w:numId w:val="16"/>
        </w:numPr>
        <w:rPr>
          <w:rFonts w:cs="Open Sans"/>
          <w:szCs w:val="24"/>
        </w:rPr>
      </w:pPr>
      <w:r w:rsidRPr="00E95FE0">
        <w:rPr>
          <w:rFonts w:cs="Open Sans"/>
          <w:szCs w:val="24"/>
        </w:rPr>
        <w:t>Due to the cancellation of his Bridging Visa, on 5 October 2016, Mr Anees was detained at Maribyrnong Immigration Detention Centre (MIDC). He still remains in immigration detention.</w:t>
      </w:r>
    </w:p>
    <w:p w14:paraId="0D702FB1" w14:textId="77777777" w:rsidR="00362BD1" w:rsidRPr="00E95FE0" w:rsidRDefault="00362BD1" w:rsidP="00362BD1">
      <w:pPr>
        <w:numPr>
          <w:ilvl w:val="0"/>
          <w:numId w:val="16"/>
        </w:numPr>
        <w:rPr>
          <w:rFonts w:cs="Open Sans"/>
          <w:szCs w:val="24"/>
        </w:rPr>
      </w:pPr>
      <w:r w:rsidRPr="00E95FE0">
        <w:rPr>
          <w:rFonts w:cs="Open Sans"/>
          <w:szCs w:val="24"/>
        </w:rPr>
        <w:t>Mr Anees appealed the decision to refuse a Partner visa in the Administrative Appeals Tribunal (AAT). The AAT affirmed the Partner visa refusal on 23 December 2016.</w:t>
      </w:r>
    </w:p>
    <w:p w14:paraId="23E25C83" w14:textId="77777777" w:rsidR="00362BD1" w:rsidRPr="00E95FE0" w:rsidRDefault="00362BD1" w:rsidP="00362BD1">
      <w:pPr>
        <w:numPr>
          <w:ilvl w:val="0"/>
          <w:numId w:val="16"/>
        </w:numPr>
        <w:rPr>
          <w:rFonts w:cs="Open Sans"/>
          <w:szCs w:val="24"/>
        </w:rPr>
      </w:pPr>
      <w:r w:rsidRPr="00E95FE0">
        <w:rPr>
          <w:rFonts w:cs="Open Sans"/>
          <w:szCs w:val="24"/>
        </w:rPr>
        <w:t>Mr Anees appealed the decision of the AAT in the Federal Court. On 28 August 2017, the Federal Court, by consent, remitted the matter to the AAT.</w:t>
      </w:r>
    </w:p>
    <w:p w14:paraId="3E03E4CF" w14:textId="77777777" w:rsidR="00362BD1" w:rsidRPr="00E95FE0" w:rsidRDefault="00362BD1" w:rsidP="00362BD1">
      <w:pPr>
        <w:numPr>
          <w:ilvl w:val="0"/>
          <w:numId w:val="16"/>
        </w:numPr>
        <w:rPr>
          <w:rFonts w:cs="Open Sans"/>
          <w:szCs w:val="24"/>
        </w:rPr>
      </w:pPr>
      <w:r w:rsidRPr="00E95FE0">
        <w:rPr>
          <w:rFonts w:cs="Open Sans"/>
          <w:szCs w:val="24"/>
        </w:rPr>
        <w:t>On 20 June 2018, the AAT again affirmed the decision to refuse Mr Anees a Partner visa. Mr Anees appealed this decision in the Federal Court.</w:t>
      </w:r>
    </w:p>
    <w:p w14:paraId="366D9D29" w14:textId="77777777" w:rsidR="00362BD1" w:rsidRPr="00E95FE0" w:rsidRDefault="00362BD1" w:rsidP="00362BD1">
      <w:pPr>
        <w:numPr>
          <w:ilvl w:val="0"/>
          <w:numId w:val="16"/>
        </w:numPr>
        <w:rPr>
          <w:rFonts w:cs="Open Sans"/>
          <w:szCs w:val="24"/>
        </w:rPr>
      </w:pPr>
      <w:r w:rsidRPr="00E95FE0">
        <w:rPr>
          <w:rFonts w:cs="Open Sans"/>
          <w:szCs w:val="24"/>
        </w:rPr>
        <w:t>On 8 February 2019, the Federal Court dismissed Mr Anees’ appeal.</w:t>
      </w:r>
      <w:r w:rsidRPr="00E95FE0">
        <w:rPr>
          <w:rStyle w:val="EndnoteReference"/>
          <w:rFonts w:ascii="Open Sans" w:hAnsi="Open Sans" w:cs="Open Sans"/>
          <w:szCs w:val="24"/>
        </w:rPr>
        <w:endnoteReference w:id="3"/>
      </w:r>
      <w:r w:rsidRPr="00E95FE0">
        <w:rPr>
          <w:rFonts w:cs="Open Sans"/>
          <w:szCs w:val="24"/>
        </w:rPr>
        <w:t xml:space="preserve"> Mr Anees filed an application for judicial review of this decision, which remains ongoing.</w:t>
      </w:r>
    </w:p>
    <w:p w14:paraId="2632FE12" w14:textId="77777777" w:rsidR="00362BD1" w:rsidRPr="00E95FE0" w:rsidRDefault="00362BD1" w:rsidP="00362BD1">
      <w:pPr>
        <w:numPr>
          <w:ilvl w:val="0"/>
          <w:numId w:val="16"/>
        </w:numPr>
        <w:rPr>
          <w:rFonts w:cs="Open Sans"/>
          <w:szCs w:val="24"/>
        </w:rPr>
      </w:pPr>
      <w:r w:rsidRPr="00E95FE0">
        <w:rPr>
          <w:rFonts w:cs="Open Sans"/>
          <w:szCs w:val="24"/>
        </w:rPr>
        <w:t xml:space="preserve">Mr Anees’ criminal offences are outlined in the table below. </w:t>
      </w:r>
    </w:p>
    <w:tbl>
      <w:tblPr>
        <w:tblStyle w:val="TableGrid"/>
        <w:tblW w:w="8363" w:type="dxa"/>
        <w:tblInd w:w="704" w:type="dxa"/>
        <w:tblLook w:val="04A0" w:firstRow="1" w:lastRow="0" w:firstColumn="1" w:lastColumn="0" w:noHBand="0" w:noVBand="1"/>
      </w:tblPr>
      <w:tblGrid>
        <w:gridCol w:w="1491"/>
        <w:gridCol w:w="4275"/>
        <w:gridCol w:w="2597"/>
      </w:tblGrid>
      <w:tr w:rsidR="00362BD1" w:rsidRPr="00E95FE0" w14:paraId="768DBC94" w14:textId="77777777" w:rsidTr="00C40E58">
        <w:trPr>
          <w:trHeight w:val="801"/>
        </w:trPr>
        <w:tc>
          <w:tcPr>
            <w:tcW w:w="1134" w:type="dxa"/>
            <w:shd w:val="clear" w:color="auto" w:fill="D9D9D9" w:themeFill="background1" w:themeFillShade="D9"/>
          </w:tcPr>
          <w:p w14:paraId="0D49B9A8" w14:textId="77777777" w:rsidR="00362BD1" w:rsidRPr="00E95FE0" w:rsidRDefault="00362BD1" w:rsidP="00C75AE8">
            <w:pPr>
              <w:spacing w:before="80" w:after="80"/>
              <w:rPr>
                <w:rFonts w:cs="Open Sans"/>
                <w:szCs w:val="24"/>
              </w:rPr>
            </w:pPr>
            <w:r w:rsidRPr="00E95FE0">
              <w:rPr>
                <w:rFonts w:cs="Open Sans"/>
                <w:szCs w:val="24"/>
              </w:rPr>
              <w:t>Date of conviction</w:t>
            </w:r>
          </w:p>
        </w:tc>
        <w:tc>
          <w:tcPr>
            <w:tcW w:w="4538" w:type="dxa"/>
            <w:shd w:val="clear" w:color="auto" w:fill="D9D9D9" w:themeFill="background1" w:themeFillShade="D9"/>
          </w:tcPr>
          <w:p w14:paraId="60640F96" w14:textId="77777777" w:rsidR="00362BD1" w:rsidRPr="00E95FE0" w:rsidRDefault="00362BD1" w:rsidP="00C75AE8">
            <w:pPr>
              <w:spacing w:before="80" w:after="80"/>
              <w:rPr>
                <w:rFonts w:cs="Open Sans"/>
                <w:szCs w:val="24"/>
              </w:rPr>
            </w:pPr>
            <w:r w:rsidRPr="00E95FE0">
              <w:rPr>
                <w:rFonts w:cs="Open Sans"/>
                <w:szCs w:val="24"/>
              </w:rPr>
              <w:t>Offence</w:t>
            </w:r>
          </w:p>
        </w:tc>
        <w:tc>
          <w:tcPr>
            <w:tcW w:w="2691" w:type="dxa"/>
            <w:shd w:val="clear" w:color="auto" w:fill="D9D9D9" w:themeFill="background1" w:themeFillShade="D9"/>
          </w:tcPr>
          <w:p w14:paraId="79B6D81D" w14:textId="77777777" w:rsidR="00362BD1" w:rsidRPr="00E95FE0" w:rsidRDefault="00362BD1" w:rsidP="00C75AE8">
            <w:pPr>
              <w:spacing w:before="80" w:after="80"/>
              <w:rPr>
                <w:rFonts w:cs="Open Sans"/>
                <w:szCs w:val="24"/>
              </w:rPr>
            </w:pPr>
            <w:r w:rsidRPr="00E95FE0">
              <w:rPr>
                <w:rFonts w:cs="Open Sans"/>
                <w:szCs w:val="24"/>
              </w:rPr>
              <w:t>Sentence</w:t>
            </w:r>
          </w:p>
        </w:tc>
      </w:tr>
      <w:tr w:rsidR="00362BD1" w:rsidRPr="00E95FE0" w14:paraId="25148009" w14:textId="77777777" w:rsidTr="00C40E58">
        <w:tc>
          <w:tcPr>
            <w:tcW w:w="1134" w:type="dxa"/>
          </w:tcPr>
          <w:p w14:paraId="36887745" w14:textId="77777777" w:rsidR="00362BD1" w:rsidRPr="00E95FE0" w:rsidRDefault="00362BD1" w:rsidP="00C40E58">
            <w:pPr>
              <w:spacing w:before="120" w:after="120"/>
              <w:rPr>
                <w:rFonts w:cs="Open Sans"/>
                <w:szCs w:val="24"/>
              </w:rPr>
            </w:pPr>
            <w:r w:rsidRPr="00E95FE0">
              <w:rPr>
                <w:rFonts w:cs="Open Sans"/>
                <w:szCs w:val="24"/>
              </w:rPr>
              <w:t>17/01/2011</w:t>
            </w:r>
          </w:p>
        </w:tc>
        <w:tc>
          <w:tcPr>
            <w:tcW w:w="4538" w:type="dxa"/>
          </w:tcPr>
          <w:p w14:paraId="2C54757F" w14:textId="77777777" w:rsidR="00362BD1" w:rsidRPr="00E95FE0" w:rsidRDefault="00362BD1" w:rsidP="009F49EA">
            <w:pPr>
              <w:pStyle w:val="ListParagraph"/>
              <w:numPr>
                <w:ilvl w:val="0"/>
                <w:numId w:val="26"/>
              </w:numPr>
              <w:ind w:left="454" w:hanging="283"/>
              <w:rPr>
                <w:rFonts w:cs="Open Sans"/>
              </w:rPr>
            </w:pPr>
            <w:r w:rsidRPr="00E95FE0">
              <w:rPr>
                <w:rFonts w:cs="Open Sans"/>
              </w:rPr>
              <w:t>Various traffic offences including, driving without authorisation, driving an unregistered vehicle, running a red light</w:t>
            </w:r>
          </w:p>
        </w:tc>
        <w:tc>
          <w:tcPr>
            <w:tcW w:w="2691" w:type="dxa"/>
          </w:tcPr>
          <w:p w14:paraId="3F2C6466" w14:textId="77777777" w:rsidR="00362BD1" w:rsidRPr="00E95FE0" w:rsidRDefault="00362BD1" w:rsidP="00C40E58">
            <w:pPr>
              <w:spacing w:before="120" w:after="120"/>
              <w:rPr>
                <w:rFonts w:cs="Open Sans"/>
                <w:szCs w:val="24"/>
              </w:rPr>
            </w:pPr>
            <w:r w:rsidRPr="00E95FE0">
              <w:rPr>
                <w:rFonts w:cs="Open Sans"/>
                <w:szCs w:val="24"/>
              </w:rPr>
              <w:t>Two months imprisonment, suspended</w:t>
            </w:r>
          </w:p>
        </w:tc>
      </w:tr>
      <w:tr w:rsidR="00362BD1" w:rsidRPr="00E95FE0" w14:paraId="1A4701D0" w14:textId="77777777" w:rsidTr="00C40E58">
        <w:tc>
          <w:tcPr>
            <w:tcW w:w="1134" w:type="dxa"/>
          </w:tcPr>
          <w:p w14:paraId="1E80B116" w14:textId="77777777" w:rsidR="00362BD1" w:rsidRPr="00E95FE0" w:rsidRDefault="00362BD1" w:rsidP="00C40E58">
            <w:pPr>
              <w:spacing w:before="120" w:after="120"/>
              <w:rPr>
                <w:rFonts w:cs="Open Sans"/>
                <w:szCs w:val="24"/>
              </w:rPr>
            </w:pPr>
            <w:r w:rsidRPr="00E95FE0">
              <w:rPr>
                <w:rFonts w:cs="Open Sans"/>
                <w:szCs w:val="24"/>
              </w:rPr>
              <w:lastRenderedPageBreak/>
              <w:t>25/07/2011</w:t>
            </w:r>
          </w:p>
        </w:tc>
        <w:tc>
          <w:tcPr>
            <w:tcW w:w="4538" w:type="dxa"/>
          </w:tcPr>
          <w:p w14:paraId="4A166E56" w14:textId="77777777" w:rsidR="00362BD1" w:rsidRPr="00E95FE0" w:rsidRDefault="00362BD1" w:rsidP="009F49EA">
            <w:pPr>
              <w:pStyle w:val="ListParagraph"/>
              <w:numPr>
                <w:ilvl w:val="0"/>
                <w:numId w:val="25"/>
              </w:numPr>
              <w:ind w:left="454" w:hanging="283"/>
              <w:rPr>
                <w:rFonts w:cs="Open Sans"/>
              </w:rPr>
            </w:pPr>
            <w:r w:rsidRPr="00E95FE0">
              <w:rPr>
                <w:rFonts w:cs="Open Sans"/>
              </w:rPr>
              <w:t>Theft (clothing, perfume, sunglasses from department store)</w:t>
            </w:r>
          </w:p>
          <w:p w14:paraId="5993AECF" w14:textId="77777777" w:rsidR="00362BD1" w:rsidRPr="00E95FE0" w:rsidRDefault="00362BD1" w:rsidP="009F49EA">
            <w:pPr>
              <w:pStyle w:val="ListParagraph"/>
              <w:numPr>
                <w:ilvl w:val="0"/>
                <w:numId w:val="25"/>
              </w:numPr>
              <w:ind w:left="454" w:hanging="283"/>
              <w:rPr>
                <w:rFonts w:cs="Open Sans"/>
              </w:rPr>
            </w:pPr>
            <w:r w:rsidRPr="00E95FE0">
              <w:rPr>
                <w:rFonts w:cs="Open Sans"/>
              </w:rPr>
              <w:t>Fail to answer bail</w:t>
            </w:r>
          </w:p>
          <w:p w14:paraId="11A625AD" w14:textId="77777777" w:rsidR="00362BD1" w:rsidRPr="00E95FE0" w:rsidRDefault="00362BD1" w:rsidP="009F49EA">
            <w:pPr>
              <w:pStyle w:val="ListParagraph"/>
              <w:numPr>
                <w:ilvl w:val="0"/>
                <w:numId w:val="25"/>
              </w:numPr>
              <w:ind w:left="454" w:hanging="283"/>
              <w:rPr>
                <w:rFonts w:cs="Open Sans"/>
              </w:rPr>
            </w:pPr>
            <w:r w:rsidRPr="00E95FE0">
              <w:rPr>
                <w:rFonts w:cs="Open Sans"/>
              </w:rPr>
              <w:t>Possess controlled weapon (small knife) without excuse</w:t>
            </w:r>
          </w:p>
          <w:p w14:paraId="2E001599" w14:textId="77777777" w:rsidR="00362BD1" w:rsidRPr="00E95FE0" w:rsidRDefault="00362BD1" w:rsidP="009F49EA">
            <w:pPr>
              <w:pStyle w:val="ListParagraph"/>
              <w:numPr>
                <w:ilvl w:val="0"/>
                <w:numId w:val="25"/>
              </w:numPr>
              <w:ind w:left="454" w:hanging="283"/>
              <w:rPr>
                <w:rFonts w:cs="Open Sans"/>
              </w:rPr>
            </w:pPr>
            <w:r w:rsidRPr="00E95FE0">
              <w:rPr>
                <w:rFonts w:cs="Open Sans"/>
              </w:rPr>
              <w:t>Possession of property being suspected of being proceeds of crime</w:t>
            </w:r>
          </w:p>
        </w:tc>
        <w:tc>
          <w:tcPr>
            <w:tcW w:w="2691" w:type="dxa"/>
          </w:tcPr>
          <w:p w14:paraId="54494774" w14:textId="77777777" w:rsidR="00362BD1" w:rsidRPr="00E95FE0" w:rsidRDefault="00362BD1" w:rsidP="00C40E58">
            <w:pPr>
              <w:spacing w:before="120" w:after="120"/>
              <w:rPr>
                <w:rFonts w:cs="Open Sans"/>
                <w:szCs w:val="24"/>
              </w:rPr>
            </w:pPr>
            <w:r w:rsidRPr="00E95FE0">
              <w:rPr>
                <w:rFonts w:cs="Open Sans"/>
                <w:szCs w:val="24"/>
              </w:rPr>
              <w:t>Community based order, 75 hours community service</w:t>
            </w:r>
          </w:p>
        </w:tc>
      </w:tr>
      <w:tr w:rsidR="00362BD1" w:rsidRPr="00E95FE0" w14:paraId="5047B6FB" w14:textId="77777777" w:rsidTr="00C40E58">
        <w:tc>
          <w:tcPr>
            <w:tcW w:w="1134" w:type="dxa"/>
          </w:tcPr>
          <w:p w14:paraId="311D45C8" w14:textId="77777777" w:rsidR="00362BD1" w:rsidRPr="00E95FE0" w:rsidRDefault="00362BD1" w:rsidP="00C40E58">
            <w:pPr>
              <w:spacing w:before="120" w:after="120"/>
              <w:rPr>
                <w:rFonts w:cs="Open Sans"/>
                <w:szCs w:val="24"/>
              </w:rPr>
            </w:pPr>
            <w:r w:rsidRPr="00E95FE0">
              <w:rPr>
                <w:rFonts w:cs="Open Sans"/>
                <w:szCs w:val="24"/>
              </w:rPr>
              <w:t>17/08/2011</w:t>
            </w:r>
          </w:p>
        </w:tc>
        <w:tc>
          <w:tcPr>
            <w:tcW w:w="4538" w:type="dxa"/>
          </w:tcPr>
          <w:p w14:paraId="4B0ACC7E" w14:textId="77777777" w:rsidR="00362BD1" w:rsidRPr="00E95FE0" w:rsidRDefault="00362BD1" w:rsidP="009F49EA">
            <w:pPr>
              <w:pStyle w:val="ListParagraph"/>
              <w:numPr>
                <w:ilvl w:val="0"/>
                <w:numId w:val="25"/>
              </w:numPr>
              <w:ind w:left="454" w:hanging="283"/>
              <w:rPr>
                <w:rFonts w:cs="Open Sans"/>
              </w:rPr>
            </w:pPr>
            <w:r w:rsidRPr="00E95FE0">
              <w:rPr>
                <w:rFonts w:cs="Open Sans"/>
              </w:rPr>
              <w:t>Recklessly cause injury</w:t>
            </w:r>
          </w:p>
          <w:p w14:paraId="7853D882" w14:textId="77777777" w:rsidR="00362BD1" w:rsidRPr="00E95FE0" w:rsidRDefault="00362BD1" w:rsidP="009F49EA">
            <w:pPr>
              <w:pStyle w:val="ListParagraph"/>
              <w:numPr>
                <w:ilvl w:val="0"/>
                <w:numId w:val="25"/>
              </w:numPr>
              <w:ind w:left="454" w:hanging="283"/>
              <w:rPr>
                <w:rFonts w:cs="Open Sans"/>
              </w:rPr>
            </w:pPr>
            <w:r w:rsidRPr="00E95FE0">
              <w:rPr>
                <w:rFonts w:cs="Open Sans"/>
              </w:rPr>
              <w:t>13 charges obtain property by deception (credit card fraud to purchase goods primarily food and basic items from grocery store)</w:t>
            </w:r>
          </w:p>
        </w:tc>
        <w:tc>
          <w:tcPr>
            <w:tcW w:w="2691" w:type="dxa"/>
          </w:tcPr>
          <w:p w14:paraId="43A5F228" w14:textId="77777777" w:rsidR="00362BD1" w:rsidRPr="00E95FE0" w:rsidRDefault="00362BD1" w:rsidP="00C40E58">
            <w:pPr>
              <w:spacing w:before="120" w:after="120"/>
              <w:rPr>
                <w:rFonts w:cs="Open Sans"/>
                <w:szCs w:val="24"/>
              </w:rPr>
            </w:pPr>
            <w:r w:rsidRPr="00E95FE0">
              <w:rPr>
                <w:rFonts w:cs="Open Sans"/>
                <w:szCs w:val="24"/>
              </w:rPr>
              <w:t>Three months imprisonment</w:t>
            </w:r>
          </w:p>
        </w:tc>
      </w:tr>
      <w:tr w:rsidR="00362BD1" w:rsidRPr="00E95FE0" w14:paraId="6BCB1C31" w14:textId="77777777" w:rsidTr="00C40E58">
        <w:tc>
          <w:tcPr>
            <w:tcW w:w="1134" w:type="dxa"/>
          </w:tcPr>
          <w:p w14:paraId="6A439BD7" w14:textId="77777777" w:rsidR="00362BD1" w:rsidRPr="00E95FE0" w:rsidRDefault="00362BD1" w:rsidP="00C40E58">
            <w:pPr>
              <w:spacing w:before="120" w:after="120"/>
              <w:rPr>
                <w:rFonts w:cs="Open Sans"/>
                <w:szCs w:val="24"/>
              </w:rPr>
            </w:pPr>
            <w:r w:rsidRPr="00E95FE0">
              <w:rPr>
                <w:rFonts w:cs="Open Sans"/>
                <w:szCs w:val="24"/>
              </w:rPr>
              <w:t>17/10/2013</w:t>
            </w:r>
          </w:p>
        </w:tc>
        <w:tc>
          <w:tcPr>
            <w:tcW w:w="4538" w:type="dxa"/>
          </w:tcPr>
          <w:p w14:paraId="3EBE6D15" w14:textId="77777777" w:rsidR="00362BD1" w:rsidRPr="00E95FE0" w:rsidRDefault="00362BD1" w:rsidP="009F49EA">
            <w:pPr>
              <w:pStyle w:val="ListParagraph"/>
              <w:numPr>
                <w:ilvl w:val="0"/>
                <w:numId w:val="25"/>
              </w:numPr>
              <w:ind w:left="454" w:hanging="283"/>
              <w:rPr>
                <w:rFonts w:cs="Open Sans"/>
              </w:rPr>
            </w:pPr>
            <w:r w:rsidRPr="00E95FE0">
              <w:rPr>
                <w:rFonts w:cs="Open Sans"/>
              </w:rPr>
              <w:t>Theft (bed sheets, food, drinks from grocery store, medications from chemist)</w:t>
            </w:r>
          </w:p>
          <w:p w14:paraId="2A6BA0A3" w14:textId="77777777" w:rsidR="00362BD1" w:rsidRPr="00E95FE0" w:rsidRDefault="00362BD1" w:rsidP="009F49EA">
            <w:pPr>
              <w:pStyle w:val="ListParagraph"/>
              <w:numPr>
                <w:ilvl w:val="0"/>
                <w:numId w:val="25"/>
              </w:numPr>
              <w:ind w:left="454" w:hanging="283"/>
              <w:rPr>
                <w:rFonts w:cs="Open Sans"/>
              </w:rPr>
            </w:pPr>
            <w:r w:rsidRPr="00E95FE0">
              <w:rPr>
                <w:rFonts w:cs="Open Sans"/>
              </w:rPr>
              <w:t>Threat to inflict serious injury</w:t>
            </w:r>
          </w:p>
          <w:p w14:paraId="7DFE572A" w14:textId="77777777" w:rsidR="00362BD1" w:rsidRPr="00E95FE0" w:rsidRDefault="00362BD1" w:rsidP="009F49EA">
            <w:pPr>
              <w:pStyle w:val="ListParagraph"/>
              <w:numPr>
                <w:ilvl w:val="0"/>
                <w:numId w:val="25"/>
              </w:numPr>
              <w:ind w:left="454" w:hanging="283"/>
              <w:rPr>
                <w:rFonts w:cs="Open Sans"/>
              </w:rPr>
            </w:pPr>
            <w:r w:rsidRPr="00E95FE0">
              <w:rPr>
                <w:rFonts w:cs="Open Sans"/>
              </w:rPr>
              <w:t xml:space="preserve">Assault with weapon </w:t>
            </w:r>
          </w:p>
        </w:tc>
        <w:tc>
          <w:tcPr>
            <w:tcW w:w="2691" w:type="dxa"/>
          </w:tcPr>
          <w:p w14:paraId="2162F12D" w14:textId="77777777" w:rsidR="00362BD1" w:rsidRPr="00E95FE0" w:rsidRDefault="00362BD1" w:rsidP="00C40E58">
            <w:pPr>
              <w:spacing w:before="120" w:after="120"/>
              <w:rPr>
                <w:rFonts w:cs="Open Sans"/>
                <w:szCs w:val="24"/>
              </w:rPr>
            </w:pPr>
            <w:r w:rsidRPr="00E95FE0">
              <w:rPr>
                <w:rFonts w:cs="Open Sans"/>
                <w:szCs w:val="24"/>
              </w:rPr>
              <w:t xml:space="preserve">12 months community corrections order </w:t>
            </w:r>
          </w:p>
        </w:tc>
      </w:tr>
    </w:tbl>
    <w:p w14:paraId="75C238E2" w14:textId="77777777" w:rsidR="00BB2301" w:rsidRPr="00CD634E" w:rsidRDefault="00BB2301" w:rsidP="008105AA">
      <w:pPr>
        <w:pStyle w:val="Heading1"/>
        <w:tabs>
          <w:tab w:val="clear" w:pos="851"/>
          <w:tab w:val="num" w:pos="709"/>
        </w:tabs>
        <w:spacing w:after="0"/>
        <w:rPr>
          <w:rFonts w:cs="Open Sans"/>
          <w:sz w:val="36"/>
          <w:szCs w:val="36"/>
        </w:rPr>
      </w:pPr>
      <w:bookmarkStart w:id="21" w:name="_Toc25740071"/>
      <w:r w:rsidRPr="00CD634E">
        <w:rPr>
          <w:rFonts w:cs="Open Sans"/>
          <w:sz w:val="36"/>
          <w:szCs w:val="36"/>
        </w:rPr>
        <w:t>Conciliation</w:t>
      </w:r>
      <w:bookmarkEnd w:id="19"/>
      <w:bookmarkEnd w:id="20"/>
      <w:bookmarkEnd w:id="21"/>
    </w:p>
    <w:p w14:paraId="031847D3" w14:textId="77777777" w:rsidR="005049C9" w:rsidRPr="00E95FE0" w:rsidRDefault="005049C9" w:rsidP="005049C9">
      <w:pPr>
        <w:pStyle w:val="SubmissionNormal"/>
        <w:numPr>
          <w:ilvl w:val="0"/>
          <w:numId w:val="16"/>
        </w:numPr>
        <w:spacing w:before="240" w:after="240"/>
        <w:rPr>
          <w:rFonts w:cs="Open Sans"/>
        </w:rPr>
      </w:pPr>
      <w:bookmarkStart w:id="22" w:name="_Toc5183415"/>
      <w:r w:rsidRPr="00E95FE0">
        <w:rPr>
          <w:rFonts w:cs="Open Sans"/>
        </w:rPr>
        <w:t>The Commonwealth indicated that it did not want to participate in conciliation of the matter.</w:t>
      </w:r>
    </w:p>
    <w:p w14:paraId="75C238E4" w14:textId="77777777" w:rsidR="00BB2301" w:rsidRPr="00CD634E" w:rsidRDefault="00BB2301" w:rsidP="008105AA">
      <w:pPr>
        <w:pStyle w:val="Heading1"/>
        <w:tabs>
          <w:tab w:val="clear" w:pos="851"/>
          <w:tab w:val="num" w:pos="709"/>
        </w:tabs>
        <w:spacing w:after="0"/>
        <w:rPr>
          <w:rFonts w:cs="Open Sans"/>
          <w:sz w:val="36"/>
          <w:szCs w:val="36"/>
        </w:rPr>
      </w:pPr>
      <w:bookmarkStart w:id="23" w:name="_Toc25740072"/>
      <w:r w:rsidRPr="00CD634E">
        <w:rPr>
          <w:rFonts w:cs="Open Sans"/>
          <w:sz w:val="36"/>
          <w:szCs w:val="36"/>
        </w:rPr>
        <w:t>Procedural history of this inquiry</w:t>
      </w:r>
      <w:bookmarkEnd w:id="22"/>
      <w:bookmarkEnd w:id="23"/>
    </w:p>
    <w:p w14:paraId="5E6F086D" w14:textId="77777777" w:rsidR="003F24B8" w:rsidRPr="00E95FE0" w:rsidRDefault="003F24B8" w:rsidP="003F24B8">
      <w:pPr>
        <w:pStyle w:val="SubmissionNormal"/>
        <w:numPr>
          <w:ilvl w:val="0"/>
          <w:numId w:val="16"/>
        </w:numPr>
        <w:spacing w:before="240" w:after="240"/>
        <w:rPr>
          <w:rFonts w:cs="Open Sans"/>
        </w:rPr>
      </w:pPr>
      <w:bookmarkStart w:id="24" w:name="_Toc426989322"/>
      <w:bookmarkStart w:id="25" w:name="_Toc5183416"/>
      <w:r w:rsidRPr="00E95FE0">
        <w:rPr>
          <w:rFonts w:cs="Open Sans"/>
        </w:rPr>
        <w:t xml:space="preserve">On 15 April 2019, I issued a preliminary view in this matter and gave both Mr Anees and the Department the opportunity to respond to my preliminary findings. </w:t>
      </w:r>
    </w:p>
    <w:p w14:paraId="64A31C61" w14:textId="77777777" w:rsidR="003F24B8" w:rsidRPr="00E95FE0" w:rsidRDefault="003F24B8" w:rsidP="003F24B8">
      <w:pPr>
        <w:pStyle w:val="SubmissionNormal"/>
        <w:numPr>
          <w:ilvl w:val="0"/>
          <w:numId w:val="16"/>
        </w:numPr>
        <w:spacing w:before="240" w:after="240"/>
        <w:rPr>
          <w:rFonts w:cs="Open Sans"/>
        </w:rPr>
      </w:pPr>
      <w:r w:rsidRPr="00E95FE0">
        <w:rPr>
          <w:rFonts w:cs="Open Sans"/>
        </w:rPr>
        <w:t xml:space="preserve">On 8 May 2019, Mr Anees responded to my preliminary view. </w:t>
      </w:r>
    </w:p>
    <w:p w14:paraId="6084ACD2" w14:textId="77777777" w:rsidR="003F24B8" w:rsidRPr="00E95FE0" w:rsidRDefault="003F24B8" w:rsidP="003F24B8">
      <w:pPr>
        <w:pStyle w:val="SubmissionNormal"/>
        <w:numPr>
          <w:ilvl w:val="0"/>
          <w:numId w:val="16"/>
        </w:numPr>
        <w:spacing w:before="240" w:after="240"/>
        <w:rPr>
          <w:rFonts w:cs="Open Sans"/>
        </w:rPr>
      </w:pPr>
      <w:r w:rsidRPr="00E95FE0">
        <w:rPr>
          <w:rFonts w:cs="Open Sans"/>
        </w:rPr>
        <w:t xml:space="preserve">On 26 June 2019, the Department responded to my preliminary view and provided additional information regarding Mr Anees’ circumstances. </w:t>
      </w:r>
    </w:p>
    <w:p w14:paraId="75C238EA" w14:textId="7FB36462" w:rsidR="00BB2301" w:rsidRPr="00CD634E" w:rsidRDefault="003F24B8" w:rsidP="008105AA">
      <w:pPr>
        <w:pStyle w:val="Heading1"/>
        <w:tabs>
          <w:tab w:val="clear" w:pos="851"/>
          <w:tab w:val="num" w:pos="709"/>
        </w:tabs>
        <w:spacing w:after="0"/>
        <w:rPr>
          <w:rFonts w:cs="Open Sans"/>
          <w:sz w:val="36"/>
          <w:szCs w:val="36"/>
        </w:rPr>
      </w:pPr>
      <w:bookmarkStart w:id="26" w:name="_Toc25740073"/>
      <w:bookmarkEnd w:id="24"/>
      <w:bookmarkEnd w:id="25"/>
      <w:r w:rsidRPr="00CD634E">
        <w:rPr>
          <w:rFonts w:cs="Open Sans"/>
          <w:sz w:val="36"/>
          <w:szCs w:val="36"/>
        </w:rPr>
        <w:lastRenderedPageBreak/>
        <w:t>Legislative framework</w:t>
      </w:r>
      <w:bookmarkEnd w:id="26"/>
    </w:p>
    <w:p w14:paraId="75C238EB" w14:textId="77777777" w:rsidR="00BB2301" w:rsidRPr="00CD634E" w:rsidRDefault="00BB2301" w:rsidP="008105AA">
      <w:pPr>
        <w:pStyle w:val="Heading2"/>
        <w:tabs>
          <w:tab w:val="clear" w:pos="851"/>
          <w:tab w:val="num" w:pos="709"/>
        </w:tabs>
        <w:spacing w:after="0"/>
        <w:ind w:left="1089" w:hanging="1089"/>
        <w:rPr>
          <w:rFonts w:cs="Open Sans"/>
          <w:i w:val="0"/>
          <w:iCs/>
          <w:color w:val="auto"/>
          <w:szCs w:val="28"/>
        </w:rPr>
      </w:pPr>
      <w:bookmarkStart w:id="27" w:name="_Toc426989323"/>
      <w:bookmarkStart w:id="28" w:name="_Toc5183417"/>
      <w:bookmarkStart w:id="29" w:name="_Toc25740074"/>
      <w:r w:rsidRPr="00CD634E">
        <w:rPr>
          <w:rFonts w:cs="Open Sans"/>
          <w:i w:val="0"/>
          <w:iCs/>
          <w:color w:val="auto"/>
          <w:szCs w:val="28"/>
        </w:rPr>
        <w:t>Functions of the Commission</w:t>
      </w:r>
      <w:bookmarkEnd w:id="27"/>
      <w:bookmarkEnd w:id="28"/>
      <w:bookmarkEnd w:id="29"/>
    </w:p>
    <w:p w14:paraId="6397A48A" w14:textId="77777777" w:rsidR="00D673B8" w:rsidRPr="00E95FE0" w:rsidRDefault="00D673B8" w:rsidP="00D673B8">
      <w:pPr>
        <w:numPr>
          <w:ilvl w:val="0"/>
          <w:numId w:val="16"/>
        </w:numPr>
        <w:tabs>
          <w:tab w:val="num" w:pos="960"/>
        </w:tabs>
        <w:rPr>
          <w:rFonts w:cs="Open Sans"/>
          <w:szCs w:val="24"/>
        </w:rPr>
      </w:pPr>
      <w:bookmarkStart w:id="30" w:name="_Toc426989324"/>
      <w:bookmarkStart w:id="31" w:name="_Toc5183418"/>
      <w:r w:rsidRPr="00E95FE0">
        <w:rPr>
          <w:rFonts w:cs="Open Sans"/>
          <w:szCs w:val="24"/>
        </w:rPr>
        <w:t xml:space="preserve">Section 11(1)(f) of the AHRC Act provides that the Commission has the function to inquire into any act or practice that may be inconsistent with, or contrary to, any human right. </w:t>
      </w:r>
    </w:p>
    <w:p w14:paraId="4B901B4C" w14:textId="77777777" w:rsidR="00D673B8" w:rsidRPr="00E95FE0" w:rsidRDefault="00D673B8" w:rsidP="00D673B8">
      <w:pPr>
        <w:numPr>
          <w:ilvl w:val="0"/>
          <w:numId w:val="16"/>
        </w:numPr>
        <w:tabs>
          <w:tab w:val="num" w:pos="960"/>
        </w:tabs>
        <w:rPr>
          <w:rFonts w:cs="Open Sans"/>
          <w:szCs w:val="24"/>
        </w:rPr>
      </w:pPr>
      <w:r w:rsidRPr="00E95FE0">
        <w:rPr>
          <w:rFonts w:cs="Open Sans"/>
          <w:szCs w:val="24"/>
        </w:rPr>
        <w:t xml:space="preserve">Section 20(1)(b) of the AHRC Act requires the Commission to perform this function when a complaint is made to it in writing alleging that an act is inconsistent with, or contrary to, any human right. </w:t>
      </w:r>
    </w:p>
    <w:p w14:paraId="7274124A" w14:textId="77777777" w:rsidR="00D673B8" w:rsidRPr="00E95FE0" w:rsidRDefault="00D673B8" w:rsidP="00D673B8">
      <w:pPr>
        <w:numPr>
          <w:ilvl w:val="0"/>
          <w:numId w:val="16"/>
        </w:numPr>
        <w:tabs>
          <w:tab w:val="num" w:pos="960"/>
        </w:tabs>
        <w:rPr>
          <w:rFonts w:cs="Open Sans"/>
          <w:szCs w:val="24"/>
        </w:rPr>
      </w:pPr>
      <w:r w:rsidRPr="00E95FE0">
        <w:rPr>
          <w:rFonts w:cs="Open Sans"/>
          <w:szCs w:val="24"/>
        </w:rPr>
        <w:t>Section 8(6) of the AHRC Act requires that the functions of the Commission under s 11(1)(f) be performed by the President.</w:t>
      </w:r>
    </w:p>
    <w:p w14:paraId="3C838789" w14:textId="77777777" w:rsidR="00811F85" w:rsidRPr="00604D59" w:rsidRDefault="00811F85" w:rsidP="001C348B">
      <w:pPr>
        <w:pStyle w:val="Heading2"/>
        <w:tabs>
          <w:tab w:val="clear" w:pos="851"/>
          <w:tab w:val="num" w:pos="709"/>
        </w:tabs>
        <w:spacing w:after="0"/>
        <w:ind w:left="1089" w:hanging="1089"/>
        <w:rPr>
          <w:rFonts w:cs="Open Sans"/>
          <w:i w:val="0"/>
          <w:iCs/>
          <w:color w:val="auto"/>
          <w:szCs w:val="28"/>
        </w:rPr>
      </w:pPr>
      <w:bookmarkStart w:id="32" w:name="_Toc4159043"/>
      <w:bookmarkStart w:id="33" w:name="_Toc15040010"/>
      <w:bookmarkStart w:id="34" w:name="_Toc25740075"/>
      <w:r w:rsidRPr="00604D59">
        <w:rPr>
          <w:rFonts w:cs="Open Sans"/>
          <w:i w:val="0"/>
          <w:iCs/>
          <w:color w:val="auto"/>
          <w:szCs w:val="28"/>
        </w:rPr>
        <w:t>What is an ‘act’ or ‘practice?</w:t>
      </w:r>
      <w:bookmarkEnd w:id="32"/>
      <w:bookmarkEnd w:id="33"/>
      <w:bookmarkEnd w:id="34"/>
    </w:p>
    <w:p w14:paraId="1CF358D4" w14:textId="77777777" w:rsidR="00811F85" w:rsidRPr="00E95FE0" w:rsidRDefault="00811F85" w:rsidP="00811F85">
      <w:pPr>
        <w:numPr>
          <w:ilvl w:val="0"/>
          <w:numId w:val="16"/>
        </w:numPr>
        <w:rPr>
          <w:rFonts w:cs="Open Sans"/>
          <w:szCs w:val="24"/>
        </w:rPr>
      </w:pPr>
      <w:r w:rsidRPr="00E95FE0">
        <w:rPr>
          <w:rFonts w:cs="Open Sans"/>
          <w:szCs w:val="24"/>
        </w:rPr>
        <w:t>The terms ‘act’ and ‘practice’ are defined in s 3(1) of the AHRC Act to include an act done or a practice engaged in by or on behalf of the Commonwealth or an authority of the Commonwealth or under an enactment.</w:t>
      </w:r>
    </w:p>
    <w:p w14:paraId="3EA3907C" w14:textId="77777777" w:rsidR="00811F85" w:rsidRPr="00E95FE0" w:rsidRDefault="00811F85" w:rsidP="00811F85">
      <w:pPr>
        <w:numPr>
          <w:ilvl w:val="0"/>
          <w:numId w:val="16"/>
        </w:numPr>
        <w:rPr>
          <w:rFonts w:cs="Open Sans"/>
          <w:szCs w:val="24"/>
        </w:rPr>
      </w:pPr>
      <w:r w:rsidRPr="00E95FE0">
        <w:rPr>
          <w:rFonts w:cs="Open Sans"/>
          <w:szCs w:val="24"/>
        </w:rPr>
        <w:t>Section 3(3) provides that the reference to, or to the doing of, an act includes a reference to a refusal or failure to do an act.</w:t>
      </w:r>
    </w:p>
    <w:p w14:paraId="23EACC3A" w14:textId="77777777" w:rsidR="00811F85" w:rsidRPr="00E95FE0" w:rsidRDefault="00811F85" w:rsidP="00811F85">
      <w:pPr>
        <w:numPr>
          <w:ilvl w:val="0"/>
          <w:numId w:val="16"/>
        </w:numPr>
        <w:rPr>
          <w:rFonts w:cs="Open Sans"/>
          <w:szCs w:val="24"/>
        </w:rPr>
      </w:pPr>
      <w:r w:rsidRPr="00E95FE0">
        <w:rPr>
          <w:rFonts w:cs="Open Sans"/>
          <w:szCs w:val="24"/>
        </w:rPr>
        <w:t>The functions of the Commission identified in s 11(1)(f) of the AHRC Act are only engaged where the act complained of is not one required by law to be taken, that is, where the relevant act or practice is within the discretion of the Commonwealth.</w:t>
      </w:r>
      <w:r w:rsidRPr="00E95FE0">
        <w:rPr>
          <w:rStyle w:val="EndnoteReference"/>
          <w:rFonts w:ascii="Open Sans" w:hAnsi="Open Sans" w:cs="Open Sans"/>
        </w:rPr>
        <w:endnoteReference w:id="4"/>
      </w:r>
      <w:r w:rsidRPr="00E95FE0">
        <w:rPr>
          <w:rFonts w:cs="Open Sans"/>
          <w:szCs w:val="24"/>
        </w:rPr>
        <w:t xml:space="preserve"> </w:t>
      </w:r>
    </w:p>
    <w:p w14:paraId="75C238EF" w14:textId="6AD79B34" w:rsidR="00BB2301" w:rsidRPr="00604D59" w:rsidRDefault="00BB2301" w:rsidP="008105AA">
      <w:pPr>
        <w:pStyle w:val="Heading2"/>
        <w:tabs>
          <w:tab w:val="clear" w:pos="851"/>
          <w:tab w:val="num" w:pos="709"/>
        </w:tabs>
        <w:spacing w:after="0"/>
        <w:ind w:left="1089" w:hanging="1089"/>
        <w:rPr>
          <w:rFonts w:cs="Open Sans"/>
          <w:i w:val="0"/>
          <w:iCs/>
          <w:color w:val="auto"/>
          <w:szCs w:val="28"/>
        </w:rPr>
      </w:pPr>
      <w:bookmarkStart w:id="35" w:name="_Toc25740076"/>
      <w:r w:rsidRPr="00604D59">
        <w:rPr>
          <w:rFonts w:cs="Open Sans"/>
          <w:i w:val="0"/>
          <w:iCs/>
          <w:color w:val="auto"/>
          <w:szCs w:val="28"/>
        </w:rPr>
        <w:t>What is a ‘human right’?</w:t>
      </w:r>
      <w:bookmarkEnd w:id="30"/>
      <w:bookmarkEnd w:id="31"/>
      <w:bookmarkEnd w:id="35"/>
    </w:p>
    <w:p w14:paraId="39E90D82" w14:textId="77777777" w:rsidR="00BA5C5E" w:rsidRPr="00E95FE0" w:rsidRDefault="00BA5C5E" w:rsidP="00BA5C5E">
      <w:pPr>
        <w:numPr>
          <w:ilvl w:val="0"/>
          <w:numId w:val="16"/>
        </w:numPr>
        <w:tabs>
          <w:tab w:val="num" w:pos="960"/>
        </w:tabs>
        <w:rPr>
          <w:rFonts w:cs="Open Sans"/>
          <w:szCs w:val="24"/>
        </w:rPr>
      </w:pPr>
      <w:bookmarkStart w:id="36" w:name="_Toc426989325"/>
      <w:bookmarkStart w:id="37" w:name="_Toc5183419"/>
      <w:r w:rsidRPr="00E95FE0">
        <w:rPr>
          <w:rFonts w:cs="Open Sans"/>
          <w:szCs w:val="24"/>
        </w:rPr>
        <w:t xml:space="preserve">The phrase ‘human rights’ is defined by s 3(1) of the AHRC Act to include the rights and freedoms recognised in the ICCPR. </w:t>
      </w:r>
    </w:p>
    <w:p w14:paraId="3CB7FC88" w14:textId="77777777" w:rsidR="00BA5C5E" w:rsidRPr="00E95FE0" w:rsidRDefault="00BA5C5E" w:rsidP="00BA5C5E">
      <w:pPr>
        <w:keepNext/>
        <w:numPr>
          <w:ilvl w:val="0"/>
          <w:numId w:val="16"/>
        </w:numPr>
        <w:rPr>
          <w:rFonts w:cs="Open Sans"/>
          <w:szCs w:val="24"/>
        </w:rPr>
      </w:pPr>
      <w:r w:rsidRPr="00E95FE0">
        <w:rPr>
          <w:rFonts w:cs="Open Sans"/>
          <w:szCs w:val="24"/>
        </w:rPr>
        <w:t>Article 9(1) of the ICCPR relevantly provides:</w:t>
      </w:r>
    </w:p>
    <w:p w14:paraId="795FD21B" w14:textId="6E56772A" w:rsidR="00BA5C5E" w:rsidRPr="00E95FE0" w:rsidRDefault="00BA5C5E" w:rsidP="00BA5C5E">
      <w:pPr>
        <w:ind w:left="1418"/>
        <w:rPr>
          <w:rFonts w:cs="Open Sans"/>
          <w:iCs/>
          <w:sz w:val="22"/>
          <w:szCs w:val="22"/>
        </w:rPr>
      </w:pPr>
      <w:r w:rsidRPr="00E95FE0">
        <w:rPr>
          <w:rFonts w:cs="Open Sans"/>
          <w:iCs/>
          <w:sz w:val="22"/>
          <w:szCs w:val="22"/>
        </w:rPr>
        <w:t>Everyone has the right to liberty and security of person. No one shall be subjected to arbitrary arrest or detention. No one shall be deprived of his liberty except on such grounds and in accordance with such procedure</w:t>
      </w:r>
      <w:r w:rsidR="00BB05E9">
        <w:rPr>
          <w:rFonts w:cs="Open Sans"/>
          <w:iCs/>
          <w:sz w:val="22"/>
          <w:szCs w:val="22"/>
        </w:rPr>
        <w:t>s</w:t>
      </w:r>
      <w:r w:rsidRPr="00E95FE0">
        <w:rPr>
          <w:rFonts w:cs="Open Sans"/>
          <w:iCs/>
          <w:sz w:val="22"/>
          <w:szCs w:val="22"/>
        </w:rPr>
        <w:t xml:space="preserve"> as are established by law.</w:t>
      </w:r>
    </w:p>
    <w:p w14:paraId="6C0C5ACE" w14:textId="77777777" w:rsidR="00BA5C5E" w:rsidRPr="00E95FE0" w:rsidRDefault="00BA5C5E" w:rsidP="00BA5C5E">
      <w:pPr>
        <w:pStyle w:val="ListParagraph"/>
        <w:numPr>
          <w:ilvl w:val="0"/>
          <w:numId w:val="16"/>
        </w:numPr>
        <w:spacing w:before="240" w:after="240"/>
        <w:rPr>
          <w:rFonts w:cs="Open Sans"/>
        </w:rPr>
      </w:pPr>
      <w:r w:rsidRPr="00E95FE0">
        <w:rPr>
          <w:rFonts w:cs="Open Sans"/>
        </w:rPr>
        <w:t>Article 17(1) of the ICCPR provides:</w:t>
      </w:r>
    </w:p>
    <w:p w14:paraId="31047A90" w14:textId="77777777" w:rsidR="00BA5C5E" w:rsidRPr="00E95FE0" w:rsidRDefault="00BA5C5E" w:rsidP="00BA5C5E">
      <w:pPr>
        <w:widowControl w:val="0"/>
        <w:autoSpaceDE w:val="0"/>
        <w:autoSpaceDN w:val="0"/>
        <w:spacing w:before="177"/>
        <w:ind w:left="1418" w:right="204"/>
        <w:rPr>
          <w:rFonts w:eastAsia="Arial" w:cs="Open Sans"/>
          <w:sz w:val="22"/>
          <w:szCs w:val="22"/>
          <w:lang w:val="en-US"/>
        </w:rPr>
      </w:pPr>
      <w:r w:rsidRPr="00E95FE0">
        <w:rPr>
          <w:rFonts w:eastAsia="Arial" w:cs="Open Sans"/>
          <w:color w:val="231F20"/>
          <w:sz w:val="22"/>
          <w:szCs w:val="22"/>
          <w:lang w:val="en-US"/>
        </w:rPr>
        <w:t xml:space="preserve">No one shall be subjected to arbitrary or unlawful interference with his privacy, family, home or correspondence, nor to unlawful attacks on his </w:t>
      </w:r>
      <w:r w:rsidRPr="00E95FE0">
        <w:rPr>
          <w:rFonts w:eastAsia="Arial" w:cs="Open Sans"/>
          <w:color w:val="231F20"/>
          <w:sz w:val="22"/>
          <w:szCs w:val="22"/>
          <w:lang w:val="en-US"/>
        </w:rPr>
        <w:lastRenderedPageBreak/>
        <w:t>honour and reputation.</w:t>
      </w:r>
    </w:p>
    <w:p w14:paraId="13DEA52E" w14:textId="77777777" w:rsidR="00BA5C5E" w:rsidRPr="00E95FE0" w:rsidRDefault="00BA5C5E" w:rsidP="00BA5C5E">
      <w:pPr>
        <w:pStyle w:val="ListParagraph"/>
        <w:numPr>
          <w:ilvl w:val="0"/>
          <w:numId w:val="16"/>
        </w:numPr>
        <w:spacing w:before="240" w:after="240"/>
        <w:rPr>
          <w:rFonts w:cs="Open Sans"/>
        </w:rPr>
      </w:pPr>
      <w:r w:rsidRPr="00E95FE0">
        <w:rPr>
          <w:rFonts w:cs="Open Sans"/>
        </w:rPr>
        <w:t>Article 23(1) of the ICCPR provides:</w:t>
      </w:r>
    </w:p>
    <w:p w14:paraId="5F739865" w14:textId="77777777" w:rsidR="00BA5C5E" w:rsidRPr="00E95FE0" w:rsidRDefault="00BA5C5E" w:rsidP="00BA5C5E">
      <w:pPr>
        <w:widowControl w:val="0"/>
        <w:autoSpaceDE w:val="0"/>
        <w:autoSpaceDN w:val="0"/>
        <w:ind w:left="1418" w:right="176"/>
        <w:rPr>
          <w:rFonts w:eastAsia="Arial" w:cs="Open Sans"/>
          <w:sz w:val="22"/>
          <w:szCs w:val="22"/>
          <w:lang w:val="en-US"/>
        </w:rPr>
      </w:pPr>
      <w:r w:rsidRPr="00E95FE0">
        <w:rPr>
          <w:rFonts w:eastAsia="Arial" w:cs="Open Sans"/>
          <w:color w:val="231F20"/>
          <w:sz w:val="22"/>
          <w:szCs w:val="22"/>
          <w:lang w:val="en-US"/>
        </w:rPr>
        <w:t>The family is the natural and fundamental group unit of society and is entitled to protection by society and the State.</w:t>
      </w:r>
    </w:p>
    <w:p w14:paraId="70AA4DDB" w14:textId="77777777" w:rsidR="00BA5C5E" w:rsidRPr="00E95FE0" w:rsidRDefault="00BA5C5E" w:rsidP="00BA5C5E">
      <w:pPr>
        <w:keepNext/>
        <w:numPr>
          <w:ilvl w:val="0"/>
          <w:numId w:val="16"/>
        </w:numPr>
        <w:rPr>
          <w:rFonts w:cs="Open Sans"/>
          <w:szCs w:val="24"/>
        </w:rPr>
      </w:pPr>
      <w:r w:rsidRPr="00E95FE0">
        <w:rPr>
          <w:rFonts w:cs="Open Sans"/>
          <w:szCs w:val="24"/>
        </w:rPr>
        <w:t>Article 10(1) of the ICCPR provides:</w:t>
      </w:r>
    </w:p>
    <w:p w14:paraId="5079AB5E" w14:textId="77777777" w:rsidR="00BA5C5E" w:rsidRPr="00E95FE0" w:rsidRDefault="00BA5C5E" w:rsidP="00BA5C5E">
      <w:pPr>
        <w:ind w:left="1440"/>
        <w:rPr>
          <w:rFonts w:cs="Open Sans"/>
          <w:iCs/>
          <w:sz w:val="22"/>
          <w:szCs w:val="22"/>
        </w:rPr>
      </w:pPr>
      <w:r w:rsidRPr="00E95FE0">
        <w:rPr>
          <w:rFonts w:cs="Open Sans"/>
          <w:iCs/>
          <w:sz w:val="22"/>
          <w:szCs w:val="22"/>
        </w:rPr>
        <w:t>All persons deprived of their liberty shall be treated with humanity and with respect for the inherent dignity of the human person.</w:t>
      </w:r>
    </w:p>
    <w:p w14:paraId="75C23907" w14:textId="14187578" w:rsidR="00BB2301" w:rsidRPr="00604D59" w:rsidRDefault="00CD42DE" w:rsidP="00EE187A">
      <w:pPr>
        <w:pStyle w:val="Heading1"/>
        <w:tabs>
          <w:tab w:val="clear" w:pos="851"/>
          <w:tab w:val="num" w:pos="709"/>
        </w:tabs>
        <w:spacing w:after="0"/>
        <w:rPr>
          <w:rFonts w:cs="Open Sans"/>
          <w:sz w:val="36"/>
          <w:szCs w:val="36"/>
        </w:rPr>
      </w:pPr>
      <w:bookmarkStart w:id="38" w:name="_Toc25740077"/>
      <w:bookmarkEnd w:id="36"/>
      <w:bookmarkEnd w:id="37"/>
      <w:r w:rsidRPr="00604D59">
        <w:rPr>
          <w:rFonts w:cs="Open Sans"/>
          <w:sz w:val="36"/>
          <w:szCs w:val="36"/>
        </w:rPr>
        <w:t>Arbitrary detention</w:t>
      </w:r>
      <w:bookmarkEnd w:id="38"/>
    </w:p>
    <w:p w14:paraId="1EBCFA43" w14:textId="77777777" w:rsidR="00DF3E00" w:rsidRPr="00E95FE0" w:rsidRDefault="00DF3E00" w:rsidP="00DF3E00">
      <w:pPr>
        <w:numPr>
          <w:ilvl w:val="0"/>
          <w:numId w:val="16"/>
        </w:numPr>
        <w:rPr>
          <w:rFonts w:cs="Open Sans"/>
        </w:rPr>
      </w:pPr>
      <w:bookmarkStart w:id="39" w:name="_Toc5183421"/>
      <w:r w:rsidRPr="00E95FE0">
        <w:rPr>
          <w:rFonts w:cs="Open Sans"/>
        </w:rPr>
        <w:t xml:space="preserve">Mr Anees complains about his continuing detention in an immigration detention centre. This requires consideration to be given to whether his detention is ‘arbitrary’ contrary to article 9(1) of the ICCPR. </w:t>
      </w:r>
    </w:p>
    <w:p w14:paraId="52D99F40" w14:textId="77777777" w:rsidR="00DF3E00" w:rsidRPr="003356E3" w:rsidRDefault="00DF3E00" w:rsidP="00DF3E00">
      <w:pPr>
        <w:pStyle w:val="Heading2"/>
        <w:tabs>
          <w:tab w:val="clear" w:pos="851"/>
          <w:tab w:val="num" w:pos="709"/>
        </w:tabs>
        <w:spacing w:after="0"/>
        <w:ind w:left="4394" w:hanging="4394"/>
        <w:rPr>
          <w:rFonts w:cs="Open Sans"/>
          <w:i w:val="0"/>
          <w:iCs/>
          <w:szCs w:val="28"/>
        </w:rPr>
      </w:pPr>
      <w:bookmarkStart w:id="40" w:name="_Toc452472696"/>
      <w:bookmarkStart w:id="41" w:name="_Toc487445603"/>
      <w:bookmarkStart w:id="42" w:name="_Toc487531388"/>
      <w:bookmarkStart w:id="43" w:name="_Toc487531407"/>
      <w:bookmarkStart w:id="44" w:name="_Toc487531477"/>
      <w:bookmarkStart w:id="45" w:name="_Toc487531597"/>
      <w:bookmarkStart w:id="46" w:name="_Toc511049486"/>
      <w:bookmarkStart w:id="47" w:name="_Toc4159046"/>
      <w:bookmarkStart w:id="48" w:name="_Toc15040013"/>
      <w:bookmarkStart w:id="49" w:name="_Toc25740078"/>
      <w:r w:rsidRPr="003356E3">
        <w:rPr>
          <w:rFonts w:cs="Open Sans"/>
          <w:i w:val="0"/>
          <w:iCs/>
          <w:szCs w:val="28"/>
        </w:rPr>
        <w:t>Law on article 9 of the ICCPR</w:t>
      </w:r>
      <w:bookmarkEnd w:id="40"/>
      <w:bookmarkEnd w:id="41"/>
      <w:bookmarkEnd w:id="42"/>
      <w:bookmarkEnd w:id="43"/>
      <w:bookmarkEnd w:id="44"/>
      <w:bookmarkEnd w:id="45"/>
      <w:bookmarkEnd w:id="46"/>
      <w:bookmarkEnd w:id="47"/>
      <w:bookmarkEnd w:id="48"/>
      <w:bookmarkEnd w:id="49"/>
      <w:r w:rsidRPr="003356E3">
        <w:rPr>
          <w:rFonts w:cs="Open Sans"/>
          <w:i w:val="0"/>
          <w:iCs/>
          <w:szCs w:val="28"/>
        </w:rPr>
        <w:t xml:space="preserve"> </w:t>
      </w:r>
    </w:p>
    <w:p w14:paraId="01BF3BF6" w14:textId="77777777" w:rsidR="00DF3E00" w:rsidRPr="00E95FE0" w:rsidRDefault="00DF3E00" w:rsidP="00DF3E00">
      <w:pPr>
        <w:numPr>
          <w:ilvl w:val="0"/>
          <w:numId w:val="16"/>
        </w:numPr>
        <w:rPr>
          <w:rFonts w:cs="Open Sans"/>
          <w:szCs w:val="24"/>
        </w:rPr>
      </w:pPr>
      <w:r w:rsidRPr="00E95FE0">
        <w:rPr>
          <w:rFonts w:cs="Open Sans"/>
          <w:szCs w:val="24"/>
        </w:rPr>
        <w:t>The following principles relating to arbitrary detention within the meaning of article 9 of the ICCPR arise from international human rights jurisprudence:</w:t>
      </w:r>
    </w:p>
    <w:p w14:paraId="206BFA73" w14:textId="77777777" w:rsidR="00DF3E00" w:rsidRPr="00E95FE0" w:rsidRDefault="00DF3E00" w:rsidP="009F49EA">
      <w:pPr>
        <w:pStyle w:val="ListParagraph"/>
        <w:widowControl w:val="0"/>
        <w:numPr>
          <w:ilvl w:val="0"/>
          <w:numId w:val="28"/>
        </w:numPr>
        <w:tabs>
          <w:tab w:val="left" w:pos="1701"/>
        </w:tabs>
        <w:autoSpaceDE w:val="0"/>
        <w:autoSpaceDN w:val="0"/>
        <w:spacing w:after="60" w:line="300" w:lineRule="exact"/>
        <w:ind w:left="1701" w:hanging="567"/>
        <w:contextualSpacing w:val="0"/>
        <w:rPr>
          <w:rFonts w:cs="Open Sans"/>
          <w:sz w:val="13"/>
        </w:rPr>
      </w:pPr>
      <w:r w:rsidRPr="00E95FE0">
        <w:rPr>
          <w:rFonts w:cs="Open Sans"/>
        </w:rPr>
        <w:t>‘detention’ includes immigration detention</w:t>
      </w:r>
      <w:r w:rsidRPr="00E95FE0">
        <w:rPr>
          <w:rStyle w:val="EndnoteReference"/>
          <w:rFonts w:ascii="Open Sans" w:hAnsi="Open Sans" w:cs="Open Sans"/>
        </w:rPr>
        <w:endnoteReference w:id="5"/>
      </w:r>
    </w:p>
    <w:p w14:paraId="6973DC74" w14:textId="77777777" w:rsidR="00DF3E00" w:rsidRPr="00E95FE0" w:rsidRDefault="00DF3E00" w:rsidP="009F49EA">
      <w:pPr>
        <w:pStyle w:val="ListParagraph"/>
        <w:widowControl w:val="0"/>
        <w:numPr>
          <w:ilvl w:val="0"/>
          <w:numId w:val="28"/>
        </w:numPr>
        <w:tabs>
          <w:tab w:val="left" w:pos="1701"/>
        </w:tabs>
        <w:autoSpaceDE w:val="0"/>
        <w:autoSpaceDN w:val="0"/>
        <w:spacing w:after="60" w:line="300" w:lineRule="exact"/>
        <w:ind w:left="1701" w:hanging="567"/>
        <w:contextualSpacing w:val="0"/>
        <w:rPr>
          <w:rFonts w:cs="Open Sans"/>
          <w:sz w:val="13"/>
        </w:rPr>
      </w:pPr>
      <w:r w:rsidRPr="00E95FE0">
        <w:rPr>
          <w:rFonts w:cs="Open Sans"/>
        </w:rPr>
        <w:t>lawful detention may become ‘arbitrary’ when a person’s deprivation of liberty becomes unjust, unreasonable or disproportionate in the particular circumstances</w:t>
      </w:r>
      <w:r w:rsidRPr="00E95FE0">
        <w:rPr>
          <w:rStyle w:val="EndnoteReference"/>
          <w:rFonts w:ascii="Open Sans" w:hAnsi="Open Sans" w:cs="Open Sans"/>
        </w:rPr>
        <w:endnoteReference w:id="6"/>
      </w:r>
    </w:p>
    <w:p w14:paraId="1CDD3458" w14:textId="77777777" w:rsidR="00DF3E00" w:rsidRPr="00E95FE0" w:rsidRDefault="00DF3E00" w:rsidP="009F49EA">
      <w:pPr>
        <w:pStyle w:val="ListParagraph"/>
        <w:widowControl w:val="0"/>
        <w:numPr>
          <w:ilvl w:val="0"/>
          <w:numId w:val="28"/>
        </w:numPr>
        <w:tabs>
          <w:tab w:val="left" w:pos="1701"/>
        </w:tabs>
        <w:autoSpaceDE w:val="0"/>
        <w:autoSpaceDN w:val="0"/>
        <w:spacing w:after="60" w:line="300" w:lineRule="exact"/>
        <w:ind w:left="1701" w:hanging="567"/>
        <w:contextualSpacing w:val="0"/>
        <w:rPr>
          <w:rFonts w:cs="Open Sans"/>
        </w:rPr>
      </w:pPr>
      <w:r w:rsidRPr="00E95FE0">
        <w:rPr>
          <w:rFonts w:cs="Open Sans"/>
        </w:rPr>
        <w:t>‘arbitrariness’ is not to be equated with ‘against the law’; it must be interpreted more broadly to include elements of inappropriateness, injustice or lack of predictability</w:t>
      </w:r>
      <w:r w:rsidRPr="00E95FE0">
        <w:rPr>
          <w:rStyle w:val="EndnoteReference"/>
          <w:rFonts w:ascii="Open Sans" w:hAnsi="Open Sans" w:cs="Open Sans"/>
        </w:rPr>
        <w:endnoteReference w:id="7"/>
      </w:r>
      <w:r w:rsidRPr="00E95FE0">
        <w:rPr>
          <w:rFonts w:cs="Open Sans"/>
        </w:rPr>
        <w:t xml:space="preserve"> </w:t>
      </w:r>
    </w:p>
    <w:p w14:paraId="6D2DE484" w14:textId="77777777" w:rsidR="00DF3E00" w:rsidRPr="00E95FE0" w:rsidRDefault="00DF3E00" w:rsidP="009F49EA">
      <w:pPr>
        <w:pStyle w:val="ListParagraph"/>
        <w:widowControl w:val="0"/>
        <w:numPr>
          <w:ilvl w:val="0"/>
          <w:numId w:val="28"/>
        </w:numPr>
        <w:tabs>
          <w:tab w:val="left" w:pos="1701"/>
        </w:tabs>
        <w:autoSpaceDE w:val="0"/>
        <w:autoSpaceDN w:val="0"/>
        <w:spacing w:after="60" w:line="300" w:lineRule="exact"/>
        <w:ind w:left="1701" w:hanging="567"/>
        <w:contextualSpacing w:val="0"/>
        <w:rPr>
          <w:rFonts w:cs="Open Sans"/>
          <w:sz w:val="13"/>
        </w:rPr>
      </w:pPr>
      <w:bookmarkStart w:id="51" w:name="_bookmark4"/>
      <w:bookmarkEnd w:id="51"/>
      <w:r w:rsidRPr="00E95FE0">
        <w:rPr>
          <w:rFonts w:cs="Open Sans"/>
        </w:rPr>
        <w:t>detention should not continue beyond the period for which a State party can provide appropriate justification.</w:t>
      </w:r>
      <w:r w:rsidRPr="00E95FE0">
        <w:rPr>
          <w:rStyle w:val="EndnoteReference"/>
          <w:rFonts w:ascii="Open Sans" w:hAnsi="Open Sans" w:cs="Open Sans"/>
        </w:rPr>
        <w:endnoteReference w:id="8"/>
      </w:r>
      <w:r w:rsidRPr="00E95FE0">
        <w:rPr>
          <w:rFonts w:cs="Open Sans"/>
          <w:sz w:val="13"/>
        </w:rPr>
        <w:t xml:space="preserve"> </w:t>
      </w:r>
    </w:p>
    <w:p w14:paraId="14A47FE9" w14:textId="77777777" w:rsidR="00DF3E00" w:rsidRPr="00E95FE0" w:rsidRDefault="00DF3E00" w:rsidP="00DF3E00">
      <w:pPr>
        <w:numPr>
          <w:ilvl w:val="0"/>
          <w:numId w:val="16"/>
        </w:numPr>
        <w:rPr>
          <w:rFonts w:cs="Open Sans"/>
          <w:szCs w:val="24"/>
        </w:rPr>
      </w:pPr>
      <w:r w:rsidRPr="00E95FE0">
        <w:rPr>
          <w:rFonts w:cs="Open Sans"/>
          <w:szCs w:val="24"/>
        </w:rPr>
        <w:t xml:space="preserve">In </w:t>
      </w:r>
      <w:r w:rsidRPr="00E95FE0">
        <w:rPr>
          <w:rFonts w:cs="Open Sans"/>
          <w:i/>
          <w:szCs w:val="24"/>
        </w:rPr>
        <w:t>Van Alphen v The Netherlands</w:t>
      </w:r>
      <w:r w:rsidRPr="00E95FE0">
        <w:rPr>
          <w:rFonts w:cs="Open Sans"/>
          <w:szCs w:val="24"/>
        </w:rPr>
        <w:t xml:space="preserve"> the United Nations Human Rights Committee (UN HR Committee) found detention for a period of two months to be ‘arbitrary’ because the State Party did not show that remand in custody was necessary to prevent flight, interference with evidence or recurrence of crime.</w:t>
      </w:r>
      <w:r w:rsidRPr="00E95FE0">
        <w:rPr>
          <w:rStyle w:val="EndnoteReference"/>
          <w:rFonts w:ascii="Open Sans" w:hAnsi="Open Sans" w:cs="Open Sans"/>
        </w:rPr>
        <w:endnoteReference w:id="9"/>
      </w:r>
      <w:r w:rsidRPr="00E95FE0">
        <w:rPr>
          <w:rStyle w:val="EndnoteReference"/>
          <w:rFonts w:ascii="Open Sans" w:hAnsi="Open Sans" w:cs="Open Sans"/>
        </w:rPr>
        <w:t xml:space="preserve"> </w:t>
      </w:r>
    </w:p>
    <w:p w14:paraId="05CBCD1D" w14:textId="77777777" w:rsidR="00DF3E00" w:rsidRPr="00E95FE0" w:rsidRDefault="00DF3E00" w:rsidP="00DF3E00">
      <w:pPr>
        <w:numPr>
          <w:ilvl w:val="0"/>
          <w:numId w:val="16"/>
        </w:numPr>
        <w:rPr>
          <w:rFonts w:cs="Open Sans"/>
          <w:szCs w:val="24"/>
        </w:rPr>
      </w:pPr>
      <w:r w:rsidRPr="00E95FE0">
        <w:rPr>
          <w:rFonts w:cs="Open Sans"/>
          <w:szCs w:val="24"/>
        </w:rPr>
        <w:t>The UN HR Committee has stated in several communications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E95FE0">
        <w:rPr>
          <w:rFonts w:cs="Open Sans"/>
          <w:sz w:val="20"/>
          <w:szCs w:val="24"/>
          <w:vertAlign w:val="superscript"/>
        </w:rPr>
        <w:endnoteReference w:id="10"/>
      </w:r>
      <w:r w:rsidRPr="00E95FE0">
        <w:rPr>
          <w:rFonts w:cs="Open Sans"/>
          <w:szCs w:val="24"/>
        </w:rPr>
        <w:t xml:space="preserve"> </w:t>
      </w:r>
    </w:p>
    <w:p w14:paraId="76887F3D" w14:textId="77777777" w:rsidR="00DF3E00" w:rsidRPr="00E95FE0" w:rsidRDefault="00DF3E00" w:rsidP="00DF3E00">
      <w:pPr>
        <w:pStyle w:val="ListParagraph"/>
        <w:keepNext/>
        <w:widowControl w:val="0"/>
        <w:numPr>
          <w:ilvl w:val="0"/>
          <w:numId w:val="16"/>
        </w:numPr>
        <w:tabs>
          <w:tab w:val="left" w:pos="797"/>
          <w:tab w:val="left" w:pos="798"/>
        </w:tabs>
        <w:autoSpaceDE w:val="0"/>
        <w:autoSpaceDN w:val="0"/>
        <w:spacing w:after="60" w:line="300" w:lineRule="exact"/>
        <w:contextualSpacing w:val="0"/>
        <w:rPr>
          <w:rFonts w:cs="Open Sans"/>
        </w:rPr>
      </w:pPr>
      <w:r w:rsidRPr="00E95FE0">
        <w:rPr>
          <w:rFonts w:cs="Open Sans"/>
        </w:rPr>
        <w:lastRenderedPageBreak/>
        <w:t>Relevant jurisprudence of the UN HR Committee on the right to liberty is collected in a general comment on article 9 of the ICCPR published on 16 December 2014. It makes the following comments about immigration detention in particular, based on previous decisions by the Committee:</w:t>
      </w:r>
    </w:p>
    <w:p w14:paraId="6D863FB8" w14:textId="77777777" w:rsidR="00DF3E00" w:rsidRPr="00E95FE0" w:rsidRDefault="00DF3E00" w:rsidP="00DF3E00">
      <w:pPr>
        <w:spacing w:before="120" w:after="60" w:line="300" w:lineRule="exact"/>
        <w:ind w:left="1701"/>
        <w:rPr>
          <w:rFonts w:cs="Open Sans"/>
          <w:sz w:val="22"/>
          <w:szCs w:val="22"/>
        </w:rPr>
      </w:pPr>
      <w:r w:rsidRPr="00E95FE0">
        <w:rPr>
          <w:rFonts w:cs="Open Sans"/>
          <w:sz w:val="22"/>
          <w:szCs w:val="22"/>
        </w:rPr>
        <w:t>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E95FE0">
        <w:rPr>
          <w:rStyle w:val="EndnoteReference"/>
          <w:rFonts w:ascii="Open Sans" w:hAnsi="Open Sans" w:cs="Open Sans"/>
          <w:sz w:val="22"/>
          <w:szCs w:val="22"/>
        </w:rPr>
        <w:endnoteReference w:id="11"/>
      </w:r>
      <w:r w:rsidRPr="00E95FE0">
        <w:rPr>
          <w:rFonts w:cs="Open Sans"/>
          <w:sz w:val="22"/>
          <w:szCs w:val="22"/>
        </w:rPr>
        <w:t xml:space="preserve"> </w:t>
      </w:r>
    </w:p>
    <w:p w14:paraId="524759B9" w14:textId="77777777" w:rsidR="00DF3E00" w:rsidRPr="00E95FE0" w:rsidRDefault="00DF3E00" w:rsidP="00DF3E00">
      <w:pPr>
        <w:pStyle w:val="ListParagraph"/>
        <w:keepNext/>
        <w:widowControl w:val="0"/>
        <w:numPr>
          <w:ilvl w:val="0"/>
          <w:numId w:val="16"/>
        </w:numPr>
        <w:tabs>
          <w:tab w:val="left" w:pos="797"/>
          <w:tab w:val="left" w:pos="798"/>
        </w:tabs>
        <w:autoSpaceDE w:val="0"/>
        <w:autoSpaceDN w:val="0"/>
        <w:spacing w:after="60" w:line="300" w:lineRule="exact"/>
        <w:contextualSpacing w:val="0"/>
        <w:rPr>
          <w:rFonts w:cs="Open Sans"/>
          <w:sz w:val="14"/>
        </w:rPr>
      </w:pPr>
      <w:r w:rsidRPr="00E95FE0">
        <w:rPr>
          <w:rFonts w:cs="Open Sans"/>
          <w:lang w:val="en"/>
        </w:rPr>
        <w:t>Under international law the guiding standard for restricting rights is</w:t>
      </w:r>
      <w:r w:rsidRPr="00E95FE0">
        <w:rPr>
          <w:rFonts w:cs="Open Sans"/>
        </w:rPr>
        <w:t xml:space="preserve"> proportionality, which means that deprivation of liberty (in this case, continuing immigration detention) must be necessary and proportionate to a legitimate aim of the State Party (in this case, the Commonwealth of Australia) in order to avoid being ‘arbitrary’.</w:t>
      </w:r>
      <w:r w:rsidRPr="00E95FE0">
        <w:rPr>
          <w:rStyle w:val="EndnoteReference"/>
          <w:rFonts w:ascii="Open Sans" w:hAnsi="Open Sans" w:cs="Open Sans"/>
        </w:rPr>
        <w:endnoteReference w:id="12"/>
      </w:r>
      <w:r w:rsidRPr="00E95FE0">
        <w:rPr>
          <w:rFonts w:cs="Open Sans"/>
          <w:sz w:val="14"/>
        </w:rPr>
        <w:t xml:space="preserve"> </w:t>
      </w:r>
    </w:p>
    <w:p w14:paraId="1649ECFF" w14:textId="77777777" w:rsidR="00DF3E00" w:rsidRPr="00E95FE0" w:rsidRDefault="00DF3E00" w:rsidP="00DF3E00">
      <w:pPr>
        <w:numPr>
          <w:ilvl w:val="0"/>
          <w:numId w:val="16"/>
        </w:numPr>
        <w:rPr>
          <w:rFonts w:cs="Open Sans"/>
          <w:szCs w:val="24"/>
          <w:lang w:val="en"/>
        </w:rPr>
      </w:pPr>
      <w:r w:rsidRPr="00E95FE0">
        <w:rPr>
          <w:rFonts w:cs="Open Sans"/>
          <w:szCs w:val="24"/>
          <w:lang w:val="en"/>
        </w:rPr>
        <w:t xml:space="preserve">It is therefore necessary to consider whether the detention of Mr </w:t>
      </w:r>
      <w:r w:rsidRPr="00E95FE0">
        <w:rPr>
          <w:rFonts w:cs="Open Sans"/>
        </w:rPr>
        <w:t>Anees</w:t>
      </w:r>
      <w:r w:rsidRPr="00E95FE0">
        <w:rPr>
          <w:rFonts w:cs="Open Sans"/>
          <w:szCs w:val="24"/>
          <w:lang w:val="en"/>
        </w:rPr>
        <w:t xml:space="preserve"> in closed detention facilities can be </w:t>
      </w:r>
      <w:r w:rsidRPr="00E95FE0">
        <w:rPr>
          <w:rFonts w:cs="Open Sans"/>
          <w:szCs w:val="24"/>
        </w:rPr>
        <w:t xml:space="preserve">justified as reasonable, necessary and proportionate on the basis of particular reasons specific to him, and in light of the available alternatives to closed detention. </w:t>
      </w:r>
      <w:r w:rsidRPr="00E95FE0">
        <w:rPr>
          <w:rFonts w:cs="Open Sans"/>
          <w:szCs w:val="24"/>
          <w:lang w:val="en"/>
        </w:rPr>
        <w:t xml:space="preserve">If his detention cannot be justified on these grounds, it will be </w:t>
      </w:r>
      <w:r w:rsidRPr="00E95FE0">
        <w:rPr>
          <w:rFonts w:cs="Open Sans"/>
          <w:szCs w:val="24"/>
        </w:rPr>
        <w:t xml:space="preserve">disproportionate to the Commonwealth’s legitimate aim of ensuring the effective operation of Australia’s migration system and therefore considered ‘arbitrary’ under article 9 of the ICCPR. </w:t>
      </w:r>
    </w:p>
    <w:p w14:paraId="2D159D7F" w14:textId="77777777" w:rsidR="00DF3E00" w:rsidRPr="003356E3" w:rsidRDefault="00DF3E00" w:rsidP="000E041F">
      <w:pPr>
        <w:pStyle w:val="Heading2"/>
        <w:tabs>
          <w:tab w:val="clear" w:pos="851"/>
          <w:tab w:val="num" w:pos="709"/>
        </w:tabs>
        <w:spacing w:after="0"/>
        <w:ind w:left="4394" w:hanging="4394"/>
        <w:rPr>
          <w:rFonts w:cs="Open Sans"/>
          <w:i w:val="0"/>
          <w:iCs/>
          <w:szCs w:val="28"/>
        </w:rPr>
      </w:pPr>
      <w:bookmarkStart w:id="53" w:name="_Toc452472697"/>
      <w:bookmarkStart w:id="54" w:name="_Toc487445604"/>
      <w:bookmarkStart w:id="55" w:name="_Toc487531389"/>
      <w:bookmarkStart w:id="56" w:name="_Toc487531408"/>
      <w:bookmarkStart w:id="57" w:name="_Toc487531478"/>
      <w:bookmarkStart w:id="58" w:name="_Toc487531598"/>
      <w:bookmarkStart w:id="59" w:name="_Toc511049487"/>
      <w:bookmarkStart w:id="60" w:name="_Toc4159047"/>
      <w:bookmarkStart w:id="61" w:name="_Toc15040014"/>
      <w:bookmarkStart w:id="62" w:name="_Toc25740079"/>
      <w:r w:rsidRPr="003356E3">
        <w:rPr>
          <w:rFonts w:cs="Open Sans"/>
          <w:i w:val="0"/>
          <w:iCs/>
          <w:szCs w:val="28"/>
        </w:rPr>
        <w:t>Act or practice of the Commonwealth</w:t>
      </w:r>
      <w:bookmarkEnd w:id="53"/>
      <w:bookmarkEnd w:id="54"/>
      <w:bookmarkEnd w:id="55"/>
      <w:bookmarkEnd w:id="56"/>
      <w:bookmarkEnd w:id="57"/>
      <w:bookmarkEnd w:id="58"/>
      <w:bookmarkEnd w:id="59"/>
      <w:bookmarkEnd w:id="60"/>
      <w:bookmarkEnd w:id="61"/>
      <w:bookmarkEnd w:id="62"/>
    </w:p>
    <w:p w14:paraId="3147E715" w14:textId="77777777" w:rsidR="00DF3E00" w:rsidRPr="00E95FE0" w:rsidRDefault="00DF3E00" w:rsidP="00DF3E00">
      <w:pPr>
        <w:numPr>
          <w:ilvl w:val="0"/>
          <w:numId w:val="16"/>
        </w:numPr>
        <w:rPr>
          <w:rFonts w:cs="Open Sans"/>
          <w:szCs w:val="24"/>
        </w:rPr>
      </w:pPr>
      <w:r w:rsidRPr="00E95FE0">
        <w:rPr>
          <w:rFonts w:cs="Open Sans"/>
          <w:szCs w:val="24"/>
        </w:rPr>
        <w:t>Mr Anees is an unlawful non-citizen, meaning the Migration Act required that he be detained.</w:t>
      </w:r>
    </w:p>
    <w:p w14:paraId="2E78D138" w14:textId="45FE3B41" w:rsidR="00DF3E00" w:rsidRPr="00E95FE0" w:rsidRDefault="00DF3E00" w:rsidP="00DF3E00">
      <w:pPr>
        <w:numPr>
          <w:ilvl w:val="0"/>
          <w:numId w:val="16"/>
        </w:numPr>
        <w:rPr>
          <w:rFonts w:cs="Open Sans"/>
          <w:szCs w:val="24"/>
        </w:rPr>
      </w:pPr>
      <w:r w:rsidRPr="00E95FE0">
        <w:rPr>
          <w:rFonts w:cs="Open Sans"/>
          <w:szCs w:val="24"/>
        </w:rPr>
        <w:t xml:space="preserve">However, there are a number of powers that the Minister could have exercised either to grant a visa, or to allow detention in a less restrictive manner than in a closed immigration detention centre. </w:t>
      </w:r>
    </w:p>
    <w:p w14:paraId="6BFF1AD9" w14:textId="77777777" w:rsidR="00DF3E00" w:rsidRPr="00E95FE0" w:rsidRDefault="00DF3E00" w:rsidP="00DF3E00">
      <w:pPr>
        <w:numPr>
          <w:ilvl w:val="0"/>
          <w:numId w:val="16"/>
        </w:numPr>
        <w:rPr>
          <w:rFonts w:cs="Open Sans"/>
          <w:szCs w:val="24"/>
        </w:rPr>
      </w:pPr>
      <w:r w:rsidRPr="00E95FE0">
        <w:rPr>
          <w:rFonts w:cs="Open Sans"/>
          <w:szCs w:val="24"/>
        </w:rPr>
        <w:t xml:space="preserve">Section 197AB of the Migration Act permits the Minister, where he thinks that it is in the public interest to do so, to make a residence determination </w:t>
      </w:r>
      <w:r w:rsidRPr="00E95FE0">
        <w:rPr>
          <w:rFonts w:cs="Open Sans"/>
          <w:szCs w:val="24"/>
        </w:rPr>
        <w:lastRenderedPageBreak/>
        <w:t xml:space="preserve">to allow a person to reside in a specified place instead of being detained in closed immigration detention. A ‘specified place’ may be a place in the community. The residence determination may be made subject to other conditions such as reporting requirements. </w:t>
      </w:r>
    </w:p>
    <w:p w14:paraId="34B5D7F1" w14:textId="77777777" w:rsidR="00DF3E00" w:rsidRPr="00E95FE0" w:rsidRDefault="00DF3E00" w:rsidP="00DF3E00">
      <w:pPr>
        <w:numPr>
          <w:ilvl w:val="0"/>
          <w:numId w:val="16"/>
        </w:numPr>
        <w:rPr>
          <w:rFonts w:cs="Open Sans"/>
          <w:szCs w:val="24"/>
        </w:rPr>
      </w:pPr>
      <w:r w:rsidRPr="00E95FE0">
        <w:rPr>
          <w:rFonts w:cs="Open Sans"/>
          <w:szCs w:val="24"/>
        </w:rPr>
        <w:t xml:space="preserve">In addition to the power to make a residence determination under s 197AB, the Minister also has a discretionary non-compellable power under s 195A to grant a visa to a person in immigration detention, again subject to any conditions necessary to take into account their specific circumstances. </w:t>
      </w:r>
    </w:p>
    <w:p w14:paraId="3F29FB9D" w14:textId="77777777" w:rsidR="00DF3E00" w:rsidRPr="00E95FE0" w:rsidRDefault="00DF3E00" w:rsidP="00DF3E00">
      <w:pPr>
        <w:numPr>
          <w:ilvl w:val="0"/>
          <w:numId w:val="16"/>
        </w:numPr>
        <w:rPr>
          <w:rFonts w:cs="Open Sans"/>
          <w:szCs w:val="24"/>
        </w:rPr>
      </w:pPr>
      <w:r w:rsidRPr="00E95FE0">
        <w:rPr>
          <w:rFonts w:cs="Open Sans"/>
        </w:rPr>
        <w:t xml:space="preserve">I consider two acts of the Commonwealth as relevant to this inquiry: </w:t>
      </w:r>
    </w:p>
    <w:p w14:paraId="48A67F51" w14:textId="172851B9" w:rsidR="00DF3E00" w:rsidRPr="00E95FE0" w:rsidRDefault="00DF3E00" w:rsidP="009F49EA">
      <w:pPr>
        <w:pStyle w:val="ListParagraph"/>
        <w:numPr>
          <w:ilvl w:val="0"/>
          <w:numId w:val="27"/>
        </w:numPr>
        <w:spacing w:before="240" w:after="240"/>
        <w:ind w:left="1797" w:hanging="357"/>
        <w:contextualSpacing w:val="0"/>
        <w:rPr>
          <w:rFonts w:cs="Open Sans"/>
        </w:rPr>
      </w:pPr>
      <w:r w:rsidRPr="00E95FE0">
        <w:rPr>
          <w:rFonts w:cs="Open Sans"/>
        </w:rPr>
        <w:t>The failure of the Department to refer the case to the Minister in order for the Minister to assess whether to exercise his discretionary powers under s</w:t>
      </w:r>
      <w:r w:rsidR="004A4CD4">
        <w:rPr>
          <w:rFonts w:cs="Open Sans"/>
        </w:rPr>
        <w:t>s</w:t>
      </w:r>
      <w:r w:rsidRPr="00E95FE0">
        <w:rPr>
          <w:rFonts w:cs="Open Sans"/>
        </w:rPr>
        <w:t xml:space="preserve"> 195A or 197AB until 19 October 2018.</w:t>
      </w:r>
    </w:p>
    <w:p w14:paraId="366F12A1" w14:textId="77777777" w:rsidR="00DF3E00" w:rsidRPr="00E95FE0" w:rsidRDefault="00DF3E00" w:rsidP="009F49EA">
      <w:pPr>
        <w:pStyle w:val="ListParagraph"/>
        <w:numPr>
          <w:ilvl w:val="0"/>
          <w:numId w:val="27"/>
        </w:numPr>
        <w:spacing w:before="240" w:after="240"/>
        <w:ind w:left="1797" w:hanging="357"/>
        <w:contextualSpacing w:val="0"/>
        <w:rPr>
          <w:rFonts w:cs="Open Sans"/>
        </w:rPr>
      </w:pPr>
      <w:r w:rsidRPr="00E95FE0">
        <w:rPr>
          <w:rFonts w:cs="Open Sans"/>
        </w:rPr>
        <w:t>The failure of the Minister to consider exercising his discretionary powers under ss 195A and 197AB of the Migration Act.</w:t>
      </w:r>
    </w:p>
    <w:p w14:paraId="5E2A79E9" w14:textId="77777777" w:rsidR="00DF3E00" w:rsidRPr="003356E3" w:rsidRDefault="00DF3E00" w:rsidP="00DF3E00">
      <w:pPr>
        <w:pStyle w:val="Heading2"/>
        <w:tabs>
          <w:tab w:val="clear" w:pos="851"/>
          <w:tab w:val="num" w:pos="709"/>
        </w:tabs>
        <w:spacing w:after="0"/>
        <w:ind w:left="4394" w:hanging="4394"/>
        <w:rPr>
          <w:rFonts w:cs="Open Sans"/>
          <w:i w:val="0"/>
          <w:iCs/>
          <w:szCs w:val="28"/>
        </w:rPr>
      </w:pPr>
      <w:bookmarkStart w:id="63" w:name="_Toc15040015"/>
      <w:bookmarkStart w:id="64" w:name="_Toc25740080"/>
      <w:r w:rsidRPr="003356E3">
        <w:rPr>
          <w:rFonts w:cs="Open Sans"/>
          <w:i w:val="0"/>
          <w:iCs/>
          <w:szCs w:val="28"/>
        </w:rPr>
        <w:t>Findings</w:t>
      </w:r>
      <w:bookmarkEnd w:id="63"/>
      <w:bookmarkEnd w:id="64"/>
    </w:p>
    <w:p w14:paraId="1E93CE2B" w14:textId="6B9C1BBA" w:rsidR="00DF3E00" w:rsidRPr="00E95FE0" w:rsidRDefault="00DF3E00" w:rsidP="00DF3E00">
      <w:pPr>
        <w:numPr>
          <w:ilvl w:val="0"/>
          <w:numId w:val="16"/>
        </w:numPr>
        <w:rPr>
          <w:rFonts w:cs="Open Sans"/>
        </w:rPr>
      </w:pPr>
      <w:r w:rsidRPr="00E95FE0">
        <w:rPr>
          <w:rFonts w:cs="Open Sans"/>
        </w:rPr>
        <w:t>Mr Anees was taken into immigration detention on 5 October 2016. At the time of writing, he ha</w:t>
      </w:r>
      <w:r w:rsidR="000D0043">
        <w:rPr>
          <w:rFonts w:cs="Open Sans"/>
        </w:rPr>
        <w:t>d</w:t>
      </w:r>
      <w:r w:rsidRPr="00E95FE0">
        <w:rPr>
          <w:rFonts w:cs="Open Sans"/>
        </w:rPr>
        <w:t xml:space="preserve"> been detained for 33 months. He is currently detained at Brisbane Immigration Transit Accommodation.</w:t>
      </w:r>
    </w:p>
    <w:p w14:paraId="2758F807" w14:textId="77777777" w:rsidR="00DF3E00" w:rsidRPr="00E95FE0" w:rsidRDefault="00DF3E00" w:rsidP="00DF3E00">
      <w:pPr>
        <w:numPr>
          <w:ilvl w:val="0"/>
          <w:numId w:val="16"/>
        </w:numPr>
        <w:rPr>
          <w:rFonts w:cs="Open Sans"/>
        </w:rPr>
      </w:pPr>
      <w:r w:rsidRPr="00E95FE0">
        <w:rPr>
          <w:rFonts w:cs="Open Sans"/>
        </w:rPr>
        <w:t xml:space="preserve">On 27 April 2017 and 17 May 2017, the Department found Mr Anees not to meet the Ministerial Intervention Guidelines under s 195A, and he was therefore not referred to the Minister. </w:t>
      </w:r>
    </w:p>
    <w:p w14:paraId="1B2FE50F" w14:textId="77777777" w:rsidR="00DF3E00" w:rsidRPr="00E95FE0" w:rsidRDefault="00DF3E00" w:rsidP="00DF3E00">
      <w:pPr>
        <w:numPr>
          <w:ilvl w:val="0"/>
          <w:numId w:val="16"/>
        </w:numPr>
        <w:rPr>
          <w:rFonts w:cs="Open Sans"/>
        </w:rPr>
      </w:pPr>
      <w:r w:rsidRPr="00E95FE0">
        <w:rPr>
          <w:rFonts w:cs="Open Sans"/>
        </w:rPr>
        <w:t>On 29 March 2015, the Hon Peter Dutton MP, Minister for Home Affairs, published guidelines to explain the circumstances in which he may wish to consider exercising his residence determination power under s 197AB of the Migration Act.</w:t>
      </w:r>
      <w:r w:rsidRPr="00E95FE0">
        <w:rPr>
          <w:rFonts w:cs="Open Sans"/>
          <w:vertAlign w:val="superscript"/>
        </w:rPr>
        <w:endnoteReference w:id="13"/>
      </w:r>
      <w:r w:rsidRPr="00E95FE0">
        <w:rPr>
          <w:rFonts w:cs="Open Sans"/>
        </w:rPr>
        <w:t xml:space="preserve"> </w:t>
      </w:r>
    </w:p>
    <w:p w14:paraId="177332FD" w14:textId="77777777" w:rsidR="00DF3E00" w:rsidRPr="00E95FE0" w:rsidRDefault="00DF3E00" w:rsidP="00DF3E00">
      <w:pPr>
        <w:numPr>
          <w:ilvl w:val="0"/>
          <w:numId w:val="16"/>
        </w:numPr>
        <w:rPr>
          <w:rFonts w:cs="Open Sans"/>
        </w:rPr>
      </w:pPr>
      <w:r w:rsidRPr="00E95FE0">
        <w:rPr>
          <w:rFonts w:cs="Open Sans"/>
        </w:rPr>
        <w:t>These guidelines provide that the Minister would not expect referral of cases where a person does not meet the character test under s 501 of the Migration Act, unless there were exceptional circumstances.</w:t>
      </w:r>
    </w:p>
    <w:p w14:paraId="3977D2C7" w14:textId="77777777" w:rsidR="00DF3E00" w:rsidRPr="00E95FE0" w:rsidRDefault="00DF3E00" w:rsidP="00DF3E00">
      <w:pPr>
        <w:numPr>
          <w:ilvl w:val="0"/>
          <w:numId w:val="16"/>
        </w:numPr>
        <w:rPr>
          <w:rFonts w:cs="Open Sans"/>
        </w:rPr>
      </w:pPr>
      <w:r w:rsidRPr="00E95FE0">
        <w:rPr>
          <w:rFonts w:cs="Open Sans"/>
        </w:rPr>
        <w:t>The guidelines also state that the Minister will consider cases where there are ‘unique or exceptional circumstances’.</w:t>
      </w:r>
    </w:p>
    <w:p w14:paraId="44DDDEFB" w14:textId="77777777" w:rsidR="00DF3E00" w:rsidRPr="00E95FE0" w:rsidRDefault="00DF3E00" w:rsidP="00DF3E00">
      <w:pPr>
        <w:numPr>
          <w:ilvl w:val="0"/>
          <w:numId w:val="16"/>
        </w:numPr>
        <w:rPr>
          <w:rFonts w:cs="Open Sans"/>
        </w:rPr>
      </w:pPr>
      <w:r w:rsidRPr="00E95FE0">
        <w:rPr>
          <w:rFonts w:cs="Open Sans"/>
        </w:rPr>
        <w:t xml:space="preserve">The phrase ‘unique or exceptional circumstances’ is not defined in any of the guidelines, however it is defined in similar guidelines relating to the </w:t>
      </w:r>
      <w:r w:rsidRPr="00E95FE0">
        <w:rPr>
          <w:rFonts w:cs="Open Sans"/>
        </w:rPr>
        <w:lastRenderedPageBreak/>
        <w:t>Minister’s power to grant visas in the public interest.</w:t>
      </w:r>
      <w:r w:rsidRPr="00E95FE0">
        <w:rPr>
          <w:rFonts w:cs="Open Sans"/>
          <w:vertAlign w:val="superscript"/>
        </w:rPr>
        <w:endnoteReference w:id="14"/>
      </w:r>
      <w:r w:rsidRPr="00E95FE0">
        <w:rPr>
          <w:rFonts w:cs="Open Sans"/>
        </w:rPr>
        <w:t xml:space="preserve"> In those guidelines, factors that are relevant to an assessment of unique or exceptional circumstances include:</w:t>
      </w:r>
    </w:p>
    <w:p w14:paraId="0EC00FFD" w14:textId="77777777" w:rsidR="00DF3E00" w:rsidRPr="00E95FE0" w:rsidRDefault="00DF3E00" w:rsidP="00DF3E00">
      <w:pPr>
        <w:numPr>
          <w:ilvl w:val="1"/>
          <w:numId w:val="16"/>
        </w:numPr>
        <w:tabs>
          <w:tab w:val="clear" w:pos="1494"/>
          <w:tab w:val="num" w:pos="1440"/>
        </w:tabs>
        <w:ind w:left="1434" w:hanging="357"/>
        <w:rPr>
          <w:rFonts w:cs="Open Sans"/>
        </w:rPr>
      </w:pPr>
      <w:r w:rsidRPr="00E95FE0">
        <w:rPr>
          <w:rFonts w:cs="Open Sans"/>
        </w:rPr>
        <w:t xml:space="preserve">circumstances that may bring Australia’s obligations as a party to the ICCPR into consideration </w:t>
      </w:r>
    </w:p>
    <w:p w14:paraId="7932175A" w14:textId="77777777" w:rsidR="00DF3E00" w:rsidRPr="00E95FE0" w:rsidRDefault="00DF3E00" w:rsidP="00DF3E00">
      <w:pPr>
        <w:numPr>
          <w:ilvl w:val="1"/>
          <w:numId w:val="16"/>
        </w:numPr>
        <w:tabs>
          <w:tab w:val="clear" w:pos="1494"/>
          <w:tab w:val="num" w:pos="1440"/>
        </w:tabs>
        <w:ind w:left="1434" w:hanging="357"/>
        <w:rPr>
          <w:rFonts w:cs="Open Sans"/>
        </w:rPr>
      </w:pPr>
      <w:r w:rsidRPr="00E95FE0">
        <w:rPr>
          <w:rFonts w:cs="Open Sans"/>
        </w:rPr>
        <w:t>the length of time the person has been present in Australia (including time spent in detention) and their level of integration into the Australian community</w:t>
      </w:r>
    </w:p>
    <w:p w14:paraId="11B6CB9D" w14:textId="77777777" w:rsidR="00DF3E00" w:rsidRPr="00E95FE0" w:rsidRDefault="00DF3E00" w:rsidP="00DF3E00">
      <w:pPr>
        <w:numPr>
          <w:ilvl w:val="1"/>
          <w:numId w:val="16"/>
        </w:numPr>
        <w:tabs>
          <w:tab w:val="clear" w:pos="1494"/>
          <w:tab w:val="num" w:pos="1440"/>
        </w:tabs>
        <w:ind w:left="1434" w:hanging="357"/>
        <w:rPr>
          <w:rFonts w:cs="Open Sans"/>
        </w:rPr>
      </w:pPr>
      <w:r w:rsidRPr="00E95FE0">
        <w:rPr>
          <w:rFonts w:cs="Open Sans"/>
        </w:rPr>
        <w:t>compassionate circumstances regarding the age and/or health and/or psychological state of the person such that a failure to recognise them would result in irreparable harm and continuing hardship to the person.</w:t>
      </w:r>
    </w:p>
    <w:p w14:paraId="2CADF983" w14:textId="77777777" w:rsidR="00DF3E00" w:rsidRPr="00E95FE0" w:rsidRDefault="00DF3E00" w:rsidP="00DF3E00">
      <w:pPr>
        <w:numPr>
          <w:ilvl w:val="0"/>
          <w:numId w:val="16"/>
        </w:numPr>
        <w:rPr>
          <w:rFonts w:cs="Open Sans"/>
        </w:rPr>
      </w:pPr>
      <w:r w:rsidRPr="00E95FE0">
        <w:rPr>
          <w:rFonts w:cs="Open Sans"/>
        </w:rPr>
        <w:t>Similarly, guidelines have been published in relation to the exercise of the Minister’s power under s 195A of the Migration Act to grant a visa to a person in immigration detention.</w:t>
      </w:r>
    </w:p>
    <w:p w14:paraId="2949E843" w14:textId="77777777" w:rsidR="00DF3E00" w:rsidRPr="00E95FE0" w:rsidRDefault="00DF3E00" w:rsidP="00DF3E00">
      <w:pPr>
        <w:numPr>
          <w:ilvl w:val="0"/>
          <w:numId w:val="16"/>
        </w:numPr>
        <w:rPr>
          <w:rFonts w:cs="Open Sans"/>
        </w:rPr>
      </w:pPr>
      <w:r w:rsidRPr="00E95FE0">
        <w:rPr>
          <w:rFonts w:cs="Open Sans"/>
        </w:rPr>
        <w:t xml:space="preserve">In April 2016, Minister Dutton re-issued s 195A guidelines, which are the current guidelines in use by the Department. These guidelines provide that the Minister would not expect referral of cases where a person does not meet the character test under s 501 of the Migration Act. Although there is no exception for unique or exceptional circumstances—unlike the other ministerial intervention guidelines referred to above—under these guidelines the Minister will consider cases where there are compelling or compassionate circumstances. </w:t>
      </w:r>
    </w:p>
    <w:p w14:paraId="13602BBB" w14:textId="77777777" w:rsidR="00DF3E00" w:rsidRPr="00E95FE0" w:rsidRDefault="00DF3E00" w:rsidP="00DF3E00">
      <w:pPr>
        <w:numPr>
          <w:ilvl w:val="0"/>
          <w:numId w:val="16"/>
        </w:numPr>
        <w:rPr>
          <w:rFonts w:cs="Open Sans"/>
        </w:rPr>
      </w:pPr>
      <w:r w:rsidRPr="00E95FE0">
        <w:rPr>
          <w:rFonts w:cs="Open Sans"/>
        </w:rPr>
        <w:t xml:space="preserve">The Department did not refer Mr Anees to the Minister for consideration of his Ministerial Intervention powers until 19 October 2018. I consider that Mr Anees’ case should have been referred to the Minister earlier. In my view, the existence of the following factors are relevant to an assessment as to whether Mr Anees’ case presented ‘unique or exceptional circumstances’: </w:t>
      </w:r>
    </w:p>
    <w:p w14:paraId="6B7A7328" w14:textId="77777777" w:rsidR="00DF3E00" w:rsidRPr="00E95FE0" w:rsidRDefault="00DF3E00" w:rsidP="00DF3E00">
      <w:pPr>
        <w:numPr>
          <w:ilvl w:val="1"/>
          <w:numId w:val="16"/>
        </w:numPr>
        <w:tabs>
          <w:tab w:val="clear" w:pos="1494"/>
          <w:tab w:val="num" w:pos="1440"/>
        </w:tabs>
        <w:ind w:left="1434" w:hanging="357"/>
        <w:rPr>
          <w:rFonts w:cs="Open Sans"/>
        </w:rPr>
      </w:pPr>
      <w:r w:rsidRPr="00E95FE0">
        <w:rPr>
          <w:rFonts w:cs="Open Sans"/>
        </w:rPr>
        <w:t>at the time of the Department’s initial assessment of Mr Anees against the relevant guidelines he had been detained for over six months</w:t>
      </w:r>
    </w:p>
    <w:p w14:paraId="53A0B7A5" w14:textId="77777777" w:rsidR="00DF3E00" w:rsidRPr="00E95FE0" w:rsidRDefault="00DF3E00" w:rsidP="00DF3E00">
      <w:pPr>
        <w:numPr>
          <w:ilvl w:val="1"/>
          <w:numId w:val="16"/>
        </w:numPr>
        <w:tabs>
          <w:tab w:val="clear" w:pos="1494"/>
          <w:tab w:val="num" w:pos="1440"/>
        </w:tabs>
        <w:ind w:left="1434" w:hanging="357"/>
        <w:rPr>
          <w:rFonts w:cs="Open Sans"/>
        </w:rPr>
      </w:pPr>
      <w:r w:rsidRPr="00E95FE0">
        <w:rPr>
          <w:rFonts w:cs="Open Sans"/>
        </w:rPr>
        <w:t xml:space="preserve">he was resident in Australia for almost ten years prior to his detention </w:t>
      </w:r>
    </w:p>
    <w:p w14:paraId="57B2275B" w14:textId="77777777" w:rsidR="00DF3E00" w:rsidRPr="00E95FE0" w:rsidRDefault="00DF3E00" w:rsidP="00DF3E00">
      <w:pPr>
        <w:numPr>
          <w:ilvl w:val="1"/>
          <w:numId w:val="16"/>
        </w:numPr>
        <w:tabs>
          <w:tab w:val="clear" w:pos="1494"/>
          <w:tab w:val="num" w:pos="1440"/>
        </w:tabs>
        <w:ind w:left="1434" w:hanging="357"/>
        <w:rPr>
          <w:rFonts w:cs="Open Sans"/>
        </w:rPr>
      </w:pPr>
      <w:r w:rsidRPr="00E95FE0">
        <w:rPr>
          <w:rFonts w:cs="Open Sans"/>
        </w:rPr>
        <w:t>IHMS recommended community detention due to his mental health issues</w:t>
      </w:r>
    </w:p>
    <w:p w14:paraId="689CB5E8" w14:textId="77777777" w:rsidR="00DF3E00" w:rsidRPr="00E95FE0" w:rsidRDefault="00DF3E00" w:rsidP="00DF3E00">
      <w:pPr>
        <w:numPr>
          <w:ilvl w:val="1"/>
          <w:numId w:val="16"/>
        </w:numPr>
        <w:tabs>
          <w:tab w:val="clear" w:pos="1494"/>
          <w:tab w:val="num" w:pos="1440"/>
        </w:tabs>
        <w:ind w:left="1434" w:hanging="357"/>
        <w:rPr>
          <w:rFonts w:cs="Open Sans"/>
        </w:rPr>
      </w:pPr>
      <w:r w:rsidRPr="00E95FE0">
        <w:rPr>
          <w:rFonts w:cs="Open Sans"/>
        </w:rPr>
        <w:lastRenderedPageBreak/>
        <w:t>he has an Australian citizen partner with serious mental health issues.</w:t>
      </w:r>
    </w:p>
    <w:p w14:paraId="5EFB7C0B" w14:textId="5EE09EA9"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The Department’s delay in referring Mr Anees’ case to the Minister until October 2018 is particularly concerning given the mental health concerns raised by IHMS in 2017. An IHMS psychiatrist report, dated 25 May 2017, diagnosed Mr Anees with anxiety and stated he ‘is at greater risk of worsening anxiety in detention, which is likely to contribute at some point to interpersonal conflict or depression’. The psychiatrist recommended</w:t>
      </w:r>
    </w:p>
    <w:p w14:paraId="70D28803" w14:textId="77777777" w:rsidR="00DF3E00" w:rsidRPr="00E95FE0" w:rsidRDefault="00DF3E00" w:rsidP="00AE46DC">
      <w:pPr>
        <w:pStyle w:val="ListParagraph"/>
        <w:spacing w:before="240" w:after="240"/>
        <w:ind w:left="1560" w:firstLine="0"/>
        <w:contextualSpacing w:val="0"/>
        <w:rPr>
          <w:sz w:val="22"/>
          <w:szCs w:val="22"/>
        </w:rPr>
      </w:pPr>
      <w:r w:rsidRPr="00E95FE0">
        <w:rPr>
          <w:rFonts w:cs="Open Sans"/>
          <w:sz w:val="22"/>
          <w:szCs w:val="22"/>
        </w:rPr>
        <w:t>speedy resolution of immigration pathway, and CD [community detention] if immigration status allows, to both prevent worsening of anxiety, and also provide MH [mental health] support for partner. If [he] was in CD [he] needs to be in the same city as his partner, and able to have her live in with him.</w:t>
      </w:r>
    </w:p>
    <w:p w14:paraId="57B8C902"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In its response to my preliminary view, dated 26 June 2019, the Department stated:</w:t>
      </w:r>
    </w:p>
    <w:p w14:paraId="28BA0C50" w14:textId="63220B48" w:rsidR="00DF3E00" w:rsidRPr="00E95FE0" w:rsidRDefault="00DF3E00" w:rsidP="003F04E3">
      <w:pPr>
        <w:pStyle w:val="ListParagraph"/>
        <w:spacing w:before="240" w:after="240"/>
        <w:ind w:left="1560" w:firstLine="0"/>
        <w:contextualSpacing w:val="0"/>
        <w:rPr>
          <w:rFonts w:cs="Open Sans"/>
          <w:sz w:val="22"/>
          <w:szCs w:val="22"/>
        </w:rPr>
      </w:pPr>
      <w:r w:rsidRPr="00E95FE0">
        <w:rPr>
          <w:rFonts w:cs="Open Sans"/>
          <w:sz w:val="22"/>
          <w:szCs w:val="22"/>
        </w:rPr>
        <w:t>The Department’s assessment of Mr Anees’ case against the s 195A Guidelines, finalised on 27 April 2017 as ‘guidelines not met’, considered that:</w:t>
      </w:r>
    </w:p>
    <w:p w14:paraId="0477147C" w14:textId="77777777" w:rsidR="00DF3E00" w:rsidRPr="00E95FE0" w:rsidRDefault="00DF3E00" w:rsidP="009F49EA">
      <w:pPr>
        <w:pStyle w:val="ListParagraph"/>
        <w:numPr>
          <w:ilvl w:val="0"/>
          <w:numId w:val="30"/>
        </w:numPr>
        <w:spacing w:before="240" w:after="240"/>
        <w:ind w:hanging="240"/>
        <w:contextualSpacing w:val="0"/>
        <w:rPr>
          <w:rFonts w:cs="Open Sans"/>
          <w:sz w:val="22"/>
          <w:szCs w:val="22"/>
        </w:rPr>
      </w:pPr>
      <w:r w:rsidRPr="00E95FE0">
        <w:rPr>
          <w:rFonts w:cs="Open Sans"/>
          <w:sz w:val="22"/>
          <w:szCs w:val="22"/>
        </w:rPr>
        <w:t>International Health and Medical Services (IHMS) had advised the Department that Mr Anees did not have any health conditions that were unable to be cared for within a held detention environment;</w:t>
      </w:r>
    </w:p>
    <w:p w14:paraId="67598E18" w14:textId="2C20AABE" w:rsidR="00DF3E00" w:rsidRPr="00E95FE0" w:rsidRDefault="00DF3E00" w:rsidP="009F49EA">
      <w:pPr>
        <w:pStyle w:val="ListParagraph"/>
        <w:numPr>
          <w:ilvl w:val="0"/>
          <w:numId w:val="30"/>
        </w:numPr>
        <w:spacing w:before="240" w:after="240"/>
        <w:ind w:hanging="240"/>
        <w:contextualSpacing w:val="0"/>
        <w:rPr>
          <w:rFonts w:cs="Open Sans"/>
          <w:sz w:val="22"/>
          <w:szCs w:val="22"/>
        </w:rPr>
      </w:pPr>
      <w:r w:rsidRPr="00E95FE0">
        <w:rPr>
          <w:rFonts w:cs="Open Sans"/>
          <w:sz w:val="22"/>
          <w:szCs w:val="22"/>
        </w:rPr>
        <w:t xml:space="preserve">There was no information before the Department to suggest that Mr Anees’ continued detention would cause irreparable harm or continued hardship to an Australian Citizen, as Mr Anees had failed to provide evidence of Ms </w:t>
      </w:r>
      <w:r w:rsidR="00C40E58">
        <w:rPr>
          <w:rFonts w:cs="Open Sans"/>
          <w:sz w:val="22"/>
          <w:szCs w:val="22"/>
        </w:rPr>
        <w:t>ND</w:t>
      </w:r>
      <w:r w:rsidRPr="00E95FE0">
        <w:rPr>
          <w:rFonts w:cs="Open Sans"/>
          <w:sz w:val="22"/>
          <w:szCs w:val="22"/>
        </w:rPr>
        <w:t>’s dependence on Mr Anees or her disability requiring his support;</w:t>
      </w:r>
    </w:p>
    <w:p w14:paraId="71AD1FA2" w14:textId="77777777" w:rsidR="00DF3E00" w:rsidRPr="00E95FE0" w:rsidRDefault="00DF3E00" w:rsidP="009F49EA">
      <w:pPr>
        <w:pStyle w:val="ListParagraph"/>
        <w:numPr>
          <w:ilvl w:val="0"/>
          <w:numId w:val="30"/>
        </w:numPr>
        <w:spacing w:before="240" w:after="240"/>
        <w:ind w:hanging="240"/>
        <w:contextualSpacing w:val="0"/>
        <w:rPr>
          <w:rFonts w:cs="Open Sans"/>
          <w:sz w:val="22"/>
          <w:szCs w:val="22"/>
        </w:rPr>
      </w:pPr>
      <w:r w:rsidRPr="00E95FE0">
        <w:rPr>
          <w:rFonts w:cs="Open Sans"/>
          <w:sz w:val="22"/>
          <w:szCs w:val="22"/>
        </w:rPr>
        <w:t>His removal was not reasonably practicable due to the judicial review of his refused Partner visa application;</w:t>
      </w:r>
    </w:p>
    <w:p w14:paraId="19A37FCB" w14:textId="77777777" w:rsidR="00DF3E00" w:rsidRPr="00E95FE0" w:rsidRDefault="00DF3E00" w:rsidP="009F49EA">
      <w:pPr>
        <w:pStyle w:val="ListParagraph"/>
        <w:numPr>
          <w:ilvl w:val="0"/>
          <w:numId w:val="30"/>
        </w:numPr>
        <w:spacing w:before="240" w:after="240"/>
        <w:ind w:hanging="240"/>
        <w:contextualSpacing w:val="0"/>
        <w:rPr>
          <w:rFonts w:cs="Open Sans"/>
          <w:sz w:val="22"/>
          <w:szCs w:val="22"/>
        </w:rPr>
      </w:pPr>
      <w:r w:rsidRPr="00E95FE0">
        <w:rPr>
          <w:rFonts w:cs="Open Sans"/>
          <w:sz w:val="22"/>
          <w:szCs w:val="22"/>
        </w:rPr>
        <w:t>There were no other compelling and compassionate circumstances identified to warrant referral to the Minister.</w:t>
      </w:r>
    </w:p>
    <w:p w14:paraId="306A3EA0" w14:textId="77777777" w:rsidR="00DF3E00" w:rsidRPr="00E95FE0" w:rsidRDefault="00DF3E00" w:rsidP="00DF3E00">
      <w:pPr>
        <w:ind w:left="1440"/>
        <w:rPr>
          <w:rFonts w:cs="Open Sans"/>
          <w:sz w:val="22"/>
          <w:szCs w:val="22"/>
        </w:rPr>
      </w:pPr>
      <w:r w:rsidRPr="00E95FE0">
        <w:rPr>
          <w:rFonts w:cs="Open Sans"/>
          <w:sz w:val="22"/>
          <w:szCs w:val="22"/>
        </w:rPr>
        <w:t xml:space="preserve">The Department’s assessment of Mr Anees’ case against the 195A Guidelines, finalised on 6 June 2017 as ‘guidelines not met’, considered that since the previous guidelines assessment in April 2017, the supporting material he had provided with his request for Ministerial Intervention was not new information, and was inconsistent with previous advice from Mr Anees. The assessment was finalised without referral to the Minister. </w:t>
      </w:r>
    </w:p>
    <w:p w14:paraId="76F15C95"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The Department advised that Mr Anees was assessed using the Community Protection Assessment Tool (CPAT) on seven occasions. The </w:t>
      </w:r>
      <w:r w:rsidRPr="00E95FE0">
        <w:rPr>
          <w:rFonts w:cs="Open Sans"/>
        </w:rPr>
        <w:lastRenderedPageBreak/>
        <w:t>CPAT provides a recommendation of placement based on the level of risk a person poses to the community. The Department provided the following information about CPAT:</w:t>
      </w:r>
    </w:p>
    <w:p w14:paraId="2479C5E1" w14:textId="77777777" w:rsidR="00DF3E00" w:rsidRPr="00E95FE0" w:rsidRDefault="00DF3E00" w:rsidP="00811A4B">
      <w:pPr>
        <w:pStyle w:val="ListParagraph"/>
        <w:spacing w:before="240" w:after="240"/>
        <w:ind w:left="1418" w:firstLine="0"/>
        <w:contextualSpacing w:val="0"/>
        <w:rPr>
          <w:rFonts w:cs="Open Sans"/>
          <w:i/>
          <w:iCs/>
          <w:sz w:val="22"/>
          <w:szCs w:val="22"/>
        </w:rPr>
      </w:pPr>
      <w:r w:rsidRPr="00E95FE0">
        <w:rPr>
          <w:rFonts w:cs="Open Sans"/>
          <w:sz w:val="22"/>
          <w:szCs w:val="22"/>
        </w:rPr>
        <w:t xml:space="preserve">A CPAT is a point in time assessment. It is possible for a detainee’s CPAT recommendation to change over time depending on their circumstances. In addition, the CPAT parameters are regularly reviewed, and may be adjusted depending on government and departmental policy and other operational requirements. For example, it is noted that in September 2017, the CPAT parameters were updated to reflect government policy in relation to persons who have had a visa refused under section 501 of the Act. This change means that where a detainee has had a visa refused under section 501 of the Act, their CPAT will make a recommendation of </w:t>
      </w:r>
      <w:r w:rsidRPr="00E95FE0">
        <w:rPr>
          <w:rFonts w:cs="Open Sans"/>
          <w:i/>
          <w:iCs/>
          <w:sz w:val="22"/>
          <w:szCs w:val="22"/>
        </w:rPr>
        <w:t xml:space="preserve">Tier 3 – Held Detention. </w:t>
      </w:r>
    </w:p>
    <w:p w14:paraId="6EA9050E" w14:textId="77777777" w:rsidR="00DF3E00" w:rsidRPr="00E95FE0" w:rsidRDefault="00DF3E00" w:rsidP="002440E6">
      <w:pPr>
        <w:pStyle w:val="ListParagraph"/>
        <w:spacing w:before="240" w:after="240"/>
        <w:ind w:left="1418" w:firstLine="0"/>
        <w:contextualSpacing w:val="0"/>
        <w:rPr>
          <w:rFonts w:cs="Open Sans"/>
          <w:sz w:val="22"/>
          <w:szCs w:val="22"/>
        </w:rPr>
      </w:pPr>
      <w:r w:rsidRPr="00E95FE0">
        <w:rPr>
          <w:rFonts w:cs="Open Sans"/>
          <w:sz w:val="22"/>
          <w:szCs w:val="22"/>
        </w:rPr>
        <w:t>It is possible for the Department to substitute a CPAT recommendation. Where a departmental officer disagrees with the CPAT’s placement recommendation, they can provide a ‘Substituted Assessment’. This option is provided as an acknowledgement that a detainee’s circumstances may present a degree of complexity and multifaceted factors that transcend the standard assessment categories of the CPAT.</w:t>
      </w:r>
    </w:p>
    <w:p w14:paraId="0F34FE29"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On 22 February 2017, Mr Anees’ CPAT outcome was Tier 1 Bridging Visa E. On 17 May 2017, Mr Anees’ CPAT assessment was substituted with Tier 3 – held detention. The Department stated that this occurred because some of Mr Anees’ offences were serious and involved violence and the decision of the AAT to affirm his partner visa refusal. </w:t>
      </w:r>
    </w:p>
    <w:p w14:paraId="7F071899"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In relation to the Department’s assessment on 27 April 2017, it is unclear what, if any, consideration was given to the fact that Mr Anees’ CPAT outcome was that he be granted a Bridging Visa E.</w:t>
      </w:r>
    </w:p>
    <w:p w14:paraId="4E479E24"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The Department stated that, between 27 April 2017 and 6 June 2017, when the second assessment was finalised, no new information had been provided by Mr Anees. However, the Department would have been aware of the IHMS psychiatrist’s report discussed above, dated 25 May 2017, outlining Mr Anees’ mental health concerns and recommending community detention.</w:t>
      </w:r>
    </w:p>
    <w:p w14:paraId="2C8AAEF6" w14:textId="73D48D93"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In response to the Department’s claim that there was no information regarding Ms </w:t>
      </w:r>
      <w:r w:rsidR="00C40E58">
        <w:rPr>
          <w:rFonts w:cs="Open Sans"/>
        </w:rPr>
        <w:t>ND</w:t>
      </w:r>
      <w:r w:rsidRPr="00E95FE0">
        <w:rPr>
          <w:rFonts w:cs="Open Sans"/>
        </w:rPr>
        <w:t xml:space="preserve">’s disability, Mr Anees submits that in 2017 he provided the Department with evidence of the deterioration of Ms </w:t>
      </w:r>
      <w:r w:rsidR="00C40E58">
        <w:rPr>
          <w:rFonts w:cs="Open Sans"/>
        </w:rPr>
        <w:t>ND</w:t>
      </w:r>
      <w:r w:rsidRPr="00E95FE0">
        <w:rPr>
          <w:rFonts w:cs="Open Sans"/>
        </w:rPr>
        <w:t xml:space="preserve">’s mental health condition from her psychiatrist. Mr Anees provided a letter from Dr John Cocks, dated 12 May 2017, noting that Mr Anees provided Ms </w:t>
      </w:r>
      <w:r w:rsidR="00C40E58">
        <w:rPr>
          <w:rFonts w:cs="Open Sans"/>
        </w:rPr>
        <w:t>ND</w:t>
      </w:r>
      <w:r w:rsidRPr="00E95FE0">
        <w:rPr>
          <w:rFonts w:cs="Open Sans"/>
        </w:rPr>
        <w:t xml:space="preserve"> with assistance when he was in the community. The letter also reported that Ms </w:t>
      </w:r>
      <w:r w:rsidR="00C40E58">
        <w:rPr>
          <w:rFonts w:cs="Open Sans"/>
        </w:rPr>
        <w:t>ND</w:t>
      </w:r>
      <w:r w:rsidRPr="00E95FE0">
        <w:rPr>
          <w:rFonts w:cs="Open Sans"/>
        </w:rPr>
        <w:t xml:space="preserve"> felt that Mr Anees’ support ‘is an essential aspect of her life that has kept her well’. </w:t>
      </w:r>
    </w:p>
    <w:p w14:paraId="5F66CBB6" w14:textId="77777777" w:rsidR="00DF3E00" w:rsidRPr="00E95FE0" w:rsidRDefault="00DF3E00" w:rsidP="00DF3E00">
      <w:pPr>
        <w:pStyle w:val="ListParagraph"/>
        <w:numPr>
          <w:ilvl w:val="0"/>
          <w:numId w:val="16"/>
        </w:numPr>
        <w:spacing w:before="0" w:after="0"/>
        <w:rPr>
          <w:rFonts w:cs="Open Sans"/>
        </w:rPr>
      </w:pPr>
      <w:r w:rsidRPr="00E95FE0">
        <w:rPr>
          <w:rFonts w:cs="Open Sans"/>
        </w:rPr>
        <w:lastRenderedPageBreak/>
        <w:t>On 19 October 2018, the Department referred Mr Anees to the Minister for consideration of his Ministerial Intervention powers. In its submission to the Minister, the Department identified the following factors as potentially relevant to the Minister’s decision about whether to consider the exercise of his powers under ss 195A and 197AB:</w:t>
      </w:r>
    </w:p>
    <w:p w14:paraId="05A1F5BD" w14:textId="77777777" w:rsidR="00DF3E00" w:rsidRPr="00E95FE0" w:rsidRDefault="00DF3E00" w:rsidP="009F49EA">
      <w:pPr>
        <w:numPr>
          <w:ilvl w:val="1"/>
          <w:numId w:val="29"/>
        </w:numPr>
        <w:rPr>
          <w:rFonts w:cs="Open Sans"/>
        </w:rPr>
      </w:pPr>
      <w:r w:rsidRPr="00E95FE0">
        <w:rPr>
          <w:rFonts w:cs="Open Sans"/>
        </w:rPr>
        <w:t>Mr Anees has been held in immigration detention for over two years</w:t>
      </w:r>
    </w:p>
    <w:p w14:paraId="315D075D" w14:textId="77777777" w:rsidR="00DF3E00" w:rsidRPr="00E95FE0" w:rsidRDefault="00DF3E00" w:rsidP="009F49EA">
      <w:pPr>
        <w:numPr>
          <w:ilvl w:val="1"/>
          <w:numId w:val="29"/>
        </w:numPr>
        <w:rPr>
          <w:rFonts w:cs="Open Sans"/>
        </w:rPr>
      </w:pPr>
      <w:r w:rsidRPr="00E95FE0">
        <w:rPr>
          <w:rFonts w:cs="Open Sans"/>
        </w:rPr>
        <w:t>Mr Anees has a criminal history and served three months in prison</w:t>
      </w:r>
    </w:p>
    <w:p w14:paraId="58F03AFF" w14:textId="77777777" w:rsidR="00DF3E00" w:rsidRPr="00E95FE0" w:rsidRDefault="00DF3E00" w:rsidP="009F49EA">
      <w:pPr>
        <w:numPr>
          <w:ilvl w:val="1"/>
          <w:numId w:val="29"/>
        </w:numPr>
        <w:rPr>
          <w:rFonts w:cs="Open Sans"/>
        </w:rPr>
      </w:pPr>
      <w:r w:rsidRPr="00E95FE0">
        <w:rPr>
          <w:rFonts w:cs="Open Sans"/>
        </w:rPr>
        <w:t>Mr Anees has been in a relationship with an Australian citizen since 2008, and states that she needs his support due to her serious mental health condition</w:t>
      </w:r>
    </w:p>
    <w:p w14:paraId="13143C08" w14:textId="77777777" w:rsidR="00DF3E00" w:rsidRPr="00E95FE0" w:rsidRDefault="00DF3E00" w:rsidP="009F49EA">
      <w:pPr>
        <w:numPr>
          <w:ilvl w:val="1"/>
          <w:numId w:val="29"/>
        </w:numPr>
        <w:rPr>
          <w:rFonts w:cs="Open Sans"/>
        </w:rPr>
      </w:pPr>
      <w:r w:rsidRPr="00E95FE0">
        <w:rPr>
          <w:rFonts w:cs="Open Sans"/>
        </w:rPr>
        <w:t>Mr Anees has been assessed through the Community Protection Assessment Tool (CPAT) as Tier 1 – bridging visa with conditions</w:t>
      </w:r>
    </w:p>
    <w:p w14:paraId="0A4FA7E5" w14:textId="77777777" w:rsidR="00DF3E00" w:rsidRPr="00E95FE0" w:rsidRDefault="00DF3E00" w:rsidP="009F49EA">
      <w:pPr>
        <w:numPr>
          <w:ilvl w:val="1"/>
          <w:numId w:val="29"/>
        </w:numPr>
        <w:rPr>
          <w:rFonts w:cs="Open Sans"/>
        </w:rPr>
      </w:pPr>
      <w:r w:rsidRPr="00E95FE0">
        <w:rPr>
          <w:rFonts w:cs="Open Sans"/>
        </w:rPr>
        <w:t>ASIO has not issued an assessment that they consider Mr Anees to be directly or indirectly a risk to security</w:t>
      </w:r>
    </w:p>
    <w:p w14:paraId="2CE8BD61" w14:textId="77777777" w:rsidR="00DF3E00" w:rsidRPr="00E95FE0" w:rsidRDefault="00DF3E00" w:rsidP="009F49EA">
      <w:pPr>
        <w:numPr>
          <w:ilvl w:val="1"/>
          <w:numId w:val="29"/>
        </w:numPr>
        <w:rPr>
          <w:rFonts w:cs="Open Sans"/>
        </w:rPr>
      </w:pPr>
      <w:r w:rsidRPr="00E95FE0">
        <w:rPr>
          <w:rFonts w:cs="Open Sans"/>
        </w:rPr>
        <w:t>an IHMS psychiatrist recommended community detention due to his mental health issues; which include adjustment disorder, mixed anxiety and depressive symptoms and a history of PTSD</w:t>
      </w:r>
    </w:p>
    <w:p w14:paraId="77B60D20" w14:textId="77777777" w:rsidR="00DF3E00" w:rsidRPr="00E95FE0" w:rsidRDefault="00DF3E00" w:rsidP="009F49EA">
      <w:pPr>
        <w:numPr>
          <w:ilvl w:val="1"/>
          <w:numId w:val="29"/>
        </w:numPr>
        <w:rPr>
          <w:rFonts w:cs="Open Sans"/>
        </w:rPr>
      </w:pPr>
      <w:r w:rsidRPr="00E95FE0">
        <w:rPr>
          <w:rFonts w:cs="Open Sans"/>
        </w:rPr>
        <w:t xml:space="preserve">it is likely that Mr Anees’ continued detention would be protracted if he is not released into the community. </w:t>
      </w:r>
    </w:p>
    <w:p w14:paraId="1E226B21" w14:textId="77777777" w:rsidR="00DF3E00" w:rsidRPr="00E95FE0" w:rsidRDefault="00DF3E00" w:rsidP="00DF3E00">
      <w:pPr>
        <w:pStyle w:val="ListParagraph"/>
        <w:numPr>
          <w:ilvl w:val="0"/>
          <w:numId w:val="16"/>
        </w:numPr>
        <w:spacing w:before="0" w:after="0"/>
        <w:rPr>
          <w:rFonts w:cs="Open Sans"/>
        </w:rPr>
      </w:pPr>
      <w:r w:rsidRPr="00E95FE0">
        <w:rPr>
          <w:rFonts w:cs="Open Sans"/>
        </w:rPr>
        <w:t>The only factors identified by the Department that might be seen to weigh against the exercise of the discretion to grant Mr Anees a visa were:</w:t>
      </w:r>
    </w:p>
    <w:p w14:paraId="2974970C" w14:textId="77777777" w:rsidR="00DF3E00" w:rsidRPr="00E95FE0" w:rsidRDefault="00DF3E00" w:rsidP="009F49EA">
      <w:pPr>
        <w:numPr>
          <w:ilvl w:val="1"/>
          <w:numId w:val="29"/>
        </w:numPr>
        <w:rPr>
          <w:rFonts w:cs="Open Sans"/>
        </w:rPr>
      </w:pPr>
      <w:r w:rsidRPr="00E95FE0">
        <w:rPr>
          <w:rFonts w:cs="Open Sans"/>
        </w:rPr>
        <w:t>Mr Anees’ criminal history</w:t>
      </w:r>
    </w:p>
    <w:p w14:paraId="78D37AD4" w14:textId="77777777" w:rsidR="00DF3E00" w:rsidRPr="00E95FE0" w:rsidRDefault="00DF3E00" w:rsidP="009F49EA">
      <w:pPr>
        <w:numPr>
          <w:ilvl w:val="1"/>
          <w:numId w:val="29"/>
        </w:numPr>
        <w:rPr>
          <w:rFonts w:cs="Open Sans"/>
        </w:rPr>
      </w:pPr>
      <w:r w:rsidRPr="00E95FE0">
        <w:rPr>
          <w:rFonts w:cs="Open Sans"/>
        </w:rPr>
        <w:t>an Intervention Violence Order against Mr Anees due to expire on 31 December 2019.</w:t>
      </w:r>
    </w:p>
    <w:p w14:paraId="641BFE31"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The Department’s submission to the Minister outlined Mr Anees’ criminal offences, however, it provides no context to inform the circumstances surrounding his offending.</w:t>
      </w:r>
    </w:p>
    <w:p w14:paraId="20F37C4A"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Between 2010 and 2013, Mr Anees committed a significant number of offences. His crimes, however, were generally on the lower side of offending and occurred during a period where he said he was without income and homeless. Mr Anees said he stopped studying and did not work in order to care for his partner who suffered from mental health issues. Sometime in 2010, Mr Anees said he found himself homeless and </w:t>
      </w:r>
      <w:r w:rsidRPr="00E95FE0">
        <w:rPr>
          <w:rFonts w:cs="Open Sans"/>
        </w:rPr>
        <w:lastRenderedPageBreak/>
        <w:t>began living in his car. Mr Anees said the local council towed his car and he started to live on the streets.</w:t>
      </w:r>
    </w:p>
    <w:p w14:paraId="37F3D83C"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Many of the offences Mr Anees committed appear to be directed to obtaining food, drink and medication and attracted community based orders. </w:t>
      </w:r>
    </w:p>
    <w:p w14:paraId="20BB35DD"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I note that the following convictions can be viewed more seriously: </w:t>
      </w:r>
    </w:p>
    <w:p w14:paraId="490E1E60" w14:textId="77777777" w:rsidR="00DF3E00" w:rsidRPr="00E95FE0" w:rsidRDefault="00DF3E00" w:rsidP="009F49EA">
      <w:pPr>
        <w:numPr>
          <w:ilvl w:val="1"/>
          <w:numId w:val="29"/>
        </w:numPr>
        <w:rPr>
          <w:rFonts w:cs="Open Sans"/>
        </w:rPr>
      </w:pPr>
      <w:r w:rsidRPr="00E95FE0">
        <w:rPr>
          <w:rFonts w:cs="Open Sans"/>
        </w:rPr>
        <w:t>Possess controlled weapon without excuse</w:t>
      </w:r>
    </w:p>
    <w:p w14:paraId="3DB02077" w14:textId="77777777" w:rsidR="00DF3E00" w:rsidRPr="00E95FE0" w:rsidRDefault="00DF3E00" w:rsidP="009F49EA">
      <w:pPr>
        <w:numPr>
          <w:ilvl w:val="1"/>
          <w:numId w:val="29"/>
        </w:numPr>
        <w:rPr>
          <w:rFonts w:cs="Open Sans"/>
        </w:rPr>
      </w:pPr>
      <w:r w:rsidRPr="00E95FE0">
        <w:rPr>
          <w:rFonts w:cs="Open Sans"/>
        </w:rPr>
        <w:t>Recklessly causing injury, for which he was sentenced to three months’ imprisonment</w:t>
      </w:r>
    </w:p>
    <w:p w14:paraId="28DA5C09" w14:textId="77777777" w:rsidR="00DF3E00" w:rsidRPr="00E95FE0" w:rsidRDefault="00DF3E00" w:rsidP="009F49EA">
      <w:pPr>
        <w:numPr>
          <w:ilvl w:val="1"/>
          <w:numId w:val="29"/>
        </w:numPr>
        <w:rPr>
          <w:rFonts w:cs="Open Sans"/>
        </w:rPr>
      </w:pPr>
      <w:r w:rsidRPr="00E95FE0">
        <w:rPr>
          <w:rFonts w:cs="Open Sans"/>
        </w:rPr>
        <w:t>Assault with a weapon, for which he was sentenced to a 12 months’ community corrections order.</w:t>
      </w:r>
    </w:p>
    <w:p w14:paraId="5C0980D6"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Mr Anees says the weapon conviction was in relation to a knife he had in his backpack to cut food because he was homeless. Mr Anees says his conviction for recklessly causing injury was in relation to an altercation with a group of youths at a cinema. Mr Anees states the group attacked his girlfriend and he intervened to protect her. Mr Anees says the assault with a weapon offence arose because Mr Anees pulled out a pocketknife and threatened a supermarket’s security officer with it. </w:t>
      </w:r>
    </w:p>
    <w:p w14:paraId="73A07B17"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Mr Anees has not offended since January 2013 until he was taken into immigration detention on 5 October 2016. During this almost four-year period, Mr Anees had stable employment and accommodation. </w:t>
      </w:r>
    </w:p>
    <w:p w14:paraId="6E9F0A07"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I acknowledge that on 20 June 2018 the AAT, in affirming the delegate’s decision to refuse a Partner visa, concluded that there was a real risk of Mr Anees re-offending. </w:t>
      </w:r>
    </w:p>
    <w:p w14:paraId="6650A54D"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 xml:space="preserve">However, it is significant to note that these findings were in the context of reviewing a decision to refuse Mr Anees a substantive visa under s 501 of the Migration Act. The AAT was not considering the necessity of Mr Anees’ ongoing detention in an immigration detention centre or whether any risks he posed to the community could be mitigated. </w:t>
      </w:r>
    </w:p>
    <w:p w14:paraId="3EE2776E"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For the purposes of this inquiry, what is relevant is a recent assessment on 5 September 2018 by the Department of Mr Anees’ risk of harm to the community. In the Department’s submission to the Minister, a CPAT assessment recommended Mr Anees be granted a bridging visa with conditions:</w:t>
      </w:r>
    </w:p>
    <w:p w14:paraId="110C857D" w14:textId="77777777" w:rsidR="00DF3E00" w:rsidRPr="00E95FE0" w:rsidRDefault="00DF3E00" w:rsidP="00DF3E00">
      <w:pPr>
        <w:ind w:left="1440"/>
        <w:rPr>
          <w:rFonts w:cs="Open Sans"/>
          <w:sz w:val="22"/>
          <w:szCs w:val="22"/>
        </w:rPr>
      </w:pPr>
      <w:r w:rsidRPr="00E95FE0">
        <w:rPr>
          <w:rFonts w:cs="Open Sans"/>
          <w:sz w:val="22"/>
          <w:szCs w:val="22"/>
        </w:rPr>
        <w:t xml:space="preserve">Mr Anees’ case has been assessed through the CPAT. The CPAT considers removal readiness, risk to the community and engagement with status </w:t>
      </w:r>
      <w:r w:rsidRPr="00E95FE0">
        <w:rPr>
          <w:rFonts w:cs="Open Sans"/>
          <w:sz w:val="22"/>
          <w:szCs w:val="22"/>
        </w:rPr>
        <w:lastRenderedPageBreak/>
        <w:t xml:space="preserve">resolution processes. Based on this assessment, on 5 September 2018, a recommendation of Tier 3 – Held detention was substituted with a Tier 1 – Bridging visa with conditions. The case manager substituted this recommendation due to their assessment of Mr Anees risk of harm to the community and psychological reports indicating a low risk of criminal reoffending. </w:t>
      </w:r>
    </w:p>
    <w:p w14:paraId="2869CDAD" w14:textId="0404B5EA" w:rsidR="00DF3E00" w:rsidRPr="00E95FE0" w:rsidRDefault="00DF3E00" w:rsidP="00DF3E00">
      <w:pPr>
        <w:numPr>
          <w:ilvl w:val="0"/>
          <w:numId w:val="16"/>
        </w:numPr>
        <w:rPr>
          <w:rFonts w:cs="Open Sans"/>
        </w:rPr>
      </w:pPr>
      <w:r w:rsidRPr="00E95FE0">
        <w:rPr>
          <w:rFonts w:cs="Open Sans"/>
        </w:rPr>
        <w:t xml:space="preserve">Mr Anees contests the validity of the Intervention Violence Order mentioned in the Department’s submission to the Minister. In response, the Department says Victoria Police advised that Mr Anees was served with an Interim Intervention Order, dated 7 February 2013, which was still in effect. Mr Anees was provided a copy of the Interim Intervention Order taken out by Ms </w:t>
      </w:r>
      <w:r w:rsidR="002019E0">
        <w:rPr>
          <w:rFonts w:cs="Open Sans"/>
        </w:rPr>
        <w:t>HT</w:t>
      </w:r>
      <w:r w:rsidRPr="00E95FE0">
        <w:rPr>
          <w:rFonts w:cs="Open Sans"/>
        </w:rPr>
        <w:t xml:space="preserve">. </w:t>
      </w:r>
    </w:p>
    <w:p w14:paraId="7E042156" w14:textId="77777777" w:rsidR="00DF3E00" w:rsidRPr="00E95FE0" w:rsidRDefault="00DF3E00" w:rsidP="00DF3E00">
      <w:pPr>
        <w:numPr>
          <w:ilvl w:val="0"/>
          <w:numId w:val="16"/>
        </w:numPr>
        <w:rPr>
          <w:rFonts w:cs="Open Sans"/>
        </w:rPr>
      </w:pPr>
      <w:r w:rsidRPr="00E95FE0">
        <w:rPr>
          <w:rFonts w:cs="Open Sans"/>
        </w:rPr>
        <w:t xml:space="preserve">Mr Anees submitted a document from the Werribee Magistrates Court, dated 1 March 2019. The document certifies that on 5 March 2013 the Intervention Order against Mr Anees was struck out. I accept this information and find that Mr Anees is not subject to an Intervention Violence Order, contrary to the Department’s submission to the Minister. </w:t>
      </w:r>
    </w:p>
    <w:p w14:paraId="7F7FE8FC" w14:textId="77777777" w:rsidR="00DF3E00" w:rsidRPr="00E95FE0" w:rsidRDefault="00DF3E00" w:rsidP="00DF3E00">
      <w:pPr>
        <w:numPr>
          <w:ilvl w:val="0"/>
          <w:numId w:val="16"/>
        </w:numPr>
        <w:rPr>
          <w:rFonts w:cs="Open Sans"/>
        </w:rPr>
      </w:pPr>
      <w:r w:rsidRPr="00E95FE0">
        <w:rPr>
          <w:rFonts w:cs="Open Sans"/>
        </w:rPr>
        <w:t>I consider this inaccuracy of information a serious matter in light of the implication that Mr Anees posed a threat to a woman in the Australian community. As a result, I appreciate the Minister may have viewed the existence of an Intervention Violence Order very seriously.</w:t>
      </w:r>
    </w:p>
    <w:p w14:paraId="6919F86A" w14:textId="77777777" w:rsidR="00DF3E00" w:rsidRPr="00E95FE0" w:rsidRDefault="00DF3E00" w:rsidP="00DF3E00">
      <w:pPr>
        <w:numPr>
          <w:ilvl w:val="0"/>
          <w:numId w:val="16"/>
        </w:numPr>
        <w:rPr>
          <w:rFonts w:cs="Open Sans"/>
        </w:rPr>
      </w:pPr>
      <w:r w:rsidRPr="00E95FE0">
        <w:rPr>
          <w:rFonts w:cs="Open Sans"/>
        </w:rPr>
        <w:t>In response to my preliminary view about the Intervention Violence Order, the Department stated:</w:t>
      </w:r>
    </w:p>
    <w:p w14:paraId="245BF7DD" w14:textId="77777777" w:rsidR="00DF3E00" w:rsidRPr="00E95FE0" w:rsidRDefault="00DF3E00" w:rsidP="00DF3E00">
      <w:pPr>
        <w:ind w:left="1440"/>
        <w:rPr>
          <w:rFonts w:cs="Open Sans"/>
          <w:sz w:val="22"/>
          <w:szCs w:val="22"/>
        </w:rPr>
      </w:pPr>
      <w:r w:rsidRPr="00E95FE0">
        <w:rPr>
          <w:rFonts w:cs="Open Sans"/>
          <w:sz w:val="22"/>
          <w:szCs w:val="22"/>
        </w:rPr>
        <w:t xml:space="preserve">The Department was not aware that the IVO had been struck out (in March 2013) until 1 March 2019. </w:t>
      </w:r>
    </w:p>
    <w:p w14:paraId="7740AEB3" w14:textId="77777777" w:rsidR="00DF3E00" w:rsidRPr="00E95FE0" w:rsidRDefault="00DF3E00" w:rsidP="00DF3E00">
      <w:pPr>
        <w:ind w:left="1440"/>
        <w:rPr>
          <w:rFonts w:cs="Open Sans"/>
          <w:sz w:val="22"/>
          <w:szCs w:val="22"/>
        </w:rPr>
      </w:pPr>
      <w:r w:rsidRPr="00E95FE0">
        <w:rPr>
          <w:rFonts w:cs="Open Sans"/>
          <w:sz w:val="22"/>
          <w:szCs w:val="22"/>
        </w:rPr>
        <w:t xml:space="preserve">The IVO was located by a departmental officer on Mr Anees’ case file. The officer did not verify that the IVO was still valid, rather relying on the end date of the IVO as per the document on file. The Department will verify the validity of such document with the issuing body in future. </w:t>
      </w:r>
    </w:p>
    <w:p w14:paraId="077B0BEE" w14:textId="77777777" w:rsidR="00DF3E00" w:rsidRPr="00E95FE0" w:rsidRDefault="00DF3E00" w:rsidP="00DF3E00">
      <w:pPr>
        <w:ind w:left="1440"/>
        <w:rPr>
          <w:rFonts w:cs="Open Sans"/>
          <w:sz w:val="22"/>
          <w:szCs w:val="22"/>
        </w:rPr>
      </w:pPr>
      <w:r w:rsidRPr="00E95FE0">
        <w:rPr>
          <w:rFonts w:cs="Open Sans"/>
          <w:sz w:val="22"/>
          <w:szCs w:val="22"/>
        </w:rPr>
        <w:t xml:space="preserve">The Department notes it mistakenly advised the Minister that Mr Anees was subject to an Intervention Violence Order, which had been struck out. As a result, the Department will refer Mr Anees’ case to the Minister under section 195A and 197AB of the Act. The submission will correct the advice previously given regarding the IVO which has not been in place since March 2013. Mr Anees will be advised of the outcome of this process in due course. </w:t>
      </w:r>
    </w:p>
    <w:p w14:paraId="16856987" w14:textId="77777777" w:rsidR="00DF3E00" w:rsidRPr="00E95FE0" w:rsidRDefault="00DF3E00" w:rsidP="00DF3E00">
      <w:pPr>
        <w:ind w:left="1440"/>
        <w:rPr>
          <w:rFonts w:cs="Open Sans"/>
          <w:sz w:val="22"/>
          <w:szCs w:val="22"/>
        </w:rPr>
      </w:pPr>
      <w:r w:rsidRPr="00E95FE0">
        <w:rPr>
          <w:rFonts w:cs="Open Sans"/>
          <w:sz w:val="22"/>
          <w:szCs w:val="22"/>
        </w:rPr>
        <w:t xml:space="preserve">As at 24 June 2019, the Ministerial Intervention submission is in draft. The submission has been delayed due to the Federal Election and confirmation of Ministerial responsibilities. The Department expects the submission to be referred to the Minister by 28 June 2019. </w:t>
      </w:r>
    </w:p>
    <w:p w14:paraId="172E1F23" w14:textId="45341883" w:rsidR="00DF3E00" w:rsidRPr="00E95FE0" w:rsidRDefault="00DF3E00" w:rsidP="00DF3E00">
      <w:pPr>
        <w:numPr>
          <w:ilvl w:val="0"/>
          <w:numId w:val="16"/>
        </w:numPr>
        <w:rPr>
          <w:rFonts w:cs="Open Sans"/>
        </w:rPr>
      </w:pPr>
      <w:r w:rsidRPr="00E95FE0">
        <w:rPr>
          <w:rFonts w:cs="Open Sans"/>
        </w:rPr>
        <w:lastRenderedPageBreak/>
        <w:t xml:space="preserve">The Minister’s decision, dated 4 January 2019, was recorded by his endorsement of the Departmental submission by circling the words ‘not consider’. There is no evidence the Minister had other grounds to believe Mr Anees would have posed a risk to the community if released from closed immigration detention. </w:t>
      </w:r>
    </w:p>
    <w:p w14:paraId="5F6D32F1" w14:textId="7A9D22A4" w:rsidR="00DF3E00" w:rsidRPr="00E95FE0" w:rsidRDefault="00DF3E00" w:rsidP="00DF3E00">
      <w:pPr>
        <w:numPr>
          <w:ilvl w:val="0"/>
          <w:numId w:val="16"/>
        </w:numPr>
        <w:rPr>
          <w:rFonts w:cs="Open Sans"/>
        </w:rPr>
      </w:pPr>
      <w:r w:rsidRPr="00E95FE0">
        <w:rPr>
          <w:rFonts w:cs="Open Sans"/>
        </w:rPr>
        <w:t xml:space="preserve">In any event, as noted above, it is not the case that the Minister considered whether to exercise his power under s 195A and s 197AB, and, having considered that matter, refused to do so. Rather, the Minister indicated that he did not wish to consider exercising his power at all. </w:t>
      </w:r>
    </w:p>
    <w:p w14:paraId="7B482E59" w14:textId="77777777" w:rsidR="00DF3E00" w:rsidRPr="00E95FE0" w:rsidRDefault="00DF3E00" w:rsidP="00DF3E00">
      <w:pPr>
        <w:numPr>
          <w:ilvl w:val="0"/>
          <w:numId w:val="16"/>
        </w:numPr>
        <w:rPr>
          <w:rFonts w:cs="Open Sans"/>
        </w:rPr>
      </w:pPr>
      <w:bookmarkStart w:id="65" w:name="_Hlk14687765"/>
      <w:r w:rsidRPr="00E95FE0">
        <w:rPr>
          <w:rFonts w:cs="Open Sans"/>
        </w:rPr>
        <w:t>In response to my preliminary view that the Minister failed to consider exercising his discretionary powers, the Department stated:</w:t>
      </w:r>
    </w:p>
    <w:p w14:paraId="1B2714A1" w14:textId="77777777" w:rsidR="00DF3E00" w:rsidRPr="00E95FE0" w:rsidRDefault="00DF3E00" w:rsidP="00DF3E00">
      <w:pPr>
        <w:ind w:left="1440"/>
        <w:rPr>
          <w:rFonts w:cs="Open Sans"/>
          <w:sz w:val="22"/>
          <w:szCs w:val="22"/>
        </w:rPr>
      </w:pPr>
      <w:r w:rsidRPr="00E95FE0">
        <w:rPr>
          <w:rFonts w:cs="Open Sans"/>
          <w:sz w:val="22"/>
          <w:szCs w:val="22"/>
        </w:rPr>
        <w:t xml:space="preserve">The Minister’s Intervention powers are non-compellable. The Minister is not required to consider exercising, or to exercise their power in any case. The Department refutes the AHRC’s view that the Minister ‘failed to consider exercising’ his power, as deciding not to exercise or consider exercising a non-delegable power cannot be construed as a failure. </w:t>
      </w:r>
    </w:p>
    <w:bookmarkEnd w:id="65"/>
    <w:p w14:paraId="454F278D" w14:textId="7946F199"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In response to a submission from his Department, the Minister made a decision not to consider exercising his discretionary powers under ss 195A or 197AB of the Migration Act. Whether this amounts to a ‘decision’ not to consider the exercise of the powers, or a ‘failure’ to make a substantive decision about whether to exercise those powers is immaterial to the Commission’s jurisdiction to inquire. The Commission may inquire into both discretionary acts and failures to act.</w:t>
      </w:r>
    </w:p>
    <w:p w14:paraId="08AD1582" w14:textId="77777777" w:rsidR="00DF3E00" w:rsidRPr="00E95FE0" w:rsidRDefault="00DF3E00" w:rsidP="00DF3E00">
      <w:pPr>
        <w:pStyle w:val="ListParagraph"/>
        <w:numPr>
          <w:ilvl w:val="0"/>
          <w:numId w:val="16"/>
        </w:numPr>
        <w:spacing w:before="240" w:after="240"/>
        <w:contextualSpacing w:val="0"/>
        <w:rPr>
          <w:rFonts w:cs="Open Sans"/>
        </w:rPr>
      </w:pPr>
      <w:r w:rsidRPr="00E95FE0">
        <w:rPr>
          <w:rFonts w:cs="Open Sans"/>
        </w:rPr>
        <w:t>Similarly, the fact that the powers are ‘non-compellable’ (</w:t>
      </w:r>
      <w:proofErr w:type="spellStart"/>
      <w:r w:rsidRPr="00E95FE0">
        <w:rPr>
          <w:rFonts w:cs="Open Sans"/>
        </w:rPr>
        <w:t>ie</w:t>
      </w:r>
      <w:proofErr w:type="spellEnd"/>
      <w:r w:rsidRPr="00E95FE0">
        <w:rPr>
          <w:rFonts w:cs="Open Sans"/>
        </w:rPr>
        <w:t>, that the Minister has no legal duty under the Migration Act to consider whether to exercise his discretion) does not mean that a failure to exercise the powers in the complainant’s favour, when this was open to the Minister, cannot be inconsistent with human rights.</w:t>
      </w:r>
    </w:p>
    <w:p w14:paraId="731EC210" w14:textId="3456BF25" w:rsidR="00DF3E00" w:rsidRPr="00E95FE0" w:rsidRDefault="00DF3E00" w:rsidP="00DF3E00">
      <w:pPr>
        <w:numPr>
          <w:ilvl w:val="0"/>
          <w:numId w:val="16"/>
        </w:numPr>
        <w:rPr>
          <w:rFonts w:cs="Open Sans"/>
        </w:rPr>
      </w:pPr>
      <w:r w:rsidRPr="00E95FE0">
        <w:rPr>
          <w:rFonts w:cs="Open Sans"/>
        </w:rPr>
        <w:t xml:space="preserve">I find that the decision of the Minister not to consider exercising his discretionary powers under ss 195A and 197AB resulted in the continued detention of Mr Anees, in circumstances where the justification for detention was not considered in light of the particular circumstances of Mr </w:t>
      </w:r>
      <w:proofErr w:type="spellStart"/>
      <w:r w:rsidRPr="00E95FE0">
        <w:rPr>
          <w:rFonts w:cs="Open Sans"/>
        </w:rPr>
        <w:t>Anees</w:t>
      </w:r>
      <w:proofErr w:type="spellEnd"/>
      <w:r w:rsidRPr="00E95FE0">
        <w:rPr>
          <w:rFonts w:cs="Open Sans"/>
        </w:rPr>
        <w:t xml:space="preserve">’ case. In my preliminary view, that resulted in his detention being arbitrary for the purposes of article 9(1) of the ICCPR. </w:t>
      </w:r>
    </w:p>
    <w:p w14:paraId="7E07D599" w14:textId="7EEFCE7F" w:rsidR="00DF3E00" w:rsidRPr="00E95FE0" w:rsidRDefault="00DF3E00" w:rsidP="00DF3E00">
      <w:pPr>
        <w:numPr>
          <w:ilvl w:val="0"/>
          <w:numId w:val="16"/>
        </w:numPr>
        <w:rPr>
          <w:rFonts w:cs="Open Sans"/>
        </w:rPr>
      </w:pPr>
      <w:r w:rsidRPr="00E95FE0">
        <w:rPr>
          <w:rFonts w:cs="Open Sans"/>
        </w:rPr>
        <w:t xml:space="preserve">As discussed above, the Department did not refer Mr Anees’ case to the Minister for consideration of his intervention powers until 19 October 2018. I find that the omission of the Department to invite the Minister to consider exercising his discretion under ss 195A and 197AB contributed to the continued detention of Mr Anees without consideration of whether </w:t>
      </w:r>
      <w:r w:rsidRPr="00E95FE0">
        <w:rPr>
          <w:rFonts w:cs="Open Sans"/>
        </w:rPr>
        <w:lastRenderedPageBreak/>
        <w:t xml:space="preserve">that detention was justified in the particular circumstances of Mr Anees’ case. I find that has the result that his continued detention is arbitrary for the purposes of article 9(1) of the ICCPR. </w:t>
      </w:r>
    </w:p>
    <w:p w14:paraId="75C23910" w14:textId="50647593" w:rsidR="00BB2301" w:rsidRPr="00604D59" w:rsidRDefault="00DF3E00" w:rsidP="00EE187A">
      <w:pPr>
        <w:pStyle w:val="Heading1"/>
        <w:tabs>
          <w:tab w:val="clear" w:pos="851"/>
          <w:tab w:val="num" w:pos="709"/>
        </w:tabs>
        <w:spacing w:after="0"/>
        <w:rPr>
          <w:rFonts w:cs="Open Sans"/>
          <w:sz w:val="36"/>
          <w:szCs w:val="36"/>
        </w:rPr>
      </w:pPr>
      <w:bookmarkStart w:id="66" w:name="_Toc25740081"/>
      <w:bookmarkEnd w:id="39"/>
      <w:r w:rsidRPr="00604D59">
        <w:rPr>
          <w:rFonts w:cs="Open Sans"/>
          <w:sz w:val="36"/>
          <w:szCs w:val="36"/>
        </w:rPr>
        <w:t>Arbitrary interference with family</w:t>
      </w:r>
      <w:bookmarkEnd w:id="66"/>
    </w:p>
    <w:p w14:paraId="6C238F7E" w14:textId="77777777" w:rsidR="00E425C0" w:rsidRPr="00E95FE0" w:rsidRDefault="00E425C0" w:rsidP="00E425C0">
      <w:pPr>
        <w:numPr>
          <w:ilvl w:val="0"/>
          <w:numId w:val="16"/>
        </w:numPr>
      </w:pPr>
      <w:bookmarkStart w:id="67" w:name="_Toc5183422"/>
      <w:r w:rsidRPr="00E95FE0">
        <w:rPr>
          <w:rFonts w:cs="Open Sans"/>
        </w:rPr>
        <w:t>Mr Anees claims that his detention interfered with his family in breach of articles 17(1) and 23(1) of the ICCPR.</w:t>
      </w:r>
    </w:p>
    <w:p w14:paraId="2B44D281" w14:textId="77777777" w:rsidR="00E425C0" w:rsidRPr="00BC1EDC" w:rsidRDefault="00E425C0" w:rsidP="00E425C0">
      <w:pPr>
        <w:pStyle w:val="Heading2"/>
        <w:tabs>
          <w:tab w:val="clear" w:pos="851"/>
          <w:tab w:val="num" w:pos="709"/>
        </w:tabs>
        <w:spacing w:after="0"/>
        <w:ind w:left="4394" w:hanging="4394"/>
        <w:rPr>
          <w:rFonts w:cs="Open Sans"/>
          <w:i w:val="0"/>
          <w:iCs/>
          <w:szCs w:val="28"/>
        </w:rPr>
      </w:pPr>
      <w:bookmarkStart w:id="68" w:name="_Toc530058743"/>
      <w:bookmarkStart w:id="69" w:name="_Toc4159050"/>
      <w:bookmarkStart w:id="70" w:name="_Toc15040017"/>
      <w:bookmarkStart w:id="71" w:name="_Toc25740082"/>
      <w:r w:rsidRPr="00BC1EDC">
        <w:rPr>
          <w:rFonts w:cs="Open Sans"/>
          <w:i w:val="0"/>
          <w:iCs/>
          <w:szCs w:val="28"/>
        </w:rPr>
        <w:t>Articles 17(1) and 23(1)</w:t>
      </w:r>
      <w:bookmarkEnd w:id="68"/>
      <w:bookmarkEnd w:id="69"/>
      <w:bookmarkEnd w:id="70"/>
      <w:bookmarkEnd w:id="71"/>
    </w:p>
    <w:p w14:paraId="0A4C70EA" w14:textId="77777777" w:rsidR="00E425C0" w:rsidRPr="00E95FE0" w:rsidRDefault="00E425C0" w:rsidP="00E425C0">
      <w:pPr>
        <w:pStyle w:val="ListParagraph"/>
        <w:numPr>
          <w:ilvl w:val="0"/>
          <w:numId w:val="16"/>
        </w:numPr>
        <w:spacing w:before="240" w:after="240"/>
        <w:rPr>
          <w:rFonts w:cs="Open Sans"/>
        </w:rPr>
      </w:pPr>
      <w:r w:rsidRPr="00E95FE0">
        <w:rPr>
          <w:rFonts w:cs="Open Sans"/>
        </w:rPr>
        <w:t>Article 17(1) of the ICCPR provides:</w:t>
      </w:r>
    </w:p>
    <w:p w14:paraId="31947083" w14:textId="77777777" w:rsidR="00E425C0" w:rsidRPr="00E95FE0" w:rsidRDefault="00E425C0" w:rsidP="00E425C0">
      <w:pPr>
        <w:widowControl w:val="0"/>
        <w:autoSpaceDE w:val="0"/>
        <w:autoSpaceDN w:val="0"/>
        <w:spacing w:before="177" w:line="249" w:lineRule="auto"/>
        <w:ind w:left="1364" w:right="202"/>
        <w:rPr>
          <w:rFonts w:eastAsia="Arial" w:cs="Open Sans"/>
          <w:sz w:val="22"/>
          <w:szCs w:val="22"/>
          <w:lang w:val="en-US"/>
        </w:rPr>
      </w:pPr>
      <w:r w:rsidRPr="00E95FE0">
        <w:rPr>
          <w:rFonts w:eastAsia="Arial" w:cs="Open Sans"/>
          <w:color w:val="231F20"/>
          <w:sz w:val="22"/>
          <w:szCs w:val="22"/>
          <w:lang w:val="en-US"/>
        </w:rPr>
        <w:t>No one shall be subjected to arbitrary or unlawful interference with his privacy, family, home or correspondence, nor to unlawful attacks on his honour and reputation.</w:t>
      </w:r>
    </w:p>
    <w:p w14:paraId="26AD3193" w14:textId="77777777" w:rsidR="00E425C0" w:rsidRPr="00E95FE0" w:rsidRDefault="00E425C0" w:rsidP="00E425C0">
      <w:pPr>
        <w:pStyle w:val="ListParagraph"/>
        <w:numPr>
          <w:ilvl w:val="0"/>
          <w:numId w:val="16"/>
        </w:numPr>
        <w:spacing w:before="240" w:after="240"/>
        <w:rPr>
          <w:rFonts w:cs="Open Sans"/>
        </w:rPr>
      </w:pPr>
      <w:r w:rsidRPr="00E95FE0">
        <w:rPr>
          <w:rFonts w:cs="Open Sans"/>
        </w:rPr>
        <w:t>Article 23(1) of the ICCPR provides:</w:t>
      </w:r>
    </w:p>
    <w:p w14:paraId="5D53A207" w14:textId="77777777" w:rsidR="00E425C0" w:rsidRPr="00E95FE0" w:rsidRDefault="00E425C0" w:rsidP="00E425C0">
      <w:pPr>
        <w:widowControl w:val="0"/>
        <w:autoSpaceDE w:val="0"/>
        <w:autoSpaceDN w:val="0"/>
        <w:spacing w:before="176" w:line="249" w:lineRule="auto"/>
        <w:ind w:left="1364" w:right="176"/>
        <w:rPr>
          <w:rFonts w:eastAsia="Arial" w:cs="Open Sans"/>
          <w:sz w:val="22"/>
          <w:szCs w:val="22"/>
          <w:lang w:val="en-US"/>
        </w:rPr>
      </w:pPr>
      <w:r w:rsidRPr="00E95FE0">
        <w:rPr>
          <w:rFonts w:eastAsia="Arial" w:cs="Open Sans"/>
          <w:color w:val="231F20"/>
          <w:sz w:val="22"/>
          <w:szCs w:val="22"/>
          <w:lang w:val="en-US"/>
        </w:rPr>
        <w:t>The family is the natural and fundamental group unit of society and is entitled to protection by society and the State.</w:t>
      </w:r>
    </w:p>
    <w:p w14:paraId="6C7BC746" w14:textId="7F6044BB" w:rsidR="00E425C0" w:rsidRPr="00E95FE0" w:rsidRDefault="00E425C0" w:rsidP="00E425C0">
      <w:pPr>
        <w:pStyle w:val="ListParagraph"/>
        <w:numPr>
          <w:ilvl w:val="0"/>
          <w:numId w:val="16"/>
        </w:numPr>
        <w:spacing w:before="240" w:after="240"/>
        <w:rPr>
          <w:rFonts w:cs="Open Sans"/>
        </w:rPr>
      </w:pPr>
      <w:r w:rsidRPr="00E95FE0">
        <w:rPr>
          <w:rFonts w:cs="Open Sans"/>
        </w:rPr>
        <w:t>Professor Manfred Nowak has noted that:</w:t>
      </w:r>
      <w:r w:rsidR="00A67FBA" w:rsidRPr="00E95FE0">
        <w:rPr>
          <w:rFonts w:cs="Open Sans"/>
        </w:rPr>
        <w:t xml:space="preserve"> </w:t>
      </w:r>
    </w:p>
    <w:p w14:paraId="6398B560" w14:textId="18CF3F4C" w:rsidR="00E425C0" w:rsidRPr="00E95FE0" w:rsidRDefault="00E425C0" w:rsidP="00E425C0">
      <w:pPr>
        <w:spacing w:before="176" w:line="249" w:lineRule="auto"/>
        <w:ind w:left="1364"/>
        <w:rPr>
          <w:rFonts w:cs="Open Sans"/>
          <w:sz w:val="22"/>
          <w:szCs w:val="22"/>
        </w:rPr>
      </w:pPr>
      <w:r w:rsidRPr="00E95FE0">
        <w:rPr>
          <w:rFonts w:cs="Open Sans"/>
          <w:color w:val="231F20"/>
          <w:sz w:val="22"/>
          <w:szCs w:val="22"/>
        </w:rPr>
        <w:t>[T]he significance of Art. 23(1) lies in the protected existence of the institution “family”, whereas the right to non-interference with family life is primarily guaranteed by article 17. However, this distinction is difficult to maintain in practice.</w:t>
      </w:r>
      <w:hyperlink w:anchor="_bookmark26" w:history="1">
        <w:r w:rsidR="00A67FBA" w:rsidRPr="00E95FE0">
          <w:rPr>
            <w:rFonts w:cs="Open Sans"/>
            <w:color w:val="231F20"/>
            <w:position w:val="8"/>
            <w:sz w:val="14"/>
          </w:rPr>
          <w:t>10</w:t>
        </w:r>
      </w:hyperlink>
    </w:p>
    <w:p w14:paraId="747301E8" w14:textId="77777777" w:rsidR="00E425C0" w:rsidRPr="00E95FE0" w:rsidRDefault="00E425C0" w:rsidP="00E425C0">
      <w:pPr>
        <w:pStyle w:val="ListParagraph"/>
        <w:numPr>
          <w:ilvl w:val="0"/>
          <w:numId w:val="16"/>
        </w:numPr>
        <w:spacing w:before="240" w:after="240"/>
        <w:rPr>
          <w:rFonts w:cs="Open Sans"/>
        </w:rPr>
      </w:pPr>
      <w:r w:rsidRPr="00E95FE0">
        <w:rPr>
          <w:rFonts w:cs="Open Sans"/>
        </w:rPr>
        <w:t xml:space="preserve">For the reasons set out in the Australian Human Rights Commission report </w:t>
      </w:r>
      <w:r w:rsidRPr="00E95FE0">
        <w:rPr>
          <w:rFonts w:cs="Open Sans"/>
          <w:i/>
        </w:rPr>
        <w:t xml:space="preserve">Nguyen and Okoye v Commonwealth </w:t>
      </w:r>
      <w:r w:rsidRPr="00E95FE0">
        <w:rPr>
          <w:rFonts w:cs="Open Sans"/>
        </w:rPr>
        <w:t xml:space="preserve">[2007] </w:t>
      </w:r>
      <w:proofErr w:type="spellStart"/>
      <w:r w:rsidRPr="00E95FE0">
        <w:rPr>
          <w:rFonts w:cs="Open Sans"/>
        </w:rPr>
        <w:t>AusHRC</w:t>
      </w:r>
      <w:proofErr w:type="spellEnd"/>
      <w:r w:rsidRPr="00E95FE0">
        <w:rPr>
          <w:rFonts w:cs="Open Sans"/>
        </w:rPr>
        <w:t xml:space="preserve"> 39 at [80]–[88], the Commission is of the view that in cases alleging a State’s arbitrary interference with a person’s family, it is appropriate to assess the alleged breach under article 17(1). If an act is assessed as breaching the right not to be subjected to an arbitrary interference with a person’s family, it will usually follow that the breach is in addition to (or in conjunction with) a breach of article 23(1). </w:t>
      </w:r>
    </w:p>
    <w:p w14:paraId="7B1D1FE8" w14:textId="77777777" w:rsidR="00E425C0" w:rsidRPr="00BC1EDC" w:rsidRDefault="00E425C0" w:rsidP="00E425C0">
      <w:pPr>
        <w:pStyle w:val="Heading3"/>
        <w:tabs>
          <w:tab w:val="clear" w:pos="851"/>
          <w:tab w:val="num" w:pos="709"/>
        </w:tabs>
        <w:rPr>
          <w:rFonts w:cs="Open Sans"/>
          <w:bCs w:val="0"/>
          <w:i w:val="0"/>
          <w:iCs/>
        </w:rPr>
      </w:pPr>
      <w:bookmarkStart w:id="72" w:name="_Toc4159051"/>
      <w:bookmarkStart w:id="73" w:name="_Toc15040018"/>
      <w:bookmarkStart w:id="74" w:name="_Toc25740083"/>
      <w:r w:rsidRPr="00BC1EDC">
        <w:rPr>
          <w:rFonts w:cs="Open Sans"/>
          <w:bCs w:val="0"/>
          <w:i w:val="0"/>
          <w:iCs/>
        </w:rPr>
        <w:t>‘Family’</w:t>
      </w:r>
      <w:bookmarkEnd w:id="72"/>
      <w:bookmarkEnd w:id="73"/>
      <w:bookmarkEnd w:id="74"/>
    </w:p>
    <w:p w14:paraId="275E0696"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The UN HR Committee has confirmed on a number of occasions that ‘family’ is to be interpreted broadly.</w:t>
      </w:r>
      <w:r w:rsidRPr="00E95FE0">
        <w:rPr>
          <w:rStyle w:val="EndnoteReference"/>
          <w:rFonts w:ascii="Open Sans" w:hAnsi="Open Sans" w:cs="Open Sans"/>
        </w:rPr>
        <w:endnoteReference w:id="15"/>
      </w:r>
      <w:r w:rsidRPr="00E95FE0">
        <w:rPr>
          <w:rFonts w:cs="Open Sans"/>
        </w:rPr>
        <w:t xml:space="preserve"> Where a nation’s laws and practice recognise a group of persons as a family, they are entitled to the protections in articles 17 and 23.</w:t>
      </w:r>
      <w:r w:rsidRPr="00E95FE0">
        <w:rPr>
          <w:rStyle w:val="EndnoteReference"/>
          <w:rFonts w:ascii="Open Sans" w:hAnsi="Open Sans" w:cs="Open Sans"/>
        </w:rPr>
        <w:endnoteReference w:id="16"/>
      </w:r>
      <w:r w:rsidRPr="00E95FE0">
        <w:rPr>
          <w:rFonts w:cs="Open Sans"/>
        </w:rPr>
        <w:t xml:space="preserve"> However, more than a formal familial relationship is required to demonstrate a family for the purposes of article 17(1). Some degree of effective family life or family connection must also </w:t>
      </w:r>
      <w:r w:rsidRPr="00E95FE0">
        <w:rPr>
          <w:rFonts w:cs="Open Sans"/>
        </w:rPr>
        <w:lastRenderedPageBreak/>
        <w:t>be shown to exist.</w:t>
      </w:r>
      <w:r w:rsidRPr="00E95FE0">
        <w:rPr>
          <w:rStyle w:val="EndnoteReference"/>
          <w:rFonts w:ascii="Open Sans" w:hAnsi="Open Sans" w:cs="Open Sans"/>
        </w:rPr>
        <w:endnoteReference w:id="17"/>
      </w:r>
      <w:r w:rsidRPr="00E95FE0">
        <w:rPr>
          <w:rFonts w:cs="Open Sans"/>
        </w:rPr>
        <w:t xml:space="preserve"> For example, in </w:t>
      </w:r>
      <w:r w:rsidRPr="00E95FE0">
        <w:rPr>
          <w:rFonts w:cs="Open Sans"/>
          <w:i/>
        </w:rPr>
        <w:t xml:space="preserve">Balaguer </w:t>
      </w:r>
      <w:proofErr w:type="spellStart"/>
      <w:r w:rsidRPr="00E95FE0">
        <w:rPr>
          <w:rFonts w:cs="Open Sans"/>
          <w:i/>
        </w:rPr>
        <w:t>Santacana</w:t>
      </w:r>
      <w:proofErr w:type="spellEnd"/>
      <w:r w:rsidRPr="00E95FE0">
        <w:rPr>
          <w:rFonts w:cs="Open Sans"/>
          <w:i/>
        </w:rPr>
        <w:t xml:space="preserve"> v Spain,</w:t>
      </w:r>
      <w:r w:rsidRPr="00E95FE0">
        <w:rPr>
          <w:rStyle w:val="EndnoteReference"/>
          <w:rFonts w:ascii="Open Sans" w:hAnsi="Open Sans" w:cs="Open Sans"/>
        </w:rPr>
        <w:endnoteReference w:id="18"/>
      </w:r>
      <w:r w:rsidRPr="00E95FE0">
        <w:rPr>
          <w:rFonts w:cs="Open Sans"/>
          <w:i/>
        </w:rPr>
        <w:t xml:space="preserve"> </w:t>
      </w:r>
      <w:r w:rsidRPr="00E95FE0">
        <w:rPr>
          <w:rFonts w:cs="Open Sans"/>
        </w:rPr>
        <w:t>after acknowledging that the term ‘family’ must be interpreted broadly, the UN HR Committee went on to say:</w:t>
      </w:r>
    </w:p>
    <w:p w14:paraId="5D2F7358" w14:textId="2FAE4F58" w:rsidR="00E425C0" w:rsidRPr="00E95FE0" w:rsidRDefault="00E425C0" w:rsidP="00E425C0">
      <w:pPr>
        <w:ind w:left="1440"/>
        <w:rPr>
          <w:rFonts w:cs="Open Sans"/>
          <w:sz w:val="22"/>
          <w:szCs w:val="22"/>
        </w:rPr>
      </w:pPr>
      <w:r w:rsidRPr="00E95FE0">
        <w:rPr>
          <w:rFonts w:cs="Open Sans"/>
          <w:sz w:val="22"/>
          <w:szCs w:val="22"/>
        </w:rPr>
        <w:t>Some minimal requirements for the existence of a family are, however, necessary, such as life together, economic ties, a regular and intense relationship, etc.</w:t>
      </w:r>
      <w:r w:rsidRPr="00E95FE0">
        <w:rPr>
          <w:rStyle w:val="EndnoteReference"/>
          <w:rFonts w:ascii="Open Sans" w:hAnsi="Open Sans" w:cs="Open Sans"/>
          <w:szCs w:val="22"/>
        </w:rPr>
        <w:endnoteReference w:id="19"/>
      </w:r>
    </w:p>
    <w:p w14:paraId="0068E26C" w14:textId="50A01024"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Mr Anees met his partner Ms </w:t>
      </w:r>
      <w:r w:rsidR="00A235A6">
        <w:rPr>
          <w:rFonts w:cs="Open Sans"/>
        </w:rPr>
        <w:t>ND</w:t>
      </w:r>
      <w:r w:rsidRPr="00E95FE0">
        <w:rPr>
          <w:rFonts w:cs="Open Sans"/>
        </w:rPr>
        <w:t xml:space="preserve"> in 2008 and says they have been in a relationship since that time. Mr Anees and Ms </w:t>
      </w:r>
      <w:r w:rsidR="00A235A6">
        <w:rPr>
          <w:rFonts w:cs="Open Sans"/>
        </w:rPr>
        <w:t>ND</w:t>
      </w:r>
      <w:r w:rsidRPr="00E95FE0">
        <w:rPr>
          <w:rFonts w:cs="Open Sans"/>
        </w:rPr>
        <w:t xml:space="preserve"> were living together prior to his detention in October 2016.</w:t>
      </w:r>
    </w:p>
    <w:p w14:paraId="52C2E87B" w14:textId="0D4829FE"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Ms </w:t>
      </w:r>
      <w:r w:rsidR="00A235A6">
        <w:rPr>
          <w:rFonts w:cs="Open Sans"/>
        </w:rPr>
        <w:t>ND</w:t>
      </w:r>
      <w:r w:rsidRPr="00E95FE0">
        <w:rPr>
          <w:rFonts w:cs="Open Sans"/>
        </w:rPr>
        <w:t xml:space="preserve"> sponsored Mr Anees for a Partner visa in 2012. The Partner visa application was initially refused in 2012 and has been subject to numerous reviews over the years. Mr Anees continues to appeal the decision to refuse him a Partner visa in the Federal Court. </w:t>
      </w:r>
    </w:p>
    <w:p w14:paraId="1A5D86B6" w14:textId="7170DBD5"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In his complaint before the Commission, Mr Anees has on many occasions raised concern about the welfare of Ms </w:t>
      </w:r>
      <w:r w:rsidR="008B03B7">
        <w:rPr>
          <w:rFonts w:cs="Open Sans"/>
        </w:rPr>
        <w:t>ND</w:t>
      </w:r>
      <w:r w:rsidR="009D52D1">
        <w:rPr>
          <w:rFonts w:cs="Open Sans"/>
        </w:rPr>
        <w:t>,</w:t>
      </w:r>
      <w:r w:rsidRPr="00E95FE0">
        <w:rPr>
          <w:rFonts w:cs="Open Sans"/>
        </w:rPr>
        <w:t xml:space="preserve"> who has serious mental health conditions</w:t>
      </w:r>
      <w:r w:rsidR="009D52D1">
        <w:rPr>
          <w:rFonts w:cs="Open Sans"/>
        </w:rPr>
        <w:t>,</w:t>
      </w:r>
      <w:r w:rsidRPr="00E95FE0">
        <w:rPr>
          <w:rFonts w:cs="Open Sans"/>
        </w:rPr>
        <w:t xml:space="preserve"> and expressed his grief about their ongoing separation. These feelings are also reflected consistently in Mr Anees’ mental health reports produced during his detention. </w:t>
      </w:r>
    </w:p>
    <w:p w14:paraId="1105B5AF"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Mr Anees was detained at MIDC on 5 October 2016. On 24 January 2017, he was transferred from MIDC to Christmas Island Immigration Detention Centre. Since that time, he has spent prolonged periods at Christmas Island IDC, </w:t>
      </w:r>
      <w:proofErr w:type="spellStart"/>
      <w:r w:rsidRPr="00E95FE0">
        <w:rPr>
          <w:rFonts w:cs="Open Sans"/>
        </w:rPr>
        <w:t>Yongah</w:t>
      </w:r>
      <w:proofErr w:type="spellEnd"/>
      <w:r w:rsidRPr="00E95FE0">
        <w:rPr>
          <w:rFonts w:cs="Open Sans"/>
        </w:rPr>
        <w:t xml:space="preserve"> Hill IDC and Perth IDC. </w:t>
      </w:r>
    </w:p>
    <w:p w14:paraId="2317AB94"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The Commission asked the Department to advise why Mr Anees could not be transferred to MIDC to be closer to his partner. In response, the Department said it had no information to suggest that family members visited Mr Anees when he was detained at MIDC. However, Mr Anees says he wrote to the Department several times requesting a visit from his partner and asked for the visitation process to be made easier for her because of her disability. </w:t>
      </w:r>
    </w:p>
    <w:p w14:paraId="5E1E1EA9" w14:textId="0A9B1B0A"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In June 2018, the AAT affirmed the decision of the Minister refusing to grant Mr Anees a Partner visa under s 501 of the Migration Act</w:t>
      </w:r>
      <w:r w:rsidR="00FE72B6">
        <w:rPr>
          <w:rFonts w:cs="Open Sans"/>
        </w:rPr>
        <w:t xml:space="preserve"> because </w:t>
      </w:r>
      <w:r w:rsidR="007671DD">
        <w:rPr>
          <w:rFonts w:cs="Open Sans"/>
        </w:rPr>
        <w:t>he failed the character test</w:t>
      </w:r>
      <w:r w:rsidRPr="00E95FE0">
        <w:rPr>
          <w:rFonts w:cs="Open Sans"/>
        </w:rPr>
        <w:t>. In that decision, I note that the AAT accepted Mr Anees’ evidence that he</w:t>
      </w:r>
      <w:r w:rsidR="005B7566">
        <w:rPr>
          <w:rFonts w:cs="Open Sans"/>
        </w:rPr>
        <w:t xml:space="preserve"> was</w:t>
      </w:r>
      <w:r w:rsidRPr="00E95FE0">
        <w:rPr>
          <w:rFonts w:cs="Open Sans"/>
        </w:rPr>
        <w:t xml:space="preserve"> still in a relationship with Ms </w:t>
      </w:r>
      <w:r w:rsidR="00C40E58">
        <w:rPr>
          <w:rFonts w:cs="Open Sans"/>
        </w:rPr>
        <w:t>ND</w:t>
      </w:r>
      <w:r w:rsidRPr="00E95FE0">
        <w:rPr>
          <w:rFonts w:cs="Open Sans"/>
        </w:rPr>
        <w:t xml:space="preserve"> even though he has been in detention.</w:t>
      </w:r>
      <w:r w:rsidRPr="00E95FE0">
        <w:rPr>
          <w:rStyle w:val="EndnoteReference"/>
        </w:rPr>
        <w:endnoteReference w:id="20"/>
      </w:r>
      <w:r w:rsidRPr="00E95FE0">
        <w:rPr>
          <w:rFonts w:cs="Open Sans"/>
        </w:rPr>
        <w:t xml:space="preserve"> </w:t>
      </w:r>
    </w:p>
    <w:p w14:paraId="448B27B0" w14:textId="7C37530F"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I am satisfied on the basis of all of the above that Mr Anees and Ms </w:t>
      </w:r>
      <w:r w:rsidR="00C40E58">
        <w:rPr>
          <w:rFonts w:cs="Open Sans"/>
        </w:rPr>
        <w:t>ND</w:t>
      </w:r>
      <w:r w:rsidRPr="00E95FE0">
        <w:rPr>
          <w:rFonts w:cs="Open Sans"/>
        </w:rPr>
        <w:t xml:space="preserve"> have a relationship that is sufficient to constitute a ‘family’ for the purpose of article 17(1) of the ICCPR.</w:t>
      </w:r>
    </w:p>
    <w:p w14:paraId="297E732A" w14:textId="77777777" w:rsidR="00E425C0" w:rsidRPr="00094A03" w:rsidRDefault="00E425C0" w:rsidP="00E425C0">
      <w:pPr>
        <w:pStyle w:val="Heading3"/>
        <w:tabs>
          <w:tab w:val="clear" w:pos="851"/>
          <w:tab w:val="num" w:pos="709"/>
        </w:tabs>
        <w:rPr>
          <w:rFonts w:cs="Open Sans"/>
          <w:bCs w:val="0"/>
          <w:i w:val="0"/>
          <w:iCs/>
        </w:rPr>
      </w:pPr>
      <w:bookmarkStart w:id="75" w:name="_Toc530058746"/>
      <w:bookmarkStart w:id="76" w:name="_Toc4159052"/>
      <w:bookmarkStart w:id="77" w:name="_Toc15040019"/>
      <w:bookmarkStart w:id="78" w:name="_Toc25740084"/>
      <w:r w:rsidRPr="00094A03">
        <w:rPr>
          <w:rFonts w:cs="Open Sans"/>
          <w:bCs w:val="0"/>
          <w:i w:val="0"/>
          <w:iCs/>
        </w:rPr>
        <w:lastRenderedPageBreak/>
        <w:t>‘Interference’</w:t>
      </w:r>
      <w:bookmarkEnd w:id="75"/>
      <w:bookmarkEnd w:id="76"/>
      <w:bookmarkEnd w:id="77"/>
      <w:bookmarkEnd w:id="78"/>
      <w:r w:rsidRPr="00094A03">
        <w:rPr>
          <w:rFonts w:cs="Open Sans"/>
          <w:bCs w:val="0"/>
          <w:i w:val="0"/>
          <w:iCs/>
        </w:rPr>
        <w:t xml:space="preserve"> </w:t>
      </w:r>
    </w:p>
    <w:p w14:paraId="7314DF22"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There is no clear guidance in the jurisprudence of the UN HR Committee as to whether a particular threshold is required in establishing that an act or practice constitutes an ‘interference’ with a person’s family. However, in relation to one communication, the UN HR Committee appeared to accept that a ‘considerable inconvenience’ could suffice.</w:t>
      </w:r>
      <w:r w:rsidRPr="00E95FE0">
        <w:rPr>
          <w:rStyle w:val="EndnoteReference"/>
          <w:rFonts w:ascii="Open Sans" w:hAnsi="Open Sans" w:cs="Open Sans"/>
        </w:rPr>
        <w:endnoteReference w:id="21"/>
      </w:r>
    </w:p>
    <w:p w14:paraId="02C10322" w14:textId="1F51C0C5"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Interpreting the word ‘interference’ using its ordinary meaning, as explained in the Commission report</w:t>
      </w:r>
      <w:r w:rsidR="001B6958">
        <w:rPr>
          <w:rFonts w:cs="Open Sans"/>
        </w:rPr>
        <w:t>,</w:t>
      </w:r>
      <w:r w:rsidRPr="00E95FE0">
        <w:rPr>
          <w:rFonts w:cs="Open Sans"/>
        </w:rPr>
        <w:t xml:space="preserve"> [2008] </w:t>
      </w:r>
      <w:proofErr w:type="spellStart"/>
      <w:r w:rsidRPr="00E95FE0">
        <w:rPr>
          <w:rFonts w:cs="Open Sans"/>
        </w:rPr>
        <w:t>AusHRC</w:t>
      </w:r>
      <w:proofErr w:type="spellEnd"/>
      <w:r w:rsidRPr="00E95FE0">
        <w:rPr>
          <w:rFonts w:cs="Open Sans"/>
        </w:rPr>
        <w:t xml:space="preserve"> 39,</w:t>
      </w:r>
      <w:r w:rsidRPr="00E95FE0">
        <w:rPr>
          <w:rStyle w:val="EndnoteReference"/>
          <w:rFonts w:ascii="Open Sans" w:hAnsi="Open Sans" w:cs="Open Sans"/>
        </w:rPr>
        <w:endnoteReference w:id="22"/>
      </w:r>
      <w:r w:rsidRPr="00E95FE0">
        <w:rPr>
          <w:rFonts w:cs="Open Sans"/>
        </w:rPr>
        <w:t xml:space="preserve"> I am satisfied that interference with the family is demonstrated by the simple fact that Mr Anees and Ms </w:t>
      </w:r>
      <w:r w:rsidR="00C40E58">
        <w:rPr>
          <w:rFonts w:cs="Open Sans"/>
        </w:rPr>
        <w:t>ND</w:t>
      </w:r>
      <w:r w:rsidRPr="00E95FE0">
        <w:rPr>
          <w:rFonts w:cs="Open Sans"/>
        </w:rPr>
        <w:t xml:space="preserve"> were physically separated by the placement of Mr Anees in closed immigration detention. </w:t>
      </w:r>
    </w:p>
    <w:p w14:paraId="41A1D27E" w14:textId="77777777" w:rsidR="00E425C0" w:rsidRPr="00094A03" w:rsidRDefault="00E425C0" w:rsidP="00E425C0">
      <w:pPr>
        <w:pStyle w:val="Heading3"/>
        <w:tabs>
          <w:tab w:val="clear" w:pos="851"/>
          <w:tab w:val="num" w:pos="709"/>
        </w:tabs>
        <w:rPr>
          <w:rFonts w:cs="Open Sans"/>
          <w:bCs w:val="0"/>
          <w:i w:val="0"/>
          <w:iCs/>
        </w:rPr>
      </w:pPr>
      <w:bookmarkStart w:id="79" w:name="_Toc530058747"/>
      <w:bookmarkStart w:id="80" w:name="_Toc4159053"/>
      <w:bookmarkStart w:id="81" w:name="_Toc15040020"/>
      <w:bookmarkStart w:id="82" w:name="_Toc25740085"/>
      <w:r w:rsidRPr="00094A03">
        <w:rPr>
          <w:rFonts w:cs="Open Sans"/>
          <w:bCs w:val="0"/>
          <w:i w:val="0"/>
          <w:iCs/>
        </w:rPr>
        <w:t>‘Arbitrary’</w:t>
      </w:r>
      <w:bookmarkEnd w:id="79"/>
      <w:bookmarkEnd w:id="80"/>
      <w:bookmarkEnd w:id="81"/>
      <w:bookmarkEnd w:id="82"/>
    </w:p>
    <w:p w14:paraId="78150CE1"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In its General Comment on article 17, the UN HR Committee confirmed that a lawful interference with a person’s family may nevertheless be arbitrary, unless it is in accordance with the provisions, aims and objectives of the Covenant and is reasonable in the particular circumstances.</w:t>
      </w:r>
      <w:r w:rsidRPr="00E95FE0">
        <w:rPr>
          <w:rStyle w:val="EndnoteReference"/>
          <w:rFonts w:ascii="Open Sans" w:hAnsi="Open Sans" w:cs="Open Sans"/>
        </w:rPr>
        <w:endnoteReference w:id="23"/>
      </w:r>
    </w:p>
    <w:p w14:paraId="5A9C142A" w14:textId="288FB982"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It follows that the prohibition against arbitrary interference with family incorporates notions of reasonableness.</w:t>
      </w:r>
      <w:r w:rsidRPr="00E95FE0">
        <w:rPr>
          <w:rStyle w:val="EndnoteReference"/>
          <w:rFonts w:ascii="Open Sans" w:hAnsi="Open Sans" w:cs="Open Sans"/>
        </w:rPr>
        <w:endnoteReference w:id="24"/>
      </w:r>
      <w:r w:rsidRPr="00E95FE0">
        <w:rPr>
          <w:rFonts w:cs="Open Sans"/>
        </w:rPr>
        <w:t xml:space="preserve"> In relation to the meaning of reasonableness, the UN HR Committee stated in </w:t>
      </w:r>
      <w:proofErr w:type="spellStart"/>
      <w:r w:rsidRPr="00E95FE0">
        <w:rPr>
          <w:rFonts w:cs="Open Sans"/>
          <w:i/>
        </w:rPr>
        <w:t>Toonen</w:t>
      </w:r>
      <w:proofErr w:type="spellEnd"/>
      <w:r w:rsidRPr="00E95FE0">
        <w:rPr>
          <w:rFonts w:cs="Open Sans"/>
          <w:i/>
        </w:rPr>
        <w:t xml:space="preserve"> v Australia</w:t>
      </w:r>
      <w:r w:rsidRPr="00E95FE0">
        <w:rPr>
          <w:rFonts w:cs="Open Sans"/>
        </w:rPr>
        <w:t>:</w:t>
      </w:r>
    </w:p>
    <w:p w14:paraId="30BE75FC" w14:textId="0BA1B478" w:rsidR="00E425C0" w:rsidRPr="00E95FE0" w:rsidRDefault="00E425C0" w:rsidP="00E425C0">
      <w:pPr>
        <w:ind w:left="1440"/>
        <w:rPr>
          <w:rFonts w:cs="Open Sans"/>
          <w:sz w:val="22"/>
          <w:szCs w:val="22"/>
        </w:rPr>
      </w:pPr>
      <w:r w:rsidRPr="00E95FE0">
        <w:rPr>
          <w:rFonts w:cs="Open Sans"/>
          <w:sz w:val="22"/>
          <w:szCs w:val="22"/>
        </w:rPr>
        <w:t>The Committee interprets the requirement of reasonableness to imply that any interference with privacy must be proportional to the end sought and be necessary in the circumstances of any given case.</w:t>
      </w:r>
      <w:r w:rsidR="00FC24B4" w:rsidRPr="00FC24B4">
        <w:rPr>
          <w:rStyle w:val="EndnoteReference"/>
          <w:rFonts w:ascii="Open Sans" w:hAnsi="Open Sans" w:cs="Open Sans"/>
        </w:rPr>
        <w:t xml:space="preserve"> </w:t>
      </w:r>
      <w:r w:rsidR="00FC24B4" w:rsidRPr="00E95FE0">
        <w:rPr>
          <w:rStyle w:val="EndnoteReference"/>
          <w:rFonts w:ascii="Open Sans" w:hAnsi="Open Sans" w:cs="Open Sans"/>
        </w:rPr>
        <w:endnoteReference w:id="25"/>
      </w:r>
      <w:r w:rsidRPr="00E95FE0">
        <w:rPr>
          <w:rFonts w:cs="Open Sans"/>
          <w:sz w:val="22"/>
          <w:szCs w:val="22"/>
        </w:rPr>
        <w:t xml:space="preserve"> </w:t>
      </w:r>
    </w:p>
    <w:p w14:paraId="15C11F83"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Whilst the </w:t>
      </w:r>
      <w:proofErr w:type="spellStart"/>
      <w:r w:rsidRPr="00E95FE0">
        <w:rPr>
          <w:rFonts w:cs="Open Sans"/>
          <w:i/>
        </w:rPr>
        <w:t>Toonen</w:t>
      </w:r>
      <w:proofErr w:type="spellEnd"/>
      <w:r w:rsidRPr="00E95FE0">
        <w:rPr>
          <w:rFonts w:cs="Open Sans"/>
          <w:i/>
        </w:rPr>
        <w:t xml:space="preserve"> </w:t>
      </w:r>
      <w:r w:rsidRPr="00E95FE0">
        <w:rPr>
          <w:rFonts w:cs="Open Sans"/>
        </w:rPr>
        <w:t>case concerned a breach of article 17(1) in relation to the right of privacy, these comments would apply equally to an arbitrary interference with the family.</w:t>
      </w:r>
    </w:p>
    <w:p w14:paraId="2CE2ABB3"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In its response to my preliminary view, the Department did not accept that interference with Mr Anees’ family and family life could be considered as arbitrary:</w:t>
      </w:r>
    </w:p>
    <w:p w14:paraId="0EE1B3F8" w14:textId="7A42B741" w:rsidR="00E425C0" w:rsidRPr="00E95FE0" w:rsidRDefault="00E425C0" w:rsidP="00094A03">
      <w:pPr>
        <w:pStyle w:val="ListParagraph"/>
        <w:spacing w:before="240" w:after="240"/>
        <w:ind w:left="1440" w:hanging="22"/>
        <w:contextualSpacing w:val="0"/>
        <w:rPr>
          <w:rFonts w:cs="Open Sans"/>
          <w:sz w:val="22"/>
          <w:szCs w:val="22"/>
        </w:rPr>
      </w:pPr>
      <w:r w:rsidRPr="00E95FE0">
        <w:rPr>
          <w:rFonts w:cs="Open Sans"/>
          <w:sz w:val="22"/>
          <w:szCs w:val="22"/>
        </w:rPr>
        <w:t xml:space="preserve">There was no evidence before the Department that Ms </w:t>
      </w:r>
      <w:r w:rsidR="00C40E58">
        <w:rPr>
          <w:rFonts w:cs="Open Sans"/>
          <w:sz w:val="22"/>
          <w:szCs w:val="22"/>
        </w:rPr>
        <w:t>ND</w:t>
      </w:r>
      <w:r w:rsidRPr="00E95FE0">
        <w:rPr>
          <w:rFonts w:cs="Open Sans"/>
          <w:sz w:val="22"/>
          <w:szCs w:val="22"/>
        </w:rPr>
        <w:t xml:space="preserve"> visited Mr Anees while he was detained at MIDC. The Department acknowledges that in January 2017, Mr Anees requested Ms </w:t>
      </w:r>
      <w:r w:rsidR="00C40E58">
        <w:rPr>
          <w:rFonts w:cs="Open Sans"/>
          <w:sz w:val="22"/>
          <w:szCs w:val="22"/>
        </w:rPr>
        <w:t>ND</w:t>
      </w:r>
      <w:r w:rsidRPr="00E95FE0">
        <w:rPr>
          <w:rFonts w:cs="Open Sans"/>
          <w:sz w:val="22"/>
          <w:szCs w:val="22"/>
        </w:rPr>
        <w:t xml:space="preserve"> be allowed to visit without providing photo identification, which she had allegedly lost. Mr Anees was advised entry conditions to the detention centre required photo identification and that Ms </w:t>
      </w:r>
      <w:r w:rsidR="00C40E58">
        <w:rPr>
          <w:rFonts w:cs="Open Sans"/>
          <w:sz w:val="22"/>
          <w:szCs w:val="22"/>
        </w:rPr>
        <w:t>ND</w:t>
      </w:r>
      <w:r w:rsidRPr="00E95FE0">
        <w:rPr>
          <w:rFonts w:cs="Open Sans"/>
          <w:sz w:val="22"/>
          <w:szCs w:val="22"/>
        </w:rPr>
        <w:t xml:space="preserve"> would need to hold photo identification to visit. </w:t>
      </w:r>
    </w:p>
    <w:p w14:paraId="03C1DE94" w14:textId="66570B65" w:rsidR="00E425C0" w:rsidRPr="00E95FE0" w:rsidRDefault="00E425C0" w:rsidP="00094A03">
      <w:pPr>
        <w:pStyle w:val="ListParagraph"/>
        <w:spacing w:before="240" w:after="240"/>
        <w:ind w:left="1418" w:firstLine="0"/>
        <w:contextualSpacing w:val="0"/>
        <w:rPr>
          <w:rFonts w:cs="Open Sans"/>
          <w:sz w:val="22"/>
          <w:szCs w:val="22"/>
        </w:rPr>
      </w:pPr>
      <w:r w:rsidRPr="00E95FE0">
        <w:rPr>
          <w:rFonts w:cs="Open Sans"/>
          <w:sz w:val="22"/>
          <w:szCs w:val="22"/>
        </w:rPr>
        <w:lastRenderedPageBreak/>
        <w:t xml:space="preserve">The Department notes while Mr Anees’ continued to state he is in a relationship with Ms </w:t>
      </w:r>
      <w:r w:rsidR="00C40E58">
        <w:rPr>
          <w:rFonts w:cs="Open Sans"/>
          <w:sz w:val="22"/>
          <w:szCs w:val="22"/>
        </w:rPr>
        <w:t>ND</w:t>
      </w:r>
      <w:r w:rsidRPr="00E95FE0">
        <w:rPr>
          <w:rFonts w:cs="Open Sans"/>
          <w:sz w:val="22"/>
          <w:szCs w:val="22"/>
        </w:rPr>
        <w:t xml:space="preserve">, the Department has not received any supporting evidence or any confirmation from Ms </w:t>
      </w:r>
      <w:r w:rsidR="00C40E58">
        <w:rPr>
          <w:rFonts w:cs="Open Sans"/>
          <w:sz w:val="22"/>
          <w:szCs w:val="22"/>
        </w:rPr>
        <w:t>ND</w:t>
      </w:r>
      <w:r w:rsidRPr="00E95FE0">
        <w:rPr>
          <w:rFonts w:cs="Open Sans"/>
          <w:sz w:val="22"/>
          <w:szCs w:val="22"/>
        </w:rPr>
        <w:t xml:space="preserve">. </w:t>
      </w:r>
    </w:p>
    <w:p w14:paraId="3F84910F" w14:textId="77777777" w:rsidR="00E425C0" w:rsidRPr="00E95FE0" w:rsidRDefault="00E425C0" w:rsidP="00094A03">
      <w:pPr>
        <w:pStyle w:val="ListParagraph"/>
        <w:spacing w:before="240" w:after="240"/>
        <w:ind w:left="1418" w:firstLine="0"/>
        <w:contextualSpacing w:val="0"/>
        <w:rPr>
          <w:rFonts w:cs="Open Sans"/>
          <w:sz w:val="22"/>
          <w:szCs w:val="22"/>
        </w:rPr>
      </w:pPr>
      <w:r w:rsidRPr="00E95FE0">
        <w:rPr>
          <w:rFonts w:cs="Open Sans"/>
          <w:sz w:val="22"/>
          <w:szCs w:val="22"/>
        </w:rPr>
        <w:t>The Department notes the ICCPR does not provide a person with absolute rights to enter or remain in a country of which they are not a national. Interference with family unity is permissible where it is not arbitrary and where it is lawful at domestic law.</w:t>
      </w:r>
    </w:p>
    <w:p w14:paraId="5BBDB641" w14:textId="77777777" w:rsidR="00E425C0" w:rsidRPr="00E95FE0" w:rsidRDefault="00E425C0" w:rsidP="00094A03">
      <w:pPr>
        <w:pStyle w:val="ListParagraph"/>
        <w:spacing w:before="240" w:after="240"/>
        <w:ind w:left="1418" w:firstLine="0"/>
        <w:contextualSpacing w:val="0"/>
        <w:rPr>
          <w:rFonts w:cs="Open Sans"/>
          <w:sz w:val="22"/>
          <w:szCs w:val="22"/>
        </w:rPr>
      </w:pPr>
      <w:r w:rsidRPr="00E95FE0">
        <w:rPr>
          <w:rFonts w:cs="Open Sans"/>
          <w:sz w:val="22"/>
          <w:szCs w:val="22"/>
        </w:rPr>
        <w:t xml:space="preserve">Australia has a sovereign right to determine whether non-citizens who are of character concern are allowed to enter and/or remain in Australia. Non-citizens who may pose a risk to the health and safety of the Australian community, can expect to have their visas considered for cancellation or their applications considered for refusal. </w:t>
      </w:r>
    </w:p>
    <w:p w14:paraId="1805B23C" w14:textId="71C238B1" w:rsidR="00E425C0" w:rsidRPr="00E95FE0" w:rsidRDefault="00E425C0" w:rsidP="00094A03">
      <w:pPr>
        <w:pStyle w:val="ListParagraph"/>
        <w:spacing w:before="240" w:after="240"/>
        <w:ind w:left="1418" w:firstLine="0"/>
        <w:contextualSpacing w:val="0"/>
        <w:rPr>
          <w:rFonts w:cs="Open Sans"/>
          <w:sz w:val="22"/>
          <w:szCs w:val="22"/>
        </w:rPr>
      </w:pPr>
      <w:r w:rsidRPr="00E95FE0">
        <w:rPr>
          <w:rFonts w:cs="Open Sans"/>
          <w:sz w:val="22"/>
          <w:szCs w:val="22"/>
        </w:rPr>
        <w:t xml:space="preserve">Mr Anees’ Partner visa application has been refused under s 501 of the Act. The decision to refuse his visa has been upheld by the Administrative Appeals Tribunal (AAT) and the Federal Court. The AAT noted they did not have ‘up to date information’ regarding Ms </w:t>
      </w:r>
      <w:r w:rsidR="00C40E58">
        <w:rPr>
          <w:rFonts w:cs="Open Sans"/>
          <w:sz w:val="22"/>
          <w:szCs w:val="22"/>
        </w:rPr>
        <w:t>ND</w:t>
      </w:r>
      <w:r w:rsidRPr="00E95FE0">
        <w:rPr>
          <w:rFonts w:cs="Open Sans"/>
          <w:sz w:val="22"/>
          <w:szCs w:val="22"/>
        </w:rPr>
        <w:t xml:space="preserve">’s circumstances, and the interests of the Australian community outweighed the impacts upon their relationship. </w:t>
      </w:r>
    </w:p>
    <w:p w14:paraId="2D935A60" w14:textId="609801C0"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For the reasons outlined earlier, I accept that Mr Anees and Ms </w:t>
      </w:r>
      <w:r w:rsidR="00C40E58">
        <w:rPr>
          <w:rFonts w:cs="Open Sans"/>
        </w:rPr>
        <w:t>ND</w:t>
      </w:r>
      <w:r w:rsidRPr="00E95FE0">
        <w:rPr>
          <w:rFonts w:cs="Open Sans"/>
        </w:rPr>
        <w:t xml:space="preserve"> are in a relationship. Notwithstanding the absence of evidence directly from Ms </w:t>
      </w:r>
      <w:r w:rsidR="00C40E58">
        <w:rPr>
          <w:rFonts w:cs="Open Sans"/>
        </w:rPr>
        <w:t>ND</w:t>
      </w:r>
      <w:r w:rsidRPr="00E95FE0">
        <w:rPr>
          <w:rFonts w:cs="Open Sans"/>
        </w:rPr>
        <w:t xml:space="preserve">, Mr Anees has provided sufficient evidence, including a psychologist report for Ms </w:t>
      </w:r>
      <w:r w:rsidR="00C40E58">
        <w:rPr>
          <w:rFonts w:cs="Open Sans"/>
        </w:rPr>
        <w:t>ND</w:t>
      </w:r>
      <w:r w:rsidRPr="00E95FE0">
        <w:rPr>
          <w:rFonts w:cs="Open Sans"/>
        </w:rPr>
        <w:t xml:space="preserve"> dated 19 June 2019, demonstrating their on-going relationship. Furthermore, as note</w:t>
      </w:r>
      <w:r w:rsidR="008B7D61">
        <w:rPr>
          <w:rFonts w:cs="Open Sans"/>
        </w:rPr>
        <w:t>d</w:t>
      </w:r>
      <w:r w:rsidRPr="00E95FE0">
        <w:rPr>
          <w:rFonts w:cs="Open Sans"/>
        </w:rPr>
        <w:t xml:space="preserve"> above, in the AAT’s most recent decision in 2018 it accepted Mr Anees’ evidence that he </w:t>
      </w:r>
      <w:r w:rsidR="00D15934">
        <w:rPr>
          <w:rFonts w:cs="Open Sans"/>
        </w:rPr>
        <w:t>wa</w:t>
      </w:r>
      <w:r w:rsidRPr="00E95FE0">
        <w:rPr>
          <w:rFonts w:cs="Open Sans"/>
        </w:rPr>
        <w:t xml:space="preserve">s still in a relationship with Ms </w:t>
      </w:r>
      <w:r w:rsidR="00C40E58">
        <w:rPr>
          <w:rFonts w:cs="Open Sans"/>
        </w:rPr>
        <w:t>ND</w:t>
      </w:r>
      <w:r w:rsidRPr="00E95FE0">
        <w:rPr>
          <w:rFonts w:cs="Open Sans"/>
        </w:rPr>
        <w:t xml:space="preserve"> even though he has been in detention.</w:t>
      </w:r>
      <w:r w:rsidRPr="00E95FE0">
        <w:rPr>
          <w:rStyle w:val="EndnoteReference"/>
        </w:rPr>
        <w:endnoteReference w:id="26"/>
      </w:r>
    </w:p>
    <w:p w14:paraId="08FEDFA8" w14:textId="4C3F15B8"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 xml:space="preserve">In Mr Anees’ case, the interference with his family and family life was the direct consequence of his being put into closed detention. For the reasons </w:t>
      </w:r>
      <w:r w:rsidR="00882E0A">
        <w:rPr>
          <w:rFonts w:cs="Open Sans"/>
        </w:rPr>
        <w:t xml:space="preserve">I have </w:t>
      </w:r>
      <w:r w:rsidRPr="00E95FE0">
        <w:rPr>
          <w:rFonts w:cs="Open Sans"/>
        </w:rPr>
        <w:t>given above, I find that his detention may be considered arbitrary for the purposes of article 9(1) of the ICCPR. It follows that I find that that the significant interference with family and family life has also not been shown to be necessary, and is consequently arbitrary for the purposes of article 17(1).</w:t>
      </w:r>
    </w:p>
    <w:p w14:paraId="34D6EE26" w14:textId="77777777" w:rsidR="00E425C0" w:rsidRPr="00E95FE0" w:rsidRDefault="00E425C0" w:rsidP="00E425C0">
      <w:pPr>
        <w:pStyle w:val="ListParagraph"/>
        <w:numPr>
          <w:ilvl w:val="0"/>
          <w:numId w:val="16"/>
        </w:numPr>
        <w:spacing w:before="240" w:after="240"/>
        <w:contextualSpacing w:val="0"/>
        <w:rPr>
          <w:rFonts w:cs="Open Sans"/>
        </w:rPr>
      </w:pPr>
      <w:r w:rsidRPr="00E95FE0">
        <w:rPr>
          <w:rFonts w:cs="Open Sans"/>
        </w:rPr>
        <w:t>For these reasons, I find that the detention of Mr Anees may be considered as interfering with his family and family life contrary to articles 17(1) and 23(1) of the ICCPR.</w:t>
      </w:r>
    </w:p>
    <w:p w14:paraId="75C23923" w14:textId="347276E2" w:rsidR="00BB2301" w:rsidRPr="008B7D61" w:rsidRDefault="004D2604" w:rsidP="008B7D61">
      <w:pPr>
        <w:pStyle w:val="Heading1"/>
        <w:tabs>
          <w:tab w:val="clear" w:pos="851"/>
          <w:tab w:val="num" w:pos="709"/>
        </w:tabs>
        <w:spacing w:after="0"/>
        <w:ind w:left="709" w:hanging="709"/>
        <w:rPr>
          <w:rFonts w:cs="Open Sans"/>
          <w:sz w:val="36"/>
          <w:szCs w:val="36"/>
        </w:rPr>
      </w:pPr>
      <w:bookmarkStart w:id="83" w:name="_Toc25740086"/>
      <w:bookmarkEnd w:id="67"/>
      <w:r w:rsidRPr="008B7D61">
        <w:rPr>
          <w:rFonts w:cs="Open Sans"/>
          <w:sz w:val="36"/>
          <w:szCs w:val="36"/>
        </w:rPr>
        <w:lastRenderedPageBreak/>
        <w:t>Right of detainees to be treated with humanity and dignity</w:t>
      </w:r>
      <w:bookmarkEnd w:id="83"/>
      <w:r w:rsidR="00BB2301" w:rsidRPr="008B7D61">
        <w:rPr>
          <w:rFonts w:cs="Open Sans"/>
          <w:sz w:val="36"/>
          <w:szCs w:val="36"/>
        </w:rPr>
        <w:t xml:space="preserve"> </w:t>
      </w:r>
    </w:p>
    <w:p w14:paraId="6B96AFD1" w14:textId="77777777" w:rsidR="00131986" w:rsidRPr="00E95FE0" w:rsidRDefault="00131986" w:rsidP="00131986">
      <w:pPr>
        <w:keepNext/>
        <w:numPr>
          <w:ilvl w:val="0"/>
          <w:numId w:val="16"/>
        </w:numPr>
        <w:rPr>
          <w:rFonts w:cs="Open Sans"/>
          <w:szCs w:val="24"/>
        </w:rPr>
      </w:pPr>
      <w:bookmarkStart w:id="84" w:name="_Toc5183423"/>
      <w:r w:rsidRPr="00E95FE0">
        <w:rPr>
          <w:rFonts w:cs="Open Sans"/>
          <w:szCs w:val="24"/>
        </w:rPr>
        <w:t>Article 10(1) of the ICCPR provides:</w:t>
      </w:r>
    </w:p>
    <w:p w14:paraId="0EE3DA44" w14:textId="77777777" w:rsidR="00131986" w:rsidRPr="00E95FE0" w:rsidRDefault="00131986" w:rsidP="00131986">
      <w:pPr>
        <w:ind w:left="1440"/>
        <w:rPr>
          <w:rFonts w:cs="Open Sans"/>
          <w:iCs/>
          <w:sz w:val="22"/>
          <w:szCs w:val="22"/>
        </w:rPr>
      </w:pPr>
      <w:r w:rsidRPr="00E95FE0">
        <w:rPr>
          <w:rFonts w:cs="Open Sans"/>
          <w:iCs/>
          <w:sz w:val="22"/>
          <w:szCs w:val="22"/>
        </w:rPr>
        <w:t>All persons deprived of their liberty shall be treated with humanity and with respect for the inherent dignity of the human person.</w:t>
      </w:r>
    </w:p>
    <w:p w14:paraId="56392790" w14:textId="77777777" w:rsidR="00131986" w:rsidRPr="00E95FE0" w:rsidRDefault="00131986" w:rsidP="00131986">
      <w:pPr>
        <w:numPr>
          <w:ilvl w:val="0"/>
          <w:numId w:val="16"/>
        </w:numPr>
        <w:rPr>
          <w:rFonts w:cs="Open Sans"/>
          <w:szCs w:val="24"/>
        </w:rPr>
      </w:pPr>
      <w:r w:rsidRPr="00E95FE0">
        <w:rPr>
          <w:rFonts w:cs="Open Sans"/>
          <w:szCs w:val="24"/>
        </w:rPr>
        <w:t xml:space="preserve">General Comment 21 on article 10(1) of the ICCPR by the </w:t>
      </w:r>
      <w:r w:rsidRPr="00E95FE0">
        <w:rPr>
          <w:rFonts w:cs="Open Sans"/>
        </w:rPr>
        <w:t xml:space="preserve">UN HR Committee </w:t>
      </w:r>
      <w:r w:rsidRPr="00E95FE0">
        <w:rPr>
          <w:rFonts w:cs="Open Sans"/>
          <w:szCs w:val="24"/>
        </w:rPr>
        <w:t xml:space="preserve">states: </w:t>
      </w:r>
    </w:p>
    <w:p w14:paraId="69AF9661" w14:textId="77777777" w:rsidR="00131986" w:rsidRPr="00E95FE0" w:rsidRDefault="00131986" w:rsidP="00131986">
      <w:pPr>
        <w:ind w:left="1440"/>
        <w:rPr>
          <w:rFonts w:cs="Open Sans"/>
          <w:iCs/>
          <w:sz w:val="22"/>
          <w:szCs w:val="22"/>
        </w:rPr>
      </w:pPr>
      <w:r w:rsidRPr="00E95FE0">
        <w:rPr>
          <w:rFonts w:cs="Open Sans"/>
          <w:iCs/>
          <w:sz w:val="22"/>
          <w:szCs w:val="22"/>
        </w:rPr>
        <w:t>Article 10, paragraph 1, imposes on State parties a positive obligation towards persons who are particularly vulnerable because of their status as persons deprived of their liberty, and complements for them the ban on torture or other cruel, inhuman or degrading treatment or punishment contained in article 7 of the Covenant. Thus, not only may persons deprived of their liberty not be subjected to treatment which is contrary to article 7 … but neither may they be subjected to any hardship or constraint other than that resulting from the deprivation of liberty; respect for the dignity of such persons must be guaranteed under the same conditions as that of free persons.</w:t>
      </w:r>
      <w:r w:rsidRPr="00E95FE0">
        <w:rPr>
          <w:rStyle w:val="EndnoteReference"/>
          <w:rFonts w:ascii="Open Sans" w:hAnsi="Open Sans" w:cs="Open Sans"/>
          <w:iCs/>
          <w:szCs w:val="22"/>
        </w:rPr>
        <w:endnoteReference w:id="27"/>
      </w:r>
    </w:p>
    <w:p w14:paraId="1028E3A1" w14:textId="77777777" w:rsidR="00131986" w:rsidRPr="00E95FE0" w:rsidRDefault="00131986" w:rsidP="00131986">
      <w:pPr>
        <w:keepNext/>
        <w:numPr>
          <w:ilvl w:val="0"/>
          <w:numId w:val="16"/>
        </w:numPr>
        <w:rPr>
          <w:rFonts w:cs="Open Sans"/>
          <w:szCs w:val="24"/>
        </w:rPr>
      </w:pPr>
      <w:r w:rsidRPr="00E95FE0">
        <w:rPr>
          <w:rFonts w:cs="Open Sans"/>
          <w:szCs w:val="24"/>
        </w:rPr>
        <w:t>The above comment supports the conclusions that:</w:t>
      </w:r>
    </w:p>
    <w:p w14:paraId="0BB1498B" w14:textId="77777777" w:rsidR="00131986" w:rsidRPr="00E95FE0" w:rsidRDefault="00131986" w:rsidP="009F49EA">
      <w:pPr>
        <w:numPr>
          <w:ilvl w:val="1"/>
          <w:numId w:val="29"/>
        </w:numPr>
        <w:rPr>
          <w:rFonts w:cs="Open Sans"/>
          <w:szCs w:val="24"/>
        </w:rPr>
      </w:pPr>
      <w:r w:rsidRPr="00E95FE0">
        <w:rPr>
          <w:rFonts w:cs="Open Sans"/>
          <w:szCs w:val="24"/>
        </w:rPr>
        <w:t xml:space="preserve">article 10(1) imposes a positive obligation on State parties to take actions to prevent inhumane treatment of detained persons </w:t>
      </w:r>
    </w:p>
    <w:p w14:paraId="2B5F19DC" w14:textId="77777777" w:rsidR="00131986" w:rsidRPr="00E95FE0" w:rsidRDefault="00131986" w:rsidP="009F49EA">
      <w:pPr>
        <w:numPr>
          <w:ilvl w:val="1"/>
          <w:numId w:val="29"/>
        </w:numPr>
        <w:rPr>
          <w:rFonts w:cs="Open Sans"/>
          <w:szCs w:val="24"/>
        </w:rPr>
      </w:pPr>
      <w:r w:rsidRPr="00E95FE0">
        <w:rPr>
          <w:rFonts w:cs="Open Sans"/>
          <w:szCs w:val="24"/>
        </w:rPr>
        <w:t>the threshold for establishing a breach of article 10(1) is lower than the threshold for establishing ‘cruel, inhuman or degrading treatment’ within the meaning of art 7 of the ICCPR</w:t>
      </w:r>
    </w:p>
    <w:p w14:paraId="7A6FE7E2" w14:textId="77777777" w:rsidR="00131986" w:rsidRPr="00E95FE0" w:rsidRDefault="00131986" w:rsidP="009F49EA">
      <w:pPr>
        <w:numPr>
          <w:ilvl w:val="1"/>
          <w:numId w:val="29"/>
        </w:numPr>
        <w:rPr>
          <w:rFonts w:cs="Open Sans"/>
          <w:szCs w:val="24"/>
        </w:rPr>
      </w:pPr>
      <w:r w:rsidRPr="00E95FE0">
        <w:rPr>
          <w:rFonts w:cs="Open Sans"/>
          <w:szCs w:val="24"/>
        </w:rPr>
        <w:t>the article may be breached if the detainees’ rights, protected by one of the other articles in the ICCPR, are breached unless that breach is necessitated by the deprivation of liberty.</w:t>
      </w:r>
    </w:p>
    <w:p w14:paraId="321FB693" w14:textId="51889BD2" w:rsidR="00131986" w:rsidRPr="00E95FE0" w:rsidRDefault="00131986" w:rsidP="00131986">
      <w:pPr>
        <w:numPr>
          <w:ilvl w:val="0"/>
          <w:numId w:val="16"/>
        </w:numPr>
        <w:rPr>
          <w:rFonts w:cs="Open Sans"/>
          <w:szCs w:val="24"/>
        </w:rPr>
      </w:pPr>
      <w:r w:rsidRPr="00E95FE0">
        <w:rPr>
          <w:rFonts w:cs="Open Sans"/>
          <w:szCs w:val="24"/>
        </w:rPr>
        <w:t xml:space="preserve">The above conclusions about the application of article 10(1) are also supported by the jurisprudence of the </w:t>
      </w:r>
      <w:r w:rsidRPr="00E95FE0">
        <w:rPr>
          <w:rFonts w:cs="Open Sans"/>
        </w:rPr>
        <w:t>UN HR Committee</w:t>
      </w:r>
      <w:r w:rsidRPr="00E95FE0">
        <w:rPr>
          <w:rFonts w:cs="Open Sans"/>
          <w:szCs w:val="24"/>
          <w:vertAlign w:val="superscript"/>
        </w:rPr>
        <w:endnoteReference w:id="28"/>
      </w:r>
      <w:r w:rsidR="00D91D07">
        <w:rPr>
          <w:rFonts w:cs="Open Sans"/>
        </w:rPr>
        <w:t>,</w:t>
      </w:r>
      <w:r w:rsidRPr="00E95FE0">
        <w:rPr>
          <w:rFonts w:cs="Open Sans"/>
          <w:szCs w:val="24"/>
        </w:rPr>
        <w:t xml:space="preserve"> which emphasises that there is a difference between the obligation imposed by article 7(1) not to engage in ‘inhuman’ treatment and the obligation imposed by article 10(1) to treat detainees with humanity and respect for their dignity. In </w:t>
      </w:r>
      <w:r w:rsidRPr="00E95FE0">
        <w:rPr>
          <w:rFonts w:cs="Open Sans"/>
          <w:i/>
          <w:szCs w:val="24"/>
        </w:rPr>
        <w:t xml:space="preserve">Christopher </w:t>
      </w:r>
      <w:proofErr w:type="spellStart"/>
      <w:r w:rsidRPr="00E95FE0">
        <w:rPr>
          <w:rFonts w:cs="Open Sans"/>
          <w:i/>
          <w:szCs w:val="24"/>
        </w:rPr>
        <w:t>Hapimana</w:t>
      </w:r>
      <w:proofErr w:type="spellEnd"/>
      <w:r w:rsidRPr="00E95FE0">
        <w:rPr>
          <w:rFonts w:cs="Open Sans"/>
          <w:i/>
          <w:szCs w:val="24"/>
        </w:rPr>
        <w:t xml:space="preserve"> Ben Mark </w:t>
      </w:r>
      <w:proofErr w:type="spellStart"/>
      <w:r w:rsidRPr="00E95FE0">
        <w:rPr>
          <w:rFonts w:cs="Open Sans"/>
          <w:i/>
          <w:szCs w:val="24"/>
        </w:rPr>
        <w:t>Taunoa</w:t>
      </w:r>
      <w:proofErr w:type="spellEnd"/>
      <w:r w:rsidRPr="00E95FE0">
        <w:rPr>
          <w:rFonts w:cs="Open Sans"/>
          <w:i/>
          <w:szCs w:val="24"/>
        </w:rPr>
        <w:t xml:space="preserve"> v The Attorney General</w:t>
      </w:r>
      <w:r w:rsidRPr="00E95FE0">
        <w:rPr>
          <w:rFonts w:cs="Open Sans"/>
          <w:szCs w:val="24"/>
        </w:rPr>
        <w:t>,</w:t>
      </w:r>
      <w:r w:rsidRPr="00E95FE0">
        <w:rPr>
          <w:rFonts w:cs="Open Sans"/>
          <w:szCs w:val="24"/>
          <w:vertAlign w:val="superscript"/>
        </w:rPr>
        <w:endnoteReference w:id="29"/>
      </w:r>
      <w:r w:rsidRPr="00E95FE0">
        <w:rPr>
          <w:rFonts w:cs="Open Sans"/>
          <w:szCs w:val="24"/>
        </w:rPr>
        <w:t xml:space="preserve"> the Supreme Court of New Zealand explained the difference between these two concepts as follows:</w:t>
      </w:r>
    </w:p>
    <w:p w14:paraId="05ABE76B" w14:textId="77777777" w:rsidR="00131986" w:rsidRPr="00E95FE0" w:rsidRDefault="00131986" w:rsidP="00131986">
      <w:pPr>
        <w:ind w:left="1440"/>
        <w:rPr>
          <w:rFonts w:cs="Open Sans"/>
          <w:iCs/>
          <w:sz w:val="22"/>
          <w:szCs w:val="22"/>
        </w:rPr>
      </w:pPr>
      <w:r w:rsidRPr="00E95FE0">
        <w:rPr>
          <w:rFonts w:cs="Open Sans"/>
          <w:iCs/>
          <w:sz w:val="22"/>
          <w:szCs w:val="22"/>
        </w:rPr>
        <w:t xml:space="preserve">A requirement to treat people with humanity and respect for the inherent dignity of the person imposes a requirement of humane treatment … the words ‘with humanity’ are I think properly to be contrasted with the </w:t>
      </w:r>
      <w:r w:rsidRPr="00E95FE0">
        <w:rPr>
          <w:rFonts w:cs="Open Sans"/>
          <w:iCs/>
          <w:sz w:val="22"/>
          <w:szCs w:val="22"/>
        </w:rPr>
        <w:lastRenderedPageBreak/>
        <w:t>concept of ‘inhuman treatment’ … The concepts are not the same, although they overlap because inhuman treatment will always be inhumane. Inhuman treatment is however different in quality. It amounts to denial of humanity. That is I think consistent with modern usage which contrasts ‘inhuman’ with ‘inhumane’.</w:t>
      </w:r>
      <w:r w:rsidRPr="00E95FE0">
        <w:rPr>
          <w:rFonts w:cs="Open Sans"/>
          <w:iCs/>
          <w:szCs w:val="22"/>
          <w:vertAlign w:val="superscript"/>
        </w:rPr>
        <w:endnoteReference w:id="30"/>
      </w:r>
      <w:r w:rsidRPr="00E95FE0">
        <w:rPr>
          <w:rFonts w:cs="Open Sans"/>
          <w:iCs/>
          <w:sz w:val="22"/>
          <w:szCs w:val="22"/>
        </w:rPr>
        <w:t xml:space="preserve"> </w:t>
      </w:r>
    </w:p>
    <w:p w14:paraId="2ED9A853" w14:textId="4300C751" w:rsidR="00131986" w:rsidRDefault="00131986" w:rsidP="00131986">
      <w:pPr>
        <w:numPr>
          <w:ilvl w:val="0"/>
          <w:numId w:val="16"/>
        </w:numPr>
        <w:rPr>
          <w:rFonts w:cs="Open Sans"/>
          <w:szCs w:val="24"/>
        </w:rPr>
      </w:pPr>
      <w:r w:rsidRPr="00E95FE0">
        <w:rPr>
          <w:rFonts w:cs="Open Sans"/>
          <w:szCs w:val="24"/>
        </w:rPr>
        <w:t xml:space="preserve">The decision considered provisions of the New Zealand Bill of Rights, which are worded in identical terms to articles 10(1) and 7(1) of the ICCPR. </w:t>
      </w:r>
    </w:p>
    <w:p w14:paraId="520935D0" w14:textId="77777777" w:rsidR="00550E55" w:rsidRPr="005A6602" w:rsidRDefault="00550E55" w:rsidP="00550E55">
      <w:pPr>
        <w:pStyle w:val="Heading2"/>
        <w:tabs>
          <w:tab w:val="clear" w:pos="851"/>
          <w:tab w:val="num" w:pos="709"/>
        </w:tabs>
        <w:spacing w:after="0"/>
        <w:ind w:left="4394" w:hanging="4394"/>
        <w:rPr>
          <w:rFonts w:cs="Open Sans"/>
          <w:i w:val="0"/>
          <w:iCs/>
        </w:rPr>
      </w:pPr>
      <w:bookmarkStart w:id="85" w:name="_Toc4159055"/>
      <w:bookmarkStart w:id="86" w:name="_Toc15040022"/>
      <w:bookmarkStart w:id="87" w:name="_Toc25740087"/>
      <w:r w:rsidRPr="005A6602">
        <w:rPr>
          <w:rFonts w:cs="Open Sans"/>
          <w:i w:val="0"/>
          <w:iCs/>
        </w:rPr>
        <w:t>Alleged sexual assault</w:t>
      </w:r>
      <w:bookmarkEnd w:id="85"/>
      <w:bookmarkEnd w:id="86"/>
      <w:bookmarkEnd w:id="87"/>
    </w:p>
    <w:p w14:paraId="466242E1" w14:textId="77777777" w:rsidR="00550E55" w:rsidRPr="00E95FE0" w:rsidRDefault="00550E55" w:rsidP="00550E55">
      <w:pPr>
        <w:numPr>
          <w:ilvl w:val="0"/>
          <w:numId w:val="16"/>
        </w:numPr>
        <w:rPr>
          <w:rFonts w:cs="Open Sans"/>
        </w:rPr>
      </w:pPr>
      <w:r w:rsidRPr="00E95FE0">
        <w:rPr>
          <w:rFonts w:cs="Open Sans"/>
        </w:rPr>
        <w:t xml:space="preserve">Mr Anees alleges that on 16 September 2018 a Serco Emergency Response Team (ERT) officer sexually assaulted him at </w:t>
      </w:r>
      <w:proofErr w:type="spellStart"/>
      <w:r w:rsidRPr="00E95FE0">
        <w:rPr>
          <w:rFonts w:cs="Open Sans"/>
        </w:rPr>
        <w:t>Yongah</w:t>
      </w:r>
      <w:proofErr w:type="spellEnd"/>
      <w:r w:rsidRPr="00E95FE0">
        <w:rPr>
          <w:rFonts w:cs="Open Sans"/>
        </w:rPr>
        <w:t xml:space="preserve"> Hill IDC. </w:t>
      </w:r>
    </w:p>
    <w:p w14:paraId="42AC952B" w14:textId="77777777" w:rsidR="00550E55" w:rsidRPr="00E95FE0" w:rsidRDefault="00550E55" w:rsidP="00550E55">
      <w:pPr>
        <w:numPr>
          <w:ilvl w:val="0"/>
          <w:numId w:val="16"/>
        </w:numPr>
        <w:rPr>
          <w:rFonts w:cs="Open Sans"/>
        </w:rPr>
      </w:pPr>
      <w:r w:rsidRPr="00E95FE0">
        <w:rPr>
          <w:rFonts w:cs="Open Sans"/>
        </w:rPr>
        <w:t>In a written complaint Mr Anees lodged with Serco on 16 September 2018, he described the incident in the following way:</w:t>
      </w:r>
    </w:p>
    <w:p w14:paraId="71E36DE2" w14:textId="77777777" w:rsidR="00550E55" w:rsidRPr="00E95FE0" w:rsidRDefault="00550E55" w:rsidP="00550E55">
      <w:pPr>
        <w:ind w:left="1440"/>
        <w:rPr>
          <w:rFonts w:cs="Open Sans"/>
          <w:sz w:val="22"/>
          <w:szCs w:val="22"/>
        </w:rPr>
      </w:pPr>
      <w:r w:rsidRPr="00E95FE0">
        <w:rPr>
          <w:rFonts w:cs="Open Sans"/>
          <w:sz w:val="22"/>
          <w:szCs w:val="22"/>
        </w:rPr>
        <w:t>When I was exiting the medical dispensary, this Serco-ERT guy, followed me from the backside and pressed his genitals against my back, and then used his right hand to touch my buttocks area from the back. This caused me extreme emotional distress, fear and panic. And when I asked him why he did it, the ERT officials ganged up on me and I felt I was going to get physically assaulted.</w:t>
      </w:r>
    </w:p>
    <w:p w14:paraId="3CFB5A15" w14:textId="77777777" w:rsidR="00550E55" w:rsidRPr="00E95FE0" w:rsidRDefault="00550E55" w:rsidP="00550E55">
      <w:pPr>
        <w:numPr>
          <w:ilvl w:val="0"/>
          <w:numId w:val="16"/>
        </w:numPr>
        <w:rPr>
          <w:rFonts w:cs="Open Sans"/>
        </w:rPr>
      </w:pPr>
      <w:r w:rsidRPr="00E95FE0">
        <w:rPr>
          <w:rFonts w:cs="Open Sans"/>
        </w:rPr>
        <w:t xml:space="preserve">The Department referred the matter to the Australian Federal Police (AFP) two days later on 18 September 2018. On 26 September 2018, the AFP advised the Department that the referral was rejected. The AFP stated that as it is a complaint about alleged misconduct regarding a Serco officer it should be referred to the ABF Integrity and Professional Standards Branch in the first instance. </w:t>
      </w:r>
    </w:p>
    <w:p w14:paraId="11BBAF86" w14:textId="77777777" w:rsidR="00550E55" w:rsidRPr="00E95FE0" w:rsidRDefault="00550E55" w:rsidP="00550E55">
      <w:pPr>
        <w:numPr>
          <w:ilvl w:val="0"/>
          <w:numId w:val="16"/>
        </w:numPr>
        <w:rPr>
          <w:rFonts w:cs="Open Sans"/>
        </w:rPr>
      </w:pPr>
      <w:r w:rsidRPr="00E95FE0">
        <w:rPr>
          <w:rFonts w:cs="Open Sans"/>
        </w:rPr>
        <w:t xml:space="preserve">On 19 February 2019, the Integrity and Professional Standards Branch advised Mr Anees that its assessment was that his allegations were unsubstantiated and the matter was closed. </w:t>
      </w:r>
    </w:p>
    <w:p w14:paraId="68495DA0" w14:textId="77777777" w:rsidR="00550E55" w:rsidRPr="005A6602" w:rsidRDefault="00550E55" w:rsidP="00550E55">
      <w:pPr>
        <w:pStyle w:val="Heading2"/>
        <w:tabs>
          <w:tab w:val="clear" w:pos="851"/>
          <w:tab w:val="num" w:pos="709"/>
        </w:tabs>
        <w:spacing w:after="0"/>
        <w:ind w:left="4394" w:hanging="4394"/>
        <w:rPr>
          <w:rFonts w:cs="Open Sans"/>
          <w:i w:val="0"/>
          <w:iCs/>
        </w:rPr>
      </w:pPr>
      <w:bookmarkStart w:id="88" w:name="_Toc15040023"/>
      <w:bookmarkStart w:id="89" w:name="_Toc25740088"/>
      <w:r w:rsidRPr="005A6602">
        <w:rPr>
          <w:rFonts w:cs="Open Sans"/>
          <w:i w:val="0"/>
          <w:iCs/>
        </w:rPr>
        <w:t>Finding</w:t>
      </w:r>
      <w:bookmarkEnd w:id="88"/>
      <w:bookmarkEnd w:id="89"/>
    </w:p>
    <w:p w14:paraId="6199BAEF" w14:textId="77777777" w:rsidR="00550E55" w:rsidRPr="00E95FE0" w:rsidRDefault="00550E55" w:rsidP="00550E55">
      <w:pPr>
        <w:numPr>
          <w:ilvl w:val="0"/>
          <w:numId w:val="16"/>
        </w:numPr>
        <w:rPr>
          <w:rFonts w:cs="Open Sans"/>
        </w:rPr>
      </w:pPr>
      <w:r w:rsidRPr="00E95FE0">
        <w:rPr>
          <w:rFonts w:cs="Open Sans"/>
        </w:rPr>
        <w:t xml:space="preserve">I have considered the information in the complaint, written responses and documents provided by the Department. These materials include CCTV footage from cameras in the medical pharmacy, ‘incident reports’ completed by Serco officers and witness statements. </w:t>
      </w:r>
    </w:p>
    <w:p w14:paraId="61A54DAC" w14:textId="1D824A68" w:rsidR="00550E55" w:rsidRPr="00E95FE0" w:rsidRDefault="00550E55" w:rsidP="00550E55">
      <w:pPr>
        <w:numPr>
          <w:ilvl w:val="0"/>
          <w:numId w:val="16"/>
        </w:numPr>
        <w:rPr>
          <w:rFonts w:cs="Open Sans"/>
        </w:rPr>
      </w:pPr>
      <w:r w:rsidRPr="00E95FE0">
        <w:rPr>
          <w:rFonts w:cs="Open Sans"/>
        </w:rPr>
        <w:t xml:space="preserve">The ERT Officer accused of sexual assault completed an incident report dated 16 September 2018. In the report, he provides a different version of events </w:t>
      </w:r>
      <w:r w:rsidR="008765AC">
        <w:rPr>
          <w:rFonts w:cs="Open Sans"/>
        </w:rPr>
        <w:t xml:space="preserve">from </w:t>
      </w:r>
      <w:r w:rsidRPr="00E95FE0">
        <w:rPr>
          <w:rFonts w:cs="Open Sans"/>
        </w:rPr>
        <w:t xml:space="preserve">Mr Anees. The Officer says that Mr Anees was speaking aggressively to an IHMS nurse dispensing medication and called her a ‘dumb bitch’. He says that after Mr Anees took his medication he followed </w:t>
      </w:r>
      <w:r w:rsidRPr="00E95FE0">
        <w:rPr>
          <w:rFonts w:cs="Open Sans"/>
        </w:rPr>
        <w:lastRenderedPageBreak/>
        <w:t>him towards the exit. At the exit, Mr Anees stopped abruptly causing him to accidently bump into Mr Anees. He then states he told Mr Anees he could not block the doorway and to please move aside. Mr Anees is said to have responded in an aggressive tone</w:t>
      </w:r>
      <w:r w:rsidR="00863D7D">
        <w:rPr>
          <w:rFonts w:cs="Open Sans"/>
        </w:rPr>
        <w:t>,</w:t>
      </w:r>
      <w:r w:rsidRPr="00E95FE0">
        <w:rPr>
          <w:rFonts w:cs="Open Sans"/>
        </w:rPr>
        <w:t xml:space="preserve"> ‘you just touched me inappropriately, you can’t touch me’. The Officer says he replied</w:t>
      </w:r>
      <w:r w:rsidR="00863D7D">
        <w:rPr>
          <w:rFonts w:cs="Open Sans"/>
        </w:rPr>
        <w:t>,</w:t>
      </w:r>
      <w:r w:rsidRPr="00E95FE0">
        <w:rPr>
          <w:rFonts w:cs="Open Sans"/>
        </w:rPr>
        <w:t xml:space="preserve"> ‘I did not touch you inappropriately, I did accidentally lightly bump into you though because you stopped suddenly in the exit way’. </w:t>
      </w:r>
    </w:p>
    <w:p w14:paraId="1DA19A13" w14:textId="77777777" w:rsidR="00550E55" w:rsidRPr="00E95FE0" w:rsidRDefault="00550E55" w:rsidP="00550E55">
      <w:pPr>
        <w:numPr>
          <w:ilvl w:val="0"/>
          <w:numId w:val="16"/>
        </w:numPr>
        <w:rPr>
          <w:rFonts w:cs="Open Sans"/>
        </w:rPr>
      </w:pPr>
      <w:r w:rsidRPr="00E95FE0">
        <w:rPr>
          <w:rFonts w:cs="Open Sans"/>
        </w:rPr>
        <w:t>An Incident Detail Report by the Facility Operations Manager dated 16 September 2018 provides a similar account of events:</w:t>
      </w:r>
    </w:p>
    <w:p w14:paraId="5BA09588" w14:textId="77777777" w:rsidR="00550E55" w:rsidRPr="00E95FE0" w:rsidRDefault="00550E55" w:rsidP="00550E55">
      <w:pPr>
        <w:ind w:left="1440"/>
        <w:rPr>
          <w:rFonts w:cs="Open Sans"/>
          <w:sz w:val="22"/>
          <w:szCs w:val="22"/>
        </w:rPr>
      </w:pPr>
      <w:r w:rsidRPr="00E95FE0">
        <w:rPr>
          <w:rFonts w:cs="Open Sans"/>
          <w:sz w:val="22"/>
          <w:szCs w:val="22"/>
        </w:rPr>
        <w:t>Earlier in the day of Sunday 16</w:t>
      </w:r>
      <w:r w:rsidRPr="00E95FE0">
        <w:rPr>
          <w:rFonts w:cs="Open Sans"/>
          <w:sz w:val="22"/>
          <w:szCs w:val="22"/>
          <w:vertAlign w:val="superscript"/>
        </w:rPr>
        <w:t>th</w:t>
      </w:r>
      <w:r w:rsidRPr="00E95FE0">
        <w:rPr>
          <w:rFonts w:cs="Open Sans"/>
          <w:sz w:val="22"/>
          <w:szCs w:val="22"/>
        </w:rPr>
        <w:t xml:space="preserve"> of September at approximately 0925hrs detainee ANEES was in the medical pharmacy area when he became involved in an argument with the International Health and Medical Services (IHMS) staff member [redacted] and the ERT’s Officer’s [redacted] and [redacted] in relation to his medication, in which Mr ANEES became verbally abusive. ERT Officer [redacted] also witnessed the conversation between ERT officers [redacted] and detainee ANEES once they had departed the medical pharmacy area.</w:t>
      </w:r>
    </w:p>
    <w:p w14:paraId="3A9558F3" w14:textId="77777777" w:rsidR="00550E55" w:rsidRPr="00E95FE0" w:rsidRDefault="00550E55" w:rsidP="00550E55">
      <w:pPr>
        <w:ind w:left="1440"/>
        <w:rPr>
          <w:rFonts w:cs="Open Sans"/>
          <w:sz w:val="22"/>
          <w:szCs w:val="22"/>
        </w:rPr>
      </w:pPr>
      <w:r w:rsidRPr="00E95FE0">
        <w:rPr>
          <w:rFonts w:cs="Open Sans"/>
          <w:sz w:val="22"/>
          <w:szCs w:val="22"/>
        </w:rPr>
        <w:t xml:space="preserve">CCTV footage of camera 117 commencing at 0925hrs on 16/09/18 was reviewed shortly after these two incidents by the Facility Operations Manager in which it was observed that detainee ANEES was viewed conversing with ERT officer [redacted] and IHMS [redacted] before starting to depart the pharmacy area followed by ERT [redacted]. As detainee ANEES departed the room he appeared to stop in the open doorframe momentarily at which point ERT [redacted] who was walking a short distance behind ANEES appears to step into him due to the sudden stoppage of detainee ANEES. </w:t>
      </w:r>
    </w:p>
    <w:p w14:paraId="0E823441" w14:textId="77777777" w:rsidR="00550E55" w:rsidRPr="00E95FE0" w:rsidRDefault="00550E55" w:rsidP="00550E55">
      <w:pPr>
        <w:ind w:left="1440"/>
        <w:rPr>
          <w:rFonts w:cs="Open Sans"/>
          <w:sz w:val="22"/>
          <w:szCs w:val="22"/>
        </w:rPr>
      </w:pPr>
      <w:r w:rsidRPr="00E95FE0">
        <w:rPr>
          <w:rFonts w:cs="Open Sans"/>
          <w:sz w:val="22"/>
          <w:szCs w:val="22"/>
        </w:rPr>
        <w:t xml:space="preserve">No purposeful touching of detainee ANEES was observed by the Facility Operation Manager on this CCTV footage and a copy of the footage has been recorded and will be handed to the Serco intelligence manager [redacted] for referral to the AFP. </w:t>
      </w:r>
    </w:p>
    <w:p w14:paraId="341B4A27" w14:textId="77777777" w:rsidR="00550E55" w:rsidRPr="00E95FE0" w:rsidRDefault="00550E55" w:rsidP="00550E55">
      <w:pPr>
        <w:numPr>
          <w:ilvl w:val="0"/>
          <w:numId w:val="16"/>
        </w:numPr>
        <w:rPr>
          <w:rFonts w:cs="Open Sans"/>
        </w:rPr>
      </w:pPr>
      <w:r w:rsidRPr="00E95FE0">
        <w:rPr>
          <w:rFonts w:cs="Open Sans"/>
        </w:rPr>
        <w:t xml:space="preserve">I have viewed relevant footage from two separate CCTV cameras that were located in the medical dispensary room. The CCTV footage shows Mr Anees in the medical dispensary collecting his medication. An ERT officer is stationed at the back of the room. After consuming his medication, Mr Anees walks towards the door and the ERT officer follows him. </w:t>
      </w:r>
    </w:p>
    <w:p w14:paraId="15F877E9" w14:textId="77777777" w:rsidR="00550E55" w:rsidRPr="00E95FE0" w:rsidRDefault="00550E55" w:rsidP="00550E55">
      <w:pPr>
        <w:numPr>
          <w:ilvl w:val="0"/>
          <w:numId w:val="16"/>
        </w:numPr>
        <w:rPr>
          <w:rFonts w:cs="Open Sans"/>
        </w:rPr>
      </w:pPr>
      <w:r w:rsidRPr="00E95FE0">
        <w:rPr>
          <w:rFonts w:cs="Open Sans"/>
        </w:rPr>
        <w:t>From the CCTV footage, it is not apparent to me that Mr Anees suddenly stopped in the doorway as described in the incident reports. He seems to slow down for a brief moment outside the door, however, and continues walking. When walking through the door, the ERT officer is in close proximity to Mr Anees. It is not clear from the footage that there was physical contact.</w:t>
      </w:r>
    </w:p>
    <w:p w14:paraId="781CF2E4" w14:textId="77777777" w:rsidR="00550E55" w:rsidRPr="00E95FE0" w:rsidRDefault="00550E55" w:rsidP="00550E55">
      <w:pPr>
        <w:numPr>
          <w:ilvl w:val="0"/>
          <w:numId w:val="16"/>
        </w:numPr>
        <w:rPr>
          <w:rFonts w:cs="Open Sans"/>
        </w:rPr>
      </w:pPr>
      <w:r w:rsidRPr="00E95FE0">
        <w:rPr>
          <w:rFonts w:cs="Open Sans"/>
        </w:rPr>
        <w:lastRenderedPageBreak/>
        <w:t>However, once outside Mr Anees appears to move sharply and turns around towards the officer supporting a conclusion that there may have been unexpected physical contact. The footage is not of sufficient quality to give any indication of what occurred at the point of contact between both men.</w:t>
      </w:r>
    </w:p>
    <w:p w14:paraId="099F1F73" w14:textId="2A6D45B5" w:rsidR="00550E55" w:rsidRPr="00E95FE0" w:rsidRDefault="00550E55" w:rsidP="00550E55">
      <w:pPr>
        <w:numPr>
          <w:ilvl w:val="0"/>
          <w:numId w:val="16"/>
        </w:numPr>
        <w:rPr>
          <w:rFonts w:cs="Open Sans"/>
        </w:rPr>
      </w:pPr>
      <w:r w:rsidRPr="00E95FE0">
        <w:rPr>
          <w:rFonts w:cs="Open Sans"/>
        </w:rPr>
        <w:t xml:space="preserve">From the CCTV footage, it is not apparent that the ERT officer used his right-hand to grab Mr Anees’ buttocks or that he intentionally touched Mr Anees in any other way as alleged by Mr Anees. </w:t>
      </w:r>
    </w:p>
    <w:p w14:paraId="388633C1" w14:textId="0AB367E9" w:rsidR="00550E55" w:rsidRPr="00E95FE0" w:rsidRDefault="00550E55" w:rsidP="00550E55">
      <w:pPr>
        <w:numPr>
          <w:ilvl w:val="0"/>
          <w:numId w:val="16"/>
        </w:numPr>
        <w:rPr>
          <w:rFonts w:cs="Open Sans"/>
        </w:rPr>
      </w:pPr>
      <w:r w:rsidRPr="00E95FE0">
        <w:rPr>
          <w:rFonts w:cs="Open Sans"/>
        </w:rPr>
        <w:t xml:space="preserve">Mr Anees provided two witness statements from Mr </w:t>
      </w:r>
      <w:r w:rsidR="001B2549">
        <w:rPr>
          <w:rFonts w:cs="Open Sans"/>
        </w:rPr>
        <w:t>[redacted]</w:t>
      </w:r>
      <w:r w:rsidRPr="00E95FE0">
        <w:rPr>
          <w:rFonts w:cs="Open Sans"/>
        </w:rPr>
        <w:t xml:space="preserve"> who accompanied him to the medical dispensary. Mr</w:t>
      </w:r>
      <w:r w:rsidR="001B2549">
        <w:rPr>
          <w:rFonts w:cs="Open Sans"/>
        </w:rPr>
        <w:t xml:space="preserve"> </w:t>
      </w:r>
      <w:r w:rsidR="001B2549">
        <w:rPr>
          <w:rFonts w:cs="Open Sans"/>
        </w:rPr>
        <w:t>[redacted]</w:t>
      </w:r>
      <w:r w:rsidR="001B2549" w:rsidRPr="00E95FE0">
        <w:rPr>
          <w:rFonts w:cs="Open Sans"/>
        </w:rPr>
        <w:t xml:space="preserve"> </w:t>
      </w:r>
      <w:r w:rsidRPr="00E95FE0">
        <w:rPr>
          <w:rFonts w:cs="Open Sans"/>
        </w:rPr>
        <w:t xml:space="preserve">provides a similar account of events as Mr Anees. In his witness statement dated 17 September 2018, Mr </w:t>
      </w:r>
      <w:r w:rsidR="001B2549">
        <w:rPr>
          <w:rFonts w:cs="Open Sans"/>
        </w:rPr>
        <w:t>[redacted]</w:t>
      </w:r>
      <w:r w:rsidRPr="00E95FE0">
        <w:rPr>
          <w:rFonts w:cs="Open Sans"/>
        </w:rPr>
        <w:t xml:space="preserve"> states:</w:t>
      </w:r>
    </w:p>
    <w:p w14:paraId="0F7C36B4" w14:textId="77777777" w:rsidR="00550E55" w:rsidRPr="00E95FE0" w:rsidRDefault="00550E55" w:rsidP="00550E55">
      <w:pPr>
        <w:ind w:left="1440"/>
        <w:rPr>
          <w:rFonts w:cs="Open Sans"/>
          <w:sz w:val="22"/>
          <w:szCs w:val="22"/>
        </w:rPr>
      </w:pPr>
      <w:r w:rsidRPr="00E95FE0">
        <w:rPr>
          <w:rFonts w:cs="Open Sans"/>
          <w:sz w:val="22"/>
          <w:szCs w:val="22"/>
        </w:rPr>
        <w:t>When Mr Anees was leaving the medication area, I observed the tall, white bulky – ERT (Serco) officer with an aggressive body language approach and come really close towards the back side of Mr Anees in the door way of the dispensary. I observed the ERT officer make physical body contact with his body to the backside of Mr Anees’ body, and then he touched Mr Anees’ bottom. I observed Mr Anees to be very distressed after that.</w:t>
      </w:r>
    </w:p>
    <w:p w14:paraId="2B4B44B9" w14:textId="4CB7F8A7" w:rsidR="00550E55" w:rsidRPr="00E95FE0" w:rsidRDefault="00550E55" w:rsidP="00550E55">
      <w:pPr>
        <w:numPr>
          <w:ilvl w:val="0"/>
          <w:numId w:val="16"/>
        </w:numPr>
        <w:rPr>
          <w:rFonts w:cs="Open Sans"/>
        </w:rPr>
      </w:pPr>
      <w:r w:rsidRPr="00E95FE0">
        <w:rPr>
          <w:rFonts w:cs="Open Sans"/>
        </w:rPr>
        <w:t xml:space="preserve">On 26 September 2018, Mr </w:t>
      </w:r>
      <w:r w:rsidR="001B2549">
        <w:rPr>
          <w:rFonts w:cs="Open Sans"/>
        </w:rPr>
        <w:t>[redacted]</w:t>
      </w:r>
      <w:bookmarkStart w:id="90" w:name="_GoBack"/>
      <w:bookmarkEnd w:id="90"/>
      <w:r w:rsidRPr="00E95FE0">
        <w:rPr>
          <w:rFonts w:cs="Open Sans"/>
        </w:rPr>
        <w:t xml:space="preserve"> made another witness statement regarding the incident. He said he previously witnessed the ERT officer accused of sexual assault stalk and intimidate Mr Anees. He also described what he observed immediately prior to the alleged assault:</w:t>
      </w:r>
    </w:p>
    <w:p w14:paraId="019842EE" w14:textId="77777777" w:rsidR="00550E55" w:rsidRPr="00E95FE0" w:rsidRDefault="00550E55" w:rsidP="00550E55">
      <w:pPr>
        <w:ind w:left="1440"/>
        <w:rPr>
          <w:rFonts w:cs="Open Sans"/>
          <w:sz w:val="22"/>
          <w:szCs w:val="22"/>
        </w:rPr>
      </w:pPr>
      <w:r w:rsidRPr="00E95FE0">
        <w:rPr>
          <w:rFonts w:cs="Open Sans"/>
          <w:sz w:val="22"/>
          <w:szCs w:val="22"/>
        </w:rPr>
        <w:t>On the morning of 16/09/18 I accompanied Mr Anees to the medication area for the morning medication. I observed that there were about approximately 3 ERT officers in the ‘medical yard’ but when Mr Anees entered the dispensary, the ‘Caucasian ERT officer’ alone, with an aggressive body language followed Mr Anees into the medical dispensary. During Mr Anees’ time in the medical dispensary, I observed him [Mr Anees] to be very courteous as he normally is.</w:t>
      </w:r>
    </w:p>
    <w:p w14:paraId="494C5025" w14:textId="77777777" w:rsidR="00550E55" w:rsidRPr="00E95FE0" w:rsidRDefault="00550E55" w:rsidP="00550E55">
      <w:pPr>
        <w:numPr>
          <w:ilvl w:val="0"/>
          <w:numId w:val="16"/>
        </w:numPr>
        <w:rPr>
          <w:rFonts w:cs="Open Sans"/>
        </w:rPr>
      </w:pPr>
      <w:r w:rsidRPr="00E95FE0">
        <w:rPr>
          <w:rFonts w:cs="Open Sans"/>
        </w:rPr>
        <w:t>The Department submitted a witness statement dated 20 September 2018 from an IHMS staff member that is consistent with the incident reports. The witness states:</w:t>
      </w:r>
    </w:p>
    <w:p w14:paraId="0FAB7150" w14:textId="77777777" w:rsidR="00550E55" w:rsidRPr="00E95FE0" w:rsidRDefault="00550E55" w:rsidP="00550E55">
      <w:pPr>
        <w:ind w:left="1418"/>
        <w:rPr>
          <w:rFonts w:cs="Open Sans"/>
          <w:sz w:val="22"/>
          <w:szCs w:val="22"/>
        </w:rPr>
      </w:pPr>
      <w:r w:rsidRPr="00E95FE0">
        <w:rPr>
          <w:rFonts w:cs="Open Sans"/>
          <w:sz w:val="22"/>
          <w:szCs w:val="22"/>
        </w:rPr>
        <w:t xml:space="preserve">Detainee </w:t>
      </w:r>
      <w:proofErr w:type="spellStart"/>
      <w:r w:rsidRPr="00E95FE0">
        <w:rPr>
          <w:rFonts w:cs="Open Sans"/>
          <w:sz w:val="22"/>
          <w:szCs w:val="22"/>
        </w:rPr>
        <w:t>Anees</w:t>
      </w:r>
      <w:proofErr w:type="spellEnd"/>
      <w:r w:rsidRPr="00E95FE0">
        <w:rPr>
          <w:rFonts w:cs="Open Sans"/>
          <w:sz w:val="22"/>
          <w:szCs w:val="22"/>
        </w:rPr>
        <w:t xml:space="preserve"> </w:t>
      </w:r>
      <w:proofErr w:type="spellStart"/>
      <w:r w:rsidRPr="00E95FE0">
        <w:rPr>
          <w:rFonts w:cs="Open Sans"/>
          <w:sz w:val="22"/>
          <w:szCs w:val="22"/>
        </w:rPr>
        <w:t>Nauroze’s</w:t>
      </w:r>
      <w:proofErr w:type="spellEnd"/>
      <w:r w:rsidRPr="00E95FE0">
        <w:rPr>
          <w:rFonts w:cs="Open Sans"/>
          <w:sz w:val="22"/>
          <w:szCs w:val="22"/>
        </w:rPr>
        <w:t xml:space="preserve"> medications were being dispensed by [redacted] (Mental Health Nurse) when the detainee stated that he always had his </w:t>
      </w:r>
      <w:proofErr w:type="spellStart"/>
      <w:r w:rsidRPr="00E95FE0">
        <w:rPr>
          <w:rFonts w:cs="Open Sans"/>
          <w:sz w:val="22"/>
          <w:szCs w:val="22"/>
        </w:rPr>
        <w:t>Diazapam</w:t>
      </w:r>
      <w:proofErr w:type="spellEnd"/>
      <w:r w:rsidRPr="00E95FE0">
        <w:rPr>
          <w:rFonts w:cs="Open Sans"/>
          <w:sz w:val="22"/>
          <w:szCs w:val="22"/>
        </w:rPr>
        <w:t xml:space="preserve"> Dry. [redacted] then asked me if he had his medications undiluted to which I had responded that I had never given them dry due to our policy. </w:t>
      </w:r>
    </w:p>
    <w:p w14:paraId="3F26CF26" w14:textId="77777777" w:rsidR="00550E55" w:rsidRPr="00E95FE0" w:rsidRDefault="00550E55" w:rsidP="00550E55">
      <w:pPr>
        <w:ind w:left="1418"/>
        <w:rPr>
          <w:rFonts w:cs="Open Sans"/>
          <w:sz w:val="22"/>
          <w:szCs w:val="22"/>
        </w:rPr>
      </w:pPr>
      <w:r w:rsidRPr="00E95FE0">
        <w:rPr>
          <w:rFonts w:cs="Open Sans"/>
          <w:sz w:val="22"/>
          <w:szCs w:val="22"/>
        </w:rPr>
        <w:t>[redacted] then apologised and attempted to explain to Anees the reason why the medication had to be diluted. The detainee then aggressively said ‘fucken bitch’, to which [redacted] said, ‘excuse me’.</w:t>
      </w:r>
    </w:p>
    <w:p w14:paraId="4EE5AA6A" w14:textId="77777777" w:rsidR="00550E55" w:rsidRPr="00E95FE0" w:rsidRDefault="00550E55" w:rsidP="00550E55">
      <w:pPr>
        <w:ind w:left="1080" w:firstLine="338"/>
        <w:rPr>
          <w:rFonts w:cs="Open Sans"/>
          <w:sz w:val="22"/>
          <w:szCs w:val="22"/>
        </w:rPr>
      </w:pPr>
      <w:r w:rsidRPr="00E95FE0">
        <w:rPr>
          <w:rFonts w:cs="Open Sans"/>
          <w:sz w:val="22"/>
          <w:szCs w:val="22"/>
        </w:rPr>
        <w:lastRenderedPageBreak/>
        <w:t>…</w:t>
      </w:r>
    </w:p>
    <w:p w14:paraId="5BC77488" w14:textId="77777777" w:rsidR="00550E55" w:rsidRPr="00E95FE0" w:rsidRDefault="00550E55" w:rsidP="00550E55">
      <w:pPr>
        <w:ind w:left="1418"/>
        <w:rPr>
          <w:rFonts w:cs="Open Sans"/>
          <w:sz w:val="22"/>
          <w:szCs w:val="22"/>
        </w:rPr>
      </w:pPr>
      <w:r w:rsidRPr="00E95FE0">
        <w:rPr>
          <w:rFonts w:cs="Open Sans"/>
          <w:sz w:val="22"/>
          <w:szCs w:val="22"/>
        </w:rPr>
        <w:t xml:space="preserve">Anees then took his medications and went to walk out of the room. Due to his hostile behaviour ERT that were present in the room escorted Anees out to ensure that no further aggressive behaviour could be displayed to the nursing staff. The ERT officer had an appropriate amount of space between himself and the detainee. The detainee had then for no apparent reason suddenly stopped in the doorway, knowing the ERT officer was behind him. The ERT officers vest had gently tapped Anees on the back due to him stopping without warning. Anees then became aggressive toward the ERT officer and saying that he had assaulted him and continued his hostile behaviour outside with ERT officers. </w:t>
      </w:r>
    </w:p>
    <w:p w14:paraId="0DCE5EF3" w14:textId="77777777" w:rsidR="00550E55" w:rsidRPr="00E95FE0" w:rsidRDefault="00550E55" w:rsidP="00550E55">
      <w:pPr>
        <w:numPr>
          <w:ilvl w:val="0"/>
          <w:numId w:val="16"/>
        </w:numPr>
        <w:rPr>
          <w:rFonts w:cs="Open Sans"/>
        </w:rPr>
      </w:pPr>
      <w:r w:rsidRPr="00E95FE0">
        <w:rPr>
          <w:rFonts w:cs="Open Sans"/>
        </w:rPr>
        <w:t xml:space="preserve">I have considered the contemporaneous witness statements. Mr Anees’ witness statements provide a different account of events from those provided by the Department. I note that Mr Anees has raised concerns about the credibility about one of the accounts because the witness was allegedly subject to a number of complaints from detainees. I have also carefully considered the CCTV footage. </w:t>
      </w:r>
    </w:p>
    <w:p w14:paraId="411D4613" w14:textId="5DD14119" w:rsidR="00550E55" w:rsidRPr="00E95FE0" w:rsidRDefault="00550E55" w:rsidP="00550E55">
      <w:pPr>
        <w:numPr>
          <w:ilvl w:val="0"/>
          <w:numId w:val="16"/>
        </w:numPr>
        <w:rPr>
          <w:rFonts w:cs="Open Sans"/>
        </w:rPr>
      </w:pPr>
      <w:r w:rsidRPr="00E95FE0">
        <w:rPr>
          <w:rFonts w:cs="Open Sans"/>
        </w:rPr>
        <w:t xml:space="preserve">All parties agree that there was some physical contact between the ERT officer and Mr Anees. The factual dispute is as to nature of the contact. It is my view that, on balance, I cannot reasonably conclude that the ERT officer intentionally or inappropriately touched Mr Anees. </w:t>
      </w:r>
    </w:p>
    <w:p w14:paraId="0FEB542F" w14:textId="4F115A0E" w:rsidR="00550E55" w:rsidRPr="00550E55" w:rsidRDefault="00550E55" w:rsidP="00550E55">
      <w:pPr>
        <w:numPr>
          <w:ilvl w:val="0"/>
          <w:numId w:val="16"/>
        </w:numPr>
        <w:rPr>
          <w:rFonts w:cs="Open Sans"/>
        </w:rPr>
      </w:pPr>
      <w:r w:rsidRPr="00E95FE0">
        <w:rPr>
          <w:rFonts w:cs="Open Sans"/>
        </w:rPr>
        <w:t xml:space="preserve">For the above reasons, I find that there is insufficient information to support a finding that the act of sexual assault as alleged by Mr Anees has been established. </w:t>
      </w:r>
    </w:p>
    <w:p w14:paraId="75C2392A" w14:textId="2C1D0712" w:rsidR="00BB2301" w:rsidRPr="000F6925" w:rsidRDefault="00C5191F" w:rsidP="002813FA">
      <w:pPr>
        <w:pStyle w:val="Heading1"/>
        <w:tabs>
          <w:tab w:val="clear" w:pos="851"/>
          <w:tab w:val="num" w:pos="709"/>
        </w:tabs>
        <w:spacing w:after="0"/>
        <w:rPr>
          <w:rFonts w:cs="Open Sans"/>
          <w:iCs/>
          <w:sz w:val="36"/>
          <w:szCs w:val="36"/>
        </w:rPr>
      </w:pPr>
      <w:bookmarkStart w:id="91" w:name="_Toc25740089"/>
      <w:bookmarkEnd w:id="84"/>
      <w:r w:rsidRPr="000F6925">
        <w:rPr>
          <w:rFonts w:cs="Open Sans"/>
          <w:iCs/>
          <w:sz w:val="36"/>
          <w:szCs w:val="36"/>
        </w:rPr>
        <w:t>Recommendations</w:t>
      </w:r>
      <w:bookmarkEnd w:id="91"/>
    </w:p>
    <w:p w14:paraId="7491B9BE" w14:textId="77777777" w:rsidR="00FA2C9C" w:rsidRPr="00E95FE0" w:rsidRDefault="00FA2C9C" w:rsidP="00FA2C9C">
      <w:pPr>
        <w:keepNext/>
        <w:numPr>
          <w:ilvl w:val="0"/>
          <w:numId w:val="16"/>
        </w:numPr>
        <w:tabs>
          <w:tab w:val="clear" w:pos="720"/>
          <w:tab w:val="num" w:pos="1080"/>
        </w:tabs>
        <w:rPr>
          <w:rFonts w:cs="Open Sans"/>
        </w:rPr>
      </w:pPr>
      <w:bookmarkStart w:id="92" w:name="_Toc438218056"/>
      <w:r w:rsidRPr="00E95FE0">
        <w:rPr>
          <w:rFonts w:cs="Open Sans"/>
          <w:szCs w:val="24"/>
        </w:rPr>
        <w:t>As a result of this inquiry, I find the following:</w:t>
      </w:r>
    </w:p>
    <w:p w14:paraId="158FA04B" w14:textId="77777777" w:rsidR="00FA2C9C" w:rsidRPr="00E95FE0" w:rsidRDefault="00FA2C9C" w:rsidP="009F49EA">
      <w:pPr>
        <w:pStyle w:val="ListParagraph"/>
        <w:numPr>
          <w:ilvl w:val="0"/>
          <w:numId w:val="23"/>
        </w:numPr>
        <w:spacing w:before="240" w:after="240"/>
        <w:contextualSpacing w:val="0"/>
        <w:rPr>
          <w:rFonts w:cs="Open Sans"/>
        </w:rPr>
      </w:pPr>
      <w:r w:rsidRPr="00E95FE0">
        <w:rPr>
          <w:rFonts w:cs="Open Sans"/>
        </w:rPr>
        <w:t xml:space="preserve">The Department’s omission to refer Mr Anees’ case to the Minister for consideration of his discretionary intervention powers until 19 October 2018, and the Minister’s failure to consider exercising his power to make a residence determination under s 197AB or grant Mr Anees a visa under s 195A of the Migration Act, were acts that were, taken together, inconsistent with or contrary to article 9(1) of the ICCPR. </w:t>
      </w:r>
    </w:p>
    <w:p w14:paraId="420510DF" w14:textId="77777777" w:rsidR="00FA2C9C" w:rsidRPr="00E95FE0" w:rsidRDefault="00FA2C9C" w:rsidP="009F49EA">
      <w:pPr>
        <w:pStyle w:val="ListParagraph"/>
        <w:numPr>
          <w:ilvl w:val="0"/>
          <w:numId w:val="23"/>
        </w:numPr>
        <w:spacing w:before="240" w:after="240"/>
        <w:contextualSpacing w:val="0"/>
        <w:rPr>
          <w:rFonts w:cs="Open Sans"/>
        </w:rPr>
      </w:pPr>
      <w:r w:rsidRPr="00E95FE0">
        <w:rPr>
          <w:rFonts w:cs="Open Sans"/>
        </w:rPr>
        <w:t>The detention of Mr Anees interfered with his family and family life contrary to articles 17(1) and 23(1) of the ICCPR.</w:t>
      </w:r>
    </w:p>
    <w:p w14:paraId="57651A9E" w14:textId="77777777" w:rsidR="00FA2C9C" w:rsidRPr="00E95FE0" w:rsidRDefault="00FA2C9C" w:rsidP="009F49EA">
      <w:pPr>
        <w:pStyle w:val="ListParagraph"/>
        <w:numPr>
          <w:ilvl w:val="0"/>
          <w:numId w:val="23"/>
        </w:numPr>
        <w:spacing w:before="240" w:after="240"/>
        <w:contextualSpacing w:val="0"/>
        <w:rPr>
          <w:rFonts w:cs="Open Sans"/>
        </w:rPr>
      </w:pPr>
      <w:r w:rsidRPr="00E95FE0">
        <w:rPr>
          <w:rFonts w:cs="Open Sans"/>
        </w:rPr>
        <w:t>The act of sexual assault as alleged by Mr Anees has not been established.</w:t>
      </w:r>
    </w:p>
    <w:p w14:paraId="5CBB16E8" w14:textId="77777777" w:rsidR="00FA2C9C" w:rsidRPr="00E95FE0" w:rsidRDefault="00FA2C9C" w:rsidP="00FA2C9C">
      <w:pPr>
        <w:pStyle w:val="ListParagraph"/>
        <w:numPr>
          <w:ilvl w:val="0"/>
          <w:numId w:val="16"/>
        </w:numPr>
        <w:spacing w:before="240" w:after="240"/>
        <w:contextualSpacing w:val="0"/>
        <w:rPr>
          <w:rFonts w:cs="Open Sans"/>
        </w:rPr>
      </w:pPr>
      <w:r w:rsidRPr="00E95FE0">
        <w:rPr>
          <w:rFonts w:cs="Open Sans"/>
        </w:rPr>
        <w:lastRenderedPageBreak/>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E95FE0">
        <w:rPr>
          <w:rStyle w:val="EndnoteReference"/>
          <w:rFonts w:ascii="Open Sans" w:hAnsi="Open Sans" w:cs="Open Sans"/>
        </w:rPr>
        <w:endnoteReference w:id="31"/>
      </w:r>
      <w:r w:rsidRPr="00E95FE0">
        <w:rPr>
          <w:rFonts w:cs="Open Sans"/>
        </w:rPr>
        <w:t xml:space="preserve"> The Commission may include in the notice any recommendation for preventing a repetition of the act or a continuation of the practice.</w:t>
      </w:r>
      <w:r w:rsidRPr="00E95FE0">
        <w:rPr>
          <w:rStyle w:val="EndnoteReference"/>
          <w:rFonts w:ascii="Open Sans" w:hAnsi="Open Sans" w:cs="Open Sans"/>
        </w:rPr>
        <w:endnoteReference w:id="32"/>
      </w:r>
      <w:r w:rsidRPr="00E95FE0">
        <w:rPr>
          <w:rFonts w:cs="Open Sans"/>
        </w:rPr>
        <w:t xml:space="preserve"> The Commission may also recommend other action to remedy or reduce the loss or damage suffered by a person.</w:t>
      </w:r>
      <w:r w:rsidRPr="00E95FE0">
        <w:rPr>
          <w:rStyle w:val="EndnoteReference"/>
          <w:rFonts w:ascii="Open Sans" w:hAnsi="Open Sans" w:cs="Open Sans"/>
        </w:rPr>
        <w:endnoteReference w:id="33"/>
      </w:r>
      <w:bookmarkEnd w:id="92"/>
    </w:p>
    <w:p w14:paraId="106AB79F" w14:textId="77777777" w:rsidR="00FA2C9C" w:rsidRPr="00E95FE0" w:rsidRDefault="00FA2C9C" w:rsidP="00FA2C9C">
      <w:pPr>
        <w:pStyle w:val="ListParagraph"/>
        <w:numPr>
          <w:ilvl w:val="0"/>
          <w:numId w:val="16"/>
        </w:numPr>
        <w:spacing w:before="240" w:after="240"/>
        <w:contextualSpacing w:val="0"/>
        <w:rPr>
          <w:rFonts w:cs="Open Sans"/>
        </w:rPr>
      </w:pPr>
      <w:r w:rsidRPr="00E95FE0">
        <w:rPr>
          <w:rFonts w:cs="Open Sans"/>
        </w:rPr>
        <w:t>As noted above, the Department has stated that it will prepare a submission in respect of Mr Anees for consideration by the Minister. I recommend that the Minister consider exercising his powers in a manner consistent with the findings set out in this notice.</w:t>
      </w:r>
    </w:p>
    <w:p w14:paraId="69131378" w14:textId="77777777" w:rsidR="00FA2C9C" w:rsidRPr="00753510" w:rsidRDefault="00FA2C9C" w:rsidP="00FA2C9C">
      <w:pPr>
        <w:pStyle w:val="ListParagraph"/>
        <w:numPr>
          <w:ilvl w:val="0"/>
          <w:numId w:val="16"/>
        </w:numPr>
        <w:spacing w:before="240" w:after="240"/>
        <w:contextualSpacing w:val="0"/>
        <w:rPr>
          <w:rFonts w:cs="Open Sans"/>
        </w:rPr>
      </w:pPr>
      <w:r w:rsidRPr="00E95FE0">
        <w:rPr>
          <w:rFonts w:cs="Open Sans"/>
        </w:rPr>
        <w:t xml:space="preserve">In the event that the Minister is concerned that Mr Anees may pose some real risk if allowed to reside in the community (such as a risk of re-offending), he direct the Department to prepare a detailed submission </w:t>
      </w:r>
      <w:r w:rsidRPr="00753510">
        <w:rPr>
          <w:rFonts w:cs="Open Sans"/>
        </w:rPr>
        <w:t xml:space="preserve">including the following: </w:t>
      </w:r>
    </w:p>
    <w:p w14:paraId="1BDED217" w14:textId="77777777" w:rsidR="00FA2C9C" w:rsidRPr="00753510" w:rsidRDefault="00FA2C9C" w:rsidP="009F49EA">
      <w:pPr>
        <w:pStyle w:val="Heading3"/>
        <w:numPr>
          <w:ilvl w:val="0"/>
          <w:numId w:val="31"/>
        </w:numPr>
        <w:spacing w:before="240"/>
        <w:ind w:left="1080"/>
        <w:rPr>
          <w:rFonts w:cs="Open Sans"/>
          <w:i w:val="0"/>
          <w:iCs/>
        </w:rPr>
      </w:pPr>
      <w:bookmarkStart w:id="93" w:name="_Toc23163369"/>
      <w:bookmarkStart w:id="94" w:name="_Toc23164846"/>
      <w:bookmarkStart w:id="95" w:name="_Toc23166562"/>
      <w:bookmarkStart w:id="96" w:name="_Toc25740090"/>
      <w:r w:rsidRPr="00753510">
        <w:rPr>
          <w:rFonts w:cs="Open Sans"/>
          <w:i w:val="0"/>
          <w:iCs/>
        </w:rPr>
        <w:t>a personalised assessment of the existence and/or extent of any such risk, including a detailed description of the nature of the risk and of the evidence and reasons leading to the assessment</w:t>
      </w:r>
      <w:bookmarkEnd w:id="93"/>
      <w:bookmarkEnd w:id="94"/>
      <w:bookmarkEnd w:id="95"/>
      <w:bookmarkEnd w:id="96"/>
      <w:r w:rsidRPr="00753510">
        <w:rPr>
          <w:rFonts w:cs="Open Sans"/>
          <w:i w:val="0"/>
          <w:iCs/>
        </w:rPr>
        <w:t xml:space="preserve"> </w:t>
      </w:r>
    </w:p>
    <w:p w14:paraId="4E2E7A9F" w14:textId="77777777" w:rsidR="00FA2C9C" w:rsidRPr="00753510" w:rsidRDefault="00FA2C9C" w:rsidP="009F49EA">
      <w:pPr>
        <w:pStyle w:val="Heading3"/>
        <w:numPr>
          <w:ilvl w:val="0"/>
          <w:numId w:val="31"/>
        </w:numPr>
        <w:spacing w:before="240"/>
        <w:ind w:left="1080"/>
        <w:rPr>
          <w:rFonts w:cs="Open Sans"/>
          <w:i w:val="0"/>
          <w:iCs/>
        </w:rPr>
      </w:pPr>
      <w:bookmarkStart w:id="97" w:name="_Toc23163370"/>
      <w:bookmarkStart w:id="98" w:name="_Toc23164847"/>
      <w:bookmarkStart w:id="99" w:name="_Toc23166563"/>
      <w:bookmarkStart w:id="100" w:name="_Toc25740091"/>
      <w:r w:rsidRPr="00753510">
        <w:rPr>
          <w:rFonts w:cs="Open Sans"/>
          <w:i w:val="0"/>
          <w:iCs/>
        </w:rPr>
        <w:t>a description of what measures might be implemented to ameliorate any risk in the event Mr Anees were allowed to reside in the community, for example the imposition of conditions such as a requirement to reside at a specified location, curfews, travel restrictions, reporting requirements or a surety</w:t>
      </w:r>
      <w:bookmarkEnd w:id="97"/>
      <w:bookmarkEnd w:id="98"/>
      <w:bookmarkEnd w:id="99"/>
      <w:bookmarkEnd w:id="100"/>
      <w:r w:rsidRPr="00753510">
        <w:rPr>
          <w:rFonts w:cs="Open Sans"/>
          <w:i w:val="0"/>
          <w:iCs/>
        </w:rPr>
        <w:t xml:space="preserve"> </w:t>
      </w:r>
    </w:p>
    <w:p w14:paraId="6822FD6D" w14:textId="77777777" w:rsidR="00FA2C9C" w:rsidRPr="00753510" w:rsidRDefault="00FA2C9C" w:rsidP="009F49EA">
      <w:pPr>
        <w:pStyle w:val="Heading3"/>
        <w:numPr>
          <w:ilvl w:val="0"/>
          <w:numId w:val="31"/>
        </w:numPr>
        <w:spacing w:before="240"/>
        <w:ind w:left="1080"/>
        <w:rPr>
          <w:rFonts w:cs="Open Sans"/>
          <w:i w:val="0"/>
          <w:iCs/>
        </w:rPr>
      </w:pPr>
      <w:bookmarkStart w:id="101" w:name="_Toc23163371"/>
      <w:bookmarkStart w:id="102" w:name="_Toc23164848"/>
      <w:bookmarkStart w:id="103" w:name="_Toc23166564"/>
      <w:bookmarkStart w:id="104" w:name="_Toc25740092"/>
      <w:r w:rsidRPr="00753510">
        <w:rPr>
          <w:rFonts w:cs="Open Sans"/>
          <w:i w:val="0"/>
          <w:iCs/>
        </w:rPr>
        <w:t>an assessment of whether any risk, if present, could be satisfactorily addressed by the identified measures.</w:t>
      </w:r>
      <w:bookmarkEnd w:id="101"/>
      <w:bookmarkEnd w:id="102"/>
      <w:bookmarkEnd w:id="103"/>
      <w:bookmarkEnd w:id="104"/>
      <w:r w:rsidRPr="00753510">
        <w:rPr>
          <w:rFonts w:cs="Open Sans"/>
          <w:i w:val="0"/>
          <w:iCs/>
        </w:rPr>
        <w:t xml:space="preserve"> </w:t>
      </w:r>
    </w:p>
    <w:p w14:paraId="1A96CCF8" w14:textId="77777777" w:rsidR="002F70C6" w:rsidRPr="005A6602" w:rsidRDefault="002F70C6" w:rsidP="002F70C6">
      <w:pPr>
        <w:pStyle w:val="Heading1"/>
        <w:rPr>
          <w:rFonts w:cs="Open Sans"/>
          <w:sz w:val="36"/>
          <w:szCs w:val="36"/>
        </w:rPr>
      </w:pPr>
      <w:bookmarkStart w:id="105" w:name="_Toc25740093"/>
      <w:r w:rsidRPr="005A6602">
        <w:rPr>
          <w:rFonts w:cs="Open Sans"/>
          <w:sz w:val="36"/>
          <w:szCs w:val="36"/>
        </w:rPr>
        <w:t>The department’s response to my findings and recommendations</w:t>
      </w:r>
      <w:bookmarkEnd w:id="105"/>
    </w:p>
    <w:p w14:paraId="5478BB2A" w14:textId="0FF1FE0F" w:rsidR="003F6D91" w:rsidRPr="00C164EF" w:rsidRDefault="003F6D91" w:rsidP="00C164EF">
      <w:pPr>
        <w:pStyle w:val="ListParagraph"/>
        <w:numPr>
          <w:ilvl w:val="0"/>
          <w:numId w:val="16"/>
        </w:numPr>
        <w:spacing w:before="240" w:after="240"/>
        <w:contextualSpacing w:val="0"/>
        <w:rPr>
          <w:rFonts w:cs="Open Sans"/>
        </w:rPr>
      </w:pPr>
      <w:r w:rsidRPr="00C164EF">
        <w:rPr>
          <w:rFonts w:cs="Open Sans"/>
        </w:rPr>
        <w:t>On 8 August 2019, I provide</w:t>
      </w:r>
      <w:r w:rsidR="003356E3">
        <w:rPr>
          <w:rFonts w:cs="Open Sans"/>
        </w:rPr>
        <w:t>d</w:t>
      </w:r>
      <w:r w:rsidRPr="00C164EF">
        <w:rPr>
          <w:rFonts w:cs="Open Sans"/>
        </w:rPr>
        <w:t xml:space="preserve"> the department with a notice of my findings and recommendations.</w:t>
      </w:r>
    </w:p>
    <w:p w14:paraId="5E48BFF2" w14:textId="35BEA0BB" w:rsidR="003F6D91" w:rsidRPr="00C164EF" w:rsidRDefault="003F6D91" w:rsidP="00C164EF">
      <w:pPr>
        <w:pStyle w:val="ListParagraph"/>
        <w:numPr>
          <w:ilvl w:val="0"/>
          <w:numId w:val="16"/>
        </w:numPr>
        <w:spacing w:before="240" w:after="240"/>
        <w:contextualSpacing w:val="0"/>
        <w:rPr>
          <w:rFonts w:cs="Open Sans"/>
        </w:rPr>
      </w:pPr>
      <w:r w:rsidRPr="00C164EF">
        <w:rPr>
          <w:rFonts w:cs="Open Sans"/>
        </w:rPr>
        <w:t xml:space="preserve">On </w:t>
      </w:r>
      <w:r w:rsidR="00C164EF" w:rsidRPr="00C164EF">
        <w:rPr>
          <w:rFonts w:cs="Open Sans"/>
        </w:rPr>
        <w:t>30 September 2019, the department provided the following response to my findings and recommendations:</w:t>
      </w:r>
    </w:p>
    <w:p w14:paraId="71D69FAF" w14:textId="77777777" w:rsidR="008C37F0" w:rsidRDefault="0003311B" w:rsidP="008C37F0">
      <w:pPr>
        <w:autoSpaceDE w:val="0"/>
        <w:autoSpaceDN w:val="0"/>
        <w:adjustRightInd w:val="0"/>
        <w:spacing w:before="0" w:after="0"/>
        <w:ind w:left="1418"/>
        <w:rPr>
          <w:rFonts w:cs="Open Sans"/>
          <w:sz w:val="22"/>
          <w:szCs w:val="22"/>
        </w:rPr>
      </w:pPr>
      <w:r w:rsidRPr="00C164EF">
        <w:rPr>
          <w:rFonts w:cs="Open Sans"/>
          <w:sz w:val="22"/>
          <w:szCs w:val="22"/>
        </w:rPr>
        <w:t>For the reasons set out below, the Department does not accept the findings of the Australian</w:t>
      </w:r>
      <w:r w:rsidR="008C37F0">
        <w:rPr>
          <w:rFonts w:cs="Open Sans"/>
          <w:sz w:val="22"/>
          <w:szCs w:val="22"/>
        </w:rPr>
        <w:t xml:space="preserve"> </w:t>
      </w:r>
      <w:r w:rsidRPr="00C164EF">
        <w:rPr>
          <w:rFonts w:cs="Open Sans"/>
          <w:sz w:val="22"/>
          <w:szCs w:val="22"/>
        </w:rPr>
        <w:t>Human Rights Commission (AHRC) as set out in the notice issued under section 29 of the</w:t>
      </w:r>
      <w:r w:rsidR="008C37F0">
        <w:rPr>
          <w:rFonts w:cs="Open Sans"/>
          <w:sz w:val="22"/>
          <w:szCs w:val="22"/>
        </w:rPr>
        <w:t xml:space="preserve"> </w:t>
      </w:r>
      <w:r w:rsidRPr="008C37F0">
        <w:rPr>
          <w:rFonts w:cs="Open Sans"/>
          <w:i/>
          <w:iCs/>
          <w:sz w:val="22"/>
          <w:szCs w:val="22"/>
        </w:rPr>
        <w:t>Australian Human Rights Commission Act 1986</w:t>
      </w:r>
      <w:r w:rsidRPr="00C164EF">
        <w:rPr>
          <w:rFonts w:cs="Open Sans"/>
          <w:sz w:val="22"/>
          <w:szCs w:val="22"/>
        </w:rPr>
        <w:t>.</w:t>
      </w:r>
    </w:p>
    <w:p w14:paraId="3F45015F" w14:textId="77777777" w:rsidR="008C37F0" w:rsidRDefault="008C37F0" w:rsidP="008C37F0">
      <w:pPr>
        <w:autoSpaceDE w:val="0"/>
        <w:autoSpaceDN w:val="0"/>
        <w:adjustRightInd w:val="0"/>
        <w:spacing w:before="0" w:after="0"/>
        <w:ind w:left="1418"/>
        <w:rPr>
          <w:rFonts w:cs="Open Sans"/>
          <w:sz w:val="22"/>
          <w:szCs w:val="22"/>
        </w:rPr>
      </w:pPr>
    </w:p>
    <w:p w14:paraId="373215F7" w14:textId="6D3215DB" w:rsidR="008C37F0" w:rsidRPr="006A495F" w:rsidRDefault="0003311B" w:rsidP="008C37F0">
      <w:pPr>
        <w:autoSpaceDE w:val="0"/>
        <w:autoSpaceDN w:val="0"/>
        <w:adjustRightInd w:val="0"/>
        <w:spacing w:before="0" w:after="0"/>
        <w:ind w:left="1418"/>
        <w:rPr>
          <w:rFonts w:cs="Open Sans"/>
          <w:b/>
          <w:bCs/>
          <w:sz w:val="22"/>
          <w:szCs w:val="22"/>
        </w:rPr>
      </w:pPr>
      <w:r w:rsidRPr="006A495F">
        <w:rPr>
          <w:rFonts w:cs="Open Sans"/>
          <w:b/>
          <w:bCs/>
          <w:sz w:val="22"/>
          <w:szCs w:val="22"/>
        </w:rPr>
        <w:lastRenderedPageBreak/>
        <w:t>AHRC's finding:</w:t>
      </w:r>
    </w:p>
    <w:p w14:paraId="5B8E737B" w14:textId="77777777" w:rsidR="008C37F0" w:rsidRDefault="008C37F0" w:rsidP="008C37F0">
      <w:pPr>
        <w:autoSpaceDE w:val="0"/>
        <w:autoSpaceDN w:val="0"/>
        <w:adjustRightInd w:val="0"/>
        <w:spacing w:before="0" w:after="0"/>
        <w:ind w:left="1418"/>
        <w:rPr>
          <w:rFonts w:cs="Open Sans"/>
          <w:sz w:val="22"/>
          <w:szCs w:val="22"/>
        </w:rPr>
      </w:pPr>
    </w:p>
    <w:p w14:paraId="45D6FCB3" w14:textId="77777777" w:rsidR="008C37F0" w:rsidRDefault="0003311B" w:rsidP="00BB34E5">
      <w:pPr>
        <w:autoSpaceDE w:val="0"/>
        <w:autoSpaceDN w:val="0"/>
        <w:adjustRightInd w:val="0"/>
        <w:spacing w:before="0"/>
        <w:ind w:left="1418"/>
        <w:rPr>
          <w:rFonts w:cs="Open Sans"/>
          <w:sz w:val="22"/>
          <w:szCs w:val="22"/>
        </w:rPr>
      </w:pPr>
      <w:r w:rsidRPr="00C164EF">
        <w:rPr>
          <w:rFonts w:cs="Open Sans"/>
          <w:sz w:val="22"/>
          <w:szCs w:val="22"/>
        </w:rPr>
        <w:t>The AHRC's findings are that:</w:t>
      </w:r>
    </w:p>
    <w:p w14:paraId="52686E2F" w14:textId="77777777" w:rsidR="00BB34E5" w:rsidRDefault="0003311B" w:rsidP="00BB34E5">
      <w:pPr>
        <w:pStyle w:val="ListParagraph"/>
        <w:numPr>
          <w:ilvl w:val="0"/>
          <w:numId w:val="32"/>
        </w:numPr>
        <w:autoSpaceDE w:val="0"/>
        <w:autoSpaceDN w:val="0"/>
        <w:adjustRightInd w:val="0"/>
        <w:spacing w:before="0" w:after="240"/>
        <w:ind w:left="2137" w:hanging="357"/>
        <w:contextualSpacing w:val="0"/>
        <w:rPr>
          <w:rFonts w:cs="Open Sans"/>
          <w:sz w:val="22"/>
          <w:szCs w:val="22"/>
        </w:rPr>
      </w:pPr>
      <w:r w:rsidRPr="006A495F">
        <w:rPr>
          <w:rFonts w:cs="Open Sans"/>
          <w:sz w:val="22"/>
          <w:szCs w:val="22"/>
        </w:rPr>
        <w:t>The Department's failure to refer Mr Anees' case to the Minister for consideration of his</w:t>
      </w:r>
      <w:r w:rsidR="008C37F0" w:rsidRPr="006A495F">
        <w:rPr>
          <w:rFonts w:cs="Open Sans"/>
          <w:sz w:val="22"/>
          <w:szCs w:val="22"/>
        </w:rPr>
        <w:t xml:space="preserve"> </w:t>
      </w:r>
      <w:r w:rsidRPr="006A495F">
        <w:rPr>
          <w:rFonts w:cs="Open Sans"/>
          <w:sz w:val="22"/>
          <w:szCs w:val="22"/>
        </w:rPr>
        <w:t>intervention powers until 19 October 2018, and the decision of the Minister not to consider</w:t>
      </w:r>
      <w:r w:rsidR="008C37F0" w:rsidRPr="006A495F">
        <w:rPr>
          <w:rFonts w:cs="Open Sans"/>
          <w:sz w:val="22"/>
          <w:szCs w:val="22"/>
        </w:rPr>
        <w:t xml:space="preserve"> </w:t>
      </w:r>
      <w:r w:rsidRPr="006A495F">
        <w:rPr>
          <w:rFonts w:cs="Open Sans"/>
          <w:sz w:val="22"/>
          <w:szCs w:val="22"/>
        </w:rPr>
        <w:t>exercising his discretionary powers under section 195A and section 197 AB, resulted in the</w:t>
      </w:r>
      <w:r w:rsidR="008C37F0" w:rsidRPr="006A495F">
        <w:rPr>
          <w:rFonts w:cs="Open Sans"/>
          <w:sz w:val="22"/>
          <w:szCs w:val="22"/>
        </w:rPr>
        <w:t xml:space="preserve"> </w:t>
      </w:r>
      <w:r w:rsidRPr="006A495F">
        <w:rPr>
          <w:rFonts w:cs="Open Sans"/>
          <w:sz w:val="22"/>
          <w:szCs w:val="22"/>
        </w:rPr>
        <w:t>continued detention of Mr Anees, in circumstances where the justification for detention was</w:t>
      </w:r>
      <w:r w:rsidR="008C37F0" w:rsidRPr="006A495F">
        <w:rPr>
          <w:rFonts w:cs="Open Sans"/>
          <w:sz w:val="22"/>
          <w:szCs w:val="22"/>
        </w:rPr>
        <w:t xml:space="preserve"> </w:t>
      </w:r>
      <w:r w:rsidRPr="006A495F">
        <w:rPr>
          <w:rFonts w:cs="Open Sans"/>
          <w:sz w:val="22"/>
          <w:szCs w:val="22"/>
        </w:rPr>
        <w:t>not considered in light of the particular circumstances of Mr Anees' case. This resulted in</w:t>
      </w:r>
      <w:r w:rsidR="008C37F0" w:rsidRPr="006A495F">
        <w:rPr>
          <w:rFonts w:cs="Open Sans"/>
          <w:sz w:val="22"/>
          <w:szCs w:val="22"/>
        </w:rPr>
        <w:t xml:space="preserve"> </w:t>
      </w:r>
      <w:r w:rsidRPr="006A495F">
        <w:rPr>
          <w:rFonts w:cs="Open Sans"/>
          <w:sz w:val="22"/>
          <w:szCs w:val="22"/>
        </w:rPr>
        <w:t xml:space="preserve">his detention being inconsistent with or contrary to article 9(1) of the </w:t>
      </w:r>
      <w:r w:rsidRPr="00BB34E5">
        <w:rPr>
          <w:rFonts w:cs="Open Sans"/>
          <w:i/>
          <w:iCs/>
          <w:sz w:val="22"/>
          <w:szCs w:val="22"/>
        </w:rPr>
        <w:t>International Covenant</w:t>
      </w:r>
      <w:r w:rsidR="008C37F0" w:rsidRPr="00BB34E5">
        <w:rPr>
          <w:rFonts w:cs="Open Sans"/>
          <w:i/>
          <w:iCs/>
          <w:sz w:val="22"/>
          <w:szCs w:val="22"/>
        </w:rPr>
        <w:t xml:space="preserve"> </w:t>
      </w:r>
      <w:r w:rsidRPr="00BB34E5">
        <w:rPr>
          <w:rFonts w:cs="Open Sans"/>
          <w:i/>
          <w:iCs/>
          <w:sz w:val="22"/>
          <w:szCs w:val="22"/>
        </w:rPr>
        <w:t>on Civil and Political Rights</w:t>
      </w:r>
      <w:r w:rsidRPr="006A495F">
        <w:rPr>
          <w:rFonts w:cs="Open Sans"/>
          <w:sz w:val="22"/>
          <w:szCs w:val="22"/>
        </w:rPr>
        <w:t xml:space="preserve"> (ICCPR).</w:t>
      </w:r>
      <w:r w:rsidR="008C37F0" w:rsidRPr="006A495F">
        <w:rPr>
          <w:rFonts w:cs="Open Sans"/>
          <w:sz w:val="22"/>
          <w:szCs w:val="22"/>
        </w:rPr>
        <w:t xml:space="preserve"> </w:t>
      </w:r>
    </w:p>
    <w:p w14:paraId="0BBA08B2" w14:textId="7B1792D2" w:rsidR="004C3F0D" w:rsidRPr="006A495F" w:rsidRDefault="0003311B" w:rsidP="00BB34E5">
      <w:pPr>
        <w:pStyle w:val="ListParagraph"/>
        <w:numPr>
          <w:ilvl w:val="0"/>
          <w:numId w:val="32"/>
        </w:numPr>
        <w:autoSpaceDE w:val="0"/>
        <w:autoSpaceDN w:val="0"/>
        <w:adjustRightInd w:val="0"/>
        <w:spacing w:before="0" w:after="240"/>
        <w:ind w:left="2137" w:hanging="357"/>
        <w:contextualSpacing w:val="0"/>
        <w:rPr>
          <w:rFonts w:cs="Open Sans"/>
          <w:sz w:val="22"/>
          <w:szCs w:val="22"/>
        </w:rPr>
      </w:pPr>
      <w:r w:rsidRPr="006A495F">
        <w:rPr>
          <w:rFonts w:cs="Open Sans"/>
          <w:sz w:val="22"/>
          <w:szCs w:val="22"/>
        </w:rPr>
        <w:t>Mr Anees' detention amounts to an interference with his family and family life contrary</w:t>
      </w:r>
      <w:r w:rsidR="008C37F0" w:rsidRPr="006A495F">
        <w:rPr>
          <w:rFonts w:cs="Open Sans"/>
          <w:sz w:val="22"/>
          <w:szCs w:val="22"/>
        </w:rPr>
        <w:t xml:space="preserve"> </w:t>
      </w:r>
      <w:r w:rsidRPr="006A495F">
        <w:rPr>
          <w:rFonts w:cs="Open Sans"/>
          <w:sz w:val="22"/>
          <w:szCs w:val="22"/>
        </w:rPr>
        <w:t>to articles 17(1) and 23(1) of the ICCPR.</w:t>
      </w:r>
    </w:p>
    <w:p w14:paraId="23988CF5" w14:textId="640F41F5" w:rsidR="004C3F0D" w:rsidRDefault="0003311B" w:rsidP="004C3F0D">
      <w:pPr>
        <w:autoSpaceDE w:val="0"/>
        <w:autoSpaceDN w:val="0"/>
        <w:adjustRightInd w:val="0"/>
        <w:spacing w:before="0" w:after="0"/>
        <w:ind w:left="1418"/>
        <w:rPr>
          <w:rFonts w:cs="Open Sans"/>
          <w:b/>
          <w:bCs/>
          <w:sz w:val="22"/>
          <w:szCs w:val="22"/>
        </w:rPr>
      </w:pPr>
      <w:r w:rsidRPr="00BB34E5">
        <w:rPr>
          <w:rFonts w:cs="Open Sans"/>
          <w:b/>
          <w:bCs/>
          <w:sz w:val="22"/>
          <w:szCs w:val="22"/>
        </w:rPr>
        <w:t>Department's response to finding</w:t>
      </w:r>
    </w:p>
    <w:p w14:paraId="386246F2" w14:textId="77777777" w:rsidR="00BB34E5" w:rsidRPr="00BB34E5" w:rsidRDefault="00BB34E5" w:rsidP="004C3F0D">
      <w:pPr>
        <w:autoSpaceDE w:val="0"/>
        <w:autoSpaceDN w:val="0"/>
        <w:adjustRightInd w:val="0"/>
        <w:spacing w:before="0" w:after="0"/>
        <w:ind w:left="1418"/>
        <w:rPr>
          <w:rFonts w:cs="Open Sans"/>
          <w:b/>
          <w:bCs/>
          <w:sz w:val="22"/>
          <w:szCs w:val="22"/>
        </w:rPr>
      </w:pPr>
    </w:p>
    <w:p w14:paraId="0C9400CC" w14:textId="53709D4B"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As per the Department's response to the section 27 notice of the AHRC regarding this case, the</w:t>
      </w:r>
      <w:r w:rsidR="004C3F0D">
        <w:rPr>
          <w:rFonts w:cs="Open Sans"/>
          <w:sz w:val="22"/>
          <w:szCs w:val="22"/>
        </w:rPr>
        <w:t xml:space="preserve"> </w:t>
      </w:r>
      <w:r w:rsidRPr="00C164EF">
        <w:rPr>
          <w:rFonts w:cs="Open Sans"/>
          <w:sz w:val="22"/>
          <w:szCs w:val="22"/>
        </w:rPr>
        <w:t>Department maintains that prior to 19 October 2018 it was appropriate not to refer Mr Anees' case</w:t>
      </w:r>
      <w:r w:rsidR="004C3F0D">
        <w:rPr>
          <w:rFonts w:cs="Open Sans"/>
          <w:sz w:val="22"/>
          <w:szCs w:val="22"/>
        </w:rPr>
        <w:t xml:space="preserve"> </w:t>
      </w:r>
      <w:r w:rsidRPr="00C164EF">
        <w:rPr>
          <w:rFonts w:cs="Open Sans"/>
          <w:sz w:val="22"/>
          <w:szCs w:val="22"/>
        </w:rPr>
        <w:t>for Ministerial consideration.</w:t>
      </w:r>
      <w:r w:rsidR="004C3F0D">
        <w:rPr>
          <w:rFonts w:cs="Open Sans"/>
          <w:sz w:val="22"/>
          <w:szCs w:val="22"/>
        </w:rPr>
        <w:t xml:space="preserve"> </w:t>
      </w:r>
    </w:p>
    <w:p w14:paraId="0B6FB01B" w14:textId="77777777" w:rsidR="004C3F0D" w:rsidRDefault="004C3F0D" w:rsidP="004C3F0D">
      <w:pPr>
        <w:autoSpaceDE w:val="0"/>
        <w:autoSpaceDN w:val="0"/>
        <w:adjustRightInd w:val="0"/>
        <w:spacing w:before="0" w:after="0"/>
        <w:ind w:left="1418"/>
        <w:rPr>
          <w:rFonts w:cs="Open Sans"/>
          <w:sz w:val="22"/>
          <w:szCs w:val="22"/>
        </w:rPr>
      </w:pPr>
    </w:p>
    <w:p w14:paraId="1F323E45" w14:textId="77777777"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Mr Anees' case had been reviewed 24 times since he was detained in October 2015, and each</w:t>
      </w:r>
      <w:r w:rsidR="004C3F0D">
        <w:rPr>
          <w:rFonts w:cs="Open Sans"/>
          <w:sz w:val="22"/>
          <w:szCs w:val="22"/>
        </w:rPr>
        <w:t xml:space="preserve"> </w:t>
      </w:r>
      <w:r w:rsidRPr="00C164EF">
        <w:rPr>
          <w:rFonts w:cs="Open Sans"/>
          <w:sz w:val="22"/>
          <w:szCs w:val="22"/>
        </w:rPr>
        <w:t>review determined that his health and welfare needs had been provided for. Mr Anees' case was</w:t>
      </w:r>
      <w:r w:rsidR="004C3F0D">
        <w:rPr>
          <w:rFonts w:cs="Open Sans"/>
          <w:sz w:val="22"/>
          <w:szCs w:val="22"/>
        </w:rPr>
        <w:t xml:space="preserve"> </w:t>
      </w:r>
      <w:r w:rsidRPr="00C164EF">
        <w:rPr>
          <w:rFonts w:cs="Open Sans"/>
          <w:sz w:val="22"/>
          <w:szCs w:val="22"/>
        </w:rPr>
        <w:t>referred for assessment against the Minister's guidelines in April and June 2017, and on both</w:t>
      </w:r>
      <w:r w:rsidR="004C3F0D">
        <w:rPr>
          <w:rFonts w:cs="Open Sans"/>
          <w:sz w:val="22"/>
          <w:szCs w:val="22"/>
        </w:rPr>
        <w:t xml:space="preserve"> </w:t>
      </w:r>
      <w:r w:rsidRPr="00C164EF">
        <w:rPr>
          <w:rFonts w:cs="Open Sans"/>
          <w:sz w:val="22"/>
          <w:szCs w:val="22"/>
        </w:rPr>
        <w:t>occasions was found not to meet.</w:t>
      </w:r>
      <w:r w:rsidR="004C3F0D">
        <w:rPr>
          <w:rFonts w:cs="Open Sans"/>
          <w:sz w:val="22"/>
          <w:szCs w:val="22"/>
        </w:rPr>
        <w:t xml:space="preserve"> </w:t>
      </w:r>
    </w:p>
    <w:p w14:paraId="36C78F93" w14:textId="77777777" w:rsidR="004C3F0D" w:rsidRDefault="004C3F0D" w:rsidP="004C3F0D">
      <w:pPr>
        <w:autoSpaceDE w:val="0"/>
        <w:autoSpaceDN w:val="0"/>
        <w:adjustRightInd w:val="0"/>
        <w:spacing w:before="0" w:after="0"/>
        <w:ind w:left="1418"/>
        <w:rPr>
          <w:rFonts w:cs="Open Sans"/>
          <w:sz w:val="22"/>
          <w:szCs w:val="22"/>
        </w:rPr>
      </w:pPr>
    </w:p>
    <w:p w14:paraId="5D3E5DB2" w14:textId="2D487DD1"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As noted in the response to the section 27 notice, the Minister's Intervention powers are non</w:t>
      </w:r>
      <w:r w:rsidR="00BB34E5">
        <w:rPr>
          <w:rFonts w:cs="Open Sans"/>
          <w:sz w:val="22"/>
          <w:szCs w:val="22"/>
        </w:rPr>
        <w:t>-</w:t>
      </w:r>
      <w:r w:rsidRPr="00C164EF">
        <w:rPr>
          <w:rFonts w:cs="Open Sans"/>
          <w:sz w:val="22"/>
          <w:szCs w:val="22"/>
        </w:rPr>
        <w:t>compellable.</w:t>
      </w:r>
    </w:p>
    <w:p w14:paraId="7C9ABB87" w14:textId="77777777" w:rsidR="004C3F0D" w:rsidRDefault="004C3F0D" w:rsidP="004C3F0D">
      <w:pPr>
        <w:autoSpaceDE w:val="0"/>
        <w:autoSpaceDN w:val="0"/>
        <w:adjustRightInd w:val="0"/>
        <w:spacing w:before="0" w:after="0"/>
        <w:ind w:left="1418"/>
        <w:rPr>
          <w:rFonts w:cs="Open Sans"/>
          <w:sz w:val="22"/>
          <w:szCs w:val="22"/>
        </w:rPr>
      </w:pPr>
    </w:p>
    <w:p w14:paraId="14DC6B90" w14:textId="77777777"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The Minister is not required to consider exercising, or to exercise their power in any</w:t>
      </w:r>
      <w:r w:rsidR="004C3F0D">
        <w:rPr>
          <w:rFonts w:cs="Open Sans"/>
          <w:sz w:val="22"/>
          <w:szCs w:val="22"/>
        </w:rPr>
        <w:t xml:space="preserve"> </w:t>
      </w:r>
      <w:r w:rsidRPr="00C164EF">
        <w:rPr>
          <w:rFonts w:cs="Open Sans"/>
          <w:sz w:val="22"/>
          <w:szCs w:val="22"/>
        </w:rPr>
        <w:t>case. The Department continues to refute the AHRC's view that the Minister 'failed to consider</w:t>
      </w:r>
      <w:r w:rsidR="004C3F0D">
        <w:rPr>
          <w:rFonts w:cs="Open Sans"/>
          <w:sz w:val="22"/>
          <w:szCs w:val="22"/>
        </w:rPr>
        <w:t xml:space="preserve"> </w:t>
      </w:r>
      <w:r w:rsidRPr="00C164EF">
        <w:rPr>
          <w:rFonts w:cs="Open Sans"/>
          <w:sz w:val="22"/>
          <w:szCs w:val="22"/>
        </w:rPr>
        <w:t>exercising' his power, as deciding not to exercise or consider exercising a non-delegable power</w:t>
      </w:r>
      <w:r w:rsidR="004C3F0D">
        <w:rPr>
          <w:rFonts w:cs="Open Sans"/>
          <w:sz w:val="22"/>
          <w:szCs w:val="22"/>
        </w:rPr>
        <w:t xml:space="preserve"> </w:t>
      </w:r>
      <w:r w:rsidRPr="00C164EF">
        <w:rPr>
          <w:rFonts w:cs="Open Sans"/>
          <w:sz w:val="22"/>
          <w:szCs w:val="22"/>
        </w:rPr>
        <w:t>cannot be construed a failure.</w:t>
      </w:r>
    </w:p>
    <w:p w14:paraId="00E9C605" w14:textId="77777777" w:rsidR="004C3F0D" w:rsidRDefault="004C3F0D" w:rsidP="004C3F0D">
      <w:pPr>
        <w:autoSpaceDE w:val="0"/>
        <w:autoSpaceDN w:val="0"/>
        <w:adjustRightInd w:val="0"/>
        <w:spacing w:before="0" w:after="0"/>
        <w:ind w:left="1418"/>
        <w:rPr>
          <w:rFonts w:cs="Open Sans"/>
          <w:sz w:val="22"/>
          <w:szCs w:val="22"/>
        </w:rPr>
      </w:pPr>
    </w:p>
    <w:p w14:paraId="5138D6EE" w14:textId="00463FD9"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The Department does not accept the AHRC's view that the interference with Mr Anees' family and</w:t>
      </w:r>
      <w:r w:rsidR="004C3F0D">
        <w:rPr>
          <w:rFonts w:cs="Open Sans"/>
          <w:sz w:val="22"/>
          <w:szCs w:val="22"/>
        </w:rPr>
        <w:t xml:space="preserve"> </w:t>
      </w:r>
      <w:r w:rsidRPr="00C164EF">
        <w:rPr>
          <w:rFonts w:cs="Open Sans"/>
          <w:sz w:val="22"/>
          <w:szCs w:val="22"/>
        </w:rPr>
        <w:t>family life, as a consequence of his detention, is arbitrary for the purposes of article 17(1) and</w:t>
      </w:r>
      <w:r w:rsidR="004C3F0D">
        <w:rPr>
          <w:rFonts w:cs="Open Sans"/>
          <w:sz w:val="22"/>
          <w:szCs w:val="22"/>
        </w:rPr>
        <w:t xml:space="preserve"> </w:t>
      </w:r>
      <w:r w:rsidRPr="00C164EF">
        <w:rPr>
          <w:rFonts w:cs="Open Sans"/>
          <w:sz w:val="22"/>
          <w:szCs w:val="22"/>
        </w:rPr>
        <w:t>23(1) of the ICCPR. The Department maintains that the decision to refuse Mr Anees' visa</w:t>
      </w:r>
      <w:r w:rsidR="004C3F0D">
        <w:rPr>
          <w:rFonts w:cs="Open Sans"/>
          <w:sz w:val="22"/>
          <w:szCs w:val="22"/>
        </w:rPr>
        <w:t xml:space="preserve"> </w:t>
      </w:r>
      <w:r w:rsidRPr="00C164EF">
        <w:rPr>
          <w:rFonts w:cs="Open Sans"/>
          <w:sz w:val="22"/>
          <w:szCs w:val="22"/>
        </w:rPr>
        <w:t>application under section 501 of the Act indicates that he is considered a risk to community safety</w:t>
      </w:r>
      <w:r w:rsidR="004C3F0D">
        <w:rPr>
          <w:rFonts w:cs="Open Sans"/>
          <w:sz w:val="22"/>
          <w:szCs w:val="22"/>
        </w:rPr>
        <w:t xml:space="preserve"> </w:t>
      </w:r>
      <w:r w:rsidRPr="00C164EF">
        <w:rPr>
          <w:rFonts w:cs="Open Sans"/>
          <w:sz w:val="22"/>
          <w:szCs w:val="22"/>
        </w:rPr>
        <w:t>and that this risk outweighed the impact such a decision would have on his family. The</w:t>
      </w:r>
      <w:r w:rsidR="004C3F0D">
        <w:rPr>
          <w:rFonts w:cs="Open Sans"/>
          <w:sz w:val="22"/>
          <w:szCs w:val="22"/>
        </w:rPr>
        <w:t xml:space="preserve"> </w:t>
      </w:r>
      <w:r w:rsidRPr="00C164EF">
        <w:rPr>
          <w:rFonts w:cs="Open Sans"/>
          <w:sz w:val="22"/>
          <w:szCs w:val="22"/>
        </w:rPr>
        <w:t>Administrative Appeals Tribunal and the Federal Court upheld this decision. The Department has</w:t>
      </w:r>
      <w:r w:rsidR="004C3F0D">
        <w:rPr>
          <w:rFonts w:cs="Open Sans"/>
          <w:sz w:val="22"/>
          <w:szCs w:val="22"/>
        </w:rPr>
        <w:t xml:space="preserve"> </w:t>
      </w:r>
      <w:r w:rsidRPr="00C164EF">
        <w:rPr>
          <w:rFonts w:cs="Open Sans"/>
          <w:sz w:val="22"/>
          <w:szCs w:val="22"/>
        </w:rPr>
        <w:t xml:space="preserve">not received correspondence from Mr Anees' alleged de-facto partner, Ms </w:t>
      </w:r>
      <w:r w:rsidR="00C40E58">
        <w:rPr>
          <w:rFonts w:cs="Open Sans"/>
          <w:sz w:val="22"/>
          <w:szCs w:val="22"/>
        </w:rPr>
        <w:t>ND</w:t>
      </w:r>
      <w:r w:rsidRPr="00C164EF">
        <w:rPr>
          <w:rFonts w:cs="Open Sans"/>
          <w:sz w:val="22"/>
          <w:szCs w:val="22"/>
        </w:rPr>
        <w:t>, to</w:t>
      </w:r>
      <w:r w:rsidR="004C3F0D">
        <w:rPr>
          <w:rFonts w:cs="Open Sans"/>
          <w:sz w:val="22"/>
          <w:szCs w:val="22"/>
        </w:rPr>
        <w:t xml:space="preserve"> </w:t>
      </w:r>
      <w:r w:rsidRPr="00C164EF">
        <w:rPr>
          <w:rFonts w:cs="Open Sans"/>
          <w:sz w:val="22"/>
          <w:szCs w:val="22"/>
        </w:rPr>
        <w:t>support his claims that their relationship is still ongoing.</w:t>
      </w:r>
    </w:p>
    <w:p w14:paraId="18582E55" w14:textId="77777777" w:rsidR="004C3F0D" w:rsidRDefault="004C3F0D" w:rsidP="004C3F0D">
      <w:pPr>
        <w:autoSpaceDE w:val="0"/>
        <w:autoSpaceDN w:val="0"/>
        <w:adjustRightInd w:val="0"/>
        <w:spacing w:before="0" w:after="0"/>
        <w:ind w:left="1418"/>
        <w:rPr>
          <w:rFonts w:cs="Open Sans"/>
          <w:sz w:val="22"/>
          <w:szCs w:val="22"/>
        </w:rPr>
      </w:pPr>
    </w:p>
    <w:p w14:paraId="3637AE18" w14:textId="77777777"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The Department does not accept the AHRC's view that Mr Anees' detention is contrary to Articles</w:t>
      </w:r>
      <w:r w:rsidR="004C3F0D">
        <w:rPr>
          <w:rFonts w:cs="Open Sans"/>
          <w:sz w:val="22"/>
          <w:szCs w:val="22"/>
        </w:rPr>
        <w:t xml:space="preserve"> </w:t>
      </w:r>
      <w:r w:rsidRPr="00C164EF">
        <w:rPr>
          <w:rFonts w:cs="Open Sans"/>
          <w:sz w:val="22"/>
          <w:szCs w:val="22"/>
        </w:rPr>
        <w:t>9, 17 or 23 of the ICCPR. The Department views its actions, and the actions of the Minister, with</w:t>
      </w:r>
      <w:r w:rsidR="004C3F0D">
        <w:rPr>
          <w:rFonts w:cs="Open Sans"/>
          <w:sz w:val="22"/>
          <w:szCs w:val="22"/>
        </w:rPr>
        <w:t xml:space="preserve"> </w:t>
      </w:r>
      <w:r w:rsidRPr="00C164EF">
        <w:rPr>
          <w:rFonts w:cs="Open Sans"/>
          <w:sz w:val="22"/>
          <w:szCs w:val="22"/>
        </w:rPr>
        <w:t>the available evidence, demonstrate Mr Anees' detention was appropriate, reasonable and justified</w:t>
      </w:r>
      <w:r w:rsidR="004C3F0D">
        <w:rPr>
          <w:rFonts w:cs="Open Sans"/>
          <w:sz w:val="22"/>
          <w:szCs w:val="22"/>
        </w:rPr>
        <w:t xml:space="preserve"> </w:t>
      </w:r>
      <w:r w:rsidRPr="00C164EF">
        <w:rPr>
          <w:rFonts w:cs="Open Sans"/>
          <w:sz w:val="22"/>
          <w:szCs w:val="22"/>
        </w:rPr>
        <w:t>based on his personal circumstances. The Department considers that Mr Anees' detention is the</w:t>
      </w:r>
      <w:r w:rsidR="004C3F0D">
        <w:rPr>
          <w:rFonts w:cs="Open Sans"/>
          <w:sz w:val="22"/>
          <w:szCs w:val="22"/>
        </w:rPr>
        <w:t xml:space="preserve"> </w:t>
      </w:r>
      <w:r w:rsidRPr="00C164EF">
        <w:rPr>
          <w:rFonts w:cs="Open Sans"/>
          <w:sz w:val="22"/>
          <w:szCs w:val="22"/>
        </w:rPr>
        <w:t>lawful and predictable outcome of Australian law.</w:t>
      </w:r>
    </w:p>
    <w:p w14:paraId="5E60BCB3" w14:textId="77777777" w:rsidR="004C3F0D" w:rsidRDefault="004C3F0D" w:rsidP="004C3F0D">
      <w:pPr>
        <w:autoSpaceDE w:val="0"/>
        <w:autoSpaceDN w:val="0"/>
        <w:adjustRightInd w:val="0"/>
        <w:spacing w:before="0" w:after="0"/>
        <w:ind w:left="1418"/>
        <w:rPr>
          <w:rFonts w:cs="Open Sans"/>
          <w:sz w:val="22"/>
          <w:szCs w:val="22"/>
        </w:rPr>
      </w:pPr>
    </w:p>
    <w:p w14:paraId="68DA551B" w14:textId="4CD61B33" w:rsidR="004C3F0D" w:rsidRPr="004121D6" w:rsidRDefault="0003311B" w:rsidP="004C3F0D">
      <w:pPr>
        <w:autoSpaceDE w:val="0"/>
        <w:autoSpaceDN w:val="0"/>
        <w:adjustRightInd w:val="0"/>
        <w:spacing w:before="0" w:after="0"/>
        <w:ind w:left="1418"/>
        <w:rPr>
          <w:rFonts w:cs="Open Sans"/>
          <w:b/>
          <w:bCs/>
          <w:sz w:val="22"/>
          <w:szCs w:val="22"/>
        </w:rPr>
      </w:pPr>
      <w:r w:rsidRPr="004121D6">
        <w:rPr>
          <w:rFonts w:cs="Open Sans"/>
          <w:b/>
          <w:bCs/>
          <w:sz w:val="22"/>
          <w:szCs w:val="22"/>
        </w:rPr>
        <w:t>AHRC's recommendation</w:t>
      </w:r>
    </w:p>
    <w:p w14:paraId="4CDE468C" w14:textId="77777777" w:rsidR="004121D6" w:rsidRDefault="004121D6" w:rsidP="004C3F0D">
      <w:pPr>
        <w:autoSpaceDE w:val="0"/>
        <w:autoSpaceDN w:val="0"/>
        <w:adjustRightInd w:val="0"/>
        <w:spacing w:before="0" w:after="0"/>
        <w:ind w:left="1418"/>
        <w:rPr>
          <w:rFonts w:cs="Open Sans"/>
          <w:sz w:val="22"/>
          <w:szCs w:val="22"/>
        </w:rPr>
      </w:pPr>
    </w:p>
    <w:p w14:paraId="05E80D41" w14:textId="77777777"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That the Department prepare a submission and the Minister consider exercising his powers in a</w:t>
      </w:r>
      <w:r w:rsidR="004C3F0D">
        <w:rPr>
          <w:rFonts w:cs="Open Sans"/>
          <w:sz w:val="22"/>
          <w:szCs w:val="22"/>
        </w:rPr>
        <w:t xml:space="preserve"> </w:t>
      </w:r>
      <w:r w:rsidRPr="00C164EF">
        <w:rPr>
          <w:rFonts w:cs="Open Sans"/>
          <w:sz w:val="22"/>
          <w:szCs w:val="22"/>
        </w:rPr>
        <w:t>manner consistent with the findings set out in the AHRC section 29 notice.</w:t>
      </w:r>
    </w:p>
    <w:p w14:paraId="6EA8E773" w14:textId="77777777" w:rsidR="004C3F0D" w:rsidRDefault="004C3F0D" w:rsidP="004C3F0D">
      <w:pPr>
        <w:autoSpaceDE w:val="0"/>
        <w:autoSpaceDN w:val="0"/>
        <w:adjustRightInd w:val="0"/>
        <w:spacing w:before="0" w:after="0"/>
        <w:ind w:left="1418"/>
        <w:rPr>
          <w:rFonts w:cs="Open Sans"/>
          <w:sz w:val="22"/>
          <w:szCs w:val="22"/>
        </w:rPr>
      </w:pPr>
    </w:p>
    <w:p w14:paraId="769A3332" w14:textId="06454C98" w:rsidR="004C3F0D" w:rsidRPr="004121D6" w:rsidRDefault="0003311B" w:rsidP="004C3F0D">
      <w:pPr>
        <w:autoSpaceDE w:val="0"/>
        <w:autoSpaceDN w:val="0"/>
        <w:adjustRightInd w:val="0"/>
        <w:spacing w:before="0" w:after="0"/>
        <w:ind w:left="1418"/>
        <w:rPr>
          <w:rFonts w:cs="Open Sans"/>
          <w:b/>
          <w:bCs/>
          <w:sz w:val="22"/>
          <w:szCs w:val="22"/>
        </w:rPr>
      </w:pPr>
      <w:r w:rsidRPr="004121D6">
        <w:rPr>
          <w:rFonts w:cs="Open Sans"/>
          <w:b/>
          <w:bCs/>
          <w:sz w:val="22"/>
          <w:szCs w:val="22"/>
        </w:rPr>
        <w:t>Response to recommendation</w:t>
      </w:r>
    </w:p>
    <w:p w14:paraId="2B980DA1" w14:textId="77777777" w:rsidR="004121D6" w:rsidRDefault="004121D6" w:rsidP="004C3F0D">
      <w:pPr>
        <w:autoSpaceDE w:val="0"/>
        <w:autoSpaceDN w:val="0"/>
        <w:adjustRightInd w:val="0"/>
        <w:spacing w:before="0" w:after="0"/>
        <w:ind w:left="1418"/>
        <w:rPr>
          <w:rFonts w:cs="Open Sans"/>
          <w:sz w:val="22"/>
          <w:szCs w:val="22"/>
        </w:rPr>
      </w:pPr>
    </w:p>
    <w:p w14:paraId="7EC9B4CB" w14:textId="77777777"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The Department gave an undertaking in the section 27 response to refer Mr Anees' case to the</w:t>
      </w:r>
      <w:r w:rsidR="004C3F0D">
        <w:rPr>
          <w:rFonts w:cs="Open Sans"/>
          <w:sz w:val="22"/>
          <w:szCs w:val="22"/>
        </w:rPr>
        <w:t xml:space="preserve"> </w:t>
      </w:r>
      <w:r w:rsidRPr="00C164EF">
        <w:rPr>
          <w:rFonts w:cs="Open Sans"/>
          <w:sz w:val="22"/>
          <w:szCs w:val="22"/>
        </w:rPr>
        <w:t>Minister under sections 195A and 197 AB of the Act, to correct the advice previously given to the</w:t>
      </w:r>
      <w:r w:rsidR="004C3F0D">
        <w:rPr>
          <w:rFonts w:cs="Open Sans"/>
          <w:sz w:val="22"/>
          <w:szCs w:val="22"/>
        </w:rPr>
        <w:t xml:space="preserve"> </w:t>
      </w:r>
      <w:r w:rsidRPr="00C164EF">
        <w:rPr>
          <w:rFonts w:cs="Open Sans"/>
          <w:sz w:val="22"/>
          <w:szCs w:val="22"/>
        </w:rPr>
        <w:t>Minister regarding the Intervention Violence Order (IVO).</w:t>
      </w:r>
    </w:p>
    <w:p w14:paraId="2C6C426D" w14:textId="77777777" w:rsidR="004C3F0D" w:rsidRDefault="004C3F0D" w:rsidP="004C3F0D">
      <w:pPr>
        <w:autoSpaceDE w:val="0"/>
        <w:autoSpaceDN w:val="0"/>
        <w:adjustRightInd w:val="0"/>
        <w:spacing w:before="0" w:after="0"/>
        <w:ind w:left="1418"/>
        <w:rPr>
          <w:rFonts w:cs="Open Sans"/>
          <w:sz w:val="22"/>
          <w:szCs w:val="22"/>
        </w:rPr>
      </w:pPr>
    </w:p>
    <w:p w14:paraId="3F3207C0" w14:textId="43612FD1" w:rsidR="00C5697C"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Mr Anees' case was referred to the Minister for consideration under sections 195A and 197 AB of</w:t>
      </w:r>
      <w:r w:rsidR="004C3F0D">
        <w:rPr>
          <w:rFonts w:cs="Open Sans"/>
          <w:sz w:val="22"/>
          <w:szCs w:val="22"/>
        </w:rPr>
        <w:t xml:space="preserve"> </w:t>
      </w:r>
      <w:r w:rsidRPr="00C164EF">
        <w:rPr>
          <w:rFonts w:cs="Open Sans"/>
          <w:sz w:val="22"/>
          <w:szCs w:val="22"/>
        </w:rPr>
        <w:t>the Act. The submission advised the Minister of the incorrect advice provided regarding the IVO</w:t>
      </w:r>
      <w:r w:rsidR="004C3F0D">
        <w:rPr>
          <w:rFonts w:cs="Open Sans"/>
          <w:sz w:val="22"/>
          <w:szCs w:val="22"/>
        </w:rPr>
        <w:t xml:space="preserve"> </w:t>
      </w:r>
      <w:r w:rsidRPr="00C164EF">
        <w:rPr>
          <w:rFonts w:cs="Open Sans"/>
          <w:sz w:val="22"/>
          <w:szCs w:val="22"/>
        </w:rPr>
        <w:t>and confirmed it had been struck out in March 2013. The submission also noted that AHRC's</w:t>
      </w:r>
      <w:r w:rsidR="004C3F0D">
        <w:rPr>
          <w:rFonts w:cs="Open Sans"/>
          <w:sz w:val="22"/>
          <w:szCs w:val="22"/>
        </w:rPr>
        <w:t xml:space="preserve"> </w:t>
      </w:r>
      <w:r w:rsidRPr="00C164EF">
        <w:rPr>
          <w:rFonts w:cs="Open Sans"/>
          <w:sz w:val="22"/>
          <w:szCs w:val="22"/>
        </w:rPr>
        <w:t>preliminary views regarding Mr Anees' case; Mr Anees' criminal and immigration histories; and the</w:t>
      </w:r>
      <w:r w:rsidR="004C3F0D">
        <w:rPr>
          <w:rFonts w:cs="Open Sans"/>
          <w:sz w:val="22"/>
          <w:szCs w:val="22"/>
        </w:rPr>
        <w:t xml:space="preserve"> </w:t>
      </w:r>
      <w:r w:rsidRPr="00C164EF">
        <w:rPr>
          <w:rFonts w:cs="Open Sans"/>
          <w:sz w:val="22"/>
          <w:szCs w:val="22"/>
        </w:rPr>
        <w:t xml:space="preserve">information provided by Mr Anees regarding his relationship with Ms </w:t>
      </w:r>
      <w:r w:rsidR="00C40E58">
        <w:rPr>
          <w:rFonts w:cs="Open Sans"/>
          <w:sz w:val="22"/>
          <w:szCs w:val="22"/>
        </w:rPr>
        <w:t>ND</w:t>
      </w:r>
      <w:r w:rsidRPr="00C164EF">
        <w:rPr>
          <w:rFonts w:cs="Open Sans"/>
          <w:sz w:val="22"/>
          <w:szCs w:val="22"/>
        </w:rPr>
        <w:t xml:space="preserve"> and her mental health</w:t>
      </w:r>
      <w:r w:rsidR="004C3F0D">
        <w:rPr>
          <w:rFonts w:cs="Open Sans"/>
          <w:sz w:val="22"/>
          <w:szCs w:val="22"/>
        </w:rPr>
        <w:t xml:space="preserve"> </w:t>
      </w:r>
      <w:r w:rsidRPr="00C164EF">
        <w:rPr>
          <w:rFonts w:cs="Open Sans"/>
          <w:sz w:val="22"/>
          <w:szCs w:val="22"/>
        </w:rPr>
        <w:t>issues. On 3 July 2019, the Minister declined to consider intervening under both powers.</w:t>
      </w:r>
      <w:r w:rsidR="004C3F0D">
        <w:rPr>
          <w:rFonts w:cs="Open Sans"/>
          <w:sz w:val="22"/>
          <w:szCs w:val="22"/>
        </w:rPr>
        <w:t xml:space="preserve"> </w:t>
      </w:r>
    </w:p>
    <w:p w14:paraId="6A12D9C5" w14:textId="77777777" w:rsidR="00C5697C" w:rsidRDefault="00C5697C" w:rsidP="004C3F0D">
      <w:pPr>
        <w:autoSpaceDE w:val="0"/>
        <w:autoSpaceDN w:val="0"/>
        <w:adjustRightInd w:val="0"/>
        <w:spacing w:before="0" w:after="0"/>
        <w:ind w:left="1418"/>
        <w:rPr>
          <w:rFonts w:cs="Open Sans"/>
          <w:sz w:val="22"/>
          <w:szCs w:val="22"/>
        </w:rPr>
      </w:pPr>
    </w:p>
    <w:p w14:paraId="4D924BA3" w14:textId="7D601502" w:rsidR="004C3F0D"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On 4 July 2019, the Department received additional information from Mr Anees, in support of his</w:t>
      </w:r>
      <w:r w:rsidR="004C3F0D">
        <w:rPr>
          <w:rFonts w:cs="Open Sans"/>
          <w:sz w:val="22"/>
          <w:szCs w:val="22"/>
        </w:rPr>
        <w:t xml:space="preserve"> </w:t>
      </w:r>
      <w:r w:rsidRPr="00C164EF">
        <w:rPr>
          <w:rFonts w:cs="Open Sans"/>
          <w:sz w:val="22"/>
          <w:szCs w:val="22"/>
        </w:rPr>
        <w:t>request for Ministerial Intervention. As the information was received after the Minister's decision,</w:t>
      </w:r>
      <w:r w:rsidR="004C3F0D">
        <w:rPr>
          <w:rFonts w:cs="Open Sans"/>
          <w:sz w:val="22"/>
          <w:szCs w:val="22"/>
        </w:rPr>
        <w:t xml:space="preserve"> </w:t>
      </w:r>
      <w:r w:rsidRPr="00C164EF">
        <w:rPr>
          <w:rFonts w:cs="Open Sans"/>
          <w:sz w:val="22"/>
          <w:szCs w:val="22"/>
        </w:rPr>
        <w:t>the Department registered this new information as a further request for Ministerial Intervention</w:t>
      </w:r>
      <w:r w:rsidR="004C3F0D">
        <w:rPr>
          <w:rFonts w:cs="Open Sans"/>
          <w:sz w:val="22"/>
          <w:szCs w:val="22"/>
        </w:rPr>
        <w:t xml:space="preserve"> </w:t>
      </w:r>
      <w:r w:rsidRPr="00C164EF">
        <w:rPr>
          <w:rFonts w:cs="Open Sans"/>
          <w:sz w:val="22"/>
          <w:szCs w:val="22"/>
        </w:rPr>
        <w:t>under section 195A of the Act.</w:t>
      </w:r>
    </w:p>
    <w:p w14:paraId="6164D5F8" w14:textId="77777777" w:rsidR="004C3F0D" w:rsidRDefault="004C3F0D" w:rsidP="004C3F0D">
      <w:pPr>
        <w:autoSpaceDE w:val="0"/>
        <w:autoSpaceDN w:val="0"/>
        <w:adjustRightInd w:val="0"/>
        <w:spacing w:before="0" w:after="0"/>
        <w:ind w:left="1418"/>
        <w:rPr>
          <w:rFonts w:cs="Open Sans"/>
          <w:sz w:val="22"/>
          <w:szCs w:val="22"/>
        </w:rPr>
      </w:pPr>
    </w:p>
    <w:p w14:paraId="5D0569DC" w14:textId="77777777" w:rsidR="00962099" w:rsidRDefault="0003311B" w:rsidP="00962099">
      <w:pPr>
        <w:autoSpaceDE w:val="0"/>
        <w:autoSpaceDN w:val="0"/>
        <w:adjustRightInd w:val="0"/>
        <w:spacing w:before="0" w:after="0"/>
        <w:ind w:left="1418"/>
        <w:rPr>
          <w:rFonts w:cs="Open Sans"/>
          <w:sz w:val="22"/>
          <w:szCs w:val="22"/>
        </w:rPr>
      </w:pPr>
      <w:r w:rsidRPr="00C164EF">
        <w:rPr>
          <w:rFonts w:cs="Open Sans"/>
          <w:sz w:val="22"/>
          <w:szCs w:val="22"/>
        </w:rPr>
        <w:t>Generally, cases that have been considered by the Minister will not meet the section 195A</w:t>
      </w:r>
      <w:r w:rsidR="004C3F0D">
        <w:rPr>
          <w:rFonts w:cs="Open Sans"/>
          <w:sz w:val="22"/>
          <w:szCs w:val="22"/>
        </w:rPr>
        <w:t xml:space="preserve"> </w:t>
      </w:r>
      <w:r w:rsidRPr="00C164EF">
        <w:rPr>
          <w:rFonts w:cs="Open Sans"/>
          <w:sz w:val="22"/>
          <w:szCs w:val="22"/>
        </w:rPr>
        <w:t>guidelines unless there is a significant change in an individual's circumstances. The information</w:t>
      </w:r>
      <w:r w:rsidR="004C3F0D">
        <w:rPr>
          <w:rFonts w:cs="Open Sans"/>
          <w:sz w:val="22"/>
          <w:szCs w:val="22"/>
        </w:rPr>
        <w:t xml:space="preserve"> </w:t>
      </w:r>
      <w:r w:rsidRPr="00C164EF">
        <w:rPr>
          <w:rFonts w:cs="Open Sans"/>
          <w:sz w:val="22"/>
          <w:szCs w:val="22"/>
        </w:rPr>
        <w:t>provided by Mr Anees on 4 July 2019 was found not to represent a significant change in</w:t>
      </w:r>
      <w:r w:rsidR="004C3F0D">
        <w:rPr>
          <w:rFonts w:cs="Open Sans"/>
          <w:sz w:val="22"/>
          <w:szCs w:val="22"/>
        </w:rPr>
        <w:t xml:space="preserve"> </w:t>
      </w:r>
      <w:r w:rsidRPr="00C164EF">
        <w:rPr>
          <w:rFonts w:cs="Open Sans"/>
          <w:sz w:val="22"/>
          <w:szCs w:val="22"/>
        </w:rPr>
        <w:t>circumstances. On 19 August 2019, the Department found that Mr Anees' case did not meet the</w:t>
      </w:r>
      <w:r w:rsidR="004C3F0D">
        <w:rPr>
          <w:rFonts w:cs="Open Sans"/>
          <w:sz w:val="22"/>
          <w:szCs w:val="22"/>
        </w:rPr>
        <w:t xml:space="preserve"> </w:t>
      </w:r>
      <w:r w:rsidRPr="00C164EF">
        <w:rPr>
          <w:rFonts w:cs="Open Sans"/>
          <w:sz w:val="22"/>
          <w:szCs w:val="22"/>
        </w:rPr>
        <w:t>section 195A Ministerial intervention guidelines for further referral to the Minister.</w:t>
      </w:r>
      <w:r w:rsidR="004C3F0D">
        <w:rPr>
          <w:rFonts w:cs="Open Sans"/>
          <w:sz w:val="22"/>
          <w:szCs w:val="22"/>
        </w:rPr>
        <w:t xml:space="preserve"> </w:t>
      </w:r>
    </w:p>
    <w:p w14:paraId="27993D01" w14:textId="77777777" w:rsidR="00962099" w:rsidRDefault="00962099" w:rsidP="00962099">
      <w:pPr>
        <w:autoSpaceDE w:val="0"/>
        <w:autoSpaceDN w:val="0"/>
        <w:adjustRightInd w:val="0"/>
        <w:spacing w:before="0" w:after="0"/>
        <w:ind w:left="1418"/>
        <w:rPr>
          <w:rFonts w:cs="Open Sans"/>
          <w:sz w:val="22"/>
          <w:szCs w:val="22"/>
        </w:rPr>
      </w:pPr>
    </w:p>
    <w:p w14:paraId="53C3B54D" w14:textId="33BAFD6E" w:rsidR="004C3F0D" w:rsidRDefault="0003311B" w:rsidP="00962099">
      <w:pPr>
        <w:autoSpaceDE w:val="0"/>
        <w:autoSpaceDN w:val="0"/>
        <w:adjustRightInd w:val="0"/>
        <w:spacing w:before="0" w:after="0"/>
        <w:ind w:left="1418"/>
        <w:rPr>
          <w:rFonts w:cs="Open Sans"/>
          <w:sz w:val="22"/>
          <w:szCs w:val="22"/>
        </w:rPr>
      </w:pPr>
      <w:r w:rsidRPr="00C164EF">
        <w:rPr>
          <w:rFonts w:cs="Open Sans"/>
          <w:sz w:val="22"/>
          <w:szCs w:val="22"/>
        </w:rPr>
        <w:t>Mr Anees has been notified in writing of the Minister's decision of 3 July 2019 and the negative</w:t>
      </w:r>
      <w:r w:rsidR="004C3F0D">
        <w:rPr>
          <w:rFonts w:cs="Open Sans"/>
          <w:sz w:val="22"/>
          <w:szCs w:val="22"/>
        </w:rPr>
        <w:t xml:space="preserve"> </w:t>
      </w:r>
      <w:r w:rsidRPr="00C164EF">
        <w:rPr>
          <w:rFonts w:cs="Open Sans"/>
          <w:sz w:val="22"/>
          <w:szCs w:val="22"/>
        </w:rPr>
        <w:t>guidelines assessment of August 2019.</w:t>
      </w:r>
    </w:p>
    <w:p w14:paraId="60B8D211" w14:textId="77777777" w:rsidR="004C3F0D" w:rsidRDefault="004C3F0D" w:rsidP="004C3F0D">
      <w:pPr>
        <w:autoSpaceDE w:val="0"/>
        <w:autoSpaceDN w:val="0"/>
        <w:adjustRightInd w:val="0"/>
        <w:spacing w:before="0" w:after="0"/>
        <w:ind w:left="1418"/>
        <w:rPr>
          <w:rFonts w:cs="Open Sans"/>
          <w:sz w:val="22"/>
          <w:szCs w:val="22"/>
        </w:rPr>
      </w:pPr>
    </w:p>
    <w:p w14:paraId="75C23A55" w14:textId="660EC604" w:rsidR="00530CE3" w:rsidRPr="00C164EF" w:rsidRDefault="0003311B" w:rsidP="004C3F0D">
      <w:pPr>
        <w:autoSpaceDE w:val="0"/>
        <w:autoSpaceDN w:val="0"/>
        <w:adjustRightInd w:val="0"/>
        <w:spacing w:before="0" w:after="0"/>
        <w:ind w:left="1418"/>
        <w:rPr>
          <w:rFonts w:cs="Open Sans"/>
          <w:sz w:val="22"/>
          <w:szCs w:val="22"/>
        </w:rPr>
      </w:pPr>
      <w:r w:rsidRPr="00C164EF">
        <w:rPr>
          <w:rFonts w:cs="Open Sans"/>
          <w:sz w:val="22"/>
          <w:szCs w:val="22"/>
        </w:rPr>
        <w:t>The Department therefore considers that the recommendation made by the AHRC has been</w:t>
      </w:r>
      <w:r w:rsidR="004C3F0D">
        <w:rPr>
          <w:rFonts w:cs="Open Sans"/>
          <w:sz w:val="22"/>
          <w:szCs w:val="22"/>
        </w:rPr>
        <w:t xml:space="preserve"> </w:t>
      </w:r>
      <w:r w:rsidRPr="00C164EF">
        <w:rPr>
          <w:rFonts w:cs="Open Sans"/>
          <w:sz w:val="22"/>
          <w:szCs w:val="22"/>
        </w:rPr>
        <w:t>actioned and that no further action is required.</w:t>
      </w:r>
    </w:p>
    <w:p w14:paraId="6FCBF904" w14:textId="797EDDD0" w:rsidR="008F398F" w:rsidRDefault="00962099" w:rsidP="00962099">
      <w:pPr>
        <w:pStyle w:val="ListParagraph"/>
        <w:numPr>
          <w:ilvl w:val="0"/>
          <w:numId w:val="16"/>
        </w:numPr>
        <w:spacing w:before="240" w:after="240"/>
        <w:contextualSpacing w:val="0"/>
        <w:rPr>
          <w:rFonts w:cs="Open Sans"/>
        </w:rPr>
      </w:pPr>
      <w:r w:rsidRPr="00962099">
        <w:rPr>
          <w:rFonts w:cs="Open Sans"/>
        </w:rPr>
        <w:t>I report accordingly to the Attorney-General.</w:t>
      </w:r>
    </w:p>
    <w:p w14:paraId="4868E51D" w14:textId="36EC5CF2" w:rsidR="00962099" w:rsidRDefault="00962099" w:rsidP="00962099">
      <w:pPr>
        <w:rPr>
          <w:rFonts w:cs="Open Sans"/>
        </w:rPr>
      </w:pPr>
    </w:p>
    <w:p w14:paraId="75C23A56" w14:textId="77777777" w:rsidR="009F641F" w:rsidRPr="00EC55BE" w:rsidRDefault="009F641F" w:rsidP="009F641F">
      <w:pPr>
        <w:rPr>
          <w:rFonts w:cs="Open Sans"/>
          <w:szCs w:val="24"/>
        </w:rPr>
      </w:pPr>
      <w:r w:rsidRPr="00EC55BE">
        <w:rPr>
          <w:rFonts w:cs="Open Sans"/>
          <w:szCs w:val="24"/>
        </w:rPr>
        <w:t>Emeritus Professor Rosalind Croucher AM</w:t>
      </w:r>
      <w:r w:rsidR="00D50B3A" w:rsidRPr="00EC55BE">
        <w:rPr>
          <w:rFonts w:cs="Open Sans"/>
          <w:szCs w:val="24"/>
        </w:rPr>
        <w:br/>
      </w:r>
      <w:r w:rsidRPr="00EC55BE">
        <w:rPr>
          <w:rFonts w:cs="Open Sans"/>
          <w:b/>
          <w:szCs w:val="24"/>
        </w:rPr>
        <w:t>President</w:t>
      </w:r>
      <w:r w:rsidRPr="00EC55BE">
        <w:rPr>
          <w:rFonts w:cs="Open Sans"/>
          <w:szCs w:val="24"/>
        </w:rPr>
        <w:t xml:space="preserve"> </w:t>
      </w:r>
      <w:r w:rsidR="00D50B3A" w:rsidRPr="00EC55BE">
        <w:rPr>
          <w:rFonts w:cs="Open Sans"/>
          <w:szCs w:val="24"/>
        </w:rPr>
        <w:br/>
      </w:r>
      <w:r w:rsidRPr="00EC55BE">
        <w:rPr>
          <w:rFonts w:cs="Open Sans"/>
          <w:szCs w:val="24"/>
        </w:rPr>
        <w:t>Australian Human Rights Commission</w:t>
      </w:r>
    </w:p>
    <w:p w14:paraId="75C23A57" w14:textId="567C207A" w:rsidR="00530CE3" w:rsidRDefault="00A01195" w:rsidP="009F641F">
      <w:pPr>
        <w:spacing w:after="120"/>
        <w:rPr>
          <w:rFonts w:cs="Open Sans"/>
          <w:szCs w:val="24"/>
        </w:rPr>
      </w:pPr>
      <w:r>
        <w:rPr>
          <w:rFonts w:cs="Open Sans"/>
          <w:szCs w:val="24"/>
        </w:rPr>
        <w:t xml:space="preserve">5 </w:t>
      </w:r>
      <w:r w:rsidR="00E9186A">
        <w:rPr>
          <w:rFonts w:cs="Open Sans"/>
          <w:szCs w:val="24"/>
        </w:rPr>
        <w:t>November</w:t>
      </w:r>
      <w:r w:rsidR="009F641F" w:rsidRPr="00EC55BE">
        <w:rPr>
          <w:rFonts w:cs="Open Sans"/>
          <w:szCs w:val="24"/>
        </w:rPr>
        <w:t xml:space="preserve"> 2019</w:t>
      </w:r>
    </w:p>
    <w:p w14:paraId="75C23A58" w14:textId="77777777" w:rsidR="00530CE3" w:rsidRDefault="00530CE3">
      <w:pPr>
        <w:spacing w:before="0" w:after="0"/>
        <w:rPr>
          <w:rFonts w:cs="Open Sans"/>
          <w:szCs w:val="24"/>
        </w:rPr>
      </w:pPr>
      <w:r>
        <w:rPr>
          <w:rFonts w:cs="Open Sans"/>
          <w:szCs w:val="24"/>
        </w:rPr>
        <w:br w:type="page"/>
      </w:r>
    </w:p>
    <w:p w14:paraId="75C23A59" w14:textId="77777777" w:rsidR="009F641F" w:rsidRPr="00EC55BE" w:rsidRDefault="009F641F" w:rsidP="009F641F">
      <w:pPr>
        <w:spacing w:after="120"/>
        <w:rPr>
          <w:rFonts w:cs="Open Sans"/>
          <w:szCs w:val="24"/>
        </w:rPr>
      </w:pPr>
    </w:p>
    <w:sectPr w:rsidR="009F641F" w:rsidRPr="00EC55BE" w:rsidSect="00CE7182">
      <w:footerReference w:type="default" r:id="rId1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16F3" w14:textId="77777777" w:rsidR="00B17367" w:rsidRDefault="00B17367" w:rsidP="00F14C6D">
      <w:r>
        <w:separator/>
      </w:r>
    </w:p>
  </w:endnote>
  <w:endnote w:type="continuationSeparator" w:id="0">
    <w:p w14:paraId="0803DFF9" w14:textId="77777777" w:rsidR="00B17367" w:rsidRDefault="00B17367" w:rsidP="00F14C6D">
      <w:r>
        <w:continuationSeparator/>
      </w:r>
    </w:p>
  </w:endnote>
  <w:endnote w:type="continuationNotice" w:id="1">
    <w:p w14:paraId="6EE2A2DC" w14:textId="77777777" w:rsidR="00B17367" w:rsidRDefault="00B17367">
      <w:pPr>
        <w:spacing w:before="0" w:after="0"/>
      </w:pPr>
    </w:p>
  </w:endnote>
  <w:endnote w:id="2">
    <w:p w14:paraId="154B48B9" w14:textId="77777777" w:rsidR="007B241C" w:rsidRPr="00F20A2F" w:rsidRDefault="007B241C" w:rsidP="00A55ED6">
      <w:pPr>
        <w:pStyle w:val="EndnoteText"/>
        <w:tabs>
          <w:tab w:val="left" w:pos="284"/>
        </w:tabs>
        <w:ind w:left="284" w:hanging="284"/>
        <w:rPr>
          <w:rFonts w:cs="Open Sans"/>
        </w:rPr>
      </w:pPr>
      <w:r w:rsidRPr="00F20A2F">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(New York, 16 December 1966), 999 UNTS 171, [1980] ATS 23 (entered into force for Australia</w:t>
      </w:r>
      <w:r>
        <w:rPr>
          <w:rFonts w:cs="Open Sans"/>
        </w:rPr>
        <w:t xml:space="preserve"> </w:t>
      </w:r>
      <w:r w:rsidRPr="00F20A2F">
        <w:rPr>
          <w:rFonts w:cs="Open Sans"/>
        </w:rPr>
        <w:t>13 November 1980).</w:t>
      </w:r>
    </w:p>
  </w:endnote>
  <w:endnote w:id="3">
    <w:p w14:paraId="6A0583A0" w14:textId="77777777" w:rsidR="007B241C" w:rsidRPr="00F20A2F" w:rsidRDefault="007B241C" w:rsidP="00362BD1">
      <w:pPr>
        <w:pStyle w:val="EndnoteText"/>
        <w:tabs>
          <w:tab w:val="left" w:pos="284"/>
        </w:tabs>
        <w:ind w:left="284" w:hanging="284"/>
        <w:rPr>
          <w:rFonts w:cs="Open Sans"/>
        </w:rPr>
      </w:pPr>
      <w:r w:rsidRPr="00F20A2F">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 xml:space="preserve">Anees v Minister for Immigration and Border Protection </w:t>
      </w:r>
      <w:r w:rsidRPr="00F20A2F">
        <w:rPr>
          <w:rFonts w:cs="Open Sans"/>
        </w:rPr>
        <w:t>[2019] FCA 84</w:t>
      </w:r>
      <w:r>
        <w:rPr>
          <w:rFonts w:cs="Open Sans"/>
        </w:rPr>
        <w:t>.</w:t>
      </w:r>
    </w:p>
  </w:endnote>
  <w:endnote w:id="4">
    <w:p w14:paraId="01A9851F" w14:textId="77777777" w:rsidR="007B241C" w:rsidRPr="00F20A2F" w:rsidRDefault="007B241C" w:rsidP="00811F85">
      <w:pPr>
        <w:pStyle w:val="EndnoteText"/>
        <w:tabs>
          <w:tab w:val="left" w:pos="284"/>
        </w:tabs>
        <w:ind w:left="284" w:hanging="284"/>
        <w:rPr>
          <w:rFonts w:cs="Open Sans"/>
        </w:rPr>
      </w:pPr>
      <w:r w:rsidRPr="00F20A2F">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See</w:t>
      </w:r>
      <w:r w:rsidRPr="00F20A2F">
        <w:rPr>
          <w:rFonts w:cs="Open Sans"/>
          <w:spacing w:val="-4"/>
        </w:rPr>
        <w:t xml:space="preserve"> </w:t>
      </w:r>
      <w:r w:rsidRPr="00F20A2F">
        <w:rPr>
          <w:rFonts w:cs="Open Sans"/>
          <w:i/>
        </w:rPr>
        <w:t>Secretary,</w:t>
      </w:r>
      <w:r w:rsidRPr="00F20A2F">
        <w:rPr>
          <w:rFonts w:cs="Open Sans"/>
          <w:i/>
          <w:spacing w:val="-4"/>
        </w:rPr>
        <w:t xml:space="preserve"> </w:t>
      </w:r>
      <w:r w:rsidRPr="00F20A2F">
        <w:rPr>
          <w:rFonts w:cs="Open Sans"/>
          <w:i/>
        </w:rPr>
        <w:t>Department of Defence v</w:t>
      </w:r>
      <w:r w:rsidRPr="00F20A2F">
        <w:rPr>
          <w:rFonts w:cs="Open Sans"/>
          <w:i/>
          <w:spacing w:val="-4"/>
        </w:rPr>
        <w:t xml:space="preserve"> </w:t>
      </w:r>
      <w:r w:rsidRPr="00F20A2F">
        <w:rPr>
          <w:rFonts w:cs="Open Sans"/>
          <w:i/>
        </w:rPr>
        <w:t>HREOC, Burgess</w:t>
      </w:r>
      <w:r w:rsidRPr="00F20A2F">
        <w:rPr>
          <w:rFonts w:cs="Open Sans"/>
          <w:i/>
          <w:spacing w:val="-4"/>
        </w:rPr>
        <w:t xml:space="preserve"> </w:t>
      </w:r>
      <w:r w:rsidRPr="00F20A2F">
        <w:rPr>
          <w:rFonts w:cs="Open Sans"/>
          <w:i/>
        </w:rPr>
        <w:t>&amp;</w:t>
      </w:r>
      <w:r w:rsidRPr="00F20A2F">
        <w:rPr>
          <w:rFonts w:cs="Open Sans"/>
          <w:i/>
          <w:spacing w:val="-4"/>
        </w:rPr>
        <w:t xml:space="preserve"> </w:t>
      </w:r>
      <w:r w:rsidRPr="00F20A2F">
        <w:rPr>
          <w:rFonts w:cs="Open Sans"/>
          <w:i/>
        </w:rPr>
        <w:t>Ors</w:t>
      </w:r>
      <w:r w:rsidRPr="00F20A2F">
        <w:rPr>
          <w:rFonts w:cs="Open Sans"/>
          <w:i/>
          <w:spacing w:val="-3"/>
        </w:rPr>
        <w:t xml:space="preserve"> </w:t>
      </w:r>
      <w:r w:rsidRPr="00F20A2F">
        <w:rPr>
          <w:rFonts w:cs="Open Sans"/>
        </w:rPr>
        <w:t>(1997)</w:t>
      </w:r>
      <w:r w:rsidRPr="00F20A2F">
        <w:rPr>
          <w:rFonts w:cs="Open Sans"/>
          <w:spacing w:val="-4"/>
        </w:rPr>
        <w:t xml:space="preserve"> </w:t>
      </w:r>
      <w:r w:rsidRPr="00F20A2F">
        <w:rPr>
          <w:rFonts w:cs="Open Sans"/>
        </w:rPr>
        <w:t>78 FCR</w:t>
      </w:r>
      <w:r w:rsidRPr="00F20A2F">
        <w:rPr>
          <w:rFonts w:cs="Open Sans"/>
          <w:spacing w:val="-4"/>
        </w:rPr>
        <w:t xml:space="preserve"> </w:t>
      </w:r>
      <w:r w:rsidRPr="00F20A2F">
        <w:rPr>
          <w:rFonts w:cs="Open Sans"/>
        </w:rPr>
        <w:t xml:space="preserve">208, where Branson J found that the Commission could not, in conducting its inquiry, disregard the legal obligations of the Secretary in exercising a statutory power. Note in particular 212-3 and 214-5. </w:t>
      </w:r>
    </w:p>
  </w:endnote>
  <w:endnote w:id="5">
    <w:p w14:paraId="0D9A3D1B" w14:textId="3FBB3B77" w:rsidR="007B241C" w:rsidRPr="00F20A2F" w:rsidRDefault="007B241C" w:rsidP="00DF3E0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UN Human Rights Committee, </w:t>
      </w:r>
      <w:r w:rsidRPr="00F20A2F">
        <w:rPr>
          <w:rFonts w:cs="Open Sans"/>
          <w:i/>
        </w:rPr>
        <w:t>General Comment No. 35</w:t>
      </w:r>
      <w:r w:rsidRPr="00F20A2F">
        <w:rPr>
          <w:rFonts w:cs="Open Sans"/>
        </w:rPr>
        <w:t xml:space="preserve"> </w:t>
      </w:r>
      <w:r w:rsidRPr="00F20A2F">
        <w:rPr>
          <w:rFonts w:cs="Open Sans"/>
          <w:i/>
        </w:rPr>
        <w:t>Article 9 (Liberty and security of person)</w:t>
      </w:r>
      <w:r w:rsidRPr="00F20A2F">
        <w:rPr>
          <w:rFonts w:cs="Open Sans"/>
        </w:rPr>
        <w:t>, 112</w:t>
      </w:r>
      <w:r w:rsidRPr="00F20A2F">
        <w:rPr>
          <w:rFonts w:cs="Open Sans"/>
          <w:vertAlign w:val="superscript"/>
        </w:rPr>
        <w:t>th</w:t>
      </w:r>
      <w:r w:rsidRPr="00F20A2F">
        <w:rPr>
          <w:rFonts w:cs="Open Sans"/>
        </w:rPr>
        <w:t xml:space="preserve"> Sess, UN Doc CCPR/C/GC/35</w:t>
      </w:r>
      <w:r w:rsidRPr="00F20A2F">
        <w:rPr>
          <w:rFonts w:cs="Open Sans"/>
          <w:i/>
        </w:rPr>
        <w:t xml:space="preserve"> </w:t>
      </w:r>
      <w:r w:rsidRPr="00F20A2F">
        <w:rPr>
          <w:rFonts w:cs="Open Sans"/>
        </w:rPr>
        <w:t>(2014)</w:t>
      </w:r>
      <w:r w:rsidRPr="00F20A2F">
        <w:rPr>
          <w:rFonts w:cs="Open Sans"/>
          <w:i/>
          <w:color w:val="231F20"/>
        </w:rPr>
        <w:t xml:space="preserve">. </w:t>
      </w:r>
      <w:r w:rsidRPr="00F20A2F">
        <w:rPr>
          <w:rFonts w:cs="Open Sans"/>
          <w:color w:val="231F20"/>
        </w:rPr>
        <w:t xml:space="preserve">See also </w:t>
      </w:r>
      <w:r w:rsidRPr="00F20A2F">
        <w:rPr>
          <w:rFonts w:cs="Open Sans"/>
        </w:rPr>
        <w:t xml:space="preserve">UN Human Rights Committee, </w:t>
      </w:r>
      <w:r w:rsidRPr="00F20A2F">
        <w:rPr>
          <w:rFonts w:cs="Open Sans"/>
          <w:bCs/>
          <w:i/>
        </w:rPr>
        <w:t>Communication No. 560/1993</w:t>
      </w:r>
      <w:r w:rsidRPr="00F20A2F">
        <w:rPr>
          <w:rFonts w:cs="Open Sans"/>
          <w:bCs/>
        </w:rPr>
        <w:t>, 59</w:t>
      </w:r>
      <w:r w:rsidRPr="00F20A2F">
        <w:rPr>
          <w:rFonts w:cs="Open Sans"/>
          <w:bCs/>
          <w:vertAlign w:val="superscript"/>
        </w:rPr>
        <w:t>th</w:t>
      </w:r>
      <w:r w:rsidRPr="00F20A2F">
        <w:rPr>
          <w:rFonts w:cs="Open Sans"/>
          <w:bCs/>
        </w:rPr>
        <w:t xml:space="preserve"> Sess,</w:t>
      </w:r>
      <w:r w:rsidRPr="00F20A2F">
        <w:rPr>
          <w:rFonts w:cs="Open Sans"/>
          <w:b/>
          <w:bCs/>
        </w:rPr>
        <w:t xml:space="preserve"> </w:t>
      </w:r>
      <w:r w:rsidRPr="00F20A2F">
        <w:rPr>
          <w:rFonts w:cs="Open Sans"/>
        </w:rPr>
        <w:t>UN</w:t>
      </w:r>
      <w:r w:rsidRPr="00F20A2F">
        <w:rPr>
          <w:rFonts w:cs="Open Sans"/>
          <w:spacing w:val="-4"/>
        </w:rPr>
        <w:t xml:space="preserve"> </w:t>
      </w:r>
      <w:r w:rsidRPr="00F20A2F">
        <w:rPr>
          <w:rFonts w:cs="Open Sans"/>
        </w:rPr>
        <w:t>Doc</w:t>
      </w:r>
      <w:r w:rsidRPr="00F20A2F">
        <w:rPr>
          <w:rFonts w:cs="Open Sans"/>
          <w:spacing w:val="-4"/>
        </w:rPr>
        <w:t xml:space="preserve"> </w:t>
      </w:r>
      <w:r w:rsidRPr="00F20A2F">
        <w:rPr>
          <w:rFonts w:cs="Open Sans"/>
        </w:rPr>
        <w:t>CCPR/C/59/D/560/1993 (1997) (‘</w:t>
      </w:r>
      <w:r w:rsidRPr="00F20A2F">
        <w:rPr>
          <w:rFonts w:cs="Open Sans"/>
          <w:i/>
        </w:rPr>
        <w:t>A</w:t>
      </w:r>
      <w:r w:rsidRPr="00F20A2F">
        <w:rPr>
          <w:rFonts w:cs="Open Sans"/>
          <w:i/>
          <w:spacing w:val="-10"/>
        </w:rPr>
        <w:t xml:space="preserve"> </w:t>
      </w:r>
      <w:r w:rsidRPr="00F20A2F">
        <w:rPr>
          <w:rFonts w:cs="Open Sans"/>
          <w:i/>
        </w:rPr>
        <w:t>v</w:t>
      </w:r>
      <w:r w:rsidRPr="00F20A2F">
        <w:rPr>
          <w:rFonts w:cs="Open Sans"/>
          <w:i/>
          <w:spacing w:val="-10"/>
        </w:rPr>
        <w:t xml:space="preserve"> </w:t>
      </w:r>
      <w:r w:rsidRPr="00F20A2F">
        <w:rPr>
          <w:rFonts w:cs="Open Sans"/>
          <w:i/>
        </w:rPr>
        <w:t>Australia</w:t>
      </w:r>
      <w:r w:rsidRPr="00F20A2F">
        <w:rPr>
          <w:rFonts w:cs="Open Sans"/>
          <w:spacing w:val="-4"/>
        </w:rPr>
        <w:t xml:space="preserve">’); </w:t>
      </w:r>
      <w:r w:rsidRPr="00F20A2F">
        <w:rPr>
          <w:rFonts w:cs="Open Sans"/>
        </w:rPr>
        <w:t xml:space="preserve">UN Human Rights Committee, </w:t>
      </w:r>
      <w:r w:rsidRPr="00F20A2F">
        <w:rPr>
          <w:rFonts w:cs="Open Sans"/>
          <w:bCs/>
          <w:i/>
          <w:lang w:val="en"/>
        </w:rPr>
        <w:t>Communication No. 900/1999</w:t>
      </w:r>
      <w:r w:rsidRPr="00F20A2F">
        <w:rPr>
          <w:rFonts w:cs="Open Sans"/>
          <w:bCs/>
          <w:lang w:val="en"/>
        </w:rPr>
        <w:t>, 67</w:t>
      </w:r>
      <w:r w:rsidRPr="00F20A2F">
        <w:rPr>
          <w:rFonts w:cs="Open Sans"/>
          <w:bCs/>
          <w:vertAlign w:val="superscript"/>
          <w:lang w:val="en"/>
        </w:rPr>
        <w:t>th</w:t>
      </w:r>
      <w:r w:rsidRPr="00F20A2F">
        <w:rPr>
          <w:rFonts w:cs="Open Sans"/>
          <w:bCs/>
          <w:lang w:val="en"/>
        </w:rPr>
        <w:t xml:space="preserve"> Sess, </w:t>
      </w:r>
      <w:r w:rsidRPr="00F20A2F">
        <w:rPr>
          <w:rFonts w:cs="Open Sans"/>
        </w:rPr>
        <w:t>UN Doc CCPR/C/76/D/900/1999 (2002)</w:t>
      </w:r>
      <w:r w:rsidRPr="00F20A2F">
        <w:rPr>
          <w:rFonts w:cs="Open Sans"/>
          <w:i/>
        </w:rPr>
        <w:t xml:space="preserve"> </w:t>
      </w:r>
      <w:r w:rsidRPr="00F20A2F">
        <w:rPr>
          <w:rFonts w:cs="Open Sans"/>
        </w:rPr>
        <w:t>(‘</w:t>
      </w:r>
      <w:r w:rsidRPr="00F20A2F">
        <w:rPr>
          <w:rFonts w:cs="Open Sans"/>
          <w:i/>
        </w:rPr>
        <w:t>C v</w:t>
      </w:r>
      <w:r w:rsidRPr="00F20A2F">
        <w:rPr>
          <w:rFonts w:cs="Open Sans"/>
          <w:i/>
          <w:spacing w:val="-10"/>
        </w:rPr>
        <w:t xml:space="preserve"> </w:t>
      </w:r>
      <w:r w:rsidRPr="00F20A2F">
        <w:rPr>
          <w:rFonts w:cs="Open Sans"/>
          <w:i/>
        </w:rPr>
        <w:t>Australia</w:t>
      </w:r>
      <w:r w:rsidRPr="00F20A2F">
        <w:rPr>
          <w:rFonts w:cs="Open Sans"/>
        </w:rPr>
        <w:t xml:space="preserve">’); UN Human Rights Committee, </w:t>
      </w:r>
      <w:r w:rsidRPr="00F20A2F">
        <w:rPr>
          <w:rFonts w:cs="Open Sans"/>
          <w:i/>
        </w:rPr>
        <w:t>Communication No 1014/2001</w:t>
      </w:r>
      <w:r w:rsidRPr="00F20A2F">
        <w:rPr>
          <w:rFonts w:cs="Open Sans"/>
        </w:rPr>
        <w:t>, 78</w:t>
      </w:r>
      <w:r w:rsidRPr="00F20A2F">
        <w:rPr>
          <w:rFonts w:cs="Open Sans"/>
          <w:vertAlign w:val="superscript"/>
        </w:rPr>
        <w:t>th</w:t>
      </w:r>
      <w:r w:rsidRPr="00F20A2F">
        <w:rPr>
          <w:rFonts w:cs="Open Sans"/>
        </w:rPr>
        <w:t xml:space="preserve"> Sess, CCPR/C/78/D/1014/2001 (2003) (‘</w:t>
      </w:r>
      <w:r w:rsidRPr="00F20A2F">
        <w:rPr>
          <w:rFonts w:cs="Open Sans"/>
          <w:i/>
        </w:rPr>
        <w:t>Baban v</w:t>
      </w:r>
      <w:r w:rsidRPr="00F20A2F">
        <w:rPr>
          <w:rFonts w:cs="Open Sans"/>
          <w:i/>
          <w:spacing w:val="-11"/>
        </w:rPr>
        <w:t xml:space="preserve"> </w:t>
      </w:r>
      <w:r w:rsidRPr="00F20A2F">
        <w:rPr>
          <w:rFonts w:cs="Open Sans"/>
          <w:i/>
        </w:rPr>
        <w:t>Australia</w:t>
      </w:r>
      <w:r w:rsidRPr="00F20A2F">
        <w:rPr>
          <w:rFonts w:cs="Open Sans"/>
        </w:rPr>
        <w:t xml:space="preserve">’). </w:t>
      </w:r>
    </w:p>
  </w:endnote>
  <w:endnote w:id="6">
    <w:p w14:paraId="7126E549" w14:textId="77777777" w:rsidR="007B241C" w:rsidRPr="003B400F" w:rsidRDefault="007B241C" w:rsidP="00DF3E00">
      <w:pPr>
        <w:pStyle w:val="TOC7"/>
        <w:tabs>
          <w:tab w:val="left" w:pos="284"/>
        </w:tabs>
        <w:spacing w:after="0"/>
        <w:ind w:left="284" w:hanging="284"/>
        <w:rPr>
          <w:rFonts w:ascii="Open Sans" w:hAnsi="Open Sans" w:cs="Open Sans"/>
          <w:sz w:val="20"/>
        </w:rPr>
      </w:pPr>
      <w:r w:rsidRPr="00AF44D2">
        <w:rPr>
          <w:rStyle w:val="EndnoteReference"/>
          <w:rFonts w:ascii="Open Sans" w:hAnsi="Open Sans" w:cs="Open Sans"/>
        </w:rPr>
        <w:endnoteRef/>
      </w:r>
      <w:r>
        <w:rPr>
          <w:rFonts w:ascii="Open Sans" w:hAnsi="Open Sans" w:cs="Open Sans"/>
          <w:sz w:val="20"/>
        </w:rPr>
        <w:t xml:space="preserve"> </w:t>
      </w:r>
      <w:r>
        <w:rPr>
          <w:rFonts w:ascii="Open Sans" w:hAnsi="Open Sans" w:cs="Open Sans"/>
          <w:sz w:val="20"/>
        </w:rPr>
        <w:tab/>
      </w:r>
      <w:r w:rsidRPr="00AF44D2">
        <w:rPr>
          <w:rFonts w:ascii="Open Sans" w:hAnsi="Open Sans" w:cs="Open Sans"/>
          <w:sz w:val="20"/>
        </w:rPr>
        <w:t xml:space="preserve">UN Human Rights Committee, </w:t>
      </w:r>
      <w:r w:rsidRPr="00AF44D2">
        <w:rPr>
          <w:rFonts w:ascii="Open Sans" w:hAnsi="Open Sans" w:cs="Open Sans"/>
          <w:i/>
          <w:sz w:val="20"/>
        </w:rPr>
        <w:t>General Comment No. 35</w:t>
      </w:r>
      <w:r w:rsidRPr="00AF44D2">
        <w:rPr>
          <w:rFonts w:ascii="Open Sans" w:hAnsi="Open Sans" w:cs="Open Sans"/>
          <w:sz w:val="20"/>
        </w:rPr>
        <w:t xml:space="preserve"> </w:t>
      </w:r>
      <w:r w:rsidRPr="00AF44D2">
        <w:rPr>
          <w:rFonts w:ascii="Open Sans" w:hAnsi="Open Sans" w:cs="Open Sans"/>
          <w:i/>
          <w:sz w:val="20"/>
        </w:rPr>
        <w:t>Article 9 (Liberty and security of person)</w:t>
      </w:r>
      <w:r w:rsidRPr="003B400F">
        <w:rPr>
          <w:rFonts w:ascii="Open Sans" w:hAnsi="Open Sans" w:cs="Open Sans"/>
          <w:sz w:val="20"/>
        </w:rPr>
        <w:t>, 112</w:t>
      </w:r>
      <w:r w:rsidRPr="003B400F">
        <w:rPr>
          <w:rFonts w:ascii="Open Sans" w:hAnsi="Open Sans" w:cs="Open Sans"/>
          <w:sz w:val="20"/>
          <w:vertAlign w:val="superscript"/>
        </w:rPr>
        <w:t>th</w:t>
      </w:r>
      <w:r w:rsidRPr="003B400F">
        <w:rPr>
          <w:rFonts w:ascii="Open Sans" w:hAnsi="Open Sans" w:cs="Open Sans"/>
          <w:sz w:val="20"/>
        </w:rPr>
        <w:t xml:space="preserve"> Sess, UN Doc CCPR/C/GC/35</w:t>
      </w:r>
      <w:r w:rsidRPr="003B400F">
        <w:rPr>
          <w:rFonts w:ascii="Open Sans" w:hAnsi="Open Sans" w:cs="Open Sans"/>
          <w:i/>
          <w:sz w:val="20"/>
        </w:rPr>
        <w:t xml:space="preserve"> </w:t>
      </w:r>
      <w:r w:rsidRPr="003B400F">
        <w:rPr>
          <w:rFonts w:ascii="Open Sans" w:hAnsi="Open Sans" w:cs="Open Sans"/>
          <w:sz w:val="20"/>
        </w:rPr>
        <w:t xml:space="preserve">(2014) </w:t>
      </w:r>
      <w:r w:rsidRPr="003B400F">
        <w:rPr>
          <w:rFonts w:ascii="Open Sans" w:hAnsi="Open Sans" w:cs="Open Sans"/>
          <w:color w:val="231F20"/>
          <w:sz w:val="20"/>
        </w:rPr>
        <w:t xml:space="preserve">[18]; </w:t>
      </w:r>
      <w:r w:rsidRPr="003B400F">
        <w:rPr>
          <w:rFonts w:ascii="Open Sans" w:hAnsi="Open Sans" w:cs="Open Sans"/>
          <w:sz w:val="20"/>
        </w:rPr>
        <w:t xml:space="preserve">UN Human Rights Committee, </w:t>
      </w:r>
      <w:r w:rsidRPr="003B400F">
        <w:rPr>
          <w:rFonts w:ascii="Open Sans" w:hAnsi="Open Sans" w:cs="Open Sans"/>
          <w:i/>
          <w:sz w:val="20"/>
        </w:rPr>
        <w:t>General Comment No. 31,</w:t>
      </w:r>
      <w:r w:rsidRPr="003B400F">
        <w:rPr>
          <w:rFonts w:ascii="Open Sans" w:hAnsi="Open Sans" w:cs="Open Sans"/>
          <w:sz w:val="20"/>
        </w:rPr>
        <w:t xml:space="preserve"> </w:t>
      </w:r>
      <w:r w:rsidRPr="003B400F">
        <w:rPr>
          <w:rFonts w:ascii="Open Sans" w:hAnsi="Open Sans" w:cs="Open Sans"/>
          <w:i/>
          <w:sz w:val="20"/>
        </w:rPr>
        <w:t>Nature of the General Legal Obligation Imposed on States Parties to the Covenant</w:t>
      </w:r>
      <w:r w:rsidRPr="003B400F">
        <w:rPr>
          <w:rFonts w:ascii="Open Sans" w:hAnsi="Open Sans" w:cs="Open Sans"/>
          <w:sz w:val="20"/>
        </w:rPr>
        <w:t>, UN Doc CCPR/C/21/Rev.1/Add.13 (2004) [6].</w:t>
      </w:r>
    </w:p>
  </w:endnote>
  <w:endnote w:id="7">
    <w:p w14:paraId="7C370F5C" w14:textId="77777777" w:rsidR="007B241C" w:rsidRPr="00F20A2F" w:rsidRDefault="007B241C" w:rsidP="00DF3E0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 xml:space="preserve">Manga v Attorney-General </w:t>
      </w:r>
      <w:r w:rsidRPr="00F20A2F">
        <w:rPr>
          <w:rFonts w:cs="Open Sans"/>
        </w:rPr>
        <w:t xml:space="preserve">[2000] 2 NZLR 65 [40]–[42] (Hammond J). See also the views of the UN Human Rights Committee in </w:t>
      </w:r>
      <w:r w:rsidRPr="00F20A2F">
        <w:rPr>
          <w:rFonts w:cs="Open Sans"/>
          <w:i/>
          <w:iCs/>
        </w:rPr>
        <w:t>Communication No. 305/1988,</w:t>
      </w:r>
      <w:r w:rsidRPr="00F20A2F">
        <w:rPr>
          <w:rFonts w:cs="Open Sans"/>
          <w:i/>
          <w:spacing w:val="-3"/>
        </w:rPr>
        <w:t xml:space="preserve"> </w:t>
      </w:r>
      <w:r w:rsidRPr="00F20A2F">
        <w:rPr>
          <w:rFonts w:cs="Open Sans"/>
          <w:spacing w:val="-3"/>
        </w:rPr>
        <w:t>39</w:t>
      </w:r>
      <w:r w:rsidRPr="00F20A2F">
        <w:rPr>
          <w:rFonts w:cs="Open Sans"/>
          <w:spacing w:val="-3"/>
          <w:vertAlign w:val="superscript"/>
        </w:rPr>
        <w:t>th</w:t>
      </w:r>
      <w:r w:rsidRPr="00F20A2F">
        <w:rPr>
          <w:rFonts w:cs="Open Sans"/>
          <w:spacing w:val="-3"/>
        </w:rPr>
        <w:t xml:space="preserve"> Sess, </w:t>
      </w:r>
      <w:r w:rsidRPr="00F20A2F">
        <w:rPr>
          <w:rFonts w:cs="Open Sans"/>
        </w:rPr>
        <w:t>UN Doc CCPR/C/39/D/305/1988 (1990) (‘</w:t>
      </w:r>
      <w:r w:rsidRPr="00F20A2F">
        <w:rPr>
          <w:rFonts w:cs="Open Sans"/>
          <w:i/>
          <w:spacing w:val="-3"/>
        </w:rPr>
        <w:t xml:space="preserve">Van </w:t>
      </w:r>
      <w:r w:rsidRPr="00F20A2F">
        <w:rPr>
          <w:rFonts w:cs="Open Sans"/>
          <w:i/>
        </w:rPr>
        <w:t>Alphen v The Netherlands</w:t>
      </w:r>
      <w:r w:rsidRPr="00F20A2F">
        <w:rPr>
          <w:rFonts w:cs="Open Sans"/>
        </w:rPr>
        <w:t xml:space="preserve">’); </w:t>
      </w:r>
      <w:r w:rsidRPr="00F20A2F">
        <w:rPr>
          <w:rFonts w:cs="Open Sans"/>
          <w:i/>
        </w:rPr>
        <w:t>A v Australia</w:t>
      </w:r>
      <w:r w:rsidRPr="00F20A2F">
        <w:rPr>
          <w:rFonts w:cs="Open Sans"/>
          <w:bCs/>
        </w:rPr>
        <w:t>,</w:t>
      </w:r>
      <w:r w:rsidRPr="00F20A2F">
        <w:rPr>
          <w:rFonts w:cs="Open Sans"/>
          <w:b/>
          <w:bCs/>
        </w:rPr>
        <w:t xml:space="preserve"> </w:t>
      </w:r>
      <w:r w:rsidRPr="00F20A2F">
        <w:rPr>
          <w:rFonts w:cs="Open Sans"/>
        </w:rPr>
        <w:t>UN</w:t>
      </w:r>
      <w:r w:rsidRPr="00F20A2F">
        <w:rPr>
          <w:rFonts w:cs="Open Sans"/>
          <w:spacing w:val="-4"/>
        </w:rPr>
        <w:t xml:space="preserve"> </w:t>
      </w:r>
      <w:r w:rsidRPr="00F20A2F">
        <w:rPr>
          <w:rFonts w:cs="Open Sans"/>
        </w:rPr>
        <w:t>Doc</w:t>
      </w:r>
      <w:r w:rsidRPr="00F20A2F">
        <w:rPr>
          <w:rFonts w:cs="Open Sans"/>
          <w:spacing w:val="-4"/>
        </w:rPr>
        <w:t xml:space="preserve"> </w:t>
      </w:r>
      <w:r w:rsidRPr="00F20A2F">
        <w:rPr>
          <w:rFonts w:cs="Open Sans"/>
        </w:rPr>
        <w:t xml:space="preserve">CCPR/C/59/D/560/1993; UN Human Rights Committee, </w:t>
      </w:r>
      <w:r w:rsidRPr="00F20A2F">
        <w:rPr>
          <w:rFonts w:cs="Open Sans"/>
          <w:bCs/>
          <w:i/>
        </w:rPr>
        <w:t xml:space="preserve">Communication No. 631/1995, </w:t>
      </w:r>
      <w:r w:rsidRPr="00F20A2F">
        <w:rPr>
          <w:rFonts w:cs="Open Sans"/>
          <w:bCs/>
        </w:rPr>
        <w:t>67</w:t>
      </w:r>
      <w:r w:rsidRPr="00F20A2F">
        <w:rPr>
          <w:rFonts w:cs="Open Sans"/>
          <w:bCs/>
          <w:vertAlign w:val="superscript"/>
        </w:rPr>
        <w:t>th</w:t>
      </w:r>
      <w:r w:rsidRPr="00F20A2F">
        <w:rPr>
          <w:rFonts w:cs="Open Sans"/>
          <w:bCs/>
        </w:rPr>
        <w:t xml:space="preserve"> Sess,</w:t>
      </w:r>
      <w:r w:rsidRPr="00F20A2F">
        <w:rPr>
          <w:rFonts w:cs="Open Sans"/>
          <w:b/>
          <w:bCs/>
        </w:rPr>
        <w:t xml:space="preserve"> </w:t>
      </w:r>
      <w:r w:rsidRPr="00F20A2F">
        <w:rPr>
          <w:rFonts w:cs="Open Sans"/>
        </w:rPr>
        <w:t>UN Doc</w:t>
      </w:r>
      <w:r w:rsidRPr="00F20A2F">
        <w:rPr>
          <w:rFonts w:cs="Open Sans"/>
          <w:spacing w:val="-24"/>
        </w:rPr>
        <w:t xml:space="preserve"> </w:t>
      </w:r>
      <w:bookmarkStart w:id="50" w:name="_bookmark15"/>
      <w:bookmarkEnd w:id="50"/>
      <w:r w:rsidRPr="00F20A2F">
        <w:rPr>
          <w:rFonts w:cs="Open Sans"/>
        </w:rPr>
        <w:t>CCPR/C/67/D/631/1995 (1999)</w:t>
      </w:r>
      <w:r w:rsidRPr="00F20A2F">
        <w:rPr>
          <w:rFonts w:cs="Open Sans"/>
          <w:i/>
        </w:rPr>
        <w:t xml:space="preserve"> </w:t>
      </w:r>
      <w:r w:rsidRPr="00F20A2F">
        <w:rPr>
          <w:rFonts w:cs="Open Sans"/>
        </w:rPr>
        <w:t>(‘</w:t>
      </w:r>
      <w:r w:rsidRPr="00F20A2F">
        <w:rPr>
          <w:rFonts w:cs="Open Sans"/>
          <w:i/>
        </w:rPr>
        <w:t>Spakmo</w:t>
      </w:r>
      <w:r w:rsidRPr="00F20A2F">
        <w:rPr>
          <w:rFonts w:cs="Open Sans"/>
          <w:i/>
          <w:spacing w:val="-3"/>
        </w:rPr>
        <w:t xml:space="preserve"> </w:t>
      </w:r>
      <w:r w:rsidRPr="00F20A2F">
        <w:rPr>
          <w:rFonts w:cs="Open Sans"/>
          <w:i/>
        </w:rPr>
        <w:t>v</w:t>
      </w:r>
      <w:r w:rsidRPr="00F20A2F">
        <w:rPr>
          <w:rFonts w:cs="Open Sans"/>
          <w:i/>
          <w:spacing w:val="-3"/>
        </w:rPr>
        <w:t xml:space="preserve"> </w:t>
      </w:r>
      <w:r w:rsidRPr="00F20A2F">
        <w:rPr>
          <w:rFonts w:cs="Open Sans"/>
          <w:i/>
        </w:rPr>
        <w:t>Norway</w:t>
      </w:r>
      <w:r w:rsidRPr="00F20A2F">
        <w:rPr>
          <w:rFonts w:cs="Open Sans"/>
        </w:rPr>
        <w:t>’).</w:t>
      </w:r>
    </w:p>
  </w:endnote>
  <w:endnote w:id="8">
    <w:p w14:paraId="675547B6" w14:textId="77777777" w:rsidR="007B241C" w:rsidRPr="00F20A2F" w:rsidRDefault="007B241C" w:rsidP="00DF3E0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bookmarkStart w:id="52" w:name="_bookmark16"/>
      <w:bookmarkEnd w:id="52"/>
      <w:r>
        <w:rPr>
          <w:rFonts w:cs="Open Sans"/>
        </w:rPr>
        <w:tab/>
      </w:r>
      <w:r w:rsidRPr="00F20A2F">
        <w:rPr>
          <w:rFonts w:cs="Open Sans"/>
        </w:rPr>
        <w:t xml:space="preserve">UN Human Rights Committee, </w:t>
      </w:r>
      <w:r w:rsidRPr="00F20A2F">
        <w:rPr>
          <w:rFonts w:cs="Open Sans"/>
          <w:i/>
        </w:rPr>
        <w:t>General Comment 31,</w:t>
      </w:r>
      <w:r w:rsidRPr="00F20A2F">
        <w:rPr>
          <w:rFonts w:cs="Open Sans"/>
        </w:rPr>
        <w:t xml:space="preserve"> </w:t>
      </w:r>
      <w:r w:rsidRPr="00F20A2F">
        <w:rPr>
          <w:rFonts w:cs="Open Sans"/>
          <w:i/>
        </w:rPr>
        <w:t>Nature of the General Legal Obligation Imposed on States Parties to the Covenant</w:t>
      </w:r>
      <w:r w:rsidRPr="00F20A2F">
        <w:rPr>
          <w:rFonts w:cs="Open Sans"/>
        </w:rPr>
        <w:t>, UN Doc CCPR/C/21/Rev.1/Add.13 (2004) [6]</w:t>
      </w:r>
      <w:r w:rsidRPr="00F20A2F">
        <w:rPr>
          <w:rFonts w:cs="Open Sans"/>
          <w:color w:val="231F20"/>
        </w:rPr>
        <w:t xml:space="preserve">; </w:t>
      </w:r>
      <w:r w:rsidRPr="00F20A2F">
        <w:rPr>
          <w:rFonts w:cs="Open Sans"/>
        </w:rPr>
        <w:t xml:space="preserve">UN Human Rights Committee, </w:t>
      </w:r>
      <w:r w:rsidRPr="00F20A2F">
        <w:rPr>
          <w:rFonts w:cs="Open Sans"/>
          <w:i/>
        </w:rPr>
        <w:t>General Comment No. 35</w:t>
      </w:r>
      <w:r w:rsidRPr="00F20A2F">
        <w:rPr>
          <w:rFonts w:cs="Open Sans"/>
        </w:rPr>
        <w:t xml:space="preserve"> </w:t>
      </w:r>
      <w:r w:rsidRPr="00F20A2F">
        <w:rPr>
          <w:rFonts w:cs="Open Sans"/>
          <w:i/>
        </w:rPr>
        <w:t>Article 9 (Liberty and security of person)</w:t>
      </w:r>
      <w:r w:rsidRPr="00F20A2F">
        <w:rPr>
          <w:rFonts w:cs="Open Sans"/>
        </w:rPr>
        <w:t>, 112</w:t>
      </w:r>
      <w:r w:rsidRPr="00F20A2F">
        <w:rPr>
          <w:rFonts w:cs="Open Sans"/>
          <w:vertAlign w:val="superscript"/>
        </w:rPr>
        <w:t>th</w:t>
      </w:r>
      <w:r w:rsidRPr="00F20A2F">
        <w:rPr>
          <w:rFonts w:cs="Open Sans"/>
        </w:rPr>
        <w:t xml:space="preserve"> Sess, UN Doc CCPR/C/GC/35</w:t>
      </w:r>
      <w:r w:rsidRPr="00F20A2F">
        <w:rPr>
          <w:rFonts w:cs="Open Sans"/>
          <w:i/>
        </w:rPr>
        <w:t xml:space="preserve"> </w:t>
      </w:r>
      <w:r w:rsidRPr="00F20A2F">
        <w:rPr>
          <w:rFonts w:cs="Open Sans"/>
        </w:rPr>
        <w:t xml:space="preserve">(2014); </w:t>
      </w:r>
      <w:r w:rsidRPr="00F20A2F">
        <w:rPr>
          <w:rFonts w:cs="Open Sans"/>
          <w:i/>
        </w:rPr>
        <w:t>A v Australia</w:t>
      </w:r>
      <w:r w:rsidRPr="00F20A2F">
        <w:rPr>
          <w:rFonts w:cs="Open Sans"/>
          <w:bCs/>
        </w:rPr>
        <w:t>,</w:t>
      </w:r>
      <w:r w:rsidRPr="00F20A2F">
        <w:rPr>
          <w:rFonts w:cs="Open Sans"/>
          <w:b/>
          <w:bCs/>
        </w:rPr>
        <w:t xml:space="preserve"> </w:t>
      </w:r>
      <w:r w:rsidRPr="00F20A2F">
        <w:rPr>
          <w:rFonts w:cs="Open Sans"/>
        </w:rPr>
        <w:t>UN</w:t>
      </w:r>
      <w:r w:rsidRPr="00F20A2F">
        <w:rPr>
          <w:rFonts w:cs="Open Sans"/>
          <w:spacing w:val="-4"/>
        </w:rPr>
        <w:t xml:space="preserve"> </w:t>
      </w:r>
      <w:r w:rsidRPr="00F20A2F">
        <w:rPr>
          <w:rFonts w:cs="Open Sans"/>
        </w:rPr>
        <w:t>Doc</w:t>
      </w:r>
      <w:r w:rsidRPr="00F20A2F">
        <w:rPr>
          <w:rFonts w:cs="Open Sans"/>
          <w:spacing w:val="-4"/>
        </w:rPr>
        <w:t xml:space="preserve"> </w:t>
      </w:r>
      <w:r w:rsidRPr="00F20A2F">
        <w:rPr>
          <w:rFonts w:cs="Open Sans"/>
        </w:rPr>
        <w:t>CCPR/C/59/D/560/1993</w:t>
      </w:r>
      <w:r w:rsidRPr="00F20A2F">
        <w:rPr>
          <w:rFonts w:cs="Open Sans"/>
          <w:spacing w:val="-4"/>
        </w:rPr>
        <w:t xml:space="preserve"> </w:t>
      </w:r>
      <w:r w:rsidRPr="00F20A2F">
        <w:rPr>
          <w:rFonts w:cs="Open Sans"/>
          <w:color w:val="231F20"/>
        </w:rPr>
        <w:t>(the fact that the author may abscond if released into the community was not sufficient reason to justify holding the author in immigration detention for four</w:t>
      </w:r>
      <w:r w:rsidRPr="00F20A2F">
        <w:rPr>
          <w:rFonts w:cs="Open Sans"/>
          <w:color w:val="231F20"/>
          <w:spacing w:val="-4"/>
        </w:rPr>
        <w:t xml:space="preserve"> </w:t>
      </w:r>
      <w:r w:rsidRPr="00F20A2F">
        <w:rPr>
          <w:rFonts w:cs="Open Sans"/>
          <w:color w:val="231F20"/>
        </w:rPr>
        <w:t>years);</w:t>
      </w:r>
      <w:r w:rsidRPr="00F20A2F">
        <w:rPr>
          <w:rFonts w:cs="Open Sans"/>
          <w:i/>
        </w:rPr>
        <w:t xml:space="preserve"> C v Australia</w:t>
      </w:r>
      <w:r w:rsidRPr="00F20A2F">
        <w:rPr>
          <w:rFonts w:cs="Open Sans"/>
          <w:bCs/>
          <w:lang w:val="en"/>
        </w:rPr>
        <w:t xml:space="preserve">, </w:t>
      </w:r>
      <w:r w:rsidRPr="00F20A2F">
        <w:rPr>
          <w:rFonts w:cs="Open Sans"/>
        </w:rPr>
        <w:t>UN Doc CCPR/C/76/D/900/1999.</w:t>
      </w:r>
    </w:p>
  </w:endnote>
  <w:endnote w:id="9">
    <w:p w14:paraId="4DAD04BB" w14:textId="77777777" w:rsidR="007B241C" w:rsidRPr="00F20A2F" w:rsidRDefault="007B241C" w:rsidP="00DF3E0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Van Alphen v the Netherlands</w:t>
      </w:r>
      <w:r w:rsidRPr="00F20A2F">
        <w:rPr>
          <w:rFonts w:cs="Open Sans"/>
          <w:spacing w:val="-3"/>
        </w:rPr>
        <w:t xml:space="preserve">, </w:t>
      </w:r>
      <w:r w:rsidRPr="00F20A2F">
        <w:rPr>
          <w:rFonts w:cs="Open Sans"/>
        </w:rPr>
        <w:t>UN Doc CCPR/C/39/D/305/1988.</w:t>
      </w:r>
    </w:p>
  </w:endnote>
  <w:endnote w:id="10">
    <w:p w14:paraId="019B5E31" w14:textId="2038E418" w:rsidR="007B241C" w:rsidRPr="00F20A2F" w:rsidRDefault="007B241C" w:rsidP="0069116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C v Australia</w:t>
      </w:r>
      <w:r w:rsidRPr="00F20A2F">
        <w:rPr>
          <w:rFonts w:cs="Open Sans"/>
          <w:bCs/>
          <w:lang w:val="en"/>
        </w:rPr>
        <w:t xml:space="preserve">, </w:t>
      </w:r>
      <w:r w:rsidRPr="00F20A2F">
        <w:rPr>
          <w:rFonts w:cs="Open Sans"/>
        </w:rPr>
        <w:t>UN Doc CCPR/C/76/D/900/1999</w:t>
      </w:r>
      <w:r w:rsidRPr="00F20A2F">
        <w:rPr>
          <w:rFonts w:cs="Open Sans"/>
          <w:color w:val="231F20"/>
        </w:rPr>
        <w:t>;</w:t>
      </w:r>
      <w:r w:rsidRPr="00F20A2F">
        <w:rPr>
          <w:rFonts w:cs="Open Sans"/>
        </w:rPr>
        <w:t xml:space="preserve"> UN Human Rights Committee, </w:t>
      </w:r>
      <w:r w:rsidRPr="00F20A2F">
        <w:rPr>
          <w:rFonts w:cs="Open Sans"/>
          <w:bCs/>
          <w:i/>
        </w:rPr>
        <w:t>Communications Nos. 1255,1256,1259,1260,1266,1268,1270,1288/2004</w:t>
      </w:r>
      <w:r w:rsidRPr="00F20A2F">
        <w:rPr>
          <w:rFonts w:cs="Open Sans"/>
          <w:bCs/>
        </w:rPr>
        <w:t>, 90</w:t>
      </w:r>
      <w:r w:rsidRPr="00F20A2F">
        <w:rPr>
          <w:rFonts w:cs="Open Sans"/>
          <w:bCs/>
          <w:vertAlign w:val="superscript"/>
        </w:rPr>
        <w:t>th</w:t>
      </w:r>
      <w:r w:rsidRPr="00F20A2F">
        <w:rPr>
          <w:rFonts w:cs="Open Sans"/>
          <w:bCs/>
        </w:rPr>
        <w:t xml:space="preserve"> Sess, </w:t>
      </w:r>
      <w:r w:rsidRPr="00F20A2F">
        <w:rPr>
          <w:rFonts w:cs="Open Sans"/>
        </w:rPr>
        <w:t>UN</w:t>
      </w:r>
      <w:r w:rsidRPr="00F20A2F">
        <w:rPr>
          <w:rFonts w:cs="Open Sans"/>
          <w:spacing w:val="-6"/>
        </w:rPr>
        <w:t xml:space="preserve"> </w:t>
      </w:r>
      <w:r w:rsidRPr="00F20A2F">
        <w:rPr>
          <w:rFonts w:cs="Open Sans"/>
        </w:rPr>
        <w:t>Doc</w:t>
      </w:r>
      <w:r w:rsidRPr="00F20A2F">
        <w:rPr>
          <w:rFonts w:cs="Open Sans"/>
          <w:spacing w:val="-6"/>
        </w:rPr>
        <w:t xml:space="preserve"> </w:t>
      </w:r>
      <w:r w:rsidRPr="00F20A2F">
        <w:rPr>
          <w:rFonts w:cs="Open Sans"/>
        </w:rPr>
        <w:t>CCPR/C/90/D/1255/2004 (2007) (‘</w:t>
      </w:r>
      <w:r w:rsidRPr="00F20A2F">
        <w:rPr>
          <w:rFonts w:cs="Open Sans"/>
          <w:i/>
        </w:rPr>
        <w:t>Shams &amp; Ors v Australia</w:t>
      </w:r>
      <w:r w:rsidRPr="00F20A2F">
        <w:rPr>
          <w:rFonts w:cs="Open Sans"/>
        </w:rPr>
        <w:t xml:space="preserve">’); </w:t>
      </w:r>
      <w:r w:rsidRPr="00F20A2F">
        <w:rPr>
          <w:rFonts w:cs="Open Sans"/>
          <w:i/>
        </w:rPr>
        <w:t>Babhan v Australia</w:t>
      </w:r>
      <w:r w:rsidRPr="00F20A2F">
        <w:rPr>
          <w:rFonts w:cs="Open Sans"/>
        </w:rPr>
        <w:t>, CCPR/C/78/D/1014/2001;</w:t>
      </w:r>
      <w:r w:rsidRPr="00F20A2F">
        <w:rPr>
          <w:rFonts w:cs="Open Sans"/>
          <w:i/>
        </w:rPr>
        <w:t xml:space="preserve"> </w:t>
      </w:r>
      <w:r w:rsidRPr="00F20A2F">
        <w:rPr>
          <w:rFonts w:cs="Open Sans"/>
        </w:rPr>
        <w:t xml:space="preserve">UN Human Rights Committee, </w:t>
      </w:r>
      <w:r w:rsidRPr="00F20A2F">
        <w:rPr>
          <w:rFonts w:cs="Open Sans"/>
          <w:bCs/>
          <w:i/>
          <w:lang w:val="en"/>
        </w:rPr>
        <w:t>Communication No. 1050/2002</w:t>
      </w:r>
      <w:r w:rsidRPr="00F20A2F">
        <w:rPr>
          <w:rFonts w:cs="Open Sans"/>
          <w:bCs/>
          <w:lang w:val="en"/>
        </w:rPr>
        <w:t>, 87</w:t>
      </w:r>
      <w:r w:rsidRPr="00F20A2F">
        <w:rPr>
          <w:rFonts w:cs="Open Sans"/>
          <w:bCs/>
          <w:vertAlign w:val="superscript"/>
          <w:lang w:val="en"/>
        </w:rPr>
        <w:t>th</w:t>
      </w:r>
      <w:r w:rsidRPr="00F20A2F">
        <w:rPr>
          <w:rFonts w:cs="Open Sans"/>
          <w:bCs/>
          <w:lang w:val="en"/>
        </w:rPr>
        <w:t xml:space="preserve"> Sess,</w:t>
      </w:r>
      <w:r w:rsidRPr="00F20A2F">
        <w:rPr>
          <w:rFonts w:cs="Open Sans"/>
          <w:lang w:val="en"/>
        </w:rPr>
        <w:t xml:space="preserve"> </w:t>
      </w:r>
      <w:r w:rsidRPr="00F20A2F">
        <w:rPr>
          <w:rFonts w:cs="Open Sans"/>
        </w:rPr>
        <w:t>CCPR/C/87/D/1050/2002 (2006)</w:t>
      </w:r>
      <w:r w:rsidRPr="00F20A2F">
        <w:rPr>
          <w:rFonts w:cs="Open Sans"/>
          <w:i/>
        </w:rPr>
        <w:t xml:space="preserve"> </w:t>
      </w:r>
      <w:r w:rsidRPr="00F20A2F">
        <w:rPr>
          <w:rFonts w:cs="Open Sans"/>
        </w:rPr>
        <w:t>(‘</w:t>
      </w:r>
      <w:r w:rsidRPr="00F20A2F">
        <w:rPr>
          <w:rFonts w:cs="Open Sans"/>
          <w:i/>
        </w:rPr>
        <w:t>D</w:t>
      </w:r>
      <w:r w:rsidRPr="00F20A2F">
        <w:rPr>
          <w:rFonts w:cs="Open Sans"/>
          <w:i/>
          <w:spacing w:val="-6"/>
        </w:rPr>
        <w:t xml:space="preserve"> </w:t>
      </w:r>
      <w:r w:rsidRPr="00F20A2F">
        <w:rPr>
          <w:rFonts w:cs="Open Sans"/>
          <w:i/>
        </w:rPr>
        <w:t>and E and their two children v</w:t>
      </w:r>
      <w:r>
        <w:rPr>
          <w:rFonts w:cs="Open Sans"/>
          <w:i/>
        </w:rPr>
        <w:t xml:space="preserve"> </w:t>
      </w:r>
      <w:r w:rsidRPr="00F20A2F">
        <w:rPr>
          <w:rFonts w:cs="Open Sans"/>
          <w:i/>
          <w:spacing w:val="-38"/>
        </w:rPr>
        <w:t xml:space="preserve"> </w:t>
      </w:r>
      <w:r w:rsidRPr="00F20A2F">
        <w:rPr>
          <w:rFonts w:cs="Open Sans"/>
          <w:i/>
        </w:rPr>
        <w:t>Australia</w:t>
      </w:r>
      <w:r w:rsidRPr="00F20A2F">
        <w:rPr>
          <w:rFonts w:cs="Open Sans"/>
        </w:rPr>
        <w:t>’).</w:t>
      </w:r>
    </w:p>
  </w:endnote>
  <w:endnote w:id="11">
    <w:p w14:paraId="407932A0" w14:textId="77777777" w:rsidR="007B241C" w:rsidRPr="003B400F" w:rsidRDefault="007B241C" w:rsidP="00691160">
      <w:pPr>
        <w:tabs>
          <w:tab w:val="left" w:pos="284"/>
          <w:tab w:val="left" w:pos="567"/>
        </w:tabs>
        <w:spacing w:before="0" w:after="0" w:line="249" w:lineRule="auto"/>
        <w:ind w:left="284" w:right="553" w:hanging="284"/>
        <w:contextualSpacing/>
        <w:rPr>
          <w:rFonts w:cs="Open Sans"/>
          <w:sz w:val="20"/>
        </w:rPr>
      </w:pPr>
      <w:r w:rsidRPr="00AF44D2">
        <w:rPr>
          <w:rStyle w:val="EndnoteReference"/>
          <w:rFonts w:ascii="Open Sans" w:hAnsi="Open Sans" w:cs="Open Sans"/>
        </w:rPr>
        <w:endnoteRef/>
      </w:r>
      <w:r w:rsidRPr="00AF44D2">
        <w:rPr>
          <w:rFonts w:cs="Open Sans"/>
          <w:sz w:val="20"/>
        </w:rPr>
        <w:t xml:space="preserve"> </w:t>
      </w:r>
      <w:r>
        <w:rPr>
          <w:rFonts w:cs="Open Sans"/>
          <w:sz w:val="20"/>
        </w:rPr>
        <w:tab/>
      </w:r>
      <w:r w:rsidRPr="003B400F">
        <w:rPr>
          <w:rFonts w:cs="Open Sans"/>
          <w:sz w:val="20"/>
        </w:rPr>
        <w:t xml:space="preserve">UN Human Rights Committee, </w:t>
      </w:r>
      <w:r w:rsidRPr="003B400F">
        <w:rPr>
          <w:rFonts w:cs="Open Sans"/>
          <w:i/>
          <w:sz w:val="20"/>
        </w:rPr>
        <w:t>General Comment No. 35</w:t>
      </w:r>
      <w:r w:rsidRPr="003B400F">
        <w:rPr>
          <w:rFonts w:cs="Open Sans"/>
          <w:sz w:val="20"/>
        </w:rPr>
        <w:t xml:space="preserve"> </w:t>
      </w:r>
      <w:r w:rsidRPr="003B400F">
        <w:rPr>
          <w:rFonts w:cs="Open Sans"/>
          <w:i/>
          <w:sz w:val="20"/>
        </w:rPr>
        <w:t>Article 9 (Liberty and security of person)</w:t>
      </w:r>
      <w:r w:rsidRPr="003B400F">
        <w:rPr>
          <w:rFonts w:cs="Open Sans"/>
          <w:sz w:val="20"/>
        </w:rPr>
        <w:t>, 112</w:t>
      </w:r>
      <w:r w:rsidRPr="003B400F">
        <w:rPr>
          <w:rFonts w:cs="Open Sans"/>
          <w:sz w:val="20"/>
          <w:vertAlign w:val="superscript"/>
        </w:rPr>
        <w:t>th</w:t>
      </w:r>
      <w:r w:rsidRPr="003B400F">
        <w:rPr>
          <w:rFonts w:cs="Open Sans"/>
          <w:sz w:val="20"/>
        </w:rPr>
        <w:t xml:space="preserve"> Sess, UN Doc CCPR/C/GC/35</w:t>
      </w:r>
      <w:r w:rsidRPr="003B400F">
        <w:rPr>
          <w:rFonts w:cs="Open Sans"/>
          <w:i/>
          <w:sz w:val="20"/>
        </w:rPr>
        <w:t xml:space="preserve"> </w:t>
      </w:r>
      <w:r w:rsidRPr="003B400F">
        <w:rPr>
          <w:rFonts w:cs="Open Sans"/>
          <w:sz w:val="20"/>
        </w:rPr>
        <w:t>(2014) [18], footnotes omitted.</w:t>
      </w:r>
    </w:p>
  </w:endnote>
  <w:endnote w:id="12">
    <w:p w14:paraId="04980024" w14:textId="77777777" w:rsidR="007B241C" w:rsidRPr="003B400F" w:rsidRDefault="007B241C" w:rsidP="00691160">
      <w:pPr>
        <w:tabs>
          <w:tab w:val="left" w:pos="284"/>
          <w:tab w:val="left" w:pos="567"/>
        </w:tabs>
        <w:spacing w:before="0" w:after="0" w:line="249" w:lineRule="auto"/>
        <w:ind w:left="284" w:hanging="284"/>
        <w:contextualSpacing/>
        <w:rPr>
          <w:rFonts w:cs="Open Sans"/>
          <w:sz w:val="20"/>
        </w:rPr>
      </w:pPr>
      <w:r w:rsidRPr="00AF44D2">
        <w:rPr>
          <w:rStyle w:val="EndnoteReference"/>
          <w:rFonts w:ascii="Open Sans" w:hAnsi="Open Sans" w:cs="Open Sans"/>
        </w:rPr>
        <w:endnoteRef/>
      </w:r>
      <w:r w:rsidRPr="00AF44D2">
        <w:rPr>
          <w:rFonts w:cs="Open Sans"/>
          <w:sz w:val="20"/>
        </w:rPr>
        <w:t xml:space="preserve"> </w:t>
      </w:r>
      <w:r>
        <w:rPr>
          <w:rFonts w:cs="Open Sans"/>
          <w:sz w:val="20"/>
        </w:rPr>
        <w:tab/>
      </w:r>
      <w:r w:rsidRPr="003B400F">
        <w:rPr>
          <w:rFonts w:cs="Open Sans"/>
          <w:sz w:val="20"/>
        </w:rPr>
        <w:t xml:space="preserve">UN Human Rights Committee, </w:t>
      </w:r>
      <w:r w:rsidRPr="003B400F">
        <w:rPr>
          <w:rFonts w:cs="Open Sans"/>
          <w:i/>
          <w:sz w:val="20"/>
        </w:rPr>
        <w:t>General Comment 31,</w:t>
      </w:r>
      <w:r w:rsidRPr="003B400F">
        <w:rPr>
          <w:rFonts w:cs="Open Sans"/>
          <w:sz w:val="20"/>
        </w:rPr>
        <w:t xml:space="preserve"> </w:t>
      </w:r>
      <w:r w:rsidRPr="003B400F">
        <w:rPr>
          <w:rFonts w:cs="Open Sans"/>
          <w:i/>
          <w:sz w:val="20"/>
        </w:rPr>
        <w:t>Nature of the General Legal Obligation Imposed on States Parties to the Covenant</w:t>
      </w:r>
      <w:r w:rsidRPr="003B400F">
        <w:rPr>
          <w:rFonts w:cs="Open Sans"/>
          <w:sz w:val="20"/>
        </w:rPr>
        <w:t xml:space="preserve">, UN Doc CCPR/C/21/Rev.1/Add.13 (2004) [6]; </w:t>
      </w:r>
      <w:r w:rsidRPr="003B400F">
        <w:rPr>
          <w:rFonts w:cs="Open Sans"/>
          <w:i/>
          <w:sz w:val="20"/>
        </w:rPr>
        <w:t>Van Alphen v the Netherlands</w:t>
      </w:r>
      <w:r w:rsidRPr="003B400F">
        <w:rPr>
          <w:rFonts w:cs="Open Sans"/>
          <w:spacing w:val="-3"/>
          <w:sz w:val="20"/>
        </w:rPr>
        <w:t xml:space="preserve">, </w:t>
      </w:r>
      <w:r w:rsidRPr="003B400F">
        <w:rPr>
          <w:rFonts w:cs="Open Sans"/>
          <w:sz w:val="20"/>
        </w:rPr>
        <w:t xml:space="preserve">UN Doc CCPR/C/39/D/305/1988; </w:t>
      </w:r>
      <w:r w:rsidRPr="003B400F">
        <w:rPr>
          <w:rFonts w:cs="Open Sans"/>
          <w:i/>
          <w:sz w:val="20"/>
        </w:rPr>
        <w:t>A v Australia</w:t>
      </w:r>
      <w:r w:rsidRPr="003B400F">
        <w:rPr>
          <w:rFonts w:cs="Open Sans"/>
          <w:bCs/>
          <w:sz w:val="20"/>
        </w:rPr>
        <w:t>,</w:t>
      </w:r>
      <w:r w:rsidRPr="003B400F">
        <w:rPr>
          <w:rFonts w:cs="Open Sans"/>
          <w:b/>
          <w:bCs/>
          <w:sz w:val="20"/>
        </w:rPr>
        <w:t xml:space="preserve"> </w:t>
      </w:r>
      <w:r w:rsidRPr="003B400F">
        <w:rPr>
          <w:rFonts w:cs="Open Sans"/>
          <w:sz w:val="20"/>
        </w:rPr>
        <w:t>UN</w:t>
      </w:r>
      <w:r w:rsidRPr="003B400F">
        <w:rPr>
          <w:rFonts w:cs="Open Sans"/>
          <w:spacing w:val="-4"/>
          <w:sz w:val="20"/>
        </w:rPr>
        <w:t xml:space="preserve"> </w:t>
      </w:r>
      <w:r w:rsidRPr="003B400F">
        <w:rPr>
          <w:rFonts w:cs="Open Sans"/>
          <w:sz w:val="20"/>
        </w:rPr>
        <w:t>Doc</w:t>
      </w:r>
      <w:r w:rsidRPr="003B400F">
        <w:rPr>
          <w:rFonts w:cs="Open Sans"/>
          <w:spacing w:val="-4"/>
          <w:sz w:val="20"/>
        </w:rPr>
        <w:t xml:space="preserve"> </w:t>
      </w:r>
      <w:r w:rsidRPr="003B400F">
        <w:rPr>
          <w:rFonts w:cs="Open Sans"/>
          <w:sz w:val="20"/>
        </w:rPr>
        <w:t xml:space="preserve">CCPR/C/59/D/560/1993; </w:t>
      </w:r>
      <w:r w:rsidRPr="003B400F">
        <w:rPr>
          <w:rFonts w:cs="Open Sans"/>
          <w:i/>
          <w:sz w:val="20"/>
        </w:rPr>
        <w:t>C v Australia</w:t>
      </w:r>
      <w:r w:rsidRPr="003B400F">
        <w:rPr>
          <w:rFonts w:cs="Open Sans"/>
          <w:bCs/>
          <w:sz w:val="20"/>
          <w:lang w:val="en"/>
        </w:rPr>
        <w:t xml:space="preserve">, </w:t>
      </w:r>
      <w:r w:rsidRPr="003B400F">
        <w:rPr>
          <w:rFonts w:cs="Open Sans"/>
          <w:sz w:val="20"/>
        </w:rPr>
        <w:t xml:space="preserve">UN Doc CCPR/C/76/D/900/1999. </w:t>
      </w:r>
    </w:p>
  </w:endnote>
  <w:endnote w:id="13">
    <w:p w14:paraId="564A261D" w14:textId="0CE526D7" w:rsidR="007B241C" w:rsidRPr="00F20A2F" w:rsidRDefault="007B241C" w:rsidP="0069116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The Hon Peter Dutton MP, Minister for Immigration and Border Protection, </w:t>
      </w:r>
      <w:r w:rsidRPr="00F20A2F">
        <w:rPr>
          <w:rFonts w:cs="Open Sans"/>
          <w:i/>
        </w:rPr>
        <w:t>Minister for Immigration and Border Protection’s Residence Determination Power under section 197AB and section 197AD of the Migration Act 1958</w:t>
      </w:r>
      <w:r w:rsidRPr="00F20A2F">
        <w:rPr>
          <w:rFonts w:cs="Open Sans"/>
        </w:rPr>
        <w:t xml:space="preserve">, 29 March 2015. The guidelines are incorporated into the Department’s Procedures Advice Manual. </w:t>
      </w:r>
    </w:p>
  </w:endnote>
  <w:endnote w:id="14">
    <w:p w14:paraId="75A519D9" w14:textId="41932717" w:rsidR="007B241C" w:rsidRPr="00F20A2F" w:rsidRDefault="007B241C" w:rsidP="00DF3E0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The Hon Chris Bowen MP, Minister for Immigration and Citizenship, </w:t>
      </w:r>
      <w:r w:rsidRPr="00F20A2F">
        <w:rPr>
          <w:rFonts w:cs="Open Sans"/>
          <w:i/>
        </w:rPr>
        <w:t>Minister’s guidelines on ministerial powers (s345, s 351, s 417 and s 501J)</w:t>
      </w:r>
      <w:r w:rsidRPr="00F20A2F">
        <w:rPr>
          <w:rFonts w:cs="Open Sans"/>
        </w:rPr>
        <w:t xml:space="preserve">, 24 March 2012 (reissued on 10 October 2015). The guidelines are incorporated into the Department’s Procedures Advice Manual. </w:t>
      </w:r>
    </w:p>
  </w:endnote>
  <w:endnote w:id="15">
    <w:p w14:paraId="347AF189" w14:textId="1D5052A3"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See, eg, UN Human Rights Committee, </w:t>
      </w:r>
      <w:r w:rsidRPr="00F20A2F">
        <w:rPr>
          <w:rFonts w:cs="Open Sans"/>
          <w:i/>
        </w:rPr>
        <w:t xml:space="preserve">General Comment 16 </w:t>
      </w:r>
      <w:r w:rsidRPr="00F20A2F">
        <w:rPr>
          <w:rFonts w:cs="Open Sans"/>
        </w:rPr>
        <w:t>(Article 17: The right to respect of privacy, family, home and correspondence, and protection of honour and reputation)</w:t>
      </w:r>
      <w:r>
        <w:rPr>
          <w:rFonts w:cs="Open Sans"/>
        </w:rPr>
        <w:t xml:space="preserve">, </w:t>
      </w:r>
      <w:r w:rsidRPr="00F20A2F">
        <w:rPr>
          <w:rFonts w:cs="Open Sans"/>
        </w:rPr>
        <w:t xml:space="preserve">[5]; UN Human Rights Committee, </w:t>
      </w:r>
      <w:r w:rsidRPr="00F20A2F">
        <w:rPr>
          <w:rFonts w:cs="Open Sans"/>
          <w:i/>
        </w:rPr>
        <w:t xml:space="preserve">General Comment 19 </w:t>
      </w:r>
      <w:r w:rsidRPr="00F20A2F">
        <w:rPr>
          <w:rFonts w:cs="Open Sans"/>
        </w:rPr>
        <w:t>(Article 23: Protection of the Family, the Right to Marriage and Equality of the Spouses)</w:t>
      </w:r>
      <w:r>
        <w:rPr>
          <w:rFonts w:cs="Open Sans"/>
        </w:rPr>
        <w:t xml:space="preserve">, </w:t>
      </w:r>
      <w:r w:rsidRPr="00F20A2F">
        <w:rPr>
          <w:rFonts w:cs="Open Sans"/>
        </w:rPr>
        <w:t>[2].</w:t>
      </w:r>
    </w:p>
  </w:endnote>
  <w:endnote w:id="16">
    <w:p w14:paraId="6B90E46A" w14:textId="084FC76C"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UN Human Rights Committee, </w:t>
      </w:r>
      <w:r w:rsidRPr="00F20A2F">
        <w:rPr>
          <w:rFonts w:cs="Open Sans"/>
          <w:i/>
        </w:rPr>
        <w:t xml:space="preserve">General Comment 19 </w:t>
      </w:r>
      <w:r w:rsidRPr="00F20A2F">
        <w:rPr>
          <w:rFonts w:cs="Open Sans"/>
        </w:rPr>
        <w:t>(Article 23: Protection of the Family, the Right to Marriage and Equality of the Spouses)</w:t>
      </w:r>
      <w:r>
        <w:rPr>
          <w:rFonts w:cs="Open Sans"/>
        </w:rPr>
        <w:t xml:space="preserve">, </w:t>
      </w:r>
      <w:r w:rsidRPr="00F20A2F">
        <w:rPr>
          <w:rFonts w:cs="Open Sans"/>
        </w:rPr>
        <w:t>[2]</w:t>
      </w:r>
      <w:r>
        <w:rPr>
          <w:rFonts w:cs="Open Sans"/>
        </w:rPr>
        <w:t>.</w:t>
      </w:r>
    </w:p>
  </w:endnote>
  <w:endnote w:id="17">
    <w:p w14:paraId="3097B9EF" w14:textId="77777777"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S Joseph, J Shultz &amp; M Castan, </w:t>
      </w:r>
      <w:r w:rsidRPr="00F20A2F">
        <w:rPr>
          <w:rFonts w:cs="Open Sans"/>
          <w:i/>
        </w:rPr>
        <w:t xml:space="preserve">The International Covenant on Civil and Political Rights: Cases, Materials and Commentary </w:t>
      </w:r>
      <w:r w:rsidRPr="00F20A2F">
        <w:rPr>
          <w:rFonts w:cs="Open Sans"/>
        </w:rPr>
        <w:t xml:space="preserve">(2004) 589. </w:t>
      </w:r>
    </w:p>
  </w:endnote>
  <w:endnote w:id="18">
    <w:p w14:paraId="47C4D061" w14:textId="77777777" w:rsidR="007B241C" w:rsidRPr="00B82A2E" w:rsidRDefault="007B241C" w:rsidP="00E425C0">
      <w:pPr>
        <w:pStyle w:val="EndnoteText"/>
        <w:tabs>
          <w:tab w:val="left" w:pos="284"/>
        </w:tabs>
        <w:ind w:left="284" w:hanging="284"/>
        <w:rPr>
          <w:rFonts w:cs="Open Sans"/>
          <w:lang w:val="it-IT"/>
        </w:rPr>
      </w:pPr>
      <w:r w:rsidRPr="00AF44D2">
        <w:rPr>
          <w:rStyle w:val="EndnoteReference"/>
          <w:rFonts w:ascii="Open Sans" w:hAnsi="Open Sans" w:cs="Open Sans"/>
        </w:rPr>
        <w:endnoteRef/>
      </w:r>
      <w:r w:rsidRPr="00B82A2E">
        <w:rPr>
          <w:rFonts w:cs="Open Sans"/>
          <w:lang w:val="it-IT"/>
        </w:rPr>
        <w:t xml:space="preserve"> </w:t>
      </w:r>
      <w:r w:rsidRPr="00B82A2E">
        <w:rPr>
          <w:rFonts w:cs="Open Sans"/>
          <w:lang w:val="it-IT"/>
        </w:rPr>
        <w:tab/>
      </w:r>
      <w:r w:rsidRPr="00B82A2E">
        <w:rPr>
          <w:rFonts w:cs="Open Sans"/>
          <w:i/>
          <w:lang w:val="it-IT"/>
        </w:rPr>
        <w:t>Communication No 417/1990</w:t>
      </w:r>
      <w:r w:rsidRPr="00B82A2E">
        <w:rPr>
          <w:rFonts w:cs="Open Sans"/>
          <w:lang w:val="it-IT"/>
        </w:rPr>
        <w:t>, UN Doc CCPR/C/51/D/417/1990(1994).</w:t>
      </w:r>
    </w:p>
  </w:endnote>
  <w:endnote w:id="19">
    <w:p w14:paraId="647AE8CF" w14:textId="31F97127"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Ibid [10.2]. See also </w:t>
      </w:r>
      <w:r w:rsidRPr="00F20A2F">
        <w:rPr>
          <w:rFonts w:cs="Open Sans"/>
          <w:i/>
        </w:rPr>
        <w:t>AS v Canada, Communication No 68/1980</w:t>
      </w:r>
      <w:r w:rsidRPr="00F20A2F">
        <w:rPr>
          <w:rFonts w:cs="Open Sans"/>
        </w:rPr>
        <w:t>, UN Doc CCPR/C/OP/1</w:t>
      </w:r>
      <w:r>
        <w:rPr>
          <w:rFonts w:cs="Open Sans"/>
        </w:rPr>
        <w:t xml:space="preserve">, </w:t>
      </w:r>
      <w:r w:rsidRPr="00F20A2F">
        <w:rPr>
          <w:rFonts w:cs="Open Sans"/>
        </w:rPr>
        <w:t>27 (1985), where the UN Human Rights Committee did not accept that the author and her adopted daughter met the definition of ‘family’ because they had not lived together as a family except for a period of 2 years approximately 17 years prior.</w:t>
      </w:r>
    </w:p>
  </w:endnote>
  <w:endnote w:id="20">
    <w:p w14:paraId="5A4249A7" w14:textId="5E306489"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 xml:space="preserve">QKVH v Minister for Home Affairs </w:t>
      </w:r>
      <w:r w:rsidRPr="00F20A2F">
        <w:rPr>
          <w:rFonts w:cs="Open Sans"/>
        </w:rPr>
        <w:t>[2018] AATA 1855</w:t>
      </w:r>
      <w:r>
        <w:rPr>
          <w:rFonts w:cs="Open Sans"/>
        </w:rPr>
        <w:t xml:space="preserve">, </w:t>
      </w:r>
      <w:r w:rsidRPr="00F20A2F">
        <w:rPr>
          <w:rFonts w:cs="Open Sans"/>
        </w:rPr>
        <w:t>[72]</w:t>
      </w:r>
      <w:r>
        <w:rPr>
          <w:rFonts w:cs="Open Sans"/>
        </w:rPr>
        <w:t>.</w:t>
      </w:r>
    </w:p>
  </w:endnote>
  <w:endnote w:id="21">
    <w:p w14:paraId="3C10808F" w14:textId="42A94D1A"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 xml:space="preserve">Mauritian Women v Mauritius, </w:t>
      </w:r>
      <w:r w:rsidRPr="00F20A2F">
        <w:rPr>
          <w:rFonts w:cs="Open Sans"/>
        </w:rPr>
        <w:t>Communication No 35 of 1978, UN Doc CCPR/C/OP/1 at 67 (1985)</w:t>
      </w:r>
      <w:r>
        <w:rPr>
          <w:rFonts w:cs="Open Sans"/>
        </w:rPr>
        <w:t xml:space="preserve">, </w:t>
      </w:r>
      <w:r w:rsidRPr="00F20A2F">
        <w:rPr>
          <w:rFonts w:cs="Open Sans"/>
        </w:rPr>
        <w:t>[9.2(b)].</w:t>
      </w:r>
    </w:p>
  </w:endnote>
  <w:endnote w:id="22">
    <w:p w14:paraId="6020AF36" w14:textId="73FFBEE0"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Human Rights and Equal Opportunity Commission, </w:t>
      </w:r>
      <w:r w:rsidRPr="00F20A2F">
        <w:rPr>
          <w:rFonts w:cs="Open Sans"/>
          <w:i/>
        </w:rPr>
        <w:t xml:space="preserve">Nguyen and Okoye v Commonwealth (Department of Immigration and Multicultural Affairs) and GSL (Australia) Pty Ltd </w:t>
      </w:r>
      <w:r w:rsidRPr="00F20A2F">
        <w:rPr>
          <w:rFonts w:cs="Open Sans"/>
        </w:rPr>
        <w:t>[2008] AusHRC 39 (1 January 2008), [95]-[97].</w:t>
      </w:r>
    </w:p>
  </w:endnote>
  <w:endnote w:id="23">
    <w:p w14:paraId="60EE8C79" w14:textId="60B5FD8C"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 xml:space="preserve">UN Human Rights Committee, </w:t>
      </w:r>
      <w:r w:rsidRPr="00F20A2F">
        <w:rPr>
          <w:rFonts w:cs="Open Sans"/>
          <w:i/>
        </w:rPr>
        <w:t xml:space="preserve">General Comment 16 </w:t>
      </w:r>
      <w:r w:rsidRPr="00F20A2F">
        <w:rPr>
          <w:rFonts w:cs="Open Sans"/>
        </w:rPr>
        <w:t>(1988)</w:t>
      </w:r>
      <w:r>
        <w:rPr>
          <w:rFonts w:cs="Open Sans"/>
        </w:rPr>
        <w:t xml:space="preserve">, </w:t>
      </w:r>
      <w:r w:rsidRPr="00F20A2F">
        <w:rPr>
          <w:rFonts w:cs="Open Sans"/>
        </w:rPr>
        <w:t>[4].</w:t>
      </w:r>
    </w:p>
  </w:endnote>
  <w:endnote w:id="24">
    <w:p w14:paraId="3A8FE057" w14:textId="77777777"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S Joseph, J Schultz &amp; M Castan, The International Covenant on Civil and Political Rights: Cases, Materials and Commentary (2004), 482-3.</w:t>
      </w:r>
    </w:p>
  </w:endnote>
  <w:endnote w:id="25">
    <w:p w14:paraId="3BDF969C" w14:textId="77777777" w:rsidR="007B241C" w:rsidRPr="00F20A2F" w:rsidRDefault="007B241C" w:rsidP="00FC24B4">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Communication No 488 of 1992, UN Doc CCPR/C/D/488/1992</w:t>
      </w:r>
      <w:r>
        <w:rPr>
          <w:rFonts w:cs="Open Sans"/>
        </w:rPr>
        <w:t xml:space="preserve">, </w:t>
      </w:r>
      <w:r w:rsidRPr="00F20A2F">
        <w:rPr>
          <w:rFonts w:cs="Open Sans"/>
        </w:rPr>
        <w:t>[8.3]</w:t>
      </w:r>
      <w:r>
        <w:rPr>
          <w:rFonts w:cs="Open Sans"/>
        </w:rPr>
        <w:t>.</w:t>
      </w:r>
    </w:p>
  </w:endnote>
  <w:endnote w:id="26">
    <w:p w14:paraId="1BA5BF95" w14:textId="3768F449" w:rsidR="007B241C" w:rsidRPr="00F20A2F" w:rsidRDefault="007B241C" w:rsidP="00E425C0">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 xml:space="preserve">QKVH v Minister for Home Affairs </w:t>
      </w:r>
      <w:r w:rsidRPr="00F20A2F">
        <w:rPr>
          <w:rFonts w:cs="Open Sans"/>
        </w:rPr>
        <w:t>[2018] AATA 1855</w:t>
      </w:r>
      <w:r>
        <w:rPr>
          <w:rFonts w:cs="Open Sans"/>
        </w:rPr>
        <w:t xml:space="preserve">, </w:t>
      </w:r>
      <w:r w:rsidRPr="00F20A2F">
        <w:rPr>
          <w:rFonts w:cs="Open Sans"/>
        </w:rPr>
        <w:t>[72]</w:t>
      </w:r>
      <w:r>
        <w:rPr>
          <w:rFonts w:cs="Open Sans"/>
        </w:rPr>
        <w:t>.</w:t>
      </w:r>
    </w:p>
  </w:endnote>
  <w:endnote w:id="27">
    <w:p w14:paraId="6F1B3152" w14:textId="32F077B5" w:rsidR="007B241C" w:rsidRPr="00F20A2F" w:rsidRDefault="007B241C" w:rsidP="00131986">
      <w:pPr>
        <w:pStyle w:val="EndnoteText"/>
        <w:tabs>
          <w:tab w:val="left" w:pos="284"/>
        </w:tabs>
        <w:ind w:left="284" w:hanging="284"/>
        <w:rPr>
          <w:rFonts w:cs="Open Sans"/>
        </w:rPr>
      </w:pPr>
      <w:r w:rsidRPr="00AF44D2">
        <w:rPr>
          <w:rStyle w:val="EndnoteReference"/>
          <w:rFonts w:ascii="Open Sans" w:hAnsi="Open Sans" w:cs="Open Sans"/>
        </w:rPr>
        <w:endnoteRef/>
      </w:r>
      <w:r>
        <w:rPr>
          <w:rFonts w:cs="Open Sans"/>
        </w:rPr>
        <w:t xml:space="preserve"> </w:t>
      </w:r>
      <w:r>
        <w:rPr>
          <w:rFonts w:cs="Open Sans"/>
        </w:rPr>
        <w:tab/>
      </w:r>
      <w:r w:rsidRPr="00F20A2F">
        <w:rPr>
          <w:rFonts w:cs="Open Sans"/>
        </w:rPr>
        <w:t xml:space="preserve">UN Human Rights Committee, </w:t>
      </w:r>
      <w:r w:rsidRPr="00F20A2F">
        <w:rPr>
          <w:rFonts w:cs="Open Sans"/>
          <w:i/>
        </w:rPr>
        <w:t>General comment No. 21: Article 10 (Humane treatment of persons deprived of their liberty)</w:t>
      </w:r>
      <w:r w:rsidRPr="00F20A2F">
        <w:rPr>
          <w:rFonts w:cs="Open Sans"/>
        </w:rPr>
        <w:t>, [3].</w:t>
      </w:r>
    </w:p>
  </w:endnote>
  <w:endnote w:id="28">
    <w:p w14:paraId="01400756" w14:textId="77777777" w:rsidR="007B241C" w:rsidRPr="00F20A2F" w:rsidRDefault="007B241C" w:rsidP="00131986">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i/>
        </w:rPr>
        <w:t>Walker and Richards v Jamaica</w:t>
      </w:r>
      <w:r w:rsidRPr="00F20A2F">
        <w:rPr>
          <w:rFonts w:cs="Open Sans"/>
        </w:rPr>
        <w:t xml:space="preserve">, </w:t>
      </w:r>
      <w:r w:rsidRPr="00F20A2F">
        <w:rPr>
          <w:rFonts w:cs="Open Sans"/>
          <w:bCs/>
          <w:iCs/>
        </w:rPr>
        <w:t>Communication No 529/1993,</w:t>
      </w:r>
      <w:r w:rsidRPr="00F20A2F">
        <w:rPr>
          <w:rFonts w:cs="Open Sans"/>
          <w:b/>
          <w:bCs/>
          <w:iCs/>
        </w:rPr>
        <w:t xml:space="preserve"> </w:t>
      </w:r>
      <w:r w:rsidRPr="00F20A2F">
        <w:rPr>
          <w:rFonts w:cs="Open Sans"/>
        </w:rPr>
        <w:t xml:space="preserve">UN Doc CCPR/C/60/D/639/1995; </w:t>
      </w:r>
      <w:r w:rsidRPr="00F20A2F">
        <w:rPr>
          <w:rFonts w:cs="Open Sans"/>
          <w:i/>
        </w:rPr>
        <w:t>Kennedy v Trinidad and Tobago</w:t>
      </w:r>
      <w:r w:rsidRPr="00F20A2F">
        <w:rPr>
          <w:rFonts w:cs="Open Sans"/>
          <w:bCs/>
          <w:iCs/>
        </w:rPr>
        <w:t>, Communication No 845/1998,</w:t>
      </w:r>
      <w:r w:rsidRPr="00F20A2F">
        <w:rPr>
          <w:rFonts w:cs="Open Sans"/>
        </w:rPr>
        <w:t xml:space="preserve"> UN Doc CCPR/C/74/D/845/1998; </w:t>
      </w:r>
      <w:r w:rsidRPr="00F20A2F">
        <w:rPr>
          <w:rFonts w:cs="Open Sans"/>
          <w:i/>
        </w:rPr>
        <w:t>R.S. v Trinidad and Tobago</w:t>
      </w:r>
      <w:r w:rsidRPr="00F20A2F">
        <w:rPr>
          <w:rFonts w:cs="Open Sans"/>
        </w:rPr>
        <w:t xml:space="preserve">, </w:t>
      </w:r>
      <w:r w:rsidRPr="00F20A2F">
        <w:rPr>
          <w:rFonts w:cs="Open Sans"/>
          <w:bCs/>
          <w:iCs/>
        </w:rPr>
        <w:t>Communication No 684/1996,</w:t>
      </w:r>
      <w:r w:rsidRPr="00F20A2F">
        <w:rPr>
          <w:rFonts w:cs="Open Sans"/>
          <w:bCs/>
          <w:i/>
          <w:iCs/>
        </w:rPr>
        <w:t xml:space="preserve"> </w:t>
      </w:r>
      <w:r w:rsidRPr="00F20A2F">
        <w:rPr>
          <w:rFonts w:cs="Open Sans"/>
          <w:bCs/>
          <w:iCs/>
        </w:rPr>
        <w:t xml:space="preserve">UN Doc </w:t>
      </w:r>
      <w:r w:rsidRPr="00F20A2F">
        <w:rPr>
          <w:rFonts w:cs="Open Sans"/>
        </w:rPr>
        <w:t>CCPR/C/74/D/684/1996.</w:t>
      </w:r>
    </w:p>
  </w:endnote>
  <w:endnote w:id="29">
    <w:p w14:paraId="10661B21" w14:textId="77777777" w:rsidR="007B241C" w:rsidRPr="00F20A2F" w:rsidRDefault="007B241C" w:rsidP="00131986">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[2007] NZSC 70.</w:t>
      </w:r>
    </w:p>
  </w:endnote>
  <w:endnote w:id="30">
    <w:p w14:paraId="382B6CE6" w14:textId="77777777" w:rsidR="007B241C" w:rsidRPr="00F20A2F" w:rsidRDefault="007B241C" w:rsidP="00131986">
      <w:pPr>
        <w:pStyle w:val="EndnoteText"/>
        <w:tabs>
          <w:tab w:val="left" w:pos="284"/>
        </w:tabs>
        <w:ind w:left="284" w:hanging="284"/>
        <w:rPr>
          <w:rFonts w:cs="Open Sans"/>
        </w:rPr>
      </w:pPr>
      <w:r w:rsidRPr="00AF44D2">
        <w:rPr>
          <w:rStyle w:val="EndnoteReference"/>
          <w:rFonts w:ascii="Open Sans" w:hAnsi="Open Sans" w:cs="Open Sans"/>
        </w:rPr>
        <w:endnoteRef/>
      </w:r>
      <w:r w:rsidRPr="00F20A2F">
        <w:rPr>
          <w:rFonts w:cs="Open Sans"/>
        </w:rPr>
        <w:t xml:space="preserve"> </w:t>
      </w:r>
      <w:r>
        <w:rPr>
          <w:rFonts w:cs="Open Sans"/>
        </w:rPr>
        <w:tab/>
      </w:r>
      <w:r w:rsidRPr="00F20A2F">
        <w:rPr>
          <w:rFonts w:cs="Open Sans"/>
        </w:rPr>
        <w:t>[2007] NZSC 70, [79].</w:t>
      </w:r>
    </w:p>
  </w:endnote>
  <w:endnote w:id="31">
    <w:p w14:paraId="21612C5F" w14:textId="77777777" w:rsidR="007B241C" w:rsidRPr="00E23403" w:rsidRDefault="007B241C" w:rsidP="00FA2C9C">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cs="Open Sans"/>
          <w:i/>
        </w:rPr>
        <w:t>Australian Human Rights Commission Act 1986 (Cth) s</w:t>
      </w:r>
      <w:r w:rsidRPr="00E23403">
        <w:rPr>
          <w:rStyle w:val="EndnoteReference"/>
          <w:rFonts w:ascii="Open Sans" w:hAnsi="Open Sans" w:cs="Open Sans"/>
        </w:rPr>
        <w:t xml:space="preserve"> </w:t>
      </w:r>
      <w:r w:rsidRPr="00E23403">
        <w:rPr>
          <w:rFonts w:cs="Open Sans"/>
        </w:rPr>
        <w:t>29(2)(a).</w:t>
      </w:r>
    </w:p>
  </w:endnote>
  <w:endnote w:id="32">
    <w:p w14:paraId="27EFEFF6" w14:textId="77777777" w:rsidR="007B241C" w:rsidRPr="00E23403" w:rsidRDefault="007B241C" w:rsidP="00FA2C9C">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cs="Open Sans"/>
          <w:i/>
        </w:rPr>
        <w:t xml:space="preserve">Australian Human Rights Commission Act 1986 (Cth) </w:t>
      </w:r>
      <w:r w:rsidRPr="00E23403">
        <w:rPr>
          <w:rFonts w:cs="Open Sans"/>
        </w:rPr>
        <w:t>s 29(2)(b).</w:t>
      </w:r>
    </w:p>
  </w:endnote>
  <w:endnote w:id="33">
    <w:p w14:paraId="3AD573BA" w14:textId="77777777" w:rsidR="007B241C" w:rsidRPr="00E23403" w:rsidRDefault="007B241C" w:rsidP="00FA2C9C">
      <w:pPr>
        <w:pStyle w:val="EndnoteText"/>
        <w:tabs>
          <w:tab w:val="left" w:pos="284"/>
        </w:tabs>
        <w:ind w:left="284" w:hanging="284"/>
        <w:rPr>
          <w:rFont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cs="Open Sans"/>
          <w:i/>
        </w:rPr>
        <w:t>Australian Human Rights Commission Act 1986</w:t>
      </w:r>
      <w:r w:rsidRPr="00E23403">
        <w:rPr>
          <w:rFonts w:cs="Open Sans"/>
        </w:rPr>
        <w:t xml:space="preserve"> (Cth) s 29(2)(c).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Lato Light">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3A62" w14:textId="77777777" w:rsidR="007B241C" w:rsidRPr="00B7344A" w:rsidRDefault="007B241C" w:rsidP="00CE7182">
    <w:pPr>
      <w:pStyle w:val="Footer"/>
      <w:spacing w:before="0"/>
      <w:rPr>
        <w:rFonts w:cs="Open Sans"/>
      </w:rPr>
    </w:pPr>
    <w:r w:rsidRPr="00B7344A">
      <w:rPr>
        <w:rFonts w:cs="Open Sans"/>
      </w:rPr>
      <w:fldChar w:fldCharType="begin"/>
    </w:r>
    <w:r w:rsidRPr="00B7344A">
      <w:rPr>
        <w:rFonts w:cs="Open Sans"/>
      </w:rPr>
      <w:instrText xml:space="preserve"> PAGE   \* MERGEFORMAT </w:instrText>
    </w:r>
    <w:r w:rsidRPr="00B7344A">
      <w:rPr>
        <w:rFonts w:cs="Open Sans"/>
      </w:rPr>
      <w:fldChar w:fldCharType="separate"/>
    </w:r>
    <w:r>
      <w:rPr>
        <w:rFonts w:cs="Open Sans"/>
        <w:noProof/>
      </w:rPr>
      <w:t>183</w:t>
    </w:r>
    <w:r w:rsidRPr="00B7344A">
      <w:rPr>
        <w:rFont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90A9B" w14:textId="77777777" w:rsidR="00B17367" w:rsidRDefault="00B17367" w:rsidP="00F14C6D">
      <w:r>
        <w:separator/>
      </w:r>
    </w:p>
  </w:footnote>
  <w:footnote w:type="continuationSeparator" w:id="0">
    <w:p w14:paraId="411B6A6B" w14:textId="77777777" w:rsidR="00B17367" w:rsidRDefault="00B17367" w:rsidP="00F14C6D">
      <w:r>
        <w:continuationSeparator/>
      </w:r>
    </w:p>
  </w:footnote>
  <w:footnote w:type="continuationNotice" w:id="1">
    <w:p w14:paraId="2D87C7FC" w14:textId="77777777" w:rsidR="00B17367" w:rsidRDefault="00B1736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2" w15:restartNumberingAfterBreak="0">
    <w:nsid w:val="0E050F50"/>
    <w:multiLevelType w:val="hybridMultilevel"/>
    <w:tmpl w:val="1FA458E6"/>
    <w:styleLink w:val="ImportedStyle30"/>
    <w:lvl w:ilvl="0" w:tplc="DB445D1A">
      <w:start w:val="1"/>
      <w:numFmt w:val="bullet"/>
      <w:lvlText w:val="•"/>
      <w:lvlJc w:val="left"/>
      <w:pPr>
        <w:tabs>
          <w:tab w:val="left" w:pos="1440"/>
        </w:tabs>
        <w:ind w:left="432" w:hanging="43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286292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E4C5C44">
      <w:start w:val="1"/>
      <w:numFmt w:val="bullet"/>
      <w:lvlText w:val="·"/>
      <w:lvlJc w:val="left"/>
      <w:pPr>
        <w:tabs>
          <w:tab w:val="left" w:pos="144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E04A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440228">
      <w:start w:val="1"/>
      <w:numFmt w:val="bullet"/>
      <w:lvlText w:val="·"/>
      <w:lvlJc w:val="left"/>
      <w:pPr>
        <w:tabs>
          <w:tab w:val="left" w:pos="1440"/>
        </w:tabs>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36C2E76">
      <w:start w:val="1"/>
      <w:numFmt w:val="bullet"/>
      <w:lvlText w:val="·"/>
      <w:lvlJc w:val="left"/>
      <w:pPr>
        <w:tabs>
          <w:tab w:val="left" w:pos="1440"/>
        </w:tabs>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1CB834">
      <w:start w:val="1"/>
      <w:numFmt w:val="bullet"/>
      <w:lvlText w:val="·"/>
      <w:lvlJc w:val="left"/>
      <w:pPr>
        <w:tabs>
          <w:tab w:val="left" w:pos="14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C4BFC">
      <w:start w:val="1"/>
      <w:numFmt w:val="bullet"/>
      <w:lvlText w:val="·"/>
      <w:lvlJc w:val="left"/>
      <w:pPr>
        <w:tabs>
          <w:tab w:val="left" w:pos="1440"/>
        </w:tabs>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E6ADEA2">
      <w:start w:val="1"/>
      <w:numFmt w:val="bullet"/>
      <w:lvlText w:val="·"/>
      <w:lvlJc w:val="left"/>
      <w:pPr>
        <w:tabs>
          <w:tab w:val="left" w:pos="1440"/>
        </w:tabs>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2C4EEF"/>
    <w:multiLevelType w:val="hybridMultilevel"/>
    <w:tmpl w:val="B78644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C1B7FCD"/>
    <w:multiLevelType w:val="hybridMultilevel"/>
    <w:tmpl w:val="63620CA0"/>
    <w:styleLink w:val="ImportedStyle3"/>
    <w:lvl w:ilvl="0" w:tplc="C66EF07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9029150">
      <w:start w:val="1"/>
      <w:numFmt w:val="decimal"/>
      <w:lvlText w:val="%2."/>
      <w:lvlJc w:val="left"/>
      <w:pPr>
        <w:tabs>
          <w:tab w:val="left" w:pos="720"/>
        </w:tabs>
        <w:ind w:left="1440" w:hanging="517"/>
      </w:pPr>
      <w:rPr>
        <w:rFonts w:hAnsi="Arial Unicode MS"/>
        <w:caps w:val="0"/>
        <w:smallCaps w:val="0"/>
        <w:strike w:val="0"/>
        <w:dstrike w:val="0"/>
        <w:outline w:val="0"/>
        <w:emboss w:val="0"/>
        <w:imprint w:val="0"/>
        <w:spacing w:val="0"/>
        <w:w w:val="100"/>
        <w:kern w:val="0"/>
        <w:position w:val="0"/>
        <w:highlight w:val="none"/>
        <w:vertAlign w:val="baseline"/>
      </w:rPr>
    </w:lvl>
    <w:lvl w:ilvl="2" w:tplc="49BAB57E">
      <w:start w:val="1"/>
      <w:numFmt w:val="lowerRoman"/>
      <w:lvlText w:val="%3."/>
      <w:lvlJc w:val="left"/>
      <w:pPr>
        <w:tabs>
          <w:tab w:val="left" w:pos="72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1442DD0">
      <w:start w:val="1"/>
      <w:numFmt w:val="lowerRoman"/>
      <w:lvlText w:val="%4."/>
      <w:lvlJc w:val="left"/>
      <w:pPr>
        <w:tabs>
          <w:tab w:val="left" w:pos="720"/>
        </w:tabs>
        <w:ind w:left="2880"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EDF09F1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1AE6CE">
      <w:start w:val="1"/>
      <w:numFmt w:val="lowerRoman"/>
      <w:lvlText w:val="%6."/>
      <w:lvlJc w:val="left"/>
      <w:pPr>
        <w:tabs>
          <w:tab w:val="left" w:pos="72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3B8A9B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04DC0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F21F14">
      <w:start w:val="1"/>
      <w:numFmt w:val="lowerRoman"/>
      <w:lvlText w:val="%9."/>
      <w:lvlJc w:val="left"/>
      <w:pPr>
        <w:tabs>
          <w:tab w:val="left" w:pos="72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CB237C"/>
    <w:multiLevelType w:val="hybridMultilevel"/>
    <w:tmpl w:val="EBFE1022"/>
    <w:lvl w:ilvl="0" w:tplc="0C090001">
      <w:start w:val="1"/>
      <w:numFmt w:val="bullet"/>
      <w:pStyle w:val="SubmissionNormal"/>
      <w:lvlText w:val=""/>
      <w:lvlJc w:val="left"/>
      <w:pPr>
        <w:tabs>
          <w:tab w:val="num" w:pos="1919"/>
        </w:tabs>
        <w:ind w:left="1919" w:hanging="360"/>
      </w:pPr>
      <w:rPr>
        <w:rFonts w:ascii="Symbol" w:hAnsi="Symbol" w:hint="default"/>
        <w:b w:val="0"/>
      </w:rPr>
    </w:lvl>
    <w:lvl w:ilvl="1" w:tplc="FFFFFFFF">
      <w:start w:val="1"/>
      <w:numFmt w:val="lowerLetter"/>
      <w:lvlText w:val="%2."/>
      <w:lvlJc w:val="left"/>
      <w:pPr>
        <w:tabs>
          <w:tab w:val="num" w:pos="119"/>
        </w:tabs>
        <w:ind w:left="119" w:hanging="360"/>
      </w:pPr>
      <w:rPr>
        <w:rFonts w:cs="Times New Roman"/>
      </w:rPr>
    </w:lvl>
    <w:lvl w:ilvl="2" w:tplc="FFFFFFFF" w:tentative="1">
      <w:start w:val="1"/>
      <w:numFmt w:val="lowerRoman"/>
      <w:lvlText w:val="%3."/>
      <w:lvlJc w:val="right"/>
      <w:pPr>
        <w:tabs>
          <w:tab w:val="num" w:pos="839"/>
        </w:tabs>
        <w:ind w:left="839" w:hanging="180"/>
      </w:pPr>
      <w:rPr>
        <w:rFonts w:cs="Times New Roman"/>
      </w:rPr>
    </w:lvl>
    <w:lvl w:ilvl="3" w:tplc="FFFFFFFF" w:tentative="1">
      <w:start w:val="1"/>
      <w:numFmt w:val="decimal"/>
      <w:lvlText w:val="%4."/>
      <w:lvlJc w:val="left"/>
      <w:pPr>
        <w:tabs>
          <w:tab w:val="num" w:pos="1559"/>
        </w:tabs>
        <w:ind w:left="1559" w:hanging="360"/>
      </w:pPr>
      <w:rPr>
        <w:rFonts w:cs="Times New Roman"/>
      </w:rPr>
    </w:lvl>
    <w:lvl w:ilvl="4" w:tplc="FFFFFFFF" w:tentative="1">
      <w:start w:val="1"/>
      <w:numFmt w:val="lowerLetter"/>
      <w:lvlText w:val="%5."/>
      <w:lvlJc w:val="left"/>
      <w:pPr>
        <w:tabs>
          <w:tab w:val="num" w:pos="2279"/>
        </w:tabs>
        <w:ind w:left="2279" w:hanging="360"/>
      </w:pPr>
      <w:rPr>
        <w:rFonts w:cs="Times New Roman"/>
      </w:rPr>
    </w:lvl>
    <w:lvl w:ilvl="5" w:tplc="FFFFFFFF" w:tentative="1">
      <w:start w:val="1"/>
      <w:numFmt w:val="lowerRoman"/>
      <w:lvlText w:val="%6."/>
      <w:lvlJc w:val="right"/>
      <w:pPr>
        <w:tabs>
          <w:tab w:val="num" w:pos="2999"/>
        </w:tabs>
        <w:ind w:left="2999" w:hanging="180"/>
      </w:pPr>
      <w:rPr>
        <w:rFonts w:cs="Times New Roman"/>
      </w:rPr>
    </w:lvl>
    <w:lvl w:ilvl="6" w:tplc="FFFFFFFF" w:tentative="1">
      <w:start w:val="1"/>
      <w:numFmt w:val="decimal"/>
      <w:lvlText w:val="%7."/>
      <w:lvlJc w:val="left"/>
      <w:pPr>
        <w:tabs>
          <w:tab w:val="num" w:pos="3719"/>
        </w:tabs>
        <w:ind w:left="3719" w:hanging="360"/>
      </w:pPr>
      <w:rPr>
        <w:rFonts w:cs="Times New Roman"/>
      </w:rPr>
    </w:lvl>
    <w:lvl w:ilvl="7" w:tplc="FFFFFFFF" w:tentative="1">
      <w:start w:val="1"/>
      <w:numFmt w:val="lowerLetter"/>
      <w:lvlText w:val="%8."/>
      <w:lvlJc w:val="left"/>
      <w:pPr>
        <w:tabs>
          <w:tab w:val="num" w:pos="4439"/>
        </w:tabs>
        <w:ind w:left="4439" w:hanging="360"/>
      </w:pPr>
      <w:rPr>
        <w:rFonts w:cs="Times New Roman"/>
      </w:rPr>
    </w:lvl>
    <w:lvl w:ilvl="8" w:tplc="FFFFFFFF" w:tentative="1">
      <w:start w:val="1"/>
      <w:numFmt w:val="lowerRoman"/>
      <w:lvlText w:val="%9."/>
      <w:lvlJc w:val="right"/>
      <w:pPr>
        <w:tabs>
          <w:tab w:val="num" w:pos="5159"/>
        </w:tabs>
        <w:ind w:left="5159" w:hanging="180"/>
      </w:pPr>
      <w:rPr>
        <w:rFonts w:cs="Times New Roman"/>
      </w:rPr>
    </w:lvl>
  </w:abstractNum>
  <w:abstractNum w:abstractNumId="16"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74F2DFC"/>
    <w:multiLevelType w:val="hybridMultilevel"/>
    <w:tmpl w:val="A98832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97817C3"/>
    <w:multiLevelType w:val="multilevel"/>
    <w:tmpl w:val="EEBAE20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val="0"/>
        <w:iCs w:val="0"/>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7C25CE"/>
    <w:multiLevelType w:val="hybridMultilevel"/>
    <w:tmpl w:val="EF5E8D2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1" w15:restartNumberingAfterBreak="0">
    <w:nsid w:val="394B2DAF"/>
    <w:multiLevelType w:val="hybridMultilevel"/>
    <w:tmpl w:val="C2D639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724835"/>
    <w:multiLevelType w:val="hybridMultilevel"/>
    <w:tmpl w:val="B420BBDA"/>
    <w:lvl w:ilvl="0" w:tplc="7A58F36C">
      <w:start w:val="1"/>
      <w:numFmt w:val="lowerLetter"/>
      <w:lvlText w:val="(%1)"/>
      <w:lvlJc w:val="left"/>
      <w:pPr>
        <w:ind w:left="1800" w:hanging="360"/>
      </w:pPr>
      <w:rPr>
        <w:rFonts w:hint="default"/>
        <w:caps w:val="0"/>
        <w:smallCaps w:val="0"/>
        <w:strike w:val="0"/>
        <w:dstrike w:val="0"/>
        <w:outline w:val="0"/>
        <w:emboss w:val="0"/>
        <w:imprint w:val="0"/>
        <w:color w:val="000000"/>
        <w:spacing w:val="0"/>
        <w:w w:val="100"/>
        <w:kern w:val="0"/>
        <w:position w:val="0"/>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1847D06"/>
    <w:multiLevelType w:val="hybridMultilevel"/>
    <w:tmpl w:val="8F0C69B4"/>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AE4A7D"/>
    <w:multiLevelType w:val="hybridMultilevel"/>
    <w:tmpl w:val="00CA82DC"/>
    <w:lvl w:ilvl="0" w:tplc="3D488814">
      <w:numFmt w:val="bullet"/>
      <w:lvlText w:val="-"/>
      <w:lvlJc w:val="left"/>
      <w:pPr>
        <w:ind w:left="1800" w:hanging="360"/>
      </w:pPr>
      <w:rPr>
        <w:rFonts w:ascii="Open Sans" w:eastAsia="Times New Roman" w:hAnsi="Open Sans" w:cs="Open San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30D3FE3"/>
    <w:multiLevelType w:val="multilevel"/>
    <w:tmpl w:val="17F08FB8"/>
    <w:styleLink w:val="ImportedStyle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1091" w:hanging="851"/>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8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851" w:hanging="8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851" w:hanging="8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851" w:hanging="8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ind w:left="851" w:hanging="8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ind w:left="851" w:hanging="8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ind w:left="851" w:hanging="8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6B92392"/>
    <w:multiLevelType w:val="hybridMultilevel"/>
    <w:tmpl w:val="A1D6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0B473E"/>
    <w:multiLevelType w:val="hybridMultilevel"/>
    <w:tmpl w:val="AB0E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C74663"/>
    <w:multiLevelType w:val="hybridMultilevel"/>
    <w:tmpl w:val="7A127972"/>
    <w:lvl w:ilvl="0" w:tplc="C92E7220">
      <w:start w:val="1"/>
      <w:numFmt w:val="decimal"/>
      <w:lvlText w:val="%1."/>
      <w:lvlJc w:val="left"/>
      <w:pPr>
        <w:tabs>
          <w:tab w:val="num" w:pos="720"/>
        </w:tabs>
        <w:ind w:left="720" w:hanging="720"/>
      </w:pPr>
      <w:rPr>
        <w:rFonts w:cs="Times New Roman" w:hint="default"/>
        <w:b w:val="0"/>
        <w:i w:val="0"/>
        <w:sz w:val="24"/>
        <w:szCs w:val="24"/>
      </w:rPr>
    </w:lvl>
    <w:lvl w:ilvl="1" w:tplc="0C090001">
      <w:start w:val="1"/>
      <w:numFmt w:val="bullet"/>
      <w:lvlText w:val=""/>
      <w:lvlJc w:val="left"/>
      <w:pPr>
        <w:tabs>
          <w:tab w:val="num" w:pos="1494"/>
        </w:tabs>
        <w:ind w:left="1494" w:hanging="360"/>
      </w:pPr>
      <w:rPr>
        <w:rFonts w:ascii="Symbol" w:hAnsi="Symbol" w:hint="default"/>
        <w:b w:val="0"/>
        <w:sz w:val="22"/>
        <w:szCs w:val="22"/>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3"/>
  </w:num>
  <w:num w:numId="13">
    <w:abstractNumId w:val="17"/>
  </w:num>
  <w:num w:numId="14">
    <w:abstractNumId w:val="24"/>
  </w:num>
  <w:num w:numId="15">
    <w:abstractNumId w:val="19"/>
  </w:num>
  <w:num w:numId="16">
    <w:abstractNumId w:val="31"/>
  </w:num>
  <w:num w:numId="17">
    <w:abstractNumId w:val="15"/>
  </w:num>
  <w:num w:numId="18">
    <w:abstractNumId w:val="16"/>
  </w:num>
  <w:num w:numId="19">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0">
    <w:abstractNumId w:val="28"/>
  </w:num>
  <w:num w:numId="21">
    <w:abstractNumId w:val="14"/>
  </w:num>
  <w:num w:numId="22">
    <w:abstractNumId w:val="12"/>
  </w:num>
  <w:num w:numId="23">
    <w:abstractNumId w:val="13"/>
  </w:num>
  <w:num w:numId="24">
    <w:abstractNumId w:val="18"/>
  </w:num>
  <w:num w:numId="25">
    <w:abstractNumId w:val="30"/>
  </w:num>
  <w:num w:numId="26">
    <w:abstractNumId w:val="29"/>
  </w:num>
  <w:num w:numId="27">
    <w:abstractNumId w:val="22"/>
  </w:num>
  <w:num w:numId="28">
    <w:abstractNumId w:val="11"/>
  </w:num>
  <w:num w:numId="29">
    <w:abstractNumId w:val="26"/>
  </w:num>
  <w:num w:numId="30">
    <w:abstractNumId w:val="27"/>
  </w:num>
  <w:num w:numId="31">
    <w:abstractNumId w:val="21"/>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A2"/>
    <w:rsid w:val="0001254B"/>
    <w:rsid w:val="00013272"/>
    <w:rsid w:val="0001562E"/>
    <w:rsid w:val="000163BD"/>
    <w:rsid w:val="00017ED9"/>
    <w:rsid w:val="00021134"/>
    <w:rsid w:val="00026637"/>
    <w:rsid w:val="00032B89"/>
    <w:rsid w:val="0003311B"/>
    <w:rsid w:val="00036FC5"/>
    <w:rsid w:val="000435B8"/>
    <w:rsid w:val="0004554D"/>
    <w:rsid w:val="000540A0"/>
    <w:rsid w:val="00055811"/>
    <w:rsid w:val="000579B1"/>
    <w:rsid w:val="00061380"/>
    <w:rsid w:val="00063535"/>
    <w:rsid w:val="00074750"/>
    <w:rsid w:val="00074CD6"/>
    <w:rsid w:val="00081331"/>
    <w:rsid w:val="0009235A"/>
    <w:rsid w:val="000929ED"/>
    <w:rsid w:val="00094A03"/>
    <w:rsid w:val="000B0A5D"/>
    <w:rsid w:val="000C3801"/>
    <w:rsid w:val="000D0043"/>
    <w:rsid w:val="000E041F"/>
    <w:rsid w:val="000F1530"/>
    <w:rsid w:val="000F3721"/>
    <w:rsid w:val="000F51E3"/>
    <w:rsid w:val="000F6925"/>
    <w:rsid w:val="001011C8"/>
    <w:rsid w:val="00105276"/>
    <w:rsid w:val="001211EF"/>
    <w:rsid w:val="00127DC1"/>
    <w:rsid w:val="00131986"/>
    <w:rsid w:val="00132462"/>
    <w:rsid w:val="00136E9F"/>
    <w:rsid w:val="00140077"/>
    <w:rsid w:val="001523D8"/>
    <w:rsid w:val="001566D4"/>
    <w:rsid w:val="00162A8D"/>
    <w:rsid w:val="00184098"/>
    <w:rsid w:val="001867A2"/>
    <w:rsid w:val="00187617"/>
    <w:rsid w:val="001A5D46"/>
    <w:rsid w:val="001B0353"/>
    <w:rsid w:val="001B1873"/>
    <w:rsid w:val="001B2549"/>
    <w:rsid w:val="001B5409"/>
    <w:rsid w:val="001B6958"/>
    <w:rsid w:val="001C139C"/>
    <w:rsid w:val="001C348B"/>
    <w:rsid w:val="001C451B"/>
    <w:rsid w:val="001E4F53"/>
    <w:rsid w:val="001F2BBB"/>
    <w:rsid w:val="002019E0"/>
    <w:rsid w:val="00204824"/>
    <w:rsid w:val="0020759E"/>
    <w:rsid w:val="002200AC"/>
    <w:rsid w:val="0022427E"/>
    <w:rsid w:val="00231ED1"/>
    <w:rsid w:val="0023303F"/>
    <w:rsid w:val="0023334E"/>
    <w:rsid w:val="00234E27"/>
    <w:rsid w:val="0024070F"/>
    <w:rsid w:val="002416BB"/>
    <w:rsid w:val="002423D6"/>
    <w:rsid w:val="0024300C"/>
    <w:rsid w:val="002440E6"/>
    <w:rsid w:val="0024557E"/>
    <w:rsid w:val="00260E21"/>
    <w:rsid w:val="00262719"/>
    <w:rsid w:val="0026741C"/>
    <w:rsid w:val="002702D9"/>
    <w:rsid w:val="0027078D"/>
    <w:rsid w:val="002813FA"/>
    <w:rsid w:val="0028458A"/>
    <w:rsid w:val="002943C6"/>
    <w:rsid w:val="0029441A"/>
    <w:rsid w:val="00296669"/>
    <w:rsid w:val="002A6F69"/>
    <w:rsid w:val="002B0484"/>
    <w:rsid w:val="002B3EF2"/>
    <w:rsid w:val="002B7BC5"/>
    <w:rsid w:val="002B7C29"/>
    <w:rsid w:val="002C30CD"/>
    <w:rsid w:val="002F70C6"/>
    <w:rsid w:val="0030374B"/>
    <w:rsid w:val="003040CA"/>
    <w:rsid w:val="00310ED4"/>
    <w:rsid w:val="0031492A"/>
    <w:rsid w:val="00316504"/>
    <w:rsid w:val="00316C1A"/>
    <w:rsid w:val="00321AF0"/>
    <w:rsid w:val="00321DBE"/>
    <w:rsid w:val="003223AA"/>
    <w:rsid w:val="003231B0"/>
    <w:rsid w:val="003240CD"/>
    <w:rsid w:val="0033290D"/>
    <w:rsid w:val="003356E3"/>
    <w:rsid w:val="00335DE9"/>
    <w:rsid w:val="00340780"/>
    <w:rsid w:val="00354D2D"/>
    <w:rsid w:val="00362BD1"/>
    <w:rsid w:val="00363058"/>
    <w:rsid w:val="00365B16"/>
    <w:rsid w:val="003701C0"/>
    <w:rsid w:val="003718C7"/>
    <w:rsid w:val="00371F48"/>
    <w:rsid w:val="00372BA3"/>
    <w:rsid w:val="00375F52"/>
    <w:rsid w:val="00377C8F"/>
    <w:rsid w:val="003811A9"/>
    <w:rsid w:val="003838CC"/>
    <w:rsid w:val="003931C7"/>
    <w:rsid w:val="003955AE"/>
    <w:rsid w:val="00395B25"/>
    <w:rsid w:val="003A533F"/>
    <w:rsid w:val="003B18A7"/>
    <w:rsid w:val="003E03D5"/>
    <w:rsid w:val="003E25C7"/>
    <w:rsid w:val="003F04E3"/>
    <w:rsid w:val="003F0CEE"/>
    <w:rsid w:val="003F24B8"/>
    <w:rsid w:val="003F409D"/>
    <w:rsid w:val="003F6D91"/>
    <w:rsid w:val="00405F9E"/>
    <w:rsid w:val="004121D6"/>
    <w:rsid w:val="004215B3"/>
    <w:rsid w:val="00427A37"/>
    <w:rsid w:val="00430AD7"/>
    <w:rsid w:val="00431077"/>
    <w:rsid w:val="00431551"/>
    <w:rsid w:val="00444303"/>
    <w:rsid w:val="0045094B"/>
    <w:rsid w:val="004561BE"/>
    <w:rsid w:val="00460AF8"/>
    <w:rsid w:val="00462D4C"/>
    <w:rsid w:val="00470EE0"/>
    <w:rsid w:val="00473DB9"/>
    <w:rsid w:val="00474063"/>
    <w:rsid w:val="004753D8"/>
    <w:rsid w:val="00476EEA"/>
    <w:rsid w:val="00494D4B"/>
    <w:rsid w:val="004A4CD4"/>
    <w:rsid w:val="004A722D"/>
    <w:rsid w:val="004B67F0"/>
    <w:rsid w:val="004C3EA4"/>
    <w:rsid w:val="004C3F0D"/>
    <w:rsid w:val="004D0BBE"/>
    <w:rsid w:val="004D2604"/>
    <w:rsid w:val="004D37AB"/>
    <w:rsid w:val="004D3942"/>
    <w:rsid w:val="004D6A2B"/>
    <w:rsid w:val="004E3A33"/>
    <w:rsid w:val="004F21BB"/>
    <w:rsid w:val="004F3A80"/>
    <w:rsid w:val="004F53EF"/>
    <w:rsid w:val="00502E5D"/>
    <w:rsid w:val="00503E04"/>
    <w:rsid w:val="00503FBD"/>
    <w:rsid w:val="005049C9"/>
    <w:rsid w:val="00504B28"/>
    <w:rsid w:val="0051120B"/>
    <w:rsid w:val="00511592"/>
    <w:rsid w:val="00513540"/>
    <w:rsid w:val="00521A33"/>
    <w:rsid w:val="00522CED"/>
    <w:rsid w:val="005243E3"/>
    <w:rsid w:val="00527518"/>
    <w:rsid w:val="00527ECD"/>
    <w:rsid w:val="00530CE3"/>
    <w:rsid w:val="005312E4"/>
    <w:rsid w:val="005324B0"/>
    <w:rsid w:val="00535694"/>
    <w:rsid w:val="005372C5"/>
    <w:rsid w:val="00543E31"/>
    <w:rsid w:val="00547B87"/>
    <w:rsid w:val="00550E55"/>
    <w:rsid w:val="00553C41"/>
    <w:rsid w:val="00554C04"/>
    <w:rsid w:val="00555B6A"/>
    <w:rsid w:val="00563DEB"/>
    <w:rsid w:val="005716F5"/>
    <w:rsid w:val="0057292B"/>
    <w:rsid w:val="00582D1B"/>
    <w:rsid w:val="00584FBB"/>
    <w:rsid w:val="00592383"/>
    <w:rsid w:val="005A6602"/>
    <w:rsid w:val="005B7515"/>
    <w:rsid w:val="005B7566"/>
    <w:rsid w:val="005C1654"/>
    <w:rsid w:val="005D04F4"/>
    <w:rsid w:val="005D0C7F"/>
    <w:rsid w:val="005D1F34"/>
    <w:rsid w:val="005D612A"/>
    <w:rsid w:val="005E28EB"/>
    <w:rsid w:val="005E7284"/>
    <w:rsid w:val="005F3EAA"/>
    <w:rsid w:val="005F5F45"/>
    <w:rsid w:val="00603D24"/>
    <w:rsid w:val="00604D59"/>
    <w:rsid w:val="00605A05"/>
    <w:rsid w:val="00606CA7"/>
    <w:rsid w:val="006114C2"/>
    <w:rsid w:val="006115C2"/>
    <w:rsid w:val="00614EC5"/>
    <w:rsid w:val="006269AB"/>
    <w:rsid w:val="00630F30"/>
    <w:rsid w:val="006312CF"/>
    <w:rsid w:val="00635D63"/>
    <w:rsid w:val="00655BF2"/>
    <w:rsid w:val="00664BDB"/>
    <w:rsid w:val="00670CCD"/>
    <w:rsid w:val="0069010A"/>
    <w:rsid w:val="00690313"/>
    <w:rsid w:val="00690355"/>
    <w:rsid w:val="00691160"/>
    <w:rsid w:val="0069327D"/>
    <w:rsid w:val="00693A2E"/>
    <w:rsid w:val="00696390"/>
    <w:rsid w:val="006A2D4E"/>
    <w:rsid w:val="006A495F"/>
    <w:rsid w:val="006A5D6B"/>
    <w:rsid w:val="006A6BB3"/>
    <w:rsid w:val="006B3680"/>
    <w:rsid w:val="006C707F"/>
    <w:rsid w:val="006D2849"/>
    <w:rsid w:val="006D3574"/>
    <w:rsid w:val="006D5EE5"/>
    <w:rsid w:val="006E06ED"/>
    <w:rsid w:val="006E06F5"/>
    <w:rsid w:val="006E1690"/>
    <w:rsid w:val="006E2DE6"/>
    <w:rsid w:val="006E6B6F"/>
    <w:rsid w:val="006E75FF"/>
    <w:rsid w:val="00701931"/>
    <w:rsid w:val="007039FC"/>
    <w:rsid w:val="00706FAB"/>
    <w:rsid w:val="00707793"/>
    <w:rsid w:val="0071183F"/>
    <w:rsid w:val="00713163"/>
    <w:rsid w:val="007169BB"/>
    <w:rsid w:val="00724DAB"/>
    <w:rsid w:val="00725D5E"/>
    <w:rsid w:val="00731B58"/>
    <w:rsid w:val="00753510"/>
    <w:rsid w:val="007548CA"/>
    <w:rsid w:val="007671DD"/>
    <w:rsid w:val="00770A52"/>
    <w:rsid w:val="00770DCB"/>
    <w:rsid w:val="00773E92"/>
    <w:rsid w:val="00774019"/>
    <w:rsid w:val="00775485"/>
    <w:rsid w:val="007841E1"/>
    <w:rsid w:val="00795196"/>
    <w:rsid w:val="007B1DF4"/>
    <w:rsid w:val="007B241C"/>
    <w:rsid w:val="007D0378"/>
    <w:rsid w:val="007D40BD"/>
    <w:rsid w:val="007E1866"/>
    <w:rsid w:val="007E5F34"/>
    <w:rsid w:val="007E6434"/>
    <w:rsid w:val="007F1EE7"/>
    <w:rsid w:val="0080064B"/>
    <w:rsid w:val="008105AA"/>
    <w:rsid w:val="00810ABF"/>
    <w:rsid w:val="00811A4B"/>
    <w:rsid w:val="00811F85"/>
    <w:rsid w:val="008125EE"/>
    <w:rsid w:val="00813C55"/>
    <w:rsid w:val="008158BA"/>
    <w:rsid w:val="0083209A"/>
    <w:rsid w:val="0086149E"/>
    <w:rsid w:val="00863D7D"/>
    <w:rsid w:val="008724DE"/>
    <w:rsid w:val="008765AC"/>
    <w:rsid w:val="0088070D"/>
    <w:rsid w:val="00882E0A"/>
    <w:rsid w:val="008839CE"/>
    <w:rsid w:val="00891CC5"/>
    <w:rsid w:val="0089786E"/>
    <w:rsid w:val="008A2AF7"/>
    <w:rsid w:val="008A3D57"/>
    <w:rsid w:val="008B03B7"/>
    <w:rsid w:val="008B260C"/>
    <w:rsid w:val="008B6707"/>
    <w:rsid w:val="008B7D61"/>
    <w:rsid w:val="008C37F0"/>
    <w:rsid w:val="008C3998"/>
    <w:rsid w:val="008D46F3"/>
    <w:rsid w:val="008E28D5"/>
    <w:rsid w:val="008E3D60"/>
    <w:rsid w:val="008F2207"/>
    <w:rsid w:val="008F398F"/>
    <w:rsid w:val="0090165F"/>
    <w:rsid w:val="00901A17"/>
    <w:rsid w:val="00906908"/>
    <w:rsid w:val="00916604"/>
    <w:rsid w:val="00921CB7"/>
    <w:rsid w:val="00923C4F"/>
    <w:rsid w:val="009472C4"/>
    <w:rsid w:val="00950552"/>
    <w:rsid w:val="00950E88"/>
    <w:rsid w:val="00962099"/>
    <w:rsid w:val="009624F0"/>
    <w:rsid w:val="00966C2F"/>
    <w:rsid w:val="009760EF"/>
    <w:rsid w:val="009802F3"/>
    <w:rsid w:val="0099070E"/>
    <w:rsid w:val="009A116A"/>
    <w:rsid w:val="009A5753"/>
    <w:rsid w:val="009C0F79"/>
    <w:rsid w:val="009C4BAD"/>
    <w:rsid w:val="009C5FB8"/>
    <w:rsid w:val="009D086D"/>
    <w:rsid w:val="009D3E1E"/>
    <w:rsid w:val="009D52D1"/>
    <w:rsid w:val="009E7FC4"/>
    <w:rsid w:val="009F40E2"/>
    <w:rsid w:val="009F49EA"/>
    <w:rsid w:val="009F51D9"/>
    <w:rsid w:val="009F641F"/>
    <w:rsid w:val="009F7AAC"/>
    <w:rsid w:val="00A01195"/>
    <w:rsid w:val="00A02F56"/>
    <w:rsid w:val="00A0406E"/>
    <w:rsid w:val="00A235A6"/>
    <w:rsid w:val="00A2753C"/>
    <w:rsid w:val="00A36430"/>
    <w:rsid w:val="00A41355"/>
    <w:rsid w:val="00A43B92"/>
    <w:rsid w:val="00A44720"/>
    <w:rsid w:val="00A55ED6"/>
    <w:rsid w:val="00A5640C"/>
    <w:rsid w:val="00A6179E"/>
    <w:rsid w:val="00A66F67"/>
    <w:rsid w:val="00A67CE1"/>
    <w:rsid w:val="00A67FBA"/>
    <w:rsid w:val="00A858FD"/>
    <w:rsid w:val="00A92C72"/>
    <w:rsid w:val="00A93E1D"/>
    <w:rsid w:val="00AA5A9E"/>
    <w:rsid w:val="00AA7F95"/>
    <w:rsid w:val="00AB7CE6"/>
    <w:rsid w:val="00AC1278"/>
    <w:rsid w:val="00AC27AB"/>
    <w:rsid w:val="00AC6A34"/>
    <w:rsid w:val="00AD6E20"/>
    <w:rsid w:val="00AE1B55"/>
    <w:rsid w:val="00AE46DC"/>
    <w:rsid w:val="00AE76EB"/>
    <w:rsid w:val="00AF180D"/>
    <w:rsid w:val="00AF2277"/>
    <w:rsid w:val="00AF6BA2"/>
    <w:rsid w:val="00B05B74"/>
    <w:rsid w:val="00B17367"/>
    <w:rsid w:val="00B213DB"/>
    <w:rsid w:val="00B21533"/>
    <w:rsid w:val="00B22697"/>
    <w:rsid w:val="00B2533E"/>
    <w:rsid w:val="00B2705B"/>
    <w:rsid w:val="00B277E0"/>
    <w:rsid w:val="00B34AEE"/>
    <w:rsid w:val="00B52E2D"/>
    <w:rsid w:val="00B5325B"/>
    <w:rsid w:val="00B61B73"/>
    <w:rsid w:val="00B63551"/>
    <w:rsid w:val="00B70534"/>
    <w:rsid w:val="00B71AF3"/>
    <w:rsid w:val="00B728CF"/>
    <w:rsid w:val="00B7344A"/>
    <w:rsid w:val="00B76100"/>
    <w:rsid w:val="00B76653"/>
    <w:rsid w:val="00B76D91"/>
    <w:rsid w:val="00B82A2E"/>
    <w:rsid w:val="00B834AB"/>
    <w:rsid w:val="00B86129"/>
    <w:rsid w:val="00B86DBA"/>
    <w:rsid w:val="00B924FE"/>
    <w:rsid w:val="00B97F69"/>
    <w:rsid w:val="00BA03E7"/>
    <w:rsid w:val="00BA262D"/>
    <w:rsid w:val="00BA3A2E"/>
    <w:rsid w:val="00BA4A35"/>
    <w:rsid w:val="00BA5C5E"/>
    <w:rsid w:val="00BA7187"/>
    <w:rsid w:val="00BA7D0E"/>
    <w:rsid w:val="00BB05C4"/>
    <w:rsid w:val="00BB05E9"/>
    <w:rsid w:val="00BB2301"/>
    <w:rsid w:val="00BB34E5"/>
    <w:rsid w:val="00BC0398"/>
    <w:rsid w:val="00BC1EDC"/>
    <w:rsid w:val="00BC79EB"/>
    <w:rsid w:val="00BC7CED"/>
    <w:rsid w:val="00BF0A19"/>
    <w:rsid w:val="00BF3E95"/>
    <w:rsid w:val="00C00B11"/>
    <w:rsid w:val="00C02331"/>
    <w:rsid w:val="00C076F2"/>
    <w:rsid w:val="00C164EF"/>
    <w:rsid w:val="00C16F2F"/>
    <w:rsid w:val="00C17D18"/>
    <w:rsid w:val="00C247EB"/>
    <w:rsid w:val="00C25BDA"/>
    <w:rsid w:val="00C27DE6"/>
    <w:rsid w:val="00C32270"/>
    <w:rsid w:val="00C40E58"/>
    <w:rsid w:val="00C4435A"/>
    <w:rsid w:val="00C5191F"/>
    <w:rsid w:val="00C53971"/>
    <w:rsid w:val="00C54FB1"/>
    <w:rsid w:val="00C5697C"/>
    <w:rsid w:val="00C75AE8"/>
    <w:rsid w:val="00C77B68"/>
    <w:rsid w:val="00C80F9F"/>
    <w:rsid w:val="00C93BCC"/>
    <w:rsid w:val="00C95B98"/>
    <w:rsid w:val="00C9734C"/>
    <w:rsid w:val="00CA0D78"/>
    <w:rsid w:val="00CB25C6"/>
    <w:rsid w:val="00CB27A8"/>
    <w:rsid w:val="00CB4FEA"/>
    <w:rsid w:val="00CC7A67"/>
    <w:rsid w:val="00CD1319"/>
    <w:rsid w:val="00CD2985"/>
    <w:rsid w:val="00CD42DE"/>
    <w:rsid w:val="00CD4346"/>
    <w:rsid w:val="00CD634E"/>
    <w:rsid w:val="00CE19B1"/>
    <w:rsid w:val="00CE360A"/>
    <w:rsid w:val="00CE7182"/>
    <w:rsid w:val="00CF405B"/>
    <w:rsid w:val="00CF515F"/>
    <w:rsid w:val="00CF56C9"/>
    <w:rsid w:val="00CF7A81"/>
    <w:rsid w:val="00D15934"/>
    <w:rsid w:val="00D16FEB"/>
    <w:rsid w:val="00D22F5F"/>
    <w:rsid w:val="00D23019"/>
    <w:rsid w:val="00D26CAF"/>
    <w:rsid w:val="00D36D90"/>
    <w:rsid w:val="00D45A48"/>
    <w:rsid w:val="00D50B3A"/>
    <w:rsid w:val="00D55C18"/>
    <w:rsid w:val="00D62334"/>
    <w:rsid w:val="00D64B48"/>
    <w:rsid w:val="00D65C76"/>
    <w:rsid w:val="00D673B8"/>
    <w:rsid w:val="00D72F5D"/>
    <w:rsid w:val="00D87000"/>
    <w:rsid w:val="00D91D07"/>
    <w:rsid w:val="00DA2F73"/>
    <w:rsid w:val="00DA42E8"/>
    <w:rsid w:val="00DB38A4"/>
    <w:rsid w:val="00DC193F"/>
    <w:rsid w:val="00DC3C4F"/>
    <w:rsid w:val="00DC462F"/>
    <w:rsid w:val="00DC71B3"/>
    <w:rsid w:val="00DF3E00"/>
    <w:rsid w:val="00E00A22"/>
    <w:rsid w:val="00E2220B"/>
    <w:rsid w:val="00E24FA3"/>
    <w:rsid w:val="00E328CD"/>
    <w:rsid w:val="00E425C0"/>
    <w:rsid w:val="00E431C8"/>
    <w:rsid w:val="00E443A6"/>
    <w:rsid w:val="00E45954"/>
    <w:rsid w:val="00E4787F"/>
    <w:rsid w:val="00E57E56"/>
    <w:rsid w:val="00E7167E"/>
    <w:rsid w:val="00E75D90"/>
    <w:rsid w:val="00E80B05"/>
    <w:rsid w:val="00E835AF"/>
    <w:rsid w:val="00E87BDA"/>
    <w:rsid w:val="00E9186A"/>
    <w:rsid w:val="00E97EF8"/>
    <w:rsid w:val="00EA1FD6"/>
    <w:rsid w:val="00EA5AC9"/>
    <w:rsid w:val="00EC0575"/>
    <w:rsid w:val="00EC497E"/>
    <w:rsid w:val="00EC52DA"/>
    <w:rsid w:val="00EC55BE"/>
    <w:rsid w:val="00ED315A"/>
    <w:rsid w:val="00EE187A"/>
    <w:rsid w:val="00EE44D7"/>
    <w:rsid w:val="00EE56A1"/>
    <w:rsid w:val="00EF2D85"/>
    <w:rsid w:val="00F1305C"/>
    <w:rsid w:val="00F14C6D"/>
    <w:rsid w:val="00F3100E"/>
    <w:rsid w:val="00F40C28"/>
    <w:rsid w:val="00F67C76"/>
    <w:rsid w:val="00F71A6E"/>
    <w:rsid w:val="00F830D3"/>
    <w:rsid w:val="00F9078E"/>
    <w:rsid w:val="00F95982"/>
    <w:rsid w:val="00FA2C9C"/>
    <w:rsid w:val="00FA6B30"/>
    <w:rsid w:val="00FB4B8D"/>
    <w:rsid w:val="00FB4C23"/>
    <w:rsid w:val="00FC24B4"/>
    <w:rsid w:val="00FC582E"/>
    <w:rsid w:val="00FD0E7A"/>
    <w:rsid w:val="00FD0F56"/>
    <w:rsid w:val="00FD754C"/>
    <w:rsid w:val="00FE06BE"/>
    <w:rsid w:val="00FE32D2"/>
    <w:rsid w:val="00FE72B6"/>
    <w:rsid w:val="00FE7F4C"/>
    <w:rsid w:val="00FF0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23862"/>
  <w15:chartTrackingRefBased/>
  <w15:docId w15:val="{006B801D-B9A3-4B92-A209-C27E369A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locked="1" w:semiHidden="1" w:uiPriority="0"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locked="1" w:semiHidden="1" w:unhideWhenUsed="1"/>
    <w:lsdException w:name="Strong" w:qFormat="1"/>
    <w:lsdException w:name="Emphasis" w:locked="1" w:qFormat="1"/>
    <w:lsdException w:name="Document Map" w:locked="1" w:semiHidden="1" w:uiPriority="0"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iPriority="0"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C9"/>
    <w:pPr>
      <w:spacing w:before="240" w:after="240"/>
    </w:pPr>
    <w:rPr>
      <w:rFonts w:ascii="Open Sans" w:hAnsi="Open Sans"/>
      <w:color w:val="000000"/>
      <w:sz w:val="24"/>
      <w:lang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F14C6D"/>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locked/>
    <w:rsid w:val="00F14C6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color w:val="000000"/>
      <w:sz w:val="28"/>
      <w:szCs w:val="28"/>
      <w:lang w:eastAsia="en-US"/>
    </w:rPr>
  </w:style>
  <w:style w:type="character" w:customStyle="1" w:styleId="Heading2Char">
    <w:name w:val="Heading 2 Char"/>
    <w:basedOn w:val="DefaultParagraphFont"/>
    <w:link w:val="Heading2"/>
    <w:rsid w:val="00AC27AB"/>
    <w:rPr>
      <w:rFonts w:ascii="Arial" w:hAnsi="Arial"/>
      <w:b/>
      <w:i/>
      <w:color w:val="000000"/>
      <w:sz w:val="28"/>
      <w:szCs w:val="26"/>
      <w:lang w:eastAsia="en-US"/>
    </w:rPr>
  </w:style>
  <w:style w:type="character" w:customStyle="1" w:styleId="Heading3Char">
    <w:name w:val="Heading 3 Char"/>
    <w:basedOn w:val="DefaultParagraphFont"/>
    <w:link w:val="Heading3"/>
    <w:rsid w:val="00AC27AB"/>
    <w:rPr>
      <w:rFonts w:ascii="Arial" w:hAnsi="Arial"/>
      <w:bCs/>
      <w:i/>
      <w:sz w:val="24"/>
      <w:szCs w:val="26"/>
      <w:lang w:eastAsia="en-US"/>
    </w:rPr>
  </w:style>
  <w:style w:type="character" w:customStyle="1" w:styleId="Heading4Char">
    <w:name w:val="Heading 4 Char"/>
    <w:basedOn w:val="DefaultParagraphFont"/>
    <w:link w:val="Heading4"/>
    <w:rsid w:val="00AC27AB"/>
    <w:rPr>
      <w:rFonts w:ascii="Arial" w:hAnsi="Arial"/>
      <w:iCs/>
      <w:sz w:val="24"/>
      <w:szCs w:val="26"/>
      <w:lang w:eastAsia="en-US"/>
    </w:rPr>
  </w:style>
  <w:style w:type="character" w:styleId="Strong">
    <w:name w:val="Strong"/>
    <w:basedOn w:val="DefaultParagraphFont"/>
    <w:uiPriority w:val="99"/>
    <w:qFormat/>
    <w:locked/>
    <w:rsid w:val="000B0A5D"/>
    <w:rPr>
      <w:b/>
      <w:bCs/>
    </w:rPr>
  </w:style>
  <w:style w:type="character" w:customStyle="1" w:styleId="Heading5Char">
    <w:name w:val="Heading 5 Char"/>
    <w:basedOn w:val="DefaultParagraphFont"/>
    <w:link w:val="Heading5"/>
    <w:uiPriority w:val="99"/>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uiPriority w:val="99"/>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uiPriority w:val="99"/>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uiPriority w:val="99"/>
    <w:semiHidden/>
    <w:rsid w:val="00F14C6D"/>
    <w:rPr>
      <w:rFonts w:ascii="Cambria" w:hAnsi="Cambria"/>
      <w:color w:val="404040"/>
      <w:lang w:val="en-AU" w:eastAsia="en-AU" w:bidi="ar-SA"/>
    </w:rPr>
  </w:style>
  <w:style w:type="character" w:customStyle="1" w:styleId="Heading9Char">
    <w:name w:val="Heading 9 Char"/>
    <w:basedOn w:val="DefaultParagraphFont"/>
    <w:link w:val="Heading9"/>
    <w:uiPriority w:val="99"/>
    <w:semiHidden/>
    <w:rsid w:val="00F14C6D"/>
    <w:rPr>
      <w:rFonts w:ascii="Cambria" w:hAnsi="Cambria"/>
      <w:i/>
      <w:iCs/>
      <w:color w:val="404040"/>
      <w:lang w:val="en-AU" w:eastAsia="en-AU" w:bidi="ar-SA"/>
    </w:rPr>
  </w:style>
  <w:style w:type="paragraph" w:styleId="Header">
    <w:name w:val="header"/>
    <w:basedOn w:val="Normal"/>
    <w:link w:val="HeaderChar"/>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CF56C9"/>
    <w:pPr>
      <w:tabs>
        <w:tab w:val="left" w:pos="1202"/>
        <w:tab w:val="right" w:leader="dot" w:pos="9060"/>
      </w:tabs>
      <w:spacing w:before="0" w:after="0"/>
      <w:ind w:left="2160"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numbering" w:styleId="111111">
    <w:name w:val="Outline List 2"/>
    <w:basedOn w:val="NoList"/>
    <w:uiPriority w:val="99"/>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CF56C9"/>
    <w:pPr>
      <w:tabs>
        <w:tab w:val="right" w:leader="dot" w:pos="9060"/>
      </w:tabs>
      <w:spacing w:before="0" w:after="0"/>
      <w:ind w:left="1440" w:hanging="720"/>
    </w:pPr>
  </w:style>
  <w:style w:type="paragraph" w:styleId="TOC4">
    <w:name w:val="toc 4"/>
    <w:basedOn w:val="Normal"/>
    <w:next w:val="Normal"/>
    <w:autoRedefine/>
    <w:uiPriority w:val="9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rPr>
  </w:style>
  <w:style w:type="paragraph" w:styleId="EndnoteText">
    <w:name w:val="endnote text"/>
    <w:basedOn w:val="Normal"/>
    <w:link w:val="EndnoteTextChar"/>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uiPriority w:val="99"/>
    <w:semiHidden/>
    <w:locked/>
    <w:rsid w:val="00E45954"/>
    <w:pPr>
      <w:numPr>
        <w:numId w:val="12"/>
      </w:numPr>
    </w:pPr>
  </w:style>
  <w:style w:type="numbering" w:styleId="ArticleSection">
    <w:name w:val="Outline List 3"/>
    <w:basedOn w:val="NoList"/>
    <w:uiPriority w:val="99"/>
    <w:semiHidden/>
    <w:locked/>
    <w:rsid w:val="00E45954"/>
    <w:pPr>
      <w:numPr>
        <w:numId w:val="13"/>
      </w:numPr>
    </w:p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paragraph" w:styleId="BodyText2">
    <w:name w:val="Body Text 2"/>
    <w:basedOn w:val="Normal"/>
    <w:link w:val="BodyText2Char"/>
    <w:uiPriority w:val="99"/>
    <w:semiHidden/>
    <w:locked/>
    <w:rsid w:val="00E45954"/>
    <w:pPr>
      <w:spacing w:after="120" w:line="480" w:lineRule="auto"/>
    </w:pPr>
  </w:style>
  <w:style w:type="paragraph" w:styleId="BodyText3">
    <w:name w:val="Body Text 3"/>
    <w:basedOn w:val="Normal"/>
    <w:link w:val="BodyText3Char"/>
    <w:uiPriority w:val="99"/>
    <w:semiHidden/>
    <w:locked/>
    <w:rsid w:val="00E45954"/>
    <w:pPr>
      <w:spacing w:after="120"/>
    </w:pPr>
    <w:rPr>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paragraph" w:styleId="BodyTextIndent">
    <w:name w:val="Body Text Indent"/>
    <w:basedOn w:val="Normal"/>
    <w:link w:val="BodyTextIndentChar"/>
    <w:uiPriority w:val="99"/>
    <w:semiHidden/>
    <w:locked/>
    <w:rsid w:val="00E45954"/>
    <w:pPr>
      <w:spacing w:after="120"/>
      <w:ind w:left="283"/>
    </w:pPr>
  </w:style>
  <w:style w:type="paragraph" w:styleId="BodyTextFirstIndent2">
    <w:name w:val="Body Text First Indent 2"/>
    <w:basedOn w:val="BodyTextIndent"/>
    <w:link w:val="BodyTextFirstIndent2Char"/>
    <w:uiPriority w:val="99"/>
    <w:semiHidden/>
    <w:locked/>
    <w:rsid w:val="00E45954"/>
    <w:pPr>
      <w:ind w:firstLine="210"/>
    </w:pPr>
  </w:style>
  <w:style w:type="paragraph" w:styleId="BodyTextIndent2">
    <w:name w:val="Body Text Indent 2"/>
    <w:basedOn w:val="Normal"/>
    <w:link w:val="BodyTextIndent2Char"/>
    <w:uiPriority w:val="99"/>
    <w:semiHidden/>
    <w:locked/>
    <w:rsid w:val="00E45954"/>
    <w:pPr>
      <w:spacing w:after="120" w:line="480" w:lineRule="auto"/>
      <w:ind w:left="283"/>
    </w:p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paragraph" w:styleId="Closing">
    <w:name w:val="Closing"/>
    <w:basedOn w:val="Normal"/>
    <w:link w:val="ClosingChar"/>
    <w:uiPriority w:val="99"/>
    <w:semiHidden/>
    <w:locked/>
    <w:rsid w:val="00E45954"/>
    <w:pPr>
      <w:ind w:left="4252"/>
    </w:pPr>
  </w:style>
  <w:style w:type="paragraph" w:styleId="Date">
    <w:name w:val="Date"/>
    <w:basedOn w:val="Normal"/>
    <w:next w:val="Normal"/>
    <w:link w:val="DateChar"/>
    <w:uiPriority w:val="99"/>
    <w:semiHidden/>
    <w:locked/>
    <w:rsid w:val="00E45954"/>
  </w:style>
  <w:style w:type="paragraph" w:styleId="E-mailSignature">
    <w:name w:val="E-mail Signature"/>
    <w:basedOn w:val="Normal"/>
    <w:link w:val="E-mailSignatureChar"/>
    <w:uiPriority w:val="99"/>
    <w:semiHidden/>
    <w:locked/>
    <w:rsid w:val="00E45954"/>
  </w:style>
  <w:style w:type="character" w:styleId="Emphasis">
    <w:name w:val="Emphasis"/>
    <w:basedOn w:val="DefaultParagraphFont"/>
    <w:uiPriority w:val="99"/>
    <w:qFormat/>
    <w:locked/>
    <w:rsid w:val="00E45954"/>
    <w:rPr>
      <w:i/>
      <w:iCs/>
    </w:rPr>
  </w:style>
  <w:style w:type="paragraph" w:styleId="EnvelopeAddress">
    <w:name w:val="envelope address"/>
    <w:basedOn w:val="Normal"/>
    <w:uiPriority w:val="99"/>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rPr>
  </w:style>
  <w:style w:type="character" w:styleId="FootnoteReference">
    <w:name w:val="footnote reference"/>
    <w:basedOn w:val="DefaultParagraphFont"/>
    <w:rsid w:val="00074CD6"/>
    <w:rPr>
      <w:rFonts w:ascii="Arial" w:hAnsi="Arial"/>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A Char"/>
    <w:basedOn w:val="Normal"/>
    <w:link w:val="FootnoteTextChar"/>
    <w:rsid w:val="00706FAB"/>
    <w:pPr>
      <w:spacing w:before="0" w:after="0"/>
    </w:pPr>
    <w:rPr>
      <w:sz w:val="20"/>
    </w:rPr>
  </w:style>
  <w:style w:type="character" w:styleId="HTMLAcronym">
    <w:name w:val="HTML Acronym"/>
    <w:basedOn w:val="DefaultParagraphFont"/>
    <w:uiPriority w:val="99"/>
    <w:semiHidden/>
    <w:locked/>
    <w:rsid w:val="00E45954"/>
  </w:style>
  <w:style w:type="paragraph" w:styleId="HTMLAddress">
    <w:name w:val="HTML Address"/>
    <w:basedOn w:val="Normal"/>
    <w:link w:val="HTMLAddressChar"/>
    <w:uiPriority w:val="99"/>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uiPriority w:val="99"/>
    <w:semiHidden/>
    <w:locked/>
    <w:rsid w:val="00E45954"/>
    <w:rPr>
      <w:rFonts w:ascii="Courier New" w:hAnsi="Courier New" w:cs="Courier New"/>
      <w:sz w:val="20"/>
      <w:szCs w:val="20"/>
    </w:rPr>
  </w:style>
  <w:style w:type="character" w:styleId="HTMLDefinition">
    <w:name w:val="HTML Definition"/>
    <w:basedOn w:val="DefaultParagraphFont"/>
    <w:uiPriority w:val="99"/>
    <w:semiHidden/>
    <w:locked/>
    <w:rsid w:val="00E45954"/>
    <w:rPr>
      <w:i/>
      <w:iCs/>
    </w:rPr>
  </w:style>
  <w:style w:type="character" w:styleId="HTMLKeyboard">
    <w:name w:val="HTML Keyboard"/>
    <w:basedOn w:val="DefaultParagraphFont"/>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rPr>
  </w:style>
  <w:style w:type="character" w:styleId="HTMLSample">
    <w:name w:val="HTML Sample"/>
    <w:basedOn w:val="DefaultParagraphFont"/>
    <w:uiPriority w:val="99"/>
    <w:semiHidden/>
    <w:locked/>
    <w:rsid w:val="00E45954"/>
    <w:rPr>
      <w:rFonts w:ascii="Courier New" w:hAnsi="Courier New" w:cs="Courier New"/>
    </w:rPr>
  </w:style>
  <w:style w:type="character" w:styleId="HTMLTypewriter">
    <w:name w:val="HTML Typewriter"/>
    <w:basedOn w:val="DefaultParagraphFont"/>
    <w:uiPriority w:val="99"/>
    <w:semiHidden/>
    <w:locked/>
    <w:rsid w:val="00E45954"/>
    <w:rPr>
      <w:rFonts w:ascii="Courier New" w:hAnsi="Courier New" w:cs="Courier New"/>
      <w:sz w:val="20"/>
      <w:szCs w:val="20"/>
    </w:rPr>
  </w:style>
  <w:style w:type="character" w:styleId="HTMLVariable">
    <w:name w:val="HTML Variable"/>
    <w:basedOn w:val="DefaultParagraphFont"/>
    <w:uiPriority w:val="99"/>
    <w:semiHidden/>
    <w:locked/>
    <w:rsid w:val="00E45954"/>
    <w:rPr>
      <w:i/>
      <w:iCs/>
    </w:rPr>
  </w:style>
  <w:style w:type="character" w:styleId="LineNumber">
    <w:name w:val="line number"/>
    <w:basedOn w:val="DefaultParagraphFont"/>
    <w:uiPriority w:val="99"/>
    <w:semiHidden/>
    <w:locked/>
    <w:rsid w:val="00E45954"/>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numbering" w:customStyle="1" w:styleId="StyleNumbered">
    <w:name w:val="Style Numbered"/>
    <w:basedOn w:val="NoList"/>
    <w:rsid w:val="00074CD6"/>
    <w:pPr>
      <w:numPr>
        <w:numId w:val="14"/>
      </w:numPr>
    </w:pPr>
  </w:style>
  <w:style w:type="paragraph" w:styleId="ListBullet2">
    <w:name w:val="List Bullet 2"/>
    <w:basedOn w:val="Normal"/>
    <w:uiPriority w:val="99"/>
    <w:semiHidden/>
    <w:locked/>
    <w:rsid w:val="00E45954"/>
    <w:pPr>
      <w:numPr>
        <w:numId w:val="2"/>
      </w:numPr>
    </w:pPr>
  </w:style>
  <w:style w:type="paragraph" w:styleId="ListBullet3">
    <w:name w:val="List Bullet 3"/>
    <w:basedOn w:val="Normal"/>
    <w:uiPriority w:val="99"/>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6"/>
      </w:numPr>
    </w:pPr>
  </w:style>
  <w:style w:type="paragraph" w:styleId="ListNumber2">
    <w:name w:val="List Number 2"/>
    <w:basedOn w:val="Normal"/>
    <w:uiPriority w:val="99"/>
    <w:semiHidden/>
    <w:locked/>
    <w:rsid w:val="00E45954"/>
    <w:pPr>
      <w:numPr>
        <w:numId w:val="9"/>
      </w:numPr>
    </w:pPr>
  </w:style>
  <w:style w:type="paragraph" w:styleId="ListNumber3">
    <w:name w:val="List Number 3"/>
    <w:basedOn w:val="Normal"/>
    <w:uiPriority w:val="99"/>
    <w:semiHidden/>
    <w:locked/>
    <w:rsid w:val="00E45954"/>
    <w:pPr>
      <w:numPr>
        <w:numId w:val="10"/>
      </w:numPr>
    </w:pPr>
  </w:style>
  <w:style w:type="paragraph" w:styleId="ListNumber4">
    <w:name w:val="List Number 4"/>
    <w:basedOn w:val="Normal"/>
    <w:uiPriority w:val="99"/>
    <w:semiHidden/>
    <w:locked/>
    <w:rsid w:val="00E45954"/>
    <w:pPr>
      <w:numPr>
        <w:numId w:val="7"/>
      </w:numPr>
    </w:pPr>
  </w:style>
  <w:style w:type="paragraph" w:styleId="ListNumber5">
    <w:name w:val="List Number 5"/>
    <w:basedOn w:val="Normal"/>
    <w:uiPriority w:val="99"/>
    <w:semiHidden/>
    <w:locked/>
    <w:rsid w:val="00E45954"/>
    <w:pPr>
      <w:numPr>
        <w:numId w:val="8"/>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styleId="PageNumber">
    <w:name w:val="page number"/>
    <w:basedOn w:val="DefaultParagraphFont"/>
    <w:locked/>
    <w:rsid w:val="00E45954"/>
  </w:style>
  <w:style w:type="paragraph" w:styleId="PlainText">
    <w:name w:val="Plain Text"/>
    <w:basedOn w:val="Normal"/>
    <w:link w:val="PlainTextChar"/>
    <w:uiPriority w:val="99"/>
    <w:semiHidden/>
    <w:locked/>
    <w:rsid w:val="00E45954"/>
    <w:rPr>
      <w:rFonts w:ascii="Courier New" w:hAnsi="Courier New" w:cs="Courier New"/>
      <w:sz w:val="20"/>
    </w:rPr>
  </w:style>
  <w:style w:type="paragraph" w:styleId="Salutation">
    <w:name w:val="Salutation"/>
    <w:basedOn w:val="Normal"/>
    <w:next w:val="Normal"/>
    <w:link w:val="SalutationChar"/>
    <w:uiPriority w:val="99"/>
    <w:semiHidden/>
    <w:locked/>
    <w:rsid w:val="00E45954"/>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99"/>
    <w:qFormat/>
    <w:locked/>
    <w:rsid w:val="00E45954"/>
    <w:pPr>
      <w:spacing w:after="60"/>
      <w:jc w:val="center"/>
      <w:outlineLvl w:val="1"/>
    </w:pPr>
    <w:rPr>
      <w:rFonts w:cs="Arial"/>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uiPriority w:val="99"/>
    <w:semiHidden/>
    <w:locked/>
    <w:rsid w:val="00E45954"/>
    <w:rPr>
      <w:color w:val="800080"/>
      <w:u w:val="single"/>
    </w:rPr>
  </w:style>
  <w:style w:type="paragraph" w:styleId="ListBullet">
    <w:name w:val="List Bullet"/>
    <w:basedOn w:val="Normal"/>
    <w:uiPriority w:val="99"/>
    <w:semiHidden/>
    <w:locked/>
    <w:rsid w:val="00950E88"/>
    <w:pPr>
      <w:numPr>
        <w:numId w:val="1"/>
      </w:numPr>
    </w:pPr>
  </w:style>
  <w:style w:type="paragraph" w:customStyle="1" w:styleId="Contactdetails">
    <w:name w:val="Contact details"/>
    <w:basedOn w:val="Normal"/>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uiPriority w:val="99"/>
    <w:semiHidden/>
    <w:locked/>
    <w:rsid w:val="001C451B"/>
    <w:rPr>
      <w:rFonts w:ascii="Arial" w:hAnsi="Arial"/>
      <w:bCs/>
      <w:i/>
      <w:sz w:val="24"/>
      <w:szCs w:val="26"/>
      <w:lang w:val="en-AU" w:eastAsia="en-AU" w:bidi="ar-SA"/>
    </w:rPr>
  </w:style>
  <w:style w:type="character" w:customStyle="1" w:styleId="CharChar8">
    <w:name w:val="Char Char8"/>
    <w:basedOn w:val="DefaultParagraphFont"/>
    <w:uiPriority w:val="99"/>
    <w:semiHidden/>
    <w:locked/>
    <w:rsid w:val="001C451B"/>
    <w:rPr>
      <w:rFonts w:ascii="Arial" w:hAnsi="Arial"/>
      <w:iCs/>
      <w:sz w:val="24"/>
      <w:szCs w:val="26"/>
      <w:lang w:val="en-AU" w:eastAsia="en-AU" w:bidi="ar-SA"/>
    </w:rPr>
  </w:style>
  <w:style w:type="character" w:customStyle="1" w:styleId="CharChar">
    <w:name w:val="Char Char"/>
    <w:basedOn w:val="DefaultParagraphFont"/>
    <w:uiPriority w:val="99"/>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locked/>
    <w:rsid w:val="00706FAB"/>
    <w:rPr>
      <w:rFonts w:ascii="Arial" w:hAnsi="Arial"/>
      <w:lang w:val="en-AU" w:eastAsia="en-AU" w:bidi="ar-SA"/>
    </w:rPr>
  </w:style>
  <w:style w:type="paragraph" w:styleId="ListParagraph">
    <w:name w:val="List Paragraph"/>
    <w:basedOn w:val="Normal"/>
    <w:uiPriority w:val="1"/>
    <w:qFormat/>
    <w:rsid w:val="00AF6BA2"/>
    <w:pPr>
      <w:spacing w:before="120" w:after="120"/>
      <w:ind w:left="720" w:hanging="720"/>
      <w:contextualSpacing/>
    </w:pPr>
    <w:rPr>
      <w:color w:val="auto"/>
      <w:szCs w:val="24"/>
      <w:lang w:eastAsia="en-AU"/>
    </w:rPr>
  </w:style>
  <w:style w:type="paragraph" w:customStyle="1" w:styleId="SubmissionNormal">
    <w:name w:val="Submission Normal"/>
    <w:aliases w:val="No Spacing,No Spacing1,No Spacing11,No Spacing111"/>
    <w:basedOn w:val="Normal"/>
    <w:link w:val="SubmissionNormalChar"/>
    <w:qFormat/>
    <w:rsid w:val="00AF6BA2"/>
    <w:pPr>
      <w:numPr>
        <w:numId w:val="17"/>
      </w:numPr>
      <w:spacing w:before="120" w:after="120"/>
    </w:pPr>
    <w:rPr>
      <w:szCs w:val="24"/>
      <w:lang w:eastAsia="en-AU"/>
    </w:rPr>
  </w:style>
  <w:style w:type="character" w:customStyle="1" w:styleId="SubmissionNormalChar">
    <w:name w:val="Submission Normal Char"/>
    <w:aliases w:val="No Spacing Char,No Spacing1 Char"/>
    <w:basedOn w:val="DefaultParagraphFont"/>
    <w:link w:val="SubmissionNormal"/>
    <w:locked/>
    <w:rsid w:val="00AF6BA2"/>
    <w:rPr>
      <w:rFonts w:ascii="Arial" w:hAnsi="Arial"/>
      <w:color w:val="000000"/>
      <w:sz w:val="24"/>
      <w:szCs w:val="24"/>
    </w:rPr>
  </w:style>
  <w:style w:type="paragraph" w:customStyle="1" w:styleId="Default">
    <w:name w:val="Default"/>
    <w:rsid w:val="00AF6BA2"/>
    <w:pPr>
      <w:autoSpaceDE w:val="0"/>
      <w:autoSpaceDN w:val="0"/>
      <w:adjustRightInd w:val="0"/>
    </w:pPr>
    <w:rPr>
      <w:rFonts w:ascii="Lato Light" w:hAnsi="Lato Light" w:cs="Lato Light"/>
      <w:color w:val="000000"/>
      <w:sz w:val="24"/>
      <w:szCs w:val="24"/>
    </w:rPr>
  </w:style>
  <w:style w:type="character" w:styleId="CommentReference">
    <w:name w:val="annotation reference"/>
    <w:basedOn w:val="DefaultParagraphFont"/>
    <w:uiPriority w:val="99"/>
    <w:unhideWhenUsed/>
    <w:locked/>
    <w:rsid w:val="00AF6BA2"/>
    <w:rPr>
      <w:sz w:val="16"/>
      <w:szCs w:val="16"/>
    </w:rPr>
  </w:style>
  <w:style w:type="paragraph" w:styleId="CommentText">
    <w:name w:val="annotation text"/>
    <w:basedOn w:val="Normal"/>
    <w:link w:val="CommentTextChar"/>
    <w:uiPriority w:val="99"/>
    <w:unhideWhenUsed/>
    <w:locked/>
    <w:rsid w:val="00AF6BA2"/>
    <w:pPr>
      <w:spacing w:before="120" w:after="120"/>
      <w:ind w:left="862" w:hanging="720"/>
    </w:pPr>
    <w:rPr>
      <w:color w:val="auto"/>
      <w:sz w:val="20"/>
      <w:lang w:eastAsia="en-AU"/>
    </w:rPr>
  </w:style>
  <w:style w:type="character" w:customStyle="1" w:styleId="CommentTextChar">
    <w:name w:val="Comment Text Char"/>
    <w:basedOn w:val="DefaultParagraphFont"/>
    <w:link w:val="CommentText"/>
    <w:uiPriority w:val="99"/>
    <w:rsid w:val="00AF6BA2"/>
    <w:rPr>
      <w:rFonts w:ascii="Arial" w:hAnsi="Arial"/>
    </w:rPr>
  </w:style>
  <w:style w:type="paragraph" w:styleId="CommentSubject">
    <w:name w:val="annotation subject"/>
    <w:basedOn w:val="CommentText"/>
    <w:next w:val="CommentText"/>
    <w:link w:val="CommentSubjectChar"/>
    <w:semiHidden/>
    <w:unhideWhenUsed/>
    <w:locked/>
    <w:rsid w:val="00AF6BA2"/>
    <w:rPr>
      <w:b/>
      <w:bCs/>
    </w:rPr>
  </w:style>
  <w:style w:type="character" w:customStyle="1" w:styleId="CommentSubjectChar">
    <w:name w:val="Comment Subject Char"/>
    <w:basedOn w:val="CommentTextChar"/>
    <w:link w:val="CommentSubject"/>
    <w:uiPriority w:val="99"/>
    <w:semiHidden/>
    <w:rsid w:val="00AF6BA2"/>
    <w:rPr>
      <w:rFonts w:ascii="Arial" w:hAnsi="Arial"/>
      <w:b/>
      <w:bCs/>
    </w:rPr>
  </w:style>
  <w:style w:type="paragraph" w:styleId="Revision">
    <w:name w:val="Revision"/>
    <w:hidden/>
    <w:uiPriority w:val="99"/>
    <w:semiHidden/>
    <w:rsid w:val="00AF6BA2"/>
    <w:rPr>
      <w:rFonts w:ascii="Arial" w:hAnsi="Arial"/>
      <w:sz w:val="24"/>
      <w:szCs w:val="24"/>
    </w:rPr>
  </w:style>
  <w:style w:type="paragraph" w:styleId="BalloonText">
    <w:name w:val="Balloon Text"/>
    <w:basedOn w:val="Normal"/>
    <w:link w:val="BalloonTextChar"/>
    <w:semiHidden/>
    <w:unhideWhenUsed/>
    <w:locked/>
    <w:rsid w:val="00AF6BA2"/>
    <w:pPr>
      <w:spacing w:before="0" w:after="0"/>
      <w:ind w:left="862" w:hanging="720"/>
    </w:pPr>
    <w:rPr>
      <w:rFonts w:ascii="Segoe UI" w:hAnsi="Segoe UI" w:cs="Segoe UI"/>
      <w:color w:val="auto"/>
      <w:sz w:val="18"/>
      <w:szCs w:val="18"/>
      <w:lang w:eastAsia="en-AU"/>
    </w:rPr>
  </w:style>
  <w:style w:type="character" w:customStyle="1" w:styleId="BalloonTextChar">
    <w:name w:val="Balloon Text Char"/>
    <w:basedOn w:val="DefaultParagraphFont"/>
    <w:link w:val="BalloonText"/>
    <w:uiPriority w:val="99"/>
    <w:semiHidden/>
    <w:rsid w:val="00AF6BA2"/>
    <w:rPr>
      <w:rFonts w:ascii="Segoe UI" w:hAnsi="Segoe UI" w:cs="Segoe UI"/>
      <w:sz w:val="18"/>
      <w:szCs w:val="18"/>
    </w:rPr>
  </w:style>
  <w:style w:type="paragraph" w:customStyle="1" w:styleId="MainTitle">
    <w:name w:val="Main Title"/>
    <w:uiPriority w:val="99"/>
    <w:semiHidden/>
    <w:rsid w:val="00AF6BA2"/>
    <w:pPr>
      <w:pBdr>
        <w:top w:val="single" w:sz="12" w:space="10" w:color="0070C0"/>
        <w:bottom w:val="single" w:sz="12" w:space="10" w:color="0070C0"/>
      </w:pBdr>
      <w:spacing w:before="240" w:after="240"/>
    </w:pPr>
    <w:rPr>
      <w:rFonts w:ascii="Arial" w:hAnsi="Arial"/>
      <w:bCs/>
      <w:kern w:val="32"/>
      <w:sz w:val="100"/>
      <w:szCs w:val="32"/>
    </w:rPr>
  </w:style>
  <w:style w:type="character" w:customStyle="1" w:styleId="PlainTextChar">
    <w:name w:val="Plain Text Char"/>
    <w:basedOn w:val="DefaultParagraphFont"/>
    <w:link w:val="PlainText"/>
    <w:uiPriority w:val="99"/>
    <w:semiHidden/>
    <w:locked/>
    <w:rsid w:val="00AF6BA2"/>
    <w:rPr>
      <w:rFonts w:ascii="Courier New" w:hAnsi="Courier New" w:cs="Courier New"/>
    </w:rPr>
  </w:style>
  <w:style w:type="paragraph" w:customStyle="1" w:styleId="NameInsert">
    <w:name w:val="Name Insert"/>
    <w:basedOn w:val="BodyText"/>
    <w:rsid w:val="00AF6BA2"/>
    <w:pPr>
      <w:spacing w:before="120"/>
      <w:ind w:left="862" w:hanging="720"/>
      <w:jc w:val="both"/>
    </w:pPr>
    <w:rPr>
      <w:lang w:val="en-US" w:bidi="en-US"/>
    </w:rPr>
  </w:style>
  <w:style w:type="paragraph" w:customStyle="1" w:styleId="Citazione1">
    <w:name w:val="Citazione1"/>
    <w:basedOn w:val="ListParagraph"/>
    <w:qFormat/>
    <w:rsid w:val="007E5F34"/>
    <w:pPr>
      <w:keepLines/>
      <w:spacing w:before="240" w:after="240" w:line="288" w:lineRule="auto"/>
      <w:ind w:left="1440" w:firstLine="0"/>
      <w:contextualSpacing w:val="0"/>
    </w:pPr>
    <w:rPr>
      <w:rFonts w:cs="Arial"/>
      <w:color w:val="000000"/>
      <w:sz w:val="22"/>
      <w:szCs w:val="20"/>
      <w:lang w:val="en" w:eastAsia="en-US"/>
    </w:rPr>
  </w:style>
  <w:style w:type="character" w:customStyle="1" w:styleId="BodyTextChar">
    <w:name w:val="Body Text Char"/>
    <w:basedOn w:val="DefaultParagraphFont"/>
    <w:link w:val="BodyText"/>
    <w:uiPriority w:val="99"/>
    <w:locked/>
    <w:rsid w:val="009F641F"/>
    <w:rPr>
      <w:rFonts w:ascii="Arial" w:hAnsi="Arial"/>
      <w:color w:val="000000"/>
      <w:sz w:val="24"/>
      <w:lang w:eastAsia="en-US"/>
    </w:rPr>
  </w:style>
  <w:style w:type="character" w:customStyle="1" w:styleId="BodyText2Char">
    <w:name w:val="Body Text 2 Char"/>
    <w:basedOn w:val="DefaultParagraphFont"/>
    <w:link w:val="BodyText2"/>
    <w:uiPriority w:val="99"/>
    <w:semiHidden/>
    <w:locked/>
    <w:rsid w:val="009F641F"/>
    <w:rPr>
      <w:rFonts w:ascii="Arial" w:hAnsi="Arial"/>
      <w:color w:val="000000"/>
      <w:sz w:val="24"/>
      <w:lang w:eastAsia="en-US"/>
    </w:rPr>
  </w:style>
  <w:style w:type="character" w:customStyle="1" w:styleId="BodyText3Char">
    <w:name w:val="Body Text 3 Char"/>
    <w:basedOn w:val="DefaultParagraphFont"/>
    <w:link w:val="BodyText3"/>
    <w:uiPriority w:val="99"/>
    <w:semiHidden/>
    <w:locked/>
    <w:rsid w:val="009F641F"/>
    <w:rPr>
      <w:rFonts w:ascii="Arial" w:hAnsi="Arial"/>
      <w:color w:val="000000"/>
      <w:sz w:val="16"/>
      <w:szCs w:val="16"/>
      <w:lang w:eastAsia="en-US"/>
    </w:rPr>
  </w:style>
  <w:style w:type="character" w:customStyle="1" w:styleId="BodyTextFirstIndentChar">
    <w:name w:val="Body Text First Indent Char"/>
    <w:basedOn w:val="BodyTextChar"/>
    <w:link w:val="BodyTextFirstIndent"/>
    <w:uiPriority w:val="99"/>
    <w:semiHidden/>
    <w:locked/>
    <w:rsid w:val="009F641F"/>
    <w:rPr>
      <w:rFonts w:ascii="Arial" w:hAnsi="Arial"/>
      <w:color w:val="000000"/>
      <w:sz w:val="24"/>
      <w:lang w:eastAsia="en-US"/>
    </w:rPr>
  </w:style>
  <w:style w:type="character" w:customStyle="1" w:styleId="BodyTextIndentChar">
    <w:name w:val="Body Text Indent Char"/>
    <w:basedOn w:val="DefaultParagraphFont"/>
    <w:link w:val="BodyTextIndent"/>
    <w:uiPriority w:val="99"/>
    <w:semiHidden/>
    <w:locked/>
    <w:rsid w:val="009F641F"/>
    <w:rPr>
      <w:rFonts w:ascii="Arial" w:hAnsi="Arial"/>
      <w:color w:val="000000"/>
      <w:sz w:val="24"/>
      <w:lang w:eastAsia="en-US"/>
    </w:rPr>
  </w:style>
  <w:style w:type="character" w:customStyle="1" w:styleId="BodyTextFirstIndent2Char">
    <w:name w:val="Body Text First Indent 2 Char"/>
    <w:basedOn w:val="BodyTextIndentChar"/>
    <w:link w:val="BodyTextFirstIndent2"/>
    <w:uiPriority w:val="99"/>
    <w:semiHidden/>
    <w:locked/>
    <w:rsid w:val="009F641F"/>
    <w:rPr>
      <w:rFonts w:ascii="Arial" w:hAnsi="Arial"/>
      <w:color w:val="000000"/>
      <w:sz w:val="24"/>
      <w:lang w:eastAsia="en-US"/>
    </w:rPr>
  </w:style>
  <w:style w:type="character" w:customStyle="1" w:styleId="BodyTextIndent2Char">
    <w:name w:val="Body Text Indent 2 Char"/>
    <w:basedOn w:val="DefaultParagraphFont"/>
    <w:link w:val="BodyTextIndent2"/>
    <w:uiPriority w:val="99"/>
    <w:semiHidden/>
    <w:locked/>
    <w:rsid w:val="009F641F"/>
    <w:rPr>
      <w:rFonts w:ascii="Arial" w:hAnsi="Arial"/>
      <w:color w:val="000000"/>
      <w:sz w:val="24"/>
      <w:lang w:eastAsia="en-US"/>
    </w:rPr>
  </w:style>
  <w:style w:type="character" w:customStyle="1" w:styleId="BodyTextIndent3Char">
    <w:name w:val="Body Text Indent 3 Char"/>
    <w:basedOn w:val="DefaultParagraphFont"/>
    <w:link w:val="BodyTextIndent3"/>
    <w:uiPriority w:val="99"/>
    <w:semiHidden/>
    <w:locked/>
    <w:rsid w:val="009F641F"/>
    <w:rPr>
      <w:rFonts w:ascii="Arial" w:hAnsi="Arial"/>
      <w:color w:val="000000"/>
      <w:sz w:val="16"/>
      <w:szCs w:val="16"/>
      <w:lang w:eastAsia="en-US"/>
    </w:rPr>
  </w:style>
  <w:style w:type="character" w:customStyle="1" w:styleId="ClosingChar">
    <w:name w:val="Closing Char"/>
    <w:basedOn w:val="DefaultParagraphFont"/>
    <w:link w:val="Closing"/>
    <w:uiPriority w:val="99"/>
    <w:semiHidden/>
    <w:locked/>
    <w:rsid w:val="009F641F"/>
    <w:rPr>
      <w:rFonts w:ascii="Arial" w:hAnsi="Arial"/>
      <w:color w:val="000000"/>
      <w:sz w:val="24"/>
      <w:lang w:eastAsia="en-US"/>
    </w:rPr>
  </w:style>
  <w:style w:type="character" w:customStyle="1" w:styleId="DateChar">
    <w:name w:val="Date Char"/>
    <w:basedOn w:val="DefaultParagraphFont"/>
    <w:link w:val="Date"/>
    <w:uiPriority w:val="99"/>
    <w:semiHidden/>
    <w:locked/>
    <w:rsid w:val="009F641F"/>
    <w:rPr>
      <w:rFonts w:ascii="Arial" w:hAnsi="Arial"/>
      <w:color w:val="000000"/>
      <w:sz w:val="24"/>
      <w:lang w:eastAsia="en-US"/>
    </w:rPr>
  </w:style>
  <w:style w:type="character" w:customStyle="1" w:styleId="E-mailSignatureChar">
    <w:name w:val="E-mail Signature Char"/>
    <w:basedOn w:val="DefaultParagraphFont"/>
    <w:link w:val="E-mailSignature"/>
    <w:uiPriority w:val="99"/>
    <w:semiHidden/>
    <w:locked/>
    <w:rsid w:val="009F641F"/>
    <w:rPr>
      <w:rFonts w:ascii="Arial" w:hAnsi="Arial"/>
      <w:color w:val="000000"/>
      <w:sz w:val="24"/>
      <w:lang w:eastAsia="en-US"/>
    </w:rPr>
  </w:style>
  <w:style w:type="character" w:customStyle="1" w:styleId="HTMLAddressChar">
    <w:name w:val="HTML Address Char"/>
    <w:basedOn w:val="DefaultParagraphFont"/>
    <w:link w:val="HTMLAddress"/>
    <w:uiPriority w:val="99"/>
    <w:semiHidden/>
    <w:locked/>
    <w:rsid w:val="009F641F"/>
    <w:rPr>
      <w:rFonts w:ascii="Arial" w:hAnsi="Arial"/>
      <w:i/>
      <w:iCs/>
      <w:color w:val="000000"/>
      <w:sz w:val="24"/>
      <w:lang w:eastAsia="en-US"/>
    </w:rPr>
  </w:style>
  <w:style w:type="character" w:customStyle="1" w:styleId="HTMLPreformattedChar">
    <w:name w:val="HTML Preformatted Char"/>
    <w:basedOn w:val="DefaultParagraphFont"/>
    <w:link w:val="HTMLPreformatted"/>
    <w:uiPriority w:val="99"/>
    <w:semiHidden/>
    <w:locked/>
    <w:rsid w:val="009F641F"/>
    <w:rPr>
      <w:rFonts w:ascii="Courier New" w:hAnsi="Courier New" w:cs="Courier New"/>
      <w:color w:val="000000"/>
      <w:lang w:eastAsia="en-US"/>
    </w:rPr>
  </w:style>
  <w:style w:type="character" w:customStyle="1" w:styleId="MessageHeaderChar">
    <w:name w:val="Message Header Char"/>
    <w:basedOn w:val="DefaultParagraphFont"/>
    <w:link w:val="MessageHeader"/>
    <w:uiPriority w:val="99"/>
    <w:semiHidden/>
    <w:locked/>
    <w:rsid w:val="009F641F"/>
    <w:rPr>
      <w:rFonts w:ascii="Arial" w:hAnsi="Arial" w:cs="Arial"/>
      <w:color w:val="000000"/>
      <w:sz w:val="24"/>
      <w:shd w:val="pct20" w:color="auto" w:fill="auto"/>
      <w:lang w:eastAsia="en-US"/>
    </w:rPr>
  </w:style>
  <w:style w:type="character" w:customStyle="1" w:styleId="NoteHeadingChar">
    <w:name w:val="Note Heading Char"/>
    <w:basedOn w:val="DefaultParagraphFont"/>
    <w:link w:val="NoteHeading"/>
    <w:uiPriority w:val="99"/>
    <w:locked/>
    <w:rsid w:val="009F641F"/>
    <w:rPr>
      <w:rFonts w:ascii="Arial" w:hAnsi="Arial"/>
      <w:color w:val="000000"/>
      <w:sz w:val="24"/>
      <w:lang w:eastAsia="en-US"/>
    </w:rPr>
  </w:style>
  <w:style w:type="character" w:customStyle="1" w:styleId="SalutationChar">
    <w:name w:val="Salutation Char"/>
    <w:basedOn w:val="DefaultParagraphFont"/>
    <w:link w:val="Salutation"/>
    <w:uiPriority w:val="99"/>
    <w:semiHidden/>
    <w:locked/>
    <w:rsid w:val="009F641F"/>
    <w:rPr>
      <w:rFonts w:ascii="Arial" w:hAnsi="Arial"/>
      <w:color w:val="000000"/>
      <w:sz w:val="24"/>
      <w:lang w:eastAsia="en-US"/>
    </w:rPr>
  </w:style>
  <w:style w:type="character" w:customStyle="1" w:styleId="SignatureChar">
    <w:name w:val="Signature Char"/>
    <w:basedOn w:val="DefaultParagraphFont"/>
    <w:link w:val="Signature"/>
    <w:uiPriority w:val="99"/>
    <w:semiHidden/>
    <w:locked/>
    <w:rsid w:val="009F641F"/>
    <w:rPr>
      <w:rFonts w:ascii="Arial" w:hAnsi="Arial"/>
      <w:color w:val="000000"/>
      <w:sz w:val="24"/>
      <w:lang w:eastAsia="en-US"/>
    </w:rPr>
  </w:style>
  <w:style w:type="character" w:customStyle="1" w:styleId="SubtitleChar">
    <w:name w:val="Subtitle Char"/>
    <w:basedOn w:val="DefaultParagraphFont"/>
    <w:link w:val="Subtitle"/>
    <w:uiPriority w:val="99"/>
    <w:locked/>
    <w:rsid w:val="009F641F"/>
    <w:rPr>
      <w:rFonts w:ascii="Arial" w:hAnsi="Arial" w:cs="Arial"/>
      <w:color w:val="000000"/>
      <w:sz w:val="24"/>
      <w:lang w:eastAsia="en-US"/>
    </w:rPr>
  </w:style>
  <w:style w:type="character" w:customStyle="1" w:styleId="TitleChar">
    <w:name w:val="Title Char"/>
    <w:basedOn w:val="DefaultParagraphFont"/>
    <w:link w:val="Title"/>
    <w:uiPriority w:val="99"/>
    <w:locked/>
    <w:rsid w:val="009F641F"/>
    <w:rPr>
      <w:rFonts w:ascii="Arial" w:hAnsi="Arial" w:cs="Arial"/>
      <w:b/>
      <w:bCs/>
      <w:color w:val="000000"/>
      <w:kern w:val="28"/>
      <w:sz w:val="32"/>
      <w:szCs w:val="32"/>
      <w:lang w:eastAsia="en-US"/>
    </w:rPr>
  </w:style>
  <w:style w:type="paragraph" w:customStyle="1" w:styleId="DocumentLabel">
    <w:name w:val="Document Label"/>
    <w:basedOn w:val="Normal"/>
    <w:next w:val="Normal"/>
    <w:uiPriority w:val="99"/>
    <w:rsid w:val="009F641F"/>
    <w:pPr>
      <w:keepNext/>
      <w:keepLines/>
      <w:spacing w:before="400" w:after="120" w:line="240" w:lineRule="atLeast"/>
      <w:ind w:left="-840"/>
    </w:pPr>
    <w:rPr>
      <w:rFonts w:ascii="Arial Black" w:hAnsi="Arial Black"/>
      <w:color w:val="auto"/>
      <w:spacing w:val="-5"/>
      <w:kern w:val="28"/>
      <w:sz w:val="96"/>
    </w:rPr>
  </w:style>
  <w:style w:type="character" w:customStyle="1" w:styleId="citation">
    <w:name w:val="citation"/>
    <w:basedOn w:val="DefaultParagraphFont"/>
    <w:uiPriority w:val="99"/>
    <w:rsid w:val="009F641F"/>
    <w:rPr>
      <w:rFonts w:cs="Times New Roman"/>
    </w:rPr>
  </w:style>
  <w:style w:type="paragraph" w:customStyle="1" w:styleId="Definition">
    <w:name w:val="Definition"/>
    <w:aliases w:val="dd"/>
    <w:basedOn w:val="Normal"/>
    <w:uiPriority w:val="99"/>
    <w:rsid w:val="009F641F"/>
    <w:pPr>
      <w:autoSpaceDE w:val="0"/>
      <w:autoSpaceDN w:val="0"/>
      <w:spacing w:before="180" w:after="0" w:line="260" w:lineRule="atLeast"/>
      <w:ind w:left="1134"/>
    </w:pPr>
    <w:rPr>
      <w:rFonts w:ascii="Times" w:hAnsi="Times" w:cs="Times"/>
      <w:color w:val="auto"/>
      <w:sz w:val="22"/>
      <w:szCs w:val="22"/>
      <w:lang w:eastAsia="en-AU"/>
    </w:rPr>
  </w:style>
  <w:style w:type="paragraph" w:customStyle="1" w:styleId="indenta">
    <w:name w:val="indent(a)"/>
    <w:aliases w:val="a,paragraph"/>
    <w:basedOn w:val="Normal"/>
    <w:rsid w:val="009F641F"/>
    <w:pPr>
      <w:tabs>
        <w:tab w:val="right" w:pos="1531"/>
      </w:tabs>
      <w:autoSpaceDE w:val="0"/>
      <w:autoSpaceDN w:val="0"/>
      <w:spacing w:before="40" w:after="0" w:line="260" w:lineRule="atLeast"/>
      <w:ind w:left="1644" w:hanging="1644"/>
    </w:pPr>
    <w:rPr>
      <w:rFonts w:ascii="Times" w:hAnsi="Times" w:cs="Times"/>
      <w:color w:val="auto"/>
      <w:sz w:val="22"/>
      <w:szCs w:val="22"/>
      <w:lang w:eastAsia="en-AU"/>
    </w:rPr>
  </w:style>
  <w:style w:type="paragraph" w:customStyle="1" w:styleId="indentii">
    <w:name w:val="indent(ii)"/>
    <w:aliases w:val="aa,paragraph(sub)"/>
    <w:basedOn w:val="indenta"/>
    <w:uiPriority w:val="99"/>
    <w:rsid w:val="009F641F"/>
    <w:pPr>
      <w:tabs>
        <w:tab w:val="clear" w:pos="1531"/>
        <w:tab w:val="right" w:pos="1985"/>
      </w:tabs>
      <w:ind w:left="2098" w:hanging="2098"/>
    </w:pPr>
  </w:style>
  <w:style w:type="character" w:customStyle="1" w:styleId="streetline">
    <w:name w:val="streetline"/>
    <w:basedOn w:val="DefaultParagraphFont"/>
    <w:uiPriority w:val="99"/>
    <w:rsid w:val="009F641F"/>
    <w:rPr>
      <w:rFonts w:cs="Times New Roman"/>
    </w:rPr>
  </w:style>
  <w:style w:type="character" w:customStyle="1" w:styleId="locality3">
    <w:name w:val="locality3"/>
    <w:basedOn w:val="DefaultParagraphFont"/>
    <w:uiPriority w:val="99"/>
    <w:rsid w:val="009F641F"/>
    <w:rPr>
      <w:rFonts w:cs="Times New Roman"/>
      <w:color w:val="666666"/>
    </w:rPr>
  </w:style>
  <w:style w:type="character" w:customStyle="1" w:styleId="state">
    <w:name w:val="state"/>
    <w:basedOn w:val="DefaultParagraphFont"/>
    <w:uiPriority w:val="99"/>
    <w:rsid w:val="009F641F"/>
    <w:rPr>
      <w:rFonts w:cs="Times New Roman"/>
    </w:rPr>
  </w:style>
  <w:style w:type="character" w:customStyle="1" w:styleId="postcode">
    <w:name w:val="postcode"/>
    <w:basedOn w:val="DefaultParagraphFont"/>
    <w:uiPriority w:val="99"/>
    <w:rsid w:val="009F641F"/>
    <w:rPr>
      <w:rFonts w:cs="Times New Roman"/>
    </w:rPr>
  </w:style>
  <w:style w:type="paragraph" w:customStyle="1" w:styleId="subsection">
    <w:name w:val="subsection"/>
    <w:aliases w:val="ss"/>
    <w:rsid w:val="009F641F"/>
    <w:pPr>
      <w:tabs>
        <w:tab w:val="right" w:pos="1021"/>
      </w:tabs>
      <w:spacing w:before="180"/>
      <w:ind w:left="1134" w:hanging="1134"/>
    </w:pPr>
    <w:rPr>
      <w:sz w:val="22"/>
      <w:szCs w:val="22"/>
    </w:rPr>
  </w:style>
  <w:style w:type="paragraph" w:customStyle="1" w:styleId="Style1">
    <w:name w:val="Style1"/>
    <w:basedOn w:val="FootnoteText"/>
    <w:uiPriority w:val="99"/>
    <w:rsid w:val="009F641F"/>
    <w:rPr>
      <w:color w:val="auto"/>
      <w:spacing w:val="-5"/>
    </w:rPr>
  </w:style>
  <w:style w:type="paragraph" w:customStyle="1" w:styleId="msolistparagraph0">
    <w:name w:val="msolistparagraph"/>
    <w:basedOn w:val="Normal"/>
    <w:uiPriority w:val="99"/>
    <w:rsid w:val="009F641F"/>
    <w:pPr>
      <w:spacing w:before="0" w:after="0"/>
      <w:ind w:left="720"/>
    </w:pPr>
    <w:rPr>
      <w:rFonts w:ascii="Calibri" w:hAnsi="Calibri"/>
      <w:color w:val="auto"/>
      <w:sz w:val="22"/>
      <w:szCs w:val="22"/>
      <w:lang w:eastAsia="en-AU"/>
    </w:rPr>
  </w:style>
  <w:style w:type="paragraph" w:customStyle="1" w:styleId="paragraphsub">
    <w:name w:val="paragraphsub"/>
    <w:basedOn w:val="Normal"/>
    <w:rsid w:val="009F641F"/>
    <w:pPr>
      <w:spacing w:before="100" w:beforeAutospacing="1" w:after="100" w:afterAutospacing="1"/>
    </w:pPr>
    <w:rPr>
      <w:rFonts w:ascii="Times New Roman" w:hAnsi="Times New Roman"/>
      <w:color w:val="auto"/>
      <w:szCs w:val="24"/>
      <w:lang w:eastAsia="en-AU"/>
    </w:rPr>
  </w:style>
  <w:style w:type="character" w:customStyle="1" w:styleId="EndnoteTextChar1">
    <w:name w:val="Endnote Text Char1"/>
    <w:rsid w:val="009F641F"/>
    <w:rPr>
      <w:rFonts w:ascii="Arial" w:hAnsi="Arial"/>
    </w:rPr>
  </w:style>
  <w:style w:type="paragraph" w:customStyle="1" w:styleId="Bullet">
    <w:name w:val="Bullet"/>
    <w:basedOn w:val="Normal"/>
    <w:rsid w:val="009F641F"/>
    <w:pPr>
      <w:numPr>
        <w:numId w:val="18"/>
      </w:numPr>
      <w:spacing w:before="60" w:after="60" w:line="360" w:lineRule="exact"/>
      <w:ind w:left="0" w:firstLine="0"/>
      <w:jc w:val="both"/>
    </w:pPr>
  </w:style>
  <w:style w:type="paragraph" w:customStyle="1" w:styleId="Dash">
    <w:name w:val="Dash"/>
    <w:basedOn w:val="Normal"/>
    <w:rsid w:val="009F641F"/>
    <w:pPr>
      <w:numPr>
        <w:numId w:val="19"/>
      </w:numPr>
      <w:tabs>
        <w:tab w:val="num" w:pos="360"/>
      </w:tabs>
      <w:spacing w:before="20" w:after="20" w:line="360" w:lineRule="exact"/>
      <w:ind w:left="0" w:firstLine="0"/>
      <w:jc w:val="both"/>
    </w:pPr>
  </w:style>
  <w:style w:type="paragraph" w:customStyle="1" w:styleId="IndentedParagraph">
    <w:name w:val="Indented Paragraph"/>
    <w:basedOn w:val="Normal"/>
    <w:rsid w:val="009F641F"/>
    <w:pPr>
      <w:spacing w:before="0" w:line="360" w:lineRule="exact"/>
      <w:ind w:left="1440"/>
      <w:jc w:val="both"/>
    </w:pPr>
  </w:style>
  <w:style w:type="paragraph" w:customStyle="1" w:styleId="BasicParagraph">
    <w:name w:val="[Basic Paragraph]"/>
    <w:basedOn w:val="Normal"/>
    <w:rsid w:val="009F641F"/>
    <w:pPr>
      <w:widowControl w:val="0"/>
      <w:autoSpaceDE w:val="0"/>
      <w:autoSpaceDN w:val="0"/>
      <w:adjustRightInd w:val="0"/>
      <w:spacing w:before="0" w:after="0" w:line="288" w:lineRule="auto"/>
      <w:textAlignment w:val="center"/>
    </w:pPr>
    <w:rPr>
      <w:rFonts w:ascii="Times-Roman" w:hAnsi="Times-Roman" w:cs="Times-Roman"/>
      <w:szCs w:val="24"/>
      <w:lang w:val="en-US" w:bidi="en-US"/>
    </w:rPr>
  </w:style>
  <w:style w:type="paragraph" w:customStyle="1" w:styleId="AddressBlock">
    <w:name w:val="Address Block"/>
    <w:basedOn w:val="BodyText"/>
    <w:rsid w:val="009F641F"/>
    <w:pPr>
      <w:keepNext/>
      <w:keepLines/>
      <w:spacing w:before="0" w:after="0"/>
      <w:jc w:val="both"/>
    </w:pPr>
    <w:rPr>
      <w:rFonts w:cs="ArialMT"/>
      <w:szCs w:val="24"/>
      <w:lang w:val="en-US" w:bidi="en-US"/>
    </w:rPr>
  </w:style>
  <w:style w:type="paragraph" w:customStyle="1" w:styleId="Addressee">
    <w:name w:val="Addressee"/>
    <w:basedOn w:val="BodyText"/>
    <w:rsid w:val="009F641F"/>
    <w:pPr>
      <w:spacing w:before="227" w:after="340"/>
      <w:jc w:val="both"/>
    </w:pPr>
    <w:rPr>
      <w:rFonts w:cs="ArialMT"/>
      <w:szCs w:val="24"/>
      <w:lang w:val="en-US" w:bidi="en-US"/>
    </w:rPr>
  </w:style>
  <w:style w:type="paragraph" w:customStyle="1" w:styleId="Titleofletter">
    <w:name w:val="Title of letter"/>
    <w:basedOn w:val="BodyText"/>
    <w:rsid w:val="009F641F"/>
    <w:pPr>
      <w:spacing w:before="0"/>
      <w:jc w:val="both"/>
    </w:pPr>
    <w:rPr>
      <w:rFonts w:cs="ArialMT"/>
      <w:b/>
      <w:szCs w:val="24"/>
      <w:lang w:val="en-US" w:bidi="en-US"/>
    </w:rPr>
  </w:style>
  <w:style w:type="paragraph" w:customStyle="1" w:styleId="YoursSincerley">
    <w:name w:val="Yours Sincerley"/>
    <w:basedOn w:val="BodyText"/>
    <w:rsid w:val="009F641F"/>
    <w:pPr>
      <w:keepNext/>
      <w:keepLines/>
      <w:spacing w:before="0" w:after="901"/>
      <w:jc w:val="both"/>
    </w:pPr>
    <w:rPr>
      <w:rFonts w:cs="ArialMT"/>
      <w:szCs w:val="24"/>
      <w:lang w:val="en-US" w:bidi="en-US"/>
    </w:rPr>
  </w:style>
  <w:style w:type="paragraph" w:customStyle="1" w:styleId="HeaderFooter">
    <w:name w:val="Header &amp; Footer"/>
    <w:basedOn w:val="Normal"/>
    <w:rsid w:val="009F641F"/>
    <w:pPr>
      <w:spacing w:before="0" w:after="0" w:line="200" w:lineRule="exact"/>
      <w:jc w:val="both"/>
    </w:pPr>
    <w:rPr>
      <w:rFonts w:cs="ArialMT"/>
      <w:sz w:val="16"/>
      <w:szCs w:val="24"/>
    </w:rPr>
  </w:style>
  <w:style w:type="paragraph" w:customStyle="1" w:styleId="LogoType">
    <w:name w:val="Logo Type"/>
    <w:basedOn w:val="Header"/>
    <w:rsid w:val="009F641F"/>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9F641F"/>
    <w:pPr>
      <w:spacing w:before="0" w:after="193"/>
    </w:pPr>
    <w:rPr>
      <w:rFonts w:cs="ArialMT"/>
      <w:szCs w:val="24"/>
      <w:lang w:val="en-US" w:bidi="en-US"/>
    </w:rPr>
  </w:style>
  <w:style w:type="paragraph" w:customStyle="1" w:styleId="StyleAddresseeAfter1135pt">
    <w:name w:val="Style Addressee + After:  11.35 pt"/>
    <w:basedOn w:val="Addressee"/>
    <w:rsid w:val="009F641F"/>
    <w:pPr>
      <w:spacing w:before="267" w:after="267"/>
    </w:pPr>
    <w:rPr>
      <w:rFonts w:cs="Times New Roman"/>
      <w:szCs w:val="20"/>
    </w:rPr>
  </w:style>
  <w:style w:type="paragraph" w:customStyle="1" w:styleId="DateInsert">
    <w:name w:val="Date Insert"/>
    <w:basedOn w:val="AddressBlock"/>
    <w:rsid w:val="009F641F"/>
    <w:pPr>
      <w:spacing w:after="227" w:line="320" w:lineRule="exact"/>
    </w:pPr>
  </w:style>
  <w:style w:type="paragraph" w:styleId="Quote">
    <w:name w:val="Quote"/>
    <w:basedOn w:val="Normal"/>
    <w:link w:val="QuoteChar"/>
    <w:qFormat/>
    <w:rsid w:val="009F641F"/>
    <w:rPr>
      <w:i/>
      <w:iCs/>
      <w:szCs w:val="24"/>
      <w:lang w:eastAsia="en-AU"/>
    </w:rPr>
  </w:style>
  <w:style w:type="character" w:customStyle="1" w:styleId="QuoteChar">
    <w:name w:val="Quote Char"/>
    <w:basedOn w:val="DefaultParagraphFont"/>
    <w:link w:val="Quote"/>
    <w:rsid w:val="009F641F"/>
    <w:rPr>
      <w:rFonts w:ascii="Arial" w:hAnsi="Arial"/>
      <w:i/>
      <w:iCs/>
      <w:color w:val="000000"/>
      <w:sz w:val="24"/>
      <w:szCs w:val="24"/>
    </w:rPr>
  </w:style>
  <w:style w:type="paragraph" w:customStyle="1" w:styleId="definition0">
    <w:name w:val="definition"/>
    <w:basedOn w:val="Normal"/>
    <w:rsid w:val="009F641F"/>
    <w:pPr>
      <w:spacing w:before="100" w:beforeAutospacing="1" w:after="100" w:afterAutospacing="1"/>
    </w:pPr>
    <w:rPr>
      <w:rFonts w:ascii="Times New Roman" w:hAnsi="Times New Roman"/>
      <w:color w:val="auto"/>
      <w:szCs w:val="24"/>
      <w:lang w:eastAsia="en-AU"/>
    </w:rPr>
  </w:style>
  <w:style w:type="paragraph" w:customStyle="1" w:styleId="ActHead5">
    <w:name w:val="ActHead 5"/>
    <w:aliases w:val="s"/>
    <w:basedOn w:val="Normal"/>
    <w:next w:val="Normal"/>
    <w:rsid w:val="009F641F"/>
    <w:pPr>
      <w:keepNext/>
      <w:keepLines/>
      <w:spacing w:before="280" w:after="0"/>
      <w:ind w:left="1134" w:hanging="1134"/>
      <w:outlineLvl w:val="4"/>
    </w:pPr>
    <w:rPr>
      <w:rFonts w:ascii="Times New Roman" w:hAnsi="Times New Roman"/>
      <w:b/>
      <w:bCs/>
      <w:color w:val="auto"/>
      <w:kern w:val="28"/>
      <w:szCs w:val="32"/>
      <w:lang w:eastAsia="en-AU"/>
    </w:rPr>
  </w:style>
  <w:style w:type="character" w:customStyle="1" w:styleId="CharSectno">
    <w:name w:val="CharSectno"/>
    <w:rsid w:val="009F641F"/>
  </w:style>
  <w:style w:type="paragraph" w:customStyle="1" w:styleId="SubsectionHead">
    <w:name w:val="SubsectionHead"/>
    <w:aliases w:val="ssh"/>
    <w:basedOn w:val="subsection"/>
    <w:next w:val="subsection"/>
    <w:rsid w:val="009F641F"/>
    <w:pPr>
      <w:keepNext/>
      <w:keepLines/>
      <w:tabs>
        <w:tab w:val="clear" w:pos="1021"/>
      </w:tabs>
      <w:spacing w:before="240"/>
      <w:ind w:firstLine="0"/>
    </w:pPr>
    <w:rPr>
      <w:i/>
      <w:szCs w:val="24"/>
    </w:rPr>
  </w:style>
  <w:style w:type="character" w:customStyle="1" w:styleId="sessionsubtitle">
    <w:name w:val="sessionsubtitle"/>
    <w:basedOn w:val="DefaultParagraphFont"/>
    <w:rsid w:val="009F641F"/>
  </w:style>
  <w:style w:type="character" w:customStyle="1" w:styleId="ssleftalign1">
    <w:name w:val="ss_leftalign1"/>
    <w:basedOn w:val="DefaultParagraphFont"/>
    <w:rsid w:val="009F641F"/>
    <w:rPr>
      <w:vanish w:val="0"/>
      <w:webHidden w:val="0"/>
      <w:sz w:val="24"/>
      <w:szCs w:val="24"/>
      <w:specVanish w:val="0"/>
    </w:rPr>
  </w:style>
  <w:style w:type="paragraph" w:customStyle="1" w:styleId="Body">
    <w:name w:val="Body"/>
    <w:rsid w:val="009F641F"/>
    <w:pPr>
      <w:pBdr>
        <w:top w:val="nil"/>
        <w:left w:val="nil"/>
        <w:bottom w:val="nil"/>
        <w:right w:val="nil"/>
        <w:between w:val="nil"/>
        <w:bar w:val="nil"/>
      </w:pBdr>
    </w:pPr>
    <w:rPr>
      <w:rFonts w:ascii="Arial" w:eastAsia="Arial Unicode MS" w:hAnsi="Arial" w:cs="Arial Unicode MS"/>
      <w:color w:val="000000"/>
      <w:spacing w:val="-5"/>
      <w:u w:color="000000"/>
      <w:bdr w:val="nil"/>
    </w:rPr>
  </w:style>
  <w:style w:type="numbering" w:customStyle="1" w:styleId="ImportedStyle1">
    <w:name w:val="Imported Style 1"/>
    <w:rsid w:val="009F641F"/>
    <w:pPr>
      <w:numPr>
        <w:numId w:val="20"/>
      </w:numPr>
    </w:pPr>
  </w:style>
  <w:style w:type="numbering" w:customStyle="1" w:styleId="ImportedStyle3">
    <w:name w:val="Imported Style 3"/>
    <w:rsid w:val="009F641F"/>
    <w:pPr>
      <w:numPr>
        <w:numId w:val="21"/>
      </w:numPr>
    </w:pPr>
  </w:style>
  <w:style w:type="numbering" w:customStyle="1" w:styleId="ImportedStyle30">
    <w:name w:val="Imported Style 3.0"/>
    <w:rsid w:val="009F641F"/>
    <w:pPr>
      <w:numPr>
        <w:numId w:val="22"/>
      </w:numPr>
    </w:pPr>
  </w:style>
  <w:style w:type="paragraph" w:styleId="TOC5">
    <w:name w:val="toc 5"/>
    <w:basedOn w:val="Normal"/>
    <w:next w:val="Normal"/>
    <w:autoRedefine/>
    <w:uiPriority w:val="39"/>
    <w:unhideWhenUsed/>
    <w:locked/>
    <w:rsid w:val="0030374B"/>
    <w:pPr>
      <w:spacing w:before="0" w:after="100" w:line="259" w:lineRule="auto"/>
      <w:ind w:left="880"/>
    </w:pPr>
    <w:rPr>
      <w:rFonts w:asciiTheme="minorHAnsi" w:eastAsiaTheme="minorEastAsia" w:hAnsiTheme="minorHAnsi" w:cstheme="minorBidi"/>
      <w:color w:val="auto"/>
      <w:sz w:val="22"/>
      <w:szCs w:val="22"/>
      <w:lang w:eastAsia="en-AU"/>
    </w:rPr>
  </w:style>
  <w:style w:type="paragraph" w:styleId="TOC6">
    <w:name w:val="toc 6"/>
    <w:basedOn w:val="Normal"/>
    <w:next w:val="Normal"/>
    <w:autoRedefine/>
    <w:uiPriority w:val="39"/>
    <w:unhideWhenUsed/>
    <w:locked/>
    <w:rsid w:val="0030374B"/>
    <w:pPr>
      <w:spacing w:before="0" w:after="100" w:line="259" w:lineRule="auto"/>
      <w:ind w:left="1100"/>
    </w:pPr>
    <w:rPr>
      <w:rFonts w:asciiTheme="minorHAnsi" w:eastAsiaTheme="minorEastAsia" w:hAnsiTheme="minorHAnsi" w:cstheme="minorBidi"/>
      <w:color w:val="auto"/>
      <w:sz w:val="22"/>
      <w:szCs w:val="22"/>
      <w:lang w:eastAsia="en-AU"/>
    </w:rPr>
  </w:style>
  <w:style w:type="paragraph" w:styleId="TOC7">
    <w:name w:val="toc 7"/>
    <w:basedOn w:val="Normal"/>
    <w:next w:val="Normal"/>
    <w:autoRedefine/>
    <w:uiPriority w:val="39"/>
    <w:unhideWhenUsed/>
    <w:locked/>
    <w:rsid w:val="0030374B"/>
    <w:pPr>
      <w:spacing w:before="0" w:after="100" w:line="259" w:lineRule="auto"/>
      <w:ind w:left="1320"/>
    </w:pPr>
    <w:rPr>
      <w:rFonts w:asciiTheme="minorHAnsi" w:eastAsiaTheme="minorEastAsia" w:hAnsiTheme="minorHAnsi" w:cstheme="minorBidi"/>
      <w:color w:val="auto"/>
      <w:sz w:val="22"/>
      <w:szCs w:val="22"/>
      <w:lang w:eastAsia="en-AU"/>
    </w:rPr>
  </w:style>
  <w:style w:type="paragraph" w:styleId="TOC8">
    <w:name w:val="toc 8"/>
    <w:basedOn w:val="Normal"/>
    <w:next w:val="Normal"/>
    <w:autoRedefine/>
    <w:uiPriority w:val="39"/>
    <w:unhideWhenUsed/>
    <w:locked/>
    <w:rsid w:val="0030374B"/>
    <w:pPr>
      <w:spacing w:before="0" w:after="100" w:line="259" w:lineRule="auto"/>
      <w:ind w:left="1540"/>
    </w:pPr>
    <w:rPr>
      <w:rFonts w:asciiTheme="minorHAnsi" w:eastAsiaTheme="minorEastAsia" w:hAnsiTheme="minorHAnsi" w:cstheme="minorBidi"/>
      <w:color w:val="auto"/>
      <w:sz w:val="22"/>
      <w:szCs w:val="22"/>
      <w:lang w:eastAsia="en-AU"/>
    </w:rPr>
  </w:style>
  <w:style w:type="paragraph" w:styleId="TOC9">
    <w:name w:val="toc 9"/>
    <w:basedOn w:val="Normal"/>
    <w:next w:val="Normal"/>
    <w:autoRedefine/>
    <w:uiPriority w:val="39"/>
    <w:unhideWhenUsed/>
    <w:locked/>
    <w:rsid w:val="0030374B"/>
    <w:pPr>
      <w:spacing w:before="0" w:after="100" w:line="259" w:lineRule="auto"/>
      <w:ind w:left="1760"/>
    </w:pPr>
    <w:rPr>
      <w:rFonts w:asciiTheme="minorHAnsi" w:eastAsiaTheme="minorEastAsia" w:hAnsiTheme="minorHAnsi" w:cstheme="minorBidi"/>
      <w:color w:val="auto"/>
      <w:sz w:val="22"/>
      <w:szCs w:val="22"/>
      <w:lang w:eastAsia="en-AU"/>
    </w:rPr>
  </w:style>
  <w:style w:type="paragraph" w:customStyle="1" w:styleId="CopyrightText">
    <w:name w:val="Copyright Text"/>
    <w:basedOn w:val="Normal"/>
    <w:uiPriority w:val="99"/>
    <w:rsid w:val="00CF56C9"/>
    <w:pPr>
      <w:tabs>
        <w:tab w:val="left" w:pos="567"/>
      </w:tabs>
      <w:suppressAutoHyphens/>
      <w:autoSpaceDE w:val="0"/>
      <w:autoSpaceDN w:val="0"/>
      <w:adjustRightInd w:val="0"/>
      <w:spacing w:before="0" w:after="113" w:line="288" w:lineRule="auto"/>
      <w:textAlignment w:val="center"/>
    </w:pPr>
    <w:rPr>
      <w:rFonts w:cs="Open Sans"/>
      <w:sz w:val="16"/>
      <w:szCs w:val="16"/>
      <w:u w:color="000000"/>
      <w:lang w:eastAsia="en-AU"/>
    </w:rPr>
  </w:style>
  <w:style w:type="character" w:customStyle="1" w:styleId="Bold">
    <w:name w:val="Bold"/>
    <w:uiPriority w:val="99"/>
    <w:rsid w:val="00CF56C9"/>
    <w:rPr>
      <w:rFonts w:ascii="Open Sans" w:hAnsi="Open Sans" w:cs="Open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mmunications@humanrights.gov.au" TargetMode="External"/><Relationship Id="rId2" Type="http://schemas.openxmlformats.org/officeDocument/2006/relationships/customXml" Target="../customXml/item2.xml"/><Relationship Id="rId16" Type="http://schemas.openxmlformats.org/officeDocument/2006/relationships/hyperlink" Target="http://creativecommons.org/licenses/by/4.0/legal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9" ma:contentTypeDescription="Create a new document." ma:contentTypeScope="" ma:versionID="5192ad04e4cc5d5fc9bcb61ce0bf9d4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2eb4585164107e2f905e785de804fa43"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vider xmlns="6500fe01-343b-4fb9-a1b0-68ac19d62e01">Finals</Divider>
    <TaxCatchAll xmlns="6500fe01-343b-4fb9-a1b0-68ac19d62e01"/>
    <TaxKeywordTaxHTField xmlns="6500fe01-343b-4fb9-a1b0-68ac19d62e01">
      <Terms xmlns="http://schemas.microsoft.com/office/infopath/2007/PartnerControls"/>
    </TaxKeywordTaxHTField>
    <_dlc_DocId xmlns="6500fe01-343b-4fb9-a1b0-68ac19d62e01">AHRC-5382029-10228</_dlc_DocId>
    <_dlc_DocIdUrl xmlns="6500fe01-343b-4fb9-a1b0-68ac19d62e01">
      <Url>https://australianhrc.sharepoint.com/sites/LegalServicesWorkspace/_layouts/15/DocIdRedir.aspx?ID=AHRC-5382029-10228</Url>
      <Description>AHRC-5382029-10228</Description>
    </_dlc_DocIdUrl>
    <Report_x0020_No_x002e_ xmlns="0544bb73-b9b2-4315-b463-f353efb89b0b">131</Report_x0020_No_x002e_>
    <Reportstatus xmlns="0544bb73-b9b2-4315-b463-f353efb89b0b" xsi:nil="true"/>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SharedWithUsers xmlns="57f1fb52-79b9-4278-9d54-1e5db41bfcda">
      <UserInfo>
        <DisplayName>Prabha Nandagopal</DisplayName>
        <AccountId>55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1018-9F74-45E8-8FE1-97A672E3582D}">
  <ds:schemaRefs>
    <ds:schemaRef ds:uri="Microsoft.SharePoint.Taxonomy.ContentTypeSync"/>
  </ds:schemaRefs>
</ds:datastoreItem>
</file>

<file path=customXml/itemProps2.xml><?xml version="1.0" encoding="utf-8"?>
<ds:datastoreItem xmlns:ds="http://schemas.openxmlformats.org/officeDocument/2006/customXml" ds:itemID="{B5E52EF1-654B-41C0-9867-62BE5D57FF65}">
  <ds:schemaRefs>
    <ds:schemaRef ds:uri="http://schemas.microsoft.com/office/2006/metadata/customXsn"/>
  </ds:schemaRefs>
</ds:datastoreItem>
</file>

<file path=customXml/itemProps3.xml><?xml version="1.0" encoding="utf-8"?>
<ds:datastoreItem xmlns:ds="http://schemas.openxmlformats.org/officeDocument/2006/customXml" ds:itemID="{F6AD89DB-95D8-4628-B1A7-2257FD1ED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D7308-4E36-48BA-B511-970A02D3D187}">
  <ds:schemaRefs>
    <ds:schemaRef ds:uri="ccf9782b-c747-4be8-886f-341168625564"/>
    <ds:schemaRef ds:uri="57f1fb52-79b9-4278-9d54-1e5db41bfcda"/>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6500fe01-343b-4fb9-a1b0-68ac19d62e01"/>
    <ds:schemaRef ds:uri="0544bb73-b9b2-4315-b463-f353efb89b0b"/>
    <ds:schemaRef ds:uri="http://www.w3.org/XML/1998/namespace"/>
  </ds:schemaRefs>
</ds:datastoreItem>
</file>

<file path=customXml/itemProps5.xml><?xml version="1.0" encoding="utf-8"?>
<ds:datastoreItem xmlns:ds="http://schemas.openxmlformats.org/officeDocument/2006/customXml" ds:itemID="{5BF12694-6578-49CC-864A-FBDC977594BE}">
  <ds:schemaRefs>
    <ds:schemaRef ds:uri="http://schemas.microsoft.com/sharepoint/v3/contenttype/forms"/>
  </ds:schemaRefs>
</ds:datastoreItem>
</file>

<file path=customXml/itemProps6.xml><?xml version="1.0" encoding="utf-8"?>
<ds:datastoreItem xmlns:ds="http://schemas.openxmlformats.org/officeDocument/2006/customXml" ds:itemID="{522DDDFF-54F1-467E-A3A9-CEC4E5FAAA15}">
  <ds:schemaRefs>
    <ds:schemaRef ds:uri="http://schemas.microsoft.com/sharepoint/events"/>
  </ds:schemaRefs>
</ds:datastoreItem>
</file>

<file path=customXml/itemProps7.xml><?xml version="1.0" encoding="utf-8"?>
<ds:datastoreItem xmlns:ds="http://schemas.openxmlformats.org/officeDocument/2006/customXml" ds:itemID="{7C3F4ED6-FB2E-4B83-97B1-A2B825FA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10620</Words>
  <Characters>55321</Characters>
  <Application>Microsoft Office Word</Application>
  <DocSecurity>0</DocSecurity>
  <Lines>461</Lines>
  <Paragraphs>131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Report 131 - 2019 05 27 - BP BQ and BR_signed</vt:lpstr>
      <vt:lpstr>Report 131 - 2019 05 27 - BP BQ and BR_signed</vt:lpstr>
    </vt:vector>
  </TitlesOfParts>
  <Company>Australian Human Rights Commission</Company>
  <LinksUpToDate>false</LinksUpToDate>
  <CharactersWithSpaces>65810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131 - 2019 05 27 - BP BQ and BR_signed</dc:title>
  <dc:subject/>
  <dc:creator>Stephanie Abi-Hanna</dc:creator>
  <cp:keywords/>
  <dc:description/>
  <cp:lastModifiedBy>Debby Xu</cp:lastModifiedBy>
  <cp:revision>3</cp:revision>
  <dcterms:created xsi:type="dcterms:W3CDTF">2020-02-24T22:58:00Z</dcterms:created>
  <dcterms:modified xsi:type="dcterms:W3CDTF">2020-02-26T04:09:00Z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TaxKeyword">
    <vt:lpwstr/>
  </property>
  <property fmtid="{D5CDD505-2E9C-101B-9397-08002B2CF9AE}" pid="4" name="Document Type">
    <vt:lpwstr/>
  </property>
  <property fmtid="{D5CDD505-2E9C-101B-9397-08002B2CF9AE}" pid="5" name="_dlc_DocIdItemGuid">
    <vt:lpwstr>be22abdd-2228-47e2-85b9-c70709d7f65c</vt:lpwstr>
  </property>
  <property fmtid="{D5CDD505-2E9C-101B-9397-08002B2CF9AE}" pid="6" name="DocumentSetDescription">
    <vt:lpwstr/>
  </property>
  <property fmtid="{D5CDD505-2E9C-101B-9397-08002B2CF9AE}" pid="7" name="DocSet Type">
    <vt:lpwstr>AHRCA Report</vt:lpwstr>
  </property>
  <property fmtid="{D5CDD505-2E9C-101B-9397-08002B2CF9AE}" pid="8" name="Business Unit">
    <vt:lpwstr>Legal</vt:lpwstr>
  </property>
  <property fmtid="{D5CDD505-2E9C-101B-9397-08002B2CF9AE}" pid="9" name="Supervisor">
    <vt:lpwstr/>
  </property>
  <property fmtid="{D5CDD505-2E9C-101B-9397-08002B2CF9AE}" pid="10" name="Matter Type">
    <vt:lpwstr>AHRCA Report</vt:lpwstr>
  </property>
  <property fmtid="{D5CDD505-2E9C-101B-9397-08002B2CF9AE}" pid="11" name="Officer">
    <vt:lpwstr/>
  </property>
  <property fmtid="{D5CDD505-2E9C-101B-9397-08002B2CF9AE}" pid="12" name="ContentTypeId">
    <vt:lpwstr>0x010100258FDF5B15A5C74091762EB145641BD2</vt:lpwstr>
  </property>
</Properties>
</file>