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5478862"/>
    <w:p w14:paraId="365535E9" w14:textId="77777777" w:rsidR="00C27179" w:rsidRPr="00654793" w:rsidRDefault="00C27179" w:rsidP="00C27179">
      <w:pPr>
        <w:tabs>
          <w:tab w:val="left" w:pos="3014"/>
        </w:tabs>
        <w:spacing w:after="3000"/>
        <w:rPr>
          <w:rStyle w:val="FootnoteReference"/>
        </w:rPr>
      </w:pPr>
      <w:r>
        <w:rPr>
          <w:noProof/>
          <w:lang w:val="en-US"/>
        </w:rPr>
        <mc:AlternateContent>
          <mc:Choice Requires="wps">
            <w:drawing>
              <wp:anchor distT="0" distB="0" distL="114300" distR="114300" simplePos="0" relativeHeight="251660288" behindDoc="0" locked="0" layoutInCell="1" allowOverlap="1" wp14:anchorId="5FDA5961" wp14:editId="56A3C676">
                <wp:simplePos x="0" y="0"/>
                <wp:positionH relativeFrom="column">
                  <wp:posOffset>1128395</wp:posOffset>
                </wp:positionH>
                <wp:positionV relativeFrom="paragraph">
                  <wp:posOffset>1454785</wp:posOffset>
                </wp:positionV>
                <wp:extent cx="4606290" cy="504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504825"/>
                        </a:xfrm>
                        <a:prstGeom prst="rect">
                          <a:avLst/>
                        </a:prstGeom>
                        <a:noFill/>
                        <a:ln w="6350">
                          <a:noFill/>
                        </a:ln>
                        <a:effectLst/>
                      </wps:spPr>
                      <wps:txbx>
                        <w:txbxContent>
                          <w:p w14:paraId="67F46856" w14:textId="0ACFBA13" w:rsidR="00C27179" w:rsidRPr="0091762E" w:rsidRDefault="00C27179" w:rsidP="00C27179">
                            <w:pPr>
                              <w:pStyle w:val="Subtitle"/>
                              <w:spacing w:before="120"/>
                              <w:rPr>
                                <w:sz w:val="32"/>
                                <w:szCs w:val="32"/>
                              </w:rPr>
                            </w:pPr>
                            <w:bookmarkStart w:id="1" w:name="_Toc15547567"/>
                            <w:r>
                              <w:rPr>
                                <w:sz w:val="32"/>
                                <w:szCs w:val="32"/>
                              </w:rPr>
                              <w:t xml:space="preserve">[2020] </w:t>
                            </w:r>
                            <w:proofErr w:type="spellStart"/>
                            <w:r w:rsidRPr="00B63FF8">
                              <w:rPr>
                                <w:caps w:val="0"/>
                                <w:sz w:val="32"/>
                                <w:szCs w:val="32"/>
                              </w:rPr>
                              <w:t>AusHRC</w:t>
                            </w:r>
                            <w:proofErr w:type="spellEnd"/>
                            <w:r>
                              <w:rPr>
                                <w:sz w:val="32"/>
                                <w:szCs w:val="32"/>
                              </w:rPr>
                              <w:t xml:space="preserve"> 137</w:t>
                            </w:r>
                            <w:r w:rsidRPr="0091762E">
                              <w:rPr>
                                <w:sz w:val="32"/>
                                <w:szCs w:val="32"/>
                              </w:rPr>
                              <w:t xml:space="preserve"> </w:t>
                            </w:r>
                          </w:p>
                          <w:p w14:paraId="26539B1D" w14:textId="77777777" w:rsidR="00C27179" w:rsidRDefault="00C27179"/>
                          <w:p w14:paraId="70726247" w14:textId="77777777" w:rsidR="00C27179" w:rsidRPr="0091762E" w:rsidRDefault="00C27179" w:rsidP="00C27179">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6F312737" w14:textId="77777777" w:rsidR="00C27179" w:rsidRDefault="00C27179"/>
                          <w:p w14:paraId="4BBA58B3" w14:textId="77777777" w:rsidR="00C27179" w:rsidRPr="0091762E" w:rsidRDefault="00C27179" w:rsidP="00C27179">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137</w:t>
                            </w:r>
                            <w:r w:rsidRPr="0091762E">
                              <w:rPr>
                                <w:sz w:val="32"/>
                                <w:szCs w:val="32"/>
                              </w:rPr>
                              <w:t xml:space="preserve"> </w:t>
                            </w:r>
                          </w:p>
                          <w:p w14:paraId="46E99E46" w14:textId="77777777" w:rsidR="00C27179" w:rsidRDefault="00C27179"/>
                          <w:p w14:paraId="0B69B5B4" w14:textId="77777777" w:rsidR="00C27179" w:rsidRPr="0091762E" w:rsidRDefault="00C27179" w:rsidP="00C27179">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716C7ECC" w14:textId="77777777" w:rsidR="00C27179" w:rsidRDefault="00C27179"/>
                          <w:p w14:paraId="15AADAFC" w14:textId="6A495217" w:rsidR="00C27179" w:rsidRPr="0091762E" w:rsidRDefault="00C27179" w:rsidP="00C27179">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137</w:t>
                            </w:r>
                            <w:r w:rsidRPr="0091762E">
                              <w:rPr>
                                <w:sz w:val="32"/>
                                <w:szCs w:val="32"/>
                              </w:rPr>
                              <w:t xml:space="preserve"> </w:t>
                            </w:r>
                          </w:p>
                          <w:p w14:paraId="569FB250" w14:textId="77777777" w:rsidR="00C27179" w:rsidRDefault="00C27179"/>
                          <w:p w14:paraId="47888CD1" w14:textId="77777777" w:rsidR="00C27179" w:rsidRPr="0091762E" w:rsidRDefault="00C27179" w:rsidP="00C27179">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5C8EFB07" w14:textId="77777777" w:rsidR="00C27179" w:rsidRDefault="00C27179"/>
                          <w:p w14:paraId="54E1131F" w14:textId="52A32F4D" w:rsidR="00C27179" w:rsidRPr="0091762E" w:rsidRDefault="00C27179" w:rsidP="00C27179">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137</w:t>
                            </w:r>
                            <w:r w:rsidRPr="0091762E">
                              <w:rPr>
                                <w:sz w:val="32"/>
                                <w:szCs w:val="32"/>
                              </w:rPr>
                              <w:t xml:space="preserve"> </w:t>
                            </w:r>
                          </w:p>
                          <w:p w14:paraId="59A77D1A" w14:textId="77777777" w:rsidR="00C27179" w:rsidRDefault="00C27179"/>
                          <w:p w14:paraId="3BEC3954" w14:textId="09773D6B" w:rsidR="00C27179" w:rsidRPr="0091762E" w:rsidRDefault="00C27179" w:rsidP="00C27179">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1"/>
                            <w:r w:rsidRPr="0091762E">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A5961" id="_x0000_t202" coordsize="21600,21600" o:spt="202" path="m,l,21600r21600,l21600,xe">
                <v:stroke joinstyle="miter"/>
                <v:path gradientshapeok="t" o:connecttype="rect"/>
              </v:shapetype>
              <v:shape id="Text Box 3" o:spid="_x0000_s1026" type="#_x0000_t202" style="position:absolute;margin-left:88.85pt;margin-top:114.55pt;width:362.7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" filled="f" stroked="f" strokeweight=".5pt">
                <v:textbox>
                  <w:txbxContent>
                    <w:p w14:paraId="67F46856" w14:textId="0ACFBA13" w:rsidR="00C27179" w:rsidRPr="0091762E" w:rsidRDefault="00C27179" w:rsidP="00C27179">
                      <w:pPr>
                        <w:pStyle w:val="Subtitle"/>
                        <w:spacing w:before="120"/>
                        <w:rPr>
                          <w:sz w:val="32"/>
                          <w:szCs w:val="32"/>
                        </w:rPr>
                      </w:pPr>
                      <w:bookmarkStart w:id="2" w:name="_Toc15547567"/>
                      <w:r>
                        <w:rPr>
                          <w:sz w:val="32"/>
                          <w:szCs w:val="32"/>
                        </w:rPr>
                        <w:t>[20</w:t>
                      </w:r>
                      <w:r>
                        <w:rPr>
                          <w:sz w:val="32"/>
                          <w:szCs w:val="32"/>
                        </w:rPr>
                        <w:t>20</w:t>
                      </w:r>
                      <w:r>
                        <w:rPr>
                          <w:sz w:val="32"/>
                          <w:szCs w:val="32"/>
                        </w:rPr>
                        <w:t xml:space="preserve">] </w:t>
                      </w:r>
                      <w:proofErr w:type="spellStart"/>
                      <w:r w:rsidRPr="00B63FF8">
                        <w:rPr>
                          <w:caps w:val="0"/>
                          <w:sz w:val="32"/>
                          <w:szCs w:val="32"/>
                        </w:rPr>
                        <w:t>AusHRC</w:t>
                      </w:r>
                      <w:proofErr w:type="spellEnd"/>
                      <w:r>
                        <w:rPr>
                          <w:sz w:val="32"/>
                          <w:szCs w:val="32"/>
                        </w:rPr>
                        <w:t xml:space="preserve"> 13</w:t>
                      </w:r>
                      <w:r>
                        <w:rPr>
                          <w:sz w:val="32"/>
                          <w:szCs w:val="32"/>
                        </w:rPr>
                        <w:t>7</w:t>
                      </w:r>
                      <w:r w:rsidRPr="0091762E">
                        <w:rPr>
                          <w:sz w:val="32"/>
                          <w:szCs w:val="32"/>
                        </w:rPr>
                        <w:t xml:space="preserve"> </w:t>
                      </w:r>
                    </w:p>
                    <w:p w14:paraId="26539B1D" w14:textId="77777777" w:rsidR="00C27179" w:rsidRDefault="00C27179"/>
                    <w:p w14:paraId="70726247" w14:textId="77777777" w:rsidR="00C27179" w:rsidRPr="0091762E" w:rsidRDefault="00C27179" w:rsidP="00C27179">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6F312737" w14:textId="77777777" w:rsidR="00C27179" w:rsidRDefault="00C27179"/>
                    <w:p w14:paraId="4BBA58B3" w14:textId="77777777" w:rsidR="00C27179" w:rsidRPr="0091762E" w:rsidRDefault="00C27179" w:rsidP="00C27179">
                      <w:pPr>
                        <w:pStyle w:val="Subtitle"/>
                        <w:spacing w:before="120"/>
                        <w:rPr>
                          <w:sz w:val="32"/>
                          <w:szCs w:val="32"/>
                        </w:rPr>
                      </w:pPr>
                      <w:r>
                        <w:rPr>
                          <w:sz w:val="32"/>
                          <w:szCs w:val="32"/>
                        </w:rPr>
                        <w:t>[20</w:t>
                      </w:r>
                      <w:r>
                        <w:rPr>
                          <w:sz w:val="32"/>
                          <w:szCs w:val="32"/>
                        </w:rPr>
                        <w:t>20</w:t>
                      </w:r>
                      <w:r>
                        <w:rPr>
                          <w:sz w:val="32"/>
                          <w:szCs w:val="32"/>
                        </w:rPr>
                        <w:t xml:space="preserve">] </w:t>
                      </w:r>
                      <w:proofErr w:type="spellStart"/>
                      <w:r w:rsidRPr="00B63FF8">
                        <w:rPr>
                          <w:caps w:val="0"/>
                          <w:sz w:val="32"/>
                          <w:szCs w:val="32"/>
                        </w:rPr>
                        <w:t>AusHRC</w:t>
                      </w:r>
                      <w:proofErr w:type="spellEnd"/>
                      <w:r>
                        <w:rPr>
                          <w:sz w:val="32"/>
                          <w:szCs w:val="32"/>
                        </w:rPr>
                        <w:t xml:space="preserve"> 13</w:t>
                      </w:r>
                      <w:r>
                        <w:rPr>
                          <w:sz w:val="32"/>
                          <w:szCs w:val="32"/>
                        </w:rPr>
                        <w:t>7</w:t>
                      </w:r>
                      <w:r w:rsidRPr="0091762E">
                        <w:rPr>
                          <w:sz w:val="32"/>
                          <w:szCs w:val="32"/>
                        </w:rPr>
                        <w:t xml:space="preserve"> </w:t>
                      </w:r>
                    </w:p>
                    <w:p w14:paraId="46E99E46" w14:textId="77777777" w:rsidR="00C27179" w:rsidRDefault="00C27179"/>
                    <w:p w14:paraId="0B69B5B4" w14:textId="77777777" w:rsidR="00C27179" w:rsidRPr="0091762E" w:rsidRDefault="00C27179" w:rsidP="00C27179">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716C7ECC" w14:textId="77777777" w:rsidR="00C27179" w:rsidRDefault="00C27179"/>
                    <w:p w14:paraId="15AADAFC" w14:textId="6A495217" w:rsidR="00C27179" w:rsidRPr="0091762E" w:rsidRDefault="00C27179" w:rsidP="00C27179">
                      <w:pPr>
                        <w:pStyle w:val="Subtitle"/>
                        <w:spacing w:before="120"/>
                        <w:rPr>
                          <w:sz w:val="32"/>
                          <w:szCs w:val="32"/>
                        </w:rPr>
                      </w:pPr>
                      <w:r>
                        <w:rPr>
                          <w:sz w:val="32"/>
                          <w:szCs w:val="32"/>
                        </w:rPr>
                        <w:t>[20</w:t>
                      </w:r>
                      <w:r>
                        <w:rPr>
                          <w:sz w:val="32"/>
                          <w:szCs w:val="32"/>
                        </w:rPr>
                        <w:t>20</w:t>
                      </w:r>
                      <w:r>
                        <w:rPr>
                          <w:sz w:val="32"/>
                          <w:szCs w:val="32"/>
                        </w:rPr>
                        <w:t xml:space="preserve">] </w:t>
                      </w:r>
                      <w:proofErr w:type="spellStart"/>
                      <w:r w:rsidRPr="00B63FF8">
                        <w:rPr>
                          <w:caps w:val="0"/>
                          <w:sz w:val="32"/>
                          <w:szCs w:val="32"/>
                        </w:rPr>
                        <w:t>AusHRC</w:t>
                      </w:r>
                      <w:proofErr w:type="spellEnd"/>
                      <w:r>
                        <w:rPr>
                          <w:sz w:val="32"/>
                          <w:szCs w:val="32"/>
                        </w:rPr>
                        <w:t xml:space="preserve"> 13</w:t>
                      </w:r>
                      <w:r>
                        <w:rPr>
                          <w:sz w:val="32"/>
                          <w:szCs w:val="32"/>
                        </w:rPr>
                        <w:t>7</w:t>
                      </w:r>
                      <w:r w:rsidRPr="0091762E">
                        <w:rPr>
                          <w:sz w:val="32"/>
                          <w:szCs w:val="32"/>
                        </w:rPr>
                        <w:t xml:space="preserve"> </w:t>
                      </w:r>
                    </w:p>
                    <w:p w14:paraId="569FB250" w14:textId="77777777" w:rsidR="00C27179" w:rsidRDefault="00C27179"/>
                    <w:p w14:paraId="47888CD1" w14:textId="77777777" w:rsidR="00C27179" w:rsidRPr="0091762E" w:rsidRDefault="00C27179" w:rsidP="00C27179">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5C8EFB07" w14:textId="77777777" w:rsidR="00C27179" w:rsidRDefault="00C27179"/>
                    <w:p w14:paraId="54E1131F" w14:textId="52A32F4D" w:rsidR="00C27179" w:rsidRPr="0091762E" w:rsidRDefault="00C27179" w:rsidP="00C27179">
                      <w:pPr>
                        <w:pStyle w:val="Subtitle"/>
                        <w:spacing w:before="120"/>
                        <w:rPr>
                          <w:sz w:val="32"/>
                          <w:szCs w:val="32"/>
                        </w:rPr>
                      </w:pPr>
                      <w:r>
                        <w:rPr>
                          <w:sz w:val="32"/>
                          <w:szCs w:val="32"/>
                        </w:rPr>
                        <w:t>[20</w:t>
                      </w:r>
                      <w:r>
                        <w:rPr>
                          <w:sz w:val="32"/>
                          <w:szCs w:val="32"/>
                        </w:rPr>
                        <w:t>20</w:t>
                      </w:r>
                      <w:r>
                        <w:rPr>
                          <w:sz w:val="32"/>
                          <w:szCs w:val="32"/>
                        </w:rPr>
                        <w:t xml:space="preserve">] </w:t>
                      </w:r>
                      <w:proofErr w:type="spellStart"/>
                      <w:r w:rsidRPr="00B63FF8">
                        <w:rPr>
                          <w:caps w:val="0"/>
                          <w:sz w:val="32"/>
                          <w:szCs w:val="32"/>
                        </w:rPr>
                        <w:t>AusHRC</w:t>
                      </w:r>
                      <w:proofErr w:type="spellEnd"/>
                      <w:r>
                        <w:rPr>
                          <w:sz w:val="32"/>
                          <w:szCs w:val="32"/>
                        </w:rPr>
                        <w:t xml:space="preserve"> 13</w:t>
                      </w:r>
                      <w:r>
                        <w:rPr>
                          <w:sz w:val="32"/>
                          <w:szCs w:val="32"/>
                        </w:rPr>
                        <w:t>7</w:t>
                      </w:r>
                      <w:r w:rsidRPr="0091762E">
                        <w:rPr>
                          <w:sz w:val="32"/>
                          <w:szCs w:val="32"/>
                        </w:rPr>
                        <w:t xml:space="preserve"> </w:t>
                      </w:r>
                    </w:p>
                    <w:p w14:paraId="59A77D1A" w14:textId="77777777" w:rsidR="00C27179" w:rsidRDefault="00C27179"/>
                    <w:p w14:paraId="3BEC3954" w14:textId="09773D6B" w:rsidR="00C27179" w:rsidRPr="0091762E" w:rsidRDefault="00C27179" w:rsidP="00C27179">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2"/>
                      <w:r w:rsidRPr="0091762E">
                        <w:rPr>
                          <w:sz w:val="32"/>
                          <w:szCs w:val="32"/>
                        </w:rPr>
                        <w:t xml:space="preserve"> </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6401901B" wp14:editId="2B024396">
                <wp:simplePos x="0" y="0"/>
                <wp:positionH relativeFrom="column">
                  <wp:posOffset>1959610</wp:posOffset>
                </wp:positionH>
                <wp:positionV relativeFrom="paragraph">
                  <wp:posOffset>1975485</wp:posOffset>
                </wp:positionV>
                <wp:extent cx="3775075" cy="361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0D5D6867" w14:textId="331D6D8A" w:rsidR="00C27179" w:rsidRPr="003E6E21" w:rsidRDefault="003E6E21" w:rsidP="00C27179">
                            <w:pPr>
                              <w:pStyle w:val="Date"/>
                              <w:rPr>
                                <w:color w:val="auto"/>
                              </w:rPr>
                            </w:pPr>
                            <w:r w:rsidRPr="003E6E21">
                              <w:rPr>
                                <w:color w:val="auto"/>
                              </w:rPr>
                              <w:t>15</w:t>
                            </w:r>
                            <w:r w:rsidR="00C27179" w:rsidRPr="003E6E21">
                              <w:rPr>
                                <w:color w:val="auto"/>
                              </w:rPr>
                              <w:t xml:space="preserve"> September 2020</w:t>
                            </w:r>
                          </w:p>
                          <w:p w14:paraId="537AF515" w14:textId="77777777" w:rsidR="00C27179" w:rsidRDefault="00C27179"/>
                          <w:p w14:paraId="2F191347" w14:textId="77777777" w:rsidR="00C27179" w:rsidRPr="00B74219" w:rsidRDefault="00C27179" w:rsidP="00C27179">
                            <w:pPr>
                              <w:pStyle w:val="Date"/>
                            </w:pPr>
                            <w:r>
                              <w:t>31 July 2019</w:t>
                            </w:r>
                          </w:p>
                          <w:p w14:paraId="70054CCD" w14:textId="77777777" w:rsidR="00C27179" w:rsidRDefault="00C27179"/>
                          <w:p w14:paraId="166055A7" w14:textId="77777777" w:rsidR="00C27179" w:rsidRPr="00B74219" w:rsidRDefault="00C27179" w:rsidP="00C27179">
                            <w:pPr>
                              <w:pStyle w:val="Date"/>
                            </w:pPr>
                            <w:r w:rsidRPr="00C27179">
                              <w:rPr>
                                <w:highlight w:val="yellow"/>
                              </w:rPr>
                              <w:t>31 September 2020</w:t>
                            </w:r>
                          </w:p>
                          <w:p w14:paraId="08C2A0D8" w14:textId="77777777" w:rsidR="00C27179" w:rsidRDefault="00C27179"/>
                          <w:p w14:paraId="2DA12249" w14:textId="77777777" w:rsidR="00C27179" w:rsidRPr="00B74219" w:rsidRDefault="00C27179" w:rsidP="00C27179">
                            <w:pPr>
                              <w:pStyle w:val="Date"/>
                            </w:pPr>
                            <w:r>
                              <w:t>31 July 2019</w:t>
                            </w:r>
                          </w:p>
                          <w:p w14:paraId="19AD1D9E" w14:textId="77777777" w:rsidR="00C27179" w:rsidRDefault="00C27179"/>
                          <w:p w14:paraId="15355E48" w14:textId="2155FABC" w:rsidR="00C27179" w:rsidRPr="00B74219" w:rsidRDefault="00C27179" w:rsidP="00C27179">
                            <w:pPr>
                              <w:pStyle w:val="Date"/>
                            </w:pPr>
                            <w:r w:rsidRPr="00C27179">
                              <w:rPr>
                                <w:highlight w:val="yellow"/>
                              </w:rPr>
                              <w:t>31 September 2020</w:t>
                            </w:r>
                          </w:p>
                          <w:p w14:paraId="3B6EB70A" w14:textId="77777777" w:rsidR="00C27179" w:rsidRDefault="00C27179"/>
                          <w:p w14:paraId="2170CE08" w14:textId="77777777" w:rsidR="00C27179" w:rsidRPr="00B74219" w:rsidRDefault="00C27179" w:rsidP="00C27179">
                            <w:pPr>
                              <w:pStyle w:val="Date"/>
                            </w:pPr>
                            <w:r>
                              <w:t>31 July 2019</w:t>
                            </w:r>
                          </w:p>
                          <w:p w14:paraId="7F9CC2BF" w14:textId="77777777" w:rsidR="00C27179" w:rsidRDefault="00C27179"/>
                          <w:p w14:paraId="1C9F795B" w14:textId="3BE82248" w:rsidR="00C27179" w:rsidRPr="00B74219" w:rsidRDefault="00C27179" w:rsidP="00C27179">
                            <w:pPr>
                              <w:pStyle w:val="Date"/>
                            </w:pPr>
                            <w:r w:rsidRPr="00C27179">
                              <w:rPr>
                                <w:highlight w:val="yellow"/>
                              </w:rPr>
                              <w:t>31 September 2020</w:t>
                            </w:r>
                          </w:p>
                          <w:p w14:paraId="2CFF4DB5" w14:textId="77777777" w:rsidR="00C27179" w:rsidRDefault="00C27179"/>
                          <w:p w14:paraId="31E2389D" w14:textId="5954F4B1" w:rsidR="00C27179" w:rsidRPr="00B74219" w:rsidRDefault="00C27179" w:rsidP="00C27179">
                            <w:pPr>
                              <w:pStyle w:val="Date"/>
                            </w:pPr>
                            <w:r>
                              <w:t>31 July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1901B" id="_x0000_t202" coordsize="21600,21600" o:spt="202" path="m,l,21600r21600,l21600,xe">
                <v:stroke joinstyle="miter"/>
                <v:path gradientshapeok="t" o:connecttype="rect"/>
              </v:shapetype>
              <v:shape id="Text Box 4" o:spid="_x0000_s1027" type="#_x0000_t202" style="position:absolute;margin-left:154.3pt;margin-top:155.55pt;width:297.2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7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" filled="f" stroked="f" strokeweight=".5pt">
                <v:textbox>
                  <w:txbxContent>
                    <w:p w14:paraId="0D5D6867" w14:textId="331D6D8A" w:rsidR="00C27179" w:rsidRPr="003E6E21" w:rsidRDefault="003E6E21" w:rsidP="00C27179">
                      <w:pPr>
                        <w:pStyle w:val="Date"/>
                        <w:rPr>
                          <w:color w:val="auto"/>
                        </w:rPr>
                      </w:pPr>
                      <w:r w:rsidRPr="003E6E21">
                        <w:rPr>
                          <w:color w:val="auto"/>
                        </w:rPr>
                        <w:t>15</w:t>
                      </w:r>
                      <w:r w:rsidR="00C27179" w:rsidRPr="003E6E21">
                        <w:rPr>
                          <w:color w:val="auto"/>
                        </w:rPr>
                        <w:t xml:space="preserve"> September 2020</w:t>
                      </w:r>
                    </w:p>
                    <w:p w14:paraId="537AF515" w14:textId="77777777" w:rsidR="00C27179" w:rsidRDefault="00C27179"/>
                    <w:p w14:paraId="2F191347" w14:textId="77777777" w:rsidR="00C27179" w:rsidRPr="00B74219" w:rsidRDefault="00C27179" w:rsidP="00C27179">
                      <w:pPr>
                        <w:pStyle w:val="Date"/>
                      </w:pPr>
                      <w:r>
                        <w:t>31 July 2019</w:t>
                      </w:r>
                    </w:p>
                    <w:p w14:paraId="70054CCD" w14:textId="77777777" w:rsidR="00C27179" w:rsidRDefault="00C27179"/>
                    <w:p w14:paraId="166055A7" w14:textId="77777777" w:rsidR="00C27179" w:rsidRPr="00B74219" w:rsidRDefault="00C27179" w:rsidP="00C27179">
                      <w:pPr>
                        <w:pStyle w:val="Date"/>
                      </w:pPr>
                      <w:r w:rsidRPr="00C27179">
                        <w:rPr>
                          <w:highlight w:val="yellow"/>
                        </w:rPr>
                        <w:t>31 September 2020</w:t>
                      </w:r>
                    </w:p>
                    <w:p w14:paraId="08C2A0D8" w14:textId="77777777" w:rsidR="00C27179" w:rsidRDefault="00C27179"/>
                    <w:p w14:paraId="2DA12249" w14:textId="77777777" w:rsidR="00C27179" w:rsidRPr="00B74219" w:rsidRDefault="00C27179" w:rsidP="00C27179">
                      <w:pPr>
                        <w:pStyle w:val="Date"/>
                      </w:pPr>
                      <w:r>
                        <w:t>31 July 2019</w:t>
                      </w:r>
                    </w:p>
                    <w:p w14:paraId="19AD1D9E" w14:textId="77777777" w:rsidR="00C27179" w:rsidRDefault="00C27179"/>
                    <w:p w14:paraId="15355E48" w14:textId="2155FABC" w:rsidR="00C27179" w:rsidRPr="00B74219" w:rsidRDefault="00C27179" w:rsidP="00C27179">
                      <w:pPr>
                        <w:pStyle w:val="Date"/>
                      </w:pPr>
                      <w:r w:rsidRPr="00C27179">
                        <w:rPr>
                          <w:highlight w:val="yellow"/>
                        </w:rPr>
                        <w:t>31 September 2020</w:t>
                      </w:r>
                    </w:p>
                    <w:p w14:paraId="3B6EB70A" w14:textId="77777777" w:rsidR="00C27179" w:rsidRDefault="00C27179"/>
                    <w:p w14:paraId="2170CE08" w14:textId="77777777" w:rsidR="00C27179" w:rsidRPr="00B74219" w:rsidRDefault="00C27179" w:rsidP="00C27179">
                      <w:pPr>
                        <w:pStyle w:val="Date"/>
                      </w:pPr>
                      <w:r>
                        <w:t>31 July 2019</w:t>
                      </w:r>
                    </w:p>
                    <w:p w14:paraId="7F9CC2BF" w14:textId="77777777" w:rsidR="00C27179" w:rsidRDefault="00C27179"/>
                    <w:p w14:paraId="1C9F795B" w14:textId="3BE82248" w:rsidR="00C27179" w:rsidRPr="00B74219" w:rsidRDefault="00C27179" w:rsidP="00C27179">
                      <w:pPr>
                        <w:pStyle w:val="Date"/>
                      </w:pPr>
                      <w:r w:rsidRPr="00C27179">
                        <w:rPr>
                          <w:highlight w:val="yellow"/>
                        </w:rPr>
                        <w:t>31 September 2020</w:t>
                      </w:r>
                    </w:p>
                    <w:p w14:paraId="2CFF4DB5" w14:textId="77777777" w:rsidR="00C27179" w:rsidRDefault="00C27179"/>
                    <w:p w14:paraId="31E2389D" w14:textId="5954F4B1" w:rsidR="00C27179" w:rsidRPr="00B74219" w:rsidRDefault="00C27179" w:rsidP="00C27179">
                      <w:pPr>
                        <w:pStyle w:val="Date"/>
                      </w:pPr>
                      <w:r>
                        <w:t>31 July 2019</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10E79AED" wp14:editId="202F29E0">
                <wp:simplePos x="0" y="0"/>
                <wp:positionH relativeFrom="column">
                  <wp:posOffset>2363470</wp:posOffset>
                </wp:positionH>
                <wp:positionV relativeFrom="paragraph">
                  <wp:posOffset>-45085</wp:posOffset>
                </wp:positionV>
                <wp:extent cx="3371215" cy="14859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215" cy="1485900"/>
                        </a:xfrm>
                        <a:prstGeom prst="rect">
                          <a:avLst/>
                        </a:prstGeom>
                        <a:noFill/>
                        <a:ln w="6350">
                          <a:noFill/>
                        </a:ln>
                        <a:effectLst/>
                      </wps:spPr>
                      <wps:txbx>
                        <w:txbxContent>
                          <w:p w14:paraId="5A3CDEBE" w14:textId="1520BE0B" w:rsidR="00C27179" w:rsidRPr="003E6E21" w:rsidRDefault="00C27179" w:rsidP="00C27179">
                            <w:pPr>
                              <w:pStyle w:val="MainTitle"/>
                              <w:rPr>
                                <w:b/>
                                <w:bCs w:val="0"/>
                                <w:sz w:val="36"/>
                                <w:szCs w:val="18"/>
                              </w:rPr>
                            </w:pPr>
                            <w:proofErr w:type="spellStart"/>
                            <w:r w:rsidRPr="003E6E21">
                              <w:rPr>
                                <w:b/>
                                <w:bCs w:val="0"/>
                                <w:sz w:val="36"/>
                                <w:szCs w:val="18"/>
                              </w:rPr>
                              <w:t>Hamedani</w:t>
                            </w:r>
                            <w:proofErr w:type="spellEnd"/>
                            <w:r w:rsidRPr="003E6E21">
                              <w:rPr>
                                <w:b/>
                                <w:bCs w:val="0"/>
                                <w:sz w:val="36"/>
                                <w:szCs w:val="18"/>
                              </w:rPr>
                              <w:t xml:space="preserve"> v Commonwealth of Australia (Department of Home Affairs)</w:t>
                            </w:r>
                          </w:p>
                          <w:p w14:paraId="6C3A0526" w14:textId="77777777" w:rsidR="00C27179" w:rsidRDefault="00C27179"/>
                          <w:p w14:paraId="08E472C0" w14:textId="77777777" w:rsidR="00C27179" w:rsidRPr="000E330C" w:rsidRDefault="00C27179" w:rsidP="00C27179">
                            <w:pPr>
                              <w:pStyle w:val="MainTitle"/>
                              <w:rPr>
                                <w:sz w:val="36"/>
                                <w:szCs w:val="18"/>
                              </w:rPr>
                            </w:pPr>
                            <w:r w:rsidRPr="000E330C">
                              <w:rPr>
                                <w:sz w:val="36"/>
                                <w:szCs w:val="18"/>
                              </w:rPr>
                              <w:t>Mr TA and Miss TB v Commonwealth of Australia (Department of Home Affairs)</w:t>
                            </w:r>
                          </w:p>
                          <w:p w14:paraId="3F12F19D" w14:textId="77777777" w:rsidR="00C27179" w:rsidRDefault="00C27179"/>
                          <w:p w14:paraId="54CBE0E9" w14:textId="77777777" w:rsidR="00C27179" w:rsidRPr="000E330C" w:rsidRDefault="00C27179" w:rsidP="00C27179">
                            <w:pPr>
                              <w:pStyle w:val="MainTitle"/>
                              <w:rPr>
                                <w:sz w:val="36"/>
                                <w:szCs w:val="18"/>
                              </w:rPr>
                            </w:pPr>
                            <w:proofErr w:type="spellStart"/>
                            <w:r>
                              <w:rPr>
                                <w:sz w:val="36"/>
                                <w:szCs w:val="18"/>
                              </w:rPr>
                              <w:t>Hamedani</w:t>
                            </w:r>
                            <w:proofErr w:type="spellEnd"/>
                            <w:r w:rsidRPr="000E330C">
                              <w:rPr>
                                <w:sz w:val="36"/>
                                <w:szCs w:val="18"/>
                              </w:rPr>
                              <w:t xml:space="preserve"> v Commonwealth of Australia (Department of Home Affairs)</w:t>
                            </w:r>
                          </w:p>
                          <w:p w14:paraId="2C80326C" w14:textId="77777777" w:rsidR="00C27179" w:rsidRDefault="00C27179"/>
                          <w:p w14:paraId="4D1B22AA" w14:textId="77777777" w:rsidR="00C27179" w:rsidRPr="000E330C" w:rsidRDefault="00C27179" w:rsidP="00C27179">
                            <w:pPr>
                              <w:pStyle w:val="MainTitle"/>
                              <w:rPr>
                                <w:sz w:val="36"/>
                                <w:szCs w:val="18"/>
                              </w:rPr>
                            </w:pPr>
                            <w:r w:rsidRPr="000E330C">
                              <w:rPr>
                                <w:sz w:val="36"/>
                                <w:szCs w:val="18"/>
                              </w:rPr>
                              <w:t>Mr TA and Miss TB v Commonwealth of Australia (Department of Home Affairs)</w:t>
                            </w:r>
                          </w:p>
                          <w:p w14:paraId="250DADE6" w14:textId="77777777" w:rsidR="00C27179" w:rsidRDefault="00C27179"/>
                          <w:p w14:paraId="59E7F59E" w14:textId="77777777" w:rsidR="00C27179" w:rsidRPr="000E330C" w:rsidRDefault="00C27179" w:rsidP="00C27179">
                            <w:pPr>
                              <w:pStyle w:val="MainTitle"/>
                              <w:rPr>
                                <w:sz w:val="36"/>
                                <w:szCs w:val="18"/>
                              </w:rPr>
                            </w:pPr>
                            <w:proofErr w:type="spellStart"/>
                            <w:r>
                              <w:rPr>
                                <w:sz w:val="36"/>
                                <w:szCs w:val="18"/>
                              </w:rPr>
                              <w:t>Hamedani</w:t>
                            </w:r>
                            <w:proofErr w:type="spellEnd"/>
                            <w:r w:rsidRPr="000E330C">
                              <w:rPr>
                                <w:sz w:val="36"/>
                                <w:szCs w:val="18"/>
                              </w:rPr>
                              <w:t xml:space="preserve"> v Commonwealth of Australia (Department of Home Affairs)</w:t>
                            </w:r>
                          </w:p>
                          <w:p w14:paraId="32C69068" w14:textId="77777777" w:rsidR="00C27179" w:rsidRDefault="00C27179"/>
                          <w:p w14:paraId="069EAFBD" w14:textId="77777777" w:rsidR="00C27179" w:rsidRPr="000E330C" w:rsidRDefault="00C27179" w:rsidP="00C27179">
                            <w:pPr>
                              <w:pStyle w:val="MainTitle"/>
                              <w:rPr>
                                <w:sz w:val="36"/>
                                <w:szCs w:val="18"/>
                              </w:rPr>
                            </w:pPr>
                            <w:r w:rsidRPr="000E330C">
                              <w:rPr>
                                <w:sz w:val="36"/>
                                <w:szCs w:val="18"/>
                              </w:rPr>
                              <w:t>Mr TA and Miss TB v Commonwealth of Australia (Department of Home Affairs)</w:t>
                            </w:r>
                          </w:p>
                          <w:p w14:paraId="10C8A3DB" w14:textId="77777777" w:rsidR="00C27179" w:rsidRDefault="00C27179"/>
                          <w:p w14:paraId="6D4363E6" w14:textId="77777777" w:rsidR="00C27179" w:rsidRPr="000E330C" w:rsidRDefault="00C27179" w:rsidP="00C27179">
                            <w:pPr>
                              <w:pStyle w:val="MainTitle"/>
                              <w:rPr>
                                <w:sz w:val="36"/>
                                <w:szCs w:val="18"/>
                              </w:rPr>
                            </w:pPr>
                            <w:proofErr w:type="spellStart"/>
                            <w:r>
                              <w:rPr>
                                <w:sz w:val="36"/>
                                <w:szCs w:val="18"/>
                              </w:rPr>
                              <w:t>Hamedani</w:t>
                            </w:r>
                            <w:proofErr w:type="spellEnd"/>
                            <w:r w:rsidRPr="000E330C">
                              <w:rPr>
                                <w:sz w:val="36"/>
                                <w:szCs w:val="18"/>
                              </w:rPr>
                              <w:t xml:space="preserve"> v Commonwealth of Australia (Department of Home Affairs)</w:t>
                            </w:r>
                          </w:p>
                          <w:p w14:paraId="4D5C52A9" w14:textId="77777777" w:rsidR="00C27179" w:rsidRDefault="00C27179"/>
                          <w:p w14:paraId="51B850C6" w14:textId="77777777" w:rsidR="00C27179" w:rsidRPr="000E330C" w:rsidRDefault="00C27179" w:rsidP="00C27179">
                            <w:pPr>
                              <w:pStyle w:val="MainTitle"/>
                              <w:rPr>
                                <w:sz w:val="36"/>
                                <w:szCs w:val="18"/>
                              </w:rPr>
                            </w:pPr>
                            <w:r w:rsidRPr="000E330C">
                              <w:rPr>
                                <w:sz w:val="36"/>
                                <w:szCs w:val="18"/>
                              </w:rPr>
                              <w:t>Mr TA and Miss TB v Commonwealth of Australia (Department of Home Affairs)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79AED" id="Text Box 1" o:spid="_x0000_s1028" type="#_x0000_t202" style="position:absolute;margin-left:186.1pt;margin-top:-3.55pt;width:265.4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" filled="f" stroked="f" strokeweight=".5pt">
                <v:textbox>
                  <w:txbxContent>
                    <w:p w14:paraId="5A3CDEBE" w14:textId="1520BE0B" w:rsidR="00C27179" w:rsidRPr="003E6E21" w:rsidRDefault="00C27179" w:rsidP="00C27179">
                      <w:pPr>
                        <w:pStyle w:val="MainTitle"/>
                        <w:rPr>
                          <w:b/>
                          <w:bCs w:val="0"/>
                          <w:sz w:val="36"/>
                          <w:szCs w:val="18"/>
                        </w:rPr>
                      </w:pPr>
                      <w:proofErr w:type="spellStart"/>
                      <w:r w:rsidRPr="003E6E21">
                        <w:rPr>
                          <w:b/>
                          <w:bCs w:val="0"/>
                          <w:sz w:val="36"/>
                          <w:szCs w:val="18"/>
                        </w:rPr>
                        <w:t>Hamedani</w:t>
                      </w:r>
                      <w:proofErr w:type="spellEnd"/>
                      <w:r w:rsidRPr="003E6E21">
                        <w:rPr>
                          <w:b/>
                          <w:bCs w:val="0"/>
                          <w:sz w:val="36"/>
                          <w:szCs w:val="18"/>
                        </w:rPr>
                        <w:t xml:space="preserve"> v Commonwealth of Australia (Department of Home Affairs)</w:t>
                      </w:r>
                    </w:p>
                    <w:p w14:paraId="6C3A0526" w14:textId="77777777" w:rsidR="00C27179" w:rsidRDefault="00C27179"/>
                    <w:p w14:paraId="08E472C0" w14:textId="77777777" w:rsidR="00C27179" w:rsidRPr="000E330C" w:rsidRDefault="00C27179" w:rsidP="00C27179">
                      <w:pPr>
                        <w:pStyle w:val="MainTitle"/>
                        <w:rPr>
                          <w:sz w:val="36"/>
                          <w:szCs w:val="18"/>
                        </w:rPr>
                      </w:pPr>
                      <w:r w:rsidRPr="000E330C">
                        <w:rPr>
                          <w:sz w:val="36"/>
                          <w:szCs w:val="18"/>
                        </w:rPr>
                        <w:t>Mr TA and Miss TB v Commonwealth of Australia (Department of Home Affairs)</w:t>
                      </w:r>
                    </w:p>
                    <w:p w14:paraId="3F12F19D" w14:textId="77777777" w:rsidR="00C27179" w:rsidRDefault="00C27179"/>
                    <w:p w14:paraId="54CBE0E9" w14:textId="77777777" w:rsidR="00C27179" w:rsidRPr="000E330C" w:rsidRDefault="00C27179" w:rsidP="00C27179">
                      <w:pPr>
                        <w:pStyle w:val="MainTitle"/>
                        <w:rPr>
                          <w:sz w:val="36"/>
                          <w:szCs w:val="18"/>
                        </w:rPr>
                      </w:pPr>
                      <w:proofErr w:type="spellStart"/>
                      <w:r>
                        <w:rPr>
                          <w:sz w:val="36"/>
                          <w:szCs w:val="18"/>
                        </w:rPr>
                        <w:t>Hamedani</w:t>
                      </w:r>
                      <w:proofErr w:type="spellEnd"/>
                      <w:r w:rsidRPr="000E330C">
                        <w:rPr>
                          <w:sz w:val="36"/>
                          <w:szCs w:val="18"/>
                        </w:rPr>
                        <w:t xml:space="preserve"> v Commonwealth of Australia (Department of Home Affairs)</w:t>
                      </w:r>
                    </w:p>
                    <w:p w14:paraId="2C80326C" w14:textId="77777777" w:rsidR="00C27179" w:rsidRDefault="00C27179"/>
                    <w:p w14:paraId="4D1B22AA" w14:textId="77777777" w:rsidR="00C27179" w:rsidRPr="000E330C" w:rsidRDefault="00C27179" w:rsidP="00C27179">
                      <w:pPr>
                        <w:pStyle w:val="MainTitle"/>
                        <w:rPr>
                          <w:sz w:val="36"/>
                          <w:szCs w:val="18"/>
                        </w:rPr>
                      </w:pPr>
                      <w:r w:rsidRPr="000E330C">
                        <w:rPr>
                          <w:sz w:val="36"/>
                          <w:szCs w:val="18"/>
                        </w:rPr>
                        <w:t>Mr TA and Miss TB v Commonwealth of Australia (Department of Home Affairs)</w:t>
                      </w:r>
                    </w:p>
                    <w:p w14:paraId="250DADE6" w14:textId="77777777" w:rsidR="00C27179" w:rsidRDefault="00C27179"/>
                    <w:p w14:paraId="59E7F59E" w14:textId="77777777" w:rsidR="00C27179" w:rsidRPr="000E330C" w:rsidRDefault="00C27179" w:rsidP="00C27179">
                      <w:pPr>
                        <w:pStyle w:val="MainTitle"/>
                        <w:rPr>
                          <w:sz w:val="36"/>
                          <w:szCs w:val="18"/>
                        </w:rPr>
                      </w:pPr>
                      <w:proofErr w:type="spellStart"/>
                      <w:r>
                        <w:rPr>
                          <w:sz w:val="36"/>
                          <w:szCs w:val="18"/>
                        </w:rPr>
                        <w:t>Hamedani</w:t>
                      </w:r>
                      <w:proofErr w:type="spellEnd"/>
                      <w:r w:rsidRPr="000E330C">
                        <w:rPr>
                          <w:sz w:val="36"/>
                          <w:szCs w:val="18"/>
                        </w:rPr>
                        <w:t xml:space="preserve"> v Commonwealth of Australia (Department of Home Affairs)</w:t>
                      </w:r>
                    </w:p>
                    <w:p w14:paraId="32C69068" w14:textId="77777777" w:rsidR="00C27179" w:rsidRDefault="00C27179"/>
                    <w:p w14:paraId="069EAFBD" w14:textId="77777777" w:rsidR="00C27179" w:rsidRPr="000E330C" w:rsidRDefault="00C27179" w:rsidP="00C27179">
                      <w:pPr>
                        <w:pStyle w:val="MainTitle"/>
                        <w:rPr>
                          <w:sz w:val="36"/>
                          <w:szCs w:val="18"/>
                        </w:rPr>
                      </w:pPr>
                      <w:r w:rsidRPr="000E330C">
                        <w:rPr>
                          <w:sz w:val="36"/>
                          <w:szCs w:val="18"/>
                        </w:rPr>
                        <w:t>Mr TA and Miss TB v Commonwealth of Australia (Department of Home Affairs)</w:t>
                      </w:r>
                    </w:p>
                    <w:p w14:paraId="10C8A3DB" w14:textId="77777777" w:rsidR="00C27179" w:rsidRDefault="00C27179"/>
                    <w:p w14:paraId="6D4363E6" w14:textId="77777777" w:rsidR="00C27179" w:rsidRPr="000E330C" w:rsidRDefault="00C27179" w:rsidP="00C27179">
                      <w:pPr>
                        <w:pStyle w:val="MainTitle"/>
                        <w:rPr>
                          <w:sz w:val="36"/>
                          <w:szCs w:val="18"/>
                        </w:rPr>
                      </w:pPr>
                      <w:proofErr w:type="spellStart"/>
                      <w:r>
                        <w:rPr>
                          <w:sz w:val="36"/>
                          <w:szCs w:val="18"/>
                        </w:rPr>
                        <w:t>Hamedani</w:t>
                      </w:r>
                      <w:proofErr w:type="spellEnd"/>
                      <w:r w:rsidRPr="000E330C">
                        <w:rPr>
                          <w:sz w:val="36"/>
                          <w:szCs w:val="18"/>
                        </w:rPr>
                        <w:t xml:space="preserve"> v Commonwealth of Australia (Department of Home Affairs)</w:t>
                      </w:r>
                    </w:p>
                    <w:p w14:paraId="4D5C52A9" w14:textId="77777777" w:rsidR="00C27179" w:rsidRDefault="00C27179"/>
                    <w:p w14:paraId="51B850C6" w14:textId="77777777" w:rsidR="00C27179" w:rsidRPr="000E330C" w:rsidRDefault="00C27179" w:rsidP="00C27179">
                      <w:pPr>
                        <w:pStyle w:val="MainTitle"/>
                        <w:rPr>
                          <w:sz w:val="36"/>
                          <w:szCs w:val="18"/>
                        </w:rPr>
                      </w:pPr>
                      <w:r w:rsidRPr="000E330C">
                        <w:rPr>
                          <w:sz w:val="36"/>
                          <w:szCs w:val="18"/>
                        </w:rPr>
                        <w:t>Mr TA and Miss TB v Commonwealth of Australia (Department of Home Affairs)</w:t>
                      </w:r>
                    </w:p>
                  </w:txbxContent>
                </v:textbox>
              </v:shape>
            </w:pict>
          </mc:Fallback>
        </mc:AlternateContent>
      </w:r>
    </w:p>
    <w:p w14:paraId="7B86110F" w14:textId="77777777" w:rsidR="00C27179" w:rsidRDefault="00C27179" w:rsidP="00C27179">
      <w:bookmarkStart w:id="2" w:name="_Toc209316062"/>
      <w:bookmarkEnd w:id="2"/>
    </w:p>
    <w:p w14:paraId="2EE9B419" w14:textId="5F20771A" w:rsidR="00C27179" w:rsidRDefault="00C27179" w:rsidP="00C27179">
      <w:pPr>
        <w:sectPr w:rsidR="00C27179" w:rsidSect="00C27179">
          <w:headerReference w:type="even" r:id="rId14"/>
          <w:headerReference w:type="first" r:id="rId15"/>
          <w:footerReference w:type="first" r:id="rId16"/>
          <w:pgSz w:w="11906" w:h="16838" w:code="9"/>
          <w:pgMar w:top="228" w:right="1700" w:bottom="1134" w:left="1418" w:header="277" w:footer="415" w:gutter="0"/>
          <w:cols w:space="708"/>
          <w:titlePg/>
          <w:docGrid w:linePitch="360"/>
        </w:sectPr>
      </w:pPr>
    </w:p>
    <w:bookmarkEnd w:id="0"/>
    <w:p w14:paraId="1F4DDFC7" w14:textId="77777777" w:rsidR="00111740" w:rsidRPr="00772985" w:rsidRDefault="00111740" w:rsidP="00111740">
      <w:pPr>
        <w:rPr>
          <w:rFonts w:ascii="Open Sans" w:hAnsi="Open Sans" w:cs="Open Sans"/>
          <w:b/>
          <w:sz w:val="36"/>
          <w:szCs w:val="36"/>
        </w:rPr>
      </w:pPr>
      <w:proofErr w:type="spellStart"/>
      <w:r>
        <w:rPr>
          <w:rFonts w:ascii="Open Sans" w:hAnsi="Open Sans" w:cs="Open Sans"/>
          <w:b/>
          <w:sz w:val="36"/>
          <w:szCs w:val="36"/>
        </w:rPr>
        <w:lastRenderedPageBreak/>
        <w:t>Hamedani</w:t>
      </w:r>
      <w:proofErr w:type="spellEnd"/>
      <w:r w:rsidRPr="00772985">
        <w:rPr>
          <w:rFonts w:ascii="Open Sans" w:hAnsi="Open Sans" w:cs="Open Sans"/>
          <w:b/>
          <w:sz w:val="36"/>
          <w:szCs w:val="36"/>
        </w:rPr>
        <w:t xml:space="preserve"> v Commonwealth (Department of Home Affairs)</w:t>
      </w:r>
    </w:p>
    <w:p w14:paraId="098E91FD" w14:textId="77777777" w:rsidR="00111740" w:rsidRPr="00772985" w:rsidRDefault="00111740" w:rsidP="00111740">
      <w:pPr>
        <w:rPr>
          <w:rFonts w:ascii="Open Sans" w:hAnsi="Open Sans" w:cs="Open Sans"/>
          <w:szCs w:val="24"/>
        </w:rPr>
      </w:pPr>
    </w:p>
    <w:p w14:paraId="3D834F55" w14:textId="77777777" w:rsidR="00111740" w:rsidRPr="00C27179" w:rsidRDefault="00111740" w:rsidP="00111740">
      <w:pPr>
        <w:rPr>
          <w:rFonts w:ascii="Open Sans" w:hAnsi="Open Sans" w:cs="Open Sans"/>
          <w:sz w:val="32"/>
          <w:szCs w:val="32"/>
        </w:rPr>
      </w:pPr>
      <w:r w:rsidRPr="00C27179">
        <w:rPr>
          <w:rFonts w:ascii="Open Sans" w:hAnsi="Open Sans" w:cs="Open Sans"/>
          <w:sz w:val="32"/>
          <w:szCs w:val="32"/>
        </w:rPr>
        <w:t xml:space="preserve">[2020] </w:t>
      </w:r>
      <w:proofErr w:type="spellStart"/>
      <w:r w:rsidRPr="00C27179">
        <w:rPr>
          <w:rFonts w:ascii="Open Sans" w:hAnsi="Open Sans" w:cs="Open Sans"/>
          <w:sz w:val="32"/>
          <w:szCs w:val="32"/>
        </w:rPr>
        <w:t>AusHRC</w:t>
      </w:r>
      <w:proofErr w:type="spellEnd"/>
      <w:r w:rsidRPr="00C27179">
        <w:rPr>
          <w:rFonts w:ascii="Open Sans" w:hAnsi="Open Sans" w:cs="Open Sans"/>
          <w:sz w:val="32"/>
          <w:szCs w:val="32"/>
        </w:rPr>
        <w:t xml:space="preserve"> 137</w:t>
      </w:r>
    </w:p>
    <w:p w14:paraId="71874119" w14:textId="77777777" w:rsidR="00111740" w:rsidRPr="00772985" w:rsidRDefault="00111740" w:rsidP="00111740">
      <w:pPr>
        <w:rPr>
          <w:rFonts w:ascii="Open Sans" w:hAnsi="Open Sans" w:cs="Open Sans"/>
          <w:szCs w:val="24"/>
        </w:rPr>
      </w:pPr>
    </w:p>
    <w:p w14:paraId="6CD95863" w14:textId="77777777" w:rsidR="00111740" w:rsidRPr="00772985" w:rsidRDefault="00111740" w:rsidP="00111740">
      <w:pPr>
        <w:rPr>
          <w:rFonts w:ascii="Open Sans" w:hAnsi="Open Sans" w:cs="Open Sans"/>
          <w:i/>
          <w:szCs w:val="24"/>
        </w:rPr>
      </w:pPr>
      <w:r w:rsidRPr="008050FD">
        <w:rPr>
          <w:rFonts w:ascii="Open Sans" w:hAnsi="Open Sans" w:cs="Open Sans"/>
          <w:i/>
          <w:szCs w:val="24"/>
        </w:rPr>
        <w:t>Report into arbitrary detention</w:t>
      </w:r>
      <w:r>
        <w:rPr>
          <w:rFonts w:ascii="Open Sans" w:hAnsi="Open Sans" w:cs="Open Sans"/>
          <w:i/>
          <w:szCs w:val="24"/>
        </w:rPr>
        <w:t xml:space="preserve"> </w:t>
      </w:r>
    </w:p>
    <w:p w14:paraId="6920B4FD" w14:textId="77777777" w:rsidR="00111740" w:rsidRPr="00772985" w:rsidRDefault="00111740" w:rsidP="00111740">
      <w:pPr>
        <w:rPr>
          <w:rFonts w:ascii="Open Sans" w:hAnsi="Open Sans" w:cs="Open Sans"/>
          <w:szCs w:val="24"/>
        </w:rPr>
      </w:pPr>
    </w:p>
    <w:p w14:paraId="26CC44D3" w14:textId="77777777" w:rsidR="00111740" w:rsidRDefault="00111740" w:rsidP="00111740">
      <w:pPr>
        <w:rPr>
          <w:rFonts w:ascii="Open Sans" w:hAnsi="Open Sans" w:cs="Open Sans"/>
          <w:szCs w:val="24"/>
        </w:rPr>
      </w:pPr>
    </w:p>
    <w:p w14:paraId="0579103F" w14:textId="77777777" w:rsidR="00111740" w:rsidRDefault="00111740" w:rsidP="00111740">
      <w:pPr>
        <w:rPr>
          <w:rFonts w:ascii="Open Sans" w:hAnsi="Open Sans" w:cs="Open Sans"/>
          <w:szCs w:val="24"/>
        </w:rPr>
      </w:pPr>
    </w:p>
    <w:p w14:paraId="10710034" w14:textId="77777777" w:rsidR="00111740" w:rsidRPr="00772985" w:rsidRDefault="00111740" w:rsidP="00111740">
      <w:pPr>
        <w:rPr>
          <w:rFonts w:ascii="Open Sans" w:hAnsi="Open Sans" w:cs="Open Sans"/>
          <w:szCs w:val="24"/>
        </w:rPr>
      </w:pPr>
    </w:p>
    <w:p w14:paraId="5A219106" w14:textId="77777777" w:rsidR="00111740" w:rsidRDefault="00111740" w:rsidP="00111740">
      <w:pPr>
        <w:rPr>
          <w:rFonts w:ascii="Open Sans" w:hAnsi="Open Sans" w:cs="Open Sans"/>
          <w:szCs w:val="24"/>
        </w:rPr>
      </w:pPr>
      <w:r w:rsidRPr="00772985">
        <w:rPr>
          <w:rFonts w:ascii="Open Sans" w:hAnsi="Open Sans" w:cs="Open Sans"/>
          <w:szCs w:val="24"/>
        </w:rPr>
        <w:t>Australian Human Rights Commission 20</w:t>
      </w:r>
      <w:r>
        <w:rPr>
          <w:rFonts w:ascii="Open Sans" w:hAnsi="Open Sans" w:cs="Open Sans"/>
          <w:szCs w:val="24"/>
        </w:rPr>
        <w:t>20</w:t>
      </w:r>
    </w:p>
    <w:p w14:paraId="54C56D9E" w14:textId="77777777" w:rsidR="00111740" w:rsidRDefault="00111740" w:rsidP="00111740">
      <w:pPr>
        <w:rPr>
          <w:rFonts w:ascii="Open Sans" w:hAnsi="Open Sans" w:cs="Open Sans"/>
          <w:szCs w:val="24"/>
        </w:rPr>
      </w:pPr>
    </w:p>
    <w:p w14:paraId="350B2974" w14:textId="77777777" w:rsidR="00111740" w:rsidRDefault="00111740" w:rsidP="00111740">
      <w:pPr>
        <w:rPr>
          <w:rFonts w:ascii="Open Sans" w:hAnsi="Open Sans" w:cs="Open Sans"/>
          <w:szCs w:val="24"/>
        </w:rPr>
      </w:pPr>
    </w:p>
    <w:p w14:paraId="084225EE" w14:textId="77777777" w:rsidR="00111740" w:rsidRDefault="00111740" w:rsidP="00111740">
      <w:pPr>
        <w:rPr>
          <w:rFonts w:ascii="Open Sans" w:hAnsi="Open Sans" w:cs="Open Sans"/>
          <w:szCs w:val="24"/>
        </w:rPr>
      </w:pPr>
    </w:p>
    <w:p w14:paraId="6CB5C651" w14:textId="77777777" w:rsidR="00111740" w:rsidRDefault="00111740" w:rsidP="00111740">
      <w:pPr>
        <w:rPr>
          <w:rFonts w:ascii="Open Sans" w:hAnsi="Open Sans" w:cs="Open Sans"/>
          <w:szCs w:val="24"/>
        </w:rPr>
      </w:pPr>
    </w:p>
    <w:p w14:paraId="14860DBC" w14:textId="77777777" w:rsidR="00111740" w:rsidRDefault="00111740" w:rsidP="00111740">
      <w:pPr>
        <w:rPr>
          <w:rFonts w:ascii="Open Sans" w:hAnsi="Open Sans" w:cs="Open Sans"/>
          <w:szCs w:val="24"/>
        </w:rPr>
      </w:pPr>
    </w:p>
    <w:p w14:paraId="75C9A5F5" w14:textId="77777777" w:rsidR="00111740" w:rsidRDefault="00111740" w:rsidP="00111740">
      <w:pPr>
        <w:rPr>
          <w:rFonts w:ascii="Open Sans" w:hAnsi="Open Sans" w:cs="Open Sans"/>
          <w:szCs w:val="24"/>
        </w:rPr>
      </w:pPr>
    </w:p>
    <w:p w14:paraId="53F09ED7" w14:textId="77777777" w:rsidR="00111740" w:rsidRDefault="00111740" w:rsidP="00111740">
      <w:pPr>
        <w:rPr>
          <w:rFonts w:ascii="Open Sans" w:hAnsi="Open Sans" w:cs="Open Sans"/>
          <w:szCs w:val="24"/>
        </w:rPr>
      </w:pPr>
    </w:p>
    <w:p w14:paraId="510A7B3E" w14:textId="77777777" w:rsidR="00111740" w:rsidRDefault="00111740" w:rsidP="00111740">
      <w:pPr>
        <w:rPr>
          <w:rFonts w:ascii="Open Sans" w:hAnsi="Open Sans" w:cs="Open Sans"/>
          <w:szCs w:val="24"/>
        </w:rPr>
      </w:pPr>
    </w:p>
    <w:p w14:paraId="1A26CAE6" w14:textId="77777777" w:rsidR="00111740" w:rsidRDefault="00111740" w:rsidP="00111740">
      <w:pPr>
        <w:rPr>
          <w:rFonts w:ascii="Open Sans" w:hAnsi="Open Sans" w:cs="Open Sans"/>
          <w:szCs w:val="24"/>
        </w:rPr>
      </w:pPr>
    </w:p>
    <w:p w14:paraId="5D429712" w14:textId="77777777" w:rsidR="00111740" w:rsidRDefault="00111740" w:rsidP="00111740">
      <w:pPr>
        <w:rPr>
          <w:rFonts w:ascii="Open Sans" w:hAnsi="Open Sans" w:cs="Open Sans"/>
          <w:szCs w:val="24"/>
        </w:rPr>
      </w:pPr>
    </w:p>
    <w:p w14:paraId="5EAA6C3F" w14:textId="77777777" w:rsidR="00111740" w:rsidRDefault="00111740" w:rsidP="00111740">
      <w:pPr>
        <w:rPr>
          <w:rFonts w:ascii="Open Sans" w:hAnsi="Open Sans" w:cs="Open Sans"/>
          <w:szCs w:val="24"/>
        </w:rPr>
      </w:pPr>
    </w:p>
    <w:p w14:paraId="4B079D81" w14:textId="77777777" w:rsidR="00111740" w:rsidRDefault="00111740" w:rsidP="00111740">
      <w:pPr>
        <w:rPr>
          <w:rFonts w:ascii="Open Sans" w:hAnsi="Open Sans" w:cs="Open Sans"/>
          <w:szCs w:val="24"/>
        </w:rPr>
      </w:pPr>
    </w:p>
    <w:p w14:paraId="7E3237EC" w14:textId="77777777" w:rsidR="00111740" w:rsidRDefault="00111740" w:rsidP="00111740">
      <w:pPr>
        <w:rPr>
          <w:rFonts w:ascii="Open Sans" w:hAnsi="Open Sans" w:cs="Open Sans"/>
          <w:szCs w:val="24"/>
        </w:rPr>
      </w:pPr>
    </w:p>
    <w:p w14:paraId="679865AC" w14:textId="77777777" w:rsidR="00111740" w:rsidRDefault="00111740" w:rsidP="00111740">
      <w:pPr>
        <w:rPr>
          <w:rFonts w:ascii="Open Sans" w:hAnsi="Open Sans" w:cs="Open Sans"/>
          <w:szCs w:val="24"/>
        </w:rPr>
      </w:pPr>
    </w:p>
    <w:p w14:paraId="5C816AF3" w14:textId="77777777" w:rsidR="00111740" w:rsidRDefault="00111740" w:rsidP="00111740">
      <w:pPr>
        <w:rPr>
          <w:rFonts w:ascii="Open Sans" w:hAnsi="Open Sans" w:cs="Open Sans"/>
          <w:szCs w:val="24"/>
        </w:rPr>
      </w:pPr>
    </w:p>
    <w:p w14:paraId="6BF0C298" w14:textId="77777777" w:rsidR="00111740" w:rsidRDefault="00111740" w:rsidP="00111740">
      <w:pPr>
        <w:rPr>
          <w:rFonts w:ascii="Open Sans" w:hAnsi="Open Sans" w:cs="Open Sans"/>
          <w:szCs w:val="24"/>
        </w:rPr>
      </w:pPr>
    </w:p>
    <w:p w14:paraId="0E6624A7" w14:textId="77777777" w:rsidR="00111740" w:rsidRDefault="00111740" w:rsidP="00111740">
      <w:pPr>
        <w:rPr>
          <w:rFonts w:ascii="Open Sans" w:hAnsi="Open Sans" w:cs="Open Sans"/>
          <w:szCs w:val="24"/>
        </w:rPr>
      </w:pPr>
    </w:p>
    <w:p w14:paraId="7F98CFA4" w14:textId="77777777" w:rsidR="00111740" w:rsidRDefault="00111740" w:rsidP="00111740">
      <w:pPr>
        <w:rPr>
          <w:rFonts w:ascii="Open Sans" w:hAnsi="Open Sans" w:cs="Open Sans"/>
          <w:szCs w:val="24"/>
        </w:rPr>
      </w:pPr>
    </w:p>
    <w:p w14:paraId="2462B087" w14:textId="77777777" w:rsidR="00111740" w:rsidRDefault="00111740" w:rsidP="00111740">
      <w:pPr>
        <w:rPr>
          <w:rFonts w:ascii="Open Sans" w:hAnsi="Open Sans" w:cs="Open Sans"/>
          <w:szCs w:val="24"/>
        </w:rPr>
      </w:pPr>
    </w:p>
    <w:p w14:paraId="791AFEE2" w14:textId="77777777" w:rsidR="00111740" w:rsidRDefault="00111740" w:rsidP="00111740">
      <w:pPr>
        <w:rPr>
          <w:rFonts w:ascii="Open Sans" w:hAnsi="Open Sans" w:cs="Open Sans"/>
          <w:szCs w:val="24"/>
        </w:rPr>
      </w:pPr>
    </w:p>
    <w:p w14:paraId="1BB12E1F" w14:textId="77777777" w:rsidR="00111740" w:rsidRDefault="00111740" w:rsidP="00111740">
      <w:pPr>
        <w:rPr>
          <w:rFonts w:ascii="Open Sans" w:hAnsi="Open Sans" w:cs="Open Sans"/>
          <w:szCs w:val="24"/>
        </w:rPr>
      </w:pPr>
    </w:p>
    <w:p w14:paraId="77432537" w14:textId="77777777" w:rsidR="00111740" w:rsidRDefault="00111740" w:rsidP="00111740">
      <w:pPr>
        <w:rPr>
          <w:rFonts w:ascii="Open Sans" w:hAnsi="Open Sans" w:cs="Open Sans"/>
          <w:szCs w:val="24"/>
        </w:rPr>
      </w:pPr>
    </w:p>
    <w:p w14:paraId="65F79388" w14:textId="77777777" w:rsidR="00111740" w:rsidRDefault="00111740" w:rsidP="00111740">
      <w:pPr>
        <w:rPr>
          <w:rFonts w:ascii="Open Sans" w:hAnsi="Open Sans" w:cs="Open Sans"/>
          <w:szCs w:val="24"/>
        </w:rPr>
      </w:pPr>
    </w:p>
    <w:p w14:paraId="65E3BF9D" w14:textId="77777777" w:rsidR="00111740" w:rsidRDefault="00111740" w:rsidP="00111740">
      <w:pPr>
        <w:rPr>
          <w:rFonts w:ascii="Open Sans" w:hAnsi="Open Sans" w:cs="Open Sans"/>
          <w:szCs w:val="24"/>
        </w:rPr>
      </w:pPr>
    </w:p>
    <w:p w14:paraId="6D3AE9DC" w14:textId="77777777" w:rsidR="00111740" w:rsidRDefault="00111740" w:rsidP="00111740">
      <w:pPr>
        <w:rPr>
          <w:rFonts w:ascii="Open Sans" w:hAnsi="Open Sans" w:cs="Open Sans"/>
          <w:szCs w:val="24"/>
        </w:rPr>
      </w:pPr>
    </w:p>
    <w:p w14:paraId="082A987B" w14:textId="77777777" w:rsidR="00111740" w:rsidRDefault="00111740" w:rsidP="00111740">
      <w:pPr>
        <w:rPr>
          <w:rFonts w:ascii="Open Sans" w:hAnsi="Open Sans" w:cs="Open Sans"/>
          <w:szCs w:val="24"/>
        </w:rPr>
      </w:pPr>
    </w:p>
    <w:p w14:paraId="65286E63" w14:textId="77777777" w:rsidR="00111740" w:rsidRDefault="00111740" w:rsidP="00111740">
      <w:pPr>
        <w:rPr>
          <w:rFonts w:ascii="Open Sans" w:hAnsi="Open Sans" w:cs="Open Sans"/>
          <w:szCs w:val="24"/>
        </w:rPr>
      </w:pPr>
    </w:p>
    <w:p w14:paraId="5B1FC5A6" w14:textId="61496CE0" w:rsidR="00111740" w:rsidRDefault="00111740" w:rsidP="00111740">
      <w:pPr>
        <w:rPr>
          <w:rFonts w:ascii="Open Sans" w:hAnsi="Open Sans" w:cs="Open Sans"/>
          <w:szCs w:val="24"/>
        </w:rPr>
      </w:pPr>
    </w:p>
    <w:p w14:paraId="58E2B41A" w14:textId="0C242469" w:rsidR="00C27179" w:rsidRDefault="00C27179" w:rsidP="00111740">
      <w:pPr>
        <w:rPr>
          <w:rFonts w:ascii="Open Sans" w:hAnsi="Open Sans" w:cs="Open Sans"/>
          <w:szCs w:val="24"/>
        </w:rPr>
      </w:pPr>
    </w:p>
    <w:p w14:paraId="61959740" w14:textId="42D85A8D" w:rsidR="00C27179" w:rsidRDefault="00C27179" w:rsidP="00111740">
      <w:pPr>
        <w:rPr>
          <w:rFonts w:ascii="Open Sans" w:hAnsi="Open Sans" w:cs="Open Sans"/>
          <w:szCs w:val="24"/>
        </w:rPr>
      </w:pPr>
    </w:p>
    <w:p w14:paraId="0116A712" w14:textId="77777777" w:rsidR="00C27179" w:rsidRDefault="00C27179" w:rsidP="00111740">
      <w:pPr>
        <w:rPr>
          <w:rFonts w:ascii="Open Sans" w:hAnsi="Open Sans" w:cs="Open Sans"/>
          <w:szCs w:val="24"/>
        </w:rPr>
      </w:pPr>
    </w:p>
    <w:p w14:paraId="6CEE4A8B" w14:textId="77777777" w:rsidR="00111740" w:rsidRDefault="00111740" w:rsidP="00111740">
      <w:pPr>
        <w:rPr>
          <w:rFonts w:ascii="Open Sans" w:hAnsi="Open Sans" w:cs="Open Sans"/>
          <w:szCs w:val="24"/>
        </w:rPr>
      </w:pPr>
    </w:p>
    <w:p w14:paraId="0CAE9D27" w14:textId="77777777" w:rsidR="00111740" w:rsidRPr="00A2519D" w:rsidRDefault="00111740" w:rsidP="00111740">
      <w:pPr>
        <w:rPr>
          <w:rFonts w:ascii="Open Sans" w:hAnsi="Open Sans" w:cs="Open Sans"/>
          <w:szCs w:val="24"/>
        </w:rPr>
      </w:pPr>
      <w:r w:rsidRPr="00A2519D">
        <w:rPr>
          <w:rFonts w:ascii="Open Sans" w:hAnsi="Open Sans" w:cs="Open Sans"/>
          <w:szCs w:val="24"/>
        </w:rPr>
        <w:t>The Hon Christian Porter MP</w:t>
      </w:r>
    </w:p>
    <w:p w14:paraId="21CF8EF4" w14:textId="77777777" w:rsidR="00111740" w:rsidRPr="00A2519D" w:rsidRDefault="00111740" w:rsidP="00111740">
      <w:pPr>
        <w:rPr>
          <w:rFonts w:ascii="Open Sans" w:hAnsi="Open Sans" w:cs="Open Sans"/>
          <w:szCs w:val="24"/>
        </w:rPr>
      </w:pPr>
      <w:r w:rsidRPr="00A2519D">
        <w:rPr>
          <w:rFonts w:ascii="Open Sans" w:hAnsi="Open Sans" w:cs="Open Sans"/>
          <w:szCs w:val="24"/>
        </w:rPr>
        <w:t xml:space="preserve">Attorney-General </w:t>
      </w:r>
    </w:p>
    <w:p w14:paraId="32ABD971" w14:textId="77777777" w:rsidR="00111740" w:rsidRPr="00A2519D" w:rsidRDefault="00111740" w:rsidP="00111740">
      <w:pPr>
        <w:rPr>
          <w:rFonts w:ascii="Open Sans" w:hAnsi="Open Sans" w:cs="Open Sans"/>
          <w:color w:val="231F20"/>
          <w:szCs w:val="24"/>
        </w:rPr>
      </w:pPr>
      <w:r w:rsidRPr="00A2519D">
        <w:rPr>
          <w:rFonts w:ascii="Open Sans" w:hAnsi="Open Sans" w:cs="Open Sans"/>
          <w:color w:val="231F20"/>
          <w:szCs w:val="24"/>
        </w:rPr>
        <w:t>Parliament House</w:t>
      </w:r>
    </w:p>
    <w:p w14:paraId="05C1A3BD" w14:textId="77777777" w:rsidR="00111740" w:rsidRDefault="00111740" w:rsidP="00111740">
      <w:pPr>
        <w:rPr>
          <w:rFonts w:ascii="Open Sans" w:hAnsi="Open Sans" w:cs="Open Sans"/>
          <w:color w:val="231F20"/>
          <w:szCs w:val="24"/>
        </w:rPr>
      </w:pPr>
      <w:r w:rsidRPr="00A2519D">
        <w:rPr>
          <w:rFonts w:ascii="Open Sans" w:hAnsi="Open Sans" w:cs="Open Sans"/>
          <w:color w:val="231F20"/>
          <w:szCs w:val="24"/>
        </w:rPr>
        <w:t>Canberra ACT 2600</w:t>
      </w:r>
    </w:p>
    <w:p w14:paraId="70B33B69" w14:textId="77777777" w:rsidR="00111740" w:rsidRPr="00A2519D" w:rsidRDefault="00111740" w:rsidP="00111740">
      <w:pPr>
        <w:rPr>
          <w:rFonts w:ascii="Open Sans" w:hAnsi="Open Sans" w:cs="Open Sans"/>
          <w:szCs w:val="24"/>
        </w:rPr>
      </w:pPr>
    </w:p>
    <w:p w14:paraId="26FB1C5D" w14:textId="77777777" w:rsidR="00111740" w:rsidRPr="00A2519D" w:rsidRDefault="00111740" w:rsidP="00111740">
      <w:pPr>
        <w:rPr>
          <w:rFonts w:ascii="Open Sans" w:hAnsi="Open Sans" w:cs="Open Sans"/>
          <w:szCs w:val="24"/>
        </w:rPr>
      </w:pPr>
    </w:p>
    <w:p w14:paraId="0A7BE0F3" w14:textId="77777777" w:rsidR="00111740" w:rsidRDefault="00111740" w:rsidP="00111740">
      <w:pPr>
        <w:rPr>
          <w:rFonts w:ascii="Open Sans" w:hAnsi="Open Sans" w:cs="Open Sans"/>
          <w:szCs w:val="24"/>
        </w:rPr>
      </w:pPr>
      <w:r w:rsidRPr="00A2519D">
        <w:rPr>
          <w:rFonts w:ascii="Open Sans" w:hAnsi="Open Sans" w:cs="Open Sans"/>
          <w:szCs w:val="24"/>
        </w:rPr>
        <w:t>Dear Attorney</w:t>
      </w:r>
    </w:p>
    <w:p w14:paraId="4D71707E" w14:textId="77777777" w:rsidR="00111740" w:rsidRPr="00A2519D" w:rsidRDefault="00111740" w:rsidP="00111740">
      <w:pPr>
        <w:rPr>
          <w:rFonts w:ascii="Open Sans" w:hAnsi="Open Sans" w:cs="Open Sans"/>
          <w:szCs w:val="24"/>
        </w:rPr>
      </w:pPr>
    </w:p>
    <w:p w14:paraId="13F55DAE" w14:textId="77777777" w:rsidR="00111740" w:rsidRDefault="00111740" w:rsidP="00111740">
      <w:pPr>
        <w:rPr>
          <w:rFonts w:ascii="Open Sans" w:hAnsi="Open Sans" w:cs="Open Sans"/>
          <w:szCs w:val="24"/>
        </w:rPr>
      </w:pPr>
      <w:r w:rsidRPr="00A2519D">
        <w:rPr>
          <w:rFonts w:ascii="Open Sans" w:hAnsi="Open Sans" w:cs="Open Sans"/>
          <w:szCs w:val="24"/>
        </w:rPr>
        <w:t xml:space="preserve">I have completed my report pursuant to s 11(1)(f) of the </w:t>
      </w:r>
      <w:r w:rsidRPr="00A2519D">
        <w:rPr>
          <w:rFonts w:ascii="Open Sans" w:hAnsi="Open Sans" w:cs="Open Sans"/>
          <w:i/>
          <w:szCs w:val="24"/>
        </w:rPr>
        <w:t xml:space="preserve">Australian Human Rights Commission Act 1986 </w:t>
      </w:r>
      <w:r w:rsidRPr="00A2519D">
        <w:rPr>
          <w:rFonts w:ascii="Open Sans" w:hAnsi="Open Sans" w:cs="Open Sans"/>
          <w:szCs w:val="24"/>
        </w:rPr>
        <w:t>(</w:t>
      </w:r>
      <w:proofErr w:type="spellStart"/>
      <w:r w:rsidRPr="00A2519D">
        <w:rPr>
          <w:rFonts w:ascii="Open Sans" w:hAnsi="Open Sans" w:cs="Open Sans"/>
          <w:szCs w:val="24"/>
        </w:rPr>
        <w:t>Cth</w:t>
      </w:r>
      <w:proofErr w:type="spellEnd"/>
      <w:r w:rsidRPr="00A2519D">
        <w:rPr>
          <w:rFonts w:ascii="Open Sans" w:hAnsi="Open Sans" w:cs="Open Sans"/>
          <w:szCs w:val="24"/>
        </w:rPr>
        <w:t xml:space="preserve">) into the </w:t>
      </w:r>
      <w:r>
        <w:rPr>
          <w:rFonts w:ascii="Open Sans" w:hAnsi="Open Sans" w:cs="Open Sans"/>
          <w:szCs w:val="24"/>
        </w:rPr>
        <w:t xml:space="preserve">human rights complaint of Mr </w:t>
      </w:r>
      <w:proofErr w:type="spellStart"/>
      <w:r>
        <w:rPr>
          <w:rFonts w:ascii="Open Sans" w:hAnsi="Open Sans" w:cs="Open Sans"/>
          <w:szCs w:val="24"/>
        </w:rPr>
        <w:t>Hamedani</w:t>
      </w:r>
      <w:proofErr w:type="spellEnd"/>
      <w:r>
        <w:rPr>
          <w:rFonts w:ascii="Open Sans" w:hAnsi="Open Sans" w:cs="Open Sans"/>
          <w:szCs w:val="24"/>
        </w:rPr>
        <w:t>, alleging a breach of his human rights by the Department of Home Affairs (Department).</w:t>
      </w:r>
      <w:r w:rsidRPr="00A2519D">
        <w:rPr>
          <w:rFonts w:ascii="Open Sans" w:hAnsi="Open Sans" w:cs="Open Sans"/>
          <w:szCs w:val="24"/>
        </w:rPr>
        <w:t xml:space="preserve"> </w:t>
      </w:r>
    </w:p>
    <w:p w14:paraId="47178FC3" w14:textId="77777777" w:rsidR="00111740" w:rsidRDefault="00111740" w:rsidP="00111740">
      <w:pPr>
        <w:rPr>
          <w:rFonts w:ascii="Open Sans" w:hAnsi="Open Sans" w:cs="Open Sans"/>
          <w:szCs w:val="24"/>
        </w:rPr>
      </w:pPr>
    </w:p>
    <w:p w14:paraId="6DF3047A" w14:textId="77777777" w:rsidR="00111740" w:rsidRPr="00EB6733" w:rsidRDefault="00111740" w:rsidP="00111740">
      <w:pPr>
        <w:rPr>
          <w:rFonts w:ascii="Open Sans" w:hAnsi="Open Sans" w:cs="Open Sans"/>
          <w:szCs w:val="24"/>
        </w:rPr>
      </w:pPr>
      <w:r w:rsidRPr="00964DD9">
        <w:rPr>
          <w:rFonts w:ascii="Open Sans" w:hAnsi="Open Sans" w:cs="Open Sans"/>
          <w:szCs w:val="24"/>
        </w:rPr>
        <w:t>This is a complaint of arbitrary detention contrary to article 9(1) of the International Covenant on Civil and Political Rights (ICCPR).</w:t>
      </w:r>
      <w:r w:rsidRPr="00EB6733">
        <w:rPr>
          <w:rFonts w:ascii="Open Sans" w:hAnsi="Open Sans" w:cs="Open Sans"/>
          <w:szCs w:val="24"/>
        </w:rPr>
        <w:t xml:space="preserve"> The right to liberty and freedom from arbitrary detention is not protected in the Australian constitution. The High Court has upheld the legality of indefinite detention under the Migration Act. As a result, there are limited avenues for an individual to challenge their detention.  </w:t>
      </w:r>
    </w:p>
    <w:p w14:paraId="1EFFB7F4" w14:textId="77777777" w:rsidR="00111740" w:rsidRPr="00EB6733" w:rsidRDefault="00111740" w:rsidP="00111740">
      <w:pPr>
        <w:rPr>
          <w:rFonts w:ascii="Open Sans" w:hAnsi="Open Sans" w:cs="Open Sans"/>
          <w:szCs w:val="24"/>
        </w:rPr>
      </w:pPr>
      <w:r w:rsidRPr="00EB6733">
        <w:rPr>
          <w:rFonts w:ascii="Open Sans" w:hAnsi="Open Sans" w:cs="Open Sans"/>
          <w:szCs w:val="24"/>
        </w:rPr>
        <w:t xml:space="preserve"> </w:t>
      </w:r>
    </w:p>
    <w:p w14:paraId="5340DA64" w14:textId="77777777" w:rsidR="00111740" w:rsidRPr="00EB6733" w:rsidRDefault="00111740" w:rsidP="00111740">
      <w:pPr>
        <w:rPr>
          <w:rFonts w:ascii="Open Sans" w:hAnsi="Open Sans" w:cs="Open Sans"/>
          <w:szCs w:val="24"/>
        </w:rPr>
      </w:pPr>
      <w:r w:rsidRPr="00EB6733">
        <w:rPr>
          <w:rFonts w:ascii="Open Sans" w:hAnsi="Open Sans" w:cs="Open Sans"/>
          <w:szCs w:val="24"/>
        </w:rPr>
        <w:t xml:space="preserve">The Commission’s ability to inquire into human rights complaints, including arbitrary detention, is narrow in scope, being limited to a discretionary ‘act’ or ‘practice of the Commonwealth that is alleged to breach a person’s human rights.   </w:t>
      </w:r>
    </w:p>
    <w:p w14:paraId="7A07047E" w14:textId="77777777" w:rsidR="00111740" w:rsidRPr="00EB6733" w:rsidRDefault="00111740" w:rsidP="00111740">
      <w:pPr>
        <w:rPr>
          <w:rFonts w:ascii="Open Sans" w:hAnsi="Open Sans" w:cs="Open Sans"/>
          <w:szCs w:val="24"/>
        </w:rPr>
      </w:pPr>
      <w:r w:rsidRPr="00EB6733">
        <w:rPr>
          <w:rFonts w:ascii="Open Sans" w:hAnsi="Open Sans" w:cs="Open Sans"/>
          <w:szCs w:val="24"/>
        </w:rPr>
        <w:t xml:space="preserve"> </w:t>
      </w:r>
    </w:p>
    <w:p w14:paraId="7A4451A0" w14:textId="77777777" w:rsidR="00111740" w:rsidRDefault="00111740" w:rsidP="00111740">
      <w:pPr>
        <w:rPr>
          <w:rFonts w:ascii="Calibri" w:hAnsi="Calibri"/>
          <w:spacing w:val="0"/>
          <w:sz w:val="22"/>
          <w:lang w:val="en-US"/>
        </w:rPr>
      </w:pPr>
      <w:proofErr w:type="gramStart"/>
      <w:r w:rsidRPr="00EB6733">
        <w:rPr>
          <w:rFonts w:ascii="Open Sans" w:hAnsi="Open Sans" w:cs="Open Sans"/>
          <w:szCs w:val="24"/>
        </w:rPr>
        <w:t>In order to</w:t>
      </w:r>
      <w:proofErr w:type="gramEnd"/>
      <w:r w:rsidRPr="00EB6733">
        <w:rPr>
          <w:rFonts w:ascii="Open Sans" w:hAnsi="Open Sans" w:cs="Open Sans"/>
          <w:szCs w:val="24"/>
        </w:rPr>
        <w:t xml:space="preserve"> avoid detention being arbitrary under international human rights law, detention must be justified as reasonable, necessary and proportionate on the basis of the individual’s particular circumstances. Furthermore, there is an obligation on the Commonwealth to demonstrate that there was not a less invasive way than detention to achieve the ends of the immigration policy (for example the imposition of reporting obligations, sureties or other conditions) in order to avoid the conclusion that detention was ‘arbitrary’. </w:t>
      </w:r>
      <w:r w:rsidRPr="00964DD9">
        <w:rPr>
          <w:rFonts w:ascii="Open Sans" w:hAnsi="Open Sans" w:cs="Open Sans"/>
          <w:lang w:val="en-US"/>
        </w:rPr>
        <w:t>Moreover, just because detention is lawful under Australian law does not prevent it from being considered ‘arbitrary’ under the international covenants that Australia has ratified.</w:t>
      </w:r>
    </w:p>
    <w:p w14:paraId="29FC7112" w14:textId="77777777" w:rsidR="00111740" w:rsidRDefault="00111740" w:rsidP="00111740">
      <w:pPr>
        <w:rPr>
          <w:rFonts w:ascii="Open Sans" w:hAnsi="Open Sans" w:cs="Open Sans"/>
          <w:szCs w:val="24"/>
        </w:rPr>
      </w:pPr>
    </w:p>
    <w:p w14:paraId="548A8273" w14:textId="77777777" w:rsidR="00111740" w:rsidRDefault="00111740" w:rsidP="00111740">
      <w:pPr>
        <w:rPr>
          <w:rFonts w:ascii="Open Sans" w:hAnsi="Open Sans" w:cs="Open Sans"/>
          <w:szCs w:val="24"/>
        </w:rPr>
      </w:pPr>
      <w:r>
        <w:rPr>
          <w:rFonts w:ascii="Open Sans" w:hAnsi="Open Sans" w:cs="Open Sans"/>
          <w:szCs w:val="24"/>
        </w:rPr>
        <w:t xml:space="preserve">Mr </w:t>
      </w:r>
      <w:proofErr w:type="spellStart"/>
      <w:r>
        <w:rPr>
          <w:rFonts w:ascii="Open Sans" w:hAnsi="Open Sans" w:cs="Open Sans"/>
          <w:szCs w:val="24"/>
        </w:rPr>
        <w:t>Hamedani</w:t>
      </w:r>
      <w:proofErr w:type="spellEnd"/>
      <w:r>
        <w:rPr>
          <w:rFonts w:ascii="Open Sans" w:hAnsi="Open Sans" w:cs="Open Sans"/>
          <w:szCs w:val="24"/>
        </w:rPr>
        <w:t xml:space="preserve"> was detained in an immigration detention centre in Australia for 28 months from 5 August 2016 to 4 December 2018. He complains that his detention was arbitrary, contrary to article 9(1) of the ICCPR. </w:t>
      </w:r>
    </w:p>
    <w:p w14:paraId="60BB577B" w14:textId="77777777" w:rsidR="00111740" w:rsidRDefault="00111740" w:rsidP="00111740">
      <w:pPr>
        <w:rPr>
          <w:rFonts w:ascii="Open Sans" w:hAnsi="Open Sans" w:cs="Open Sans"/>
          <w:szCs w:val="24"/>
        </w:rPr>
      </w:pPr>
    </w:p>
    <w:p w14:paraId="0E18047F" w14:textId="77777777" w:rsidR="00111740" w:rsidRDefault="00111740" w:rsidP="00111740">
      <w:pPr>
        <w:rPr>
          <w:rFonts w:ascii="Open Sans" w:hAnsi="Open Sans" w:cs="Open Sans"/>
          <w:szCs w:val="24"/>
        </w:rPr>
      </w:pPr>
      <w:r>
        <w:rPr>
          <w:rFonts w:ascii="Open Sans" w:hAnsi="Open Sans" w:cs="Open Sans"/>
          <w:szCs w:val="24"/>
        </w:rPr>
        <w:t xml:space="preserve">As a result of this inquiry, I have found that the Department’s delay in referring Mr </w:t>
      </w:r>
      <w:proofErr w:type="spellStart"/>
      <w:r>
        <w:rPr>
          <w:rFonts w:ascii="Open Sans" w:hAnsi="Open Sans" w:cs="Open Sans"/>
          <w:szCs w:val="24"/>
        </w:rPr>
        <w:t>Hamedani’s</w:t>
      </w:r>
      <w:proofErr w:type="spellEnd"/>
      <w:r>
        <w:rPr>
          <w:rFonts w:ascii="Open Sans" w:hAnsi="Open Sans" w:cs="Open Sans"/>
          <w:szCs w:val="24"/>
        </w:rPr>
        <w:t xml:space="preserve"> case to the Minister for consideration of his discretionary intervention powers, and the Minister’s delay in considering whether to exercise his power to make a residence determination under s 197AB of the </w:t>
      </w:r>
      <w:r>
        <w:rPr>
          <w:rFonts w:ascii="Open Sans" w:hAnsi="Open Sans" w:cs="Open Sans"/>
          <w:i/>
          <w:iCs/>
          <w:szCs w:val="24"/>
        </w:rPr>
        <w:t xml:space="preserve">Migration Act 1958 </w:t>
      </w:r>
      <w:r>
        <w:rPr>
          <w:rFonts w:ascii="Open Sans" w:hAnsi="Open Sans" w:cs="Open Sans"/>
          <w:szCs w:val="24"/>
        </w:rPr>
        <w:t>(</w:t>
      </w:r>
      <w:proofErr w:type="spellStart"/>
      <w:r>
        <w:rPr>
          <w:rFonts w:ascii="Open Sans" w:hAnsi="Open Sans" w:cs="Open Sans"/>
          <w:szCs w:val="24"/>
        </w:rPr>
        <w:t>Cth</w:t>
      </w:r>
      <w:proofErr w:type="spellEnd"/>
      <w:r>
        <w:rPr>
          <w:rFonts w:ascii="Open Sans" w:hAnsi="Open Sans" w:cs="Open Sans"/>
          <w:szCs w:val="24"/>
        </w:rPr>
        <w:t>) were acts that were, taken together, inconsistent with or contrary to article 9(1) of the ICCPR.</w:t>
      </w:r>
    </w:p>
    <w:p w14:paraId="4A712473" w14:textId="77777777" w:rsidR="00111740" w:rsidRDefault="00111740" w:rsidP="00111740">
      <w:pPr>
        <w:rPr>
          <w:rFonts w:ascii="Open Sans" w:hAnsi="Open Sans" w:cs="Open Sans"/>
          <w:szCs w:val="24"/>
        </w:rPr>
      </w:pPr>
    </w:p>
    <w:p w14:paraId="71901EF9" w14:textId="77777777" w:rsidR="00111740" w:rsidRDefault="00111740" w:rsidP="00111740">
      <w:pPr>
        <w:rPr>
          <w:rFonts w:ascii="Open Sans" w:hAnsi="Open Sans" w:cs="Open Sans"/>
          <w:szCs w:val="24"/>
        </w:rPr>
      </w:pPr>
      <w:r>
        <w:rPr>
          <w:rFonts w:ascii="Open Sans" w:hAnsi="Open Sans" w:cs="Open Sans"/>
          <w:szCs w:val="24"/>
        </w:rPr>
        <w:t xml:space="preserve">On 28 April 2020, I provided the Department with a notice issued under s 29(2) of the AHRC Act setting out my findings and recommendations in this matter. The Department provided its response to my findings and recommendations on 14 July 2020. That response can be found in Part 9 of this report. The report below largely concerns information relevant as </w:t>
      </w:r>
      <w:proofErr w:type="gramStart"/>
      <w:r>
        <w:rPr>
          <w:rFonts w:ascii="Open Sans" w:hAnsi="Open Sans" w:cs="Open Sans"/>
          <w:szCs w:val="24"/>
        </w:rPr>
        <w:t>at</w:t>
      </w:r>
      <w:proofErr w:type="gramEnd"/>
      <w:r>
        <w:rPr>
          <w:rFonts w:ascii="Open Sans" w:hAnsi="Open Sans" w:cs="Open Sans"/>
          <w:szCs w:val="24"/>
        </w:rPr>
        <w:t xml:space="preserve"> 28 April 2020 when it was issued. </w:t>
      </w:r>
    </w:p>
    <w:p w14:paraId="4101366F" w14:textId="77777777" w:rsidR="00111740" w:rsidRPr="008050FD" w:rsidRDefault="00111740" w:rsidP="00111740">
      <w:pPr>
        <w:rPr>
          <w:rFonts w:ascii="Open Sans" w:hAnsi="Open Sans" w:cs="Open Sans"/>
          <w:szCs w:val="24"/>
        </w:rPr>
      </w:pPr>
    </w:p>
    <w:p w14:paraId="66922374" w14:textId="77777777" w:rsidR="00111740" w:rsidRDefault="00111740" w:rsidP="00111740">
      <w:pPr>
        <w:keepNext/>
        <w:rPr>
          <w:rFonts w:ascii="Open Sans" w:hAnsi="Open Sans" w:cs="Open Sans"/>
          <w:szCs w:val="24"/>
        </w:rPr>
      </w:pPr>
      <w:r w:rsidRPr="008050FD">
        <w:rPr>
          <w:rFonts w:ascii="Open Sans" w:hAnsi="Open Sans" w:cs="Open Sans"/>
          <w:szCs w:val="24"/>
        </w:rPr>
        <w:t>I enclose a copy of my report.</w:t>
      </w:r>
    </w:p>
    <w:p w14:paraId="0F66FEE6" w14:textId="77777777" w:rsidR="00111740" w:rsidRPr="00A2519D" w:rsidRDefault="00111740" w:rsidP="00111740">
      <w:pPr>
        <w:keepNext/>
        <w:rPr>
          <w:rFonts w:ascii="Open Sans" w:hAnsi="Open Sans" w:cs="Open Sans"/>
          <w:szCs w:val="24"/>
        </w:rPr>
      </w:pPr>
    </w:p>
    <w:p w14:paraId="7D4D644A" w14:textId="77777777" w:rsidR="00111740" w:rsidRPr="00A2519D" w:rsidRDefault="00111740" w:rsidP="00111740">
      <w:pPr>
        <w:rPr>
          <w:rFonts w:ascii="Open Sans" w:hAnsi="Open Sans" w:cs="Open Sans"/>
          <w:szCs w:val="24"/>
        </w:rPr>
      </w:pPr>
      <w:r w:rsidRPr="00A2519D">
        <w:rPr>
          <w:rFonts w:ascii="Open Sans" w:hAnsi="Open Sans" w:cs="Open Sans"/>
          <w:szCs w:val="24"/>
        </w:rPr>
        <w:t>Yours sincerely,</w:t>
      </w:r>
    </w:p>
    <w:p w14:paraId="1D0D6791" w14:textId="77777777" w:rsidR="00111740" w:rsidRDefault="00111740" w:rsidP="00111740">
      <w:pPr>
        <w:rPr>
          <w:rFonts w:ascii="Open Sans" w:hAnsi="Open Sans" w:cs="Open Sans"/>
          <w:szCs w:val="24"/>
        </w:rPr>
      </w:pPr>
    </w:p>
    <w:p w14:paraId="264AE2BF" w14:textId="77777777" w:rsidR="00111740" w:rsidRDefault="00111740" w:rsidP="00111740">
      <w:pPr>
        <w:rPr>
          <w:noProof/>
        </w:rPr>
      </w:pPr>
    </w:p>
    <w:p w14:paraId="21E96E4A" w14:textId="77777777" w:rsidR="00111740" w:rsidRPr="00AE3ED3" w:rsidRDefault="00111740" w:rsidP="00111740">
      <w:pPr>
        <w:rPr>
          <w:noProof/>
        </w:rPr>
      </w:pPr>
      <w:r>
        <w:rPr>
          <w:noProof/>
        </w:rPr>
        <w:drawing>
          <wp:inline distT="0" distB="0" distL="0" distR="0" wp14:anchorId="1CA62EF7" wp14:editId="2E6485A2">
            <wp:extent cx="3191581" cy="790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7325" cy="799429"/>
                    </a:xfrm>
                    <a:prstGeom prst="rect">
                      <a:avLst/>
                    </a:prstGeom>
                  </pic:spPr>
                </pic:pic>
              </a:graphicData>
            </a:graphic>
          </wp:inline>
        </w:drawing>
      </w:r>
    </w:p>
    <w:p w14:paraId="1338C981" w14:textId="77777777" w:rsidR="00111740" w:rsidRPr="00A2519D" w:rsidRDefault="00111740" w:rsidP="00111740">
      <w:pPr>
        <w:rPr>
          <w:rFonts w:ascii="Open Sans" w:hAnsi="Open Sans" w:cs="Open Sans"/>
          <w:szCs w:val="24"/>
        </w:rPr>
      </w:pPr>
      <w:r w:rsidRPr="00A2519D">
        <w:rPr>
          <w:rFonts w:ascii="Open Sans" w:hAnsi="Open Sans" w:cs="Open Sans"/>
          <w:szCs w:val="24"/>
        </w:rPr>
        <w:t>Emeritus Professor Rosalind Croucher AM</w:t>
      </w:r>
    </w:p>
    <w:p w14:paraId="04970B52" w14:textId="77777777" w:rsidR="00111740" w:rsidRPr="00A2519D" w:rsidRDefault="00111740" w:rsidP="00111740">
      <w:pPr>
        <w:rPr>
          <w:rFonts w:ascii="Open Sans" w:hAnsi="Open Sans" w:cs="Open Sans"/>
          <w:b/>
          <w:szCs w:val="24"/>
        </w:rPr>
      </w:pPr>
      <w:r w:rsidRPr="00A2519D">
        <w:rPr>
          <w:rFonts w:ascii="Open Sans" w:hAnsi="Open Sans" w:cs="Open Sans"/>
          <w:b/>
          <w:szCs w:val="24"/>
        </w:rPr>
        <w:t xml:space="preserve">President </w:t>
      </w:r>
    </w:p>
    <w:p w14:paraId="3199F7C5" w14:textId="77777777" w:rsidR="00111740" w:rsidRPr="00A2519D" w:rsidRDefault="00111740" w:rsidP="00111740">
      <w:pPr>
        <w:rPr>
          <w:rFonts w:ascii="Open Sans" w:hAnsi="Open Sans" w:cs="Open Sans"/>
          <w:szCs w:val="24"/>
        </w:rPr>
      </w:pPr>
      <w:r w:rsidRPr="00A2519D">
        <w:rPr>
          <w:rFonts w:ascii="Open Sans" w:hAnsi="Open Sans" w:cs="Open Sans"/>
          <w:szCs w:val="24"/>
        </w:rPr>
        <w:t>Australian Human Rights Commission</w:t>
      </w:r>
    </w:p>
    <w:p w14:paraId="7AC31622" w14:textId="77777777" w:rsidR="00111740" w:rsidRPr="00A2519D" w:rsidRDefault="00111740" w:rsidP="00111740">
      <w:pPr>
        <w:rPr>
          <w:rFonts w:ascii="Open Sans" w:hAnsi="Open Sans" w:cs="Open Sans"/>
          <w:szCs w:val="24"/>
        </w:rPr>
      </w:pPr>
      <w:r>
        <w:rPr>
          <w:rFonts w:ascii="Open Sans" w:hAnsi="Open Sans" w:cs="Open Sans"/>
          <w:szCs w:val="24"/>
        </w:rPr>
        <w:t xml:space="preserve">August </w:t>
      </w:r>
      <w:r w:rsidRPr="00A2519D">
        <w:rPr>
          <w:rFonts w:ascii="Open Sans" w:hAnsi="Open Sans" w:cs="Open Sans"/>
          <w:szCs w:val="24"/>
        </w:rPr>
        <w:t>20</w:t>
      </w:r>
      <w:r>
        <w:rPr>
          <w:rFonts w:ascii="Open Sans" w:hAnsi="Open Sans" w:cs="Open Sans"/>
          <w:szCs w:val="24"/>
        </w:rPr>
        <w:t>20</w:t>
      </w:r>
    </w:p>
    <w:p w14:paraId="293500D4" w14:textId="77777777" w:rsidR="00111740" w:rsidRPr="00A2519D" w:rsidRDefault="00111740" w:rsidP="00111740">
      <w:pPr>
        <w:rPr>
          <w:rFonts w:ascii="Open Sans" w:hAnsi="Open Sans" w:cs="Open Sans"/>
          <w:i/>
          <w:szCs w:val="24"/>
        </w:rPr>
      </w:pPr>
    </w:p>
    <w:p w14:paraId="716D7CD6" w14:textId="77777777" w:rsidR="00111740" w:rsidRDefault="00111740" w:rsidP="00111740">
      <w:pPr>
        <w:spacing w:after="160" w:line="259" w:lineRule="auto"/>
        <w:rPr>
          <w:rFonts w:ascii="Open Sans" w:hAnsi="Open Sans" w:cs="Open Sans"/>
          <w:szCs w:val="24"/>
        </w:rPr>
      </w:pPr>
      <w:r>
        <w:rPr>
          <w:rFonts w:ascii="Open Sans" w:hAnsi="Open Sans" w:cs="Open Sans"/>
          <w:szCs w:val="24"/>
        </w:rPr>
        <w:br w:type="page"/>
      </w:r>
    </w:p>
    <w:p w14:paraId="105B03F3" w14:textId="77777777" w:rsidR="00111740" w:rsidRPr="00E95FE0" w:rsidRDefault="00111740" w:rsidP="00111740">
      <w:pPr>
        <w:rPr>
          <w:rFonts w:ascii="Open Sans" w:hAnsi="Open Sans" w:cs="Open Sans"/>
        </w:rPr>
      </w:pPr>
    </w:p>
    <w:sdt>
      <w:sdtPr>
        <w:rPr>
          <w:rFonts w:ascii="Open Sans" w:hAnsi="Open Sans" w:cs="Open Sans"/>
          <w:b w:val="0"/>
          <w:sz w:val="24"/>
          <w:lang w:val="en-AU"/>
        </w:rPr>
        <w:id w:val="-512752674"/>
        <w:docPartObj>
          <w:docPartGallery w:val="Table of Contents"/>
          <w:docPartUnique/>
        </w:docPartObj>
      </w:sdtPr>
      <w:sdtEndPr>
        <w:rPr>
          <w:bCs/>
          <w:noProof/>
        </w:rPr>
      </w:sdtEndPr>
      <w:sdtContent>
        <w:p w14:paraId="0EB32B77" w14:textId="77777777" w:rsidR="00111740" w:rsidRPr="00E95FE0" w:rsidRDefault="00111740" w:rsidP="00111740">
          <w:pPr>
            <w:pStyle w:val="TOCHeading"/>
            <w:rPr>
              <w:rFonts w:ascii="Open Sans" w:hAnsi="Open Sans" w:cs="Open Sans"/>
            </w:rPr>
          </w:pPr>
          <w:r w:rsidRPr="00E95FE0">
            <w:rPr>
              <w:rFonts w:ascii="Open Sans" w:hAnsi="Open Sans" w:cs="Open Sans"/>
            </w:rPr>
            <w:t>Contents</w:t>
          </w:r>
        </w:p>
        <w:p w14:paraId="0A9731D3" w14:textId="77777777" w:rsidR="00111740" w:rsidRPr="00E95FE0" w:rsidRDefault="00111740" w:rsidP="00111740">
          <w:pPr>
            <w:rPr>
              <w:lang w:val="en-US"/>
            </w:rPr>
          </w:pPr>
        </w:p>
        <w:p w14:paraId="655F2AF7" w14:textId="60602743" w:rsidR="00111740" w:rsidRDefault="00111740" w:rsidP="00111740">
          <w:pPr>
            <w:pStyle w:val="TOC1"/>
            <w:rPr>
              <w:rFonts w:asciiTheme="minorHAnsi" w:eastAsiaTheme="minorEastAsia" w:hAnsiTheme="minorHAnsi" w:cstheme="minorBidi"/>
              <w:b w:val="0"/>
              <w:noProof/>
              <w:spacing w:val="0"/>
              <w:sz w:val="22"/>
              <w:szCs w:val="22"/>
              <w:lang w:val="en-US"/>
            </w:rPr>
          </w:pPr>
          <w:r w:rsidRPr="00E95FE0">
            <w:rPr>
              <w:rFonts w:ascii="Open Sans" w:hAnsi="Open Sans" w:cs="Open Sans"/>
            </w:rPr>
            <w:fldChar w:fldCharType="begin"/>
          </w:r>
          <w:r w:rsidRPr="00E95FE0">
            <w:rPr>
              <w:rFonts w:ascii="Open Sans" w:hAnsi="Open Sans" w:cs="Open Sans"/>
            </w:rPr>
            <w:instrText xml:space="preserve"> TOC \o "1-3" \h \z \u </w:instrText>
          </w:r>
          <w:r w:rsidRPr="00E95FE0">
            <w:rPr>
              <w:rFonts w:ascii="Open Sans" w:hAnsi="Open Sans" w:cs="Open Sans"/>
            </w:rPr>
            <w:fldChar w:fldCharType="separate"/>
          </w:r>
          <w:hyperlink w:anchor="_Toc46130292" w:history="1">
            <w:r w:rsidRPr="0048248A">
              <w:rPr>
                <w:rStyle w:val="Hyperlink"/>
                <w:rFonts w:ascii="Open Sans" w:hAnsi="Open Sans"/>
                <w:noProof/>
              </w:rPr>
              <w:t>1</w:t>
            </w:r>
            <w:r>
              <w:rPr>
                <w:rFonts w:asciiTheme="minorHAnsi" w:eastAsiaTheme="minorEastAsia" w:hAnsiTheme="minorHAnsi" w:cstheme="minorBidi"/>
                <w:b w:val="0"/>
                <w:noProof/>
                <w:spacing w:val="0"/>
                <w:sz w:val="22"/>
                <w:szCs w:val="22"/>
                <w:lang w:val="en-US"/>
              </w:rPr>
              <w:tab/>
            </w:r>
            <w:r w:rsidRPr="0048248A">
              <w:rPr>
                <w:rStyle w:val="Hyperlink"/>
                <w:rFonts w:ascii="Open Sans" w:hAnsi="Open Sans" w:cs="Open Sans"/>
                <w:noProof/>
              </w:rPr>
              <w:t>Introduction to this inquiry</w:t>
            </w:r>
            <w:r>
              <w:rPr>
                <w:noProof/>
                <w:webHidden/>
              </w:rPr>
              <w:tab/>
            </w:r>
            <w:r>
              <w:rPr>
                <w:noProof/>
                <w:webHidden/>
              </w:rPr>
              <w:fldChar w:fldCharType="begin"/>
            </w:r>
            <w:r>
              <w:rPr>
                <w:noProof/>
                <w:webHidden/>
              </w:rPr>
              <w:instrText xml:space="preserve"> PAGEREF _Toc46130292 \h </w:instrText>
            </w:r>
            <w:r>
              <w:rPr>
                <w:noProof/>
                <w:webHidden/>
              </w:rPr>
            </w:r>
            <w:r>
              <w:rPr>
                <w:noProof/>
                <w:webHidden/>
              </w:rPr>
              <w:fldChar w:fldCharType="separate"/>
            </w:r>
            <w:r w:rsidR="00F935B5">
              <w:rPr>
                <w:noProof/>
                <w:webHidden/>
              </w:rPr>
              <w:t>1</w:t>
            </w:r>
            <w:r>
              <w:rPr>
                <w:noProof/>
                <w:webHidden/>
              </w:rPr>
              <w:fldChar w:fldCharType="end"/>
            </w:r>
          </w:hyperlink>
        </w:p>
        <w:p w14:paraId="0F00323B" w14:textId="6E235FFE" w:rsidR="00111740" w:rsidRPr="000C660A" w:rsidRDefault="0091276A" w:rsidP="00111740">
          <w:pPr>
            <w:pStyle w:val="TOC1"/>
            <w:rPr>
              <w:rFonts w:ascii="Open Sans" w:eastAsiaTheme="minorEastAsia" w:hAnsi="Open Sans" w:cs="Open Sans"/>
              <w:b w:val="0"/>
              <w:noProof/>
              <w:spacing w:val="0"/>
              <w:sz w:val="22"/>
              <w:szCs w:val="22"/>
              <w:lang w:val="en-US"/>
            </w:rPr>
          </w:pPr>
          <w:hyperlink w:anchor="_Toc46130293" w:history="1">
            <w:r w:rsidR="00111740" w:rsidRPr="000C660A">
              <w:rPr>
                <w:rStyle w:val="Hyperlink"/>
                <w:rFonts w:ascii="Open Sans" w:hAnsi="Open Sans" w:cs="Open Sans"/>
                <w:noProof/>
              </w:rPr>
              <w:t>2</w:t>
            </w:r>
            <w:r w:rsidR="00111740" w:rsidRPr="000C660A">
              <w:rPr>
                <w:rFonts w:ascii="Open Sans" w:eastAsiaTheme="minorEastAsia" w:hAnsi="Open Sans" w:cs="Open Sans"/>
                <w:b w:val="0"/>
                <w:noProof/>
                <w:spacing w:val="0"/>
                <w:sz w:val="22"/>
                <w:szCs w:val="22"/>
                <w:lang w:val="en-US"/>
              </w:rPr>
              <w:tab/>
            </w:r>
            <w:r w:rsidR="00111740" w:rsidRPr="000C660A">
              <w:rPr>
                <w:rStyle w:val="Hyperlink"/>
                <w:rFonts w:ascii="Open Sans" w:hAnsi="Open Sans" w:cs="Open Sans"/>
                <w:noProof/>
              </w:rPr>
              <w:t>Summary of findings and recommendations</w:t>
            </w:r>
            <w:r w:rsidR="00111740" w:rsidRPr="000C660A">
              <w:rPr>
                <w:rFonts w:ascii="Open Sans" w:hAnsi="Open Sans" w:cs="Open Sans"/>
                <w:noProof/>
                <w:webHidden/>
              </w:rPr>
              <w:tab/>
            </w:r>
            <w:r w:rsidR="00111740" w:rsidRPr="000C660A">
              <w:rPr>
                <w:rFonts w:ascii="Open Sans" w:hAnsi="Open Sans" w:cs="Open Sans"/>
                <w:noProof/>
                <w:webHidden/>
              </w:rPr>
              <w:fldChar w:fldCharType="begin"/>
            </w:r>
            <w:r w:rsidR="00111740" w:rsidRPr="000C660A">
              <w:rPr>
                <w:rFonts w:ascii="Open Sans" w:hAnsi="Open Sans" w:cs="Open Sans"/>
                <w:noProof/>
                <w:webHidden/>
              </w:rPr>
              <w:instrText xml:space="preserve"> PAGEREF _Toc46130293 \h </w:instrText>
            </w:r>
            <w:r w:rsidR="00111740" w:rsidRPr="000C660A">
              <w:rPr>
                <w:rFonts w:ascii="Open Sans" w:hAnsi="Open Sans" w:cs="Open Sans"/>
                <w:noProof/>
                <w:webHidden/>
              </w:rPr>
            </w:r>
            <w:r w:rsidR="00111740" w:rsidRPr="000C660A">
              <w:rPr>
                <w:rFonts w:ascii="Open Sans" w:hAnsi="Open Sans" w:cs="Open Sans"/>
                <w:noProof/>
                <w:webHidden/>
              </w:rPr>
              <w:fldChar w:fldCharType="separate"/>
            </w:r>
            <w:r w:rsidR="00F935B5">
              <w:rPr>
                <w:rFonts w:ascii="Open Sans" w:hAnsi="Open Sans" w:cs="Open Sans"/>
                <w:noProof/>
                <w:webHidden/>
              </w:rPr>
              <w:t>1</w:t>
            </w:r>
            <w:r w:rsidR="00111740" w:rsidRPr="000C660A">
              <w:rPr>
                <w:rFonts w:ascii="Open Sans" w:hAnsi="Open Sans" w:cs="Open Sans"/>
                <w:noProof/>
                <w:webHidden/>
              </w:rPr>
              <w:fldChar w:fldCharType="end"/>
            </w:r>
          </w:hyperlink>
        </w:p>
        <w:p w14:paraId="1593B583" w14:textId="05983E9E" w:rsidR="00111740" w:rsidRPr="000C660A" w:rsidRDefault="0091276A" w:rsidP="00111740">
          <w:pPr>
            <w:pStyle w:val="TOC1"/>
            <w:rPr>
              <w:rFonts w:ascii="Open Sans" w:eastAsiaTheme="minorEastAsia" w:hAnsi="Open Sans" w:cs="Open Sans"/>
              <w:b w:val="0"/>
              <w:noProof/>
              <w:spacing w:val="0"/>
              <w:sz w:val="22"/>
              <w:szCs w:val="22"/>
              <w:lang w:val="en-US"/>
            </w:rPr>
          </w:pPr>
          <w:hyperlink w:anchor="_Toc46130294" w:history="1">
            <w:r w:rsidR="00111740" w:rsidRPr="000C660A">
              <w:rPr>
                <w:rStyle w:val="Hyperlink"/>
                <w:rFonts w:ascii="Open Sans" w:hAnsi="Open Sans" w:cs="Open Sans"/>
                <w:noProof/>
              </w:rPr>
              <w:t>3</w:t>
            </w:r>
            <w:r w:rsidR="00111740" w:rsidRPr="000C660A">
              <w:rPr>
                <w:rFonts w:ascii="Open Sans" w:eastAsiaTheme="minorEastAsia" w:hAnsi="Open Sans" w:cs="Open Sans"/>
                <w:b w:val="0"/>
                <w:noProof/>
                <w:spacing w:val="0"/>
                <w:sz w:val="22"/>
                <w:szCs w:val="22"/>
                <w:lang w:val="en-US"/>
              </w:rPr>
              <w:tab/>
            </w:r>
            <w:r w:rsidR="00111740" w:rsidRPr="000C660A">
              <w:rPr>
                <w:rStyle w:val="Hyperlink"/>
                <w:rFonts w:ascii="Open Sans" w:hAnsi="Open Sans" w:cs="Open Sans"/>
                <w:noProof/>
              </w:rPr>
              <w:t>Background</w:t>
            </w:r>
            <w:r w:rsidR="00111740" w:rsidRPr="000C660A">
              <w:rPr>
                <w:rFonts w:ascii="Open Sans" w:hAnsi="Open Sans" w:cs="Open Sans"/>
                <w:noProof/>
                <w:webHidden/>
              </w:rPr>
              <w:tab/>
            </w:r>
            <w:r w:rsidR="00111740" w:rsidRPr="000C660A">
              <w:rPr>
                <w:rFonts w:ascii="Open Sans" w:hAnsi="Open Sans" w:cs="Open Sans"/>
                <w:noProof/>
                <w:webHidden/>
              </w:rPr>
              <w:fldChar w:fldCharType="begin"/>
            </w:r>
            <w:r w:rsidR="00111740" w:rsidRPr="000C660A">
              <w:rPr>
                <w:rFonts w:ascii="Open Sans" w:hAnsi="Open Sans" w:cs="Open Sans"/>
                <w:noProof/>
                <w:webHidden/>
              </w:rPr>
              <w:instrText xml:space="preserve"> PAGEREF _Toc46130294 \h </w:instrText>
            </w:r>
            <w:r w:rsidR="00111740" w:rsidRPr="000C660A">
              <w:rPr>
                <w:rFonts w:ascii="Open Sans" w:hAnsi="Open Sans" w:cs="Open Sans"/>
                <w:noProof/>
                <w:webHidden/>
              </w:rPr>
            </w:r>
            <w:r w:rsidR="00111740" w:rsidRPr="000C660A">
              <w:rPr>
                <w:rFonts w:ascii="Open Sans" w:hAnsi="Open Sans" w:cs="Open Sans"/>
                <w:noProof/>
                <w:webHidden/>
              </w:rPr>
              <w:fldChar w:fldCharType="separate"/>
            </w:r>
            <w:r w:rsidR="00F935B5">
              <w:rPr>
                <w:rFonts w:ascii="Open Sans" w:hAnsi="Open Sans" w:cs="Open Sans"/>
                <w:noProof/>
                <w:webHidden/>
              </w:rPr>
              <w:t>2</w:t>
            </w:r>
            <w:r w:rsidR="00111740" w:rsidRPr="000C660A">
              <w:rPr>
                <w:rFonts w:ascii="Open Sans" w:hAnsi="Open Sans" w:cs="Open Sans"/>
                <w:noProof/>
                <w:webHidden/>
              </w:rPr>
              <w:fldChar w:fldCharType="end"/>
            </w:r>
          </w:hyperlink>
        </w:p>
        <w:p w14:paraId="5EA71F48" w14:textId="6F830679" w:rsidR="00111740" w:rsidRPr="000C660A" w:rsidRDefault="0091276A" w:rsidP="00111740">
          <w:pPr>
            <w:pStyle w:val="TOC1"/>
            <w:rPr>
              <w:rFonts w:ascii="Open Sans" w:eastAsiaTheme="minorEastAsia" w:hAnsi="Open Sans" w:cs="Open Sans"/>
              <w:b w:val="0"/>
              <w:noProof/>
              <w:spacing w:val="0"/>
              <w:sz w:val="22"/>
              <w:szCs w:val="22"/>
              <w:lang w:val="en-US"/>
            </w:rPr>
          </w:pPr>
          <w:hyperlink w:anchor="_Toc46130295" w:history="1">
            <w:r w:rsidR="00111740" w:rsidRPr="000C660A">
              <w:rPr>
                <w:rStyle w:val="Hyperlink"/>
                <w:rFonts w:ascii="Open Sans" w:hAnsi="Open Sans" w:cs="Open Sans"/>
                <w:noProof/>
              </w:rPr>
              <w:t>4</w:t>
            </w:r>
            <w:r w:rsidR="00111740" w:rsidRPr="000C660A">
              <w:rPr>
                <w:rFonts w:ascii="Open Sans" w:eastAsiaTheme="minorEastAsia" w:hAnsi="Open Sans" w:cs="Open Sans"/>
                <w:b w:val="0"/>
                <w:noProof/>
                <w:spacing w:val="0"/>
                <w:sz w:val="22"/>
                <w:szCs w:val="22"/>
                <w:lang w:val="en-US"/>
              </w:rPr>
              <w:tab/>
            </w:r>
            <w:r w:rsidR="00111740" w:rsidRPr="000C660A">
              <w:rPr>
                <w:rStyle w:val="Hyperlink"/>
                <w:rFonts w:ascii="Open Sans" w:hAnsi="Open Sans" w:cs="Open Sans"/>
                <w:noProof/>
              </w:rPr>
              <w:t>Conciliation</w:t>
            </w:r>
            <w:r w:rsidR="00111740" w:rsidRPr="000C660A">
              <w:rPr>
                <w:rFonts w:ascii="Open Sans" w:hAnsi="Open Sans" w:cs="Open Sans"/>
                <w:noProof/>
                <w:webHidden/>
              </w:rPr>
              <w:tab/>
            </w:r>
            <w:r w:rsidR="00111740" w:rsidRPr="000C660A">
              <w:rPr>
                <w:rFonts w:ascii="Open Sans" w:hAnsi="Open Sans" w:cs="Open Sans"/>
                <w:noProof/>
                <w:webHidden/>
              </w:rPr>
              <w:fldChar w:fldCharType="begin"/>
            </w:r>
            <w:r w:rsidR="00111740" w:rsidRPr="000C660A">
              <w:rPr>
                <w:rFonts w:ascii="Open Sans" w:hAnsi="Open Sans" w:cs="Open Sans"/>
                <w:noProof/>
                <w:webHidden/>
              </w:rPr>
              <w:instrText xml:space="preserve"> PAGEREF _Toc46130295 \h </w:instrText>
            </w:r>
            <w:r w:rsidR="00111740" w:rsidRPr="000C660A">
              <w:rPr>
                <w:rFonts w:ascii="Open Sans" w:hAnsi="Open Sans" w:cs="Open Sans"/>
                <w:noProof/>
                <w:webHidden/>
              </w:rPr>
            </w:r>
            <w:r w:rsidR="00111740" w:rsidRPr="000C660A">
              <w:rPr>
                <w:rFonts w:ascii="Open Sans" w:hAnsi="Open Sans" w:cs="Open Sans"/>
                <w:noProof/>
                <w:webHidden/>
              </w:rPr>
              <w:fldChar w:fldCharType="separate"/>
            </w:r>
            <w:r w:rsidR="00F935B5">
              <w:rPr>
                <w:rFonts w:ascii="Open Sans" w:hAnsi="Open Sans" w:cs="Open Sans"/>
                <w:noProof/>
                <w:webHidden/>
              </w:rPr>
              <w:t>2</w:t>
            </w:r>
            <w:r w:rsidR="00111740" w:rsidRPr="000C660A">
              <w:rPr>
                <w:rFonts w:ascii="Open Sans" w:hAnsi="Open Sans" w:cs="Open Sans"/>
                <w:noProof/>
                <w:webHidden/>
              </w:rPr>
              <w:fldChar w:fldCharType="end"/>
            </w:r>
          </w:hyperlink>
        </w:p>
        <w:p w14:paraId="4C67EBF1" w14:textId="18A38160" w:rsidR="00111740" w:rsidRPr="000C660A" w:rsidRDefault="0091276A" w:rsidP="00111740">
          <w:pPr>
            <w:pStyle w:val="TOC1"/>
            <w:rPr>
              <w:rFonts w:ascii="Open Sans" w:eastAsiaTheme="minorEastAsia" w:hAnsi="Open Sans" w:cs="Open Sans"/>
              <w:b w:val="0"/>
              <w:noProof/>
              <w:spacing w:val="0"/>
              <w:sz w:val="22"/>
              <w:szCs w:val="22"/>
              <w:lang w:val="en-US"/>
            </w:rPr>
          </w:pPr>
          <w:hyperlink w:anchor="_Toc46130296" w:history="1">
            <w:r w:rsidR="00111740" w:rsidRPr="000C660A">
              <w:rPr>
                <w:rStyle w:val="Hyperlink"/>
                <w:rFonts w:ascii="Open Sans" w:hAnsi="Open Sans" w:cs="Open Sans"/>
                <w:noProof/>
              </w:rPr>
              <w:t>5</w:t>
            </w:r>
            <w:r w:rsidR="00111740" w:rsidRPr="000C660A">
              <w:rPr>
                <w:rFonts w:ascii="Open Sans" w:eastAsiaTheme="minorEastAsia" w:hAnsi="Open Sans" w:cs="Open Sans"/>
                <w:b w:val="0"/>
                <w:noProof/>
                <w:spacing w:val="0"/>
                <w:sz w:val="22"/>
                <w:szCs w:val="22"/>
                <w:lang w:val="en-US"/>
              </w:rPr>
              <w:tab/>
            </w:r>
            <w:r w:rsidR="00111740" w:rsidRPr="000C660A">
              <w:rPr>
                <w:rStyle w:val="Hyperlink"/>
                <w:rFonts w:ascii="Open Sans" w:hAnsi="Open Sans" w:cs="Open Sans"/>
                <w:noProof/>
              </w:rPr>
              <w:t>Procedural history of this inquiry</w:t>
            </w:r>
            <w:r w:rsidR="00111740" w:rsidRPr="000C660A">
              <w:rPr>
                <w:rFonts w:ascii="Open Sans" w:hAnsi="Open Sans" w:cs="Open Sans"/>
                <w:noProof/>
                <w:webHidden/>
              </w:rPr>
              <w:tab/>
            </w:r>
            <w:r w:rsidR="00111740" w:rsidRPr="000C660A">
              <w:rPr>
                <w:rFonts w:ascii="Open Sans" w:hAnsi="Open Sans" w:cs="Open Sans"/>
                <w:noProof/>
                <w:webHidden/>
              </w:rPr>
              <w:fldChar w:fldCharType="begin"/>
            </w:r>
            <w:r w:rsidR="00111740" w:rsidRPr="000C660A">
              <w:rPr>
                <w:rFonts w:ascii="Open Sans" w:hAnsi="Open Sans" w:cs="Open Sans"/>
                <w:noProof/>
                <w:webHidden/>
              </w:rPr>
              <w:instrText xml:space="preserve"> PAGEREF _Toc46130296 \h </w:instrText>
            </w:r>
            <w:r w:rsidR="00111740" w:rsidRPr="000C660A">
              <w:rPr>
                <w:rFonts w:ascii="Open Sans" w:hAnsi="Open Sans" w:cs="Open Sans"/>
                <w:noProof/>
                <w:webHidden/>
              </w:rPr>
            </w:r>
            <w:r w:rsidR="00111740" w:rsidRPr="000C660A">
              <w:rPr>
                <w:rFonts w:ascii="Open Sans" w:hAnsi="Open Sans" w:cs="Open Sans"/>
                <w:noProof/>
                <w:webHidden/>
              </w:rPr>
              <w:fldChar w:fldCharType="separate"/>
            </w:r>
            <w:r w:rsidR="00F935B5">
              <w:rPr>
                <w:rFonts w:ascii="Open Sans" w:hAnsi="Open Sans" w:cs="Open Sans"/>
                <w:noProof/>
                <w:webHidden/>
              </w:rPr>
              <w:t>3</w:t>
            </w:r>
            <w:r w:rsidR="00111740" w:rsidRPr="000C660A">
              <w:rPr>
                <w:rFonts w:ascii="Open Sans" w:hAnsi="Open Sans" w:cs="Open Sans"/>
                <w:noProof/>
                <w:webHidden/>
              </w:rPr>
              <w:fldChar w:fldCharType="end"/>
            </w:r>
          </w:hyperlink>
        </w:p>
        <w:p w14:paraId="49D34DC6" w14:textId="394558B2" w:rsidR="00111740" w:rsidRPr="000C660A" w:rsidRDefault="0091276A" w:rsidP="00111740">
          <w:pPr>
            <w:pStyle w:val="TOC1"/>
            <w:rPr>
              <w:rFonts w:ascii="Open Sans" w:eastAsiaTheme="minorEastAsia" w:hAnsi="Open Sans" w:cs="Open Sans"/>
              <w:b w:val="0"/>
              <w:noProof/>
              <w:spacing w:val="0"/>
              <w:sz w:val="22"/>
              <w:szCs w:val="22"/>
              <w:lang w:val="en-US"/>
            </w:rPr>
          </w:pPr>
          <w:hyperlink w:anchor="_Toc46130297" w:history="1">
            <w:r w:rsidR="00111740" w:rsidRPr="000C660A">
              <w:rPr>
                <w:rStyle w:val="Hyperlink"/>
                <w:rFonts w:ascii="Open Sans" w:hAnsi="Open Sans" w:cs="Open Sans"/>
                <w:noProof/>
              </w:rPr>
              <w:t>6</w:t>
            </w:r>
            <w:r w:rsidR="00111740" w:rsidRPr="000C660A">
              <w:rPr>
                <w:rFonts w:ascii="Open Sans" w:eastAsiaTheme="minorEastAsia" w:hAnsi="Open Sans" w:cs="Open Sans"/>
                <w:b w:val="0"/>
                <w:noProof/>
                <w:spacing w:val="0"/>
                <w:sz w:val="22"/>
                <w:szCs w:val="22"/>
                <w:lang w:val="en-US"/>
              </w:rPr>
              <w:tab/>
            </w:r>
            <w:r w:rsidR="00111740" w:rsidRPr="000C660A">
              <w:rPr>
                <w:rStyle w:val="Hyperlink"/>
                <w:rFonts w:ascii="Open Sans" w:hAnsi="Open Sans" w:cs="Open Sans"/>
                <w:noProof/>
              </w:rPr>
              <w:t>Legislative framework</w:t>
            </w:r>
            <w:r w:rsidR="00111740" w:rsidRPr="000C660A">
              <w:rPr>
                <w:rFonts w:ascii="Open Sans" w:hAnsi="Open Sans" w:cs="Open Sans"/>
                <w:noProof/>
                <w:webHidden/>
              </w:rPr>
              <w:tab/>
            </w:r>
            <w:r w:rsidR="00111740" w:rsidRPr="000C660A">
              <w:rPr>
                <w:rFonts w:ascii="Open Sans" w:hAnsi="Open Sans" w:cs="Open Sans"/>
                <w:noProof/>
                <w:webHidden/>
              </w:rPr>
              <w:fldChar w:fldCharType="begin"/>
            </w:r>
            <w:r w:rsidR="00111740" w:rsidRPr="000C660A">
              <w:rPr>
                <w:rFonts w:ascii="Open Sans" w:hAnsi="Open Sans" w:cs="Open Sans"/>
                <w:noProof/>
                <w:webHidden/>
              </w:rPr>
              <w:instrText xml:space="preserve"> PAGEREF _Toc46130297 \h </w:instrText>
            </w:r>
            <w:r w:rsidR="00111740" w:rsidRPr="000C660A">
              <w:rPr>
                <w:rFonts w:ascii="Open Sans" w:hAnsi="Open Sans" w:cs="Open Sans"/>
                <w:noProof/>
                <w:webHidden/>
              </w:rPr>
            </w:r>
            <w:r w:rsidR="00111740" w:rsidRPr="000C660A">
              <w:rPr>
                <w:rFonts w:ascii="Open Sans" w:hAnsi="Open Sans" w:cs="Open Sans"/>
                <w:noProof/>
                <w:webHidden/>
              </w:rPr>
              <w:fldChar w:fldCharType="separate"/>
            </w:r>
            <w:r w:rsidR="00F935B5">
              <w:rPr>
                <w:rFonts w:ascii="Open Sans" w:hAnsi="Open Sans" w:cs="Open Sans"/>
                <w:noProof/>
                <w:webHidden/>
              </w:rPr>
              <w:t>3</w:t>
            </w:r>
            <w:r w:rsidR="00111740" w:rsidRPr="000C660A">
              <w:rPr>
                <w:rFonts w:ascii="Open Sans" w:hAnsi="Open Sans" w:cs="Open Sans"/>
                <w:noProof/>
                <w:webHidden/>
              </w:rPr>
              <w:fldChar w:fldCharType="end"/>
            </w:r>
          </w:hyperlink>
        </w:p>
        <w:p w14:paraId="4A5B7ADF" w14:textId="6B9F68E1" w:rsidR="00111740" w:rsidRPr="000C660A" w:rsidRDefault="0091276A" w:rsidP="00111740">
          <w:pPr>
            <w:pStyle w:val="TOC2"/>
            <w:tabs>
              <w:tab w:val="right" w:leader="dot" w:pos="9060"/>
            </w:tabs>
            <w:rPr>
              <w:rFonts w:ascii="Open Sans" w:eastAsiaTheme="minorEastAsia" w:hAnsi="Open Sans" w:cs="Open Sans"/>
              <w:b w:val="0"/>
              <w:i w:val="0"/>
              <w:noProof/>
              <w:spacing w:val="0"/>
              <w:sz w:val="22"/>
              <w:szCs w:val="22"/>
              <w:lang w:val="en-US"/>
            </w:rPr>
          </w:pPr>
          <w:hyperlink w:anchor="_Toc46130298" w:history="1">
            <w:r w:rsidR="00111740" w:rsidRPr="000C660A">
              <w:rPr>
                <w:rStyle w:val="Hyperlink"/>
                <w:rFonts w:ascii="Open Sans" w:hAnsi="Open Sans" w:cs="Open Sans"/>
                <w:iCs/>
                <w:noProof/>
              </w:rPr>
              <w:t>6.1</w:t>
            </w:r>
            <w:r w:rsidR="00111740" w:rsidRPr="000C660A">
              <w:rPr>
                <w:rFonts w:ascii="Open Sans" w:eastAsiaTheme="minorEastAsia" w:hAnsi="Open Sans" w:cs="Open Sans"/>
                <w:b w:val="0"/>
                <w:i w:val="0"/>
                <w:noProof/>
                <w:spacing w:val="0"/>
                <w:sz w:val="22"/>
                <w:szCs w:val="22"/>
                <w:lang w:val="en-US"/>
              </w:rPr>
              <w:tab/>
            </w:r>
            <w:r w:rsidR="00111740" w:rsidRPr="000C660A">
              <w:rPr>
                <w:rStyle w:val="Hyperlink"/>
                <w:rFonts w:ascii="Open Sans" w:hAnsi="Open Sans" w:cs="Open Sans"/>
                <w:noProof/>
              </w:rPr>
              <w:t>Functions of the Commission</w:t>
            </w:r>
            <w:r w:rsidR="00111740" w:rsidRPr="000C660A">
              <w:rPr>
                <w:rFonts w:ascii="Open Sans" w:hAnsi="Open Sans" w:cs="Open Sans"/>
                <w:noProof/>
                <w:webHidden/>
              </w:rPr>
              <w:tab/>
            </w:r>
            <w:r w:rsidR="00111740" w:rsidRPr="000C660A">
              <w:rPr>
                <w:rFonts w:ascii="Open Sans" w:hAnsi="Open Sans" w:cs="Open Sans"/>
                <w:noProof/>
                <w:webHidden/>
              </w:rPr>
              <w:fldChar w:fldCharType="begin"/>
            </w:r>
            <w:r w:rsidR="00111740" w:rsidRPr="000C660A">
              <w:rPr>
                <w:rFonts w:ascii="Open Sans" w:hAnsi="Open Sans" w:cs="Open Sans"/>
                <w:noProof/>
                <w:webHidden/>
              </w:rPr>
              <w:instrText xml:space="preserve"> PAGEREF _Toc46130298 \h </w:instrText>
            </w:r>
            <w:r w:rsidR="00111740" w:rsidRPr="000C660A">
              <w:rPr>
                <w:rFonts w:ascii="Open Sans" w:hAnsi="Open Sans" w:cs="Open Sans"/>
                <w:noProof/>
                <w:webHidden/>
              </w:rPr>
            </w:r>
            <w:r w:rsidR="00111740" w:rsidRPr="000C660A">
              <w:rPr>
                <w:rFonts w:ascii="Open Sans" w:hAnsi="Open Sans" w:cs="Open Sans"/>
                <w:noProof/>
                <w:webHidden/>
              </w:rPr>
              <w:fldChar w:fldCharType="separate"/>
            </w:r>
            <w:r w:rsidR="00F935B5">
              <w:rPr>
                <w:rFonts w:ascii="Open Sans" w:hAnsi="Open Sans" w:cs="Open Sans"/>
                <w:noProof/>
                <w:webHidden/>
              </w:rPr>
              <w:t>3</w:t>
            </w:r>
            <w:r w:rsidR="00111740" w:rsidRPr="000C660A">
              <w:rPr>
                <w:rFonts w:ascii="Open Sans" w:hAnsi="Open Sans" w:cs="Open Sans"/>
                <w:noProof/>
                <w:webHidden/>
              </w:rPr>
              <w:fldChar w:fldCharType="end"/>
            </w:r>
          </w:hyperlink>
        </w:p>
        <w:p w14:paraId="3285A3F7" w14:textId="49E08394" w:rsidR="00111740" w:rsidRPr="000C660A" w:rsidRDefault="0091276A" w:rsidP="00111740">
          <w:pPr>
            <w:pStyle w:val="TOC2"/>
            <w:tabs>
              <w:tab w:val="right" w:leader="dot" w:pos="9060"/>
            </w:tabs>
            <w:rPr>
              <w:rFonts w:ascii="Open Sans" w:eastAsiaTheme="minorEastAsia" w:hAnsi="Open Sans" w:cs="Open Sans"/>
              <w:b w:val="0"/>
              <w:i w:val="0"/>
              <w:noProof/>
              <w:spacing w:val="0"/>
              <w:sz w:val="22"/>
              <w:szCs w:val="22"/>
              <w:lang w:val="en-US"/>
            </w:rPr>
          </w:pPr>
          <w:hyperlink w:anchor="_Toc46130299" w:history="1">
            <w:r w:rsidR="00111740" w:rsidRPr="000C660A">
              <w:rPr>
                <w:rStyle w:val="Hyperlink"/>
                <w:rFonts w:ascii="Open Sans" w:hAnsi="Open Sans" w:cs="Open Sans"/>
                <w:iCs/>
                <w:noProof/>
              </w:rPr>
              <w:t>6.2</w:t>
            </w:r>
            <w:r w:rsidR="00111740" w:rsidRPr="000C660A">
              <w:rPr>
                <w:rFonts w:ascii="Open Sans" w:eastAsiaTheme="minorEastAsia" w:hAnsi="Open Sans" w:cs="Open Sans"/>
                <w:b w:val="0"/>
                <w:i w:val="0"/>
                <w:noProof/>
                <w:spacing w:val="0"/>
                <w:sz w:val="22"/>
                <w:szCs w:val="22"/>
                <w:lang w:val="en-US"/>
              </w:rPr>
              <w:tab/>
            </w:r>
            <w:r w:rsidR="00111740" w:rsidRPr="000C660A">
              <w:rPr>
                <w:rStyle w:val="Hyperlink"/>
                <w:rFonts w:ascii="Open Sans" w:hAnsi="Open Sans" w:cs="Open Sans"/>
                <w:noProof/>
              </w:rPr>
              <w:t>What is an ‘act’ or ‘practice?</w:t>
            </w:r>
            <w:r w:rsidR="00111740" w:rsidRPr="000C660A">
              <w:rPr>
                <w:rFonts w:ascii="Open Sans" w:hAnsi="Open Sans" w:cs="Open Sans"/>
                <w:noProof/>
                <w:webHidden/>
              </w:rPr>
              <w:tab/>
            </w:r>
            <w:r w:rsidR="00111740" w:rsidRPr="000C660A">
              <w:rPr>
                <w:rFonts w:ascii="Open Sans" w:hAnsi="Open Sans" w:cs="Open Sans"/>
                <w:noProof/>
                <w:webHidden/>
              </w:rPr>
              <w:fldChar w:fldCharType="begin"/>
            </w:r>
            <w:r w:rsidR="00111740" w:rsidRPr="000C660A">
              <w:rPr>
                <w:rFonts w:ascii="Open Sans" w:hAnsi="Open Sans" w:cs="Open Sans"/>
                <w:noProof/>
                <w:webHidden/>
              </w:rPr>
              <w:instrText xml:space="preserve"> PAGEREF _Toc46130299 \h </w:instrText>
            </w:r>
            <w:r w:rsidR="00111740" w:rsidRPr="000C660A">
              <w:rPr>
                <w:rFonts w:ascii="Open Sans" w:hAnsi="Open Sans" w:cs="Open Sans"/>
                <w:noProof/>
                <w:webHidden/>
              </w:rPr>
            </w:r>
            <w:r w:rsidR="00111740" w:rsidRPr="000C660A">
              <w:rPr>
                <w:rFonts w:ascii="Open Sans" w:hAnsi="Open Sans" w:cs="Open Sans"/>
                <w:noProof/>
                <w:webHidden/>
              </w:rPr>
              <w:fldChar w:fldCharType="separate"/>
            </w:r>
            <w:r w:rsidR="00F935B5">
              <w:rPr>
                <w:rFonts w:ascii="Open Sans" w:hAnsi="Open Sans" w:cs="Open Sans"/>
                <w:noProof/>
                <w:webHidden/>
              </w:rPr>
              <w:t>3</w:t>
            </w:r>
            <w:r w:rsidR="00111740" w:rsidRPr="000C660A">
              <w:rPr>
                <w:rFonts w:ascii="Open Sans" w:hAnsi="Open Sans" w:cs="Open Sans"/>
                <w:noProof/>
                <w:webHidden/>
              </w:rPr>
              <w:fldChar w:fldCharType="end"/>
            </w:r>
          </w:hyperlink>
        </w:p>
        <w:p w14:paraId="4BF0043C" w14:textId="59C752AC" w:rsidR="00111740" w:rsidRPr="000C660A" w:rsidRDefault="0091276A" w:rsidP="00111740">
          <w:pPr>
            <w:pStyle w:val="TOC2"/>
            <w:tabs>
              <w:tab w:val="right" w:leader="dot" w:pos="9060"/>
            </w:tabs>
            <w:rPr>
              <w:rFonts w:ascii="Open Sans" w:eastAsiaTheme="minorEastAsia" w:hAnsi="Open Sans" w:cs="Open Sans"/>
              <w:b w:val="0"/>
              <w:i w:val="0"/>
              <w:noProof/>
              <w:spacing w:val="0"/>
              <w:sz w:val="22"/>
              <w:szCs w:val="22"/>
              <w:lang w:val="en-US"/>
            </w:rPr>
          </w:pPr>
          <w:hyperlink w:anchor="_Toc46130300" w:history="1">
            <w:r w:rsidR="00111740" w:rsidRPr="000C660A">
              <w:rPr>
                <w:rStyle w:val="Hyperlink"/>
                <w:rFonts w:ascii="Open Sans" w:hAnsi="Open Sans" w:cs="Open Sans"/>
                <w:iCs/>
                <w:noProof/>
              </w:rPr>
              <w:t>6.3</w:t>
            </w:r>
            <w:r w:rsidR="00111740" w:rsidRPr="000C660A">
              <w:rPr>
                <w:rFonts w:ascii="Open Sans" w:eastAsiaTheme="minorEastAsia" w:hAnsi="Open Sans" w:cs="Open Sans"/>
                <w:b w:val="0"/>
                <w:i w:val="0"/>
                <w:noProof/>
                <w:spacing w:val="0"/>
                <w:sz w:val="22"/>
                <w:szCs w:val="22"/>
                <w:lang w:val="en-US"/>
              </w:rPr>
              <w:tab/>
            </w:r>
            <w:r w:rsidR="00111740" w:rsidRPr="000C660A">
              <w:rPr>
                <w:rStyle w:val="Hyperlink"/>
                <w:rFonts w:ascii="Open Sans" w:hAnsi="Open Sans" w:cs="Open Sans"/>
                <w:noProof/>
              </w:rPr>
              <w:t>What is a human right?</w:t>
            </w:r>
            <w:r w:rsidR="00111740" w:rsidRPr="000C660A">
              <w:rPr>
                <w:rFonts w:ascii="Open Sans" w:hAnsi="Open Sans" w:cs="Open Sans"/>
                <w:noProof/>
                <w:webHidden/>
              </w:rPr>
              <w:tab/>
            </w:r>
            <w:r w:rsidR="00111740" w:rsidRPr="000C660A">
              <w:rPr>
                <w:rFonts w:ascii="Open Sans" w:hAnsi="Open Sans" w:cs="Open Sans"/>
                <w:noProof/>
                <w:webHidden/>
              </w:rPr>
              <w:fldChar w:fldCharType="begin"/>
            </w:r>
            <w:r w:rsidR="00111740" w:rsidRPr="000C660A">
              <w:rPr>
                <w:rFonts w:ascii="Open Sans" w:hAnsi="Open Sans" w:cs="Open Sans"/>
                <w:noProof/>
                <w:webHidden/>
              </w:rPr>
              <w:instrText xml:space="preserve"> PAGEREF _Toc46130300 \h </w:instrText>
            </w:r>
            <w:r w:rsidR="00111740" w:rsidRPr="000C660A">
              <w:rPr>
                <w:rFonts w:ascii="Open Sans" w:hAnsi="Open Sans" w:cs="Open Sans"/>
                <w:noProof/>
                <w:webHidden/>
              </w:rPr>
            </w:r>
            <w:r w:rsidR="00111740" w:rsidRPr="000C660A">
              <w:rPr>
                <w:rFonts w:ascii="Open Sans" w:hAnsi="Open Sans" w:cs="Open Sans"/>
                <w:noProof/>
                <w:webHidden/>
              </w:rPr>
              <w:fldChar w:fldCharType="separate"/>
            </w:r>
            <w:r w:rsidR="00F935B5">
              <w:rPr>
                <w:rFonts w:ascii="Open Sans" w:hAnsi="Open Sans" w:cs="Open Sans"/>
                <w:noProof/>
                <w:webHidden/>
              </w:rPr>
              <w:t>4</w:t>
            </w:r>
            <w:r w:rsidR="00111740" w:rsidRPr="000C660A">
              <w:rPr>
                <w:rFonts w:ascii="Open Sans" w:hAnsi="Open Sans" w:cs="Open Sans"/>
                <w:noProof/>
                <w:webHidden/>
              </w:rPr>
              <w:fldChar w:fldCharType="end"/>
            </w:r>
          </w:hyperlink>
        </w:p>
        <w:p w14:paraId="51DF52E7" w14:textId="4C397576" w:rsidR="00111740" w:rsidRPr="000C660A" w:rsidRDefault="0091276A" w:rsidP="00111740">
          <w:pPr>
            <w:pStyle w:val="TOC1"/>
            <w:rPr>
              <w:rFonts w:ascii="Open Sans" w:eastAsiaTheme="minorEastAsia" w:hAnsi="Open Sans" w:cs="Open Sans"/>
              <w:b w:val="0"/>
              <w:noProof/>
              <w:spacing w:val="0"/>
              <w:sz w:val="22"/>
              <w:szCs w:val="22"/>
              <w:lang w:val="en-US"/>
            </w:rPr>
          </w:pPr>
          <w:hyperlink w:anchor="_Toc46130301" w:history="1">
            <w:r w:rsidR="00111740" w:rsidRPr="000C660A">
              <w:rPr>
                <w:rStyle w:val="Hyperlink"/>
                <w:rFonts w:ascii="Open Sans" w:hAnsi="Open Sans" w:cs="Open Sans"/>
                <w:noProof/>
              </w:rPr>
              <w:t>7</w:t>
            </w:r>
            <w:r w:rsidR="00111740" w:rsidRPr="000C660A">
              <w:rPr>
                <w:rFonts w:ascii="Open Sans" w:eastAsiaTheme="minorEastAsia" w:hAnsi="Open Sans" w:cs="Open Sans"/>
                <w:b w:val="0"/>
                <w:noProof/>
                <w:spacing w:val="0"/>
                <w:sz w:val="22"/>
                <w:szCs w:val="22"/>
                <w:lang w:val="en-US"/>
              </w:rPr>
              <w:tab/>
            </w:r>
            <w:r w:rsidR="00111740" w:rsidRPr="000C660A">
              <w:rPr>
                <w:rStyle w:val="Hyperlink"/>
                <w:rFonts w:ascii="Open Sans" w:hAnsi="Open Sans" w:cs="Open Sans"/>
                <w:noProof/>
              </w:rPr>
              <w:t>Arbitrary detention</w:t>
            </w:r>
            <w:r w:rsidR="00111740" w:rsidRPr="000C660A">
              <w:rPr>
                <w:rFonts w:ascii="Open Sans" w:hAnsi="Open Sans" w:cs="Open Sans"/>
                <w:noProof/>
                <w:webHidden/>
              </w:rPr>
              <w:tab/>
            </w:r>
            <w:r w:rsidR="00111740" w:rsidRPr="000C660A">
              <w:rPr>
                <w:rFonts w:ascii="Open Sans" w:hAnsi="Open Sans" w:cs="Open Sans"/>
                <w:noProof/>
                <w:webHidden/>
              </w:rPr>
              <w:fldChar w:fldCharType="begin"/>
            </w:r>
            <w:r w:rsidR="00111740" w:rsidRPr="000C660A">
              <w:rPr>
                <w:rFonts w:ascii="Open Sans" w:hAnsi="Open Sans" w:cs="Open Sans"/>
                <w:noProof/>
                <w:webHidden/>
              </w:rPr>
              <w:instrText xml:space="preserve"> PAGEREF _Toc46130301 \h </w:instrText>
            </w:r>
            <w:r w:rsidR="00111740" w:rsidRPr="000C660A">
              <w:rPr>
                <w:rFonts w:ascii="Open Sans" w:hAnsi="Open Sans" w:cs="Open Sans"/>
                <w:noProof/>
                <w:webHidden/>
              </w:rPr>
            </w:r>
            <w:r w:rsidR="00111740" w:rsidRPr="000C660A">
              <w:rPr>
                <w:rFonts w:ascii="Open Sans" w:hAnsi="Open Sans" w:cs="Open Sans"/>
                <w:noProof/>
                <w:webHidden/>
              </w:rPr>
              <w:fldChar w:fldCharType="separate"/>
            </w:r>
            <w:r w:rsidR="00F935B5">
              <w:rPr>
                <w:rFonts w:ascii="Open Sans" w:hAnsi="Open Sans" w:cs="Open Sans"/>
                <w:noProof/>
                <w:webHidden/>
              </w:rPr>
              <w:t>4</w:t>
            </w:r>
            <w:r w:rsidR="00111740" w:rsidRPr="000C660A">
              <w:rPr>
                <w:rFonts w:ascii="Open Sans" w:hAnsi="Open Sans" w:cs="Open Sans"/>
                <w:noProof/>
                <w:webHidden/>
              </w:rPr>
              <w:fldChar w:fldCharType="end"/>
            </w:r>
          </w:hyperlink>
        </w:p>
        <w:p w14:paraId="7F7C5157" w14:textId="739A380C" w:rsidR="00111740" w:rsidRPr="000C660A" w:rsidRDefault="0091276A" w:rsidP="00111740">
          <w:pPr>
            <w:pStyle w:val="TOC2"/>
            <w:tabs>
              <w:tab w:val="right" w:leader="dot" w:pos="9060"/>
            </w:tabs>
            <w:rPr>
              <w:rFonts w:ascii="Open Sans" w:eastAsiaTheme="minorEastAsia" w:hAnsi="Open Sans" w:cs="Open Sans"/>
              <w:b w:val="0"/>
              <w:i w:val="0"/>
              <w:noProof/>
              <w:spacing w:val="0"/>
              <w:sz w:val="22"/>
              <w:szCs w:val="22"/>
              <w:lang w:val="en-US"/>
            </w:rPr>
          </w:pPr>
          <w:hyperlink w:anchor="_Toc46130302" w:history="1">
            <w:r w:rsidR="00111740" w:rsidRPr="000C660A">
              <w:rPr>
                <w:rStyle w:val="Hyperlink"/>
                <w:rFonts w:ascii="Open Sans" w:hAnsi="Open Sans" w:cs="Open Sans"/>
                <w:iCs/>
                <w:noProof/>
              </w:rPr>
              <w:t>7.1</w:t>
            </w:r>
            <w:r w:rsidR="00111740" w:rsidRPr="000C660A">
              <w:rPr>
                <w:rFonts w:ascii="Open Sans" w:eastAsiaTheme="minorEastAsia" w:hAnsi="Open Sans" w:cs="Open Sans"/>
                <w:b w:val="0"/>
                <w:i w:val="0"/>
                <w:noProof/>
                <w:spacing w:val="0"/>
                <w:sz w:val="22"/>
                <w:szCs w:val="22"/>
                <w:lang w:val="en-US"/>
              </w:rPr>
              <w:tab/>
            </w:r>
            <w:r w:rsidR="00111740" w:rsidRPr="000C660A">
              <w:rPr>
                <w:rStyle w:val="Hyperlink"/>
                <w:rFonts w:ascii="Open Sans" w:hAnsi="Open Sans" w:cs="Open Sans"/>
                <w:noProof/>
              </w:rPr>
              <w:t>Law on article 9 of the ICCPR</w:t>
            </w:r>
            <w:r w:rsidR="00111740" w:rsidRPr="000C660A">
              <w:rPr>
                <w:rFonts w:ascii="Open Sans" w:hAnsi="Open Sans" w:cs="Open Sans"/>
                <w:noProof/>
                <w:webHidden/>
              </w:rPr>
              <w:tab/>
            </w:r>
            <w:r w:rsidR="00111740" w:rsidRPr="000C660A">
              <w:rPr>
                <w:rFonts w:ascii="Open Sans" w:hAnsi="Open Sans" w:cs="Open Sans"/>
                <w:noProof/>
                <w:webHidden/>
              </w:rPr>
              <w:fldChar w:fldCharType="begin"/>
            </w:r>
            <w:r w:rsidR="00111740" w:rsidRPr="000C660A">
              <w:rPr>
                <w:rFonts w:ascii="Open Sans" w:hAnsi="Open Sans" w:cs="Open Sans"/>
                <w:noProof/>
                <w:webHidden/>
              </w:rPr>
              <w:instrText xml:space="preserve"> PAGEREF _Toc46130302 \h </w:instrText>
            </w:r>
            <w:r w:rsidR="00111740" w:rsidRPr="000C660A">
              <w:rPr>
                <w:rFonts w:ascii="Open Sans" w:hAnsi="Open Sans" w:cs="Open Sans"/>
                <w:noProof/>
                <w:webHidden/>
              </w:rPr>
            </w:r>
            <w:r w:rsidR="00111740" w:rsidRPr="000C660A">
              <w:rPr>
                <w:rFonts w:ascii="Open Sans" w:hAnsi="Open Sans" w:cs="Open Sans"/>
                <w:noProof/>
                <w:webHidden/>
              </w:rPr>
              <w:fldChar w:fldCharType="separate"/>
            </w:r>
            <w:r w:rsidR="00F935B5">
              <w:rPr>
                <w:rFonts w:ascii="Open Sans" w:hAnsi="Open Sans" w:cs="Open Sans"/>
                <w:noProof/>
                <w:webHidden/>
              </w:rPr>
              <w:t>4</w:t>
            </w:r>
            <w:r w:rsidR="00111740" w:rsidRPr="000C660A">
              <w:rPr>
                <w:rFonts w:ascii="Open Sans" w:hAnsi="Open Sans" w:cs="Open Sans"/>
                <w:noProof/>
                <w:webHidden/>
              </w:rPr>
              <w:fldChar w:fldCharType="end"/>
            </w:r>
          </w:hyperlink>
        </w:p>
        <w:p w14:paraId="5F49663F" w14:textId="43888C44" w:rsidR="00111740" w:rsidRPr="000C660A" w:rsidRDefault="0091276A" w:rsidP="00111740">
          <w:pPr>
            <w:pStyle w:val="TOC2"/>
            <w:tabs>
              <w:tab w:val="right" w:leader="dot" w:pos="9060"/>
            </w:tabs>
            <w:rPr>
              <w:rFonts w:ascii="Open Sans" w:eastAsiaTheme="minorEastAsia" w:hAnsi="Open Sans" w:cs="Open Sans"/>
              <w:b w:val="0"/>
              <w:i w:val="0"/>
              <w:noProof/>
              <w:spacing w:val="0"/>
              <w:sz w:val="22"/>
              <w:szCs w:val="22"/>
              <w:lang w:val="en-US"/>
            </w:rPr>
          </w:pPr>
          <w:hyperlink w:anchor="_Toc46130303" w:history="1">
            <w:r w:rsidR="00111740" w:rsidRPr="000C660A">
              <w:rPr>
                <w:rStyle w:val="Hyperlink"/>
                <w:rFonts w:ascii="Open Sans" w:hAnsi="Open Sans" w:cs="Open Sans"/>
                <w:iCs/>
                <w:noProof/>
              </w:rPr>
              <w:t>7.2</w:t>
            </w:r>
            <w:r w:rsidR="00111740" w:rsidRPr="000C660A">
              <w:rPr>
                <w:rFonts w:ascii="Open Sans" w:eastAsiaTheme="minorEastAsia" w:hAnsi="Open Sans" w:cs="Open Sans"/>
                <w:b w:val="0"/>
                <w:i w:val="0"/>
                <w:noProof/>
                <w:spacing w:val="0"/>
                <w:sz w:val="22"/>
                <w:szCs w:val="22"/>
                <w:lang w:val="en-US"/>
              </w:rPr>
              <w:tab/>
            </w:r>
            <w:r w:rsidR="00111740" w:rsidRPr="000C660A">
              <w:rPr>
                <w:rStyle w:val="Hyperlink"/>
                <w:rFonts w:ascii="Open Sans" w:hAnsi="Open Sans" w:cs="Open Sans"/>
                <w:noProof/>
              </w:rPr>
              <w:t>Act or practice of the Commonwealth</w:t>
            </w:r>
            <w:r w:rsidR="00111740" w:rsidRPr="000C660A">
              <w:rPr>
                <w:rFonts w:ascii="Open Sans" w:hAnsi="Open Sans" w:cs="Open Sans"/>
                <w:noProof/>
                <w:webHidden/>
              </w:rPr>
              <w:tab/>
            </w:r>
            <w:r w:rsidR="00111740" w:rsidRPr="000C660A">
              <w:rPr>
                <w:rFonts w:ascii="Open Sans" w:hAnsi="Open Sans" w:cs="Open Sans"/>
                <w:noProof/>
                <w:webHidden/>
              </w:rPr>
              <w:fldChar w:fldCharType="begin"/>
            </w:r>
            <w:r w:rsidR="00111740" w:rsidRPr="000C660A">
              <w:rPr>
                <w:rFonts w:ascii="Open Sans" w:hAnsi="Open Sans" w:cs="Open Sans"/>
                <w:noProof/>
                <w:webHidden/>
              </w:rPr>
              <w:instrText xml:space="preserve"> PAGEREF _Toc46130303 \h </w:instrText>
            </w:r>
            <w:r w:rsidR="00111740" w:rsidRPr="000C660A">
              <w:rPr>
                <w:rFonts w:ascii="Open Sans" w:hAnsi="Open Sans" w:cs="Open Sans"/>
                <w:noProof/>
                <w:webHidden/>
              </w:rPr>
            </w:r>
            <w:r w:rsidR="00111740" w:rsidRPr="000C660A">
              <w:rPr>
                <w:rFonts w:ascii="Open Sans" w:hAnsi="Open Sans" w:cs="Open Sans"/>
                <w:noProof/>
                <w:webHidden/>
              </w:rPr>
              <w:fldChar w:fldCharType="separate"/>
            </w:r>
            <w:r w:rsidR="00F935B5">
              <w:rPr>
                <w:rFonts w:ascii="Open Sans" w:hAnsi="Open Sans" w:cs="Open Sans"/>
                <w:noProof/>
                <w:webHidden/>
              </w:rPr>
              <w:t>6</w:t>
            </w:r>
            <w:r w:rsidR="00111740" w:rsidRPr="000C660A">
              <w:rPr>
                <w:rFonts w:ascii="Open Sans" w:hAnsi="Open Sans" w:cs="Open Sans"/>
                <w:noProof/>
                <w:webHidden/>
              </w:rPr>
              <w:fldChar w:fldCharType="end"/>
            </w:r>
          </w:hyperlink>
        </w:p>
        <w:p w14:paraId="1DE4719B" w14:textId="272DC51F" w:rsidR="00111740" w:rsidRPr="000C660A" w:rsidRDefault="0091276A" w:rsidP="00111740">
          <w:pPr>
            <w:pStyle w:val="TOC2"/>
            <w:tabs>
              <w:tab w:val="right" w:leader="dot" w:pos="9060"/>
            </w:tabs>
            <w:rPr>
              <w:rFonts w:ascii="Open Sans" w:eastAsiaTheme="minorEastAsia" w:hAnsi="Open Sans" w:cs="Open Sans"/>
              <w:b w:val="0"/>
              <w:i w:val="0"/>
              <w:noProof/>
              <w:spacing w:val="0"/>
              <w:sz w:val="22"/>
              <w:szCs w:val="22"/>
              <w:lang w:val="en-US"/>
            </w:rPr>
          </w:pPr>
          <w:hyperlink w:anchor="_Toc46130304" w:history="1">
            <w:r w:rsidR="00111740" w:rsidRPr="000C660A">
              <w:rPr>
                <w:rStyle w:val="Hyperlink"/>
                <w:rFonts w:ascii="Open Sans" w:hAnsi="Open Sans" w:cs="Open Sans"/>
                <w:iCs/>
                <w:noProof/>
              </w:rPr>
              <w:t>7.3</w:t>
            </w:r>
            <w:r w:rsidR="00111740" w:rsidRPr="000C660A">
              <w:rPr>
                <w:rFonts w:ascii="Open Sans" w:eastAsiaTheme="minorEastAsia" w:hAnsi="Open Sans" w:cs="Open Sans"/>
                <w:b w:val="0"/>
                <w:i w:val="0"/>
                <w:noProof/>
                <w:spacing w:val="0"/>
                <w:sz w:val="22"/>
                <w:szCs w:val="22"/>
                <w:lang w:val="en-US"/>
              </w:rPr>
              <w:tab/>
            </w:r>
            <w:r w:rsidR="00111740" w:rsidRPr="000C660A">
              <w:rPr>
                <w:rStyle w:val="Hyperlink"/>
                <w:rFonts w:ascii="Open Sans" w:hAnsi="Open Sans" w:cs="Open Sans"/>
                <w:noProof/>
              </w:rPr>
              <w:t>Findings</w:t>
            </w:r>
            <w:r w:rsidR="00111740" w:rsidRPr="000C660A">
              <w:rPr>
                <w:rFonts w:ascii="Open Sans" w:hAnsi="Open Sans" w:cs="Open Sans"/>
                <w:noProof/>
                <w:webHidden/>
              </w:rPr>
              <w:tab/>
            </w:r>
            <w:r w:rsidR="00111740" w:rsidRPr="000C660A">
              <w:rPr>
                <w:rFonts w:ascii="Open Sans" w:hAnsi="Open Sans" w:cs="Open Sans"/>
                <w:noProof/>
                <w:webHidden/>
              </w:rPr>
              <w:fldChar w:fldCharType="begin"/>
            </w:r>
            <w:r w:rsidR="00111740" w:rsidRPr="000C660A">
              <w:rPr>
                <w:rFonts w:ascii="Open Sans" w:hAnsi="Open Sans" w:cs="Open Sans"/>
                <w:noProof/>
                <w:webHidden/>
              </w:rPr>
              <w:instrText xml:space="preserve"> PAGEREF _Toc46130304 \h </w:instrText>
            </w:r>
            <w:r w:rsidR="00111740" w:rsidRPr="000C660A">
              <w:rPr>
                <w:rFonts w:ascii="Open Sans" w:hAnsi="Open Sans" w:cs="Open Sans"/>
                <w:noProof/>
                <w:webHidden/>
              </w:rPr>
            </w:r>
            <w:r w:rsidR="00111740" w:rsidRPr="000C660A">
              <w:rPr>
                <w:rFonts w:ascii="Open Sans" w:hAnsi="Open Sans" w:cs="Open Sans"/>
                <w:noProof/>
                <w:webHidden/>
              </w:rPr>
              <w:fldChar w:fldCharType="separate"/>
            </w:r>
            <w:r w:rsidR="00F935B5">
              <w:rPr>
                <w:rFonts w:ascii="Open Sans" w:hAnsi="Open Sans" w:cs="Open Sans"/>
                <w:noProof/>
                <w:webHidden/>
              </w:rPr>
              <w:t>6</w:t>
            </w:r>
            <w:r w:rsidR="00111740" w:rsidRPr="000C660A">
              <w:rPr>
                <w:rFonts w:ascii="Open Sans" w:hAnsi="Open Sans" w:cs="Open Sans"/>
                <w:noProof/>
                <w:webHidden/>
              </w:rPr>
              <w:fldChar w:fldCharType="end"/>
            </w:r>
          </w:hyperlink>
        </w:p>
        <w:p w14:paraId="5FE6FE4E" w14:textId="509834C8" w:rsidR="00111740" w:rsidRPr="000C660A" w:rsidRDefault="0091276A" w:rsidP="00111740">
          <w:pPr>
            <w:pStyle w:val="TOC1"/>
            <w:rPr>
              <w:rFonts w:ascii="Open Sans" w:eastAsiaTheme="minorEastAsia" w:hAnsi="Open Sans" w:cs="Open Sans"/>
              <w:b w:val="0"/>
              <w:noProof/>
              <w:spacing w:val="0"/>
              <w:sz w:val="22"/>
              <w:szCs w:val="22"/>
              <w:lang w:val="en-US"/>
            </w:rPr>
          </w:pPr>
          <w:hyperlink w:anchor="_Toc46130305" w:history="1">
            <w:r w:rsidR="00111740" w:rsidRPr="000C660A">
              <w:rPr>
                <w:rStyle w:val="Hyperlink"/>
                <w:rFonts w:ascii="Open Sans" w:hAnsi="Open Sans" w:cs="Open Sans"/>
                <w:noProof/>
              </w:rPr>
              <w:t>8</w:t>
            </w:r>
            <w:r w:rsidR="00111740" w:rsidRPr="000C660A">
              <w:rPr>
                <w:rFonts w:ascii="Open Sans" w:eastAsiaTheme="minorEastAsia" w:hAnsi="Open Sans" w:cs="Open Sans"/>
                <w:b w:val="0"/>
                <w:noProof/>
                <w:spacing w:val="0"/>
                <w:sz w:val="22"/>
                <w:szCs w:val="22"/>
                <w:lang w:val="en-US"/>
              </w:rPr>
              <w:tab/>
            </w:r>
            <w:r w:rsidR="00111740" w:rsidRPr="000C660A">
              <w:rPr>
                <w:rStyle w:val="Hyperlink"/>
                <w:rFonts w:ascii="Open Sans" w:hAnsi="Open Sans" w:cs="Open Sans"/>
                <w:noProof/>
              </w:rPr>
              <w:t>Recommendations</w:t>
            </w:r>
            <w:r w:rsidR="00111740" w:rsidRPr="000C660A">
              <w:rPr>
                <w:rFonts w:ascii="Open Sans" w:hAnsi="Open Sans" w:cs="Open Sans"/>
                <w:noProof/>
                <w:webHidden/>
              </w:rPr>
              <w:tab/>
            </w:r>
            <w:r w:rsidR="00111740" w:rsidRPr="000C660A">
              <w:rPr>
                <w:rFonts w:ascii="Open Sans" w:hAnsi="Open Sans" w:cs="Open Sans"/>
                <w:noProof/>
                <w:webHidden/>
              </w:rPr>
              <w:fldChar w:fldCharType="begin"/>
            </w:r>
            <w:r w:rsidR="00111740" w:rsidRPr="000C660A">
              <w:rPr>
                <w:rFonts w:ascii="Open Sans" w:hAnsi="Open Sans" w:cs="Open Sans"/>
                <w:noProof/>
                <w:webHidden/>
              </w:rPr>
              <w:instrText xml:space="preserve"> PAGEREF _Toc46130305 \h </w:instrText>
            </w:r>
            <w:r w:rsidR="00111740" w:rsidRPr="000C660A">
              <w:rPr>
                <w:rFonts w:ascii="Open Sans" w:hAnsi="Open Sans" w:cs="Open Sans"/>
                <w:noProof/>
                <w:webHidden/>
              </w:rPr>
            </w:r>
            <w:r w:rsidR="00111740" w:rsidRPr="000C660A">
              <w:rPr>
                <w:rFonts w:ascii="Open Sans" w:hAnsi="Open Sans" w:cs="Open Sans"/>
                <w:noProof/>
                <w:webHidden/>
              </w:rPr>
              <w:fldChar w:fldCharType="separate"/>
            </w:r>
            <w:r w:rsidR="00F935B5">
              <w:rPr>
                <w:rFonts w:ascii="Open Sans" w:hAnsi="Open Sans" w:cs="Open Sans"/>
                <w:noProof/>
                <w:webHidden/>
              </w:rPr>
              <w:t>11</w:t>
            </w:r>
            <w:r w:rsidR="00111740" w:rsidRPr="000C660A">
              <w:rPr>
                <w:rFonts w:ascii="Open Sans" w:hAnsi="Open Sans" w:cs="Open Sans"/>
                <w:noProof/>
                <w:webHidden/>
              </w:rPr>
              <w:fldChar w:fldCharType="end"/>
            </w:r>
          </w:hyperlink>
        </w:p>
        <w:p w14:paraId="3BB6DC9D" w14:textId="6030241E" w:rsidR="00111740" w:rsidRPr="000C660A" w:rsidRDefault="0091276A" w:rsidP="00111740">
          <w:pPr>
            <w:pStyle w:val="TOC1"/>
            <w:rPr>
              <w:rFonts w:ascii="Open Sans" w:eastAsiaTheme="minorEastAsia" w:hAnsi="Open Sans" w:cs="Open Sans"/>
              <w:b w:val="0"/>
              <w:noProof/>
              <w:spacing w:val="0"/>
              <w:sz w:val="22"/>
              <w:szCs w:val="22"/>
              <w:lang w:val="en-US"/>
            </w:rPr>
          </w:pPr>
          <w:hyperlink w:anchor="_Toc46130306" w:history="1">
            <w:r w:rsidR="00111740" w:rsidRPr="000C660A">
              <w:rPr>
                <w:rStyle w:val="Hyperlink"/>
                <w:rFonts w:ascii="Open Sans" w:hAnsi="Open Sans" w:cs="Open Sans"/>
                <w:noProof/>
              </w:rPr>
              <w:t>9</w:t>
            </w:r>
            <w:r w:rsidR="00111740" w:rsidRPr="000C660A">
              <w:rPr>
                <w:rFonts w:ascii="Open Sans" w:eastAsiaTheme="minorEastAsia" w:hAnsi="Open Sans" w:cs="Open Sans"/>
                <w:b w:val="0"/>
                <w:noProof/>
                <w:spacing w:val="0"/>
                <w:sz w:val="22"/>
                <w:szCs w:val="22"/>
                <w:lang w:val="en-US"/>
              </w:rPr>
              <w:tab/>
            </w:r>
            <w:r w:rsidR="00111740" w:rsidRPr="000C660A">
              <w:rPr>
                <w:rStyle w:val="Hyperlink"/>
                <w:rFonts w:ascii="Open Sans" w:hAnsi="Open Sans" w:cs="Open Sans"/>
                <w:noProof/>
              </w:rPr>
              <w:t>The Department’s response to my findings and recommendations</w:t>
            </w:r>
            <w:r w:rsidR="00111740" w:rsidRPr="000C660A">
              <w:rPr>
                <w:rFonts w:ascii="Open Sans" w:hAnsi="Open Sans" w:cs="Open Sans"/>
                <w:noProof/>
                <w:webHidden/>
              </w:rPr>
              <w:tab/>
            </w:r>
            <w:r w:rsidR="00111740" w:rsidRPr="000C660A">
              <w:rPr>
                <w:rFonts w:ascii="Open Sans" w:hAnsi="Open Sans" w:cs="Open Sans"/>
                <w:noProof/>
                <w:webHidden/>
              </w:rPr>
              <w:fldChar w:fldCharType="begin"/>
            </w:r>
            <w:r w:rsidR="00111740" w:rsidRPr="000C660A">
              <w:rPr>
                <w:rFonts w:ascii="Open Sans" w:hAnsi="Open Sans" w:cs="Open Sans"/>
                <w:noProof/>
                <w:webHidden/>
              </w:rPr>
              <w:instrText xml:space="preserve"> PAGEREF _Toc46130306 \h </w:instrText>
            </w:r>
            <w:r w:rsidR="00111740" w:rsidRPr="000C660A">
              <w:rPr>
                <w:rFonts w:ascii="Open Sans" w:hAnsi="Open Sans" w:cs="Open Sans"/>
                <w:noProof/>
                <w:webHidden/>
              </w:rPr>
            </w:r>
            <w:r w:rsidR="00111740" w:rsidRPr="000C660A">
              <w:rPr>
                <w:rFonts w:ascii="Open Sans" w:hAnsi="Open Sans" w:cs="Open Sans"/>
                <w:noProof/>
                <w:webHidden/>
              </w:rPr>
              <w:fldChar w:fldCharType="separate"/>
            </w:r>
            <w:r w:rsidR="00F935B5">
              <w:rPr>
                <w:rFonts w:ascii="Open Sans" w:hAnsi="Open Sans" w:cs="Open Sans"/>
                <w:noProof/>
                <w:webHidden/>
              </w:rPr>
              <w:t>13</w:t>
            </w:r>
            <w:r w:rsidR="00111740" w:rsidRPr="000C660A">
              <w:rPr>
                <w:rFonts w:ascii="Open Sans" w:hAnsi="Open Sans" w:cs="Open Sans"/>
                <w:noProof/>
                <w:webHidden/>
              </w:rPr>
              <w:fldChar w:fldCharType="end"/>
            </w:r>
          </w:hyperlink>
        </w:p>
        <w:p w14:paraId="713A4A8C" w14:textId="540FE6D4" w:rsidR="00111740" w:rsidRPr="00E95FE0" w:rsidRDefault="00111740" w:rsidP="00111740">
          <w:pPr>
            <w:spacing w:after="60"/>
            <w:rPr>
              <w:rFonts w:ascii="Open Sans" w:hAnsi="Open Sans" w:cs="Open Sans"/>
            </w:rPr>
          </w:pPr>
          <w:r w:rsidRPr="00E95FE0">
            <w:rPr>
              <w:rFonts w:ascii="Open Sans" w:hAnsi="Open Sans" w:cs="Open Sans"/>
              <w:b/>
              <w:bCs/>
              <w:noProof/>
            </w:rPr>
            <w:fldChar w:fldCharType="end"/>
          </w:r>
        </w:p>
      </w:sdtContent>
    </w:sdt>
    <w:p w14:paraId="644AE30E" w14:textId="77777777" w:rsidR="00111740" w:rsidRPr="00E95FE0" w:rsidRDefault="00111740" w:rsidP="00111740">
      <w:pPr>
        <w:rPr>
          <w:rFonts w:ascii="Open Sans" w:hAnsi="Open Sans" w:cs="Open Sans"/>
        </w:rPr>
      </w:pPr>
    </w:p>
    <w:p w14:paraId="27F57637" w14:textId="77777777" w:rsidR="00111740" w:rsidRPr="00E95FE0" w:rsidRDefault="00111740" w:rsidP="00111740">
      <w:pPr>
        <w:rPr>
          <w:rFonts w:ascii="Open Sans" w:hAnsi="Open Sans" w:cs="Open Sans"/>
        </w:rPr>
      </w:pPr>
    </w:p>
    <w:p w14:paraId="0EC4E590" w14:textId="77777777" w:rsidR="00111740" w:rsidRPr="00E95FE0" w:rsidRDefault="00111740" w:rsidP="00111740">
      <w:pPr>
        <w:rPr>
          <w:rFonts w:ascii="Open Sans" w:hAnsi="Open Sans" w:cs="Open Sans"/>
        </w:rPr>
      </w:pPr>
    </w:p>
    <w:p w14:paraId="32A78707" w14:textId="2E058A88" w:rsidR="00111740" w:rsidRPr="00E95FE0" w:rsidRDefault="00111740" w:rsidP="00111740">
      <w:pPr>
        <w:rPr>
          <w:rFonts w:ascii="Open Sans" w:hAnsi="Open Sans" w:cs="Open Sans"/>
          <w:b/>
          <w:szCs w:val="24"/>
        </w:rPr>
        <w:sectPr w:rsidR="00111740" w:rsidRPr="00E95FE0" w:rsidSect="00323B54">
          <w:footerReference w:type="even" r:id="rId18"/>
          <w:footerReference w:type="default" r:id="rId19"/>
          <w:endnotePr>
            <w:numFmt w:val="decimal"/>
          </w:endnotePr>
          <w:pgSz w:w="11906" w:h="16838" w:code="9"/>
          <w:pgMar w:top="1134" w:right="1418" w:bottom="1134" w:left="1418" w:header="709" w:footer="709" w:gutter="0"/>
          <w:cols w:space="708"/>
          <w:docGrid w:linePitch="360"/>
        </w:sectPr>
      </w:pPr>
    </w:p>
    <w:p w14:paraId="5FF3D67B" w14:textId="1E6F0048" w:rsidR="00111740" w:rsidRPr="00E95FE0" w:rsidRDefault="00111740" w:rsidP="00111740">
      <w:pPr>
        <w:pStyle w:val="Heading1"/>
        <w:tabs>
          <w:tab w:val="clear" w:pos="851"/>
          <w:tab w:val="num" w:pos="709"/>
        </w:tabs>
        <w:rPr>
          <w:rFonts w:ascii="Open Sans" w:hAnsi="Open Sans" w:cs="Open Sans"/>
          <w:szCs w:val="36"/>
        </w:rPr>
      </w:pPr>
      <w:bookmarkStart w:id="3" w:name="_Toc452472689"/>
      <w:bookmarkStart w:id="4" w:name="_Toc487445596"/>
      <w:bookmarkStart w:id="5" w:name="_Toc487531381"/>
      <w:bookmarkStart w:id="6" w:name="_Toc487531400"/>
      <w:bookmarkStart w:id="7" w:name="_Toc487531470"/>
      <w:bookmarkStart w:id="8" w:name="_Toc487531590"/>
      <w:bookmarkStart w:id="9" w:name="_Toc46130292"/>
      <w:r w:rsidRPr="00E95FE0">
        <w:rPr>
          <w:rFonts w:ascii="Open Sans" w:hAnsi="Open Sans" w:cs="Open Sans"/>
          <w:szCs w:val="36"/>
        </w:rPr>
        <w:t>Introduction to this inquiry</w:t>
      </w:r>
      <w:bookmarkEnd w:id="3"/>
      <w:bookmarkEnd w:id="4"/>
      <w:bookmarkEnd w:id="5"/>
      <w:bookmarkEnd w:id="6"/>
      <w:bookmarkEnd w:id="7"/>
      <w:bookmarkEnd w:id="8"/>
      <w:bookmarkEnd w:id="9"/>
      <w:r w:rsidRPr="00E95FE0">
        <w:rPr>
          <w:rFonts w:ascii="Open Sans" w:hAnsi="Open Sans" w:cs="Open Sans"/>
          <w:szCs w:val="36"/>
        </w:rPr>
        <w:t xml:space="preserve"> </w:t>
      </w:r>
    </w:p>
    <w:p w14:paraId="28781CB4" w14:textId="77777777" w:rsidR="00111740" w:rsidRPr="00E95FE0" w:rsidRDefault="00111740" w:rsidP="00111740">
      <w:pPr>
        <w:numPr>
          <w:ilvl w:val="0"/>
          <w:numId w:val="3"/>
        </w:numPr>
        <w:spacing w:before="240" w:after="240"/>
        <w:rPr>
          <w:rFonts w:ascii="Open Sans" w:hAnsi="Open Sans" w:cs="Open Sans"/>
          <w:szCs w:val="24"/>
        </w:rPr>
      </w:pPr>
      <w:bookmarkStart w:id="10" w:name="_Toc430854474"/>
      <w:bookmarkStart w:id="11" w:name="_Toc435187441"/>
      <w:bookmarkStart w:id="12" w:name="_Toc453855975"/>
      <w:bookmarkStart w:id="13" w:name="_Toc453856985"/>
      <w:r w:rsidRPr="00E95FE0">
        <w:rPr>
          <w:rFonts w:ascii="Open Sans" w:hAnsi="Open Sans" w:cs="Open Sans"/>
          <w:szCs w:val="24"/>
        </w:rPr>
        <w:t xml:space="preserve">This is a </w:t>
      </w:r>
      <w:r>
        <w:rPr>
          <w:rFonts w:ascii="Open Sans" w:hAnsi="Open Sans" w:cs="Open Sans"/>
          <w:szCs w:val="24"/>
        </w:rPr>
        <w:t>report</w:t>
      </w:r>
      <w:r w:rsidRPr="00E95FE0">
        <w:rPr>
          <w:rFonts w:ascii="Open Sans" w:hAnsi="Open Sans" w:cs="Open Sans"/>
          <w:szCs w:val="24"/>
        </w:rPr>
        <w:t xml:space="preserve"> setting out the findings of the Australian Human Rights Commission (Commission) following an inquiry into a complaint by </w:t>
      </w:r>
      <w:bookmarkEnd w:id="10"/>
      <w:bookmarkEnd w:id="11"/>
      <w:bookmarkEnd w:id="12"/>
      <w:bookmarkEnd w:id="13"/>
      <w:r w:rsidRPr="00E95FE0">
        <w:rPr>
          <w:rFonts w:ascii="Open Sans" w:hAnsi="Open Sans" w:cs="Open Sans"/>
          <w:szCs w:val="24"/>
        </w:rPr>
        <w:t xml:space="preserve">Mr </w:t>
      </w:r>
      <w:proofErr w:type="spellStart"/>
      <w:r>
        <w:rPr>
          <w:rFonts w:ascii="Open Sans" w:hAnsi="Open Sans" w:cs="Open Sans"/>
          <w:szCs w:val="24"/>
        </w:rPr>
        <w:t>Ghasem</w:t>
      </w:r>
      <w:proofErr w:type="spellEnd"/>
      <w:r>
        <w:rPr>
          <w:rFonts w:ascii="Open Sans" w:hAnsi="Open Sans" w:cs="Open Sans"/>
          <w:szCs w:val="24"/>
        </w:rPr>
        <w:t xml:space="preserve"> </w:t>
      </w:r>
      <w:proofErr w:type="spellStart"/>
      <w:r>
        <w:rPr>
          <w:rFonts w:ascii="Open Sans" w:hAnsi="Open Sans" w:cs="Open Sans"/>
          <w:szCs w:val="24"/>
        </w:rPr>
        <w:t>Hamedani</w:t>
      </w:r>
      <w:proofErr w:type="spellEnd"/>
      <w:r w:rsidRPr="00E95FE0">
        <w:rPr>
          <w:rFonts w:ascii="Open Sans" w:hAnsi="Open Sans" w:cs="Open Sans"/>
          <w:szCs w:val="24"/>
        </w:rPr>
        <w:t xml:space="preserve"> against the Commonwealth of </w:t>
      </w:r>
      <w:proofErr w:type="gramStart"/>
      <w:r w:rsidRPr="00E95FE0">
        <w:rPr>
          <w:rFonts w:ascii="Open Sans" w:hAnsi="Open Sans" w:cs="Open Sans"/>
          <w:szCs w:val="24"/>
        </w:rPr>
        <w:t>Australia,</w:t>
      </w:r>
      <w:r w:rsidRPr="00E95FE0">
        <w:rPr>
          <w:rFonts w:ascii="Open Sans" w:hAnsi="Open Sans" w:cs="Open Sans"/>
          <w:szCs w:val="24"/>
        </w:rPr>
        <w:softHyphen/>
      </w:r>
      <w:proofErr w:type="gramEnd"/>
      <w:r w:rsidRPr="00E95FE0">
        <w:rPr>
          <w:rFonts w:ascii="Open Sans" w:hAnsi="Open Sans" w:cs="Open Sans"/>
          <w:szCs w:val="24"/>
        </w:rPr>
        <w:softHyphen/>
        <w:t xml:space="preserve"> Department of Home Affairs (Department) alleging a breach of his human rights.  </w:t>
      </w:r>
    </w:p>
    <w:p w14:paraId="22F1EE13" w14:textId="77777777" w:rsidR="00111740" w:rsidRPr="002C474B" w:rsidRDefault="00111740" w:rsidP="00111740">
      <w:pPr>
        <w:numPr>
          <w:ilvl w:val="0"/>
          <w:numId w:val="3"/>
        </w:numPr>
        <w:spacing w:before="240" w:after="240"/>
        <w:rPr>
          <w:rFonts w:ascii="Open Sans" w:hAnsi="Open Sans" w:cs="Open Sans"/>
          <w:szCs w:val="24"/>
        </w:rPr>
      </w:pPr>
      <w:r w:rsidRPr="00F941C3">
        <w:rPr>
          <w:rFonts w:ascii="Open Sans" w:hAnsi="Open Sans" w:cs="Open Sans"/>
          <w:szCs w:val="24"/>
        </w:rPr>
        <w:t xml:space="preserve">Mr </w:t>
      </w:r>
      <w:proofErr w:type="spellStart"/>
      <w:r w:rsidRPr="00F941C3">
        <w:rPr>
          <w:rFonts w:ascii="Open Sans" w:hAnsi="Open Sans" w:cs="Open Sans"/>
          <w:szCs w:val="24"/>
        </w:rPr>
        <w:t>Hamedani</w:t>
      </w:r>
      <w:proofErr w:type="spellEnd"/>
      <w:r w:rsidRPr="00F941C3">
        <w:rPr>
          <w:rFonts w:ascii="Open Sans" w:hAnsi="Open Sans" w:cs="Open Sans"/>
          <w:szCs w:val="24"/>
        </w:rPr>
        <w:t xml:space="preserve"> arrived in Australia by boat at Christmas Island on 31 July 2013. </w:t>
      </w:r>
      <w:r>
        <w:rPr>
          <w:rFonts w:ascii="Open Sans" w:hAnsi="Open Sans" w:cs="Open Sans"/>
          <w:szCs w:val="24"/>
        </w:rPr>
        <w:t xml:space="preserve">On 2 September 2013 he was transferred to Manus Island Regional Processing Centre. On 5 August 2016, Mr </w:t>
      </w:r>
      <w:proofErr w:type="spellStart"/>
      <w:r>
        <w:rPr>
          <w:rFonts w:ascii="Open Sans" w:hAnsi="Open Sans" w:cs="Open Sans"/>
          <w:szCs w:val="24"/>
        </w:rPr>
        <w:t>Hamedani</w:t>
      </w:r>
      <w:proofErr w:type="spellEnd"/>
      <w:r>
        <w:rPr>
          <w:rFonts w:ascii="Open Sans" w:hAnsi="Open Sans" w:cs="Open Sans"/>
          <w:szCs w:val="24"/>
        </w:rPr>
        <w:t xml:space="preserve"> was transferred to Australia for medical treatment. On 4 December 2018, Mr </w:t>
      </w:r>
      <w:proofErr w:type="spellStart"/>
      <w:r>
        <w:rPr>
          <w:rFonts w:ascii="Open Sans" w:hAnsi="Open Sans" w:cs="Open Sans"/>
          <w:szCs w:val="24"/>
        </w:rPr>
        <w:t>Hamedani</w:t>
      </w:r>
      <w:proofErr w:type="spellEnd"/>
      <w:r>
        <w:rPr>
          <w:rFonts w:ascii="Open Sans" w:hAnsi="Open Sans" w:cs="Open Sans"/>
          <w:szCs w:val="24"/>
        </w:rPr>
        <w:t xml:space="preserve"> was released into community detention where he remains.</w:t>
      </w:r>
    </w:p>
    <w:p w14:paraId="364709B9" w14:textId="77777777" w:rsidR="00111740" w:rsidRPr="00F941C3" w:rsidRDefault="00111740" w:rsidP="00111740">
      <w:pPr>
        <w:numPr>
          <w:ilvl w:val="0"/>
          <w:numId w:val="3"/>
        </w:numPr>
        <w:spacing w:before="240" w:after="240"/>
        <w:rPr>
          <w:rFonts w:ascii="Open Sans" w:hAnsi="Open Sans" w:cs="Open Sans"/>
          <w:szCs w:val="24"/>
        </w:rPr>
      </w:pPr>
      <w:r w:rsidRPr="00F941C3">
        <w:rPr>
          <w:rFonts w:ascii="Open Sans" w:hAnsi="Open Sans" w:cs="Open Sans"/>
          <w:szCs w:val="24"/>
        </w:rPr>
        <w:t xml:space="preserve">He complains that his detention in Australia </w:t>
      </w:r>
      <w:r>
        <w:rPr>
          <w:rFonts w:ascii="Open Sans" w:hAnsi="Open Sans" w:cs="Open Sans"/>
          <w:szCs w:val="24"/>
        </w:rPr>
        <w:t xml:space="preserve">for 28 months </w:t>
      </w:r>
      <w:r w:rsidRPr="00F941C3">
        <w:rPr>
          <w:rFonts w:ascii="Open Sans" w:hAnsi="Open Sans" w:cs="Open Sans"/>
          <w:szCs w:val="24"/>
        </w:rPr>
        <w:t xml:space="preserve">was arbitrary, and therefore inconsistent with or contrary to article 9(1) of the </w:t>
      </w:r>
      <w:r w:rsidRPr="00F941C3">
        <w:rPr>
          <w:rFonts w:ascii="Open Sans" w:hAnsi="Open Sans" w:cs="Open Sans"/>
          <w:i/>
          <w:szCs w:val="24"/>
        </w:rPr>
        <w:t>International Covenant on Civil and Political Rights</w:t>
      </w:r>
      <w:r w:rsidRPr="00F941C3">
        <w:rPr>
          <w:rFonts w:ascii="Open Sans" w:hAnsi="Open Sans" w:cs="Open Sans"/>
          <w:szCs w:val="24"/>
        </w:rPr>
        <w:t xml:space="preserve"> (ICCPR).</w:t>
      </w:r>
      <w:r w:rsidRPr="00F941C3">
        <w:rPr>
          <w:rStyle w:val="EndnoteReference"/>
          <w:rFonts w:ascii="Open Sans" w:hAnsi="Open Sans" w:cs="Open Sans"/>
          <w:szCs w:val="24"/>
        </w:rPr>
        <w:endnoteReference w:id="1"/>
      </w:r>
    </w:p>
    <w:p w14:paraId="5E4CC83C" w14:textId="77777777" w:rsidR="00111740" w:rsidRPr="00E95FE0" w:rsidRDefault="00111740" w:rsidP="00111740">
      <w:pPr>
        <w:pStyle w:val="SubmissionNormal"/>
        <w:numPr>
          <w:ilvl w:val="0"/>
          <w:numId w:val="3"/>
        </w:numPr>
        <w:rPr>
          <w:rFonts w:ascii="Open Sans" w:hAnsi="Open Sans" w:cs="Open Sans"/>
        </w:rPr>
      </w:pPr>
      <w:r w:rsidRPr="00E95FE0">
        <w:rPr>
          <w:rFonts w:ascii="Open Sans" w:hAnsi="Open Sans" w:cs="Open Sans"/>
        </w:rPr>
        <w:t xml:space="preserve">This inquiry has been undertaken pursuant to s 11(1)(f) of the </w:t>
      </w:r>
      <w:r w:rsidRPr="00E95FE0">
        <w:rPr>
          <w:rFonts w:ascii="Open Sans" w:hAnsi="Open Sans" w:cs="Open Sans"/>
          <w:i/>
        </w:rPr>
        <w:t xml:space="preserve">Australian Human Rights Commission Act 1986 </w:t>
      </w:r>
      <w:r w:rsidRPr="00E95FE0">
        <w:rPr>
          <w:rFonts w:ascii="Open Sans" w:hAnsi="Open Sans" w:cs="Open Sans"/>
        </w:rPr>
        <w:t>(</w:t>
      </w:r>
      <w:proofErr w:type="spellStart"/>
      <w:r w:rsidRPr="00E95FE0">
        <w:rPr>
          <w:rFonts w:ascii="Open Sans" w:hAnsi="Open Sans" w:cs="Open Sans"/>
        </w:rPr>
        <w:t>Cth</w:t>
      </w:r>
      <w:proofErr w:type="spellEnd"/>
      <w:r w:rsidRPr="00E95FE0">
        <w:rPr>
          <w:rFonts w:ascii="Open Sans" w:hAnsi="Open Sans" w:cs="Open Sans"/>
        </w:rPr>
        <w:t>) (AHRC Act)</w:t>
      </w:r>
      <w:r w:rsidRPr="00E95FE0">
        <w:rPr>
          <w:rFonts w:ascii="Open Sans" w:hAnsi="Open Sans" w:cs="Open Sans"/>
          <w:i/>
        </w:rPr>
        <w:t xml:space="preserve">. </w:t>
      </w:r>
    </w:p>
    <w:p w14:paraId="42AA9152" w14:textId="77777777" w:rsidR="00111740" w:rsidRPr="00E95FE0" w:rsidRDefault="00111740" w:rsidP="00111740">
      <w:pPr>
        <w:pStyle w:val="SubmissionNormal"/>
        <w:numPr>
          <w:ilvl w:val="0"/>
          <w:numId w:val="3"/>
        </w:numPr>
        <w:rPr>
          <w:rFonts w:ascii="Open Sans" w:hAnsi="Open Sans" w:cs="Open Sans"/>
        </w:rPr>
      </w:pPr>
      <w:r w:rsidRPr="00E95FE0">
        <w:rPr>
          <w:rFonts w:ascii="Open Sans" w:hAnsi="Open Sans" w:cs="Open Sans"/>
        </w:rPr>
        <w:t xml:space="preserve">This </w:t>
      </w:r>
      <w:r>
        <w:rPr>
          <w:rFonts w:ascii="Open Sans" w:hAnsi="Open Sans" w:cs="Open Sans"/>
        </w:rPr>
        <w:t>report</w:t>
      </w:r>
      <w:r w:rsidRPr="00E95FE0">
        <w:rPr>
          <w:rFonts w:ascii="Open Sans" w:hAnsi="Open Sans" w:cs="Open Sans"/>
        </w:rPr>
        <w:t xml:space="preserve"> is issued pursuant to s 29(2) of the AHRC Act setting out the findings of the Commission in relation to Mr </w:t>
      </w:r>
      <w:proofErr w:type="spellStart"/>
      <w:r>
        <w:rPr>
          <w:rFonts w:ascii="Open Sans" w:hAnsi="Open Sans" w:cs="Open Sans"/>
        </w:rPr>
        <w:t>Hamedani</w:t>
      </w:r>
      <w:r w:rsidRPr="00E95FE0">
        <w:rPr>
          <w:rFonts w:ascii="Open Sans" w:hAnsi="Open Sans" w:cs="Open Sans"/>
        </w:rPr>
        <w:t>’</w:t>
      </w:r>
      <w:r>
        <w:rPr>
          <w:rFonts w:ascii="Open Sans" w:hAnsi="Open Sans" w:cs="Open Sans"/>
        </w:rPr>
        <w:t>s</w:t>
      </w:r>
      <w:proofErr w:type="spellEnd"/>
      <w:r w:rsidRPr="00E95FE0">
        <w:rPr>
          <w:rFonts w:ascii="Open Sans" w:hAnsi="Open Sans" w:cs="Open Sans"/>
        </w:rPr>
        <w:t xml:space="preserve"> complaint.</w:t>
      </w:r>
    </w:p>
    <w:p w14:paraId="2495C35E" w14:textId="77777777" w:rsidR="00111740" w:rsidRPr="00E95FE0" w:rsidRDefault="00111740" w:rsidP="00111740">
      <w:pPr>
        <w:pStyle w:val="Heading1"/>
        <w:tabs>
          <w:tab w:val="clear" w:pos="851"/>
          <w:tab w:val="num" w:pos="709"/>
        </w:tabs>
        <w:rPr>
          <w:rFonts w:ascii="Open Sans" w:hAnsi="Open Sans" w:cs="Open Sans"/>
        </w:rPr>
      </w:pPr>
      <w:bookmarkStart w:id="14" w:name="_Toc46130293"/>
      <w:bookmarkStart w:id="15" w:name="_Toc4159040"/>
      <w:r w:rsidRPr="00E95FE0">
        <w:rPr>
          <w:rFonts w:ascii="Open Sans" w:hAnsi="Open Sans" w:cs="Open Sans"/>
        </w:rPr>
        <w:t>Summary of findings and recommendations</w:t>
      </w:r>
      <w:bookmarkEnd w:id="14"/>
    </w:p>
    <w:p w14:paraId="2074B90E" w14:textId="6A6E3FA2" w:rsidR="00111740" w:rsidRPr="004133A9" w:rsidRDefault="00111740" w:rsidP="00111740">
      <w:pPr>
        <w:numPr>
          <w:ilvl w:val="0"/>
          <w:numId w:val="3"/>
        </w:numPr>
        <w:tabs>
          <w:tab w:val="clear" w:pos="720"/>
          <w:tab w:val="num" w:pos="1080"/>
        </w:tabs>
        <w:spacing w:before="240" w:after="240"/>
        <w:rPr>
          <w:rFonts w:ascii="Open Sans" w:hAnsi="Open Sans" w:cs="Open Sans"/>
        </w:rPr>
      </w:pPr>
      <w:r w:rsidRPr="000B05C0">
        <w:rPr>
          <w:rFonts w:ascii="Open Sans" w:hAnsi="Open Sans" w:cs="Open Sans"/>
          <w:szCs w:val="24"/>
        </w:rPr>
        <w:t>As a result of this inquiry, I find t</w:t>
      </w:r>
      <w:r>
        <w:rPr>
          <w:rFonts w:ascii="Open Sans" w:hAnsi="Open Sans" w:cs="Open Sans"/>
          <w:szCs w:val="24"/>
        </w:rPr>
        <w:t xml:space="preserve">hat the Department’s delay in referring Mr </w:t>
      </w:r>
      <w:proofErr w:type="spellStart"/>
      <w:r>
        <w:rPr>
          <w:rFonts w:ascii="Open Sans" w:hAnsi="Open Sans" w:cs="Open Sans"/>
          <w:szCs w:val="24"/>
        </w:rPr>
        <w:t>Hamedani’s</w:t>
      </w:r>
      <w:proofErr w:type="spellEnd"/>
      <w:r>
        <w:rPr>
          <w:rFonts w:ascii="Open Sans" w:hAnsi="Open Sans" w:cs="Open Sans"/>
          <w:szCs w:val="24"/>
        </w:rPr>
        <w:t xml:space="preserve"> case to the Minister for consideration of his discretionary intervention powers until 13 June 2017, and the Minister’s delay in considering whether to exercise his power to make a residence determination under  </w:t>
      </w:r>
      <w:r w:rsidR="00FA0113">
        <w:rPr>
          <w:rFonts w:ascii="Open Sans" w:hAnsi="Open Sans" w:cs="Open Sans"/>
          <w:szCs w:val="24"/>
        </w:rPr>
        <w:t xml:space="preserve">             </w:t>
      </w:r>
      <w:r>
        <w:rPr>
          <w:rFonts w:ascii="Open Sans" w:hAnsi="Open Sans" w:cs="Open Sans"/>
          <w:szCs w:val="24"/>
        </w:rPr>
        <w:t xml:space="preserve">s 197AB of the </w:t>
      </w:r>
      <w:r>
        <w:rPr>
          <w:rFonts w:ascii="Open Sans" w:hAnsi="Open Sans" w:cs="Open Sans"/>
          <w:i/>
          <w:iCs/>
          <w:szCs w:val="24"/>
        </w:rPr>
        <w:t xml:space="preserve">Migration Act 1958 </w:t>
      </w:r>
      <w:r>
        <w:rPr>
          <w:rFonts w:ascii="Open Sans" w:hAnsi="Open Sans" w:cs="Open Sans"/>
          <w:szCs w:val="24"/>
        </w:rPr>
        <w:t>(</w:t>
      </w:r>
      <w:proofErr w:type="spellStart"/>
      <w:r>
        <w:rPr>
          <w:rFonts w:ascii="Open Sans" w:hAnsi="Open Sans" w:cs="Open Sans"/>
          <w:szCs w:val="24"/>
        </w:rPr>
        <w:t>Cth</w:t>
      </w:r>
      <w:proofErr w:type="spellEnd"/>
      <w:r>
        <w:rPr>
          <w:rFonts w:ascii="Open Sans" w:hAnsi="Open Sans" w:cs="Open Sans"/>
          <w:szCs w:val="24"/>
        </w:rPr>
        <w:t xml:space="preserve">) (Migration Act) were acts that were, taken together, inconsistent with or contrary to article 9(1) of the ICCPR. </w:t>
      </w:r>
    </w:p>
    <w:p w14:paraId="38EC01A3" w14:textId="77777777" w:rsidR="00111740" w:rsidRPr="004133A9" w:rsidRDefault="00111740" w:rsidP="00111740">
      <w:pPr>
        <w:pStyle w:val="ListParagraph"/>
        <w:numPr>
          <w:ilvl w:val="0"/>
          <w:numId w:val="3"/>
        </w:numPr>
        <w:spacing w:before="240" w:after="240"/>
        <w:contextualSpacing w:val="0"/>
        <w:rPr>
          <w:rFonts w:ascii="Open Sans" w:hAnsi="Open Sans" w:cs="Open Sans"/>
        </w:rPr>
      </w:pPr>
      <w:r w:rsidRPr="004133A9">
        <w:rPr>
          <w:rFonts w:ascii="Open Sans" w:hAnsi="Open Sans" w:cs="Open Sans"/>
        </w:rPr>
        <w:t>I make the following recommendations:</w:t>
      </w:r>
    </w:p>
    <w:p w14:paraId="5107A2DB" w14:textId="77777777" w:rsidR="00111740" w:rsidRPr="004133A9" w:rsidRDefault="00111740" w:rsidP="00111740">
      <w:pPr>
        <w:spacing w:before="240" w:after="240"/>
        <w:ind w:left="720"/>
        <w:rPr>
          <w:rFonts w:ascii="Open Sans" w:hAnsi="Open Sans" w:cs="Open Sans"/>
          <w:b/>
          <w:bCs/>
        </w:rPr>
      </w:pPr>
      <w:r w:rsidRPr="004133A9">
        <w:rPr>
          <w:rFonts w:ascii="Open Sans" w:hAnsi="Open Sans" w:cs="Open Sans"/>
          <w:b/>
          <w:bCs/>
        </w:rPr>
        <w:t>Recommendation 1</w:t>
      </w:r>
    </w:p>
    <w:p w14:paraId="0E435CA2" w14:textId="5EAF22ED" w:rsidR="00111740" w:rsidRPr="004133A9" w:rsidRDefault="00111740" w:rsidP="00C27179">
      <w:pPr>
        <w:spacing w:before="240" w:after="240"/>
        <w:ind w:left="720"/>
        <w:rPr>
          <w:rFonts w:ascii="Open Sans" w:hAnsi="Open Sans" w:cs="Open Sans"/>
        </w:rPr>
      </w:pPr>
      <w:r w:rsidRPr="004133A9">
        <w:rPr>
          <w:rFonts w:ascii="Open Sans" w:hAnsi="Open Sans" w:cs="Open Sans"/>
        </w:rPr>
        <w:t xml:space="preserve">Monthly detention reviews seek and consider IHMS advice regarding detention placement. Where IMHS recommends community detention, an individual’s case be immediately referred for assessment against the Minister’s guidelines for possible consideration under s 197AB of the Migration Act. </w:t>
      </w:r>
    </w:p>
    <w:p w14:paraId="49456A39" w14:textId="77777777" w:rsidR="00111740" w:rsidRPr="004133A9" w:rsidRDefault="00111740" w:rsidP="00111740">
      <w:pPr>
        <w:spacing w:before="240" w:after="240"/>
        <w:ind w:left="720"/>
        <w:rPr>
          <w:rFonts w:ascii="Open Sans" w:hAnsi="Open Sans" w:cs="Open Sans"/>
          <w:b/>
          <w:bCs/>
        </w:rPr>
      </w:pPr>
      <w:r w:rsidRPr="004133A9">
        <w:rPr>
          <w:rFonts w:ascii="Open Sans" w:hAnsi="Open Sans" w:cs="Open Sans"/>
          <w:b/>
          <w:bCs/>
        </w:rPr>
        <w:t xml:space="preserve">Recommendation 2 </w:t>
      </w:r>
    </w:p>
    <w:p w14:paraId="0708EF77" w14:textId="77777777" w:rsidR="00111740" w:rsidRDefault="00111740" w:rsidP="00111740">
      <w:pPr>
        <w:spacing w:before="240" w:after="240"/>
        <w:ind w:left="720"/>
        <w:rPr>
          <w:rFonts w:ascii="Open Sans" w:hAnsi="Open Sans" w:cs="Open Sans"/>
        </w:rPr>
      </w:pPr>
      <w:r w:rsidRPr="004133A9">
        <w:rPr>
          <w:rFonts w:ascii="Open Sans" w:hAnsi="Open Sans" w:cs="Open Sans"/>
        </w:rPr>
        <w:t xml:space="preserve">Where an individual who has significant </w:t>
      </w:r>
      <w:proofErr w:type="gramStart"/>
      <w:r w:rsidRPr="004133A9">
        <w:rPr>
          <w:rFonts w:ascii="Open Sans" w:hAnsi="Open Sans" w:cs="Open Sans"/>
        </w:rPr>
        <w:t>health</w:t>
      </w:r>
      <w:proofErr w:type="gramEnd"/>
      <w:r w:rsidRPr="004133A9">
        <w:rPr>
          <w:rFonts w:ascii="Open Sans" w:hAnsi="Open Sans" w:cs="Open Sans"/>
        </w:rPr>
        <w:t xml:space="preserve"> concerns has been referred to the Minister for consideration under section 197AB, the Department follow up on a monthly basis the referral with the Minister’s office. </w:t>
      </w:r>
    </w:p>
    <w:p w14:paraId="7CD76B23" w14:textId="77777777" w:rsidR="00111740" w:rsidRDefault="00111740" w:rsidP="00111740">
      <w:pPr>
        <w:spacing w:before="240" w:after="240"/>
        <w:ind w:left="720"/>
        <w:rPr>
          <w:rFonts w:ascii="Open Sans" w:hAnsi="Open Sans" w:cs="Open Sans"/>
          <w:b/>
          <w:bCs/>
        </w:rPr>
      </w:pPr>
      <w:r>
        <w:rPr>
          <w:rFonts w:ascii="Open Sans" w:hAnsi="Open Sans" w:cs="Open Sans"/>
          <w:b/>
          <w:bCs/>
        </w:rPr>
        <w:t>Recommendation 3</w:t>
      </w:r>
    </w:p>
    <w:p w14:paraId="6F3625C8" w14:textId="77777777" w:rsidR="00111740" w:rsidRDefault="00111740" w:rsidP="00111740">
      <w:pPr>
        <w:ind w:left="720"/>
        <w:rPr>
          <w:rFonts w:ascii="Open Sans" w:hAnsi="Open Sans" w:cs="Open Sans"/>
        </w:rPr>
      </w:pPr>
      <w:r w:rsidRPr="004133A9">
        <w:rPr>
          <w:rFonts w:ascii="Open Sans" w:hAnsi="Open Sans" w:cs="Open Sans"/>
        </w:rPr>
        <w:t xml:space="preserve">The Commonwealth acknowledge that the combined delay and continued closed detention had a significant impact on Mr </w:t>
      </w:r>
      <w:proofErr w:type="spellStart"/>
      <w:r w:rsidRPr="004133A9">
        <w:rPr>
          <w:rFonts w:ascii="Open Sans" w:hAnsi="Open Sans" w:cs="Open Sans"/>
        </w:rPr>
        <w:t>Hamedani’s</w:t>
      </w:r>
      <w:proofErr w:type="spellEnd"/>
      <w:r w:rsidRPr="004133A9">
        <w:rPr>
          <w:rFonts w:ascii="Open Sans" w:hAnsi="Open Sans" w:cs="Open Sans"/>
        </w:rPr>
        <w:t xml:space="preserve"> declining mental health.</w:t>
      </w:r>
    </w:p>
    <w:p w14:paraId="0B546478" w14:textId="1194F57C" w:rsidR="00111740" w:rsidRPr="004133A9" w:rsidRDefault="00111740" w:rsidP="00111740">
      <w:pPr>
        <w:pStyle w:val="Heading1"/>
        <w:tabs>
          <w:tab w:val="clear" w:pos="851"/>
          <w:tab w:val="num" w:pos="709"/>
        </w:tabs>
        <w:rPr>
          <w:rFonts w:ascii="Open Sans" w:hAnsi="Open Sans" w:cs="Open Sans"/>
        </w:rPr>
      </w:pPr>
      <w:bookmarkStart w:id="16" w:name="_Toc498937192"/>
      <w:bookmarkStart w:id="17" w:name="_Toc46130294"/>
      <w:bookmarkEnd w:id="16"/>
      <w:r w:rsidRPr="00E95FE0">
        <w:rPr>
          <w:rFonts w:ascii="Open Sans" w:hAnsi="Open Sans" w:cs="Open Sans"/>
        </w:rPr>
        <w:t>Background</w:t>
      </w:r>
      <w:bookmarkEnd w:id="15"/>
      <w:bookmarkEnd w:id="17"/>
    </w:p>
    <w:p w14:paraId="3F9EF7FB" w14:textId="77777777" w:rsidR="00111740" w:rsidRDefault="00111740" w:rsidP="00111740">
      <w:pPr>
        <w:numPr>
          <w:ilvl w:val="0"/>
          <w:numId w:val="3"/>
        </w:numPr>
        <w:spacing w:before="240" w:after="240"/>
        <w:rPr>
          <w:rFonts w:ascii="Open Sans" w:hAnsi="Open Sans" w:cs="Open Sans"/>
          <w:szCs w:val="24"/>
        </w:rPr>
      </w:pPr>
      <w:r w:rsidRPr="002C474B">
        <w:rPr>
          <w:rFonts w:ascii="Open Sans" w:hAnsi="Open Sans" w:cs="Open Sans"/>
          <w:szCs w:val="24"/>
        </w:rPr>
        <w:t xml:space="preserve">Mr </w:t>
      </w:r>
      <w:proofErr w:type="spellStart"/>
      <w:r>
        <w:rPr>
          <w:rFonts w:ascii="Open Sans" w:hAnsi="Open Sans" w:cs="Open Sans"/>
          <w:szCs w:val="24"/>
        </w:rPr>
        <w:t>Hamedani</w:t>
      </w:r>
      <w:proofErr w:type="spellEnd"/>
      <w:r w:rsidRPr="002C474B">
        <w:rPr>
          <w:rFonts w:ascii="Open Sans" w:hAnsi="Open Sans" w:cs="Open Sans"/>
          <w:szCs w:val="24"/>
        </w:rPr>
        <w:t xml:space="preserve"> is a national of </w:t>
      </w:r>
      <w:r>
        <w:rPr>
          <w:rFonts w:ascii="Open Sans" w:hAnsi="Open Sans" w:cs="Open Sans"/>
          <w:szCs w:val="24"/>
        </w:rPr>
        <w:t>Iran</w:t>
      </w:r>
      <w:r w:rsidRPr="002C474B">
        <w:rPr>
          <w:rFonts w:ascii="Open Sans" w:hAnsi="Open Sans" w:cs="Open Sans"/>
          <w:szCs w:val="24"/>
        </w:rPr>
        <w:t xml:space="preserve">. He arrived in Australia </w:t>
      </w:r>
      <w:r>
        <w:rPr>
          <w:rFonts w:ascii="Open Sans" w:hAnsi="Open Sans" w:cs="Open Sans"/>
          <w:szCs w:val="24"/>
        </w:rPr>
        <w:t xml:space="preserve">by boat at Christmas Island on 31 July 2013. </w:t>
      </w:r>
    </w:p>
    <w:p w14:paraId="509C2E5A" w14:textId="77777777" w:rsidR="00111740" w:rsidRDefault="00111740" w:rsidP="00111740">
      <w:pPr>
        <w:numPr>
          <w:ilvl w:val="0"/>
          <w:numId w:val="3"/>
        </w:numPr>
        <w:spacing w:before="240" w:after="240"/>
        <w:rPr>
          <w:rFonts w:ascii="Open Sans" w:hAnsi="Open Sans" w:cs="Open Sans"/>
          <w:szCs w:val="24"/>
        </w:rPr>
      </w:pPr>
      <w:r>
        <w:rPr>
          <w:rFonts w:ascii="Open Sans" w:hAnsi="Open Sans" w:cs="Open Sans"/>
          <w:szCs w:val="24"/>
        </w:rPr>
        <w:t xml:space="preserve">Since Mr </w:t>
      </w:r>
      <w:proofErr w:type="spellStart"/>
      <w:r>
        <w:rPr>
          <w:rFonts w:ascii="Open Sans" w:hAnsi="Open Sans" w:cs="Open Sans"/>
          <w:szCs w:val="24"/>
        </w:rPr>
        <w:t>Hamedani</w:t>
      </w:r>
      <w:proofErr w:type="spellEnd"/>
      <w:r>
        <w:rPr>
          <w:rFonts w:ascii="Open Sans" w:hAnsi="Open Sans" w:cs="Open Sans"/>
          <w:szCs w:val="24"/>
        </w:rPr>
        <w:t xml:space="preserve"> arrived in Australia after 19 July 2013, government policy meant that he was subject to regional processing arrangements. He was initially detained on Christmas Island pursuant to s 189(3) of the Migration Act. On 2 September 2013 he was transferred to Manus Island Regional Processing Centre pursuant to s 198AD of the Migration Act.</w:t>
      </w:r>
    </w:p>
    <w:p w14:paraId="12AB0831" w14:textId="77777777" w:rsidR="00111740" w:rsidRDefault="00111740" w:rsidP="00111740">
      <w:pPr>
        <w:numPr>
          <w:ilvl w:val="0"/>
          <w:numId w:val="3"/>
        </w:numPr>
        <w:spacing w:before="240" w:after="240"/>
        <w:rPr>
          <w:rFonts w:ascii="Open Sans" w:hAnsi="Open Sans" w:cs="Open Sans"/>
          <w:szCs w:val="24"/>
        </w:rPr>
      </w:pPr>
      <w:r>
        <w:rPr>
          <w:rFonts w:ascii="Open Sans" w:hAnsi="Open Sans" w:cs="Open Sans"/>
          <w:szCs w:val="24"/>
        </w:rPr>
        <w:t xml:space="preserve">On 5 August 2016, Mr </w:t>
      </w:r>
      <w:proofErr w:type="spellStart"/>
      <w:r>
        <w:rPr>
          <w:rFonts w:ascii="Open Sans" w:hAnsi="Open Sans" w:cs="Open Sans"/>
          <w:szCs w:val="24"/>
        </w:rPr>
        <w:t>Hamedani</w:t>
      </w:r>
      <w:proofErr w:type="spellEnd"/>
      <w:r>
        <w:rPr>
          <w:rFonts w:ascii="Open Sans" w:hAnsi="Open Sans" w:cs="Open Sans"/>
          <w:szCs w:val="24"/>
        </w:rPr>
        <w:t xml:space="preserve"> was transferred to Australia for medical treatment. </w:t>
      </w:r>
    </w:p>
    <w:p w14:paraId="4665FCF1" w14:textId="77777777" w:rsidR="00111740" w:rsidRDefault="00111740" w:rsidP="00111740">
      <w:pPr>
        <w:numPr>
          <w:ilvl w:val="0"/>
          <w:numId w:val="3"/>
        </w:numPr>
        <w:spacing w:before="240" w:after="240"/>
        <w:rPr>
          <w:rFonts w:ascii="Open Sans" w:hAnsi="Open Sans" w:cs="Open Sans"/>
          <w:szCs w:val="24"/>
        </w:rPr>
      </w:pPr>
      <w:r>
        <w:rPr>
          <w:rFonts w:ascii="Open Sans" w:hAnsi="Open Sans" w:cs="Open Sans"/>
          <w:szCs w:val="24"/>
        </w:rPr>
        <w:t xml:space="preserve">On 15 August 2016, he was discharged from hospital and detained at Villawood Immigration Detention Centre (VIDC). </w:t>
      </w:r>
    </w:p>
    <w:p w14:paraId="51A58BC8" w14:textId="77777777" w:rsidR="00111740" w:rsidRPr="00355569" w:rsidRDefault="00111740" w:rsidP="00111740">
      <w:pPr>
        <w:numPr>
          <w:ilvl w:val="0"/>
          <w:numId w:val="3"/>
        </w:numPr>
        <w:spacing w:before="240" w:after="240"/>
        <w:rPr>
          <w:rFonts w:ascii="Open Sans" w:hAnsi="Open Sans" w:cs="Open Sans"/>
          <w:szCs w:val="24"/>
        </w:rPr>
      </w:pPr>
      <w:r>
        <w:rPr>
          <w:rFonts w:ascii="Open Sans" w:hAnsi="Open Sans" w:cs="Open Sans"/>
          <w:szCs w:val="24"/>
        </w:rPr>
        <w:t xml:space="preserve">On 17 September 2016 Mr </w:t>
      </w:r>
      <w:proofErr w:type="spellStart"/>
      <w:r>
        <w:rPr>
          <w:rFonts w:ascii="Open Sans" w:hAnsi="Open Sans" w:cs="Open Sans"/>
          <w:szCs w:val="24"/>
        </w:rPr>
        <w:t>Hamedani</w:t>
      </w:r>
      <w:proofErr w:type="spellEnd"/>
      <w:r>
        <w:rPr>
          <w:rFonts w:ascii="Open Sans" w:hAnsi="Open Sans" w:cs="Open Sans"/>
          <w:szCs w:val="24"/>
        </w:rPr>
        <w:t xml:space="preserve"> was found to be a refugee.</w:t>
      </w:r>
    </w:p>
    <w:p w14:paraId="56F05684" w14:textId="77777777" w:rsidR="00111740" w:rsidRPr="002C474B" w:rsidRDefault="00111740" w:rsidP="00111740">
      <w:pPr>
        <w:numPr>
          <w:ilvl w:val="0"/>
          <w:numId w:val="3"/>
        </w:numPr>
        <w:spacing w:before="240" w:after="240"/>
        <w:rPr>
          <w:rFonts w:ascii="Open Sans" w:hAnsi="Open Sans" w:cs="Open Sans"/>
          <w:szCs w:val="24"/>
        </w:rPr>
      </w:pPr>
      <w:r>
        <w:rPr>
          <w:rFonts w:ascii="Open Sans" w:hAnsi="Open Sans" w:cs="Open Sans"/>
          <w:szCs w:val="24"/>
        </w:rPr>
        <w:t xml:space="preserve">On 4 December 2018, Mr </w:t>
      </w:r>
      <w:proofErr w:type="spellStart"/>
      <w:r>
        <w:rPr>
          <w:rFonts w:ascii="Open Sans" w:hAnsi="Open Sans" w:cs="Open Sans"/>
          <w:szCs w:val="24"/>
        </w:rPr>
        <w:t>Hamedani</w:t>
      </w:r>
      <w:proofErr w:type="spellEnd"/>
      <w:r>
        <w:rPr>
          <w:rFonts w:ascii="Open Sans" w:hAnsi="Open Sans" w:cs="Open Sans"/>
          <w:szCs w:val="24"/>
        </w:rPr>
        <w:t xml:space="preserve"> was released into community detention where he remains.</w:t>
      </w:r>
    </w:p>
    <w:p w14:paraId="5D33DE24" w14:textId="77777777" w:rsidR="00111740" w:rsidRPr="00E95FE0" w:rsidRDefault="00111740" w:rsidP="00111740">
      <w:pPr>
        <w:pStyle w:val="Heading1"/>
        <w:tabs>
          <w:tab w:val="clear" w:pos="851"/>
          <w:tab w:val="num" w:pos="709"/>
        </w:tabs>
        <w:ind w:left="709" w:hanging="709"/>
      </w:pPr>
      <w:bookmarkStart w:id="18" w:name="_Toc12522083"/>
      <w:bookmarkStart w:id="19" w:name="_Toc46130295"/>
      <w:bookmarkStart w:id="20" w:name="_Toc12522084"/>
      <w:bookmarkStart w:id="21" w:name="_Toc452472691"/>
      <w:bookmarkStart w:id="22" w:name="_Toc487445598"/>
      <w:bookmarkStart w:id="23" w:name="_Toc487531383"/>
      <w:bookmarkStart w:id="24" w:name="_Toc487531402"/>
      <w:bookmarkStart w:id="25" w:name="_Toc487531472"/>
      <w:bookmarkStart w:id="26" w:name="_Toc487531592"/>
      <w:bookmarkStart w:id="27" w:name="_Toc511049481"/>
      <w:bookmarkStart w:id="28" w:name="_Toc4159041"/>
      <w:r w:rsidRPr="00E95FE0">
        <w:t>Conciliation</w:t>
      </w:r>
      <w:bookmarkEnd w:id="18"/>
      <w:bookmarkEnd w:id="19"/>
    </w:p>
    <w:p w14:paraId="29DE0344" w14:textId="77777777" w:rsidR="00111740" w:rsidRPr="00E95FE0" w:rsidRDefault="00111740" w:rsidP="00111740">
      <w:pPr>
        <w:pStyle w:val="SubmissionNormal"/>
        <w:numPr>
          <w:ilvl w:val="0"/>
          <w:numId w:val="3"/>
        </w:numPr>
        <w:rPr>
          <w:rFonts w:ascii="Open Sans" w:hAnsi="Open Sans" w:cs="Open Sans"/>
        </w:rPr>
      </w:pPr>
      <w:r w:rsidRPr="00E95FE0">
        <w:rPr>
          <w:rFonts w:ascii="Open Sans" w:hAnsi="Open Sans" w:cs="Open Sans"/>
        </w:rPr>
        <w:t>The Commonwealth indicated that it did not want to participate in conciliation of the matter.</w:t>
      </w:r>
    </w:p>
    <w:p w14:paraId="453008AA" w14:textId="77777777" w:rsidR="00111740" w:rsidRPr="00E95FE0" w:rsidRDefault="00111740" w:rsidP="00111740">
      <w:pPr>
        <w:pStyle w:val="Heading1"/>
        <w:tabs>
          <w:tab w:val="clear" w:pos="851"/>
          <w:tab w:val="num" w:pos="709"/>
        </w:tabs>
        <w:ind w:left="709" w:hanging="709"/>
      </w:pPr>
      <w:bookmarkStart w:id="29" w:name="_Toc46130296"/>
      <w:r w:rsidRPr="00E95FE0">
        <w:t>Procedural history of this inquiry</w:t>
      </w:r>
      <w:bookmarkEnd w:id="20"/>
      <w:bookmarkEnd w:id="29"/>
    </w:p>
    <w:p w14:paraId="5EC94E1A" w14:textId="77777777" w:rsidR="00111740" w:rsidRPr="00536AF2" w:rsidRDefault="00111740" w:rsidP="00111740">
      <w:pPr>
        <w:pStyle w:val="SubmissionNormal"/>
        <w:numPr>
          <w:ilvl w:val="0"/>
          <w:numId w:val="3"/>
        </w:numPr>
        <w:rPr>
          <w:rFonts w:ascii="Open Sans" w:hAnsi="Open Sans" w:cs="Open Sans"/>
        </w:rPr>
      </w:pPr>
      <w:r w:rsidRPr="00E95FE0">
        <w:rPr>
          <w:rFonts w:ascii="Open Sans" w:hAnsi="Open Sans" w:cs="Open Sans"/>
        </w:rPr>
        <w:t xml:space="preserve">On </w:t>
      </w:r>
      <w:r>
        <w:rPr>
          <w:rFonts w:ascii="Open Sans" w:hAnsi="Open Sans" w:cs="Open Sans"/>
        </w:rPr>
        <w:t>6 December</w:t>
      </w:r>
      <w:r w:rsidRPr="00E95FE0">
        <w:rPr>
          <w:rFonts w:ascii="Open Sans" w:hAnsi="Open Sans" w:cs="Open Sans"/>
        </w:rPr>
        <w:t xml:space="preserve"> 2019, I issued a preliminary view in this matter and gave Mr </w:t>
      </w:r>
      <w:proofErr w:type="spellStart"/>
      <w:r>
        <w:rPr>
          <w:rFonts w:ascii="Open Sans" w:hAnsi="Open Sans" w:cs="Open Sans"/>
        </w:rPr>
        <w:t>Hamedani</w:t>
      </w:r>
      <w:proofErr w:type="spellEnd"/>
      <w:r>
        <w:rPr>
          <w:rFonts w:ascii="Open Sans" w:hAnsi="Open Sans" w:cs="Open Sans"/>
        </w:rPr>
        <w:t xml:space="preserve">, </w:t>
      </w:r>
      <w:r w:rsidRPr="00E95FE0">
        <w:rPr>
          <w:rFonts w:ascii="Open Sans" w:hAnsi="Open Sans" w:cs="Open Sans"/>
        </w:rPr>
        <w:t xml:space="preserve">the </w:t>
      </w:r>
      <w:proofErr w:type="gramStart"/>
      <w:r w:rsidRPr="00E95FE0">
        <w:rPr>
          <w:rFonts w:ascii="Open Sans" w:hAnsi="Open Sans" w:cs="Open Sans"/>
        </w:rPr>
        <w:t>Department</w:t>
      </w:r>
      <w:proofErr w:type="gramEnd"/>
      <w:r>
        <w:rPr>
          <w:rFonts w:ascii="Open Sans" w:hAnsi="Open Sans" w:cs="Open Sans"/>
        </w:rPr>
        <w:t xml:space="preserve"> and the Minister</w:t>
      </w:r>
      <w:r w:rsidRPr="00E95FE0">
        <w:rPr>
          <w:rFonts w:ascii="Open Sans" w:hAnsi="Open Sans" w:cs="Open Sans"/>
        </w:rPr>
        <w:t xml:space="preserve"> the opportunity to respond to my preliminary findings. </w:t>
      </w:r>
      <w:r w:rsidRPr="00536AF2">
        <w:rPr>
          <w:rFonts w:ascii="Open Sans" w:hAnsi="Open Sans" w:cs="Open Sans"/>
        </w:rPr>
        <w:t>On 22 February 2020, the Department responded to my preliminary view.</w:t>
      </w:r>
    </w:p>
    <w:p w14:paraId="6BC62E4F" w14:textId="07C668EF" w:rsidR="00111740" w:rsidRDefault="00111740" w:rsidP="00111740">
      <w:pPr>
        <w:pStyle w:val="SubmissionNormal"/>
        <w:numPr>
          <w:ilvl w:val="0"/>
          <w:numId w:val="3"/>
        </w:numPr>
        <w:rPr>
          <w:rFonts w:ascii="Open Sans" w:hAnsi="Open Sans" w:cs="Open Sans"/>
        </w:rPr>
      </w:pPr>
      <w:r>
        <w:rPr>
          <w:rFonts w:ascii="Open Sans" w:hAnsi="Open Sans" w:cs="Open Sans"/>
        </w:rPr>
        <w:t xml:space="preserve">On 28 April 2020, I provided the Department with a notice issued under    </w:t>
      </w:r>
      <w:r w:rsidR="00F935B5">
        <w:rPr>
          <w:rFonts w:ascii="Open Sans" w:hAnsi="Open Sans" w:cs="Open Sans"/>
        </w:rPr>
        <w:t xml:space="preserve">      </w:t>
      </w:r>
      <w:r>
        <w:rPr>
          <w:rFonts w:ascii="Open Sans" w:hAnsi="Open Sans" w:cs="Open Sans"/>
        </w:rPr>
        <w:t xml:space="preserve">s 29(2) of the AHRC Act setting out my findings and recommendations in this matter. The Department provided its response to my findings and recommendations on 14 July 2020.  </w:t>
      </w:r>
      <w:r w:rsidRPr="00E95FE0">
        <w:rPr>
          <w:rFonts w:ascii="Open Sans" w:hAnsi="Open Sans" w:cs="Open Sans"/>
        </w:rPr>
        <w:t xml:space="preserve"> </w:t>
      </w:r>
    </w:p>
    <w:p w14:paraId="2CEB77FF" w14:textId="188AC5EB" w:rsidR="00111740" w:rsidRPr="00E95FE0" w:rsidRDefault="00111740" w:rsidP="00111740">
      <w:pPr>
        <w:pStyle w:val="Heading1"/>
        <w:tabs>
          <w:tab w:val="clear" w:pos="851"/>
          <w:tab w:val="num" w:pos="709"/>
        </w:tabs>
        <w:rPr>
          <w:rFonts w:ascii="Open Sans" w:hAnsi="Open Sans" w:cs="Open Sans"/>
          <w:szCs w:val="36"/>
        </w:rPr>
      </w:pPr>
      <w:bookmarkStart w:id="30" w:name="_Toc46130297"/>
      <w:r w:rsidRPr="00E95FE0">
        <w:rPr>
          <w:rFonts w:ascii="Open Sans" w:hAnsi="Open Sans" w:cs="Open Sans"/>
          <w:szCs w:val="36"/>
        </w:rPr>
        <w:t>Legislative framework</w:t>
      </w:r>
      <w:bookmarkEnd w:id="21"/>
      <w:bookmarkEnd w:id="22"/>
      <w:bookmarkEnd w:id="23"/>
      <w:bookmarkEnd w:id="24"/>
      <w:bookmarkEnd w:id="25"/>
      <w:bookmarkEnd w:id="26"/>
      <w:bookmarkEnd w:id="27"/>
      <w:bookmarkEnd w:id="28"/>
      <w:bookmarkEnd w:id="30"/>
    </w:p>
    <w:p w14:paraId="60674FAC" w14:textId="3C0FB551" w:rsidR="00111740" w:rsidRPr="00E95FE0" w:rsidRDefault="00111740" w:rsidP="00111740">
      <w:pPr>
        <w:pStyle w:val="Heading2"/>
        <w:tabs>
          <w:tab w:val="clear" w:pos="1135"/>
          <w:tab w:val="num" w:pos="709"/>
        </w:tabs>
        <w:ind w:left="4394" w:hanging="4394"/>
        <w:rPr>
          <w:rFonts w:cs="Open Sans"/>
          <w:i/>
          <w:szCs w:val="28"/>
        </w:rPr>
      </w:pPr>
      <w:bookmarkStart w:id="31" w:name="_Toc452472692"/>
      <w:bookmarkStart w:id="32" w:name="_Toc487445599"/>
      <w:bookmarkStart w:id="33" w:name="_Toc487531384"/>
      <w:bookmarkStart w:id="34" w:name="_Toc487531403"/>
      <w:bookmarkStart w:id="35" w:name="_Toc487531473"/>
      <w:bookmarkStart w:id="36" w:name="_Toc487531593"/>
      <w:bookmarkStart w:id="37" w:name="_Toc511049482"/>
      <w:bookmarkStart w:id="38" w:name="_Toc4159042"/>
      <w:bookmarkStart w:id="39" w:name="_Toc46130298"/>
      <w:r w:rsidRPr="00E95FE0">
        <w:rPr>
          <w:rFonts w:cs="Open Sans"/>
          <w:szCs w:val="28"/>
        </w:rPr>
        <w:t>Functions of the Commission</w:t>
      </w:r>
      <w:bookmarkEnd w:id="31"/>
      <w:bookmarkEnd w:id="32"/>
      <w:bookmarkEnd w:id="33"/>
      <w:bookmarkEnd w:id="34"/>
      <w:bookmarkEnd w:id="35"/>
      <w:bookmarkEnd w:id="36"/>
      <w:bookmarkEnd w:id="37"/>
      <w:bookmarkEnd w:id="38"/>
      <w:bookmarkEnd w:id="39"/>
    </w:p>
    <w:p w14:paraId="766851BF" w14:textId="77777777" w:rsidR="00111740" w:rsidRPr="00E95FE0" w:rsidRDefault="00111740" w:rsidP="00111740">
      <w:pPr>
        <w:numPr>
          <w:ilvl w:val="0"/>
          <w:numId w:val="3"/>
        </w:numPr>
        <w:tabs>
          <w:tab w:val="num" w:pos="960"/>
        </w:tabs>
        <w:spacing w:before="240" w:after="240"/>
        <w:rPr>
          <w:rFonts w:ascii="Open Sans" w:hAnsi="Open Sans" w:cs="Open Sans"/>
          <w:szCs w:val="24"/>
        </w:rPr>
      </w:pPr>
      <w:r w:rsidRPr="00E95FE0">
        <w:rPr>
          <w:rFonts w:ascii="Open Sans" w:hAnsi="Open Sans" w:cs="Open Sans"/>
          <w:szCs w:val="24"/>
        </w:rPr>
        <w:t xml:space="preserve">Section 11(1)(f) of the AHRC Act provides that the Commission has the function to inquire into any act or practice that may be inconsistent with, or contrary to, any human right. </w:t>
      </w:r>
    </w:p>
    <w:p w14:paraId="1B150B8B" w14:textId="77777777" w:rsidR="00111740" w:rsidRPr="00E95FE0" w:rsidRDefault="00111740" w:rsidP="00111740">
      <w:pPr>
        <w:numPr>
          <w:ilvl w:val="0"/>
          <w:numId w:val="3"/>
        </w:numPr>
        <w:tabs>
          <w:tab w:val="num" w:pos="960"/>
        </w:tabs>
        <w:spacing w:before="240" w:after="240"/>
        <w:rPr>
          <w:rFonts w:ascii="Open Sans" w:hAnsi="Open Sans" w:cs="Open Sans"/>
          <w:szCs w:val="24"/>
        </w:rPr>
      </w:pPr>
      <w:r w:rsidRPr="00E95FE0">
        <w:rPr>
          <w:rFonts w:ascii="Open Sans" w:hAnsi="Open Sans" w:cs="Open Sans"/>
          <w:szCs w:val="24"/>
        </w:rPr>
        <w:t xml:space="preserve">Section 20(1)(b) of the AHRC Act requires the Commission to perform this function when a complaint is made to it in writing alleging that an act is inconsistent with, or contrary to, any human right. </w:t>
      </w:r>
    </w:p>
    <w:p w14:paraId="1168906A" w14:textId="77777777" w:rsidR="00111740" w:rsidRPr="00E95FE0" w:rsidRDefault="00111740" w:rsidP="00111740">
      <w:pPr>
        <w:numPr>
          <w:ilvl w:val="0"/>
          <w:numId w:val="3"/>
        </w:numPr>
        <w:tabs>
          <w:tab w:val="num" w:pos="960"/>
        </w:tabs>
        <w:spacing w:before="240" w:after="240"/>
        <w:rPr>
          <w:rFonts w:ascii="Open Sans" w:hAnsi="Open Sans" w:cs="Open Sans"/>
          <w:szCs w:val="24"/>
        </w:rPr>
      </w:pPr>
      <w:r w:rsidRPr="00E95FE0">
        <w:rPr>
          <w:rFonts w:ascii="Open Sans" w:hAnsi="Open Sans" w:cs="Open Sans"/>
          <w:szCs w:val="24"/>
        </w:rPr>
        <w:t>Section 8(6) of the AHRC Act requires that the functions of the Commission under s 11(1)(f) be performed by the President.</w:t>
      </w:r>
    </w:p>
    <w:p w14:paraId="7378FFD5" w14:textId="5999F885" w:rsidR="00111740" w:rsidRPr="00E95FE0" w:rsidRDefault="00111740" w:rsidP="00111740">
      <w:pPr>
        <w:pStyle w:val="Heading2"/>
        <w:tabs>
          <w:tab w:val="clear" w:pos="1135"/>
          <w:tab w:val="num" w:pos="709"/>
        </w:tabs>
        <w:ind w:left="4394" w:hanging="4394"/>
        <w:rPr>
          <w:rFonts w:cs="Open Sans"/>
          <w:i/>
        </w:rPr>
      </w:pPr>
      <w:bookmarkStart w:id="40" w:name="_Toc4159043"/>
      <w:bookmarkStart w:id="41" w:name="_Toc46130299"/>
      <w:r w:rsidRPr="00E95FE0">
        <w:rPr>
          <w:rFonts w:cs="Open Sans"/>
        </w:rPr>
        <w:t>What is an ‘act’ or ‘practice?</w:t>
      </w:r>
      <w:bookmarkEnd w:id="40"/>
      <w:bookmarkEnd w:id="41"/>
    </w:p>
    <w:p w14:paraId="03FB799B" w14:textId="77777777" w:rsidR="00111740" w:rsidRPr="00E95FE0" w:rsidRDefault="00111740" w:rsidP="00111740">
      <w:pPr>
        <w:numPr>
          <w:ilvl w:val="0"/>
          <w:numId w:val="3"/>
        </w:numPr>
        <w:spacing w:before="240" w:after="240"/>
        <w:rPr>
          <w:rFonts w:ascii="Open Sans" w:hAnsi="Open Sans" w:cs="Open Sans"/>
          <w:szCs w:val="24"/>
        </w:rPr>
      </w:pPr>
      <w:r w:rsidRPr="00E95FE0">
        <w:rPr>
          <w:rFonts w:ascii="Open Sans" w:hAnsi="Open Sans" w:cs="Open Sans"/>
          <w:szCs w:val="24"/>
        </w:rPr>
        <w:t>The terms ‘act’ and ‘practice’ are defined in s 3(1) of the AHRC Act to include an act done or a practice engaged in by or on behalf of the Commonwealth or an authority of the Commonwealth or under an enactment.</w:t>
      </w:r>
    </w:p>
    <w:p w14:paraId="6174E016" w14:textId="77777777" w:rsidR="00111740" w:rsidRPr="00E95FE0" w:rsidRDefault="00111740" w:rsidP="00111740">
      <w:pPr>
        <w:numPr>
          <w:ilvl w:val="0"/>
          <w:numId w:val="3"/>
        </w:numPr>
        <w:spacing w:before="240" w:after="240"/>
        <w:rPr>
          <w:rFonts w:ascii="Open Sans" w:hAnsi="Open Sans" w:cs="Open Sans"/>
          <w:szCs w:val="24"/>
        </w:rPr>
      </w:pPr>
      <w:r w:rsidRPr="00E95FE0">
        <w:rPr>
          <w:rFonts w:ascii="Open Sans" w:hAnsi="Open Sans" w:cs="Open Sans"/>
          <w:szCs w:val="24"/>
        </w:rPr>
        <w:t>Section 3(3) provides that the reference to, or to the doing of, an act includes a reference to a refusal or failure to do an act.</w:t>
      </w:r>
    </w:p>
    <w:p w14:paraId="5BC58F59" w14:textId="77777777" w:rsidR="00111740" w:rsidRPr="00E95FE0" w:rsidRDefault="00111740" w:rsidP="00111740">
      <w:pPr>
        <w:numPr>
          <w:ilvl w:val="0"/>
          <w:numId w:val="3"/>
        </w:numPr>
        <w:spacing w:before="240" w:after="240"/>
        <w:rPr>
          <w:rFonts w:ascii="Open Sans" w:hAnsi="Open Sans" w:cs="Open Sans"/>
          <w:szCs w:val="24"/>
        </w:rPr>
      </w:pPr>
      <w:r w:rsidRPr="00E95FE0">
        <w:rPr>
          <w:rFonts w:ascii="Open Sans" w:hAnsi="Open Sans" w:cs="Open Sans"/>
          <w:szCs w:val="24"/>
        </w:rPr>
        <w:t>The functions of the Commission identified in s 11(1)(f) of the AHRC Act are only engaged where the act complained of is not one required by law to be taken, that is, where the relevant act or practice is within the discretion of the Commonwealth.</w:t>
      </w:r>
      <w:r w:rsidRPr="00E95FE0">
        <w:rPr>
          <w:rStyle w:val="EndnoteReference"/>
          <w:rFonts w:ascii="Open Sans" w:hAnsi="Open Sans" w:cs="Open Sans"/>
        </w:rPr>
        <w:endnoteReference w:id="2"/>
      </w:r>
      <w:r w:rsidRPr="00E95FE0">
        <w:rPr>
          <w:rFonts w:ascii="Open Sans" w:hAnsi="Open Sans" w:cs="Open Sans"/>
          <w:szCs w:val="24"/>
        </w:rPr>
        <w:t xml:space="preserve"> </w:t>
      </w:r>
    </w:p>
    <w:p w14:paraId="45191DA0" w14:textId="66987869" w:rsidR="00111740" w:rsidRPr="00E95FE0" w:rsidRDefault="00111740" w:rsidP="00111740">
      <w:pPr>
        <w:pStyle w:val="Heading2"/>
        <w:tabs>
          <w:tab w:val="clear" w:pos="1135"/>
          <w:tab w:val="num" w:pos="709"/>
        </w:tabs>
        <w:ind w:left="4394" w:hanging="4394"/>
        <w:rPr>
          <w:rFonts w:cs="Open Sans"/>
          <w:i/>
          <w:szCs w:val="28"/>
        </w:rPr>
      </w:pPr>
      <w:bookmarkStart w:id="42" w:name="_Toc452472694"/>
      <w:bookmarkStart w:id="43" w:name="_Toc487445601"/>
      <w:bookmarkStart w:id="44" w:name="_Toc487531386"/>
      <w:bookmarkStart w:id="45" w:name="_Toc487531405"/>
      <w:bookmarkStart w:id="46" w:name="_Toc487531475"/>
      <w:bookmarkStart w:id="47" w:name="_Toc487531595"/>
      <w:bookmarkStart w:id="48" w:name="_Toc511049484"/>
      <w:bookmarkStart w:id="49" w:name="_Toc4159044"/>
      <w:bookmarkStart w:id="50" w:name="_Toc46130300"/>
      <w:r w:rsidRPr="00E95FE0">
        <w:rPr>
          <w:rFonts w:cs="Open Sans"/>
          <w:szCs w:val="28"/>
        </w:rPr>
        <w:t>What is a human right?</w:t>
      </w:r>
      <w:bookmarkEnd w:id="42"/>
      <w:bookmarkEnd w:id="43"/>
      <w:bookmarkEnd w:id="44"/>
      <w:bookmarkEnd w:id="45"/>
      <w:bookmarkEnd w:id="46"/>
      <w:bookmarkEnd w:id="47"/>
      <w:bookmarkEnd w:id="48"/>
      <w:bookmarkEnd w:id="49"/>
      <w:bookmarkEnd w:id="50"/>
    </w:p>
    <w:p w14:paraId="6F926A39" w14:textId="77777777" w:rsidR="00111740" w:rsidRPr="00E95FE0" w:rsidRDefault="00111740" w:rsidP="00111740">
      <w:pPr>
        <w:numPr>
          <w:ilvl w:val="0"/>
          <w:numId w:val="3"/>
        </w:numPr>
        <w:tabs>
          <w:tab w:val="num" w:pos="960"/>
        </w:tabs>
        <w:spacing w:before="240" w:after="240"/>
        <w:rPr>
          <w:rFonts w:ascii="Open Sans" w:hAnsi="Open Sans" w:cs="Open Sans"/>
          <w:szCs w:val="24"/>
        </w:rPr>
      </w:pPr>
      <w:r w:rsidRPr="00E95FE0">
        <w:rPr>
          <w:rFonts w:ascii="Open Sans" w:hAnsi="Open Sans" w:cs="Open Sans"/>
          <w:szCs w:val="24"/>
        </w:rPr>
        <w:t xml:space="preserve">The phrase ‘human rights’ is defined by s 3(1) of the AHRC Act to include the rights and freedoms recognised in the ICCPR. </w:t>
      </w:r>
    </w:p>
    <w:p w14:paraId="5F020A83" w14:textId="77777777" w:rsidR="00111740" w:rsidRPr="00E95FE0" w:rsidRDefault="00111740" w:rsidP="00111740">
      <w:pPr>
        <w:keepNext/>
        <w:numPr>
          <w:ilvl w:val="0"/>
          <w:numId w:val="3"/>
        </w:numPr>
        <w:spacing w:before="240" w:after="240"/>
        <w:rPr>
          <w:rFonts w:ascii="Open Sans" w:hAnsi="Open Sans" w:cs="Open Sans"/>
          <w:szCs w:val="24"/>
        </w:rPr>
      </w:pPr>
      <w:r w:rsidRPr="00E95FE0">
        <w:rPr>
          <w:rFonts w:ascii="Open Sans" w:hAnsi="Open Sans" w:cs="Open Sans"/>
          <w:szCs w:val="24"/>
        </w:rPr>
        <w:t>Article 9(1) of the ICCPR relevantly provides:</w:t>
      </w:r>
    </w:p>
    <w:p w14:paraId="6C5A1C87" w14:textId="77777777" w:rsidR="00111740" w:rsidRPr="00E95FE0" w:rsidRDefault="00111740" w:rsidP="00111740">
      <w:pPr>
        <w:spacing w:before="240" w:after="240"/>
        <w:ind w:left="1418"/>
        <w:rPr>
          <w:rFonts w:ascii="Open Sans" w:hAnsi="Open Sans" w:cs="Open Sans"/>
          <w:iCs/>
          <w:sz w:val="22"/>
          <w:szCs w:val="22"/>
        </w:rPr>
      </w:pPr>
      <w:r w:rsidRPr="00E95FE0">
        <w:rPr>
          <w:rFonts w:ascii="Open Sans" w:hAnsi="Open Sans" w:cs="Open Sans"/>
          <w:iCs/>
          <w:sz w:val="22"/>
          <w:szCs w:val="22"/>
        </w:rPr>
        <w:t>Everyone has the right to liberty and security of person. No one shall be subjected to arbitrary arrest or detention. No one shall be deprived of his liberty except on such grounds and in accordance with such procedure as are established by law.</w:t>
      </w:r>
    </w:p>
    <w:p w14:paraId="5805582F" w14:textId="0A807FF8" w:rsidR="00111740" w:rsidRPr="00E95FE0" w:rsidRDefault="00111740" w:rsidP="00111740">
      <w:pPr>
        <w:pStyle w:val="Heading1"/>
        <w:tabs>
          <w:tab w:val="clear" w:pos="851"/>
          <w:tab w:val="num" w:pos="709"/>
        </w:tabs>
        <w:rPr>
          <w:rFonts w:ascii="Open Sans" w:hAnsi="Open Sans" w:cs="Open Sans"/>
          <w:szCs w:val="36"/>
        </w:rPr>
      </w:pPr>
      <w:bookmarkStart w:id="51" w:name="_Toc452472695"/>
      <w:bookmarkStart w:id="52" w:name="_Toc487445602"/>
      <w:bookmarkStart w:id="53" w:name="_Toc487531387"/>
      <w:bookmarkStart w:id="54" w:name="_Toc487531406"/>
      <w:bookmarkStart w:id="55" w:name="_Toc487531476"/>
      <w:bookmarkStart w:id="56" w:name="_Toc487531596"/>
      <w:bookmarkStart w:id="57" w:name="_Toc511049485"/>
      <w:bookmarkStart w:id="58" w:name="_Toc4159045"/>
      <w:bookmarkStart w:id="59" w:name="_Toc46130301"/>
      <w:r w:rsidRPr="00E95FE0">
        <w:rPr>
          <w:rFonts w:ascii="Open Sans" w:hAnsi="Open Sans" w:cs="Open Sans"/>
          <w:szCs w:val="36"/>
        </w:rPr>
        <w:t>Arbitrary detention</w:t>
      </w:r>
      <w:bookmarkEnd w:id="51"/>
      <w:bookmarkEnd w:id="52"/>
      <w:bookmarkEnd w:id="53"/>
      <w:bookmarkEnd w:id="54"/>
      <w:bookmarkEnd w:id="55"/>
      <w:bookmarkEnd w:id="56"/>
      <w:bookmarkEnd w:id="57"/>
      <w:bookmarkEnd w:id="58"/>
      <w:bookmarkEnd w:id="59"/>
    </w:p>
    <w:p w14:paraId="6014E7B4" w14:textId="77777777" w:rsidR="00111740" w:rsidRPr="00D26451" w:rsidRDefault="00111740" w:rsidP="00111740">
      <w:pPr>
        <w:numPr>
          <w:ilvl w:val="0"/>
          <w:numId w:val="3"/>
        </w:numPr>
        <w:spacing w:before="240" w:after="240"/>
        <w:rPr>
          <w:rFonts w:ascii="Open Sans" w:hAnsi="Open Sans" w:cs="Open Sans"/>
        </w:rPr>
      </w:pPr>
      <w:r w:rsidRPr="002C474B">
        <w:rPr>
          <w:rFonts w:ascii="Open Sans" w:hAnsi="Open Sans" w:cs="Open Sans"/>
        </w:rPr>
        <w:t xml:space="preserve">Mr </w:t>
      </w:r>
      <w:proofErr w:type="spellStart"/>
      <w:r>
        <w:rPr>
          <w:rFonts w:ascii="Open Sans" w:hAnsi="Open Sans" w:cs="Open Sans"/>
        </w:rPr>
        <w:t>Hamedani</w:t>
      </w:r>
      <w:proofErr w:type="spellEnd"/>
      <w:r w:rsidRPr="002C474B">
        <w:rPr>
          <w:rFonts w:ascii="Open Sans" w:hAnsi="Open Sans" w:cs="Open Sans"/>
        </w:rPr>
        <w:t xml:space="preserve"> complains about his detention in an immigration detention centre. This requires consideration to be given to whether his detention is ‘arbitrary’ contrary to article 9(1) of the ICCPR. </w:t>
      </w:r>
    </w:p>
    <w:p w14:paraId="1D09BC0F" w14:textId="03887663" w:rsidR="00111740" w:rsidRPr="00E95FE0" w:rsidRDefault="00111740" w:rsidP="00111740">
      <w:pPr>
        <w:pStyle w:val="Heading2"/>
        <w:tabs>
          <w:tab w:val="clear" w:pos="1135"/>
          <w:tab w:val="num" w:pos="709"/>
        </w:tabs>
        <w:ind w:left="4394" w:hanging="4394"/>
        <w:rPr>
          <w:rFonts w:cs="Open Sans"/>
          <w:i/>
        </w:rPr>
      </w:pPr>
      <w:bookmarkStart w:id="60" w:name="_Toc452472696"/>
      <w:bookmarkStart w:id="61" w:name="_Toc487445603"/>
      <w:bookmarkStart w:id="62" w:name="_Toc487531388"/>
      <w:bookmarkStart w:id="63" w:name="_Toc487531407"/>
      <w:bookmarkStart w:id="64" w:name="_Toc487531477"/>
      <w:bookmarkStart w:id="65" w:name="_Toc487531597"/>
      <w:bookmarkStart w:id="66" w:name="_Toc511049486"/>
      <w:bookmarkStart w:id="67" w:name="_Toc4159046"/>
      <w:bookmarkStart w:id="68" w:name="_Toc46130302"/>
      <w:r w:rsidRPr="00E95FE0">
        <w:rPr>
          <w:rFonts w:cs="Open Sans"/>
        </w:rPr>
        <w:t>Law on article 9 of the ICCPR</w:t>
      </w:r>
      <w:bookmarkEnd w:id="60"/>
      <w:bookmarkEnd w:id="61"/>
      <w:bookmarkEnd w:id="62"/>
      <w:bookmarkEnd w:id="63"/>
      <w:bookmarkEnd w:id="64"/>
      <w:bookmarkEnd w:id="65"/>
      <w:bookmarkEnd w:id="66"/>
      <w:bookmarkEnd w:id="67"/>
      <w:bookmarkEnd w:id="68"/>
      <w:r w:rsidRPr="00E95FE0">
        <w:rPr>
          <w:rFonts w:cs="Open Sans"/>
        </w:rPr>
        <w:t xml:space="preserve"> </w:t>
      </w:r>
    </w:p>
    <w:p w14:paraId="198052DC" w14:textId="77777777" w:rsidR="00111740" w:rsidRPr="000C660A" w:rsidRDefault="00111740" w:rsidP="00111740">
      <w:pPr>
        <w:numPr>
          <w:ilvl w:val="0"/>
          <w:numId w:val="3"/>
        </w:numPr>
        <w:spacing w:before="240" w:after="240"/>
        <w:rPr>
          <w:rFonts w:ascii="Open Sans" w:hAnsi="Open Sans" w:cs="Open Sans"/>
          <w:szCs w:val="24"/>
        </w:rPr>
      </w:pPr>
      <w:r w:rsidRPr="000C660A">
        <w:rPr>
          <w:rFonts w:ascii="Open Sans" w:hAnsi="Open Sans" w:cs="Open Sans"/>
          <w:szCs w:val="24"/>
        </w:rPr>
        <w:t>The following principles relating to arbitrary detention within the meaning of article 9 of the ICCPR arise from international human rights jurisprudence:</w:t>
      </w:r>
    </w:p>
    <w:p w14:paraId="6AF7795E" w14:textId="77777777" w:rsidR="00111740" w:rsidRPr="000C660A" w:rsidRDefault="00111740" w:rsidP="00111740">
      <w:pPr>
        <w:pStyle w:val="ListParagraph"/>
        <w:widowControl w:val="0"/>
        <w:numPr>
          <w:ilvl w:val="0"/>
          <w:numId w:val="7"/>
        </w:numPr>
        <w:tabs>
          <w:tab w:val="left" w:pos="1800"/>
        </w:tabs>
        <w:autoSpaceDE w:val="0"/>
        <w:autoSpaceDN w:val="0"/>
        <w:spacing w:before="120" w:after="120" w:line="300" w:lineRule="exact"/>
        <w:ind w:left="1440"/>
        <w:contextualSpacing w:val="0"/>
        <w:rPr>
          <w:rFonts w:ascii="Open Sans" w:hAnsi="Open Sans" w:cs="Open Sans"/>
          <w:szCs w:val="24"/>
        </w:rPr>
      </w:pPr>
      <w:r w:rsidRPr="000C660A">
        <w:rPr>
          <w:rFonts w:ascii="Open Sans" w:hAnsi="Open Sans" w:cs="Open Sans"/>
          <w:szCs w:val="24"/>
        </w:rPr>
        <w:t>‘detention’ includes immigration detention</w:t>
      </w:r>
      <w:r w:rsidRPr="000C660A">
        <w:rPr>
          <w:rStyle w:val="EndnoteReference"/>
          <w:rFonts w:ascii="Open Sans" w:hAnsi="Open Sans" w:cs="Open Sans"/>
          <w:sz w:val="24"/>
          <w:szCs w:val="24"/>
        </w:rPr>
        <w:endnoteReference w:id="3"/>
      </w:r>
    </w:p>
    <w:p w14:paraId="32F7F4E0" w14:textId="77777777" w:rsidR="00111740" w:rsidRPr="000C660A" w:rsidRDefault="00111740" w:rsidP="00111740">
      <w:pPr>
        <w:pStyle w:val="ListParagraph"/>
        <w:widowControl w:val="0"/>
        <w:numPr>
          <w:ilvl w:val="0"/>
          <w:numId w:val="7"/>
        </w:numPr>
        <w:tabs>
          <w:tab w:val="left" w:pos="1800"/>
        </w:tabs>
        <w:autoSpaceDE w:val="0"/>
        <w:autoSpaceDN w:val="0"/>
        <w:spacing w:before="120" w:after="120" w:line="300" w:lineRule="exact"/>
        <w:ind w:left="1440"/>
        <w:contextualSpacing w:val="0"/>
        <w:rPr>
          <w:rFonts w:ascii="Open Sans" w:hAnsi="Open Sans" w:cs="Open Sans"/>
          <w:szCs w:val="24"/>
        </w:rPr>
      </w:pPr>
      <w:r w:rsidRPr="000C660A">
        <w:rPr>
          <w:rFonts w:ascii="Open Sans" w:hAnsi="Open Sans" w:cs="Open Sans"/>
          <w:szCs w:val="24"/>
        </w:rPr>
        <w:t xml:space="preserve">lawful detention may become ‘arbitrary’ when a person’s deprivation of liberty becomes unjust, </w:t>
      </w:r>
      <w:proofErr w:type="gramStart"/>
      <w:r w:rsidRPr="000C660A">
        <w:rPr>
          <w:rFonts w:ascii="Open Sans" w:hAnsi="Open Sans" w:cs="Open Sans"/>
          <w:szCs w:val="24"/>
        </w:rPr>
        <w:t>unreasonable</w:t>
      </w:r>
      <w:proofErr w:type="gramEnd"/>
      <w:r w:rsidRPr="000C660A">
        <w:rPr>
          <w:rFonts w:ascii="Open Sans" w:hAnsi="Open Sans" w:cs="Open Sans"/>
          <w:szCs w:val="24"/>
        </w:rPr>
        <w:t xml:space="preserve"> or disproportionate in the particular circumstances</w:t>
      </w:r>
      <w:r w:rsidRPr="000C660A">
        <w:rPr>
          <w:rStyle w:val="EndnoteReference"/>
          <w:rFonts w:ascii="Open Sans" w:hAnsi="Open Sans" w:cs="Open Sans"/>
          <w:sz w:val="24"/>
          <w:szCs w:val="24"/>
        </w:rPr>
        <w:endnoteReference w:id="4"/>
      </w:r>
    </w:p>
    <w:p w14:paraId="6D79F43D" w14:textId="77777777" w:rsidR="00111740" w:rsidRPr="000C660A" w:rsidRDefault="00111740" w:rsidP="00111740">
      <w:pPr>
        <w:pStyle w:val="ListParagraph"/>
        <w:widowControl w:val="0"/>
        <w:numPr>
          <w:ilvl w:val="0"/>
          <w:numId w:val="7"/>
        </w:numPr>
        <w:tabs>
          <w:tab w:val="left" w:pos="1800"/>
        </w:tabs>
        <w:autoSpaceDE w:val="0"/>
        <w:autoSpaceDN w:val="0"/>
        <w:spacing w:before="120" w:after="120" w:line="300" w:lineRule="exact"/>
        <w:ind w:left="1440"/>
        <w:contextualSpacing w:val="0"/>
        <w:rPr>
          <w:rFonts w:ascii="Open Sans" w:hAnsi="Open Sans" w:cs="Open Sans"/>
          <w:szCs w:val="24"/>
        </w:rPr>
      </w:pPr>
      <w:r w:rsidRPr="000C660A">
        <w:rPr>
          <w:rFonts w:ascii="Open Sans" w:hAnsi="Open Sans" w:cs="Open Sans"/>
          <w:szCs w:val="24"/>
        </w:rPr>
        <w:t>‘arbitrariness’ is not to be equated with ‘against the law’; it must be interpreted more broadly to include elements of inappropriateness, injustice or lack of predictability</w:t>
      </w:r>
      <w:r w:rsidRPr="000C660A">
        <w:rPr>
          <w:rStyle w:val="EndnoteReference"/>
          <w:rFonts w:ascii="Open Sans" w:hAnsi="Open Sans" w:cs="Open Sans"/>
          <w:sz w:val="24"/>
          <w:szCs w:val="24"/>
        </w:rPr>
        <w:endnoteReference w:id="5"/>
      </w:r>
      <w:r w:rsidRPr="000C660A">
        <w:rPr>
          <w:rFonts w:ascii="Open Sans" w:hAnsi="Open Sans" w:cs="Open Sans"/>
          <w:szCs w:val="24"/>
        </w:rPr>
        <w:t xml:space="preserve"> </w:t>
      </w:r>
    </w:p>
    <w:p w14:paraId="7A9BB135" w14:textId="77777777" w:rsidR="00111740" w:rsidRPr="000C660A" w:rsidRDefault="00111740" w:rsidP="00111740">
      <w:pPr>
        <w:pStyle w:val="ListParagraph"/>
        <w:widowControl w:val="0"/>
        <w:numPr>
          <w:ilvl w:val="0"/>
          <w:numId w:val="7"/>
        </w:numPr>
        <w:tabs>
          <w:tab w:val="left" w:pos="1800"/>
        </w:tabs>
        <w:autoSpaceDE w:val="0"/>
        <w:autoSpaceDN w:val="0"/>
        <w:spacing w:before="120" w:after="240" w:line="300" w:lineRule="exact"/>
        <w:ind w:left="1440" w:hanging="346"/>
        <w:contextualSpacing w:val="0"/>
        <w:rPr>
          <w:rFonts w:ascii="Open Sans" w:hAnsi="Open Sans" w:cs="Open Sans"/>
          <w:szCs w:val="24"/>
        </w:rPr>
      </w:pPr>
      <w:bookmarkStart w:id="70" w:name="_bookmark4"/>
      <w:bookmarkEnd w:id="70"/>
      <w:r w:rsidRPr="000C660A">
        <w:rPr>
          <w:rFonts w:ascii="Open Sans" w:hAnsi="Open Sans" w:cs="Open Sans"/>
          <w:szCs w:val="24"/>
        </w:rPr>
        <w:t>detention should not continue beyond the period for which a State party can provide appropriate justification.</w:t>
      </w:r>
      <w:r w:rsidRPr="000C660A">
        <w:rPr>
          <w:rStyle w:val="EndnoteReference"/>
          <w:rFonts w:ascii="Open Sans" w:hAnsi="Open Sans" w:cs="Open Sans"/>
          <w:sz w:val="24"/>
          <w:szCs w:val="24"/>
        </w:rPr>
        <w:endnoteReference w:id="6"/>
      </w:r>
      <w:r w:rsidRPr="000C660A">
        <w:rPr>
          <w:rFonts w:ascii="Open Sans" w:hAnsi="Open Sans" w:cs="Open Sans"/>
          <w:szCs w:val="24"/>
        </w:rPr>
        <w:t xml:space="preserve"> </w:t>
      </w:r>
    </w:p>
    <w:p w14:paraId="41EA3192" w14:textId="77777777" w:rsidR="00111740" w:rsidRPr="000C660A" w:rsidRDefault="00111740" w:rsidP="00111740">
      <w:pPr>
        <w:numPr>
          <w:ilvl w:val="0"/>
          <w:numId w:val="3"/>
        </w:numPr>
        <w:spacing w:before="240" w:after="240"/>
        <w:rPr>
          <w:rFonts w:ascii="Open Sans" w:hAnsi="Open Sans" w:cs="Open Sans"/>
          <w:szCs w:val="24"/>
        </w:rPr>
      </w:pPr>
      <w:r w:rsidRPr="000C660A">
        <w:rPr>
          <w:rFonts w:ascii="Open Sans" w:hAnsi="Open Sans" w:cs="Open Sans"/>
          <w:szCs w:val="24"/>
        </w:rPr>
        <w:t xml:space="preserve">In </w:t>
      </w:r>
      <w:r w:rsidRPr="000C660A">
        <w:rPr>
          <w:rFonts w:ascii="Open Sans" w:hAnsi="Open Sans" w:cs="Open Sans"/>
          <w:i/>
          <w:szCs w:val="24"/>
        </w:rPr>
        <w:t>Van Alphen v The Netherlands</w:t>
      </w:r>
      <w:r w:rsidRPr="000C660A">
        <w:rPr>
          <w:rFonts w:ascii="Open Sans" w:hAnsi="Open Sans" w:cs="Open Sans"/>
          <w:szCs w:val="24"/>
        </w:rPr>
        <w:t xml:space="preserve"> the United Nations Human Rights Committee (UN HR Committee) found detention for a period of two months to be ‘arbitrary’ because the State Party did not show that remand in custody was necessary to prevent flight, interference with evidence or recurrence of crime.</w:t>
      </w:r>
      <w:r w:rsidRPr="000C660A">
        <w:rPr>
          <w:rStyle w:val="EndnoteReference"/>
          <w:rFonts w:ascii="Open Sans" w:hAnsi="Open Sans" w:cs="Open Sans"/>
          <w:sz w:val="24"/>
          <w:szCs w:val="24"/>
        </w:rPr>
        <w:endnoteReference w:id="7"/>
      </w:r>
      <w:r w:rsidRPr="000C660A">
        <w:rPr>
          <w:rStyle w:val="EndnoteReference"/>
          <w:rFonts w:ascii="Open Sans" w:hAnsi="Open Sans" w:cs="Open Sans"/>
          <w:sz w:val="24"/>
          <w:szCs w:val="24"/>
        </w:rPr>
        <w:t xml:space="preserve"> </w:t>
      </w:r>
    </w:p>
    <w:p w14:paraId="507C767E" w14:textId="77777777" w:rsidR="00111740" w:rsidRPr="00E95FE0" w:rsidRDefault="00111740" w:rsidP="00111740">
      <w:pPr>
        <w:numPr>
          <w:ilvl w:val="0"/>
          <w:numId w:val="3"/>
        </w:numPr>
        <w:spacing w:before="240" w:after="240"/>
        <w:rPr>
          <w:rFonts w:ascii="Open Sans" w:hAnsi="Open Sans" w:cs="Open Sans"/>
          <w:szCs w:val="24"/>
        </w:rPr>
      </w:pPr>
      <w:r w:rsidRPr="00E95FE0">
        <w:rPr>
          <w:rFonts w:ascii="Open Sans" w:hAnsi="Open Sans" w:cs="Open Sans"/>
          <w:szCs w:val="24"/>
        </w:rPr>
        <w:t>The UN HR Committee has stated in several communications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E95FE0">
        <w:rPr>
          <w:rFonts w:ascii="Open Sans" w:hAnsi="Open Sans" w:cs="Open Sans"/>
          <w:sz w:val="20"/>
          <w:szCs w:val="24"/>
          <w:vertAlign w:val="superscript"/>
        </w:rPr>
        <w:endnoteReference w:id="8"/>
      </w:r>
      <w:r w:rsidRPr="00E95FE0">
        <w:rPr>
          <w:rFonts w:ascii="Open Sans" w:hAnsi="Open Sans" w:cs="Open Sans"/>
          <w:szCs w:val="24"/>
        </w:rPr>
        <w:t xml:space="preserve"> </w:t>
      </w:r>
    </w:p>
    <w:p w14:paraId="51DAB26A" w14:textId="77777777" w:rsidR="00111740" w:rsidRPr="00E95FE0" w:rsidRDefault="00111740" w:rsidP="00111740">
      <w:pPr>
        <w:pStyle w:val="ListParagraph"/>
        <w:keepNext/>
        <w:widowControl w:val="0"/>
        <w:numPr>
          <w:ilvl w:val="0"/>
          <w:numId w:val="3"/>
        </w:numPr>
        <w:tabs>
          <w:tab w:val="left" w:pos="797"/>
          <w:tab w:val="left" w:pos="798"/>
        </w:tabs>
        <w:autoSpaceDE w:val="0"/>
        <w:autoSpaceDN w:val="0"/>
        <w:spacing w:before="240" w:after="240" w:line="300" w:lineRule="exact"/>
        <w:contextualSpacing w:val="0"/>
        <w:rPr>
          <w:rFonts w:ascii="Open Sans" w:hAnsi="Open Sans" w:cs="Open Sans"/>
          <w:szCs w:val="24"/>
        </w:rPr>
      </w:pPr>
      <w:r w:rsidRPr="00E95FE0">
        <w:rPr>
          <w:rFonts w:ascii="Open Sans" w:hAnsi="Open Sans" w:cs="Open Sans"/>
          <w:szCs w:val="24"/>
        </w:rPr>
        <w:t xml:space="preserve">Relevant jurisprudence of the UN HR Committee on the right to liberty is collected in a general comment on article 9 of the ICCPR published on 16 December 2014. It makes the following comments about immigration </w:t>
      </w:r>
      <w:proofErr w:type="gramStart"/>
      <w:r w:rsidRPr="00E95FE0">
        <w:rPr>
          <w:rFonts w:ascii="Open Sans" w:hAnsi="Open Sans" w:cs="Open Sans"/>
          <w:szCs w:val="24"/>
        </w:rPr>
        <w:t>detention in particular, based</w:t>
      </w:r>
      <w:proofErr w:type="gramEnd"/>
      <w:r w:rsidRPr="00E95FE0">
        <w:rPr>
          <w:rFonts w:ascii="Open Sans" w:hAnsi="Open Sans" w:cs="Open Sans"/>
          <w:szCs w:val="24"/>
        </w:rPr>
        <w:t xml:space="preserve"> on previous decisions by the Committee:</w:t>
      </w:r>
    </w:p>
    <w:p w14:paraId="4DFB62E6" w14:textId="77777777" w:rsidR="00111740" w:rsidRPr="00E95FE0" w:rsidRDefault="00111740" w:rsidP="00111740">
      <w:pPr>
        <w:spacing w:before="240" w:after="240" w:line="300" w:lineRule="exact"/>
        <w:ind w:left="1699"/>
        <w:rPr>
          <w:rFonts w:ascii="Open Sans" w:hAnsi="Open Sans" w:cs="Open Sans"/>
          <w:sz w:val="22"/>
          <w:szCs w:val="22"/>
        </w:rPr>
      </w:pPr>
      <w:r w:rsidRPr="00E95FE0">
        <w:rPr>
          <w:rFonts w:ascii="Open Sans" w:hAnsi="Open Sans" w:cs="Open Sans"/>
          <w:sz w:val="22"/>
          <w:szCs w:val="22"/>
        </w:rPr>
        <w:t xml:space="preserve">Detention </w:t>
      </w:r>
      <w:proofErr w:type="gramStart"/>
      <w:r w:rsidRPr="00E95FE0">
        <w:rPr>
          <w:rFonts w:ascii="Open Sans" w:hAnsi="Open Sans" w:cs="Open Sans"/>
          <w:sz w:val="22"/>
          <w:szCs w:val="22"/>
        </w:rPr>
        <w:t>in the course of</w:t>
      </w:r>
      <w:proofErr w:type="gramEnd"/>
      <w:r w:rsidRPr="00E95FE0">
        <w:rPr>
          <w:rFonts w:ascii="Open Sans" w:hAnsi="Open Sans" w:cs="Open Sans"/>
          <w:sz w:val="22"/>
          <w:szCs w:val="22"/>
        </w:rPr>
        <w:t xml:space="preserve"> proceedings for the control of immigration is not per se arbitrary, but the detention must be justified as reasonable, necessary and proportionate in the light of the circumstances and reassessed as it extends in time. Asylum seekers who unlawfully enter a State party’s territory may be detained for a brief initial period </w:t>
      </w:r>
      <w:proofErr w:type="gramStart"/>
      <w:r w:rsidRPr="00E95FE0">
        <w:rPr>
          <w:rFonts w:ascii="Open Sans" w:hAnsi="Open Sans" w:cs="Open Sans"/>
          <w:sz w:val="22"/>
          <w:szCs w:val="22"/>
        </w:rPr>
        <w:t>in order to</w:t>
      </w:r>
      <w:proofErr w:type="gramEnd"/>
      <w:r w:rsidRPr="00E95FE0">
        <w:rPr>
          <w:rFonts w:ascii="Open Sans" w:hAnsi="Open Sans" w:cs="Open Sans"/>
          <w:sz w:val="22"/>
          <w:szCs w:val="22"/>
        </w:rPr>
        <w:t xml:space="preserve"> document their entry, record their claims and determine their identity if it is in doubt. To detain them further while their claims are being resolved would be arbitrary in the absence of particular reasons specific to the individual, such as an individualized likelihood of absconding, a danger of crimes against others or a risk of acts against national security. The decision must consider relevant factors case by case and not be based on a mandatory rule for a broad category; must take into account less invasive means of achieving the same ends, such as reporting obligations, sureties or other conditions to prevent absconding; and must be subject to periodic re-evaluation and judicial review.</w:t>
      </w:r>
      <w:r w:rsidRPr="00E95FE0">
        <w:rPr>
          <w:rStyle w:val="EndnoteReference"/>
          <w:rFonts w:ascii="Open Sans" w:hAnsi="Open Sans" w:cs="Open Sans"/>
          <w:sz w:val="22"/>
          <w:szCs w:val="22"/>
        </w:rPr>
        <w:endnoteReference w:id="9"/>
      </w:r>
      <w:r w:rsidRPr="00E95FE0">
        <w:rPr>
          <w:rFonts w:ascii="Open Sans" w:hAnsi="Open Sans" w:cs="Open Sans"/>
          <w:sz w:val="22"/>
          <w:szCs w:val="22"/>
        </w:rPr>
        <w:t xml:space="preserve"> </w:t>
      </w:r>
    </w:p>
    <w:p w14:paraId="400DFBF4" w14:textId="77777777" w:rsidR="00111740" w:rsidRPr="00E95FE0" w:rsidRDefault="00111740" w:rsidP="00111740">
      <w:pPr>
        <w:pStyle w:val="ListParagraph"/>
        <w:keepNext/>
        <w:widowControl w:val="0"/>
        <w:numPr>
          <w:ilvl w:val="0"/>
          <w:numId w:val="3"/>
        </w:numPr>
        <w:tabs>
          <w:tab w:val="left" w:pos="797"/>
          <w:tab w:val="left" w:pos="798"/>
        </w:tabs>
        <w:autoSpaceDE w:val="0"/>
        <w:autoSpaceDN w:val="0"/>
        <w:spacing w:before="240" w:after="240" w:line="300" w:lineRule="exact"/>
        <w:contextualSpacing w:val="0"/>
        <w:rPr>
          <w:rFonts w:ascii="Open Sans" w:hAnsi="Open Sans" w:cs="Open Sans"/>
          <w:sz w:val="14"/>
        </w:rPr>
      </w:pPr>
      <w:r w:rsidRPr="00E95FE0">
        <w:rPr>
          <w:rFonts w:ascii="Open Sans" w:hAnsi="Open Sans" w:cs="Open Sans"/>
          <w:szCs w:val="24"/>
          <w:lang w:val="en"/>
        </w:rPr>
        <w:t>Under international law the guiding standard for restricting rights is</w:t>
      </w:r>
      <w:r w:rsidRPr="00E95FE0">
        <w:rPr>
          <w:rFonts w:ascii="Open Sans" w:hAnsi="Open Sans" w:cs="Open Sans"/>
        </w:rPr>
        <w:t xml:space="preserve"> proportionality, which means that deprivation of liberty (in this case, continuing immigration detention) must be necessary and proportionate to a legitimate aim of the State Party (in this case, the Commonwealth of Australia) in order to avoid being ‘arbitrary’.</w:t>
      </w:r>
      <w:r w:rsidRPr="00E95FE0">
        <w:rPr>
          <w:rStyle w:val="EndnoteReference"/>
          <w:rFonts w:ascii="Open Sans" w:hAnsi="Open Sans" w:cs="Open Sans"/>
        </w:rPr>
        <w:endnoteReference w:id="10"/>
      </w:r>
      <w:r w:rsidRPr="00E95FE0">
        <w:rPr>
          <w:rFonts w:ascii="Open Sans" w:hAnsi="Open Sans" w:cs="Open Sans"/>
          <w:sz w:val="14"/>
        </w:rPr>
        <w:t xml:space="preserve"> </w:t>
      </w:r>
    </w:p>
    <w:p w14:paraId="738796C8" w14:textId="77777777" w:rsidR="00111740" w:rsidRPr="00E95FE0" w:rsidRDefault="00111740" w:rsidP="00111740">
      <w:pPr>
        <w:numPr>
          <w:ilvl w:val="0"/>
          <w:numId w:val="3"/>
        </w:numPr>
        <w:spacing w:before="240" w:after="240"/>
        <w:rPr>
          <w:rFonts w:ascii="Open Sans" w:hAnsi="Open Sans" w:cs="Open Sans"/>
          <w:szCs w:val="24"/>
          <w:lang w:val="en"/>
        </w:rPr>
      </w:pPr>
      <w:r w:rsidRPr="00E95FE0">
        <w:rPr>
          <w:rFonts w:ascii="Open Sans" w:hAnsi="Open Sans" w:cs="Open Sans"/>
          <w:szCs w:val="24"/>
          <w:lang w:val="en"/>
        </w:rPr>
        <w:t xml:space="preserve">It is therefore necessary to consider whether the detention of </w:t>
      </w:r>
      <w:proofErr w:type="spellStart"/>
      <w:r w:rsidRPr="00E95FE0">
        <w:rPr>
          <w:rFonts w:ascii="Open Sans" w:hAnsi="Open Sans" w:cs="Open Sans"/>
          <w:szCs w:val="24"/>
          <w:lang w:val="en"/>
        </w:rPr>
        <w:t>Mr</w:t>
      </w:r>
      <w:proofErr w:type="spellEnd"/>
      <w:r w:rsidRPr="00E95FE0">
        <w:rPr>
          <w:rFonts w:ascii="Open Sans" w:hAnsi="Open Sans" w:cs="Open Sans"/>
          <w:szCs w:val="24"/>
          <w:lang w:val="en"/>
        </w:rPr>
        <w:t xml:space="preserve"> </w:t>
      </w:r>
      <w:proofErr w:type="spellStart"/>
      <w:r>
        <w:rPr>
          <w:rFonts w:ascii="Open Sans" w:hAnsi="Open Sans" w:cs="Open Sans"/>
        </w:rPr>
        <w:t>Hamedani</w:t>
      </w:r>
      <w:proofErr w:type="spellEnd"/>
      <w:r w:rsidRPr="00E95FE0">
        <w:rPr>
          <w:rFonts w:ascii="Open Sans" w:hAnsi="Open Sans" w:cs="Open Sans"/>
          <w:szCs w:val="24"/>
          <w:lang w:val="en"/>
        </w:rPr>
        <w:t xml:space="preserve"> in closed detention facilities can be </w:t>
      </w:r>
      <w:r w:rsidRPr="00E95FE0">
        <w:rPr>
          <w:rFonts w:ascii="Open Sans" w:hAnsi="Open Sans" w:cs="Open Sans"/>
          <w:szCs w:val="24"/>
        </w:rPr>
        <w:t xml:space="preserve">justified as reasonable, </w:t>
      </w:r>
      <w:proofErr w:type="gramStart"/>
      <w:r w:rsidRPr="00E95FE0">
        <w:rPr>
          <w:rFonts w:ascii="Open Sans" w:hAnsi="Open Sans" w:cs="Open Sans"/>
          <w:szCs w:val="24"/>
        </w:rPr>
        <w:t>necessary</w:t>
      </w:r>
      <w:proofErr w:type="gramEnd"/>
      <w:r w:rsidRPr="00E95FE0">
        <w:rPr>
          <w:rFonts w:ascii="Open Sans" w:hAnsi="Open Sans" w:cs="Open Sans"/>
          <w:szCs w:val="24"/>
        </w:rPr>
        <w:t xml:space="preserve"> and proportionate on the basis of particular reasons specific to him, and in light of the available alternatives to closed detention. </w:t>
      </w:r>
      <w:r w:rsidRPr="00E95FE0">
        <w:rPr>
          <w:rFonts w:ascii="Open Sans" w:hAnsi="Open Sans" w:cs="Open Sans"/>
          <w:szCs w:val="24"/>
          <w:lang w:val="en"/>
        </w:rPr>
        <w:t xml:space="preserve">If his detention cannot be justified on these grounds, it will be </w:t>
      </w:r>
      <w:r w:rsidRPr="00E95FE0">
        <w:rPr>
          <w:rFonts w:ascii="Open Sans" w:hAnsi="Open Sans" w:cs="Open Sans"/>
          <w:szCs w:val="24"/>
        </w:rPr>
        <w:t xml:space="preserve">disproportionate to the Commonwealth’s legitimate aim of ensuring the effective operation of Australia’s migration system and therefore considered ‘arbitrary’ under article 9 of the ICCPR. </w:t>
      </w:r>
    </w:p>
    <w:p w14:paraId="33B05A03" w14:textId="5F4208B2" w:rsidR="00111740" w:rsidRPr="00E95FE0" w:rsidRDefault="00111740" w:rsidP="00111740">
      <w:pPr>
        <w:pStyle w:val="Heading2"/>
        <w:tabs>
          <w:tab w:val="clear" w:pos="1135"/>
          <w:tab w:val="num" w:pos="709"/>
          <w:tab w:val="num" w:pos="1702"/>
        </w:tabs>
        <w:spacing w:after="240"/>
        <w:ind w:left="851"/>
        <w:rPr>
          <w:rFonts w:cs="Open Sans"/>
          <w:i/>
        </w:rPr>
      </w:pPr>
      <w:bookmarkStart w:id="72" w:name="_Toc452472697"/>
      <w:bookmarkStart w:id="73" w:name="_Toc487445604"/>
      <w:bookmarkStart w:id="74" w:name="_Toc487531389"/>
      <w:bookmarkStart w:id="75" w:name="_Toc487531408"/>
      <w:bookmarkStart w:id="76" w:name="_Toc487531478"/>
      <w:bookmarkStart w:id="77" w:name="_Toc487531598"/>
      <w:bookmarkStart w:id="78" w:name="_Toc511049487"/>
      <w:bookmarkStart w:id="79" w:name="_Toc4159047"/>
      <w:bookmarkStart w:id="80" w:name="_Toc46130303"/>
      <w:r w:rsidRPr="00E95FE0">
        <w:rPr>
          <w:rFonts w:cs="Open Sans"/>
        </w:rPr>
        <w:t>Act or practice of the Commonwealth</w:t>
      </w:r>
      <w:bookmarkEnd w:id="72"/>
      <w:bookmarkEnd w:id="73"/>
      <w:bookmarkEnd w:id="74"/>
      <w:bookmarkEnd w:id="75"/>
      <w:bookmarkEnd w:id="76"/>
      <w:bookmarkEnd w:id="77"/>
      <w:bookmarkEnd w:id="78"/>
      <w:bookmarkEnd w:id="79"/>
      <w:bookmarkEnd w:id="80"/>
    </w:p>
    <w:p w14:paraId="0F79F98A" w14:textId="77777777" w:rsidR="00111740" w:rsidRDefault="00111740" w:rsidP="00111740">
      <w:pPr>
        <w:numPr>
          <w:ilvl w:val="0"/>
          <w:numId w:val="3"/>
        </w:numPr>
        <w:spacing w:before="240" w:after="240"/>
        <w:rPr>
          <w:rFonts w:ascii="Open Sans" w:hAnsi="Open Sans" w:cs="Open Sans"/>
          <w:szCs w:val="24"/>
        </w:rPr>
      </w:pPr>
      <w:r>
        <w:rPr>
          <w:rFonts w:ascii="Open Sans" w:hAnsi="Open Sans" w:cs="Open Sans"/>
          <w:szCs w:val="24"/>
        </w:rPr>
        <w:t xml:space="preserve">As Mr </w:t>
      </w:r>
      <w:proofErr w:type="spellStart"/>
      <w:r>
        <w:rPr>
          <w:rFonts w:ascii="Open Sans" w:hAnsi="Open Sans" w:cs="Open Sans"/>
          <w:szCs w:val="24"/>
        </w:rPr>
        <w:t>Hamedani</w:t>
      </w:r>
      <w:proofErr w:type="spellEnd"/>
      <w:r>
        <w:rPr>
          <w:rFonts w:ascii="Open Sans" w:hAnsi="Open Sans" w:cs="Open Sans"/>
          <w:szCs w:val="24"/>
        </w:rPr>
        <w:t xml:space="preserve"> arrived in Australia by boat without a valid visa, he was an ‘unlawful non-citizen’, and therefore the Migration Act required that he be detained. </w:t>
      </w:r>
    </w:p>
    <w:p w14:paraId="5566CB71" w14:textId="77777777" w:rsidR="00111740" w:rsidRDefault="00111740" w:rsidP="00111740">
      <w:pPr>
        <w:numPr>
          <w:ilvl w:val="0"/>
          <w:numId w:val="3"/>
        </w:numPr>
        <w:spacing w:before="240" w:after="240"/>
        <w:rPr>
          <w:rFonts w:ascii="Open Sans" w:hAnsi="Open Sans" w:cs="Open Sans"/>
          <w:szCs w:val="24"/>
        </w:rPr>
      </w:pPr>
      <w:r>
        <w:rPr>
          <w:rFonts w:ascii="Open Sans" w:hAnsi="Open Sans" w:cs="Open Sans"/>
          <w:szCs w:val="24"/>
        </w:rPr>
        <w:t xml:space="preserve">From 5 August 2016 to 4 December 2018, Mr </w:t>
      </w:r>
      <w:proofErr w:type="spellStart"/>
      <w:r>
        <w:rPr>
          <w:rFonts w:ascii="Open Sans" w:hAnsi="Open Sans" w:cs="Open Sans"/>
          <w:szCs w:val="24"/>
        </w:rPr>
        <w:t>Hamedani</w:t>
      </w:r>
      <w:proofErr w:type="spellEnd"/>
      <w:r>
        <w:rPr>
          <w:rFonts w:ascii="Open Sans" w:hAnsi="Open Sans" w:cs="Open Sans"/>
          <w:szCs w:val="24"/>
        </w:rPr>
        <w:t xml:space="preserve"> was detained pursuant to s 189(1) of the Migration Act.</w:t>
      </w:r>
    </w:p>
    <w:p w14:paraId="6397A39D" w14:textId="77777777" w:rsidR="00111740" w:rsidRPr="002C474B" w:rsidRDefault="00111740" w:rsidP="00111740">
      <w:pPr>
        <w:numPr>
          <w:ilvl w:val="0"/>
          <w:numId w:val="3"/>
        </w:numPr>
        <w:spacing w:before="240" w:after="240"/>
        <w:rPr>
          <w:rFonts w:ascii="Open Sans" w:hAnsi="Open Sans" w:cs="Open Sans"/>
          <w:szCs w:val="24"/>
        </w:rPr>
      </w:pPr>
      <w:r>
        <w:rPr>
          <w:rFonts w:ascii="Open Sans" w:hAnsi="Open Sans" w:cs="Open Sans"/>
          <w:szCs w:val="24"/>
        </w:rPr>
        <w:t xml:space="preserve">While the Migration Act required the detention of unlawful non-citizens, there are </w:t>
      </w:r>
      <w:proofErr w:type="gramStart"/>
      <w:r>
        <w:rPr>
          <w:rFonts w:ascii="Open Sans" w:hAnsi="Open Sans" w:cs="Open Sans"/>
          <w:szCs w:val="24"/>
        </w:rPr>
        <w:t>a number of</w:t>
      </w:r>
      <w:proofErr w:type="gramEnd"/>
      <w:r>
        <w:rPr>
          <w:rFonts w:ascii="Open Sans" w:hAnsi="Open Sans" w:cs="Open Sans"/>
          <w:szCs w:val="24"/>
        </w:rPr>
        <w:t xml:space="preserve"> powers that the Minister could have exercised to detain Mr </w:t>
      </w:r>
      <w:proofErr w:type="spellStart"/>
      <w:r>
        <w:rPr>
          <w:rFonts w:ascii="Open Sans" w:hAnsi="Open Sans" w:cs="Open Sans"/>
          <w:szCs w:val="24"/>
        </w:rPr>
        <w:t>Hamedani</w:t>
      </w:r>
      <w:proofErr w:type="spellEnd"/>
      <w:r>
        <w:rPr>
          <w:rFonts w:ascii="Open Sans" w:hAnsi="Open Sans" w:cs="Open Sans"/>
          <w:szCs w:val="24"/>
        </w:rPr>
        <w:t xml:space="preserve"> in a manner less restrictive than a closed immigration detention facility. </w:t>
      </w:r>
    </w:p>
    <w:p w14:paraId="4B6C97A6" w14:textId="77777777" w:rsidR="00111740" w:rsidRPr="002C474B" w:rsidRDefault="00111740" w:rsidP="00111740">
      <w:pPr>
        <w:numPr>
          <w:ilvl w:val="0"/>
          <w:numId w:val="3"/>
        </w:numPr>
        <w:spacing w:before="240" w:after="240"/>
        <w:rPr>
          <w:rFonts w:ascii="Open Sans" w:hAnsi="Open Sans" w:cs="Open Sans"/>
          <w:szCs w:val="24"/>
        </w:rPr>
      </w:pPr>
      <w:r w:rsidRPr="002C474B">
        <w:rPr>
          <w:rFonts w:ascii="Open Sans" w:hAnsi="Open Sans" w:cs="Open Sans"/>
          <w:szCs w:val="24"/>
        </w:rPr>
        <w:t xml:space="preserve">Section 197AB of the Migration Act permits the Minister, where </w:t>
      </w:r>
      <w:r>
        <w:rPr>
          <w:rFonts w:ascii="Open Sans" w:hAnsi="Open Sans" w:cs="Open Sans"/>
          <w:szCs w:val="24"/>
        </w:rPr>
        <w:t>the Minister considers</w:t>
      </w:r>
      <w:r w:rsidRPr="002C474B">
        <w:rPr>
          <w:rFonts w:ascii="Open Sans" w:hAnsi="Open Sans" w:cs="Open Sans"/>
          <w:szCs w:val="24"/>
        </w:rPr>
        <w:t xml:space="preserve"> that it is in the public interest to do so, to make a residence determination to allow a person to reside in a specified place instead of being detained in closed immigration detention. A ‘specified place’ may be a place in the community. The residence determination may be made subject to other conditions such as reporting requirements. </w:t>
      </w:r>
    </w:p>
    <w:p w14:paraId="20029E70" w14:textId="77777777" w:rsidR="00111740" w:rsidRPr="002C474B" w:rsidRDefault="00111740" w:rsidP="00111740">
      <w:pPr>
        <w:numPr>
          <w:ilvl w:val="0"/>
          <w:numId w:val="3"/>
        </w:numPr>
        <w:spacing w:before="240" w:after="240"/>
        <w:rPr>
          <w:rFonts w:ascii="Open Sans" w:hAnsi="Open Sans" w:cs="Open Sans"/>
          <w:szCs w:val="24"/>
        </w:rPr>
      </w:pPr>
      <w:r w:rsidRPr="002C474B">
        <w:rPr>
          <w:rFonts w:ascii="Open Sans" w:hAnsi="Open Sans" w:cs="Open Sans"/>
          <w:szCs w:val="24"/>
        </w:rPr>
        <w:t xml:space="preserve">In addition to the power to make a residence determination under s 197AB, the Minister also has a discretionary non-compellable power under s 195A to grant a visa to a person in immigration detention, again subject to any conditions necessary to take into account their specific circumstances. </w:t>
      </w:r>
    </w:p>
    <w:p w14:paraId="1F84EE14" w14:textId="77777777" w:rsidR="00111740" w:rsidRPr="002C474B" w:rsidRDefault="00111740" w:rsidP="00111740">
      <w:pPr>
        <w:numPr>
          <w:ilvl w:val="0"/>
          <w:numId w:val="3"/>
        </w:numPr>
        <w:spacing w:before="240" w:after="240"/>
        <w:rPr>
          <w:rFonts w:ascii="Open Sans" w:hAnsi="Open Sans" w:cs="Open Sans"/>
          <w:szCs w:val="24"/>
        </w:rPr>
      </w:pPr>
      <w:r w:rsidRPr="002C474B">
        <w:rPr>
          <w:rFonts w:ascii="Open Sans" w:hAnsi="Open Sans" w:cs="Open Sans"/>
        </w:rPr>
        <w:t xml:space="preserve">I consider two acts of the Commonwealth as relevant to this inquiry: </w:t>
      </w:r>
    </w:p>
    <w:p w14:paraId="49AE425E" w14:textId="77777777" w:rsidR="00111740" w:rsidRPr="000C660A" w:rsidRDefault="00111740" w:rsidP="00111740">
      <w:pPr>
        <w:pStyle w:val="ListParagraph"/>
        <w:numPr>
          <w:ilvl w:val="0"/>
          <w:numId w:val="6"/>
        </w:numPr>
        <w:spacing w:before="240" w:after="120"/>
        <w:ind w:left="1440"/>
        <w:contextualSpacing w:val="0"/>
        <w:rPr>
          <w:rFonts w:ascii="Open Sans" w:hAnsi="Open Sans" w:cs="Open Sans"/>
          <w:szCs w:val="24"/>
        </w:rPr>
      </w:pPr>
      <w:r w:rsidRPr="00E43165">
        <w:rPr>
          <w:rFonts w:ascii="Open Sans" w:hAnsi="Open Sans" w:cs="Open Sans"/>
          <w:szCs w:val="24"/>
        </w:rPr>
        <w:t xml:space="preserve">The Department’s delay in referring the case to the Minister </w:t>
      </w:r>
      <w:proofErr w:type="gramStart"/>
      <w:r w:rsidRPr="00E43165">
        <w:rPr>
          <w:rFonts w:ascii="Open Sans" w:hAnsi="Open Sans" w:cs="Open Sans"/>
          <w:szCs w:val="24"/>
        </w:rPr>
        <w:t>in order for</w:t>
      </w:r>
      <w:proofErr w:type="gramEnd"/>
      <w:r w:rsidRPr="00E43165">
        <w:rPr>
          <w:rFonts w:ascii="Open Sans" w:hAnsi="Open Sans" w:cs="Open Sans"/>
          <w:szCs w:val="24"/>
        </w:rPr>
        <w:t xml:space="preserve"> the Minister to assess whether to exercise his discretionary powers under s 197AB until 13 June 2017.</w:t>
      </w:r>
    </w:p>
    <w:p w14:paraId="3D34E677" w14:textId="77777777" w:rsidR="00111740" w:rsidRPr="00EA3FB2" w:rsidRDefault="00111740" w:rsidP="00111740">
      <w:pPr>
        <w:pStyle w:val="ListParagraph"/>
        <w:numPr>
          <w:ilvl w:val="0"/>
          <w:numId w:val="6"/>
        </w:numPr>
        <w:spacing w:before="120" w:after="120"/>
        <w:ind w:left="1440"/>
        <w:contextualSpacing w:val="0"/>
        <w:rPr>
          <w:rFonts w:ascii="Open Sans" w:hAnsi="Open Sans" w:cs="Open Sans"/>
          <w:szCs w:val="24"/>
        </w:rPr>
      </w:pPr>
      <w:r w:rsidRPr="00EA3FB2">
        <w:rPr>
          <w:rFonts w:ascii="Open Sans" w:hAnsi="Open Sans" w:cs="Open Sans"/>
          <w:szCs w:val="24"/>
        </w:rPr>
        <w:t>The Minister’s delay in</w:t>
      </w:r>
      <w:r>
        <w:rPr>
          <w:rFonts w:ascii="Open Sans" w:hAnsi="Open Sans" w:cs="Open Sans"/>
          <w:szCs w:val="24"/>
        </w:rPr>
        <w:t xml:space="preserve"> considering </w:t>
      </w:r>
      <w:proofErr w:type="gramStart"/>
      <w:r>
        <w:rPr>
          <w:rFonts w:ascii="Open Sans" w:hAnsi="Open Sans" w:cs="Open Sans"/>
          <w:szCs w:val="24"/>
        </w:rPr>
        <w:t xml:space="preserve">to </w:t>
      </w:r>
      <w:r w:rsidRPr="00EA3FB2">
        <w:rPr>
          <w:rFonts w:ascii="Open Sans" w:hAnsi="Open Sans" w:cs="Open Sans"/>
          <w:szCs w:val="24"/>
        </w:rPr>
        <w:t>exercis</w:t>
      </w:r>
      <w:r>
        <w:rPr>
          <w:rFonts w:ascii="Open Sans" w:hAnsi="Open Sans" w:cs="Open Sans"/>
          <w:szCs w:val="24"/>
        </w:rPr>
        <w:t>e</w:t>
      </w:r>
      <w:proofErr w:type="gramEnd"/>
      <w:r w:rsidRPr="00EA3FB2">
        <w:rPr>
          <w:rFonts w:ascii="Open Sans" w:hAnsi="Open Sans" w:cs="Open Sans"/>
          <w:szCs w:val="24"/>
        </w:rPr>
        <w:t xml:space="preserve"> his discretionary powers under s 197AB of the Migration Act until 29 November 2018.</w:t>
      </w:r>
    </w:p>
    <w:p w14:paraId="317A46A9" w14:textId="0A13C561" w:rsidR="00111740" w:rsidRPr="00E95FE0" w:rsidRDefault="00111740" w:rsidP="00111740">
      <w:pPr>
        <w:pStyle w:val="Heading2"/>
        <w:tabs>
          <w:tab w:val="clear" w:pos="1135"/>
          <w:tab w:val="num" w:pos="709"/>
        </w:tabs>
        <w:ind w:left="4394" w:hanging="4394"/>
        <w:rPr>
          <w:rFonts w:cs="Open Sans"/>
          <w:i/>
        </w:rPr>
      </w:pPr>
      <w:bookmarkStart w:id="81" w:name="_Toc46130304"/>
      <w:r w:rsidRPr="00E95FE0">
        <w:rPr>
          <w:rFonts w:cs="Open Sans"/>
        </w:rPr>
        <w:t>Findings</w:t>
      </w:r>
      <w:bookmarkEnd w:id="81"/>
    </w:p>
    <w:p w14:paraId="3AF59CA8" w14:textId="77777777" w:rsidR="00111740" w:rsidRPr="002C474B" w:rsidRDefault="00111740" w:rsidP="00111740">
      <w:pPr>
        <w:numPr>
          <w:ilvl w:val="0"/>
          <w:numId w:val="3"/>
        </w:numPr>
        <w:spacing w:before="240" w:after="240"/>
        <w:rPr>
          <w:rFonts w:ascii="Open Sans" w:hAnsi="Open Sans" w:cs="Open Sans"/>
        </w:rPr>
      </w:pPr>
      <w:r w:rsidRPr="002C474B">
        <w:rPr>
          <w:rFonts w:ascii="Open Sans" w:hAnsi="Open Sans" w:cs="Open Sans"/>
        </w:rPr>
        <w:t xml:space="preserve">Mr </w:t>
      </w:r>
      <w:proofErr w:type="spellStart"/>
      <w:r>
        <w:rPr>
          <w:rFonts w:ascii="Open Sans" w:hAnsi="Open Sans" w:cs="Open Sans"/>
        </w:rPr>
        <w:t>Hamedani</w:t>
      </w:r>
      <w:proofErr w:type="spellEnd"/>
      <w:r w:rsidRPr="002C474B">
        <w:rPr>
          <w:rFonts w:ascii="Open Sans" w:hAnsi="Open Sans" w:cs="Open Sans"/>
        </w:rPr>
        <w:t xml:space="preserve"> was </w:t>
      </w:r>
      <w:r>
        <w:rPr>
          <w:rFonts w:ascii="Open Sans" w:hAnsi="Open Sans" w:cs="Open Sans"/>
        </w:rPr>
        <w:t xml:space="preserve">transferred from Manus Island Regional Processing Centre to Australia </w:t>
      </w:r>
      <w:r w:rsidRPr="002C474B">
        <w:rPr>
          <w:rFonts w:ascii="Open Sans" w:hAnsi="Open Sans" w:cs="Open Sans"/>
        </w:rPr>
        <w:t xml:space="preserve">on </w:t>
      </w:r>
      <w:r>
        <w:rPr>
          <w:rFonts w:ascii="Open Sans" w:hAnsi="Open Sans" w:cs="Open Sans"/>
        </w:rPr>
        <w:t>5</w:t>
      </w:r>
      <w:r w:rsidRPr="002C474B">
        <w:rPr>
          <w:rFonts w:ascii="Open Sans" w:hAnsi="Open Sans" w:cs="Open Sans"/>
        </w:rPr>
        <w:t xml:space="preserve"> </w:t>
      </w:r>
      <w:r>
        <w:rPr>
          <w:rFonts w:ascii="Open Sans" w:hAnsi="Open Sans" w:cs="Open Sans"/>
        </w:rPr>
        <w:t>August</w:t>
      </w:r>
      <w:r w:rsidRPr="002C474B">
        <w:rPr>
          <w:rFonts w:ascii="Open Sans" w:hAnsi="Open Sans" w:cs="Open Sans"/>
        </w:rPr>
        <w:t xml:space="preserve"> 2016. </w:t>
      </w:r>
      <w:r>
        <w:rPr>
          <w:rFonts w:ascii="Open Sans" w:hAnsi="Open Sans" w:cs="Open Sans"/>
        </w:rPr>
        <w:t>He was detained from this date until 4 December 2018 for a period of almost 28 months</w:t>
      </w:r>
      <w:r w:rsidRPr="002C474B">
        <w:rPr>
          <w:rFonts w:ascii="Open Sans" w:hAnsi="Open Sans" w:cs="Open Sans"/>
        </w:rPr>
        <w:t>.</w:t>
      </w:r>
    </w:p>
    <w:p w14:paraId="7B87BC02" w14:textId="77777777" w:rsidR="00111740" w:rsidRPr="002C474B" w:rsidRDefault="00111740" w:rsidP="00111740">
      <w:pPr>
        <w:numPr>
          <w:ilvl w:val="0"/>
          <w:numId w:val="3"/>
        </w:numPr>
        <w:spacing w:before="240" w:after="240"/>
        <w:rPr>
          <w:rFonts w:ascii="Open Sans" w:hAnsi="Open Sans" w:cs="Open Sans"/>
        </w:rPr>
      </w:pPr>
      <w:r w:rsidRPr="002C474B">
        <w:rPr>
          <w:rFonts w:ascii="Open Sans" w:hAnsi="Open Sans" w:cs="Open Sans"/>
        </w:rPr>
        <w:t xml:space="preserve">On </w:t>
      </w:r>
      <w:r>
        <w:rPr>
          <w:rFonts w:ascii="Open Sans" w:hAnsi="Open Sans" w:cs="Open Sans"/>
        </w:rPr>
        <w:t>23 February 2017</w:t>
      </w:r>
      <w:r w:rsidRPr="002C474B">
        <w:rPr>
          <w:rFonts w:ascii="Open Sans" w:hAnsi="Open Sans" w:cs="Open Sans"/>
        </w:rPr>
        <w:t>, the Department found</w:t>
      </w:r>
      <w:r>
        <w:rPr>
          <w:rFonts w:ascii="Open Sans" w:hAnsi="Open Sans" w:cs="Open Sans"/>
        </w:rPr>
        <w:t xml:space="preserve"> that</w:t>
      </w:r>
      <w:r w:rsidRPr="002C474B">
        <w:rPr>
          <w:rFonts w:ascii="Open Sans" w:hAnsi="Open Sans" w:cs="Open Sans"/>
        </w:rPr>
        <w:t xml:space="preserve"> Mr </w:t>
      </w:r>
      <w:proofErr w:type="spellStart"/>
      <w:r>
        <w:rPr>
          <w:rFonts w:ascii="Open Sans" w:hAnsi="Open Sans" w:cs="Open Sans"/>
        </w:rPr>
        <w:t>Hamedani</w:t>
      </w:r>
      <w:proofErr w:type="spellEnd"/>
      <w:r>
        <w:rPr>
          <w:rFonts w:ascii="Open Sans" w:hAnsi="Open Sans" w:cs="Open Sans"/>
        </w:rPr>
        <w:t xml:space="preserve"> did not</w:t>
      </w:r>
      <w:r w:rsidRPr="002C474B">
        <w:rPr>
          <w:rFonts w:ascii="Open Sans" w:hAnsi="Open Sans" w:cs="Open Sans"/>
        </w:rPr>
        <w:t xml:space="preserve"> meet the Ministerial Intervention Guidelines under s 19</w:t>
      </w:r>
      <w:r>
        <w:rPr>
          <w:rFonts w:ascii="Open Sans" w:hAnsi="Open Sans" w:cs="Open Sans"/>
        </w:rPr>
        <w:t>7AB</w:t>
      </w:r>
      <w:r w:rsidRPr="002C474B">
        <w:rPr>
          <w:rFonts w:ascii="Open Sans" w:hAnsi="Open Sans" w:cs="Open Sans"/>
        </w:rPr>
        <w:t xml:space="preserve">, and </w:t>
      </w:r>
      <w:r>
        <w:rPr>
          <w:rFonts w:ascii="Open Sans" w:hAnsi="Open Sans" w:cs="Open Sans"/>
        </w:rPr>
        <w:t xml:space="preserve">he </w:t>
      </w:r>
      <w:r w:rsidRPr="002C474B">
        <w:rPr>
          <w:rFonts w:ascii="Open Sans" w:hAnsi="Open Sans" w:cs="Open Sans"/>
        </w:rPr>
        <w:t>was therefore not referred to the Minister</w:t>
      </w:r>
      <w:r>
        <w:rPr>
          <w:rFonts w:ascii="Open Sans" w:hAnsi="Open Sans" w:cs="Open Sans"/>
        </w:rPr>
        <w:t xml:space="preserve"> for a residence determination</w:t>
      </w:r>
      <w:r w:rsidRPr="002C474B">
        <w:rPr>
          <w:rFonts w:ascii="Open Sans" w:hAnsi="Open Sans" w:cs="Open Sans"/>
        </w:rPr>
        <w:t xml:space="preserve">. </w:t>
      </w:r>
    </w:p>
    <w:p w14:paraId="214496E8" w14:textId="77777777" w:rsidR="00111740" w:rsidRDefault="00111740" w:rsidP="00111740">
      <w:pPr>
        <w:numPr>
          <w:ilvl w:val="0"/>
          <w:numId w:val="3"/>
        </w:numPr>
        <w:spacing w:before="240" w:after="240"/>
        <w:rPr>
          <w:rFonts w:ascii="Open Sans" w:hAnsi="Open Sans" w:cs="Open Sans"/>
        </w:rPr>
      </w:pPr>
      <w:r>
        <w:rPr>
          <w:rFonts w:ascii="Open Sans" w:hAnsi="Open Sans" w:cs="Open Sans"/>
        </w:rPr>
        <w:t xml:space="preserve">On 13 June 2017, the Department found that Mr </w:t>
      </w:r>
      <w:proofErr w:type="spellStart"/>
      <w:r>
        <w:rPr>
          <w:rFonts w:ascii="Open Sans" w:hAnsi="Open Sans" w:cs="Open Sans"/>
        </w:rPr>
        <w:t>Hamedani</w:t>
      </w:r>
      <w:proofErr w:type="spellEnd"/>
      <w:r>
        <w:rPr>
          <w:rFonts w:ascii="Open Sans" w:hAnsi="Open Sans" w:cs="Open Sans"/>
        </w:rPr>
        <w:t xml:space="preserve"> met the s 197AB guidelines and a submission was sent to the Minister. </w:t>
      </w:r>
    </w:p>
    <w:p w14:paraId="5F5E179F" w14:textId="77777777" w:rsidR="00111740" w:rsidRDefault="00111740" w:rsidP="00111740">
      <w:pPr>
        <w:numPr>
          <w:ilvl w:val="0"/>
          <w:numId w:val="3"/>
        </w:numPr>
        <w:spacing w:before="240" w:after="240"/>
        <w:rPr>
          <w:rFonts w:ascii="Open Sans" w:hAnsi="Open Sans" w:cs="Open Sans"/>
        </w:rPr>
      </w:pPr>
      <w:r>
        <w:rPr>
          <w:rFonts w:ascii="Open Sans" w:hAnsi="Open Sans" w:cs="Open Sans"/>
        </w:rPr>
        <w:t xml:space="preserve">On </w:t>
      </w:r>
      <w:proofErr w:type="gramStart"/>
      <w:r>
        <w:rPr>
          <w:rFonts w:ascii="Open Sans" w:hAnsi="Open Sans" w:cs="Open Sans"/>
        </w:rPr>
        <w:t>4 September 2018</w:t>
      </w:r>
      <w:proofErr w:type="gramEnd"/>
      <w:r>
        <w:rPr>
          <w:rFonts w:ascii="Open Sans" w:hAnsi="Open Sans" w:cs="Open Sans"/>
        </w:rPr>
        <w:t xml:space="preserve"> t</w:t>
      </w:r>
      <w:r w:rsidRPr="00103EE6">
        <w:rPr>
          <w:rFonts w:ascii="Open Sans" w:hAnsi="Open Sans" w:cs="Open Sans"/>
        </w:rPr>
        <w:t xml:space="preserve">his submission was returned </w:t>
      </w:r>
      <w:r>
        <w:rPr>
          <w:rFonts w:ascii="Open Sans" w:hAnsi="Open Sans" w:cs="Open Sans"/>
        </w:rPr>
        <w:t xml:space="preserve">by the Minister’s office </w:t>
      </w:r>
      <w:r w:rsidRPr="00103EE6">
        <w:rPr>
          <w:rFonts w:ascii="Open Sans" w:hAnsi="Open Sans" w:cs="Open Sans"/>
        </w:rPr>
        <w:t>to the Department unsigned and without a decision having been made.</w:t>
      </w:r>
    </w:p>
    <w:p w14:paraId="37BD2AB2" w14:textId="77777777" w:rsidR="00111740" w:rsidRDefault="00111740" w:rsidP="00111740">
      <w:pPr>
        <w:numPr>
          <w:ilvl w:val="0"/>
          <w:numId w:val="3"/>
        </w:numPr>
        <w:spacing w:before="240" w:after="240"/>
        <w:rPr>
          <w:rFonts w:ascii="Open Sans" w:hAnsi="Open Sans" w:cs="Open Sans"/>
        </w:rPr>
      </w:pPr>
      <w:r>
        <w:rPr>
          <w:rFonts w:ascii="Open Sans" w:hAnsi="Open Sans" w:cs="Open Sans"/>
        </w:rPr>
        <w:t xml:space="preserve">On 9 October 2018, the Department again referred Mr </w:t>
      </w:r>
      <w:proofErr w:type="spellStart"/>
      <w:r>
        <w:rPr>
          <w:rFonts w:ascii="Open Sans" w:hAnsi="Open Sans" w:cs="Open Sans"/>
        </w:rPr>
        <w:t>Hamedani’s</w:t>
      </w:r>
      <w:proofErr w:type="spellEnd"/>
      <w:r>
        <w:rPr>
          <w:rFonts w:ascii="Open Sans" w:hAnsi="Open Sans" w:cs="Open Sans"/>
        </w:rPr>
        <w:t xml:space="preserve"> case to the Minister for consideration under s 197AB.</w:t>
      </w:r>
    </w:p>
    <w:p w14:paraId="6F1BB2C5" w14:textId="77777777" w:rsidR="00111740" w:rsidRPr="00103EE6" w:rsidRDefault="00111740" w:rsidP="00111740">
      <w:pPr>
        <w:numPr>
          <w:ilvl w:val="0"/>
          <w:numId w:val="3"/>
        </w:numPr>
        <w:spacing w:before="240" w:after="240"/>
        <w:rPr>
          <w:rFonts w:ascii="Open Sans" w:hAnsi="Open Sans" w:cs="Open Sans"/>
        </w:rPr>
      </w:pPr>
      <w:r>
        <w:rPr>
          <w:rFonts w:ascii="Open Sans" w:hAnsi="Open Sans" w:cs="Open Sans"/>
        </w:rPr>
        <w:t xml:space="preserve">On 29 November 2018, the Minister intervened to grant Mr </w:t>
      </w:r>
      <w:proofErr w:type="spellStart"/>
      <w:r>
        <w:rPr>
          <w:rFonts w:ascii="Open Sans" w:hAnsi="Open Sans" w:cs="Open Sans"/>
        </w:rPr>
        <w:t>Hamedani</w:t>
      </w:r>
      <w:proofErr w:type="spellEnd"/>
      <w:r>
        <w:rPr>
          <w:rFonts w:ascii="Open Sans" w:hAnsi="Open Sans" w:cs="Open Sans"/>
        </w:rPr>
        <w:t xml:space="preserve"> a residence determination order. </w:t>
      </w:r>
    </w:p>
    <w:p w14:paraId="14A6340B" w14:textId="77777777" w:rsidR="00111740" w:rsidRDefault="00111740" w:rsidP="00111740">
      <w:pPr>
        <w:numPr>
          <w:ilvl w:val="0"/>
          <w:numId w:val="3"/>
        </w:numPr>
        <w:spacing w:before="240" w:after="240"/>
        <w:rPr>
          <w:rFonts w:ascii="Open Sans" w:hAnsi="Open Sans" w:cs="Open Sans"/>
        </w:rPr>
      </w:pPr>
      <w:r w:rsidRPr="002C474B">
        <w:rPr>
          <w:rFonts w:ascii="Open Sans" w:hAnsi="Open Sans" w:cs="Open Sans"/>
        </w:rPr>
        <w:t>On 29 March 2015, the Hon Peter Dutton MP, Minister for Home Affairs, published guidelines to explain the circumstances in which he may wish to consider exercising his residence determination power unde</w:t>
      </w:r>
      <w:r>
        <w:rPr>
          <w:rFonts w:ascii="Open Sans" w:hAnsi="Open Sans" w:cs="Open Sans"/>
        </w:rPr>
        <w:t>r s 197AB of the Migration Act.</w:t>
      </w:r>
      <w:r w:rsidRPr="002C474B">
        <w:rPr>
          <w:rFonts w:ascii="Open Sans" w:hAnsi="Open Sans" w:cs="Open Sans"/>
          <w:vertAlign w:val="superscript"/>
        </w:rPr>
        <w:endnoteReference w:id="11"/>
      </w:r>
      <w:r w:rsidRPr="002C474B">
        <w:rPr>
          <w:rFonts w:ascii="Open Sans" w:hAnsi="Open Sans" w:cs="Open Sans"/>
        </w:rPr>
        <w:t xml:space="preserve"> </w:t>
      </w:r>
    </w:p>
    <w:p w14:paraId="472742DE" w14:textId="77777777" w:rsidR="00111740" w:rsidRPr="006966D3" w:rsidRDefault="00111740" w:rsidP="00111740">
      <w:pPr>
        <w:numPr>
          <w:ilvl w:val="0"/>
          <w:numId w:val="3"/>
        </w:numPr>
        <w:spacing w:before="240" w:after="240"/>
        <w:rPr>
          <w:rFonts w:ascii="Open Sans" w:hAnsi="Open Sans" w:cs="Open Sans"/>
        </w:rPr>
      </w:pPr>
      <w:r w:rsidRPr="006966D3">
        <w:rPr>
          <w:rFonts w:ascii="Open Sans" w:hAnsi="Open Sans" w:cs="Open Sans"/>
        </w:rPr>
        <w:t>On 21 October 2017, Minister Dutton re-issued these guidelines which are currently in use by the Department.</w:t>
      </w:r>
      <w:r w:rsidRPr="002C474B">
        <w:rPr>
          <w:rFonts w:ascii="Open Sans" w:hAnsi="Open Sans" w:cs="Open Sans"/>
          <w:vertAlign w:val="superscript"/>
        </w:rPr>
        <w:endnoteReference w:id="12"/>
      </w:r>
      <w:r w:rsidRPr="006966D3">
        <w:rPr>
          <w:rFonts w:ascii="Open Sans" w:hAnsi="Open Sans" w:cs="Open Sans"/>
        </w:rPr>
        <w:t xml:space="preserve"> </w:t>
      </w:r>
    </w:p>
    <w:p w14:paraId="483D1351" w14:textId="77777777" w:rsidR="00111740" w:rsidRPr="002C474B" w:rsidRDefault="00111740" w:rsidP="00111740">
      <w:pPr>
        <w:numPr>
          <w:ilvl w:val="0"/>
          <w:numId w:val="3"/>
        </w:numPr>
        <w:spacing w:before="240" w:after="240"/>
        <w:rPr>
          <w:rFonts w:ascii="Open Sans" w:hAnsi="Open Sans" w:cs="Open Sans"/>
        </w:rPr>
      </w:pPr>
      <w:r>
        <w:rPr>
          <w:rFonts w:ascii="Open Sans" w:hAnsi="Open Sans" w:cs="Open Sans"/>
        </w:rPr>
        <w:t>T</w:t>
      </w:r>
      <w:r w:rsidRPr="002C474B">
        <w:rPr>
          <w:rFonts w:ascii="Open Sans" w:hAnsi="Open Sans" w:cs="Open Sans"/>
        </w:rPr>
        <w:t>he</w:t>
      </w:r>
      <w:r>
        <w:rPr>
          <w:rFonts w:ascii="Open Sans" w:hAnsi="Open Sans" w:cs="Open Sans"/>
        </w:rPr>
        <w:t>se</w:t>
      </w:r>
      <w:r w:rsidRPr="002C474B">
        <w:rPr>
          <w:rFonts w:ascii="Open Sans" w:hAnsi="Open Sans" w:cs="Open Sans"/>
        </w:rPr>
        <w:t xml:space="preserve"> guidelines provide that the Minister would not expect referral of cases where a person </w:t>
      </w:r>
      <w:r>
        <w:rPr>
          <w:rFonts w:ascii="Open Sans" w:hAnsi="Open Sans" w:cs="Open Sans"/>
        </w:rPr>
        <w:t xml:space="preserve">was transferred from an offshore processing centre to Australia for medical </w:t>
      </w:r>
      <w:proofErr w:type="gramStart"/>
      <w:r>
        <w:rPr>
          <w:rFonts w:ascii="Open Sans" w:hAnsi="Open Sans" w:cs="Open Sans"/>
        </w:rPr>
        <w:t>treatment</w:t>
      </w:r>
      <w:r w:rsidRPr="002C474B">
        <w:rPr>
          <w:rFonts w:ascii="Open Sans" w:hAnsi="Open Sans" w:cs="Open Sans"/>
        </w:rPr>
        <w:t>, unless</w:t>
      </w:r>
      <w:proofErr w:type="gramEnd"/>
      <w:r w:rsidRPr="002C474B">
        <w:rPr>
          <w:rFonts w:ascii="Open Sans" w:hAnsi="Open Sans" w:cs="Open Sans"/>
        </w:rPr>
        <w:t xml:space="preserve"> there were exceptional circumstances.</w:t>
      </w:r>
    </w:p>
    <w:p w14:paraId="6A1AEE01" w14:textId="77777777" w:rsidR="00111740" w:rsidRPr="002C474B" w:rsidRDefault="00111740" w:rsidP="00111740">
      <w:pPr>
        <w:numPr>
          <w:ilvl w:val="0"/>
          <w:numId w:val="3"/>
        </w:numPr>
        <w:spacing w:before="240" w:after="240"/>
        <w:rPr>
          <w:rFonts w:ascii="Open Sans" w:hAnsi="Open Sans" w:cs="Open Sans"/>
        </w:rPr>
      </w:pPr>
      <w:r w:rsidRPr="002C474B">
        <w:rPr>
          <w:rFonts w:ascii="Open Sans" w:hAnsi="Open Sans" w:cs="Open Sans"/>
        </w:rPr>
        <w:t xml:space="preserve">The guidelines also state that the Minister will consider cases where there are ‘unique or exceptional </w:t>
      </w:r>
      <w:proofErr w:type="gramStart"/>
      <w:r w:rsidRPr="002C474B">
        <w:rPr>
          <w:rFonts w:ascii="Open Sans" w:hAnsi="Open Sans" w:cs="Open Sans"/>
        </w:rPr>
        <w:t>circumstances’</w:t>
      </w:r>
      <w:proofErr w:type="gramEnd"/>
      <w:r w:rsidRPr="002C474B">
        <w:rPr>
          <w:rFonts w:ascii="Open Sans" w:hAnsi="Open Sans" w:cs="Open Sans"/>
        </w:rPr>
        <w:t>.</w:t>
      </w:r>
    </w:p>
    <w:p w14:paraId="26298591" w14:textId="77777777" w:rsidR="00111740" w:rsidRPr="002C474B" w:rsidRDefault="00111740" w:rsidP="00111740">
      <w:pPr>
        <w:numPr>
          <w:ilvl w:val="0"/>
          <w:numId w:val="3"/>
        </w:numPr>
        <w:spacing w:before="240" w:after="240"/>
        <w:rPr>
          <w:rFonts w:ascii="Open Sans" w:hAnsi="Open Sans" w:cs="Open Sans"/>
        </w:rPr>
      </w:pPr>
      <w:r w:rsidRPr="002C474B">
        <w:rPr>
          <w:rFonts w:ascii="Open Sans" w:hAnsi="Open Sans" w:cs="Open Sans"/>
        </w:rPr>
        <w:t>The phrase ‘unique or exceptional circumstances’ is not defined in any of the guidelines, however it is defined in similar guidelines relating to the Minister’s power to grant visas in the public interest.</w:t>
      </w:r>
      <w:r w:rsidRPr="002C474B">
        <w:rPr>
          <w:rFonts w:ascii="Open Sans" w:hAnsi="Open Sans" w:cs="Open Sans"/>
          <w:vertAlign w:val="superscript"/>
        </w:rPr>
        <w:endnoteReference w:id="13"/>
      </w:r>
      <w:r w:rsidRPr="002C474B">
        <w:rPr>
          <w:rFonts w:ascii="Open Sans" w:hAnsi="Open Sans" w:cs="Open Sans"/>
        </w:rPr>
        <w:t xml:space="preserve"> In those guidelines, factors that are relevant to an assessment of unique or exceptional circumstances include:</w:t>
      </w:r>
    </w:p>
    <w:p w14:paraId="21F5C00E" w14:textId="77777777" w:rsidR="00111740" w:rsidRDefault="00111740" w:rsidP="00111740">
      <w:pPr>
        <w:numPr>
          <w:ilvl w:val="1"/>
          <w:numId w:val="3"/>
        </w:numPr>
        <w:spacing w:before="120" w:after="120"/>
        <w:rPr>
          <w:rFonts w:ascii="Open Sans" w:hAnsi="Open Sans" w:cs="Open Sans"/>
        </w:rPr>
      </w:pPr>
      <w:r w:rsidRPr="00AF44D2">
        <w:rPr>
          <w:rFonts w:ascii="Open Sans" w:hAnsi="Open Sans" w:cs="Open Sans"/>
        </w:rPr>
        <w:t xml:space="preserve">circumstances that may bring Australia’s obligations as a party to the ICCPR </w:t>
      </w:r>
      <w:r w:rsidRPr="00732756">
        <w:rPr>
          <w:rFonts w:ascii="Open Sans" w:hAnsi="Open Sans" w:cs="Open Sans"/>
        </w:rPr>
        <w:t xml:space="preserve">into consideration </w:t>
      </w:r>
    </w:p>
    <w:p w14:paraId="6BD58B49" w14:textId="77777777" w:rsidR="00111740" w:rsidRDefault="00111740" w:rsidP="00111740">
      <w:pPr>
        <w:numPr>
          <w:ilvl w:val="1"/>
          <w:numId w:val="3"/>
        </w:numPr>
        <w:spacing w:before="120" w:after="120"/>
        <w:rPr>
          <w:rFonts w:ascii="Open Sans" w:hAnsi="Open Sans" w:cs="Open Sans"/>
        </w:rPr>
      </w:pPr>
      <w:r w:rsidRPr="00AF44D2">
        <w:rPr>
          <w:rFonts w:ascii="Open Sans" w:hAnsi="Open Sans" w:cs="Open Sans"/>
        </w:rPr>
        <w:t xml:space="preserve">the length of time the person has been present in Australia (including time spent in detention) </w:t>
      </w:r>
    </w:p>
    <w:p w14:paraId="7A4D642E" w14:textId="77777777" w:rsidR="00111740" w:rsidRPr="00B00E58" w:rsidRDefault="00111740" w:rsidP="00111740">
      <w:pPr>
        <w:numPr>
          <w:ilvl w:val="1"/>
          <w:numId w:val="3"/>
        </w:numPr>
        <w:spacing w:before="120" w:after="240"/>
        <w:rPr>
          <w:rFonts w:ascii="Open Sans" w:hAnsi="Open Sans" w:cs="Open Sans"/>
        </w:rPr>
      </w:pPr>
      <w:r w:rsidRPr="002C474B">
        <w:rPr>
          <w:rFonts w:ascii="Open Sans" w:hAnsi="Open Sans" w:cs="Open Sans"/>
        </w:rPr>
        <w:t>compassionate circumstances regarding the age and/or health and/or psychological state of the person such that a failure to recognise them would result in irreparable harm and continuing hardship to the person</w:t>
      </w:r>
      <w:r>
        <w:rPr>
          <w:rFonts w:ascii="Open Sans" w:hAnsi="Open Sans" w:cs="Open Sans"/>
        </w:rPr>
        <w:t>.</w:t>
      </w:r>
    </w:p>
    <w:p w14:paraId="060931E0" w14:textId="77777777" w:rsidR="00111740" w:rsidRPr="002C474B" w:rsidRDefault="00111740" w:rsidP="00111740">
      <w:pPr>
        <w:numPr>
          <w:ilvl w:val="0"/>
          <w:numId w:val="3"/>
        </w:numPr>
        <w:spacing w:before="120" w:after="240"/>
        <w:rPr>
          <w:rFonts w:ascii="Open Sans" w:hAnsi="Open Sans" w:cs="Open Sans"/>
        </w:rPr>
      </w:pPr>
      <w:r>
        <w:rPr>
          <w:rFonts w:ascii="Open Sans" w:hAnsi="Open Sans" w:cs="Open Sans"/>
        </w:rPr>
        <w:t xml:space="preserve">The Department did not refer Mr </w:t>
      </w:r>
      <w:proofErr w:type="spellStart"/>
      <w:r>
        <w:rPr>
          <w:rFonts w:ascii="Open Sans" w:hAnsi="Open Sans" w:cs="Open Sans"/>
        </w:rPr>
        <w:t>Hamedani</w:t>
      </w:r>
      <w:proofErr w:type="spellEnd"/>
      <w:r>
        <w:rPr>
          <w:rFonts w:ascii="Open Sans" w:hAnsi="Open Sans" w:cs="Open Sans"/>
        </w:rPr>
        <w:t xml:space="preserve"> to the Minister for </w:t>
      </w:r>
      <w:r w:rsidRPr="002C474B">
        <w:rPr>
          <w:rFonts w:ascii="Open Sans" w:hAnsi="Open Sans" w:cs="Open Sans"/>
        </w:rPr>
        <w:t xml:space="preserve">consideration of his Ministerial Intervention powers </w:t>
      </w:r>
      <w:r>
        <w:rPr>
          <w:rFonts w:ascii="Open Sans" w:hAnsi="Open Sans" w:cs="Open Sans"/>
        </w:rPr>
        <w:t xml:space="preserve">until 13 June 2017. </w:t>
      </w:r>
      <w:r w:rsidRPr="002C474B">
        <w:rPr>
          <w:rFonts w:ascii="Open Sans" w:hAnsi="Open Sans" w:cs="Open Sans"/>
        </w:rPr>
        <w:t>I</w:t>
      </w:r>
      <w:r>
        <w:rPr>
          <w:rFonts w:ascii="Open Sans" w:hAnsi="Open Sans" w:cs="Open Sans"/>
        </w:rPr>
        <w:t>t is</w:t>
      </w:r>
      <w:r w:rsidRPr="002C474B">
        <w:rPr>
          <w:rFonts w:ascii="Open Sans" w:hAnsi="Open Sans" w:cs="Open Sans"/>
        </w:rPr>
        <w:t xml:space="preserve"> my view</w:t>
      </w:r>
      <w:r>
        <w:rPr>
          <w:rFonts w:ascii="Open Sans" w:hAnsi="Open Sans" w:cs="Open Sans"/>
        </w:rPr>
        <w:t xml:space="preserve"> that</w:t>
      </w:r>
      <w:r w:rsidRPr="002C474B">
        <w:rPr>
          <w:rFonts w:ascii="Open Sans" w:hAnsi="Open Sans" w:cs="Open Sans"/>
        </w:rPr>
        <w:t xml:space="preserve"> </w:t>
      </w:r>
      <w:r>
        <w:rPr>
          <w:rFonts w:ascii="Open Sans" w:hAnsi="Open Sans" w:cs="Open Sans"/>
        </w:rPr>
        <w:t xml:space="preserve">Mr </w:t>
      </w:r>
      <w:proofErr w:type="spellStart"/>
      <w:r>
        <w:rPr>
          <w:rFonts w:ascii="Open Sans" w:hAnsi="Open Sans" w:cs="Open Sans"/>
        </w:rPr>
        <w:t>Hamedani’s</w:t>
      </w:r>
      <w:proofErr w:type="spellEnd"/>
      <w:r>
        <w:rPr>
          <w:rFonts w:ascii="Open Sans" w:hAnsi="Open Sans" w:cs="Open Sans"/>
        </w:rPr>
        <w:t xml:space="preserve"> case should have been referred to the Minister earlier. In my view the existence of </w:t>
      </w:r>
      <w:r w:rsidRPr="002C474B">
        <w:rPr>
          <w:rFonts w:ascii="Open Sans" w:hAnsi="Open Sans" w:cs="Open Sans"/>
        </w:rPr>
        <w:t xml:space="preserve">the following factors </w:t>
      </w:r>
      <w:proofErr w:type="gramStart"/>
      <w:r w:rsidRPr="002C474B">
        <w:rPr>
          <w:rFonts w:ascii="Open Sans" w:hAnsi="Open Sans" w:cs="Open Sans"/>
        </w:rPr>
        <w:t>are</w:t>
      </w:r>
      <w:proofErr w:type="gramEnd"/>
      <w:r w:rsidRPr="002C474B">
        <w:rPr>
          <w:rFonts w:ascii="Open Sans" w:hAnsi="Open Sans" w:cs="Open Sans"/>
        </w:rPr>
        <w:t xml:space="preserve"> relevant to an assessment as to whether M</w:t>
      </w:r>
      <w:r>
        <w:rPr>
          <w:rFonts w:ascii="Open Sans" w:hAnsi="Open Sans" w:cs="Open Sans"/>
        </w:rPr>
        <w:t xml:space="preserve">r </w:t>
      </w:r>
      <w:proofErr w:type="spellStart"/>
      <w:r>
        <w:rPr>
          <w:rFonts w:ascii="Open Sans" w:hAnsi="Open Sans" w:cs="Open Sans"/>
        </w:rPr>
        <w:t>Hamedani</w:t>
      </w:r>
      <w:r w:rsidRPr="002C474B">
        <w:rPr>
          <w:rFonts w:ascii="Open Sans" w:hAnsi="Open Sans" w:cs="Open Sans"/>
        </w:rPr>
        <w:t>’</w:t>
      </w:r>
      <w:r>
        <w:rPr>
          <w:rFonts w:ascii="Open Sans" w:hAnsi="Open Sans" w:cs="Open Sans"/>
        </w:rPr>
        <w:t>s</w:t>
      </w:r>
      <w:proofErr w:type="spellEnd"/>
      <w:r w:rsidRPr="002C474B">
        <w:rPr>
          <w:rFonts w:ascii="Open Sans" w:hAnsi="Open Sans" w:cs="Open Sans"/>
        </w:rPr>
        <w:t xml:space="preserve"> case presented ‘unique or exceptional circumstances’: </w:t>
      </w:r>
    </w:p>
    <w:p w14:paraId="29CB06EA" w14:textId="77777777" w:rsidR="00111740" w:rsidRPr="000C660A" w:rsidRDefault="00111740" w:rsidP="00111740">
      <w:pPr>
        <w:numPr>
          <w:ilvl w:val="1"/>
          <w:numId w:val="3"/>
        </w:numPr>
        <w:spacing w:before="120" w:after="120"/>
        <w:rPr>
          <w:rFonts w:ascii="Open Sans" w:hAnsi="Open Sans" w:cs="Open Sans"/>
        </w:rPr>
      </w:pPr>
      <w:r>
        <w:rPr>
          <w:rFonts w:ascii="Open Sans" w:hAnsi="Open Sans" w:cs="Open Sans"/>
        </w:rPr>
        <w:t xml:space="preserve">At the time of the Department’s initial assessment of Mr </w:t>
      </w:r>
      <w:proofErr w:type="spellStart"/>
      <w:proofErr w:type="gramStart"/>
      <w:r>
        <w:rPr>
          <w:rFonts w:ascii="Open Sans" w:hAnsi="Open Sans" w:cs="Open Sans"/>
        </w:rPr>
        <w:t>Hamedani</w:t>
      </w:r>
      <w:proofErr w:type="spellEnd"/>
      <w:r>
        <w:rPr>
          <w:rFonts w:ascii="Open Sans" w:hAnsi="Open Sans" w:cs="Open Sans"/>
        </w:rPr>
        <w:t xml:space="preserve">  against</w:t>
      </w:r>
      <w:proofErr w:type="gramEnd"/>
      <w:r>
        <w:rPr>
          <w:rFonts w:ascii="Open Sans" w:hAnsi="Open Sans" w:cs="Open Sans"/>
        </w:rPr>
        <w:t xml:space="preserve"> the relevant guidelines, he had been detained for over ten months in Australia and 35 months on Manus Island</w:t>
      </w:r>
    </w:p>
    <w:p w14:paraId="6CD4FCBF" w14:textId="77777777" w:rsidR="00111740" w:rsidRPr="006C2187" w:rsidRDefault="00111740" w:rsidP="00111740">
      <w:pPr>
        <w:numPr>
          <w:ilvl w:val="1"/>
          <w:numId w:val="3"/>
        </w:numPr>
        <w:spacing w:before="120" w:after="240"/>
        <w:rPr>
          <w:rFonts w:ascii="Open Sans" w:hAnsi="Open Sans" w:cs="Open Sans"/>
        </w:rPr>
      </w:pPr>
      <w:r>
        <w:rPr>
          <w:rFonts w:ascii="Open Sans" w:hAnsi="Open Sans" w:cs="Open Sans"/>
        </w:rPr>
        <w:t>IHMS recommended community detention as early as 4 October 2016 due to his mental health issues.</w:t>
      </w:r>
    </w:p>
    <w:p w14:paraId="41F11F00" w14:textId="77777777" w:rsidR="00111740" w:rsidRDefault="00111740" w:rsidP="00111740">
      <w:pPr>
        <w:pStyle w:val="ListParagraph"/>
        <w:numPr>
          <w:ilvl w:val="0"/>
          <w:numId w:val="3"/>
        </w:numPr>
        <w:spacing w:after="240"/>
        <w:contextualSpacing w:val="0"/>
        <w:rPr>
          <w:rFonts w:ascii="Open Sans" w:hAnsi="Open Sans" w:cs="Open Sans"/>
        </w:rPr>
      </w:pPr>
      <w:r>
        <w:rPr>
          <w:rFonts w:ascii="Open Sans" w:hAnsi="Open Sans" w:cs="Open Sans"/>
        </w:rPr>
        <w:t xml:space="preserve">The Department’s delay in referring Mr </w:t>
      </w:r>
      <w:proofErr w:type="spellStart"/>
      <w:r>
        <w:rPr>
          <w:rFonts w:ascii="Open Sans" w:hAnsi="Open Sans" w:cs="Open Sans"/>
        </w:rPr>
        <w:t>Hamedani’s</w:t>
      </w:r>
      <w:proofErr w:type="spellEnd"/>
      <w:r>
        <w:rPr>
          <w:rFonts w:ascii="Open Sans" w:hAnsi="Open Sans" w:cs="Open Sans"/>
        </w:rPr>
        <w:t xml:space="preserve"> case to the Minister until June 2017 is particularly concerning, given the mental health concerns raised frequently by IHMS since he was transferred back to Australia.</w:t>
      </w:r>
    </w:p>
    <w:p w14:paraId="5A3F2754" w14:textId="77777777" w:rsidR="00111740" w:rsidRDefault="00111740" w:rsidP="00111740">
      <w:pPr>
        <w:pStyle w:val="ListParagraph"/>
        <w:numPr>
          <w:ilvl w:val="0"/>
          <w:numId w:val="3"/>
        </w:numPr>
        <w:spacing w:after="240"/>
        <w:rPr>
          <w:rFonts w:ascii="Open Sans" w:hAnsi="Open Sans" w:cs="Open Sans"/>
        </w:rPr>
      </w:pPr>
      <w:r w:rsidRPr="004274C6">
        <w:rPr>
          <w:rFonts w:ascii="Open Sans" w:hAnsi="Open Sans" w:cs="Open Sans"/>
        </w:rPr>
        <w:t xml:space="preserve">Mr </w:t>
      </w:r>
      <w:proofErr w:type="spellStart"/>
      <w:r w:rsidRPr="004274C6">
        <w:rPr>
          <w:rFonts w:ascii="Open Sans" w:hAnsi="Open Sans" w:cs="Open Sans"/>
        </w:rPr>
        <w:t>Hamedani’s</w:t>
      </w:r>
      <w:proofErr w:type="spellEnd"/>
      <w:r w:rsidRPr="004274C6">
        <w:rPr>
          <w:rFonts w:ascii="Open Sans" w:hAnsi="Open Sans" w:cs="Open Sans"/>
        </w:rPr>
        <w:t xml:space="preserve"> </w:t>
      </w:r>
      <w:r>
        <w:rPr>
          <w:rFonts w:ascii="Open Sans" w:hAnsi="Open Sans" w:cs="Open Sans"/>
        </w:rPr>
        <w:t>Department c</w:t>
      </w:r>
      <w:r w:rsidRPr="004274C6">
        <w:rPr>
          <w:rFonts w:ascii="Open Sans" w:hAnsi="Open Sans" w:cs="Open Sans"/>
        </w:rPr>
        <w:t xml:space="preserve">ase </w:t>
      </w:r>
      <w:r>
        <w:rPr>
          <w:rFonts w:ascii="Open Sans" w:hAnsi="Open Sans" w:cs="Open Sans"/>
        </w:rPr>
        <w:t>r</w:t>
      </w:r>
      <w:r w:rsidRPr="004274C6">
        <w:rPr>
          <w:rFonts w:ascii="Open Sans" w:hAnsi="Open Sans" w:cs="Open Sans"/>
        </w:rPr>
        <w:t xml:space="preserve">eviews reveal protracted and serious mental health issues that were known by the Department since his transfer </w:t>
      </w:r>
      <w:r>
        <w:rPr>
          <w:rFonts w:ascii="Open Sans" w:hAnsi="Open Sans" w:cs="Open Sans"/>
        </w:rPr>
        <w:t xml:space="preserve">from Manus Island </w:t>
      </w:r>
      <w:r w:rsidRPr="004274C6">
        <w:rPr>
          <w:rFonts w:ascii="Open Sans" w:hAnsi="Open Sans" w:cs="Open Sans"/>
        </w:rPr>
        <w:t xml:space="preserve">to Australia on 5 </w:t>
      </w:r>
      <w:r>
        <w:rPr>
          <w:rFonts w:ascii="Open Sans" w:hAnsi="Open Sans" w:cs="Open Sans"/>
        </w:rPr>
        <w:t xml:space="preserve">August </w:t>
      </w:r>
      <w:r w:rsidRPr="004274C6">
        <w:rPr>
          <w:rFonts w:ascii="Open Sans" w:hAnsi="Open Sans" w:cs="Open Sans"/>
        </w:rPr>
        <w:t xml:space="preserve">2016. </w:t>
      </w:r>
      <w:r>
        <w:rPr>
          <w:rFonts w:ascii="Open Sans" w:hAnsi="Open Sans" w:cs="Open Sans"/>
        </w:rPr>
        <w:t xml:space="preserve">I have </w:t>
      </w:r>
      <w:r w:rsidRPr="004274C6">
        <w:rPr>
          <w:rFonts w:ascii="Open Sans" w:hAnsi="Open Sans" w:cs="Open Sans"/>
        </w:rPr>
        <w:t xml:space="preserve">set out </w:t>
      </w:r>
      <w:r>
        <w:rPr>
          <w:rFonts w:ascii="Open Sans" w:hAnsi="Open Sans" w:cs="Open Sans"/>
        </w:rPr>
        <w:t xml:space="preserve">below </w:t>
      </w:r>
      <w:r w:rsidRPr="004274C6">
        <w:rPr>
          <w:rFonts w:ascii="Open Sans" w:hAnsi="Open Sans" w:cs="Open Sans"/>
        </w:rPr>
        <w:t xml:space="preserve">the </w:t>
      </w:r>
      <w:r>
        <w:rPr>
          <w:rFonts w:ascii="Open Sans" w:hAnsi="Open Sans" w:cs="Open Sans"/>
        </w:rPr>
        <w:t>points</w:t>
      </w:r>
      <w:r w:rsidRPr="004274C6">
        <w:rPr>
          <w:rFonts w:ascii="Open Sans" w:hAnsi="Open Sans" w:cs="Open Sans"/>
        </w:rPr>
        <w:t xml:space="preserve"> at which the Department was aware of Mr </w:t>
      </w:r>
      <w:proofErr w:type="spellStart"/>
      <w:r w:rsidRPr="004274C6">
        <w:rPr>
          <w:rFonts w:ascii="Open Sans" w:hAnsi="Open Sans" w:cs="Open Sans"/>
        </w:rPr>
        <w:t>Hamedani’s</w:t>
      </w:r>
      <w:proofErr w:type="spellEnd"/>
      <w:r w:rsidRPr="004274C6">
        <w:rPr>
          <w:rFonts w:ascii="Open Sans" w:hAnsi="Open Sans" w:cs="Open Sans"/>
        </w:rPr>
        <w:t xml:space="preserve"> mental health issues and their level of seriousness.</w:t>
      </w:r>
    </w:p>
    <w:p w14:paraId="43D4A3AC" w14:textId="77777777" w:rsidR="00111740" w:rsidRPr="00763E43" w:rsidRDefault="00111740" w:rsidP="00111740">
      <w:pPr>
        <w:pStyle w:val="ListParagraph"/>
        <w:spacing w:after="240"/>
        <w:rPr>
          <w:rFonts w:ascii="Open Sans" w:hAnsi="Open Sans" w:cs="Open Sans"/>
        </w:rPr>
      </w:pPr>
    </w:p>
    <w:p w14:paraId="4F97D560" w14:textId="77777777" w:rsidR="00111740" w:rsidRDefault="00111740" w:rsidP="00111740">
      <w:pPr>
        <w:pStyle w:val="ListParagraph"/>
        <w:numPr>
          <w:ilvl w:val="0"/>
          <w:numId w:val="3"/>
        </w:numPr>
        <w:spacing w:after="240"/>
        <w:rPr>
          <w:rFonts w:ascii="Open Sans" w:hAnsi="Open Sans" w:cs="Open Sans"/>
        </w:rPr>
      </w:pPr>
      <w:r w:rsidRPr="004274C6">
        <w:rPr>
          <w:rFonts w:ascii="Open Sans" w:hAnsi="Open Sans" w:cs="Open Sans"/>
        </w:rPr>
        <w:t>Firs</w:t>
      </w:r>
      <w:r>
        <w:rPr>
          <w:rFonts w:ascii="Open Sans" w:hAnsi="Open Sans" w:cs="Open Sans"/>
        </w:rPr>
        <w:t>t</w:t>
      </w:r>
      <w:r w:rsidRPr="004274C6">
        <w:rPr>
          <w:rFonts w:ascii="Open Sans" w:hAnsi="Open Sans" w:cs="Open Sans"/>
        </w:rPr>
        <w:t xml:space="preserve">, on 5 August 2016, Mr </w:t>
      </w:r>
      <w:proofErr w:type="spellStart"/>
      <w:r w:rsidRPr="004274C6">
        <w:rPr>
          <w:rFonts w:ascii="Open Sans" w:hAnsi="Open Sans" w:cs="Open Sans"/>
        </w:rPr>
        <w:t>Hamedani</w:t>
      </w:r>
      <w:proofErr w:type="spellEnd"/>
      <w:r w:rsidRPr="004274C6">
        <w:rPr>
          <w:rFonts w:ascii="Open Sans" w:hAnsi="Open Sans" w:cs="Open Sans"/>
        </w:rPr>
        <w:t xml:space="preserve"> was transferred from Manus Island to Australia </w:t>
      </w:r>
      <w:r>
        <w:rPr>
          <w:rFonts w:ascii="Open Sans" w:hAnsi="Open Sans" w:cs="Open Sans"/>
        </w:rPr>
        <w:t xml:space="preserve">via air ambulance </w:t>
      </w:r>
      <w:r w:rsidRPr="004274C6">
        <w:rPr>
          <w:rFonts w:ascii="Open Sans" w:hAnsi="Open Sans" w:cs="Open Sans"/>
        </w:rPr>
        <w:t>for medical treatment</w:t>
      </w:r>
      <w:r>
        <w:rPr>
          <w:rFonts w:ascii="Open Sans" w:hAnsi="Open Sans" w:cs="Open Sans"/>
        </w:rPr>
        <w:t>. He was admitted</w:t>
      </w:r>
      <w:r w:rsidRPr="004274C6">
        <w:rPr>
          <w:rFonts w:ascii="Open Sans" w:hAnsi="Open Sans" w:cs="Open Sans"/>
        </w:rPr>
        <w:t xml:space="preserve"> to Concord Hospital on arrival. </w:t>
      </w:r>
      <w:r>
        <w:rPr>
          <w:rFonts w:ascii="Open Sans" w:hAnsi="Open Sans" w:cs="Open Sans"/>
        </w:rPr>
        <w:t>Department documents reveal that he was transferred for the following reasons:</w:t>
      </w:r>
    </w:p>
    <w:p w14:paraId="0EE1A031" w14:textId="77777777" w:rsidR="00111740" w:rsidRDefault="00111740" w:rsidP="00111740">
      <w:pPr>
        <w:pStyle w:val="ListParagraph"/>
        <w:rPr>
          <w:rFonts w:ascii="Open Sans" w:hAnsi="Open Sans" w:cs="Open Sans"/>
        </w:rPr>
      </w:pPr>
    </w:p>
    <w:p w14:paraId="00CB22E4" w14:textId="77777777" w:rsidR="00111740" w:rsidRDefault="00111740" w:rsidP="00111740">
      <w:pPr>
        <w:pStyle w:val="ListParagraph"/>
        <w:spacing w:after="240"/>
        <w:ind w:left="1440"/>
        <w:rPr>
          <w:rFonts w:ascii="Open Sans" w:hAnsi="Open Sans" w:cs="Open Sans"/>
        </w:rPr>
      </w:pPr>
      <w:proofErr w:type="spellStart"/>
      <w:r w:rsidRPr="008F4EC2">
        <w:rPr>
          <w:rFonts w:ascii="Open Sans" w:hAnsi="Open Sans" w:cs="Open Sans"/>
          <w:sz w:val="22"/>
          <w:szCs w:val="22"/>
        </w:rPr>
        <w:t>Hamedani</w:t>
      </w:r>
      <w:proofErr w:type="spellEnd"/>
      <w:r w:rsidRPr="008F4EC2">
        <w:rPr>
          <w:rFonts w:ascii="Open Sans" w:hAnsi="Open Sans" w:cs="Open Sans"/>
          <w:sz w:val="22"/>
          <w:szCs w:val="22"/>
        </w:rPr>
        <w:t xml:space="preserve"> was transferred from an RPC to Australia for investigations as he was presenting with severe dehydration, jaundice, </w:t>
      </w:r>
      <w:proofErr w:type="gramStart"/>
      <w:r w:rsidRPr="008F4EC2">
        <w:rPr>
          <w:rFonts w:ascii="Open Sans" w:hAnsi="Open Sans" w:cs="Open Sans"/>
          <w:sz w:val="22"/>
          <w:szCs w:val="22"/>
        </w:rPr>
        <w:t>hallucinations</w:t>
      </w:r>
      <w:proofErr w:type="gramEnd"/>
      <w:r w:rsidRPr="008F4EC2">
        <w:rPr>
          <w:rFonts w:ascii="Open Sans" w:hAnsi="Open Sans" w:cs="Open Sans"/>
          <w:sz w:val="22"/>
          <w:szCs w:val="22"/>
        </w:rPr>
        <w:t xml:space="preserve"> and seizure like activities, due to his experiencing auditory hallucinations which would not allow him to eat.</w:t>
      </w:r>
    </w:p>
    <w:p w14:paraId="0C0622F4" w14:textId="77777777" w:rsidR="00111740" w:rsidRDefault="00111740" w:rsidP="00111740">
      <w:pPr>
        <w:pStyle w:val="ListParagraph"/>
        <w:spacing w:after="240"/>
        <w:ind w:left="1440"/>
        <w:rPr>
          <w:rFonts w:ascii="Open Sans" w:hAnsi="Open Sans" w:cs="Open Sans"/>
        </w:rPr>
      </w:pPr>
    </w:p>
    <w:p w14:paraId="62779EDD" w14:textId="77777777" w:rsidR="00111740" w:rsidRPr="002555DF" w:rsidRDefault="00111740" w:rsidP="00111740">
      <w:pPr>
        <w:pStyle w:val="ListParagraph"/>
        <w:numPr>
          <w:ilvl w:val="0"/>
          <w:numId w:val="3"/>
        </w:numPr>
        <w:spacing w:after="240"/>
        <w:rPr>
          <w:rFonts w:ascii="Open Sans" w:hAnsi="Open Sans" w:cs="Open Sans"/>
        </w:rPr>
      </w:pPr>
      <w:r w:rsidRPr="002555DF">
        <w:rPr>
          <w:rFonts w:ascii="Open Sans" w:hAnsi="Open Sans" w:cs="Open Sans"/>
        </w:rPr>
        <w:t>IHMS advised</w:t>
      </w:r>
      <w:r>
        <w:rPr>
          <w:rFonts w:ascii="Open Sans" w:hAnsi="Open Sans" w:cs="Open Sans"/>
        </w:rPr>
        <w:t xml:space="preserve"> the Department</w:t>
      </w:r>
      <w:r w:rsidRPr="002555DF">
        <w:rPr>
          <w:rFonts w:ascii="Open Sans" w:hAnsi="Open Sans" w:cs="Open Sans"/>
        </w:rPr>
        <w:t xml:space="preserve"> that in a review on 4 October 2016</w:t>
      </w:r>
      <w:r>
        <w:rPr>
          <w:rFonts w:ascii="Open Sans" w:hAnsi="Open Sans" w:cs="Open Sans"/>
        </w:rPr>
        <w:t xml:space="preserve"> </w:t>
      </w:r>
      <w:r w:rsidRPr="002555DF">
        <w:rPr>
          <w:rFonts w:ascii="Open Sans" w:hAnsi="Open Sans" w:cs="Open Sans"/>
        </w:rPr>
        <w:t xml:space="preserve">Mr </w:t>
      </w:r>
      <w:proofErr w:type="spellStart"/>
      <w:r w:rsidRPr="002555DF">
        <w:rPr>
          <w:rFonts w:ascii="Open Sans" w:hAnsi="Open Sans" w:cs="Open Sans"/>
        </w:rPr>
        <w:t>Hamedani</w:t>
      </w:r>
      <w:proofErr w:type="spellEnd"/>
      <w:r>
        <w:rPr>
          <w:rFonts w:ascii="Open Sans" w:hAnsi="Open Sans" w:cs="Open Sans"/>
        </w:rPr>
        <w:t>:</w:t>
      </w:r>
      <w:r w:rsidRPr="002555DF">
        <w:rPr>
          <w:rFonts w:ascii="Open Sans" w:hAnsi="Open Sans" w:cs="Open Sans"/>
        </w:rPr>
        <w:t xml:space="preserve"> </w:t>
      </w:r>
    </w:p>
    <w:p w14:paraId="221680C8" w14:textId="77777777" w:rsidR="00111740" w:rsidRDefault="00111740" w:rsidP="00111740">
      <w:pPr>
        <w:pStyle w:val="ListParagraph"/>
        <w:spacing w:after="240"/>
        <w:ind w:firstLine="720"/>
        <w:rPr>
          <w:rFonts w:ascii="Open Sans" w:hAnsi="Open Sans" w:cs="Open Sans"/>
        </w:rPr>
      </w:pPr>
    </w:p>
    <w:p w14:paraId="54573772" w14:textId="77777777" w:rsidR="00111740" w:rsidRPr="00183330" w:rsidRDefault="00111740" w:rsidP="00111740">
      <w:pPr>
        <w:pStyle w:val="ListParagraph"/>
        <w:spacing w:after="240"/>
        <w:ind w:firstLine="720"/>
        <w:rPr>
          <w:rFonts w:ascii="Open Sans" w:hAnsi="Open Sans" w:cs="Open Sans"/>
          <w:sz w:val="22"/>
          <w:szCs w:val="22"/>
        </w:rPr>
      </w:pPr>
      <w:r w:rsidRPr="00183330">
        <w:rPr>
          <w:rFonts w:ascii="Open Sans" w:hAnsi="Open Sans" w:cs="Open Sans"/>
          <w:sz w:val="22"/>
          <w:szCs w:val="22"/>
        </w:rPr>
        <w:t xml:space="preserve">was noted to be reluctant to engage with mental health staff and was </w:t>
      </w:r>
    </w:p>
    <w:p w14:paraId="30F6F27F" w14:textId="77777777" w:rsidR="00111740" w:rsidRPr="00183330" w:rsidRDefault="00111740" w:rsidP="00111740">
      <w:pPr>
        <w:pStyle w:val="ListParagraph"/>
        <w:spacing w:after="240"/>
        <w:ind w:left="1440"/>
        <w:rPr>
          <w:rFonts w:ascii="Open Sans" w:hAnsi="Open Sans" w:cs="Open Sans"/>
          <w:sz w:val="22"/>
          <w:szCs w:val="22"/>
        </w:rPr>
      </w:pPr>
      <w:r w:rsidRPr="00183330">
        <w:rPr>
          <w:rFonts w:ascii="Open Sans" w:hAnsi="Open Sans" w:cs="Open Sans"/>
          <w:sz w:val="22"/>
          <w:szCs w:val="22"/>
        </w:rPr>
        <w:t xml:space="preserve">experiencing ongoing anxiety, low mood, negative </w:t>
      </w:r>
      <w:proofErr w:type="gramStart"/>
      <w:r w:rsidRPr="00183330">
        <w:rPr>
          <w:rFonts w:ascii="Open Sans" w:hAnsi="Open Sans" w:cs="Open Sans"/>
          <w:sz w:val="22"/>
          <w:szCs w:val="22"/>
        </w:rPr>
        <w:t>rumination</w:t>
      </w:r>
      <w:proofErr w:type="gramEnd"/>
      <w:r w:rsidRPr="00183330">
        <w:rPr>
          <w:rFonts w:ascii="Open Sans" w:hAnsi="Open Sans" w:cs="Open Sans"/>
          <w:sz w:val="22"/>
          <w:szCs w:val="22"/>
        </w:rPr>
        <w:t xml:space="preserve"> and disrupted sleep patterns. At this time, </w:t>
      </w:r>
      <w:r w:rsidRPr="00EF76E0">
        <w:rPr>
          <w:rFonts w:ascii="Open Sans" w:hAnsi="Open Sans" w:cs="Open Sans"/>
          <w:b/>
          <w:bCs/>
          <w:sz w:val="22"/>
          <w:szCs w:val="22"/>
        </w:rPr>
        <w:t>his IHMS psychiatrist supported community detention due to the high risk of deterioration in [his] mental health</w:t>
      </w:r>
      <w:r w:rsidRPr="00183330">
        <w:rPr>
          <w:rFonts w:ascii="Open Sans" w:hAnsi="Open Sans" w:cs="Open Sans"/>
          <w:sz w:val="22"/>
          <w:szCs w:val="22"/>
        </w:rPr>
        <w:t>.</w:t>
      </w:r>
      <w:r>
        <w:rPr>
          <w:rFonts w:ascii="Open Sans" w:hAnsi="Open Sans" w:cs="Open Sans"/>
          <w:sz w:val="22"/>
          <w:szCs w:val="22"/>
        </w:rPr>
        <w:t xml:space="preserve"> (emphasis added)</w:t>
      </w:r>
    </w:p>
    <w:p w14:paraId="0CC1C310" w14:textId="77777777" w:rsidR="00111740" w:rsidRPr="00D85412" w:rsidRDefault="00111740" w:rsidP="00111740">
      <w:pPr>
        <w:pStyle w:val="ListParagraph"/>
        <w:spacing w:after="240"/>
        <w:ind w:left="1440"/>
        <w:rPr>
          <w:rFonts w:ascii="Open Sans" w:hAnsi="Open Sans" w:cs="Open Sans"/>
        </w:rPr>
      </w:pPr>
    </w:p>
    <w:p w14:paraId="0064F6E3" w14:textId="77777777" w:rsidR="00111740" w:rsidRPr="004274C6" w:rsidRDefault="00111740" w:rsidP="00111740">
      <w:pPr>
        <w:pStyle w:val="ListParagraph"/>
        <w:numPr>
          <w:ilvl w:val="0"/>
          <w:numId w:val="3"/>
        </w:numPr>
        <w:spacing w:after="240"/>
        <w:rPr>
          <w:rFonts w:ascii="Open Sans" w:hAnsi="Open Sans" w:cs="Open Sans"/>
        </w:rPr>
      </w:pPr>
      <w:r w:rsidRPr="004274C6">
        <w:rPr>
          <w:rFonts w:ascii="Open Sans" w:hAnsi="Open Sans" w:cs="Open Sans"/>
        </w:rPr>
        <w:t xml:space="preserve">IHMS also advised the Department on 19 January 2017 that Mr </w:t>
      </w:r>
      <w:proofErr w:type="spellStart"/>
      <w:r w:rsidRPr="004274C6">
        <w:rPr>
          <w:rFonts w:ascii="Open Sans" w:hAnsi="Open Sans" w:cs="Open Sans"/>
        </w:rPr>
        <w:t>Hamedani</w:t>
      </w:r>
      <w:proofErr w:type="spellEnd"/>
      <w:r w:rsidRPr="004274C6">
        <w:rPr>
          <w:rFonts w:ascii="Open Sans" w:hAnsi="Open Sans" w:cs="Open Sans"/>
        </w:rPr>
        <w:t xml:space="preserve"> ‘was assessed by four different psychiatrists and the consensus was that [he] was experiencing PTSD</w:t>
      </w:r>
      <w:r>
        <w:rPr>
          <w:rFonts w:ascii="Open Sans" w:hAnsi="Open Sans" w:cs="Open Sans"/>
        </w:rPr>
        <w:t>’</w:t>
      </w:r>
      <w:r w:rsidRPr="004274C6">
        <w:rPr>
          <w:rFonts w:ascii="Open Sans" w:hAnsi="Open Sans" w:cs="Open Sans"/>
        </w:rPr>
        <w:t xml:space="preserve">. They stated that Mr </w:t>
      </w:r>
      <w:proofErr w:type="spellStart"/>
      <w:r w:rsidRPr="004274C6">
        <w:rPr>
          <w:rFonts w:ascii="Open Sans" w:hAnsi="Open Sans" w:cs="Open Sans"/>
        </w:rPr>
        <w:t>Hamedani’s</w:t>
      </w:r>
      <w:proofErr w:type="spellEnd"/>
      <w:r w:rsidRPr="004274C6">
        <w:rPr>
          <w:rFonts w:ascii="Open Sans" w:hAnsi="Open Sans" w:cs="Open Sans"/>
        </w:rPr>
        <w:t xml:space="preserve"> mental health situation was fragile and precarious and that he will require ongoing referral and review to mental health professionals upon any transfers or movement.</w:t>
      </w:r>
    </w:p>
    <w:p w14:paraId="3C600D2D" w14:textId="77777777" w:rsidR="00111740" w:rsidRPr="004274C6" w:rsidRDefault="00111740" w:rsidP="00111740">
      <w:pPr>
        <w:pStyle w:val="ListParagraph"/>
        <w:spacing w:after="240"/>
        <w:rPr>
          <w:rFonts w:ascii="Open Sans" w:hAnsi="Open Sans" w:cs="Open Sans"/>
        </w:rPr>
      </w:pPr>
    </w:p>
    <w:p w14:paraId="4BE63F5B" w14:textId="77777777" w:rsidR="00111740" w:rsidRDefault="00111740" w:rsidP="00111740">
      <w:pPr>
        <w:pStyle w:val="ListParagraph"/>
        <w:numPr>
          <w:ilvl w:val="0"/>
          <w:numId w:val="3"/>
        </w:numPr>
        <w:spacing w:after="240"/>
        <w:rPr>
          <w:rFonts w:ascii="Open Sans" w:hAnsi="Open Sans" w:cs="Open Sans"/>
        </w:rPr>
      </w:pPr>
      <w:r w:rsidRPr="004274C6">
        <w:rPr>
          <w:rFonts w:ascii="Open Sans" w:hAnsi="Open Sans" w:cs="Open Sans"/>
        </w:rPr>
        <w:t>Despite this</w:t>
      </w:r>
      <w:r>
        <w:rPr>
          <w:rFonts w:ascii="Open Sans" w:hAnsi="Open Sans" w:cs="Open Sans"/>
        </w:rPr>
        <w:t xml:space="preserve"> information about Mr </w:t>
      </w:r>
      <w:proofErr w:type="spellStart"/>
      <w:r>
        <w:rPr>
          <w:rFonts w:ascii="Open Sans" w:hAnsi="Open Sans" w:cs="Open Sans"/>
        </w:rPr>
        <w:t>Hamedani’s</w:t>
      </w:r>
      <w:proofErr w:type="spellEnd"/>
      <w:r>
        <w:rPr>
          <w:rFonts w:ascii="Open Sans" w:hAnsi="Open Sans" w:cs="Open Sans"/>
        </w:rPr>
        <w:t xml:space="preserve"> poor mental health,</w:t>
      </w:r>
      <w:r w:rsidRPr="004274C6">
        <w:rPr>
          <w:rFonts w:ascii="Open Sans" w:hAnsi="Open Sans" w:cs="Open Sans"/>
        </w:rPr>
        <w:t xml:space="preserve"> on 23 February 2017 the Department concluded that Mr </w:t>
      </w:r>
      <w:proofErr w:type="spellStart"/>
      <w:r w:rsidRPr="004274C6">
        <w:rPr>
          <w:rFonts w:ascii="Open Sans" w:hAnsi="Open Sans" w:cs="Open Sans"/>
        </w:rPr>
        <w:t>Hamedani</w:t>
      </w:r>
      <w:proofErr w:type="spellEnd"/>
      <w:r w:rsidRPr="004274C6">
        <w:rPr>
          <w:rFonts w:ascii="Open Sans" w:hAnsi="Open Sans" w:cs="Open Sans"/>
        </w:rPr>
        <w:t xml:space="preserve"> d</w:t>
      </w:r>
      <w:r>
        <w:rPr>
          <w:rFonts w:ascii="Open Sans" w:hAnsi="Open Sans" w:cs="Open Sans"/>
        </w:rPr>
        <w:t xml:space="preserve">id </w:t>
      </w:r>
      <w:r w:rsidRPr="004274C6">
        <w:rPr>
          <w:rFonts w:ascii="Open Sans" w:hAnsi="Open Sans" w:cs="Open Sans"/>
        </w:rPr>
        <w:t xml:space="preserve">not meet the guidelines for referral of his case to the Minister for consideration for community detention placement under s 197AB of the Migration Act. </w:t>
      </w:r>
      <w:r>
        <w:rPr>
          <w:rFonts w:ascii="Open Sans" w:hAnsi="Open Sans" w:cs="Open Sans"/>
        </w:rPr>
        <w:t>The following points were listed as the rationale for the decision:</w:t>
      </w:r>
    </w:p>
    <w:p w14:paraId="5B195D46" w14:textId="77777777" w:rsidR="00111740" w:rsidRPr="002B6B42" w:rsidRDefault="00111740" w:rsidP="00111740">
      <w:pPr>
        <w:pStyle w:val="ListParagraph"/>
        <w:spacing w:after="240"/>
        <w:rPr>
          <w:rFonts w:ascii="Open Sans" w:hAnsi="Open Sans" w:cs="Open Sans"/>
        </w:rPr>
      </w:pPr>
    </w:p>
    <w:p w14:paraId="771C30C0" w14:textId="77777777" w:rsidR="00111740" w:rsidRDefault="00111740" w:rsidP="00111740">
      <w:pPr>
        <w:pStyle w:val="ListParagraph"/>
        <w:numPr>
          <w:ilvl w:val="0"/>
          <w:numId w:val="4"/>
        </w:numPr>
        <w:spacing w:before="120" w:after="120"/>
        <w:contextualSpacing w:val="0"/>
        <w:rPr>
          <w:rFonts w:ascii="Open Sans" w:hAnsi="Open Sans" w:cs="Open Sans"/>
        </w:rPr>
      </w:pPr>
      <w:r>
        <w:rPr>
          <w:rFonts w:ascii="Open Sans" w:hAnsi="Open Sans" w:cs="Open Sans"/>
        </w:rPr>
        <w:t xml:space="preserve">Mr </w:t>
      </w:r>
      <w:proofErr w:type="spellStart"/>
      <w:r>
        <w:rPr>
          <w:rFonts w:ascii="Open Sans" w:hAnsi="Open Sans" w:cs="Open Sans"/>
        </w:rPr>
        <w:t>Hamedani’s</w:t>
      </w:r>
      <w:proofErr w:type="spellEnd"/>
      <w:r>
        <w:rPr>
          <w:rFonts w:ascii="Open Sans" w:hAnsi="Open Sans" w:cs="Open Sans"/>
        </w:rPr>
        <w:t xml:space="preserve"> case falls within the scope of those the Minister has indicated he does not wish to be referred for his consideration </w:t>
      </w:r>
    </w:p>
    <w:p w14:paraId="0F872C4A" w14:textId="77777777" w:rsidR="00111740" w:rsidRPr="00B74B22" w:rsidRDefault="00111740" w:rsidP="00111740">
      <w:pPr>
        <w:pStyle w:val="ListParagraph"/>
        <w:numPr>
          <w:ilvl w:val="0"/>
          <w:numId w:val="4"/>
        </w:numPr>
        <w:spacing w:before="120" w:after="120"/>
        <w:contextualSpacing w:val="0"/>
        <w:rPr>
          <w:rFonts w:ascii="Open Sans" w:hAnsi="Open Sans" w:cs="Open Sans"/>
        </w:rPr>
      </w:pPr>
      <w:r>
        <w:rPr>
          <w:rFonts w:ascii="Open Sans" w:hAnsi="Open Sans" w:cs="Open Sans"/>
        </w:rPr>
        <w:t>While IHMS advised that he has some medical issues, they also advise that, from a medical perspective, he can be returned to an RPC</w:t>
      </w:r>
    </w:p>
    <w:p w14:paraId="4FBAD425" w14:textId="77777777" w:rsidR="00111740" w:rsidRDefault="00111740" w:rsidP="00111740">
      <w:pPr>
        <w:pStyle w:val="ListParagraph"/>
        <w:numPr>
          <w:ilvl w:val="0"/>
          <w:numId w:val="4"/>
        </w:numPr>
        <w:spacing w:before="120" w:after="120"/>
        <w:contextualSpacing w:val="0"/>
        <w:rPr>
          <w:rFonts w:ascii="Open Sans" w:hAnsi="Open Sans" w:cs="Open Sans"/>
        </w:rPr>
      </w:pPr>
      <w:r>
        <w:rPr>
          <w:rFonts w:ascii="Open Sans" w:hAnsi="Open Sans" w:cs="Open Sans"/>
        </w:rPr>
        <w:t xml:space="preserve">Mr </w:t>
      </w:r>
      <w:proofErr w:type="spellStart"/>
      <w:r>
        <w:rPr>
          <w:rFonts w:ascii="Open Sans" w:hAnsi="Open Sans" w:cs="Open Sans"/>
        </w:rPr>
        <w:t>Hamedani</w:t>
      </w:r>
      <w:proofErr w:type="spellEnd"/>
      <w:r>
        <w:rPr>
          <w:rFonts w:ascii="Open Sans" w:hAnsi="Open Sans" w:cs="Open Sans"/>
        </w:rPr>
        <w:t xml:space="preserve"> has been found to be a refugee, has no ongoing litigation as a barrier to his return, and could be considered eligible for consideration for the US resettlement deal</w:t>
      </w:r>
    </w:p>
    <w:p w14:paraId="4D69714C" w14:textId="77777777" w:rsidR="00111740" w:rsidRPr="006C2187" w:rsidRDefault="00111740" w:rsidP="00111740">
      <w:pPr>
        <w:pStyle w:val="ListParagraph"/>
        <w:numPr>
          <w:ilvl w:val="0"/>
          <w:numId w:val="4"/>
        </w:numPr>
        <w:spacing w:before="120" w:after="240"/>
        <w:contextualSpacing w:val="0"/>
        <w:rPr>
          <w:rFonts w:ascii="Open Sans" w:hAnsi="Open Sans" w:cs="Open Sans"/>
        </w:rPr>
      </w:pPr>
      <w:r>
        <w:rPr>
          <w:rFonts w:ascii="Open Sans" w:hAnsi="Open Sans" w:cs="Open Sans"/>
        </w:rPr>
        <w:t>Under current policy relating to the RPC cohort, his case does not present exceptional circumstances.</w:t>
      </w:r>
    </w:p>
    <w:p w14:paraId="612C52FD" w14:textId="77777777" w:rsidR="00111740" w:rsidRDefault="00111740" w:rsidP="00111740">
      <w:pPr>
        <w:pStyle w:val="ListParagraph"/>
        <w:numPr>
          <w:ilvl w:val="0"/>
          <w:numId w:val="3"/>
        </w:numPr>
        <w:spacing w:after="120"/>
        <w:rPr>
          <w:rFonts w:ascii="Open Sans" w:hAnsi="Open Sans" w:cs="Open Sans"/>
        </w:rPr>
      </w:pPr>
      <w:r>
        <w:rPr>
          <w:rFonts w:ascii="Open Sans" w:hAnsi="Open Sans" w:cs="Open Sans"/>
        </w:rPr>
        <w:t xml:space="preserve">The Department states that, between 23 February 2017 and 15 May 2017, Mr </w:t>
      </w:r>
      <w:proofErr w:type="spellStart"/>
      <w:r>
        <w:rPr>
          <w:rFonts w:ascii="Open Sans" w:hAnsi="Open Sans" w:cs="Open Sans"/>
        </w:rPr>
        <w:t>Hamedani’s</w:t>
      </w:r>
      <w:proofErr w:type="spellEnd"/>
      <w:r>
        <w:rPr>
          <w:rFonts w:ascii="Open Sans" w:hAnsi="Open Sans" w:cs="Open Sans"/>
        </w:rPr>
        <w:t xml:space="preserve"> mental health </w:t>
      </w:r>
      <w:proofErr w:type="gramStart"/>
      <w:r>
        <w:rPr>
          <w:rFonts w:ascii="Open Sans" w:hAnsi="Open Sans" w:cs="Open Sans"/>
        </w:rPr>
        <w:t>deteriorated</w:t>
      </w:r>
      <w:proofErr w:type="gramEnd"/>
      <w:r>
        <w:rPr>
          <w:rFonts w:ascii="Open Sans" w:hAnsi="Open Sans" w:cs="Open Sans"/>
        </w:rPr>
        <w:t xml:space="preserve"> and he was involved in an act of self-harm on 9 May 2017. The Department’s records indicate that he attempted to strangle himself and was ultimately scheduled under the </w:t>
      </w:r>
      <w:r w:rsidRPr="00F355D4">
        <w:rPr>
          <w:rFonts w:ascii="Open Sans" w:hAnsi="Open Sans" w:cs="Open Sans"/>
          <w:i/>
          <w:iCs/>
        </w:rPr>
        <w:t>Mental Health Act 2007</w:t>
      </w:r>
      <w:r>
        <w:rPr>
          <w:rFonts w:ascii="Open Sans" w:hAnsi="Open Sans" w:cs="Open Sans"/>
        </w:rPr>
        <w:t xml:space="preserve"> (NSW) and taken to hospital where he remained for one night. </w:t>
      </w:r>
    </w:p>
    <w:p w14:paraId="7C78A0B4" w14:textId="77777777" w:rsidR="00111740" w:rsidRDefault="00111740" w:rsidP="00111740">
      <w:pPr>
        <w:pStyle w:val="ListParagraph"/>
        <w:rPr>
          <w:rFonts w:ascii="Open Sans" w:hAnsi="Open Sans" w:cs="Open Sans"/>
        </w:rPr>
      </w:pPr>
    </w:p>
    <w:p w14:paraId="3ABA0FB4" w14:textId="77777777" w:rsidR="00111740" w:rsidRDefault="00111740" w:rsidP="00111740">
      <w:pPr>
        <w:pStyle w:val="ListParagraph"/>
        <w:numPr>
          <w:ilvl w:val="0"/>
          <w:numId w:val="3"/>
        </w:numPr>
        <w:rPr>
          <w:rFonts w:ascii="Open Sans" w:hAnsi="Open Sans" w:cs="Open Sans"/>
        </w:rPr>
      </w:pPr>
      <w:r w:rsidRPr="002C474B">
        <w:rPr>
          <w:rFonts w:ascii="Open Sans" w:hAnsi="Open Sans" w:cs="Open Sans"/>
        </w:rPr>
        <w:t>On 1</w:t>
      </w:r>
      <w:r>
        <w:rPr>
          <w:rFonts w:ascii="Open Sans" w:hAnsi="Open Sans" w:cs="Open Sans"/>
        </w:rPr>
        <w:t>3</w:t>
      </w:r>
      <w:r w:rsidRPr="002C474B">
        <w:rPr>
          <w:rFonts w:ascii="Open Sans" w:hAnsi="Open Sans" w:cs="Open Sans"/>
        </w:rPr>
        <w:t xml:space="preserve"> </w:t>
      </w:r>
      <w:r>
        <w:rPr>
          <w:rFonts w:ascii="Open Sans" w:hAnsi="Open Sans" w:cs="Open Sans"/>
        </w:rPr>
        <w:t>June</w:t>
      </w:r>
      <w:r w:rsidRPr="002C474B">
        <w:rPr>
          <w:rFonts w:ascii="Open Sans" w:hAnsi="Open Sans" w:cs="Open Sans"/>
        </w:rPr>
        <w:t xml:space="preserve"> 201</w:t>
      </w:r>
      <w:r>
        <w:rPr>
          <w:rFonts w:ascii="Open Sans" w:hAnsi="Open Sans" w:cs="Open Sans"/>
        </w:rPr>
        <w:t>7</w:t>
      </w:r>
      <w:r w:rsidRPr="002C474B">
        <w:rPr>
          <w:rFonts w:ascii="Open Sans" w:hAnsi="Open Sans" w:cs="Open Sans"/>
        </w:rPr>
        <w:t xml:space="preserve">, the Department referred Mr </w:t>
      </w:r>
      <w:proofErr w:type="spellStart"/>
      <w:r>
        <w:rPr>
          <w:rFonts w:ascii="Open Sans" w:hAnsi="Open Sans" w:cs="Open Sans"/>
        </w:rPr>
        <w:t>Hamedani</w:t>
      </w:r>
      <w:proofErr w:type="spellEnd"/>
      <w:r w:rsidRPr="002C474B">
        <w:rPr>
          <w:rFonts w:ascii="Open Sans" w:hAnsi="Open Sans" w:cs="Open Sans"/>
        </w:rPr>
        <w:t xml:space="preserve"> to the Minister for consideration of his Ministerial Intervention powers. </w:t>
      </w:r>
      <w:r>
        <w:rPr>
          <w:rFonts w:ascii="Open Sans" w:hAnsi="Open Sans" w:cs="Open Sans"/>
        </w:rPr>
        <w:t xml:space="preserve">The Commission requested a copy of this </w:t>
      </w:r>
      <w:proofErr w:type="gramStart"/>
      <w:r>
        <w:rPr>
          <w:rFonts w:ascii="Open Sans" w:hAnsi="Open Sans" w:cs="Open Sans"/>
        </w:rPr>
        <w:t>submission,</w:t>
      </w:r>
      <w:proofErr w:type="gramEnd"/>
      <w:r>
        <w:rPr>
          <w:rFonts w:ascii="Open Sans" w:hAnsi="Open Sans" w:cs="Open Sans"/>
        </w:rPr>
        <w:t xml:space="preserve"> however it was not provided. The Department stated that:</w:t>
      </w:r>
    </w:p>
    <w:p w14:paraId="0EF93F0A" w14:textId="77777777" w:rsidR="00111740" w:rsidRPr="00496405" w:rsidRDefault="00111740" w:rsidP="00111740">
      <w:pPr>
        <w:pStyle w:val="ListParagraph"/>
        <w:rPr>
          <w:rFonts w:ascii="Open Sans" w:hAnsi="Open Sans" w:cs="Open Sans"/>
        </w:rPr>
      </w:pPr>
    </w:p>
    <w:p w14:paraId="0AF42386" w14:textId="77777777" w:rsidR="00111740" w:rsidRDefault="00111740" w:rsidP="00111740">
      <w:pPr>
        <w:ind w:left="1440"/>
        <w:rPr>
          <w:rFonts w:ascii="Open Sans" w:hAnsi="Open Sans" w:cs="Open Sans"/>
        </w:rPr>
      </w:pPr>
      <w:r w:rsidRPr="00546675">
        <w:rPr>
          <w:rFonts w:ascii="Open Sans" w:hAnsi="Open Sans" w:cs="Open Sans"/>
          <w:sz w:val="22"/>
          <w:szCs w:val="22"/>
        </w:rPr>
        <w:t>On 13 June 2017, a section 197AB submission dated 9 June 2017 was referred to the Minister for consideration of a possible residence determination.  This submission was returned to the Department on 4 September 2018 unsigned and without a decision having been made. As this document is not signed by the Minister, the Department will not be providing a copy of this submission</w:t>
      </w:r>
      <w:r w:rsidRPr="00496405">
        <w:rPr>
          <w:rFonts w:ascii="Open Sans" w:hAnsi="Open Sans" w:cs="Open Sans"/>
        </w:rPr>
        <w:t>.</w:t>
      </w:r>
    </w:p>
    <w:p w14:paraId="53038AB2" w14:textId="77777777" w:rsidR="00111740" w:rsidRPr="00A47876" w:rsidRDefault="00111740" w:rsidP="00111740">
      <w:pPr>
        <w:rPr>
          <w:rFonts w:ascii="Open Sans" w:hAnsi="Open Sans" w:cs="Open Sans"/>
        </w:rPr>
      </w:pPr>
    </w:p>
    <w:p w14:paraId="49EC9F49" w14:textId="77777777" w:rsidR="00111740" w:rsidRPr="00DC5879" w:rsidRDefault="00111740" w:rsidP="00111740">
      <w:pPr>
        <w:pStyle w:val="ListParagraph"/>
        <w:numPr>
          <w:ilvl w:val="0"/>
          <w:numId w:val="3"/>
        </w:numPr>
        <w:rPr>
          <w:rFonts w:ascii="Open Sans" w:hAnsi="Open Sans" w:cs="Open Sans"/>
        </w:rPr>
      </w:pPr>
      <w:r w:rsidRPr="00DC5879">
        <w:rPr>
          <w:rFonts w:ascii="Open Sans" w:hAnsi="Open Sans" w:cs="Open Sans"/>
        </w:rPr>
        <w:t>As explain</w:t>
      </w:r>
      <w:r>
        <w:rPr>
          <w:rFonts w:ascii="Open Sans" w:hAnsi="Open Sans" w:cs="Open Sans"/>
        </w:rPr>
        <w:t>ed</w:t>
      </w:r>
      <w:r w:rsidRPr="00DC5879">
        <w:rPr>
          <w:rFonts w:ascii="Open Sans" w:hAnsi="Open Sans" w:cs="Open Sans"/>
        </w:rPr>
        <w:t xml:space="preserve"> by the Department</w:t>
      </w:r>
      <w:r>
        <w:rPr>
          <w:rFonts w:ascii="Open Sans" w:hAnsi="Open Sans" w:cs="Open Sans"/>
        </w:rPr>
        <w:t>,</w:t>
      </w:r>
      <w:r w:rsidRPr="00DC5879">
        <w:rPr>
          <w:rFonts w:ascii="Open Sans" w:hAnsi="Open Sans" w:cs="Open Sans"/>
        </w:rPr>
        <w:t xml:space="preserve"> the</w:t>
      </w:r>
      <w:r>
        <w:rPr>
          <w:rFonts w:ascii="Open Sans" w:hAnsi="Open Sans" w:cs="Open Sans"/>
        </w:rPr>
        <w:t xml:space="preserve"> s 197AB</w:t>
      </w:r>
      <w:r w:rsidRPr="00DC5879">
        <w:rPr>
          <w:rFonts w:ascii="Open Sans" w:hAnsi="Open Sans" w:cs="Open Sans"/>
        </w:rPr>
        <w:t xml:space="preserve"> submission dated 9 June 2017 was returned by the Minister’s office on 4 September 2018 without a decision having been made. </w:t>
      </w:r>
      <w:r>
        <w:rPr>
          <w:rFonts w:ascii="Open Sans" w:hAnsi="Open Sans" w:cs="Open Sans"/>
        </w:rPr>
        <w:t xml:space="preserve">On the material before me it is unclear why no action was taken by the Minister’s office for over 14 months and then returned to the Department. </w:t>
      </w:r>
    </w:p>
    <w:p w14:paraId="15A79E72" w14:textId="77777777" w:rsidR="00111740" w:rsidRDefault="00111740" w:rsidP="00111740">
      <w:pPr>
        <w:rPr>
          <w:rFonts w:ascii="Open Sans" w:hAnsi="Open Sans" w:cs="Open Sans"/>
        </w:rPr>
      </w:pPr>
    </w:p>
    <w:p w14:paraId="5A76369B" w14:textId="77777777" w:rsidR="00111740" w:rsidRDefault="00111740" w:rsidP="00111740">
      <w:pPr>
        <w:pStyle w:val="ListParagraph"/>
        <w:numPr>
          <w:ilvl w:val="0"/>
          <w:numId w:val="3"/>
        </w:numPr>
        <w:rPr>
          <w:rFonts w:ascii="Open Sans" w:hAnsi="Open Sans" w:cs="Open Sans"/>
        </w:rPr>
      </w:pPr>
      <w:r w:rsidRPr="00495E28">
        <w:rPr>
          <w:rFonts w:ascii="Open Sans" w:hAnsi="Open Sans" w:cs="Open Sans"/>
        </w:rPr>
        <w:t xml:space="preserve">The Department said that it did not directly follow up the progress of the submission with the Minister’s office until after 23 March 2018. This is a period of more than 9 months. </w:t>
      </w:r>
    </w:p>
    <w:p w14:paraId="0419C52F" w14:textId="77777777" w:rsidR="00111740" w:rsidRPr="00A3642A" w:rsidRDefault="00111740" w:rsidP="00111740">
      <w:pPr>
        <w:pStyle w:val="ListParagraph"/>
        <w:rPr>
          <w:rFonts w:ascii="Open Sans" w:hAnsi="Open Sans" w:cs="Open Sans"/>
        </w:rPr>
      </w:pPr>
    </w:p>
    <w:p w14:paraId="6BAE4CA0" w14:textId="77777777" w:rsidR="00111740" w:rsidRDefault="00111740" w:rsidP="00111740">
      <w:pPr>
        <w:pStyle w:val="ListParagraph"/>
        <w:numPr>
          <w:ilvl w:val="0"/>
          <w:numId w:val="3"/>
        </w:numPr>
        <w:rPr>
          <w:rFonts w:ascii="Open Sans" w:hAnsi="Open Sans" w:cs="Open Sans"/>
        </w:rPr>
      </w:pPr>
      <w:r>
        <w:rPr>
          <w:rFonts w:ascii="Open Sans" w:hAnsi="Open Sans" w:cs="Open Sans"/>
        </w:rPr>
        <w:t>This is particularly concerning given that t</w:t>
      </w:r>
      <w:r w:rsidRPr="00495E28">
        <w:rPr>
          <w:rFonts w:ascii="Open Sans" w:hAnsi="Open Sans" w:cs="Open Sans"/>
        </w:rPr>
        <w:t xml:space="preserve">hroughout this period there were clear indications of Mr </w:t>
      </w:r>
      <w:proofErr w:type="spellStart"/>
      <w:r w:rsidRPr="00495E28">
        <w:rPr>
          <w:rFonts w:ascii="Open Sans" w:hAnsi="Open Sans" w:cs="Open Sans"/>
        </w:rPr>
        <w:t>Hamedani’s</w:t>
      </w:r>
      <w:proofErr w:type="spellEnd"/>
      <w:r w:rsidRPr="00495E28">
        <w:rPr>
          <w:rFonts w:ascii="Open Sans" w:hAnsi="Open Sans" w:cs="Open Sans"/>
        </w:rPr>
        <w:t xml:space="preserve"> declining mental and physical health</w:t>
      </w:r>
      <w:r>
        <w:rPr>
          <w:rFonts w:ascii="Open Sans" w:hAnsi="Open Sans" w:cs="Open Sans"/>
        </w:rPr>
        <w:t xml:space="preserve">. </w:t>
      </w:r>
    </w:p>
    <w:p w14:paraId="18BE8AF1" w14:textId="77777777" w:rsidR="00111740" w:rsidRPr="002E5806" w:rsidRDefault="00111740" w:rsidP="00111740">
      <w:pPr>
        <w:pStyle w:val="ListParagraph"/>
        <w:rPr>
          <w:rFonts w:ascii="Open Sans" w:hAnsi="Open Sans" w:cs="Open Sans"/>
        </w:rPr>
      </w:pPr>
    </w:p>
    <w:p w14:paraId="60E4F9EB" w14:textId="77777777" w:rsidR="00111740" w:rsidRPr="000C660A" w:rsidRDefault="00111740" w:rsidP="002B7517">
      <w:pPr>
        <w:pStyle w:val="ListParagraph"/>
        <w:numPr>
          <w:ilvl w:val="0"/>
          <w:numId w:val="3"/>
        </w:numPr>
        <w:spacing w:after="240"/>
        <w:contextualSpacing w:val="0"/>
        <w:rPr>
          <w:rFonts w:ascii="Open Sans" w:hAnsi="Open Sans" w:cs="Open Sans"/>
        </w:rPr>
      </w:pPr>
      <w:r w:rsidRPr="002E5806">
        <w:rPr>
          <w:rFonts w:ascii="Open Sans" w:hAnsi="Open Sans" w:cs="Open Sans"/>
        </w:rPr>
        <w:t xml:space="preserve">For example, material provided by the Department </w:t>
      </w:r>
      <w:r>
        <w:rPr>
          <w:rFonts w:ascii="Open Sans" w:hAnsi="Open Sans" w:cs="Open Sans"/>
        </w:rPr>
        <w:t xml:space="preserve">discloses </w:t>
      </w:r>
      <w:r w:rsidRPr="002E5806">
        <w:rPr>
          <w:rFonts w:ascii="Open Sans" w:hAnsi="Open Sans" w:cs="Open Sans"/>
        </w:rPr>
        <w:t>t</w:t>
      </w:r>
      <w:r>
        <w:rPr>
          <w:rFonts w:ascii="Open Sans" w:hAnsi="Open Sans" w:cs="Open Sans"/>
        </w:rPr>
        <w:t>he following incidents:</w:t>
      </w:r>
    </w:p>
    <w:p w14:paraId="4B549951" w14:textId="77777777" w:rsidR="00111740" w:rsidRDefault="00111740" w:rsidP="002B7517">
      <w:pPr>
        <w:pStyle w:val="ListParagraph"/>
        <w:numPr>
          <w:ilvl w:val="1"/>
          <w:numId w:val="3"/>
        </w:numPr>
        <w:spacing w:before="120" w:after="120"/>
        <w:contextualSpacing w:val="0"/>
        <w:rPr>
          <w:rFonts w:ascii="Open Sans" w:hAnsi="Open Sans" w:cs="Open Sans"/>
        </w:rPr>
      </w:pPr>
      <w:r>
        <w:rPr>
          <w:rFonts w:ascii="Open Sans" w:hAnsi="Open Sans" w:cs="Open Sans"/>
        </w:rPr>
        <w:t xml:space="preserve">On </w:t>
      </w:r>
      <w:r w:rsidRPr="002E5806">
        <w:rPr>
          <w:rFonts w:ascii="Open Sans" w:hAnsi="Open Sans" w:cs="Open Sans"/>
        </w:rPr>
        <w:t xml:space="preserve">14 </w:t>
      </w:r>
      <w:r w:rsidRPr="00F93A48">
        <w:rPr>
          <w:rFonts w:ascii="Open Sans" w:hAnsi="Open Sans" w:cs="Open Sans"/>
        </w:rPr>
        <w:t xml:space="preserve">August 2017, Mr </w:t>
      </w:r>
      <w:proofErr w:type="spellStart"/>
      <w:r w:rsidRPr="00F93A48">
        <w:rPr>
          <w:rFonts w:ascii="Open Sans" w:hAnsi="Open Sans" w:cs="Open Sans"/>
        </w:rPr>
        <w:t>Hamedani</w:t>
      </w:r>
      <w:proofErr w:type="spellEnd"/>
      <w:r w:rsidRPr="00F93A48">
        <w:rPr>
          <w:rFonts w:ascii="Open Sans" w:hAnsi="Open Sans" w:cs="Open Sans"/>
        </w:rPr>
        <w:t xml:space="preserve"> was admitted to hospital suffering ‘auditory hallucinations, weight loss and seizure like activity post food/fluid refusal and exacerbation of his post-traumatic stress disorder’</w:t>
      </w:r>
    </w:p>
    <w:p w14:paraId="078A9651" w14:textId="77777777" w:rsidR="00111740" w:rsidRPr="00F93A48" w:rsidRDefault="00111740" w:rsidP="002B7517">
      <w:pPr>
        <w:pStyle w:val="ListParagraph"/>
        <w:numPr>
          <w:ilvl w:val="1"/>
          <w:numId w:val="3"/>
        </w:numPr>
        <w:spacing w:before="120" w:after="120"/>
        <w:contextualSpacing w:val="0"/>
        <w:rPr>
          <w:rFonts w:ascii="Open Sans" w:hAnsi="Open Sans" w:cs="Open Sans"/>
        </w:rPr>
      </w:pPr>
      <w:r>
        <w:rPr>
          <w:rFonts w:ascii="Open Sans" w:hAnsi="Open Sans" w:cs="Open Sans"/>
        </w:rPr>
        <w:t xml:space="preserve">In October 2017, Mr </w:t>
      </w:r>
      <w:proofErr w:type="spellStart"/>
      <w:r>
        <w:rPr>
          <w:rFonts w:ascii="Open Sans" w:hAnsi="Open Sans" w:cs="Open Sans"/>
        </w:rPr>
        <w:t>Hamedani</w:t>
      </w:r>
      <w:proofErr w:type="spellEnd"/>
      <w:r>
        <w:rPr>
          <w:rFonts w:ascii="Open Sans" w:hAnsi="Open Sans" w:cs="Open Sans"/>
        </w:rPr>
        <w:t xml:space="preserve"> was assessed at hospital following a likely ‘</w:t>
      </w:r>
      <w:proofErr w:type="spellStart"/>
      <w:r>
        <w:rPr>
          <w:rFonts w:ascii="Open Sans" w:hAnsi="Open Sans" w:cs="Open Sans"/>
        </w:rPr>
        <w:t>pseudoseizure</w:t>
      </w:r>
      <w:proofErr w:type="spellEnd"/>
      <w:r>
        <w:rPr>
          <w:rFonts w:ascii="Open Sans" w:hAnsi="Open Sans" w:cs="Open Sans"/>
        </w:rPr>
        <w:t>’</w:t>
      </w:r>
    </w:p>
    <w:p w14:paraId="6AB54564" w14:textId="77777777" w:rsidR="00111740" w:rsidRPr="002E5806" w:rsidRDefault="00111740" w:rsidP="00111740">
      <w:pPr>
        <w:pStyle w:val="ListParagraph"/>
        <w:numPr>
          <w:ilvl w:val="1"/>
          <w:numId w:val="3"/>
        </w:numPr>
        <w:spacing w:before="120" w:after="120"/>
        <w:contextualSpacing w:val="0"/>
        <w:rPr>
          <w:rFonts w:ascii="Open Sans" w:hAnsi="Open Sans" w:cs="Open Sans"/>
        </w:rPr>
      </w:pPr>
      <w:r w:rsidRPr="002E5806">
        <w:rPr>
          <w:rFonts w:ascii="Open Sans" w:hAnsi="Open Sans" w:cs="Open Sans"/>
        </w:rPr>
        <w:t xml:space="preserve">On 10 February 2018, Mr </w:t>
      </w:r>
      <w:proofErr w:type="spellStart"/>
      <w:r w:rsidRPr="002E5806">
        <w:rPr>
          <w:rFonts w:ascii="Open Sans" w:hAnsi="Open Sans" w:cs="Open Sans"/>
        </w:rPr>
        <w:t>Hamedani</w:t>
      </w:r>
      <w:proofErr w:type="spellEnd"/>
      <w:r w:rsidRPr="002E5806">
        <w:rPr>
          <w:rFonts w:ascii="Open Sans" w:hAnsi="Open Sans" w:cs="Open Sans"/>
        </w:rPr>
        <w:t xml:space="preserve"> placed himself on voluntary food and fluid refusal</w:t>
      </w:r>
    </w:p>
    <w:p w14:paraId="4733EE5C" w14:textId="77777777" w:rsidR="00111740" w:rsidRPr="002E5806" w:rsidRDefault="00111740" w:rsidP="00111740">
      <w:pPr>
        <w:pStyle w:val="ListParagraph"/>
        <w:numPr>
          <w:ilvl w:val="1"/>
          <w:numId w:val="3"/>
        </w:numPr>
        <w:spacing w:before="120" w:after="120"/>
        <w:contextualSpacing w:val="0"/>
        <w:rPr>
          <w:rFonts w:ascii="Open Sans" w:hAnsi="Open Sans" w:cs="Open Sans"/>
        </w:rPr>
      </w:pPr>
      <w:r w:rsidRPr="002E5806">
        <w:rPr>
          <w:rFonts w:ascii="Open Sans" w:hAnsi="Open Sans" w:cs="Open Sans"/>
        </w:rPr>
        <w:t xml:space="preserve">On 12 February 2018, Mr </w:t>
      </w:r>
      <w:proofErr w:type="spellStart"/>
      <w:r w:rsidRPr="002E5806">
        <w:rPr>
          <w:rFonts w:ascii="Open Sans" w:hAnsi="Open Sans" w:cs="Open Sans"/>
        </w:rPr>
        <w:t>Hamedani</w:t>
      </w:r>
      <w:proofErr w:type="spellEnd"/>
      <w:r w:rsidRPr="002E5806">
        <w:rPr>
          <w:rFonts w:ascii="Open Sans" w:hAnsi="Open Sans" w:cs="Open Sans"/>
        </w:rPr>
        <w:t xml:space="preserve"> self-harmed ‘by placing a cord around his neck and banging his head on a table’</w:t>
      </w:r>
    </w:p>
    <w:p w14:paraId="2E4C21E1" w14:textId="77777777" w:rsidR="00111740" w:rsidRPr="00FD2725" w:rsidRDefault="00111740" w:rsidP="00111740">
      <w:pPr>
        <w:pStyle w:val="ListParagraph"/>
        <w:numPr>
          <w:ilvl w:val="1"/>
          <w:numId w:val="3"/>
        </w:numPr>
        <w:spacing w:before="120" w:after="240"/>
        <w:contextualSpacing w:val="0"/>
        <w:rPr>
          <w:rFonts w:ascii="Open Sans" w:hAnsi="Open Sans" w:cs="Open Sans"/>
        </w:rPr>
      </w:pPr>
      <w:r w:rsidRPr="002E5806">
        <w:rPr>
          <w:rFonts w:ascii="Open Sans" w:hAnsi="Open Sans" w:cs="Open Sans"/>
        </w:rPr>
        <w:t xml:space="preserve">On 13 February 2018, Mr </w:t>
      </w:r>
      <w:proofErr w:type="spellStart"/>
      <w:r w:rsidRPr="002E5806">
        <w:rPr>
          <w:rFonts w:ascii="Open Sans" w:hAnsi="Open Sans" w:cs="Open Sans"/>
        </w:rPr>
        <w:t>Hamedani</w:t>
      </w:r>
      <w:proofErr w:type="spellEnd"/>
      <w:r w:rsidRPr="002E5806">
        <w:rPr>
          <w:rFonts w:ascii="Open Sans" w:hAnsi="Open Sans" w:cs="Open Sans"/>
        </w:rPr>
        <w:t xml:space="preserve"> was assessed as suffering from ‘a severe adjustment reaction with depression and anxiety, with a moderate risk of self-harm/ suicide, and is at risk of the return of psychotic-like </w:t>
      </w:r>
      <w:proofErr w:type="gramStart"/>
      <w:r w:rsidRPr="002E5806">
        <w:rPr>
          <w:rFonts w:ascii="Open Sans" w:hAnsi="Open Sans" w:cs="Open Sans"/>
        </w:rPr>
        <w:t>symptoms’</w:t>
      </w:r>
      <w:proofErr w:type="gramEnd"/>
      <w:r w:rsidRPr="002E5806">
        <w:rPr>
          <w:rFonts w:ascii="Open Sans" w:hAnsi="Open Sans" w:cs="Open Sans"/>
        </w:rPr>
        <w:t>.</w:t>
      </w:r>
    </w:p>
    <w:p w14:paraId="39BC8224" w14:textId="77777777" w:rsidR="00111740" w:rsidRDefault="00111740" w:rsidP="00111740">
      <w:pPr>
        <w:pStyle w:val="ListParagraph"/>
        <w:numPr>
          <w:ilvl w:val="0"/>
          <w:numId w:val="3"/>
        </w:numPr>
        <w:rPr>
          <w:rFonts w:ascii="Open Sans" w:hAnsi="Open Sans" w:cs="Open Sans"/>
        </w:rPr>
      </w:pPr>
      <w:r>
        <w:rPr>
          <w:rFonts w:ascii="Open Sans" w:hAnsi="Open Sans" w:cs="Open Sans"/>
        </w:rPr>
        <w:t>I understand that, between 23 March 2018 and 23 April 2018, the Department was in contact with the Minister’s Office seeking advice on the progress of the submission. T</w:t>
      </w:r>
      <w:r w:rsidRPr="005339DB">
        <w:rPr>
          <w:rFonts w:ascii="Open Sans" w:hAnsi="Open Sans" w:cs="Open Sans"/>
        </w:rPr>
        <w:t xml:space="preserve">he Minister’s office requested further information regarding Mr </w:t>
      </w:r>
      <w:proofErr w:type="spellStart"/>
      <w:r w:rsidRPr="005339DB">
        <w:rPr>
          <w:rFonts w:ascii="Open Sans" w:hAnsi="Open Sans" w:cs="Open Sans"/>
        </w:rPr>
        <w:t>Hamedani’s</w:t>
      </w:r>
      <w:proofErr w:type="spellEnd"/>
      <w:r w:rsidRPr="005339DB">
        <w:rPr>
          <w:rFonts w:ascii="Open Sans" w:hAnsi="Open Sans" w:cs="Open Sans"/>
        </w:rPr>
        <w:t xml:space="preserve"> health, and the Department provided a response on 23 April 2018.</w:t>
      </w:r>
    </w:p>
    <w:p w14:paraId="0FD96AE9" w14:textId="77777777" w:rsidR="00111740" w:rsidRPr="005339DB" w:rsidRDefault="00111740" w:rsidP="00111740">
      <w:pPr>
        <w:pStyle w:val="ListParagraph"/>
        <w:rPr>
          <w:rFonts w:ascii="Open Sans" w:hAnsi="Open Sans" w:cs="Open Sans"/>
        </w:rPr>
      </w:pPr>
    </w:p>
    <w:p w14:paraId="22E7193B" w14:textId="77777777" w:rsidR="00111740" w:rsidRDefault="00111740" w:rsidP="00111740">
      <w:pPr>
        <w:pStyle w:val="ListParagraph"/>
        <w:numPr>
          <w:ilvl w:val="0"/>
          <w:numId w:val="3"/>
        </w:numPr>
        <w:rPr>
          <w:rFonts w:ascii="Open Sans" w:hAnsi="Open Sans" w:cs="Open Sans"/>
        </w:rPr>
      </w:pPr>
      <w:r w:rsidRPr="007F027B">
        <w:rPr>
          <w:rFonts w:ascii="Open Sans" w:hAnsi="Open Sans" w:cs="Open Sans"/>
        </w:rPr>
        <w:t xml:space="preserve">On 9 October 2018, the Department made a second s 197AB submission to the Minister’s office recommending again that Mr </w:t>
      </w:r>
      <w:proofErr w:type="spellStart"/>
      <w:r w:rsidRPr="007F027B">
        <w:rPr>
          <w:rFonts w:ascii="Open Sans" w:hAnsi="Open Sans" w:cs="Open Sans"/>
        </w:rPr>
        <w:t>Hamedani</w:t>
      </w:r>
      <w:proofErr w:type="spellEnd"/>
      <w:r w:rsidRPr="007F027B">
        <w:rPr>
          <w:rFonts w:ascii="Open Sans" w:hAnsi="Open Sans" w:cs="Open Sans"/>
        </w:rPr>
        <w:t xml:space="preserve"> be considered for community placement under a residence determination following further deterioration in his mental health.</w:t>
      </w:r>
    </w:p>
    <w:p w14:paraId="16BFA2D6" w14:textId="77777777" w:rsidR="00111740" w:rsidRPr="003A45E3" w:rsidRDefault="00111740" w:rsidP="00111740">
      <w:pPr>
        <w:pStyle w:val="ListParagraph"/>
        <w:rPr>
          <w:rFonts w:ascii="Open Sans" w:hAnsi="Open Sans" w:cs="Open Sans"/>
        </w:rPr>
      </w:pPr>
    </w:p>
    <w:p w14:paraId="50D69A46" w14:textId="77777777" w:rsidR="00111740" w:rsidRPr="00887C5D" w:rsidRDefault="00111740" w:rsidP="00111740">
      <w:pPr>
        <w:pStyle w:val="ListParagraph"/>
        <w:numPr>
          <w:ilvl w:val="0"/>
          <w:numId w:val="3"/>
        </w:numPr>
        <w:rPr>
          <w:rFonts w:ascii="Open Sans" w:hAnsi="Open Sans" w:cs="Open Sans"/>
        </w:rPr>
      </w:pPr>
      <w:r w:rsidRPr="007F5BD4">
        <w:rPr>
          <w:rFonts w:ascii="Open Sans" w:hAnsi="Open Sans" w:cs="Open Sans"/>
        </w:rPr>
        <w:t>On 29 November 2018, the Minister intervene</w:t>
      </w:r>
      <w:r>
        <w:rPr>
          <w:rFonts w:ascii="Open Sans" w:hAnsi="Open Sans" w:cs="Open Sans"/>
        </w:rPr>
        <w:t>d</w:t>
      </w:r>
      <w:r w:rsidRPr="007F5BD4">
        <w:rPr>
          <w:rFonts w:ascii="Open Sans" w:hAnsi="Open Sans" w:cs="Open Sans"/>
        </w:rPr>
        <w:t xml:space="preserve"> in Mr </w:t>
      </w:r>
      <w:proofErr w:type="spellStart"/>
      <w:r w:rsidRPr="007F5BD4">
        <w:rPr>
          <w:rFonts w:ascii="Open Sans" w:hAnsi="Open Sans" w:cs="Open Sans"/>
        </w:rPr>
        <w:t>Hamedani’s</w:t>
      </w:r>
      <w:proofErr w:type="spellEnd"/>
      <w:r w:rsidRPr="007F5BD4">
        <w:rPr>
          <w:rFonts w:ascii="Open Sans" w:hAnsi="Open Sans" w:cs="Open Sans"/>
        </w:rPr>
        <w:t xml:space="preserve"> case and ma</w:t>
      </w:r>
      <w:r>
        <w:rPr>
          <w:rFonts w:ascii="Open Sans" w:hAnsi="Open Sans" w:cs="Open Sans"/>
        </w:rPr>
        <w:t>d</w:t>
      </w:r>
      <w:r w:rsidRPr="007F5BD4">
        <w:rPr>
          <w:rFonts w:ascii="Open Sans" w:hAnsi="Open Sans" w:cs="Open Sans"/>
        </w:rPr>
        <w:t>e a residence determination under s 197AB of the Migration Act.</w:t>
      </w:r>
    </w:p>
    <w:p w14:paraId="53E9418D" w14:textId="77777777" w:rsidR="00111740" w:rsidRPr="00F23AD1" w:rsidRDefault="00111740" w:rsidP="00111740">
      <w:pPr>
        <w:numPr>
          <w:ilvl w:val="0"/>
          <w:numId w:val="3"/>
        </w:numPr>
        <w:spacing w:before="240" w:after="240"/>
        <w:rPr>
          <w:rFonts w:ascii="Open Sans" w:hAnsi="Open Sans" w:cs="Open Sans"/>
        </w:rPr>
      </w:pPr>
      <w:r>
        <w:rPr>
          <w:rFonts w:ascii="Open Sans" w:hAnsi="Open Sans" w:cs="Open Sans"/>
        </w:rPr>
        <w:t>I find</w:t>
      </w:r>
      <w:r w:rsidRPr="002C474B">
        <w:rPr>
          <w:rFonts w:ascii="Open Sans" w:hAnsi="Open Sans" w:cs="Open Sans"/>
        </w:rPr>
        <w:t xml:space="preserve"> </w:t>
      </w:r>
      <w:r>
        <w:rPr>
          <w:rFonts w:ascii="Open Sans" w:hAnsi="Open Sans" w:cs="Open Sans"/>
        </w:rPr>
        <w:t xml:space="preserve">that the </w:t>
      </w:r>
      <w:r w:rsidRPr="002C474B">
        <w:rPr>
          <w:rFonts w:ascii="Open Sans" w:hAnsi="Open Sans" w:cs="Open Sans"/>
        </w:rPr>
        <w:t>Ministe</w:t>
      </w:r>
      <w:r>
        <w:rPr>
          <w:rFonts w:ascii="Open Sans" w:hAnsi="Open Sans" w:cs="Open Sans"/>
        </w:rPr>
        <w:t>r’s delay of over 17 months in</w:t>
      </w:r>
      <w:r w:rsidRPr="002C474B">
        <w:rPr>
          <w:rFonts w:ascii="Open Sans" w:hAnsi="Open Sans" w:cs="Open Sans"/>
        </w:rPr>
        <w:t xml:space="preserve"> consider</w:t>
      </w:r>
      <w:r>
        <w:rPr>
          <w:rFonts w:ascii="Open Sans" w:hAnsi="Open Sans" w:cs="Open Sans"/>
        </w:rPr>
        <w:t>ing</w:t>
      </w:r>
      <w:r w:rsidRPr="002C474B">
        <w:rPr>
          <w:rFonts w:ascii="Open Sans" w:hAnsi="Open Sans" w:cs="Open Sans"/>
        </w:rPr>
        <w:t xml:space="preserve"> </w:t>
      </w:r>
      <w:r>
        <w:rPr>
          <w:rFonts w:ascii="Open Sans" w:hAnsi="Open Sans" w:cs="Open Sans"/>
        </w:rPr>
        <w:t xml:space="preserve">the </w:t>
      </w:r>
      <w:r w:rsidRPr="002C474B">
        <w:rPr>
          <w:rFonts w:ascii="Open Sans" w:hAnsi="Open Sans" w:cs="Open Sans"/>
        </w:rPr>
        <w:t>exercis</w:t>
      </w:r>
      <w:r>
        <w:rPr>
          <w:rFonts w:ascii="Open Sans" w:hAnsi="Open Sans" w:cs="Open Sans"/>
        </w:rPr>
        <w:t>e</w:t>
      </w:r>
      <w:r w:rsidRPr="002C474B">
        <w:rPr>
          <w:rFonts w:ascii="Open Sans" w:hAnsi="Open Sans" w:cs="Open Sans"/>
        </w:rPr>
        <w:t xml:space="preserve"> </w:t>
      </w:r>
      <w:r>
        <w:rPr>
          <w:rFonts w:ascii="Open Sans" w:hAnsi="Open Sans" w:cs="Open Sans"/>
        </w:rPr>
        <w:t xml:space="preserve">of the </w:t>
      </w:r>
      <w:r w:rsidRPr="002C474B">
        <w:rPr>
          <w:rFonts w:ascii="Open Sans" w:hAnsi="Open Sans" w:cs="Open Sans"/>
        </w:rPr>
        <w:t>discretionary powe</w:t>
      </w:r>
      <w:r>
        <w:rPr>
          <w:rFonts w:ascii="Open Sans" w:hAnsi="Open Sans" w:cs="Open Sans"/>
        </w:rPr>
        <w:t>r</w:t>
      </w:r>
      <w:r w:rsidRPr="002C474B">
        <w:rPr>
          <w:rFonts w:ascii="Open Sans" w:hAnsi="Open Sans" w:cs="Open Sans"/>
        </w:rPr>
        <w:t xml:space="preserve">s under s 197AB resulted in the </w:t>
      </w:r>
      <w:r>
        <w:rPr>
          <w:rFonts w:ascii="Open Sans" w:hAnsi="Open Sans" w:cs="Open Sans"/>
        </w:rPr>
        <w:t xml:space="preserve">prolonged </w:t>
      </w:r>
      <w:r w:rsidRPr="002C474B">
        <w:rPr>
          <w:rFonts w:ascii="Open Sans" w:hAnsi="Open Sans" w:cs="Open Sans"/>
        </w:rPr>
        <w:t>detention of Mr </w:t>
      </w:r>
      <w:proofErr w:type="spellStart"/>
      <w:r>
        <w:rPr>
          <w:rFonts w:ascii="Open Sans" w:hAnsi="Open Sans" w:cs="Open Sans"/>
        </w:rPr>
        <w:t>Hamedani</w:t>
      </w:r>
      <w:proofErr w:type="spellEnd"/>
      <w:r w:rsidRPr="002C474B">
        <w:rPr>
          <w:rFonts w:ascii="Open Sans" w:hAnsi="Open Sans" w:cs="Open Sans"/>
        </w:rPr>
        <w:t xml:space="preserve">.  </w:t>
      </w:r>
      <w:r>
        <w:rPr>
          <w:rFonts w:ascii="Open Sans" w:hAnsi="Open Sans" w:cs="Open Sans"/>
        </w:rPr>
        <w:t>T</w:t>
      </w:r>
      <w:r w:rsidRPr="00DF6806">
        <w:rPr>
          <w:rFonts w:ascii="Open Sans" w:hAnsi="Open Sans" w:cs="Open Sans"/>
        </w:rPr>
        <w:t xml:space="preserve">he Commonwealth had an obligation to detain Mr </w:t>
      </w:r>
      <w:proofErr w:type="spellStart"/>
      <w:r>
        <w:rPr>
          <w:rFonts w:ascii="Open Sans" w:hAnsi="Open Sans" w:cs="Open Sans"/>
        </w:rPr>
        <w:t>Hamedani</w:t>
      </w:r>
      <w:proofErr w:type="spellEnd"/>
      <w:r w:rsidRPr="00DF6806">
        <w:rPr>
          <w:rFonts w:ascii="Open Sans" w:hAnsi="Open Sans" w:cs="Open Sans"/>
        </w:rPr>
        <w:t xml:space="preserve"> in the least restrictive manner possible. I</w:t>
      </w:r>
      <w:r>
        <w:rPr>
          <w:rFonts w:ascii="Open Sans" w:hAnsi="Open Sans" w:cs="Open Sans"/>
        </w:rPr>
        <w:t xml:space="preserve">t is my view that </w:t>
      </w:r>
      <w:r w:rsidRPr="00DF6806">
        <w:rPr>
          <w:rFonts w:ascii="Open Sans" w:hAnsi="Open Sans" w:cs="Open Sans"/>
        </w:rPr>
        <w:t xml:space="preserve">the delay in </w:t>
      </w:r>
      <w:r>
        <w:rPr>
          <w:rFonts w:ascii="Open Sans" w:hAnsi="Open Sans" w:cs="Open Sans"/>
        </w:rPr>
        <w:t>considering</w:t>
      </w:r>
      <w:r w:rsidRPr="00DF6806">
        <w:rPr>
          <w:rFonts w:ascii="Open Sans" w:hAnsi="Open Sans" w:cs="Open Sans"/>
        </w:rPr>
        <w:t xml:space="preserve"> Mr</w:t>
      </w:r>
      <w:r>
        <w:rPr>
          <w:rFonts w:ascii="Open Sans" w:hAnsi="Open Sans" w:cs="Open Sans"/>
        </w:rPr>
        <w:t xml:space="preserve"> </w:t>
      </w:r>
      <w:proofErr w:type="spellStart"/>
      <w:r>
        <w:rPr>
          <w:rFonts w:ascii="Open Sans" w:hAnsi="Open Sans" w:cs="Open Sans"/>
        </w:rPr>
        <w:t>Hamedani’s</w:t>
      </w:r>
      <w:proofErr w:type="spellEnd"/>
      <w:r>
        <w:rPr>
          <w:rFonts w:ascii="Open Sans" w:hAnsi="Open Sans" w:cs="Open Sans"/>
        </w:rPr>
        <w:t xml:space="preserve"> residence determination referral r</w:t>
      </w:r>
      <w:r w:rsidRPr="00F23AD1">
        <w:rPr>
          <w:rFonts w:ascii="Open Sans" w:hAnsi="Open Sans" w:cs="Open Sans"/>
        </w:rPr>
        <w:t xml:space="preserve">esulted in his detention being </w:t>
      </w:r>
      <w:r>
        <w:rPr>
          <w:rFonts w:ascii="Open Sans" w:hAnsi="Open Sans" w:cs="Open Sans"/>
        </w:rPr>
        <w:t>‘</w:t>
      </w:r>
      <w:r w:rsidRPr="00F23AD1">
        <w:rPr>
          <w:rFonts w:ascii="Open Sans" w:hAnsi="Open Sans" w:cs="Open Sans"/>
        </w:rPr>
        <w:t>arbitrary</w:t>
      </w:r>
      <w:r>
        <w:rPr>
          <w:rFonts w:ascii="Open Sans" w:hAnsi="Open Sans" w:cs="Open Sans"/>
        </w:rPr>
        <w:t>’</w:t>
      </w:r>
      <w:r w:rsidRPr="00F23AD1">
        <w:rPr>
          <w:rFonts w:ascii="Open Sans" w:hAnsi="Open Sans" w:cs="Open Sans"/>
        </w:rPr>
        <w:t xml:space="preserve"> for the purposes of article 9(1) of the ICCPR.  </w:t>
      </w:r>
    </w:p>
    <w:p w14:paraId="36849B0F" w14:textId="77777777" w:rsidR="00111740" w:rsidRPr="00063932" w:rsidRDefault="00111740" w:rsidP="00111740">
      <w:pPr>
        <w:numPr>
          <w:ilvl w:val="0"/>
          <w:numId w:val="3"/>
        </w:numPr>
        <w:spacing w:before="240" w:after="240"/>
        <w:rPr>
          <w:rFonts w:ascii="Open Sans" w:hAnsi="Open Sans" w:cs="Open Sans"/>
        </w:rPr>
      </w:pPr>
      <w:r>
        <w:rPr>
          <w:rFonts w:ascii="Open Sans" w:hAnsi="Open Sans" w:cs="Open Sans"/>
        </w:rPr>
        <w:t xml:space="preserve">As discussed above, the Department did not refer Mr </w:t>
      </w:r>
      <w:proofErr w:type="spellStart"/>
      <w:r>
        <w:rPr>
          <w:rFonts w:ascii="Open Sans" w:hAnsi="Open Sans" w:cs="Open Sans"/>
        </w:rPr>
        <w:t>Hamedani’s</w:t>
      </w:r>
      <w:proofErr w:type="spellEnd"/>
      <w:r>
        <w:rPr>
          <w:rFonts w:ascii="Open Sans" w:hAnsi="Open Sans" w:cs="Open Sans"/>
        </w:rPr>
        <w:t xml:space="preserve"> case to the Minister for consideration of his intervention powers until 13 June 2017</w:t>
      </w:r>
      <w:r w:rsidRPr="002C474B">
        <w:rPr>
          <w:rFonts w:ascii="Open Sans" w:hAnsi="Open Sans" w:cs="Open Sans"/>
        </w:rPr>
        <w:t xml:space="preserve">.  It is my view that the </w:t>
      </w:r>
      <w:r>
        <w:rPr>
          <w:rFonts w:ascii="Open Sans" w:hAnsi="Open Sans" w:cs="Open Sans"/>
        </w:rPr>
        <w:t>delay</w:t>
      </w:r>
      <w:r w:rsidRPr="002C474B">
        <w:rPr>
          <w:rFonts w:ascii="Open Sans" w:hAnsi="Open Sans" w:cs="Open Sans"/>
        </w:rPr>
        <w:t xml:space="preserve"> of the Department to invite the Minister to consider exercising his discretion under s 197AB </w:t>
      </w:r>
      <w:r>
        <w:rPr>
          <w:rFonts w:ascii="Open Sans" w:hAnsi="Open Sans" w:cs="Open Sans"/>
        </w:rPr>
        <w:t xml:space="preserve">also </w:t>
      </w:r>
      <w:r w:rsidRPr="002C474B">
        <w:rPr>
          <w:rFonts w:ascii="Open Sans" w:hAnsi="Open Sans" w:cs="Open Sans"/>
        </w:rPr>
        <w:t>contributed to the continued detention of Mr </w:t>
      </w:r>
      <w:proofErr w:type="spellStart"/>
      <w:r>
        <w:rPr>
          <w:rFonts w:ascii="Open Sans" w:hAnsi="Open Sans" w:cs="Open Sans"/>
        </w:rPr>
        <w:t>Hamedani</w:t>
      </w:r>
      <w:proofErr w:type="spellEnd"/>
      <w:r w:rsidRPr="002C474B">
        <w:rPr>
          <w:rFonts w:ascii="Open Sans" w:hAnsi="Open Sans" w:cs="Open Sans"/>
        </w:rPr>
        <w:t xml:space="preserve"> without consideration of whether that detention was justified in the particular circumstances of Mr </w:t>
      </w:r>
      <w:proofErr w:type="spellStart"/>
      <w:r>
        <w:rPr>
          <w:rFonts w:ascii="Open Sans" w:hAnsi="Open Sans" w:cs="Open Sans"/>
        </w:rPr>
        <w:t>Hamedani’s</w:t>
      </w:r>
      <w:proofErr w:type="spellEnd"/>
      <w:r>
        <w:rPr>
          <w:rFonts w:ascii="Open Sans" w:hAnsi="Open Sans" w:cs="Open Sans"/>
        </w:rPr>
        <w:t xml:space="preserve"> </w:t>
      </w:r>
      <w:r w:rsidRPr="002C474B">
        <w:rPr>
          <w:rFonts w:ascii="Open Sans" w:hAnsi="Open Sans" w:cs="Open Sans"/>
        </w:rPr>
        <w:t xml:space="preserve">case. </w:t>
      </w:r>
      <w:r>
        <w:rPr>
          <w:rFonts w:ascii="Open Sans" w:hAnsi="Open Sans" w:cs="Open Sans"/>
        </w:rPr>
        <w:t>I find that</w:t>
      </w:r>
      <w:r w:rsidRPr="002C474B">
        <w:rPr>
          <w:rFonts w:ascii="Open Sans" w:hAnsi="Open Sans" w:cs="Open Sans"/>
        </w:rPr>
        <w:t xml:space="preserve"> has the result that his detention </w:t>
      </w:r>
      <w:r>
        <w:rPr>
          <w:rFonts w:ascii="Open Sans" w:hAnsi="Open Sans" w:cs="Open Sans"/>
        </w:rPr>
        <w:t>may be considered as ‘</w:t>
      </w:r>
      <w:r w:rsidRPr="002C474B">
        <w:rPr>
          <w:rFonts w:ascii="Open Sans" w:hAnsi="Open Sans" w:cs="Open Sans"/>
        </w:rPr>
        <w:t>arbitrary</w:t>
      </w:r>
      <w:r>
        <w:rPr>
          <w:rFonts w:ascii="Open Sans" w:hAnsi="Open Sans" w:cs="Open Sans"/>
        </w:rPr>
        <w:t>’</w:t>
      </w:r>
      <w:r w:rsidRPr="002C474B">
        <w:rPr>
          <w:rFonts w:ascii="Open Sans" w:hAnsi="Open Sans" w:cs="Open Sans"/>
        </w:rPr>
        <w:t xml:space="preserve"> for the purposes of article 9(1) of the ICCPR.  </w:t>
      </w:r>
    </w:p>
    <w:p w14:paraId="183D6A50" w14:textId="46283D64" w:rsidR="00111740" w:rsidRPr="004133A9" w:rsidRDefault="00111740" w:rsidP="00111740">
      <w:pPr>
        <w:pStyle w:val="Heading1"/>
        <w:tabs>
          <w:tab w:val="clear" w:pos="851"/>
          <w:tab w:val="num" w:pos="709"/>
        </w:tabs>
        <w:rPr>
          <w:rFonts w:ascii="Open Sans" w:hAnsi="Open Sans" w:cs="Open Sans"/>
        </w:rPr>
      </w:pPr>
      <w:bookmarkStart w:id="82" w:name="_Toc498937221"/>
      <w:bookmarkStart w:id="83" w:name="_Toc498937222"/>
      <w:bookmarkStart w:id="84" w:name="_Toc498937223"/>
      <w:bookmarkStart w:id="85" w:name="_Toc498937224"/>
      <w:bookmarkStart w:id="86" w:name="_Toc498937225"/>
      <w:bookmarkStart w:id="87" w:name="_Toc498937226"/>
      <w:bookmarkStart w:id="88" w:name="_Toc498937227"/>
      <w:bookmarkStart w:id="89" w:name="_Ref472516244"/>
      <w:bookmarkStart w:id="90" w:name="_Toc473014822"/>
      <w:bookmarkStart w:id="91" w:name="_Toc46130305"/>
      <w:bookmarkEnd w:id="82"/>
      <w:bookmarkEnd w:id="83"/>
      <w:bookmarkEnd w:id="84"/>
      <w:bookmarkEnd w:id="85"/>
      <w:bookmarkEnd w:id="86"/>
      <w:bookmarkEnd w:id="87"/>
      <w:bookmarkEnd w:id="88"/>
      <w:r w:rsidRPr="004133A9">
        <w:rPr>
          <w:rFonts w:ascii="Open Sans" w:hAnsi="Open Sans" w:cs="Open Sans"/>
        </w:rPr>
        <w:t>Recommendation</w:t>
      </w:r>
      <w:bookmarkEnd w:id="89"/>
      <w:bookmarkEnd w:id="90"/>
      <w:r w:rsidRPr="004133A9">
        <w:rPr>
          <w:rFonts w:ascii="Open Sans" w:hAnsi="Open Sans" w:cs="Open Sans"/>
        </w:rPr>
        <w:t>s</w:t>
      </w:r>
      <w:bookmarkEnd w:id="91"/>
    </w:p>
    <w:p w14:paraId="07244D11" w14:textId="777B858F" w:rsidR="00111740" w:rsidRPr="004133A9" w:rsidRDefault="00111740" w:rsidP="00111740">
      <w:pPr>
        <w:keepNext/>
        <w:numPr>
          <w:ilvl w:val="0"/>
          <w:numId w:val="3"/>
        </w:numPr>
        <w:tabs>
          <w:tab w:val="clear" w:pos="720"/>
          <w:tab w:val="num" w:pos="1080"/>
        </w:tabs>
        <w:spacing w:before="240" w:after="240"/>
        <w:rPr>
          <w:rFonts w:ascii="Open Sans" w:hAnsi="Open Sans" w:cs="Open Sans"/>
        </w:rPr>
      </w:pPr>
      <w:bookmarkStart w:id="92" w:name="_Toc438218056"/>
      <w:r w:rsidRPr="004133A9">
        <w:rPr>
          <w:rFonts w:ascii="Open Sans" w:hAnsi="Open Sans" w:cs="Open Sans"/>
          <w:szCs w:val="24"/>
        </w:rPr>
        <w:t xml:space="preserve">As a result of this inquiry, I find that the Department’s delay in referring Mr </w:t>
      </w:r>
      <w:proofErr w:type="spellStart"/>
      <w:r w:rsidRPr="004133A9">
        <w:rPr>
          <w:rFonts w:ascii="Open Sans" w:hAnsi="Open Sans" w:cs="Open Sans"/>
          <w:szCs w:val="24"/>
        </w:rPr>
        <w:t>Hamedani’s</w:t>
      </w:r>
      <w:proofErr w:type="spellEnd"/>
      <w:r w:rsidRPr="004133A9">
        <w:rPr>
          <w:rFonts w:ascii="Open Sans" w:hAnsi="Open Sans" w:cs="Open Sans"/>
          <w:szCs w:val="24"/>
        </w:rPr>
        <w:t xml:space="preserve"> case to the Minister for consideration of his discretionary intervention powers until 13 June 2017, and the Minister’s delay in considering whether to exercise his power to make a residence determination under </w:t>
      </w:r>
      <w:r w:rsidR="00426917">
        <w:rPr>
          <w:rFonts w:ascii="Open Sans" w:hAnsi="Open Sans" w:cs="Open Sans"/>
          <w:szCs w:val="24"/>
        </w:rPr>
        <w:t xml:space="preserve">             </w:t>
      </w:r>
      <w:r w:rsidRPr="004133A9">
        <w:rPr>
          <w:rFonts w:ascii="Open Sans" w:hAnsi="Open Sans" w:cs="Open Sans"/>
          <w:szCs w:val="24"/>
        </w:rPr>
        <w:t>s 197AB of the Migration Act were acts that were, taken together, inconsistent with or contrary to article 9(1) of the ICCPR.</w:t>
      </w:r>
    </w:p>
    <w:p w14:paraId="16AD3C07" w14:textId="77777777" w:rsidR="00111740" w:rsidRPr="004133A9" w:rsidRDefault="00111740" w:rsidP="00111740">
      <w:pPr>
        <w:pStyle w:val="ListParagraph"/>
        <w:numPr>
          <w:ilvl w:val="0"/>
          <w:numId w:val="3"/>
        </w:numPr>
        <w:spacing w:before="240" w:after="240"/>
        <w:contextualSpacing w:val="0"/>
        <w:rPr>
          <w:rFonts w:ascii="Open Sans" w:hAnsi="Open Sans" w:cs="Open Sans"/>
        </w:rPr>
      </w:pPr>
      <w:r w:rsidRPr="004133A9">
        <w:rPr>
          <w:rFonts w:ascii="Open Sans" w:hAnsi="Open Sans" w:cs="Open Sans"/>
          <w:szCs w:val="24"/>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4133A9">
        <w:rPr>
          <w:rStyle w:val="EndnoteReference"/>
          <w:rFonts w:ascii="Open Sans" w:hAnsi="Open Sans" w:cs="Open Sans"/>
          <w:szCs w:val="24"/>
        </w:rPr>
        <w:endnoteReference w:id="14"/>
      </w:r>
      <w:r w:rsidRPr="004133A9">
        <w:rPr>
          <w:rFonts w:ascii="Open Sans" w:hAnsi="Open Sans" w:cs="Open Sans"/>
          <w:szCs w:val="24"/>
        </w:rPr>
        <w:t xml:space="preserve"> The Commission may include in the notice any recommendation for preventing a repetition of the act or a continuation of the practice.</w:t>
      </w:r>
      <w:r w:rsidRPr="004133A9">
        <w:rPr>
          <w:rStyle w:val="EndnoteReference"/>
          <w:rFonts w:ascii="Open Sans" w:hAnsi="Open Sans" w:cs="Open Sans"/>
          <w:szCs w:val="24"/>
        </w:rPr>
        <w:endnoteReference w:id="15"/>
      </w:r>
      <w:r w:rsidRPr="004133A9">
        <w:rPr>
          <w:rFonts w:ascii="Open Sans" w:hAnsi="Open Sans" w:cs="Open Sans"/>
          <w:szCs w:val="24"/>
        </w:rPr>
        <w:t xml:space="preserve"> The Commission may also recommend other action to remedy or reduce the loss or damage suffered by a person.</w:t>
      </w:r>
      <w:r w:rsidRPr="004133A9">
        <w:rPr>
          <w:rStyle w:val="EndnoteReference"/>
          <w:rFonts w:ascii="Open Sans" w:hAnsi="Open Sans" w:cs="Open Sans"/>
          <w:szCs w:val="24"/>
        </w:rPr>
        <w:endnoteReference w:id="16"/>
      </w:r>
      <w:bookmarkEnd w:id="92"/>
    </w:p>
    <w:p w14:paraId="0EE48A86" w14:textId="77777777" w:rsidR="00111740" w:rsidRPr="004133A9" w:rsidRDefault="00111740" w:rsidP="00111740">
      <w:pPr>
        <w:pStyle w:val="ListParagraph"/>
        <w:numPr>
          <w:ilvl w:val="0"/>
          <w:numId w:val="3"/>
        </w:numPr>
        <w:spacing w:before="240" w:after="240"/>
        <w:contextualSpacing w:val="0"/>
        <w:rPr>
          <w:rFonts w:ascii="Open Sans" w:hAnsi="Open Sans" w:cs="Open Sans"/>
        </w:rPr>
      </w:pPr>
      <w:r w:rsidRPr="004133A9">
        <w:rPr>
          <w:rFonts w:ascii="Open Sans" w:hAnsi="Open Sans" w:cs="Open Sans"/>
        </w:rPr>
        <w:t>The Department advises that it conducts formal monthly reviews of efforts to resolve the status of people in detention. It advises that the purpose of these reviews is to ensure that:</w:t>
      </w:r>
    </w:p>
    <w:p w14:paraId="70A2F012" w14:textId="77777777" w:rsidR="00111740" w:rsidRPr="004133A9" w:rsidRDefault="00111740" w:rsidP="00111740">
      <w:pPr>
        <w:pStyle w:val="ListParagraph"/>
        <w:numPr>
          <w:ilvl w:val="0"/>
          <w:numId w:val="5"/>
        </w:numPr>
        <w:spacing w:before="120" w:after="120"/>
        <w:contextualSpacing w:val="0"/>
        <w:rPr>
          <w:rFonts w:ascii="Open Sans" w:hAnsi="Open Sans" w:cs="Open Sans"/>
        </w:rPr>
      </w:pPr>
      <w:r w:rsidRPr="004133A9">
        <w:rPr>
          <w:rFonts w:ascii="Open Sans" w:hAnsi="Open Sans" w:cs="Open Sans"/>
        </w:rPr>
        <w:t xml:space="preserve">where a person is managed in a held detention environment, the detention remains lawful and reasonable </w:t>
      </w:r>
    </w:p>
    <w:p w14:paraId="35E0E7FD" w14:textId="77777777" w:rsidR="00111740" w:rsidRPr="004133A9" w:rsidRDefault="00111740" w:rsidP="00111740">
      <w:pPr>
        <w:pStyle w:val="ListParagraph"/>
        <w:numPr>
          <w:ilvl w:val="0"/>
          <w:numId w:val="5"/>
        </w:numPr>
        <w:spacing w:before="120" w:after="120"/>
        <w:contextualSpacing w:val="0"/>
        <w:rPr>
          <w:rFonts w:ascii="Open Sans" w:hAnsi="Open Sans" w:cs="Open Sans"/>
        </w:rPr>
      </w:pPr>
      <w:r w:rsidRPr="004133A9">
        <w:rPr>
          <w:rFonts w:ascii="Open Sans" w:hAnsi="Open Sans" w:cs="Open Sans"/>
        </w:rPr>
        <w:t>the location of the person’s detention remains appropriate to their individual circumstances and conducive to status resolution</w:t>
      </w:r>
    </w:p>
    <w:p w14:paraId="10309BB8" w14:textId="77777777" w:rsidR="00111740" w:rsidRPr="004133A9" w:rsidRDefault="00111740" w:rsidP="00111740">
      <w:pPr>
        <w:pStyle w:val="ListParagraph"/>
        <w:numPr>
          <w:ilvl w:val="0"/>
          <w:numId w:val="5"/>
        </w:numPr>
        <w:spacing w:before="120" w:after="120"/>
        <w:contextualSpacing w:val="0"/>
        <w:rPr>
          <w:rFonts w:ascii="Open Sans" w:hAnsi="Open Sans" w:cs="Open Sans"/>
        </w:rPr>
      </w:pPr>
      <w:r w:rsidRPr="004133A9">
        <w:rPr>
          <w:rFonts w:ascii="Open Sans" w:hAnsi="Open Sans" w:cs="Open Sans"/>
        </w:rPr>
        <w:t xml:space="preserve">regardless of the location where the person is being held, their case is </w:t>
      </w:r>
      <w:proofErr w:type="gramStart"/>
      <w:r w:rsidRPr="004133A9">
        <w:rPr>
          <w:rFonts w:ascii="Open Sans" w:hAnsi="Open Sans" w:cs="Open Sans"/>
        </w:rPr>
        <w:t>progressing</w:t>
      </w:r>
      <w:proofErr w:type="gramEnd"/>
      <w:r w:rsidRPr="004133A9">
        <w:rPr>
          <w:rFonts w:ascii="Open Sans" w:hAnsi="Open Sans" w:cs="Open Sans"/>
        </w:rPr>
        <w:t xml:space="preserve"> and departmental activity is underway to reach an outcome</w:t>
      </w:r>
    </w:p>
    <w:p w14:paraId="33D2AE46" w14:textId="77777777" w:rsidR="00111740" w:rsidRPr="004133A9" w:rsidRDefault="00111740" w:rsidP="00111740">
      <w:pPr>
        <w:pStyle w:val="ListParagraph"/>
        <w:numPr>
          <w:ilvl w:val="0"/>
          <w:numId w:val="5"/>
        </w:numPr>
        <w:spacing w:before="120" w:after="240"/>
        <w:contextualSpacing w:val="0"/>
        <w:rPr>
          <w:rFonts w:ascii="Open Sans" w:hAnsi="Open Sans" w:cs="Open Sans"/>
        </w:rPr>
      </w:pPr>
      <w:r w:rsidRPr="004133A9">
        <w:rPr>
          <w:rFonts w:ascii="Open Sans" w:hAnsi="Open Sans" w:cs="Open Sans"/>
        </w:rPr>
        <w:t>appropriate services are being provided in an effective and cost-efficient manner</w:t>
      </w:r>
      <w:r>
        <w:rPr>
          <w:rFonts w:ascii="Open Sans" w:hAnsi="Open Sans" w:cs="Open Sans"/>
        </w:rPr>
        <w:t>.</w:t>
      </w:r>
    </w:p>
    <w:p w14:paraId="34747165" w14:textId="77777777" w:rsidR="00111740" w:rsidRPr="004133A9" w:rsidRDefault="00111740" w:rsidP="00111740">
      <w:pPr>
        <w:pStyle w:val="ListParagraph"/>
        <w:numPr>
          <w:ilvl w:val="0"/>
          <w:numId w:val="3"/>
        </w:numPr>
        <w:spacing w:before="240" w:after="240"/>
        <w:contextualSpacing w:val="0"/>
        <w:rPr>
          <w:rFonts w:ascii="Open Sans" w:hAnsi="Open Sans" w:cs="Open Sans"/>
        </w:rPr>
      </w:pPr>
      <w:r w:rsidRPr="004133A9">
        <w:rPr>
          <w:rFonts w:ascii="Open Sans" w:hAnsi="Open Sans" w:cs="Open Sans"/>
        </w:rPr>
        <w:t xml:space="preserve">In my view, these monthly reviews did not adequately consider the health impacts of continuing to detain Mr </w:t>
      </w:r>
      <w:proofErr w:type="spellStart"/>
      <w:r w:rsidRPr="004133A9">
        <w:rPr>
          <w:rFonts w:ascii="Open Sans" w:hAnsi="Open Sans" w:cs="Open Sans"/>
        </w:rPr>
        <w:t>Hamedani</w:t>
      </w:r>
      <w:proofErr w:type="spellEnd"/>
      <w:r w:rsidRPr="004133A9">
        <w:rPr>
          <w:rFonts w:ascii="Open Sans" w:hAnsi="Open Sans" w:cs="Open Sans"/>
        </w:rPr>
        <w:t xml:space="preserve">. As discussed, IHMS recommended community detention as early as 4 October 2016 due to his mental health issues. Although his mental health continued to decline, Mr </w:t>
      </w:r>
      <w:proofErr w:type="spellStart"/>
      <w:r w:rsidRPr="004133A9">
        <w:rPr>
          <w:rFonts w:ascii="Open Sans" w:hAnsi="Open Sans" w:cs="Open Sans"/>
        </w:rPr>
        <w:t>Hamedani</w:t>
      </w:r>
      <w:proofErr w:type="spellEnd"/>
      <w:r w:rsidRPr="004133A9">
        <w:rPr>
          <w:rFonts w:ascii="Open Sans" w:hAnsi="Open Sans" w:cs="Open Sans"/>
        </w:rPr>
        <w:t xml:space="preserve"> was only released from closed detention on 4 December 2018. </w:t>
      </w:r>
    </w:p>
    <w:p w14:paraId="722F11D8" w14:textId="77777777" w:rsidR="00111740" w:rsidRPr="004133A9" w:rsidRDefault="00111740" w:rsidP="00111740">
      <w:pPr>
        <w:pStyle w:val="ListParagraph"/>
        <w:numPr>
          <w:ilvl w:val="0"/>
          <w:numId w:val="3"/>
        </w:numPr>
        <w:spacing w:before="240" w:after="240"/>
        <w:contextualSpacing w:val="0"/>
        <w:rPr>
          <w:rFonts w:ascii="Open Sans" w:hAnsi="Open Sans" w:cs="Open Sans"/>
        </w:rPr>
      </w:pPr>
      <w:r w:rsidRPr="004133A9">
        <w:rPr>
          <w:rFonts w:ascii="Open Sans" w:hAnsi="Open Sans" w:cs="Open Sans"/>
        </w:rPr>
        <w:t>I make the following recommendations:</w:t>
      </w:r>
    </w:p>
    <w:p w14:paraId="12CC89BA" w14:textId="77777777" w:rsidR="00111740" w:rsidRPr="004133A9" w:rsidRDefault="00111740" w:rsidP="00111740">
      <w:pPr>
        <w:spacing w:before="240" w:after="240"/>
        <w:ind w:left="720"/>
        <w:rPr>
          <w:rFonts w:ascii="Open Sans" w:hAnsi="Open Sans" w:cs="Open Sans"/>
          <w:b/>
          <w:bCs/>
        </w:rPr>
      </w:pPr>
      <w:r w:rsidRPr="004133A9">
        <w:rPr>
          <w:rFonts w:ascii="Open Sans" w:hAnsi="Open Sans" w:cs="Open Sans"/>
          <w:b/>
          <w:bCs/>
        </w:rPr>
        <w:t>Recommendation 1</w:t>
      </w:r>
    </w:p>
    <w:p w14:paraId="4BCC5A98" w14:textId="77777777" w:rsidR="00111740" w:rsidRPr="004133A9" w:rsidRDefault="00111740" w:rsidP="00111740">
      <w:pPr>
        <w:spacing w:before="240" w:after="240"/>
        <w:ind w:left="720"/>
        <w:rPr>
          <w:rFonts w:ascii="Open Sans" w:hAnsi="Open Sans" w:cs="Open Sans"/>
        </w:rPr>
      </w:pPr>
      <w:r w:rsidRPr="004133A9">
        <w:rPr>
          <w:rFonts w:ascii="Open Sans" w:hAnsi="Open Sans" w:cs="Open Sans"/>
        </w:rPr>
        <w:t xml:space="preserve">Monthly detention reviews seek and consider IHMS advice regarding detention placement. Where IMHS recommends community detention, an individual’s case be immediately referred for assessment against the Minister’s guidelines for possible consideration under s 197AB of the Migration Act. </w:t>
      </w:r>
    </w:p>
    <w:p w14:paraId="79BC51A2" w14:textId="77777777" w:rsidR="00111740" w:rsidRPr="004133A9" w:rsidRDefault="00111740" w:rsidP="00111740">
      <w:pPr>
        <w:spacing w:before="240" w:after="240"/>
        <w:ind w:left="720"/>
        <w:rPr>
          <w:rFonts w:ascii="Open Sans" w:hAnsi="Open Sans" w:cs="Open Sans"/>
          <w:b/>
          <w:bCs/>
        </w:rPr>
      </w:pPr>
      <w:r w:rsidRPr="004133A9">
        <w:rPr>
          <w:rFonts w:ascii="Open Sans" w:hAnsi="Open Sans" w:cs="Open Sans"/>
          <w:b/>
          <w:bCs/>
        </w:rPr>
        <w:t xml:space="preserve">Recommendation 2 </w:t>
      </w:r>
    </w:p>
    <w:p w14:paraId="48949A94" w14:textId="77777777" w:rsidR="00111740" w:rsidRDefault="00111740" w:rsidP="00111740">
      <w:pPr>
        <w:spacing w:before="240" w:after="240"/>
        <w:ind w:left="720"/>
        <w:rPr>
          <w:rFonts w:ascii="Open Sans" w:hAnsi="Open Sans" w:cs="Open Sans"/>
        </w:rPr>
      </w:pPr>
      <w:r w:rsidRPr="004133A9">
        <w:rPr>
          <w:rFonts w:ascii="Open Sans" w:hAnsi="Open Sans" w:cs="Open Sans"/>
        </w:rPr>
        <w:t xml:space="preserve">Where an individual who has significant </w:t>
      </w:r>
      <w:proofErr w:type="gramStart"/>
      <w:r w:rsidRPr="004133A9">
        <w:rPr>
          <w:rFonts w:ascii="Open Sans" w:hAnsi="Open Sans" w:cs="Open Sans"/>
        </w:rPr>
        <w:t>health</w:t>
      </w:r>
      <w:proofErr w:type="gramEnd"/>
      <w:r w:rsidRPr="004133A9">
        <w:rPr>
          <w:rFonts w:ascii="Open Sans" w:hAnsi="Open Sans" w:cs="Open Sans"/>
        </w:rPr>
        <w:t xml:space="preserve"> concerns has been referred to the Minister for consideration under section 197AB, the Department follow up on a monthly basis the referral with the Minister’s office. </w:t>
      </w:r>
    </w:p>
    <w:p w14:paraId="07FAFACF" w14:textId="77777777" w:rsidR="00111740" w:rsidRDefault="00111740" w:rsidP="00111740">
      <w:pPr>
        <w:spacing w:before="240" w:after="240"/>
        <w:ind w:left="720"/>
        <w:rPr>
          <w:rFonts w:ascii="Open Sans" w:hAnsi="Open Sans" w:cs="Open Sans"/>
          <w:b/>
          <w:bCs/>
        </w:rPr>
      </w:pPr>
      <w:r>
        <w:rPr>
          <w:rFonts w:ascii="Open Sans" w:hAnsi="Open Sans" w:cs="Open Sans"/>
          <w:b/>
          <w:bCs/>
        </w:rPr>
        <w:t>Recommendation 3</w:t>
      </w:r>
    </w:p>
    <w:p w14:paraId="42747EE9" w14:textId="77777777" w:rsidR="00111740" w:rsidRPr="004133A9" w:rsidRDefault="00111740" w:rsidP="00111740">
      <w:pPr>
        <w:ind w:left="720"/>
        <w:rPr>
          <w:rFonts w:ascii="Open Sans" w:hAnsi="Open Sans" w:cs="Open Sans"/>
        </w:rPr>
      </w:pPr>
      <w:r w:rsidRPr="004133A9">
        <w:rPr>
          <w:rFonts w:ascii="Open Sans" w:hAnsi="Open Sans" w:cs="Open Sans"/>
        </w:rPr>
        <w:t xml:space="preserve">The Commonwealth acknowledge that the combined delay and continued closed detention had a significant impact on Mr </w:t>
      </w:r>
      <w:proofErr w:type="spellStart"/>
      <w:r w:rsidRPr="004133A9">
        <w:rPr>
          <w:rFonts w:ascii="Open Sans" w:hAnsi="Open Sans" w:cs="Open Sans"/>
        </w:rPr>
        <w:t>Hamedani’s</w:t>
      </w:r>
      <w:proofErr w:type="spellEnd"/>
      <w:r w:rsidRPr="004133A9">
        <w:rPr>
          <w:rFonts w:ascii="Open Sans" w:hAnsi="Open Sans" w:cs="Open Sans"/>
        </w:rPr>
        <w:t xml:space="preserve"> declining mental health.</w:t>
      </w:r>
    </w:p>
    <w:p w14:paraId="0A3594D4" w14:textId="77777777" w:rsidR="00111740" w:rsidRPr="00E01C6F" w:rsidRDefault="00111740" w:rsidP="00111740">
      <w:pPr>
        <w:pStyle w:val="Heading1"/>
        <w:tabs>
          <w:tab w:val="clear" w:pos="851"/>
          <w:tab w:val="num" w:pos="709"/>
        </w:tabs>
        <w:rPr>
          <w:rFonts w:ascii="Open Sans" w:hAnsi="Open Sans" w:cs="Open Sans"/>
        </w:rPr>
      </w:pPr>
      <w:bookmarkStart w:id="93" w:name="_Toc46130306"/>
      <w:r>
        <w:rPr>
          <w:rFonts w:ascii="Open Sans" w:hAnsi="Open Sans" w:cs="Open Sans"/>
        </w:rPr>
        <w:t>The Department’s response to my findings and recommendations</w:t>
      </w:r>
      <w:bookmarkEnd w:id="93"/>
      <w:r>
        <w:rPr>
          <w:rFonts w:ascii="Open Sans" w:hAnsi="Open Sans" w:cs="Open Sans"/>
        </w:rPr>
        <w:t xml:space="preserve"> </w:t>
      </w:r>
    </w:p>
    <w:p w14:paraId="449B36DF" w14:textId="77777777" w:rsidR="00111740" w:rsidRDefault="00111740" w:rsidP="00111740">
      <w:pPr>
        <w:pStyle w:val="ListParagraph"/>
        <w:numPr>
          <w:ilvl w:val="0"/>
          <w:numId w:val="3"/>
        </w:numPr>
        <w:spacing w:before="240" w:after="240"/>
        <w:contextualSpacing w:val="0"/>
        <w:rPr>
          <w:rFonts w:ascii="Open Sans" w:hAnsi="Open Sans" w:cs="Open Sans"/>
        </w:rPr>
      </w:pPr>
      <w:r>
        <w:rPr>
          <w:rFonts w:ascii="Open Sans" w:hAnsi="Open Sans" w:cs="Open Sans"/>
        </w:rPr>
        <w:t xml:space="preserve">On 28 April 2020, I provided the Department with a notice of my findings and recommendations. </w:t>
      </w:r>
    </w:p>
    <w:p w14:paraId="1194E926" w14:textId="77777777" w:rsidR="00111740" w:rsidRDefault="00111740" w:rsidP="00111740">
      <w:pPr>
        <w:pStyle w:val="ListParagraph"/>
        <w:numPr>
          <w:ilvl w:val="0"/>
          <w:numId w:val="3"/>
        </w:numPr>
        <w:spacing w:before="240" w:after="240"/>
        <w:contextualSpacing w:val="0"/>
        <w:rPr>
          <w:rFonts w:ascii="Open Sans" w:hAnsi="Open Sans" w:cs="Open Sans"/>
        </w:rPr>
      </w:pPr>
      <w:r>
        <w:rPr>
          <w:rFonts w:ascii="Open Sans" w:hAnsi="Open Sans" w:cs="Open Sans"/>
        </w:rPr>
        <w:t xml:space="preserve">On 14 July 2020, the Department provided the following response to my findings and recommendations: </w:t>
      </w:r>
    </w:p>
    <w:p w14:paraId="18C10C02" w14:textId="77777777" w:rsidR="00111740" w:rsidRDefault="00111740" w:rsidP="00111740">
      <w:pPr>
        <w:pStyle w:val="ListParagraph"/>
        <w:spacing w:before="240" w:after="240"/>
        <w:ind w:left="1440"/>
        <w:contextualSpacing w:val="0"/>
        <w:rPr>
          <w:rFonts w:ascii="Open Sans" w:hAnsi="Open Sans" w:cs="Open Sans"/>
          <w:b/>
          <w:bCs/>
          <w:sz w:val="22"/>
          <w:szCs w:val="22"/>
        </w:rPr>
      </w:pPr>
      <w:r w:rsidRPr="006D4C89">
        <w:rPr>
          <w:rFonts w:ascii="Open Sans" w:hAnsi="Open Sans" w:cs="Open Sans"/>
          <w:b/>
          <w:bCs/>
          <w:sz w:val="22"/>
          <w:szCs w:val="22"/>
        </w:rPr>
        <w:t>AHRC’s finding</w:t>
      </w:r>
    </w:p>
    <w:p w14:paraId="40F65ADB" w14:textId="77777777" w:rsidR="00111740" w:rsidRPr="007D5534"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The Department’s delay in referring to Mr </w:t>
      </w:r>
      <w:proofErr w:type="spellStart"/>
      <w:r>
        <w:rPr>
          <w:rFonts w:ascii="Open Sans" w:hAnsi="Open Sans" w:cs="Open Sans"/>
          <w:sz w:val="22"/>
          <w:szCs w:val="22"/>
        </w:rPr>
        <w:t>Hamedani’s</w:t>
      </w:r>
      <w:proofErr w:type="spellEnd"/>
      <w:r>
        <w:rPr>
          <w:rFonts w:ascii="Open Sans" w:hAnsi="Open Sans" w:cs="Open Sans"/>
          <w:sz w:val="22"/>
          <w:szCs w:val="22"/>
        </w:rPr>
        <w:t xml:space="preserve"> case to the Minister for consideration of his discretionary intervention powers until 13 June 2017, and the Minister’s delay in considering whether to exercise his power to make a residence determination under section 197AB of the Migration Act, were acts that were, taken together, inconsistent with or contrary to article 9(1) of the </w:t>
      </w:r>
      <w:r>
        <w:rPr>
          <w:rFonts w:ascii="Open Sans" w:hAnsi="Open Sans" w:cs="Open Sans"/>
          <w:i/>
          <w:iCs/>
          <w:sz w:val="22"/>
          <w:szCs w:val="22"/>
        </w:rPr>
        <w:t xml:space="preserve">International Covenant on Civil and Political Rights </w:t>
      </w:r>
      <w:r>
        <w:rPr>
          <w:rFonts w:ascii="Open Sans" w:hAnsi="Open Sans" w:cs="Open Sans"/>
          <w:sz w:val="22"/>
          <w:szCs w:val="22"/>
        </w:rPr>
        <w:t xml:space="preserve">(ICCPR). </w:t>
      </w:r>
    </w:p>
    <w:p w14:paraId="46084AE4" w14:textId="77777777" w:rsidR="00111740" w:rsidRDefault="00111740" w:rsidP="00111740">
      <w:pPr>
        <w:pStyle w:val="ListParagraph"/>
        <w:spacing w:before="240" w:after="240"/>
        <w:ind w:left="1440"/>
        <w:contextualSpacing w:val="0"/>
        <w:rPr>
          <w:rFonts w:ascii="Open Sans" w:hAnsi="Open Sans" w:cs="Open Sans"/>
          <w:b/>
          <w:bCs/>
          <w:sz w:val="22"/>
          <w:szCs w:val="22"/>
        </w:rPr>
      </w:pPr>
      <w:r w:rsidRPr="006D4C89">
        <w:rPr>
          <w:rFonts w:ascii="Open Sans" w:hAnsi="Open Sans" w:cs="Open Sans"/>
          <w:b/>
          <w:bCs/>
          <w:sz w:val="22"/>
          <w:szCs w:val="22"/>
        </w:rPr>
        <w:t xml:space="preserve">Department’s response to finding </w:t>
      </w:r>
    </w:p>
    <w:p w14:paraId="472DE3AB" w14:textId="77777777" w:rsidR="00111740" w:rsidRDefault="00111740" w:rsidP="00111740">
      <w:pPr>
        <w:pStyle w:val="ListParagraph"/>
        <w:spacing w:before="240" w:after="240"/>
        <w:ind w:left="1440"/>
        <w:contextualSpacing w:val="0"/>
        <w:rPr>
          <w:rFonts w:ascii="Open Sans" w:hAnsi="Open Sans" w:cs="Open Sans"/>
          <w:i/>
          <w:iCs/>
          <w:sz w:val="22"/>
          <w:szCs w:val="22"/>
        </w:rPr>
      </w:pPr>
      <w:r>
        <w:rPr>
          <w:rFonts w:ascii="Open Sans" w:hAnsi="Open Sans" w:cs="Open Sans"/>
          <w:sz w:val="22"/>
          <w:szCs w:val="22"/>
        </w:rPr>
        <w:t xml:space="preserve">The Department does not accept the findings of the Australian Human Rights Commission (AHRC) as set out in the notice issued under section 29 of the </w:t>
      </w:r>
      <w:r>
        <w:rPr>
          <w:rFonts w:ascii="Open Sans" w:hAnsi="Open Sans" w:cs="Open Sans"/>
          <w:i/>
          <w:iCs/>
          <w:sz w:val="22"/>
          <w:szCs w:val="22"/>
        </w:rPr>
        <w:t xml:space="preserve">Australian Human Rights Commission Act 1986. </w:t>
      </w:r>
    </w:p>
    <w:p w14:paraId="468404F7" w14:textId="77777777" w:rsidR="00111740"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As per the Department’s response to the section 27 notice of the AHRC regarding this case, the Department maintains that Mr </w:t>
      </w:r>
      <w:proofErr w:type="spellStart"/>
      <w:r>
        <w:rPr>
          <w:rFonts w:ascii="Open Sans" w:hAnsi="Open Sans" w:cs="Open Sans"/>
          <w:sz w:val="22"/>
          <w:szCs w:val="22"/>
        </w:rPr>
        <w:t>Hamedani’s</w:t>
      </w:r>
      <w:proofErr w:type="spellEnd"/>
      <w:r>
        <w:rPr>
          <w:rFonts w:ascii="Open Sans" w:hAnsi="Open Sans" w:cs="Open Sans"/>
          <w:sz w:val="22"/>
          <w:szCs w:val="22"/>
        </w:rPr>
        <w:t xml:space="preserve"> placement in held detention prior to his placement under residence determination arrangements under section 197AB of the </w:t>
      </w:r>
      <w:r>
        <w:rPr>
          <w:rFonts w:ascii="Open Sans" w:hAnsi="Open Sans" w:cs="Open Sans"/>
          <w:i/>
          <w:iCs/>
          <w:sz w:val="22"/>
          <w:szCs w:val="22"/>
        </w:rPr>
        <w:t xml:space="preserve">Migration Act 1958 </w:t>
      </w:r>
      <w:r>
        <w:rPr>
          <w:rFonts w:ascii="Open Sans" w:hAnsi="Open Sans" w:cs="Open Sans"/>
          <w:sz w:val="22"/>
          <w:szCs w:val="22"/>
        </w:rPr>
        <w:t xml:space="preserve">(the Act) was appropriate, reasonable and justified in the individual circumstances of his case. </w:t>
      </w:r>
    </w:p>
    <w:p w14:paraId="51BF5C82" w14:textId="77777777" w:rsidR="00111740"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Cases may be referred for a </w:t>
      </w:r>
      <w:proofErr w:type="gramStart"/>
      <w:r>
        <w:rPr>
          <w:rFonts w:ascii="Open Sans" w:hAnsi="Open Sans" w:cs="Open Sans"/>
          <w:sz w:val="22"/>
          <w:szCs w:val="22"/>
        </w:rPr>
        <w:t>guidelines</w:t>
      </w:r>
      <w:proofErr w:type="gramEnd"/>
      <w:r>
        <w:rPr>
          <w:rFonts w:ascii="Open Sans" w:hAnsi="Open Sans" w:cs="Open Sans"/>
          <w:sz w:val="22"/>
          <w:szCs w:val="22"/>
        </w:rPr>
        <w:t xml:space="preserve"> assessment via a number of avenues, including by Status Resolution Officers following their monthly reviews of detention placements. The Department only refers cases to the Minister where it is assessed that a case meets the Ministerial Intervention guidelines. It is not a legal requirement that a case be considered against the </w:t>
      </w:r>
      <w:proofErr w:type="gramStart"/>
      <w:r>
        <w:rPr>
          <w:rFonts w:ascii="Open Sans" w:hAnsi="Open Sans" w:cs="Open Sans"/>
          <w:sz w:val="22"/>
          <w:szCs w:val="22"/>
        </w:rPr>
        <w:t>guidelines, or</w:t>
      </w:r>
      <w:proofErr w:type="gramEnd"/>
      <w:r>
        <w:rPr>
          <w:rFonts w:ascii="Open Sans" w:hAnsi="Open Sans" w:cs="Open Sans"/>
          <w:sz w:val="22"/>
          <w:szCs w:val="22"/>
        </w:rPr>
        <w:t xml:space="preserve"> be referred to the Minister. </w:t>
      </w:r>
    </w:p>
    <w:p w14:paraId="354CCCD5" w14:textId="77777777" w:rsidR="00111740"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It is noted that Mr </w:t>
      </w:r>
      <w:proofErr w:type="spellStart"/>
      <w:r>
        <w:rPr>
          <w:rFonts w:ascii="Open Sans" w:hAnsi="Open Sans" w:cs="Open Sans"/>
          <w:sz w:val="22"/>
          <w:szCs w:val="22"/>
        </w:rPr>
        <w:t>Hamedani</w:t>
      </w:r>
      <w:proofErr w:type="spellEnd"/>
      <w:r>
        <w:rPr>
          <w:rFonts w:ascii="Open Sans" w:hAnsi="Open Sans" w:cs="Open Sans"/>
          <w:sz w:val="22"/>
          <w:szCs w:val="22"/>
        </w:rPr>
        <w:t xml:space="preserve"> could only be placed into the community under a residence determination arrangement by the Minister. Section 197AB of the Act states that the Minister may only exercise the power personally. It also provides that the Minister’s powers are non-compellable, meaning the Minister does not have a duty to consider whether to exercise his power, </w:t>
      </w:r>
      <w:proofErr w:type="gramStart"/>
      <w:r>
        <w:rPr>
          <w:rFonts w:ascii="Open Sans" w:hAnsi="Open Sans" w:cs="Open Sans"/>
          <w:sz w:val="22"/>
          <w:szCs w:val="22"/>
        </w:rPr>
        <w:t>whether or not</w:t>
      </w:r>
      <w:proofErr w:type="gramEnd"/>
      <w:r>
        <w:rPr>
          <w:rFonts w:ascii="Open Sans" w:hAnsi="Open Sans" w:cs="Open Sans"/>
          <w:sz w:val="22"/>
          <w:szCs w:val="22"/>
        </w:rPr>
        <w:t xml:space="preserve"> requested by any person or in any other circumstance. </w:t>
      </w:r>
    </w:p>
    <w:p w14:paraId="5E5AC68B" w14:textId="77777777" w:rsidR="00111740"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Once the Minister had exercised his power to make a residence determination, Mr </w:t>
      </w:r>
      <w:proofErr w:type="spellStart"/>
      <w:r>
        <w:rPr>
          <w:rFonts w:ascii="Open Sans" w:hAnsi="Open Sans" w:cs="Open Sans"/>
          <w:sz w:val="22"/>
          <w:szCs w:val="22"/>
        </w:rPr>
        <w:t>Hamedani</w:t>
      </w:r>
      <w:proofErr w:type="spellEnd"/>
      <w:r>
        <w:rPr>
          <w:rFonts w:ascii="Open Sans" w:hAnsi="Open Sans" w:cs="Open Sans"/>
          <w:sz w:val="22"/>
          <w:szCs w:val="22"/>
        </w:rPr>
        <w:t xml:space="preserve"> was placed into the community as soon as reasonably practicable. </w:t>
      </w:r>
    </w:p>
    <w:p w14:paraId="5B7FA10E" w14:textId="77777777" w:rsidR="00111740"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The Department refutes that it delayed referral to the Minister for consideration under section 197AB. </w:t>
      </w:r>
    </w:p>
    <w:p w14:paraId="4A5278C4" w14:textId="77777777" w:rsidR="00111740"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On 10 November 2016, Mr </w:t>
      </w:r>
      <w:proofErr w:type="spellStart"/>
      <w:r>
        <w:rPr>
          <w:rFonts w:ascii="Open Sans" w:hAnsi="Open Sans" w:cs="Open Sans"/>
          <w:sz w:val="22"/>
          <w:szCs w:val="22"/>
        </w:rPr>
        <w:t>Hamedani’s</w:t>
      </w:r>
      <w:proofErr w:type="spellEnd"/>
      <w:r>
        <w:rPr>
          <w:rFonts w:ascii="Open Sans" w:hAnsi="Open Sans" w:cs="Open Sans"/>
          <w:sz w:val="22"/>
          <w:szCs w:val="22"/>
        </w:rPr>
        <w:t xml:space="preserve"> case was referred for assessment against the Minister’s guidelines under section 197AB of the Act. On 23 February 2017, his case was assessed as not meeting the Minister’s guidelines. Although he presented with some mental health issues, Mr </w:t>
      </w:r>
      <w:proofErr w:type="spellStart"/>
      <w:r>
        <w:rPr>
          <w:rFonts w:ascii="Open Sans" w:hAnsi="Open Sans" w:cs="Open Sans"/>
          <w:sz w:val="22"/>
          <w:szCs w:val="22"/>
        </w:rPr>
        <w:t>Hamedani’s</w:t>
      </w:r>
      <w:proofErr w:type="spellEnd"/>
      <w:r>
        <w:rPr>
          <w:rFonts w:ascii="Open Sans" w:hAnsi="Open Sans" w:cs="Open Sans"/>
          <w:sz w:val="22"/>
          <w:szCs w:val="22"/>
        </w:rPr>
        <w:t xml:space="preserve"> case fell within the scope of the types of cases the Minister did not wish to be referred. This was due to advice from the Department’s health care provider, international Health and Medical Services (IHMS), that from a medical perspective, Mr </w:t>
      </w:r>
      <w:proofErr w:type="spellStart"/>
      <w:r>
        <w:rPr>
          <w:rFonts w:ascii="Open Sans" w:hAnsi="Open Sans" w:cs="Open Sans"/>
          <w:sz w:val="22"/>
          <w:szCs w:val="22"/>
        </w:rPr>
        <w:t>Hamedani</w:t>
      </w:r>
      <w:proofErr w:type="spellEnd"/>
      <w:r>
        <w:rPr>
          <w:rFonts w:ascii="Open Sans" w:hAnsi="Open Sans" w:cs="Open Sans"/>
          <w:sz w:val="22"/>
          <w:szCs w:val="22"/>
        </w:rPr>
        <w:t xml:space="preserve"> could be returned to a regional processing centre. </w:t>
      </w:r>
    </w:p>
    <w:p w14:paraId="58EFD982" w14:textId="77777777" w:rsidR="00111740"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In addition, as Mr </w:t>
      </w:r>
      <w:proofErr w:type="spellStart"/>
      <w:r>
        <w:rPr>
          <w:rFonts w:ascii="Open Sans" w:hAnsi="Open Sans" w:cs="Open Sans"/>
          <w:sz w:val="22"/>
          <w:szCs w:val="22"/>
        </w:rPr>
        <w:t>Hamedani</w:t>
      </w:r>
      <w:proofErr w:type="spellEnd"/>
      <w:r>
        <w:rPr>
          <w:rFonts w:ascii="Open Sans" w:hAnsi="Open Sans" w:cs="Open Sans"/>
          <w:sz w:val="22"/>
          <w:szCs w:val="22"/>
        </w:rPr>
        <w:t xml:space="preserve"> had been found to be a refugee by the Government of Papua New Guinea, if he returned he would not be subject to detention and would be eligible for consideration for resettlement under the United States resettlement arrangement. </w:t>
      </w:r>
    </w:p>
    <w:p w14:paraId="0478360F" w14:textId="77777777" w:rsidR="00111740"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Mr </w:t>
      </w:r>
      <w:proofErr w:type="spellStart"/>
      <w:r>
        <w:rPr>
          <w:rFonts w:ascii="Open Sans" w:hAnsi="Open Sans" w:cs="Open Sans"/>
          <w:sz w:val="22"/>
          <w:szCs w:val="22"/>
        </w:rPr>
        <w:t>Hamedani’s</w:t>
      </w:r>
      <w:proofErr w:type="spellEnd"/>
      <w:r>
        <w:rPr>
          <w:rFonts w:ascii="Open Sans" w:hAnsi="Open Sans" w:cs="Open Sans"/>
          <w:sz w:val="22"/>
          <w:szCs w:val="22"/>
        </w:rPr>
        <w:t xml:space="preserve"> case continued to be regularly reviewed by the Department throughout his placement in held detention. His mental health issues were monitored closely and managed as necessary by IHMS. The Department notes that Mr </w:t>
      </w:r>
      <w:proofErr w:type="spellStart"/>
      <w:r>
        <w:rPr>
          <w:rFonts w:ascii="Open Sans" w:hAnsi="Open Sans" w:cs="Open Sans"/>
          <w:sz w:val="22"/>
          <w:szCs w:val="22"/>
        </w:rPr>
        <w:t>Hamedani</w:t>
      </w:r>
      <w:proofErr w:type="spellEnd"/>
      <w:r>
        <w:rPr>
          <w:rFonts w:ascii="Open Sans" w:hAnsi="Open Sans" w:cs="Open Sans"/>
          <w:sz w:val="22"/>
          <w:szCs w:val="22"/>
        </w:rPr>
        <w:t xml:space="preserve"> declined to trial medication, refused regular </w:t>
      </w:r>
      <w:proofErr w:type="gramStart"/>
      <w:r>
        <w:rPr>
          <w:rFonts w:ascii="Open Sans" w:hAnsi="Open Sans" w:cs="Open Sans"/>
          <w:sz w:val="22"/>
          <w:szCs w:val="22"/>
        </w:rPr>
        <w:t>therapy</w:t>
      </w:r>
      <w:proofErr w:type="gramEnd"/>
      <w:r>
        <w:rPr>
          <w:rFonts w:ascii="Open Sans" w:hAnsi="Open Sans" w:cs="Open Sans"/>
          <w:sz w:val="22"/>
          <w:szCs w:val="22"/>
        </w:rPr>
        <w:t xml:space="preserve"> and displayed a reluctance to engage with mental health staff, having declined a consultation with a psychiatrist and failing to attend psychologist appointments. </w:t>
      </w:r>
    </w:p>
    <w:p w14:paraId="12BE8B29" w14:textId="77777777" w:rsidR="00111740"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Following advice from IHMS that there had been a deterioration of Mr </w:t>
      </w:r>
      <w:proofErr w:type="spellStart"/>
      <w:r>
        <w:rPr>
          <w:rFonts w:ascii="Open Sans" w:hAnsi="Open Sans" w:cs="Open Sans"/>
          <w:sz w:val="22"/>
          <w:szCs w:val="22"/>
        </w:rPr>
        <w:t>Hamedani’s</w:t>
      </w:r>
      <w:proofErr w:type="spellEnd"/>
      <w:r>
        <w:rPr>
          <w:rFonts w:ascii="Open Sans" w:hAnsi="Open Sans" w:cs="Open Sans"/>
          <w:sz w:val="22"/>
          <w:szCs w:val="22"/>
        </w:rPr>
        <w:t xml:space="preserve"> mental health, on 13 June 2017, his case was referred to the Minister for consideration under section 197AB. On 23 April 2018, following a request from the Minister’s Office, the Department provided the Minister with further information regarding Mr </w:t>
      </w:r>
      <w:proofErr w:type="spellStart"/>
      <w:r>
        <w:rPr>
          <w:rFonts w:ascii="Open Sans" w:hAnsi="Open Sans" w:cs="Open Sans"/>
          <w:sz w:val="22"/>
          <w:szCs w:val="22"/>
        </w:rPr>
        <w:t>Hamedani’s</w:t>
      </w:r>
      <w:proofErr w:type="spellEnd"/>
      <w:r>
        <w:rPr>
          <w:rFonts w:ascii="Open Sans" w:hAnsi="Open Sans" w:cs="Open Sans"/>
          <w:sz w:val="22"/>
          <w:szCs w:val="22"/>
        </w:rPr>
        <w:t xml:space="preserve"> health. On 4 September 2018, the submission was returned from the Minister’s Office for updating following a change in Minister. </w:t>
      </w:r>
    </w:p>
    <w:p w14:paraId="32ED4FBB" w14:textId="77777777" w:rsidR="00111740"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Following the return of the unsigned submission, the Department again assessed Mr </w:t>
      </w:r>
      <w:proofErr w:type="spellStart"/>
      <w:r>
        <w:rPr>
          <w:rFonts w:ascii="Open Sans" w:hAnsi="Open Sans" w:cs="Open Sans"/>
          <w:sz w:val="22"/>
          <w:szCs w:val="22"/>
        </w:rPr>
        <w:t>Hamedani’s</w:t>
      </w:r>
      <w:proofErr w:type="spellEnd"/>
      <w:r>
        <w:rPr>
          <w:rFonts w:ascii="Open Sans" w:hAnsi="Open Sans" w:cs="Open Sans"/>
          <w:sz w:val="22"/>
          <w:szCs w:val="22"/>
        </w:rPr>
        <w:t xml:space="preserve"> circumstances against the section 197AB guidelines and on 9 October 2018, a further submission was referred for the (new) Minister’s consideration. </w:t>
      </w:r>
    </w:p>
    <w:p w14:paraId="55187660" w14:textId="77777777" w:rsidR="00111740" w:rsidRPr="00D03700"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On 29 November 2018, the Minister intervened under section 197AB and Mr </w:t>
      </w:r>
      <w:proofErr w:type="spellStart"/>
      <w:r>
        <w:rPr>
          <w:rFonts w:ascii="Open Sans" w:hAnsi="Open Sans" w:cs="Open Sans"/>
          <w:sz w:val="22"/>
          <w:szCs w:val="22"/>
        </w:rPr>
        <w:t>Hamedani</w:t>
      </w:r>
      <w:proofErr w:type="spellEnd"/>
      <w:r>
        <w:rPr>
          <w:rFonts w:ascii="Open Sans" w:hAnsi="Open Sans" w:cs="Open Sans"/>
          <w:sz w:val="22"/>
          <w:szCs w:val="22"/>
        </w:rPr>
        <w:t xml:space="preserve"> was placed into the community under resistance determination arrangements on 4 December 2018.</w:t>
      </w:r>
    </w:p>
    <w:p w14:paraId="2682189E" w14:textId="77777777" w:rsidR="00111740" w:rsidRDefault="00111740" w:rsidP="00111740">
      <w:pPr>
        <w:pStyle w:val="ListParagraph"/>
        <w:spacing w:before="240" w:after="240"/>
        <w:ind w:left="1440"/>
        <w:contextualSpacing w:val="0"/>
        <w:rPr>
          <w:rFonts w:ascii="Open Sans" w:hAnsi="Open Sans" w:cs="Open Sans"/>
          <w:b/>
          <w:bCs/>
          <w:sz w:val="22"/>
          <w:szCs w:val="22"/>
        </w:rPr>
      </w:pPr>
      <w:r w:rsidRPr="006D4C89">
        <w:rPr>
          <w:rFonts w:ascii="Open Sans" w:hAnsi="Open Sans" w:cs="Open Sans"/>
          <w:b/>
          <w:bCs/>
          <w:sz w:val="22"/>
          <w:szCs w:val="22"/>
        </w:rPr>
        <w:t xml:space="preserve">AHRC’s recommendation </w:t>
      </w:r>
    </w:p>
    <w:p w14:paraId="67F733C5" w14:textId="77777777" w:rsidR="00111740" w:rsidRPr="00245CC2"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Monthly detention reviews seek and consider IHMS advice regarding detention placement. Where IHMS recommends community detention, an individual’s case be immediately referred for assessment against the Minister’s guidelines for possible consideration under s 197AB of the Migration Act. </w:t>
      </w:r>
    </w:p>
    <w:p w14:paraId="118A0C9F" w14:textId="77777777" w:rsidR="00111740" w:rsidRDefault="00111740" w:rsidP="00111740">
      <w:pPr>
        <w:pStyle w:val="ListParagraph"/>
        <w:spacing w:before="240" w:after="240"/>
        <w:ind w:left="1440"/>
        <w:contextualSpacing w:val="0"/>
        <w:rPr>
          <w:rFonts w:ascii="Open Sans" w:hAnsi="Open Sans" w:cs="Open Sans"/>
          <w:b/>
          <w:bCs/>
          <w:sz w:val="22"/>
          <w:szCs w:val="22"/>
        </w:rPr>
      </w:pPr>
      <w:r w:rsidRPr="006D4C89">
        <w:rPr>
          <w:rFonts w:ascii="Open Sans" w:hAnsi="Open Sans" w:cs="Open Sans"/>
          <w:b/>
          <w:bCs/>
          <w:sz w:val="22"/>
          <w:szCs w:val="22"/>
        </w:rPr>
        <w:t xml:space="preserve">Response to recommendation </w:t>
      </w:r>
    </w:p>
    <w:p w14:paraId="7812F37E" w14:textId="77777777" w:rsidR="00111740" w:rsidRPr="00405966"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Detention cases are reviewed monthly by Status Resolution Officers, and already </w:t>
      </w:r>
      <w:proofErr w:type="gramStart"/>
      <w:r>
        <w:rPr>
          <w:rFonts w:ascii="Open Sans" w:hAnsi="Open Sans" w:cs="Open Sans"/>
          <w:sz w:val="22"/>
          <w:szCs w:val="22"/>
        </w:rPr>
        <w:t>take into account</w:t>
      </w:r>
      <w:proofErr w:type="gramEnd"/>
      <w:r>
        <w:rPr>
          <w:rFonts w:ascii="Open Sans" w:hAnsi="Open Sans" w:cs="Open Sans"/>
          <w:sz w:val="22"/>
          <w:szCs w:val="22"/>
        </w:rPr>
        <w:t xml:space="preserve"> available health information as reported by IHMS. Where the information before a Status Resolution Officer indicates ongoing placement in held immigration detention may no longer be appropriate, the Status Resolution Officer will refer the case for assessment against the Minister’s Intervention Guidelines. </w:t>
      </w:r>
    </w:p>
    <w:p w14:paraId="0A1430C6" w14:textId="77777777" w:rsidR="00111740" w:rsidRDefault="00111740" w:rsidP="00111740">
      <w:pPr>
        <w:pStyle w:val="ListParagraph"/>
        <w:spacing w:before="240" w:after="240"/>
        <w:ind w:left="1440"/>
        <w:contextualSpacing w:val="0"/>
        <w:rPr>
          <w:rFonts w:ascii="Open Sans" w:hAnsi="Open Sans" w:cs="Open Sans"/>
          <w:b/>
          <w:bCs/>
          <w:sz w:val="22"/>
          <w:szCs w:val="22"/>
        </w:rPr>
      </w:pPr>
      <w:r w:rsidRPr="006D4C89">
        <w:rPr>
          <w:rFonts w:ascii="Open Sans" w:hAnsi="Open Sans" w:cs="Open Sans"/>
          <w:b/>
          <w:bCs/>
          <w:sz w:val="22"/>
          <w:szCs w:val="22"/>
        </w:rPr>
        <w:t xml:space="preserve">AHRC’s recommendation </w:t>
      </w:r>
    </w:p>
    <w:p w14:paraId="439FC31E" w14:textId="77777777" w:rsidR="00111740" w:rsidRPr="007C7812"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Where an individual who has significant </w:t>
      </w:r>
      <w:proofErr w:type="gramStart"/>
      <w:r>
        <w:rPr>
          <w:rFonts w:ascii="Open Sans" w:hAnsi="Open Sans" w:cs="Open Sans"/>
          <w:sz w:val="22"/>
          <w:szCs w:val="22"/>
        </w:rPr>
        <w:t>health</w:t>
      </w:r>
      <w:proofErr w:type="gramEnd"/>
      <w:r>
        <w:rPr>
          <w:rFonts w:ascii="Open Sans" w:hAnsi="Open Sans" w:cs="Open Sans"/>
          <w:sz w:val="22"/>
          <w:szCs w:val="22"/>
        </w:rPr>
        <w:t xml:space="preserve"> concerns has been referred to the Minister for consideration under section 197AB, the Department follow up on a monthly basis the referral with the Minister’s office.</w:t>
      </w:r>
    </w:p>
    <w:p w14:paraId="630D2FA9" w14:textId="77777777" w:rsidR="00111740" w:rsidRDefault="00111740" w:rsidP="00111740">
      <w:pPr>
        <w:pStyle w:val="ListParagraph"/>
        <w:spacing w:before="240" w:after="240"/>
        <w:ind w:left="1440"/>
        <w:contextualSpacing w:val="0"/>
        <w:rPr>
          <w:rFonts w:ascii="Open Sans" w:hAnsi="Open Sans" w:cs="Open Sans"/>
          <w:b/>
          <w:bCs/>
          <w:sz w:val="22"/>
          <w:szCs w:val="22"/>
        </w:rPr>
      </w:pPr>
      <w:r w:rsidRPr="006D4C89">
        <w:rPr>
          <w:rFonts w:ascii="Open Sans" w:hAnsi="Open Sans" w:cs="Open Sans"/>
          <w:b/>
          <w:bCs/>
          <w:sz w:val="22"/>
          <w:szCs w:val="22"/>
        </w:rPr>
        <w:t xml:space="preserve">Response to recommendation </w:t>
      </w:r>
    </w:p>
    <w:p w14:paraId="0BEA5777" w14:textId="77777777" w:rsidR="00111740" w:rsidRPr="00E91B78"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The Department does not accept this recommendation. The Minister’s power is non-compellable, and exercisable only by the Minister </w:t>
      </w:r>
      <w:proofErr w:type="gramStart"/>
      <w:r>
        <w:rPr>
          <w:rFonts w:ascii="Open Sans" w:hAnsi="Open Sans" w:cs="Open Sans"/>
          <w:sz w:val="22"/>
          <w:szCs w:val="22"/>
        </w:rPr>
        <w:t>on the basis of</w:t>
      </w:r>
      <w:proofErr w:type="gramEnd"/>
      <w:r>
        <w:rPr>
          <w:rFonts w:ascii="Open Sans" w:hAnsi="Open Sans" w:cs="Open Sans"/>
          <w:sz w:val="22"/>
          <w:szCs w:val="22"/>
        </w:rPr>
        <w:t xml:space="preserve"> his assessment of the ‘public interest’. A monthly ‘follow up’ by the Department with the Minister is not appropriate. However, the Department advises that where a </w:t>
      </w:r>
      <w:proofErr w:type="gramStart"/>
      <w:r>
        <w:rPr>
          <w:rFonts w:ascii="Open Sans" w:hAnsi="Open Sans" w:cs="Open Sans"/>
          <w:sz w:val="22"/>
          <w:szCs w:val="22"/>
        </w:rPr>
        <w:t>detainees</w:t>
      </w:r>
      <w:proofErr w:type="gramEnd"/>
      <w:r>
        <w:rPr>
          <w:rFonts w:ascii="Open Sans" w:hAnsi="Open Sans" w:cs="Open Sans"/>
          <w:sz w:val="22"/>
          <w:szCs w:val="22"/>
        </w:rPr>
        <w:t xml:space="preserve"> circumstances significantly change, including deterioration of any health issues, the Department does raise those changes of circumstance with the Minister’s office.</w:t>
      </w:r>
    </w:p>
    <w:p w14:paraId="382A2761" w14:textId="77777777" w:rsidR="00111740" w:rsidRDefault="00111740" w:rsidP="00111740">
      <w:pPr>
        <w:pStyle w:val="ListParagraph"/>
        <w:spacing w:before="240" w:after="240"/>
        <w:ind w:left="1440"/>
        <w:contextualSpacing w:val="0"/>
        <w:rPr>
          <w:rFonts w:ascii="Open Sans" w:hAnsi="Open Sans" w:cs="Open Sans"/>
          <w:b/>
          <w:bCs/>
          <w:sz w:val="22"/>
          <w:szCs w:val="22"/>
        </w:rPr>
      </w:pPr>
      <w:r w:rsidRPr="006D4C89">
        <w:rPr>
          <w:rFonts w:ascii="Open Sans" w:hAnsi="Open Sans" w:cs="Open Sans"/>
          <w:b/>
          <w:bCs/>
          <w:sz w:val="22"/>
          <w:szCs w:val="22"/>
        </w:rPr>
        <w:t xml:space="preserve">AHRC’s recommendation </w:t>
      </w:r>
    </w:p>
    <w:p w14:paraId="44358217" w14:textId="77777777" w:rsidR="00111740" w:rsidRPr="00F234CF"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The Commonwealth acknowledge that the combined delay and continued closed detention had a significant impact on Mr </w:t>
      </w:r>
      <w:proofErr w:type="spellStart"/>
      <w:r>
        <w:rPr>
          <w:rFonts w:ascii="Open Sans" w:hAnsi="Open Sans" w:cs="Open Sans"/>
          <w:sz w:val="22"/>
          <w:szCs w:val="22"/>
        </w:rPr>
        <w:t>Hamedani’s</w:t>
      </w:r>
      <w:proofErr w:type="spellEnd"/>
      <w:r>
        <w:rPr>
          <w:rFonts w:ascii="Open Sans" w:hAnsi="Open Sans" w:cs="Open Sans"/>
          <w:sz w:val="22"/>
          <w:szCs w:val="22"/>
        </w:rPr>
        <w:t xml:space="preserve"> declining mental health.</w:t>
      </w:r>
    </w:p>
    <w:p w14:paraId="53CC7BA1" w14:textId="77777777" w:rsidR="00111740" w:rsidRDefault="00111740" w:rsidP="00111740">
      <w:pPr>
        <w:pStyle w:val="ListParagraph"/>
        <w:spacing w:before="240" w:after="240"/>
        <w:ind w:left="1440"/>
        <w:contextualSpacing w:val="0"/>
        <w:rPr>
          <w:rFonts w:ascii="Open Sans" w:hAnsi="Open Sans" w:cs="Open Sans"/>
          <w:b/>
          <w:bCs/>
          <w:sz w:val="22"/>
          <w:szCs w:val="22"/>
        </w:rPr>
      </w:pPr>
      <w:r w:rsidRPr="006D4C89">
        <w:rPr>
          <w:rFonts w:ascii="Open Sans" w:hAnsi="Open Sans" w:cs="Open Sans"/>
          <w:b/>
          <w:bCs/>
          <w:sz w:val="22"/>
          <w:szCs w:val="22"/>
        </w:rPr>
        <w:t xml:space="preserve">Response to recommendation </w:t>
      </w:r>
    </w:p>
    <w:p w14:paraId="66AFB012" w14:textId="77777777" w:rsidR="00111740" w:rsidRPr="00F234CF" w:rsidRDefault="00111740" w:rsidP="00111740">
      <w:pPr>
        <w:pStyle w:val="ListParagraph"/>
        <w:spacing w:before="240" w:after="240"/>
        <w:ind w:left="1440"/>
        <w:contextualSpacing w:val="0"/>
        <w:rPr>
          <w:rFonts w:ascii="Open Sans" w:hAnsi="Open Sans" w:cs="Open Sans"/>
          <w:sz w:val="22"/>
          <w:szCs w:val="22"/>
        </w:rPr>
      </w:pPr>
      <w:r>
        <w:rPr>
          <w:rFonts w:ascii="Open Sans" w:hAnsi="Open Sans" w:cs="Open Sans"/>
          <w:sz w:val="22"/>
          <w:szCs w:val="22"/>
        </w:rPr>
        <w:t xml:space="preserve">The Department refutes that it delayed referral, and the consideration about whether to make a resident determination is a matter for the Minister. </w:t>
      </w:r>
    </w:p>
    <w:p w14:paraId="7D02818B" w14:textId="77777777" w:rsidR="00111740" w:rsidRPr="0057483B" w:rsidRDefault="00111740" w:rsidP="00111740">
      <w:pPr>
        <w:pStyle w:val="ListParagraph"/>
        <w:spacing w:before="240" w:after="240"/>
        <w:ind w:left="1440"/>
        <w:contextualSpacing w:val="0"/>
        <w:rPr>
          <w:rFonts w:ascii="Open Sans" w:hAnsi="Open Sans" w:cs="Open Sans"/>
          <w:b/>
          <w:bCs/>
        </w:rPr>
      </w:pPr>
    </w:p>
    <w:p w14:paraId="6430BDFC" w14:textId="77777777" w:rsidR="00111740" w:rsidRDefault="00111740" w:rsidP="00111740">
      <w:pPr>
        <w:spacing w:before="240" w:after="240"/>
        <w:rPr>
          <w:rFonts w:ascii="Open Sans" w:hAnsi="Open Sans" w:cs="Open Sans"/>
        </w:rPr>
      </w:pPr>
      <w:r>
        <w:rPr>
          <w:noProof/>
        </w:rPr>
        <w:drawing>
          <wp:inline distT="0" distB="0" distL="0" distR="0" wp14:anchorId="616771C4" wp14:editId="588444D8">
            <wp:extent cx="3191581" cy="7905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7325" cy="799429"/>
                    </a:xfrm>
                    <a:prstGeom prst="rect">
                      <a:avLst/>
                    </a:prstGeom>
                  </pic:spPr>
                </pic:pic>
              </a:graphicData>
            </a:graphic>
          </wp:inline>
        </w:drawing>
      </w:r>
    </w:p>
    <w:p w14:paraId="3CF55C91" w14:textId="77777777" w:rsidR="00111740" w:rsidRPr="003F061F" w:rsidRDefault="00111740" w:rsidP="00111740">
      <w:pPr>
        <w:rPr>
          <w:rFonts w:ascii="Open Sans" w:hAnsi="Open Sans" w:cs="Open Sans"/>
          <w:szCs w:val="24"/>
        </w:rPr>
      </w:pPr>
      <w:r w:rsidRPr="003F061F">
        <w:rPr>
          <w:rFonts w:ascii="Open Sans" w:hAnsi="Open Sans" w:cs="Open Sans"/>
          <w:szCs w:val="24"/>
        </w:rPr>
        <w:t>Emeritus Professor Rosalind Croucher AM</w:t>
      </w:r>
    </w:p>
    <w:p w14:paraId="2BECEF5C" w14:textId="77777777" w:rsidR="00111740" w:rsidRPr="003F061F" w:rsidRDefault="00111740" w:rsidP="00111740">
      <w:pPr>
        <w:rPr>
          <w:rFonts w:ascii="Open Sans" w:hAnsi="Open Sans" w:cs="Open Sans"/>
          <w:b/>
          <w:szCs w:val="24"/>
        </w:rPr>
      </w:pPr>
      <w:r w:rsidRPr="003F061F">
        <w:rPr>
          <w:rFonts w:ascii="Open Sans" w:hAnsi="Open Sans" w:cs="Open Sans"/>
          <w:b/>
          <w:szCs w:val="24"/>
        </w:rPr>
        <w:t xml:space="preserve">President </w:t>
      </w:r>
    </w:p>
    <w:p w14:paraId="3BA7573E" w14:textId="77777777" w:rsidR="00111740" w:rsidRPr="003F061F" w:rsidRDefault="00111740" w:rsidP="00111740">
      <w:pPr>
        <w:rPr>
          <w:rFonts w:ascii="Open Sans" w:hAnsi="Open Sans" w:cs="Open Sans"/>
          <w:szCs w:val="24"/>
        </w:rPr>
      </w:pPr>
      <w:r w:rsidRPr="003F061F">
        <w:rPr>
          <w:rFonts w:ascii="Open Sans" w:hAnsi="Open Sans" w:cs="Open Sans"/>
          <w:szCs w:val="24"/>
        </w:rPr>
        <w:t>Australian Human Rights Commission</w:t>
      </w:r>
    </w:p>
    <w:p w14:paraId="1DCAAF8E" w14:textId="77777777" w:rsidR="00111740" w:rsidRDefault="00111740" w:rsidP="00111740">
      <w:pPr>
        <w:spacing w:before="240" w:after="240"/>
        <w:rPr>
          <w:rFonts w:ascii="Open Sans" w:hAnsi="Open Sans" w:cs="Open Sans"/>
          <w:szCs w:val="24"/>
        </w:rPr>
      </w:pPr>
      <w:r>
        <w:rPr>
          <w:rFonts w:ascii="Open Sans" w:hAnsi="Open Sans" w:cs="Open Sans"/>
          <w:szCs w:val="24"/>
        </w:rPr>
        <w:t xml:space="preserve">20 August </w:t>
      </w:r>
      <w:r w:rsidRPr="00E60F82">
        <w:rPr>
          <w:rFonts w:ascii="Open Sans" w:hAnsi="Open Sans" w:cs="Open Sans"/>
          <w:szCs w:val="24"/>
        </w:rPr>
        <w:t>20</w:t>
      </w:r>
      <w:r>
        <w:rPr>
          <w:rFonts w:ascii="Open Sans" w:hAnsi="Open Sans" w:cs="Open Sans"/>
          <w:szCs w:val="24"/>
        </w:rPr>
        <w:t>20</w:t>
      </w:r>
    </w:p>
    <w:p w14:paraId="03BD9FC0" w14:textId="77777777" w:rsidR="00111740" w:rsidRDefault="00111740" w:rsidP="00111740"/>
    <w:p w14:paraId="04517C13" w14:textId="77777777" w:rsidR="00B27EAB" w:rsidRDefault="00B27EAB"/>
    <w:sectPr w:rsidR="00B27EAB" w:rsidSect="00F3405E">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D8619" w14:textId="77777777" w:rsidR="0091276A" w:rsidRDefault="0091276A" w:rsidP="00111740">
      <w:r>
        <w:separator/>
      </w:r>
    </w:p>
  </w:endnote>
  <w:endnote w:type="continuationSeparator" w:id="0">
    <w:p w14:paraId="0FF24F88" w14:textId="77777777" w:rsidR="0091276A" w:rsidRDefault="0091276A" w:rsidP="00111740">
      <w:r>
        <w:continuationSeparator/>
      </w:r>
    </w:p>
  </w:endnote>
  <w:endnote w:id="1">
    <w:p w14:paraId="6551E7BC" w14:textId="77777777" w:rsidR="00111740" w:rsidRDefault="00111740" w:rsidP="00111740">
      <w:pPr>
        <w:pStyle w:val="EndnoteText"/>
        <w:rPr>
          <w:rFonts w:ascii="Open Sans" w:hAnsi="Open Sans" w:cs="Open Sans"/>
          <w:sz w:val="20"/>
        </w:rPr>
      </w:pPr>
      <w:r w:rsidRPr="00F20A2F">
        <w:rPr>
          <w:rStyle w:val="EndnoteReference"/>
          <w:rFonts w:ascii="Open Sans" w:hAnsi="Open Sans" w:cs="Open Sans"/>
        </w:rPr>
        <w:endnoteRef/>
      </w:r>
      <w:r w:rsidRPr="004371BC">
        <w:rPr>
          <w:rFonts w:ascii="Open Sans" w:hAnsi="Open Sans" w:cs="Open Sans"/>
          <w:sz w:val="20"/>
        </w:rPr>
        <w:t xml:space="preserve"> </w:t>
      </w:r>
      <w:r>
        <w:rPr>
          <w:rFonts w:ascii="Open Sans" w:hAnsi="Open Sans" w:cs="Open Sans"/>
          <w:sz w:val="20"/>
        </w:rPr>
        <w:t xml:space="preserve">    Opened for signature 16 December 1966, 999 UNTS 171 </w:t>
      </w:r>
      <w:r w:rsidRPr="00F20A2F">
        <w:rPr>
          <w:rFonts w:ascii="Open Sans" w:hAnsi="Open Sans" w:cs="Open Sans"/>
          <w:sz w:val="20"/>
        </w:rPr>
        <w:t>(</w:t>
      </w:r>
      <w:r>
        <w:rPr>
          <w:rFonts w:ascii="Open Sans" w:hAnsi="Open Sans" w:cs="Open Sans"/>
          <w:sz w:val="20"/>
        </w:rPr>
        <w:t>entered into force 23 March</w:t>
      </w:r>
      <w:r w:rsidRPr="00F20A2F">
        <w:rPr>
          <w:rFonts w:ascii="Open Sans" w:hAnsi="Open Sans" w:cs="Open Sans"/>
          <w:sz w:val="20"/>
        </w:rPr>
        <w:t xml:space="preserve"> 19</w:t>
      </w:r>
      <w:r>
        <w:rPr>
          <w:rFonts w:ascii="Open Sans" w:hAnsi="Open Sans" w:cs="Open Sans"/>
          <w:sz w:val="20"/>
        </w:rPr>
        <w:t>7</w:t>
      </w:r>
      <w:r w:rsidRPr="00F20A2F">
        <w:rPr>
          <w:rFonts w:ascii="Open Sans" w:hAnsi="Open Sans" w:cs="Open Sans"/>
          <w:sz w:val="20"/>
        </w:rPr>
        <w:t xml:space="preserve">6), [1980] </w:t>
      </w:r>
    </w:p>
    <w:p w14:paraId="12340C43" w14:textId="77777777" w:rsidR="00111740" w:rsidRPr="00F20A2F" w:rsidRDefault="00111740" w:rsidP="00111740">
      <w:pPr>
        <w:pStyle w:val="EndnoteText"/>
        <w:rPr>
          <w:rFonts w:ascii="Open Sans" w:hAnsi="Open Sans" w:cs="Open Sans"/>
          <w:sz w:val="20"/>
        </w:rPr>
      </w:pPr>
      <w:r>
        <w:rPr>
          <w:rFonts w:ascii="Open Sans" w:hAnsi="Open Sans" w:cs="Open Sans"/>
          <w:sz w:val="20"/>
        </w:rPr>
        <w:t xml:space="preserve">      ATS 23 (entered into force for Australia 13 November 1980).    </w:t>
      </w:r>
    </w:p>
  </w:endnote>
  <w:endnote w:id="2">
    <w:p w14:paraId="71C72E91" w14:textId="77777777" w:rsidR="00111740" w:rsidRPr="00F20A2F" w:rsidRDefault="00111740" w:rsidP="00111740">
      <w:pPr>
        <w:pStyle w:val="EndnoteText"/>
        <w:tabs>
          <w:tab w:val="left" w:pos="284"/>
        </w:tabs>
        <w:ind w:left="284" w:hanging="284"/>
        <w:rPr>
          <w:rFonts w:ascii="Open Sans" w:hAnsi="Open Sans" w:cs="Open Sans"/>
          <w:sz w:val="20"/>
        </w:rPr>
      </w:pPr>
      <w:r w:rsidRPr="00F20A2F">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F20A2F">
        <w:rPr>
          <w:rFonts w:ascii="Open Sans" w:hAnsi="Open Sans" w:cs="Open Sans"/>
          <w:sz w:val="20"/>
        </w:rPr>
        <w:t>See</w:t>
      </w:r>
      <w:r w:rsidRPr="00F20A2F">
        <w:rPr>
          <w:rFonts w:ascii="Open Sans" w:hAnsi="Open Sans" w:cs="Open Sans"/>
          <w:spacing w:val="-4"/>
          <w:sz w:val="20"/>
        </w:rPr>
        <w:t xml:space="preserve"> </w:t>
      </w:r>
      <w:r w:rsidRPr="00F20A2F">
        <w:rPr>
          <w:rFonts w:ascii="Open Sans" w:hAnsi="Open Sans" w:cs="Open Sans"/>
          <w:i/>
          <w:sz w:val="20"/>
        </w:rPr>
        <w:t>Secretary,</w:t>
      </w:r>
      <w:r w:rsidRPr="00F20A2F">
        <w:rPr>
          <w:rFonts w:ascii="Open Sans" w:hAnsi="Open Sans" w:cs="Open Sans"/>
          <w:i/>
          <w:spacing w:val="-4"/>
          <w:sz w:val="20"/>
        </w:rPr>
        <w:t xml:space="preserve"> </w:t>
      </w:r>
      <w:r w:rsidRPr="00F20A2F">
        <w:rPr>
          <w:rFonts w:ascii="Open Sans" w:hAnsi="Open Sans" w:cs="Open Sans"/>
          <w:i/>
          <w:sz w:val="20"/>
        </w:rPr>
        <w:t>Department of Defence v</w:t>
      </w:r>
      <w:r w:rsidRPr="00F20A2F">
        <w:rPr>
          <w:rFonts w:ascii="Open Sans" w:hAnsi="Open Sans" w:cs="Open Sans"/>
          <w:i/>
          <w:spacing w:val="-4"/>
          <w:sz w:val="20"/>
        </w:rPr>
        <w:t xml:space="preserve"> </w:t>
      </w:r>
      <w:r w:rsidRPr="00F20A2F">
        <w:rPr>
          <w:rFonts w:ascii="Open Sans" w:hAnsi="Open Sans" w:cs="Open Sans"/>
          <w:i/>
          <w:sz w:val="20"/>
        </w:rPr>
        <w:t>HREOC, Burgess</w:t>
      </w:r>
      <w:r w:rsidRPr="00F20A2F">
        <w:rPr>
          <w:rFonts w:ascii="Open Sans" w:hAnsi="Open Sans" w:cs="Open Sans"/>
          <w:i/>
          <w:spacing w:val="-4"/>
          <w:sz w:val="20"/>
        </w:rPr>
        <w:t xml:space="preserve"> </w:t>
      </w:r>
      <w:r w:rsidRPr="00F20A2F">
        <w:rPr>
          <w:rFonts w:ascii="Open Sans" w:hAnsi="Open Sans" w:cs="Open Sans"/>
          <w:i/>
          <w:sz w:val="20"/>
        </w:rPr>
        <w:t>&amp;</w:t>
      </w:r>
      <w:r w:rsidRPr="00F20A2F">
        <w:rPr>
          <w:rFonts w:ascii="Open Sans" w:hAnsi="Open Sans" w:cs="Open Sans"/>
          <w:i/>
          <w:spacing w:val="-4"/>
          <w:sz w:val="20"/>
        </w:rPr>
        <w:t xml:space="preserve"> </w:t>
      </w:r>
      <w:r w:rsidRPr="00F20A2F">
        <w:rPr>
          <w:rFonts w:ascii="Open Sans" w:hAnsi="Open Sans" w:cs="Open Sans"/>
          <w:i/>
          <w:sz w:val="20"/>
        </w:rPr>
        <w:t>Ors</w:t>
      </w:r>
      <w:r w:rsidRPr="00F20A2F">
        <w:rPr>
          <w:rFonts w:ascii="Open Sans" w:hAnsi="Open Sans" w:cs="Open Sans"/>
          <w:i/>
          <w:spacing w:val="-3"/>
          <w:sz w:val="20"/>
        </w:rPr>
        <w:t xml:space="preserve"> </w:t>
      </w:r>
      <w:r w:rsidRPr="00F20A2F">
        <w:rPr>
          <w:rFonts w:ascii="Open Sans" w:hAnsi="Open Sans" w:cs="Open Sans"/>
          <w:sz w:val="20"/>
        </w:rPr>
        <w:t>(1997)</w:t>
      </w:r>
      <w:r w:rsidRPr="00F20A2F">
        <w:rPr>
          <w:rFonts w:ascii="Open Sans" w:hAnsi="Open Sans" w:cs="Open Sans"/>
          <w:spacing w:val="-4"/>
          <w:sz w:val="20"/>
        </w:rPr>
        <w:t xml:space="preserve"> </w:t>
      </w:r>
      <w:r w:rsidRPr="00F20A2F">
        <w:rPr>
          <w:rFonts w:ascii="Open Sans" w:hAnsi="Open Sans" w:cs="Open Sans"/>
          <w:sz w:val="20"/>
        </w:rPr>
        <w:t>78 FCR</w:t>
      </w:r>
      <w:r w:rsidRPr="00F20A2F">
        <w:rPr>
          <w:rFonts w:ascii="Open Sans" w:hAnsi="Open Sans" w:cs="Open Sans"/>
          <w:spacing w:val="-4"/>
          <w:sz w:val="20"/>
        </w:rPr>
        <w:t xml:space="preserve"> </w:t>
      </w:r>
      <w:r w:rsidRPr="00F20A2F">
        <w:rPr>
          <w:rFonts w:ascii="Open Sans" w:hAnsi="Open Sans" w:cs="Open Sans"/>
          <w:sz w:val="20"/>
        </w:rPr>
        <w:t xml:space="preserve">208, where Branson J found that the Commission could not, in conducting its inquiry, disregard the legal obligations of the Secretary in exercising a statutory power. Note in particular 212-3 and 214-5. </w:t>
      </w:r>
    </w:p>
  </w:endnote>
  <w:endnote w:id="3">
    <w:p w14:paraId="015274C7" w14:textId="77777777" w:rsidR="00111740" w:rsidRPr="00F20A2F" w:rsidRDefault="00111740" w:rsidP="00111740">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F20A2F">
        <w:rPr>
          <w:rFonts w:ascii="Open Sans" w:hAnsi="Open Sans" w:cs="Open Sans"/>
          <w:sz w:val="20"/>
        </w:rPr>
        <w:t xml:space="preserve">Human Rights Committee, </w:t>
      </w:r>
      <w:r w:rsidRPr="00F20A2F">
        <w:rPr>
          <w:rFonts w:ascii="Open Sans" w:hAnsi="Open Sans" w:cs="Open Sans"/>
          <w:i/>
          <w:sz w:val="20"/>
        </w:rPr>
        <w:t>General Comment No. 35</w:t>
      </w:r>
      <w:r w:rsidRPr="00F20A2F">
        <w:rPr>
          <w:rFonts w:ascii="Open Sans" w:hAnsi="Open Sans" w:cs="Open Sans"/>
          <w:sz w:val="20"/>
        </w:rPr>
        <w:t xml:space="preserve"> </w:t>
      </w:r>
      <w:r w:rsidRPr="00F20A2F">
        <w:rPr>
          <w:rFonts w:ascii="Open Sans" w:hAnsi="Open Sans" w:cs="Open Sans"/>
          <w:i/>
          <w:sz w:val="20"/>
        </w:rPr>
        <w:t>Article 9 (Liberty and security of person)</w:t>
      </w:r>
      <w:r w:rsidRPr="00F20A2F">
        <w:rPr>
          <w:rFonts w:ascii="Open Sans" w:hAnsi="Open Sans" w:cs="Open Sans"/>
          <w:sz w:val="20"/>
        </w:rPr>
        <w:t>, 112</w:t>
      </w:r>
      <w:r w:rsidRPr="00F20A2F">
        <w:rPr>
          <w:rFonts w:ascii="Open Sans" w:hAnsi="Open Sans" w:cs="Open Sans"/>
          <w:sz w:val="20"/>
          <w:vertAlign w:val="superscript"/>
        </w:rPr>
        <w:t>th</w:t>
      </w:r>
      <w:r w:rsidRPr="00F20A2F">
        <w:rPr>
          <w:rFonts w:ascii="Open Sans" w:hAnsi="Open Sans" w:cs="Open Sans"/>
          <w:sz w:val="20"/>
        </w:rPr>
        <w:t xml:space="preserve"> </w:t>
      </w:r>
      <w:r>
        <w:rPr>
          <w:rFonts w:ascii="Open Sans" w:hAnsi="Open Sans" w:cs="Open Sans"/>
          <w:sz w:val="20"/>
        </w:rPr>
        <w:t>s</w:t>
      </w:r>
      <w:r w:rsidRPr="00F20A2F">
        <w:rPr>
          <w:rFonts w:ascii="Open Sans" w:hAnsi="Open Sans" w:cs="Open Sans"/>
          <w:sz w:val="20"/>
        </w:rPr>
        <w:t>ess, UN Doc CCPR/C/GC/35</w:t>
      </w:r>
      <w:r w:rsidRPr="00F20A2F">
        <w:rPr>
          <w:rFonts w:ascii="Open Sans" w:hAnsi="Open Sans" w:cs="Open Sans"/>
          <w:i/>
          <w:sz w:val="20"/>
        </w:rPr>
        <w:t xml:space="preserve"> </w:t>
      </w:r>
      <w:r w:rsidRPr="00F20A2F" w:rsidDel="00EE2639">
        <w:rPr>
          <w:rFonts w:ascii="Open Sans" w:hAnsi="Open Sans" w:cs="Open Sans"/>
          <w:sz w:val="20"/>
        </w:rPr>
        <w:t>(</w:t>
      </w:r>
      <w:r>
        <w:rPr>
          <w:rFonts w:ascii="Open Sans" w:hAnsi="Open Sans" w:cs="Open Sans"/>
          <w:sz w:val="20"/>
        </w:rPr>
        <w:t>16 December 2014)</w:t>
      </w:r>
      <w:r w:rsidRPr="00F20A2F">
        <w:rPr>
          <w:rFonts w:ascii="Open Sans" w:hAnsi="Open Sans" w:cs="Open Sans"/>
          <w:i/>
          <w:color w:val="231F20"/>
          <w:sz w:val="20"/>
        </w:rPr>
        <w:t xml:space="preserve">. </w:t>
      </w:r>
      <w:r w:rsidRPr="00F20A2F">
        <w:rPr>
          <w:rFonts w:ascii="Open Sans" w:hAnsi="Open Sans" w:cs="Open Sans"/>
          <w:color w:val="231F20"/>
          <w:sz w:val="20"/>
        </w:rPr>
        <w:t xml:space="preserve">See also </w:t>
      </w:r>
      <w:r w:rsidRPr="00F20A2F">
        <w:rPr>
          <w:rFonts w:ascii="Open Sans" w:hAnsi="Open Sans" w:cs="Open Sans"/>
          <w:sz w:val="20"/>
        </w:rPr>
        <w:t xml:space="preserve">Human Rights Committee, </w:t>
      </w:r>
      <w:r>
        <w:rPr>
          <w:rFonts w:ascii="Open Sans" w:hAnsi="Open Sans" w:cs="Open Sans"/>
          <w:i/>
          <w:iCs/>
          <w:sz w:val="20"/>
        </w:rPr>
        <w:t xml:space="preserve">Views: </w:t>
      </w:r>
      <w:r w:rsidRPr="00F20A2F">
        <w:rPr>
          <w:rFonts w:ascii="Open Sans" w:hAnsi="Open Sans" w:cs="Open Sans"/>
          <w:bCs/>
          <w:i/>
          <w:sz w:val="20"/>
        </w:rPr>
        <w:t>Communication No. 560/1993</w:t>
      </w:r>
      <w:r w:rsidRPr="00F20A2F">
        <w:rPr>
          <w:rFonts w:ascii="Open Sans" w:hAnsi="Open Sans" w:cs="Open Sans"/>
          <w:bCs/>
          <w:sz w:val="20"/>
        </w:rPr>
        <w:t>, 59</w:t>
      </w:r>
      <w:r w:rsidRPr="00F20A2F">
        <w:rPr>
          <w:rFonts w:ascii="Open Sans" w:hAnsi="Open Sans" w:cs="Open Sans"/>
          <w:bCs/>
          <w:sz w:val="20"/>
          <w:vertAlign w:val="superscript"/>
        </w:rPr>
        <w:t>th</w:t>
      </w:r>
      <w:r w:rsidRPr="00F20A2F">
        <w:rPr>
          <w:rFonts w:ascii="Open Sans" w:hAnsi="Open Sans" w:cs="Open Sans"/>
          <w:bCs/>
          <w:sz w:val="20"/>
        </w:rPr>
        <w:t xml:space="preserve"> </w:t>
      </w:r>
      <w:r>
        <w:rPr>
          <w:rFonts w:ascii="Open Sans" w:hAnsi="Open Sans" w:cs="Open Sans"/>
          <w:bCs/>
          <w:sz w:val="20"/>
        </w:rPr>
        <w:t>s</w:t>
      </w:r>
      <w:r w:rsidRPr="00F20A2F">
        <w:rPr>
          <w:rFonts w:ascii="Open Sans" w:hAnsi="Open Sans" w:cs="Open Sans"/>
          <w:bCs/>
          <w:sz w:val="20"/>
        </w:rPr>
        <w:t>ess,</w:t>
      </w:r>
      <w:r w:rsidRPr="00F20A2F">
        <w:rPr>
          <w:rFonts w:ascii="Open Sans" w:hAnsi="Open Sans" w:cs="Open Sans"/>
          <w:b/>
          <w:bCs/>
          <w:sz w:val="20"/>
        </w:rPr>
        <w:t xml:space="preserve"> </w:t>
      </w:r>
      <w:r w:rsidRPr="00F20A2F">
        <w:rPr>
          <w:rFonts w:ascii="Open Sans" w:hAnsi="Open Sans" w:cs="Open Sans"/>
          <w:sz w:val="20"/>
        </w:rPr>
        <w:t>UN</w:t>
      </w:r>
      <w:r w:rsidRPr="00F20A2F">
        <w:rPr>
          <w:rFonts w:ascii="Open Sans" w:hAnsi="Open Sans" w:cs="Open Sans"/>
          <w:spacing w:val="-4"/>
          <w:sz w:val="20"/>
        </w:rPr>
        <w:t xml:space="preserve"> </w:t>
      </w:r>
      <w:r w:rsidRPr="00F20A2F">
        <w:rPr>
          <w:rFonts w:ascii="Open Sans" w:hAnsi="Open Sans" w:cs="Open Sans"/>
          <w:sz w:val="20"/>
        </w:rPr>
        <w:t>Doc</w:t>
      </w:r>
      <w:r w:rsidRPr="00F20A2F">
        <w:rPr>
          <w:rFonts w:ascii="Open Sans" w:hAnsi="Open Sans" w:cs="Open Sans"/>
          <w:spacing w:val="-4"/>
          <w:sz w:val="20"/>
        </w:rPr>
        <w:t xml:space="preserve"> </w:t>
      </w:r>
      <w:r w:rsidRPr="00F20A2F">
        <w:rPr>
          <w:rFonts w:ascii="Open Sans" w:hAnsi="Open Sans" w:cs="Open Sans"/>
          <w:sz w:val="20"/>
        </w:rPr>
        <w:t>CCPR/C/59/D/560/1993 (1997) (‘</w:t>
      </w:r>
      <w:r w:rsidRPr="00F20A2F">
        <w:rPr>
          <w:rFonts w:ascii="Open Sans" w:hAnsi="Open Sans" w:cs="Open Sans"/>
          <w:i/>
          <w:sz w:val="20"/>
        </w:rPr>
        <w:t>A</w:t>
      </w:r>
      <w:r w:rsidRPr="00F20A2F">
        <w:rPr>
          <w:rFonts w:ascii="Open Sans" w:hAnsi="Open Sans" w:cs="Open Sans"/>
          <w:i/>
          <w:spacing w:val="-10"/>
          <w:sz w:val="20"/>
        </w:rPr>
        <w:t xml:space="preserve"> </w:t>
      </w:r>
      <w:r w:rsidRPr="00F20A2F">
        <w:rPr>
          <w:rFonts w:ascii="Open Sans" w:hAnsi="Open Sans" w:cs="Open Sans"/>
          <w:i/>
          <w:sz w:val="20"/>
        </w:rPr>
        <w:t>v</w:t>
      </w:r>
      <w:r w:rsidRPr="00F20A2F">
        <w:rPr>
          <w:rFonts w:ascii="Open Sans" w:hAnsi="Open Sans" w:cs="Open Sans"/>
          <w:i/>
          <w:spacing w:val="-10"/>
          <w:sz w:val="20"/>
        </w:rPr>
        <w:t xml:space="preserve"> </w:t>
      </w:r>
      <w:r w:rsidRPr="00F20A2F">
        <w:rPr>
          <w:rFonts w:ascii="Open Sans" w:hAnsi="Open Sans" w:cs="Open Sans"/>
          <w:i/>
          <w:sz w:val="20"/>
        </w:rPr>
        <w:t>Australia</w:t>
      </w:r>
      <w:r w:rsidRPr="00F20A2F">
        <w:rPr>
          <w:rFonts w:ascii="Open Sans" w:hAnsi="Open Sans" w:cs="Open Sans"/>
          <w:spacing w:val="-4"/>
          <w:sz w:val="20"/>
        </w:rPr>
        <w:t>’);</w:t>
      </w:r>
      <w:r w:rsidRPr="00F20A2F" w:rsidDel="000014E5">
        <w:rPr>
          <w:rFonts w:ascii="Open Sans" w:hAnsi="Open Sans" w:cs="Open Sans"/>
          <w:sz w:val="20"/>
        </w:rPr>
        <w:t xml:space="preserve"> </w:t>
      </w:r>
      <w:r w:rsidRPr="00F20A2F">
        <w:rPr>
          <w:rFonts w:ascii="Open Sans" w:hAnsi="Open Sans" w:cs="Open Sans"/>
          <w:sz w:val="20"/>
        </w:rPr>
        <w:t xml:space="preserve">Human Rights Committee, </w:t>
      </w:r>
      <w:r>
        <w:rPr>
          <w:rFonts w:ascii="Open Sans" w:hAnsi="Open Sans" w:cs="Open Sans"/>
          <w:i/>
          <w:iCs/>
          <w:sz w:val="20"/>
        </w:rPr>
        <w:t xml:space="preserve">Views: </w:t>
      </w:r>
      <w:r w:rsidRPr="00F20A2F">
        <w:rPr>
          <w:rFonts w:ascii="Open Sans" w:hAnsi="Open Sans" w:cs="Open Sans"/>
          <w:bCs/>
          <w:i/>
          <w:sz w:val="20"/>
          <w:lang w:val="en"/>
        </w:rPr>
        <w:t>Communication No. 900/1999</w:t>
      </w:r>
      <w:r w:rsidRPr="00F20A2F">
        <w:rPr>
          <w:rFonts w:ascii="Open Sans" w:hAnsi="Open Sans" w:cs="Open Sans"/>
          <w:bCs/>
          <w:sz w:val="20"/>
          <w:lang w:val="en"/>
        </w:rPr>
        <w:t>, 67</w:t>
      </w:r>
      <w:r w:rsidRPr="00F20A2F">
        <w:rPr>
          <w:rFonts w:ascii="Open Sans" w:hAnsi="Open Sans" w:cs="Open Sans"/>
          <w:bCs/>
          <w:sz w:val="20"/>
          <w:vertAlign w:val="superscript"/>
          <w:lang w:val="en"/>
        </w:rPr>
        <w:t>th</w:t>
      </w:r>
      <w:r w:rsidRPr="00F20A2F">
        <w:rPr>
          <w:rFonts w:ascii="Open Sans" w:hAnsi="Open Sans" w:cs="Open Sans"/>
          <w:bCs/>
          <w:sz w:val="20"/>
          <w:lang w:val="en"/>
        </w:rPr>
        <w:t xml:space="preserve"> </w:t>
      </w:r>
      <w:r>
        <w:rPr>
          <w:rFonts w:ascii="Open Sans" w:hAnsi="Open Sans" w:cs="Open Sans"/>
          <w:bCs/>
          <w:sz w:val="20"/>
          <w:lang w:val="en"/>
        </w:rPr>
        <w:t>s</w:t>
      </w:r>
      <w:r w:rsidRPr="00F20A2F">
        <w:rPr>
          <w:rFonts w:ascii="Open Sans" w:hAnsi="Open Sans" w:cs="Open Sans"/>
          <w:bCs/>
          <w:sz w:val="20"/>
          <w:lang w:val="en"/>
        </w:rPr>
        <w:t xml:space="preserve">ess, </w:t>
      </w:r>
      <w:r w:rsidRPr="00F20A2F">
        <w:rPr>
          <w:rFonts w:ascii="Open Sans" w:hAnsi="Open Sans" w:cs="Open Sans"/>
          <w:sz w:val="20"/>
        </w:rPr>
        <w:t>UN Doc CCPR/C/76/D/900/1999 (2002)</w:t>
      </w:r>
      <w:r w:rsidRPr="00F20A2F">
        <w:rPr>
          <w:rFonts w:ascii="Open Sans" w:hAnsi="Open Sans" w:cs="Open Sans"/>
          <w:i/>
          <w:sz w:val="20"/>
        </w:rPr>
        <w:t xml:space="preserve"> </w:t>
      </w:r>
      <w:r w:rsidRPr="00F20A2F">
        <w:rPr>
          <w:rFonts w:ascii="Open Sans" w:hAnsi="Open Sans" w:cs="Open Sans"/>
          <w:sz w:val="20"/>
        </w:rPr>
        <w:t>(‘</w:t>
      </w:r>
      <w:r w:rsidRPr="00F20A2F">
        <w:rPr>
          <w:rFonts w:ascii="Open Sans" w:hAnsi="Open Sans" w:cs="Open Sans"/>
          <w:i/>
          <w:sz w:val="20"/>
        </w:rPr>
        <w:t>C v</w:t>
      </w:r>
      <w:r w:rsidRPr="00F20A2F">
        <w:rPr>
          <w:rFonts w:ascii="Open Sans" w:hAnsi="Open Sans" w:cs="Open Sans"/>
          <w:i/>
          <w:spacing w:val="-10"/>
          <w:sz w:val="20"/>
        </w:rPr>
        <w:t xml:space="preserve"> </w:t>
      </w:r>
      <w:r w:rsidRPr="00F20A2F">
        <w:rPr>
          <w:rFonts w:ascii="Open Sans" w:hAnsi="Open Sans" w:cs="Open Sans"/>
          <w:i/>
          <w:sz w:val="20"/>
        </w:rPr>
        <w:t>Australia</w:t>
      </w:r>
      <w:r w:rsidRPr="00F20A2F">
        <w:rPr>
          <w:rFonts w:ascii="Open Sans" w:hAnsi="Open Sans" w:cs="Open Sans"/>
          <w:sz w:val="20"/>
        </w:rPr>
        <w:t xml:space="preserve">’); Human Rights Committee, </w:t>
      </w:r>
      <w:r>
        <w:rPr>
          <w:rFonts w:ascii="Open Sans" w:hAnsi="Open Sans" w:cs="Open Sans"/>
          <w:i/>
          <w:iCs/>
          <w:sz w:val="20"/>
        </w:rPr>
        <w:t xml:space="preserve">Views: </w:t>
      </w:r>
      <w:r w:rsidRPr="00F20A2F">
        <w:rPr>
          <w:rFonts w:ascii="Open Sans" w:hAnsi="Open Sans" w:cs="Open Sans"/>
          <w:i/>
          <w:sz w:val="20"/>
        </w:rPr>
        <w:t>Communication No 1014/2001</w:t>
      </w:r>
      <w:r w:rsidRPr="00F20A2F">
        <w:rPr>
          <w:rFonts w:ascii="Open Sans" w:hAnsi="Open Sans" w:cs="Open Sans"/>
          <w:sz w:val="20"/>
        </w:rPr>
        <w:t>, 78</w:t>
      </w:r>
      <w:r w:rsidRPr="00F20A2F">
        <w:rPr>
          <w:rFonts w:ascii="Open Sans" w:hAnsi="Open Sans" w:cs="Open Sans"/>
          <w:sz w:val="20"/>
          <w:vertAlign w:val="superscript"/>
        </w:rPr>
        <w:t>th</w:t>
      </w:r>
      <w:r w:rsidRPr="00F20A2F">
        <w:rPr>
          <w:rFonts w:ascii="Open Sans" w:hAnsi="Open Sans" w:cs="Open Sans"/>
          <w:sz w:val="20"/>
        </w:rPr>
        <w:t xml:space="preserve"> </w:t>
      </w:r>
      <w:r>
        <w:rPr>
          <w:rFonts w:ascii="Open Sans" w:hAnsi="Open Sans" w:cs="Open Sans"/>
          <w:sz w:val="20"/>
        </w:rPr>
        <w:t>s</w:t>
      </w:r>
      <w:r w:rsidRPr="00F20A2F">
        <w:rPr>
          <w:rFonts w:ascii="Open Sans" w:hAnsi="Open Sans" w:cs="Open Sans"/>
          <w:sz w:val="20"/>
        </w:rPr>
        <w:t>ess, CCPR/C/78/D/1014/2001 (2003) (‘</w:t>
      </w:r>
      <w:r w:rsidRPr="00F20A2F">
        <w:rPr>
          <w:rFonts w:ascii="Open Sans" w:hAnsi="Open Sans" w:cs="Open Sans"/>
          <w:i/>
          <w:sz w:val="20"/>
        </w:rPr>
        <w:t>Baban v</w:t>
      </w:r>
      <w:r w:rsidRPr="00F20A2F">
        <w:rPr>
          <w:rFonts w:ascii="Open Sans" w:hAnsi="Open Sans" w:cs="Open Sans"/>
          <w:i/>
          <w:spacing w:val="-11"/>
          <w:sz w:val="20"/>
        </w:rPr>
        <w:t xml:space="preserve"> </w:t>
      </w:r>
      <w:r w:rsidRPr="00F20A2F">
        <w:rPr>
          <w:rFonts w:ascii="Open Sans" w:hAnsi="Open Sans" w:cs="Open Sans"/>
          <w:i/>
          <w:sz w:val="20"/>
        </w:rPr>
        <w:t>Australia</w:t>
      </w:r>
      <w:r w:rsidRPr="00F20A2F">
        <w:rPr>
          <w:rFonts w:ascii="Open Sans" w:hAnsi="Open Sans" w:cs="Open Sans"/>
          <w:sz w:val="20"/>
        </w:rPr>
        <w:t xml:space="preserve">’).  </w:t>
      </w:r>
    </w:p>
  </w:endnote>
  <w:endnote w:id="4">
    <w:p w14:paraId="5356B2C2" w14:textId="77777777" w:rsidR="00111740" w:rsidRPr="003B400F" w:rsidRDefault="00111740" w:rsidP="00111740">
      <w:pPr>
        <w:pStyle w:val="TOC7"/>
        <w:tabs>
          <w:tab w:val="left" w:pos="284"/>
        </w:tabs>
        <w:spacing w:after="0"/>
        <w:ind w:left="284" w:hanging="284"/>
        <w:rPr>
          <w:rFonts w:ascii="Open Sans" w:hAnsi="Open Sans" w:cs="Open Sans"/>
          <w:sz w:val="20"/>
        </w:rPr>
      </w:pPr>
      <w:r w:rsidRPr="00AF44D2">
        <w:rPr>
          <w:rStyle w:val="EndnoteReference"/>
          <w:rFonts w:ascii="Open Sans" w:hAnsi="Open Sans" w:cs="Open Sans"/>
        </w:rPr>
        <w:endnoteRef/>
      </w:r>
      <w:r>
        <w:rPr>
          <w:rFonts w:ascii="Open Sans" w:hAnsi="Open Sans" w:cs="Open Sans"/>
          <w:sz w:val="20"/>
        </w:rPr>
        <w:t xml:space="preserve"> </w:t>
      </w:r>
      <w:r>
        <w:rPr>
          <w:rFonts w:ascii="Open Sans" w:hAnsi="Open Sans" w:cs="Open Sans"/>
          <w:sz w:val="20"/>
        </w:rPr>
        <w:tab/>
      </w:r>
      <w:r w:rsidRPr="00AF44D2">
        <w:rPr>
          <w:rFonts w:ascii="Open Sans" w:hAnsi="Open Sans" w:cs="Open Sans"/>
          <w:sz w:val="20"/>
        </w:rPr>
        <w:t xml:space="preserve">Human Rights Committee, </w:t>
      </w:r>
      <w:r w:rsidRPr="00AF44D2">
        <w:rPr>
          <w:rFonts w:ascii="Open Sans" w:hAnsi="Open Sans" w:cs="Open Sans"/>
          <w:i/>
          <w:sz w:val="20"/>
        </w:rPr>
        <w:t>General Comment No. 35</w:t>
      </w:r>
      <w:r w:rsidRPr="00AF44D2">
        <w:rPr>
          <w:rFonts w:ascii="Open Sans" w:hAnsi="Open Sans" w:cs="Open Sans"/>
          <w:sz w:val="20"/>
        </w:rPr>
        <w:t xml:space="preserve"> </w:t>
      </w:r>
      <w:r w:rsidRPr="00AF44D2">
        <w:rPr>
          <w:rFonts w:ascii="Open Sans" w:hAnsi="Open Sans" w:cs="Open Sans"/>
          <w:i/>
          <w:sz w:val="20"/>
        </w:rPr>
        <w:t>Article 9 (Liberty and security of person)</w:t>
      </w:r>
      <w:r w:rsidRPr="003B400F">
        <w:rPr>
          <w:rFonts w:ascii="Open Sans" w:hAnsi="Open Sans" w:cs="Open Sans"/>
          <w:sz w:val="20"/>
        </w:rPr>
        <w:t>, 112</w:t>
      </w:r>
      <w:r w:rsidRPr="003B400F">
        <w:rPr>
          <w:rFonts w:ascii="Open Sans" w:hAnsi="Open Sans" w:cs="Open Sans"/>
          <w:sz w:val="20"/>
          <w:vertAlign w:val="superscript"/>
        </w:rPr>
        <w:t>th</w:t>
      </w:r>
      <w:r w:rsidRPr="003B400F">
        <w:rPr>
          <w:rFonts w:ascii="Open Sans" w:hAnsi="Open Sans" w:cs="Open Sans"/>
          <w:sz w:val="20"/>
        </w:rPr>
        <w:t xml:space="preserve"> </w:t>
      </w:r>
      <w:r>
        <w:rPr>
          <w:rFonts w:ascii="Open Sans" w:hAnsi="Open Sans" w:cs="Open Sans"/>
          <w:sz w:val="20"/>
        </w:rPr>
        <w:t>s</w:t>
      </w:r>
      <w:r w:rsidRPr="003B400F">
        <w:rPr>
          <w:rFonts w:ascii="Open Sans" w:hAnsi="Open Sans" w:cs="Open Sans"/>
          <w:sz w:val="20"/>
        </w:rPr>
        <w:t>ess, UN Doc CCPR/C/GC/35</w:t>
      </w:r>
      <w:r w:rsidRPr="003B400F">
        <w:rPr>
          <w:rFonts w:ascii="Open Sans" w:hAnsi="Open Sans" w:cs="Open Sans"/>
          <w:i/>
          <w:sz w:val="20"/>
        </w:rPr>
        <w:t xml:space="preserve"> </w:t>
      </w:r>
      <w:r w:rsidRPr="003B400F">
        <w:rPr>
          <w:rFonts w:ascii="Open Sans" w:hAnsi="Open Sans" w:cs="Open Sans"/>
          <w:sz w:val="20"/>
        </w:rPr>
        <w:t>(</w:t>
      </w:r>
      <w:r>
        <w:rPr>
          <w:rFonts w:ascii="Open Sans" w:hAnsi="Open Sans" w:cs="Open Sans"/>
          <w:sz w:val="20"/>
        </w:rPr>
        <w:t xml:space="preserve">16 December </w:t>
      </w:r>
      <w:r w:rsidRPr="003B400F">
        <w:rPr>
          <w:rFonts w:ascii="Open Sans" w:hAnsi="Open Sans" w:cs="Open Sans"/>
          <w:sz w:val="20"/>
        </w:rPr>
        <w:t xml:space="preserve">2014) </w:t>
      </w:r>
      <w:r w:rsidRPr="003B400F">
        <w:rPr>
          <w:rFonts w:ascii="Open Sans" w:hAnsi="Open Sans" w:cs="Open Sans"/>
          <w:color w:val="231F20"/>
          <w:sz w:val="20"/>
        </w:rPr>
        <w:t>[18];</w:t>
      </w:r>
      <w:r w:rsidRPr="003B400F" w:rsidDel="00EE2639">
        <w:rPr>
          <w:rFonts w:ascii="Open Sans" w:hAnsi="Open Sans" w:cs="Open Sans"/>
          <w:sz w:val="20"/>
        </w:rPr>
        <w:t xml:space="preserve"> </w:t>
      </w:r>
      <w:r w:rsidRPr="003B400F">
        <w:rPr>
          <w:rFonts w:ascii="Open Sans" w:hAnsi="Open Sans" w:cs="Open Sans"/>
          <w:sz w:val="20"/>
        </w:rPr>
        <w:t xml:space="preserve">Human Rights Committee, </w:t>
      </w:r>
      <w:r w:rsidRPr="003B400F">
        <w:rPr>
          <w:rFonts w:ascii="Open Sans" w:hAnsi="Open Sans" w:cs="Open Sans"/>
          <w:i/>
          <w:sz w:val="20"/>
        </w:rPr>
        <w:t>General Comment No. 31,</w:t>
      </w:r>
      <w:r w:rsidRPr="003B400F">
        <w:rPr>
          <w:rFonts w:ascii="Open Sans" w:hAnsi="Open Sans" w:cs="Open Sans"/>
          <w:sz w:val="20"/>
        </w:rPr>
        <w:t xml:space="preserve"> </w:t>
      </w:r>
      <w:r w:rsidRPr="003B400F">
        <w:rPr>
          <w:rFonts w:ascii="Open Sans" w:hAnsi="Open Sans" w:cs="Open Sans"/>
          <w:i/>
          <w:sz w:val="20"/>
        </w:rPr>
        <w:t>Nature of the General Legal Obligation Imposed on States Parties to the Covenant</w:t>
      </w:r>
      <w:r w:rsidRPr="003B400F">
        <w:rPr>
          <w:rFonts w:ascii="Open Sans" w:hAnsi="Open Sans" w:cs="Open Sans"/>
          <w:sz w:val="20"/>
        </w:rPr>
        <w:t>, UN Doc CCPR/C/21/Rev.1/Add.13 (</w:t>
      </w:r>
      <w:r>
        <w:rPr>
          <w:rFonts w:ascii="Open Sans" w:hAnsi="Open Sans" w:cs="Open Sans"/>
          <w:sz w:val="20"/>
        </w:rPr>
        <w:t xml:space="preserve">26 May </w:t>
      </w:r>
      <w:r w:rsidRPr="003B400F">
        <w:rPr>
          <w:rFonts w:ascii="Open Sans" w:hAnsi="Open Sans" w:cs="Open Sans"/>
          <w:sz w:val="20"/>
        </w:rPr>
        <w:t>2004) [6].</w:t>
      </w:r>
    </w:p>
  </w:endnote>
  <w:endnote w:id="5">
    <w:p w14:paraId="4014ACB8" w14:textId="77777777" w:rsidR="00111740" w:rsidRPr="00F20A2F" w:rsidRDefault="00111740" w:rsidP="00111740">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F20A2F">
        <w:rPr>
          <w:rFonts w:ascii="Open Sans" w:hAnsi="Open Sans" w:cs="Open Sans"/>
          <w:i/>
          <w:sz w:val="20"/>
        </w:rPr>
        <w:t xml:space="preserve">Manga v Attorney-General </w:t>
      </w:r>
      <w:r w:rsidRPr="00F20A2F">
        <w:rPr>
          <w:rFonts w:ascii="Open Sans" w:hAnsi="Open Sans" w:cs="Open Sans"/>
          <w:sz w:val="20"/>
        </w:rPr>
        <w:t>[2000] 2 NZLR 65 [40]–[42] (Hammond J). See also the views of the</w:t>
      </w:r>
      <w:r w:rsidRPr="00F20A2F" w:rsidDel="006C0242">
        <w:rPr>
          <w:rFonts w:ascii="Open Sans" w:hAnsi="Open Sans" w:cs="Open Sans"/>
          <w:sz w:val="20"/>
        </w:rPr>
        <w:t xml:space="preserve"> </w:t>
      </w:r>
      <w:r w:rsidRPr="00F20A2F">
        <w:rPr>
          <w:rFonts w:ascii="Open Sans" w:hAnsi="Open Sans" w:cs="Open Sans"/>
          <w:sz w:val="20"/>
        </w:rPr>
        <w:t xml:space="preserve">Human Rights Committee in </w:t>
      </w:r>
      <w:r>
        <w:rPr>
          <w:rFonts w:ascii="Open Sans" w:hAnsi="Open Sans" w:cs="Open Sans"/>
          <w:i/>
          <w:iCs/>
          <w:sz w:val="20"/>
        </w:rPr>
        <w:t xml:space="preserve">Views: </w:t>
      </w:r>
      <w:r w:rsidRPr="00F20A2F">
        <w:rPr>
          <w:rFonts w:ascii="Open Sans" w:hAnsi="Open Sans" w:cs="Open Sans"/>
          <w:i/>
          <w:iCs/>
          <w:sz w:val="20"/>
        </w:rPr>
        <w:t>Communication No. 305/1988,</w:t>
      </w:r>
      <w:r w:rsidRPr="00F20A2F">
        <w:rPr>
          <w:rFonts w:ascii="Open Sans" w:hAnsi="Open Sans" w:cs="Open Sans"/>
          <w:i/>
          <w:spacing w:val="-3"/>
          <w:sz w:val="20"/>
        </w:rPr>
        <w:t xml:space="preserve"> </w:t>
      </w:r>
      <w:r w:rsidRPr="00F20A2F">
        <w:rPr>
          <w:rFonts w:ascii="Open Sans" w:hAnsi="Open Sans" w:cs="Open Sans"/>
          <w:spacing w:val="-3"/>
          <w:sz w:val="20"/>
        </w:rPr>
        <w:t>39</w:t>
      </w:r>
      <w:r w:rsidRPr="00F20A2F">
        <w:rPr>
          <w:rFonts w:ascii="Open Sans" w:hAnsi="Open Sans" w:cs="Open Sans"/>
          <w:spacing w:val="-3"/>
          <w:sz w:val="20"/>
          <w:vertAlign w:val="superscript"/>
        </w:rPr>
        <w:t>th</w:t>
      </w:r>
      <w:r w:rsidRPr="00F20A2F">
        <w:rPr>
          <w:rFonts w:ascii="Open Sans" w:hAnsi="Open Sans" w:cs="Open Sans"/>
          <w:spacing w:val="-3"/>
          <w:sz w:val="20"/>
        </w:rPr>
        <w:t xml:space="preserve"> </w:t>
      </w:r>
      <w:r>
        <w:rPr>
          <w:rFonts w:ascii="Open Sans" w:hAnsi="Open Sans" w:cs="Open Sans"/>
          <w:spacing w:val="-3"/>
          <w:sz w:val="20"/>
        </w:rPr>
        <w:t>s</w:t>
      </w:r>
      <w:r w:rsidRPr="00F20A2F">
        <w:rPr>
          <w:rFonts w:ascii="Open Sans" w:hAnsi="Open Sans" w:cs="Open Sans"/>
          <w:spacing w:val="-3"/>
          <w:sz w:val="20"/>
        </w:rPr>
        <w:t xml:space="preserve">ess, </w:t>
      </w:r>
      <w:r w:rsidRPr="00F20A2F">
        <w:rPr>
          <w:rFonts w:ascii="Open Sans" w:hAnsi="Open Sans" w:cs="Open Sans"/>
          <w:sz w:val="20"/>
        </w:rPr>
        <w:t>UN Doc CCPR/C/39/D/305/1988 (1990) (‘</w:t>
      </w:r>
      <w:r w:rsidRPr="00F20A2F">
        <w:rPr>
          <w:rFonts w:ascii="Open Sans" w:hAnsi="Open Sans" w:cs="Open Sans"/>
          <w:i/>
          <w:spacing w:val="-3"/>
          <w:sz w:val="20"/>
        </w:rPr>
        <w:t xml:space="preserve">Van </w:t>
      </w:r>
      <w:r w:rsidRPr="00F20A2F">
        <w:rPr>
          <w:rFonts w:ascii="Open Sans" w:hAnsi="Open Sans" w:cs="Open Sans"/>
          <w:i/>
          <w:sz w:val="20"/>
        </w:rPr>
        <w:t>Alphen v The Netherlands</w:t>
      </w:r>
      <w:r w:rsidRPr="00F20A2F">
        <w:rPr>
          <w:rFonts w:ascii="Open Sans" w:hAnsi="Open Sans" w:cs="Open Sans"/>
          <w:sz w:val="20"/>
        </w:rPr>
        <w:t xml:space="preserve">’); Human Rights Committee, </w:t>
      </w:r>
      <w:r>
        <w:rPr>
          <w:rFonts w:ascii="Open Sans" w:hAnsi="Open Sans" w:cs="Open Sans"/>
          <w:i/>
          <w:iCs/>
          <w:sz w:val="20"/>
        </w:rPr>
        <w:t xml:space="preserve">Views: </w:t>
      </w:r>
      <w:r w:rsidRPr="00F20A2F">
        <w:rPr>
          <w:rFonts w:ascii="Open Sans" w:hAnsi="Open Sans" w:cs="Open Sans"/>
          <w:bCs/>
          <w:i/>
          <w:sz w:val="20"/>
        </w:rPr>
        <w:t>Communication No. 560/1993</w:t>
      </w:r>
      <w:r w:rsidRPr="00F20A2F">
        <w:rPr>
          <w:rFonts w:ascii="Open Sans" w:hAnsi="Open Sans" w:cs="Open Sans"/>
          <w:bCs/>
          <w:sz w:val="20"/>
        </w:rPr>
        <w:t>, 59</w:t>
      </w:r>
      <w:r w:rsidRPr="00F20A2F">
        <w:rPr>
          <w:rFonts w:ascii="Open Sans" w:hAnsi="Open Sans" w:cs="Open Sans"/>
          <w:bCs/>
          <w:sz w:val="20"/>
          <w:vertAlign w:val="superscript"/>
        </w:rPr>
        <w:t>th</w:t>
      </w:r>
      <w:r w:rsidRPr="00F20A2F">
        <w:rPr>
          <w:rFonts w:ascii="Open Sans" w:hAnsi="Open Sans" w:cs="Open Sans"/>
          <w:bCs/>
          <w:sz w:val="20"/>
        </w:rPr>
        <w:t xml:space="preserve"> </w:t>
      </w:r>
      <w:r>
        <w:rPr>
          <w:rFonts w:ascii="Open Sans" w:hAnsi="Open Sans" w:cs="Open Sans"/>
          <w:bCs/>
          <w:sz w:val="20"/>
        </w:rPr>
        <w:t>s</w:t>
      </w:r>
      <w:r w:rsidRPr="00F20A2F">
        <w:rPr>
          <w:rFonts w:ascii="Open Sans" w:hAnsi="Open Sans" w:cs="Open Sans"/>
          <w:bCs/>
          <w:sz w:val="20"/>
        </w:rPr>
        <w:t>ess,</w:t>
      </w:r>
      <w:r w:rsidRPr="00F20A2F">
        <w:rPr>
          <w:rFonts w:ascii="Open Sans" w:hAnsi="Open Sans" w:cs="Open Sans"/>
          <w:b/>
          <w:bCs/>
          <w:sz w:val="20"/>
        </w:rPr>
        <w:t xml:space="preserve"> </w:t>
      </w:r>
      <w:r w:rsidRPr="00F20A2F">
        <w:rPr>
          <w:rFonts w:ascii="Open Sans" w:hAnsi="Open Sans" w:cs="Open Sans"/>
          <w:sz w:val="20"/>
        </w:rPr>
        <w:t>UN</w:t>
      </w:r>
      <w:r w:rsidRPr="00F20A2F">
        <w:rPr>
          <w:rFonts w:ascii="Open Sans" w:hAnsi="Open Sans" w:cs="Open Sans"/>
          <w:spacing w:val="-4"/>
          <w:sz w:val="20"/>
        </w:rPr>
        <w:t xml:space="preserve"> </w:t>
      </w:r>
      <w:r w:rsidRPr="00F20A2F">
        <w:rPr>
          <w:rFonts w:ascii="Open Sans" w:hAnsi="Open Sans" w:cs="Open Sans"/>
          <w:sz w:val="20"/>
        </w:rPr>
        <w:t>Doc</w:t>
      </w:r>
      <w:r w:rsidRPr="00F20A2F">
        <w:rPr>
          <w:rFonts w:ascii="Open Sans" w:hAnsi="Open Sans" w:cs="Open Sans"/>
          <w:spacing w:val="-4"/>
          <w:sz w:val="20"/>
        </w:rPr>
        <w:t xml:space="preserve"> </w:t>
      </w:r>
      <w:r w:rsidRPr="00F20A2F">
        <w:rPr>
          <w:rFonts w:ascii="Open Sans" w:hAnsi="Open Sans" w:cs="Open Sans"/>
          <w:sz w:val="20"/>
        </w:rPr>
        <w:t>CCPR/C/59/D/560/1993 (1997) (‘</w:t>
      </w:r>
      <w:r w:rsidRPr="00F20A2F">
        <w:rPr>
          <w:rFonts w:ascii="Open Sans" w:hAnsi="Open Sans" w:cs="Open Sans"/>
          <w:i/>
          <w:sz w:val="20"/>
        </w:rPr>
        <w:t>A</w:t>
      </w:r>
      <w:r w:rsidRPr="00F20A2F">
        <w:rPr>
          <w:rFonts w:ascii="Open Sans" w:hAnsi="Open Sans" w:cs="Open Sans"/>
          <w:i/>
          <w:spacing w:val="-10"/>
          <w:sz w:val="20"/>
        </w:rPr>
        <w:t xml:space="preserve"> </w:t>
      </w:r>
      <w:r w:rsidRPr="00F20A2F">
        <w:rPr>
          <w:rFonts w:ascii="Open Sans" w:hAnsi="Open Sans" w:cs="Open Sans"/>
          <w:i/>
          <w:sz w:val="20"/>
        </w:rPr>
        <w:t>v</w:t>
      </w:r>
      <w:r w:rsidRPr="00F20A2F">
        <w:rPr>
          <w:rFonts w:ascii="Open Sans" w:hAnsi="Open Sans" w:cs="Open Sans"/>
          <w:i/>
          <w:spacing w:val="-10"/>
          <w:sz w:val="20"/>
        </w:rPr>
        <w:t xml:space="preserve"> </w:t>
      </w:r>
      <w:r w:rsidRPr="00F20A2F">
        <w:rPr>
          <w:rFonts w:ascii="Open Sans" w:hAnsi="Open Sans" w:cs="Open Sans"/>
          <w:i/>
          <w:sz w:val="20"/>
        </w:rPr>
        <w:t>Australia</w:t>
      </w:r>
      <w:r w:rsidRPr="00F20A2F">
        <w:rPr>
          <w:rFonts w:ascii="Open Sans" w:hAnsi="Open Sans" w:cs="Open Sans"/>
          <w:spacing w:val="-4"/>
          <w:sz w:val="20"/>
        </w:rPr>
        <w:t>’)</w:t>
      </w:r>
      <w:r>
        <w:rPr>
          <w:rFonts w:ascii="Open Sans" w:hAnsi="Open Sans" w:cs="Open Sans"/>
          <w:spacing w:val="-4"/>
          <w:sz w:val="20"/>
        </w:rPr>
        <w:t xml:space="preserve">; </w:t>
      </w:r>
      <w:r w:rsidRPr="00F20A2F">
        <w:rPr>
          <w:rFonts w:ascii="Open Sans" w:hAnsi="Open Sans" w:cs="Open Sans"/>
          <w:sz w:val="20"/>
        </w:rPr>
        <w:t xml:space="preserve"> Human Rights Committee, </w:t>
      </w:r>
      <w:r>
        <w:rPr>
          <w:rFonts w:ascii="Open Sans" w:hAnsi="Open Sans" w:cs="Open Sans"/>
          <w:i/>
          <w:iCs/>
          <w:sz w:val="20"/>
        </w:rPr>
        <w:t xml:space="preserve">Views: </w:t>
      </w:r>
      <w:r w:rsidRPr="00F20A2F">
        <w:rPr>
          <w:rFonts w:ascii="Open Sans" w:hAnsi="Open Sans" w:cs="Open Sans"/>
          <w:bCs/>
          <w:i/>
          <w:sz w:val="20"/>
        </w:rPr>
        <w:t xml:space="preserve">Communication No. 631/1995, </w:t>
      </w:r>
      <w:r w:rsidRPr="00F20A2F">
        <w:rPr>
          <w:rFonts w:ascii="Open Sans" w:hAnsi="Open Sans" w:cs="Open Sans"/>
          <w:bCs/>
          <w:sz w:val="20"/>
        </w:rPr>
        <w:t>67</w:t>
      </w:r>
      <w:r w:rsidRPr="00F20A2F">
        <w:rPr>
          <w:rFonts w:ascii="Open Sans" w:hAnsi="Open Sans" w:cs="Open Sans"/>
          <w:bCs/>
          <w:sz w:val="20"/>
          <w:vertAlign w:val="superscript"/>
        </w:rPr>
        <w:t>th</w:t>
      </w:r>
      <w:r w:rsidRPr="00F20A2F">
        <w:rPr>
          <w:rFonts w:ascii="Open Sans" w:hAnsi="Open Sans" w:cs="Open Sans"/>
          <w:bCs/>
          <w:sz w:val="20"/>
        </w:rPr>
        <w:t xml:space="preserve"> </w:t>
      </w:r>
      <w:r>
        <w:rPr>
          <w:rFonts w:ascii="Open Sans" w:hAnsi="Open Sans" w:cs="Open Sans"/>
          <w:bCs/>
          <w:sz w:val="20"/>
        </w:rPr>
        <w:t>s</w:t>
      </w:r>
      <w:r w:rsidRPr="00F20A2F">
        <w:rPr>
          <w:rFonts w:ascii="Open Sans" w:hAnsi="Open Sans" w:cs="Open Sans"/>
          <w:bCs/>
          <w:sz w:val="20"/>
        </w:rPr>
        <w:t>ess,</w:t>
      </w:r>
      <w:r w:rsidRPr="00F20A2F">
        <w:rPr>
          <w:rFonts w:ascii="Open Sans" w:hAnsi="Open Sans" w:cs="Open Sans"/>
          <w:b/>
          <w:bCs/>
          <w:sz w:val="20"/>
        </w:rPr>
        <w:t xml:space="preserve"> </w:t>
      </w:r>
      <w:r w:rsidRPr="00F20A2F">
        <w:rPr>
          <w:rFonts w:ascii="Open Sans" w:hAnsi="Open Sans" w:cs="Open Sans"/>
          <w:sz w:val="20"/>
        </w:rPr>
        <w:t>UN Doc</w:t>
      </w:r>
      <w:r w:rsidRPr="00F20A2F">
        <w:rPr>
          <w:rFonts w:ascii="Open Sans" w:hAnsi="Open Sans" w:cs="Open Sans"/>
          <w:spacing w:val="-24"/>
          <w:sz w:val="20"/>
        </w:rPr>
        <w:t xml:space="preserve"> </w:t>
      </w:r>
      <w:r w:rsidRPr="00F20A2F">
        <w:rPr>
          <w:rFonts w:ascii="Open Sans" w:hAnsi="Open Sans" w:cs="Open Sans"/>
          <w:sz w:val="20"/>
        </w:rPr>
        <w:t>CCPR/C/67/D/631/1995 (1999)</w:t>
      </w:r>
      <w:r w:rsidRPr="00F20A2F">
        <w:rPr>
          <w:rFonts w:ascii="Open Sans" w:hAnsi="Open Sans" w:cs="Open Sans"/>
          <w:i/>
          <w:sz w:val="20"/>
        </w:rPr>
        <w:t xml:space="preserve"> </w:t>
      </w:r>
      <w:r w:rsidRPr="00F20A2F">
        <w:rPr>
          <w:rFonts w:ascii="Open Sans" w:hAnsi="Open Sans" w:cs="Open Sans"/>
          <w:sz w:val="20"/>
        </w:rPr>
        <w:t>(‘</w:t>
      </w:r>
      <w:r w:rsidRPr="00F20A2F">
        <w:rPr>
          <w:rFonts w:ascii="Open Sans" w:hAnsi="Open Sans" w:cs="Open Sans"/>
          <w:i/>
          <w:sz w:val="20"/>
        </w:rPr>
        <w:t>Spakmo</w:t>
      </w:r>
      <w:r w:rsidRPr="00F20A2F">
        <w:rPr>
          <w:rFonts w:ascii="Open Sans" w:hAnsi="Open Sans" w:cs="Open Sans"/>
          <w:i/>
          <w:spacing w:val="-3"/>
          <w:sz w:val="20"/>
        </w:rPr>
        <w:t xml:space="preserve"> </w:t>
      </w:r>
      <w:r w:rsidRPr="00F20A2F">
        <w:rPr>
          <w:rFonts w:ascii="Open Sans" w:hAnsi="Open Sans" w:cs="Open Sans"/>
          <w:i/>
          <w:sz w:val="20"/>
        </w:rPr>
        <w:t>v</w:t>
      </w:r>
      <w:r w:rsidRPr="00F20A2F">
        <w:rPr>
          <w:rFonts w:ascii="Open Sans" w:hAnsi="Open Sans" w:cs="Open Sans"/>
          <w:i/>
          <w:spacing w:val="-3"/>
          <w:sz w:val="20"/>
        </w:rPr>
        <w:t xml:space="preserve"> </w:t>
      </w:r>
      <w:r w:rsidRPr="00F20A2F">
        <w:rPr>
          <w:rFonts w:ascii="Open Sans" w:hAnsi="Open Sans" w:cs="Open Sans"/>
          <w:i/>
          <w:sz w:val="20"/>
        </w:rPr>
        <w:t>Norway</w:t>
      </w:r>
      <w:r w:rsidRPr="00F20A2F">
        <w:rPr>
          <w:rFonts w:ascii="Open Sans" w:hAnsi="Open Sans" w:cs="Open Sans"/>
          <w:sz w:val="20"/>
        </w:rPr>
        <w:t>’).</w:t>
      </w:r>
      <w:bookmarkStart w:id="69" w:name="_bookmark15"/>
      <w:bookmarkEnd w:id="69"/>
    </w:p>
  </w:endnote>
  <w:endnote w:id="6">
    <w:p w14:paraId="7432F7E4" w14:textId="77777777" w:rsidR="00111740" w:rsidRPr="00F20A2F" w:rsidRDefault="00111740" w:rsidP="00111740">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bookmarkStart w:id="71" w:name="_bookmark16"/>
      <w:bookmarkEnd w:id="71"/>
      <w:r>
        <w:rPr>
          <w:rFonts w:ascii="Open Sans" w:hAnsi="Open Sans" w:cs="Open Sans"/>
          <w:sz w:val="20"/>
        </w:rPr>
        <w:tab/>
      </w:r>
      <w:r w:rsidRPr="00F20A2F">
        <w:rPr>
          <w:rFonts w:ascii="Open Sans" w:hAnsi="Open Sans" w:cs="Open Sans"/>
          <w:sz w:val="20"/>
        </w:rPr>
        <w:t xml:space="preserve">Human Rights Committee, </w:t>
      </w:r>
      <w:r w:rsidRPr="00F20A2F">
        <w:rPr>
          <w:rFonts w:ascii="Open Sans" w:hAnsi="Open Sans" w:cs="Open Sans"/>
          <w:i/>
          <w:sz w:val="20"/>
        </w:rPr>
        <w:t>General Comment 31,</w:t>
      </w:r>
      <w:r w:rsidRPr="00F20A2F">
        <w:rPr>
          <w:rFonts w:ascii="Open Sans" w:hAnsi="Open Sans" w:cs="Open Sans"/>
          <w:sz w:val="20"/>
        </w:rPr>
        <w:t xml:space="preserve"> </w:t>
      </w:r>
      <w:r w:rsidRPr="00F20A2F">
        <w:rPr>
          <w:rFonts w:ascii="Open Sans" w:hAnsi="Open Sans" w:cs="Open Sans"/>
          <w:i/>
          <w:sz w:val="20"/>
        </w:rPr>
        <w:t>Nature of the General Legal Obligation Imposed on States Parties to the Covenant</w:t>
      </w:r>
      <w:r w:rsidRPr="00F20A2F">
        <w:rPr>
          <w:rFonts w:ascii="Open Sans" w:hAnsi="Open Sans" w:cs="Open Sans"/>
          <w:sz w:val="20"/>
        </w:rPr>
        <w:t>, UN Doc CCPR/C/21/Rev.1/Add.13 (2004) [6]</w:t>
      </w:r>
      <w:r w:rsidRPr="00F20A2F">
        <w:rPr>
          <w:rFonts w:ascii="Open Sans" w:hAnsi="Open Sans" w:cs="Open Sans"/>
          <w:color w:val="231F20"/>
          <w:sz w:val="20"/>
        </w:rPr>
        <w:t xml:space="preserve">; </w:t>
      </w:r>
      <w:r w:rsidRPr="00F20A2F">
        <w:rPr>
          <w:rFonts w:ascii="Open Sans" w:hAnsi="Open Sans" w:cs="Open Sans"/>
          <w:sz w:val="20"/>
        </w:rPr>
        <w:t xml:space="preserve">Human Rights Committee, </w:t>
      </w:r>
      <w:r w:rsidRPr="00F20A2F">
        <w:rPr>
          <w:rFonts w:ascii="Open Sans" w:hAnsi="Open Sans" w:cs="Open Sans"/>
          <w:i/>
          <w:sz w:val="20"/>
        </w:rPr>
        <w:t>General Comment No. 35</w:t>
      </w:r>
      <w:r w:rsidRPr="00F20A2F">
        <w:rPr>
          <w:rFonts w:ascii="Open Sans" w:hAnsi="Open Sans" w:cs="Open Sans"/>
          <w:sz w:val="20"/>
        </w:rPr>
        <w:t xml:space="preserve"> </w:t>
      </w:r>
      <w:r w:rsidRPr="00F20A2F">
        <w:rPr>
          <w:rFonts w:ascii="Open Sans" w:hAnsi="Open Sans" w:cs="Open Sans"/>
          <w:i/>
          <w:sz w:val="20"/>
        </w:rPr>
        <w:t>Article 9 (Liberty and security of person)</w:t>
      </w:r>
      <w:r w:rsidRPr="00F20A2F">
        <w:rPr>
          <w:rFonts w:ascii="Open Sans" w:hAnsi="Open Sans" w:cs="Open Sans"/>
          <w:sz w:val="20"/>
        </w:rPr>
        <w:t>, 112</w:t>
      </w:r>
      <w:r w:rsidRPr="00F20A2F">
        <w:rPr>
          <w:rFonts w:ascii="Open Sans" w:hAnsi="Open Sans" w:cs="Open Sans"/>
          <w:sz w:val="20"/>
          <w:vertAlign w:val="superscript"/>
        </w:rPr>
        <w:t>th</w:t>
      </w:r>
      <w:r w:rsidRPr="00F20A2F">
        <w:rPr>
          <w:rFonts w:ascii="Open Sans" w:hAnsi="Open Sans" w:cs="Open Sans"/>
          <w:sz w:val="20"/>
        </w:rPr>
        <w:t xml:space="preserve"> Sess, UN Doc CCPR/C/GC/35</w:t>
      </w:r>
      <w:r w:rsidRPr="00F20A2F">
        <w:rPr>
          <w:rFonts w:ascii="Open Sans" w:hAnsi="Open Sans" w:cs="Open Sans"/>
          <w:i/>
          <w:sz w:val="20"/>
        </w:rPr>
        <w:t xml:space="preserve"> </w:t>
      </w:r>
      <w:r w:rsidRPr="00F20A2F">
        <w:rPr>
          <w:rFonts w:ascii="Open Sans" w:hAnsi="Open Sans" w:cs="Open Sans"/>
          <w:sz w:val="20"/>
        </w:rPr>
        <w:t xml:space="preserve">(2014); </w:t>
      </w:r>
      <w:r w:rsidRPr="00704467">
        <w:rPr>
          <w:rFonts w:ascii="Open Sans" w:hAnsi="Open Sans" w:cs="Open Sans"/>
          <w:sz w:val="20"/>
        </w:rPr>
        <w:t xml:space="preserve">Human Rights Committee, </w:t>
      </w:r>
      <w:r w:rsidRPr="00704467">
        <w:rPr>
          <w:rFonts w:ascii="Open Sans" w:hAnsi="Open Sans" w:cs="Open Sans"/>
          <w:i/>
          <w:sz w:val="20"/>
        </w:rPr>
        <w:t xml:space="preserve">Views: </w:t>
      </w:r>
      <w:r w:rsidRPr="00704467">
        <w:rPr>
          <w:rFonts w:ascii="Open Sans" w:hAnsi="Open Sans" w:cs="Open Sans"/>
          <w:bCs/>
          <w:i/>
          <w:sz w:val="20"/>
        </w:rPr>
        <w:t>Communication No. 560/1993</w:t>
      </w:r>
      <w:r w:rsidRPr="00704467">
        <w:rPr>
          <w:rFonts w:ascii="Open Sans" w:hAnsi="Open Sans" w:cs="Open Sans"/>
          <w:bCs/>
          <w:sz w:val="20"/>
        </w:rPr>
        <w:t>, 59</w:t>
      </w:r>
      <w:r w:rsidRPr="00704467">
        <w:rPr>
          <w:rFonts w:ascii="Open Sans" w:hAnsi="Open Sans" w:cs="Open Sans"/>
          <w:bCs/>
          <w:sz w:val="20"/>
          <w:vertAlign w:val="superscript"/>
        </w:rPr>
        <w:t>th</w:t>
      </w:r>
      <w:r w:rsidRPr="00704467">
        <w:rPr>
          <w:rFonts w:ascii="Open Sans" w:hAnsi="Open Sans" w:cs="Open Sans"/>
          <w:bCs/>
          <w:sz w:val="20"/>
        </w:rPr>
        <w:t xml:space="preserve"> sess,</w:t>
      </w:r>
      <w:r w:rsidRPr="00704467">
        <w:rPr>
          <w:rFonts w:ascii="Open Sans" w:hAnsi="Open Sans" w:cs="Open Sans"/>
          <w:b/>
          <w:bCs/>
          <w:sz w:val="20"/>
        </w:rPr>
        <w:t xml:space="preserve"> </w:t>
      </w:r>
      <w:r w:rsidRPr="00704467">
        <w:rPr>
          <w:rFonts w:ascii="Open Sans" w:hAnsi="Open Sans" w:cs="Open Sans"/>
          <w:sz w:val="20"/>
        </w:rPr>
        <w:t>UN</w:t>
      </w:r>
      <w:r w:rsidRPr="00704467">
        <w:rPr>
          <w:rFonts w:ascii="Open Sans" w:hAnsi="Open Sans" w:cs="Open Sans"/>
          <w:spacing w:val="-4"/>
          <w:sz w:val="20"/>
        </w:rPr>
        <w:t xml:space="preserve"> </w:t>
      </w:r>
      <w:r w:rsidRPr="00704467">
        <w:rPr>
          <w:rFonts w:ascii="Open Sans" w:hAnsi="Open Sans" w:cs="Open Sans"/>
          <w:sz w:val="20"/>
        </w:rPr>
        <w:t>Doc</w:t>
      </w:r>
      <w:r w:rsidRPr="00704467">
        <w:rPr>
          <w:rFonts w:ascii="Open Sans" w:hAnsi="Open Sans" w:cs="Open Sans"/>
          <w:spacing w:val="-4"/>
          <w:sz w:val="20"/>
        </w:rPr>
        <w:t xml:space="preserve"> </w:t>
      </w:r>
      <w:r w:rsidRPr="00704467">
        <w:rPr>
          <w:rFonts w:ascii="Open Sans" w:hAnsi="Open Sans" w:cs="Open Sans"/>
          <w:sz w:val="20"/>
        </w:rPr>
        <w:t>CCPR/C/59/D/560/1993 (3 April 1997) (‘</w:t>
      </w:r>
      <w:r w:rsidRPr="00704467">
        <w:rPr>
          <w:rFonts w:ascii="Open Sans" w:hAnsi="Open Sans" w:cs="Open Sans"/>
          <w:i/>
          <w:sz w:val="20"/>
        </w:rPr>
        <w:t>A</w:t>
      </w:r>
      <w:r w:rsidRPr="00704467">
        <w:rPr>
          <w:rFonts w:ascii="Open Sans" w:hAnsi="Open Sans" w:cs="Open Sans"/>
          <w:i/>
          <w:spacing w:val="-10"/>
          <w:sz w:val="20"/>
        </w:rPr>
        <w:t xml:space="preserve"> </w:t>
      </w:r>
      <w:r w:rsidRPr="00704467">
        <w:rPr>
          <w:rFonts w:ascii="Open Sans" w:hAnsi="Open Sans" w:cs="Open Sans"/>
          <w:i/>
          <w:sz w:val="20"/>
        </w:rPr>
        <w:t>v</w:t>
      </w:r>
      <w:r w:rsidRPr="00704467">
        <w:rPr>
          <w:rFonts w:ascii="Open Sans" w:hAnsi="Open Sans" w:cs="Open Sans"/>
          <w:i/>
          <w:spacing w:val="-10"/>
          <w:sz w:val="20"/>
        </w:rPr>
        <w:t xml:space="preserve"> </w:t>
      </w:r>
      <w:r w:rsidRPr="00704467">
        <w:rPr>
          <w:rFonts w:ascii="Open Sans" w:hAnsi="Open Sans" w:cs="Open Sans"/>
          <w:i/>
          <w:sz w:val="20"/>
        </w:rPr>
        <w:t>Australia</w:t>
      </w:r>
      <w:r w:rsidRPr="00704467">
        <w:rPr>
          <w:rFonts w:ascii="Open Sans" w:hAnsi="Open Sans" w:cs="Open Sans"/>
          <w:spacing w:val="-4"/>
          <w:sz w:val="20"/>
        </w:rPr>
        <w:t>’)</w:t>
      </w:r>
      <w:r w:rsidRPr="00F20A2F" w:rsidDel="000300DD">
        <w:rPr>
          <w:rFonts w:ascii="Open Sans" w:hAnsi="Open Sans" w:cs="Open Sans"/>
          <w:i/>
          <w:sz w:val="20"/>
        </w:rPr>
        <w:t xml:space="preserve"> </w:t>
      </w:r>
      <w:r w:rsidRPr="00F20A2F">
        <w:rPr>
          <w:rFonts w:ascii="Open Sans" w:hAnsi="Open Sans" w:cs="Open Sans"/>
          <w:color w:val="231F20"/>
          <w:sz w:val="20"/>
        </w:rPr>
        <w:t>(the fact that the author may abscond if released into the community was not sufficient reason to justify holding the author in immigration detention for four</w:t>
      </w:r>
      <w:r w:rsidRPr="00F20A2F">
        <w:rPr>
          <w:rFonts w:ascii="Open Sans" w:hAnsi="Open Sans" w:cs="Open Sans"/>
          <w:color w:val="231F20"/>
          <w:spacing w:val="-4"/>
          <w:sz w:val="20"/>
        </w:rPr>
        <w:t xml:space="preserve"> </w:t>
      </w:r>
      <w:r w:rsidRPr="00F20A2F">
        <w:rPr>
          <w:rFonts w:ascii="Open Sans" w:hAnsi="Open Sans" w:cs="Open Sans"/>
          <w:color w:val="231F20"/>
          <w:sz w:val="20"/>
        </w:rPr>
        <w:t>years);</w:t>
      </w:r>
      <w:r w:rsidRPr="00F20A2F">
        <w:rPr>
          <w:rFonts w:ascii="Open Sans" w:hAnsi="Open Sans" w:cs="Open Sans"/>
          <w:i/>
          <w:sz w:val="20"/>
        </w:rPr>
        <w:t xml:space="preserve"> </w:t>
      </w:r>
      <w:r w:rsidRPr="00704467">
        <w:rPr>
          <w:rFonts w:ascii="Open Sans" w:hAnsi="Open Sans" w:cs="Open Sans"/>
          <w:sz w:val="20"/>
        </w:rPr>
        <w:t xml:space="preserve">Human Rights Committee, </w:t>
      </w:r>
      <w:r w:rsidRPr="00704467">
        <w:rPr>
          <w:rFonts w:ascii="Open Sans" w:hAnsi="Open Sans" w:cs="Open Sans"/>
          <w:i/>
          <w:sz w:val="20"/>
        </w:rPr>
        <w:t xml:space="preserve">Views </w:t>
      </w:r>
      <w:r w:rsidRPr="00704467">
        <w:rPr>
          <w:rFonts w:ascii="Open Sans" w:hAnsi="Open Sans" w:cs="Open Sans"/>
          <w:bCs/>
          <w:i/>
          <w:sz w:val="20"/>
          <w:lang w:val="en"/>
        </w:rPr>
        <w:t>Communication No. 900/1999</w:t>
      </w:r>
      <w:r w:rsidRPr="00704467">
        <w:rPr>
          <w:rFonts w:ascii="Open Sans" w:hAnsi="Open Sans" w:cs="Open Sans"/>
          <w:bCs/>
          <w:sz w:val="20"/>
          <w:lang w:val="en"/>
        </w:rPr>
        <w:t>, 76</w:t>
      </w:r>
      <w:r w:rsidRPr="00704467">
        <w:rPr>
          <w:rFonts w:ascii="Open Sans" w:hAnsi="Open Sans" w:cs="Open Sans"/>
          <w:bCs/>
          <w:sz w:val="20"/>
          <w:vertAlign w:val="superscript"/>
          <w:lang w:val="en"/>
        </w:rPr>
        <w:t>th</w:t>
      </w:r>
      <w:r w:rsidRPr="00704467">
        <w:rPr>
          <w:rFonts w:ascii="Open Sans" w:hAnsi="Open Sans" w:cs="Open Sans"/>
          <w:bCs/>
          <w:sz w:val="20"/>
          <w:lang w:val="en"/>
        </w:rPr>
        <w:t xml:space="preserve"> sess, </w:t>
      </w:r>
      <w:r w:rsidRPr="00704467">
        <w:rPr>
          <w:rFonts w:ascii="Open Sans" w:hAnsi="Open Sans" w:cs="Open Sans"/>
          <w:sz w:val="20"/>
        </w:rPr>
        <w:t>UN Doc CCPR/C/76/D/900/1999 (28 October 2002)</w:t>
      </w:r>
      <w:r w:rsidRPr="00704467">
        <w:rPr>
          <w:rFonts w:ascii="Open Sans" w:hAnsi="Open Sans" w:cs="Open Sans"/>
          <w:i/>
          <w:sz w:val="20"/>
        </w:rPr>
        <w:t xml:space="preserve"> </w:t>
      </w:r>
      <w:r w:rsidRPr="00704467">
        <w:rPr>
          <w:rFonts w:ascii="Open Sans" w:hAnsi="Open Sans" w:cs="Open Sans"/>
          <w:sz w:val="20"/>
        </w:rPr>
        <w:t>(‘</w:t>
      </w:r>
      <w:r w:rsidRPr="00704467">
        <w:rPr>
          <w:rFonts w:ascii="Open Sans" w:hAnsi="Open Sans" w:cs="Open Sans"/>
          <w:i/>
          <w:sz w:val="20"/>
        </w:rPr>
        <w:t>C v</w:t>
      </w:r>
      <w:r w:rsidRPr="00704467">
        <w:rPr>
          <w:rFonts w:ascii="Open Sans" w:hAnsi="Open Sans" w:cs="Open Sans"/>
          <w:i/>
          <w:spacing w:val="-10"/>
          <w:sz w:val="20"/>
        </w:rPr>
        <w:t xml:space="preserve"> </w:t>
      </w:r>
      <w:r w:rsidRPr="00704467">
        <w:rPr>
          <w:rFonts w:ascii="Open Sans" w:hAnsi="Open Sans" w:cs="Open Sans"/>
          <w:i/>
          <w:sz w:val="20"/>
        </w:rPr>
        <w:t>Australia</w:t>
      </w:r>
      <w:r w:rsidRPr="00704467">
        <w:rPr>
          <w:rFonts w:ascii="Open Sans" w:hAnsi="Open Sans" w:cs="Open Sans"/>
          <w:sz w:val="20"/>
        </w:rPr>
        <w:t>’).</w:t>
      </w:r>
    </w:p>
  </w:endnote>
  <w:endnote w:id="7">
    <w:p w14:paraId="625CD8FE" w14:textId="77777777" w:rsidR="00111740" w:rsidRPr="00F20A2F" w:rsidRDefault="00111740" w:rsidP="00111740">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C01166">
        <w:rPr>
          <w:rFonts w:ascii="Open Sans" w:hAnsi="Open Sans" w:cs="Open Sans"/>
          <w:sz w:val="20"/>
        </w:rPr>
        <w:t xml:space="preserve">Human Rights Committee, </w:t>
      </w:r>
      <w:r w:rsidRPr="00C01166">
        <w:rPr>
          <w:rFonts w:ascii="Open Sans" w:hAnsi="Open Sans" w:cs="Open Sans"/>
          <w:i/>
          <w:sz w:val="20"/>
        </w:rPr>
        <w:t>Views: Communication No. 305/1988,</w:t>
      </w:r>
      <w:r w:rsidRPr="00C01166">
        <w:rPr>
          <w:rFonts w:ascii="Open Sans" w:hAnsi="Open Sans" w:cs="Open Sans"/>
          <w:i/>
          <w:spacing w:val="-3"/>
          <w:sz w:val="20"/>
        </w:rPr>
        <w:t xml:space="preserve"> </w:t>
      </w:r>
      <w:r w:rsidRPr="00C01166">
        <w:rPr>
          <w:rFonts w:ascii="Open Sans" w:hAnsi="Open Sans" w:cs="Open Sans"/>
          <w:spacing w:val="-3"/>
          <w:sz w:val="20"/>
        </w:rPr>
        <w:t>39</w:t>
      </w:r>
      <w:r w:rsidRPr="00C01166">
        <w:rPr>
          <w:rFonts w:ascii="Open Sans" w:hAnsi="Open Sans" w:cs="Open Sans"/>
          <w:spacing w:val="-3"/>
          <w:sz w:val="20"/>
          <w:vertAlign w:val="superscript"/>
        </w:rPr>
        <w:t>th</w:t>
      </w:r>
      <w:r w:rsidRPr="00C01166">
        <w:rPr>
          <w:rFonts w:ascii="Open Sans" w:hAnsi="Open Sans" w:cs="Open Sans"/>
          <w:spacing w:val="-3"/>
          <w:sz w:val="20"/>
        </w:rPr>
        <w:t xml:space="preserve"> sess, </w:t>
      </w:r>
      <w:r w:rsidRPr="00C01166">
        <w:rPr>
          <w:rFonts w:ascii="Open Sans" w:hAnsi="Open Sans" w:cs="Open Sans"/>
          <w:sz w:val="20"/>
        </w:rPr>
        <w:t>UN Doc CCPR/C/39/D/305/1988 (23 July 1990) (‘</w:t>
      </w:r>
      <w:r w:rsidRPr="00C01166">
        <w:rPr>
          <w:rFonts w:ascii="Open Sans" w:hAnsi="Open Sans" w:cs="Open Sans"/>
          <w:i/>
          <w:spacing w:val="-3"/>
          <w:sz w:val="20"/>
        </w:rPr>
        <w:t xml:space="preserve">Van </w:t>
      </w:r>
      <w:r w:rsidRPr="00C01166">
        <w:rPr>
          <w:rFonts w:ascii="Open Sans" w:hAnsi="Open Sans" w:cs="Open Sans"/>
          <w:i/>
          <w:sz w:val="20"/>
        </w:rPr>
        <w:t>Alphen v The Netherlands</w:t>
      </w:r>
      <w:r w:rsidRPr="00C01166">
        <w:rPr>
          <w:rFonts w:ascii="Open Sans" w:hAnsi="Open Sans" w:cs="Open Sans"/>
          <w:sz w:val="20"/>
        </w:rPr>
        <w:t>’)</w:t>
      </w:r>
      <w:r w:rsidRPr="00F20A2F">
        <w:rPr>
          <w:rFonts w:ascii="Open Sans" w:hAnsi="Open Sans" w:cs="Open Sans"/>
          <w:sz w:val="20"/>
        </w:rPr>
        <w:t>.</w:t>
      </w:r>
    </w:p>
  </w:endnote>
  <w:endnote w:id="8">
    <w:p w14:paraId="1EFD6928" w14:textId="77777777" w:rsidR="00111740" w:rsidRPr="00F20A2F" w:rsidRDefault="00111740" w:rsidP="00111740">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D8550F">
        <w:rPr>
          <w:rFonts w:ascii="Open Sans" w:hAnsi="Open Sans" w:cs="Open Sans"/>
          <w:sz w:val="20"/>
        </w:rPr>
        <w:t xml:space="preserve">Human Rights Committee, </w:t>
      </w:r>
      <w:r w:rsidRPr="00D8550F">
        <w:rPr>
          <w:rFonts w:ascii="Open Sans" w:hAnsi="Open Sans" w:cs="Open Sans"/>
          <w:i/>
          <w:sz w:val="20"/>
        </w:rPr>
        <w:t xml:space="preserve">Views: </w:t>
      </w:r>
      <w:r w:rsidRPr="00D8550F">
        <w:rPr>
          <w:rFonts w:ascii="Open Sans" w:hAnsi="Open Sans" w:cs="Open Sans"/>
          <w:bCs/>
          <w:i/>
          <w:sz w:val="20"/>
          <w:lang w:val="en"/>
        </w:rPr>
        <w:t>Communication No. 900/1999</w:t>
      </w:r>
      <w:r w:rsidRPr="00D8550F">
        <w:rPr>
          <w:rFonts w:ascii="Open Sans" w:hAnsi="Open Sans" w:cs="Open Sans"/>
          <w:bCs/>
          <w:sz w:val="20"/>
          <w:lang w:val="en"/>
        </w:rPr>
        <w:t>, 76</w:t>
      </w:r>
      <w:r w:rsidRPr="00D8550F">
        <w:rPr>
          <w:rFonts w:ascii="Open Sans" w:hAnsi="Open Sans" w:cs="Open Sans"/>
          <w:bCs/>
          <w:sz w:val="20"/>
          <w:vertAlign w:val="superscript"/>
          <w:lang w:val="en"/>
        </w:rPr>
        <w:t>th</w:t>
      </w:r>
      <w:r w:rsidRPr="00D8550F">
        <w:rPr>
          <w:rFonts w:ascii="Open Sans" w:hAnsi="Open Sans" w:cs="Open Sans"/>
          <w:bCs/>
          <w:sz w:val="20"/>
          <w:lang w:val="en"/>
        </w:rPr>
        <w:t xml:space="preserve"> sess, </w:t>
      </w:r>
      <w:r w:rsidRPr="00D8550F">
        <w:rPr>
          <w:rFonts w:ascii="Open Sans" w:hAnsi="Open Sans" w:cs="Open Sans"/>
          <w:sz w:val="20"/>
        </w:rPr>
        <w:t>UN Doc CCPR/C/76/D/900/1999 (28 October 2002)</w:t>
      </w:r>
      <w:r w:rsidRPr="00D8550F">
        <w:rPr>
          <w:rFonts w:ascii="Open Sans" w:hAnsi="Open Sans" w:cs="Open Sans"/>
          <w:i/>
          <w:sz w:val="20"/>
        </w:rPr>
        <w:t xml:space="preserve"> </w:t>
      </w:r>
      <w:r w:rsidRPr="00D8550F">
        <w:rPr>
          <w:rFonts w:ascii="Open Sans" w:hAnsi="Open Sans" w:cs="Open Sans"/>
          <w:sz w:val="20"/>
        </w:rPr>
        <w:t>(‘</w:t>
      </w:r>
      <w:r w:rsidRPr="00D8550F">
        <w:rPr>
          <w:rFonts w:ascii="Open Sans" w:hAnsi="Open Sans" w:cs="Open Sans"/>
          <w:i/>
          <w:sz w:val="20"/>
        </w:rPr>
        <w:t>C v</w:t>
      </w:r>
      <w:r w:rsidRPr="00D8550F">
        <w:rPr>
          <w:rFonts w:ascii="Open Sans" w:hAnsi="Open Sans" w:cs="Open Sans"/>
          <w:i/>
          <w:spacing w:val="-10"/>
          <w:sz w:val="20"/>
        </w:rPr>
        <w:t xml:space="preserve"> </w:t>
      </w:r>
      <w:r w:rsidRPr="00D8550F">
        <w:rPr>
          <w:rFonts w:ascii="Open Sans" w:hAnsi="Open Sans" w:cs="Open Sans"/>
          <w:i/>
          <w:sz w:val="20"/>
        </w:rPr>
        <w:t>Australia</w:t>
      </w:r>
      <w:r w:rsidRPr="00D8550F">
        <w:rPr>
          <w:rFonts w:ascii="Open Sans" w:hAnsi="Open Sans" w:cs="Open Sans"/>
          <w:sz w:val="20"/>
        </w:rPr>
        <w:t>’)</w:t>
      </w:r>
      <w:r w:rsidRPr="00D8550F">
        <w:rPr>
          <w:rFonts w:ascii="Open Sans" w:hAnsi="Open Sans" w:cs="Open Sans"/>
          <w:color w:val="231F20"/>
          <w:sz w:val="20"/>
        </w:rPr>
        <w:t>;</w:t>
      </w:r>
      <w:r w:rsidRPr="00D8550F">
        <w:rPr>
          <w:rFonts w:ascii="Open Sans" w:hAnsi="Open Sans" w:cs="Open Sans"/>
          <w:sz w:val="20"/>
        </w:rPr>
        <w:t xml:space="preserve"> Human Rights Committee, </w:t>
      </w:r>
      <w:r w:rsidRPr="00D8550F">
        <w:rPr>
          <w:rFonts w:ascii="Open Sans" w:hAnsi="Open Sans" w:cs="Open Sans"/>
          <w:i/>
          <w:sz w:val="20"/>
        </w:rPr>
        <w:t xml:space="preserve">Views: </w:t>
      </w:r>
      <w:r w:rsidRPr="00D8550F">
        <w:rPr>
          <w:rFonts w:ascii="Open Sans" w:hAnsi="Open Sans" w:cs="Open Sans"/>
          <w:bCs/>
          <w:i/>
          <w:sz w:val="20"/>
        </w:rPr>
        <w:t>Communications Nos. 1255,1256,1259,1260,1266,1268,1270 &amp;1288/2004</w:t>
      </w:r>
      <w:r w:rsidRPr="00D8550F">
        <w:rPr>
          <w:rFonts w:ascii="Open Sans" w:hAnsi="Open Sans" w:cs="Open Sans"/>
          <w:bCs/>
          <w:sz w:val="20"/>
        </w:rPr>
        <w:t>, 90</w:t>
      </w:r>
      <w:r w:rsidRPr="00D8550F">
        <w:rPr>
          <w:rFonts w:ascii="Open Sans" w:hAnsi="Open Sans" w:cs="Open Sans"/>
          <w:bCs/>
          <w:sz w:val="20"/>
          <w:vertAlign w:val="superscript"/>
        </w:rPr>
        <w:t>th</w:t>
      </w:r>
      <w:r w:rsidRPr="00D8550F">
        <w:rPr>
          <w:rFonts w:ascii="Open Sans" w:hAnsi="Open Sans" w:cs="Open Sans"/>
          <w:bCs/>
          <w:sz w:val="20"/>
        </w:rPr>
        <w:t xml:space="preserve"> sess, </w:t>
      </w:r>
      <w:r w:rsidRPr="00D8550F">
        <w:rPr>
          <w:rFonts w:ascii="Open Sans" w:hAnsi="Open Sans" w:cs="Open Sans"/>
          <w:sz w:val="20"/>
        </w:rPr>
        <w:t>UN</w:t>
      </w:r>
      <w:r w:rsidRPr="00D8550F">
        <w:rPr>
          <w:rFonts w:ascii="Open Sans" w:hAnsi="Open Sans" w:cs="Open Sans"/>
          <w:spacing w:val="-6"/>
          <w:sz w:val="20"/>
        </w:rPr>
        <w:t xml:space="preserve"> </w:t>
      </w:r>
      <w:r w:rsidRPr="00D8550F">
        <w:rPr>
          <w:rFonts w:ascii="Open Sans" w:hAnsi="Open Sans" w:cs="Open Sans"/>
          <w:sz w:val="20"/>
        </w:rPr>
        <w:t>Doc</w:t>
      </w:r>
      <w:r w:rsidRPr="00D8550F">
        <w:rPr>
          <w:rFonts w:ascii="Open Sans" w:hAnsi="Open Sans" w:cs="Open Sans"/>
          <w:spacing w:val="-6"/>
          <w:sz w:val="20"/>
        </w:rPr>
        <w:t xml:space="preserve"> </w:t>
      </w:r>
      <w:r w:rsidRPr="00D8550F">
        <w:rPr>
          <w:rFonts w:ascii="Open Sans" w:hAnsi="Open Sans" w:cs="Open Sans"/>
          <w:sz w:val="20"/>
        </w:rPr>
        <w:t xml:space="preserve">CCPR/C/90/D/1255 </w:t>
      </w:r>
      <w:r w:rsidRPr="00D8550F">
        <w:rPr>
          <w:rFonts w:ascii="Open Sans" w:hAnsi="Open Sans" w:cs="Open Sans"/>
          <w:bCs/>
          <w:i/>
          <w:sz w:val="20"/>
        </w:rPr>
        <w:t>1256,1259,1260,1266,1268,1270 &amp;1288</w:t>
      </w:r>
      <w:r w:rsidRPr="00D8550F">
        <w:rPr>
          <w:rFonts w:ascii="Open Sans" w:hAnsi="Open Sans" w:cs="Open Sans"/>
          <w:sz w:val="20"/>
        </w:rPr>
        <w:t>/2004 (20 July 2007) (‘</w:t>
      </w:r>
      <w:r w:rsidRPr="00D8550F">
        <w:rPr>
          <w:rFonts w:ascii="Open Sans" w:hAnsi="Open Sans" w:cs="Open Sans"/>
          <w:i/>
          <w:sz w:val="20"/>
        </w:rPr>
        <w:t>Shams &amp; Ors v Australia</w:t>
      </w:r>
      <w:r w:rsidRPr="00D8550F">
        <w:rPr>
          <w:rFonts w:ascii="Open Sans" w:hAnsi="Open Sans" w:cs="Open Sans"/>
          <w:sz w:val="20"/>
        </w:rPr>
        <w:t xml:space="preserve">’); Human Rights Committee, </w:t>
      </w:r>
      <w:r w:rsidRPr="00D8550F">
        <w:rPr>
          <w:rFonts w:ascii="Open Sans" w:hAnsi="Open Sans" w:cs="Open Sans"/>
          <w:i/>
          <w:sz w:val="20"/>
        </w:rPr>
        <w:t>Views: Communication No 1014/2001</w:t>
      </w:r>
      <w:r w:rsidRPr="00D8550F">
        <w:rPr>
          <w:rFonts w:ascii="Open Sans" w:hAnsi="Open Sans" w:cs="Open Sans"/>
          <w:sz w:val="20"/>
        </w:rPr>
        <w:t>, 78</w:t>
      </w:r>
      <w:r w:rsidRPr="00D8550F">
        <w:rPr>
          <w:rFonts w:ascii="Open Sans" w:hAnsi="Open Sans" w:cs="Open Sans"/>
          <w:sz w:val="20"/>
          <w:vertAlign w:val="superscript"/>
        </w:rPr>
        <w:t>th</w:t>
      </w:r>
      <w:r w:rsidRPr="00D8550F">
        <w:rPr>
          <w:rFonts w:ascii="Open Sans" w:hAnsi="Open Sans" w:cs="Open Sans"/>
          <w:sz w:val="20"/>
        </w:rPr>
        <w:t xml:space="preserve"> sess, CCPR/C/78/D/1014/2001 (18 September 2003) (‘</w:t>
      </w:r>
      <w:r w:rsidRPr="00D8550F">
        <w:rPr>
          <w:rFonts w:ascii="Open Sans" w:hAnsi="Open Sans" w:cs="Open Sans"/>
          <w:i/>
          <w:sz w:val="20"/>
        </w:rPr>
        <w:t>Baban v</w:t>
      </w:r>
      <w:r w:rsidRPr="00D8550F">
        <w:rPr>
          <w:rFonts w:ascii="Open Sans" w:hAnsi="Open Sans" w:cs="Open Sans"/>
          <w:i/>
          <w:spacing w:val="-11"/>
          <w:sz w:val="20"/>
        </w:rPr>
        <w:t xml:space="preserve"> </w:t>
      </w:r>
      <w:r w:rsidRPr="00D8550F">
        <w:rPr>
          <w:rFonts w:ascii="Open Sans" w:hAnsi="Open Sans" w:cs="Open Sans"/>
          <w:i/>
          <w:sz w:val="20"/>
        </w:rPr>
        <w:t>Australia</w:t>
      </w:r>
      <w:r w:rsidRPr="00D8550F">
        <w:rPr>
          <w:rFonts w:ascii="Open Sans" w:hAnsi="Open Sans" w:cs="Open Sans"/>
          <w:sz w:val="20"/>
        </w:rPr>
        <w:t>’);</w:t>
      </w:r>
      <w:r w:rsidRPr="00D8550F">
        <w:rPr>
          <w:rFonts w:ascii="Open Sans" w:hAnsi="Open Sans" w:cs="Open Sans"/>
          <w:i/>
          <w:sz w:val="20"/>
        </w:rPr>
        <w:t xml:space="preserve"> </w:t>
      </w:r>
      <w:r w:rsidRPr="00D8550F">
        <w:rPr>
          <w:rFonts w:ascii="Open Sans" w:hAnsi="Open Sans" w:cs="Open Sans"/>
          <w:sz w:val="20"/>
        </w:rPr>
        <w:t xml:space="preserve">Human Rights Committee, </w:t>
      </w:r>
      <w:r w:rsidRPr="00D8550F">
        <w:rPr>
          <w:rFonts w:ascii="Open Sans" w:hAnsi="Open Sans" w:cs="Open Sans"/>
          <w:i/>
          <w:sz w:val="20"/>
        </w:rPr>
        <w:t xml:space="preserve">Views: </w:t>
      </w:r>
      <w:r w:rsidRPr="00D8550F">
        <w:rPr>
          <w:rFonts w:ascii="Open Sans" w:hAnsi="Open Sans" w:cs="Open Sans"/>
          <w:bCs/>
          <w:i/>
          <w:sz w:val="20"/>
          <w:lang w:val="en"/>
        </w:rPr>
        <w:t>Communication No. 1050/2002</w:t>
      </w:r>
      <w:r w:rsidRPr="00D8550F">
        <w:rPr>
          <w:rFonts w:ascii="Open Sans" w:hAnsi="Open Sans" w:cs="Open Sans"/>
          <w:bCs/>
          <w:sz w:val="20"/>
          <w:lang w:val="en"/>
        </w:rPr>
        <w:t>, 87</w:t>
      </w:r>
      <w:r w:rsidRPr="00D8550F">
        <w:rPr>
          <w:rFonts w:ascii="Open Sans" w:hAnsi="Open Sans" w:cs="Open Sans"/>
          <w:bCs/>
          <w:sz w:val="20"/>
          <w:vertAlign w:val="superscript"/>
          <w:lang w:val="en"/>
        </w:rPr>
        <w:t>th</w:t>
      </w:r>
      <w:r w:rsidRPr="00D8550F">
        <w:rPr>
          <w:rFonts w:ascii="Open Sans" w:hAnsi="Open Sans" w:cs="Open Sans"/>
          <w:bCs/>
          <w:sz w:val="20"/>
          <w:lang w:val="en"/>
        </w:rPr>
        <w:t xml:space="preserve"> sess,</w:t>
      </w:r>
      <w:r w:rsidRPr="00D8550F">
        <w:rPr>
          <w:rFonts w:ascii="Open Sans" w:hAnsi="Open Sans" w:cs="Open Sans"/>
          <w:sz w:val="20"/>
          <w:lang w:val="en"/>
        </w:rPr>
        <w:t xml:space="preserve"> </w:t>
      </w:r>
      <w:r w:rsidRPr="00D8550F">
        <w:rPr>
          <w:rFonts w:ascii="Open Sans" w:hAnsi="Open Sans" w:cs="Open Sans"/>
          <w:sz w:val="20"/>
        </w:rPr>
        <w:t>CCPR/C/87/D/1050/2002 (9 August 2006)</w:t>
      </w:r>
      <w:r w:rsidRPr="00D8550F">
        <w:rPr>
          <w:rFonts w:ascii="Open Sans" w:hAnsi="Open Sans" w:cs="Open Sans"/>
          <w:i/>
          <w:sz w:val="20"/>
        </w:rPr>
        <w:t xml:space="preserve"> </w:t>
      </w:r>
      <w:r w:rsidRPr="00D8550F">
        <w:rPr>
          <w:rFonts w:ascii="Open Sans" w:hAnsi="Open Sans" w:cs="Open Sans"/>
          <w:sz w:val="20"/>
        </w:rPr>
        <w:t>(‘</w:t>
      </w:r>
      <w:r w:rsidRPr="00D8550F">
        <w:rPr>
          <w:rFonts w:ascii="Open Sans" w:hAnsi="Open Sans" w:cs="Open Sans"/>
          <w:i/>
          <w:sz w:val="20"/>
        </w:rPr>
        <w:t>D</w:t>
      </w:r>
      <w:r w:rsidRPr="00D8550F">
        <w:rPr>
          <w:rFonts w:ascii="Open Sans" w:hAnsi="Open Sans" w:cs="Open Sans"/>
          <w:i/>
          <w:spacing w:val="-6"/>
          <w:sz w:val="20"/>
        </w:rPr>
        <w:t xml:space="preserve"> </w:t>
      </w:r>
      <w:r w:rsidRPr="00D8550F">
        <w:rPr>
          <w:rFonts w:ascii="Open Sans" w:hAnsi="Open Sans" w:cs="Open Sans"/>
          <w:i/>
          <w:sz w:val="20"/>
        </w:rPr>
        <w:t>and E and their two children v</w:t>
      </w:r>
      <w:r w:rsidRPr="00D8550F">
        <w:rPr>
          <w:rFonts w:ascii="Open Sans" w:hAnsi="Open Sans" w:cs="Open Sans"/>
          <w:i/>
          <w:spacing w:val="-38"/>
          <w:sz w:val="20"/>
        </w:rPr>
        <w:t xml:space="preserve">  </w:t>
      </w:r>
      <w:r w:rsidRPr="00D8550F">
        <w:rPr>
          <w:rFonts w:ascii="Open Sans" w:hAnsi="Open Sans" w:cs="Open Sans"/>
          <w:i/>
          <w:sz w:val="20"/>
        </w:rPr>
        <w:t>Australia</w:t>
      </w:r>
      <w:r w:rsidRPr="00D8550F">
        <w:rPr>
          <w:rFonts w:ascii="Open Sans" w:hAnsi="Open Sans" w:cs="Open Sans"/>
          <w:sz w:val="20"/>
        </w:rPr>
        <w:t>’).</w:t>
      </w:r>
    </w:p>
  </w:endnote>
  <w:endnote w:id="9">
    <w:p w14:paraId="7AB7F80C" w14:textId="77777777" w:rsidR="00111740" w:rsidRPr="003B400F" w:rsidRDefault="00111740" w:rsidP="00111740">
      <w:pPr>
        <w:tabs>
          <w:tab w:val="left" w:pos="284"/>
          <w:tab w:val="left" w:pos="567"/>
        </w:tabs>
        <w:spacing w:line="249" w:lineRule="auto"/>
        <w:ind w:left="284" w:right="553" w:hanging="284"/>
        <w:contextualSpacing/>
        <w:rPr>
          <w:rFonts w:ascii="Open Sans" w:hAnsi="Open Sans" w:cs="Open Sans"/>
          <w:sz w:val="20"/>
        </w:rPr>
      </w:pPr>
      <w:r w:rsidRPr="00AF44D2">
        <w:rPr>
          <w:rStyle w:val="EndnoteReference"/>
          <w:rFonts w:ascii="Open Sans" w:hAnsi="Open Sans" w:cs="Open Sans"/>
        </w:rPr>
        <w:endnoteRef/>
      </w:r>
      <w:r w:rsidRPr="00AF44D2">
        <w:rPr>
          <w:rFonts w:ascii="Open Sans" w:hAnsi="Open Sans" w:cs="Open Sans"/>
          <w:sz w:val="20"/>
        </w:rPr>
        <w:t xml:space="preserve"> </w:t>
      </w:r>
      <w:r>
        <w:rPr>
          <w:rFonts w:ascii="Open Sans" w:hAnsi="Open Sans" w:cs="Open Sans"/>
          <w:sz w:val="20"/>
        </w:rPr>
        <w:tab/>
      </w:r>
      <w:r w:rsidRPr="003B400F">
        <w:rPr>
          <w:rFonts w:ascii="Open Sans" w:hAnsi="Open Sans" w:cs="Open Sans"/>
          <w:sz w:val="20"/>
        </w:rPr>
        <w:t xml:space="preserve">Human Rights Committee, </w:t>
      </w:r>
      <w:r w:rsidRPr="003B400F">
        <w:rPr>
          <w:rFonts w:ascii="Open Sans" w:hAnsi="Open Sans" w:cs="Open Sans"/>
          <w:i/>
          <w:sz w:val="20"/>
        </w:rPr>
        <w:t>General Comment No. 35</w:t>
      </w:r>
      <w:r w:rsidRPr="003B400F">
        <w:rPr>
          <w:rFonts w:ascii="Open Sans" w:hAnsi="Open Sans" w:cs="Open Sans"/>
          <w:sz w:val="20"/>
        </w:rPr>
        <w:t xml:space="preserve"> </w:t>
      </w:r>
      <w:r w:rsidRPr="003B400F">
        <w:rPr>
          <w:rFonts w:ascii="Open Sans" w:hAnsi="Open Sans" w:cs="Open Sans"/>
          <w:i/>
          <w:sz w:val="20"/>
        </w:rPr>
        <w:t>Article 9 (Liberty and security of person)</w:t>
      </w:r>
      <w:r w:rsidRPr="003B400F">
        <w:rPr>
          <w:rFonts w:ascii="Open Sans" w:hAnsi="Open Sans" w:cs="Open Sans"/>
          <w:sz w:val="20"/>
        </w:rPr>
        <w:t>, 112</w:t>
      </w:r>
      <w:r w:rsidRPr="003B400F">
        <w:rPr>
          <w:rFonts w:ascii="Open Sans" w:hAnsi="Open Sans" w:cs="Open Sans"/>
          <w:sz w:val="20"/>
          <w:vertAlign w:val="superscript"/>
        </w:rPr>
        <w:t>th</w:t>
      </w:r>
      <w:r w:rsidRPr="003B400F">
        <w:rPr>
          <w:rFonts w:ascii="Open Sans" w:hAnsi="Open Sans" w:cs="Open Sans"/>
          <w:sz w:val="20"/>
        </w:rPr>
        <w:t xml:space="preserve"> Sess, UN Doc CCPR/C/GC/35</w:t>
      </w:r>
      <w:r w:rsidRPr="003B400F">
        <w:rPr>
          <w:rFonts w:ascii="Open Sans" w:hAnsi="Open Sans" w:cs="Open Sans"/>
          <w:i/>
          <w:sz w:val="20"/>
        </w:rPr>
        <w:t xml:space="preserve"> </w:t>
      </w:r>
      <w:r w:rsidRPr="003B400F">
        <w:rPr>
          <w:rFonts w:ascii="Open Sans" w:hAnsi="Open Sans" w:cs="Open Sans"/>
          <w:sz w:val="20"/>
        </w:rPr>
        <w:t>(</w:t>
      </w:r>
      <w:r>
        <w:rPr>
          <w:rFonts w:ascii="Open Sans" w:hAnsi="Open Sans" w:cs="Open Sans"/>
          <w:sz w:val="20"/>
        </w:rPr>
        <w:t xml:space="preserve">16 December </w:t>
      </w:r>
      <w:r w:rsidRPr="003B400F">
        <w:rPr>
          <w:rFonts w:ascii="Open Sans" w:hAnsi="Open Sans" w:cs="Open Sans"/>
          <w:sz w:val="20"/>
        </w:rPr>
        <w:t>2014) [18], footnotes omitted.</w:t>
      </w:r>
    </w:p>
  </w:endnote>
  <w:endnote w:id="10">
    <w:p w14:paraId="7EB3E05D" w14:textId="77777777" w:rsidR="00111740" w:rsidRPr="003B400F" w:rsidRDefault="00111740" w:rsidP="00111740">
      <w:pPr>
        <w:pStyle w:val="EndnoteText"/>
        <w:ind w:left="284" w:hanging="284"/>
        <w:rPr>
          <w:rFonts w:ascii="Open Sans" w:hAnsi="Open Sans" w:cs="Open Sans"/>
          <w:sz w:val="20"/>
        </w:rPr>
      </w:pPr>
      <w:r w:rsidRPr="00AF44D2">
        <w:rPr>
          <w:rStyle w:val="EndnoteReference"/>
          <w:rFonts w:ascii="Open Sans" w:hAnsi="Open Sans" w:cs="Open Sans"/>
        </w:rPr>
        <w:endnoteRef/>
      </w:r>
      <w:r w:rsidRPr="00AF44D2">
        <w:rPr>
          <w:rFonts w:ascii="Open Sans" w:hAnsi="Open Sans" w:cs="Open Sans"/>
          <w:sz w:val="20"/>
        </w:rPr>
        <w:t xml:space="preserve"> </w:t>
      </w:r>
      <w:r>
        <w:rPr>
          <w:rFonts w:ascii="Open Sans" w:hAnsi="Open Sans" w:cs="Open Sans"/>
          <w:sz w:val="20"/>
        </w:rPr>
        <w:tab/>
      </w:r>
      <w:r w:rsidRPr="009746C9">
        <w:rPr>
          <w:rFonts w:ascii="Open Sans" w:hAnsi="Open Sans" w:cs="Open Sans"/>
          <w:sz w:val="20"/>
        </w:rPr>
        <w:t xml:space="preserve">Human Rights Committee, </w:t>
      </w:r>
      <w:r w:rsidRPr="009746C9">
        <w:rPr>
          <w:rFonts w:ascii="Open Sans" w:hAnsi="Open Sans" w:cs="Open Sans"/>
          <w:i/>
          <w:sz w:val="20"/>
        </w:rPr>
        <w:t>General Comment No. 31: The</w:t>
      </w:r>
      <w:r w:rsidRPr="009746C9">
        <w:rPr>
          <w:rFonts w:ascii="Open Sans" w:hAnsi="Open Sans" w:cs="Open Sans"/>
          <w:sz w:val="20"/>
        </w:rPr>
        <w:t xml:space="preserve"> </w:t>
      </w:r>
      <w:r w:rsidRPr="009746C9">
        <w:rPr>
          <w:rFonts w:ascii="Open Sans" w:hAnsi="Open Sans" w:cs="Open Sans"/>
          <w:i/>
          <w:sz w:val="20"/>
        </w:rPr>
        <w:t>Nature of the General Legal Obligation Imposed on States Parties to the Covenant</w:t>
      </w:r>
      <w:r w:rsidRPr="009746C9">
        <w:rPr>
          <w:rFonts w:ascii="Open Sans" w:hAnsi="Open Sans" w:cs="Open Sans"/>
          <w:sz w:val="20"/>
        </w:rPr>
        <w:t>, 80</w:t>
      </w:r>
      <w:r w:rsidRPr="009746C9">
        <w:rPr>
          <w:rFonts w:ascii="Open Sans" w:hAnsi="Open Sans" w:cs="Open Sans"/>
          <w:sz w:val="20"/>
          <w:vertAlign w:val="superscript"/>
        </w:rPr>
        <w:t>th</w:t>
      </w:r>
      <w:r w:rsidRPr="009746C9">
        <w:rPr>
          <w:rFonts w:ascii="Open Sans" w:hAnsi="Open Sans" w:cs="Open Sans"/>
          <w:sz w:val="20"/>
        </w:rPr>
        <w:t xml:space="preserve"> sess, UN Doc CCPR/C/21/Rev.1/Add.13 (26 May 2004) [6]; </w:t>
      </w:r>
      <w:r w:rsidRPr="00D8550F">
        <w:rPr>
          <w:rFonts w:ascii="Open Sans" w:hAnsi="Open Sans" w:cs="Open Sans"/>
          <w:sz w:val="20"/>
        </w:rPr>
        <w:t xml:space="preserve">Human Rights Committee, </w:t>
      </w:r>
      <w:r w:rsidRPr="00D8550F">
        <w:rPr>
          <w:rFonts w:ascii="Open Sans" w:hAnsi="Open Sans" w:cs="Open Sans"/>
          <w:i/>
          <w:sz w:val="20"/>
        </w:rPr>
        <w:t xml:space="preserve">Views: </w:t>
      </w:r>
      <w:r w:rsidRPr="00D8550F">
        <w:rPr>
          <w:rFonts w:ascii="Open Sans" w:hAnsi="Open Sans" w:cs="Open Sans"/>
          <w:i/>
          <w:iCs/>
          <w:sz w:val="20"/>
        </w:rPr>
        <w:t>Communication No. 305/1988,</w:t>
      </w:r>
      <w:r w:rsidRPr="00D8550F">
        <w:rPr>
          <w:rFonts w:ascii="Open Sans" w:hAnsi="Open Sans" w:cs="Open Sans"/>
          <w:i/>
          <w:spacing w:val="-3"/>
          <w:sz w:val="20"/>
        </w:rPr>
        <w:t xml:space="preserve"> </w:t>
      </w:r>
      <w:r w:rsidRPr="00D8550F">
        <w:rPr>
          <w:rFonts w:ascii="Open Sans" w:hAnsi="Open Sans" w:cs="Open Sans"/>
          <w:spacing w:val="-3"/>
          <w:sz w:val="20"/>
        </w:rPr>
        <w:t>39</w:t>
      </w:r>
      <w:r w:rsidRPr="00D8550F">
        <w:rPr>
          <w:rFonts w:ascii="Open Sans" w:hAnsi="Open Sans" w:cs="Open Sans"/>
          <w:spacing w:val="-3"/>
          <w:sz w:val="20"/>
          <w:vertAlign w:val="superscript"/>
        </w:rPr>
        <w:t>th</w:t>
      </w:r>
      <w:r w:rsidRPr="00D8550F">
        <w:rPr>
          <w:rFonts w:ascii="Open Sans" w:hAnsi="Open Sans" w:cs="Open Sans"/>
          <w:spacing w:val="-3"/>
          <w:sz w:val="20"/>
        </w:rPr>
        <w:t xml:space="preserve"> sess, </w:t>
      </w:r>
      <w:r w:rsidRPr="00D8550F">
        <w:rPr>
          <w:rFonts w:ascii="Open Sans" w:hAnsi="Open Sans" w:cs="Open Sans"/>
          <w:sz w:val="20"/>
        </w:rPr>
        <w:t>UN Doc CCPR/C/39/D/305/1988 (23 July 1990) (‘</w:t>
      </w:r>
      <w:r w:rsidRPr="00D8550F">
        <w:rPr>
          <w:rFonts w:ascii="Open Sans" w:hAnsi="Open Sans" w:cs="Open Sans"/>
          <w:i/>
          <w:spacing w:val="-3"/>
          <w:sz w:val="20"/>
        </w:rPr>
        <w:t xml:space="preserve">Van </w:t>
      </w:r>
      <w:r w:rsidRPr="00D8550F">
        <w:rPr>
          <w:rFonts w:ascii="Open Sans" w:hAnsi="Open Sans" w:cs="Open Sans"/>
          <w:i/>
          <w:sz w:val="20"/>
        </w:rPr>
        <w:t>Alphen v The Netherlands</w:t>
      </w:r>
      <w:r w:rsidRPr="00D8550F">
        <w:rPr>
          <w:rFonts w:ascii="Open Sans" w:hAnsi="Open Sans" w:cs="Open Sans"/>
          <w:sz w:val="20"/>
        </w:rPr>
        <w:t>’)</w:t>
      </w:r>
      <w:r w:rsidRPr="002432B0">
        <w:rPr>
          <w:rFonts w:ascii="Open Sans" w:hAnsi="Open Sans" w:cs="Open Sans"/>
          <w:sz w:val="20"/>
        </w:rPr>
        <w:t>;</w:t>
      </w:r>
      <w:r w:rsidRPr="003B400F">
        <w:rPr>
          <w:rFonts w:ascii="Open Sans" w:hAnsi="Open Sans" w:cs="Open Sans"/>
          <w:sz w:val="20"/>
        </w:rPr>
        <w:t xml:space="preserve"> </w:t>
      </w:r>
      <w:r w:rsidRPr="009746C9">
        <w:rPr>
          <w:rFonts w:ascii="Open Sans" w:hAnsi="Open Sans" w:cs="Open Sans"/>
          <w:sz w:val="20"/>
        </w:rPr>
        <w:t xml:space="preserve">Human Rights Committee, </w:t>
      </w:r>
      <w:r w:rsidRPr="009746C9">
        <w:rPr>
          <w:rFonts w:ascii="Open Sans" w:hAnsi="Open Sans" w:cs="Open Sans"/>
          <w:i/>
          <w:sz w:val="20"/>
        </w:rPr>
        <w:t xml:space="preserve">Views: </w:t>
      </w:r>
      <w:r w:rsidRPr="009746C9">
        <w:rPr>
          <w:rFonts w:ascii="Open Sans" w:hAnsi="Open Sans" w:cs="Open Sans"/>
          <w:bCs/>
          <w:i/>
          <w:sz w:val="20"/>
        </w:rPr>
        <w:t>Communication No. 560/1993</w:t>
      </w:r>
      <w:r w:rsidRPr="009746C9">
        <w:rPr>
          <w:rFonts w:ascii="Open Sans" w:hAnsi="Open Sans" w:cs="Open Sans"/>
          <w:bCs/>
          <w:sz w:val="20"/>
        </w:rPr>
        <w:t>, 59</w:t>
      </w:r>
      <w:r w:rsidRPr="009746C9">
        <w:rPr>
          <w:rFonts w:ascii="Open Sans" w:hAnsi="Open Sans" w:cs="Open Sans"/>
          <w:bCs/>
          <w:sz w:val="20"/>
          <w:vertAlign w:val="superscript"/>
        </w:rPr>
        <w:t>th</w:t>
      </w:r>
      <w:r w:rsidRPr="009746C9">
        <w:rPr>
          <w:rFonts w:ascii="Open Sans" w:hAnsi="Open Sans" w:cs="Open Sans"/>
          <w:bCs/>
          <w:sz w:val="20"/>
        </w:rPr>
        <w:t xml:space="preserve"> sess,</w:t>
      </w:r>
      <w:r w:rsidRPr="009746C9">
        <w:rPr>
          <w:rFonts w:ascii="Open Sans" w:hAnsi="Open Sans" w:cs="Open Sans"/>
          <w:b/>
          <w:bCs/>
          <w:sz w:val="20"/>
        </w:rPr>
        <w:t xml:space="preserve"> </w:t>
      </w:r>
      <w:r w:rsidRPr="009746C9">
        <w:rPr>
          <w:rFonts w:ascii="Open Sans" w:hAnsi="Open Sans" w:cs="Open Sans"/>
          <w:sz w:val="20"/>
        </w:rPr>
        <w:t>UN</w:t>
      </w:r>
      <w:r w:rsidRPr="009746C9">
        <w:rPr>
          <w:rFonts w:ascii="Open Sans" w:hAnsi="Open Sans" w:cs="Open Sans"/>
          <w:spacing w:val="-4"/>
          <w:sz w:val="20"/>
        </w:rPr>
        <w:t xml:space="preserve"> </w:t>
      </w:r>
      <w:r w:rsidRPr="009746C9">
        <w:rPr>
          <w:rFonts w:ascii="Open Sans" w:hAnsi="Open Sans" w:cs="Open Sans"/>
          <w:sz w:val="20"/>
        </w:rPr>
        <w:t>Doc</w:t>
      </w:r>
      <w:r w:rsidRPr="009746C9">
        <w:rPr>
          <w:rFonts w:ascii="Open Sans" w:hAnsi="Open Sans" w:cs="Open Sans"/>
          <w:spacing w:val="-4"/>
          <w:sz w:val="20"/>
        </w:rPr>
        <w:t xml:space="preserve"> </w:t>
      </w:r>
      <w:r w:rsidRPr="009746C9">
        <w:rPr>
          <w:rFonts w:ascii="Open Sans" w:hAnsi="Open Sans" w:cs="Open Sans"/>
          <w:sz w:val="20"/>
        </w:rPr>
        <w:t>CCPR/C/59/D/560/1993 (3 April 1997) (‘</w:t>
      </w:r>
      <w:r w:rsidRPr="009746C9">
        <w:rPr>
          <w:rFonts w:ascii="Open Sans" w:hAnsi="Open Sans" w:cs="Open Sans"/>
          <w:i/>
          <w:sz w:val="20"/>
        </w:rPr>
        <w:t>A</w:t>
      </w:r>
      <w:r w:rsidRPr="009746C9">
        <w:rPr>
          <w:rFonts w:ascii="Open Sans" w:hAnsi="Open Sans" w:cs="Open Sans"/>
          <w:i/>
          <w:spacing w:val="-10"/>
          <w:sz w:val="20"/>
        </w:rPr>
        <w:t xml:space="preserve"> </w:t>
      </w:r>
      <w:r w:rsidRPr="009746C9">
        <w:rPr>
          <w:rFonts w:ascii="Open Sans" w:hAnsi="Open Sans" w:cs="Open Sans"/>
          <w:i/>
          <w:sz w:val="20"/>
        </w:rPr>
        <w:t>v</w:t>
      </w:r>
      <w:r w:rsidRPr="009746C9">
        <w:rPr>
          <w:rFonts w:ascii="Open Sans" w:hAnsi="Open Sans" w:cs="Open Sans"/>
          <w:i/>
          <w:spacing w:val="-10"/>
          <w:sz w:val="20"/>
        </w:rPr>
        <w:t xml:space="preserve"> </w:t>
      </w:r>
      <w:r w:rsidRPr="009746C9">
        <w:rPr>
          <w:rFonts w:ascii="Open Sans" w:hAnsi="Open Sans" w:cs="Open Sans"/>
          <w:i/>
          <w:sz w:val="20"/>
        </w:rPr>
        <w:t>Australia</w:t>
      </w:r>
      <w:r w:rsidRPr="009746C9">
        <w:rPr>
          <w:rFonts w:ascii="Open Sans" w:hAnsi="Open Sans" w:cs="Open Sans"/>
          <w:spacing w:val="-4"/>
          <w:sz w:val="20"/>
        </w:rPr>
        <w:t>’)</w:t>
      </w:r>
      <w:r w:rsidRPr="009746C9">
        <w:rPr>
          <w:rFonts w:ascii="Open Sans" w:hAnsi="Open Sans" w:cs="Open Sans"/>
          <w:sz w:val="20"/>
        </w:rPr>
        <w:t xml:space="preserve">; Human Rights Committee, </w:t>
      </w:r>
      <w:r w:rsidRPr="009746C9">
        <w:rPr>
          <w:rFonts w:ascii="Open Sans" w:hAnsi="Open Sans" w:cs="Open Sans"/>
          <w:i/>
          <w:sz w:val="20"/>
        </w:rPr>
        <w:t xml:space="preserve">Views </w:t>
      </w:r>
      <w:r w:rsidRPr="009746C9">
        <w:rPr>
          <w:rFonts w:ascii="Open Sans" w:hAnsi="Open Sans" w:cs="Open Sans"/>
          <w:bCs/>
          <w:i/>
          <w:sz w:val="20"/>
          <w:lang w:val="en"/>
        </w:rPr>
        <w:t>Communication No. 900/1999</w:t>
      </w:r>
      <w:r w:rsidRPr="009746C9">
        <w:rPr>
          <w:rFonts w:ascii="Open Sans" w:hAnsi="Open Sans" w:cs="Open Sans"/>
          <w:bCs/>
          <w:sz w:val="20"/>
          <w:lang w:val="en"/>
        </w:rPr>
        <w:t>, 76</w:t>
      </w:r>
      <w:r w:rsidRPr="009746C9">
        <w:rPr>
          <w:rFonts w:ascii="Open Sans" w:hAnsi="Open Sans" w:cs="Open Sans"/>
          <w:bCs/>
          <w:sz w:val="20"/>
          <w:vertAlign w:val="superscript"/>
          <w:lang w:val="en"/>
        </w:rPr>
        <w:t>th</w:t>
      </w:r>
      <w:r w:rsidRPr="009746C9">
        <w:rPr>
          <w:rFonts w:ascii="Open Sans" w:hAnsi="Open Sans" w:cs="Open Sans"/>
          <w:bCs/>
          <w:sz w:val="20"/>
          <w:lang w:val="en"/>
        </w:rPr>
        <w:t xml:space="preserve"> sess, </w:t>
      </w:r>
      <w:r w:rsidRPr="009746C9">
        <w:rPr>
          <w:rFonts w:ascii="Open Sans" w:hAnsi="Open Sans" w:cs="Open Sans"/>
          <w:sz w:val="20"/>
        </w:rPr>
        <w:t>UN Doc CCPR/C/76/D/900/1999 (28 October 2002)</w:t>
      </w:r>
      <w:r w:rsidRPr="009746C9">
        <w:rPr>
          <w:rFonts w:ascii="Open Sans" w:hAnsi="Open Sans" w:cs="Open Sans"/>
          <w:i/>
          <w:sz w:val="20"/>
        </w:rPr>
        <w:t xml:space="preserve"> </w:t>
      </w:r>
      <w:r w:rsidRPr="009746C9">
        <w:rPr>
          <w:rFonts w:ascii="Open Sans" w:hAnsi="Open Sans" w:cs="Open Sans"/>
          <w:sz w:val="20"/>
        </w:rPr>
        <w:t>(‘</w:t>
      </w:r>
      <w:r w:rsidRPr="009746C9">
        <w:rPr>
          <w:rFonts w:ascii="Open Sans" w:hAnsi="Open Sans" w:cs="Open Sans"/>
          <w:i/>
          <w:sz w:val="20"/>
        </w:rPr>
        <w:t>C v</w:t>
      </w:r>
      <w:r w:rsidRPr="009746C9">
        <w:rPr>
          <w:rFonts w:ascii="Open Sans" w:hAnsi="Open Sans" w:cs="Open Sans"/>
          <w:i/>
          <w:spacing w:val="-10"/>
          <w:sz w:val="20"/>
        </w:rPr>
        <w:t xml:space="preserve"> </w:t>
      </w:r>
      <w:r w:rsidRPr="009746C9">
        <w:rPr>
          <w:rFonts w:ascii="Open Sans" w:hAnsi="Open Sans" w:cs="Open Sans"/>
          <w:i/>
          <w:sz w:val="20"/>
        </w:rPr>
        <w:t>Australia</w:t>
      </w:r>
      <w:r w:rsidRPr="009746C9">
        <w:rPr>
          <w:rFonts w:ascii="Open Sans" w:hAnsi="Open Sans" w:cs="Open Sans"/>
          <w:sz w:val="20"/>
        </w:rPr>
        <w:t>’).</w:t>
      </w:r>
    </w:p>
  </w:endnote>
  <w:endnote w:id="11">
    <w:p w14:paraId="55B3414D" w14:textId="77777777" w:rsidR="00111740" w:rsidRDefault="00111740" w:rsidP="00111740">
      <w:pPr>
        <w:pStyle w:val="EndnoteText"/>
        <w:rPr>
          <w:rFonts w:ascii="Open Sans" w:hAnsi="Open Sans" w:cs="Open Sans"/>
          <w:i/>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 xml:space="preserve"> </w:t>
      </w:r>
      <w:r w:rsidRPr="00F20A2F">
        <w:rPr>
          <w:rFonts w:ascii="Open Sans" w:hAnsi="Open Sans" w:cs="Open Sans"/>
          <w:sz w:val="20"/>
        </w:rPr>
        <w:t xml:space="preserve">The Hon Peter Dutton MP, Minister for Immigration and Border Protection, </w:t>
      </w:r>
      <w:r w:rsidRPr="00F20A2F">
        <w:rPr>
          <w:rFonts w:ascii="Open Sans" w:hAnsi="Open Sans" w:cs="Open Sans"/>
          <w:i/>
          <w:sz w:val="20"/>
        </w:rPr>
        <w:t>Minister for Immigration</w:t>
      </w:r>
    </w:p>
    <w:p w14:paraId="58DD0801" w14:textId="77777777" w:rsidR="00111740" w:rsidRDefault="00111740" w:rsidP="00111740">
      <w:pPr>
        <w:pStyle w:val="EndnoteText"/>
        <w:rPr>
          <w:rFonts w:ascii="Open Sans" w:hAnsi="Open Sans" w:cs="Open Sans"/>
          <w:i/>
          <w:sz w:val="20"/>
        </w:rPr>
      </w:pPr>
      <w:r>
        <w:rPr>
          <w:rFonts w:ascii="Open Sans" w:hAnsi="Open Sans" w:cs="Open Sans"/>
          <w:i/>
          <w:sz w:val="20"/>
        </w:rPr>
        <w:t xml:space="preserve">      and Border Protection’s Residence Determination Power under section 197AB and section 197AD of the   </w:t>
      </w:r>
    </w:p>
    <w:p w14:paraId="3288F0D2" w14:textId="77777777" w:rsidR="00111740" w:rsidRDefault="00111740" w:rsidP="00111740">
      <w:pPr>
        <w:pStyle w:val="EndnoteText"/>
        <w:rPr>
          <w:rFonts w:ascii="Open Sans" w:hAnsi="Open Sans" w:cs="Open Sans"/>
          <w:iCs/>
          <w:sz w:val="20"/>
        </w:rPr>
      </w:pPr>
      <w:r>
        <w:rPr>
          <w:rFonts w:ascii="Open Sans" w:hAnsi="Open Sans" w:cs="Open Sans"/>
          <w:i/>
          <w:sz w:val="20"/>
        </w:rPr>
        <w:t xml:space="preserve">      Migration Act 1958, </w:t>
      </w:r>
      <w:r>
        <w:rPr>
          <w:rFonts w:ascii="Open Sans" w:hAnsi="Open Sans" w:cs="Open Sans"/>
          <w:iCs/>
          <w:sz w:val="20"/>
        </w:rPr>
        <w:t>29 March 2015. The guidelines are incorporated into the Department’s</w:t>
      </w:r>
    </w:p>
    <w:p w14:paraId="4A8B75B1" w14:textId="77777777" w:rsidR="00111740" w:rsidRPr="00B534C5" w:rsidRDefault="00111740" w:rsidP="00111740">
      <w:pPr>
        <w:pStyle w:val="EndnoteText"/>
        <w:rPr>
          <w:rFonts w:ascii="Open Sans" w:hAnsi="Open Sans" w:cs="Open Sans"/>
          <w:sz w:val="20"/>
        </w:rPr>
      </w:pPr>
      <w:r>
        <w:rPr>
          <w:rFonts w:ascii="Open Sans" w:hAnsi="Open Sans" w:cs="Open Sans"/>
          <w:iCs/>
          <w:sz w:val="20"/>
        </w:rPr>
        <w:t xml:space="preserve">      Procedures Advice Manual. </w:t>
      </w:r>
      <w:r>
        <w:rPr>
          <w:rFonts w:ascii="Open Sans" w:hAnsi="Open Sans" w:cs="Open Sans"/>
          <w:i/>
          <w:sz w:val="20"/>
        </w:rPr>
        <w:t xml:space="preserve">                                                                                   </w:t>
      </w:r>
      <w:r>
        <w:rPr>
          <w:rFonts w:ascii="Open Sans" w:hAnsi="Open Sans" w:cs="Open Sans"/>
          <w:sz w:val="20"/>
        </w:rPr>
        <w:tab/>
      </w:r>
    </w:p>
  </w:endnote>
  <w:endnote w:id="12">
    <w:p w14:paraId="632ED320" w14:textId="77777777" w:rsidR="00111740" w:rsidRPr="003C2876" w:rsidRDefault="00111740" w:rsidP="00111740">
      <w:pPr>
        <w:pStyle w:val="EndnoteText"/>
        <w:tabs>
          <w:tab w:val="left" w:pos="284"/>
        </w:tabs>
        <w:ind w:left="284" w:hanging="284"/>
        <w:rPr>
          <w:rFonts w:cs="Arial"/>
          <w:sz w:val="16"/>
          <w:szCs w:val="16"/>
        </w:rPr>
      </w:pPr>
      <w:r w:rsidRPr="00D8550F">
        <w:rPr>
          <w:rStyle w:val="EndnoteReference"/>
          <w:rFonts w:ascii="Open Sans" w:hAnsi="Open Sans" w:cs="Open Sans"/>
        </w:rPr>
        <w:endnoteRef/>
      </w:r>
      <w:r w:rsidRPr="00D8550F">
        <w:rPr>
          <w:rFonts w:ascii="Open Sans" w:hAnsi="Open Sans" w:cs="Open Sans"/>
          <w:sz w:val="20"/>
        </w:rPr>
        <w:t xml:space="preserve"> </w:t>
      </w:r>
      <w:r w:rsidRPr="00D8550F">
        <w:rPr>
          <w:rFonts w:ascii="Open Sans" w:hAnsi="Open Sans" w:cs="Open Sans"/>
          <w:sz w:val="20"/>
        </w:rPr>
        <w:tab/>
        <w:t xml:space="preserve">The Hon Peter Dutton MP, Minister for Immigration and Border Protection, </w:t>
      </w:r>
      <w:r w:rsidRPr="00D8550F">
        <w:rPr>
          <w:rFonts w:ascii="Open Sans" w:hAnsi="Open Sans" w:cs="Open Sans"/>
          <w:i/>
          <w:sz w:val="20"/>
        </w:rPr>
        <w:t>Minister for Immigration and Border Protection’s Residence Determination Power under section 197AB and section 197AD of the Migration Act 1958</w:t>
      </w:r>
      <w:r w:rsidRPr="00D8550F">
        <w:rPr>
          <w:rFonts w:ascii="Open Sans" w:hAnsi="Open Sans" w:cs="Open Sans"/>
          <w:sz w:val="20"/>
        </w:rPr>
        <w:t>, 21 October 2017. The guidelines are incorporated into the Department’s Procedures Advice Manual.</w:t>
      </w:r>
      <w:r w:rsidRPr="003C2876">
        <w:rPr>
          <w:rFonts w:cs="Arial"/>
          <w:sz w:val="16"/>
          <w:szCs w:val="16"/>
        </w:rPr>
        <w:t xml:space="preserve">  </w:t>
      </w:r>
    </w:p>
  </w:endnote>
  <w:endnote w:id="13">
    <w:p w14:paraId="16666BF0" w14:textId="77777777" w:rsidR="00111740" w:rsidRDefault="00111740" w:rsidP="00111740">
      <w:pPr>
        <w:pStyle w:val="EndnoteText"/>
        <w:rPr>
          <w:rFonts w:ascii="Open Sans" w:hAnsi="Open Sans" w:cs="Open Sans"/>
          <w:i/>
          <w:iC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 xml:space="preserve">  The Hon Chris Bowen MP, Minister for Immigration and Citizenship, </w:t>
      </w:r>
      <w:r>
        <w:rPr>
          <w:rFonts w:ascii="Open Sans" w:hAnsi="Open Sans" w:cs="Open Sans"/>
          <w:i/>
          <w:iCs/>
          <w:sz w:val="20"/>
        </w:rPr>
        <w:t>Minister’s guidelines on</w:t>
      </w:r>
    </w:p>
    <w:p w14:paraId="72478C95" w14:textId="77777777" w:rsidR="00111740" w:rsidRDefault="00111740" w:rsidP="00111740">
      <w:pPr>
        <w:pStyle w:val="EndnoteText"/>
        <w:rPr>
          <w:rFonts w:ascii="Open Sans" w:hAnsi="Open Sans" w:cs="Open Sans"/>
          <w:sz w:val="20"/>
        </w:rPr>
      </w:pPr>
      <w:r>
        <w:rPr>
          <w:rFonts w:ascii="Open Sans" w:hAnsi="Open Sans" w:cs="Open Sans"/>
          <w:i/>
          <w:iCs/>
          <w:sz w:val="20"/>
        </w:rPr>
        <w:t xml:space="preserve">       Ministerial powers (s 345, s 351, s 417 and s 501J), </w:t>
      </w:r>
      <w:r>
        <w:rPr>
          <w:rFonts w:ascii="Open Sans" w:hAnsi="Open Sans" w:cs="Open Sans"/>
          <w:sz w:val="20"/>
        </w:rPr>
        <w:t>24 March 2012 (reissued on 10 October 2015). The</w:t>
      </w:r>
    </w:p>
    <w:p w14:paraId="3DE92B63" w14:textId="77777777" w:rsidR="00111740" w:rsidRPr="00362D79" w:rsidRDefault="00111740" w:rsidP="00111740">
      <w:pPr>
        <w:pStyle w:val="EndnoteText"/>
        <w:rPr>
          <w:rFonts w:ascii="Open Sans" w:hAnsi="Open Sans" w:cs="Open Sans"/>
          <w:sz w:val="20"/>
        </w:rPr>
      </w:pPr>
      <w:r>
        <w:rPr>
          <w:rFonts w:ascii="Open Sans" w:hAnsi="Open Sans" w:cs="Open Sans"/>
          <w:sz w:val="20"/>
        </w:rPr>
        <w:t xml:space="preserve">       guidelines are incorporated into the Department’s Procedures Advice Manual. </w:t>
      </w:r>
    </w:p>
  </w:endnote>
  <w:endnote w:id="14">
    <w:p w14:paraId="3532472A" w14:textId="77777777" w:rsidR="00111740" w:rsidRPr="00E23403" w:rsidRDefault="00111740" w:rsidP="00111740">
      <w:pPr>
        <w:pStyle w:val="EndnoteText"/>
        <w:tabs>
          <w:tab w:val="left" w:pos="284"/>
        </w:tabs>
        <w:ind w:left="284" w:hanging="284"/>
        <w:rPr>
          <w:rStyle w:val="EndnoteReference"/>
          <w:rFonts w:ascii="Open Sans" w:hAnsi="Open Sans" w:cs="Open Sans"/>
        </w:rPr>
      </w:pPr>
      <w:r w:rsidRPr="00E23403">
        <w:rPr>
          <w:rStyle w:val="EndnoteReference"/>
          <w:rFonts w:ascii="Open Sans" w:hAnsi="Open Sans" w:cs="Open Sans"/>
        </w:rPr>
        <w:endnoteRef/>
      </w:r>
      <w:r w:rsidRPr="00E23403">
        <w:rPr>
          <w:rStyle w:val="EndnoteReference"/>
          <w:rFonts w:ascii="Open Sans" w:hAnsi="Open Sans" w:cs="Open Sans"/>
        </w:rPr>
        <w:t xml:space="preserve"> </w:t>
      </w:r>
      <w:r w:rsidRPr="00E23403">
        <w:rPr>
          <w:rStyle w:val="EndnoteReference"/>
          <w:rFonts w:ascii="Open Sans" w:hAnsi="Open Sans" w:cs="Open Sans"/>
        </w:rPr>
        <w:tab/>
      </w:r>
      <w:r w:rsidRPr="00E23403">
        <w:rPr>
          <w:rFonts w:ascii="Open Sans" w:hAnsi="Open Sans" w:cs="Open Sans"/>
          <w:i/>
          <w:sz w:val="20"/>
        </w:rPr>
        <w:t>Australian Human Rights Commission Act 1986 (Cth) s</w:t>
      </w:r>
      <w:r w:rsidRPr="00E23403">
        <w:rPr>
          <w:rStyle w:val="EndnoteReference"/>
          <w:rFonts w:ascii="Open Sans" w:hAnsi="Open Sans" w:cs="Open Sans"/>
        </w:rPr>
        <w:t xml:space="preserve"> </w:t>
      </w:r>
      <w:r w:rsidRPr="00E23403">
        <w:rPr>
          <w:rFonts w:ascii="Open Sans" w:hAnsi="Open Sans" w:cs="Open Sans"/>
          <w:sz w:val="20"/>
        </w:rPr>
        <w:t>29(2)(a).</w:t>
      </w:r>
    </w:p>
  </w:endnote>
  <w:endnote w:id="15">
    <w:p w14:paraId="64E0D3B2" w14:textId="77777777" w:rsidR="00111740" w:rsidRPr="00E23403" w:rsidRDefault="00111740" w:rsidP="00111740">
      <w:pPr>
        <w:pStyle w:val="EndnoteText"/>
        <w:tabs>
          <w:tab w:val="left" w:pos="284"/>
        </w:tabs>
        <w:ind w:left="284" w:hanging="284"/>
        <w:rPr>
          <w:rStyle w:val="EndnoteReference"/>
          <w:rFonts w:ascii="Open Sans" w:hAnsi="Open Sans" w:cs="Open Sans"/>
        </w:rPr>
      </w:pPr>
      <w:r w:rsidRPr="00E23403">
        <w:rPr>
          <w:rStyle w:val="EndnoteReference"/>
          <w:rFonts w:ascii="Open Sans" w:hAnsi="Open Sans" w:cs="Open Sans"/>
        </w:rPr>
        <w:endnoteRef/>
      </w:r>
      <w:r w:rsidRPr="00E23403">
        <w:rPr>
          <w:rStyle w:val="EndnoteReference"/>
          <w:rFonts w:ascii="Open Sans" w:hAnsi="Open Sans" w:cs="Open Sans"/>
        </w:rPr>
        <w:t xml:space="preserve"> </w:t>
      </w:r>
      <w:r w:rsidRPr="00E23403">
        <w:rPr>
          <w:rStyle w:val="EndnoteReference"/>
          <w:rFonts w:ascii="Open Sans" w:hAnsi="Open Sans" w:cs="Open Sans"/>
        </w:rPr>
        <w:tab/>
      </w:r>
      <w:r w:rsidRPr="00E23403">
        <w:rPr>
          <w:rFonts w:ascii="Open Sans" w:hAnsi="Open Sans" w:cs="Open Sans"/>
          <w:i/>
          <w:sz w:val="20"/>
        </w:rPr>
        <w:t xml:space="preserve">Australian Human Rights Commission Act 1986 (Cth) </w:t>
      </w:r>
      <w:r w:rsidRPr="00E23403">
        <w:rPr>
          <w:rFonts w:ascii="Open Sans" w:hAnsi="Open Sans" w:cs="Open Sans"/>
          <w:sz w:val="20"/>
        </w:rPr>
        <w:t>s 29(2)(b).</w:t>
      </w:r>
    </w:p>
  </w:endnote>
  <w:endnote w:id="16">
    <w:p w14:paraId="202651C5" w14:textId="77777777" w:rsidR="00111740" w:rsidRDefault="00111740" w:rsidP="00111740">
      <w:pPr>
        <w:pStyle w:val="EndnoteText"/>
        <w:tabs>
          <w:tab w:val="left" w:pos="284"/>
        </w:tabs>
        <w:ind w:left="284" w:hanging="284"/>
        <w:rPr>
          <w:rFonts w:ascii="Open Sans" w:hAnsi="Open Sans" w:cs="Open Sans"/>
          <w:sz w:val="20"/>
        </w:rPr>
      </w:pPr>
      <w:r w:rsidRPr="00E23403">
        <w:rPr>
          <w:rStyle w:val="EndnoteReference"/>
          <w:rFonts w:ascii="Open Sans" w:hAnsi="Open Sans" w:cs="Open Sans"/>
        </w:rPr>
        <w:endnoteRef/>
      </w:r>
      <w:r w:rsidRPr="00E23403">
        <w:rPr>
          <w:rStyle w:val="EndnoteReference"/>
          <w:rFonts w:ascii="Open Sans" w:hAnsi="Open Sans" w:cs="Open Sans"/>
        </w:rPr>
        <w:t xml:space="preserve"> </w:t>
      </w:r>
      <w:r w:rsidRPr="00E23403">
        <w:rPr>
          <w:rStyle w:val="EndnoteReference"/>
          <w:rFonts w:ascii="Open Sans" w:hAnsi="Open Sans" w:cs="Open Sans"/>
        </w:rPr>
        <w:tab/>
      </w:r>
      <w:r w:rsidRPr="00E23403">
        <w:rPr>
          <w:rFonts w:ascii="Open Sans" w:hAnsi="Open Sans" w:cs="Open Sans"/>
          <w:i/>
          <w:sz w:val="20"/>
        </w:rPr>
        <w:t>Australian Human Rights Commission Act 1986</w:t>
      </w:r>
      <w:r w:rsidRPr="00E23403">
        <w:rPr>
          <w:rFonts w:ascii="Open Sans" w:hAnsi="Open Sans" w:cs="Open Sans"/>
          <w:sz w:val="20"/>
        </w:rPr>
        <w:t xml:space="preserve"> (Cth) s 29(2)(c). </w:t>
      </w:r>
    </w:p>
    <w:p w14:paraId="791BC0F0" w14:textId="77777777" w:rsidR="00111740" w:rsidRDefault="00111740" w:rsidP="00111740">
      <w:pPr>
        <w:pStyle w:val="EndnoteText"/>
        <w:tabs>
          <w:tab w:val="left" w:pos="284"/>
        </w:tabs>
        <w:ind w:left="284" w:hanging="284"/>
        <w:rPr>
          <w:rFonts w:ascii="Open Sans" w:hAnsi="Open Sans" w:cs="Open Sans"/>
          <w:sz w:val="20"/>
        </w:rPr>
      </w:pPr>
    </w:p>
    <w:p w14:paraId="38C5B73E" w14:textId="77777777" w:rsidR="00111740" w:rsidRPr="00E23403" w:rsidRDefault="00111740" w:rsidP="00111740">
      <w:pPr>
        <w:pStyle w:val="EndnoteText"/>
        <w:tabs>
          <w:tab w:val="left" w:pos="284"/>
        </w:tabs>
        <w:rPr>
          <w:rFonts w:ascii="Open Sans" w:hAnsi="Open Sans" w:cs="Open Sans"/>
          <w:sz w:val="20"/>
        </w:rPr>
      </w:pPr>
      <w:r w:rsidRPr="00F20A2F">
        <w:rPr>
          <w:rFonts w:ascii="Open Sans" w:hAnsi="Open Sans" w:cs="Open Sans"/>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756A5" w14:textId="77777777" w:rsidR="00C27179" w:rsidRPr="004A187B" w:rsidRDefault="00C27179" w:rsidP="008B23BC">
    <w:pPr>
      <w:pStyle w:val="Footer"/>
    </w:pPr>
    <w:r>
      <w:rPr>
        <w:noProof/>
        <w:lang w:val="en-US"/>
      </w:rPr>
      <mc:AlternateContent>
        <mc:Choice Requires="wps">
          <w:drawing>
            <wp:anchor distT="0" distB="0" distL="114300" distR="114300" simplePos="0" relativeHeight="251661312" behindDoc="0" locked="0" layoutInCell="1" allowOverlap="1" wp14:anchorId="44D1452F" wp14:editId="2B57E8BA">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04EE2449" w14:textId="77777777" w:rsidR="00C27179" w:rsidRPr="0003606D" w:rsidRDefault="00C27179" w:rsidP="0003606D">
                          <w:pPr>
                            <w:pStyle w:val="coveraddresses"/>
                          </w:pPr>
                          <w:r w:rsidRPr="0003606D">
                            <w:t>ABN 47 996 232 602</w:t>
                          </w:r>
                        </w:p>
                        <w:p w14:paraId="3EF2C230" w14:textId="77777777" w:rsidR="00C27179" w:rsidRPr="0003606D" w:rsidRDefault="00C27179" w:rsidP="0003606D">
                          <w:pPr>
                            <w:pStyle w:val="coveraddresses"/>
                          </w:pPr>
                          <w:r w:rsidRPr="0003606D">
                            <w:t>Level 3, 175 Pitt Street, Sydney NSW 2000</w:t>
                          </w:r>
                        </w:p>
                        <w:p w14:paraId="021071B9" w14:textId="77777777" w:rsidR="00C27179" w:rsidRPr="0003606D" w:rsidRDefault="00C27179" w:rsidP="0003606D">
                          <w:pPr>
                            <w:pStyle w:val="coveraddresses"/>
                          </w:pPr>
                          <w:r w:rsidRPr="0003606D">
                            <w:t>GPO Box 5218, Sydney NSW 2001</w:t>
                          </w:r>
                        </w:p>
                        <w:p w14:paraId="4BE78838" w14:textId="77777777" w:rsidR="00C27179" w:rsidRPr="0003606D" w:rsidRDefault="00C27179" w:rsidP="0003606D">
                          <w:pPr>
                            <w:pStyle w:val="coveraddresses"/>
                          </w:pPr>
                          <w:r w:rsidRPr="0003606D">
                            <w:t>General enquiries 1300 369 711</w:t>
                          </w:r>
                        </w:p>
                        <w:p w14:paraId="0C61A72A" w14:textId="77777777" w:rsidR="00C27179" w:rsidRPr="0003606D" w:rsidRDefault="00C27179" w:rsidP="0003606D">
                          <w:pPr>
                            <w:pStyle w:val="coveraddresses"/>
                          </w:pPr>
                          <w:r w:rsidRPr="0003606D">
                            <w:t>Complaints info line 1300 656 419</w:t>
                          </w:r>
                        </w:p>
                        <w:p w14:paraId="1956A012" w14:textId="77777777" w:rsidR="00C27179" w:rsidRPr="0003606D" w:rsidRDefault="00C27179" w:rsidP="0003606D">
                          <w:pPr>
                            <w:pStyle w:val="coveraddresses"/>
                          </w:pPr>
                          <w:r w:rsidRPr="0003606D">
                            <w:t>TTY 1800 620 241</w:t>
                          </w:r>
                        </w:p>
                        <w:p w14:paraId="2B4793A7" w14:textId="77777777" w:rsidR="00C27179" w:rsidRPr="00B63D24" w:rsidRDefault="00C27179"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1452F" id="_x0000_t202" coordsize="21600,21600" o:spt="202" path="m,l,21600r21600,l21600,xe">
              <v:stroke joinstyle="miter"/>
              <v:path gradientshapeok="t" o:connecttype="rect"/>
            </v:shapetype>
            <v:shape id="Text Box 9" o:spid="_x0000_s1029" type="#_x0000_t202" style="position:absolute;left:0;text-align:left;margin-left:-43.15pt;margin-top:-102.8pt;width:478.05pt;height: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" filled="f" stroked="f" strokeweight=".5pt">
              <v:textbox inset="0,0,0,0">
                <w:txbxContent>
                  <w:p w14:paraId="04EE2449" w14:textId="77777777" w:rsidR="00C27179" w:rsidRPr="0003606D" w:rsidRDefault="00C27179" w:rsidP="0003606D">
                    <w:pPr>
                      <w:pStyle w:val="coveraddresses"/>
                    </w:pPr>
                    <w:r w:rsidRPr="0003606D">
                      <w:t>ABN 47 996 232 602</w:t>
                    </w:r>
                  </w:p>
                  <w:p w14:paraId="3EF2C230" w14:textId="77777777" w:rsidR="00C27179" w:rsidRPr="0003606D" w:rsidRDefault="00C27179" w:rsidP="0003606D">
                    <w:pPr>
                      <w:pStyle w:val="coveraddresses"/>
                    </w:pPr>
                    <w:r w:rsidRPr="0003606D">
                      <w:t>Level 3, 175 Pitt Street, Sydney NSW 2000</w:t>
                    </w:r>
                  </w:p>
                  <w:p w14:paraId="021071B9" w14:textId="77777777" w:rsidR="00C27179" w:rsidRPr="0003606D" w:rsidRDefault="00C27179" w:rsidP="0003606D">
                    <w:pPr>
                      <w:pStyle w:val="coveraddresses"/>
                    </w:pPr>
                    <w:r w:rsidRPr="0003606D">
                      <w:t>GPO Box 5218, Sydney NSW 2001</w:t>
                    </w:r>
                  </w:p>
                  <w:p w14:paraId="4BE78838" w14:textId="77777777" w:rsidR="00C27179" w:rsidRPr="0003606D" w:rsidRDefault="00C27179" w:rsidP="0003606D">
                    <w:pPr>
                      <w:pStyle w:val="coveraddresses"/>
                    </w:pPr>
                    <w:r w:rsidRPr="0003606D">
                      <w:t>General enquiries 1300 369 711</w:t>
                    </w:r>
                  </w:p>
                  <w:p w14:paraId="0C61A72A" w14:textId="77777777" w:rsidR="00C27179" w:rsidRPr="0003606D" w:rsidRDefault="00C27179" w:rsidP="0003606D">
                    <w:pPr>
                      <w:pStyle w:val="coveraddresses"/>
                    </w:pPr>
                    <w:r w:rsidRPr="0003606D">
                      <w:t>Complaints info line 1300 656 419</w:t>
                    </w:r>
                  </w:p>
                  <w:p w14:paraId="1956A012" w14:textId="77777777" w:rsidR="00C27179" w:rsidRPr="0003606D" w:rsidRDefault="00C27179" w:rsidP="0003606D">
                    <w:pPr>
                      <w:pStyle w:val="coveraddresses"/>
                    </w:pPr>
                    <w:r w:rsidRPr="0003606D">
                      <w:t>TTY 1800 620 241</w:t>
                    </w:r>
                  </w:p>
                  <w:p w14:paraId="2B4793A7" w14:textId="77777777" w:rsidR="00C27179" w:rsidRPr="00B63D24" w:rsidRDefault="00C27179" w:rsidP="00B63D24">
                    <w:pPr>
                      <w:pStyle w:val="Footer"/>
                    </w:pPr>
                    <w:r w:rsidRPr="00B63D24">
                      <w:tab/>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38956" w14:textId="77777777" w:rsidR="00111740" w:rsidRDefault="00111740" w:rsidP="00323B54">
    <w:pPr>
      <w:pStyle w:val="Footer"/>
      <w:framePr w:wrap="around" w:vAnchor="text" w:hAnchor="margin" w:xAlign="right"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4C886A7A" w14:textId="77777777" w:rsidR="00111740" w:rsidRDefault="00111740" w:rsidP="00323B5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07E24" w14:textId="4E3F894C" w:rsidR="00111740" w:rsidRDefault="00111740" w:rsidP="00323B5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962797"/>
      <w:docPartObj>
        <w:docPartGallery w:val="Page Numbers (Bottom of Page)"/>
        <w:docPartUnique/>
      </w:docPartObj>
    </w:sdtPr>
    <w:sdtEndPr>
      <w:rPr>
        <w:noProof/>
      </w:rPr>
    </w:sdtEndPr>
    <w:sdtContent>
      <w:p w14:paraId="5B452801" w14:textId="6CB623A8" w:rsidR="00FA0113" w:rsidRDefault="00FA0113">
        <w:pPr>
          <w:pStyle w:val="Footer"/>
        </w:pPr>
        <w:r>
          <w:fldChar w:fldCharType="begin"/>
        </w:r>
        <w:r>
          <w:instrText xml:space="preserve"> PAGE   \* MERGEFORMAT </w:instrText>
        </w:r>
        <w:r>
          <w:fldChar w:fldCharType="separate"/>
        </w:r>
        <w:r>
          <w:rPr>
            <w:noProof/>
          </w:rPr>
          <w:t>2</w:t>
        </w:r>
        <w:r>
          <w:rPr>
            <w:noProof/>
          </w:rPr>
          <w:fldChar w:fldCharType="end"/>
        </w:r>
      </w:p>
    </w:sdtContent>
  </w:sdt>
  <w:p w14:paraId="0C43B524" w14:textId="77777777" w:rsidR="00FA0113" w:rsidRDefault="00FA0113" w:rsidP="00323B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D78FB" w14:textId="77777777" w:rsidR="0091276A" w:rsidRDefault="0091276A" w:rsidP="00111740">
      <w:r>
        <w:separator/>
      </w:r>
    </w:p>
  </w:footnote>
  <w:footnote w:type="continuationSeparator" w:id="0">
    <w:p w14:paraId="032C7576" w14:textId="77777777" w:rsidR="0091276A" w:rsidRDefault="0091276A" w:rsidP="0011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9021E" w14:textId="77777777" w:rsidR="00C27179" w:rsidRDefault="0091276A">
    <w:pPr>
      <w:pStyle w:val="Header"/>
    </w:pPr>
    <w:r>
      <w:rPr>
        <w:noProof/>
      </w:rPr>
      <w:pict w14:anchorId="4C663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alt="MS word cover1" style="position:absolute;margin-left:0;margin-top:0;width:595.65pt;height:870.15pt;z-index:-251656192;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037" w:type="dxa"/>
      <w:tblInd w:w="108" w:type="dxa"/>
      <w:tblLayout w:type="fixed"/>
      <w:tblLook w:val="00A0" w:firstRow="1" w:lastRow="0" w:firstColumn="1" w:lastColumn="0" w:noHBand="0" w:noVBand="0"/>
    </w:tblPr>
    <w:tblGrid>
      <w:gridCol w:w="1508"/>
      <w:gridCol w:w="2688"/>
      <w:gridCol w:w="2688"/>
      <w:gridCol w:w="2302"/>
      <w:gridCol w:w="2130"/>
      <w:gridCol w:w="1721"/>
    </w:tblGrid>
    <w:tr w:rsidR="00C27179" w:rsidRPr="00B85DD4" w14:paraId="638FC4CA" w14:textId="77777777" w:rsidTr="009071BE">
      <w:trPr>
        <w:trHeight w:val="1276"/>
      </w:trPr>
      <w:tc>
        <w:tcPr>
          <w:tcW w:w="1508" w:type="dxa"/>
        </w:tcPr>
        <w:p w14:paraId="2CEF0F0D" w14:textId="77777777" w:rsidR="00C27179" w:rsidRPr="00B85DD4" w:rsidRDefault="00C27179" w:rsidP="00B520BC">
          <w:pPr>
            <w:pStyle w:val="Header"/>
            <w:tabs>
              <w:tab w:val="left" w:pos="4686"/>
              <w:tab w:val="left" w:pos="7088"/>
              <w:tab w:val="left" w:pos="7242"/>
            </w:tabs>
            <w:ind w:left="-108"/>
            <w:rPr>
              <w:rFonts w:cs="ArialMT"/>
              <w:b/>
              <w:spacing w:val="-20"/>
            </w:rPr>
          </w:pPr>
        </w:p>
      </w:tc>
      <w:tc>
        <w:tcPr>
          <w:tcW w:w="2688" w:type="dxa"/>
        </w:tcPr>
        <w:p w14:paraId="6A21434F" w14:textId="77777777" w:rsidR="00C27179" w:rsidRPr="00B85DD4" w:rsidRDefault="00C27179" w:rsidP="002B1B65">
          <w:pPr>
            <w:rPr>
              <w:rFonts w:cs="ArialMT"/>
              <w:i/>
              <w:color w:val="808080"/>
              <w:sz w:val="17"/>
            </w:rPr>
          </w:pPr>
        </w:p>
      </w:tc>
      <w:tc>
        <w:tcPr>
          <w:tcW w:w="2688" w:type="dxa"/>
          <w:vAlign w:val="center"/>
        </w:tcPr>
        <w:p w14:paraId="19201986" w14:textId="77777777" w:rsidR="00C27179" w:rsidRPr="00B85DD4" w:rsidRDefault="00C27179" w:rsidP="002B1B65">
          <w:pPr>
            <w:rPr>
              <w:rFonts w:cs="ArialMT"/>
              <w:i/>
              <w:color w:val="808080"/>
              <w:sz w:val="17"/>
            </w:rPr>
          </w:pPr>
        </w:p>
      </w:tc>
      <w:tc>
        <w:tcPr>
          <w:tcW w:w="2302" w:type="dxa"/>
        </w:tcPr>
        <w:p w14:paraId="7F7FEBC3" w14:textId="77777777" w:rsidR="00C27179" w:rsidRPr="00B85DD4" w:rsidRDefault="00C27179" w:rsidP="00B520BC">
          <w:pPr>
            <w:pStyle w:val="HeaderFooter"/>
            <w:rPr>
              <w:b/>
              <w:spacing w:val="-20"/>
              <w:sz w:val="40"/>
            </w:rPr>
          </w:pPr>
        </w:p>
      </w:tc>
      <w:tc>
        <w:tcPr>
          <w:tcW w:w="2130" w:type="dxa"/>
        </w:tcPr>
        <w:p w14:paraId="69849FFB" w14:textId="77777777" w:rsidR="00C27179" w:rsidRPr="00B85DD4" w:rsidRDefault="00C27179" w:rsidP="00B520BC">
          <w:pPr>
            <w:pStyle w:val="HeaderFooter"/>
            <w:rPr>
              <w:b/>
              <w:spacing w:val="-20"/>
              <w:sz w:val="40"/>
            </w:rPr>
          </w:pPr>
        </w:p>
      </w:tc>
      <w:tc>
        <w:tcPr>
          <w:tcW w:w="1721" w:type="dxa"/>
        </w:tcPr>
        <w:p w14:paraId="1FFA6209" w14:textId="77777777" w:rsidR="00C27179" w:rsidRPr="00B85DD4" w:rsidRDefault="00C27179" w:rsidP="00B520BC">
          <w:pPr>
            <w:pStyle w:val="HeaderFooter"/>
            <w:spacing w:before="227" w:after="340"/>
            <w:rPr>
              <w:b/>
              <w:spacing w:val="-20"/>
              <w:sz w:val="40"/>
            </w:rPr>
          </w:pPr>
        </w:p>
      </w:tc>
    </w:tr>
  </w:tbl>
  <w:p w14:paraId="1D7D6B34" w14:textId="77777777" w:rsidR="00C27179" w:rsidRDefault="0091276A">
    <w:pPr>
      <w:pStyle w:val="Header"/>
    </w:pPr>
    <w:r>
      <w:rPr>
        <w:rFonts w:cs="ArialMT"/>
        <w:b/>
        <w:noProof/>
        <w:spacing w:val="-20"/>
      </w:rPr>
      <w:pict w14:anchorId="09545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alt="MS word cover1" style="position:absolute;margin-left:-71.05pt;margin-top:-116pt;width:595.65pt;height:870.15pt;z-index:-251657216;mso-wrap-edited:f;mso-width-percent:0;mso-height-percent:0;mso-position-horizontal-relative:margin;mso-position-vertical-relative:margin;mso-width-percent:0;mso-height-percent:0" o:allowincell="f">
          <v:imagedata r:id="rId1"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C52AB"/>
    <w:multiLevelType w:val="hybridMultilevel"/>
    <w:tmpl w:val="7CB014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DCB237C"/>
    <w:multiLevelType w:val="hybridMultilevel"/>
    <w:tmpl w:val="CB0E8624"/>
    <w:lvl w:ilvl="0" w:tplc="FFFFFFFF">
      <w:start w:val="1"/>
      <w:numFmt w:val="decimal"/>
      <w:pStyle w:val="SubmissionNormal"/>
      <w:lvlText w:val="%1."/>
      <w:lvlJc w:val="left"/>
      <w:pPr>
        <w:tabs>
          <w:tab w:val="num" w:pos="3240"/>
        </w:tabs>
        <w:ind w:left="324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297817C3"/>
    <w:multiLevelType w:val="multilevel"/>
    <w:tmpl w:val="DF66E93C"/>
    <w:lvl w:ilvl="0">
      <w:start w:val="1"/>
      <w:numFmt w:val="decimal"/>
      <w:pStyle w:val="Heading1"/>
      <w:lvlText w:val="%1"/>
      <w:lvlJc w:val="left"/>
      <w:pPr>
        <w:tabs>
          <w:tab w:val="num" w:pos="851"/>
        </w:tabs>
        <w:ind w:left="851" w:hanging="851"/>
      </w:pPr>
      <w:rPr>
        <w:rFonts w:cs="Times New Roman" w:hint="default"/>
      </w:rPr>
    </w:lvl>
    <w:lvl w:ilvl="1">
      <w:start w:val="1"/>
      <w:numFmt w:val="decimal"/>
      <w:pStyle w:val="Heading2"/>
      <w:lvlText w:val="%1.%2"/>
      <w:lvlJc w:val="left"/>
      <w:pPr>
        <w:tabs>
          <w:tab w:val="num" w:pos="851"/>
        </w:tabs>
        <w:ind w:left="851" w:hanging="851"/>
      </w:pPr>
      <w:rPr>
        <w:rFonts w:cs="Times New Roman" w:hint="default"/>
        <w:b/>
        <w:i w:val="0"/>
        <w:iCs/>
      </w:rPr>
    </w:lvl>
    <w:lvl w:ilvl="2">
      <w:start w:val="1"/>
      <w:numFmt w:val="lowerLetter"/>
      <w:pStyle w:val="Heading3"/>
      <w:lvlText w:val="(%3)"/>
      <w:lvlJc w:val="left"/>
      <w:pPr>
        <w:tabs>
          <w:tab w:val="num" w:pos="851"/>
        </w:tabs>
        <w:ind w:left="851" w:hanging="851"/>
      </w:pPr>
      <w:rPr>
        <w:rFonts w:ascii="Arial" w:hAnsi="Arial" w:cs="Times New Roman" w:hint="default"/>
        <w:b w:val="0"/>
        <w:i w:val="0"/>
        <w:iCs/>
        <w:sz w:val="24"/>
      </w:rPr>
    </w:lvl>
    <w:lvl w:ilvl="3">
      <w:start w:val="1"/>
      <w:numFmt w:val="lowerRoman"/>
      <w:pStyle w:val="Heading4"/>
      <w:lvlText w:val="(%4)"/>
      <w:lvlJc w:val="left"/>
      <w:pPr>
        <w:tabs>
          <w:tab w:val="num" w:pos="851"/>
        </w:tabs>
        <w:ind w:left="851" w:hanging="851"/>
      </w:pPr>
      <w:rPr>
        <w:rFonts w:cs="Times New Roman" w:hint="default"/>
        <w:b w:val="0"/>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46613DA6"/>
    <w:multiLevelType w:val="hybridMultilevel"/>
    <w:tmpl w:val="83FCE586"/>
    <w:lvl w:ilvl="0" w:tplc="04090001">
      <w:start w:val="1"/>
      <w:numFmt w:val="bullet"/>
      <w:lvlText w:val=""/>
      <w:lvlJc w:val="left"/>
      <w:pPr>
        <w:ind w:left="2002" w:hanging="341"/>
      </w:pPr>
      <w:rPr>
        <w:rFonts w:ascii="Symbol" w:hAnsi="Symbol" w:hint="default"/>
        <w:color w:val="231F20"/>
        <w:w w:val="100"/>
        <w:sz w:val="22"/>
        <w:szCs w:val="22"/>
      </w:rPr>
    </w:lvl>
    <w:lvl w:ilvl="1" w:tplc="70A87D8E">
      <w:numFmt w:val="bullet"/>
      <w:lvlText w:val="•"/>
      <w:lvlJc w:val="left"/>
      <w:pPr>
        <w:ind w:left="2787" w:hanging="341"/>
      </w:pPr>
      <w:rPr>
        <w:rFonts w:hint="default"/>
      </w:rPr>
    </w:lvl>
    <w:lvl w:ilvl="2" w:tplc="4F307122">
      <w:numFmt w:val="bullet"/>
      <w:lvlText w:val="•"/>
      <w:lvlJc w:val="left"/>
      <w:pPr>
        <w:ind w:left="3574" w:hanging="341"/>
      </w:pPr>
      <w:rPr>
        <w:rFonts w:hint="default"/>
      </w:rPr>
    </w:lvl>
    <w:lvl w:ilvl="3" w:tplc="BB740586">
      <w:numFmt w:val="bullet"/>
      <w:lvlText w:val="•"/>
      <w:lvlJc w:val="left"/>
      <w:pPr>
        <w:ind w:left="4360" w:hanging="341"/>
      </w:pPr>
      <w:rPr>
        <w:rFonts w:hint="default"/>
      </w:rPr>
    </w:lvl>
    <w:lvl w:ilvl="4" w:tplc="67DA88C4">
      <w:numFmt w:val="bullet"/>
      <w:lvlText w:val="•"/>
      <w:lvlJc w:val="left"/>
      <w:pPr>
        <w:ind w:left="5147" w:hanging="341"/>
      </w:pPr>
      <w:rPr>
        <w:rFonts w:hint="default"/>
      </w:rPr>
    </w:lvl>
    <w:lvl w:ilvl="5" w:tplc="5C220676">
      <w:numFmt w:val="bullet"/>
      <w:lvlText w:val="•"/>
      <w:lvlJc w:val="left"/>
      <w:pPr>
        <w:ind w:left="5933" w:hanging="341"/>
      </w:pPr>
      <w:rPr>
        <w:rFonts w:hint="default"/>
      </w:rPr>
    </w:lvl>
    <w:lvl w:ilvl="6" w:tplc="1E3C4BD6">
      <w:numFmt w:val="bullet"/>
      <w:lvlText w:val="•"/>
      <w:lvlJc w:val="left"/>
      <w:pPr>
        <w:ind w:left="6720" w:hanging="341"/>
      </w:pPr>
      <w:rPr>
        <w:rFonts w:hint="default"/>
      </w:rPr>
    </w:lvl>
    <w:lvl w:ilvl="7" w:tplc="BEC88B9E">
      <w:numFmt w:val="bullet"/>
      <w:lvlText w:val="•"/>
      <w:lvlJc w:val="left"/>
      <w:pPr>
        <w:ind w:left="7506" w:hanging="341"/>
      </w:pPr>
      <w:rPr>
        <w:rFonts w:hint="default"/>
      </w:rPr>
    </w:lvl>
    <w:lvl w:ilvl="8" w:tplc="B1B29696">
      <w:numFmt w:val="bullet"/>
      <w:lvlText w:val="•"/>
      <w:lvlJc w:val="left"/>
      <w:pPr>
        <w:ind w:left="8293" w:hanging="341"/>
      </w:pPr>
      <w:rPr>
        <w:rFonts w:hint="default"/>
      </w:rPr>
    </w:lvl>
  </w:abstractNum>
  <w:abstractNum w:abstractNumId="4" w15:restartNumberingAfterBreak="0">
    <w:nsid w:val="5ED42476"/>
    <w:multiLevelType w:val="hybridMultilevel"/>
    <w:tmpl w:val="078AB7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4C74663"/>
    <w:multiLevelType w:val="hybridMultilevel"/>
    <w:tmpl w:val="4B742E6E"/>
    <w:lvl w:ilvl="0" w:tplc="1D3AB68C">
      <w:start w:val="1"/>
      <w:numFmt w:val="decimal"/>
      <w:lvlText w:val="%1."/>
      <w:lvlJc w:val="left"/>
      <w:pPr>
        <w:tabs>
          <w:tab w:val="num" w:pos="720"/>
        </w:tabs>
        <w:ind w:left="720" w:hanging="720"/>
      </w:pPr>
      <w:rPr>
        <w:rFonts w:cs="Times New Roman" w:hint="default"/>
        <w:b w:val="0"/>
        <w:i w:val="0"/>
        <w:sz w:val="24"/>
        <w:szCs w:val="24"/>
      </w:rPr>
    </w:lvl>
    <w:lvl w:ilvl="1" w:tplc="A3F2E37C">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6A03682"/>
    <w:multiLevelType w:val="hybridMultilevel"/>
    <w:tmpl w:val="C33C8506"/>
    <w:lvl w:ilvl="0" w:tplc="04090001">
      <w:start w:val="1"/>
      <w:numFmt w:val="bullet"/>
      <w:lvlText w:val=""/>
      <w:lvlJc w:val="left"/>
      <w:pPr>
        <w:ind w:left="1800" w:hanging="360"/>
      </w:pPr>
      <w:rPr>
        <w:rFonts w:ascii="Symbol" w:hAnsi="Symbol" w:hint="default"/>
        <w:caps w:val="0"/>
        <w:smallCaps w:val="0"/>
        <w:strike w:val="0"/>
        <w:dstrike w:val="0"/>
        <w:outline w:val="0"/>
        <w:emboss w:val="0"/>
        <w:imprint w:val="0"/>
        <w:color w:val="000000"/>
        <w:spacing w:val="0"/>
        <w:w w:val="100"/>
        <w:kern w:val="0"/>
        <w:position w:val="0"/>
        <w:vertAlign w:val="baseline"/>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40"/>
    <w:rsid w:val="00011C4A"/>
    <w:rsid w:val="00111740"/>
    <w:rsid w:val="002B7517"/>
    <w:rsid w:val="003E6E21"/>
    <w:rsid w:val="00426917"/>
    <w:rsid w:val="007161C9"/>
    <w:rsid w:val="00866F36"/>
    <w:rsid w:val="0091276A"/>
    <w:rsid w:val="00B27EAB"/>
    <w:rsid w:val="00C27179"/>
    <w:rsid w:val="00F3405E"/>
    <w:rsid w:val="00F935B5"/>
    <w:rsid w:val="00FA0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4F2716"/>
  <w15:chartTrackingRefBased/>
  <w15:docId w15:val="{42AAC0B3-0095-4E63-A850-31438576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740"/>
    <w:pPr>
      <w:spacing w:after="0" w:line="240" w:lineRule="auto"/>
    </w:pPr>
    <w:rPr>
      <w:rFonts w:ascii="Arial" w:eastAsia="Times New Roman" w:hAnsi="Arial" w:cs="Times New Roman"/>
      <w:spacing w:val="-5"/>
      <w:sz w:val="24"/>
      <w:szCs w:val="20"/>
      <w:lang w:val="en-AU"/>
    </w:rPr>
  </w:style>
  <w:style w:type="paragraph" w:styleId="Heading1">
    <w:name w:val="heading 1"/>
    <w:basedOn w:val="Normal"/>
    <w:next w:val="Normal"/>
    <w:link w:val="Heading1Char"/>
    <w:qFormat/>
    <w:rsid w:val="00111740"/>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111740"/>
    <w:pPr>
      <w:numPr>
        <w:ilvl w:val="1"/>
      </w:numPr>
      <w:tabs>
        <w:tab w:val="clear" w:pos="851"/>
        <w:tab w:val="num" w:pos="1135"/>
      </w:tabs>
      <w:ind w:left="1135"/>
      <w:outlineLvl w:val="1"/>
    </w:pPr>
    <w:rPr>
      <w:rFonts w:ascii="Open Sans" w:hAnsi="Open Sans"/>
      <w:bCs w:val="0"/>
      <w:color w:val="000000"/>
      <w:sz w:val="28"/>
      <w:szCs w:val="26"/>
    </w:rPr>
  </w:style>
  <w:style w:type="paragraph" w:styleId="Heading3">
    <w:name w:val="heading 3"/>
    <w:basedOn w:val="Heading2"/>
    <w:next w:val="Normal"/>
    <w:link w:val="Heading3Char"/>
    <w:qFormat/>
    <w:rsid w:val="00111740"/>
    <w:pPr>
      <w:numPr>
        <w:ilvl w:val="2"/>
      </w:numPr>
      <w:outlineLvl w:val="2"/>
    </w:pPr>
    <w:rPr>
      <w:b w:val="0"/>
      <w:bCs/>
      <w:color w:val="auto"/>
      <w:sz w:val="24"/>
    </w:rPr>
  </w:style>
  <w:style w:type="paragraph" w:styleId="Heading4">
    <w:name w:val="heading 4"/>
    <w:basedOn w:val="Heading3"/>
    <w:next w:val="Normal"/>
    <w:link w:val="Heading4Char"/>
    <w:qFormat/>
    <w:rsid w:val="00111740"/>
    <w:pPr>
      <w:numPr>
        <w:ilvl w:val="3"/>
      </w:numPr>
      <w:outlineLvl w:val="3"/>
    </w:pPr>
    <w:rPr>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740"/>
    <w:rPr>
      <w:rFonts w:ascii="Arial" w:eastAsia="Times New Roman" w:hAnsi="Arial" w:cs="Times New Roman"/>
      <w:b/>
      <w:bCs/>
      <w:spacing w:val="-5"/>
      <w:sz w:val="36"/>
      <w:szCs w:val="28"/>
      <w:lang w:val="en-AU"/>
    </w:rPr>
  </w:style>
  <w:style w:type="character" w:customStyle="1" w:styleId="Heading2Char">
    <w:name w:val="Heading 2 Char"/>
    <w:basedOn w:val="DefaultParagraphFont"/>
    <w:link w:val="Heading2"/>
    <w:rsid w:val="00111740"/>
    <w:rPr>
      <w:rFonts w:ascii="Open Sans" w:eastAsia="Times New Roman" w:hAnsi="Open Sans" w:cs="Times New Roman"/>
      <w:b/>
      <w:color w:val="000000"/>
      <w:spacing w:val="-5"/>
      <w:sz w:val="28"/>
      <w:szCs w:val="26"/>
      <w:lang w:val="en-AU"/>
    </w:rPr>
  </w:style>
  <w:style w:type="character" w:customStyle="1" w:styleId="Heading3Char">
    <w:name w:val="Heading 3 Char"/>
    <w:basedOn w:val="DefaultParagraphFont"/>
    <w:link w:val="Heading3"/>
    <w:rsid w:val="00111740"/>
    <w:rPr>
      <w:rFonts w:ascii="Open Sans" w:eastAsia="Times New Roman" w:hAnsi="Open Sans" w:cs="Times New Roman"/>
      <w:bCs/>
      <w:spacing w:val="-5"/>
      <w:sz w:val="24"/>
      <w:szCs w:val="26"/>
      <w:lang w:val="en-AU"/>
    </w:rPr>
  </w:style>
  <w:style w:type="character" w:customStyle="1" w:styleId="Heading4Char">
    <w:name w:val="Heading 4 Char"/>
    <w:basedOn w:val="DefaultParagraphFont"/>
    <w:link w:val="Heading4"/>
    <w:rsid w:val="00111740"/>
    <w:rPr>
      <w:rFonts w:ascii="Open Sans" w:eastAsia="Times New Roman" w:hAnsi="Open Sans" w:cs="Times New Roman"/>
      <w:i/>
      <w:iCs/>
      <w:spacing w:val="-5"/>
      <w:sz w:val="24"/>
      <w:szCs w:val="26"/>
      <w:lang w:val="en-AU"/>
    </w:rPr>
  </w:style>
  <w:style w:type="paragraph" w:styleId="Footer">
    <w:name w:val="footer"/>
    <w:basedOn w:val="Normal"/>
    <w:link w:val="FooterChar"/>
    <w:uiPriority w:val="99"/>
    <w:rsid w:val="00111740"/>
    <w:pPr>
      <w:tabs>
        <w:tab w:val="center" w:pos="4513"/>
        <w:tab w:val="right" w:pos="9026"/>
      </w:tabs>
      <w:jc w:val="right"/>
    </w:pPr>
    <w:rPr>
      <w:sz w:val="22"/>
    </w:rPr>
  </w:style>
  <w:style w:type="character" w:customStyle="1" w:styleId="FooterChar">
    <w:name w:val="Footer Char"/>
    <w:basedOn w:val="DefaultParagraphFont"/>
    <w:link w:val="Footer"/>
    <w:uiPriority w:val="99"/>
    <w:rsid w:val="00111740"/>
    <w:rPr>
      <w:rFonts w:ascii="Arial" w:eastAsia="Times New Roman" w:hAnsi="Arial" w:cs="Times New Roman"/>
      <w:spacing w:val="-5"/>
      <w:szCs w:val="20"/>
      <w:lang w:val="en-AU"/>
    </w:rPr>
  </w:style>
  <w:style w:type="paragraph" w:styleId="TOC1">
    <w:name w:val="toc 1"/>
    <w:basedOn w:val="Normal"/>
    <w:next w:val="Normal"/>
    <w:autoRedefine/>
    <w:uiPriority w:val="39"/>
    <w:qFormat/>
    <w:rsid w:val="00111740"/>
    <w:pPr>
      <w:tabs>
        <w:tab w:val="right" w:leader="dot" w:pos="9060"/>
      </w:tabs>
      <w:ind w:left="720" w:hanging="720"/>
    </w:pPr>
    <w:rPr>
      <w:b/>
    </w:rPr>
  </w:style>
  <w:style w:type="paragraph" w:styleId="TOC2">
    <w:name w:val="toc 2"/>
    <w:basedOn w:val="Normal"/>
    <w:next w:val="Normal"/>
    <w:autoRedefine/>
    <w:uiPriority w:val="39"/>
    <w:qFormat/>
    <w:rsid w:val="00111740"/>
    <w:pPr>
      <w:ind w:left="958" w:hanging="720"/>
    </w:pPr>
    <w:rPr>
      <w:b/>
      <w:i/>
    </w:rPr>
  </w:style>
  <w:style w:type="character" w:styleId="Hyperlink">
    <w:name w:val="Hyperlink"/>
    <w:basedOn w:val="DefaultParagraphFont"/>
    <w:uiPriority w:val="99"/>
    <w:rsid w:val="00111740"/>
    <w:rPr>
      <w:rFonts w:cs="Times New Roman"/>
      <w:color w:val="0000FF"/>
      <w:u w:val="single"/>
    </w:rPr>
  </w:style>
  <w:style w:type="paragraph" w:styleId="TOCHeading">
    <w:name w:val="TOC Heading"/>
    <w:basedOn w:val="Normal"/>
    <w:next w:val="Normal"/>
    <w:uiPriority w:val="39"/>
    <w:qFormat/>
    <w:rsid w:val="00111740"/>
    <w:rPr>
      <w:b/>
      <w:sz w:val="28"/>
      <w:lang w:val="en-US"/>
    </w:rPr>
  </w:style>
  <w:style w:type="paragraph" w:styleId="EndnoteText">
    <w:name w:val="endnote text"/>
    <w:basedOn w:val="Normal"/>
    <w:link w:val="EndnoteTextChar"/>
    <w:uiPriority w:val="99"/>
    <w:qFormat/>
    <w:rsid w:val="00111740"/>
  </w:style>
  <w:style w:type="character" w:customStyle="1" w:styleId="EndnoteTextChar">
    <w:name w:val="Endnote Text Char"/>
    <w:basedOn w:val="DefaultParagraphFont"/>
    <w:link w:val="EndnoteText"/>
    <w:uiPriority w:val="99"/>
    <w:rsid w:val="00111740"/>
    <w:rPr>
      <w:rFonts w:ascii="Arial" w:eastAsia="Times New Roman" w:hAnsi="Arial" w:cs="Times New Roman"/>
      <w:spacing w:val="-5"/>
      <w:sz w:val="24"/>
      <w:szCs w:val="20"/>
      <w:lang w:val="en-AU"/>
    </w:rPr>
  </w:style>
  <w:style w:type="character" w:styleId="EndnoteReference">
    <w:name w:val="endnote reference"/>
    <w:aliases w:val="QUOTE"/>
    <w:basedOn w:val="DefaultParagraphFont"/>
    <w:qFormat/>
    <w:rsid w:val="00111740"/>
    <w:rPr>
      <w:rFonts w:ascii="Arial" w:hAnsi="Arial" w:cs="Times New Roman"/>
      <w:sz w:val="20"/>
      <w:vertAlign w:val="superscript"/>
    </w:rPr>
  </w:style>
  <w:style w:type="character" w:styleId="PageNumber">
    <w:name w:val="page number"/>
    <w:basedOn w:val="DefaultParagraphFont"/>
    <w:rsid w:val="00111740"/>
    <w:rPr>
      <w:rFonts w:cs="Times New Roman"/>
    </w:rPr>
  </w:style>
  <w:style w:type="paragraph" w:customStyle="1" w:styleId="DocumentLabel">
    <w:name w:val="Document Label"/>
    <w:basedOn w:val="Normal"/>
    <w:next w:val="Normal"/>
    <w:uiPriority w:val="99"/>
    <w:rsid w:val="00111740"/>
    <w:pPr>
      <w:keepNext/>
      <w:keepLines/>
      <w:spacing w:before="400" w:after="120" w:line="240" w:lineRule="atLeast"/>
      <w:ind w:left="-840"/>
    </w:pPr>
    <w:rPr>
      <w:rFonts w:ascii="Arial Black" w:hAnsi="Arial Black"/>
      <w:kern w:val="28"/>
      <w:sz w:val="96"/>
    </w:rPr>
  </w:style>
  <w:style w:type="paragraph" w:customStyle="1" w:styleId="SubmissionNormal">
    <w:name w:val="Submission Normal"/>
    <w:aliases w:val="No Spacing,No Spacing1,No Spacing11,No Spacing111"/>
    <w:basedOn w:val="Normal"/>
    <w:link w:val="SubmissionNormalChar"/>
    <w:qFormat/>
    <w:rsid w:val="00111740"/>
    <w:pPr>
      <w:numPr>
        <w:numId w:val="2"/>
      </w:numPr>
      <w:spacing w:before="240" w:after="240"/>
    </w:pPr>
    <w:rPr>
      <w:spacing w:val="0"/>
      <w:szCs w:val="24"/>
      <w:lang w:eastAsia="en-AU"/>
    </w:rPr>
  </w:style>
  <w:style w:type="character" w:customStyle="1" w:styleId="SubmissionNormalChar">
    <w:name w:val="Submission Normal Char"/>
    <w:aliases w:val="No Spacing Char,No Spacing1 Char"/>
    <w:basedOn w:val="DefaultParagraphFont"/>
    <w:link w:val="SubmissionNormal"/>
    <w:locked/>
    <w:rsid w:val="00111740"/>
    <w:rPr>
      <w:rFonts w:ascii="Arial" w:eastAsia="Times New Roman" w:hAnsi="Arial" w:cs="Times New Roman"/>
      <w:sz w:val="24"/>
      <w:szCs w:val="24"/>
      <w:lang w:val="en-AU" w:eastAsia="en-AU"/>
    </w:rPr>
  </w:style>
  <w:style w:type="paragraph" w:styleId="ListParagraph">
    <w:name w:val="List Paragraph"/>
    <w:basedOn w:val="Normal"/>
    <w:uiPriority w:val="1"/>
    <w:qFormat/>
    <w:rsid w:val="00111740"/>
    <w:pPr>
      <w:ind w:left="720"/>
      <w:contextualSpacing/>
    </w:pPr>
  </w:style>
  <w:style w:type="paragraph" w:styleId="Quote">
    <w:name w:val="Quote"/>
    <w:basedOn w:val="Normal"/>
    <w:link w:val="QuoteChar"/>
    <w:qFormat/>
    <w:rsid w:val="00111740"/>
    <w:pPr>
      <w:spacing w:before="240" w:after="240"/>
      <w:ind w:left="1440"/>
    </w:pPr>
    <w:rPr>
      <w:spacing w:val="0"/>
      <w:sz w:val="22"/>
      <w:szCs w:val="22"/>
      <w:lang w:eastAsia="en-AU"/>
    </w:rPr>
  </w:style>
  <w:style w:type="character" w:customStyle="1" w:styleId="QuoteChar">
    <w:name w:val="Quote Char"/>
    <w:basedOn w:val="DefaultParagraphFont"/>
    <w:link w:val="Quote"/>
    <w:rsid w:val="00111740"/>
    <w:rPr>
      <w:rFonts w:ascii="Arial" w:eastAsia="Times New Roman" w:hAnsi="Arial" w:cs="Times New Roman"/>
      <w:lang w:val="en-AU" w:eastAsia="en-AU"/>
    </w:rPr>
  </w:style>
  <w:style w:type="paragraph" w:styleId="TOC7">
    <w:name w:val="toc 7"/>
    <w:basedOn w:val="Normal"/>
    <w:next w:val="Normal"/>
    <w:autoRedefine/>
    <w:uiPriority w:val="39"/>
    <w:unhideWhenUsed/>
    <w:rsid w:val="00111740"/>
    <w:pPr>
      <w:spacing w:after="100"/>
    </w:pPr>
  </w:style>
  <w:style w:type="paragraph" w:styleId="Header">
    <w:name w:val="header"/>
    <w:basedOn w:val="Normal"/>
    <w:link w:val="HeaderChar"/>
    <w:semiHidden/>
    <w:rsid w:val="00C27179"/>
    <w:pPr>
      <w:tabs>
        <w:tab w:val="center" w:pos="4513"/>
        <w:tab w:val="right" w:pos="9026"/>
      </w:tabs>
      <w:spacing w:before="240"/>
    </w:pPr>
    <w:rPr>
      <w:rFonts w:eastAsia="MS Mincho"/>
      <w:spacing w:val="0"/>
      <w:sz w:val="22"/>
      <w:szCs w:val="24"/>
      <w:lang w:eastAsia="en-AU"/>
    </w:rPr>
  </w:style>
  <w:style w:type="character" w:customStyle="1" w:styleId="HeaderChar">
    <w:name w:val="Header Char"/>
    <w:basedOn w:val="DefaultParagraphFont"/>
    <w:link w:val="Header"/>
    <w:semiHidden/>
    <w:rsid w:val="00C27179"/>
    <w:rPr>
      <w:rFonts w:ascii="Arial" w:eastAsia="MS Mincho" w:hAnsi="Arial" w:cs="Times New Roman"/>
      <w:szCs w:val="24"/>
      <w:lang w:val="en-AU" w:eastAsia="en-AU"/>
    </w:rPr>
  </w:style>
  <w:style w:type="paragraph" w:styleId="Date">
    <w:name w:val="Date"/>
    <w:basedOn w:val="Normal"/>
    <w:next w:val="Normal"/>
    <w:link w:val="DateChar"/>
    <w:semiHidden/>
    <w:rsid w:val="00C27179"/>
    <w:pPr>
      <w:spacing w:before="120" w:after="120"/>
      <w:jc w:val="right"/>
    </w:pPr>
    <w:rPr>
      <w:rFonts w:eastAsia="MS Mincho"/>
      <w:color w:val="595959"/>
      <w:spacing w:val="0"/>
      <w:sz w:val="26"/>
      <w:szCs w:val="24"/>
      <w:lang w:eastAsia="en-AU"/>
    </w:rPr>
  </w:style>
  <w:style w:type="character" w:customStyle="1" w:styleId="DateChar">
    <w:name w:val="Date Char"/>
    <w:basedOn w:val="DefaultParagraphFont"/>
    <w:link w:val="Date"/>
    <w:semiHidden/>
    <w:rsid w:val="00C27179"/>
    <w:rPr>
      <w:rFonts w:ascii="Arial" w:eastAsia="MS Mincho" w:hAnsi="Arial" w:cs="Times New Roman"/>
      <w:color w:val="595959"/>
      <w:sz w:val="26"/>
      <w:szCs w:val="24"/>
      <w:lang w:val="en-AU" w:eastAsia="en-AU"/>
    </w:rPr>
  </w:style>
  <w:style w:type="character" w:styleId="FootnoteReference">
    <w:name w:val="footnote reference"/>
    <w:semiHidden/>
    <w:rsid w:val="00C27179"/>
    <w:rPr>
      <w:rFonts w:ascii="Arial" w:hAnsi="Arial"/>
      <w:sz w:val="20"/>
      <w:vertAlign w:val="superscript"/>
    </w:rPr>
  </w:style>
  <w:style w:type="paragraph" w:styleId="Subtitle">
    <w:name w:val="Subtitle"/>
    <w:basedOn w:val="Normal"/>
    <w:link w:val="SubtitleChar"/>
    <w:qFormat/>
    <w:rsid w:val="00C27179"/>
    <w:pPr>
      <w:spacing w:before="40"/>
      <w:jc w:val="right"/>
      <w:outlineLvl w:val="1"/>
    </w:pPr>
    <w:rPr>
      <w:rFonts w:eastAsia="MS Mincho" w:cs="Arial"/>
      <w:b/>
      <w:caps/>
      <w:spacing w:val="0"/>
      <w:sz w:val="26"/>
      <w:szCs w:val="24"/>
      <w:lang w:eastAsia="en-AU"/>
    </w:rPr>
  </w:style>
  <w:style w:type="character" w:customStyle="1" w:styleId="SubtitleChar">
    <w:name w:val="Subtitle Char"/>
    <w:basedOn w:val="DefaultParagraphFont"/>
    <w:link w:val="Subtitle"/>
    <w:rsid w:val="00C27179"/>
    <w:rPr>
      <w:rFonts w:ascii="Arial" w:eastAsia="MS Mincho" w:hAnsi="Arial" w:cs="Arial"/>
      <w:b/>
      <w:caps/>
      <w:sz w:val="26"/>
      <w:szCs w:val="24"/>
      <w:lang w:val="en-AU" w:eastAsia="en-AU"/>
    </w:rPr>
  </w:style>
  <w:style w:type="paragraph" w:customStyle="1" w:styleId="MainTitle">
    <w:name w:val="Main Title"/>
    <w:semiHidden/>
    <w:qFormat/>
    <w:rsid w:val="00C27179"/>
    <w:pPr>
      <w:spacing w:after="0" w:line="740" w:lineRule="exact"/>
      <w:contextualSpacing/>
      <w:jc w:val="right"/>
    </w:pPr>
    <w:rPr>
      <w:rFonts w:ascii="Arial" w:eastAsia="Times New Roman" w:hAnsi="Arial" w:cs="Times New Roman"/>
      <w:bCs/>
      <w:color w:val="237BBC"/>
      <w:kern w:val="32"/>
      <w:sz w:val="56"/>
      <w:szCs w:val="32"/>
      <w:lang w:val="en-AU" w:eastAsia="en-AU"/>
    </w:rPr>
  </w:style>
  <w:style w:type="paragraph" w:customStyle="1" w:styleId="HeaderFooter">
    <w:name w:val="Header &amp; Footer"/>
    <w:basedOn w:val="Normal"/>
    <w:semiHidden/>
    <w:rsid w:val="00C27179"/>
    <w:pPr>
      <w:spacing w:before="240" w:after="240" w:line="200" w:lineRule="exact"/>
      <w:jc w:val="both"/>
    </w:pPr>
    <w:rPr>
      <w:rFonts w:cs="ArialMT"/>
      <w:color w:val="000000"/>
      <w:spacing w:val="0"/>
      <w:sz w:val="16"/>
      <w:szCs w:val="24"/>
    </w:rPr>
  </w:style>
  <w:style w:type="paragraph" w:customStyle="1" w:styleId="coveraddresses">
    <w:name w:val="cover addresses"/>
    <w:basedOn w:val="Footer"/>
    <w:qFormat/>
    <w:rsid w:val="00C27179"/>
    <w:pPr>
      <w:tabs>
        <w:tab w:val="clear" w:pos="4513"/>
        <w:tab w:val="clear" w:pos="9026"/>
        <w:tab w:val="right" w:pos="2835"/>
        <w:tab w:val="right" w:pos="5670"/>
      </w:tabs>
      <w:spacing w:after="40"/>
      <w:jc w:val="left"/>
    </w:pPr>
    <w:rPr>
      <w:rFonts w:eastAsia="MS Mincho"/>
      <w:color w:val="404040"/>
      <w:spacing w:val="0"/>
      <w:sz w:val="16"/>
      <w:szCs w:val="16"/>
      <w:lang w:eastAsia="en-AU"/>
    </w:rPr>
  </w:style>
  <w:style w:type="character" w:styleId="LineNumber">
    <w:name w:val="line number"/>
    <w:basedOn w:val="DefaultParagraphFont"/>
    <w:uiPriority w:val="99"/>
    <w:semiHidden/>
    <w:unhideWhenUsed/>
    <w:rsid w:val="00716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Divider xmlns="6500fe01-343b-4fb9-a1b0-68ac19d62e01">Report</Divider>
    <TaxCatchAll xmlns="6500fe01-343b-4fb9-a1b0-68ac19d62e01"/>
    <Reportstatus xmlns="0544bb73-b9b2-4315-b463-f353efb89b0b" xsi:nil="true"/>
    <Report_x0020_No_x002e_ xmlns="0544bb73-b9b2-4315-b463-f353efb89b0b" xsi:nil="true"/>
    <TaxKeywordTaxHTField xmlns="6500fe01-343b-4fb9-a1b0-68ac19d62e01">
      <Terms xmlns="http://schemas.microsoft.com/office/infopath/2007/PartnerControls"/>
    </TaxKeywordTaxHTField>
    <Tabled xmlns="0544bb73-b9b2-4315-b463-f353efb89b0b" xsi:nil="true"/>
    <PublishedonAHRCwebsite xmlns="0544bb73-b9b2-4315-b463-f353efb89b0b">true</PublishedonAHRCwebsite>
    <Tablingdate xmlns="0544bb73-b9b2-4315-b463-f353efb89b0b" xsi:nil="true"/>
    <Subdivider xmlns="57f1fb52-79b9-4278-9d54-1e5db41bfcda" xsi:nil="true"/>
    <Transmissiondate xmlns="0544bb73-b9b2-4315-b463-f353efb89b0b" xsi:nil="true"/>
    <_dlc_DocId xmlns="6500fe01-343b-4fb9-a1b0-68ac19d62e01">AHRC-5382029-10456</_dlc_DocId>
    <_dlc_DocIdUrl xmlns="6500fe01-343b-4fb9-a1b0-68ac19d62e01">
      <Url>https://australianhrc.sharepoint.com/sites/LegalServicesWorkspace/_layouts/15/DocIdRedir.aspx?ID=AHRC-5382029-10456</Url>
      <Description>AHRC-5382029-10456</Description>
    </_dlc_DocIdUrl>
  </documentManagement>
</p:properties>
</file>

<file path=customXml/item3.xml><?xml version="1.0" encoding="utf-8"?>
<?mso-contentType ?>
<SharedContentType xmlns="Microsoft.SharePoint.Taxonomy.ContentTypeSync" SourceId="975c5ac6-a0cc-43ed-b850-4a2ae59237b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58FDF5B15A5C74091762EB145641BD2" ma:contentTypeVersion="929" ma:contentTypeDescription="Create a new document." ma:contentTypeScope="" ma:versionID="5192ad04e4cc5d5fc9bcb61ce0bf9d43">
  <xsd:schema xmlns:xsd="http://www.w3.org/2001/XMLSchema" xmlns:xs="http://www.w3.org/2001/XMLSchema" xmlns:p="http://schemas.microsoft.com/office/2006/metadata/properties" xmlns:ns2="0544bb73-b9b2-4315-b463-f353efb89b0b" xmlns:ns3="6500fe01-343b-4fb9-a1b0-68ac19d62e01" xmlns:ns4="57f1fb52-79b9-4278-9d54-1e5db41bfcda" xmlns:ns5="ccf9782b-c747-4be8-886f-341168625564" targetNamespace="http://schemas.microsoft.com/office/2006/metadata/properties" ma:root="true" ma:fieldsID="2eb4585164107e2f905e785de804fa43" ns2:_="" ns3:_="" ns4:_="" ns5:_="">
    <xsd:import namespace="0544bb73-b9b2-4315-b463-f353efb89b0b"/>
    <xsd:import namespace="6500fe01-343b-4fb9-a1b0-68ac19d62e01"/>
    <xsd:import namespace="57f1fb52-79b9-4278-9d54-1e5db41bfcda"/>
    <xsd:import namespace="ccf9782b-c747-4be8-886f-341168625564"/>
    <xsd:element name="properties">
      <xsd:complexType>
        <xsd:sequence>
          <xsd:element name="documentManagement">
            <xsd:complexType>
              <xsd:all>
                <xsd:element ref="ns2:Report_x0020_No_x002e_" minOccurs="0"/>
                <xsd:element ref="ns3:Divider" minOccurs="0"/>
                <xsd:element ref="ns4:Subdivider" minOccurs="0"/>
                <xsd:element ref="ns3:TaxCatchAll" minOccurs="0"/>
                <xsd:element ref="ns3:TaxCatchAllLabel" minOccurs="0"/>
                <xsd:element ref="ns3:_dlc_DocId" minOccurs="0"/>
                <xsd:element ref="ns3:_dlc_DocIdUrl" minOccurs="0"/>
                <xsd:element ref="ns3:_dlc_DocIdPersistId"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4:SharedWithUsers" minOccurs="0"/>
                <xsd:element ref="ns4:SharedWithDetails" minOccurs="0"/>
                <xsd:element ref="ns3:TaxKeywordTaxHTField" minOccurs="0"/>
                <xsd:element ref="ns2:Tabled" minOccurs="0"/>
                <xsd:element ref="ns2:Reportstatus" minOccurs="0"/>
                <xsd:element ref="ns2:PublishedonAHRCwebsite" minOccurs="0"/>
                <xsd:element ref="ns2:Transmissiondate" minOccurs="0"/>
                <xsd:element ref="ns2:Tablingdat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4bb73-b9b2-4315-b463-f353efb89b0b" elementFormDefault="qualified">
    <xsd:import namespace="http://schemas.microsoft.com/office/2006/documentManagement/types"/>
    <xsd:import namespace="http://schemas.microsoft.com/office/infopath/2007/PartnerControls"/>
    <xsd:element name="Report_x0020_No_x002e_" ma:index="1" nillable="true" ma:displayName="Report No." ma:internalName="Report_x0020_No_x002e_">
      <xsd:simpleType>
        <xsd:restriction base="dms:Number"/>
      </xsd:simpleType>
    </xsd:element>
    <xsd:element name="Tabled" ma:index="28" nillable="true" ma:displayName="Tabled" ma:format="Dropdown" ma:internalName="Tabled">
      <xsd:simpleType>
        <xsd:restriction base="dms:Choice">
          <xsd:enumeration value="Yes"/>
          <xsd:enumeration value="No - new act"/>
          <xsd:enumeration value="Pending"/>
        </xsd:restriction>
      </xsd:simpleType>
    </xsd:element>
    <xsd:element name="Reportstatus" ma:index="29" nillable="true" ma:displayName="Report status" ma:format="Dropdown" ma:internalName="Reportstatus">
      <xsd:simpleType>
        <xsd:restriction base="dms:Choice">
          <xsd:enumeration value="Approval from President"/>
          <xsd:enumeration value="Received final proof from desktopper"/>
          <xsd:enumeration value="Sent to printer"/>
          <xsd:enumeration value="Transmitted to Attorney-General"/>
        </xsd:restriction>
      </xsd:simpleType>
    </xsd:element>
    <xsd:element name="PublishedonAHRCwebsite" ma:index="30" nillable="true" ma:displayName="Published on AHRC website" ma:default="1" ma:format="Dropdown" ma:internalName="PublishedonAHRCwebsite">
      <xsd:simpleType>
        <xsd:restriction base="dms:Boolean"/>
      </xsd:simpleType>
    </xsd:element>
    <xsd:element name="Transmissiondate" ma:index="31" nillable="true" ma:displayName="Transmission date" ma:format="DateOnly" ma:internalName="Transmissiondate">
      <xsd:simpleType>
        <xsd:restriction base="dms:DateTime"/>
      </xsd:simpleType>
    </xsd:element>
    <xsd:element name="Tablingdate" ma:index="32" nillable="true" ma:displayName="Tabling date" ma:format="DateOnly" ma:internalName="Tablingdate">
      <xsd:simpleType>
        <xsd:restriction base="dms:DateTim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ternalName="Divider">
      <xsd:simpleType>
        <xsd:union memberTypes="dms:Text">
          <xsd:simpleType>
            <xsd:restriction base="dms:Choice">
              <xsd:enumeration value="-"/>
            </xsd:restriction>
          </xsd:simpleType>
        </xsd:union>
      </xsd:simpleType>
    </xsd:element>
    <xsd:element name="TaxCatchAll" ma:index="6" nillable="true" ma:displayName="Taxonomy Catch All Column" ma:hidden="true" ma:list="{edef69be-0e46-40c7-ae13-0e62df689cd6}" ma:internalName="TaxCatchAll" ma:showField="CatchAllData"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edef69be-0e46-40c7-ae13-0e62df689cd6}" ma:internalName="TaxCatchAllLabel" ma:readOnly="true" ma:showField="CatchAllDataLabel"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ternalName="Subdivider">
      <xsd:simpleType>
        <xsd:union memberTypes="dms:Text">
          <xsd:simpleType>
            <xsd:restriction base="dms:Choice">
              <xsd:enumeration value="-"/>
            </xsd:restriction>
          </xsd:simpleType>
        </xsd:un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782b-c747-4be8-886f-34116862556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26CD4-581C-4EB5-AD28-1261147FA69B}">
  <ds:schemaRefs>
    <ds:schemaRef ds:uri="http://schemas.microsoft.com/office/2006/metadata/customXsn"/>
  </ds:schemaRefs>
</ds:datastoreItem>
</file>

<file path=customXml/itemProps2.xml><?xml version="1.0" encoding="utf-8"?>
<ds:datastoreItem xmlns:ds="http://schemas.openxmlformats.org/officeDocument/2006/customXml" ds:itemID="{63A2C3DB-6EBC-4B47-82F8-921F4BF6ECC0}">
  <ds:schemaRefs>
    <ds:schemaRef ds:uri="http://schemas.microsoft.com/office/2006/metadata/properties"/>
    <ds:schemaRef ds:uri="http://schemas.microsoft.com/office/infopath/2007/PartnerControls"/>
    <ds:schemaRef ds:uri="6500fe01-343b-4fb9-a1b0-68ac19d62e01"/>
    <ds:schemaRef ds:uri="0544bb73-b9b2-4315-b463-f353efb89b0b"/>
    <ds:schemaRef ds:uri="57f1fb52-79b9-4278-9d54-1e5db41bfcda"/>
  </ds:schemaRefs>
</ds:datastoreItem>
</file>

<file path=customXml/itemProps3.xml><?xml version="1.0" encoding="utf-8"?>
<ds:datastoreItem xmlns:ds="http://schemas.openxmlformats.org/officeDocument/2006/customXml" ds:itemID="{65E63267-2DCA-447A-B788-6D0DDE524C1E}">
  <ds:schemaRefs>
    <ds:schemaRef ds:uri="Microsoft.SharePoint.Taxonomy.ContentTypeSync"/>
  </ds:schemaRefs>
</ds:datastoreItem>
</file>

<file path=customXml/itemProps4.xml><?xml version="1.0" encoding="utf-8"?>
<ds:datastoreItem xmlns:ds="http://schemas.openxmlformats.org/officeDocument/2006/customXml" ds:itemID="{A30943F7-B97E-49EF-A261-5C9AC736D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4bb73-b9b2-4315-b463-f353efb89b0b"/>
    <ds:schemaRef ds:uri="6500fe01-343b-4fb9-a1b0-68ac19d62e01"/>
    <ds:schemaRef ds:uri="57f1fb52-79b9-4278-9d54-1e5db41bfcda"/>
    <ds:schemaRef ds:uri="ccf9782b-c747-4be8-886f-34116862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717437-CC13-4832-A1EA-F4775C8E11A9}">
  <ds:schemaRefs>
    <ds:schemaRef ds:uri="http://schemas.openxmlformats.org/officeDocument/2006/bibliography"/>
  </ds:schemaRefs>
</ds:datastoreItem>
</file>

<file path=customXml/itemProps6.xml><?xml version="1.0" encoding="utf-8"?>
<ds:datastoreItem xmlns:ds="http://schemas.openxmlformats.org/officeDocument/2006/customXml" ds:itemID="{A4EF34B1-213B-471F-A204-D9E536B773C2}">
  <ds:schemaRefs>
    <ds:schemaRef ds:uri="http://schemas.microsoft.com/sharepoint/events"/>
  </ds:schemaRefs>
</ds:datastoreItem>
</file>

<file path=customXml/itemProps7.xml><?xml version="1.0" encoding="utf-8"?>
<ds:datastoreItem xmlns:ds="http://schemas.openxmlformats.org/officeDocument/2006/customXml" ds:itemID="{4CEF264F-7562-4387-A32F-4AE1BACE3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22</Pages>
  <Words>5482</Words>
  <Characters>29110</Characters>
  <Application>Microsoft Office Word</Application>
  <DocSecurity>0</DocSecurity>
  <Lines>646</Lines>
  <Paragraphs>241</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Introduction to this inquiry </vt:lpstr>
      <vt:lpstr>Summary of findings and recommendations</vt:lpstr>
      <vt:lpstr>Background</vt:lpstr>
      <vt:lpstr>Conciliation</vt:lpstr>
      <vt:lpstr>Procedural history of this inquiry</vt:lpstr>
      <vt:lpstr>Legislative framework</vt:lpstr>
      <vt:lpstr>    Functions of the Commission</vt:lpstr>
      <vt:lpstr>    What is an ‘act’ or ‘practice?</vt:lpstr>
      <vt:lpstr>    What is a human right?</vt:lpstr>
      <vt:lpstr>Arbitrary detention</vt:lpstr>
      <vt:lpstr>    Law on article 9 of the ICCPR </vt:lpstr>
      <vt:lpstr>    Act or practice of the Commonwealth</vt:lpstr>
      <vt:lpstr>    Findings</vt:lpstr>
      <vt:lpstr>Recommendations</vt:lpstr>
      <vt:lpstr>The Department’s response to my findings and recommendations </vt:lpstr>
    </vt:vector>
  </TitlesOfParts>
  <Company/>
  <LinksUpToDate>false</LinksUpToDate>
  <CharactersWithSpaces>34351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Xu</dc:creator>
  <cp:keywords/>
  <dc:description/>
  <cp:lastModifiedBy>Debby Xu</cp:lastModifiedBy>
  <cp:revision>6</cp:revision>
  <dcterms:created xsi:type="dcterms:W3CDTF">2020-09-03T06:35:00Z</dcterms:created>
  <dcterms:modified xsi:type="dcterms:W3CDTF">2020-09-15T05:31:00Z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0x010100258FDF5B15A5C74091762EB145641BD2</vt:lpwstr>
  </property>
  <property fmtid="{D5CDD505-2E9C-101B-9397-08002B2CF9AE}" pid="3" name="_dlc_DocIdItemGuid">
    <vt:lpwstr>c8b7bd5d-8d75-4bab-b370-f1992b76a56d</vt:lpwstr>
  </property>
  <property fmtid="{D5CDD505-2E9C-101B-9397-08002B2CF9AE}" pid="4" name="TaxKeyword">
    <vt:lpwstr/>
  </property>
</Properties>
</file>