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C71C" w14:textId="2482074C" w:rsidR="00995037" w:rsidRDefault="00A921C2" w:rsidP="00995037">
      <w:pPr>
        <w:rPr>
          <w:rFonts w:cs="Open Sans"/>
          <w:b/>
          <w:bCs/>
          <w:sz w:val="36"/>
          <w:szCs w:val="36"/>
        </w:rPr>
      </w:pPr>
      <w:r>
        <w:rPr>
          <w:rFonts w:cs="Open Sans"/>
          <w:b/>
          <w:noProof/>
          <w:sz w:val="36"/>
          <w:szCs w:val="36"/>
        </w:rPr>
        <w:drawing>
          <wp:anchor distT="0" distB="0" distL="114300" distR="114300" simplePos="0" relativeHeight="251658240" behindDoc="1" locked="0" layoutInCell="0" allowOverlap="1" wp14:anchorId="1DA0EF19" wp14:editId="327F322C">
            <wp:simplePos x="0" y="0"/>
            <wp:positionH relativeFrom="page">
              <wp:posOffset>-3175</wp:posOffset>
            </wp:positionH>
            <wp:positionV relativeFrom="page">
              <wp:posOffset>7620</wp:posOffset>
            </wp:positionV>
            <wp:extent cx="7563485" cy="10838815"/>
            <wp:effectExtent l="0" t="0" r="0" b="635"/>
            <wp:wrapNone/>
            <wp:docPr id="1" name="Picture 1" descr="MS word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rotWithShape="1">
                    <a:blip r:embed="rId14">
                      <a:extLst>
                        <a:ext uri="{28A0092B-C50C-407E-A947-70E740481C1C}">
                          <a14:useLocalDpi xmlns:a14="http://schemas.microsoft.com/office/drawing/2010/main" val="0"/>
                        </a:ext>
                      </a:extLst>
                    </a:blip>
                    <a:srcRect t="1486"/>
                    <a:stretch/>
                  </pic:blipFill>
                  <pic:spPr bwMode="auto">
                    <a:xfrm>
                      <a:off x="0" y="0"/>
                      <a:ext cx="7563485" cy="10838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5CB6">
        <w:rPr>
          <w:rFonts w:cs="Open Sans"/>
          <w:noProof/>
        </w:rPr>
        <mc:AlternateContent>
          <mc:Choice Requires="wps">
            <w:drawing>
              <wp:anchor distT="0" distB="0" distL="114300" distR="114300" simplePos="0" relativeHeight="251658241" behindDoc="0" locked="0" layoutInCell="1" allowOverlap="1" wp14:anchorId="4BFFCC2F" wp14:editId="2B5EB126">
                <wp:simplePos x="0" y="0"/>
                <wp:positionH relativeFrom="margin">
                  <wp:posOffset>2447925</wp:posOffset>
                </wp:positionH>
                <wp:positionV relativeFrom="paragraph">
                  <wp:posOffset>104775</wp:posOffset>
                </wp:positionV>
                <wp:extent cx="3829050" cy="2200275"/>
                <wp:effectExtent l="0" t="0" r="0" b="0"/>
                <wp:wrapNone/>
                <wp:docPr id="7" name="Rectangle 7"/>
                <wp:cNvGraphicFramePr/>
                <a:graphic xmlns:a="http://schemas.openxmlformats.org/drawingml/2006/main">
                  <a:graphicData uri="http://schemas.microsoft.com/office/word/2010/wordprocessingShape">
                    <wps:wsp>
                      <wps:cNvSpPr/>
                      <wps:spPr>
                        <a:xfrm>
                          <a:off x="0" y="0"/>
                          <a:ext cx="3829050" cy="2200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18B5A3" w14:textId="5A1CEA00" w:rsidR="00995037" w:rsidRPr="00165CB6" w:rsidRDefault="00995037" w:rsidP="00995037">
                            <w:pPr>
                              <w:spacing w:after="60" w:line="360" w:lineRule="auto"/>
                              <w:rPr>
                                <w:rFonts w:cs="Open Sans"/>
                                <w:color w:val="2E74B5"/>
                                <w:sz w:val="36"/>
                                <w:szCs w:val="36"/>
                              </w:rPr>
                            </w:pPr>
                            <w:r w:rsidRPr="00165CB6">
                              <w:rPr>
                                <w:rFonts w:cs="Open Sans"/>
                                <w:color w:val="2E74B5"/>
                                <w:sz w:val="36"/>
                                <w:szCs w:val="36"/>
                              </w:rPr>
                              <w:t xml:space="preserve">The detention of refugees following visa refusal or cancellation under section 501 </w:t>
                            </w:r>
                            <w:r w:rsidR="00165CB6">
                              <w:rPr>
                                <w:rFonts w:cs="Open Sans"/>
                                <w:color w:val="2E74B5"/>
                                <w:sz w:val="36"/>
                                <w:szCs w:val="36"/>
                              </w:rPr>
                              <w:br/>
                            </w:r>
                            <w:r w:rsidRPr="00165CB6">
                              <w:rPr>
                                <w:rFonts w:cs="Open Sans"/>
                                <w:color w:val="2E74B5"/>
                                <w:sz w:val="36"/>
                                <w:szCs w:val="36"/>
                              </w:rPr>
                              <w:t xml:space="preserve">of the </w:t>
                            </w:r>
                            <w:r w:rsidRPr="00165CB6">
                              <w:rPr>
                                <w:rFonts w:cs="Open Sans"/>
                                <w:i/>
                                <w:iCs/>
                                <w:color w:val="2E74B5"/>
                                <w:sz w:val="36"/>
                                <w:szCs w:val="36"/>
                              </w:rPr>
                              <w:t>Migration Act 1958</w:t>
                            </w:r>
                            <w:r w:rsidRPr="00165CB6">
                              <w:rPr>
                                <w:rFonts w:cs="Open Sans"/>
                                <w:color w:val="2E74B5"/>
                                <w:sz w:val="36"/>
                                <w:szCs w:val="36"/>
                              </w:rPr>
                              <w:t xml:space="preserve"> (</w:t>
                            </w:r>
                            <w:proofErr w:type="spellStart"/>
                            <w:r w:rsidRPr="00165CB6">
                              <w:rPr>
                                <w:rFonts w:cs="Open Sans"/>
                                <w:color w:val="2E74B5"/>
                                <w:sz w:val="36"/>
                                <w:szCs w:val="36"/>
                              </w:rPr>
                              <w:t>Cth</w:t>
                            </w:r>
                            <w:proofErr w:type="spellEnd"/>
                            <w:r w:rsidRPr="00165CB6">
                              <w:rPr>
                                <w:rFonts w:cs="Open Sans"/>
                                <w:color w:val="2E74B5"/>
                                <w:sz w:val="36"/>
                                <w:szCs w:val="36"/>
                              </w:rPr>
                              <w:t>)</w:t>
                            </w:r>
                          </w:p>
                          <w:p w14:paraId="1EFCD9D3" w14:textId="77777777" w:rsidR="00995037" w:rsidRPr="00467CBA" w:rsidRDefault="00995037" w:rsidP="00995037">
                            <w:pPr>
                              <w:jc w:val="center"/>
                              <w:rPr>
                                <w:sz w:val="36"/>
                                <w:szCs w:val="36"/>
                              </w:rPr>
                            </w:pPr>
                          </w:p>
                          <w:p w14:paraId="653D428D" w14:textId="77777777" w:rsidR="00995037" w:rsidRPr="00467CBA" w:rsidRDefault="00995037" w:rsidP="00995037">
                            <w:pPr>
                              <w:jc w:val="center"/>
                              <w:rPr>
                                <w:sz w:val="36"/>
                                <w:szCs w:val="36"/>
                              </w:rPr>
                            </w:pPr>
                          </w:p>
                          <w:p w14:paraId="7A2EFF53" w14:textId="77777777" w:rsidR="00995037" w:rsidRPr="00467CBA" w:rsidRDefault="00995037" w:rsidP="00995037">
                            <w:pPr>
                              <w:jc w:val="center"/>
                              <w:rPr>
                                <w:sz w:val="36"/>
                                <w:szCs w:val="36"/>
                              </w:rPr>
                            </w:pPr>
                          </w:p>
                          <w:p w14:paraId="780606C3" w14:textId="77777777" w:rsidR="00995037" w:rsidRPr="00467CBA" w:rsidRDefault="00995037" w:rsidP="00995037">
                            <w:pPr>
                              <w:spacing w:line="432" w:lineRule="auto"/>
                              <w:jc w:val="center"/>
                              <w:rPr>
                                <w:b/>
                                <w:bCs/>
                                <w:color w:val="2F5496" w:themeColor="accent5" w:themeShade="BF"/>
                                <w:sz w:val="36"/>
                                <w:szCs w:val="36"/>
                              </w:rPr>
                            </w:pPr>
                            <w:r w:rsidRPr="00467CBA">
                              <w:rPr>
                                <w:b/>
                                <w:bCs/>
                                <w:color w:val="2F5496" w:themeColor="accent5" w:themeShade="BF"/>
                                <w:sz w:val="36"/>
                                <w:szCs w:val="36"/>
                              </w:rPr>
                              <w:t>PD v Commonwealth</w:t>
                            </w:r>
                          </w:p>
                          <w:p w14:paraId="1A3E7189" w14:textId="77777777" w:rsidR="00995037" w:rsidRPr="00467CBA" w:rsidRDefault="00995037" w:rsidP="00995037">
                            <w:pPr>
                              <w:spacing w:line="432" w:lineRule="auto"/>
                              <w:jc w:val="center"/>
                              <w:rPr>
                                <w:b/>
                                <w:bCs/>
                                <w:color w:val="2F5496" w:themeColor="accent5" w:themeShade="BF"/>
                                <w:sz w:val="36"/>
                                <w:szCs w:val="36"/>
                              </w:rPr>
                            </w:pPr>
                            <w:r w:rsidRPr="00467CBA">
                              <w:rPr>
                                <w:b/>
                                <w:bCs/>
                                <w:color w:val="2F5496" w:themeColor="accent5" w:themeShade="BF"/>
                                <w:sz w:val="36"/>
                                <w:szCs w:val="36"/>
                              </w:rPr>
                              <w:t>of Australia (Department of Home Affairs)</w:t>
                            </w:r>
                          </w:p>
                          <w:p w14:paraId="689650A3" w14:textId="77777777" w:rsidR="00995037" w:rsidRPr="00467CBA" w:rsidRDefault="00995037" w:rsidP="00995037">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FCC2F" id="Rectangle 7" o:spid="_x0000_s1026" style="position:absolute;margin-left:192.75pt;margin-top:8.25pt;width:301.5pt;height:17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" filled="f" stroked="f" strokeweight="1pt">
                <v:textbox>
                  <w:txbxContent>
                    <w:p w14:paraId="1018B5A3" w14:textId="5A1CEA00" w:rsidR="00995037" w:rsidRPr="00165CB6" w:rsidRDefault="00995037" w:rsidP="00995037">
                      <w:pPr>
                        <w:spacing w:after="60" w:line="360" w:lineRule="auto"/>
                        <w:rPr>
                          <w:rFonts w:cs="Open Sans"/>
                          <w:color w:val="2E74B5"/>
                          <w:sz w:val="36"/>
                          <w:szCs w:val="36"/>
                        </w:rPr>
                      </w:pPr>
                      <w:r w:rsidRPr="00165CB6">
                        <w:rPr>
                          <w:rFonts w:cs="Open Sans"/>
                          <w:color w:val="2E74B5"/>
                          <w:sz w:val="36"/>
                          <w:szCs w:val="36"/>
                        </w:rPr>
                        <w:t xml:space="preserve">The detention of refugees following visa refusal or cancellation under section 501 </w:t>
                      </w:r>
                      <w:r w:rsidR="00165CB6">
                        <w:rPr>
                          <w:rFonts w:cs="Open Sans"/>
                          <w:color w:val="2E74B5"/>
                          <w:sz w:val="36"/>
                          <w:szCs w:val="36"/>
                        </w:rPr>
                        <w:br/>
                      </w:r>
                      <w:r w:rsidRPr="00165CB6">
                        <w:rPr>
                          <w:rFonts w:cs="Open Sans"/>
                          <w:color w:val="2E74B5"/>
                          <w:sz w:val="36"/>
                          <w:szCs w:val="36"/>
                        </w:rPr>
                        <w:t xml:space="preserve">of the </w:t>
                      </w:r>
                      <w:r w:rsidRPr="00165CB6">
                        <w:rPr>
                          <w:rFonts w:cs="Open Sans"/>
                          <w:i/>
                          <w:iCs/>
                          <w:color w:val="2E74B5"/>
                          <w:sz w:val="36"/>
                          <w:szCs w:val="36"/>
                        </w:rPr>
                        <w:t>Migration Act 1958</w:t>
                      </w:r>
                      <w:r w:rsidRPr="00165CB6">
                        <w:rPr>
                          <w:rFonts w:cs="Open Sans"/>
                          <w:color w:val="2E74B5"/>
                          <w:sz w:val="36"/>
                          <w:szCs w:val="36"/>
                        </w:rPr>
                        <w:t xml:space="preserve"> (</w:t>
                      </w:r>
                      <w:proofErr w:type="spellStart"/>
                      <w:r w:rsidRPr="00165CB6">
                        <w:rPr>
                          <w:rFonts w:cs="Open Sans"/>
                          <w:color w:val="2E74B5"/>
                          <w:sz w:val="36"/>
                          <w:szCs w:val="36"/>
                        </w:rPr>
                        <w:t>Cth</w:t>
                      </w:r>
                      <w:proofErr w:type="spellEnd"/>
                      <w:r w:rsidRPr="00165CB6">
                        <w:rPr>
                          <w:rFonts w:cs="Open Sans"/>
                          <w:color w:val="2E74B5"/>
                          <w:sz w:val="36"/>
                          <w:szCs w:val="36"/>
                        </w:rPr>
                        <w:t>)</w:t>
                      </w:r>
                    </w:p>
                    <w:p w14:paraId="1EFCD9D3" w14:textId="77777777" w:rsidR="00995037" w:rsidRPr="00467CBA" w:rsidRDefault="00995037" w:rsidP="00995037">
                      <w:pPr>
                        <w:jc w:val="center"/>
                        <w:rPr>
                          <w:sz w:val="36"/>
                          <w:szCs w:val="36"/>
                        </w:rPr>
                      </w:pPr>
                    </w:p>
                    <w:p w14:paraId="653D428D" w14:textId="77777777" w:rsidR="00995037" w:rsidRPr="00467CBA" w:rsidRDefault="00995037" w:rsidP="00995037">
                      <w:pPr>
                        <w:jc w:val="center"/>
                        <w:rPr>
                          <w:sz w:val="36"/>
                          <w:szCs w:val="36"/>
                        </w:rPr>
                      </w:pPr>
                    </w:p>
                    <w:p w14:paraId="7A2EFF53" w14:textId="77777777" w:rsidR="00995037" w:rsidRPr="00467CBA" w:rsidRDefault="00995037" w:rsidP="00995037">
                      <w:pPr>
                        <w:jc w:val="center"/>
                        <w:rPr>
                          <w:sz w:val="36"/>
                          <w:szCs w:val="36"/>
                        </w:rPr>
                      </w:pPr>
                    </w:p>
                    <w:p w14:paraId="780606C3" w14:textId="77777777" w:rsidR="00995037" w:rsidRPr="00467CBA" w:rsidRDefault="00995037" w:rsidP="00995037">
                      <w:pPr>
                        <w:spacing w:line="432" w:lineRule="auto"/>
                        <w:jc w:val="center"/>
                        <w:rPr>
                          <w:b/>
                          <w:bCs/>
                          <w:color w:val="2F5496" w:themeColor="accent5" w:themeShade="BF"/>
                          <w:sz w:val="36"/>
                          <w:szCs w:val="36"/>
                        </w:rPr>
                      </w:pPr>
                      <w:r w:rsidRPr="00467CBA">
                        <w:rPr>
                          <w:b/>
                          <w:bCs/>
                          <w:color w:val="2F5496" w:themeColor="accent5" w:themeShade="BF"/>
                          <w:sz w:val="36"/>
                          <w:szCs w:val="36"/>
                        </w:rPr>
                        <w:t>PD v Commonwealth</w:t>
                      </w:r>
                    </w:p>
                    <w:p w14:paraId="1A3E7189" w14:textId="77777777" w:rsidR="00995037" w:rsidRPr="00467CBA" w:rsidRDefault="00995037" w:rsidP="00995037">
                      <w:pPr>
                        <w:spacing w:line="432" w:lineRule="auto"/>
                        <w:jc w:val="center"/>
                        <w:rPr>
                          <w:b/>
                          <w:bCs/>
                          <w:color w:val="2F5496" w:themeColor="accent5" w:themeShade="BF"/>
                          <w:sz w:val="36"/>
                          <w:szCs w:val="36"/>
                        </w:rPr>
                      </w:pPr>
                      <w:r w:rsidRPr="00467CBA">
                        <w:rPr>
                          <w:b/>
                          <w:bCs/>
                          <w:color w:val="2F5496" w:themeColor="accent5" w:themeShade="BF"/>
                          <w:sz w:val="36"/>
                          <w:szCs w:val="36"/>
                        </w:rPr>
                        <w:t>of Australia (Department of Home Affairs)</w:t>
                      </w:r>
                    </w:p>
                    <w:p w14:paraId="689650A3" w14:textId="77777777" w:rsidR="00995037" w:rsidRPr="00467CBA" w:rsidRDefault="00995037" w:rsidP="00995037">
                      <w:pPr>
                        <w:jc w:val="center"/>
                        <w:rPr>
                          <w:sz w:val="36"/>
                          <w:szCs w:val="36"/>
                        </w:rPr>
                      </w:pPr>
                    </w:p>
                  </w:txbxContent>
                </v:textbox>
                <w10:wrap anchorx="margin"/>
              </v:rect>
            </w:pict>
          </mc:Fallback>
        </mc:AlternateContent>
      </w:r>
    </w:p>
    <w:p w14:paraId="13AD5B82" w14:textId="463068B9" w:rsidR="00995037" w:rsidRDefault="00995037" w:rsidP="00995037">
      <w:pPr>
        <w:ind w:left="4320"/>
        <w:rPr>
          <w:rFonts w:cs="Open Sans"/>
          <w:b/>
          <w:bCs/>
          <w:sz w:val="36"/>
          <w:szCs w:val="36"/>
        </w:rPr>
      </w:pPr>
      <w:bookmarkStart w:id="0" w:name="_Toc209316062"/>
      <w:bookmarkEnd w:id="0"/>
    </w:p>
    <w:p w14:paraId="7C9C5800" w14:textId="77777777" w:rsidR="00995037" w:rsidRDefault="00995037" w:rsidP="00995037"/>
    <w:p w14:paraId="14E8E6AC" w14:textId="78E9D5E2" w:rsidR="00995037" w:rsidRDefault="00AE4B00" w:rsidP="00995037">
      <w:r>
        <w:rPr>
          <w:noProof/>
          <w:lang w:val="en-US"/>
        </w:rPr>
        <mc:AlternateContent>
          <mc:Choice Requires="wps">
            <w:drawing>
              <wp:anchor distT="0" distB="0" distL="114300" distR="114300" simplePos="0" relativeHeight="251658243" behindDoc="0" locked="0" layoutInCell="1" allowOverlap="1" wp14:anchorId="4790FCB4" wp14:editId="32E59D36">
                <wp:simplePos x="0" y="0"/>
                <wp:positionH relativeFrom="margin">
                  <wp:posOffset>3528695</wp:posOffset>
                </wp:positionH>
                <wp:positionV relativeFrom="paragraph">
                  <wp:posOffset>1164590</wp:posOffset>
                </wp:positionV>
                <wp:extent cx="14763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361315"/>
                        </a:xfrm>
                        <a:prstGeom prst="rect">
                          <a:avLst/>
                        </a:prstGeom>
                        <a:noFill/>
                        <a:ln w="6350">
                          <a:noFill/>
                        </a:ln>
                        <a:effectLst/>
                      </wps:spPr>
                      <wps:txbx>
                        <w:txbxContent>
                          <w:p w14:paraId="47F91D18" w14:textId="262077D8" w:rsidR="00995037" w:rsidRPr="00370F1D" w:rsidRDefault="00A54DCE" w:rsidP="00995037">
                            <w:pPr>
                              <w:pStyle w:val="Date"/>
                            </w:pPr>
                            <w:r>
                              <w:t>March</w:t>
                            </w:r>
                            <w:r w:rsidR="00995037" w:rsidRPr="00370F1D">
                              <w:t xml:space="preserve"> 202</w:t>
                            </w:r>
                            <w:r w:rsidR="00066AAE" w:rsidRPr="00370F1D">
                              <w:t>2</w:t>
                            </w:r>
                          </w:p>
                          <w:p w14:paraId="3ADDF38B" w14:textId="77777777" w:rsidR="00995037" w:rsidRPr="00995037" w:rsidRDefault="00995037" w:rsidP="00995037">
                            <w:pPr>
                              <w:rPr>
                                <w:highlight w:val="yellow"/>
                              </w:rPr>
                            </w:pPr>
                          </w:p>
                          <w:p w14:paraId="6FD4DC75" w14:textId="77777777" w:rsidR="00995037" w:rsidRPr="00995037" w:rsidRDefault="00995037" w:rsidP="00995037">
                            <w:pPr>
                              <w:pStyle w:val="Date"/>
                              <w:rPr>
                                <w:highlight w:val="yellow"/>
                              </w:rPr>
                            </w:pPr>
                            <w:r w:rsidRPr="00995037">
                              <w:rPr>
                                <w:highlight w:val="yellow"/>
                              </w:rPr>
                              <w:t>31 July 2019</w:t>
                            </w:r>
                          </w:p>
                          <w:p w14:paraId="541A60D9" w14:textId="77777777" w:rsidR="00995037" w:rsidRPr="00995037" w:rsidRDefault="00995037" w:rsidP="00995037">
                            <w:pPr>
                              <w:rPr>
                                <w:highlight w:val="yellow"/>
                              </w:rPr>
                            </w:pPr>
                          </w:p>
                          <w:p w14:paraId="130257DA" w14:textId="77777777" w:rsidR="00995037" w:rsidRPr="00995037" w:rsidRDefault="00995037" w:rsidP="00995037">
                            <w:pPr>
                              <w:pStyle w:val="Date"/>
                              <w:rPr>
                                <w:highlight w:val="yellow"/>
                              </w:rPr>
                            </w:pPr>
                            <w:r w:rsidRPr="00995037">
                              <w:rPr>
                                <w:highlight w:val="yellow"/>
                              </w:rPr>
                              <w:t>31 September 2020</w:t>
                            </w:r>
                          </w:p>
                          <w:p w14:paraId="5BF0F2B4" w14:textId="77777777" w:rsidR="00995037" w:rsidRPr="00995037" w:rsidRDefault="00995037" w:rsidP="00995037">
                            <w:pPr>
                              <w:rPr>
                                <w:highlight w:val="yellow"/>
                              </w:rPr>
                            </w:pPr>
                          </w:p>
                          <w:p w14:paraId="459BB92F" w14:textId="77777777" w:rsidR="00995037" w:rsidRPr="00995037" w:rsidRDefault="00995037" w:rsidP="00995037">
                            <w:pPr>
                              <w:pStyle w:val="Date"/>
                              <w:rPr>
                                <w:highlight w:val="yellow"/>
                              </w:rPr>
                            </w:pPr>
                            <w:r w:rsidRPr="00995037">
                              <w:rPr>
                                <w:highlight w:val="yellow"/>
                              </w:rPr>
                              <w:t>31 July 2019</w:t>
                            </w:r>
                          </w:p>
                          <w:p w14:paraId="021C1918" w14:textId="77777777" w:rsidR="00995037" w:rsidRPr="00995037" w:rsidRDefault="00995037" w:rsidP="00995037">
                            <w:pPr>
                              <w:rPr>
                                <w:highlight w:val="yellow"/>
                              </w:rPr>
                            </w:pPr>
                          </w:p>
                          <w:p w14:paraId="0AFB591B" w14:textId="77777777" w:rsidR="00995037" w:rsidRPr="00995037" w:rsidRDefault="00995037" w:rsidP="00995037">
                            <w:pPr>
                              <w:pStyle w:val="Date"/>
                              <w:rPr>
                                <w:highlight w:val="yellow"/>
                              </w:rPr>
                            </w:pPr>
                            <w:r w:rsidRPr="00995037">
                              <w:rPr>
                                <w:highlight w:val="yellow"/>
                              </w:rPr>
                              <w:t>31 September 2020</w:t>
                            </w:r>
                          </w:p>
                          <w:p w14:paraId="67961ACE" w14:textId="77777777" w:rsidR="00995037" w:rsidRPr="00995037" w:rsidRDefault="00995037" w:rsidP="00995037">
                            <w:pPr>
                              <w:rPr>
                                <w:highlight w:val="yellow"/>
                              </w:rPr>
                            </w:pPr>
                          </w:p>
                          <w:p w14:paraId="048F31F0" w14:textId="77777777" w:rsidR="00995037" w:rsidRPr="00995037" w:rsidRDefault="00995037" w:rsidP="00995037">
                            <w:pPr>
                              <w:pStyle w:val="Date"/>
                              <w:rPr>
                                <w:highlight w:val="yellow"/>
                              </w:rPr>
                            </w:pPr>
                            <w:r w:rsidRPr="00995037">
                              <w:rPr>
                                <w:highlight w:val="yellow"/>
                              </w:rPr>
                              <w:t>31 July 2019</w:t>
                            </w:r>
                          </w:p>
                          <w:p w14:paraId="047B77F8" w14:textId="77777777" w:rsidR="00995037" w:rsidRPr="00995037" w:rsidRDefault="00995037" w:rsidP="00995037">
                            <w:pPr>
                              <w:rPr>
                                <w:highlight w:val="yellow"/>
                              </w:rPr>
                            </w:pPr>
                          </w:p>
                          <w:p w14:paraId="0FB605EA" w14:textId="77777777" w:rsidR="00995037" w:rsidRPr="00995037" w:rsidRDefault="00995037" w:rsidP="00995037">
                            <w:pPr>
                              <w:pStyle w:val="Date"/>
                              <w:rPr>
                                <w:highlight w:val="yellow"/>
                              </w:rPr>
                            </w:pPr>
                            <w:r w:rsidRPr="00995037">
                              <w:rPr>
                                <w:highlight w:val="yellow"/>
                              </w:rPr>
                              <w:t>31 September 2020</w:t>
                            </w:r>
                          </w:p>
                          <w:p w14:paraId="550DAAE9" w14:textId="77777777" w:rsidR="00995037" w:rsidRPr="00995037" w:rsidRDefault="00995037" w:rsidP="00995037">
                            <w:pPr>
                              <w:rPr>
                                <w:highlight w:val="yellow"/>
                              </w:rPr>
                            </w:pPr>
                          </w:p>
                          <w:p w14:paraId="0862A2BC" w14:textId="77777777" w:rsidR="00995037" w:rsidRPr="00995037" w:rsidRDefault="00995037" w:rsidP="00995037">
                            <w:pPr>
                              <w:pStyle w:val="Date"/>
                              <w:rPr>
                                <w:highlight w:val="yellow"/>
                              </w:rPr>
                            </w:pPr>
                            <w:r w:rsidRPr="00995037">
                              <w:rPr>
                                <w:highlight w:val="yellow"/>
                              </w:rPr>
                              <w:t>31 July 2019</w:t>
                            </w:r>
                          </w:p>
                          <w:p w14:paraId="4B09C3F6" w14:textId="77777777" w:rsidR="00995037" w:rsidRPr="00995037" w:rsidRDefault="00995037" w:rsidP="00995037">
                            <w:pPr>
                              <w:rPr>
                                <w:highlight w:val="yellow"/>
                              </w:rPr>
                            </w:pPr>
                          </w:p>
                          <w:p w14:paraId="50AFA103" w14:textId="77777777" w:rsidR="00995037" w:rsidRPr="00995037" w:rsidRDefault="00995037" w:rsidP="00995037">
                            <w:pPr>
                              <w:pStyle w:val="Date"/>
                              <w:rPr>
                                <w:highlight w:val="yellow"/>
                              </w:rPr>
                            </w:pPr>
                            <w:r w:rsidRPr="00995037">
                              <w:rPr>
                                <w:highlight w:val="yellow"/>
                              </w:rPr>
                              <w:t>15 October 2020</w:t>
                            </w:r>
                          </w:p>
                          <w:p w14:paraId="7CC0D876" w14:textId="77777777" w:rsidR="00995037" w:rsidRPr="00995037" w:rsidRDefault="00995037" w:rsidP="00995037">
                            <w:pPr>
                              <w:rPr>
                                <w:highlight w:val="yellow"/>
                              </w:rPr>
                            </w:pPr>
                          </w:p>
                          <w:p w14:paraId="0D3D280C" w14:textId="77777777" w:rsidR="00995037" w:rsidRPr="00995037" w:rsidRDefault="00995037" w:rsidP="00995037">
                            <w:pPr>
                              <w:pStyle w:val="Date"/>
                              <w:rPr>
                                <w:highlight w:val="yellow"/>
                              </w:rPr>
                            </w:pPr>
                            <w:r w:rsidRPr="00995037">
                              <w:rPr>
                                <w:highlight w:val="yellow"/>
                              </w:rPr>
                              <w:t>31 July 2019</w:t>
                            </w:r>
                          </w:p>
                          <w:p w14:paraId="7E360D87" w14:textId="77777777" w:rsidR="00995037" w:rsidRPr="00995037" w:rsidRDefault="00995037" w:rsidP="00995037">
                            <w:pPr>
                              <w:rPr>
                                <w:highlight w:val="yellow"/>
                              </w:rPr>
                            </w:pPr>
                          </w:p>
                          <w:p w14:paraId="7AB1E495" w14:textId="77777777" w:rsidR="00995037" w:rsidRPr="00995037" w:rsidRDefault="00995037" w:rsidP="00995037">
                            <w:pPr>
                              <w:pStyle w:val="Date"/>
                              <w:rPr>
                                <w:highlight w:val="yellow"/>
                              </w:rPr>
                            </w:pPr>
                            <w:r w:rsidRPr="00995037">
                              <w:rPr>
                                <w:highlight w:val="yellow"/>
                              </w:rPr>
                              <w:t>31 September 2020</w:t>
                            </w:r>
                          </w:p>
                          <w:p w14:paraId="159B21BE" w14:textId="77777777" w:rsidR="00995037" w:rsidRPr="00995037" w:rsidRDefault="00995037" w:rsidP="00995037">
                            <w:pPr>
                              <w:rPr>
                                <w:highlight w:val="yellow"/>
                              </w:rPr>
                            </w:pPr>
                          </w:p>
                          <w:p w14:paraId="7B6A2201" w14:textId="77777777" w:rsidR="00995037" w:rsidRPr="00995037" w:rsidRDefault="00995037" w:rsidP="00995037">
                            <w:pPr>
                              <w:pStyle w:val="Date"/>
                              <w:rPr>
                                <w:highlight w:val="yellow"/>
                              </w:rPr>
                            </w:pPr>
                            <w:r w:rsidRPr="00995037">
                              <w:rPr>
                                <w:highlight w:val="yellow"/>
                              </w:rPr>
                              <w:t>31 July 2019</w:t>
                            </w:r>
                          </w:p>
                          <w:p w14:paraId="31A7721B" w14:textId="77777777" w:rsidR="00995037" w:rsidRPr="00995037" w:rsidRDefault="00995037" w:rsidP="00995037">
                            <w:pPr>
                              <w:rPr>
                                <w:highlight w:val="yellow"/>
                              </w:rPr>
                            </w:pPr>
                          </w:p>
                          <w:p w14:paraId="7FD14574" w14:textId="77777777" w:rsidR="00995037" w:rsidRPr="00995037" w:rsidRDefault="00995037" w:rsidP="00995037">
                            <w:pPr>
                              <w:pStyle w:val="Date"/>
                              <w:rPr>
                                <w:highlight w:val="yellow"/>
                              </w:rPr>
                            </w:pPr>
                            <w:r w:rsidRPr="00995037">
                              <w:rPr>
                                <w:highlight w:val="yellow"/>
                              </w:rPr>
                              <w:t>31 September 2020</w:t>
                            </w:r>
                          </w:p>
                          <w:p w14:paraId="1A627691" w14:textId="77777777" w:rsidR="00995037" w:rsidRPr="00995037" w:rsidRDefault="00995037" w:rsidP="00995037">
                            <w:pPr>
                              <w:rPr>
                                <w:highlight w:val="yellow"/>
                              </w:rPr>
                            </w:pPr>
                          </w:p>
                          <w:p w14:paraId="4E6B633B" w14:textId="77777777" w:rsidR="00995037" w:rsidRPr="00995037" w:rsidRDefault="00995037" w:rsidP="00995037">
                            <w:pPr>
                              <w:pStyle w:val="Date"/>
                              <w:rPr>
                                <w:highlight w:val="yellow"/>
                              </w:rPr>
                            </w:pPr>
                            <w:r w:rsidRPr="00995037">
                              <w:rPr>
                                <w:highlight w:val="yellow"/>
                              </w:rPr>
                              <w:t>31 July 2019</w:t>
                            </w:r>
                          </w:p>
                          <w:p w14:paraId="08CA9E03" w14:textId="77777777" w:rsidR="00995037" w:rsidRPr="00995037" w:rsidRDefault="00995037" w:rsidP="00995037">
                            <w:pPr>
                              <w:rPr>
                                <w:highlight w:val="yellow"/>
                              </w:rPr>
                            </w:pPr>
                          </w:p>
                          <w:p w14:paraId="601C88D1" w14:textId="77777777" w:rsidR="00995037" w:rsidRPr="00995037" w:rsidRDefault="00995037" w:rsidP="00995037">
                            <w:pPr>
                              <w:pStyle w:val="Date"/>
                              <w:rPr>
                                <w:highlight w:val="yellow"/>
                              </w:rPr>
                            </w:pPr>
                            <w:r w:rsidRPr="00995037">
                              <w:rPr>
                                <w:highlight w:val="yellow"/>
                              </w:rPr>
                              <w:t>31 September 2020</w:t>
                            </w:r>
                          </w:p>
                          <w:p w14:paraId="41B9AED0" w14:textId="77777777" w:rsidR="00995037" w:rsidRPr="00995037" w:rsidRDefault="00995037" w:rsidP="00995037">
                            <w:pPr>
                              <w:rPr>
                                <w:highlight w:val="yellow"/>
                              </w:rPr>
                            </w:pPr>
                          </w:p>
                          <w:p w14:paraId="0B744931" w14:textId="77777777" w:rsidR="00995037" w:rsidRPr="00B74219" w:rsidRDefault="00995037" w:rsidP="00995037">
                            <w:pPr>
                              <w:pStyle w:val="Date"/>
                            </w:pPr>
                            <w:r w:rsidRPr="00995037">
                              <w:rPr>
                                <w:highlight w:val="yellow"/>
                              </w:rPr>
                              <w:t>31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0FCB4" id="_x0000_t202" coordsize="21600,21600" o:spt="202" path="m,l,21600r21600,l21600,xe">
                <v:stroke joinstyle="miter"/>
                <v:path gradientshapeok="t" o:connecttype="rect"/>
              </v:shapetype>
              <v:shape id="Text Box 4" o:spid="_x0000_s1027" type="#_x0000_t202" style="position:absolute;margin-left:277.85pt;margin-top:91.7pt;width:116.25pt;height:28.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" filled="f" stroked="f" strokeweight=".5pt">
                <v:textbox>
                  <w:txbxContent>
                    <w:p w14:paraId="47F91D18" w14:textId="262077D8" w:rsidR="00995037" w:rsidRPr="00370F1D" w:rsidRDefault="00A54DCE" w:rsidP="00995037">
                      <w:pPr>
                        <w:pStyle w:val="Date"/>
                      </w:pPr>
                      <w:r>
                        <w:t>March</w:t>
                      </w:r>
                      <w:r w:rsidR="00995037" w:rsidRPr="00370F1D">
                        <w:t xml:space="preserve"> 202</w:t>
                      </w:r>
                      <w:r w:rsidR="00066AAE" w:rsidRPr="00370F1D">
                        <w:t>2</w:t>
                      </w:r>
                    </w:p>
                    <w:p w14:paraId="3ADDF38B" w14:textId="77777777" w:rsidR="00995037" w:rsidRPr="00995037" w:rsidRDefault="00995037" w:rsidP="00995037">
                      <w:pPr>
                        <w:rPr>
                          <w:highlight w:val="yellow"/>
                        </w:rPr>
                      </w:pPr>
                    </w:p>
                    <w:p w14:paraId="6FD4DC75" w14:textId="77777777" w:rsidR="00995037" w:rsidRPr="00995037" w:rsidRDefault="00995037" w:rsidP="00995037">
                      <w:pPr>
                        <w:pStyle w:val="Date"/>
                        <w:rPr>
                          <w:highlight w:val="yellow"/>
                        </w:rPr>
                      </w:pPr>
                      <w:r w:rsidRPr="00995037">
                        <w:rPr>
                          <w:highlight w:val="yellow"/>
                        </w:rPr>
                        <w:t>31 July 2019</w:t>
                      </w:r>
                    </w:p>
                    <w:p w14:paraId="541A60D9" w14:textId="77777777" w:rsidR="00995037" w:rsidRPr="00995037" w:rsidRDefault="00995037" w:rsidP="00995037">
                      <w:pPr>
                        <w:rPr>
                          <w:highlight w:val="yellow"/>
                        </w:rPr>
                      </w:pPr>
                    </w:p>
                    <w:p w14:paraId="130257DA" w14:textId="77777777" w:rsidR="00995037" w:rsidRPr="00995037" w:rsidRDefault="00995037" w:rsidP="00995037">
                      <w:pPr>
                        <w:pStyle w:val="Date"/>
                        <w:rPr>
                          <w:highlight w:val="yellow"/>
                        </w:rPr>
                      </w:pPr>
                      <w:r w:rsidRPr="00995037">
                        <w:rPr>
                          <w:highlight w:val="yellow"/>
                        </w:rPr>
                        <w:t>31 September 2020</w:t>
                      </w:r>
                    </w:p>
                    <w:p w14:paraId="5BF0F2B4" w14:textId="77777777" w:rsidR="00995037" w:rsidRPr="00995037" w:rsidRDefault="00995037" w:rsidP="00995037">
                      <w:pPr>
                        <w:rPr>
                          <w:highlight w:val="yellow"/>
                        </w:rPr>
                      </w:pPr>
                    </w:p>
                    <w:p w14:paraId="459BB92F" w14:textId="77777777" w:rsidR="00995037" w:rsidRPr="00995037" w:rsidRDefault="00995037" w:rsidP="00995037">
                      <w:pPr>
                        <w:pStyle w:val="Date"/>
                        <w:rPr>
                          <w:highlight w:val="yellow"/>
                        </w:rPr>
                      </w:pPr>
                      <w:r w:rsidRPr="00995037">
                        <w:rPr>
                          <w:highlight w:val="yellow"/>
                        </w:rPr>
                        <w:t>31 July 2019</w:t>
                      </w:r>
                    </w:p>
                    <w:p w14:paraId="021C1918" w14:textId="77777777" w:rsidR="00995037" w:rsidRPr="00995037" w:rsidRDefault="00995037" w:rsidP="00995037">
                      <w:pPr>
                        <w:rPr>
                          <w:highlight w:val="yellow"/>
                        </w:rPr>
                      </w:pPr>
                    </w:p>
                    <w:p w14:paraId="0AFB591B" w14:textId="77777777" w:rsidR="00995037" w:rsidRPr="00995037" w:rsidRDefault="00995037" w:rsidP="00995037">
                      <w:pPr>
                        <w:pStyle w:val="Date"/>
                        <w:rPr>
                          <w:highlight w:val="yellow"/>
                        </w:rPr>
                      </w:pPr>
                      <w:r w:rsidRPr="00995037">
                        <w:rPr>
                          <w:highlight w:val="yellow"/>
                        </w:rPr>
                        <w:t>31 September 2020</w:t>
                      </w:r>
                    </w:p>
                    <w:p w14:paraId="67961ACE" w14:textId="77777777" w:rsidR="00995037" w:rsidRPr="00995037" w:rsidRDefault="00995037" w:rsidP="00995037">
                      <w:pPr>
                        <w:rPr>
                          <w:highlight w:val="yellow"/>
                        </w:rPr>
                      </w:pPr>
                    </w:p>
                    <w:p w14:paraId="048F31F0" w14:textId="77777777" w:rsidR="00995037" w:rsidRPr="00995037" w:rsidRDefault="00995037" w:rsidP="00995037">
                      <w:pPr>
                        <w:pStyle w:val="Date"/>
                        <w:rPr>
                          <w:highlight w:val="yellow"/>
                        </w:rPr>
                      </w:pPr>
                      <w:r w:rsidRPr="00995037">
                        <w:rPr>
                          <w:highlight w:val="yellow"/>
                        </w:rPr>
                        <w:t>31 July 2019</w:t>
                      </w:r>
                    </w:p>
                    <w:p w14:paraId="047B77F8" w14:textId="77777777" w:rsidR="00995037" w:rsidRPr="00995037" w:rsidRDefault="00995037" w:rsidP="00995037">
                      <w:pPr>
                        <w:rPr>
                          <w:highlight w:val="yellow"/>
                        </w:rPr>
                      </w:pPr>
                    </w:p>
                    <w:p w14:paraId="0FB605EA" w14:textId="77777777" w:rsidR="00995037" w:rsidRPr="00995037" w:rsidRDefault="00995037" w:rsidP="00995037">
                      <w:pPr>
                        <w:pStyle w:val="Date"/>
                        <w:rPr>
                          <w:highlight w:val="yellow"/>
                        </w:rPr>
                      </w:pPr>
                      <w:r w:rsidRPr="00995037">
                        <w:rPr>
                          <w:highlight w:val="yellow"/>
                        </w:rPr>
                        <w:t>31 September 2020</w:t>
                      </w:r>
                    </w:p>
                    <w:p w14:paraId="550DAAE9" w14:textId="77777777" w:rsidR="00995037" w:rsidRPr="00995037" w:rsidRDefault="00995037" w:rsidP="00995037">
                      <w:pPr>
                        <w:rPr>
                          <w:highlight w:val="yellow"/>
                        </w:rPr>
                      </w:pPr>
                    </w:p>
                    <w:p w14:paraId="0862A2BC" w14:textId="77777777" w:rsidR="00995037" w:rsidRPr="00995037" w:rsidRDefault="00995037" w:rsidP="00995037">
                      <w:pPr>
                        <w:pStyle w:val="Date"/>
                        <w:rPr>
                          <w:highlight w:val="yellow"/>
                        </w:rPr>
                      </w:pPr>
                      <w:r w:rsidRPr="00995037">
                        <w:rPr>
                          <w:highlight w:val="yellow"/>
                        </w:rPr>
                        <w:t>31 July 2019</w:t>
                      </w:r>
                    </w:p>
                    <w:p w14:paraId="4B09C3F6" w14:textId="77777777" w:rsidR="00995037" w:rsidRPr="00995037" w:rsidRDefault="00995037" w:rsidP="00995037">
                      <w:pPr>
                        <w:rPr>
                          <w:highlight w:val="yellow"/>
                        </w:rPr>
                      </w:pPr>
                    </w:p>
                    <w:p w14:paraId="50AFA103" w14:textId="77777777" w:rsidR="00995037" w:rsidRPr="00995037" w:rsidRDefault="00995037" w:rsidP="00995037">
                      <w:pPr>
                        <w:pStyle w:val="Date"/>
                        <w:rPr>
                          <w:highlight w:val="yellow"/>
                        </w:rPr>
                      </w:pPr>
                      <w:r w:rsidRPr="00995037">
                        <w:rPr>
                          <w:highlight w:val="yellow"/>
                        </w:rPr>
                        <w:t>15 October 2020</w:t>
                      </w:r>
                    </w:p>
                    <w:p w14:paraId="7CC0D876" w14:textId="77777777" w:rsidR="00995037" w:rsidRPr="00995037" w:rsidRDefault="00995037" w:rsidP="00995037">
                      <w:pPr>
                        <w:rPr>
                          <w:highlight w:val="yellow"/>
                        </w:rPr>
                      </w:pPr>
                    </w:p>
                    <w:p w14:paraId="0D3D280C" w14:textId="77777777" w:rsidR="00995037" w:rsidRPr="00995037" w:rsidRDefault="00995037" w:rsidP="00995037">
                      <w:pPr>
                        <w:pStyle w:val="Date"/>
                        <w:rPr>
                          <w:highlight w:val="yellow"/>
                        </w:rPr>
                      </w:pPr>
                      <w:r w:rsidRPr="00995037">
                        <w:rPr>
                          <w:highlight w:val="yellow"/>
                        </w:rPr>
                        <w:t>31 July 2019</w:t>
                      </w:r>
                    </w:p>
                    <w:p w14:paraId="7E360D87" w14:textId="77777777" w:rsidR="00995037" w:rsidRPr="00995037" w:rsidRDefault="00995037" w:rsidP="00995037">
                      <w:pPr>
                        <w:rPr>
                          <w:highlight w:val="yellow"/>
                        </w:rPr>
                      </w:pPr>
                    </w:p>
                    <w:p w14:paraId="7AB1E495" w14:textId="77777777" w:rsidR="00995037" w:rsidRPr="00995037" w:rsidRDefault="00995037" w:rsidP="00995037">
                      <w:pPr>
                        <w:pStyle w:val="Date"/>
                        <w:rPr>
                          <w:highlight w:val="yellow"/>
                        </w:rPr>
                      </w:pPr>
                      <w:r w:rsidRPr="00995037">
                        <w:rPr>
                          <w:highlight w:val="yellow"/>
                        </w:rPr>
                        <w:t>31 September 2020</w:t>
                      </w:r>
                    </w:p>
                    <w:p w14:paraId="159B21BE" w14:textId="77777777" w:rsidR="00995037" w:rsidRPr="00995037" w:rsidRDefault="00995037" w:rsidP="00995037">
                      <w:pPr>
                        <w:rPr>
                          <w:highlight w:val="yellow"/>
                        </w:rPr>
                      </w:pPr>
                    </w:p>
                    <w:p w14:paraId="7B6A2201" w14:textId="77777777" w:rsidR="00995037" w:rsidRPr="00995037" w:rsidRDefault="00995037" w:rsidP="00995037">
                      <w:pPr>
                        <w:pStyle w:val="Date"/>
                        <w:rPr>
                          <w:highlight w:val="yellow"/>
                        </w:rPr>
                      </w:pPr>
                      <w:r w:rsidRPr="00995037">
                        <w:rPr>
                          <w:highlight w:val="yellow"/>
                        </w:rPr>
                        <w:t>31 July 2019</w:t>
                      </w:r>
                    </w:p>
                    <w:p w14:paraId="31A7721B" w14:textId="77777777" w:rsidR="00995037" w:rsidRPr="00995037" w:rsidRDefault="00995037" w:rsidP="00995037">
                      <w:pPr>
                        <w:rPr>
                          <w:highlight w:val="yellow"/>
                        </w:rPr>
                      </w:pPr>
                    </w:p>
                    <w:p w14:paraId="7FD14574" w14:textId="77777777" w:rsidR="00995037" w:rsidRPr="00995037" w:rsidRDefault="00995037" w:rsidP="00995037">
                      <w:pPr>
                        <w:pStyle w:val="Date"/>
                        <w:rPr>
                          <w:highlight w:val="yellow"/>
                        </w:rPr>
                      </w:pPr>
                      <w:r w:rsidRPr="00995037">
                        <w:rPr>
                          <w:highlight w:val="yellow"/>
                        </w:rPr>
                        <w:t>31 September 2020</w:t>
                      </w:r>
                    </w:p>
                    <w:p w14:paraId="1A627691" w14:textId="77777777" w:rsidR="00995037" w:rsidRPr="00995037" w:rsidRDefault="00995037" w:rsidP="00995037">
                      <w:pPr>
                        <w:rPr>
                          <w:highlight w:val="yellow"/>
                        </w:rPr>
                      </w:pPr>
                    </w:p>
                    <w:p w14:paraId="4E6B633B" w14:textId="77777777" w:rsidR="00995037" w:rsidRPr="00995037" w:rsidRDefault="00995037" w:rsidP="00995037">
                      <w:pPr>
                        <w:pStyle w:val="Date"/>
                        <w:rPr>
                          <w:highlight w:val="yellow"/>
                        </w:rPr>
                      </w:pPr>
                      <w:r w:rsidRPr="00995037">
                        <w:rPr>
                          <w:highlight w:val="yellow"/>
                        </w:rPr>
                        <w:t>31 July 2019</w:t>
                      </w:r>
                    </w:p>
                    <w:p w14:paraId="08CA9E03" w14:textId="77777777" w:rsidR="00995037" w:rsidRPr="00995037" w:rsidRDefault="00995037" w:rsidP="00995037">
                      <w:pPr>
                        <w:rPr>
                          <w:highlight w:val="yellow"/>
                        </w:rPr>
                      </w:pPr>
                    </w:p>
                    <w:p w14:paraId="601C88D1" w14:textId="77777777" w:rsidR="00995037" w:rsidRPr="00995037" w:rsidRDefault="00995037" w:rsidP="00995037">
                      <w:pPr>
                        <w:pStyle w:val="Date"/>
                        <w:rPr>
                          <w:highlight w:val="yellow"/>
                        </w:rPr>
                      </w:pPr>
                      <w:r w:rsidRPr="00995037">
                        <w:rPr>
                          <w:highlight w:val="yellow"/>
                        </w:rPr>
                        <w:t>31 September 2020</w:t>
                      </w:r>
                    </w:p>
                    <w:p w14:paraId="41B9AED0" w14:textId="77777777" w:rsidR="00995037" w:rsidRPr="00995037" w:rsidRDefault="00995037" w:rsidP="00995037">
                      <w:pPr>
                        <w:rPr>
                          <w:highlight w:val="yellow"/>
                        </w:rPr>
                      </w:pPr>
                    </w:p>
                    <w:p w14:paraId="0B744931" w14:textId="77777777" w:rsidR="00995037" w:rsidRPr="00B74219" w:rsidRDefault="00995037" w:rsidP="00995037">
                      <w:pPr>
                        <w:pStyle w:val="Date"/>
                      </w:pPr>
                      <w:r w:rsidRPr="00995037">
                        <w:rPr>
                          <w:highlight w:val="yellow"/>
                        </w:rPr>
                        <w:t>31 July 2019</w:t>
                      </w:r>
                    </w:p>
                  </w:txbxContent>
                </v:textbox>
                <w10:wrap anchorx="margin"/>
              </v:shape>
            </w:pict>
          </mc:Fallback>
        </mc:AlternateContent>
      </w:r>
      <w:r w:rsidR="002A2430">
        <w:rPr>
          <w:noProof/>
          <w:lang w:val="en-US"/>
        </w:rPr>
        <mc:AlternateContent>
          <mc:Choice Requires="wps">
            <w:drawing>
              <wp:anchor distT="0" distB="0" distL="114300" distR="114300" simplePos="0" relativeHeight="251658242" behindDoc="0" locked="0" layoutInCell="1" allowOverlap="1" wp14:anchorId="23508E9F" wp14:editId="2CBDB356">
                <wp:simplePos x="0" y="0"/>
                <wp:positionH relativeFrom="margin">
                  <wp:align>right</wp:align>
                </wp:positionH>
                <wp:positionV relativeFrom="paragraph">
                  <wp:posOffset>746760</wp:posOffset>
                </wp:positionV>
                <wp:extent cx="3075709" cy="475013"/>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709" cy="475013"/>
                        </a:xfrm>
                        <a:prstGeom prst="rect">
                          <a:avLst/>
                        </a:prstGeom>
                        <a:noFill/>
                        <a:ln w="6350">
                          <a:noFill/>
                        </a:ln>
                        <a:effectLst/>
                      </wps:spPr>
                      <wps:txbx>
                        <w:txbxContent>
                          <w:p w14:paraId="3B6757A1" w14:textId="2AF80619" w:rsidR="00995037" w:rsidRPr="001F2499" w:rsidRDefault="00995037" w:rsidP="002A2430">
                            <w:pPr>
                              <w:pStyle w:val="AHRCEndnotes"/>
                              <w:numPr>
                                <w:ilvl w:val="0"/>
                                <w:numId w:val="0"/>
                              </w:numPr>
                              <w:ind w:left="720"/>
                              <w:rPr>
                                <w:b/>
                                <w:bCs/>
                                <w:sz w:val="36"/>
                                <w:szCs w:val="36"/>
                              </w:rPr>
                            </w:pPr>
                            <w:bookmarkStart w:id="1" w:name="_Toc87954200"/>
                            <w:bookmarkStart w:id="2" w:name="_Toc53148991"/>
                            <w:bookmarkStart w:id="3" w:name="_Toc15547567"/>
                            <w:r w:rsidRPr="001F2499">
                              <w:rPr>
                                <w:b/>
                                <w:bCs/>
                                <w:sz w:val="36"/>
                                <w:szCs w:val="36"/>
                              </w:rPr>
                              <w:t>[202</w:t>
                            </w:r>
                            <w:r w:rsidR="00DA01D2" w:rsidRPr="001F2499">
                              <w:rPr>
                                <w:b/>
                                <w:bCs/>
                                <w:sz w:val="36"/>
                                <w:szCs w:val="36"/>
                              </w:rPr>
                              <w:t>2</w:t>
                            </w:r>
                            <w:r w:rsidRPr="001F2499">
                              <w:rPr>
                                <w:b/>
                                <w:bCs/>
                                <w:sz w:val="36"/>
                                <w:szCs w:val="36"/>
                              </w:rPr>
                              <w:t xml:space="preserve">] </w:t>
                            </w:r>
                            <w:proofErr w:type="spellStart"/>
                            <w:r w:rsidRPr="001F2499">
                              <w:rPr>
                                <w:rFonts w:cs="Open Sans"/>
                                <w:b/>
                                <w:bCs/>
                                <w:sz w:val="36"/>
                                <w:szCs w:val="36"/>
                              </w:rPr>
                              <w:t>AusHRC</w:t>
                            </w:r>
                            <w:proofErr w:type="spellEnd"/>
                            <w:r w:rsidRPr="001F2499">
                              <w:rPr>
                                <w:b/>
                                <w:bCs/>
                                <w:sz w:val="36"/>
                                <w:szCs w:val="36"/>
                              </w:rPr>
                              <w:t xml:space="preserve"> 143</w:t>
                            </w:r>
                            <w:bookmarkEnd w:id="1"/>
                          </w:p>
                          <w:bookmarkEnd w:id="2"/>
                          <w:bookmarkEnd w:id="3"/>
                          <w:p w14:paraId="1A0CA4A9" w14:textId="69841EB6" w:rsidR="00995037" w:rsidRPr="002A2430" w:rsidRDefault="00995037" w:rsidP="00995037">
                            <w:pPr>
                              <w:pStyle w:val="Subtitle"/>
                              <w:spacing w:before="120"/>
                              <w:rPr>
                                <w:b/>
                                <w:bCs/>
                                <w:color w:val="auto"/>
                                <w:sz w:val="36"/>
                                <w:szCs w:val="36"/>
                              </w:rPr>
                            </w:pPr>
                            <w:r w:rsidRPr="002A2430">
                              <w:rPr>
                                <w:b/>
                                <w:bCs/>
                                <w:color w:val="auto"/>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08E9F" id="Text Box 3" o:spid="_x0000_s1028" type="#_x0000_t202" style="position:absolute;margin-left:191pt;margin-top:58.8pt;width:242.2pt;height:37.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" filled="f" stroked="f" strokeweight=".5pt">
                <v:textbox>
                  <w:txbxContent>
                    <w:p w14:paraId="3B6757A1" w14:textId="2AF80619" w:rsidR="00995037" w:rsidRPr="001F2499" w:rsidRDefault="00995037" w:rsidP="002A2430">
                      <w:pPr>
                        <w:pStyle w:val="AHRCEndnotes"/>
                        <w:numPr>
                          <w:ilvl w:val="0"/>
                          <w:numId w:val="0"/>
                        </w:numPr>
                        <w:ind w:left="720"/>
                        <w:rPr>
                          <w:b/>
                          <w:bCs/>
                          <w:sz w:val="36"/>
                          <w:szCs w:val="36"/>
                        </w:rPr>
                      </w:pPr>
                      <w:bookmarkStart w:id="4" w:name="_Toc87954200"/>
                      <w:bookmarkStart w:id="5" w:name="_Toc53148991"/>
                      <w:bookmarkStart w:id="6" w:name="_Toc15547567"/>
                      <w:r w:rsidRPr="001F2499">
                        <w:rPr>
                          <w:b/>
                          <w:bCs/>
                          <w:sz w:val="36"/>
                          <w:szCs w:val="36"/>
                        </w:rPr>
                        <w:t>[202</w:t>
                      </w:r>
                      <w:r w:rsidR="00DA01D2" w:rsidRPr="001F2499">
                        <w:rPr>
                          <w:b/>
                          <w:bCs/>
                          <w:sz w:val="36"/>
                          <w:szCs w:val="36"/>
                        </w:rPr>
                        <w:t>2</w:t>
                      </w:r>
                      <w:r w:rsidRPr="001F2499">
                        <w:rPr>
                          <w:b/>
                          <w:bCs/>
                          <w:sz w:val="36"/>
                          <w:szCs w:val="36"/>
                        </w:rPr>
                        <w:t xml:space="preserve">] </w:t>
                      </w:r>
                      <w:proofErr w:type="spellStart"/>
                      <w:r w:rsidRPr="001F2499">
                        <w:rPr>
                          <w:rFonts w:cs="Open Sans"/>
                          <w:b/>
                          <w:bCs/>
                          <w:sz w:val="36"/>
                          <w:szCs w:val="36"/>
                        </w:rPr>
                        <w:t>AusHRC</w:t>
                      </w:r>
                      <w:proofErr w:type="spellEnd"/>
                      <w:r w:rsidRPr="001F2499">
                        <w:rPr>
                          <w:b/>
                          <w:bCs/>
                          <w:sz w:val="36"/>
                          <w:szCs w:val="36"/>
                        </w:rPr>
                        <w:t xml:space="preserve"> 143</w:t>
                      </w:r>
                      <w:bookmarkEnd w:id="4"/>
                    </w:p>
                    <w:bookmarkEnd w:id="5"/>
                    <w:bookmarkEnd w:id="6"/>
                    <w:p w14:paraId="1A0CA4A9" w14:textId="69841EB6" w:rsidR="00995037" w:rsidRPr="002A2430" w:rsidRDefault="00995037" w:rsidP="00995037">
                      <w:pPr>
                        <w:pStyle w:val="Subtitle"/>
                        <w:spacing w:before="120"/>
                        <w:rPr>
                          <w:b/>
                          <w:bCs/>
                          <w:color w:val="auto"/>
                          <w:sz w:val="36"/>
                          <w:szCs w:val="36"/>
                        </w:rPr>
                      </w:pPr>
                      <w:r w:rsidRPr="002A2430">
                        <w:rPr>
                          <w:b/>
                          <w:bCs/>
                          <w:color w:val="auto"/>
                          <w:sz w:val="36"/>
                          <w:szCs w:val="36"/>
                        </w:rPr>
                        <w:t xml:space="preserve"> </w:t>
                      </w:r>
                    </w:p>
                  </w:txbxContent>
                </v:textbox>
                <w10:wrap anchorx="margin"/>
              </v:shape>
            </w:pict>
          </mc:Fallback>
        </mc:AlternateContent>
      </w:r>
      <w:r w:rsidR="00995037">
        <w:br w:type="page"/>
      </w:r>
    </w:p>
    <w:p w14:paraId="45E612E6" w14:textId="77777777" w:rsidR="00995037" w:rsidRDefault="00995037" w:rsidP="00995037"/>
    <w:p w14:paraId="266FE729" w14:textId="77777777" w:rsidR="00995037" w:rsidRDefault="00995037" w:rsidP="00995037"/>
    <w:p w14:paraId="2E03CF0F" w14:textId="77777777" w:rsidR="00995037" w:rsidRDefault="00995037" w:rsidP="00995037"/>
    <w:p w14:paraId="632B5102" w14:textId="77777777" w:rsidR="00995037" w:rsidRDefault="00995037" w:rsidP="00995037">
      <w:pPr>
        <w:rPr>
          <w:rFonts w:cs="Open Sans"/>
          <w:b/>
          <w:bCs/>
          <w:sz w:val="36"/>
          <w:szCs w:val="36"/>
        </w:rPr>
      </w:pPr>
      <w:r>
        <w:rPr>
          <w:rFonts w:cs="Open Sans"/>
          <w:b/>
          <w:bCs/>
          <w:sz w:val="36"/>
          <w:szCs w:val="36"/>
        </w:rPr>
        <w:t xml:space="preserve">The detention of refugees following visa refusal or cancellation under section 501 of the </w:t>
      </w:r>
      <w:r w:rsidRPr="00995037">
        <w:rPr>
          <w:rFonts w:cs="Open Sans"/>
          <w:b/>
          <w:bCs/>
          <w:i/>
          <w:iCs/>
          <w:sz w:val="36"/>
          <w:szCs w:val="36"/>
        </w:rPr>
        <w:t xml:space="preserve">Migration Act 1958 </w:t>
      </w:r>
      <w:r>
        <w:rPr>
          <w:rFonts w:cs="Open Sans"/>
          <w:b/>
          <w:bCs/>
          <w:sz w:val="36"/>
          <w:szCs w:val="36"/>
        </w:rPr>
        <w:t>(</w:t>
      </w:r>
      <w:proofErr w:type="spellStart"/>
      <w:r>
        <w:rPr>
          <w:rFonts w:cs="Open Sans"/>
          <w:b/>
          <w:bCs/>
          <w:sz w:val="36"/>
          <w:szCs w:val="36"/>
        </w:rPr>
        <w:t>Cth</w:t>
      </w:r>
      <w:proofErr w:type="spellEnd"/>
      <w:r>
        <w:rPr>
          <w:rFonts w:cs="Open Sans"/>
          <w:b/>
          <w:bCs/>
          <w:sz w:val="36"/>
          <w:szCs w:val="36"/>
        </w:rPr>
        <w:t>)</w:t>
      </w:r>
    </w:p>
    <w:p w14:paraId="0FCF9C69" w14:textId="77777777" w:rsidR="00995037" w:rsidRDefault="00995037" w:rsidP="00995037">
      <w:pPr>
        <w:rPr>
          <w:rFonts w:cs="Open Sans"/>
          <w:b/>
          <w:bCs/>
        </w:rPr>
      </w:pPr>
    </w:p>
    <w:p w14:paraId="2AB02417" w14:textId="0BF4D3B1" w:rsidR="00995037" w:rsidRDefault="00995037" w:rsidP="00995037">
      <w:pPr>
        <w:rPr>
          <w:rFonts w:cs="Open Sans"/>
        </w:rPr>
      </w:pPr>
      <w:r w:rsidRPr="008C7B94">
        <w:rPr>
          <w:rFonts w:cs="Open Sans"/>
          <w:sz w:val="32"/>
          <w:szCs w:val="32"/>
        </w:rPr>
        <w:t>[</w:t>
      </w:r>
      <w:r w:rsidRPr="00990D51">
        <w:rPr>
          <w:rFonts w:cs="Open Sans"/>
          <w:sz w:val="32"/>
          <w:szCs w:val="32"/>
        </w:rPr>
        <w:t>202</w:t>
      </w:r>
      <w:r w:rsidR="007227A8">
        <w:rPr>
          <w:rFonts w:cs="Open Sans"/>
          <w:sz w:val="32"/>
          <w:szCs w:val="32"/>
        </w:rPr>
        <w:t>2</w:t>
      </w:r>
      <w:r w:rsidRPr="00990D51">
        <w:rPr>
          <w:rFonts w:cs="Open Sans"/>
          <w:sz w:val="32"/>
          <w:szCs w:val="32"/>
        </w:rPr>
        <w:t xml:space="preserve">] </w:t>
      </w:r>
      <w:proofErr w:type="spellStart"/>
      <w:r w:rsidRPr="00990D51">
        <w:rPr>
          <w:rFonts w:cs="Open Sans"/>
          <w:sz w:val="32"/>
          <w:szCs w:val="32"/>
        </w:rPr>
        <w:t>AusHRC</w:t>
      </w:r>
      <w:proofErr w:type="spellEnd"/>
      <w:r>
        <w:rPr>
          <w:rFonts w:cs="Open Sans"/>
          <w:sz w:val="32"/>
          <w:szCs w:val="32"/>
        </w:rPr>
        <w:t xml:space="preserve"> </w:t>
      </w:r>
      <w:r w:rsidRPr="00990D51">
        <w:rPr>
          <w:rFonts w:cs="Open Sans"/>
          <w:sz w:val="32"/>
          <w:szCs w:val="32"/>
        </w:rPr>
        <w:t>14</w:t>
      </w:r>
      <w:r>
        <w:rPr>
          <w:rFonts w:cs="Open Sans"/>
          <w:sz w:val="32"/>
          <w:szCs w:val="32"/>
        </w:rPr>
        <w:t>3</w:t>
      </w:r>
      <w:r>
        <w:rPr>
          <w:rFonts w:cs="Open Sans"/>
        </w:rPr>
        <w:t xml:space="preserve"> </w:t>
      </w:r>
    </w:p>
    <w:p w14:paraId="426545D2" w14:textId="77777777" w:rsidR="00995037" w:rsidRDefault="00995037" w:rsidP="00995037">
      <w:pPr>
        <w:rPr>
          <w:rFonts w:cs="Open Sans"/>
        </w:rPr>
      </w:pPr>
    </w:p>
    <w:p w14:paraId="42345D5C" w14:textId="77777777" w:rsidR="00995037" w:rsidRDefault="00995037" w:rsidP="00995037">
      <w:pPr>
        <w:rPr>
          <w:rFonts w:cs="Open Sans"/>
          <w:i/>
          <w:iCs/>
        </w:rPr>
      </w:pPr>
      <w:r>
        <w:rPr>
          <w:rFonts w:cs="Open Sans"/>
          <w:i/>
          <w:iCs/>
        </w:rPr>
        <w:t>Report into arbitrary detention</w:t>
      </w:r>
    </w:p>
    <w:p w14:paraId="6DEE649E" w14:textId="77777777" w:rsidR="00995037" w:rsidRDefault="00995037" w:rsidP="00995037">
      <w:pPr>
        <w:rPr>
          <w:rFonts w:cs="Open Sans"/>
          <w:i/>
          <w:iCs/>
        </w:rPr>
      </w:pPr>
    </w:p>
    <w:p w14:paraId="6D96E533" w14:textId="420A8BD9" w:rsidR="00995037" w:rsidRDefault="00995037" w:rsidP="00995037">
      <w:pPr>
        <w:rPr>
          <w:rFonts w:cs="Open Sans"/>
        </w:rPr>
      </w:pPr>
      <w:r>
        <w:rPr>
          <w:rFonts w:cs="Open Sans"/>
        </w:rPr>
        <w:t>Australian Human Rights Commission 202</w:t>
      </w:r>
      <w:r w:rsidR="00066AAE">
        <w:rPr>
          <w:rFonts w:cs="Open Sans"/>
        </w:rPr>
        <w:t>2</w:t>
      </w:r>
      <w:r>
        <w:rPr>
          <w:rFonts w:cs="Open Sans"/>
        </w:rPr>
        <w:t xml:space="preserve"> </w:t>
      </w:r>
    </w:p>
    <w:p w14:paraId="50E3D3A2" w14:textId="77777777" w:rsidR="00995037" w:rsidRDefault="00995037" w:rsidP="00995037">
      <w:pPr>
        <w:rPr>
          <w:rFonts w:cs="Open Sans"/>
        </w:rPr>
      </w:pPr>
      <w:r>
        <w:rPr>
          <w:rFonts w:cs="Open Sans"/>
        </w:rPr>
        <w:br w:type="page"/>
      </w:r>
    </w:p>
    <w:p w14:paraId="4C888B1A" w14:textId="77777777" w:rsidR="0020420C" w:rsidRDefault="0020420C" w:rsidP="00995037">
      <w:pPr>
        <w:rPr>
          <w:rFonts w:cs="Open Sans"/>
        </w:rPr>
      </w:pPr>
    </w:p>
    <w:p w14:paraId="4F3ABC4D" w14:textId="06642FC0" w:rsidR="00995037" w:rsidRDefault="00995037" w:rsidP="00995037">
      <w:pPr>
        <w:rPr>
          <w:rFonts w:cs="Open Sans"/>
        </w:rPr>
      </w:pPr>
      <w:r>
        <w:rPr>
          <w:rFonts w:cs="Open Sans"/>
        </w:rPr>
        <w:t xml:space="preserve">Senator the Hon. </w:t>
      </w:r>
      <w:proofErr w:type="spellStart"/>
      <w:r>
        <w:rPr>
          <w:rFonts w:cs="Open Sans"/>
        </w:rPr>
        <w:t>Michaelia</w:t>
      </w:r>
      <w:proofErr w:type="spellEnd"/>
      <w:r>
        <w:rPr>
          <w:rFonts w:cs="Open Sans"/>
        </w:rPr>
        <w:t xml:space="preserve"> Cash</w:t>
      </w:r>
      <w:r>
        <w:rPr>
          <w:rFonts w:cs="Open Sans"/>
        </w:rPr>
        <w:br/>
        <w:t>Attorney-General</w:t>
      </w:r>
      <w:r>
        <w:rPr>
          <w:rFonts w:cs="Open Sans"/>
        </w:rPr>
        <w:br/>
        <w:t>Parliament House</w:t>
      </w:r>
      <w:r>
        <w:rPr>
          <w:rFonts w:cs="Open Sans"/>
        </w:rPr>
        <w:br/>
        <w:t xml:space="preserve">Canberra ACT 2600 </w:t>
      </w:r>
    </w:p>
    <w:p w14:paraId="57021065" w14:textId="77777777" w:rsidR="005C4730" w:rsidRDefault="005C4730" w:rsidP="00995037">
      <w:pPr>
        <w:rPr>
          <w:rFonts w:cs="Open Sans"/>
        </w:rPr>
      </w:pPr>
    </w:p>
    <w:p w14:paraId="68A92477" w14:textId="7EEFF7CB" w:rsidR="00995037" w:rsidRDefault="00995037" w:rsidP="00995037">
      <w:pPr>
        <w:rPr>
          <w:rFonts w:cs="Open Sans"/>
        </w:rPr>
      </w:pPr>
      <w:r>
        <w:rPr>
          <w:rFonts w:cs="Open Sans"/>
        </w:rPr>
        <w:br/>
        <w:t>Dear Attorney</w:t>
      </w:r>
    </w:p>
    <w:p w14:paraId="5B919B03" w14:textId="0850C3E7" w:rsidR="005C4730" w:rsidRDefault="00995037" w:rsidP="00995037">
      <w:pPr>
        <w:rPr>
          <w:rFonts w:cs="Open Sans"/>
        </w:rPr>
      </w:pPr>
      <w:r>
        <w:rPr>
          <w:rFonts w:cs="Open Sans"/>
        </w:rPr>
        <w:t xml:space="preserve">I have completed my report </w:t>
      </w:r>
      <w:r w:rsidRPr="0036470D">
        <w:rPr>
          <w:rFonts w:cs="Open Sans"/>
        </w:rPr>
        <w:t xml:space="preserve">pursuant to s 11(1)(f) of the </w:t>
      </w:r>
      <w:r w:rsidRPr="0036470D">
        <w:rPr>
          <w:rFonts w:cs="Open Sans"/>
          <w:i/>
          <w:iCs/>
        </w:rPr>
        <w:t xml:space="preserve">Australian Human Rights Commission Act 1986 </w:t>
      </w:r>
      <w:r w:rsidRPr="0036470D">
        <w:rPr>
          <w:rFonts w:cs="Open Sans"/>
        </w:rPr>
        <w:t>(</w:t>
      </w:r>
      <w:proofErr w:type="spellStart"/>
      <w:r w:rsidRPr="0036470D">
        <w:rPr>
          <w:rFonts w:cs="Open Sans"/>
        </w:rPr>
        <w:t>Cth</w:t>
      </w:r>
      <w:proofErr w:type="spellEnd"/>
      <w:r w:rsidRPr="0036470D">
        <w:rPr>
          <w:rFonts w:cs="Open Sans"/>
        </w:rPr>
        <w:t>) (AHRC Act) into</w:t>
      </w:r>
      <w:r w:rsidR="00810682">
        <w:rPr>
          <w:rFonts w:cs="Open Sans"/>
        </w:rPr>
        <w:t xml:space="preserve"> </w:t>
      </w:r>
      <w:r w:rsidRPr="0036470D">
        <w:rPr>
          <w:rFonts w:cs="Open Sans"/>
        </w:rPr>
        <w:t xml:space="preserve">complaints by </w:t>
      </w:r>
      <w:r w:rsidR="00754FE6">
        <w:rPr>
          <w:rFonts w:cs="Open Sans"/>
        </w:rPr>
        <w:t xml:space="preserve">three refugees, </w:t>
      </w:r>
      <w:r w:rsidR="008D0263" w:rsidRPr="0036470D">
        <w:rPr>
          <w:rFonts w:cs="Open Sans"/>
        </w:rPr>
        <w:t>Mr NS</w:t>
      </w:r>
      <w:r w:rsidR="00FA4BA7" w:rsidRPr="0036470D">
        <w:rPr>
          <w:rFonts w:cs="Open Sans"/>
        </w:rPr>
        <w:t xml:space="preserve">, </w:t>
      </w:r>
      <w:r w:rsidR="004D4159">
        <w:rPr>
          <w:rFonts w:cs="Open Sans"/>
        </w:rPr>
        <w:t xml:space="preserve">Mr </w:t>
      </w:r>
      <w:r w:rsidR="00FA4BA7" w:rsidRPr="0036470D">
        <w:rPr>
          <w:rFonts w:cs="Open Sans"/>
        </w:rPr>
        <w:t xml:space="preserve">NT and </w:t>
      </w:r>
      <w:r w:rsidR="004D4159">
        <w:rPr>
          <w:rFonts w:cs="Open Sans"/>
        </w:rPr>
        <w:t xml:space="preserve">Mr </w:t>
      </w:r>
      <w:r w:rsidR="00FA4BA7" w:rsidRPr="0036470D">
        <w:rPr>
          <w:rFonts w:cs="Open Sans"/>
        </w:rPr>
        <w:t>NU,</w:t>
      </w:r>
      <w:r w:rsidR="00810682">
        <w:rPr>
          <w:rFonts w:cs="Open Sans"/>
        </w:rPr>
        <w:t xml:space="preserve"> alleging</w:t>
      </w:r>
      <w:r w:rsidR="00335A5E">
        <w:rPr>
          <w:rFonts w:cs="Open Sans"/>
        </w:rPr>
        <w:t xml:space="preserve"> </w:t>
      </w:r>
      <w:r w:rsidRPr="0036470D">
        <w:rPr>
          <w:rFonts w:cs="Open Sans"/>
        </w:rPr>
        <w:t>a breach of their human rights</w:t>
      </w:r>
      <w:r>
        <w:rPr>
          <w:rFonts w:cs="Open Sans"/>
        </w:rPr>
        <w:t xml:space="preserve"> by the Department of Home Affairs (Department).</w:t>
      </w:r>
      <w:r w:rsidR="00AF1CEB" w:rsidRPr="00AF1CEB">
        <w:rPr>
          <w:rFonts w:cs="Open Sans"/>
        </w:rPr>
        <w:t xml:space="preserve"> </w:t>
      </w:r>
    </w:p>
    <w:p w14:paraId="6CC9AD1D" w14:textId="562A3A16" w:rsidR="00995037" w:rsidRDefault="00995037" w:rsidP="00995037">
      <w:pPr>
        <w:rPr>
          <w:rFonts w:cs="Open Sans"/>
        </w:rPr>
      </w:pPr>
      <w:r>
        <w:rPr>
          <w:rFonts w:cs="Open Sans"/>
        </w:rPr>
        <w:t xml:space="preserve">This is a thematic inquiry based on these three complaints into the detention of refugees who have had their visas cancelled or refused on character grounds under s 501 of the </w:t>
      </w:r>
      <w:r>
        <w:rPr>
          <w:rFonts w:cs="Open Sans"/>
          <w:i/>
          <w:iCs/>
        </w:rPr>
        <w:t xml:space="preserve">Migration Act 1958 </w:t>
      </w:r>
      <w:r>
        <w:rPr>
          <w:rFonts w:cs="Open Sans"/>
        </w:rPr>
        <w:t>(</w:t>
      </w:r>
      <w:proofErr w:type="spellStart"/>
      <w:r>
        <w:rPr>
          <w:rFonts w:cs="Open Sans"/>
        </w:rPr>
        <w:t>Cth</w:t>
      </w:r>
      <w:proofErr w:type="spellEnd"/>
      <w:r>
        <w:rPr>
          <w:rFonts w:cs="Open Sans"/>
        </w:rPr>
        <w:t>)</w:t>
      </w:r>
      <w:r w:rsidR="00FA4BA7">
        <w:rPr>
          <w:rFonts w:cs="Open Sans"/>
        </w:rPr>
        <w:t xml:space="preserve"> (Migration Act). </w:t>
      </w:r>
    </w:p>
    <w:p w14:paraId="10031618" w14:textId="153E11FD" w:rsidR="00995037" w:rsidRPr="00BE57B8" w:rsidRDefault="00995037" w:rsidP="00995037">
      <w:pPr>
        <w:rPr>
          <w:rFonts w:cs="Open Sans"/>
        </w:rPr>
      </w:pPr>
      <w:r>
        <w:rPr>
          <w:rFonts w:cs="Open Sans"/>
        </w:rPr>
        <w:t xml:space="preserve">As a result of this inquiry, I have </w:t>
      </w:r>
      <w:r w:rsidR="00FA4BA7">
        <w:rPr>
          <w:rFonts w:cs="Open Sans"/>
        </w:rPr>
        <w:t>found</w:t>
      </w:r>
      <w:r>
        <w:rPr>
          <w:rFonts w:cs="Open Sans"/>
        </w:rPr>
        <w:t xml:space="preserve"> that the failure or delay of the Department to refer the </w:t>
      </w:r>
      <w:r w:rsidR="00DA4C74">
        <w:rPr>
          <w:rFonts w:cs="Open Sans"/>
        </w:rPr>
        <w:t>complainants</w:t>
      </w:r>
      <w:r w:rsidR="009C0A9F">
        <w:rPr>
          <w:rFonts w:cs="Open Sans"/>
        </w:rPr>
        <w:t>’</w:t>
      </w:r>
      <w:r>
        <w:rPr>
          <w:rFonts w:cs="Open Sans"/>
        </w:rPr>
        <w:t xml:space="preserve"> cases to the Minister for consideration of alternative options to closed detention, and decisions of the then Minister not to consider these alternative options, h</w:t>
      </w:r>
      <w:r w:rsidR="00754FE6">
        <w:rPr>
          <w:rFonts w:cs="Open Sans"/>
        </w:rPr>
        <w:t>ave</w:t>
      </w:r>
      <w:r>
        <w:rPr>
          <w:rFonts w:cs="Open Sans"/>
        </w:rPr>
        <w:t xml:space="preserve"> resulted in </w:t>
      </w:r>
      <w:r w:rsidR="002627C8">
        <w:rPr>
          <w:rFonts w:cs="Open Sans"/>
        </w:rPr>
        <w:t xml:space="preserve">the detention of </w:t>
      </w:r>
      <w:r>
        <w:rPr>
          <w:rFonts w:cs="Open Sans"/>
        </w:rPr>
        <w:t xml:space="preserve">each of the complainants becoming arbitrary in contravention of article 9 of the </w:t>
      </w:r>
      <w:r w:rsidRPr="00FA4BA7">
        <w:rPr>
          <w:rFonts w:cs="Open Sans"/>
          <w:i/>
          <w:iCs/>
        </w:rPr>
        <w:t>International Covenant on Civil and Political Rights.</w:t>
      </w:r>
      <w:r w:rsidR="00937852">
        <w:rPr>
          <w:rFonts w:cs="Open Sans"/>
          <w:i/>
          <w:iCs/>
        </w:rPr>
        <w:t xml:space="preserve"> </w:t>
      </w:r>
      <w:r>
        <w:rPr>
          <w:rFonts w:cs="Open Sans"/>
        </w:rPr>
        <w:t xml:space="preserve">Further, I am concerned about the high risk </w:t>
      </w:r>
      <w:r w:rsidR="003E6898">
        <w:rPr>
          <w:rFonts w:cs="Open Sans"/>
        </w:rPr>
        <w:t>that</w:t>
      </w:r>
      <w:r>
        <w:rPr>
          <w:rFonts w:cs="Open Sans"/>
        </w:rPr>
        <w:t xml:space="preserve"> two of the </w:t>
      </w:r>
      <w:r w:rsidRPr="00BE57B8">
        <w:rPr>
          <w:rFonts w:cs="Open Sans"/>
        </w:rPr>
        <w:t>complainants</w:t>
      </w:r>
      <w:r w:rsidR="00754FE6">
        <w:rPr>
          <w:rFonts w:cs="Open Sans"/>
        </w:rPr>
        <w:t>, Mr NT and Mr NU,</w:t>
      </w:r>
      <w:r w:rsidR="003E6898" w:rsidRPr="00BE57B8">
        <w:rPr>
          <w:rFonts w:cs="Open Sans"/>
        </w:rPr>
        <w:t xml:space="preserve"> will be effectively detained indefinitely.  </w:t>
      </w:r>
    </w:p>
    <w:p w14:paraId="769BF728" w14:textId="713400D8" w:rsidR="00043BCB" w:rsidRPr="00BE57B8" w:rsidRDefault="00995037" w:rsidP="00995037">
      <w:pPr>
        <w:rPr>
          <w:rFonts w:cs="Open Sans"/>
        </w:rPr>
      </w:pPr>
      <w:r w:rsidRPr="00BE57B8">
        <w:rPr>
          <w:rFonts w:cs="Open Sans"/>
        </w:rPr>
        <w:t xml:space="preserve">Pursuant to s 29(2)(b) of the AHRC Act, I have included </w:t>
      </w:r>
      <w:r w:rsidR="0054572C">
        <w:rPr>
          <w:rFonts w:cs="Open Sans"/>
        </w:rPr>
        <w:t xml:space="preserve">a </w:t>
      </w:r>
      <w:r w:rsidRPr="00BE57B8">
        <w:rPr>
          <w:rFonts w:cs="Open Sans"/>
        </w:rPr>
        <w:t xml:space="preserve">recommendation in the report </w:t>
      </w:r>
      <w:r w:rsidR="0054572C">
        <w:rPr>
          <w:rFonts w:cs="Open Sans"/>
        </w:rPr>
        <w:t>regarding Mr NT and Mr NU</w:t>
      </w:r>
      <w:r w:rsidRPr="00BE57B8">
        <w:rPr>
          <w:rFonts w:cs="Open Sans"/>
        </w:rPr>
        <w:t xml:space="preserve">. </w:t>
      </w:r>
      <w:r w:rsidR="0054572C">
        <w:rPr>
          <w:rFonts w:cs="Open Sans"/>
        </w:rPr>
        <w:t xml:space="preserve">This recommendation is that: </w:t>
      </w:r>
      <w:r w:rsidRPr="00BE57B8">
        <w:rPr>
          <w:rFonts w:cs="Open Sans"/>
        </w:rPr>
        <w:t xml:space="preserve"> </w:t>
      </w:r>
    </w:p>
    <w:p w14:paraId="1A1C0DCE" w14:textId="5E0AAEA1" w:rsidR="002A3EE9" w:rsidRPr="00BE57B8" w:rsidRDefault="002A3EE9" w:rsidP="002A3EE9">
      <w:pPr>
        <w:pStyle w:val="ListParagraph"/>
        <w:numPr>
          <w:ilvl w:val="0"/>
          <w:numId w:val="25"/>
        </w:numPr>
        <w:contextualSpacing/>
        <w:rPr>
          <w:rFonts w:cs="Open Sans"/>
          <w:sz w:val="22"/>
          <w:szCs w:val="22"/>
        </w:rPr>
      </w:pPr>
      <w:r w:rsidRPr="00BE57B8">
        <w:rPr>
          <w:rFonts w:cs="Open Sans"/>
          <w:sz w:val="22"/>
          <w:szCs w:val="22"/>
        </w:rPr>
        <w:t xml:space="preserve">The relevant Home Affairs portfolio Minister indicate to the Department that they will consider a further submission about the exercise of their powers under s 195A and/or s 197AB in relation to Mr </w:t>
      </w:r>
      <w:r w:rsidR="00BE57B8" w:rsidRPr="00BE57B8">
        <w:rPr>
          <w:rFonts w:cs="Open Sans"/>
          <w:sz w:val="22"/>
          <w:szCs w:val="22"/>
        </w:rPr>
        <w:t xml:space="preserve">NT </w:t>
      </w:r>
      <w:r w:rsidRPr="00BE57B8">
        <w:rPr>
          <w:rFonts w:cs="Open Sans"/>
          <w:sz w:val="22"/>
          <w:szCs w:val="22"/>
        </w:rPr>
        <w:t xml:space="preserve">and Mr </w:t>
      </w:r>
      <w:r w:rsidR="00BE57B8" w:rsidRPr="00BE57B8">
        <w:rPr>
          <w:rFonts w:cs="Open Sans"/>
          <w:sz w:val="22"/>
          <w:szCs w:val="22"/>
        </w:rPr>
        <w:t>NU</w:t>
      </w:r>
      <w:r w:rsidRPr="00BE57B8">
        <w:rPr>
          <w:rFonts w:cs="Open Sans"/>
          <w:sz w:val="22"/>
          <w:szCs w:val="22"/>
        </w:rPr>
        <w:t>.</w:t>
      </w:r>
    </w:p>
    <w:p w14:paraId="2D8AA492" w14:textId="77777777" w:rsidR="002A3EE9" w:rsidRPr="00BE57B8" w:rsidRDefault="002A3EE9" w:rsidP="002A3EE9">
      <w:pPr>
        <w:pStyle w:val="ListParagraph"/>
        <w:ind w:left="1222"/>
        <w:contextualSpacing/>
        <w:rPr>
          <w:rFonts w:cs="Open Sans"/>
          <w:sz w:val="22"/>
          <w:szCs w:val="22"/>
        </w:rPr>
      </w:pPr>
    </w:p>
    <w:p w14:paraId="414A4BFC" w14:textId="212E074C" w:rsidR="002A3EE9" w:rsidRPr="00BE57B8" w:rsidRDefault="002A3EE9" w:rsidP="002A3EE9">
      <w:pPr>
        <w:pStyle w:val="ListParagraph"/>
        <w:numPr>
          <w:ilvl w:val="0"/>
          <w:numId w:val="25"/>
        </w:numPr>
        <w:contextualSpacing/>
        <w:rPr>
          <w:rFonts w:cs="Open Sans"/>
          <w:sz w:val="22"/>
          <w:szCs w:val="22"/>
        </w:rPr>
      </w:pPr>
      <w:r w:rsidRPr="00BE57B8">
        <w:rPr>
          <w:rFonts w:cs="Open Sans"/>
          <w:sz w:val="22"/>
          <w:szCs w:val="22"/>
        </w:rPr>
        <w:t xml:space="preserve">In the event that the Minister is concerned that Mr </w:t>
      </w:r>
      <w:r w:rsidR="00BE57B8" w:rsidRPr="00BE57B8">
        <w:rPr>
          <w:rFonts w:cs="Open Sans"/>
          <w:sz w:val="22"/>
          <w:szCs w:val="22"/>
        </w:rPr>
        <w:t>NT</w:t>
      </w:r>
      <w:r w:rsidRPr="00BE57B8">
        <w:rPr>
          <w:rFonts w:cs="Open Sans"/>
          <w:sz w:val="22"/>
          <w:szCs w:val="22"/>
        </w:rPr>
        <w:t xml:space="preserve"> or Mr </w:t>
      </w:r>
      <w:r w:rsidR="00BE57B8" w:rsidRPr="00BE57B8">
        <w:rPr>
          <w:rFonts w:cs="Open Sans"/>
          <w:sz w:val="22"/>
          <w:szCs w:val="22"/>
        </w:rPr>
        <w:t>NU</w:t>
      </w:r>
      <w:r w:rsidRPr="00BE57B8">
        <w:rPr>
          <w:rFonts w:cs="Open Sans"/>
          <w:sz w:val="22"/>
          <w:szCs w:val="22"/>
        </w:rPr>
        <w:t xml:space="preserve"> may pose some risk if allowed to reside in the community (such as a risk of re-offending or to public safety), they direct the Department to prepare a detailed submission, including the following:</w:t>
      </w:r>
    </w:p>
    <w:p w14:paraId="5A51EC92" w14:textId="77777777" w:rsidR="002A3EE9" w:rsidRPr="00BE57B8" w:rsidRDefault="002A3EE9" w:rsidP="002A3EE9">
      <w:pPr>
        <w:numPr>
          <w:ilvl w:val="0"/>
          <w:numId w:val="26"/>
        </w:numPr>
        <w:tabs>
          <w:tab w:val="num" w:pos="2160"/>
        </w:tabs>
        <w:rPr>
          <w:rFonts w:cs="Open Sans"/>
          <w:sz w:val="22"/>
          <w:szCs w:val="22"/>
        </w:rPr>
      </w:pPr>
      <w:r w:rsidRPr="00BE57B8">
        <w:rPr>
          <w:rFonts w:cs="Open Sans"/>
          <w:sz w:val="22"/>
          <w:szCs w:val="22"/>
        </w:rPr>
        <w:t>a personalised assessment of the existence and/or extent of any such risk, including a detailed description of the nature of the risk and of the evidence and reasons leading to the assessment</w:t>
      </w:r>
    </w:p>
    <w:p w14:paraId="13ED77B5" w14:textId="2DB292F5" w:rsidR="002A3EE9" w:rsidRPr="00BE57B8" w:rsidRDefault="002A3EE9" w:rsidP="002A3EE9">
      <w:pPr>
        <w:numPr>
          <w:ilvl w:val="0"/>
          <w:numId w:val="26"/>
        </w:numPr>
        <w:tabs>
          <w:tab w:val="num" w:pos="2160"/>
        </w:tabs>
        <w:rPr>
          <w:rFonts w:cs="Open Sans"/>
          <w:sz w:val="22"/>
          <w:szCs w:val="22"/>
        </w:rPr>
      </w:pPr>
      <w:r w:rsidRPr="00BE57B8">
        <w:rPr>
          <w:rFonts w:cs="Open Sans"/>
          <w:sz w:val="22"/>
          <w:szCs w:val="22"/>
        </w:rPr>
        <w:lastRenderedPageBreak/>
        <w:t xml:space="preserve">a description of what measures might be implemented to ameliorate any risk in the event Mr </w:t>
      </w:r>
      <w:r w:rsidR="00BE57B8" w:rsidRPr="00BE57B8">
        <w:rPr>
          <w:rFonts w:cs="Open Sans"/>
          <w:sz w:val="22"/>
          <w:szCs w:val="22"/>
        </w:rPr>
        <w:t>NT</w:t>
      </w:r>
      <w:r w:rsidRPr="00BE57B8">
        <w:rPr>
          <w:rFonts w:cs="Open Sans"/>
          <w:sz w:val="22"/>
          <w:szCs w:val="22"/>
        </w:rPr>
        <w:t xml:space="preserve"> or Mr </w:t>
      </w:r>
      <w:r w:rsidR="00BE57B8" w:rsidRPr="00BE57B8">
        <w:rPr>
          <w:rFonts w:cs="Open Sans"/>
          <w:sz w:val="22"/>
          <w:szCs w:val="22"/>
        </w:rPr>
        <w:t>NU</w:t>
      </w:r>
      <w:r w:rsidRPr="00BE57B8">
        <w:rPr>
          <w:rFonts w:cs="Open Sans"/>
          <w:sz w:val="22"/>
          <w:szCs w:val="22"/>
        </w:rPr>
        <w:t xml:space="preserve"> were allowed to reside in the community</w:t>
      </w:r>
    </w:p>
    <w:p w14:paraId="181605FE" w14:textId="77777777" w:rsidR="002A3EE9" w:rsidRPr="00BE57B8" w:rsidRDefault="002A3EE9" w:rsidP="002A3EE9">
      <w:pPr>
        <w:numPr>
          <w:ilvl w:val="0"/>
          <w:numId w:val="26"/>
        </w:numPr>
        <w:tabs>
          <w:tab w:val="num" w:pos="2160"/>
        </w:tabs>
        <w:rPr>
          <w:rFonts w:cs="Open Sans"/>
          <w:sz w:val="22"/>
          <w:szCs w:val="22"/>
        </w:rPr>
      </w:pPr>
      <w:r w:rsidRPr="00BE57B8">
        <w:rPr>
          <w:rFonts w:cs="Open Sans"/>
          <w:sz w:val="22"/>
          <w:szCs w:val="22"/>
        </w:rPr>
        <w:t>an assessment of whether any risk, if present, could be satisfactorily addressed by the identified measures.</w:t>
      </w:r>
    </w:p>
    <w:p w14:paraId="6A6AC839" w14:textId="393ED1CB" w:rsidR="002A3EE9" w:rsidRPr="00BE57B8" w:rsidRDefault="002A3EE9" w:rsidP="002A3EE9">
      <w:pPr>
        <w:pStyle w:val="ListParagraph"/>
        <w:numPr>
          <w:ilvl w:val="0"/>
          <w:numId w:val="25"/>
        </w:numPr>
        <w:contextualSpacing/>
        <w:rPr>
          <w:rFonts w:cs="Open Sans"/>
          <w:sz w:val="22"/>
          <w:szCs w:val="22"/>
        </w:rPr>
      </w:pPr>
      <w:r w:rsidRPr="00BE57B8">
        <w:rPr>
          <w:rFonts w:cs="Open Sans"/>
          <w:sz w:val="22"/>
          <w:szCs w:val="22"/>
        </w:rPr>
        <w:t xml:space="preserve">The Department prepare a fresh submission to the relevant Home Affairs portfolio Minister about the exercise of their discretionary powers in relation to Mr </w:t>
      </w:r>
      <w:r w:rsidR="00BE57B8" w:rsidRPr="00BE57B8">
        <w:rPr>
          <w:rFonts w:cs="Open Sans"/>
          <w:sz w:val="22"/>
          <w:szCs w:val="22"/>
        </w:rPr>
        <w:t>NT</w:t>
      </w:r>
      <w:r w:rsidRPr="00BE57B8">
        <w:rPr>
          <w:rFonts w:cs="Open Sans"/>
          <w:sz w:val="22"/>
          <w:szCs w:val="22"/>
        </w:rPr>
        <w:t xml:space="preserve"> and Mr </w:t>
      </w:r>
      <w:r w:rsidR="00BE57B8" w:rsidRPr="00BE57B8">
        <w:rPr>
          <w:rFonts w:cs="Open Sans"/>
          <w:sz w:val="22"/>
          <w:szCs w:val="22"/>
        </w:rPr>
        <w:t>NU</w:t>
      </w:r>
      <w:r w:rsidRPr="00BE57B8">
        <w:rPr>
          <w:rFonts w:cs="Open Sans"/>
          <w:sz w:val="22"/>
          <w:szCs w:val="22"/>
        </w:rPr>
        <w:t>, including (if relevant) any matters referred to in the paragraph above.</w:t>
      </w:r>
      <w:r w:rsidRPr="00BE57B8">
        <w:rPr>
          <w:rFonts w:cs="Open Sans"/>
          <w:sz w:val="22"/>
          <w:szCs w:val="22"/>
        </w:rPr>
        <w:br/>
      </w:r>
    </w:p>
    <w:p w14:paraId="1D99415C" w14:textId="55217C3A" w:rsidR="00995037" w:rsidRPr="002A3EE9" w:rsidRDefault="002A3EE9" w:rsidP="00995037">
      <w:pPr>
        <w:pStyle w:val="ListParagraph"/>
        <w:numPr>
          <w:ilvl w:val="0"/>
          <w:numId w:val="25"/>
        </w:numPr>
        <w:contextualSpacing/>
        <w:rPr>
          <w:rFonts w:cs="Open Sans"/>
          <w:sz w:val="22"/>
          <w:szCs w:val="22"/>
        </w:rPr>
      </w:pPr>
      <w:r w:rsidRPr="00BE57B8">
        <w:rPr>
          <w:rFonts w:cs="Open Sans"/>
          <w:sz w:val="22"/>
          <w:szCs w:val="22"/>
        </w:rPr>
        <w:t>The relevant Home Affairs portfolio Minister</w:t>
      </w:r>
      <w:r w:rsidRPr="00451B90">
        <w:rPr>
          <w:rFonts w:cs="Open Sans"/>
          <w:sz w:val="22"/>
          <w:szCs w:val="22"/>
        </w:rPr>
        <w:t xml:space="preserve"> consider the exercise of </w:t>
      </w:r>
      <w:r>
        <w:rPr>
          <w:rFonts w:cs="Open Sans"/>
          <w:sz w:val="22"/>
          <w:szCs w:val="22"/>
        </w:rPr>
        <w:t xml:space="preserve">their </w:t>
      </w:r>
      <w:r w:rsidRPr="00451B90">
        <w:rPr>
          <w:rFonts w:cs="Open Sans"/>
          <w:sz w:val="22"/>
          <w:szCs w:val="22"/>
        </w:rPr>
        <w:t>discretionary powers in light of the fresh Departmental submission.</w:t>
      </w:r>
    </w:p>
    <w:p w14:paraId="42D5263F" w14:textId="5AA570DF" w:rsidR="00995037" w:rsidRDefault="00995037" w:rsidP="00995037">
      <w:pPr>
        <w:rPr>
          <w:rFonts w:cs="Open Sans"/>
        </w:rPr>
      </w:pPr>
      <w:r w:rsidRPr="00467349">
        <w:rPr>
          <w:rFonts w:cs="Open Sans"/>
        </w:rPr>
        <w:t xml:space="preserve">On </w:t>
      </w:r>
      <w:r w:rsidR="00134F94" w:rsidRPr="00467349">
        <w:rPr>
          <w:rFonts w:cs="Open Sans"/>
        </w:rPr>
        <w:t>12 August</w:t>
      </w:r>
      <w:r w:rsidRPr="00467349">
        <w:rPr>
          <w:rFonts w:cs="Open Sans"/>
        </w:rPr>
        <w:t xml:space="preserve"> 2021, I provided the Department with a notice issued under s 29(2) of the AHRC Act setting out my findings and recommendations on this matter. The Department provided its response to my findings and recommendations on </w:t>
      </w:r>
      <w:r w:rsidR="00467349" w:rsidRPr="00467349">
        <w:rPr>
          <w:rFonts w:cs="Open Sans"/>
        </w:rPr>
        <w:t>14 October</w:t>
      </w:r>
      <w:r w:rsidRPr="00467349">
        <w:rPr>
          <w:rFonts w:cs="Open Sans"/>
        </w:rPr>
        <w:t xml:space="preserve"> 2021. That response can be found in Part </w:t>
      </w:r>
      <w:r w:rsidR="00467349" w:rsidRPr="00467349">
        <w:rPr>
          <w:rFonts w:cs="Open Sans"/>
        </w:rPr>
        <w:t>9</w:t>
      </w:r>
      <w:r w:rsidRPr="00467349">
        <w:rPr>
          <w:rFonts w:cs="Open Sans"/>
        </w:rPr>
        <w:t xml:space="preserve"> of this Report.</w:t>
      </w:r>
      <w:r>
        <w:rPr>
          <w:rFonts w:cs="Open Sans"/>
        </w:rPr>
        <w:t xml:space="preserve"> </w:t>
      </w:r>
    </w:p>
    <w:p w14:paraId="06290B3E" w14:textId="77777777" w:rsidR="00995037" w:rsidRDefault="00995037" w:rsidP="00995037">
      <w:pPr>
        <w:rPr>
          <w:rFonts w:cs="Open Sans"/>
        </w:rPr>
      </w:pPr>
      <w:r>
        <w:rPr>
          <w:rFonts w:cs="Open Sans"/>
        </w:rPr>
        <w:t>I enclose a copy of my report.</w:t>
      </w:r>
    </w:p>
    <w:p w14:paraId="6FA10085" w14:textId="77777777" w:rsidR="00995037" w:rsidRDefault="00995037" w:rsidP="00995037">
      <w:pPr>
        <w:rPr>
          <w:rFonts w:cs="Open Sans"/>
        </w:rPr>
      </w:pPr>
      <w:r>
        <w:rPr>
          <w:rFonts w:cs="Open Sans"/>
        </w:rPr>
        <w:t>Yours sincerely,</w:t>
      </w:r>
    </w:p>
    <w:p w14:paraId="0E9DD499" w14:textId="397F5659" w:rsidR="00995037" w:rsidRDefault="00995037" w:rsidP="00995037">
      <w:pPr>
        <w:rPr>
          <w:rFonts w:cs="Open Sans"/>
        </w:rPr>
      </w:pPr>
    </w:p>
    <w:p w14:paraId="57F1A2CF" w14:textId="77777777" w:rsidR="00995037" w:rsidRDefault="00995037" w:rsidP="00995037">
      <w:pPr>
        <w:rPr>
          <w:rFonts w:cs="Open Sans"/>
          <w:b/>
          <w:bCs/>
        </w:rPr>
      </w:pPr>
      <w:r>
        <w:rPr>
          <w:rFonts w:cs="Open Sans"/>
        </w:rPr>
        <w:t>Emeritus Professor Rosalind Croucher AM</w:t>
      </w:r>
      <w:r>
        <w:rPr>
          <w:rFonts w:cs="Open Sans"/>
        </w:rPr>
        <w:br/>
      </w:r>
      <w:r>
        <w:rPr>
          <w:rFonts w:cs="Open Sans"/>
          <w:b/>
          <w:bCs/>
        </w:rPr>
        <w:t xml:space="preserve">President </w:t>
      </w:r>
    </w:p>
    <w:p w14:paraId="6BFFC600" w14:textId="099071CE" w:rsidR="00995037" w:rsidRDefault="00995037" w:rsidP="00995037">
      <w:pPr>
        <w:rPr>
          <w:rFonts w:cs="Open Sans"/>
        </w:rPr>
      </w:pPr>
      <w:r>
        <w:rPr>
          <w:rFonts w:cs="Open Sans"/>
        </w:rPr>
        <w:t>Australian Human Rights Commission</w:t>
      </w:r>
      <w:r>
        <w:rPr>
          <w:rFonts w:cs="Open Sans"/>
        </w:rPr>
        <w:br/>
      </w:r>
      <w:r w:rsidR="00A8411A">
        <w:rPr>
          <w:rFonts w:cs="Open Sans"/>
        </w:rPr>
        <w:t>March</w:t>
      </w:r>
      <w:r w:rsidRPr="00370F1D">
        <w:rPr>
          <w:rFonts w:cs="Open Sans"/>
        </w:rPr>
        <w:t xml:space="preserve"> 202</w:t>
      </w:r>
      <w:r w:rsidR="00B13EF7" w:rsidRPr="00370F1D">
        <w:rPr>
          <w:rFonts w:cs="Open Sans"/>
        </w:rPr>
        <w:t>2</w:t>
      </w:r>
      <w:r>
        <w:rPr>
          <w:rFonts w:cs="Open Sans"/>
        </w:rPr>
        <w:t xml:space="preserve"> </w:t>
      </w:r>
    </w:p>
    <w:p w14:paraId="4E5BCFEE" w14:textId="77777777" w:rsidR="00995037" w:rsidRPr="00673B8B" w:rsidRDefault="00995037" w:rsidP="00995037">
      <w:pPr>
        <w:spacing w:after="60"/>
        <w:rPr>
          <w:rFonts w:cs="Open Sans"/>
        </w:rPr>
      </w:pPr>
    </w:p>
    <w:p w14:paraId="3344C6E3" w14:textId="77777777" w:rsidR="00995037" w:rsidRDefault="00995037" w:rsidP="00995037"/>
    <w:p w14:paraId="708EBBBE" w14:textId="77777777" w:rsidR="00995037" w:rsidRDefault="00995037" w:rsidP="00995037">
      <w:pPr>
        <w:rPr>
          <w:rFonts w:cs="Open Sans"/>
        </w:rPr>
      </w:pPr>
    </w:p>
    <w:p w14:paraId="2EC55A97" w14:textId="77777777" w:rsidR="00995037" w:rsidRDefault="00995037" w:rsidP="00995037">
      <w:pPr>
        <w:rPr>
          <w:rFonts w:cs="Open Sans"/>
        </w:rPr>
      </w:pPr>
      <w:r>
        <w:rPr>
          <w:rFonts w:cs="Open Sans"/>
        </w:rPr>
        <w:br w:type="page"/>
      </w:r>
    </w:p>
    <w:p w14:paraId="74D30A0F" w14:textId="77777777" w:rsidR="00995037" w:rsidRDefault="00995037" w:rsidP="00995037">
      <w:pPr>
        <w:pStyle w:val="TOC1"/>
        <w:ind w:left="0" w:firstLine="0"/>
      </w:pPr>
    </w:p>
    <w:sdt>
      <w:sdtPr>
        <w:rPr>
          <w:b w:val="0"/>
          <w:lang w:val="en-AU" w:eastAsia="en-AU"/>
        </w:rPr>
        <w:id w:val="-1521613001"/>
        <w:docPartObj>
          <w:docPartGallery w:val="Table of Contents"/>
          <w:docPartUnique/>
        </w:docPartObj>
      </w:sdtPr>
      <w:sdtEndPr>
        <w:rPr>
          <w:bCs/>
          <w:noProof/>
        </w:rPr>
      </w:sdtEndPr>
      <w:sdtContent>
        <w:p w14:paraId="045674FD" w14:textId="60B31E8B" w:rsidR="002A2430" w:rsidRDefault="002A2430">
          <w:pPr>
            <w:pStyle w:val="TOCHeading"/>
          </w:pPr>
          <w:r>
            <w:t>Contents</w:t>
          </w:r>
        </w:p>
        <w:p w14:paraId="4E829F22" w14:textId="1D9992C0" w:rsidR="00121B7C" w:rsidRDefault="002A2430">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87965771" w:history="1">
            <w:r w:rsidR="00121B7C" w:rsidRPr="004571F9">
              <w:rPr>
                <w:rStyle w:val="Hyperlink"/>
                <w:rFonts w:cs="Open Sans"/>
              </w:rPr>
              <w:t>1</w:t>
            </w:r>
            <w:r w:rsidR="00121B7C">
              <w:rPr>
                <w:rFonts w:asciiTheme="minorHAnsi" w:eastAsiaTheme="minorEastAsia" w:hAnsiTheme="minorHAnsi" w:cstheme="minorBidi"/>
                <w:b w:val="0"/>
                <w:sz w:val="22"/>
                <w:szCs w:val="22"/>
              </w:rPr>
              <w:tab/>
            </w:r>
            <w:r w:rsidR="00121B7C" w:rsidRPr="004571F9">
              <w:rPr>
                <w:rStyle w:val="Hyperlink"/>
                <w:rFonts w:cs="Open Sans"/>
              </w:rPr>
              <w:t>Introduction to this inquiry</w:t>
            </w:r>
            <w:r w:rsidR="00121B7C">
              <w:rPr>
                <w:webHidden/>
              </w:rPr>
              <w:tab/>
            </w:r>
            <w:r w:rsidR="00121B7C">
              <w:rPr>
                <w:webHidden/>
              </w:rPr>
              <w:fldChar w:fldCharType="begin"/>
            </w:r>
            <w:r w:rsidR="00121B7C">
              <w:rPr>
                <w:webHidden/>
              </w:rPr>
              <w:instrText xml:space="preserve"> PAGEREF _Toc87965771 \h </w:instrText>
            </w:r>
            <w:r w:rsidR="00121B7C">
              <w:rPr>
                <w:webHidden/>
              </w:rPr>
            </w:r>
            <w:r w:rsidR="00121B7C">
              <w:rPr>
                <w:webHidden/>
              </w:rPr>
              <w:fldChar w:fldCharType="separate"/>
            </w:r>
            <w:r w:rsidR="00EF4F68">
              <w:rPr>
                <w:webHidden/>
              </w:rPr>
              <w:t>7</w:t>
            </w:r>
            <w:r w:rsidR="00121B7C">
              <w:rPr>
                <w:webHidden/>
              </w:rPr>
              <w:fldChar w:fldCharType="end"/>
            </w:r>
          </w:hyperlink>
        </w:p>
        <w:p w14:paraId="041FB02D" w14:textId="2668CC9F" w:rsidR="00121B7C" w:rsidRDefault="00FC2821">
          <w:pPr>
            <w:pStyle w:val="TOC1"/>
            <w:rPr>
              <w:rFonts w:asciiTheme="minorHAnsi" w:eastAsiaTheme="minorEastAsia" w:hAnsiTheme="minorHAnsi" w:cstheme="minorBidi"/>
              <w:b w:val="0"/>
              <w:sz w:val="22"/>
              <w:szCs w:val="22"/>
            </w:rPr>
          </w:pPr>
          <w:hyperlink w:anchor="_Toc87965772" w:history="1">
            <w:r w:rsidR="00121B7C" w:rsidRPr="004571F9">
              <w:rPr>
                <w:rStyle w:val="Hyperlink"/>
                <w:rFonts w:cs="Open Sans"/>
              </w:rPr>
              <w:t>2</w:t>
            </w:r>
            <w:r w:rsidR="00121B7C">
              <w:rPr>
                <w:rFonts w:asciiTheme="minorHAnsi" w:eastAsiaTheme="minorEastAsia" w:hAnsiTheme="minorHAnsi" w:cstheme="minorBidi"/>
                <w:b w:val="0"/>
                <w:sz w:val="22"/>
                <w:szCs w:val="22"/>
              </w:rPr>
              <w:tab/>
            </w:r>
            <w:r w:rsidR="00121B7C" w:rsidRPr="004571F9">
              <w:rPr>
                <w:rStyle w:val="Hyperlink"/>
                <w:rFonts w:cs="Open Sans"/>
              </w:rPr>
              <w:t>Summary of findings and recommendations</w:t>
            </w:r>
            <w:r w:rsidR="00121B7C">
              <w:rPr>
                <w:webHidden/>
              </w:rPr>
              <w:tab/>
            </w:r>
            <w:r w:rsidR="00121B7C">
              <w:rPr>
                <w:webHidden/>
              </w:rPr>
              <w:fldChar w:fldCharType="begin"/>
            </w:r>
            <w:r w:rsidR="00121B7C">
              <w:rPr>
                <w:webHidden/>
              </w:rPr>
              <w:instrText xml:space="preserve"> PAGEREF _Toc87965772 \h </w:instrText>
            </w:r>
            <w:r w:rsidR="00121B7C">
              <w:rPr>
                <w:webHidden/>
              </w:rPr>
            </w:r>
            <w:r w:rsidR="00121B7C">
              <w:rPr>
                <w:webHidden/>
              </w:rPr>
              <w:fldChar w:fldCharType="separate"/>
            </w:r>
            <w:r w:rsidR="00EF4F68">
              <w:rPr>
                <w:webHidden/>
              </w:rPr>
              <w:t>10</w:t>
            </w:r>
            <w:r w:rsidR="00121B7C">
              <w:rPr>
                <w:webHidden/>
              </w:rPr>
              <w:fldChar w:fldCharType="end"/>
            </w:r>
          </w:hyperlink>
        </w:p>
        <w:p w14:paraId="4EB65323" w14:textId="328F9DC1" w:rsidR="00121B7C" w:rsidRDefault="00FC2821">
          <w:pPr>
            <w:pStyle w:val="TOC1"/>
            <w:rPr>
              <w:rFonts w:asciiTheme="minorHAnsi" w:eastAsiaTheme="minorEastAsia" w:hAnsiTheme="minorHAnsi" w:cstheme="minorBidi"/>
              <w:b w:val="0"/>
              <w:sz w:val="22"/>
              <w:szCs w:val="22"/>
            </w:rPr>
          </w:pPr>
          <w:hyperlink w:anchor="_Toc87965773" w:history="1">
            <w:r w:rsidR="00121B7C" w:rsidRPr="004571F9">
              <w:rPr>
                <w:rStyle w:val="Hyperlink"/>
                <w:rFonts w:cs="Open Sans"/>
              </w:rPr>
              <w:t>3</w:t>
            </w:r>
            <w:r w:rsidR="00121B7C">
              <w:rPr>
                <w:rFonts w:asciiTheme="minorHAnsi" w:eastAsiaTheme="minorEastAsia" w:hAnsiTheme="minorHAnsi" w:cstheme="minorBidi"/>
                <w:b w:val="0"/>
                <w:sz w:val="22"/>
                <w:szCs w:val="22"/>
              </w:rPr>
              <w:tab/>
            </w:r>
            <w:r w:rsidR="00121B7C" w:rsidRPr="004571F9">
              <w:rPr>
                <w:rStyle w:val="Hyperlink"/>
                <w:rFonts w:cs="Open Sans"/>
              </w:rPr>
              <w:t>Conciliation</w:t>
            </w:r>
            <w:r w:rsidR="00121B7C">
              <w:rPr>
                <w:webHidden/>
              </w:rPr>
              <w:tab/>
            </w:r>
            <w:r w:rsidR="00121B7C">
              <w:rPr>
                <w:webHidden/>
              </w:rPr>
              <w:fldChar w:fldCharType="begin"/>
            </w:r>
            <w:r w:rsidR="00121B7C">
              <w:rPr>
                <w:webHidden/>
              </w:rPr>
              <w:instrText xml:space="preserve"> PAGEREF _Toc87965773 \h </w:instrText>
            </w:r>
            <w:r w:rsidR="00121B7C">
              <w:rPr>
                <w:webHidden/>
              </w:rPr>
            </w:r>
            <w:r w:rsidR="00121B7C">
              <w:rPr>
                <w:webHidden/>
              </w:rPr>
              <w:fldChar w:fldCharType="separate"/>
            </w:r>
            <w:r w:rsidR="00EF4F68">
              <w:rPr>
                <w:webHidden/>
              </w:rPr>
              <w:t>11</w:t>
            </w:r>
            <w:r w:rsidR="00121B7C">
              <w:rPr>
                <w:webHidden/>
              </w:rPr>
              <w:fldChar w:fldCharType="end"/>
            </w:r>
          </w:hyperlink>
        </w:p>
        <w:p w14:paraId="43A046AC" w14:textId="37B4423F" w:rsidR="00121B7C" w:rsidRDefault="00FC2821">
          <w:pPr>
            <w:pStyle w:val="TOC1"/>
            <w:rPr>
              <w:rFonts w:asciiTheme="minorHAnsi" w:eastAsiaTheme="minorEastAsia" w:hAnsiTheme="minorHAnsi" w:cstheme="minorBidi"/>
              <w:b w:val="0"/>
              <w:sz w:val="22"/>
              <w:szCs w:val="22"/>
            </w:rPr>
          </w:pPr>
          <w:hyperlink w:anchor="_Toc87965774" w:history="1">
            <w:r w:rsidR="00121B7C" w:rsidRPr="004571F9">
              <w:rPr>
                <w:rStyle w:val="Hyperlink"/>
                <w:rFonts w:cs="Open Sans"/>
              </w:rPr>
              <w:t>4</w:t>
            </w:r>
            <w:r w:rsidR="00121B7C">
              <w:rPr>
                <w:rFonts w:asciiTheme="minorHAnsi" w:eastAsiaTheme="minorEastAsia" w:hAnsiTheme="minorHAnsi" w:cstheme="minorBidi"/>
                <w:b w:val="0"/>
                <w:sz w:val="22"/>
                <w:szCs w:val="22"/>
              </w:rPr>
              <w:tab/>
            </w:r>
            <w:r w:rsidR="00121B7C" w:rsidRPr="004571F9">
              <w:rPr>
                <w:rStyle w:val="Hyperlink"/>
                <w:rFonts w:cs="Open Sans"/>
              </w:rPr>
              <w:t>Procedural history of this inquiry</w:t>
            </w:r>
            <w:r w:rsidR="00121B7C">
              <w:rPr>
                <w:webHidden/>
              </w:rPr>
              <w:tab/>
            </w:r>
            <w:r w:rsidR="00121B7C">
              <w:rPr>
                <w:webHidden/>
              </w:rPr>
              <w:fldChar w:fldCharType="begin"/>
            </w:r>
            <w:r w:rsidR="00121B7C">
              <w:rPr>
                <w:webHidden/>
              </w:rPr>
              <w:instrText xml:space="preserve"> PAGEREF _Toc87965774 \h </w:instrText>
            </w:r>
            <w:r w:rsidR="00121B7C">
              <w:rPr>
                <w:webHidden/>
              </w:rPr>
            </w:r>
            <w:r w:rsidR="00121B7C">
              <w:rPr>
                <w:webHidden/>
              </w:rPr>
              <w:fldChar w:fldCharType="separate"/>
            </w:r>
            <w:r w:rsidR="00EF4F68">
              <w:rPr>
                <w:webHidden/>
              </w:rPr>
              <w:t>11</w:t>
            </w:r>
            <w:r w:rsidR="00121B7C">
              <w:rPr>
                <w:webHidden/>
              </w:rPr>
              <w:fldChar w:fldCharType="end"/>
            </w:r>
          </w:hyperlink>
        </w:p>
        <w:p w14:paraId="76C40FF8" w14:textId="63A9E2DA" w:rsidR="00121B7C" w:rsidRDefault="00FC2821">
          <w:pPr>
            <w:pStyle w:val="TOC1"/>
            <w:rPr>
              <w:rFonts w:asciiTheme="minorHAnsi" w:eastAsiaTheme="minorEastAsia" w:hAnsiTheme="minorHAnsi" w:cstheme="minorBidi"/>
              <w:b w:val="0"/>
              <w:sz w:val="22"/>
              <w:szCs w:val="22"/>
            </w:rPr>
          </w:pPr>
          <w:hyperlink w:anchor="_Toc87965775" w:history="1">
            <w:r w:rsidR="00121B7C" w:rsidRPr="004571F9">
              <w:rPr>
                <w:rStyle w:val="Hyperlink"/>
                <w:rFonts w:cs="Open Sans"/>
              </w:rPr>
              <w:t>5</w:t>
            </w:r>
            <w:r w:rsidR="00121B7C">
              <w:rPr>
                <w:rFonts w:asciiTheme="minorHAnsi" w:eastAsiaTheme="minorEastAsia" w:hAnsiTheme="minorHAnsi" w:cstheme="minorBidi"/>
                <w:b w:val="0"/>
                <w:sz w:val="22"/>
                <w:szCs w:val="22"/>
              </w:rPr>
              <w:tab/>
            </w:r>
            <w:r w:rsidR="00121B7C" w:rsidRPr="004571F9">
              <w:rPr>
                <w:rStyle w:val="Hyperlink"/>
                <w:rFonts w:cs="Open Sans"/>
              </w:rPr>
              <w:t>Background</w:t>
            </w:r>
            <w:r w:rsidR="00121B7C">
              <w:rPr>
                <w:webHidden/>
              </w:rPr>
              <w:tab/>
            </w:r>
            <w:r w:rsidR="00121B7C">
              <w:rPr>
                <w:webHidden/>
              </w:rPr>
              <w:fldChar w:fldCharType="begin"/>
            </w:r>
            <w:r w:rsidR="00121B7C">
              <w:rPr>
                <w:webHidden/>
              </w:rPr>
              <w:instrText xml:space="preserve"> PAGEREF _Toc87965775 \h </w:instrText>
            </w:r>
            <w:r w:rsidR="00121B7C">
              <w:rPr>
                <w:webHidden/>
              </w:rPr>
            </w:r>
            <w:r w:rsidR="00121B7C">
              <w:rPr>
                <w:webHidden/>
              </w:rPr>
              <w:fldChar w:fldCharType="separate"/>
            </w:r>
            <w:r w:rsidR="00EF4F68">
              <w:rPr>
                <w:webHidden/>
              </w:rPr>
              <w:t>11</w:t>
            </w:r>
            <w:r w:rsidR="00121B7C">
              <w:rPr>
                <w:webHidden/>
              </w:rPr>
              <w:fldChar w:fldCharType="end"/>
            </w:r>
          </w:hyperlink>
        </w:p>
        <w:p w14:paraId="5AA594FA" w14:textId="09463899" w:rsidR="00121B7C" w:rsidRDefault="00FC2821">
          <w:pPr>
            <w:pStyle w:val="TOC1"/>
            <w:rPr>
              <w:rFonts w:asciiTheme="minorHAnsi" w:eastAsiaTheme="minorEastAsia" w:hAnsiTheme="minorHAnsi" w:cstheme="minorBidi"/>
              <w:b w:val="0"/>
              <w:sz w:val="22"/>
              <w:szCs w:val="22"/>
            </w:rPr>
          </w:pPr>
          <w:hyperlink w:anchor="_Toc87965776" w:history="1">
            <w:r w:rsidR="00121B7C" w:rsidRPr="004571F9">
              <w:rPr>
                <w:rStyle w:val="Hyperlink"/>
                <w:rFonts w:cs="Open Sans"/>
              </w:rPr>
              <w:t>6</w:t>
            </w:r>
            <w:r w:rsidR="00121B7C">
              <w:rPr>
                <w:rFonts w:asciiTheme="minorHAnsi" w:eastAsiaTheme="minorEastAsia" w:hAnsiTheme="minorHAnsi" w:cstheme="minorBidi"/>
                <w:b w:val="0"/>
                <w:sz w:val="22"/>
                <w:szCs w:val="22"/>
              </w:rPr>
              <w:tab/>
            </w:r>
            <w:r w:rsidR="00121B7C" w:rsidRPr="004571F9">
              <w:rPr>
                <w:rStyle w:val="Hyperlink"/>
                <w:rFonts w:cs="Open Sans"/>
              </w:rPr>
              <w:t>Legal framework for human rights inquiry</w:t>
            </w:r>
            <w:r w:rsidR="00121B7C">
              <w:rPr>
                <w:webHidden/>
              </w:rPr>
              <w:tab/>
            </w:r>
            <w:r w:rsidR="00121B7C">
              <w:rPr>
                <w:webHidden/>
              </w:rPr>
              <w:fldChar w:fldCharType="begin"/>
            </w:r>
            <w:r w:rsidR="00121B7C">
              <w:rPr>
                <w:webHidden/>
              </w:rPr>
              <w:instrText xml:space="preserve"> PAGEREF _Toc87965776 \h </w:instrText>
            </w:r>
            <w:r w:rsidR="00121B7C">
              <w:rPr>
                <w:webHidden/>
              </w:rPr>
            </w:r>
            <w:r w:rsidR="00121B7C">
              <w:rPr>
                <w:webHidden/>
              </w:rPr>
              <w:fldChar w:fldCharType="separate"/>
            </w:r>
            <w:r w:rsidR="00EF4F68">
              <w:rPr>
                <w:webHidden/>
              </w:rPr>
              <w:t>12</w:t>
            </w:r>
            <w:r w:rsidR="00121B7C">
              <w:rPr>
                <w:webHidden/>
              </w:rPr>
              <w:fldChar w:fldCharType="end"/>
            </w:r>
          </w:hyperlink>
        </w:p>
        <w:p w14:paraId="1D512CA4" w14:textId="185D82CE" w:rsidR="00121B7C" w:rsidRDefault="00FC2821">
          <w:pPr>
            <w:pStyle w:val="TOC2"/>
            <w:rPr>
              <w:rFonts w:asciiTheme="minorHAnsi" w:eastAsiaTheme="minorEastAsia" w:hAnsiTheme="minorHAnsi" w:cstheme="minorBidi"/>
              <w:b w:val="0"/>
              <w:i w:val="0"/>
              <w:sz w:val="22"/>
              <w:szCs w:val="22"/>
            </w:rPr>
          </w:pPr>
          <w:hyperlink w:anchor="_Toc87965777" w:history="1">
            <w:r w:rsidR="00121B7C" w:rsidRPr="004571F9">
              <w:rPr>
                <w:rStyle w:val="Hyperlink"/>
                <w:rFonts w:cs="Open Sans"/>
              </w:rPr>
              <w:t>6.1</w:t>
            </w:r>
            <w:r w:rsidR="00121B7C">
              <w:rPr>
                <w:rFonts w:asciiTheme="minorHAnsi" w:eastAsiaTheme="minorEastAsia" w:hAnsiTheme="minorHAnsi" w:cstheme="minorBidi"/>
                <w:b w:val="0"/>
                <w:i w:val="0"/>
                <w:sz w:val="22"/>
                <w:szCs w:val="22"/>
              </w:rPr>
              <w:tab/>
            </w:r>
            <w:r w:rsidR="00121B7C" w:rsidRPr="004571F9">
              <w:rPr>
                <w:rStyle w:val="Hyperlink"/>
                <w:rFonts w:cs="Open Sans"/>
              </w:rPr>
              <w:t>Functions of the Commission</w:t>
            </w:r>
            <w:r w:rsidR="00121B7C">
              <w:rPr>
                <w:webHidden/>
              </w:rPr>
              <w:tab/>
            </w:r>
            <w:r w:rsidR="00121B7C">
              <w:rPr>
                <w:webHidden/>
              </w:rPr>
              <w:fldChar w:fldCharType="begin"/>
            </w:r>
            <w:r w:rsidR="00121B7C">
              <w:rPr>
                <w:webHidden/>
              </w:rPr>
              <w:instrText xml:space="preserve"> PAGEREF _Toc87965777 \h </w:instrText>
            </w:r>
            <w:r w:rsidR="00121B7C">
              <w:rPr>
                <w:webHidden/>
              </w:rPr>
            </w:r>
            <w:r w:rsidR="00121B7C">
              <w:rPr>
                <w:webHidden/>
              </w:rPr>
              <w:fldChar w:fldCharType="separate"/>
            </w:r>
            <w:r w:rsidR="00EF4F68">
              <w:rPr>
                <w:webHidden/>
              </w:rPr>
              <w:t>12</w:t>
            </w:r>
            <w:r w:rsidR="00121B7C">
              <w:rPr>
                <w:webHidden/>
              </w:rPr>
              <w:fldChar w:fldCharType="end"/>
            </w:r>
          </w:hyperlink>
        </w:p>
        <w:p w14:paraId="4E2A3FAE" w14:textId="09DD296D" w:rsidR="00121B7C" w:rsidRDefault="00FC2821">
          <w:pPr>
            <w:pStyle w:val="TOC2"/>
            <w:rPr>
              <w:rFonts w:asciiTheme="minorHAnsi" w:eastAsiaTheme="minorEastAsia" w:hAnsiTheme="minorHAnsi" w:cstheme="minorBidi"/>
              <w:b w:val="0"/>
              <w:i w:val="0"/>
              <w:sz w:val="22"/>
              <w:szCs w:val="22"/>
            </w:rPr>
          </w:pPr>
          <w:hyperlink w:anchor="_Toc87965778" w:history="1">
            <w:r w:rsidR="00121B7C" w:rsidRPr="004571F9">
              <w:rPr>
                <w:rStyle w:val="Hyperlink"/>
                <w:rFonts w:cs="Open Sans"/>
              </w:rPr>
              <w:t>6.2</w:t>
            </w:r>
            <w:r w:rsidR="00121B7C">
              <w:rPr>
                <w:rFonts w:asciiTheme="minorHAnsi" w:eastAsiaTheme="minorEastAsia" w:hAnsiTheme="minorHAnsi" w:cstheme="minorBidi"/>
                <w:b w:val="0"/>
                <w:i w:val="0"/>
                <w:sz w:val="22"/>
                <w:szCs w:val="22"/>
              </w:rPr>
              <w:tab/>
            </w:r>
            <w:r w:rsidR="00121B7C" w:rsidRPr="004571F9">
              <w:rPr>
                <w:rStyle w:val="Hyperlink"/>
                <w:rFonts w:cs="Open Sans"/>
              </w:rPr>
              <w:t>Human rights in detention</w:t>
            </w:r>
            <w:r w:rsidR="00121B7C">
              <w:rPr>
                <w:webHidden/>
              </w:rPr>
              <w:tab/>
            </w:r>
            <w:r w:rsidR="00121B7C">
              <w:rPr>
                <w:webHidden/>
              </w:rPr>
              <w:fldChar w:fldCharType="begin"/>
            </w:r>
            <w:r w:rsidR="00121B7C">
              <w:rPr>
                <w:webHidden/>
              </w:rPr>
              <w:instrText xml:space="preserve"> PAGEREF _Toc87965778 \h </w:instrText>
            </w:r>
            <w:r w:rsidR="00121B7C">
              <w:rPr>
                <w:webHidden/>
              </w:rPr>
            </w:r>
            <w:r w:rsidR="00121B7C">
              <w:rPr>
                <w:webHidden/>
              </w:rPr>
              <w:fldChar w:fldCharType="separate"/>
            </w:r>
            <w:r w:rsidR="00EF4F68">
              <w:rPr>
                <w:webHidden/>
              </w:rPr>
              <w:t>13</w:t>
            </w:r>
            <w:r w:rsidR="00121B7C">
              <w:rPr>
                <w:webHidden/>
              </w:rPr>
              <w:fldChar w:fldCharType="end"/>
            </w:r>
          </w:hyperlink>
        </w:p>
        <w:p w14:paraId="45D9E794" w14:textId="32DB0C6B" w:rsidR="00121B7C" w:rsidRDefault="00FC2821">
          <w:pPr>
            <w:pStyle w:val="TOC2"/>
            <w:rPr>
              <w:rFonts w:asciiTheme="minorHAnsi" w:eastAsiaTheme="minorEastAsia" w:hAnsiTheme="minorHAnsi" w:cstheme="minorBidi"/>
              <w:b w:val="0"/>
              <w:i w:val="0"/>
              <w:sz w:val="22"/>
              <w:szCs w:val="22"/>
            </w:rPr>
          </w:pPr>
          <w:hyperlink w:anchor="_Toc87965779" w:history="1">
            <w:r w:rsidR="00121B7C" w:rsidRPr="004571F9">
              <w:rPr>
                <w:rStyle w:val="Hyperlink"/>
                <w:rFonts w:cs="Open Sans"/>
              </w:rPr>
              <w:t>6.3</w:t>
            </w:r>
            <w:r w:rsidR="00121B7C">
              <w:rPr>
                <w:rFonts w:asciiTheme="minorHAnsi" w:eastAsiaTheme="minorEastAsia" w:hAnsiTheme="minorHAnsi" w:cstheme="minorBidi"/>
                <w:b w:val="0"/>
                <w:i w:val="0"/>
                <w:sz w:val="22"/>
                <w:szCs w:val="22"/>
              </w:rPr>
              <w:tab/>
            </w:r>
            <w:r w:rsidR="00121B7C" w:rsidRPr="004571F9">
              <w:rPr>
                <w:rStyle w:val="Hyperlink"/>
                <w:rFonts w:cs="Open Sans"/>
              </w:rPr>
              <w:t>Alternatives to closed detention</w:t>
            </w:r>
            <w:r w:rsidR="00121B7C">
              <w:rPr>
                <w:webHidden/>
              </w:rPr>
              <w:tab/>
            </w:r>
            <w:r w:rsidR="00121B7C">
              <w:rPr>
                <w:webHidden/>
              </w:rPr>
              <w:fldChar w:fldCharType="begin"/>
            </w:r>
            <w:r w:rsidR="00121B7C">
              <w:rPr>
                <w:webHidden/>
              </w:rPr>
              <w:instrText xml:space="preserve"> PAGEREF _Toc87965779 \h </w:instrText>
            </w:r>
            <w:r w:rsidR="00121B7C">
              <w:rPr>
                <w:webHidden/>
              </w:rPr>
            </w:r>
            <w:r w:rsidR="00121B7C">
              <w:rPr>
                <w:webHidden/>
              </w:rPr>
              <w:fldChar w:fldCharType="separate"/>
            </w:r>
            <w:r w:rsidR="00EF4F68">
              <w:rPr>
                <w:webHidden/>
              </w:rPr>
              <w:t>14</w:t>
            </w:r>
            <w:r w:rsidR="00121B7C">
              <w:rPr>
                <w:webHidden/>
              </w:rPr>
              <w:fldChar w:fldCharType="end"/>
            </w:r>
          </w:hyperlink>
        </w:p>
        <w:p w14:paraId="5395EBC9" w14:textId="0CB4C4DB" w:rsidR="00121B7C" w:rsidRDefault="00FC2821">
          <w:pPr>
            <w:pStyle w:val="TOC1"/>
            <w:rPr>
              <w:rFonts w:asciiTheme="minorHAnsi" w:eastAsiaTheme="minorEastAsia" w:hAnsiTheme="minorHAnsi" w:cstheme="minorBidi"/>
              <w:b w:val="0"/>
              <w:sz w:val="22"/>
              <w:szCs w:val="22"/>
            </w:rPr>
          </w:pPr>
          <w:hyperlink w:anchor="_Toc87965780" w:history="1">
            <w:r w:rsidR="00121B7C" w:rsidRPr="004571F9">
              <w:rPr>
                <w:rStyle w:val="Hyperlink"/>
                <w:rFonts w:cs="Open Sans"/>
              </w:rPr>
              <w:t>7</w:t>
            </w:r>
            <w:r w:rsidR="00121B7C">
              <w:rPr>
                <w:rFonts w:asciiTheme="minorHAnsi" w:eastAsiaTheme="minorEastAsia" w:hAnsiTheme="minorHAnsi" w:cstheme="minorBidi"/>
                <w:b w:val="0"/>
                <w:sz w:val="22"/>
                <w:szCs w:val="22"/>
              </w:rPr>
              <w:tab/>
            </w:r>
            <w:r w:rsidR="00121B7C" w:rsidRPr="004571F9">
              <w:rPr>
                <w:rStyle w:val="Hyperlink"/>
                <w:rFonts w:cs="Open Sans"/>
              </w:rPr>
              <w:t>Findings — arbitrary detention</w:t>
            </w:r>
            <w:r w:rsidR="00121B7C">
              <w:rPr>
                <w:webHidden/>
              </w:rPr>
              <w:tab/>
            </w:r>
            <w:r w:rsidR="00121B7C">
              <w:rPr>
                <w:webHidden/>
              </w:rPr>
              <w:fldChar w:fldCharType="begin"/>
            </w:r>
            <w:r w:rsidR="00121B7C">
              <w:rPr>
                <w:webHidden/>
              </w:rPr>
              <w:instrText xml:space="preserve"> PAGEREF _Toc87965780 \h </w:instrText>
            </w:r>
            <w:r w:rsidR="00121B7C">
              <w:rPr>
                <w:webHidden/>
              </w:rPr>
            </w:r>
            <w:r w:rsidR="00121B7C">
              <w:rPr>
                <w:webHidden/>
              </w:rPr>
              <w:fldChar w:fldCharType="separate"/>
            </w:r>
            <w:r w:rsidR="00EF4F68">
              <w:rPr>
                <w:webHidden/>
              </w:rPr>
              <w:t>16</w:t>
            </w:r>
            <w:r w:rsidR="00121B7C">
              <w:rPr>
                <w:webHidden/>
              </w:rPr>
              <w:fldChar w:fldCharType="end"/>
            </w:r>
          </w:hyperlink>
        </w:p>
        <w:p w14:paraId="398361C0" w14:textId="62696E49" w:rsidR="00121B7C" w:rsidRDefault="00FC2821">
          <w:pPr>
            <w:pStyle w:val="TOC2"/>
            <w:rPr>
              <w:rFonts w:asciiTheme="minorHAnsi" w:eastAsiaTheme="minorEastAsia" w:hAnsiTheme="minorHAnsi" w:cstheme="minorBidi"/>
              <w:b w:val="0"/>
              <w:i w:val="0"/>
              <w:sz w:val="22"/>
              <w:szCs w:val="22"/>
            </w:rPr>
          </w:pPr>
          <w:hyperlink w:anchor="_Toc87965781" w:history="1">
            <w:r w:rsidR="00121B7C" w:rsidRPr="004571F9">
              <w:rPr>
                <w:rStyle w:val="Hyperlink"/>
                <w:rFonts w:cs="Open Sans"/>
              </w:rPr>
              <w:t>7.1</w:t>
            </w:r>
            <w:r w:rsidR="00121B7C">
              <w:rPr>
                <w:rFonts w:asciiTheme="minorHAnsi" w:eastAsiaTheme="minorEastAsia" w:hAnsiTheme="minorHAnsi" w:cstheme="minorBidi"/>
                <w:b w:val="0"/>
                <w:i w:val="0"/>
                <w:sz w:val="22"/>
                <w:szCs w:val="22"/>
              </w:rPr>
              <w:tab/>
            </w:r>
            <w:r w:rsidR="00121B7C" w:rsidRPr="004571F9">
              <w:rPr>
                <w:rStyle w:val="Hyperlink"/>
                <w:rFonts w:cs="Open Sans"/>
              </w:rPr>
              <w:t>Mr NS</w:t>
            </w:r>
            <w:r w:rsidR="00121B7C">
              <w:rPr>
                <w:webHidden/>
              </w:rPr>
              <w:tab/>
            </w:r>
            <w:r w:rsidR="00121B7C">
              <w:rPr>
                <w:webHidden/>
              </w:rPr>
              <w:fldChar w:fldCharType="begin"/>
            </w:r>
            <w:r w:rsidR="00121B7C">
              <w:rPr>
                <w:webHidden/>
              </w:rPr>
              <w:instrText xml:space="preserve"> PAGEREF _Toc87965781 \h </w:instrText>
            </w:r>
            <w:r w:rsidR="00121B7C">
              <w:rPr>
                <w:webHidden/>
              </w:rPr>
            </w:r>
            <w:r w:rsidR="00121B7C">
              <w:rPr>
                <w:webHidden/>
              </w:rPr>
              <w:fldChar w:fldCharType="separate"/>
            </w:r>
            <w:r w:rsidR="00EF4F68">
              <w:rPr>
                <w:webHidden/>
              </w:rPr>
              <w:t>16</w:t>
            </w:r>
            <w:r w:rsidR="00121B7C">
              <w:rPr>
                <w:webHidden/>
              </w:rPr>
              <w:fldChar w:fldCharType="end"/>
            </w:r>
          </w:hyperlink>
        </w:p>
        <w:p w14:paraId="0049D387" w14:textId="662E29CA" w:rsidR="00121B7C" w:rsidRDefault="00FC2821">
          <w:pPr>
            <w:pStyle w:val="TOC2"/>
            <w:rPr>
              <w:rFonts w:asciiTheme="minorHAnsi" w:eastAsiaTheme="minorEastAsia" w:hAnsiTheme="minorHAnsi" w:cstheme="minorBidi"/>
              <w:b w:val="0"/>
              <w:i w:val="0"/>
              <w:sz w:val="22"/>
              <w:szCs w:val="22"/>
            </w:rPr>
          </w:pPr>
          <w:hyperlink w:anchor="_Toc87965782" w:history="1">
            <w:r w:rsidR="00121B7C" w:rsidRPr="004571F9">
              <w:rPr>
                <w:rStyle w:val="Hyperlink"/>
                <w:rFonts w:cs="Open Sans"/>
              </w:rPr>
              <w:t>7.2</w:t>
            </w:r>
            <w:r w:rsidR="00121B7C">
              <w:rPr>
                <w:rFonts w:asciiTheme="minorHAnsi" w:eastAsiaTheme="minorEastAsia" w:hAnsiTheme="minorHAnsi" w:cstheme="minorBidi"/>
                <w:b w:val="0"/>
                <w:i w:val="0"/>
                <w:sz w:val="22"/>
                <w:szCs w:val="22"/>
              </w:rPr>
              <w:tab/>
            </w:r>
            <w:r w:rsidR="00121B7C" w:rsidRPr="004571F9">
              <w:rPr>
                <w:rStyle w:val="Hyperlink"/>
                <w:rFonts w:cs="Open Sans"/>
              </w:rPr>
              <w:t>Mr NT</w:t>
            </w:r>
            <w:r w:rsidR="00121B7C">
              <w:rPr>
                <w:webHidden/>
              </w:rPr>
              <w:tab/>
            </w:r>
            <w:r w:rsidR="00121B7C">
              <w:rPr>
                <w:webHidden/>
              </w:rPr>
              <w:fldChar w:fldCharType="begin"/>
            </w:r>
            <w:r w:rsidR="00121B7C">
              <w:rPr>
                <w:webHidden/>
              </w:rPr>
              <w:instrText xml:space="preserve"> PAGEREF _Toc87965782 \h </w:instrText>
            </w:r>
            <w:r w:rsidR="00121B7C">
              <w:rPr>
                <w:webHidden/>
              </w:rPr>
            </w:r>
            <w:r w:rsidR="00121B7C">
              <w:rPr>
                <w:webHidden/>
              </w:rPr>
              <w:fldChar w:fldCharType="separate"/>
            </w:r>
            <w:r w:rsidR="00EF4F68">
              <w:rPr>
                <w:webHidden/>
              </w:rPr>
              <w:t>22</w:t>
            </w:r>
            <w:r w:rsidR="00121B7C">
              <w:rPr>
                <w:webHidden/>
              </w:rPr>
              <w:fldChar w:fldCharType="end"/>
            </w:r>
          </w:hyperlink>
        </w:p>
        <w:p w14:paraId="2B448E2D" w14:textId="21878D5E" w:rsidR="00121B7C" w:rsidRDefault="00FC2821">
          <w:pPr>
            <w:pStyle w:val="TOC2"/>
            <w:rPr>
              <w:rFonts w:asciiTheme="minorHAnsi" w:eastAsiaTheme="minorEastAsia" w:hAnsiTheme="minorHAnsi" w:cstheme="minorBidi"/>
              <w:b w:val="0"/>
              <w:i w:val="0"/>
              <w:sz w:val="22"/>
              <w:szCs w:val="22"/>
            </w:rPr>
          </w:pPr>
          <w:hyperlink w:anchor="_Toc87965783" w:history="1">
            <w:r w:rsidR="00121B7C" w:rsidRPr="004571F9">
              <w:rPr>
                <w:rStyle w:val="Hyperlink"/>
                <w:rFonts w:cs="Open Sans"/>
              </w:rPr>
              <w:t>7.3</w:t>
            </w:r>
            <w:r w:rsidR="00121B7C">
              <w:rPr>
                <w:rFonts w:asciiTheme="minorHAnsi" w:eastAsiaTheme="minorEastAsia" w:hAnsiTheme="minorHAnsi" w:cstheme="minorBidi"/>
                <w:b w:val="0"/>
                <w:i w:val="0"/>
                <w:sz w:val="22"/>
                <w:szCs w:val="22"/>
              </w:rPr>
              <w:tab/>
            </w:r>
            <w:r w:rsidR="00121B7C" w:rsidRPr="004571F9">
              <w:rPr>
                <w:rStyle w:val="Hyperlink"/>
                <w:rFonts w:cs="Open Sans"/>
              </w:rPr>
              <w:t>Mr NU</w:t>
            </w:r>
            <w:r w:rsidR="00121B7C">
              <w:rPr>
                <w:webHidden/>
              </w:rPr>
              <w:tab/>
            </w:r>
            <w:r w:rsidR="00121B7C">
              <w:rPr>
                <w:webHidden/>
              </w:rPr>
              <w:fldChar w:fldCharType="begin"/>
            </w:r>
            <w:r w:rsidR="00121B7C">
              <w:rPr>
                <w:webHidden/>
              </w:rPr>
              <w:instrText xml:space="preserve"> PAGEREF _Toc87965783 \h </w:instrText>
            </w:r>
            <w:r w:rsidR="00121B7C">
              <w:rPr>
                <w:webHidden/>
              </w:rPr>
            </w:r>
            <w:r w:rsidR="00121B7C">
              <w:rPr>
                <w:webHidden/>
              </w:rPr>
              <w:fldChar w:fldCharType="separate"/>
            </w:r>
            <w:r w:rsidR="00EF4F68">
              <w:rPr>
                <w:webHidden/>
              </w:rPr>
              <w:t>28</w:t>
            </w:r>
            <w:r w:rsidR="00121B7C">
              <w:rPr>
                <w:webHidden/>
              </w:rPr>
              <w:fldChar w:fldCharType="end"/>
            </w:r>
          </w:hyperlink>
        </w:p>
        <w:p w14:paraId="000F2DAB" w14:textId="4AEAA523" w:rsidR="00121B7C" w:rsidRDefault="00FC2821">
          <w:pPr>
            <w:pStyle w:val="TOC1"/>
            <w:rPr>
              <w:rFonts w:asciiTheme="minorHAnsi" w:eastAsiaTheme="minorEastAsia" w:hAnsiTheme="minorHAnsi" w:cstheme="minorBidi"/>
              <w:b w:val="0"/>
              <w:sz w:val="22"/>
              <w:szCs w:val="22"/>
            </w:rPr>
          </w:pPr>
          <w:hyperlink w:anchor="_Toc87965784" w:history="1">
            <w:r w:rsidR="00121B7C" w:rsidRPr="004571F9">
              <w:rPr>
                <w:rStyle w:val="Hyperlink"/>
                <w:rFonts w:cs="Open Sans"/>
              </w:rPr>
              <w:t>8</w:t>
            </w:r>
            <w:r w:rsidR="00121B7C">
              <w:rPr>
                <w:rFonts w:asciiTheme="minorHAnsi" w:eastAsiaTheme="minorEastAsia" w:hAnsiTheme="minorHAnsi" w:cstheme="minorBidi"/>
                <w:b w:val="0"/>
                <w:sz w:val="22"/>
                <w:szCs w:val="22"/>
              </w:rPr>
              <w:tab/>
            </w:r>
            <w:r w:rsidR="00121B7C" w:rsidRPr="004571F9">
              <w:rPr>
                <w:rStyle w:val="Hyperlink"/>
                <w:rFonts w:cs="Open Sans"/>
              </w:rPr>
              <w:t>Recommendations</w:t>
            </w:r>
            <w:r w:rsidR="00121B7C">
              <w:rPr>
                <w:webHidden/>
              </w:rPr>
              <w:tab/>
            </w:r>
            <w:r w:rsidR="00121B7C">
              <w:rPr>
                <w:webHidden/>
              </w:rPr>
              <w:fldChar w:fldCharType="begin"/>
            </w:r>
            <w:r w:rsidR="00121B7C">
              <w:rPr>
                <w:webHidden/>
              </w:rPr>
              <w:instrText xml:space="preserve"> PAGEREF _Toc87965784 \h </w:instrText>
            </w:r>
            <w:r w:rsidR="00121B7C">
              <w:rPr>
                <w:webHidden/>
              </w:rPr>
            </w:r>
            <w:r w:rsidR="00121B7C">
              <w:rPr>
                <w:webHidden/>
              </w:rPr>
              <w:fldChar w:fldCharType="separate"/>
            </w:r>
            <w:r w:rsidR="00EF4F68">
              <w:rPr>
                <w:webHidden/>
              </w:rPr>
              <w:t>36</w:t>
            </w:r>
            <w:r w:rsidR="00121B7C">
              <w:rPr>
                <w:webHidden/>
              </w:rPr>
              <w:fldChar w:fldCharType="end"/>
            </w:r>
          </w:hyperlink>
        </w:p>
        <w:p w14:paraId="6157A866" w14:textId="4594F973" w:rsidR="00121B7C" w:rsidRDefault="00FC2821">
          <w:pPr>
            <w:pStyle w:val="TOC1"/>
            <w:rPr>
              <w:rFonts w:asciiTheme="minorHAnsi" w:eastAsiaTheme="minorEastAsia" w:hAnsiTheme="minorHAnsi" w:cstheme="minorBidi"/>
              <w:b w:val="0"/>
              <w:sz w:val="22"/>
              <w:szCs w:val="22"/>
            </w:rPr>
          </w:pPr>
          <w:hyperlink w:anchor="_Toc87965785" w:history="1">
            <w:r w:rsidR="00121B7C" w:rsidRPr="004571F9">
              <w:rPr>
                <w:rStyle w:val="Hyperlink"/>
                <w:rFonts w:cs="Open Sans"/>
              </w:rPr>
              <w:t>9</w:t>
            </w:r>
            <w:r w:rsidR="00121B7C">
              <w:rPr>
                <w:rFonts w:asciiTheme="minorHAnsi" w:eastAsiaTheme="minorEastAsia" w:hAnsiTheme="minorHAnsi" w:cstheme="minorBidi"/>
                <w:b w:val="0"/>
                <w:sz w:val="22"/>
                <w:szCs w:val="22"/>
              </w:rPr>
              <w:tab/>
            </w:r>
            <w:r w:rsidR="00121B7C" w:rsidRPr="004571F9">
              <w:rPr>
                <w:rStyle w:val="Hyperlink"/>
                <w:rFonts w:cs="Open Sans"/>
              </w:rPr>
              <w:t>The Department’s response to my findings and recommendations</w:t>
            </w:r>
            <w:r w:rsidR="00121B7C">
              <w:rPr>
                <w:webHidden/>
              </w:rPr>
              <w:tab/>
            </w:r>
            <w:r w:rsidR="00121B7C">
              <w:rPr>
                <w:webHidden/>
              </w:rPr>
              <w:fldChar w:fldCharType="begin"/>
            </w:r>
            <w:r w:rsidR="00121B7C">
              <w:rPr>
                <w:webHidden/>
              </w:rPr>
              <w:instrText xml:space="preserve"> PAGEREF _Toc87965785 \h </w:instrText>
            </w:r>
            <w:r w:rsidR="00121B7C">
              <w:rPr>
                <w:webHidden/>
              </w:rPr>
            </w:r>
            <w:r w:rsidR="00121B7C">
              <w:rPr>
                <w:webHidden/>
              </w:rPr>
              <w:fldChar w:fldCharType="separate"/>
            </w:r>
            <w:r w:rsidR="00EF4F68">
              <w:rPr>
                <w:webHidden/>
              </w:rPr>
              <w:t>38</w:t>
            </w:r>
            <w:r w:rsidR="00121B7C">
              <w:rPr>
                <w:webHidden/>
              </w:rPr>
              <w:fldChar w:fldCharType="end"/>
            </w:r>
          </w:hyperlink>
        </w:p>
        <w:p w14:paraId="03D2D133" w14:textId="7AE4427F" w:rsidR="002A2430" w:rsidRDefault="002A2430">
          <w:r>
            <w:rPr>
              <w:b/>
              <w:bCs/>
              <w:noProof/>
            </w:rPr>
            <w:fldChar w:fldCharType="end"/>
          </w:r>
        </w:p>
      </w:sdtContent>
    </w:sdt>
    <w:p w14:paraId="6BCB9402" w14:textId="2D6E52A9" w:rsidR="00995037" w:rsidRDefault="00995037">
      <w:pPr>
        <w:spacing w:before="0" w:after="0"/>
        <w:rPr>
          <w:b/>
          <w:bCs/>
          <w:sz w:val="36"/>
          <w:szCs w:val="28"/>
        </w:rPr>
      </w:pPr>
      <w:r>
        <w:br w:type="page"/>
      </w:r>
    </w:p>
    <w:p w14:paraId="73DBE1D1" w14:textId="77777777" w:rsidR="00903A38" w:rsidRPr="00451B90" w:rsidRDefault="00903A38" w:rsidP="00C84572">
      <w:pPr>
        <w:pStyle w:val="Heading1"/>
        <w:numPr>
          <w:ilvl w:val="0"/>
          <w:numId w:val="20"/>
        </w:numPr>
        <w:rPr>
          <w:rFonts w:cs="Open Sans"/>
        </w:rPr>
      </w:pPr>
      <w:bookmarkStart w:id="7" w:name="_Toc79503152"/>
      <w:bookmarkStart w:id="8" w:name="_Toc87965771"/>
      <w:r w:rsidRPr="00451B90">
        <w:rPr>
          <w:rFonts w:cs="Open Sans"/>
        </w:rPr>
        <w:lastRenderedPageBreak/>
        <w:t>Introduction to this inquiry</w:t>
      </w:r>
      <w:bookmarkEnd w:id="7"/>
      <w:bookmarkEnd w:id="8"/>
      <w:r w:rsidRPr="00451B90">
        <w:rPr>
          <w:rFonts w:cs="Open Sans"/>
        </w:rPr>
        <w:t xml:space="preserve"> </w:t>
      </w:r>
    </w:p>
    <w:p w14:paraId="5573017D" w14:textId="32276BE3"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This is a </w:t>
      </w:r>
      <w:r w:rsidR="007D5111">
        <w:rPr>
          <w:rFonts w:cs="Open Sans"/>
        </w:rPr>
        <w:t>report</w:t>
      </w:r>
      <w:r w:rsidRPr="00451B90">
        <w:rPr>
          <w:rFonts w:cs="Open Sans"/>
        </w:rPr>
        <w:t xml:space="preserve"> setting out the findings of the </w:t>
      </w:r>
      <w:r w:rsidRPr="00451B90">
        <w:rPr>
          <w:rFonts w:eastAsia="Calibri" w:cs="Open Sans"/>
          <w:color w:val="000000"/>
        </w:rPr>
        <w:t>Australian</w:t>
      </w:r>
      <w:r w:rsidRPr="00451B90">
        <w:rPr>
          <w:rFonts w:cs="Open Sans"/>
        </w:rPr>
        <w:t xml:space="preserve"> Human Rights Commission (Commission) following an inquiry into the detention of refugees who have had their visas cancelled or refused on character grounds under s 501 of the </w:t>
      </w:r>
      <w:r w:rsidRPr="00451B90">
        <w:rPr>
          <w:rFonts w:cs="Open Sans"/>
          <w:i/>
        </w:rPr>
        <w:t>Migration Act</w:t>
      </w:r>
      <w:r w:rsidRPr="00451B90">
        <w:rPr>
          <w:rFonts w:cs="Open Sans"/>
        </w:rPr>
        <w:t xml:space="preserve"> </w:t>
      </w:r>
      <w:r w:rsidRPr="00451B90">
        <w:rPr>
          <w:rFonts w:cs="Open Sans"/>
          <w:i/>
        </w:rPr>
        <w:t>1958</w:t>
      </w:r>
      <w:r w:rsidRPr="00451B90">
        <w:rPr>
          <w:rFonts w:cs="Open Sans"/>
        </w:rPr>
        <w:t xml:space="preserve"> (</w:t>
      </w:r>
      <w:proofErr w:type="spellStart"/>
      <w:r w:rsidRPr="00451B90">
        <w:rPr>
          <w:rFonts w:cs="Open Sans"/>
        </w:rPr>
        <w:t>Cth</w:t>
      </w:r>
      <w:proofErr w:type="spellEnd"/>
      <w:r w:rsidRPr="00451B90">
        <w:rPr>
          <w:rFonts w:cs="Open Sans"/>
        </w:rPr>
        <w:t>) (Migration Act).</w:t>
      </w:r>
    </w:p>
    <w:p w14:paraId="380D0E46"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Over the past few years, the Commission has received an increasing </w:t>
      </w:r>
      <w:r w:rsidRPr="00451B90">
        <w:rPr>
          <w:rFonts w:eastAsia="Calibri" w:cs="Open Sans"/>
          <w:color w:val="000000"/>
        </w:rPr>
        <w:t>number</w:t>
      </w:r>
      <w:r w:rsidRPr="00451B90">
        <w:rPr>
          <w:rFonts w:cs="Open Sans"/>
        </w:rPr>
        <w:t xml:space="preserve"> of complaints from refugees who are in immigration detention as a result of having their visa cancelled or refused on character grounds.</w:t>
      </w:r>
    </w:p>
    <w:p w14:paraId="67E9628D"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t>This</w:t>
      </w:r>
      <w:r w:rsidRPr="00451B90">
        <w:rPr>
          <w:rFonts w:cs="Open Sans"/>
        </w:rPr>
        <w:t xml:space="preserve"> is a thematic inquiry based on complaints made by three individuals against the Commonwealth of Australia (Department of Home Affairs, formerly the Department of Immigration and Border Protection) (the Department), alleging a breach of their human rights:</w:t>
      </w:r>
    </w:p>
    <w:p w14:paraId="7F76B43A" w14:textId="4EF78D46" w:rsidR="00903A38" w:rsidRPr="00451B90" w:rsidRDefault="00463C15" w:rsidP="00C84572">
      <w:pPr>
        <w:numPr>
          <w:ilvl w:val="1"/>
          <w:numId w:val="21"/>
        </w:numPr>
        <w:rPr>
          <w:rFonts w:cs="Open Sans"/>
        </w:rPr>
      </w:pPr>
      <w:r>
        <w:rPr>
          <w:rFonts w:cs="Open Sans"/>
        </w:rPr>
        <w:t>Mr NS</w:t>
      </w:r>
    </w:p>
    <w:p w14:paraId="07ED22B0" w14:textId="3943BD45" w:rsidR="00903A38" w:rsidRPr="00451B90" w:rsidRDefault="00903A38" w:rsidP="00C84572">
      <w:pPr>
        <w:numPr>
          <w:ilvl w:val="1"/>
          <w:numId w:val="21"/>
        </w:numPr>
        <w:rPr>
          <w:rFonts w:cs="Open Sans"/>
        </w:rPr>
      </w:pPr>
      <w:r w:rsidRPr="00451B90">
        <w:rPr>
          <w:rFonts w:cs="Open Sans"/>
        </w:rPr>
        <w:t xml:space="preserve">Mr </w:t>
      </w:r>
      <w:r w:rsidR="00AA64D6">
        <w:rPr>
          <w:rFonts w:cs="Open Sans"/>
        </w:rPr>
        <w:t>NT</w:t>
      </w:r>
      <w:r w:rsidRPr="00451B90">
        <w:rPr>
          <w:rFonts w:cs="Open Sans"/>
        </w:rPr>
        <w:t xml:space="preserve"> </w:t>
      </w:r>
    </w:p>
    <w:p w14:paraId="2F58791A" w14:textId="7361A31B" w:rsidR="00903A38" w:rsidRPr="00451B90" w:rsidRDefault="00903A38" w:rsidP="00C84572">
      <w:pPr>
        <w:numPr>
          <w:ilvl w:val="1"/>
          <w:numId w:val="21"/>
        </w:numPr>
        <w:rPr>
          <w:rFonts w:cs="Open Sans"/>
        </w:rPr>
      </w:pPr>
      <w:r w:rsidRPr="00451B90">
        <w:rPr>
          <w:rFonts w:cs="Open Sans"/>
        </w:rPr>
        <w:t xml:space="preserve">Mr </w:t>
      </w:r>
      <w:r w:rsidR="00121B7C">
        <w:rPr>
          <w:rFonts w:cs="Open Sans"/>
        </w:rPr>
        <w:t>NU</w:t>
      </w:r>
      <w:r w:rsidRPr="00451B90">
        <w:rPr>
          <w:rFonts w:cs="Open Sans"/>
        </w:rPr>
        <w:t xml:space="preserve"> (together, the complainants).</w:t>
      </w:r>
    </w:p>
    <w:p w14:paraId="702AB901" w14:textId="6C23AC9A"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this inquiry, </w:t>
      </w:r>
      <w:r w:rsidR="00B6372F">
        <w:rPr>
          <w:rFonts w:cs="Open Sans"/>
        </w:rPr>
        <w:t xml:space="preserve">a </w:t>
      </w:r>
      <w:r w:rsidRPr="00451B90">
        <w:rPr>
          <w:rFonts w:cs="Open Sans"/>
        </w:rPr>
        <w:t xml:space="preserve">reference to a </w:t>
      </w:r>
      <w:r>
        <w:rPr>
          <w:rFonts w:cs="Open Sans"/>
        </w:rPr>
        <w:t>‘</w:t>
      </w:r>
      <w:r w:rsidRPr="00451B90">
        <w:rPr>
          <w:rFonts w:cs="Open Sans"/>
        </w:rPr>
        <w:t>Minister</w:t>
      </w:r>
      <w:r>
        <w:rPr>
          <w:rFonts w:cs="Open Sans"/>
        </w:rPr>
        <w:t>’</w:t>
      </w:r>
      <w:r w:rsidRPr="00451B90">
        <w:rPr>
          <w:rFonts w:cs="Open Sans"/>
        </w:rPr>
        <w:t xml:space="preserve"> is to the Minister for Home Affairs or</w:t>
      </w:r>
      <w:r>
        <w:rPr>
          <w:rFonts w:cs="Open Sans"/>
        </w:rPr>
        <w:t xml:space="preserve">, if appropriate, the </w:t>
      </w:r>
      <w:r w:rsidR="004804BD">
        <w:rPr>
          <w:rFonts w:cs="Open Sans"/>
        </w:rPr>
        <w:t xml:space="preserve">Minister at the </w:t>
      </w:r>
      <w:r w:rsidR="00663A5A">
        <w:rPr>
          <w:rFonts w:cs="Open Sans"/>
        </w:rPr>
        <w:t xml:space="preserve">relevant </w:t>
      </w:r>
      <w:r w:rsidR="004804BD">
        <w:rPr>
          <w:rFonts w:cs="Open Sans"/>
        </w:rPr>
        <w:t>time</w:t>
      </w:r>
      <w:r>
        <w:rPr>
          <w:rFonts w:cs="Open Sans"/>
        </w:rPr>
        <w:t xml:space="preserve"> </w:t>
      </w:r>
      <w:r w:rsidRPr="00451B90">
        <w:rPr>
          <w:rFonts w:cs="Open Sans"/>
        </w:rPr>
        <w:t xml:space="preserve">(Minister). </w:t>
      </w:r>
    </w:p>
    <w:p w14:paraId="32083E0C" w14:textId="5FDA6C9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This </w:t>
      </w:r>
      <w:r w:rsidRPr="00451B90">
        <w:rPr>
          <w:rFonts w:eastAsia="Calibri" w:cs="Open Sans"/>
          <w:color w:val="000000"/>
        </w:rPr>
        <w:t>inquiry</w:t>
      </w:r>
      <w:r w:rsidRPr="00451B90">
        <w:rPr>
          <w:rFonts w:cs="Open Sans"/>
        </w:rPr>
        <w:t xml:space="preserve"> has been undertaken pursuant to s 11(1)(f) of the </w:t>
      </w:r>
      <w:r w:rsidRPr="00451B90">
        <w:rPr>
          <w:rFonts w:cs="Open Sans"/>
          <w:i/>
        </w:rPr>
        <w:t xml:space="preserve">Australian Human Rights Commission Act 1986 </w:t>
      </w:r>
      <w:r w:rsidRPr="00451B90">
        <w:rPr>
          <w:rFonts w:cs="Open Sans"/>
        </w:rPr>
        <w:t>(</w:t>
      </w:r>
      <w:proofErr w:type="spellStart"/>
      <w:r w:rsidRPr="00451B90">
        <w:rPr>
          <w:rFonts w:cs="Open Sans"/>
        </w:rPr>
        <w:t>Cth</w:t>
      </w:r>
      <w:proofErr w:type="spellEnd"/>
      <w:r w:rsidRPr="00451B90">
        <w:rPr>
          <w:rFonts w:cs="Open Sans"/>
        </w:rPr>
        <w:t>) (AHRC Act)</w:t>
      </w:r>
      <w:r w:rsidRPr="00451B90">
        <w:rPr>
          <w:rFonts w:cs="Open Sans"/>
          <w:i/>
        </w:rPr>
        <w:t xml:space="preserve"> </w:t>
      </w:r>
      <w:r w:rsidRPr="00451B90">
        <w:rPr>
          <w:rFonts w:cs="Open Sans"/>
          <w:iCs/>
        </w:rPr>
        <w:t>and</w:t>
      </w:r>
      <w:r w:rsidRPr="00451B90">
        <w:rPr>
          <w:rFonts w:cs="Open Sans"/>
          <w:i/>
        </w:rPr>
        <w:t xml:space="preserve"> </w:t>
      </w:r>
      <w:r w:rsidRPr="00451B90">
        <w:rPr>
          <w:rFonts w:cs="Open Sans"/>
        </w:rPr>
        <w:t xml:space="preserve">this </w:t>
      </w:r>
      <w:r w:rsidR="007D5111">
        <w:rPr>
          <w:rFonts w:cs="Open Sans"/>
        </w:rPr>
        <w:t>report</w:t>
      </w:r>
      <w:r w:rsidRPr="00451B90">
        <w:rPr>
          <w:rFonts w:cs="Open Sans"/>
        </w:rPr>
        <w:t xml:space="preserve"> is </w:t>
      </w:r>
      <w:r w:rsidRPr="00677DCA">
        <w:rPr>
          <w:rFonts w:cs="Open Sans"/>
        </w:rPr>
        <w:t>issued pursuant to s 29(2) of the AHRC Act.</w:t>
      </w:r>
      <w:r w:rsidRPr="00451B90">
        <w:rPr>
          <w:rFonts w:cs="Open Sans"/>
        </w:rPr>
        <w:t xml:space="preserve"> </w:t>
      </w:r>
    </w:p>
    <w:p w14:paraId="01410E62" w14:textId="2FA18E0D" w:rsidR="00903A38" w:rsidRPr="00451B90" w:rsidRDefault="00903A38" w:rsidP="00C84572">
      <w:pPr>
        <w:numPr>
          <w:ilvl w:val="0"/>
          <w:numId w:val="21"/>
        </w:numPr>
        <w:tabs>
          <w:tab w:val="clear" w:pos="720"/>
          <w:tab w:val="num" w:pos="862"/>
        </w:tabs>
        <w:ind w:left="862" w:hanging="862"/>
        <w:rPr>
          <w:rFonts w:cs="Open Sans"/>
        </w:rPr>
      </w:pPr>
      <w:bookmarkStart w:id="9" w:name="_Hlk23951431"/>
      <w:r w:rsidRPr="00451B90">
        <w:rPr>
          <w:rFonts w:eastAsia="Calibri" w:cs="Open Sans"/>
          <w:color w:val="000000"/>
        </w:rPr>
        <w:t>As</w:t>
      </w:r>
      <w:r w:rsidRPr="00451B90">
        <w:rPr>
          <w:rFonts w:cs="Open Sans"/>
        </w:rPr>
        <w:t xml:space="preserve"> a result of being refugees who have had their visas cancelled or </w:t>
      </w:r>
      <w:r w:rsidRPr="00451B90">
        <w:rPr>
          <w:rFonts w:eastAsia="Calibri" w:cs="Open Sans"/>
          <w:color w:val="000000"/>
        </w:rPr>
        <w:t>refused</w:t>
      </w:r>
      <w:r w:rsidRPr="00451B90">
        <w:rPr>
          <w:rFonts w:cs="Open Sans"/>
        </w:rPr>
        <w:t xml:space="preserve"> under s 501 of the </w:t>
      </w:r>
      <w:r w:rsidRPr="00451B90">
        <w:rPr>
          <w:rFonts w:cs="Open Sans"/>
          <w:iCs/>
        </w:rPr>
        <w:t>Migration Act</w:t>
      </w:r>
      <w:bookmarkEnd w:id="9"/>
      <w:r w:rsidRPr="00451B90">
        <w:rPr>
          <w:rFonts w:cs="Open Sans"/>
          <w:iCs/>
        </w:rPr>
        <w:t>, t</w:t>
      </w:r>
      <w:r w:rsidRPr="00451B90">
        <w:rPr>
          <w:rFonts w:cs="Open Sans"/>
        </w:rPr>
        <w:t xml:space="preserve">he complainants have each been held in closed immigration detention for between six </w:t>
      </w:r>
      <w:r w:rsidR="005A6459">
        <w:rPr>
          <w:rFonts w:cs="Open Sans"/>
        </w:rPr>
        <w:t>and</w:t>
      </w:r>
      <w:r w:rsidR="005A6459" w:rsidRPr="00451B90">
        <w:rPr>
          <w:rFonts w:cs="Open Sans"/>
        </w:rPr>
        <w:t xml:space="preserve"> </w:t>
      </w:r>
      <w:r w:rsidRPr="00451B90">
        <w:rPr>
          <w:rFonts w:cs="Open Sans"/>
        </w:rPr>
        <w:t xml:space="preserve">seven years. </w:t>
      </w:r>
      <w:r>
        <w:rPr>
          <w:rFonts w:cs="Open Sans"/>
        </w:rPr>
        <w:t>I understand that t</w:t>
      </w:r>
      <w:r w:rsidRPr="00451B90">
        <w:rPr>
          <w:rFonts w:cs="Open Sans"/>
        </w:rPr>
        <w:t xml:space="preserve">he detention of Mr </w:t>
      </w:r>
      <w:r w:rsidR="00AA64D6">
        <w:rPr>
          <w:rFonts w:cs="Open Sans"/>
        </w:rPr>
        <w:t>NT</w:t>
      </w:r>
      <w:r w:rsidRPr="00451B90">
        <w:rPr>
          <w:rFonts w:cs="Open Sans"/>
        </w:rPr>
        <w:t xml:space="preserve"> and Mr </w:t>
      </w:r>
      <w:r w:rsidR="00121B7C">
        <w:rPr>
          <w:rFonts w:cs="Open Sans"/>
        </w:rPr>
        <w:t>NU</w:t>
      </w:r>
      <w:r w:rsidRPr="00451B90">
        <w:rPr>
          <w:rFonts w:cs="Open Sans"/>
        </w:rPr>
        <w:t xml:space="preserve"> is ongoing. </w:t>
      </w:r>
    </w:p>
    <w:p w14:paraId="37D165AC" w14:textId="5BB08B25"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character concerns relating to the complainants are varied. In the case of Mr </w:t>
      </w:r>
      <w:r w:rsidR="00AA64D6">
        <w:rPr>
          <w:rFonts w:cs="Open Sans"/>
        </w:rPr>
        <w:t>NT</w:t>
      </w:r>
      <w:r w:rsidRPr="00451B90">
        <w:rPr>
          <w:rFonts w:cs="Open Sans"/>
        </w:rPr>
        <w:t xml:space="preserve"> and Mr </w:t>
      </w:r>
      <w:r w:rsidR="00463C15">
        <w:rPr>
          <w:rFonts w:cs="Open Sans"/>
        </w:rPr>
        <w:t>NS</w:t>
      </w:r>
      <w:r w:rsidRPr="00451B90">
        <w:rPr>
          <w:rFonts w:cs="Open Sans"/>
        </w:rPr>
        <w:t xml:space="preserve">, they have committed criminal offences and served custodial sentences. </w:t>
      </w:r>
      <w:r w:rsidR="00463C15">
        <w:rPr>
          <w:rFonts w:cs="Open Sans"/>
        </w:rPr>
        <w:t>Mr NS</w:t>
      </w:r>
      <w:r w:rsidRPr="00451B90">
        <w:rPr>
          <w:rFonts w:cs="Open Sans"/>
        </w:rPr>
        <w:t xml:space="preserve"> spent more time in immigration detention than in prison serving the </w:t>
      </w:r>
      <w:r w:rsidRPr="00451B90">
        <w:rPr>
          <w:rFonts w:eastAsia="Calibri" w:cs="Open Sans"/>
          <w:color w:val="000000"/>
        </w:rPr>
        <w:t>criminal</w:t>
      </w:r>
      <w:r w:rsidRPr="00451B90">
        <w:rPr>
          <w:rFonts w:cs="Open Sans"/>
        </w:rPr>
        <w:t xml:space="preserve"> sentence that triggered his visa refusal. In the case of Mr </w:t>
      </w:r>
      <w:r w:rsidR="00121B7C">
        <w:rPr>
          <w:rFonts w:cs="Open Sans"/>
        </w:rPr>
        <w:t>NU</w:t>
      </w:r>
      <w:r w:rsidRPr="00451B90">
        <w:rPr>
          <w:rFonts w:cs="Open Sans"/>
        </w:rPr>
        <w:t xml:space="preserve">, there appear to be public safety concerns. However, on the information before the Commission, Mr </w:t>
      </w:r>
      <w:r w:rsidR="00121B7C">
        <w:rPr>
          <w:rFonts w:cs="Open Sans"/>
        </w:rPr>
        <w:t>NU</w:t>
      </w:r>
      <w:r w:rsidRPr="00451B90">
        <w:rPr>
          <w:rFonts w:cs="Open Sans"/>
        </w:rPr>
        <w:t xml:space="preserve"> has never had a criminal conviction or served a prison sentence.</w:t>
      </w:r>
    </w:p>
    <w:p w14:paraId="7736476E"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t>The</w:t>
      </w:r>
      <w:r w:rsidRPr="00451B90">
        <w:rPr>
          <w:rFonts w:cs="Open Sans"/>
        </w:rPr>
        <w:t xml:space="preserve"> prolonged length of the complainants’ immigration detention raises concerns </w:t>
      </w:r>
      <w:r w:rsidRPr="00451B90">
        <w:rPr>
          <w:rFonts w:eastAsia="Calibri" w:cs="Open Sans"/>
          <w:color w:val="000000"/>
        </w:rPr>
        <w:t>about</w:t>
      </w:r>
      <w:r w:rsidRPr="00451B90">
        <w:rPr>
          <w:rFonts w:cs="Open Sans"/>
        </w:rPr>
        <w:t xml:space="preserve"> their human right to be free from arbitrary detention </w:t>
      </w:r>
      <w:r w:rsidRPr="00451B90">
        <w:rPr>
          <w:rFonts w:cs="Open Sans"/>
        </w:rPr>
        <w:lastRenderedPageBreak/>
        <w:t xml:space="preserve">under article 9 of the </w:t>
      </w:r>
      <w:r w:rsidRPr="00451B90">
        <w:rPr>
          <w:rFonts w:cs="Open Sans"/>
          <w:i/>
        </w:rPr>
        <w:t>International Covenant on Civil and Political Rights</w:t>
      </w:r>
      <w:r w:rsidRPr="00451B90">
        <w:rPr>
          <w:rFonts w:cs="Open Sans"/>
        </w:rPr>
        <w:t xml:space="preserve"> (ICCPR). </w:t>
      </w:r>
    </w:p>
    <w:p w14:paraId="785F4B5B" w14:textId="1D11F152"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t>The</w:t>
      </w:r>
      <w:r w:rsidRPr="00451B90">
        <w:rPr>
          <w:rFonts w:cs="Open Sans"/>
        </w:rPr>
        <w:t xml:space="preserve"> Commission has conducted a separate thematic inquiry into 11 human rights complaints made by other individuals, who have experienced, or </w:t>
      </w:r>
      <w:r w:rsidRPr="00451B90">
        <w:rPr>
          <w:rFonts w:eastAsia="Calibri" w:cs="Open Sans"/>
          <w:color w:val="000000"/>
        </w:rPr>
        <w:t>continue</w:t>
      </w:r>
      <w:r w:rsidRPr="00451B90">
        <w:rPr>
          <w:rFonts w:cs="Open Sans"/>
        </w:rPr>
        <w:t xml:space="preserve"> to experience, lengthy immigration detention due to being deemed not to pass the character test under s 501 of the </w:t>
      </w:r>
      <w:r w:rsidRPr="00451B90">
        <w:rPr>
          <w:rFonts w:cs="Open Sans"/>
          <w:iCs/>
        </w:rPr>
        <w:t>Migration Act</w:t>
      </w:r>
      <w:r w:rsidRPr="00451B90" w:rsidDel="00803AB3">
        <w:rPr>
          <w:rFonts w:cs="Open Sans"/>
        </w:rPr>
        <w:t xml:space="preserve"> </w:t>
      </w:r>
      <w:r w:rsidRPr="00451B90">
        <w:rPr>
          <w:rFonts w:cs="Open Sans"/>
        </w:rPr>
        <w:t>(the s 501 Inquiry).</w:t>
      </w:r>
      <w:r w:rsidRPr="00451B90">
        <w:rPr>
          <w:rStyle w:val="EndnoteReference"/>
          <w:rFonts w:cs="Open Sans"/>
        </w:rPr>
        <w:endnoteReference w:id="2"/>
      </w:r>
      <w:r w:rsidRPr="00451B90">
        <w:rPr>
          <w:rFonts w:cs="Open Sans"/>
        </w:rPr>
        <w:t xml:space="preserve"> However, unlike the current complainants, the complainants in the s 501 Inquiry are not refugees. Therefore, the complainants in this inquiry have an added level of vulnerability as they cannot be returned to their home countries because</w:t>
      </w:r>
      <w:r w:rsidR="00A445FC">
        <w:rPr>
          <w:rFonts w:cs="Open Sans"/>
        </w:rPr>
        <w:t>, having been found to be refugees,</w:t>
      </w:r>
      <w:r w:rsidRPr="00451B90">
        <w:rPr>
          <w:rFonts w:cs="Open Sans"/>
        </w:rPr>
        <w:t xml:space="preserve"> they face a well-founded fear of persecution. </w:t>
      </w:r>
    </w:p>
    <w:p w14:paraId="7ADAE0C2"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t xml:space="preserve">The </w:t>
      </w:r>
      <w:r w:rsidRPr="00451B90">
        <w:rPr>
          <w:rFonts w:cs="Open Sans"/>
        </w:rPr>
        <w:t xml:space="preserve">s 501 Inquiry found that all 11 complainants had </w:t>
      </w:r>
      <w:r w:rsidRPr="00451B90">
        <w:rPr>
          <w:rFonts w:eastAsia="Calibri" w:cs="Open Sans"/>
          <w:color w:val="000000"/>
        </w:rPr>
        <w:t>been</w:t>
      </w:r>
      <w:r w:rsidRPr="00451B90">
        <w:rPr>
          <w:rFonts w:cs="Open Sans"/>
        </w:rPr>
        <w:t xml:space="preserve"> arbitrarily detained contrary to article 9 of the ICCPR, on the basis that the Department or the </w:t>
      </w:r>
      <w:r>
        <w:rPr>
          <w:rFonts w:cs="Open Sans"/>
        </w:rPr>
        <w:t xml:space="preserve">then </w:t>
      </w:r>
      <w:r w:rsidRPr="00451B90">
        <w:rPr>
          <w:rFonts w:cs="Open Sans"/>
        </w:rPr>
        <w:t>Minister failed to refer for consideration, or to consider, alternative options to closed detention — being community detention or a bridging visa.</w:t>
      </w:r>
    </w:p>
    <w:p w14:paraId="39ED78AD"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fact that detention may be lawful under Australian domestic law does not prevent it from being considered ‘arbitrary’ under international human rights law. </w:t>
      </w:r>
      <w:r w:rsidRPr="00451B90">
        <w:rPr>
          <w:rFonts w:eastAsia="Calibri" w:cs="Open Sans"/>
          <w:color w:val="000000"/>
        </w:rPr>
        <w:t xml:space="preserve">For detention to avoid being considered </w:t>
      </w:r>
      <w:r>
        <w:rPr>
          <w:rFonts w:eastAsia="Calibri" w:cs="Open Sans"/>
          <w:color w:val="000000"/>
        </w:rPr>
        <w:t>‘</w:t>
      </w:r>
      <w:r w:rsidRPr="00451B90">
        <w:rPr>
          <w:rFonts w:eastAsia="Calibri" w:cs="Open Sans"/>
          <w:color w:val="000000"/>
        </w:rPr>
        <w:t>arbitrary</w:t>
      </w:r>
      <w:r>
        <w:rPr>
          <w:rFonts w:eastAsia="Calibri" w:cs="Open Sans"/>
          <w:color w:val="000000"/>
        </w:rPr>
        <w:t>’</w:t>
      </w:r>
      <w:r w:rsidRPr="00451B90">
        <w:rPr>
          <w:rFonts w:eastAsia="Calibri" w:cs="Open Sans"/>
          <w:color w:val="000000"/>
        </w:rPr>
        <w:t xml:space="preserve"> under </w:t>
      </w:r>
      <w:r>
        <w:rPr>
          <w:rFonts w:eastAsia="Calibri" w:cs="Open Sans"/>
          <w:color w:val="000000"/>
        </w:rPr>
        <w:t xml:space="preserve">international </w:t>
      </w:r>
      <w:r w:rsidRPr="00451B90">
        <w:rPr>
          <w:rFonts w:eastAsia="Calibri" w:cs="Open Sans"/>
          <w:color w:val="000000"/>
        </w:rPr>
        <w:t>human rights law, the detention must be justified as reasonable, necessary and proportionate on the basis of an individual’s</w:t>
      </w:r>
      <w:r w:rsidRPr="00451B90">
        <w:rPr>
          <w:rFonts w:eastAsia="Calibri" w:cs="Open Sans"/>
          <w:i/>
          <w:iCs/>
          <w:color w:val="000000"/>
        </w:rPr>
        <w:t xml:space="preserve"> </w:t>
      </w:r>
      <w:r w:rsidRPr="00451B90">
        <w:rPr>
          <w:rFonts w:eastAsia="Calibri" w:cs="Open Sans"/>
          <w:color w:val="000000"/>
        </w:rPr>
        <w:t xml:space="preserve">particular circumstances. </w:t>
      </w:r>
    </w:p>
    <w:p w14:paraId="663B449C"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t>Furthermore, there is an obligation on the Commonwealth to demonstrate that there is not a less invasive way than closed detention to achieve the ends of its immigration policy (for example the imposition of reporting obligations, sureties or other conditions) in order to avoid the conclusion that detention is ‘arbitrary’.</w:t>
      </w:r>
    </w:p>
    <w:p w14:paraId="0AC4049E"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t>To comply with these obligations, the Department needs to conduct an individualised risk assessment to determine whether any risks a person might pose to the community could be mitigated in ways other than closed detention, as well as ongoing reviews to determine whether their detention remains necessary.</w:t>
      </w:r>
    </w:p>
    <w:p w14:paraId="1CF1E31D"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t xml:space="preserve">In the </w:t>
      </w:r>
      <w:r w:rsidRPr="00451B90">
        <w:rPr>
          <w:rFonts w:cs="Open Sans"/>
        </w:rPr>
        <w:t>s 501 Inquiry, I considered the Department’s decision-making framework and noted that it does not appear to require individualised risk assessments to consider whether any potential risks that an individual poses could be satisfactorily mitigated if the person were permitted to reside in the community.</w:t>
      </w:r>
      <w:r w:rsidRPr="00451B90">
        <w:rPr>
          <w:rStyle w:val="EndnoteReference"/>
          <w:rFonts w:cs="Open Sans"/>
        </w:rPr>
        <w:endnoteReference w:id="3"/>
      </w:r>
      <w:r w:rsidRPr="00451B90">
        <w:rPr>
          <w:rFonts w:cs="Open Sans"/>
        </w:rPr>
        <w:t xml:space="preserve"> I identified the parole system in Australia as a good model of how potential risks posed by convicted criminals can be managed.</w:t>
      </w:r>
    </w:p>
    <w:p w14:paraId="06A28E7B" w14:textId="77777777" w:rsidR="00903A38" w:rsidRPr="00451B90" w:rsidRDefault="00903A38" w:rsidP="00C84572">
      <w:pPr>
        <w:numPr>
          <w:ilvl w:val="0"/>
          <w:numId w:val="21"/>
        </w:numPr>
        <w:tabs>
          <w:tab w:val="clear" w:pos="720"/>
          <w:tab w:val="num" w:pos="862"/>
        </w:tabs>
        <w:ind w:left="862" w:hanging="862"/>
        <w:rPr>
          <w:rFonts w:cs="Open Sans"/>
        </w:rPr>
      </w:pPr>
      <w:bookmarkStart w:id="10" w:name="_Hlk23952183"/>
      <w:r w:rsidRPr="00451B90">
        <w:rPr>
          <w:rFonts w:cs="Open Sans"/>
        </w:rPr>
        <w:lastRenderedPageBreak/>
        <w:t>In the s 501 Inquiry, I also referred to decision-making models used by comparative jurisdictions.</w:t>
      </w:r>
      <w:r w:rsidRPr="00451B90">
        <w:rPr>
          <w:rStyle w:val="EndnoteReference"/>
          <w:rFonts w:cs="Open Sans"/>
        </w:rPr>
        <w:endnoteReference w:id="4"/>
      </w:r>
      <w:r w:rsidRPr="00451B90">
        <w:rPr>
          <w:rFonts w:cs="Open Sans"/>
        </w:rPr>
        <w:t xml:space="preserve"> The United Kingdom, Canada and New Zealand similarly grapple with how to deal with unlawful non-citizens who have committed crimes and are waiting to have their immigration status resolved. These countries adopt policies and practices that may reduce the risk of arbitrary detention. In particular, in the UK and Canada, there is a presumption that individuals will be released from detention with the provision to impose conditions to manage any risk to the community.</w:t>
      </w:r>
    </w:p>
    <w:bookmarkEnd w:id="10"/>
    <w:p w14:paraId="2540A7FA" w14:textId="568D984E"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 refer to and rely on that analysis in this inquiry. A decision-making framework that is consistent with human rights is vital for the particularly vulnerable cohort of detainees </w:t>
      </w:r>
      <w:r w:rsidR="007C04EE">
        <w:rPr>
          <w:rFonts w:cs="Open Sans"/>
        </w:rPr>
        <w:t>who</w:t>
      </w:r>
      <w:r w:rsidR="007C04EE" w:rsidRPr="00451B90">
        <w:rPr>
          <w:rFonts w:cs="Open Sans"/>
        </w:rPr>
        <w:t xml:space="preserve"> </w:t>
      </w:r>
      <w:r>
        <w:rPr>
          <w:rFonts w:cs="Open Sans"/>
        </w:rPr>
        <w:t>are</w:t>
      </w:r>
      <w:r w:rsidRPr="00451B90">
        <w:rPr>
          <w:rFonts w:cs="Open Sans"/>
        </w:rPr>
        <w:t xml:space="preserve"> the subject of this inquiry.</w:t>
      </w:r>
    </w:p>
    <w:p w14:paraId="3C78EA80"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As with the s 501 Inquiry, this inquiry does not consider the reasonableness of any specific decision to cancel or refuse a visa. Further, I do not come to a view as to whether any of the complainants should be released into the community. Rather, this inquiry focuses on whether the Commonwealth’s decision to continue to detain the complainants is, or was, consistent with their human rights, and in what ways relevant decision-making processes could be made more compatible with human rights in such difficult contexts.</w:t>
      </w:r>
    </w:p>
    <w:p w14:paraId="05C911B0" w14:textId="02088582"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As a result of this inquiry, I have formed the view that the failure or delay of the Department to refer the complainants’ cases to the Minister for consideration of alternative options to closed detention under ss 195A or 197AB of the Migration Act, and decisions of the </w:t>
      </w:r>
      <w:r>
        <w:rPr>
          <w:rFonts w:cs="Open Sans"/>
        </w:rPr>
        <w:t xml:space="preserve">then </w:t>
      </w:r>
      <w:r w:rsidRPr="00451B90">
        <w:rPr>
          <w:rFonts w:cs="Open Sans"/>
        </w:rPr>
        <w:t xml:space="preserve">Minister not to consider these alternative options, have resulted in </w:t>
      </w:r>
      <w:r w:rsidR="00C5322A">
        <w:rPr>
          <w:rFonts w:cs="Open Sans"/>
        </w:rPr>
        <w:t xml:space="preserve">the detention of </w:t>
      </w:r>
      <w:r w:rsidRPr="00451B90">
        <w:rPr>
          <w:rFonts w:cs="Open Sans"/>
        </w:rPr>
        <w:t xml:space="preserve">each of the complainants becoming arbitrary in contravention of article 9 of the ICCPR. </w:t>
      </w:r>
    </w:p>
    <w:p w14:paraId="0DB8309B" w14:textId="45D6A3E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More generally, I am concerned about the high risk of Mr </w:t>
      </w:r>
      <w:r w:rsidR="00AA64D6">
        <w:rPr>
          <w:rFonts w:cs="Open Sans"/>
        </w:rPr>
        <w:t>NT</w:t>
      </w:r>
      <w:r w:rsidRPr="00451B90">
        <w:rPr>
          <w:rFonts w:cs="Open Sans"/>
        </w:rPr>
        <w:t xml:space="preserve"> and Mr </w:t>
      </w:r>
      <w:r w:rsidR="00121B7C">
        <w:rPr>
          <w:rFonts w:cs="Open Sans"/>
        </w:rPr>
        <w:t>NU</w:t>
      </w:r>
      <w:r w:rsidRPr="00451B90">
        <w:rPr>
          <w:rFonts w:cs="Open Sans"/>
        </w:rPr>
        <w:t xml:space="preserve"> being effectively detained indefinitely. This is the effect of </w:t>
      </w:r>
      <w:r>
        <w:rPr>
          <w:rFonts w:cs="Open Sans"/>
        </w:rPr>
        <w:t xml:space="preserve">the operation of </w:t>
      </w:r>
      <w:r w:rsidRPr="00451B90">
        <w:rPr>
          <w:rFonts w:cs="Open Sans"/>
        </w:rPr>
        <w:t>the Migration Act as a matter of Australian law</w:t>
      </w:r>
      <w:r w:rsidR="00D207F0">
        <w:rPr>
          <w:rFonts w:cs="Open Sans"/>
        </w:rPr>
        <w:t xml:space="preserve"> as it presently stands</w:t>
      </w:r>
      <w:r w:rsidRPr="00451B90">
        <w:rPr>
          <w:rFonts w:cs="Open Sans"/>
        </w:rPr>
        <w:t xml:space="preserve">. There does not appear to be a durable solution to this unsatisfactory outcome for a cohort of people, namely refugees with character concerns, and this is at odds with international human rights law. </w:t>
      </w:r>
    </w:p>
    <w:p w14:paraId="6E2D6F77"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The Commission has also previously made a submission to the Commonwealth Parliament’s Joint Standing Committee on Migration, noting the high risk of immigration detention becoming arbitrary under article 9 of the ICCPR where refugees are refused visas on character grounds, and making recommendations for reform.</w:t>
      </w:r>
      <w:r w:rsidRPr="00451B90">
        <w:rPr>
          <w:rStyle w:val="EndnoteReference"/>
          <w:rFonts w:cs="Open Sans"/>
        </w:rPr>
        <w:endnoteReference w:id="5"/>
      </w:r>
      <w:r w:rsidRPr="00451B90">
        <w:rPr>
          <w:rFonts w:cs="Open Sans"/>
        </w:rPr>
        <w:t xml:space="preserve"> </w:t>
      </w:r>
    </w:p>
    <w:p w14:paraId="601A1B2B" w14:textId="1BF67CDC" w:rsidR="00903A38" w:rsidRPr="00451B90" w:rsidRDefault="00903A38" w:rsidP="00C84572">
      <w:pPr>
        <w:numPr>
          <w:ilvl w:val="0"/>
          <w:numId w:val="21"/>
        </w:numPr>
        <w:tabs>
          <w:tab w:val="clear" w:pos="720"/>
          <w:tab w:val="num" w:pos="862"/>
        </w:tabs>
        <w:ind w:left="862" w:hanging="862"/>
        <w:rPr>
          <w:rStyle w:val="EndnoteReference"/>
          <w:rFonts w:cs="Open Sans"/>
        </w:rPr>
      </w:pPr>
      <w:r w:rsidRPr="00451B90">
        <w:rPr>
          <w:rFonts w:cs="Open Sans"/>
        </w:rPr>
        <w:lastRenderedPageBreak/>
        <w:t>I further note the guidance provided by the United Nations Human Rights Committee (UN HR Committee) in General Comment No 35 on article 9 of the ICCPR. It provides that a person who has fully served a criminal sentence should not be subject to further civil detention that is equivalent to penal imprisonment.</w:t>
      </w:r>
      <w:r w:rsidRPr="00451B90">
        <w:rPr>
          <w:rStyle w:val="EndnoteReference"/>
          <w:rFonts w:cs="Open Sans"/>
        </w:rPr>
        <w:endnoteReference w:id="6"/>
      </w:r>
      <w:r w:rsidRPr="00451B90">
        <w:rPr>
          <w:rFonts w:cs="Open Sans"/>
        </w:rPr>
        <w:t xml:space="preserve"> It notes that protection of the community, including through general and specific deterrence, has already been carefully considered and addressed through the process of criminal sentencing and imprisonment. It states that the decision to keep a person in any form of administrative detention is also arbitrary if not subject to periodic re-evaluation of the justification for continuing detention.</w:t>
      </w:r>
      <w:r w:rsidRPr="00451B90">
        <w:rPr>
          <w:rStyle w:val="EndnoteReference"/>
          <w:rFonts w:cs="Open Sans"/>
        </w:rPr>
        <w:endnoteReference w:id="7"/>
      </w:r>
    </w:p>
    <w:p w14:paraId="64913309" w14:textId="77777777" w:rsidR="00903A38" w:rsidRPr="00451B90" w:rsidRDefault="00903A38" w:rsidP="00C84572">
      <w:pPr>
        <w:pStyle w:val="Heading1"/>
        <w:numPr>
          <w:ilvl w:val="0"/>
          <w:numId w:val="20"/>
        </w:numPr>
        <w:rPr>
          <w:rFonts w:cs="Open Sans"/>
        </w:rPr>
      </w:pPr>
      <w:bookmarkStart w:id="11" w:name="_Toc79503153"/>
      <w:bookmarkStart w:id="12" w:name="_Toc87965772"/>
      <w:r w:rsidRPr="00451B90">
        <w:rPr>
          <w:rFonts w:cs="Open Sans"/>
        </w:rPr>
        <w:t>Summary of findings and recommendations</w:t>
      </w:r>
      <w:bookmarkEnd w:id="11"/>
      <w:bookmarkEnd w:id="12"/>
    </w:p>
    <w:p w14:paraId="315FC81F"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As a result of this inquiry, I find that all three complainants have been detained in a manner contrary to article 9 of the ICCPR. </w:t>
      </w:r>
    </w:p>
    <w:p w14:paraId="428D1DA9" w14:textId="6C51659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At the end of this </w:t>
      </w:r>
      <w:r w:rsidR="00EC424C">
        <w:rPr>
          <w:rFonts w:cs="Open Sans"/>
        </w:rPr>
        <w:t>report</w:t>
      </w:r>
      <w:r w:rsidRPr="00451B90">
        <w:rPr>
          <w:rFonts w:cs="Open Sans"/>
        </w:rPr>
        <w:t xml:space="preserve">, I make the following recommendations aimed at preventing repetition of the acts and/or continuation of the practices that I have found to be inconsistent with Australia’s international </w:t>
      </w:r>
      <w:r>
        <w:rPr>
          <w:rFonts w:cs="Open Sans"/>
        </w:rPr>
        <w:t xml:space="preserve">human rights </w:t>
      </w:r>
      <w:r w:rsidRPr="00451B90">
        <w:rPr>
          <w:rFonts w:cs="Open Sans"/>
        </w:rPr>
        <w:t>law obligations:</w:t>
      </w:r>
    </w:p>
    <w:p w14:paraId="34445411" w14:textId="026793E6" w:rsidR="00903A38" w:rsidRPr="006D2D2C" w:rsidRDefault="00903A38" w:rsidP="006D2D2C">
      <w:pPr>
        <w:pStyle w:val="ListParagraph"/>
        <w:numPr>
          <w:ilvl w:val="0"/>
          <w:numId w:val="25"/>
        </w:numPr>
        <w:contextualSpacing/>
        <w:rPr>
          <w:rFonts w:cs="Open Sans"/>
          <w:sz w:val="22"/>
          <w:szCs w:val="22"/>
        </w:rPr>
      </w:pPr>
      <w:r w:rsidRPr="00451B90">
        <w:rPr>
          <w:rFonts w:cs="Open Sans"/>
          <w:sz w:val="22"/>
          <w:szCs w:val="22"/>
        </w:rPr>
        <w:t xml:space="preserve">The </w:t>
      </w:r>
      <w:r>
        <w:rPr>
          <w:rFonts w:cs="Open Sans"/>
          <w:sz w:val="22"/>
          <w:szCs w:val="22"/>
        </w:rPr>
        <w:t xml:space="preserve">relevant Home Affairs portfolio </w:t>
      </w:r>
      <w:r w:rsidRPr="00451B90">
        <w:rPr>
          <w:rFonts w:cs="Open Sans"/>
          <w:sz w:val="22"/>
          <w:szCs w:val="22"/>
        </w:rPr>
        <w:t xml:space="preserve">Minister indicate to the Department that </w:t>
      </w:r>
      <w:r>
        <w:rPr>
          <w:rFonts w:cs="Open Sans"/>
          <w:sz w:val="22"/>
          <w:szCs w:val="22"/>
        </w:rPr>
        <w:t xml:space="preserve">they </w:t>
      </w:r>
      <w:r w:rsidRPr="00451B90">
        <w:rPr>
          <w:rFonts w:cs="Open Sans"/>
          <w:sz w:val="22"/>
          <w:szCs w:val="22"/>
        </w:rPr>
        <w:t xml:space="preserve">will consider a further submission about the exercise of </w:t>
      </w:r>
      <w:r>
        <w:rPr>
          <w:rFonts w:cs="Open Sans"/>
          <w:sz w:val="22"/>
          <w:szCs w:val="22"/>
        </w:rPr>
        <w:t xml:space="preserve">their </w:t>
      </w:r>
      <w:r w:rsidRPr="00451B90">
        <w:rPr>
          <w:rFonts w:cs="Open Sans"/>
          <w:sz w:val="22"/>
          <w:szCs w:val="22"/>
        </w:rPr>
        <w:t xml:space="preserve">powers under s 195A and/or s 197AB in relation to Mr </w:t>
      </w:r>
      <w:r w:rsidR="00AA64D6">
        <w:rPr>
          <w:rFonts w:cs="Open Sans"/>
          <w:sz w:val="22"/>
          <w:szCs w:val="22"/>
        </w:rPr>
        <w:t>NT</w:t>
      </w:r>
      <w:r w:rsidRPr="00451B90">
        <w:rPr>
          <w:rFonts w:cs="Open Sans"/>
          <w:sz w:val="22"/>
          <w:szCs w:val="22"/>
        </w:rPr>
        <w:t xml:space="preserve"> and Mr </w:t>
      </w:r>
      <w:r w:rsidR="00121B7C">
        <w:rPr>
          <w:rFonts w:cs="Open Sans"/>
          <w:sz w:val="22"/>
          <w:szCs w:val="22"/>
        </w:rPr>
        <w:t>NU</w:t>
      </w:r>
      <w:r w:rsidRPr="00451B90">
        <w:rPr>
          <w:rFonts w:cs="Open Sans"/>
          <w:sz w:val="22"/>
          <w:szCs w:val="22"/>
        </w:rPr>
        <w:t>.</w:t>
      </w:r>
      <w:r w:rsidR="006D2D2C">
        <w:rPr>
          <w:rFonts w:cs="Open Sans"/>
          <w:sz w:val="22"/>
          <w:szCs w:val="22"/>
        </w:rPr>
        <w:br/>
      </w:r>
    </w:p>
    <w:p w14:paraId="3C59D58F" w14:textId="497AB364" w:rsidR="00903A38" w:rsidRPr="00451B90" w:rsidRDefault="00903A38" w:rsidP="00C84572">
      <w:pPr>
        <w:pStyle w:val="ListParagraph"/>
        <w:numPr>
          <w:ilvl w:val="0"/>
          <w:numId w:val="25"/>
        </w:numPr>
        <w:contextualSpacing/>
        <w:rPr>
          <w:rFonts w:cs="Open Sans"/>
          <w:sz w:val="22"/>
          <w:szCs w:val="22"/>
        </w:rPr>
      </w:pPr>
      <w:r w:rsidRPr="00451B90">
        <w:rPr>
          <w:rFonts w:cs="Open Sans"/>
          <w:sz w:val="22"/>
          <w:szCs w:val="22"/>
        </w:rPr>
        <w:t xml:space="preserve">In the event that the Minister is concerned that Mr </w:t>
      </w:r>
      <w:r w:rsidR="00AA64D6">
        <w:rPr>
          <w:rFonts w:cs="Open Sans"/>
          <w:sz w:val="22"/>
          <w:szCs w:val="22"/>
        </w:rPr>
        <w:t>NT</w:t>
      </w:r>
      <w:r w:rsidRPr="00451B90">
        <w:rPr>
          <w:rFonts w:cs="Open Sans"/>
          <w:sz w:val="22"/>
          <w:szCs w:val="22"/>
        </w:rPr>
        <w:t xml:space="preserve"> or Mr </w:t>
      </w:r>
      <w:r w:rsidR="00121B7C">
        <w:rPr>
          <w:rFonts w:cs="Open Sans"/>
          <w:sz w:val="22"/>
          <w:szCs w:val="22"/>
        </w:rPr>
        <w:t>NU</w:t>
      </w:r>
      <w:r w:rsidRPr="00451B90">
        <w:rPr>
          <w:rFonts w:cs="Open Sans"/>
          <w:sz w:val="22"/>
          <w:szCs w:val="22"/>
        </w:rPr>
        <w:t xml:space="preserve"> may pose some risk if allowed to reside in the community (such as a risk of re-offending or to public safety), </w:t>
      </w:r>
      <w:r>
        <w:rPr>
          <w:rFonts w:cs="Open Sans"/>
          <w:sz w:val="22"/>
          <w:szCs w:val="22"/>
        </w:rPr>
        <w:t>they</w:t>
      </w:r>
      <w:r w:rsidRPr="00451B90">
        <w:rPr>
          <w:rFonts w:cs="Open Sans"/>
          <w:sz w:val="22"/>
          <w:szCs w:val="22"/>
        </w:rPr>
        <w:t xml:space="preserve"> direct the Department to prepare a detailed submission</w:t>
      </w:r>
      <w:r>
        <w:rPr>
          <w:rFonts w:cs="Open Sans"/>
          <w:sz w:val="22"/>
          <w:szCs w:val="22"/>
        </w:rPr>
        <w:t>,</w:t>
      </w:r>
      <w:r w:rsidRPr="00451B90">
        <w:rPr>
          <w:rFonts w:cs="Open Sans"/>
          <w:sz w:val="22"/>
          <w:szCs w:val="22"/>
        </w:rPr>
        <w:t xml:space="preserve"> including the following:</w:t>
      </w:r>
    </w:p>
    <w:p w14:paraId="5D62B06E" w14:textId="77777777" w:rsidR="00903A38" w:rsidRPr="00451B90" w:rsidRDefault="00903A38" w:rsidP="00C84572">
      <w:pPr>
        <w:numPr>
          <w:ilvl w:val="0"/>
          <w:numId w:val="26"/>
        </w:numPr>
        <w:tabs>
          <w:tab w:val="num" w:pos="2160"/>
        </w:tabs>
        <w:rPr>
          <w:rFonts w:cs="Open Sans"/>
          <w:sz w:val="22"/>
          <w:szCs w:val="22"/>
        </w:rPr>
      </w:pPr>
      <w:r w:rsidRPr="00451B90">
        <w:rPr>
          <w:rFonts w:cs="Open Sans"/>
          <w:sz w:val="22"/>
          <w:szCs w:val="22"/>
        </w:rPr>
        <w:t>a personalised assessment of the existence and/or extent of any such risk, including a detailed description of the nature of the risk and of the evidence and reasons leading to the assessment</w:t>
      </w:r>
    </w:p>
    <w:p w14:paraId="2E1751DD" w14:textId="681BA731" w:rsidR="00903A38" w:rsidRPr="00451B90" w:rsidRDefault="00903A38" w:rsidP="00C84572">
      <w:pPr>
        <w:numPr>
          <w:ilvl w:val="0"/>
          <w:numId w:val="26"/>
        </w:numPr>
        <w:tabs>
          <w:tab w:val="num" w:pos="2160"/>
        </w:tabs>
        <w:rPr>
          <w:rFonts w:cs="Open Sans"/>
          <w:sz w:val="22"/>
          <w:szCs w:val="22"/>
        </w:rPr>
      </w:pPr>
      <w:r w:rsidRPr="00451B90">
        <w:rPr>
          <w:rFonts w:cs="Open Sans"/>
          <w:sz w:val="22"/>
          <w:szCs w:val="22"/>
        </w:rPr>
        <w:t xml:space="preserve">a description of what measures might be implemented to ameliorate any risk in the event Mr </w:t>
      </w:r>
      <w:r w:rsidR="00AA64D6">
        <w:rPr>
          <w:rFonts w:cs="Open Sans"/>
          <w:sz w:val="22"/>
          <w:szCs w:val="22"/>
        </w:rPr>
        <w:t>NT</w:t>
      </w:r>
      <w:r w:rsidRPr="00451B90">
        <w:rPr>
          <w:rFonts w:cs="Open Sans"/>
          <w:sz w:val="22"/>
          <w:szCs w:val="22"/>
        </w:rPr>
        <w:t xml:space="preserve"> or Mr </w:t>
      </w:r>
      <w:r w:rsidR="00121B7C">
        <w:rPr>
          <w:rFonts w:cs="Open Sans"/>
          <w:sz w:val="22"/>
          <w:szCs w:val="22"/>
        </w:rPr>
        <w:t>NU</w:t>
      </w:r>
      <w:r w:rsidRPr="00451B90">
        <w:rPr>
          <w:rFonts w:cs="Open Sans"/>
          <w:sz w:val="22"/>
          <w:szCs w:val="22"/>
        </w:rPr>
        <w:t xml:space="preserve"> were allowed to reside in the community</w:t>
      </w:r>
    </w:p>
    <w:p w14:paraId="4FAC6653" w14:textId="77777777" w:rsidR="00903A38" w:rsidRPr="00451B90" w:rsidRDefault="00903A38" w:rsidP="00C84572">
      <w:pPr>
        <w:numPr>
          <w:ilvl w:val="0"/>
          <w:numId w:val="26"/>
        </w:numPr>
        <w:tabs>
          <w:tab w:val="num" w:pos="2160"/>
        </w:tabs>
        <w:rPr>
          <w:rFonts w:cs="Open Sans"/>
          <w:sz w:val="22"/>
          <w:szCs w:val="22"/>
        </w:rPr>
      </w:pPr>
      <w:r w:rsidRPr="00451B90">
        <w:rPr>
          <w:rFonts w:cs="Open Sans"/>
          <w:sz w:val="22"/>
          <w:szCs w:val="22"/>
        </w:rPr>
        <w:t>an assessment of whether any risk, if present, could be satisfactorily addressed by the identified measures.</w:t>
      </w:r>
    </w:p>
    <w:p w14:paraId="23DE4C3B" w14:textId="33AB1245" w:rsidR="00903A38" w:rsidRDefault="00903A38" w:rsidP="00C84572">
      <w:pPr>
        <w:pStyle w:val="ListParagraph"/>
        <w:numPr>
          <w:ilvl w:val="0"/>
          <w:numId w:val="25"/>
        </w:numPr>
        <w:contextualSpacing/>
        <w:rPr>
          <w:rFonts w:cs="Open Sans"/>
          <w:sz w:val="22"/>
          <w:szCs w:val="22"/>
        </w:rPr>
      </w:pPr>
      <w:r w:rsidRPr="00451B90">
        <w:rPr>
          <w:rFonts w:cs="Open Sans"/>
          <w:sz w:val="22"/>
          <w:szCs w:val="22"/>
        </w:rPr>
        <w:t xml:space="preserve">The Department prepare a fresh submission to the </w:t>
      </w:r>
      <w:r>
        <w:rPr>
          <w:rFonts w:cs="Open Sans"/>
          <w:sz w:val="22"/>
          <w:szCs w:val="22"/>
        </w:rPr>
        <w:t xml:space="preserve">relevant Home Affairs portfolio </w:t>
      </w:r>
      <w:r w:rsidRPr="00451B90">
        <w:rPr>
          <w:rFonts w:cs="Open Sans"/>
          <w:sz w:val="22"/>
          <w:szCs w:val="22"/>
        </w:rPr>
        <w:t xml:space="preserve">Minister about the exercise of </w:t>
      </w:r>
      <w:r>
        <w:rPr>
          <w:rFonts w:cs="Open Sans"/>
          <w:sz w:val="22"/>
          <w:szCs w:val="22"/>
        </w:rPr>
        <w:t>their</w:t>
      </w:r>
      <w:r w:rsidRPr="00451B90">
        <w:rPr>
          <w:rFonts w:cs="Open Sans"/>
          <w:sz w:val="22"/>
          <w:szCs w:val="22"/>
        </w:rPr>
        <w:t xml:space="preserve"> discretionary powers in relation to Mr </w:t>
      </w:r>
      <w:r w:rsidR="00AA64D6">
        <w:rPr>
          <w:rFonts w:cs="Open Sans"/>
          <w:sz w:val="22"/>
          <w:szCs w:val="22"/>
        </w:rPr>
        <w:t>NT</w:t>
      </w:r>
      <w:r w:rsidRPr="00451B90">
        <w:rPr>
          <w:rFonts w:cs="Open Sans"/>
          <w:sz w:val="22"/>
          <w:szCs w:val="22"/>
        </w:rPr>
        <w:t xml:space="preserve"> and Mr </w:t>
      </w:r>
      <w:r w:rsidR="00121B7C">
        <w:rPr>
          <w:rFonts w:cs="Open Sans"/>
          <w:sz w:val="22"/>
          <w:szCs w:val="22"/>
        </w:rPr>
        <w:t>NU</w:t>
      </w:r>
      <w:r w:rsidRPr="00451B90">
        <w:rPr>
          <w:rFonts w:cs="Open Sans"/>
          <w:sz w:val="22"/>
          <w:szCs w:val="22"/>
        </w:rPr>
        <w:t>, including (if relevant) any matters referred to in the paragraph above.</w:t>
      </w:r>
    </w:p>
    <w:p w14:paraId="221F3140" w14:textId="77777777" w:rsidR="00903A38" w:rsidRPr="00451B90" w:rsidRDefault="00903A38" w:rsidP="00903A38">
      <w:pPr>
        <w:pStyle w:val="ListParagraph"/>
        <w:ind w:left="1222"/>
        <w:rPr>
          <w:rFonts w:cs="Open Sans"/>
          <w:sz w:val="22"/>
          <w:szCs w:val="22"/>
        </w:rPr>
      </w:pPr>
    </w:p>
    <w:p w14:paraId="21B13879" w14:textId="77777777" w:rsidR="00903A38" w:rsidRPr="00451B90" w:rsidRDefault="00903A38" w:rsidP="00C84572">
      <w:pPr>
        <w:pStyle w:val="ListParagraph"/>
        <w:numPr>
          <w:ilvl w:val="0"/>
          <w:numId w:val="25"/>
        </w:numPr>
        <w:contextualSpacing/>
        <w:rPr>
          <w:rFonts w:cs="Open Sans"/>
          <w:sz w:val="22"/>
          <w:szCs w:val="22"/>
        </w:rPr>
      </w:pPr>
      <w:r w:rsidRPr="00451B90">
        <w:rPr>
          <w:rFonts w:cs="Open Sans"/>
          <w:sz w:val="22"/>
          <w:szCs w:val="22"/>
        </w:rPr>
        <w:lastRenderedPageBreak/>
        <w:t xml:space="preserve">The </w:t>
      </w:r>
      <w:r>
        <w:rPr>
          <w:rFonts w:cs="Open Sans"/>
          <w:sz w:val="22"/>
          <w:szCs w:val="22"/>
        </w:rPr>
        <w:t xml:space="preserve">relevant Home Affairs portfolio </w:t>
      </w:r>
      <w:r w:rsidRPr="00451B90">
        <w:rPr>
          <w:rFonts w:cs="Open Sans"/>
          <w:sz w:val="22"/>
          <w:szCs w:val="22"/>
        </w:rPr>
        <w:t xml:space="preserve">Minister consider the exercise of </w:t>
      </w:r>
      <w:r>
        <w:rPr>
          <w:rFonts w:cs="Open Sans"/>
          <w:sz w:val="22"/>
          <w:szCs w:val="22"/>
        </w:rPr>
        <w:t xml:space="preserve">their </w:t>
      </w:r>
      <w:r w:rsidRPr="00451B90">
        <w:rPr>
          <w:rFonts w:cs="Open Sans"/>
          <w:sz w:val="22"/>
          <w:szCs w:val="22"/>
        </w:rPr>
        <w:t>discretionary powers in light of the fresh Departmental submission.</w:t>
      </w:r>
    </w:p>
    <w:p w14:paraId="26D033BB" w14:textId="77777777" w:rsidR="00903A38" w:rsidRPr="00451B90" w:rsidRDefault="00903A38" w:rsidP="00C84572">
      <w:pPr>
        <w:pStyle w:val="Heading1"/>
        <w:numPr>
          <w:ilvl w:val="0"/>
          <w:numId w:val="20"/>
        </w:numPr>
        <w:rPr>
          <w:rFonts w:cs="Open Sans"/>
        </w:rPr>
      </w:pPr>
      <w:bookmarkStart w:id="13" w:name="_Toc79503154"/>
      <w:bookmarkStart w:id="14" w:name="_Toc87965773"/>
      <w:r w:rsidRPr="00451B90">
        <w:rPr>
          <w:rFonts w:cs="Open Sans"/>
        </w:rPr>
        <w:t>Conciliation</w:t>
      </w:r>
      <w:bookmarkEnd w:id="13"/>
      <w:bookmarkEnd w:id="14"/>
    </w:p>
    <w:p w14:paraId="1C5D4223" w14:textId="77777777" w:rsidR="00903A38" w:rsidRPr="00451B90" w:rsidRDefault="00903A38" w:rsidP="00C84572">
      <w:pPr>
        <w:pStyle w:val="SubmissionNormal"/>
        <w:numPr>
          <w:ilvl w:val="0"/>
          <w:numId w:val="21"/>
        </w:numPr>
        <w:rPr>
          <w:rFonts w:cs="Open Sans"/>
        </w:rPr>
      </w:pPr>
      <w:r w:rsidRPr="00451B90">
        <w:rPr>
          <w:rFonts w:cs="Open Sans"/>
        </w:rPr>
        <w:t xml:space="preserve">The </w:t>
      </w:r>
      <w:r>
        <w:rPr>
          <w:rFonts w:cs="Open Sans"/>
        </w:rPr>
        <w:t xml:space="preserve">Department </w:t>
      </w:r>
      <w:r w:rsidRPr="00451B90">
        <w:rPr>
          <w:rFonts w:cs="Open Sans"/>
        </w:rPr>
        <w:t xml:space="preserve">indicated that it did not </w:t>
      </w:r>
      <w:r>
        <w:rPr>
          <w:rFonts w:cs="Open Sans"/>
        </w:rPr>
        <w:t>wish</w:t>
      </w:r>
      <w:r w:rsidRPr="00451B90">
        <w:rPr>
          <w:rFonts w:cs="Open Sans"/>
        </w:rPr>
        <w:t xml:space="preserve"> to participate in conciliation of these matters.</w:t>
      </w:r>
    </w:p>
    <w:p w14:paraId="40BEEAD8" w14:textId="77777777" w:rsidR="00903A38" w:rsidRPr="00451B90" w:rsidRDefault="00903A38" w:rsidP="00C84572">
      <w:pPr>
        <w:pStyle w:val="Heading1"/>
        <w:numPr>
          <w:ilvl w:val="0"/>
          <w:numId w:val="20"/>
        </w:numPr>
        <w:rPr>
          <w:rFonts w:cs="Open Sans"/>
        </w:rPr>
      </w:pPr>
      <w:bookmarkStart w:id="15" w:name="_Toc5183415"/>
      <w:bookmarkStart w:id="16" w:name="_Toc79503155"/>
      <w:bookmarkStart w:id="17" w:name="_Toc87965774"/>
      <w:r w:rsidRPr="00451B90">
        <w:rPr>
          <w:rFonts w:cs="Open Sans"/>
        </w:rPr>
        <w:t>Procedural history of this inquiry</w:t>
      </w:r>
      <w:bookmarkEnd w:id="15"/>
      <w:bookmarkEnd w:id="16"/>
      <w:bookmarkEnd w:id="17"/>
    </w:p>
    <w:p w14:paraId="774427CC" w14:textId="77777777" w:rsidR="00903A38" w:rsidRPr="00451B90" w:rsidRDefault="00903A38" w:rsidP="00C84572">
      <w:pPr>
        <w:pStyle w:val="ListParagraph"/>
        <w:numPr>
          <w:ilvl w:val="0"/>
          <w:numId w:val="21"/>
        </w:numPr>
        <w:contextualSpacing/>
        <w:rPr>
          <w:rFonts w:cs="Open Sans"/>
        </w:rPr>
      </w:pPr>
      <w:r w:rsidRPr="00451B90">
        <w:rPr>
          <w:rFonts w:cs="Open Sans"/>
        </w:rPr>
        <w:t xml:space="preserve">On 13 November 2019, I issued a preliminary view in this matter and gave both the complainants and the Department the opportunity to respond to my preliminary findings. </w:t>
      </w:r>
    </w:p>
    <w:p w14:paraId="0CB7BA51" w14:textId="77777777" w:rsidR="00903A38" w:rsidRPr="00451B90" w:rsidRDefault="00903A38" w:rsidP="00C84572">
      <w:pPr>
        <w:pStyle w:val="SubmissionNormal"/>
        <w:numPr>
          <w:ilvl w:val="0"/>
          <w:numId w:val="21"/>
        </w:numPr>
        <w:rPr>
          <w:rFonts w:cs="Open Sans"/>
        </w:rPr>
      </w:pPr>
      <w:r w:rsidRPr="00451B90">
        <w:rPr>
          <w:rFonts w:cs="Open Sans"/>
        </w:rPr>
        <w:t xml:space="preserve">On 22 February 2020, the Department responded to my preliminary view. I have considered this response in reaching my final views. </w:t>
      </w:r>
    </w:p>
    <w:p w14:paraId="7F737CFB" w14:textId="77777777" w:rsidR="00903A38" w:rsidRPr="00451B90" w:rsidRDefault="00903A38" w:rsidP="00C84572">
      <w:pPr>
        <w:pStyle w:val="Heading1"/>
        <w:numPr>
          <w:ilvl w:val="0"/>
          <w:numId w:val="20"/>
        </w:numPr>
        <w:rPr>
          <w:rFonts w:cs="Open Sans"/>
        </w:rPr>
      </w:pPr>
      <w:bookmarkStart w:id="18" w:name="_Toc519513659"/>
      <w:bookmarkStart w:id="19" w:name="_Toc79503156"/>
      <w:bookmarkStart w:id="20" w:name="_Toc87965775"/>
      <w:r w:rsidRPr="00451B90">
        <w:rPr>
          <w:rFonts w:cs="Open Sans"/>
        </w:rPr>
        <w:t>Background</w:t>
      </w:r>
      <w:bookmarkEnd w:id="18"/>
      <w:bookmarkEnd w:id="19"/>
      <w:bookmarkEnd w:id="20"/>
    </w:p>
    <w:p w14:paraId="0C8E94EF"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three complainants have all: </w:t>
      </w:r>
    </w:p>
    <w:p w14:paraId="54F45017" w14:textId="77777777" w:rsidR="00903A38" w:rsidRPr="00451B90" w:rsidRDefault="00903A38" w:rsidP="00C84572">
      <w:pPr>
        <w:numPr>
          <w:ilvl w:val="1"/>
          <w:numId w:val="21"/>
        </w:numPr>
        <w:rPr>
          <w:rFonts w:cs="Open Sans"/>
        </w:rPr>
      </w:pPr>
      <w:r w:rsidRPr="00451B90">
        <w:rPr>
          <w:rFonts w:cs="Open Sans"/>
        </w:rPr>
        <w:t xml:space="preserve">been previously recognised or indicatively recognised by the Commonwealth as persons owed protection obligations under the </w:t>
      </w:r>
      <w:r w:rsidRPr="00451B90">
        <w:rPr>
          <w:rFonts w:cs="Open Sans"/>
          <w:i/>
        </w:rPr>
        <w:t>Convention and Protocol relating to the Status of Refugees 1951</w:t>
      </w:r>
      <w:r w:rsidRPr="00451B90">
        <w:rPr>
          <w:rFonts w:cs="Open Sans"/>
        </w:rPr>
        <w:t xml:space="preserve"> (the Refugee Convention) or complementary protection criterion </w:t>
      </w:r>
    </w:p>
    <w:p w14:paraId="3BB17632" w14:textId="77777777" w:rsidR="00903A38" w:rsidRPr="00451B90" w:rsidRDefault="00903A38" w:rsidP="00C84572">
      <w:pPr>
        <w:numPr>
          <w:ilvl w:val="1"/>
          <w:numId w:val="21"/>
        </w:numPr>
        <w:rPr>
          <w:rFonts w:cs="Open Sans"/>
        </w:rPr>
      </w:pPr>
      <w:r w:rsidRPr="00451B90">
        <w:rPr>
          <w:rFonts w:cs="Open Sans"/>
        </w:rPr>
        <w:t>had visas or visa applications cancelled or refused under s 501 of the Migration Act on character grounds</w:t>
      </w:r>
    </w:p>
    <w:p w14:paraId="22102EF6" w14:textId="77777777" w:rsidR="00903A38" w:rsidRPr="00451B90" w:rsidRDefault="00903A38" w:rsidP="00C84572">
      <w:pPr>
        <w:numPr>
          <w:ilvl w:val="1"/>
          <w:numId w:val="21"/>
        </w:numPr>
        <w:rPr>
          <w:rFonts w:cs="Open Sans"/>
        </w:rPr>
      </w:pPr>
      <w:r w:rsidRPr="00451B90">
        <w:rPr>
          <w:rFonts w:cs="Open Sans"/>
        </w:rPr>
        <w:t>been held in closed immigration detention for a period longer than six years</w:t>
      </w:r>
    </w:p>
    <w:p w14:paraId="61E66231" w14:textId="77777777" w:rsidR="00903A38" w:rsidRPr="00451B90" w:rsidRDefault="00903A38" w:rsidP="00C84572">
      <w:pPr>
        <w:numPr>
          <w:ilvl w:val="1"/>
          <w:numId w:val="21"/>
        </w:numPr>
        <w:rPr>
          <w:rFonts w:cs="Open Sans"/>
        </w:rPr>
      </w:pPr>
      <w:r w:rsidRPr="00451B90">
        <w:rPr>
          <w:rFonts w:cs="Open Sans"/>
        </w:rPr>
        <w:t>made human rights complaints to the Commission.</w:t>
      </w:r>
    </w:p>
    <w:tbl>
      <w:tblPr>
        <w:tblW w:w="8222"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169"/>
        <w:gridCol w:w="1700"/>
        <w:gridCol w:w="1526"/>
        <w:gridCol w:w="1556"/>
        <w:gridCol w:w="2271"/>
      </w:tblGrid>
      <w:tr w:rsidR="00903A38" w:rsidRPr="00451B90" w14:paraId="3FAD6BB7" w14:textId="77777777" w:rsidTr="00EF48A6">
        <w:trPr>
          <w:trHeight w:val="533"/>
        </w:trPr>
        <w:tc>
          <w:tcPr>
            <w:tcW w:w="949" w:type="dxa"/>
            <w:shd w:val="clear" w:color="auto" w:fill="C7D8EF"/>
          </w:tcPr>
          <w:p w14:paraId="5E51CEEF" w14:textId="77777777" w:rsidR="00903A38" w:rsidRPr="00451B90" w:rsidRDefault="00903A38" w:rsidP="00EF48A6">
            <w:pPr>
              <w:pStyle w:val="TableParagraph"/>
              <w:keepNext/>
              <w:spacing w:before="0"/>
              <w:ind w:left="0"/>
              <w:jc w:val="center"/>
              <w:rPr>
                <w:rFonts w:ascii="Open Sans" w:hAnsi="Open Sans" w:cs="Open Sans"/>
                <w:b/>
                <w:sz w:val="18"/>
                <w:szCs w:val="18"/>
              </w:rPr>
            </w:pPr>
            <w:r w:rsidRPr="00451B90">
              <w:rPr>
                <w:rFonts w:ascii="Open Sans" w:hAnsi="Open Sans" w:cs="Open Sans"/>
                <w:b/>
                <w:color w:val="231F20"/>
                <w:sz w:val="18"/>
                <w:szCs w:val="18"/>
              </w:rPr>
              <w:lastRenderedPageBreak/>
              <w:t>Complainant</w:t>
            </w:r>
          </w:p>
        </w:tc>
        <w:tc>
          <w:tcPr>
            <w:tcW w:w="1744" w:type="dxa"/>
            <w:shd w:val="clear" w:color="auto" w:fill="C7D8EF"/>
          </w:tcPr>
          <w:p w14:paraId="037C9E90" w14:textId="77777777" w:rsidR="00903A38" w:rsidRPr="00451B90" w:rsidRDefault="00903A38" w:rsidP="00EF48A6">
            <w:pPr>
              <w:pStyle w:val="TableParagraph"/>
              <w:spacing w:before="0"/>
              <w:ind w:left="0"/>
              <w:jc w:val="center"/>
              <w:rPr>
                <w:rFonts w:ascii="Open Sans" w:hAnsi="Open Sans" w:cs="Open Sans"/>
                <w:b/>
                <w:color w:val="231F20"/>
                <w:sz w:val="18"/>
                <w:szCs w:val="18"/>
              </w:rPr>
            </w:pPr>
            <w:r w:rsidRPr="00451B90">
              <w:rPr>
                <w:rFonts w:ascii="Open Sans" w:hAnsi="Open Sans" w:cs="Open Sans"/>
                <w:b/>
                <w:color w:val="231F20"/>
                <w:sz w:val="18"/>
                <w:szCs w:val="18"/>
              </w:rPr>
              <w:t>Date of arrival in Australia</w:t>
            </w:r>
          </w:p>
        </w:tc>
        <w:tc>
          <w:tcPr>
            <w:tcW w:w="1542" w:type="dxa"/>
            <w:shd w:val="clear" w:color="auto" w:fill="C7D8EF"/>
          </w:tcPr>
          <w:p w14:paraId="5EDBB7D4" w14:textId="77777777" w:rsidR="00903A38" w:rsidRPr="00451B90" w:rsidRDefault="00903A38" w:rsidP="00EF48A6">
            <w:pPr>
              <w:pStyle w:val="TableParagraph"/>
              <w:spacing w:before="0"/>
              <w:ind w:right="314"/>
              <w:jc w:val="center"/>
              <w:rPr>
                <w:rFonts w:ascii="Open Sans" w:hAnsi="Open Sans" w:cs="Open Sans"/>
                <w:b/>
                <w:sz w:val="18"/>
                <w:szCs w:val="18"/>
              </w:rPr>
            </w:pPr>
            <w:r w:rsidRPr="00451B90">
              <w:rPr>
                <w:rFonts w:ascii="Open Sans" w:hAnsi="Open Sans" w:cs="Open Sans"/>
                <w:b/>
                <w:color w:val="231F20"/>
                <w:sz w:val="18"/>
                <w:szCs w:val="18"/>
              </w:rPr>
              <w:t>Date of detention</w:t>
            </w:r>
          </w:p>
        </w:tc>
        <w:tc>
          <w:tcPr>
            <w:tcW w:w="1577" w:type="dxa"/>
            <w:shd w:val="clear" w:color="auto" w:fill="C7D8EF"/>
          </w:tcPr>
          <w:p w14:paraId="2E281EBA" w14:textId="77777777" w:rsidR="00903A38" w:rsidRPr="00451B90" w:rsidRDefault="00903A38" w:rsidP="00EF48A6">
            <w:pPr>
              <w:pStyle w:val="TableParagraph"/>
              <w:spacing w:before="0"/>
              <w:ind w:right="314"/>
              <w:jc w:val="center"/>
              <w:rPr>
                <w:rFonts w:ascii="Open Sans" w:hAnsi="Open Sans" w:cs="Open Sans"/>
                <w:b/>
                <w:sz w:val="18"/>
                <w:szCs w:val="18"/>
              </w:rPr>
            </w:pPr>
            <w:r w:rsidRPr="00451B90">
              <w:rPr>
                <w:rFonts w:ascii="Open Sans" w:hAnsi="Open Sans" w:cs="Open Sans"/>
                <w:b/>
                <w:sz w:val="18"/>
                <w:szCs w:val="18"/>
              </w:rPr>
              <w:t>Length of detention (until March 2021)</w:t>
            </w:r>
          </w:p>
        </w:tc>
        <w:tc>
          <w:tcPr>
            <w:tcW w:w="2410" w:type="dxa"/>
            <w:shd w:val="clear" w:color="auto" w:fill="C7D8EF"/>
          </w:tcPr>
          <w:p w14:paraId="542F8FD3" w14:textId="77777777" w:rsidR="00903A38" w:rsidRPr="00451B90" w:rsidRDefault="00903A38" w:rsidP="00EF48A6">
            <w:pPr>
              <w:pStyle w:val="TableParagraph"/>
              <w:spacing w:before="0"/>
              <w:ind w:right="314"/>
              <w:jc w:val="center"/>
              <w:rPr>
                <w:rFonts w:ascii="Open Sans" w:hAnsi="Open Sans" w:cs="Open Sans"/>
                <w:b/>
                <w:sz w:val="18"/>
                <w:szCs w:val="18"/>
              </w:rPr>
            </w:pPr>
            <w:r w:rsidRPr="00451B90">
              <w:rPr>
                <w:rFonts w:ascii="Open Sans" w:hAnsi="Open Sans" w:cs="Open Sans"/>
                <w:b/>
                <w:sz w:val="18"/>
                <w:szCs w:val="18"/>
              </w:rPr>
              <w:t>Date of release from detention</w:t>
            </w:r>
          </w:p>
        </w:tc>
      </w:tr>
      <w:tr w:rsidR="00903A38" w:rsidRPr="00451B90" w14:paraId="7CCD2816" w14:textId="77777777" w:rsidTr="00EF48A6">
        <w:trPr>
          <w:trHeight w:val="921"/>
        </w:trPr>
        <w:tc>
          <w:tcPr>
            <w:tcW w:w="949" w:type="dxa"/>
            <w:shd w:val="clear" w:color="auto" w:fill="E1E9F6"/>
          </w:tcPr>
          <w:p w14:paraId="7B0A320E" w14:textId="4B5AAD8D" w:rsidR="00903A38" w:rsidRPr="00451B90" w:rsidRDefault="00903A38" w:rsidP="00EF48A6">
            <w:pPr>
              <w:pStyle w:val="TableParagraph"/>
              <w:keepNext/>
              <w:spacing w:before="0"/>
              <w:rPr>
                <w:rFonts w:ascii="Open Sans" w:hAnsi="Open Sans" w:cs="Open Sans"/>
                <w:sz w:val="18"/>
                <w:szCs w:val="18"/>
              </w:rPr>
            </w:pPr>
            <w:r w:rsidRPr="00451B90">
              <w:rPr>
                <w:rFonts w:ascii="Open Sans" w:hAnsi="Open Sans" w:cs="Open Sans"/>
                <w:color w:val="231F20"/>
                <w:sz w:val="18"/>
                <w:szCs w:val="18"/>
              </w:rPr>
              <w:t xml:space="preserve">Mr </w:t>
            </w:r>
            <w:r w:rsidR="00902D9D">
              <w:rPr>
                <w:rFonts w:ascii="Open Sans" w:hAnsi="Open Sans" w:cs="Open Sans"/>
                <w:color w:val="231F20"/>
                <w:sz w:val="18"/>
                <w:szCs w:val="18"/>
              </w:rPr>
              <w:t>NS</w:t>
            </w:r>
          </w:p>
        </w:tc>
        <w:tc>
          <w:tcPr>
            <w:tcW w:w="1744" w:type="dxa"/>
            <w:shd w:val="clear" w:color="auto" w:fill="E1E9F6"/>
          </w:tcPr>
          <w:p w14:paraId="512F367A" w14:textId="77777777" w:rsidR="00903A38" w:rsidRPr="00451B90" w:rsidRDefault="00903A38" w:rsidP="00EF48A6">
            <w:pPr>
              <w:pStyle w:val="TableParagraph"/>
              <w:spacing w:before="0"/>
              <w:ind w:right="314"/>
              <w:rPr>
                <w:rFonts w:ascii="Open Sans" w:hAnsi="Open Sans" w:cs="Open Sans"/>
                <w:color w:val="231F20"/>
                <w:sz w:val="18"/>
                <w:szCs w:val="18"/>
              </w:rPr>
            </w:pPr>
            <w:r w:rsidRPr="00451B90">
              <w:rPr>
                <w:rFonts w:ascii="Open Sans" w:hAnsi="Open Sans" w:cs="Open Sans"/>
                <w:color w:val="231F20"/>
                <w:sz w:val="18"/>
                <w:szCs w:val="18"/>
              </w:rPr>
              <w:t>24 December 2012</w:t>
            </w:r>
          </w:p>
        </w:tc>
        <w:tc>
          <w:tcPr>
            <w:tcW w:w="1542" w:type="dxa"/>
            <w:shd w:val="clear" w:color="auto" w:fill="E1E9F6"/>
          </w:tcPr>
          <w:p w14:paraId="1B49B5AC" w14:textId="77777777" w:rsidR="00903A38" w:rsidRPr="00451B90" w:rsidRDefault="00903A38" w:rsidP="00EF48A6">
            <w:pPr>
              <w:pStyle w:val="TableParagraph"/>
              <w:spacing w:before="0"/>
              <w:ind w:right="314"/>
              <w:rPr>
                <w:rFonts w:ascii="Open Sans" w:hAnsi="Open Sans" w:cs="Open Sans"/>
                <w:sz w:val="18"/>
                <w:szCs w:val="18"/>
              </w:rPr>
            </w:pPr>
            <w:r w:rsidRPr="00451B90">
              <w:rPr>
                <w:rFonts w:ascii="Open Sans" w:hAnsi="Open Sans" w:cs="Open Sans"/>
                <w:color w:val="231F20"/>
                <w:sz w:val="18"/>
                <w:szCs w:val="18"/>
              </w:rPr>
              <w:t>24 December 2012</w:t>
            </w:r>
          </w:p>
        </w:tc>
        <w:tc>
          <w:tcPr>
            <w:tcW w:w="1577" w:type="dxa"/>
            <w:shd w:val="clear" w:color="auto" w:fill="E1E9F6"/>
          </w:tcPr>
          <w:p w14:paraId="75CB48AB" w14:textId="77777777" w:rsidR="00903A38" w:rsidRPr="00451B90" w:rsidRDefault="00903A38" w:rsidP="00EF48A6">
            <w:pPr>
              <w:pStyle w:val="TableParagraph"/>
              <w:spacing w:before="0"/>
              <w:ind w:right="314"/>
              <w:rPr>
                <w:rFonts w:ascii="Open Sans" w:hAnsi="Open Sans" w:cs="Open Sans"/>
                <w:sz w:val="18"/>
                <w:szCs w:val="18"/>
              </w:rPr>
            </w:pPr>
            <w:r w:rsidRPr="00451B90">
              <w:rPr>
                <w:rFonts w:ascii="Open Sans" w:hAnsi="Open Sans" w:cs="Open Sans"/>
                <w:sz w:val="18"/>
                <w:szCs w:val="18"/>
              </w:rPr>
              <w:t>Six years (approx.)</w:t>
            </w:r>
          </w:p>
        </w:tc>
        <w:tc>
          <w:tcPr>
            <w:tcW w:w="2410" w:type="dxa"/>
            <w:shd w:val="clear" w:color="auto" w:fill="E1E9F6"/>
          </w:tcPr>
          <w:p w14:paraId="12AFC960" w14:textId="77777777" w:rsidR="00903A38" w:rsidRPr="00451B90" w:rsidRDefault="00903A38" w:rsidP="00EF48A6">
            <w:pPr>
              <w:pStyle w:val="TableParagraph"/>
              <w:spacing w:before="0"/>
              <w:rPr>
                <w:rFonts w:ascii="Open Sans" w:hAnsi="Open Sans" w:cs="Open Sans"/>
                <w:sz w:val="18"/>
                <w:szCs w:val="18"/>
              </w:rPr>
            </w:pPr>
            <w:r w:rsidRPr="00451B90">
              <w:rPr>
                <w:rFonts w:ascii="Open Sans" w:hAnsi="Open Sans" w:cs="Open Sans"/>
                <w:sz w:val="18"/>
                <w:szCs w:val="18"/>
              </w:rPr>
              <w:t>3 December 2018</w:t>
            </w:r>
          </w:p>
        </w:tc>
      </w:tr>
      <w:tr w:rsidR="00903A38" w:rsidRPr="00451B90" w14:paraId="2BA04E3D" w14:textId="77777777" w:rsidTr="00EF48A6">
        <w:trPr>
          <w:trHeight w:val="921"/>
        </w:trPr>
        <w:tc>
          <w:tcPr>
            <w:tcW w:w="949" w:type="dxa"/>
            <w:shd w:val="clear" w:color="auto" w:fill="E1E9F6"/>
          </w:tcPr>
          <w:p w14:paraId="6587C761" w14:textId="74D6C112" w:rsidR="00903A38" w:rsidRPr="00451B90" w:rsidRDefault="00903A38" w:rsidP="00EF48A6">
            <w:pPr>
              <w:pStyle w:val="TableParagraph"/>
              <w:keepNext/>
              <w:spacing w:before="0"/>
              <w:rPr>
                <w:rFonts w:ascii="Open Sans" w:hAnsi="Open Sans" w:cs="Open Sans"/>
                <w:color w:val="231F20"/>
                <w:sz w:val="18"/>
                <w:szCs w:val="18"/>
              </w:rPr>
            </w:pPr>
            <w:r w:rsidRPr="00451B90">
              <w:rPr>
                <w:rFonts w:ascii="Open Sans" w:hAnsi="Open Sans" w:cs="Open Sans"/>
                <w:color w:val="231F20"/>
                <w:sz w:val="18"/>
                <w:szCs w:val="18"/>
              </w:rPr>
              <w:t xml:space="preserve">Mr </w:t>
            </w:r>
            <w:r w:rsidR="00121B7C">
              <w:rPr>
                <w:rFonts w:ascii="Open Sans" w:hAnsi="Open Sans" w:cs="Open Sans"/>
                <w:color w:val="231F20"/>
                <w:sz w:val="18"/>
                <w:szCs w:val="18"/>
              </w:rPr>
              <w:t>NU</w:t>
            </w:r>
          </w:p>
        </w:tc>
        <w:tc>
          <w:tcPr>
            <w:tcW w:w="1744" w:type="dxa"/>
            <w:shd w:val="clear" w:color="auto" w:fill="E1E9F6"/>
          </w:tcPr>
          <w:p w14:paraId="24F8C9F4" w14:textId="77777777" w:rsidR="00903A38" w:rsidRPr="00451B90" w:rsidRDefault="00903A38" w:rsidP="00EF48A6">
            <w:pPr>
              <w:pStyle w:val="TableParagraph"/>
              <w:spacing w:before="0"/>
              <w:ind w:right="314"/>
              <w:rPr>
                <w:rFonts w:ascii="Open Sans" w:hAnsi="Open Sans" w:cs="Open Sans"/>
                <w:color w:val="231F20"/>
                <w:sz w:val="18"/>
                <w:szCs w:val="18"/>
              </w:rPr>
            </w:pPr>
            <w:r w:rsidRPr="00451B90">
              <w:rPr>
                <w:rFonts w:ascii="Open Sans" w:hAnsi="Open Sans" w:cs="Open Sans"/>
                <w:color w:val="231F20"/>
                <w:sz w:val="18"/>
                <w:szCs w:val="18"/>
              </w:rPr>
              <w:t>15 November 2012</w:t>
            </w:r>
          </w:p>
        </w:tc>
        <w:tc>
          <w:tcPr>
            <w:tcW w:w="1542" w:type="dxa"/>
            <w:shd w:val="clear" w:color="auto" w:fill="E1E9F6"/>
          </w:tcPr>
          <w:p w14:paraId="776856D3" w14:textId="77777777" w:rsidR="00903A38" w:rsidRPr="00451B90" w:rsidRDefault="00903A38" w:rsidP="00EF48A6">
            <w:pPr>
              <w:pStyle w:val="TableParagraph"/>
              <w:spacing w:before="0"/>
              <w:ind w:right="314"/>
              <w:rPr>
                <w:rFonts w:ascii="Open Sans" w:hAnsi="Open Sans" w:cs="Open Sans"/>
                <w:color w:val="231F20"/>
                <w:sz w:val="18"/>
                <w:szCs w:val="18"/>
              </w:rPr>
            </w:pPr>
            <w:r w:rsidRPr="00451B90">
              <w:rPr>
                <w:rFonts w:ascii="Open Sans" w:hAnsi="Open Sans" w:cs="Open Sans"/>
                <w:color w:val="231F20"/>
                <w:sz w:val="18"/>
                <w:szCs w:val="18"/>
              </w:rPr>
              <w:t>4 February 2014</w:t>
            </w:r>
          </w:p>
        </w:tc>
        <w:tc>
          <w:tcPr>
            <w:tcW w:w="1577" w:type="dxa"/>
            <w:shd w:val="clear" w:color="auto" w:fill="E1E9F6"/>
          </w:tcPr>
          <w:p w14:paraId="78D7DDE7" w14:textId="77777777" w:rsidR="00903A38" w:rsidRPr="00451B90" w:rsidRDefault="00903A38" w:rsidP="00EF48A6">
            <w:pPr>
              <w:pStyle w:val="TableParagraph"/>
              <w:spacing w:before="0"/>
              <w:ind w:right="314"/>
              <w:rPr>
                <w:rFonts w:ascii="Open Sans" w:hAnsi="Open Sans" w:cs="Open Sans"/>
                <w:sz w:val="18"/>
                <w:szCs w:val="18"/>
                <w:highlight w:val="yellow"/>
              </w:rPr>
            </w:pPr>
            <w:r w:rsidRPr="00451B90">
              <w:rPr>
                <w:rFonts w:ascii="Open Sans" w:hAnsi="Open Sans" w:cs="Open Sans"/>
                <w:sz w:val="18"/>
                <w:szCs w:val="18"/>
              </w:rPr>
              <w:t>Seven years</w:t>
            </w:r>
          </w:p>
        </w:tc>
        <w:tc>
          <w:tcPr>
            <w:tcW w:w="2410" w:type="dxa"/>
            <w:shd w:val="clear" w:color="auto" w:fill="E1E9F6"/>
          </w:tcPr>
          <w:p w14:paraId="0C68CD80" w14:textId="77777777" w:rsidR="00903A38" w:rsidRPr="00451B90" w:rsidRDefault="00903A38" w:rsidP="00EF48A6">
            <w:pPr>
              <w:pStyle w:val="TableParagraph"/>
              <w:spacing w:before="0"/>
              <w:rPr>
                <w:rFonts w:ascii="Open Sans" w:hAnsi="Open Sans" w:cs="Open Sans"/>
                <w:sz w:val="18"/>
                <w:szCs w:val="18"/>
                <w:highlight w:val="yellow"/>
              </w:rPr>
            </w:pPr>
            <w:r w:rsidRPr="00451B90">
              <w:rPr>
                <w:rFonts w:ascii="Open Sans" w:hAnsi="Open Sans" w:cs="Open Sans"/>
                <w:sz w:val="18"/>
                <w:szCs w:val="18"/>
              </w:rPr>
              <w:t>Detention ongoing</w:t>
            </w:r>
          </w:p>
        </w:tc>
      </w:tr>
      <w:tr w:rsidR="00903A38" w:rsidRPr="00451B90" w14:paraId="7A3EFC5A" w14:textId="77777777" w:rsidTr="00EF48A6">
        <w:trPr>
          <w:trHeight w:val="921"/>
        </w:trPr>
        <w:tc>
          <w:tcPr>
            <w:tcW w:w="949" w:type="dxa"/>
            <w:shd w:val="clear" w:color="auto" w:fill="E1E9F6"/>
          </w:tcPr>
          <w:p w14:paraId="3FE6507A" w14:textId="76C0BF87" w:rsidR="00903A38" w:rsidRPr="00451B90" w:rsidRDefault="00903A38" w:rsidP="00EF48A6">
            <w:pPr>
              <w:pStyle w:val="TableParagraph"/>
              <w:keepNext/>
              <w:spacing w:before="0"/>
              <w:rPr>
                <w:rFonts w:ascii="Open Sans" w:hAnsi="Open Sans" w:cs="Open Sans"/>
                <w:sz w:val="18"/>
                <w:szCs w:val="18"/>
              </w:rPr>
            </w:pPr>
            <w:r w:rsidRPr="00451B90">
              <w:rPr>
                <w:rFonts w:ascii="Open Sans" w:hAnsi="Open Sans" w:cs="Open Sans"/>
                <w:color w:val="231F20"/>
                <w:sz w:val="18"/>
                <w:szCs w:val="18"/>
              </w:rPr>
              <w:t xml:space="preserve">Mr </w:t>
            </w:r>
            <w:r w:rsidR="00AA64D6">
              <w:rPr>
                <w:rFonts w:ascii="Open Sans" w:hAnsi="Open Sans" w:cs="Open Sans"/>
                <w:color w:val="231F20"/>
                <w:sz w:val="18"/>
                <w:szCs w:val="18"/>
              </w:rPr>
              <w:t>NT</w:t>
            </w:r>
          </w:p>
        </w:tc>
        <w:tc>
          <w:tcPr>
            <w:tcW w:w="1744" w:type="dxa"/>
            <w:shd w:val="clear" w:color="auto" w:fill="E1E9F6"/>
          </w:tcPr>
          <w:p w14:paraId="01AA3BC1" w14:textId="77777777" w:rsidR="00903A38" w:rsidRPr="00451B90" w:rsidRDefault="00903A38" w:rsidP="00EF48A6">
            <w:pPr>
              <w:pStyle w:val="TableParagraph"/>
              <w:spacing w:before="0"/>
              <w:ind w:right="314"/>
              <w:rPr>
                <w:rFonts w:ascii="Open Sans" w:hAnsi="Open Sans" w:cs="Open Sans"/>
                <w:color w:val="231F20"/>
                <w:sz w:val="18"/>
                <w:szCs w:val="18"/>
              </w:rPr>
            </w:pPr>
            <w:r w:rsidRPr="00451B90">
              <w:rPr>
                <w:rFonts w:ascii="Open Sans" w:hAnsi="Open Sans" w:cs="Open Sans"/>
                <w:color w:val="231F20"/>
                <w:sz w:val="18"/>
                <w:szCs w:val="18"/>
              </w:rPr>
              <w:t>10 October 2003</w:t>
            </w:r>
          </w:p>
        </w:tc>
        <w:tc>
          <w:tcPr>
            <w:tcW w:w="1542" w:type="dxa"/>
            <w:shd w:val="clear" w:color="auto" w:fill="E1E9F6"/>
          </w:tcPr>
          <w:p w14:paraId="7AC31002" w14:textId="77777777" w:rsidR="00903A38" w:rsidRPr="00451B90" w:rsidRDefault="00903A38" w:rsidP="00EF48A6">
            <w:pPr>
              <w:pStyle w:val="TableParagraph"/>
              <w:spacing w:before="0"/>
              <w:ind w:right="314"/>
              <w:rPr>
                <w:rFonts w:ascii="Open Sans" w:hAnsi="Open Sans" w:cs="Open Sans"/>
                <w:sz w:val="18"/>
                <w:szCs w:val="18"/>
              </w:rPr>
            </w:pPr>
            <w:r w:rsidRPr="00451B90">
              <w:rPr>
                <w:rFonts w:ascii="Open Sans" w:hAnsi="Open Sans" w:cs="Open Sans"/>
                <w:sz w:val="18"/>
                <w:szCs w:val="18"/>
              </w:rPr>
              <w:t>1 May 2014</w:t>
            </w:r>
          </w:p>
        </w:tc>
        <w:tc>
          <w:tcPr>
            <w:tcW w:w="1577" w:type="dxa"/>
            <w:shd w:val="clear" w:color="auto" w:fill="E1E9F6"/>
          </w:tcPr>
          <w:p w14:paraId="284A2613" w14:textId="77777777" w:rsidR="00903A38" w:rsidRPr="00451B90" w:rsidRDefault="00903A38" w:rsidP="00EF48A6">
            <w:pPr>
              <w:pStyle w:val="TableParagraph"/>
              <w:spacing w:before="0"/>
              <w:ind w:right="314"/>
              <w:rPr>
                <w:rFonts w:ascii="Open Sans" w:hAnsi="Open Sans" w:cs="Open Sans"/>
                <w:sz w:val="18"/>
                <w:szCs w:val="18"/>
                <w:highlight w:val="yellow"/>
              </w:rPr>
            </w:pPr>
            <w:r w:rsidRPr="00451B90">
              <w:rPr>
                <w:rFonts w:ascii="Open Sans" w:hAnsi="Open Sans" w:cs="Open Sans"/>
                <w:sz w:val="18"/>
                <w:szCs w:val="18"/>
              </w:rPr>
              <w:t>Six years, ten months</w:t>
            </w:r>
          </w:p>
        </w:tc>
        <w:tc>
          <w:tcPr>
            <w:tcW w:w="2410" w:type="dxa"/>
            <w:shd w:val="clear" w:color="auto" w:fill="E1E9F6"/>
          </w:tcPr>
          <w:p w14:paraId="3FA363F8" w14:textId="77777777" w:rsidR="00903A38" w:rsidRPr="00451B90" w:rsidRDefault="00903A38" w:rsidP="00EF48A6">
            <w:pPr>
              <w:pStyle w:val="TableParagraph"/>
              <w:spacing w:before="0"/>
              <w:rPr>
                <w:rFonts w:ascii="Open Sans" w:hAnsi="Open Sans" w:cs="Open Sans"/>
                <w:sz w:val="18"/>
                <w:szCs w:val="18"/>
              </w:rPr>
            </w:pPr>
            <w:r w:rsidRPr="00451B90">
              <w:rPr>
                <w:rFonts w:ascii="Open Sans" w:hAnsi="Open Sans" w:cs="Open Sans"/>
                <w:sz w:val="18"/>
                <w:szCs w:val="18"/>
              </w:rPr>
              <w:t>Detention ongoing</w:t>
            </w:r>
          </w:p>
        </w:tc>
      </w:tr>
    </w:tbl>
    <w:p w14:paraId="5D64120A" w14:textId="77777777" w:rsidR="00903A38" w:rsidRPr="00451B90" w:rsidRDefault="00903A38" w:rsidP="00903A38">
      <w:pPr>
        <w:pStyle w:val="ListParagraph"/>
        <w:spacing w:before="0" w:after="160" w:line="259" w:lineRule="auto"/>
        <w:ind w:left="0" w:firstLine="720"/>
        <w:rPr>
          <w:rFonts w:cs="Open Sans"/>
          <w:b/>
          <w:bCs/>
          <w:sz w:val="20"/>
          <w:szCs w:val="20"/>
        </w:rPr>
      </w:pPr>
      <w:r w:rsidRPr="00451B90">
        <w:rPr>
          <w:rFonts w:cs="Open Sans"/>
          <w:b/>
          <w:bCs/>
          <w:sz w:val="20"/>
          <w:szCs w:val="20"/>
        </w:rPr>
        <w:t>Figure 1: Key information about the complainants</w:t>
      </w:r>
    </w:p>
    <w:p w14:paraId="6314E186" w14:textId="488DA9CE" w:rsidR="00903A38" w:rsidRPr="00451B90" w:rsidRDefault="00903A38" w:rsidP="00C84572">
      <w:pPr>
        <w:numPr>
          <w:ilvl w:val="0"/>
          <w:numId w:val="21"/>
        </w:numPr>
        <w:tabs>
          <w:tab w:val="clear" w:pos="720"/>
          <w:tab w:val="num" w:pos="862"/>
        </w:tabs>
        <w:ind w:left="862" w:hanging="862"/>
        <w:rPr>
          <w:rFonts w:cs="Open Sans"/>
        </w:rPr>
      </w:pPr>
      <w:bookmarkStart w:id="21" w:name="_Hlk24537934"/>
      <w:r w:rsidRPr="00451B90">
        <w:rPr>
          <w:rFonts w:cs="Open Sans"/>
        </w:rPr>
        <w:t>As of 4 March</w:t>
      </w:r>
      <w:bookmarkEnd w:id="21"/>
      <w:r w:rsidRPr="00451B90">
        <w:rPr>
          <w:rFonts w:cs="Open Sans"/>
        </w:rPr>
        <w:t xml:space="preserve"> 2021, Mr </w:t>
      </w:r>
      <w:r w:rsidR="00AA64D6">
        <w:rPr>
          <w:rFonts w:cs="Open Sans"/>
        </w:rPr>
        <w:t>NT</w:t>
      </w:r>
      <w:r w:rsidRPr="00451B90">
        <w:rPr>
          <w:rFonts w:cs="Open Sans"/>
        </w:rPr>
        <w:t xml:space="preserve"> and Mr </w:t>
      </w:r>
      <w:r w:rsidR="00121B7C">
        <w:rPr>
          <w:rFonts w:cs="Open Sans"/>
        </w:rPr>
        <w:t>NU</w:t>
      </w:r>
      <w:r w:rsidRPr="00451B90">
        <w:rPr>
          <w:rFonts w:cs="Open Sans"/>
        </w:rPr>
        <w:t xml:space="preserve"> remain</w:t>
      </w:r>
      <w:r>
        <w:rPr>
          <w:rFonts w:cs="Open Sans"/>
        </w:rPr>
        <w:t>ed</w:t>
      </w:r>
      <w:r w:rsidRPr="00451B90">
        <w:rPr>
          <w:rFonts w:cs="Open Sans"/>
        </w:rPr>
        <w:t xml:space="preserve"> in immigration detention. Mr </w:t>
      </w:r>
      <w:r w:rsidR="00463C15">
        <w:rPr>
          <w:rFonts w:cs="Open Sans"/>
        </w:rPr>
        <w:t>NS</w:t>
      </w:r>
      <w:r w:rsidRPr="00451B90">
        <w:rPr>
          <w:rFonts w:cs="Open Sans"/>
        </w:rPr>
        <w:t xml:space="preserve"> was released into the Australian community in December 2018 after the grant of a temporary protection visa (TPV).</w:t>
      </w:r>
    </w:p>
    <w:p w14:paraId="331CADFE" w14:textId="77777777" w:rsidR="00903A38" w:rsidRPr="00451B90" w:rsidRDefault="00903A38" w:rsidP="00C84572">
      <w:pPr>
        <w:pStyle w:val="Heading1"/>
        <w:numPr>
          <w:ilvl w:val="0"/>
          <w:numId w:val="20"/>
        </w:numPr>
        <w:rPr>
          <w:rFonts w:cs="Open Sans"/>
        </w:rPr>
      </w:pPr>
      <w:bookmarkStart w:id="22" w:name="_Toc79503157"/>
      <w:bookmarkStart w:id="23" w:name="_Toc87965776"/>
      <w:r w:rsidRPr="00451B90">
        <w:rPr>
          <w:rFonts w:cs="Open Sans"/>
        </w:rPr>
        <w:t>Legal framework for human rights inquiry</w:t>
      </w:r>
      <w:bookmarkEnd w:id="22"/>
      <w:bookmarkEnd w:id="23"/>
    </w:p>
    <w:p w14:paraId="6E4BBAB8" w14:textId="77777777" w:rsidR="00903A38" w:rsidRPr="00451B90" w:rsidRDefault="00903A38" w:rsidP="00C84572">
      <w:pPr>
        <w:pStyle w:val="Heading2"/>
        <w:numPr>
          <w:ilvl w:val="1"/>
          <w:numId w:val="20"/>
        </w:numPr>
        <w:rPr>
          <w:rFonts w:cs="Open Sans"/>
        </w:rPr>
      </w:pPr>
      <w:bookmarkStart w:id="24" w:name="_Toc24023318"/>
      <w:bookmarkStart w:id="25" w:name="_Toc24023319"/>
      <w:bookmarkStart w:id="26" w:name="_Toc24023320"/>
      <w:bookmarkStart w:id="27" w:name="_Toc79503158"/>
      <w:bookmarkStart w:id="28" w:name="_Toc87965777"/>
      <w:bookmarkEnd w:id="24"/>
      <w:bookmarkEnd w:id="25"/>
      <w:bookmarkEnd w:id="26"/>
      <w:r w:rsidRPr="00451B90">
        <w:rPr>
          <w:rFonts w:cs="Open Sans"/>
        </w:rPr>
        <w:t>Functions of the Commission</w:t>
      </w:r>
      <w:bookmarkEnd w:id="27"/>
      <w:bookmarkEnd w:id="28"/>
    </w:p>
    <w:p w14:paraId="6A470FB0"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Section 11(1)(f)(</w:t>
      </w:r>
      <w:proofErr w:type="spellStart"/>
      <w:r w:rsidRPr="00451B90">
        <w:rPr>
          <w:rFonts w:cs="Open Sans"/>
        </w:rPr>
        <w:t>i</w:t>
      </w:r>
      <w:proofErr w:type="spellEnd"/>
      <w:r w:rsidRPr="00451B90">
        <w:rPr>
          <w:rFonts w:cs="Open Sans"/>
        </w:rPr>
        <w:t>) of the AHRC Act provides that the Commission has the function to inquire into any act or practice that may be inconsistent with, or contrary to, any human right.</w:t>
      </w:r>
      <w:r w:rsidRPr="00451B90">
        <w:rPr>
          <w:rStyle w:val="EndnoteReference"/>
          <w:rFonts w:cs="Open Sans"/>
        </w:rPr>
        <w:endnoteReference w:id="8"/>
      </w:r>
      <w:r w:rsidRPr="00451B90">
        <w:rPr>
          <w:rFonts w:cs="Open Sans"/>
        </w:rPr>
        <w:t xml:space="preserve"> </w:t>
      </w:r>
    </w:p>
    <w:p w14:paraId="4331D40A"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Section 20(1)(b) of the AHRC Act requires the Commission to perform the functions referred to in s 11(1)(f) when a complaint in writing is made to the Commission alleging that an act is inconsistent with or contrary to any human right. </w:t>
      </w:r>
    </w:p>
    <w:p w14:paraId="69A05C32"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Section 8(6) of the AHRC Act requires that the functions of the Commission under s 11(1)(f) be performed by the President.</w:t>
      </w:r>
    </w:p>
    <w:p w14:paraId="47FDDED4"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The terms ‘act’ and ‘practice’ are defined in s 3(1) of the AHRC Act to include an act done or a practice engaged in by or on behalf of the Commonwealth or an authority of the Commonwealth or under an enactment.</w:t>
      </w:r>
    </w:p>
    <w:p w14:paraId="715A3DBC"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Section 3(3) provides that the reference to, or to the doing of, an act includes a reference to a refusal or failure to do an act.</w:t>
      </w:r>
    </w:p>
    <w:p w14:paraId="2DFF4385"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functions of the Commission identified in s 11(1)(f) of the AHRC Act are only engaged where the act complained of is not one required by law </w:t>
      </w:r>
      <w:r w:rsidRPr="00451B90">
        <w:rPr>
          <w:rFonts w:cs="Open Sans"/>
        </w:rPr>
        <w:lastRenderedPageBreak/>
        <w:t>to be taken, that is, where the relevant act or practice is within the discretion of the Commonwealth.</w:t>
      </w:r>
      <w:r w:rsidRPr="00451B90">
        <w:rPr>
          <w:rStyle w:val="EndnoteReference"/>
          <w:rFonts w:cs="Open Sans"/>
        </w:rPr>
        <w:endnoteReference w:id="9"/>
      </w:r>
      <w:r w:rsidRPr="00451B90">
        <w:rPr>
          <w:rFonts w:cs="Open Sans"/>
        </w:rPr>
        <w:t xml:space="preserve"> </w:t>
      </w:r>
    </w:p>
    <w:p w14:paraId="34CE0049"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phrase ‘human rights’ is defined by s 3(1) of the AHRC Act to include the rights and freedoms recognised in the ICCPR. </w:t>
      </w:r>
    </w:p>
    <w:p w14:paraId="5DEDC87C" w14:textId="77777777" w:rsidR="00903A38" w:rsidRPr="00451B90" w:rsidRDefault="00903A38" w:rsidP="00C84572">
      <w:pPr>
        <w:pStyle w:val="Heading2"/>
        <w:numPr>
          <w:ilvl w:val="1"/>
          <w:numId w:val="20"/>
        </w:numPr>
        <w:rPr>
          <w:rFonts w:cs="Open Sans"/>
        </w:rPr>
      </w:pPr>
      <w:bookmarkStart w:id="29" w:name="_Toc79503159"/>
      <w:bookmarkStart w:id="30" w:name="_Toc87965778"/>
      <w:r w:rsidRPr="00451B90">
        <w:rPr>
          <w:rFonts w:cs="Open Sans"/>
        </w:rPr>
        <w:t>Human rights in detention</w:t>
      </w:r>
      <w:bookmarkEnd w:id="29"/>
      <w:bookmarkEnd w:id="30"/>
    </w:p>
    <w:p w14:paraId="06312055"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As a State Party to the ICCPR, Australia has agreed that particular human rights protections must be observed by the government in relation to persons held in detention.</w:t>
      </w:r>
    </w:p>
    <w:p w14:paraId="25B203D8"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Most relevantly, article 9(1) of the ICCPR protects against arbitrary detention, and provides:</w:t>
      </w:r>
    </w:p>
    <w:p w14:paraId="394A3A54" w14:textId="77777777" w:rsidR="00903A38" w:rsidRPr="00C47067" w:rsidRDefault="00903A38" w:rsidP="00903A38">
      <w:pPr>
        <w:ind w:left="1440"/>
        <w:rPr>
          <w:rFonts w:cs="Open Sans"/>
          <w:sz w:val="22"/>
          <w:szCs w:val="22"/>
        </w:rPr>
      </w:pPr>
      <w:r w:rsidRPr="00C47067">
        <w:rPr>
          <w:rFonts w:cs="Open Sans"/>
          <w:sz w:val="22"/>
          <w:szCs w:val="22"/>
        </w:rPr>
        <w:t>Everyone has the right to liberty and security of person. No one shall be subjected to arbitrary arrest or detention. No one shall be deprived of his liberty except on such grounds and in accordance with such procedure as are established by law.</w:t>
      </w:r>
    </w:p>
    <w:p w14:paraId="6FAC7F94"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fact that detention may be lawful under Australian domestic law does not prevent it from being considered ‘arbitrary’ under international human rights law. </w:t>
      </w:r>
    </w:p>
    <w:p w14:paraId="47A75384"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following principles relating to arbitrary detention, within the meaning of article 9 of the ICCPR, arise from international human rights jurisprudence: </w:t>
      </w:r>
    </w:p>
    <w:p w14:paraId="793BC771" w14:textId="77777777" w:rsidR="00903A38" w:rsidRPr="00451B90" w:rsidRDefault="00903A38" w:rsidP="00C84572">
      <w:pPr>
        <w:pStyle w:val="ListParagraph"/>
        <w:numPr>
          <w:ilvl w:val="1"/>
          <w:numId w:val="21"/>
        </w:numPr>
        <w:ind w:left="1434" w:hanging="357"/>
        <w:rPr>
          <w:rFonts w:cs="Open Sans"/>
        </w:rPr>
      </w:pPr>
      <w:r w:rsidRPr="00451B90">
        <w:rPr>
          <w:rFonts w:cs="Open Sans"/>
        </w:rPr>
        <w:t>‘detention’ includes immigration detention</w:t>
      </w:r>
      <w:r w:rsidRPr="007A23D3">
        <w:rPr>
          <w:rFonts w:cs="Open Sans"/>
          <w:sz w:val="20"/>
          <w:szCs w:val="20"/>
          <w:vertAlign w:val="superscript"/>
        </w:rPr>
        <w:endnoteReference w:id="10"/>
      </w:r>
    </w:p>
    <w:p w14:paraId="055F27C0" w14:textId="77777777" w:rsidR="00903A38" w:rsidRPr="00451B90" w:rsidRDefault="00903A38" w:rsidP="00C84572">
      <w:pPr>
        <w:pStyle w:val="ListParagraph"/>
        <w:numPr>
          <w:ilvl w:val="1"/>
          <w:numId w:val="21"/>
        </w:numPr>
        <w:ind w:left="1434" w:hanging="357"/>
        <w:rPr>
          <w:rFonts w:cs="Open Sans"/>
        </w:rPr>
      </w:pPr>
      <w:r w:rsidRPr="00451B90">
        <w:rPr>
          <w:rFonts w:cs="Open Sans"/>
        </w:rPr>
        <w:t>lawful detention may become arbitrary when a person’s deprivation of liberty becomes unjust, unreasonable or disproportionate to a legitimate aim,</w:t>
      </w:r>
      <w:r w:rsidRPr="007A23D3">
        <w:rPr>
          <w:rFonts w:cs="Open Sans"/>
          <w:sz w:val="20"/>
          <w:szCs w:val="20"/>
          <w:vertAlign w:val="superscript"/>
        </w:rPr>
        <w:endnoteReference w:id="11"/>
      </w:r>
      <w:r w:rsidRPr="007A23D3">
        <w:rPr>
          <w:rFonts w:cs="Open Sans"/>
          <w:sz w:val="20"/>
          <w:szCs w:val="20"/>
        </w:rPr>
        <w:t xml:space="preserve"> </w:t>
      </w:r>
      <w:r w:rsidRPr="00451B90">
        <w:rPr>
          <w:rFonts w:cs="Open Sans"/>
        </w:rPr>
        <w:t>in this case ensuring the effective operation of Australia’s migration system</w:t>
      </w:r>
    </w:p>
    <w:p w14:paraId="2E84A13B" w14:textId="77777777" w:rsidR="00903A38" w:rsidRPr="00451B90" w:rsidRDefault="00903A38" w:rsidP="00C84572">
      <w:pPr>
        <w:pStyle w:val="ListParagraph"/>
        <w:numPr>
          <w:ilvl w:val="1"/>
          <w:numId w:val="21"/>
        </w:numPr>
        <w:ind w:left="1434" w:hanging="357"/>
        <w:rPr>
          <w:rFonts w:cs="Open Sans"/>
        </w:rPr>
      </w:pPr>
      <w:r w:rsidRPr="00451B90">
        <w:rPr>
          <w:rFonts w:cs="Open Sans"/>
        </w:rPr>
        <w:t>arbitrariness is not to be equated with ‘against the law’; it must be interpreted more broadly to include elements of inappropriateness, injustice or lack of predictability</w:t>
      </w:r>
      <w:r w:rsidRPr="007A23D3">
        <w:rPr>
          <w:rFonts w:cs="Open Sans"/>
          <w:sz w:val="20"/>
          <w:szCs w:val="20"/>
          <w:vertAlign w:val="superscript"/>
        </w:rPr>
        <w:endnoteReference w:id="12"/>
      </w:r>
      <w:r w:rsidRPr="007A23D3">
        <w:rPr>
          <w:rFonts w:cs="Open Sans"/>
          <w:sz w:val="20"/>
          <w:szCs w:val="20"/>
        </w:rPr>
        <w:t xml:space="preserve"> </w:t>
      </w:r>
    </w:p>
    <w:p w14:paraId="312A1BEB" w14:textId="77777777" w:rsidR="00903A38" w:rsidRPr="00451B90" w:rsidRDefault="00903A38" w:rsidP="00C84572">
      <w:pPr>
        <w:pStyle w:val="ListParagraph"/>
        <w:numPr>
          <w:ilvl w:val="1"/>
          <w:numId w:val="21"/>
        </w:numPr>
        <w:ind w:left="1434" w:hanging="357"/>
        <w:rPr>
          <w:rFonts w:cs="Open Sans"/>
        </w:rPr>
      </w:pPr>
      <w:r w:rsidRPr="00451B90">
        <w:rPr>
          <w:rFonts w:cs="Open Sans"/>
        </w:rPr>
        <w:t>detention should not continue beyond the period for which a state party can provide appropriate justification,</w:t>
      </w:r>
      <w:r w:rsidRPr="007A23D3">
        <w:rPr>
          <w:rFonts w:cs="Open Sans"/>
          <w:sz w:val="20"/>
          <w:szCs w:val="20"/>
          <w:vertAlign w:val="superscript"/>
        </w:rPr>
        <w:endnoteReference w:id="13"/>
      </w:r>
      <w:r w:rsidRPr="007A23D3">
        <w:rPr>
          <w:rFonts w:cs="Open Sans"/>
          <w:sz w:val="20"/>
          <w:szCs w:val="20"/>
        </w:rPr>
        <w:t xml:space="preserve"> </w:t>
      </w:r>
      <w:r w:rsidRPr="00451B90">
        <w:rPr>
          <w:rFonts w:cs="Open Sans"/>
        </w:rPr>
        <w:t>and should be subject to periodic re-evaluation and judicial review.</w:t>
      </w:r>
      <w:r w:rsidRPr="00451B90">
        <w:rPr>
          <w:rStyle w:val="EndnoteReference"/>
          <w:rFonts w:cs="Open Sans"/>
        </w:rPr>
        <w:endnoteReference w:id="14"/>
      </w:r>
    </w:p>
    <w:p w14:paraId="377DC4CA"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w:t>
      </w:r>
      <w:r w:rsidRPr="00451B90">
        <w:rPr>
          <w:rFonts w:cs="Open Sans"/>
          <w:i/>
        </w:rPr>
        <w:t>Van Alphen v The Netherlands</w:t>
      </w:r>
      <w:r w:rsidRPr="00451B90">
        <w:rPr>
          <w:rFonts w:cs="Open Sans"/>
        </w:rPr>
        <w:t xml:space="preserve">, the UN HR Committee found detention for a period of two months to be ‘arbitrary’ because the State Party did </w:t>
      </w:r>
      <w:r w:rsidRPr="00451B90">
        <w:rPr>
          <w:rFonts w:cs="Open Sans"/>
        </w:rPr>
        <w:lastRenderedPageBreak/>
        <w:t>not show that remand in custody was necessary to prevent flight, interference with evidence or recurrence of crime.</w:t>
      </w:r>
      <w:r w:rsidRPr="00451B90">
        <w:rPr>
          <w:rStyle w:val="EndnoteReference"/>
          <w:rFonts w:cs="Open Sans"/>
        </w:rPr>
        <w:endnoteReference w:id="15"/>
      </w:r>
      <w:r w:rsidRPr="00451B90">
        <w:rPr>
          <w:rFonts w:cs="Open Sans"/>
        </w:rPr>
        <w:t xml:space="preserve"> </w:t>
      </w:r>
    </w:p>
    <w:p w14:paraId="6EF3389F"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Australia has also voluntarily adopted obligations to protect the human rights of refugees and asylum seekers under various international law conventions. For example, under article 33(1) of the Refugee Convention, Australia has an obligation not to forcibly expel, or </w:t>
      </w:r>
      <w:r>
        <w:rPr>
          <w:rFonts w:cs="Open Sans"/>
        </w:rPr>
        <w:t>return</w:t>
      </w:r>
      <w:r w:rsidRPr="00451B90">
        <w:rPr>
          <w:rFonts w:cs="Open Sans"/>
        </w:rPr>
        <w:t>, a refugee to a country where their life or freedom would be threatened on account of their race, religion, nationality, membership of a particular social group or political opinion.</w:t>
      </w:r>
    </w:p>
    <w:p w14:paraId="03D0114B" w14:textId="77777777" w:rsidR="00903A38" w:rsidRPr="00451B90" w:rsidRDefault="00903A38" w:rsidP="00C84572">
      <w:pPr>
        <w:pStyle w:val="Heading2"/>
        <w:numPr>
          <w:ilvl w:val="1"/>
          <w:numId w:val="20"/>
        </w:numPr>
        <w:tabs>
          <w:tab w:val="clear" w:pos="851"/>
          <w:tab w:val="num" w:pos="1135"/>
        </w:tabs>
        <w:spacing w:after="0"/>
        <w:ind w:left="1135"/>
        <w:rPr>
          <w:rFonts w:cs="Open Sans"/>
        </w:rPr>
      </w:pPr>
      <w:bookmarkStart w:id="31" w:name="_Toc452472698"/>
      <w:bookmarkStart w:id="32" w:name="_Toc487445605"/>
      <w:bookmarkStart w:id="33" w:name="_Toc487531390"/>
      <w:bookmarkStart w:id="34" w:name="_Toc487531409"/>
      <w:bookmarkStart w:id="35" w:name="_Toc487531479"/>
      <w:bookmarkStart w:id="36" w:name="_Toc487531599"/>
      <w:bookmarkStart w:id="37" w:name="_Toc488674344"/>
      <w:bookmarkStart w:id="38" w:name="_Toc79503160"/>
      <w:bookmarkStart w:id="39" w:name="_Toc87965779"/>
      <w:r w:rsidRPr="00451B90">
        <w:rPr>
          <w:rFonts w:cs="Open Sans"/>
        </w:rPr>
        <w:t>Alternatives to closed detention</w:t>
      </w:r>
      <w:bookmarkEnd w:id="31"/>
      <w:bookmarkEnd w:id="32"/>
      <w:bookmarkEnd w:id="33"/>
      <w:bookmarkEnd w:id="34"/>
      <w:bookmarkEnd w:id="35"/>
      <w:bookmarkEnd w:id="36"/>
      <w:bookmarkEnd w:id="37"/>
      <w:bookmarkEnd w:id="38"/>
      <w:bookmarkEnd w:id="39"/>
    </w:p>
    <w:p w14:paraId="60342284"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While the Migration Act requires the detention of unlawful non-citizens, the Minister can exercise discretionary powers under ss 195A or 197AB to detain a person in a less restrictive manner than closed immigration detention or allow the person to live in the community. </w:t>
      </w:r>
    </w:p>
    <w:p w14:paraId="4B1D0B9A"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Section 195A of the Migration Act permits the Minister, where they think that it is in the public interest to do so, to grant a visa to a person detained under s 189 of the Migration Act. </w:t>
      </w:r>
    </w:p>
    <w:p w14:paraId="3452F122"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Section 197AB of the Migration Act permits the Minister, where they think that it is in the public interest to do so, to make a ‘residence determination’ to allow a person to reside in a specified place, instead of being detained in closed immigration detention. A ‘specified place’ may be a place in the community. This is commonly referred to as ‘community detention’.</w:t>
      </w:r>
    </w:p>
    <w:p w14:paraId="6CF96530"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Over the years, different guidelines concerning the exercise of these ministerial powers have applied. On 15 August 2011, the Hon Chris Bowen MP, then Minister for Immigration and Citizenship, published guidelines setting out the circumstances in which he might wish to consider exercising his residence determination power under s 197AB of the Migration Act. </w:t>
      </w:r>
    </w:p>
    <w:p w14:paraId="36ABD959"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30 May 2013, the Hon Brendan O’Connor MP, then Minister for Immigration and Citizenship, published new guidelines on exercising his residence determination power under s 197AB of the Migration Act. </w:t>
      </w:r>
    </w:p>
    <w:p w14:paraId="79BE0F5C"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New guidelines were again issued on 18 February 2014 by the Hon Scott Morrison MP, then Minister for Immigration and Border Protection.</w:t>
      </w:r>
      <w:r w:rsidRPr="00451B90">
        <w:rPr>
          <w:rStyle w:val="EndnoteReference"/>
          <w:rFonts w:cs="Open Sans"/>
        </w:rPr>
        <w:endnoteReference w:id="16"/>
      </w:r>
      <w:r w:rsidRPr="00451B90">
        <w:rPr>
          <w:rFonts w:cs="Open Sans"/>
        </w:rPr>
        <w:t xml:space="preserve"> On 29 March 2015, the Hon Peter Dutton MP, </w:t>
      </w:r>
      <w:r>
        <w:rPr>
          <w:rFonts w:cs="Open Sans"/>
        </w:rPr>
        <w:t xml:space="preserve">then </w:t>
      </w:r>
      <w:r w:rsidRPr="00451B90">
        <w:rPr>
          <w:rFonts w:cs="Open Sans"/>
        </w:rPr>
        <w:t>Minister for Home Affairs, issued replacement guidelines.</w:t>
      </w:r>
      <w:r w:rsidRPr="007A23D3">
        <w:rPr>
          <w:rFonts w:cs="Open Sans"/>
          <w:sz w:val="20"/>
          <w:szCs w:val="20"/>
          <w:vertAlign w:val="superscript"/>
        </w:rPr>
        <w:endnoteReference w:id="17"/>
      </w:r>
      <w:r w:rsidRPr="007A23D3">
        <w:rPr>
          <w:rFonts w:cs="Open Sans"/>
          <w:sz w:val="20"/>
          <w:szCs w:val="20"/>
          <w:vertAlign w:val="superscript"/>
        </w:rPr>
        <w:t xml:space="preserve"> </w:t>
      </w:r>
      <w:bookmarkStart w:id="40" w:name="_Hlk79503440"/>
      <w:r w:rsidRPr="00451B90">
        <w:rPr>
          <w:rFonts w:cs="Open Sans"/>
        </w:rPr>
        <w:t>On 21 October 2017, Minister Dutton again re-issued s 197AB guidelines</w:t>
      </w:r>
      <w:r>
        <w:rPr>
          <w:rFonts w:cs="Open Sans"/>
        </w:rPr>
        <w:t>,</w:t>
      </w:r>
      <w:r w:rsidRPr="00451B90">
        <w:rPr>
          <w:rFonts w:cs="Open Sans"/>
        </w:rPr>
        <w:t xml:space="preserve"> which are currently in use by the Department</w:t>
      </w:r>
      <w:r w:rsidRPr="007A23D3">
        <w:rPr>
          <w:rFonts w:cs="Open Sans"/>
          <w:sz w:val="20"/>
          <w:szCs w:val="20"/>
        </w:rPr>
        <w:t>.</w:t>
      </w:r>
      <w:r w:rsidRPr="007A23D3">
        <w:rPr>
          <w:rFonts w:cs="Open Sans"/>
          <w:sz w:val="20"/>
          <w:szCs w:val="20"/>
          <w:vertAlign w:val="superscript"/>
        </w:rPr>
        <w:endnoteReference w:id="18"/>
      </w:r>
      <w:r w:rsidRPr="007A23D3">
        <w:rPr>
          <w:rFonts w:cs="Open Sans"/>
          <w:sz w:val="20"/>
          <w:szCs w:val="20"/>
        </w:rPr>
        <w:t xml:space="preserve"> </w:t>
      </w:r>
    </w:p>
    <w:bookmarkEnd w:id="40"/>
    <w:p w14:paraId="0B602912"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lastRenderedPageBreak/>
        <w:t>Each of the s 197AB guidelines provides that the Minister would not expect referral of cases under s 197AB where a person does not meet the character test under s 501 of the Migration Act, unless there are extenuating circumstances. In particular, the guidelines state that the Minister will consider cases where there are ‘unique or exceptional circumstances’. The phrase ‘unique or exceptional circumstances’ is not defined in the guidelines.</w:t>
      </w:r>
    </w:p>
    <w:p w14:paraId="031459B4"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Guidelines have also been published in relation to the exercise of the power under s 195A of the Migration Act to grant a visa to a person in immigration detention. The Hon Chris Bowen MP, then Minister for Immigration and Citizenship, published guidelines on s 195A in March 2012. These guidelines did not explicitly exclude the referral of individuals found not to meet the character test under s 501 of the Migration Act, and also provided for the referral of cases where ‘unique and exceptional circumstances’ arise. </w:t>
      </w:r>
    </w:p>
    <w:p w14:paraId="3EC210C7"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On 18 August 2017, Minister Dutton re-issued s 195A guidelines, which are the current guidelines in use by the Department.</w:t>
      </w:r>
      <w:r w:rsidRPr="00451B90">
        <w:rPr>
          <w:rStyle w:val="EndnoteReference"/>
          <w:rFonts w:cs="Open Sans"/>
        </w:rPr>
        <w:endnoteReference w:id="19"/>
      </w:r>
      <w:r w:rsidRPr="00451B90">
        <w:rPr>
          <w:rFonts w:cs="Open Sans"/>
        </w:rPr>
        <w:t xml:space="preserve"> These guidelines provide that the Minister would generally not expect referral of cases where a person does not meet the character test under s 501 of the Migration Act. Although there is no exception for unique and exceptional circumstances—unlike the other ministerial intervention guidelines referred to above—under these guidelines the Minister will consider cases where there are ‘compelling or compassionate’ circumstances.</w:t>
      </w:r>
    </w:p>
    <w:p w14:paraId="360A7996"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As discussed below, I consider that the complainants’ circumstances can properly be characterised as ‘unique or exceptional’ or ‘compelling or compassionate’. </w:t>
      </w:r>
    </w:p>
    <w:p w14:paraId="4AE7516C" w14:textId="77777777" w:rsidR="00903A38" w:rsidRPr="00451B90" w:rsidRDefault="00903A38" w:rsidP="00C84572">
      <w:pPr>
        <w:numPr>
          <w:ilvl w:val="0"/>
          <w:numId w:val="21"/>
        </w:numPr>
        <w:tabs>
          <w:tab w:val="clear" w:pos="720"/>
          <w:tab w:val="num" w:pos="862"/>
        </w:tabs>
        <w:ind w:left="862" w:hanging="862"/>
        <w:rPr>
          <w:rFonts w:eastAsia="Calibri" w:cs="Open Sans"/>
          <w:color w:val="000000"/>
        </w:rPr>
      </w:pPr>
      <w:r w:rsidRPr="00264C06">
        <w:rPr>
          <w:rFonts w:cs="Open Sans"/>
        </w:rPr>
        <w:t>I note that people whose visas have been refused or cancelled under s 501 of the Migration Act are not precluded from community detention or being</w:t>
      </w:r>
      <w:r w:rsidRPr="00451B90">
        <w:rPr>
          <w:rFonts w:eastAsia="Calibri" w:cs="Open Sans"/>
          <w:color w:val="000000"/>
        </w:rPr>
        <w:t xml:space="preserve"> granted bridging visas. In the Statement of Compatibility with Human Rights accompanying the Migration Amendment (Character and General Visa Cancellation) Bill 2014 (</w:t>
      </w:r>
      <w:proofErr w:type="spellStart"/>
      <w:r w:rsidRPr="00451B90">
        <w:rPr>
          <w:rFonts w:eastAsia="Calibri" w:cs="Open Sans"/>
          <w:color w:val="000000"/>
        </w:rPr>
        <w:t>Cth</w:t>
      </w:r>
      <w:proofErr w:type="spellEnd"/>
      <w:r w:rsidRPr="00451B90">
        <w:rPr>
          <w:rFonts w:eastAsia="Calibri" w:cs="Open Sans"/>
          <w:color w:val="000000"/>
        </w:rPr>
        <w:t>)</w:t>
      </w:r>
      <w:r w:rsidRPr="00451B90">
        <w:rPr>
          <w:rFonts w:eastAsia="Calibri" w:cs="Open Sans"/>
          <w:i/>
          <w:iCs/>
          <w:color w:val="000000"/>
        </w:rPr>
        <w:t xml:space="preserve">, </w:t>
      </w:r>
      <w:r w:rsidRPr="00451B90">
        <w:rPr>
          <w:rFonts w:eastAsia="Calibri" w:cs="Open Sans"/>
          <w:color w:val="000000"/>
        </w:rPr>
        <w:t xml:space="preserve">the Commonwealth acknowledged alternatives to closed immigration detention for this cohort as follows: </w:t>
      </w:r>
    </w:p>
    <w:p w14:paraId="272B8596" w14:textId="77777777" w:rsidR="00903A38" w:rsidRPr="00451B90" w:rsidRDefault="00903A38" w:rsidP="00903A38">
      <w:pPr>
        <w:autoSpaceDE w:val="0"/>
        <w:autoSpaceDN w:val="0"/>
        <w:adjustRightInd w:val="0"/>
        <w:spacing w:before="0" w:after="0"/>
        <w:ind w:left="1080"/>
        <w:rPr>
          <w:rFonts w:eastAsia="Calibri" w:cs="Open Sans"/>
          <w:color w:val="000000"/>
          <w:sz w:val="22"/>
          <w:szCs w:val="22"/>
        </w:rPr>
      </w:pPr>
      <w:r w:rsidRPr="00451B90">
        <w:rPr>
          <w:rFonts w:eastAsia="Calibri" w:cs="Open Sans"/>
          <w:color w:val="000000"/>
          <w:sz w:val="22"/>
          <w:szCs w:val="22"/>
        </w:rPr>
        <w:t>The Government has processes in place to mitigate any risk of a person’s detention becoming indefinite or arbitrary through: internal administrative review processes; Commonwealth Ombudsman Own Motion enquiry processes, reporting and Parliamentary tabling; and, ultimately the use of the Minister’s personal intervention powers to grant a visa or residence determination where it is considered in the public interest.</w:t>
      </w:r>
      <w:r w:rsidRPr="00451B90">
        <w:rPr>
          <w:rStyle w:val="EndnoteReference"/>
          <w:rFonts w:eastAsia="Calibri" w:cs="Open Sans"/>
          <w:color w:val="000000"/>
          <w:szCs w:val="22"/>
        </w:rPr>
        <w:endnoteReference w:id="20"/>
      </w:r>
    </w:p>
    <w:p w14:paraId="4BB08DCE" w14:textId="77777777" w:rsidR="00903A38" w:rsidRPr="00451B90" w:rsidRDefault="00903A38" w:rsidP="00C84572">
      <w:pPr>
        <w:numPr>
          <w:ilvl w:val="0"/>
          <w:numId w:val="21"/>
        </w:numPr>
        <w:tabs>
          <w:tab w:val="clear" w:pos="720"/>
          <w:tab w:val="num" w:pos="862"/>
        </w:tabs>
        <w:ind w:left="862" w:hanging="862"/>
        <w:rPr>
          <w:rFonts w:eastAsia="Calibri" w:cs="Open Sans"/>
          <w:color w:val="000000"/>
          <w:sz w:val="22"/>
          <w:szCs w:val="22"/>
        </w:rPr>
      </w:pPr>
      <w:r w:rsidRPr="00451B90">
        <w:rPr>
          <w:rFonts w:eastAsia="Calibri" w:cs="Open Sans"/>
          <w:color w:val="000000"/>
        </w:rPr>
        <w:lastRenderedPageBreak/>
        <w:t>As</w:t>
      </w:r>
      <w:r w:rsidRPr="00451B90">
        <w:rPr>
          <w:rFonts w:eastAsia="Calibri" w:cs="Open Sans"/>
        </w:rPr>
        <w:t xml:space="preserve"> set out in more detail in the s 501 Inquiry, the Minister has the power </w:t>
      </w:r>
      <w:r w:rsidRPr="00264C06">
        <w:rPr>
          <w:rFonts w:eastAsia="Calibri" w:cs="Open Sans"/>
          <w:color w:val="000000"/>
        </w:rPr>
        <w:t>to grant a bridging visa or make a residence determination to a person</w:t>
      </w:r>
      <w:r w:rsidRPr="00451B90">
        <w:rPr>
          <w:rFonts w:eastAsia="Calibri" w:cs="Open Sans"/>
        </w:rPr>
        <w:t xml:space="preserve"> who has had their visa cancelled or refused under s 501 of the Migration Act and attach conditions to it. These conditions may be appropriate to manage risk, real or perceived, that a person poses to the community.</w:t>
      </w:r>
      <w:r w:rsidRPr="00451B90">
        <w:rPr>
          <w:rStyle w:val="EndnoteReference"/>
          <w:rFonts w:eastAsia="Calibri" w:cs="Open Sans"/>
          <w:color w:val="000000"/>
        </w:rPr>
        <w:endnoteReference w:id="21"/>
      </w:r>
      <w:r w:rsidRPr="00451B90">
        <w:rPr>
          <w:rFonts w:eastAsia="Calibri" w:cs="Open Sans"/>
        </w:rPr>
        <w:t xml:space="preserve"> Examples of these conditions may include a requirement that a person comply with a Code of Behaviour or not engage in criminal conduct, be present at a specified residence during specified hours, report to immigration authorities on a regular basis, notify immigration authorities of the person’s movements such as interstate travel, and not associate with certain proscribed entities or organisations. </w:t>
      </w:r>
    </w:p>
    <w:p w14:paraId="4F3CE829" w14:textId="77777777" w:rsidR="00903A38" w:rsidRPr="00451B90" w:rsidRDefault="00903A38" w:rsidP="00C84572">
      <w:pPr>
        <w:numPr>
          <w:ilvl w:val="0"/>
          <w:numId w:val="21"/>
        </w:numPr>
        <w:tabs>
          <w:tab w:val="clear" w:pos="720"/>
          <w:tab w:val="num" w:pos="862"/>
        </w:tabs>
        <w:ind w:left="862" w:hanging="862"/>
        <w:rPr>
          <w:rFonts w:eastAsia="Calibri" w:cs="Open Sans"/>
          <w:color w:val="000000"/>
        </w:rPr>
      </w:pPr>
      <w:r w:rsidRPr="00451B90">
        <w:rPr>
          <w:rFonts w:eastAsia="Calibri" w:cs="Open Sans"/>
          <w:color w:val="000000"/>
        </w:rPr>
        <w:t>Consideration of alternatives to closed detention, with appropriate risk management, is particularly important for the complainants and other individuals in similar circumstances, who are owed protection obligations and had their visas refused or cancelled under s 501. This is because these individuals cannot be returned to their country of origin.</w:t>
      </w:r>
    </w:p>
    <w:p w14:paraId="6EA33BF1" w14:textId="77777777" w:rsidR="00903A38" w:rsidRPr="00451B90" w:rsidRDefault="00903A38" w:rsidP="00C84572">
      <w:pPr>
        <w:numPr>
          <w:ilvl w:val="0"/>
          <w:numId w:val="21"/>
        </w:numPr>
        <w:tabs>
          <w:tab w:val="clear" w:pos="720"/>
          <w:tab w:val="num" w:pos="862"/>
        </w:tabs>
        <w:ind w:left="862" w:hanging="862"/>
        <w:rPr>
          <w:rFonts w:eastAsia="Calibri" w:cs="Open Sans"/>
          <w:color w:val="000000"/>
        </w:rPr>
      </w:pPr>
      <w:r w:rsidRPr="00451B90">
        <w:rPr>
          <w:rFonts w:eastAsia="Calibri" w:cs="Open Sans"/>
          <w:color w:val="000000"/>
        </w:rPr>
        <w:t xml:space="preserve">Overall, failing the character test under s 501 of the Migration Act should not be a proxy for continued and indefinite immigration detention. Alternatives to closed detention should be routinely considered for all people who have had their visa refused or cancelled under s 501, with conditions applied to mitigate risks as appropriate. Closed detention should only be used in exceptional circumstances where identified risks cannot be managed through less restrictive means. </w:t>
      </w:r>
    </w:p>
    <w:p w14:paraId="073F7E98" w14:textId="77777777" w:rsidR="00903A38" w:rsidRPr="00451B90" w:rsidRDefault="00903A38" w:rsidP="00C84572">
      <w:pPr>
        <w:pStyle w:val="Heading1"/>
        <w:numPr>
          <w:ilvl w:val="0"/>
          <w:numId w:val="20"/>
        </w:numPr>
        <w:rPr>
          <w:rFonts w:cs="Open Sans"/>
        </w:rPr>
      </w:pPr>
      <w:bookmarkStart w:id="41" w:name="_Toc79503161"/>
      <w:bookmarkStart w:id="42" w:name="_Toc87965780"/>
      <w:r w:rsidRPr="00451B90">
        <w:rPr>
          <w:rFonts w:cs="Open Sans"/>
        </w:rPr>
        <w:t>Findings — arbitrary detention</w:t>
      </w:r>
      <w:bookmarkEnd w:id="41"/>
      <w:bookmarkEnd w:id="42"/>
    </w:p>
    <w:p w14:paraId="29E85261" w14:textId="5674A829" w:rsidR="00903A38" w:rsidRPr="00451B90" w:rsidRDefault="00903A38" w:rsidP="00C84572">
      <w:pPr>
        <w:pStyle w:val="Heading2"/>
        <w:numPr>
          <w:ilvl w:val="1"/>
          <w:numId w:val="20"/>
        </w:numPr>
        <w:rPr>
          <w:rFonts w:cs="Open Sans"/>
        </w:rPr>
      </w:pPr>
      <w:bookmarkStart w:id="43" w:name="_Toc519513660"/>
      <w:bookmarkStart w:id="44" w:name="_Toc79503162"/>
      <w:bookmarkStart w:id="45" w:name="_Toc87965781"/>
      <w:r w:rsidRPr="00451B90">
        <w:rPr>
          <w:rFonts w:cs="Open Sans"/>
        </w:rPr>
        <w:t xml:space="preserve">Mr </w:t>
      </w:r>
      <w:bookmarkEnd w:id="43"/>
      <w:bookmarkEnd w:id="44"/>
      <w:r w:rsidR="00463C15">
        <w:rPr>
          <w:rFonts w:cs="Open Sans"/>
        </w:rPr>
        <w:t>NS</w:t>
      </w:r>
      <w:bookmarkEnd w:id="45"/>
    </w:p>
    <w:p w14:paraId="50AD1FD0" w14:textId="193E626B" w:rsidR="00903A38" w:rsidRPr="00264C06" w:rsidRDefault="00903A38" w:rsidP="00C84572">
      <w:pPr>
        <w:numPr>
          <w:ilvl w:val="0"/>
          <w:numId w:val="21"/>
        </w:numPr>
        <w:tabs>
          <w:tab w:val="clear" w:pos="720"/>
          <w:tab w:val="num" w:pos="862"/>
        </w:tabs>
        <w:ind w:left="862" w:hanging="862"/>
        <w:rPr>
          <w:rFonts w:eastAsia="Calibri" w:cs="Open Sans"/>
          <w:color w:val="000000"/>
        </w:rPr>
      </w:pPr>
      <w:r w:rsidRPr="00451B90">
        <w:rPr>
          <w:rFonts w:cs="Open Sans"/>
        </w:rPr>
        <w:t xml:space="preserve">On 24 December 2012, Mr </w:t>
      </w:r>
      <w:r w:rsidR="00463C15">
        <w:rPr>
          <w:rFonts w:cs="Open Sans"/>
        </w:rPr>
        <w:t>NS</w:t>
      </w:r>
      <w:r w:rsidRPr="00451B90">
        <w:rPr>
          <w:rFonts w:cs="Open Sans"/>
        </w:rPr>
        <w:t xml:space="preserve">, a Palestinian born in Iraq, arrived at </w:t>
      </w:r>
      <w:r w:rsidRPr="00264C06">
        <w:rPr>
          <w:rFonts w:eastAsia="Calibri" w:cs="Open Sans"/>
          <w:color w:val="000000"/>
        </w:rPr>
        <w:t>Christmas Island by boat and was detained under s 189(3) of the Migration Act.</w:t>
      </w:r>
    </w:p>
    <w:p w14:paraId="1CAA60D5" w14:textId="088A2054" w:rsidR="00903A38" w:rsidRPr="00451B90" w:rsidRDefault="00903A38" w:rsidP="00C84572">
      <w:pPr>
        <w:numPr>
          <w:ilvl w:val="0"/>
          <w:numId w:val="21"/>
        </w:numPr>
        <w:tabs>
          <w:tab w:val="clear" w:pos="720"/>
          <w:tab w:val="num" w:pos="862"/>
        </w:tabs>
        <w:ind w:left="862" w:hanging="862"/>
        <w:rPr>
          <w:rFonts w:cs="Open Sans"/>
        </w:rPr>
      </w:pPr>
      <w:r w:rsidRPr="00264C06">
        <w:rPr>
          <w:rFonts w:eastAsia="Calibri" w:cs="Open Sans"/>
          <w:color w:val="000000"/>
        </w:rPr>
        <w:t xml:space="preserve">On 11 January 2013, Mr </w:t>
      </w:r>
      <w:r w:rsidR="00463C15">
        <w:rPr>
          <w:rFonts w:eastAsia="Calibri" w:cs="Open Sans"/>
          <w:color w:val="000000"/>
        </w:rPr>
        <w:t>NS</w:t>
      </w:r>
      <w:r w:rsidRPr="00264C06">
        <w:rPr>
          <w:rFonts w:eastAsia="Calibri" w:cs="Open Sans"/>
          <w:color w:val="000000"/>
        </w:rPr>
        <w:t xml:space="preserve"> was transferred to offshore detention in Nauru Regional Processing Centre (RPC) under s 198AD of the Migration</w:t>
      </w:r>
      <w:r w:rsidRPr="00451B90">
        <w:rPr>
          <w:rFonts w:cs="Open Sans"/>
        </w:rPr>
        <w:t xml:space="preserve"> Act, where he resided for approximately three years.</w:t>
      </w:r>
    </w:p>
    <w:p w14:paraId="4F517EEE" w14:textId="3E680B74" w:rsidR="00903A38" w:rsidRPr="00264C06" w:rsidRDefault="00903A38" w:rsidP="00C84572">
      <w:pPr>
        <w:numPr>
          <w:ilvl w:val="0"/>
          <w:numId w:val="21"/>
        </w:numPr>
        <w:tabs>
          <w:tab w:val="clear" w:pos="720"/>
          <w:tab w:val="num" w:pos="862"/>
        </w:tabs>
        <w:ind w:left="862" w:hanging="862"/>
        <w:rPr>
          <w:rFonts w:eastAsia="Calibri" w:cs="Open Sans"/>
          <w:color w:val="000000"/>
        </w:rPr>
      </w:pPr>
      <w:r w:rsidRPr="00451B90">
        <w:rPr>
          <w:rFonts w:cs="Open Sans"/>
        </w:rPr>
        <w:t xml:space="preserve">On 17 October 2015, Mr </w:t>
      </w:r>
      <w:r w:rsidR="00463C15">
        <w:rPr>
          <w:rFonts w:cs="Open Sans"/>
        </w:rPr>
        <w:t>NS</w:t>
      </w:r>
      <w:r w:rsidRPr="00451B90">
        <w:rPr>
          <w:rFonts w:cs="Open Sans"/>
        </w:rPr>
        <w:t xml:space="preserve"> was transferred to Brisbane Immigration Transit Accommodation and was detained under s 189(1) of </w:t>
      </w:r>
      <w:r w:rsidRPr="00264C06">
        <w:rPr>
          <w:rFonts w:eastAsia="Calibri" w:cs="Open Sans"/>
          <w:color w:val="000000"/>
        </w:rPr>
        <w:t xml:space="preserve">the Migration Act. He was later transferred to and detained at </w:t>
      </w:r>
      <w:proofErr w:type="spellStart"/>
      <w:r w:rsidRPr="00264C06">
        <w:rPr>
          <w:rFonts w:eastAsia="Calibri" w:cs="Open Sans"/>
          <w:color w:val="000000"/>
        </w:rPr>
        <w:t>Yongah</w:t>
      </w:r>
      <w:proofErr w:type="spellEnd"/>
      <w:r w:rsidRPr="00264C06">
        <w:rPr>
          <w:rFonts w:eastAsia="Calibri" w:cs="Open Sans"/>
          <w:color w:val="000000"/>
        </w:rPr>
        <w:t xml:space="preserve"> Hill Immigration Detention Centre (IDC) and Villawood IDC.</w:t>
      </w:r>
    </w:p>
    <w:p w14:paraId="047F491B" w14:textId="5730054A" w:rsidR="00903A38" w:rsidRPr="00264C06" w:rsidRDefault="00903A38" w:rsidP="00C84572">
      <w:pPr>
        <w:numPr>
          <w:ilvl w:val="0"/>
          <w:numId w:val="21"/>
        </w:numPr>
        <w:tabs>
          <w:tab w:val="clear" w:pos="720"/>
          <w:tab w:val="num" w:pos="862"/>
        </w:tabs>
        <w:ind w:left="862" w:hanging="862"/>
        <w:rPr>
          <w:rFonts w:eastAsia="Calibri" w:cs="Open Sans"/>
          <w:color w:val="000000"/>
        </w:rPr>
      </w:pPr>
      <w:r w:rsidRPr="00264C06">
        <w:rPr>
          <w:rFonts w:eastAsia="Calibri" w:cs="Open Sans"/>
          <w:color w:val="000000"/>
        </w:rPr>
        <w:lastRenderedPageBreak/>
        <w:t xml:space="preserve">On 8 June 2016, Mr </w:t>
      </w:r>
      <w:r w:rsidR="00463C15">
        <w:rPr>
          <w:rFonts w:eastAsia="Calibri" w:cs="Open Sans"/>
          <w:color w:val="000000"/>
        </w:rPr>
        <w:t>NS</w:t>
      </w:r>
      <w:r w:rsidRPr="00264C06">
        <w:rPr>
          <w:rFonts w:eastAsia="Calibri" w:cs="Open Sans"/>
          <w:color w:val="000000"/>
        </w:rPr>
        <w:t>’s case was referred to the Minister under s 195A of the Migration Act as part of a group submission for consideration of intervention to grant a bridging visa.</w:t>
      </w:r>
    </w:p>
    <w:p w14:paraId="22243FB7" w14:textId="0BAA207A" w:rsidR="00903A38" w:rsidRPr="00451B90" w:rsidRDefault="00903A38" w:rsidP="00C84572">
      <w:pPr>
        <w:numPr>
          <w:ilvl w:val="0"/>
          <w:numId w:val="21"/>
        </w:numPr>
        <w:tabs>
          <w:tab w:val="clear" w:pos="720"/>
          <w:tab w:val="num" w:pos="862"/>
        </w:tabs>
        <w:ind w:left="862" w:hanging="862"/>
        <w:rPr>
          <w:rFonts w:cs="Open Sans"/>
        </w:rPr>
      </w:pPr>
      <w:r w:rsidRPr="00264C06">
        <w:rPr>
          <w:rFonts w:eastAsia="Calibri" w:cs="Open Sans"/>
          <w:color w:val="000000"/>
        </w:rPr>
        <w:t xml:space="preserve">On 23 June 2016, the </w:t>
      </w:r>
      <w:r>
        <w:rPr>
          <w:rFonts w:eastAsia="Calibri" w:cs="Open Sans"/>
          <w:color w:val="000000"/>
        </w:rPr>
        <w:t xml:space="preserve">then </w:t>
      </w:r>
      <w:r w:rsidRPr="00264C06">
        <w:rPr>
          <w:rFonts w:eastAsia="Calibri" w:cs="Open Sans"/>
          <w:color w:val="000000"/>
        </w:rPr>
        <w:t xml:space="preserve">Minister declined to consider intervening in Mr </w:t>
      </w:r>
      <w:r w:rsidR="00463C15">
        <w:rPr>
          <w:rFonts w:eastAsia="Calibri" w:cs="Open Sans"/>
          <w:color w:val="000000"/>
        </w:rPr>
        <w:t>NS</w:t>
      </w:r>
      <w:r w:rsidRPr="00264C06">
        <w:rPr>
          <w:rFonts w:eastAsia="Calibri" w:cs="Open Sans"/>
          <w:color w:val="000000"/>
        </w:rPr>
        <w:t>’s</w:t>
      </w:r>
      <w:r w:rsidRPr="00451B90">
        <w:rPr>
          <w:rFonts w:cs="Open Sans"/>
        </w:rPr>
        <w:t xml:space="preserve"> case under s 195A of the Act. </w:t>
      </w:r>
    </w:p>
    <w:p w14:paraId="63AD1E14" w14:textId="326457F8" w:rsidR="00903A38" w:rsidRPr="00264C06" w:rsidRDefault="00903A38" w:rsidP="00C84572">
      <w:pPr>
        <w:numPr>
          <w:ilvl w:val="0"/>
          <w:numId w:val="21"/>
        </w:numPr>
        <w:tabs>
          <w:tab w:val="clear" w:pos="720"/>
          <w:tab w:val="num" w:pos="862"/>
        </w:tabs>
        <w:ind w:left="862" w:hanging="862"/>
        <w:rPr>
          <w:rFonts w:eastAsia="Calibri" w:cs="Open Sans"/>
          <w:color w:val="000000"/>
        </w:rPr>
      </w:pPr>
      <w:r w:rsidRPr="00264C06">
        <w:rPr>
          <w:rFonts w:eastAsia="Calibri" w:cs="Open Sans"/>
          <w:color w:val="000000"/>
        </w:rPr>
        <w:t>On 25 August 2016, Mr</w:t>
      </w:r>
      <w:r w:rsidR="00463C15">
        <w:rPr>
          <w:rFonts w:eastAsia="Calibri" w:cs="Open Sans"/>
          <w:color w:val="000000"/>
        </w:rPr>
        <w:t xml:space="preserve"> NS</w:t>
      </w:r>
      <w:r w:rsidRPr="00264C06">
        <w:rPr>
          <w:rFonts w:eastAsia="Calibri" w:cs="Open Sans"/>
          <w:color w:val="000000"/>
        </w:rPr>
        <w:t xml:space="preserve"> lodged an application for a TPV, following the s 46A bar being lifted by the </w:t>
      </w:r>
      <w:r>
        <w:rPr>
          <w:rFonts w:eastAsia="Calibri" w:cs="Open Sans"/>
          <w:color w:val="000000"/>
        </w:rPr>
        <w:t xml:space="preserve">then </w:t>
      </w:r>
      <w:r w:rsidRPr="00264C06">
        <w:rPr>
          <w:rFonts w:eastAsia="Calibri" w:cs="Open Sans"/>
          <w:color w:val="000000"/>
        </w:rPr>
        <w:t>Minister.</w:t>
      </w:r>
    </w:p>
    <w:p w14:paraId="0367D3DD" w14:textId="27F70951" w:rsidR="00903A38" w:rsidRPr="00264C06" w:rsidRDefault="00903A38" w:rsidP="00C84572">
      <w:pPr>
        <w:numPr>
          <w:ilvl w:val="0"/>
          <w:numId w:val="21"/>
        </w:numPr>
        <w:tabs>
          <w:tab w:val="clear" w:pos="720"/>
          <w:tab w:val="num" w:pos="862"/>
        </w:tabs>
        <w:ind w:left="862" w:hanging="862"/>
        <w:rPr>
          <w:rFonts w:eastAsia="Calibri" w:cs="Open Sans"/>
          <w:color w:val="000000"/>
        </w:rPr>
      </w:pPr>
      <w:r w:rsidRPr="00264C06">
        <w:rPr>
          <w:rFonts w:eastAsia="Calibri" w:cs="Open Sans"/>
          <w:color w:val="000000"/>
        </w:rPr>
        <w:t xml:space="preserve">On 29 November 2016, Mr </w:t>
      </w:r>
      <w:r w:rsidR="00463C15">
        <w:rPr>
          <w:rFonts w:eastAsia="Calibri" w:cs="Open Sans"/>
          <w:color w:val="000000"/>
        </w:rPr>
        <w:t>NS</w:t>
      </w:r>
      <w:r w:rsidRPr="00264C06">
        <w:rPr>
          <w:rFonts w:eastAsia="Calibri" w:cs="Open Sans"/>
          <w:color w:val="000000"/>
        </w:rPr>
        <w:t xml:space="preserve"> was assessed by the Department as ‘indicatively’ engaging Australia’s protection obligations. It was found that removing Mr </w:t>
      </w:r>
      <w:r w:rsidR="00463C15">
        <w:rPr>
          <w:rFonts w:eastAsia="Calibri" w:cs="Open Sans"/>
          <w:color w:val="000000"/>
        </w:rPr>
        <w:t>NS</w:t>
      </w:r>
      <w:r w:rsidRPr="00264C06">
        <w:rPr>
          <w:rFonts w:eastAsia="Calibri" w:cs="Open Sans"/>
          <w:color w:val="000000"/>
        </w:rPr>
        <w:t xml:space="preserve"> to Iraq would be in breach of Australia’s international non-refoulement obligations. While he could be removed to a country other than Iraq, there was no known prospect of removal to a third country.</w:t>
      </w:r>
    </w:p>
    <w:p w14:paraId="41377CA8" w14:textId="6392BF6D" w:rsidR="00903A38" w:rsidRPr="00264C06" w:rsidRDefault="00903A38" w:rsidP="00C84572">
      <w:pPr>
        <w:numPr>
          <w:ilvl w:val="0"/>
          <w:numId w:val="21"/>
        </w:numPr>
        <w:tabs>
          <w:tab w:val="clear" w:pos="720"/>
          <w:tab w:val="num" w:pos="862"/>
        </w:tabs>
        <w:ind w:left="862" w:hanging="862"/>
        <w:rPr>
          <w:rFonts w:eastAsia="Calibri" w:cs="Open Sans"/>
          <w:color w:val="000000"/>
        </w:rPr>
      </w:pPr>
      <w:r w:rsidRPr="00264C06">
        <w:rPr>
          <w:rFonts w:eastAsia="Calibri" w:cs="Open Sans"/>
          <w:color w:val="000000"/>
        </w:rPr>
        <w:t xml:space="preserve">On 2 February 2017, a further s 195A group submission for ‘low risk illegal maritime arrivals’ was sent to the </w:t>
      </w:r>
      <w:r>
        <w:rPr>
          <w:rFonts w:eastAsia="Calibri" w:cs="Open Sans"/>
          <w:color w:val="000000"/>
        </w:rPr>
        <w:t xml:space="preserve">then </w:t>
      </w:r>
      <w:r w:rsidRPr="00264C06">
        <w:rPr>
          <w:rFonts w:eastAsia="Calibri" w:cs="Open Sans"/>
          <w:color w:val="000000"/>
        </w:rPr>
        <w:t>Minister’s Office for consideration of a grant of a bridging visa for Mr </w:t>
      </w:r>
      <w:r w:rsidR="00463C15">
        <w:rPr>
          <w:rFonts w:eastAsia="Calibri" w:cs="Open Sans"/>
          <w:color w:val="000000"/>
        </w:rPr>
        <w:t>NS</w:t>
      </w:r>
      <w:r w:rsidRPr="00264C06">
        <w:rPr>
          <w:rFonts w:eastAsia="Calibri" w:cs="Open Sans"/>
          <w:color w:val="000000"/>
        </w:rPr>
        <w:t xml:space="preserve">. </w:t>
      </w:r>
    </w:p>
    <w:p w14:paraId="08B61BCA" w14:textId="77777777" w:rsidR="00903A38" w:rsidRPr="00451B90" w:rsidRDefault="00903A38" w:rsidP="00C84572">
      <w:pPr>
        <w:numPr>
          <w:ilvl w:val="0"/>
          <w:numId w:val="21"/>
        </w:numPr>
        <w:tabs>
          <w:tab w:val="clear" w:pos="720"/>
          <w:tab w:val="num" w:pos="862"/>
        </w:tabs>
        <w:ind w:left="862" w:hanging="862"/>
        <w:rPr>
          <w:rFonts w:cs="Open Sans"/>
        </w:rPr>
      </w:pPr>
      <w:r w:rsidRPr="00264C06">
        <w:rPr>
          <w:rFonts w:eastAsia="Calibri" w:cs="Open Sans"/>
          <w:color w:val="000000"/>
        </w:rPr>
        <w:t>On 19 April 2017, the submission was returned from the Minister’s Office unsigned, and a new s 195A referral was initiated. On the information</w:t>
      </w:r>
      <w:r w:rsidRPr="00451B90">
        <w:rPr>
          <w:rFonts w:cs="Open Sans"/>
        </w:rPr>
        <w:t xml:space="preserve"> before the Commission, it is not clear why there appears to have been no action taken on the submission.</w:t>
      </w:r>
    </w:p>
    <w:p w14:paraId="4D54D74B" w14:textId="5EFF8BC5" w:rsidR="00903A38" w:rsidRPr="00451B90" w:rsidRDefault="00903A38" w:rsidP="007A23D3">
      <w:pPr>
        <w:numPr>
          <w:ilvl w:val="0"/>
          <w:numId w:val="21"/>
        </w:numPr>
        <w:tabs>
          <w:tab w:val="clear" w:pos="720"/>
          <w:tab w:val="num" w:pos="862"/>
        </w:tabs>
        <w:ind w:left="862" w:hanging="862"/>
        <w:rPr>
          <w:rFonts w:cs="Open Sans"/>
        </w:rPr>
      </w:pPr>
      <w:r w:rsidRPr="00451B90">
        <w:rPr>
          <w:rFonts w:cs="Open Sans"/>
        </w:rPr>
        <w:t xml:space="preserve">On 21 June 2017, Mr </w:t>
      </w:r>
      <w:r w:rsidR="00463C15">
        <w:rPr>
          <w:rFonts w:cs="Open Sans"/>
        </w:rPr>
        <w:t>NS</w:t>
      </w:r>
      <w:r w:rsidRPr="00451B90">
        <w:rPr>
          <w:rFonts w:cs="Open Sans"/>
        </w:rPr>
        <w:t xml:space="preserve"> was found to meet the s 195A guidelines for referral to the Minister ‘pending resolution of his character issues’.</w:t>
      </w:r>
      <w:r w:rsidRPr="00451B90">
        <w:rPr>
          <w:rStyle w:val="EndnoteReference"/>
          <w:rFonts w:cs="Open Sans"/>
        </w:rPr>
        <w:endnoteReference w:id="22"/>
      </w:r>
    </w:p>
    <w:p w14:paraId="4AD439F4" w14:textId="1D820140"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18 July 2017, Mr </w:t>
      </w:r>
      <w:r w:rsidR="00463C15">
        <w:rPr>
          <w:rFonts w:cs="Open Sans"/>
        </w:rPr>
        <w:t>NS</w:t>
      </w:r>
      <w:r w:rsidRPr="00451B90">
        <w:rPr>
          <w:rFonts w:cs="Open Sans"/>
        </w:rPr>
        <w:t>’s application for a TPV was refused under s 501(6)(d)(</w:t>
      </w:r>
      <w:proofErr w:type="spellStart"/>
      <w:r w:rsidRPr="00451B90">
        <w:rPr>
          <w:rFonts w:cs="Open Sans"/>
        </w:rPr>
        <w:t>i</w:t>
      </w:r>
      <w:proofErr w:type="spellEnd"/>
      <w:r w:rsidRPr="00451B90">
        <w:rPr>
          <w:rFonts w:cs="Open Sans"/>
        </w:rPr>
        <w:t xml:space="preserve">) of the Migration Act. The delegate of the Minister made a finding that, on the basis of Mr </w:t>
      </w:r>
      <w:r w:rsidR="00463C15">
        <w:rPr>
          <w:rFonts w:cs="Open Sans"/>
        </w:rPr>
        <w:t>NS</w:t>
      </w:r>
      <w:r w:rsidRPr="00451B90">
        <w:rPr>
          <w:rFonts w:cs="Open Sans"/>
        </w:rPr>
        <w:t xml:space="preserve">’s criminal history, there was an ongoing (albeit low) risk that he would engage in re-offending in Australia and therefore he did not pass the character test. </w:t>
      </w:r>
    </w:p>
    <w:p w14:paraId="4AC01A16" w14:textId="0CEC028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relevant criminal conduct relates to Mr </w:t>
      </w:r>
      <w:r w:rsidR="00463C15">
        <w:rPr>
          <w:rFonts w:cs="Open Sans"/>
        </w:rPr>
        <w:t>NS</w:t>
      </w:r>
      <w:r w:rsidRPr="00451B90">
        <w:rPr>
          <w:rFonts w:cs="Open Sans"/>
        </w:rPr>
        <w:t xml:space="preserve">’s conviction on 23 October 2014 of two counts of indecent assault. These two separate incidents occurred during his detention at Nauru RPC. Mr </w:t>
      </w:r>
      <w:r w:rsidR="00463C15">
        <w:rPr>
          <w:rFonts w:cs="Open Sans"/>
        </w:rPr>
        <w:t>NS</w:t>
      </w:r>
      <w:r w:rsidRPr="00451B90">
        <w:rPr>
          <w:rFonts w:cs="Open Sans"/>
        </w:rPr>
        <w:t xml:space="preserve"> non-consensually touched the breasts of, and tried to kiss, a local staff member employed at Nauru RPC</w:t>
      </w:r>
      <w:r>
        <w:rPr>
          <w:rFonts w:cs="Open Sans"/>
        </w:rPr>
        <w:t>,</w:t>
      </w:r>
      <w:r w:rsidRPr="00451B90">
        <w:rPr>
          <w:rFonts w:cs="Open Sans"/>
        </w:rPr>
        <w:t xml:space="preserve"> causing her distress. Mr </w:t>
      </w:r>
      <w:r w:rsidR="00463C15">
        <w:rPr>
          <w:rFonts w:cs="Open Sans"/>
        </w:rPr>
        <w:t>NS</w:t>
      </w:r>
      <w:r w:rsidRPr="00451B90">
        <w:rPr>
          <w:rFonts w:cs="Open Sans"/>
        </w:rPr>
        <w:t xml:space="preserve"> claimed that he was friends with the victim, that they socialised, and that he mistakenly believed there was a mutual attraction and consent. He was sentenced to 9 months imprisonment and served his sentence in Nauru. </w:t>
      </w:r>
    </w:p>
    <w:p w14:paraId="46B58CAB" w14:textId="71E3D93F"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lastRenderedPageBreak/>
        <w:t xml:space="preserve">As far as the Commission is aware, Mr </w:t>
      </w:r>
      <w:r w:rsidR="00463C15">
        <w:rPr>
          <w:rFonts w:cs="Open Sans"/>
        </w:rPr>
        <w:t>NS</w:t>
      </w:r>
      <w:r w:rsidRPr="00451B90">
        <w:rPr>
          <w:rFonts w:cs="Open Sans"/>
        </w:rPr>
        <w:t xml:space="preserve"> has not been involved in any other major behavioural incidents of concern. While he was charged with unlawful assembly for his involvement in the Nauru riots, the charge was quashed by the Supreme Court of Nauru and no conviction was recorded. </w:t>
      </w:r>
    </w:p>
    <w:p w14:paraId="3DE24B52" w14:textId="0D22681A"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463C15">
        <w:rPr>
          <w:rFonts w:cs="Open Sans"/>
        </w:rPr>
        <w:t>NS</w:t>
      </w:r>
      <w:r w:rsidRPr="00451B90">
        <w:rPr>
          <w:rFonts w:cs="Open Sans"/>
        </w:rPr>
        <w:t xml:space="preserve">’s positive demeanour </w:t>
      </w:r>
      <w:r>
        <w:rPr>
          <w:rFonts w:cs="Open Sans"/>
        </w:rPr>
        <w:t xml:space="preserve">was </w:t>
      </w:r>
      <w:r w:rsidRPr="00451B90">
        <w:rPr>
          <w:rFonts w:cs="Open Sans"/>
        </w:rPr>
        <w:t xml:space="preserve">noted by detention service providers, with a Serco note dated 23 May 2016 stating, ‘he is always polite and compliant’. </w:t>
      </w:r>
    </w:p>
    <w:p w14:paraId="2D706268" w14:textId="1702BF44"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a discussion with his case manager on 16 September 2016, Mr </w:t>
      </w:r>
      <w:r w:rsidR="00463C15">
        <w:rPr>
          <w:rFonts w:cs="Open Sans"/>
        </w:rPr>
        <w:t>NS</w:t>
      </w:r>
      <w:r w:rsidRPr="00451B90">
        <w:rPr>
          <w:rFonts w:cs="Open Sans"/>
        </w:rPr>
        <w:t xml:space="preserve"> stated:</w:t>
      </w:r>
    </w:p>
    <w:p w14:paraId="4B7BEC8C" w14:textId="77777777" w:rsidR="00903A38" w:rsidRPr="00451B90" w:rsidRDefault="00903A38" w:rsidP="00903A38">
      <w:pPr>
        <w:ind w:left="1440"/>
        <w:rPr>
          <w:rFonts w:cs="Open Sans"/>
          <w:sz w:val="20"/>
          <w:szCs w:val="20"/>
        </w:rPr>
      </w:pPr>
      <w:r w:rsidRPr="00451B90">
        <w:rPr>
          <w:rFonts w:cs="Open Sans"/>
          <w:sz w:val="20"/>
          <w:szCs w:val="20"/>
        </w:rPr>
        <w:t>I have respect and treat everybody more carefully now and am more aware of people and circumstances. I respect other people</w:t>
      </w:r>
      <w:r>
        <w:rPr>
          <w:rFonts w:cs="Open Sans"/>
          <w:sz w:val="20"/>
          <w:szCs w:val="20"/>
        </w:rPr>
        <w:t>’</w:t>
      </w:r>
      <w:r w:rsidRPr="00451B90">
        <w:rPr>
          <w:rFonts w:cs="Open Sans"/>
          <w:sz w:val="20"/>
          <w:szCs w:val="20"/>
        </w:rPr>
        <w:t>s freedom and now have more understanding of my own freedom. I would like to contribute to society. This charge is my first and will be my last, I no longer wish to be in trouble with the Police or Immigratio</w:t>
      </w:r>
      <w:r>
        <w:rPr>
          <w:rFonts w:cs="Open Sans"/>
          <w:sz w:val="20"/>
          <w:szCs w:val="20"/>
        </w:rPr>
        <w:t>n.</w:t>
      </w:r>
    </w:p>
    <w:p w14:paraId="6C2E9C9C" w14:textId="309ECCE2"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D767FA">
        <w:rPr>
          <w:rFonts w:cs="Open Sans"/>
        </w:rPr>
        <w:t>NS</w:t>
      </w:r>
      <w:r w:rsidRPr="00451B90">
        <w:rPr>
          <w:rFonts w:cs="Open Sans"/>
        </w:rPr>
        <w:t xml:space="preserve"> is a survivor of torture and trauma and has attended specialist counselling for the management of nightmares, increased stress and sleeping difficulties. </w:t>
      </w:r>
    </w:p>
    <w:p w14:paraId="533B0023" w14:textId="11F78AF1"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20 July 2017, Mr </w:t>
      </w:r>
      <w:r w:rsidR="00D767FA">
        <w:rPr>
          <w:rFonts w:cs="Open Sans"/>
        </w:rPr>
        <w:t>NS</w:t>
      </w:r>
      <w:r w:rsidRPr="00451B90">
        <w:rPr>
          <w:rFonts w:cs="Open Sans"/>
        </w:rPr>
        <w:t xml:space="preserve"> applied for review of the TPV refusal at the Administrative Appeals Tribunal (AAT).</w:t>
      </w:r>
    </w:p>
    <w:p w14:paraId="1981151C" w14:textId="2D970B12"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10 October 2017, the AAT set aside the TPV refusal decision, finding that Mr </w:t>
      </w:r>
      <w:r w:rsidR="00D767FA">
        <w:rPr>
          <w:rFonts w:cs="Open Sans"/>
        </w:rPr>
        <w:t>NS</w:t>
      </w:r>
      <w:r w:rsidRPr="00451B90">
        <w:rPr>
          <w:rFonts w:cs="Open Sans"/>
        </w:rPr>
        <w:t xml:space="preserve"> did not fail the character test and the Minister’s discretion under s 501(1) should not have been exercised. The AAT Member found that:</w:t>
      </w:r>
    </w:p>
    <w:p w14:paraId="729CA365" w14:textId="79CDC7D4" w:rsidR="00903A38" w:rsidRPr="006D2D2C" w:rsidRDefault="00903A38" w:rsidP="006D2D2C">
      <w:pPr>
        <w:pStyle w:val="ListParagraph"/>
        <w:ind w:left="1440"/>
        <w:rPr>
          <w:rFonts w:cs="Open Sans"/>
          <w:sz w:val="20"/>
          <w:szCs w:val="20"/>
        </w:rPr>
      </w:pPr>
      <w:r>
        <w:rPr>
          <w:rFonts w:cs="Open Sans"/>
          <w:sz w:val="20"/>
          <w:szCs w:val="20"/>
        </w:rPr>
        <w:t>… t</w:t>
      </w:r>
      <w:r w:rsidRPr="00451B90">
        <w:rPr>
          <w:rFonts w:cs="Open Sans"/>
          <w:sz w:val="20"/>
          <w:szCs w:val="20"/>
        </w:rPr>
        <w:t>he seriousness of the offending is at the lower end of the scale …</w:t>
      </w:r>
    </w:p>
    <w:p w14:paraId="5B73C9CD" w14:textId="12A0B877" w:rsidR="00903A38" w:rsidRPr="006D2D2C" w:rsidRDefault="00903A38" w:rsidP="006D2D2C">
      <w:pPr>
        <w:pStyle w:val="ListParagraph"/>
        <w:ind w:left="1440"/>
        <w:rPr>
          <w:rFonts w:cs="Open Sans"/>
          <w:sz w:val="20"/>
          <w:szCs w:val="20"/>
        </w:rPr>
      </w:pPr>
      <w:r w:rsidRPr="00451B90">
        <w:rPr>
          <w:rFonts w:cs="Open Sans"/>
          <w:sz w:val="20"/>
          <w:szCs w:val="20"/>
        </w:rPr>
        <w:t>I am not satisfied on the evidence that this demonstrates a propensity to engage in such conduct. Despite maintaining that there was consent, I am not convinced that this translates to a risk of recidivism, particularly when having regard to the circumstances. He has no prior convictions and has not engaged in similar conduct since that time …</w:t>
      </w:r>
    </w:p>
    <w:p w14:paraId="35FCFAA9" w14:textId="71498F76" w:rsidR="00903A38" w:rsidRPr="006D2D2C" w:rsidRDefault="00903A38" w:rsidP="006D2D2C">
      <w:pPr>
        <w:pStyle w:val="ListParagraph"/>
        <w:ind w:left="1440"/>
        <w:rPr>
          <w:rFonts w:cs="Open Sans"/>
          <w:sz w:val="20"/>
          <w:szCs w:val="20"/>
        </w:rPr>
      </w:pPr>
      <w:r w:rsidRPr="00451B90">
        <w:rPr>
          <w:rFonts w:cs="Open Sans"/>
          <w:sz w:val="20"/>
          <w:szCs w:val="20"/>
        </w:rPr>
        <w:t>I find that if the applicant were to remain in Australia, there is not a risk that he would engage in criminal conduct in Australia …</w:t>
      </w:r>
      <w:r w:rsidRPr="00451B90">
        <w:rPr>
          <w:rStyle w:val="EndnoteReference"/>
          <w:rFonts w:cs="Open Sans"/>
          <w:szCs w:val="20"/>
        </w:rPr>
        <w:endnoteReference w:id="23"/>
      </w:r>
    </w:p>
    <w:p w14:paraId="4528FAE3" w14:textId="77777777" w:rsidR="00903A38" w:rsidRPr="00451B90" w:rsidRDefault="00903A38" w:rsidP="00903A38">
      <w:pPr>
        <w:pStyle w:val="ListParagraph"/>
        <w:rPr>
          <w:rFonts w:cs="Open Sans"/>
        </w:rPr>
      </w:pPr>
      <w:r>
        <w:rPr>
          <w:rFonts w:cs="Open Sans"/>
        </w:rPr>
        <w:t xml:space="preserve">  </w:t>
      </w:r>
      <w:r w:rsidRPr="00451B90">
        <w:rPr>
          <w:rFonts w:cs="Open Sans"/>
        </w:rPr>
        <w:t>The matter was remitted back to the Department for reconsideration.</w:t>
      </w:r>
    </w:p>
    <w:p w14:paraId="502DB9F8"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20 December 2017, the </w:t>
      </w:r>
      <w:r>
        <w:rPr>
          <w:rFonts w:cs="Open Sans"/>
        </w:rPr>
        <w:t xml:space="preserve">then </w:t>
      </w:r>
      <w:r w:rsidRPr="00451B90">
        <w:rPr>
          <w:rFonts w:cs="Open Sans"/>
        </w:rPr>
        <w:t xml:space="preserve">Minister indicated that he wished to consider setting aside the 10 October 2017 decision of the AAT, using his national interest power under s 501A(2) of the Act. This is a power for exclusive use by the Minister. The </w:t>
      </w:r>
      <w:r>
        <w:rPr>
          <w:rFonts w:cs="Open Sans"/>
        </w:rPr>
        <w:t xml:space="preserve">then </w:t>
      </w:r>
      <w:r w:rsidRPr="00451B90">
        <w:rPr>
          <w:rFonts w:cs="Open Sans"/>
        </w:rPr>
        <w:t xml:space="preserve">Minister requested a submission be referred under s 501A of the Act for his personal consideration. On 16 </w:t>
      </w:r>
      <w:r w:rsidRPr="00451B90">
        <w:rPr>
          <w:rFonts w:cs="Open Sans"/>
        </w:rPr>
        <w:lastRenderedPageBreak/>
        <w:t xml:space="preserve">January 2018, the Department referred a submission under s 501A of the Migration Act to the </w:t>
      </w:r>
      <w:r>
        <w:rPr>
          <w:rFonts w:cs="Open Sans"/>
        </w:rPr>
        <w:t xml:space="preserve">then </w:t>
      </w:r>
      <w:r w:rsidRPr="00451B90">
        <w:rPr>
          <w:rFonts w:cs="Open Sans"/>
        </w:rPr>
        <w:t xml:space="preserve">Minister.  </w:t>
      </w:r>
    </w:p>
    <w:p w14:paraId="05444154" w14:textId="1A6954C1"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D767FA">
        <w:rPr>
          <w:rFonts w:cs="Open Sans"/>
        </w:rPr>
        <w:t>NS</w:t>
      </w:r>
      <w:r w:rsidRPr="00451B90">
        <w:rPr>
          <w:rFonts w:cs="Open Sans"/>
        </w:rPr>
        <w:t>’s complaint to the Commission dated 15 January 2018 stated that his uncertain immigration status, compounded by the Minister not having made a decision on his visa application since remittal by the AAT (at that time), was causing ‘severe mental health problems’.</w:t>
      </w:r>
    </w:p>
    <w:p w14:paraId="268AEC03" w14:textId="2B3E7AB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On 16 April 2018, the Department advised the Commission that as Mr </w:t>
      </w:r>
      <w:r w:rsidR="00D767FA">
        <w:rPr>
          <w:rFonts w:cs="Open Sans"/>
        </w:rPr>
        <w:t>NS</w:t>
      </w:r>
      <w:r w:rsidRPr="00451B90">
        <w:rPr>
          <w:rFonts w:cs="Open Sans"/>
        </w:rPr>
        <w:t>’s character issues had not been resolved, his case would not be referred to the Minister for consideration under s 195A at this time.</w:t>
      </w:r>
    </w:p>
    <w:p w14:paraId="3A8D0748" w14:textId="69CFD92F"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On 22 November 2018, Mr</w:t>
      </w:r>
      <w:r w:rsidR="00D767FA">
        <w:rPr>
          <w:rFonts w:cs="Open Sans"/>
        </w:rPr>
        <w:t xml:space="preserve"> NS</w:t>
      </w:r>
      <w:r w:rsidRPr="00451B90">
        <w:rPr>
          <w:rFonts w:cs="Open Sans"/>
        </w:rPr>
        <w:t xml:space="preserve">’s case was referred to the </w:t>
      </w:r>
      <w:r>
        <w:rPr>
          <w:rFonts w:cs="Open Sans"/>
        </w:rPr>
        <w:t xml:space="preserve">then </w:t>
      </w:r>
      <w:r w:rsidRPr="00451B90">
        <w:rPr>
          <w:rFonts w:cs="Open Sans"/>
        </w:rPr>
        <w:t>Minister under s 501 of the Migration Act.</w:t>
      </w:r>
    </w:p>
    <w:p w14:paraId="4F5D26FA"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30 November 2018, the submission was returned from the </w:t>
      </w:r>
      <w:r>
        <w:rPr>
          <w:rFonts w:cs="Open Sans"/>
        </w:rPr>
        <w:t xml:space="preserve">then </w:t>
      </w:r>
      <w:r w:rsidRPr="00451B90">
        <w:rPr>
          <w:rFonts w:cs="Open Sans"/>
        </w:rPr>
        <w:t>Minister’s Office unsigned with advice that the Minister would no longer be considering setting aside the AAT decision under s 501A of the Act.</w:t>
      </w:r>
    </w:p>
    <w:p w14:paraId="43AD2C26" w14:textId="27FFE9F1"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3 December 2018, Mr </w:t>
      </w:r>
      <w:r w:rsidR="00D767FA">
        <w:rPr>
          <w:rFonts w:cs="Open Sans"/>
        </w:rPr>
        <w:t>NS</w:t>
      </w:r>
      <w:r w:rsidRPr="00451B90">
        <w:rPr>
          <w:rFonts w:cs="Open Sans"/>
        </w:rPr>
        <w:t xml:space="preserve"> was granted a TPV by a delegate of the Minister and released from immigration detention. </w:t>
      </w:r>
    </w:p>
    <w:p w14:paraId="658373C9" w14:textId="702F1B3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the whole, Mr </w:t>
      </w:r>
      <w:r w:rsidR="00D767FA">
        <w:rPr>
          <w:rFonts w:cs="Open Sans"/>
        </w:rPr>
        <w:t>NS</w:t>
      </w:r>
      <w:r w:rsidRPr="00451B90">
        <w:rPr>
          <w:rFonts w:cs="Open Sans"/>
        </w:rPr>
        <w:t xml:space="preserve"> spent approximately six years in immigration detention. Approximately two years and nine months were spent in detention offshore, and more than three years in detention onshore. </w:t>
      </w:r>
    </w:p>
    <w:p w14:paraId="7EFDD8E2" w14:textId="01FFFB2E"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During his three years in onshore immigration detention, Mr </w:t>
      </w:r>
      <w:r w:rsidR="00D767FA">
        <w:rPr>
          <w:rFonts w:cs="Open Sans"/>
        </w:rPr>
        <w:t>NS</w:t>
      </w:r>
      <w:r w:rsidRPr="00451B90">
        <w:rPr>
          <w:rFonts w:cs="Open Sans"/>
        </w:rPr>
        <w:t xml:space="preserve">’s case was referred by the Department to the Minister for consideration under </w:t>
      </w:r>
      <w:r w:rsidR="00C7371E" w:rsidRPr="00451B90">
        <w:rPr>
          <w:rFonts w:cs="Open Sans"/>
        </w:rPr>
        <w:t>s</w:t>
      </w:r>
      <w:r w:rsidR="00C7371E">
        <w:rPr>
          <w:rFonts w:cs="Open Sans"/>
        </w:rPr>
        <w:t> </w:t>
      </w:r>
      <w:r w:rsidRPr="00451B90">
        <w:rPr>
          <w:rFonts w:cs="Open Sans"/>
        </w:rPr>
        <w:t xml:space="preserve">195A on two occasions. </w:t>
      </w:r>
    </w:p>
    <w:p w14:paraId="6B764166" w14:textId="24E3B1E2"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one occasion the </w:t>
      </w:r>
      <w:r>
        <w:rPr>
          <w:rFonts w:cs="Open Sans"/>
        </w:rPr>
        <w:t xml:space="preserve">then </w:t>
      </w:r>
      <w:r w:rsidRPr="00451B90">
        <w:rPr>
          <w:rFonts w:cs="Open Sans"/>
        </w:rPr>
        <w:t xml:space="preserve">Minister declined to intervene. On the other occasion, the Ministerial brief was returned unsigned. It appears that Mr </w:t>
      </w:r>
      <w:r w:rsidR="00D767FA">
        <w:rPr>
          <w:rFonts w:cs="Open Sans"/>
        </w:rPr>
        <w:t>NS</w:t>
      </w:r>
      <w:r w:rsidRPr="00451B90">
        <w:rPr>
          <w:rFonts w:cs="Open Sans"/>
        </w:rPr>
        <w:t xml:space="preserve">’s case was not referred to the Minister for consideration under s 197AB at any stage. </w:t>
      </w:r>
    </w:p>
    <w:p w14:paraId="32B7C417" w14:textId="5E520BA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my preliminary view dated 13 November 2019, I questioned the delay or failure of the Department to refer Mr </w:t>
      </w:r>
      <w:r w:rsidR="00D767FA">
        <w:rPr>
          <w:rFonts w:cs="Open Sans"/>
        </w:rPr>
        <w:t>NS</w:t>
      </w:r>
      <w:r w:rsidRPr="00451B90">
        <w:rPr>
          <w:rFonts w:cs="Open Sans"/>
        </w:rPr>
        <w:t xml:space="preserve">’s circumstances to the </w:t>
      </w:r>
      <w:r>
        <w:rPr>
          <w:rFonts w:cs="Open Sans"/>
        </w:rPr>
        <w:t xml:space="preserve">then </w:t>
      </w:r>
      <w:r w:rsidRPr="00451B90">
        <w:rPr>
          <w:rFonts w:cs="Open Sans"/>
        </w:rPr>
        <w:t xml:space="preserve">Minister for consideration under s 195A and/or s 197AB of the Migration Act after 19 April 2017 when the Ministerial submission was returned unactioned.  </w:t>
      </w:r>
    </w:p>
    <w:p w14:paraId="4EEA7EB2" w14:textId="770C7001"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 also expressed the view that the failure to refer Mr </w:t>
      </w:r>
      <w:r w:rsidR="00D767FA">
        <w:rPr>
          <w:rFonts w:cs="Open Sans"/>
        </w:rPr>
        <w:t>NS</w:t>
      </w:r>
      <w:r w:rsidRPr="00451B90">
        <w:rPr>
          <w:rFonts w:cs="Open Sans"/>
        </w:rPr>
        <w:t xml:space="preserve">’s case under either s 195A or s 197AB appeared particularly acute following the remittal of Mr </w:t>
      </w:r>
      <w:r w:rsidR="00D767FA">
        <w:rPr>
          <w:rFonts w:cs="Open Sans"/>
        </w:rPr>
        <w:t>NS</w:t>
      </w:r>
      <w:r w:rsidRPr="00451B90">
        <w:rPr>
          <w:rFonts w:cs="Open Sans"/>
        </w:rPr>
        <w:t xml:space="preserve">’s case back to the Department by the AAT on 10 </w:t>
      </w:r>
      <w:r w:rsidRPr="00451B90">
        <w:rPr>
          <w:rFonts w:cs="Open Sans"/>
        </w:rPr>
        <w:lastRenderedPageBreak/>
        <w:t xml:space="preserve">October 2017. This is because the AAT made findings that Mr </w:t>
      </w:r>
      <w:r w:rsidR="00D767FA">
        <w:rPr>
          <w:rFonts w:cs="Open Sans"/>
        </w:rPr>
        <w:t>NS</w:t>
      </w:r>
      <w:r w:rsidRPr="00451B90">
        <w:rPr>
          <w:rFonts w:cs="Open Sans"/>
        </w:rPr>
        <w:t xml:space="preserve"> did not pose a risk to the community. This notwithstanding, Mr </w:t>
      </w:r>
      <w:r w:rsidR="00D767FA">
        <w:rPr>
          <w:rFonts w:cs="Open Sans"/>
        </w:rPr>
        <w:t>NS</w:t>
      </w:r>
      <w:r w:rsidRPr="00451B90">
        <w:rPr>
          <w:rFonts w:cs="Open Sans"/>
        </w:rPr>
        <w:t xml:space="preserve"> remained in closed detention until 3 December 2018 — a period of approximately 14 months after the decision of the AAT. In my preliminary view, I indicated that </w:t>
      </w:r>
      <w:r>
        <w:rPr>
          <w:rFonts w:cs="Open Sans"/>
        </w:rPr>
        <w:t xml:space="preserve">during </w:t>
      </w:r>
      <w:r w:rsidRPr="00451B90">
        <w:rPr>
          <w:rFonts w:cs="Open Sans"/>
        </w:rPr>
        <w:t xml:space="preserve">this period of time the </w:t>
      </w:r>
      <w:r>
        <w:rPr>
          <w:rFonts w:cs="Open Sans"/>
        </w:rPr>
        <w:t xml:space="preserve">then </w:t>
      </w:r>
      <w:r w:rsidRPr="00451B90">
        <w:rPr>
          <w:rFonts w:cs="Open Sans"/>
        </w:rPr>
        <w:t xml:space="preserve">Minister might have considered whether Mr </w:t>
      </w:r>
      <w:r w:rsidR="00D767FA">
        <w:rPr>
          <w:rFonts w:cs="Open Sans"/>
        </w:rPr>
        <w:t>NS</w:t>
      </w:r>
      <w:r w:rsidRPr="00451B90">
        <w:rPr>
          <w:rFonts w:cs="Open Sans"/>
        </w:rPr>
        <w:t xml:space="preserve"> could have lived in the community, rather than remaining in closed detention.  </w:t>
      </w:r>
    </w:p>
    <w:p w14:paraId="150B526D"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In its response to my preliminary view dated 22 February 2020, the Department stated that:</w:t>
      </w:r>
    </w:p>
    <w:p w14:paraId="6E65D851" w14:textId="014602F6" w:rsidR="00903A38" w:rsidRPr="00451B90" w:rsidRDefault="00903A38" w:rsidP="00903A38">
      <w:pPr>
        <w:ind w:left="1440"/>
        <w:rPr>
          <w:rFonts w:cs="Open Sans"/>
          <w:sz w:val="22"/>
          <w:szCs w:val="22"/>
        </w:rPr>
      </w:pPr>
      <w:r w:rsidRPr="00451B90">
        <w:rPr>
          <w:rFonts w:cs="Open Sans"/>
          <w:sz w:val="22"/>
          <w:szCs w:val="22"/>
        </w:rPr>
        <w:t xml:space="preserve">On 5 December 2017, following the AAT remittal of the TPV refusal decision to the Department, the Minister advised that he would personally consider Mr </w:t>
      </w:r>
      <w:r w:rsidR="00D767FA">
        <w:rPr>
          <w:rFonts w:cs="Open Sans"/>
          <w:sz w:val="22"/>
          <w:szCs w:val="22"/>
        </w:rPr>
        <w:t>NS</w:t>
      </w:r>
      <w:r w:rsidRPr="00451B90">
        <w:rPr>
          <w:rFonts w:cs="Open Sans"/>
          <w:sz w:val="22"/>
          <w:szCs w:val="22"/>
        </w:rPr>
        <w:t xml:space="preserve">’s TPV application under section 501 of the Act. </w:t>
      </w:r>
    </w:p>
    <w:p w14:paraId="54288885" w14:textId="488FDA57" w:rsidR="00903A38" w:rsidRPr="00451B90" w:rsidRDefault="00903A38" w:rsidP="00903A38">
      <w:pPr>
        <w:ind w:left="1440"/>
        <w:rPr>
          <w:rFonts w:cs="Open Sans"/>
          <w:sz w:val="22"/>
          <w:szCs w:val="22"/>
        </w:rPr>
      </w:pPr>
      <w:r w:rsidRPr="00451B90">
        <w:rPr>
          <w:rFonts w:cs="Open Sans"/>
          <w:sz w:val="22"/>
          <w:szCs w:val="22"/>
        </w:rPr>
        <w:t xml:space="preserve">On 16 April 2018, the Department advised the AHRC that as Mr </w:t>
      </w:r>
      <w:r w:rsidR="00D767FA">
        <w:rPr>
          <w:rFonts w:cs="Open Sans"/>
          <w:sz w:val="22"/>
          <w:szCs w:val="22"/>
        </w:rPr>
        <w:t>NS</w:t>
      </w:r>
      <w:r w:rsidRPr="00451B90">
        <w:rPr>
          <w:rFonts w:cs="Open Sans"/>
          <w:sz w:val="22"/>
          <w:szCs w:val="22"/>
        </w:rPr>
        <w:t>’s character issues were still unresolved, his case would not be referred to the Minister under s</w:t>
      </w:r>
      <w:r>
        <w:rPr>
          <w:rFonts w:cs="Open Sans"/>
          <w:sz w:val="22"/>
          <w:szCs w:val="22"/>
        </w:rPr>
        <w:t>ection</w:t>
      </w:r>
      <w:r w:rsidRPr="00451B90">
        <w:rPr>
          <w:rFonts w:cs="Open Sans"/>
          <w:sz w:val="22"/>
          <w:szCs w:val="22"/>
        </w:rPr>
        <w:t xml:space="preserve"> 195A. </w:t>
      </w:r>
    </w:p>
    <w:p w14:paraId="320A4224" w14:textId="0EEE3A94" w:rsidR="00903A38" w:rsidRPr="00451B90" w:rsidRDefault="00903A38" w:rsidP="00903A38">
      <w:pPr>
        <w:ind w:left="1440"/>
        <w:rPr>
          <w:rFonts w:cs="Open Sans"/>
          <w:sz w:val="22"/>
          <w:szCs w:val="22"/>
        </w:rPr>
      </w:pPr>
      <w:r w:rsidRPr="00451B90">
        <w:rPr>
          <w:rFonts w:cs="Open Sans"/>
          <w:sz w:val="22"/>
          <w:szCs w:val="22"/>
        </w:rPr>
        <w:t xml:space="preserve">On 22 November 2018, Mr </w:t>
      </w:r>
      <w:r w:rsidR="00D767FA">
        <w:rPr>
          <w:rFonts w:cs="Open Sans"/>
          <w:sz w:val="22"/>
          <w:szCs w:val="22"/>
        </w:rPr>
        <w:t>NS</w:t>
      </w:r>
      <w:r w:rsidRPr="00451B90">
        <w:rPr>
          <w:rFonts w:cs="Open Sans"/>
          <w:sz w:val="22"/>
          <w:szCs w:val="22"/>
        </w:rPr>
        <w:t>’s case was referred to the Minister for consideration under s</w:t>
      </w:r>
      <w:r>
        <w:rPr>
          <w:rFonts w:cs="Open Sans"/>
          <w:sz w:val="22"/>
          <w:szCs w:val="22"/>
        </w:rPr>
        <w:t>ection</w:t>
      </w:r>
      <w:r w:rsidRPr="00451B90">
        <w:rPr>
          <w:rFonts w:cs="Open Sans"/>
          <w:sz w:val="22"/>
          <w:szCs w:val="22"/>
        </w:rPr>
        <w:t xml:space="preserve"> 501 of the Act. On 3 December 2018, following advice that the Minister would not consider Mr </w:t>
      </w:r>
      <w:r w:rsidR="00D767FA">
        <w:rPr>
          <w:rFonts w:cs="Open Sans"/>
          <w:sz w:val="22"/>
          <w:szCs w:val="22"/>
        </w:rPr>
        <w:t>NS</w:t>
      </w:r>
      <w:r w:rsidRPr="00451B90">
        <w:rPr>
          <w:rFonts w:cs="Open Sans"/>
          <w:sz w:val="22"/>
          <w:szCs w:val="22"/>
        </w:rPr>
        <w:t>’s case under s</w:t>
      </w:r>
      <w:r>
        <w:rPr>
          <w:rFonts w:cs="Open Sans"/>
          <w:sz w:val="22"/>
          <w:szCs w:val="22"/>
        </w:rPr>
        <w:t>ection</w:t>
      </w:r>
      <w:r w:rsidRPr="00451B90">
        <w:rPr>
          <w:rFonts w:cs="Open Sans"/>
          <w:sz w:val="22"/>
          <w:szCs w:val="22"/>
        </w:rPr>
        <w:t> 501 of the Act, a delegate granted Mr</w:t>
      </w:r>
      <w:r w:rsidR="00AF56A5">
        <w:rPr>
          <w:rFonts w:cs="Open Sans"/>
          <w:sz w:val="22"/>
          <w:szCs w:val="22"/>
        </w:rPr>
        <w:t xml:space="preserve"> NS</w:t>
      </w:r>
      <w:r w:rsidRPr="00451B90">
        <w:rPr>
          <w:rFonts w:cs="Open Sans"/>
          <w:sz w:val="22"/>
          <w:szCs w:val="22"/>
        </w:rPr>
        <w:t xml:space="preserve"> a TPV. </w:t>
      </w:r>
    </w:p>
    <w:p w14:paraId="4E98212A" w14:textId="77777777" w:rsidR="00903A38" w:rsidRPr="00451B90" w:rsidRDefault="00903A38" w:rsidP="00903A38">
      <w:pPr>
        <w:ind w:left="1440"/>
        <w:rPr>
          <w:rFonts w:cs="Open Sans"/>
          <w:sz w:val="22"/>
          <w:szCs w:val="22"/>
        </w:rPr>
      </w:pPr>
      <w:r w:rsidRPr="00451B90">
        <w:rPr>
          <w:rFonts w:cs="Open Sans"/>
          <w:sz w:val="22"/>
          <w:szCs w:val="22"/>
        </w:rPr>
        <w:t>The Department acknowledges the timeframe between the referral being sent to the Minister and the delegate granting the TPV, and notes that the Minister is not bound by any timeframes with respect to Ministerial Intervention.</w:t>
      </w:r>
    </w:p>
    <w:p w14:paraId="3D3D2A0A" w14:textId="77777777" w:rsidR="00903A38" w:rsidRPr="00451B90" w:rsidRDefault="00903A38" w:rsidP="00903A38">
      <w:pPr>
        <w:ind w:left="1440"/>
        <w:rPr>
          <w:rFonts w:cs="Open Sans"/>
          <w:sz w:val="22"/>
          <w:szCs w:val="22"/>
        </w:rPr>
      </w:pPr>
      <w:r w:rsidRPr="00451B90">
        <w:rPr>
          <w:rFonts w:cs="Open Sans"/>
          <w:sz w:val="22"/>
          <w:szCs w:val="22"/>
        </w:rPr>
        <w:t xml:space="preserve">… </w:t>
      </w:r>
    </w:p>
    <w:p w14:paraId="6E829D0B" w14:textId="50F7C491" w:rsidR="00903A38" w:rsidRPr="00451B90" w:rsidRDefault="00903A38" w:rsidP="00903A38">
      <w:pPr>
        <w:ind w:left="1440"/>
        <w:rPr>
          <w:rFonts w:cs="Open Sans"/>
          <w:sz w:val="22"/>
          <w:szCs w:val="22"/>
        </w:rPr>
      </w:pPr>
      <w:r w:rsidRPr="00451B90">
        <w:rPr>
          <w:rFonts w:cs="Open Sans"/>
          <w:sz w:val="22"/>
          <w:szCs w:val="22"/>
        </w:rPr>
        <w:t>Following the AAT determination, the Minister did not fail to consider whether Mr</w:t>
      </w:r>
      <w:r w:rsidR="00D767FA">
        <w:rPr>
          <w:rFonts w:cs="Open Sans"/>
          <w:sz w:val="22"/>
          <w:szCs w:val="22"/>
        </w:rPr>
        <w:t xml:space="preserve"> NS</w:t>
      </w:r>
      <w:r w:rsidRPr="00451B90">
        <w:rPr>
          <w:rFonts w:cs="Open Sans"/>
          <w:sz w:val="22"/>
          <w:szCs w:val="22"/>
        </w:rPr>
        <w:t xml:space="preserve"> could live in the community rather than remaining in held detention while he considered Mr </w:t>
      </w:r>
      <w:r w:rsidR="00D767FA">
        <w:rPr>
          <w:rFonts w:cs="Open Sans"/>
          <w:sz w:val="22"/>
          <w:szCs w:val="22"/>
        </w:rPr>
        <w:t>NS</w:t>
      </w:r>
      <w:r w:rsidRPr="00451B90">
        <w:rPr>
          <w:rFonts w:cs="Open Sans"/>
          <w:sz w:val="22"/>
          <w:szCs w:val="22"/>
        </w:rPr>
        <w:t xml:space="preserve">’s TPV, rather Mr </w:t>
      </w:r>
      <w:r w:rsidR="00D767FA">
        <w:rPr>
          <w:rFonts w:cs="Open Sans"/>
          <w:sz w:val="22"/>
          <w:szCs w:val="22"/>
        </w:rPr>
        <w:t>NS</w:t>
      </w:r>
      <w:r w:rsidRPr="00451B90">
        <w:rPr>
          <w:rFonts w:cs="Open Sans"/>
          <w:sz w:val="22"/>
          <w:szCs w:val="22"/>
        </w:rPr>
        <w:t xml:space="preserve">’s case was not referred for the Minister’s consideration. </w:t>
      </w:r>
    </w:p>
    <w:p w14:paraId="23CF9FEA" w14:textId="69FEF566" w:rsidR="00903A38" w:rsidRPr="00451B90" w:rsidRDefault="00903A38" w:rsidP="00903A38">
      <w:pPr>
        <w:ind w:left="1440"/>
        <w:rPr>
          <w:rFonts w:cs="Open Sans"/>
          <w:sz w:val="22"/>
          <w:szCs w:val="22"/>
        </w:rPr>
      </w:pPr>
      <w:r w:rsidRPr="00451B90">
        <w:rPr>
          <w:rFonts w:cs="Open Sans"/>
          <w:sz w:val="22"/>
          <w:szCs w:val="22"/>
        </w:rPr>
        <w:t xml:space="preserve">During this time, the Minister informed the Department that he would consider exercising his non-compellable power to personally consider Mr </w:t>
      </w:r>
      <w:r w:rsidR="00D767FA">
        <w:rPr>
          <w:rFonts w:cs="Open Sans"/>
          <w:sz w:val="22"/>
          <w:szCs w:val="22"/>
        </w:rPr>
        <w:t>NS</w:t>
      </w:r>
      <w:r w:rsidRPr="00451B90">
        <w:rPr>
          <w:rFonts w:cs="Open Sans"/>
          <w:sz w:val="22"/>
          <w:szCs w:val="22"/>
        </w:rPr>
        <w:t xml:space="preserve">’s TPV application under section 501 of the Act. On this basis, the Department referred Mr </w:t>
      </w:r>
      <w:r w:rsidR="00D767FA">
        <w:rPr>
          <w:rFonts w:cs="Open Sans"/>
          <w:sz w:val="22"/>
          <w:szCs w:val="22"/>
        </w:rPr>
        <w:t>NS</w:t>
      </w:r>
      <w:r w:rsidRPr="00451B90">
        <w:rPr>
          <w:rFonts w:cs="Open Sans"/>
          <w:sz w:val="22"/>
          <w:szCs w:val="22"/>
        </w:rPr>
        <w:t xml:space="preserve">’s case to the Minister under section 501 of the Act rather than under sections 195A or 197AB. The Minister has indicated he will not consider more than one submission for each case at the same time. On these instructions, the Department did not refer Mr </w:t>
      </w:r>
      <w:r w:rsidR="00D767FA">
        <w:rPr>
          <w:rFonts w:cs="Open Sans"/>
          <w:sz w:val="22"/>
          <w:szCs w:val="22"/>
        </w:rPr>
        <w:t>NS</w:t>
      </w:r>
      <w:r w:rsidRPr="00451B90">
        <w:rPr>
          <w:rFonts w:cs="Open Sans"/>
          <w:sz w:val="22"/>
          <w:szCs w:val="22"/>
        </w:rPr>
        <w:t>’s case under sections 195A or 197AB.</w:t>
      </w:r>
    </w:p>
    <w:p w14:paraId="6F36A3A7" w14:textId="5D8D4038" w:rsidR="00903A38" w:rsidRPr="00451B90" w:rsidRDefault="00903A38" w:rsidP="00903A38">
      <w:pPr>
        <w:ind w:left="1440"/>
        <w:rPr>
          <w:rFonts w:cs="Open Sans"/>
          <w:sz w:val="22"/>
          <w:szCs w:val="22"/>
        </w:rPr>
      </w:pPr>
      <w:r w:rsidRPr="00451B90">
        <w:rPr>
          <w:rFonts w:cs="Open Sans"/>
          <w:sz w:val="22"/>
          <w:szCs w:val="22"/>
        </w:rPr>
        <w:t xml:space="preserve">The Department refutes that it failed to refer Mr </w:t>
      </w:r>
      <w:r w:rsidR="00D767FA">
        <w:rPr>
          <w:rFonts w:cs="Open Sans"/>
          <w:sz w:val="22"/>
          <w:szCs w:val="22"/>
        </w:rPr>
        <w:t>NS</w:t>
      </w:r>
      <w:r w:rsidRPr="00451B90">
        <w:rPr>
          <w:rFonts w:cs="Open Sans"/>
          <w:sz w:val="22"/>
          <w:szCs w:val="22"/>
        </w:rPr>
        <w:t xml:space="preserve"> to the Minister for consideration under section 197AB. Rather, Mr </w:t>
      </w:r>
      <w:r w:rsidR="00D767FA">
        <w:rPr>
          <w:rFonts w:cs="Open Sans"/>
          <w:sz w:val="22"/>
          <w:szCs w:val="22"/>
        </w:rPr>
        <w:t>NS</w:t>
      </w:r>
      <w:r w:rsidRPr="00451B90">
        <w:rPr>
          <w:rFonts w:cs="Open Sans"/>
          <w:sz w:val="22"/>
          <w:szCs w:val="22"/>
        </w:rPr>
        <w:t xml:space="preserve">’s case was regularly reviewed, and these reviews did not identify any circumstances that warranted referral to the Minister under section 197AB.   </w:t>
      </w:r>
    </w:p>
    <w:p w14:paraId="1E314118" w14:textId="2E40E27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lastRenderedPageBreak/>
        <w:t xml:space="preserve">On 25 March 2021, the Commission sought clarification from the Department about when Mr </w:t>
      </w:r>
      <w:r w:rsidR="00D767FA">
        <w:rPr>
          <w:rFonts w:cs="Open Sans"/>
        </w:rPr>
        <w:t>NS</w:t>
      </w:r>
      <w:r w:rsidRPr="00451B90">
        <w:rPr>
          <w:rFonts w:cs="Open Sans"/>
        </w:rPr>
        <w:t xml:space="preserve">’s matter was referred to the </w:t>
      </w:r>
      <w:r>
        <w:rPr>
          <w:rFonts w:cs="Open Sans"/>
        </w:rPr>
        <w:t xml:space="preserve">then </w:t>
      </w:r>
      <w:r w:rsidRPr="00451B90">
        <w:rPr>
          <w:rFonts w:cs="Open Sans"/>
        </w:rPr>
        <w:t>Minister for his consideration under s 501A of the Migration Act. In written correspondence dated 14 April 2021, the Department stated:</w:t>
      </w:r>
    </w:p>
    <w:p w14:paraId="629B0045" w14:textId="77777777" w:rsidR="00903A38" w:rsidRPr="00451B90" w:rsidRDefault="00903A38" w:rsidP="00903A38">
      <w:pPr>
        <w:ind w:left="1440"/>
        <w:rPr>
          <w:rFonts w:cs="Open Sans"/>
          <w:sz w:val="22"/>
          <w:szCs w:val="22"/>
        </w:rPr>
      </w:pPr>
      <w:r w:rsidRPr="00451B90">
        <w:rPr>
          <w:rFonts w:cs="Open Sans"/>
          <w:sz w:val="22"/>
          <w:szCs w:val="22"/>
        </w:rPr>
        <w:t>On 20 December 2017, the Minister indicated that he wished to consider setting aside the 10 October 2017 decision of the AAT, using his national interest power under section 501A(2) of the Act. This is a power for exclusive use by the Minister. The Minister requested a submission be referred under section 501A of the Act for his personal consideration. It was this subsequent consideration (under section 501A) that was referred to the Minister for consideration on 16 January 2018.</w:t>
      </w:r>
    </w:p>
    <w:p w14:paraId="6F664D00" w14:textId="3D6706C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decisions regarding Mr </w:t>
      </w:r>
      <w:r w:rsidR="00D767FA">
        <w:rPr>
          <w:rFonts w:cs="Open Sans"/>
        </w:rPr>
        <w:t>NS’</w:t>
      </w:r>
      <w:r w:rsidRPr="00451B90">
        <w:rPr>
          <w:rFonts w:cs="Open Sans"/>
        </w:rPr>
        <w:t xml:space="preserve">s substantive visa application and the appropriateness of his placement in closed detention are separate decisions. </w:t>
      </w:r>
      <w:r>
        <w:rPr>
          <w:rFonts w:eastAsia="Calibri" w:cs="Open Sans"/>
          <w:color w:val="000000"/>
        </w:rPr>
        <w:t>T</w:t>
      </w:r>
      <w:r w:rsidRPr="00451B90">
        <w:rPr>
          <w:rFonts w:eastAsia="Calibri" w:cs="Open Sans"/>
          <w:color w:val="000000"/>
        </w:rPr>
        <w:t xml:space="preserve">here is an obligation on the Commonwealth to demonstrate that there is not a less invasive way than closed detention to achieve the </w:t>
      </w:r>
      <w:r w:rsidRPr="0069335D">
        <w:rPr>
          <w:rFonts w:cs="Open Sans"/>
        </w:rPr>
        <w:t xml:space="preserve">ends of the immigration policy in order to avoid the conclusion that detention is ‘arbitrary’, and I cannot be satisfied that this was the case in Mr </w:t>
      </w:r>
      <w:r w:rsidR="00D767FA">
        <w:rPr>
          <w:rFonts w:cs="Open Sans"/>
        </w:rPr>
        <w:t>NS</w:t>
      </w:r>
      <w:r w:rsidRPr="00451B90">
        <w:rPr>
          <w:rFonts w:cs="Open Sans"/>
        </w:rPr>
        <w:t xml:space="preserve">’s </w:t>
      </w:r>
      <w:r w:rsidRPr="0069335D">
        <w:rPr>
          <w:rFonts w:cs="Open Sans"/>
        </w:rPr>
        <w:t xml:space="preserve">matter. This is particularly </w:t>
      </w:r>
      <w:r>
        <w:rPr>
          <w:rFonts w:cs="Open Sans"/>
        </w:rPr>
        <w:t>the case</w:t>
      </w:r>
      <w:r w:rsidRPr="0069335D">
        <w:rPr>
          <w:rFonts w:cs="Open Sans"/>
        </w:rPr>
        <w:t xml:space="preserve"> following the AAT finding that there was not a risk that Mr </w:t>
      </w:r>
      <w:r w:rsidR="00D767FA">
        <w:rPr>
          <w:rFonts w:cs="Open Sans"/>
        </w:rPr>
        <w:t>NS</w:t>
      </w:r>
      <w:r w:rsidRPr="00451B90">
        <w:rPr>
          <w:rFonts w:cs="Open Sans"/>
        </w:rPr>
        <w:t xml:space="preserve"> </w:t>
      </w:r>
      <w:r w:rsidRPr="0069335D">
        <w:rPr>
          <w:rFonts w:cs="Open Sans"/>
        </w:rPr>
        <w:t xml:space="preserve">would engage in criminal conduct in Australia. </w:t>
      </w:r>
    </w:p>
    <w:p w14:paraId="42A4F575" w14:textId="4F309C8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 acknowledge that Mr </w:t>
      </w:r>
      <w:r w:rsidR="00D869B5">
        <w:rPr>
          <w:rFonts w:cs="Open Sans"/>
        </w:rPr>
        <w:t>NS</w:t>
      </w:r>
      <w:r w:rsidRPr="00451B90">
        <w:rPr>
          <w:rFonts w:cs="Open Sans"/>
        </w:rPr>
        <w:t xml:space="preserve"> committed a crime and served a custodial sentence for it. However, it is my view that the significant length of his detention, the compassionate circumstances regarding his poor psychological state of health, the favourable finding by the AAT</w:t>
      </w:r>
      <w:r>
        <w:rPr>
          <w:rFonts w:cs="Open Sans"/>
        </w:rPr>
        <w:t>,</w:t>
      </w:r>
      <w:r w:rsidRPr="00451B90">
        <w:rPr>
          <w:rFonts w:cs="Open Sans"/>
        </w:rPr>
        <w:t xml:space="preserve"> that he was not a danger to the community, and the fact that he was owed protection obligations and could not be returned to his country of origin, established scope for his case to fall within the guidelines for referral to the Minister to consider exercising his powers under s</w:t>
      </w:r>
      <w:r>
        <w:rPr>
          <w:rFonts w:cs="Open Sans"/>
        </w:rPr>
        <w:t>s</w:t>
      </w:r>
      <w:r w:rsidRPr="00451B90">
        <w:rPr>
          <w:rFonts w:cs="Open Sans"/>
        </w:rPr>
        <w:t xml:space="preserve"> 195A and 197AB. If, as is suggested in the Department’s response to my preliminary view, the Department was under Ministerial instructions not to refer Mr </w:t>
      </w:r>
      <w:r w:rsidR="00D869B5">
        <w:rPr>
          <w:rFonts w:cs="Open Sans"/>
        </w:rPr>
        <w:t>NS</w:t>
      </w:r>
      <w:r w:rsidRPr="00451B90">
        <w:rPr>
          <w:rFonts w:cs="Open Sans"/>
        </w:rPr>
        <w:t>’s matter under s</w:t>
      </w:r>
      <w:r>
        <w:rPr>
          <w:rFonts w:cs="Open Sans"/>
        </w:rPr>
        <w:t>s</w:t>
      </w:r>
      <w:r w:rsidRPr="00451B90">
        <w:rPr>
          <w:rFonts w:cs="Open Sans"/>
        </w:rPr>
        <w:t xml:space="preserve"> 195A or 197AB after 16 January 2018 — because this was the date that it had referred a submission to the Minister under s 501A of the Migration Act — this policy appears to be inconsistent with international law. It is also particularly concerning given the 10-month delay of the </w:t>
      </w:r>
      <w:r>
        <w:rPr>
          <w:rFonts w:cs="Open Sans"/>
        </w:rPr>
        <w:t xml:space="preserve">then </w:t>
      </w:r>
      <w:r w:rsidRPr="00451B90">
        <w:rPr>
          <w:rFonts w:cs="Open Sans"/>
        </w:rPr>
        <w:t xml:space="preserve">Minister in making his decision on the substantive visa matter. In any event, as discussed above, there is an exception in both the relevant </w:t>
      </w:r>
      <w:r>
        <w:rPr>
          <w:rFonts w:cs="Open Sans"/>
        </w:rPr>
        <w:t xml:space="preserve">ss </w:t>
      </w:r>
      <w:r w:rsidRPr="00451B90">
        <w:rPr>
          <w:rFonts w:cs="Open Sans"/>
        </w:rPr>
        <w:t xml:space="preserve">195A and 197AB guidelines for referral in ‘unique or exceptional’ or ‘compelling or compassionate’ circumstances. In my view, Mr </w:t>
      </w:r>
      <w:r w:rsidR="00D869B5">
        <w:rPr>
          <w:rFonts w:cs="Open Sans"/>
        </w:rPr>
        <w:t>NS</w:t>
      </w:r>
      <w:r w:rsidRPr="00451B90">
        <w:rPr>
          <w:rFonts w:cs="Open Sans"/>
        </w:rPr>
        <w:t>’s circumstances could be properly characterised as such, particularly by 10 October 2017.</w:t>
      </w:r>
    </w:p>
    <w:p w14:paraId="4D69581A" w14:textId="47CBB0D6" w:rsidR="00903A38" w:rsidRPr="00451B90" w:rsidRDefault="00903A38" w:rsidP="00C84572">
      <w:pPr>
        <w:numPr>
          <w:ilvl w:val="0"/>
          <w:numId w:val="21"/>
        </w:numPr>
        <w:tabs>
          <w:tab w:val="clear" w:pos="720"/>
          <w:tab w:val="num" w:pos="862"/>
        </w:tabs>
        <w:ind w:left="862" w:hanging="862"/>
        <w:rPr>
          <w:rFonts w:cs="Open Sans"/>
        </w:rPr>
      </w:pPr>
      <w:r w:rsidRPr="00451B90">
        <w:rPr>
          <w:rFonts w:eastAsia="Calibri" w:cs="Open Sans"/>
          <w:color w:val="000000"/>
        </w:rPr>
        <w:lastRenderedPageBreak/>
        <w:t xml:space="preserve">In my opinion, the fact that the Department did not refer Mr </w:t>
      </w:r>
      <w:r w:rsidR="00D869B5">
        <w:rPr>
          <w:rFonts w:cs="Open Sans"/>
        </w:rPr>
        <w:t>NS</w:t>
      </w:r>
      <w:r w:rsidRPr="00451B90">
        <w:rPr>
          <w:rFonts w:cs="Open Sans"/>
        </w:rPr>
        <w:t>’s case to the Minister for consideration of alternatives to closed detention at any time after 2 February 2017</w:t>
      </w:r>
      <w:r>
        <w:rPr>
          <w:rFonts w:cs="Open Sans"/>
        </w:rPr>
        <w:t>,</w:t>
      </w:r>
      <w:r w:rsidRPr="00451B90">
        <w:rPr>
          <w:rFonts w:cs="Open Sans"/>
        </w:rPr>
        <w:t xml:space="preserve"> resulted in his detention becoming arbitrary contrary to article 9 of the ICCPR.</w:t>
      </w:r>
    </w:p>
    <w:p w14:paraId="5D65CC0A" w14:textId="2B02338E"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Further, it is my view that the following acts of the </w:t>
      </w:r>
      <w:r>
        <w:rPr>
          <w:rFonts w:cs="Open Sans"/>
        </w:rPr>
        <w:t xml:space="preserve">then </w:t>
      </w:r>
      <w:r w:rsidRPr="00451B90">
        <w:rPr>
          <w:rFonts w:cs="Open Sans"/>
        </w:rPr>
        <w:t xml:space="preserve">Minister may have prolonged Mr </w:t>
      </w:r>
      <w:r w:rsidR="00D869B5">
        <w:rPr>
          <w:rFonts w:cs="Open Sans"/>
        </w:rPr>
        <w:t>NS</w:t>
      </w:r>
      <w:r w:rsidRPr="00451B90">
        <w:rPr>
          <w:rFonts w:cs="Open Sans"/>
        </w:rPr>
        <w:t>’s detention in a manner contrary to article 9 of the ICCPR:</w:t>
      </w:r>
    </w:p>
    <w:p w14:paraId="2551795F" w14:textId="77777777" w:rsidR="00903A38" w:rsidRPr="00451B90" w:rsidRDefault="00903A38" w:rsidP="00C84572">
      <w:pPr>
        <w:numPr>
          <w:ilvl w:val="0"/>
          <w:numId w:val="24"/>
        </w:numPr>
        <w:rPr>
          <w:rFonts w:cs="Open Sans"/>
        </w:rPr>
      </w:pPr>
      <w:r w:rsidRPr="00451B90">
        <w:rPr>
          <w:rFonts w:cs="Open Sans"/>
        </w:rPr>
        <w:t>the failure of the Minister to consider the s 195A submission provided to the Minister’s Office on 2 February 2017, which was returned unsigned</w:t>
      </w:r>
    </w:p>
    <w:p w14:paraId="41A9EDE7" w14:textId="7D6335ED" w:rsidR="00903A38" w:rsidRPr="00CA591B" w:rsidRDefault="00903A38" w:rsidP="00C84572">
      <w:pPr>
        <w:numPr>
          <w:ilvl w:val="0"/>
          <w:numId w:val="24"/>
        </w:numPr>
        <w:rPr>
          <w:rFonts w:cs="Open Sans"/>
        </w:rPr>
      </w:pPr>
      <w:r w:rsidRPr="00451B90">
        <w:rPr>
          <w:rFonts w:cs="Open Sans"/>
        </w:rPr>
        <w:t xml:space="preserve">the delay of the Minister in making his decision to not set aside the decision of the AAT of 10 October 2017 </w:t>
      </w:r>
      <w:r>
        <w:rPr>
          <w:rFonts w:cs="Open Sans"/>
        </w:rPr>
        <w:t xml:space="preserve">(which determined that </w:t>
      </w:r>
      <w:r w:rsidRPr="00CA591B">
        <w:rPr>
          <w:rFonts w:cs="Open Sans"/>
        </w:rPr>
        <w:t xml:space="preserve">Mr </w:t>
      </w:r>
      <w:r w:rsidR="00D869B5">
        <w:rPr>
          <w:rFonts w:cs="Open Sans"/>
        </w:rPr>
        <w:t>NS</w:t>
      </w:r>
      <w:r w:rsidRPr="00CA591B">
        <w:rPr>
          <w:rFonts w:cs="Open Sans"/>
        </w:rPr>
        <w:t xml:space="preserve"> did not fail the character test</w:t>
      </w:r>
      <w:r>
        <w:rPr>
          <w:rFonts w:cs="Open Sans"/>
        </w:rPr>
        <w:t>)</w:t>
      </w:r>
      <w:r w:rsidRPr="00CA591B">
        <w:rPr>
          <w:rFonts w:cs="Open Sans"/>
        </w:rPr>
        <w:t xml:space="preserve"> until 30 November 2018</w:t>
      </w:r>
      <w:r w:rsidRPr="00CA591B">
        <w:rPr>
          <w:rFonts w:eastAsia="Calibri" w:cs="Open Sans"/>
          <w:color w:val="000000"/>
        </w:rPr>
        <w:t xml:space="preserve">. </w:t>
      </w:r>
      <w:r w:rsidRPr="00CA591B">
        <w:rPr>
          <w:rFonts w:cs="Open Sans"/>
        </w:rPr>
        <w:t xml:space="preserve">   </w:t>
      </w:r>
    </w:p>
    <w:p w14:paraId="2F18A032" w14:textId="62A36F33" w:rsidR="00903A38" w:rsidRPr="00451B90" w:rsidRDefault="00903A38" w:rsidP="00C84572">
      <w:pPr>
        <w:pStyle w:val="Heading2"/>
        <w:numPr>
          <w:ilvl w:val="1"/>
          <w:numId w:val="20"/>
        </w:numPr>
        <w:rPr>
          <w:rFonts w:cs="Open Sans"/>
        </w:rPr>
      </w:pPr>
      <w:bookmarkStart w:id="46" w:name="_Toc519513663"/>
      <w:bookmarkStart w:id="47" w:name="_Toc79503163"/>
      <w:bookmarkStart w:id="48" w:name="_Toc87965782"/>
      <w:r w:rsidRPr="00451B90">
        <w:rPr>
          <w:rFonts w:cs="Open Sans"/>
        </w:rPr>
        <w:t xml:space="preserve">Mr </w:t>
      </w:r>
      <w:r w:rsidR="00AA64D6">
        <w:rPr>
          <w:rFonts w:cs="Open Sans"/>
        </w:rPr>
        <w:t>NT</w:t>
      </w:r>
      <w:bookmarkEnd w:id="46"/>
      <w:bookmarkEnd w:id="47"/>
      <w:bookmarkEnd w:id="48"/>
    </w:p>
    <w:p w14:paraId="5EC65981" w14:textId="335407B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10 October 2003, Mr </w:t>
      </w:r>
      <w:r w:rsidR="00AA64D6">
        <w:rPr>
          <w:rFonts w:cs="Open Sans"/>
        </w:rPr>
        <w:t>NT</w:t>
      </w:r>
      <w:r w:rsidRPr="00451B90">
        <w:rPr>
          <w:rFonts w:cs="Open Sans"/>
        </w:rPr>
        <w:t xml:space="preserve"> arrived in Australia with his mother and siblings, aged approximately 16 years old.</w:t>
      </w:r>
      <w:r w:rsidRPr="00451B90">
        <w:rPr>
          <w:rStyle w:val="EndnoteReference"/>
          <w:rFonts w:cs="Open Sans"/>
        </w:rPr>
        <w:endnoteReference w:id="24"/>
      </w:r>
      <w:r w:rsidRPr="00451B90">
        <w:rPr>
          <w:rFonts w:cs="Open Sans"/>
        </w:rPr>
        <w:t xml:space="preserve"> He was granted a Global Special Humanitarian visa subclass XB202 (GSH visa), in recognition of being a dependant of his mother who was subject to persecution in their home country of South Sudan (as it is now known).</w:t>
      </w:r>
    </w:p>
    <w:p w14:paraId="7A64A4AB" w14:textId="069E146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AA64D6">
        <w:rPr>
          <w:rFonts w:cs="Open Sans"/>
        </w:rPr>
        <w:t>NT</w:t>
      </w:r>
      <w:r w:rsidRPr="00451B90">
        <w:rPr>
          <w:rFonts w:cs="Open Sans"/>
        </w:rPr>
        <w:t xml:space="preserve">’s early life appears to have been marked by hardship, violence and tragedy. His father served as a soldier in the South Sudanese Civil War and was killed when Mr </w:t>
      </w:r>
      <w:r w:rsidR="00AA64D6">
        <w:rPr>
          <w:rFonts w:cs="Open Sans"/>
        </w:rPr>
        <w:t>NT</w:t>
      </w:r>
      <w:r w:rsidRPr="00451B90">
        <w:rPr>
          <w:rFonts w:cs="Open Sans"/>
        </w:rPr>
        <w:t xml:space="preserve"> was a young child.</w:t>
      </w:r>
      <w:r w:rsidRPr="0069335D">
        <w:rPr>
          <w:rStyle w:val="EndnoteReference"/>
          <w:rFonts w:cs="Open Sans"/>
        </w:rPr>
        <w:endnoteReference w:id="25"/>
      </w:r>
      <w:r w:rsidRPr="0069335D">
        <w:rPr>
          <w:rStyle w:val="EndnoteReference"/>
        </w:rPr>
        <w:t xml:space="preserve"> </w:t>
      </w:r>
      <w:r w:rsidRPr="00451B90">
        <w:rPr>
          <w:rFonts w:cs="Open Sans"/>
        </w:rPr>
        <w:t xml:space="preserve">The conflict between the Sudanese Government and the Sudan People’s Liberation Army is recognised as one of the most brutal and long running civil wars, marked by gross human rights violations and the deaths and displacement of millions. Mr </w:t>
      </w:r>
      <w:r w:rsidR="00AA64D6">
        <w:rPr>
          <w:rFonts w:cs="Open Sans"/>
        </w:rPr>
        <w:t>NT</w:t>
      </w:r>
      <w:r w:rsidRPr="00451B90">
        <w:rPr>
          <w:rFonts w:cs="Open Sans"/>
        </w:rPr>
        <w:t xml:space="preserve"> was taken by rebel soldiers to a camp to be trained as a child soldier, where he says that he experienced emotional and physical torment, torture and threats to his life.</w:t>
      </w:r>
      <w:r w:rsidRPr="00451B90">
        <w:rPr>
          <w:rStyle w:val="EndnoteReference"/>
          <w:rFonts w:cs="Open Sans"/>
        </w:rPr>
        <w:endnoteReference w:id="26"/>
      </w:r>
      <w:r w:rsidRPr="00451B90">
        <w:rPr>
          <w:rFonts w:cs="Open Sans"/>
        </w:rPr>
        <w:t xml:space="preserve"> </w:t>
      </w:r>
    </w:p>
    <w:p w14:paraId="020E292A" w14:textId="0BE101A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Within six months of arriving in Australia, Mr </w:t>
      </w:r>
      <w:r w:rsidR="00AA64D6">
        <w:rPr>
          <w:rFonts w:cs="Open Sans"/>
        </w:rPr>
        <w:t>NT</w:t>
      </w:r>
      <w:r w:rsidRPr="00451B90">
        <w:rPr>
          <w:rFonts w:cs="Open Sans"/>
        </w:rPr>
        <w:t xml:space="preserve"> has said that he began self-medicating with drugs and alcohol to deal with his traumatic past.</w:t>
      </w:r>
      <w:r w:rsidRPr="00451B90">
        <w:rPr>
          <w:rStyle w:val="EndnoteReference"/>
          <w:rFonts w:cs="Open Sans"/>
        </w:rPr>
        <w:endnoteReference w:id="27"/>
      </w:r>
      <w:r w:rsidRPr="00451B90">
        <w:rPr>
          <w:rFonts w:cs="Open Sans"/>
        </w:rPr>
        <w:t xml:space="preserve"> </w:t>
      </w:r>
    </w:p>
    <w:p w14:paraId="744DD93E" w14:textId="5CF5FF25"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8 November 2012, Mr </w:t>
      </w:r>
      <w:r w:rsidR="00AA64D6">
        <w:rPr>
          <w:rFonts w:cs="Open Sans"/>
        </w:rPr>
        <w:t>NT</w:t>
      </w:r>
      <w:r w:rsidRPr="00451B90">
        <w:rPr>
          <w:rFonts w:cs="Open Sans"/>
        </w:rPr>
        <w:t xml:space="preserve">’s GSH visa was cancelled under s 501(6)(a) of the Migration Act. He was found to have a ‘substantial criminal record’ pursuant to s 501(7)(c) of the Migration Act, meaning being subject to a term of imprisonment of 12 months or more, and therefore found to have failed the character test. </w:t>
      </w:r>
    </w:p>
    <w:p w14:paraId="69940713" w14:textId="0754C205"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lastRenderedPageBreak/>
        <w:t xml:space="preserve">Mr </w:t>
      </w:r>
      <w:r w:rsidR="00AA64D6">
        <w:rPr>
          <w:rFonts w:cs="Open Sans"/>
        </w:rPr>
        <w:t>NT</w:t>
      </w:r>
      <w:r w:rsidRPr="00451B90">
        <w:rPr>
          <w:rFonts w:cs="Open Sans"/>
        </w:rPr>
        <w:t xml:space="preserve"> has over 40 convictions for offences committed in Australia since 2005, resulting in numerous terms of imprisonment including sentences of 12 months or more. He has been convicted of, </w:t>
      </w:r>
      <w:r w:rsidRPr="0069335D">
        <w:rPr>
          <w:rFonts w:cs="Open Sans"/>
        </w:rPr>
        <w:t>inter alia</w:t>
      </w:r>
      <w:r w:rsidRPr="00451B90">
        <w:rPr>
          <w:rFonts w:cs="Open Sans"/>
        </w:rPr>
        <w:t xml:space="preserve">, assault occasioning actual bodily harm, common assault, driving under the influence of alcohol (on a number of occasions, both low and high range intoxication), driving while disqualified, contraventions of apprehended domestic violence orders, larceny, use of an offensive weapon with intent to commit an indictable offence, property destruction, and taking and driving a vehicle without the consent of the owner. </w:t>
      </w:r>
    </w:p>
    <w:p w14:paraId="6EE055DE" w14:textId="7282285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AA64D6">
        <w:rPr>
          <w:rFonts w:cs="Open Sans"/>
        </w:rPr>
        <w:t>NT</w:t>
      </w:r>
      <w:r w:rsidRPr="00451B90">
        <w:rPr>
          <w:rFonts w:cs="Open Sans"/>
        </w:rPr>
        <w:t>’s criminal record discloses significant, serious and at times violent offending. The AAT noted that</w:t>
      </w:r>
      <w:r>
        <w:rPr>
          <w:rFonts w:cs="Open Sans"/>
        </w:rPr>
        <w:t>,</w:t>
      </w:r>
      <w:r w:rsidRPr="00451B90">
        <w:rPr>
          <w:rFonts w:cs="Open Sans"/>
        </w:rPr>
        <w:t xml:space="preserve"> ‘[o]</w:t>
      </w:r>
      <w:proofErr w:type="spellStart"/>
      <w:r w:rsidRPr="00451B90">
        <w:rPr>
          <w:rFonts w:cs="Open Sans"/>
        </w:rPr>
        <w:t>ver</w:t>
      </w:r>
      <w:proofErr w:type="spellEnd"/>
      <w:r w:rsidRPr="00451B90">
        <w:rPr>
          <w:rFonts w:cs="Open Sans"/>
        </w:rPr>
        <w:t xml:space="preserve"> the period from 2006 to 2013, the Applicant has received prison sentences of 13 months, 12 months (multiple</w:t>
      </w:r>
      <w:r>
        <w:rPr>
          <w:rFonts w:cs="Open Sans"/>
        </w:rPr>
        <w:t>)</w:t>
      </w:r>
      <w:r w:rsidRPr="00451B90">
        <w:rPr>
          <w:rFonts w:cs="Open Sans"/>
        </w:rPr>
        <w:t>, 10 months, 8 months, 6 months, 4 months, 3 months, 2 months, 1 month, and has been fined several thousand dollars’.</w:t>
      </w:r>
      <w:r w:rsidRPr="00451B90">
        <w:rPr>
          <w:rStyle w:val="EndnoteReference"/>
          <w:rFonts w:cs="Open Sans"/>
        </w:rPr>
        <w:endnoteReference w:id="28"/>
      </w:r>
      <w:r w:rsidRPr="00451B90">
        <w:rPr>
          <w:rFonts w:cs="Open Sans"/>
        </w:rPr>
        <w:t xml:space="preserve"> The AAT noted that abuse of alcohol appeared to be a consistent element of Mr </w:t>
      </w:r>
      <w:r w:rsidR="00AA64D6">
        <w:rPr>
          <w:rFonts w:cs="Open Sans"/>
        </w:rPr>
        <w:t>NT</w:t>
      </w:r>
      <w:r w:rsidRPr="00451B90">
        <w:rPr>
          <w:rFonts w:cs="Open Sans"/>
        </w:rPr>
        <w:t>’s criminal conduct.</w:t>
      </w:r>
      <w:r w:rsidRPr="00451B90">
        <w:rPr>
          <w:rStyle w:val="EndnoteReference"/>
          <w:rFonts w:cs="Open Sans"/>
        </w:rPr>
        <w:endnoteReference w:id="29"/>
      </w:r>
      <w:r w:rsidRPr="00451B90">
        <w:rPr>
          <w:rFonts w:cs="Open Sans"/>
        </w:rPr>
        <w:t xml:space="preserve"> </w:t>
      </w:r>
    </w:p>
    <w:p w14:paraId="2F4B0A0E"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a statement of reasons detailing the GSH visa cancellation decision, the decision maker said: </w:t>
      </w:r>
    </w:p>
    <w:p w14:paraId="2261C19B" w14:textId="0F0D9F45" w:rsidR="00903A38" w:rsidRPr="001A55D2" w:rsidRDefault="00903A38" w:rsidP="001A55D2">
      <w:pPr>
        <w:pStyle w:val="ListParagraph"/>
        <w:ind w:left="1440"/>
        <w:rPr>
          <w:rFonts w:cs="Open Sans"/>
          <w:sz w:val="22"/>
          <w:szCs w:val="22"/>
        </w:rPr>
      </w:pPr>
      <w:r w:rsidRPr="00451B90">
        <w:rPr>
          <w:rFonts w:cs="Open Sans"/>
          <w:sz w:val="22"/>
          <w:szCs w:val="22"/>
        </w:rPr>
        <w:t>Having regard to his lengthy criminal history which contains previous violent offences, his numerous past breaches of judicial orders and his untested ability to refrain from substance abuse in the community, I</w:t>
      </w:r>
      <w:r>
        <w:rPr>
          <w:rFonts w:cs="Open Sans"/>
          <w:sz w:val="22"/>
          <w:szCs w:val="22"/>
        </w:rPr>
        <w:t> </w:t>
      </w:r>
      <w:r w:rsidRPr="00451B90">
        <w:rPr>
          <w:rFonts w:cs="Open Sans"/>
          <w:sz w:val="22"/>
          <w:szCs w:val="22"/>
        </w:rPr>
        <w:t xml:space="preserve">found that [Mr </w:t>
      </w:r>
      <w:r w:rsidR="00AA64D6">
        <w:rPr>
          <w:rFonts w:cs="Open Sans"/>
          <w:sz w:val="22"/>
          <w:szCs w:val="22"/>
        </w:rPr>
        <w:t>NT</w:t>
      </w:r>
      <w:r w:rsidRPr="00451B90">
        <w:rPr>
          <w:rFonts w:cs="Open Sans"/>
          <w:sz w:val="22"/>
          <w:szCs w:val="22"/>
        </w:rPr>
        <w:t xml:space="preserve">] poses an ongoing risk of re-offending. </w:t>
      </w:r>
    </w:p>
    <w:p w14:paraId="1B4D0DC9"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Following a judicial review process, the Full Federal Court upheld the GSH visa cancellation decision.</w:t>
      </w:r>
      <w:r w:rsidRPr="0069335D">
        <w:rPr>
          <w:rStyle w:val="EndnoteReference"/>
          <w:rFonts w:cs="Open Sans"/>
        </w:rPr>
        <w:endnoteReference w:id="30"/>
      </w:r>
    </w:p>
    <w:p w14:paraId="76168D84" w14:textId="31D3870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 May 2014, Mr </w:t>
      </w:r>
      <w:r w:rsidR="00AA64D6">
        <w:rPr>
          <w:rFonts w:cs="Open Sans"/>
        </w:rPr>
        <w:t>NT</w:t>
      </w:r>
      <w:r w:rsidRPr="00451B90">
        <w:rPr>
          <w:rFonts w:cs="Open Sans"/>
        </w:rPr>
        <w:t xml:space="preserve"> concluded his custodial sentence and was transferred into immigration detention at Villawood IDC. Mr </w:t>
      </w:r>
      <w:r w:rsidR="00AA64D6">
        <w:rPr>
          <w:rFonts w:cs="Open Sans"/>
        </w:rPr>
        <w:t>NT</w:t>
      </w:r>
      <w:r w:rsidRPr="00451B90">
        <w:rPr>
          <w:rFonts w:cs="Open Sans"/>
        </w:rPr>
        <w:t xml:space="preserve"> has remained in closed immigration detention since that time, and has been transferred between Villawood, </w:t>
      </w:r>
      <w:proofErr w:type="spellStart"/>
      <w:r w:rsidRPr="00451B90">
        <w:rPr>
          <w:rFonts w:cs="Open Sans"/>
        </w:rPr>
        <w:t>Yongah</w:t>
      </w:r>
      <w:proofErr w:type="spellEnd"/>
      <w:r w:rsidRPr="00451B90">
        <w:rPr>
          <w:rFonts w:cs="Open Sans"/>
        </w:rPr>
        <w:t xml:space="preserve"> Hill, and Christmas Island IDCs. As of 4 March 2021, Mr </w:t>
      </w:r>
      <w:r w:rsidR="00AA64D6">
        <w:rPr>
          <w:rFonts w:cs="Open Sans"/>
        </w:rPr>
        <w:t>NT</w:t>
      </w:r>
      <w:r w:rsidRPr="00451B90">
        <w:rPr>
          <w:rFonts w:cs="Open Sans"/>
        </w:rPr>
        <w:t xml:space="preserve"> was being detained at the North West Point Immigration Centre on Christmas Island.</w:t>
      </w:r>
    </w:p>
    <w:p w14:paraId="5A3FF551" w14:textId="32F7A7CA" w:rsidR="00903A38" w:rsidRDefault="00903A38" w:rsidP="00C84572">
      <w:pPr>
        <w:numPr>
          <w:ilvl w:val="0"/>
          <w:numId w:val="21"/>
        </w:numPr>
        <w:tabs>
          <w:tab w:val="clear" w:pos="720"/>
          <w:tab w:val="num" w:pos="862"/>
        </w:tabs>
        <w:ind w:left="862" w:hanging="862"/>
        <w:rPr>
          <w:rFonts w:cs="Open Sans"/>
        </w:rPr>
      </w:pPr>
      <w:r w:rsidRPr="0069335D">
        <w:rPr>
          <w:rFonts w:cs="Open Sans"/>
        </w:rPr>
        <w:t>Since being held in immigration detention, case review and incident report documents record some incidents of abusive or aggressive behaviour and apparent drinking. One incident was referred to the AFP for investigation</w:t>
      </w:r>
      <w:r>
        <w:rPr>
          <w:rFonts w:cs="Open Sans"/>
        </w:rPr>
        <w:t>,</w:t>
      </w:r>
      <w:r w:rsidRPr="0069335D">
        <w:rPr>
          <w:rFonts w:cs="Open Sans"/>
        </w:rPr>
        <w:t xml:space="preserve"> but no criminal charges were laid. More recent case reviews note a behavioural improvement, including Mr </w:t>
      </w:r>
      <w:r w:rsidR="00AA64D6">
        <w:rPr>
          <w:rFonts w:cs="Open Sans"/>
        </w:rPr>
        <w:t>NT</w:t>
      </w:r>
      <w:r w:rsidRPr="0069335D">
        <w:rPr>
          <w:rFonts w:cs="Open Sans"/>
        </w:rPr>
        <w:t xml:space="preserve">’s active engagement in mental health programs. The most recent case reviews relating to Mr </w:t>
      </w:r>
      <w:r w:rsidR="00AA64D6">
        <w:rPr>
          <w:rFonts w:cs="Open Sans"/>
        </w:rPr>
        <w:t>NT</w:t>
      </w:r>
      <w:r w:rsidRPr="0069335D">
        <w:rPr>
          <w:rFonts w:cs="Open Sans"/>
        </w:rPr>
        <w:t xml:space="preserve"> are not before the Commission.  </w:t>
      </w:r>
    </w:p>
    <w:p w14:paraId="62B301B6" w14:textId="1237F6B3" w:rsidR="00903A38" w:rsidRPr="0069335D" w:rsidRDefault="00903A38" w:rsidP="00C84572">
      <w:pPr>
        <w:numPr>
          <w:ilvl w:val="0"/>
          <w:numId w:val="21"/>
        </w:numPr>
        <w:tabs>
          <w:tab w:val="clear" w:pos="720"/>
          <w:tab w:val="num" w:pos="862"/>
        </w:tabs>
        <w:ind w:left="862" w:hanging="862"/>
        <w:rPr>
          <w:rFonts w:cs="Open Sans"/>
        </w:rPr>
      </w:pPr>
      <w:r w:rsidRPr="0069335D">
        <w:rPr>
          <w:rFonts w:cs="Open Sans"/>
        </w:rPr>
        <w:lastRenderedPageBreak/>
        <w:t xml:space="preserve">On 31 May 2014, Mr </w:t>
      </w:r>
      <w:r w:rsidR="00AA64D6">
        <w:rPr>
          <w:rFonts w:cs="Open Sans"/>
        </w:rPr>
        <w:t>NT</w:t>
      </w:r>
      <w:r w:rsidRPr="0069335D">
        <w:rPr>
          <w:rFonts w:cs="Open Sans"/>
        </w:rPr>
        <w:t>’s application for a protection visa (PV) was refused</w:t>
      </w:r>
      <w:r>
        <w:rPr>
          <w:rFonts w:cs="Open Sans"/>
        </w:rPr>
        <w:t>,</w:t>
      </w:r>
      <w:r w:rsidRPr="0069335D">
        <w:rPr>
          <w:rFonts w:cs="Open Sans"/>
        </w:rPr>
        <w:t xml:space="preserve"> on the basis that he was not a person to whom Australia owed protection obligations. On 3 July 2014, Mr </w:t>
      </w:r>
      <w:r w:rsidR="00AA64D6">
        <w:rPr>
          <w:rFonts w:cs="Open Sans"/>
        </w:rPr>
        <w:t>NT</w:t>
      </w:r>
      <w:r w:rsidRPr="0069335D">
        <w:rPr>
          <w:rFonts w:cs="Open Sans"/>
        </w:rPr>
        <w:t xml:space="preserve"> applied for a bridging visa. However, his application was assessed as invalid on account of his previous visa cancellation on character grounds. </w:t>
      </w:r>
    </w:p>
    <w:p w14:paraId="0855826E" w14:textId="7E474208"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4 July 2014, Mr </w:t>
      </w:r>
      <w:r w:rsidR="00AA64D6">
        <w:rPr>
          <w:rFonts w:cs="Open Sans"/>
        </w:rPr>
        <w:t>NT</w:t>
      </w:r>
      <w:r w:rsidRPr="00451B90">
        <w:rPr>
          <w:rFonts w:cs="Open Sans"/>
        </w:rPr>
        <w:t xml:space="preserve"> applied to the Refugee Review Tribunal (RRT) — now called the AAT — for review of the PV refusal. </w:t>
      </w:r>
    </w:p>
    <w:p w14:paraId="53796B3C" w14:textId="0BBA4E70"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30 September 2014, the RRT remitted the decision to the </w:t>
      </w:r>
      <w:r>
        <w:rPr>
          <w:rFonts w:cs="Open Sans"/>
        </w:rPr>
        <w:t xml:space="preserve">then </w:t>
      </w:r>
      <w:r w:rsidRPr="00451B90">
        <w:rPr>
          <w:rFonts w:cs="Open Sans"/>
        </w:rPr>
        <w:t xml:space="preserve">Minister, with the direction that Mr </w:t>
      </w:r>
      <w:r w:rsidR="00AA64D6">
        <w:rPr>
          <w:rFonts w:cs="Open Sans"/>
        </w:rPr>
        <w:t>NT</w:t>
      </w:r>
      <w:r w:rsidRPr="00451B90">
        <w:rPr>
          <w:rFonts w:cs="Open Sans"/>
        </w:rPr>
        <w:t xml:space="preserve"> did engage Australia’s protection obligations. The </w:t>
      </w:r>
      <w:r>
        <w:rPr>
          <w:rFonts w:cs="Open Sans"/>
        </w:rPr>
        <w:t xml:space="preserve">RTT </w:t>
      </w:r>
      <w:r w:rsidRPr="00451B90">
        <w:rPr>
          <w:rFonts w:cs="Open Sans"/>
        </w:rPr>
        <w:t>found that he had a well-founded fear of persecution on a cumulative basis, as a member of two particular social groups, if he returned to his home area of Juba in South Sudan.</w:t>
      </w:r>
    </w:p>
    <w:p w14:paraId="7413BC41" w14:textId="48DA7DBF"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5 August 2016, Mr </w:t>
      </w:r>
      <w:r w:rsidR="00AA64D6">
        <w:rPr>
          <w:rFonts w:cs="Open Sans"/>
        </w:rPr>
        <w:t>NT</w:t>
      </w:r>
      <w:r w:rsidRPr="00451B90">
        <w:rPr>
          <w:rFonts w:cs="Open Sans"/>
        </w:rPr>
        <w:t>’s PV application was refused under s 501(6)(a) of the Migration Act</w:t>
      </w:r>
      <w:r>
        <w:rPr>
          <w:rFonts w:cs="Open Sans"/>
        </w:rPr>
        <w:t>,</w:t>
      </w:r>
      <w:r w:rsidRPr="00451B90">
        <w:rPr>
          <w:rFonts w:cs="Open Sans"/>
        </w:rPr>
        <w:t xml:space="preserve"> on the basis that he had a substantial criminal record and did not pass the character test. In the decision record a delegate of the Minister stated (extracted):</w:t>
      </w:r>
    </w:p>
    <w:p w14:paraId="3429F330" w14:textId="19E762D2" w:rsidR="00903A38" w:rsidRPr="00451B90" w:rsidRDefault="00903A38" w:rsidP="00903A38">
      <w:pPr>
        <w:pStyle w:val="ListParagraph"/>
        <w:spacing w:before="120" w:after="120"/>
        <w:ind w:left="1440" w:hanging="720"/>
        <w:rPr>
          <w:rFonts w:cs="Open Sans"/>
          <w:sz w:val="22"/>
          <w:szCs w:val="22"/>
        </w:rPr>
      </w:pPr>
      <w:r w:rsidRPr="00451B90">
        <w:rPr>
          <w:rFonts w:cs="Open Sans"/>
          <w:sz w:val="22"/>
          <w:szCs w:val="22"/>
        </w:rPr>
        <w:t>7.</w:t>
      </w:r>
      <w:r w:rsidRPr="00451B90">
        <w:rPr>
          <w:rFonts w:cs="Open Sans"/>
          <w:sz w:val="22"/>
          <w:szCs w:val="22"/>
        </w:rPr>
        <w:tab/>
        <w:t xml:space="preserve">Overall, I consider that Mr </w:t>
      </w:r>
      <w:r w:rsidR="00E01650">
        <w:rPr>
          <w:rFonts w:cs="Open Sans"/>
          <w:sz w:val="22"/>
          <w:szCs w:val="22"/>
        </w:rPr>
        <w:t>NT’s</w:t>
      </w:r>
      <w:r w:rsidRPr="00451B90">
        <w:rPr>
          <w:rFonts w:cs="Open Sans"/>
          <w:sz w:val="22"/>
          <w:szCs w:val="22"/>
        </w:rPr>
        <w:t xml:space="preserve"> conduct over a prolonged period must be seen as being of very serious concern.</w:t>
      </w:r>
    </w:p>
    <w:p w14:paraId="48634FBB" w14:textId="77777777" w:rsidR="00903A38" w:rsidRPr="00451B90" w:rsidRDefault="00903A38" w:rsidP="00903A38">
      <w:pPr>
        <w:pStyle w:val="ListParagraph"/>
        <w:spacing w:before="120" w:after="120"/>
        <w:ind w:firstLine="720"/>
        <w:rPr>
          <w:rFonts w:cs="Open Sans"/>
          <w:sz w:val="22"/>
          <w:szCs w:val="22"/>
        </w:rPr>
      </w:pPr>
      <w:r w:rsidRPr="00451B90">
        <w:rPr>
          <w:rFonts w:cs="Open Sans"/>
          <w:sz w:val="22"/>
          <w:szCs w:val="22"/>
        </w:rPr>
        <w:t>…</w:t>
      </w:r>
    </w:p>
    <w:p w14:paraId="24F683DD" w14:textId="3A3A463A" w:rsidR="00903A38" w:rsidRPr="00451B90" w:rsidRDefault="00903A38" w:rsidP="00903A38">
      <w:pPr>
        <w:pStyle w:val="ListParagraph"/>
        <w:spacing w:before="120" w:after="120"/>
        <w:ind w:left="1440" w:hanging="720"/>
        <w:rPr>
          <w:rFonts w:cs="Open Sans"/>
          <w:sz w:val="22"/>
          <w:szCs w:val="22"/>
        </w:rPr>
      </w:pPr>
      <w:r w:rsidRPr="00451B90">
        <w:rPr>
          <w:rFonts w:cs="Open Sans"/>
          <w:sz w:val="22"/>
          <w:szCs w:val="22"/>
        </w:rPr>
        <w:t>9.</w:t>
      </w:r>
      <w:r w:rsidRPr="00451B90">
        <w:rPr>
          <w:rFonts w:cs="Open Sans"/>
          <w:sz w:val="22"/>
          <w:szCs w:val="22"/>
        </w:rPr>
        <w:tab/>
        <w:t xml:space="preserve">Mr </w:t>
      </w:r>
      <w:r w:rsidR="00E01650">
        <w:rPr>
          <w:rFonts w:cs="Open Sans"/>
          <w:sz w:val="22"/>
          <w:szCs w:val="22"/>
        </w:rPr>
        <w:t>NT</w:t>
      </w:r>
      <w:r w:rsidRPr="00451B90">
        <w:rPr>
          <w:rFonts w:cs="Open Sans"/>
          <w:sz w:val="22"/>
          <w:szCs w:val="22"/>
        </w:rPr>
        <w:t xml:space="preserve"> is a chronic repeat offender. Alcohol abuse has been a continuing factor in his offending … </w:t>
      </w:r>
    </w:p>
    <w:p w14:paraId="202D8157" w14:textId="7EE6A661" w:rsidR="00903A38" w:rsidRPr="00451B90" w:rsidRDefault="00903A38" w:rsidP="00903A38">
      <w:pPr>
        <w:pStyle w:val="ListParagraph"/>
        <w:spacing w:before="120" w:after="120"/>
        <w:ind w:left="1440" w:hanging="720"/>
        <w:rPr>
          <w:rFonts w:cs="Open Sans"/>
          <w:sz w:val="22"/>
          <w:szCs w:val="22"/>
        </w:rPr>
      </w:pPr>
      <w:r w:rsidRPr="00451B90">
        <w:rPr>
          <w:rFonts w:cs="Open Sans"/>
          <w:sz w:val="22"/>
          <w:szCs w:val="22"/>
        </w:rPr>
        <w:t>11.</w:t>
      </w:r>
      <w:r w:rsidRPr="00451B90">
        <w:rPr>
          <w:rFonts w:cs="Open Sans"/>
          <w:sz w:val="22"/>
          <w:szCs w:val="22"/>
        </w:rPr>
        <w:tab/>
        <w:t xml:space="preserve">I find that Mr </w:t>
      </w:r>
      <w:r w:rsidR="00E01650">
        <w:rPr>
          <w:rFonts w:cs="Open Sans"/>
          <w:sz w:val="22"/>
          <w:szCs w:val="22"/>
        </w:rPr>
        <w:t>NT’s</w:t>
      </w:r>
      <w:r w:rsidRPr="00451B90">
        <w:rPr>
          <w:rFonts w:cs="Open Sans"/>
          <w:sz w:val="22"/>
          <w:szCs w:val="22"/>
        </w:rPr>
        <w:t xml:space="preserve"> record of succumbing to alcohol or substance abuse and indulging repeatedly in violence, together with the fact that he has not been able to demonstrate his rehabilitation in the community over a sustained period, mean that he must be considered at high likelihood of reoffending.</w:t>
      </w:r>
    </w:p>
    <w:p w14:paraId="0CC7A819" w14:textId="6CCA049E" w:rsidR="00903A38" w:rsidRPr="00451B90" w:rsidRDefault="00903A38" w:rsidP="00903A38">
      <w:pPr>
        <w:pStyle w:val="ListParagraph"/>
        <w:spacing w:before="120" w:after="120"/>
        <w:ind w:left="1440" w:hanging="720"/>
        <w:rPr>
          <w:rFonts w:cs="Open Sans"/>
          <w:sz w:val="22"/>
          <w:szCs w:val="22"/>
        </w:rPr>
      </w:pPr>
      <w:r w:rsidRPr="00451B90">
        <w:rPr>
          <w:rFonts w:cs="Open Sans"/>
          <w:sz w:val="22"/>
          <w:szCs w:val="22"/>
        </w:rPr>
        <w:t>12.</w:t>
      </w:r>
      <w:r w:rsidRPr="00451B90">
        <w:rPr>
          <w:rFonts w:cs="Open Sans"/>
          <w:sz w:val="22"/>
          <w:szCs w:val="22"/>
        </w:rPr>
        <w:tab/>
        <w:t xml:space="preserve">Should Mr </w:t>
      </w:r>
      <w:r w:rsidR="00E01650">
        <w:rPr>
          <w:rFonts w:cs="Open Sans"/>
          <w:sz w:val="22"/>
          <w:szCs w:val="22"/>
        </w:rPr>
        <w:t>NT</w:t>
      </w:r>
      <w:r w:rsidRPr="00451B90">
        <w:rPr>
          <w:rFonts w:cs="Open Sans"/>
          <w:sz w:val="22"/>
          <w:szCs w:val="22"/>
        </w:rPr>
        <w:t xml:space="preserve"> reoffend in the future the potential consequences are serious given his demonstrated propensity to indulge in violence when intoxicated.</w:t>
      </w:r>
    </w:p>
    <w:p w14:paraId="6288711D" w14:textId="77777777" w:rsidR="00903A38" w:rsidRPr="00451B90" w:rsidRDefault="00903A38" w:rsidP="00903A38">
      <w:pPr>
        <w:pStyle w:val="ListParagraph"/>
        <w:spacing w:before="120" w:after="120"/>
        <w:ind w:firstLine="720"/>
        <w:rPr>
          <w:rFonts w:cs="Open Sans"/>
          <w:sz w:val="22"/>
          <w:szCs w:val="22"/>
        </w:rPr>
      </w:pPr>
      <w:r w:rsidRPr="00451B90">
        <w:rPr>
          <w:rFonts w:cs="Open Sans"/>
          <w:sz w:val="22"/>
          <w:szCs w:val="22"/>
        </w:rPr>
        <w:t>…</w:t>
      </w:r>
    </w:p>
    <w:p w14:paraId="276861EB" w14:textId="5D6FC600" w:rsidR="00903A38" w:rsidRPr="00451B90" w:rsidRDefault="00903A38" w:rsidP="00903A38">
      <w:pPr>
        <w:pStyle w:val="ListParagraph"/>
        <w:spacing w:before="120" w:after="120"/>
        <w:ind w:left="1440" w:hanging="720"/>
        <w:rPr>
          <w:rFonts w:cs="Open Sans"/>
          <w:sz w:val="22"/>
          <w:szCs w:val="22"/>
        </w:rPr>
      </w:pPr>
      <w:r w:rsidRPr="00451B90">
        <w:rPr>
          <w:rFonts w:cs="Open Sans"/>
          <w:sz w:val="22"/>
          <w:szCs w:val="22"/>
        </w:rPr>
        <w:t>25.</w:t>
      </w:r>
      <w:r w:rsidRPr="00451B90">
        <w:rPr>
          <w:rFonts w:cs="Open Sans"/>
          <w:sz w:val="22"/>
          <w:szCs w:val="22"/>
        </w:rPr>
        <w:tab/>
        <w:t xml:space="preserve">I concluded that Mr </w:t>
      </w:r>
      <w:r w:rsidR="00E01650">
        <w:rPr>
          <w:rFonts w:cs="Open Sans"/>
          <w:sz w:val="22"/>
          <w:szCs w:val="22"/>
        </w:rPr>
        <w:t>NT</w:t>
      </w:r>
      <w:r w:rsidRPr="00451B90">
        <w:rPr>
          <w:rFonts w:cs="Open Sans"/>
          <w:sz w:val="22"/>
          <w:szCs w:val="22"/>
        </w:rPr>
        <w:t xml:space="preserve"> represents a risk of harm to the Australian community which is unacceptable. I could not be satisfied that the risk of Mr </w:t>
      </w:r>
      <w:r w:rsidR="00E01650">
        <w:rPr>
          <w:rFonts w:cs="Open Sans"/>
          <w:sz w:val="22"/>
          <w:szCs w:val="22"/>
        </w:rPr>
        <w:t>NT</w:t>
      </w:r>
      <w:r w:rsidRPr="00451B90">
        <w:rPr>
          <w:rFonts w:cs="Open Sans"/>
          <w:sz w:val="22"/>
          <w:szCs w:val="22"/>
        </w:rPr>
        <w:t xml:space="preserve"> re-offending was negligible. I found that there are no sufficient countervailing considerations in this case to warrant the Australian community accepting any level of risk.</w:t>
      </w:r>
    </w:p>
    <w:p w14:paraId="6A813BED" w14:textId="680564D1"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delegate also considered Mr </w:t>
      </w:r>
      <w:r w:rsidR="00AA64D6">
        <w:rPr>
          <w:rFonts w:cs="Open Sans"/>
        </w:rPr>
        <w:t>NT</w:t>
      </w:r>
      <w:r w:rsidRPr="00451B90">
        <w:rPr>
          <w:rFonts w:cs="Open Sans"/>
        </w:rPr>
        <w:t>’s risk of indefinite detention, and the likely ongoing adverse impacts:</w:t>
      </w:r>
    </w:p>
    <w:p w14:paraId="7AE4DED7" w14:textId="6CFFB3EF" w:rsidR="00903A38" w:rsidRPr="00451B90" w:rsidRDefault="00903A38" w:rsidP="00903A38">
      <w:pPr>
        <w:pStyle w:val="ListParagraph"/>
        <w:ind w:left="1440"/>
        <w:rPr>
          <w:rFonts w:cs="Open Sans"/>
          <w:sz w:val="22"/>
          <w:szCs w:val="22"/>
        </w:rPr>
      </w:pPr>
      <w:r w:rsidRPr="00451B90">
        <w:rPr>
          <w:rFonts w:cs="Open Sans"/>
          <w:sz w:val="22"/>
          <w:szCs w:val="22"/>
        </w:rPr>
        <w:t xml:space="preserve">The statutory effect of a decision to refuse the visa application is also removal of Mr </w:t>
      </w:r>
      <w:r w:rsidR="00E01650">
        <w:rPr>
          <w:rFonts w:cs="Open Sans"/>
          <w:sz w:val="22"/>
          <w:szCs w:val="22"/>
        </w:rPr>
        <w:t>NT</w:t>
      </w:r>
      <w:r w:rsidRPr="00451B90">
        <w:rPr>
          <w:rFonts w:cs="Open Sans"/>
          <w:sz w:val="22"/>
          <w:szCs w:val="22"/>
        </w:rPr>
        <w:t xml:space="preserve"> from Australia as soon as practicable, and in the </w:t>
      </w:r>
      <w:r w:rsidRPr="00451B90">
        <w:rPr>
          <w:rFonts w:cs="Open Sans"/>
          <w:sz w:val="22"/>
          <w:szCs w:val="22"/>
        </w:rPr>
        <w:lastRenderedPageBreak/>
        <w:t xml:space="preserve">meantime, detention. In making my decision I am aware that while Mr </w:t>
      </w:r>
      <w:r w:rsidR="00E01650">
        <w:rPr>
          <w:rFonts w:cs="Open Sans"/>
          <w:sz w:val="22"/>
          <w:szCs w:val="22"/>
        </w:rPr>
        <w:t>NT</w:t>
      </w:r>
      <w:r w:rsidRPr="00451B90">
        <w:rPr>
          <w:rFonts w:cs="Open Sans"/>
          <w:sz w:val="22"/>
          <w:szCs w:val="22"/>
        </w:rPr>
        <w:t xml:space="preserve"> will not be removed from Australia if his visa application is refused (notwithstanding s 197C of the Act), he may face the prospect of indefinite immigration detention because of the operation of s 189 and s 196 of the Migration Act. I acknowledge that this is likely to have adverse impacts on his psychological and physical health. I accept that indefinite detention is likely to have an ongoing adverse effect on Mr </w:t>
      </w:r>
      <w:r w:rsidR="00E01650">
        <w:rPr>
          <w:rFonts w:cs="Open Sans"/>
          <w:sz w:val="22"/>
          <w:szCs w:val="22"/>
        </w:rPr>
        <w:t>NT</w:t>
      </w:r>
      <w:r w:rsidRPr="00451B90">
        <w:rPr>
          <w:rFonts w:cs="Open Sans"/>
          <w:sz w:val="22"/>
          <w:szCs w:val="22"/>
        </w:rPr>
        <w:t>.</w:t>
      </w:r>
    </w:p>
    <w:p w14:paraId="3945E5F4" w14:textId="65159FA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15 August 2016, Mr </w:t>
      </w:r>
      <w:r w:rsidR="00AA64D6">
        <w:rPr>
          <w:rFonts w:cs="Open Sans"/>
        </w:rPr>
        <w:t>NT</w:t>
      </w:r>
      <w:r w:rsidRPr="00451B90">
        <w:rPr>
          <w:rFonts w:cs="Open Sans"/>
        </w:rPr>
        <w:t xml:space="preserve"> sought merits review of the visa refusal decision. On 31 October 2016, the AAT affirmed the decision to refuse the grant of a PV. The AAT found that there is at least a moderate likelihood, and more likely a significant likelihood, that Mr </w:t>
      </w:r>
      <w:r w:rsidR="00AA64D6">
        <w:rPr>
          <w:rFonts w:cs="Open Sans"/>
        </w:rPr>
        <w:t>NT</w:t>
      </w:r>
      <w:r w:rsidRPr="00451B90">
        <w:rPr>
          <w:rFonts w:cs="Open Sans"/>
        </w:rPr>
        <w:t xml:space="preserve"> will re-offend. The AAT classified his risk to the Australian community as ‘significant’.</w:t>
      </w:r>
    </w:p>
    <w:p w14:paraId="49938141" w14:textId="1C15506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AAT noted that there was some evidence that the South Sudanese community in Mr </w:t>
      </w:r>
      <w:r w:rsidR="00AA64D6">
        <w:rPr>
          <w:rFonts w:cs="Open Sans"/>
        </w:rPr>
        <w:t>NT</w:t>
      </w:r>
      <w:r w:rsidRPr="00451B90">
        <w:rPr>
          <w:rFonts w:cs="Open Sans"/>
        </w:rPr>
        <w:t xml:space="preserve">’s local area were willing and able to guide his conduct and community reintegration if released from detention. </w:t>
      </w:r>
    </w:p>
    <w:p w14:paraId="3AD27C9F" w14:textId="00678E80"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AA64D6">
        <w:rPr>
          <w:rFonts w:cs="Open Sans"/>
        </w:rPr>
        <w:t>NT</w:t>
      </w:r>
      <w:r w:rsidRPr="00451B90">
        <w:rPr>
          <w:rFonts w:cs="Open Sans"/>
        </w:rPr>
        <w:t xml:space="preserve"> has also stated that he is in close contact with his family, who reside in New South Wales, including his mother, ex-partner and 10 year old daughter. Mr </w:t>
      </w:r>
      <w:r w:rsidR="00AA64D6">
        <w:rPr>
          <w:rFonts w:cs="Open Sans"/>
        </w:rPr>
        <w:t>NT</w:t>
      </w:r>
      <w:r w:rsidRPr="00451B90">
        <w:rPr>
          <w:rFonts w:cs="Open Sans"/>
        </w:rPr>
        <w:t xml:space="preserve"> was previously detained more proximately to his family. He stated that being transferred to Christmas Island IDC had a negative impact on his mental health, as he was unable to contact his family as easily and have their support. </w:t>
      </w:r>
    </w:p>
    <w:p w14:paraId="3803A9B7" w14:textId="51B8AFF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AA64D6">
        <w:rPr>
          <w:rFonts w:cs="Open Sans"/>
        </w:rPr>
        <w:t>NT</w:t>
      </w:r>
      <w:r w:rsidRPr="00451B90">
        <w:rPr>
          <w:rFonts w:cs="Open Sans"/>
        </w:rPr>
        <w:t xml:space="preserve"> has a history of torture and trauma. He suffers from depression, and has received medical treatment in detention, including for substance abuse</w:t>
      </w:r>
      <w:r>
        <w:rPr>
          <w:rFonts w:cs="Open Sans"/>
        </w:rPr>
        <w:t>,</w:t>
      </w:r>
      <w:r w:rsidRPr="00451B90">
        <w:rPr>
          <w:rFonts w:cs="Open Sans"/>
        </w:rPr>
        <w:t xml:space="preserve"> and torture and trauma support. The AAT noted Mr </w:t>
      </w:r>
      <w:r w:rsidR="00AA64D6">
        <w:rPr>
          <w:rFonts w:cs="Open Sans"/>
        </w:rPr>
        <w:t>NT</w:t>
      </w:r>
      <w:r w:rsidRPr="00451B90">
        <w:rPr>
          <w:rFonts w:cs="Open Sans"/>
        </w:rPr>
        <w:t>’s poor mental health and concluded that ‘long-term detention is already showing deterioration in the Applicant’s mental state</w:t>
      </w:r>
      <w:r>
        <w:rPr>
          <w:rFonts w:cs="Open Sans"/>
        </w:rPr>
        <w:t>’, and</w:t>
      </w:r>
      <w:r w:rsidRPr="006364E6">
        <w:rPr>
          <w:rFonts w:cs="Open Sans"/>
        </w:rPr>
        <w:t xml:space="preserve"> indefinite immigrati</w:t>
      </w:r>
      <w:r w:rsidRPr="003E5A95">
        <w:rPr>
          <w:rFonts w:cs="Open Sans"/>
        </w:rPr>
        <w:t>on detention will cause it to deterio</w:t>
      </w:r>
      <w:r w:rsidRPr="00503A2E">
        <w:rPr>
          <w:rFonts w:cs="Open Sans"/>
        </w:rPr>
        <w:t>r</w:t>
      </w:r>
      <w:r w:rsidRPr="00CE1203">
        <w:rPr>
          <w:rFonts w:cs="Open Sans"/>
        </w:rPr>
        <w:t>a</w:t>
      </w:r>
      <w:r w:rsidRPr="00E17828">
        <w:rPr>
          <w:rFonts w:cs="Open Sans"/>
        </w:rPr>
        <w:t>te fu</w:t>
      </w:r>
      <w:r w:rsidRPr="004B7D81">
        <w:rPr>
          <w:rFonts w:cs="Open Sans"/>
        </w:rPr>
        <w:t>rther</w:t>
      </w:r>
      <w:r w:rsidRPr="00451B90">
        <w:rPr>
          <w:rFonts w:cs="Open Sans"/>
        </w:rPr>
        <w:t>.</w:t>
      </w:r>
      <w:r w:rsidRPr="006A5000">
        <w:rPr>
          <w:rStyle w:val="EndnoteReference"/>
          <w:rFonts w:cs="Open Sans"/>
        </w:rPr>
        <w:endnoteReference w:id="31"/>
      </w:r>
    </w:p>
    <w:p w14:paraId="7F92B608" w14:textId="7459E434"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During a telephone conversation with staff of the Commonwealth Ombudsman on 17 August 2017, Mr </w:t>
      </w:r>
      <w:r w:rsidR="00AA64D6">
        <w:rPr>
          <w:rFonts w:cs="Open Sans"/>
        </w:rPr>
        <w:t>NT</w:t>
      </w:r>
      <w:r w:rsidRPr="00451B90">
        <w:rPr>
          <w:rFonts w:cs="Open Sans"/>
        </w:rPr>
        <w:t xml:space="preserve"> stated that his mental health was deteriorating and that he felt ‘depressed, highly stressed, does not sleep well, and has been having flashbacks from trauma he experienced in his home country’. He stated that he used to attend specialist counselling every week for the management of a history of torture and trauma, but that he had not seen a counsellor for nearly nine months. </w:t>
      </w:r>
    </w:p>
    <w:p w14:paraId="3A5E47F8" w14:textId="4F9B330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late 2016, it appears that the Department was considering Mr </w:t>
      </w:r>
      <w:r w:rsidR="00AA64D6">
        <w:rPr>
          <w:rFonts w:cs="Open Sans"/>
        </w:rPr>
        <w:t>NT</w:t>
      </w:r>
      <w:r w:rsidRPr="00451B90">
        <w:rPr>
          <w:rFonts w:cs="Open Sans"/>
        </w:rPr>
        <w:t>’s removal from Australia.</w:t>
      </w:r>
      <w:r w:rsidRPr="006A5000">
        <w:rPr>
          <w:rStyle w:val="EndnoteReference"/>
          <w:rFonts w:cs="Open Sans"/>
        </w:rPr>
        <w:endnoteReference w:id="32"/>
      </w:r>
      <w:r w:rsidRPr="00451B90">
        <w:rPr>
          <w:rFonts w:cs="Open Sans"/>
        </w:rPr>
        <w:t xml:space="preserve"> An undated case review suggests that at some point Mr </w:t>
      </w:r>
      <w:r w:rsidR="00AA64D6">
        <w:rPr>
          <w:rFonts w:cs="Open Sans"/>
        </w:rPr>
        <w:t>NT</w:t>
      </w:r>
      <w:r w:rsidRPr="00451B90">
        <w:rPr>
          <w:rFonts w:cs="Open Sans"/>
        </w:rPr>
        <w:t xml:space="preserve"> contemplated voluntary removal. However, he does not hold </w:t>
      </w:r>
      <w:r w:rsidRPr="00451B90">
        <w:rPr>
          <w:rFonts w:cs="Open Sans"/>
        </w:rPr>
        <w:lastRenderedPageBreak/>
        <w:t xml:space="preserve">any identity or travel documents from South Sudan. Mr </w:t>
      </w:r>
      <w:r w:rsidR="00AA64D6">
        <w:rPr>
          <w:rFonts w:cs="Open Sans"/>
        </w:rPr>
        <w:t>NT</w:t>
      </w:r>
      <w:r w:rsidRPr="00451B90">
        <w:rPr>
          <w:rFonts w:cs="Open Sans"/>
        </w:rPr>
        <w:t xml:space="preserve"> left South Sudan over 15 years ago, before it obtained independence. He has been advised by the High Commission of Sudan that he cannot acquire identity documents. </w:t>
      </w:r>
    </w:p>
    <w:p w14:paraId="4DFBC0B2" w14:textId="2F757D04"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28 February 2017, Mr </w:t>
      </w:r>
      <w:r w:rsidR="00AA64D6">
        <w:rPr>
          <w:rFonts w:cs="Open Sans"/>
        </w:rPr>
        <w:t>NT</w:t>
      </w:r>
      <w:r w:rsidRPr="00451B90">
        <w:rPr>
          <w:rFonts w:cs="Open Sans"/>
        </w:rPr>
        <w:t>’s case was considered by the Department against the s 195A guidelines for possible referral to the Minister. On 24 October 2017, he was found by the Department not to meet the guidelines for referral due to his criminal record.</w:t>
      </w:r>
    </w:p>
    <w:p w14:paraId="4E1C5111"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24 October 2017, an International Treaties Obligation Assessment (ITOA) was initiated by the Department. The outcome of this process is not before the Commission. </w:t>
      </w:r>
    </w:p>
    <w:p w14:paraId="2F5EE24D" w14:textId="2DEBE514"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a letter from the Department to the Commission dated 30 November 2018, the Department stated that Mr </w:t>
      </w:r>
      <w:r w:rsidR="00AA64D6">
        <w:rPr>
          <w:rFonts w:cs="Open Sans"/>
        </w:rPr>
        <w:t>NT</w:t>
      </w:r>
      <w:r w:rsidRPr="00451B90">
        <w:rPr>
          <w:rFonts w:cs="Open Sans"/>
        </w:rPr>
        <w:t xml:space="preserve"> had</w:t>
      </w:r>
      <w:r w:rsidRPr="00451B90">
        <w:rPr>
          <w:rFonts w:cs="Open Sans"/>
          <w:i/>
          <w:iCs/>
        </w:rPr>
        <w:t xml:space="preserve"> </w:t>
      </w:r>
      <w:r w:rsidRPr="00451B90">
        <w:rPr>
          <w:rFonts w:cs="Open Sans"/>
        </w:rPr>
        <w:t>never</w:t>
      </w:r>
      <w:r w:rsidRPr="00451B90">
        <w:rPr>
          <w:rFonts w:cs="Open Sans"/>
          <w:i/>
          <w:iCs/>
        </w:rPr>
        <w:t xml:space="preserve"> </w:t>
      </w:r>
      <w:r w:rsidRPr="00451B90">
        <w:rPr>
          <w:rFonts w:cs="Open Sans"/>
        </w:rPr>
        <w:t>been referred to the Minister for consideration for either community detention or the grant of a bridging visa. The letter states:</w:t>
      </w:r>
    </w:p>
    <w:p w14:paraId="6D2A90B5" w14:textId="375E00A9" w:rsidR="00903A38" w:rsidRPr="001A55D2" w:rsidRDefault="00903A38" w:rsidP="001A55D2">
      <w:pPr>
        <w:pStyle w:val="ListParagraph"/>
        <w:ind w:left="1440"/>
        <w:rPr>
          <w:rFonts w:cs="Open Sans"/>
          <w:sz w:val="22"/>
          <w:szCs w:val="22"/>
        </w:rPr>
      </w:pPr>
      <w:r w:rsidRPr="00451B90">
        <w:rPr>
          <w:rFonts w:cs="Open Sans"/>
          <w:sz w:val="22"/>
          <w:szCs w:val="22"/>
        </w:rPr>
        <w:t xml:space="preserve">Mr </w:t>
      </w:r>
      <w:r w:rsidR="00E01650">
        <w:rPr>
          <w:rFonts w:cs="Open Sans"/>
          <w:sz w:val="22"/>
          <w:szCs w:val="22"/>
        </w:rPr>
        <w:t>NT</w:t>
      </w:r>
      <w:r w:rsidRPr="00451B90">
        <w:rPr>
          <w:rFonts w:cs="Open Sans"/>
          <w:sz w:val="22"/>
          <w:szCs w:val="22"/>
        </w:rPr>
        <w:t xml:space="preserve"> has never been referred to the Minister for his consideration of intervention under section 195A of the Act. Mr </w:t>
      </w:r>
      <w:r w:rsidR="00E01650">
        <w:rPr>
          <w:rFonts w:cs="Open Sans"/>
          <w:sz w:val="22"/>
          <w:szCs w:val="22"/>
        </w:rPr>
        <w:t>NT</w:t>
      </w:r>
      <w:r w:rsidRPr="00451B90">
        <w:rPr>
          <w:rFonts w:cs="Open Sans"/>
          <w:sz w:val="22"/>
          <w:szCs w:val="22"/>
        </w:rPr>
        <w:t xml:space="preserve"> was assessed against the section 195A guidelines in October 2017, but was found not to meet guidelines for referral to the Minister.</w:t>
      </w:r>
    </w:p>
    <w:p w14:paraId="14FE640C" w14:textId="5A9E815B" w:rsidR="00903A38" w:rsidRPr="00451B90" w:rsidRDefault="00903A38" w:rsidP="00903A38">
      <w:pPr>
        <w:pStyle w:val="ListParagraph"/>
        <w:ind w:left="1440"/>
        <w:rPr>
          <w:rFonts w:cs="Open Sans"/>
          <w:sz w:val="22"/>
          <w:szCs w:val="22"/>
        </w:rPr>
      </w:pPr>
      <w:r w:rsidRPr="00451B90">
        <w:rPr>
          <w:rFonts w:cs="Open Sans"/>
          <w:sz w:val="22"/>
          <w:szCs w:val="22"/>
        </w:rPr>
        <w:t xml:space="preserve">Mr </w:t>
      </w:r>
      <w:r w:rsidR="00E01650">
        <w:rPr>
          <w:rFonts w:cs="Open Sans"/>
          <w:sz w:val="22"/>
          <w:szCs w:val="22"/>
        </w:rPr>
        <w:t>NT’s</w:t>
      </w:r>
      <w:r w:rsidRPr="00451B90">
        <w:rPr>
          <w:rFonts w:cs="Open Sans"/>
          <w:sz w:val="22"/>
          <w:szCs w:val="22"/>
        </w:rPr>
        <w:t xml:space="preserve"> case has not been referred for section 197AB consideration.</w:t>
      </w:r>
    </w:p>
    <w:p w14:paraId="7E50D03C" w14:textId="757AD89E"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its response to my preliminary view dated </w:t>
      </w:r>
      <w:r w:rsidR="008F1297">
        <w:rPr>
          <w:rFonts w:cs="Open Sans"/>
        </w:rPr>
        <w:t>22</w:t>
      </w:r>
      <w:r w:rsidRPr="00451B90">
        <w:rPr>
          <w:rFonts w:cs="Open Sans"/>
        </w:rPr>
        <w:t xml:space="preserve"> </w:t>
      </w:r>
      <w:r w:rsidR="008F1297">
        <w:rPr>
          <w:rFonts w:cs="Open Sans"/>
        </w:rPr>
        <w:t>February</w:t>
      </w:r>
      <w:r w:rsidRPr="00451B90">
        <w:rPr>
          <w:rFonts w:cs="Open Sans"/>
        </w:rPr>
        <w:t xml:space="preserve"> 20</w:t>
      </w:r>
      <w:r w:rsidR="008F1297">
        <w:rPr>
          <w:rFonts w:cs="Open Sans"/>
        </w:rPr>
        <w:t>20</w:t>
      </w:r>
      <w:r w:rsidRPr="00451B90">
        <w:rPr>
          <w:rFonts w:cs="Open Sans"/>
        </w:rPr>
        <w:t xml:space="preserve">, the Department indicated that, in April 2019, the Department referred Mr </w:t>
      </w:r>
      <w:r w:rsidR="00AA64D6">
        <w:rPr>
          <w:rFonts w:cs="Open Sans"/>
        </w:rPr>
        <w:t>NT</w:t>
      </w:r>
      <w:r w:rsidRPr="00451B90">
        <w:rPr>
          <w:rFonts w:cs="Open Sans"/>
        </w:rPr>
        <w:t xml:space="preserve">’s case to the Minister for his consideration under s 195A and s 197AB of the Migration Act. On 4 July 2019, the </w:t>
      </w:r>
      <w:r>
        <w:rPr>
          <w:rFonts w:cs="Open Sans"/>
        </w:rPr>
        <w:t xml:space="preserve">then </w:t>
      </w:r>
      <w:r w:rsidRPr="00451B90">
        <w:rPr>
          <w:rFonts w:cs="Open Sans"/>
        </w:rPr>
        <w:t xml:space="preserve">Minister declined to consider intervening in Mr </w:t>
      </w:r>
      <w:r w:rsidR="00AA64D6">
        <w:rPr>
          <w:rFonts w:cs="Open Sans"/>
        </w:rPr>
        <w:t>NT</w:t>
      </w:r>
      <w:r w:rsidRPr="00451B90">
        <w:rPr>
          <w:rFonts w:cs="Open Sans"/>
        </w:rPr>
        <w:t xml:space="preserve">’s case. </w:t>
      </w:r>
    </w:p>
    <w:p w14:paraId="7D51909E" w14:textId="3A842FA1"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 note that Mr </w:t>
      </w:r>
      <w:r w:rsidR="00AA64D6">
        <w:rPr>
          <w:rFonts w:cs="Open Sans"/>
        </w:rPr>
        <w:t>NT</w:t>
      </w:r>
      <w:r w:rsidRPr="00451B90">
        <w:rPr>
          <w:rFonts w:cs="Open Sans"/>
        </w:rPr>
        <w:t xml:space="preserve"> has exhausted all domestic administrative and legal avenues for release from closed immigration detention. The only remaining avenue is Ministerial intervention under ss 195A or 197AB of the Migration Act. </w:t>
      </w:r>
    </w:p>
    <w:p w14:paraId="3D26034C" w14:textId="40BB7DC3" w:rsidR="00903A38" w:rsidRPr="00451B90" w:rsidRDefault="00903A38" w:rsidP="00C84572">
      <w:pPr>
        <w:numPr>
          <w:ilvl w:val="0"/>
          <w:numId w:val="21"/>
        </w:numPr>
        <w:tabs>
          <w:tab w:val="clear" w:pos="720"/>
          <w:tab w:val="num" w:pos="862"/>
        </w:tabs>
        <w:ind w:left="862" w:hanging="862"/>
        <w:rPr>
          <w:rFonts w:cs="Open Sans"/>
        </w:rPr>
      </w:pPr>
      <w:bookmarkStart w:id="49" w:name="_Hlk23243670"/>
      <w:r w:rsidRPr="00451B90">
        <w:rPr>
          <w:rFonts w:cs="Open Sans"/>
        </w:rPr>
        <w:t xml:space="preserve">On 5 June 2018, the United Nations Working Group on Arbitrary Detention (the </w:t>
      </w:r>
      <w:bookmarkStart w:id="50" w:name="_Hlk24536401"/>
      <w:r w:rsidRPr="00451B90">
        <w:rPr>
          <w:rFonts w:cs="Open Sans"/>
        </w:rPr>
        <w:t>UN Working Group</w:t>
      </w:r>
      <w:bookmarkEnd w:id="50"/>
      <w:r w:rsidRPr="00451B90">
        <w:rPr>
          <w:rFonts w:cs="Open Sans"/>
        </w:rPr>
        <w:t xml:space="preserve">) published Opinion 20/2018 regarding Mr </w:t>
      </w:r>
      <w:r w:rsidR="00AA64D6">
        <w:rPr>
          <w:rFonts w:cs="Open Sans"/>
        </w:rPr>
        <w:t>NT</w:t>
      </w:r>
      <w:r w:rsidRPr="00451B90">
        <w:rPr>
          <w:rFonts w:cs="Open Sans"/>
        </w:rPr>
        <w:t>’s case.</w:t>
      </w:r>
      <w:r w:rsidRPr="00451B90">
        <w:rPr>
          <w:rStyle w:val="EndnoteReference"/>
          <w:rFonts w:cs="Open Sans"/>
        </w:rPr>
        <w:endnoteReference w:id="33"/>
      </w:r>
      <w:r w:rsidRPr="00451B90">
        <w:rPr>
          <w:rFonts w:cs="Open Sans"/>
        </w:rPr>
        <w:t xml:space="preserve"> The UN Working Group found that Mr </w:t>
      </w:r>
      <w:r w:rsidR="00AA64D6">
        <w:rPr>
          <w:rFonts w:cs="Open Sans"/>
        </w:rPr>
        <w:t>NT</w:t>
      </w:r>
      <w:r w:rsidRPr="00451B90">
        <w:rPr>
          <w:rFonts w:cs="Open Sans"/>
        </w:rPr>
        <w:t>’s detention was arbitrary, and in contravention of articles 2, 9, 16 and 26 of the ICCPR.</w:t>
      </w:r>
      <w:r>
        <w:rPr>
          <w:rStyle w:val="EndnoteReference"/>
          <w:rFonts w:cs="Open Sans"/>
        </w:rPr>
        <w:endnoteReference w:id="34"/>
      </w:r>
      <w:r w:rsidRPr="00451B90">
        <w:rPr>
          <w:rFonts w:cs="Open Sans"/>
        </w:rPr>
        <w:t xml:space="preserve"> </w:t>
      </w:r>
    </w:p>
    <w:p w14:paraId="765944DC" w14:textId="3896DF8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UN Working Group noted its deep concern with respect to Mr </w:t>
      </w:r>
      <w:r w:rsidR="00AA64D6">
        <w:rPr>
          <w:rFonts w:cs="Open Sans"/>
        </w:rPr>
        <w:t>NT</w:t>
      </w:r>
      <w:r w:rsidRPr="00451B90">
        <w:rPr>
          <w:rFonts w:cs="Open Sans"/>
        </w:rPr>
        <w:t>’s prolonged and ‘real prospect of indefinite’ detention.</w:t>
      </w:r>
      <w:r>
        <w:rPr>
          <w:rStyle w:val="EndnoteReference"/>
          <w:rFonts w:cs="Open Sans"/>
        </w:rPr>
        <w:endnoteReference w:id="35"/>
      </w:r>
      <w:r w:rsidRPr="00451B90">
        <w:rPr>
          <w:rFonts w:cs="Open Sans"/>
        </w:rPr>
        <w:t xml:space="preserve"> It made the following comments on the international law of arbitrary detention:</w:t>
      </w:r>
    </w:p>
    <w:p w14:paraId="59B3AC59" w14:textId="77777777" w:rsidR="00903A38" w:rsidRPr="0075396C" w:rsidRDefault="00903A38" w:rsidP="00C84572">
      <w:pPr>
        <w:pStyle w:val="ListParagraph"/>
        <w:numPr>
          <w:ilvl w:val="1"/>
          <w:numId w:val="21"/>
        </w:numPr>
        <w:spacing w:before="120" w:after="120"/>
        <w:ind w:left="1434" w:hanging="357"/>
        <w:rPr>
          <w:rFonts w:cs="Open Sans"/>
          <w:sz w:val="22"/>
          <w:szCs w:val="22"/>
        </w:rPr>
      </w:pPr>
      <w:r w:rsidRPr="0075396C">
        <w:rPr>
          <w:rFonts w:cs="Open Sans"/>
          <w:sz w:val="22"/>
          <w:szCs w:val="22"/>
        </w:rPr>
        <w:lastRenderedPageBreak/>
        <w:t>the UN Human Rights Committee has made numerous findings that the impossibility of challenging mandatory immigration detention is a breach of Article 9 of the ICCPR</w:t>
      </w:r>
    </w:p>
    <w:p w14:paraId="5CE7B90F" w14:textId="77777777" w:rsidR="00903A38" w:rsidRPr="0075396C" w:rsidRDefault="00903A38" w:rsidP="00C84572">
      <w:pPr>
        <w:pStyle w:val="ListParagraph"/>
        <w:numPr>
          <w:ilvl w:val="1"/>
          <w:numId w:val="21"/>
        </w:numPr>
        <w:spacing w:before="120" w:after="120"/>
        <w:ind w:left="1434" w:hanging="357"/>
        <w:rPr>
          <w:rFonts w:cs="Open Sans"/>
          <w:sz w:val="22"/>
          <w:szCs w:val="22"/>
        </w:rPr>
      </w:pPr>
      <w:r w:rsidRPr="0075396C">
        <w:rPr>
          <w:rFonts w:cs="Open Sans"/>
          <w:sz w:val="22"/>
          <w:szCs w:val="22"/>
        </w:rPr>
        <w:t>detention in the migration setting must be exceptional and in order to ensure this, alternatives to closed detention must be considered</w:t>
      </w:r>
    </w:p>
    <w:p w14:paraId="40B34F6A" w14:textId="77777777" w:rsidR="00903A38" w:rsidRPr="0075396C" w:rsidRDefault="00903A38" w:rsidP="00C84572">
      <w:pPr>
        <w:pStyle w:val="ListParagraph"/>
        <w:numPr>
          <w:ilvl w:val="1"/>
          <w:numId w:val="21"/>
        </w:numPr>
        <w:spacing w:before="120" w:after="120"/>
        <w:ind w:left="1434" w:hanging="357"/>
        <w:rPr>
          <w:rFonts w:cs="Open Sans"/>
          <w:sz w:val="22"/>
          <w:szCs w:val="22"/>
        </w:rPr>
      </w:pPr>
      <w:r w:rsidRPr="0075396C">
        <w:rPr>
          <w:rFonts w:cs="Open Sans"/>
          <w:sz w:val="22"/>
          <w:szCs w:val="22"/>
        </w:rPr>
        <w:t>just because a detention is carried out in conformity with national law, it does not mean that such detention is not arbitrary under international law</w:t>
      </w:r>
    </w:p>
    <w:p w14:paraId="39FA5C9E" w14:textId="77777777" w:rsidR="00903A38" w:rsidRPr="0075396C" w:rsidRDefault="00903A38" w:rsidP="00C84572">
      <w:pPr>
        <w:pStyle w:val="ListParagraph"/>
        <w:numPr>
          <w:ilvl w:val="1"/>
          <w:numId w:val="21"/>
        </w:numPr>
        <w:spacing w:before="120" w:after="120"/>
        <w:ind w:left="1434" w:hanging="357"/>
        <w:rPr>
          <w:rFonts w:cs="Open Sans"/>
          <w:sz w:val="22"/>
          <w:szCs w:val="22"/>
        </w:rPr>
      </w:pPr>
      <w:r w:rsidRPr="0075396C">
        <w:rPr>
          <w:rFonts w:cs="Open Sans"/>
          <w:sz w:val="22"/>
          <w:szCs w:val="22"/>
        </w:rPr>
        <w:t>indefinite detention of asylum seekers is arbitrary—their detention must never be unlimited or of excessive length and a maximum period should be imperatively provided by law</w:t>
      </w:r>
    </w:p>
    <w:p w14:paraId="54BFDB56" w14:textId="77777777" w:rsidR="00903A38" w:rsidRPr="0075396C" w:rsidRDefault="00903A38" w:rsidP="00C84572">
      <w:pPr>
        <w:pStyle w:val="ListParagraph"/>
        <w:numPr>
          <w:ilvl w:val="1"/>
          <w:numId w:val="21"/>
        </w:numPr>
        <w:spacing w:before="120" w:after="120"/>
        <w:ind w:left="1434" w:hanging="357"/>
        <w:rPr>
          <w:rFonts w:cs="Open Sans"/>
          <w:sz w:val="22"/>
          <w:szCs w:val="22"/>
        </w:rPr>
      </w:pPr>
      <w:r w:rsidRPr="0075396C">
        <w:rPr>
          <w:rFonts w:cs="Open Sans"/>
          <w:sz w:val="22"/>
          <w:szCs w:val="22"/>
        </w:rPr>
        <w:t>several cases concerning immigration detention in Australia have come before it in the past year, all of which have been found by the Working Group to amount to arbitrary detention.</w:t>
      </w:r>
    </w:p>
    <w:p w14:paraId="5F4E4616" w14:textId="5453C6B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UN Working Group recommended that Australia ‘take the steps necessary to remedy the situation of Mr </w:t>
      </w:r>
      <w:r w:rsidR="00AA64D6">
        <w:rPr>
          <w:rFonts w:cs="Open Sans"/>
        </w:rPr>
        <w:t>NT</w:t>
      </w:r>
      <w:r w:rsidRPr="00451B90">
        <w:rPr>
          <w:rFonts w:cs="Open Sans"/>
        </w:rPr>
        <w:t xml:space="preserve"> without delay and bring it into conformity with the standards and principles set forth in the international norms on detention’.</w:t>
      </w:r>
      <w:r>
        <w:rPr>
          <w:rStyle w:val="EndnoteReference"/>
          <w:rFonts w:cs="Open Sans"/>
        </w:rPr>
        <w:endnoteReference w:id="36"/>
      </w:r>
      <w:r w:rsidRPr="00451B90">
        <w:rPr>
          <w:rFonts w:cs="Open Sans"/>
        </w:rPr>
        <w:t xml:space="preserve"> It considered that Mr </w:t>
      </w:r>
      <w:r w:rsidR="00AA64D6">
        <w:rPr>
          <w:rFonts w:cs="Open Sans"/>
        </w:rPr>
        <w:t>NT</w:t>
      </w:r>
      <w:r w:rsidRPr="00451B90">
        <w:rPr>
          <w:rFonts w:cs="Open Sans"/>
        </w:rPr>
        <w:t>’s immediate release and affording him an enforceable right to compensation and other reparations was an appropriate remedy.</w:t>
      </w:r>
    </w:p>
    <w:p w14:paraId="58E39DA5" w14:textId="3E0639A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It has been over two and a half years since the UN Working Group issued its opinion and Mr </w:t>
      </w:r>
      <w:r w:rsidR="00AA64D6">
        <w:rPr>
          <w:rFonts w:cs="Open Sans"/>
        </w:rPr>
        <w:t>NT</w:t>
      </w:r>
      <w:r w:rsidRPr="00451B90">
        <w:rPr>
          <w:rFonts w:cs="Open Sans"/>
        </w:rPr>
        <w:t xml:space="preserve"> remains in closed immigration detention.  </w:t>
      </w:r>
      <w:bookmarkEnd w:id="49"/>
    </w:p>
    <w:p w14:paraId="2F23B31C" w14:textId="5303D94F"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 acknowledge that Mr </w:t>
      </w:r>
      <w:r w:rsidR="00AA64D6">
        <w:rPr>
          <w:rFonts w:cs="Open Sans"/>
        </w:rPr>
        <w:t>NT</w:t>
      </w:r>
      <w:r w:rsidRPr="00451B90">
        <w:rPr>
          <w:rFonts w:cs="Open Sans"/>
        </w:rPr>
        <w:t xml:space="preserve"> has a serious and significant criminal history and has been found by the AAT to pose a risk of re-offending. However, he has served his criminal sentences and the issue before me is whether his administrative immigration detention can be considered ‘arbitrary’ under international law.  </w:t>
      </w:r>
    </w:p>
    <w:p w14:paraId="079B0FCB" w14:textId="7DC4AD0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Given the significant and ongoing period of Mr </w:t>
      </w:r>
      <w:r w:rsidR="00AA64D6">
        <w:rPr>
          <w:rFonts w:cs="Open Sans"/>
        </w:rPr>
        <w:t>NT</w:t>
      </w:r>
      <w:r w:rsidRPr="00451B90">
        <w:rPr>
          <w:rFonts w:cs="Open Sans"/>
        </w:rPr>
        <w:t>’s immigration detention (six years and ten months as of March 2021), the finding by an independent tribunal that he is owed protection obligations, his strong connection to the Australian community having lived in Australia since age 16 with his family who continue to reside in Australia</w:t>
      </w:r>
      <w:r>
        <w:rPr>
          <w:rFonts w:cs="Open Sans"/>
        </w:rPr>
        <w:t>,</w:t>
      </w:r>
      <w:r w:rsidRPr="00451B90">
        <w:rPr>
          <w:rFonts w:cs="Open Sans"/>
        </w:rPr>
        <w:t xml:space="preserve"> and having an Australian ex-partner and child, his limited prospects of removal to another country due to circumstances outside his control, his diagnosed mental health condition and history of torture and trauma, his declining mental health, the exhaustion of all domestic avenues, his high risk of indefinite detention and the findings of the UN Working Group of a breach of Australia’s obligations under the ICCPR, I consider that there is scope to bring Mr </w:t>
      </w:r>
      <w:r w:rsidR="00AA64D6">
        <w:rPr>
          <w:rFonts w:cs="Open Sans"/>
        </w:rPr>
        <w:t>NT</w:t>
      </w:r>
      <w:r w:rsidRPr="00451B90">
        <w:rPr>
          <w:rFonts w:cs="Open Sans"/>
        </w:rPr>
        <w:t xml:space="preserve">’s case within the guidelines for referral to the </w:t>
      </w:r>
      <w:r w:rsidRPr="00451B90">
        <w:rPr>
          <w:rFonts w:cs="Open Sans"/>
        </w:rPr>
        <w:lastRenderedPageBreak/>
        <w:t xml:space="preserve">Minister to consider exercising </w:t>
      </w:r>
      <w:r>
        <w:rPr>
          <w:rFonts w:cs="Open Sans"/>
        </w:rPr>
        <w:t xml:space="preserve">their </w:t>
      </w:r>
      <w:r w:rsidRPr="00451B90">
        <w:rPr>
          <w:rFonts w:cs="Open Sans"/>
        </w:rPr>
        <w:t xml:space="preserve">powers under either ss 195A or 197AB of the Migration Act. </w:t>
      </w:r>
    </w:p>
    <w:p w14:paraId="62B99152" w14:textId="07342FF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For the above reasons, it is my view that the failure of the Department to refer Mr </w:t>
      </w:r>
      <w:r w:rsidR="00AA64D6">
        <w:rPr>
          <w:rFonts w:cs="Open Sans"/>
        </w:rPr>
        <w:t>NT</w:t>
      </w:r>
      <w:r w:rsidRPr="00451B90">
        <w:rPr>
          <w:rFonts w:cs="Open Sans"/>
        </w:rPr>
        <w:t>’s case to the Minister for consideration under ss 195A or 197AB before April 2019 resulted in his detention becoming arbitrary, contrary to article 9 of the ICCPR.</w:t>
      </w:r>
    </w:p>
    <w:p w14:paraId="0408E7EF" w14:textId="76D432FC" w:rsidR="00903A38" w:rsidRPr="00451B90" w:rsidRDefault="00903A38" w:rsidP="00C84572">
      <w:pPr>
        <w:numPr>
          <w:ilvl w:val="0"/>
          <w:numId w:val="21"/>
        </w:numPr>
        <w:tabs>
          <w:tab w:val="clear" w:pos="720"/>
          <w:tab w:val="num" w:pos="862"/>
        </w:tabs>
        <w:ind w:left="862" w:hanging="862"/>
        <w:rPr>
          <w:rFonts w:cs="Open Sans"/>
        </w:rPr>
      </w:pPr>
      <w:bookmarkStart w:id="51" w:name="_Toc519513678"/>
      <w:bookmarkStart w:id="52" w:name="_Toc519513675"/>
      <w:r w:rsidRPr="00451B90">
        <w:rPr>
          <w:rFonts w:cs="Open Sans"/>
        </w:rPr>
        <w:t xml:space="preserve">In light of the Department’s concerns about Mr </w:t>
      </w:r>
      <w:r w:rsidR="00AA64D6">
        <w:rPr>
          <w:rFonts w:cs="Open Sans"/>
        </w:rPr>
        <w:t>NT</w:t>
      </w:r>
      <w:r w:rsidRPr="00451B90">
        <w:rPr>
          <w:rFonts w:cs="Open Sans"/>
        </w:rPr>
        <w:t xml:space="preserve">’s criminal history, in my view, any future referral to the Minister should include an assessment of whether any risks of harm posed to the community by Mr </w:t>
      </w:r>
      <w:r w:rsidR="00AA64D6">
        <w:rPr>
          <w:rFonts w:cs="Open Sans"/>
        </w:rPr>
        <w:t>NT</w:t>
      </w:r>
      <w:r w:rsidRPr="00451B90">
        <w:rPr>
          <w:rFonts w:cs="Open Sans"/>
        </w:rPr>
        <w:t xml:space="preserve"> could be mitigated by the imposition of conditions on community detention or a bridging visa. </w:t>
      </w:r>
    </w:p>
    <w:p w14:paraId="64B679F0" w14:textId="3D4D03A4" w:rsidR="00903A38" w:rsidRPr="00451B90" w:rsidRDefault="00903A38" w:rsidP="00C84572">
      <w:pPr>
        <w:pStyle w:val="Heading2"/>
        <w:numPr>
          <w:ilvl w:val="1"/>
          <w:numId w:val="20"/>
        </w:numPr>
        <w:rPr>
          <w:rFonts w:cs="Open Sans"/>
        </w:rPr>
      </w:pPr>
      <w:bookmarkStart w:id="53" w:name="_Toc24023327"/>
      <w:bookmarkStart w:id="54" w:name="_Toc24023328"/>
      <w:bookmarkStart w:id="55" w:name="_Toc79503164"/>
      <w:bookmarkStart w:id="56" w:name="_Toc87965783"/>
      <w:bookmarkEnd w:id="51"/>
      <w:bookmarkEnd w:id="52"/>
      <w:bookmarkEnd w:id="53"/>
      <w:bookmarkEnd w:id="54"/>
      <w:r w:rsidRPr="00451B90">
        <w:rPr>
          <w:rFonts w:cs="Open Sans"/>
        </w:rPr>
        <w:t xml:space="preserve">Mr </w:t>
      </w:r>
      <w:bookmarkEnd w:id="55"/>
      <w:r w:rsidR="00121B7C">
        <w:rPr>
          <w:rFonts w:cs="Open Sans"/>
        </w:rPr>
        <w:t>NU</w:t>
      </w:r>
      <w:bookmarkEnd w:id="56"/>
    </w:p>
    <w:p w14:paraId="4770DC48" w14:textId="4183182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121B7C">
        <w:rPr>
          <w:rFonts w:cs="Open Sans"/>
        </w:rPr>
        <w:t>NU</w:t>
      </w:r>
      <w:r w:rsidRPr="00451B90">
        <w:rPr>
          <w:rFonts w:cs="Open Sans"/>
        </w:rPr>
        <w:t xml:space="preserve"> is an asylum seeker of Syrian origin who came to Australia by boat on 15 November 2012. He was granted a bridging visa on 16 January 2013 and released from closed detention. </w:t>
      </w:r>
    </w:p>
    <w:p w14:paraId="4FBF85CE" w14:textId="713B9CC4"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121B7C">
        <w:rPr>
          <w:rFonts w:cs="Open Sans"/>
        </w:rPr>
        <w:t>NU</w:t>
      </w:r>
      <w:r w:rsidRPr="00451B90">
        <w:rPr>
          <w:rFonts w:cs="Open Sans"/>
        </w:rPr>
        <w:t xml:space="preserve"> has complex mental health needs, having been diagnosed with bipolar affective disorder, adult disturbed behaviour and periods of psychosis. He has a history of torture and trauma and self-harm threats or attempts. He has received psychiatric and other mental health treatment on several occasions, both before and during his detention, including periods of treatment in specialist facilities. </w:t>
      </w:r>
    </w:p>
    <w:p w14:paraId="017D0CE7" w14:textId="012DB32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12 January 2014, Mr </w:t>
      </w:r>
      <w:r w:rsidR="00121B7C">
        <w:rPr>
          <w:rFonts w:cs="Open Sans"/>
        </w:rPr>
        <w:t>NU</w:t>
      </w:r>
      <w:r w:rsidRPr="00451B90">
        <w:rPr>
          <w:rFonts w:cs="Open Sans"/>
        </w:rPr>
        <w:t xml:space="preserve"> came to the attention of police on the basis of a civil dispute. Mr </w:t>
      </w:r>
      <w:r w:rsidR="00121B7C">
        <w:rPr>
          <w:rFonts w:cs="Open Sans"/>
        </w:rPr>
        <w:t>NU</w:t>
      </w:r>
      <w:r w:rsidRPr="00451B90">
        <w:rPr>
          <w:rFonts w:cs="Open Sans"/>
        </w:rPr>
        <w:t xml:space="preserve"> was receiving a massage treatment for a knee injury, when he received a phone call from his brother in the Syrian Arab Republic, saying that his mother and siblings had been killed in a suicide bomb attack. Mr </w:t>
      </w:r>
      <w:r w:rsidR="00121B7C">
        <w:rPr>
          <w:rFonts w:cs="Open Sans"/>
        </w:rPr>
        <w:t>NU</w:t>
      </w:r>
      <w:r w:rsidRPr="00451B90">
        <w:rPr>
          <w:rFonts w:cs="Open Sans"/>
        </w:rPr>
        <w:t xml:space="preserve"> became very distressed and agitated. He requested to stop his massage treatment and for his money to be refunded. When this did not occur, he himself called the police.</w:t>
      </w:r>
    </w:p>
    <w:p w14:paraId="35649DF6" w14:textId="4821024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When the police arrived, Mr </w:t>
      </w:r>
      <w:r w:rsidR="00121B7C">
        <w:rPr>
          <w:rFonts w:cs="Open Sans"/>
        </w:rPr>
        <w:t>NU</w:t>
      </w:r>
      <w:r w:rsidRPr="00451B90">
        <w:rPr>
          <w:rFonts w:cs="Open Sans"/>
        </w:rPr>
        <w:t xml:space="preserve"> considers that he tried to explain why he was upset, but could not communicate well in English. A police report stated that Mr </w:t>
      </w:r>
      <w:r w:rsidR="00121B7C">
        <w:rPr>
          <w:rFonts w:cs="Open Sans"/>
        </w:rPr>
        <w:t>NU</w:t>
      </w:r>
      <w:r w:rsidRPr="00451B90">
        <w:rPr>
          <w:rFonts w:cs="Open Sans"/>
        </w:rPr>
        <w:t xml:space="preserve"> said he wanted to ‘return to Syria to put on a vest and go boom’ and ‘I don’t want to hurt you, only myself’. He considers that the police thought that he was threatening to kill himself using a bomb in Australia, rather than speaking about the way his mother died and wishing to return to Syria to kill himself because of his grief.</w:t>
      </w:r>
    </w:p>
    <w:p w14:paraId="700CA801" w14:textId="5125437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121B7C">
        <w:rPr>
          <w:rFonts w:cs="Open Sans"/>
        </w:rPr>
        <w:t>NU</w:t>
      </w:r>
      <w:r w:rsidRPr="00451B90">
        <w:rPr>
          <w:rFonts w:cs="Open Sans"/>
        </w:rPr>
        <w:t xml:space="preserve"> was arrested and subsequently, by police referral, admitted for psychiatric care to St Vincent’s Hospital and Bankstown Hospital on the basis of self-harm concerns. He was released from Bankstown Hospital </w:t>
      </w:r>
      <w:r w:rsidRPr="00451B90">
        <w:rPr>
          <w:rFonts w:cs="Open Sans"/>
        </w:rPr>
        <w:lastRenderedPageBreak/>
        <w:t xml:space="preserve">on 15 January 2014. Notably, Mr </w:t>
      </w:r>
      <w:r w:rsidR="00121B7C">
        <w:rPr>
          <w:rFonts w:cs="Open Sans"/>
        </w:rPr>
        <w:t>NU</w:t>
      </w:r>
      <w:r w:rsidRPr="00451B90">
        <w:rPr>
          <w:rFonts w:cs="Open Sans"/>
        </w:rPr>
        <w:t xml:space="preserve"> was never charged with or convicted of any offence in relation to the 12 January 2014 incident, or any other incident. The Commission is also not aware of any other criminal record. </w:t>
      </w:r>
    </w:p>
    <w:p w14:paraId="3096182A" w14:textId="0038394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During a subsequent interview with the police in relation to the incident, Mr </w:t>
      </w:r>
      <w:r w:rsidR="00121B7C">
        <w:rPr>
          <w:rFonts w:cs="Open Sans"/>
        </w:rPr>
        <w:t>NU</w:t>
      </w:r>
      <w:r w:rsidRPr="00451B90">
        <w:rPr>
          <w:rFonts w:cs="Open Sans"/>
        </w:rPr>
        <w:t xml:space="preserve"> made statements which raised concerns about his risk to the Australian community, including that he had met with Al Qaeda members and received training to go back to fight in Syria. However, Mr </w:t>
      </w:r>
      <w:r w:rsidR="00121B7C">
        <w:rPr>
          <w:rFonts w:cs="Open Sans"/>
        </w:rPr>
        <w:t>NU</w:t>
      </w:r>
      <w:r w:rsidRPr="00451B90">
        <w:rPr>
          <w:rFonts w:cs="Open Sans"/>
        </w:rPr>
        <w:t xml:space="preserve"> has said that at the conclusion of the interview, he told the police that these statements were all untrue. </w:t>
      </w:r>
    </w:p>
    <w:p w14:paraId="0929C905" w14:textId="5DE7A888"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4 February 2014, Mr </w:t>
      </w:r>
      <w:r w:rsidR="00121B7C">
        <w:rPr>
          <w:rFonts w:cs="Open Sans"/>
        </w:rPr>
        <w:t>NU</w:t>
      </w:r>
      <w:r w:rsidRPr="00451B90">
        <w:rPr>
          <w:rFonts w:cs="Open Sans"/>
        </w:rPr>
        <w:t xml:space="preserve"> was taken into immigration detention at Villawood IDC. His bridging visa had ceased on 16 June 2013. Mr </w:t>
      </w:r>
      <w:r w:rsidR="00121B7C">
        <w:rPr>
          <w:rFonts w:cs="Open Sans"/>
        </w:rPr>
        <w:t>NU</w:t>
      </w:r>
      <w:r w:rsidRPr="00451B90">
        <w:rPr>
          <w:rFonts w:cs="Open Sans"/>
        </w:rPr>
        <w:t xml:space="preserve"> has said that, before this time, he was in contact with the Department to report the pending expiry of his visa and was advised incorrectly that he could stay in the community until he was granted a new bridging visa.</w:t>
      </w:r>
    </w:p>
    <w:p w14:paraId="23117C6A" w14:textId="2FBB5682"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121B7C">
        <w:rPr>
          <w:rFonts w:cs="Open Sans"/>
        </w:rPr>
        <w:t>NU</w:t>
      </w:r>
      <w:r w:rsidRPr="00451B90">
        <w:rPr>
          <w:rFonts w:cs="Open Sans"/>
        </w:rPr>
        <w:t xml:space="preserve"> has remained in immigration detention since 4 February 2014. He has been transferred between various centres, including Christmas Island IDC. As of 5 March 2021, Mr </w:t>
      </w:r>
      <w:r w:rsidR="00121B7C">
        <w:rPr>
          <w:rFonts w:cs="Open Sans"/>
        </w:rPr>
        <w:t>NU</w:t>
      </w:r>
      <w:r w:rsidRPr="00451B90">
        <w:rPr>
          <w:rFonts w:cs="Open Sans"/>
        </w:rPr>
        <w:t xml:space="preserve"> was being detained at </w:t>
      </w:r>
      <w:proofErr w:type="spellStart"/>
      <w:r w:rsidRPr="00451B90">
        <w:rPr>
          <w:rFonts w:cs="Open Sans"/>
        </w:rPr>
        <w:t>Yongah</w:t>
      </w:r>
      <w:proofErr w:type="spellEnd"/>
      <w:r w:rsidRPr="00451B90">
        <w:rPr>
          <w:rFonts w:cs="Open Sans"/>
        </w:rPr>
        <w:t xml:space="preserve"> Hill IDC.</w:t>
      </w:r>
    </w:p>
    <w:p w14:paraId="70DEBFCD" w14:textId="309B677B" w:rsidR="00903A38" w:rsidRPr="00451B90" w:rsidRDefault="00903A38" w:rsidP="00C84572">
      <w:pPr>
        <w:numPr>
          <w:ilvl w:val="0"/>
          <w:numId w:val="21"/>
        </w:numPr>
        <w:tabs>
          <w:tab w:val="clear" w:pos="720"/>
          <w:tab w:val="num" w:pos="862"/>
        </w:tabs>
        <w:ind w:left="862" w:hanging="862"/>
        <w:rPr>
          <w:rFonts w:cs="Open Sans"/>
        </w:rPr>
      </w:pPr>
      <w:bookmarkStart w:id="57" w:name="_Hlk24535506"/>
      <w:r w:rsidRPr="00451B90">
        <w:rPr>
          <w:rFonts w:cs="Open Sans"/>
        </w:rPr>
        <w:t xml:space="preserve">On 23 February 2015, a case officer decided that Mr </w:t>
      </w:r>
      <w:r w:rsidR="00121B7C">
        <w:rPr>
          <w:rFonts w:cs="Open Sans"/>
        </w:rPr>
        <w:t>NU</w:t>
      </w:r>
      <w:r w:rsidRPr="00451B90">
        <w:rPr>
          <w:rFonts w:cs="Open Sans"/>
        </w:rPr>
        <w:t xml:space="preserve"> met the s 195A intervention guidelines for referral to the Minister. The assessment stated that there was evidence that his individual needs, as relating to his mental health, could not be properly cared for in closed detention.</w:t>
      </w:r>
    </w:p>
    <w:bookmarkEnd w:id="57"/>
    <w:p w14:paraId="2C711EC0" w14:textId="57EAC41F"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20 April 2015, Mr </w:t>
      </w:r>
      <w:r w:rsidR="00121B7C">
        <w:rPr>
          <w:rFonts w:cs="Open Sans"/>
        </w:rPr>
        <w:t>NU</w:t>
      </w:r>
      <w:r w:rsidRPr="00451B90">
        <w:rPr>
          <w:rFonts w:cs="Open Sans"/>
        </w:rPr>
        <w:t xml:space="preserve"> contacted the Department’s Global Feedback Unit and stated that if he were sent back to Syria he would ‘blow himself up’.</w:t>
      </w:r>
    </w:p>
    <w:p w14:paraId="0AB56839" w14:textId="1E174C1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30 June 2015, following a psychiatric assessment of Mr </w:t>
      </w:r>
      <w:r w:rsidR="00121B7C">
        <w:rPr>
          <w:rFonts w:cs="Open Sans"/>
        </w:rPr>
        <w:t>NU</w:t>
      </w:r>
      <w:r w:rsidRPr="00451B90">
        <w:rPr>
          <w:rFonts w:cs="Open Sans"/>
        </w:rPr>
        <w:t xml:space="preserve"> and a decision that a residence determination would be the most appropriate course of action, a submission under s 197AB was referred to the </w:t>
      </w:r>
      <w:r>
        <w:rPr>
          <w:rFonts w:cs="Open Sans"/>
        </w:rPr>
        <w:t xml:space="preserve">then </w:t>
      </w:r>
      <w:r w:rsidRPr="00451B90">
        <w:rPr>
          <w:rFonts w:cs="Open Sans"/>
        </w:rPr>
        <w:t xml:space="preserve">Minister. The s 195A referral was finalised by the Department administratively.  </w:t>
      </w:r>
    </w:p>
    <w:p w14:paraId="6C6BF638" w14:textId="619AA22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21 July 2015, the </w:t>
      </w:r>
      <w:r>
        <w:rPr>
          <w:rFonts w:cs="Open Sans"/>
        </w:rPr>
        <w:t xml:space="preserve">then </w:t>
      </w:r>
      <w:r w:rsidRPr="00451B90">
        <w:rPr>
          <w:rFonts w:cs="Open Sans"/>
        </w:rPr>
        <w:t xml:space="preserve">Minister agreed to consider intervening under s 197AB of the Migration Act to place Mr </w:t>
      </w:r>
      <w:r w:rsidR="00121B7C">
        <w:rPr>
          <w:rFonts w:cs="Open Sans"/>
        </w:rPr>
        <w:t>NU</w:t>
      </w:r>
      <w:r w:rsidRPr="00451B90">
        <w:rPr>
          <w:rFonts w:cs="Open Sans"/>
        </w:rPr>
        <w:t xml:space="preserve"> in community detention after Mr </w:t>
      </w:r>
      <w:r w:rsidR="00121B7C">
        <w:rPr>
          <w:rFonts w:cs="Open Sans"/>
        </w:rPr>
        <w:t>NU</w:t>
      </w:r>
      <w:r w:rsidRPr="00451B90">
        <w:rPr>
          <w:rFonts w:cs="Open Sans"/>
        </w:rPr>
        <w:t xml:space="preserve">’s security issues ‘were resolved’ and ‘suitable accommodation had been sourced’. </w:t>
      </w:r>
    </w:p>
    <w:p w14:paraId="04D1C64C" w14:textId="0900F0D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Ministerial brief stated that Mr </w:t>
      </w:r>
      <w:r w:rsidR="00121B7C">
        <w:rPr>
          <w:rFonts w:cs="Open Sans"/>
        </w:rPr>
        <w:t>NU</w:t>
      </w:r>
      <w:r w:rsidRPr="00451B90">
        <w:rPr>
          <w:rFonts w:cs="Open Sans"/>
        </w:rPr>
        <w:t xml:space="preserve">’s case met the s 197AB guidelines due to his poor mental health, and that: </w:t>
      </w:r>
    </w:p>
    <w:p w14:paraId="675F3733" w14:textId="5BD442A2" w:rsidR="00903A38" w:rsidRPr="001A55D2" w:rsidRDefault="00903A38" w:rsidP="001A55D2">
      <w:pPr>
        <w:pStyle w:val="ListParagraph"/>
        <w:ind w:left="1440"/>
        <w:rPr>
          <w:rFonts w:cs="Open Sans"/>
          <w:sz w:val="22"/>
          <w:szCs w:val="22"/>
        </w:rPr>
      </w:pPr>
      <w:r w:rsidRPr="00451B90">
        <w:rPr>
          <w:rFonts w:cs="Open Sans"/>
          <w:sz w:val="22"/>
          <w:szCs w:val="22"/>
        </w:rPr>
        <w:lastRenderedPageBreak/>
        <w:t xml:space="preserve">NSW Police advised that Mr </w:t>
      </w:r>
      <w:r w:rsidR="00121B7C">
        <w:rPr>
          <w:rFonts w:cs="Open Sans"/>
          <w:sz w:val="22"/>
          <w:szCs w:val="22"/>
        </w:rPr>
        <w:t>NU</w:t>
      </w:r>
      <w:r w:rsidRPr="00451B90">
        <w:rPr>
          <w:rFonts w:cs="Open Sans"/>
          <w:sz w:val="22"/>
          <w:szCs w:val="22"/>
        </w:rPr>
        <w:t xml:space="preserve"> has made no threats of violence against Australia or Australians and maintains the view that he likes Australia and his only fight remains with Syria …</w:t>
      </w:r>
    </w:p>
    <w:p w14:paraId="7B10D7A5" w14:textId="290842DC" w:rsidR="00903A38" w:rsidRPr="001A55D2" w:rsidRDefault="00903A38" w:rsidP="001A55D2">
      <w:pPr>
        <w:pStyle w:val="ListParagraph"/>
        <w:ind w:left="1440"/>
        <w:rPr>
          <w:rFonts w:cs="Open Sans"/>
          <w:sz w:val="22"/>
          <w:szCs w:val="22"/>
        </w:rPr>
      </w:pPr>
      <w:r w:rsidRPr="00451B90">
        <w:rPr>
          <w:rFonts w:cs="Open Sans"/>
          <w:sz w:val="22"/>
          <w:szCs w:val="22"/>
        </w:rPr>
        <w:t xml:space="preserve">Given Mr </w:t>
      </w:r>
      <w:r w:rsidR="00121B7C">
        <w:rPr>
          <w:rFonts w:cs="Open Sans"/>
          <w:sz w:val="22"/>
          <w:szCs w:val="22"/>
        </w:rPr>
        <w:t>NU</w:t>
      </w:r>
      <w:r w:rsidRPr="00451B90">
        <w:rPr>
          <w:rFonts w:cs="Open Sans"/>
          <w:sz w:val="22"/>
          <w:szCs w:val="22"/>
        </w:rPr>
        <w:t xml:space="preserve">’s outstanding security matters, if placed into community detention, the Department could put more stringent reporting conditions on Mr </w:t>
      </w:r>
      <w:r w:rsidR="00121B7C">
        <w:rPr>
          <w:rFonts w:cs="Open Sans"/>
          <w:sz w:val="22"/>
          <w:szCs w:val="22"/>
        </w:rPr>
        <w:t>NU</w:t>
      </w:r>
      <w:r w:rsidRPr="00451B90">
        <w:rPr>
          <w:rFonts w:cs="Open Sans"/>
          <w:sz w:val="22"/>
          <w:szCs w:val="22"/>
        </w:rPr>
        <w:t xml:space="preserve"> …</w:t>
      </w:r>
    </w:p>
    <w:p w14:paraId="502DC94E" w14:textId="14906A23" w:rsidR="00903A38" w:rsidRPr="00451B90" w:rsidRDefault="00903A38" w:rsidP="00903A38">
      <w:pPr>
        <w:pStyle w:val="ListParagraph"/>
        <w:ind w:left="1440"/>
        <w:rPr>
          <w:rFonts w:cs="Open Sans"/>
          <w:sz w:val="22"/>
          <w:szCs w:val="22"/>
        </w:rPr>
      </w:pPr>
      <w:r w:rsidRPr="00451B90">
        <w:rPr>
          <w:rFonts w:cs="Open Sans"/>
          <w:sz w:val="22"/>
          <w:szCs w:val="22"/>
        </w:rPr>
        <w:t xml:space="preserve">Given the health concerns in Mr </w:t>
      </w:r>
      <w:r w:rsidR="00121B7C">
        <w:rPr>
          <w:rFonts w:cs="Open Sans"/>
          <w:sz w:val="22"/>
          <w:szCs w:val="22"/>
        </w:rPr>
        <w:t>NU</w:t>
      </w:r>
      <w:r w:rsidRPr="00451B90">
        <w:rPr>
          <w:rFonts w:cs="Open Sans"/>
          <w:sz w:val="22"/>
          <w:szCs w:val="22"/>
        </w:rPr>
        <w:t xml:space="preserve">’s case and the IHMS advice that his irrational behaviour is directly linked to his return to held immigration detention, it is likely that Mr </w:t>
      </w:r>
      <w:r w:rsidR="00121B7C">
        <w:rPr>
          <w:rFonts w:cs="Open Sans"/>
          <w:sz w:val="22"/>
          <w:szCs w:val="22"/>
        </w:rPr>
        <w:t>NU</w:t>
      </w:r>
      <w:r w:rsidRPr="00451B90">
        <w:rPr>
          <w:rFonts w:cs="Open Sans"/>
          <w:sz w:val="22"/>
          <w:szCs w:val="22"/>
        </w:rPr>
        <w:t>’s health condition will deteriorate ...</w:t>
      </w:r>
    </w:p>
    <w:p w14:paraId="079092A0" w14:textId="0A78800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Some behavioural incidents occurred in immigration detention between 2014 and 2015, including Mr </w:t>
      </w:r>
      <w:r w:rsidR="00121B7C">
        <w:rPr>
          <w:rFonts w:cs="Open Sans"/>
        </w:rPr>
        <w:t>NU</w:t>
      </w:r>
      <w:r w:rsidRPr="00451B90">
        <w:rPr>
          <w:rFonts w:cs="Open Sans"/>
        </w:rPr>
        <w:t xml:space="preserve"> being involved in physical altercations with other detainees, making threats to harm other detainees and detention staff, and allegedly attempting to recruit other detainees to fight for the Islamic State of Iraq and the Levant (ISIL) in Syria. However, on the information before the Commission, Mr </w:t>
      </w:r>
      <w:r w:rsidR="00121B7C">
        <w:rPr>
          <w:rFonts w:cs="Open Sans"/>
        </w:rPr>
        <w:t>NU</w:t>
      </w:r>
      <w:r w:rsidRPr="00451B90">
        <w:rPr>
          <w:rFonts w:cs="Open Sans"/>
        </w:rPr>
        <w:t xml:space="preserve"> has not been involved in any incident of significance in detention since April 2015. A certificate from Australian Border Force dated 22 June 2017 acknowledged his recent good behaviour in detention.</w:t>
      </w:r>
    </w:p>
    <w:p w14:paraId="5055BD12" w14:textId="40D59B0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25 August 2015, Mr </w:t>
      </w:r>
      <w:r w:rsidR="00121B7C">
        <w:rPr>
          <w:rFonts w:cs="Open Sans"/>
        </w:rPr>
        <w:t>NU</w:t>
      </w:r>
      <w:r w:rsidRPr="00451B90">
        <w:rPr>
          <w:rFonts w:cs="Open Sans"/>
        </w:rPr>
        <w:t xml:space="preserve"> lodged a TPV application.</w:t>
      </w:r>
    </w:p>
    <w:p w14:paraId="0443372E" w14:textId="1C4D9734"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12 July 2016, a qualified security assessment (QSA) was issued for Mr </w:t>
      </w:r>
      <w:r w:rsidR="00121B7C">
        <w:rPr>
          <w:rFonts w:cs="Open Sans"/>
        </w:rPr>
        <w:t>NU</w:t>
      </w:r>
      <w:r w:rsidRPr="00451B90">
        <w:rPr>
          <w:rFonts w:cs="Open Sans"/>
        </w:rPr>
        <w:t>. The QSA superseded a previous Adverse Security Assessment. A QSA indicates that the Australian Security Intelligence Organisation (ASIO) has identified potentially prejudicial information relevant to security, but that it does not recommend taking adverse administrative action, in this case to decline a visa application.</w:t>
      </w:r>
      <w:r w:rsidRPr="00451B90">
        <w:rPr>
          <w:rStyle w:val="EndnoteReference"/>
          <w:rFonts w:cs="Open Sans"/>
        </w:rPr>
        <w:endnoteReference w:id="37"/>
      </w:r>
      <w:r w:rsidRPr="00451B90">
        <w:rPr>
          <w:rFonts w:cs="Open Sans"/>
        </w:rPr>
        <w:t xml:space="preserve"> Mr </w:t>
      </w:r>
      <w:r w:rsidR="00121B7C">
        <w:rPr>
          <w:rFonts w:cs="Open Sans"/>
        </w:rPr>
        <w:t>NU</w:t>
      </w:r>
      <w:r w:rsidRPr="00451B90">
        <w:rPr>
          <w:rFonts w:cs="Open Sans"/>
        </w:rPr>
        <w:t xml:space="preserve">’s representative has submitted that the QSA indicates that ASIO does not consider that he is a risk to security, either directly or indirectly.  </w:t>
      </w:r>
    </w:p>
    <w:p w14:paraId="21A898CF" w14:textId="28704842"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5 August 2016, a combined ss 195A and 197AB submission was sent to the Minister for consideration. Notably, the Department recommended to the Minister that Mr </w:t>
      </w:r>
      <w:r w:rsidR="00121B7C">
        <w:rPr>
          <w:rFonts w:cs="Open Sans"/>
        </w:rPr>
        <w:t>NU</w:t>
      </w:r>
      <w:r w:rsidRPr="00451B90">
        <w:rPr>
          <w:rFonts w:cs="Open Sans"/>
        </w:rPr>
        <w:t xml:space="preserve"> be granted a bridging visa, as follows:</w:t>
      </w:r>
    </w:p>
    <w:p w14:paraId="5BFB0069" w14:textId="2F463AAD" w:rsidR="00903A38" w:rsidRPr="00451B90" w:rsidRDefault="00903A38" w:rsidP="00903A38">
      <w:pPr>
        <w:pStyle w:val="ListParagraph"/>
        <w:ind w:left="1440"/>
        <w:rPr>
          <w:rFonts w:cs="Open Sans"/>
          <w:sz w:val="22"/>
          <w:szCs w:val="22"/>
        </w:rPr>
      </w:pPr>
      <w:r w:rsidRPr="00451B90">
        <w:rPr>
          <w:rFonts w:cs="Open Sans"/>
          <w:sz w:val="22"/>
          <w:szCs w:val="22"/>
        </w:rPr>
        <w:t xml:space="preserve">[T]he Department recommends that you intervene under section 195A to grant Mr </w:t>
      </w:r>
      <w:r w:rsidR="00121B7C">
        <w:rPr>
          <w:rFonts w:cs="Open Sans"/>
          <w:sz w:val="22"/>
          <w:szCs w:val="22"/>
        </w:rPr>
        <w:t>NU</w:t>
      </w:r>
      <w:r w:rsidRPr="00451B90">
        <w:rPr>
          <w:rFonts w:cs="Open Sans"/>
          <w:sz w:val="22"/>
          <w:szCs w:val="22"/>
        </w:rPr>
        <w:t xml:space="preserve"> a temporary visa and facilitate his release from held immigration detention. The Department considers the grant of a BVE in association with his ongoing TPV application as the most appropriate option.</w:t>
      </w:r>
    </w:p>
    <w:p w14:paraId="474B935C"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 September 2016, the </w:t>
      </w:r>
      <w:r>
        <w:rPr>
          <w:rFonts w:cs="Open Sans"/>
        </w:rPr>
        <w:t xml:space="preserve">then </w:t>
      </w:r>
      <w:r w:rsidRPr="00451B90">
        <w:rPr>
          <w:rFonts w:cs="Open Sans"/>
        </w:rPr>
        <w:t>Minister made a decision to decline to intervene under s 195A, and made a decision not to consider intervening under s 197AB.</w:t>
      </w:r>
    </w:p>
    <w:p w14:paraId="39611ABF" w14:textId="07DA3B2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lastRenderedPageBreak/>
        <w:t xml:space="preserve">On 27 June 2016, Mr </w:t>
      </w:r>
      <w:r w:rsidR="00121B7C">
        <w:rPr>
          <w:rFonts w:cs="Open Sans"/>
        </w:rPr>
        <w:t>NU</w:t>
      </w:r>
      <w:r w:rsidRPr="00451B90">
        <w:rPr>
          <w:rFonts w:cs="Open Sans"/>
        </w:rPr>
        <w:t xml:space="preserve"> withdrew his prior TPV application and lodged a new TPV application. On 29 November 2016, Mr </w:t>
      </w:r>
      <w:r w:rsidR="00121B7C">
        <w:rPr>
          <w:rFonts w:cs="Open Sans"/>
        </w:rPr>
        <w:t>NU</w:t>
      </w:r>
      <w:r w:rsidRPr="00451B90">
        <w:rPr>
          <w:rFonts w:cs="Open Sans"/>
        </w:rPr>
        <w:t xml:space="preserve"> was referred for a character assessment under s 501 of the Migration Act. </w:t>
      </w:r>
    </w:p>
    <w:p w14:paraId="5D4BE18F" w14:textId="1D639DA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16 June 2017, the UN Working Group published Opinion 28/2017 regarding Mr </w:t>
      </w:r>
      <w:r w:rsidR="00121B7C">
        <w:rPr>
          <w:rFonts w:cs="Open Sans"/>
        </w:rPr>
        <w:t>NU</w:t>
      </w:r>
      <w:r w:rsidRPr="00451B90">
        <w:rPr>
          <w:rFonts w:cs="Open Sans"/>
        </w:rPr>
        <w:t>’s case.</w:t>
      </w:r>
      <w:r w:rsidRPr="00C414AE">
        <w:rPr>
          <w:rStyle w:val="EndnoteReference"/>
          <w:rFonts w:cs="Open Sans"/>
        </w:rPr>
        <w:endnoteReference w:id="38"/>
      </w:r>
      <w:r w:rsidRPr="00451B90">
        <w:rPr>
          <w:rFonts w:cs="Open Sans"/>
        </w:rPr>
        <w:t xml:space="preserve"> The UN Working Group found that Mr </w:t>
      </w:r>
      <w:r w:rsidR="00121B7C">
        <w:rPr>
          <w:rFonts w:cs="Open Sans"/>
        </w:rPr>
        <w:t>NU</w:t>
      </w:r>
      <w:r w:rsidRPr="00451B90">
        <w:rPr>
          <w:rFonts w:cs="Open Sans"/>
        </w:rPr>
        <w:t xml:space="preserve">’s detention was </w:t>
      </w:r>
      <w:r w:rsidRPr="00451B90">
        <w:rPr>
          <w:rFonts w:cs="Open Sans"/>
          <w:i/>
          <w:iCs/>
        </w:rPr>
        <w:t>prima facie</w:t>
      </w:r>
      <w:r w:rsidRPr="00451B90">
        <w:rPr>
          <w:rFonts w:cs="Open Sans"/>
        </w:rPr>
        <w:t xml:space="preserve"> arbitrary, and in contravention of articles 9, 16 and 26 of the ICCPR.</w:t>
      </w:r>
      <w:r>
        <w:rPr>
          <w:rStyle w:val="EndnoteReference"/>
          <w:rFonts w:cs="Open Sans"/>
        </w:rPr>
        <w:endnoteReference w:id="39"/>
      </w:r>
      <w:r w:rsidRPr="00451B90">
        <w:rPr>
          <w:rFonts w:cs="Open Sans"/>
        </w:rPr>
        <w:t xml:space="preserve"> Notably, the Government did not provide a response to the complaint within time, so its reply was not accepted or considered by the UN Working Group.</w:t>
      </w:r>
    </w:p>
    <w:p w14:paraId="4319126D" w14:textId="11285D3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UN Working Group recommended that Australia ‘take the steps necessary to remedy the situation of Mr </w:t>
      </w:r>
      <w:r w:rsidR="00121B7C">
        <w:rPr>
          <w:rFonts w:cs="Open Sans"/>
        </w:rPr>
        <w:t>NU</w:t>
      </w:r>
      <w:r w:rsidRPr="00451B90">
        <w:rPr>
          <w:rFonts w:cs="Open Sans"/>
        </w:rPr>
        <w:t xml:space="preserve"> without delay and bring it into conformity with the standards and principles set forth in the international norms on detention...’.</w:t>
      </w:r>
      <w:r>
        <w:rPr>
          <w:rStyle w:val="EndnoteReference"/>
          <w:rFonts w:cs="Open Sans"/>
        </w:rPr>
        <w:endnoteReference w:id="40"/>
      </w:r>
      <w:r w:rsidRPr="00451B90">
        <w:rPr>
          <w:rFonts w:cs="Open Sans"/>
        </w:rPr>
        <w:t xml:space="preserve"> It considered that Mr </w:t>
      </w:r>
      <w:r w:rsidR="00121B7C">
        <w:rPr>
          <w:rFonts w:cs="Open Sans"/>
        </w:rPr>
        <w:t>NU</w:t>
      </w:r>
      <w:r w:rsidRPr="00451B90">
        <w:rPr>
          <w:rFonts w:cs="Open Sans"/>
        </w:rPr>
        <w:t>’s immediate release and affording him an enforceable right to compensation and other reparations was an appropriate remedy.</w:t>
      </w:r>
    </w:p>
    <w:p w14:paraId="33E4B385" w14:textId="5A0B4E14"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7 August 2017, a Notice of Intention to Consider Refusal (NOICR) of Mr </w:t>
      </w:r>
      <w:r w:rsidR="00121B7C">
        <w:rPr>
          <w:rFonts w:cs="Open Sans"/>
        </w:rPr>
        <w:t>NU</w:t>
      </w:r>
      <w:r w:rsidRPr="00451B90">
        <w:rPr>
          <w:rFonts w:cs="Open Sans"/>
        </w:rPr>
        <w:t xml:space="preserve">’s TPV application was issued, inviting Mr </w:t>
      </w:r>
      <w:r w:rsidR="00121B7C">
        <w:rPr>
          <w:rFonts w:cs="Open Sans"/>
        </w:rPr>
        <w:t>NU</w:t>
      </w:r>
      <w:r w:rsidRPr="00451B90">
        <w:rPr>
          <w:rFonts w:cs="Open Sans"/>
        </w:rPr>
        <w:t xml:space="preserve"> to comment or provide information on any factors he believed to be relevant to whether he passes the character test or relevant as to why his visa application should not be refused. </w:t>
      </w:r>
    </w:p>
    <w:p w14:paraId="67C7B993" w14:textId="5E5F807D"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4 September 2017, Mr </w:t>
      </w:r>
      <w:r w:rsidR="00121B7C">
        <w:rPr>
          <w:rFonts w:cs="Open Sans"/>
        </w:rPr>
        <w:t>NU</w:t>
      </w:r>
      <w:r w:rsidRPr="00451B90">
        <w:rPr>
          <w:rFonts w:cs="Open Sans"/>
        </w:rPr>
        <w:t xml:space="preserve"> provided a response to the NOICR. The response state</w:t>
      </w:r>
      <w:r>
        <w:rPr>
          <w:rFonts w:cs="Open Sans"/>
        </w:rPr>
        <w:t>d</w:t>
      </w:r>
      <w:r w:rsidRPr="00451B90">
        <w:rPr>
          <w:rFonts w:cs="Open Sans"/>
        </w:rPr>
        <w:t xml:space="preserve"> that his conduct during the period of January 2014 to April 2015 was a result of an acute period of his bipolar affective disorder. It state</w:t>
      </w:r>
      <w:r>
        <w:rPr>
          <w:rFonts w:cs="Open Sans"/>
        </w:rPr>
        <w:t>d</w:t>
      </w:r>
      <w:r w:rsidRPr="00451B90">
        <w:rPr>
          <w:rFonts w:cs="Open Sans"/>
        </w:rPr>
        <w:t xml:space="preserve"> that incidents in detention were provoked and that Mr </w:t>
      </w:r>
      <w:r w:rsidR="00121B7C">
        <w:rPr>
          <w:rFonts w:cs="Open Sans"/>
        </w:rPr>
        <w:t>NU</w:t>
      </w:r>
      <w:r w:rsidRPr="00451B90">
        <w:rPr>
          <w:rFonts w:cs="Open Sans"/>
        </w:rPr>
        <w:t xml:space="preserve"> has never perpetrated any harm or violence against any person. </w:t>
      </w:r>
    </w:p>
    <w:p w14:paraId="560B0699" w14:textId="77777777" w:rsidR="0019048E" w:rsidRDefault="00903A38" w:rsidP="00C84572">
      <w:pPr>
        <w:numPr>
          <w:ilvl w:val="0"/>
          <w:numId w:val="21"/>
        </w:numPr>
        <w:tabs>
          <w:tab w:val="clear" w:pos="720"/>
          <w:tab w:val="num" w:pos="862"/>
        </w:tabs>
        <w:ind w:left="862" w:hanging="862"/>
        <w:rPr>
          <w:rFonts w:cs="Open Sans"/>
        </w:rPr>
      </w:pPr>
      <w:r w:rsidRPr="00451B90">
        <w:rPr>
          <w:rFonts w:cs="Open Sans"/>
        </w:rPr>
        <w:t xml:space="preserve">Mr </w:t>
      </w:r>
      <w:r w:rsidR="00121B7C">
        <w:rPr>
          <w:rFonts w:cs="Open Sans"/>
        </w:rPr>
        <w:t>NU</w:t>
      </w:r>
      <w:r w:rsidRPr="00451B90">
        <w:rPr>
          <w:rFonts w:cs="Open Sans"/>
        </w:rPr>
        <w:t xml:space="preserve"> has also stated that, in relation to the January 2014 incident, he was ‘particularly manic’ after hearing that his mother had died, and had experienced hallucinations. He stated that</w:t>
      </w:r>
      <w:r w:rsidR="0019048E">
        <w:rPr>
          <w:rFonts w:cs="Open Sans"/>
        </w:rPr>
        <w:t>:</w:t>
      </w:r>
    </w:p>
    <w:p w14:paraId="74272872" w14:textId="19A7FF64" w:rsidR="00903A38" w:rsidRPr="007A23D3" w:rsidRDefault="0019048E" w:rsidP="007A23D3">
      <w:pPr>
        <w:ind w:left="1440"/>
        <w:rPr>
          <w:rFonts w:cs="Open Sans"/>
          <w:sz w:val="22"/>
          <w:szCs w:val="22"/>
        </w:rPr>
      </w:pPr>
      <w:r w:rsidRPr="007A23D3">
        <w:rPr>
          <w:rFonts w:cs="Open Sans"/>
          <w:sz w:val="22"/>
          <w:szCs w:val="22"/>
        </w:rPr>
        <w:t>D</w:t>
      </w:r>
      <w:r w:rsidR="00903A38" w:rsidRPr="007A23D3">
        <w:rPr>
          <w:rFonts w:cs="Open Sans"/>
          <w:sz w:val="22"/>
          <w:szCs w:val="22"/>
        </w:rPr>
        <w:t>uring the course of 2014–2015, my mental health was so severe that I was hospitalised on three occasions … During these periods my behaviour was sometimes religiously themed … The deterioration in my mental health was due to the extreme stress in my life and was the only time that I had experienced episodes like this. My mental health is now being managed effectively and I have not suffered from any episodes since April 2015’. He stated that he has never had ‘links to Al Qaeda, Osama Bin Laden, ISIL or any other religious group or organisation operating in Australia, Syria or any other country.</w:t>
      </w:r>
    </w:p>
    <w:p w14:paraId="1D479AC6" w14:textId="27D71A83"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lastRenderedPageBreak/>
        <w:t xml:space="preserve">The Department and its service providers, in particular IHMS, are aware of Mr </w:t>
      </w:r>
      <w:r w:rsidR="00121B7C">
        <w:rPr>
          <w:rFonts w:cs="Open Sans"/>
        </w:rPr>
        <w:t>NU</w:t>
      </w:r>
      <w:r w:rsidRPr="00451B90">
        <w:rPr>
          <w:rFonts w:cs="Open Sans"/>
        </w:rPr>
        <w:t xml:space="preserve">’s complex mental health needs, including his bipolar affective disorder, and how it has been exacerbated at times by being held in closed detention. During his detention, Mr </w:t>
      </w:r>
      <w:r w:rsidR="00121B7C">
        <w:rPr>
          <w:rFonts w:cs="Open Sans"/>
        </w:rPr>
        <w:t>NU</w:t>
      </w:r>
      <w:r w:rsidRPr="00451B90">
        <w:rPr>
          <w:rFonts w:cs="Open Sans"/>
        </w:rPr>
        <w:t xml:space="preserve"> has been admitted to Banks House</w:t>
      </w:r>
      <w:r>
        <w:rPr>
          <w:rFonts w:cs="Open Sans"/>
        </w:rPr>
        <w:t>, a mental health inpatient unit,</w:t>
      </w:r>
      <w:r w:rsidRPr="00451B90">
        <w:rPr>
          <w:rFonts w:cs="Open Sans"/>
        </w:rPr>
        <w:t xml:space="preserve"> several times for treatment.</w:t>
      </w:r>
    </w:p>
    <w:p w14:paraId="5F094D0F" w14:textId="65039851"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17 March 2014, an IHMS psychiatrist found that Mr </w:t>
      </w:r>
      <w:r w:rsidR="00121B7C">
        <w:rPr>
          <w:rFonts w:cs="Open Sans"/>
        </w:rPr>
        <w:t>NU</w:t>
      </w:r>
      <w:r w:rsidRPr="00451B90">
        <w:rPr>
          <w:rFonts w:cs="Open Sans"/>
        </w:rPr>
        <w:t xml:space="preserve">’s ‘irrational behaviour was a result of moving back to the detention centre environment’. On 20 August 2014, an IHMS </w:t>
      </w:r>
      <w:r>
        <w:rPr>
          <w:rFonts w:cs="Open Sans"/>
        </w:rPr>
        <w:t>p</w:t>
      </w:r>
      <w:r w:rsidRPr="00451B90">
        <w:rPr>
          <w:rFonts w:cs="Open Sans"/>
        </w:rPr>
        <w:t xml:space="preserve">sychiatrist recommended that the most appropriate placement for Mr </w:t>
      </w:r>
      <w:r w:rsidR="00121B7C">
        <w:rPr>
          <w:rFonts w:cs="Open Sans"/>
        </w:rPr>
        <w:t>NU</w:t>
      </w:r>
      <w:r w:rsidRPr="00451B90">
        <w:rPr>
          <w:rFonts w:cs="Open Sans"/>
        </w:rPr>
        <w:t xml:space="preserve"> was a community setting. The IHMS report concludes that Mr </w:t>
      </w:r>
      <w:r w:rsidR="00121B7C">
        <w:rPr>
          <w:rFonts w:cs="Open Sans"/>
        </w:rPr>
        <w:t>NU</w:t>
      </w:r>
      <w:r w:rsidRPr="00451B90">
        <w:rPr>
          <w:rFonts w:cs="Open Sans"/>
        </w:rPr>
        <w:t xml:space="preserve">’s irrational behaviour is ‘directly linked to his return to held immigration detention’. IHMS advised that ‘the detention environment was not appropriate or conducive to Mr </w:t>
      </w:r>
      <w:r w:rsidR="00121B7C">
        <w:rPr>
          <w:rFonts w:cs="Open Sans"/>
        </w:rPr>
        <w:t>NU</w:t>
      </w:r>
      <w:r w:rsidRPr="00451B90">
        <w:rPr>
          <w:rFonts w:cs="Open Sans"/>
        </w:rPr>
        <w:t>’s major mental health condition’.</w:t>
      </w:r>
    </w:p>
    <w:p w14:paraId="02DE1BF5" w14:textId="12F314EF"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5 November 2014, an IHMS psychiatrist advised that Mr </w:t>
      </w:r>
      <w:r w:rsidR="00121B7C">
        <w:rPr>
          <w:rFonts w:cs="Open Sans"/>
        </w:rPr>
        <w:t>NU</w:t>
      </w:r>
      <w:r w:rsidRPr="00451B90">
        <w:rPr>
          <w:rFonts w:cs="Open Sans"/>
        </w:rPr>
        <w:t xml:space="preserve"> may experience some dissociative symptoms due to his ‘difficult situation and anxiety’. On 29 January 2015, IHMS stated that Mr </w:t>
      </w:r>
      <w:r w:rsidR="00121B7C">
        <w:rPr>
          <w:rFonts w:cs="Open Sans"/>
        </w:rPr>
        <w:t>NU</w:t>
      </w:r>
      <w:r w:rsidRPr="00451B90">
        <w:rPr>
          <w:rFonts w:cs="Open Sans"/>
        </w:rPr>
        <w:t xml:space="preserve">’s health needs could be managed on a bridging visa. In April 2016, IHMS reiterated the recommendation by Mr </w:t>
      </w:r>
      <w:r w:rsidR="00121B7C">
        <w:rPr>
          <w:rFonts w:cs="Open Sans"/>
        </w:rPr>
        <w:t>NU</w:t>
      </w:r>
      <w:r w:rsidRPr="00451B90">
        <w:rPr>
          <w:rFonts w:cs="Open Sans"/>
        </w:rPr>
        <w:t>’s psychiatrist that he should be placed in community detention.</w:t>
      </w:r>
    </w:p>
    <w:p w14:paraId="1DE341E0" w14:textId="5AD18042"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 August 2016, Mr </w:t>
      </w:r>
      <w:r w:rsidR="00121B7C">
        <w:rPr>
          <w:rFonts w:cs="Open Sans"/>
        </w:rPr>
        <w:t>NU</w:t>
      </w:r>
      <w:r w:rsidRPr="00451B90">
        <w:rPr>
          <w:rFonts w:cs="Open Sans"/>
        </w:rPr>
        <w:t xml:space="preserve">’s treating psychiatrist advised that should Mr </w:t>
      </w:r>
      <w:r w:rsidR="00121B7C">
        <w:rPr>
          <w:rFonts w:cs="Open Sans"/>
        </w:rPr>
        <w:t>NU</w:t>
      </w:r>
      <w:r w:rsidRPr="00451B90">
        <w:rPr>
          <w:rFonts w:cs="Open Sans"/>
        </w:rPr>
        <w:t xml:space="preserve"> be placed in community detention or granted a bridging visa he would require mental health support including a referral to a mental health service, to be assessed by a psychiatrist and to be monitored for depression.</w:t>
      </w:r>
    </w:p>
    <w:p w14:paraId="3262E6E0" w14:textId="207E7575"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 note that, despite this advice from a medical professional, this recommendation does not appear to have been recorded in case reviews by the Department of Mr </w:t>
      </w:r>
      <w:r w:rsidR="00121B7C">
        <w:rPr>
          <w:rFonts w:cs="Open Sans"/>
        </w:rPr>
        <w:t>NU</w:t>
      </w:r>
      <w:r w:rsidRPr="00451B90">
        <w:rPr>
          <w:rFonts w:cs="Open Sans"/>
        </w:rPr>
        <w:t xml:space="preserve">. Rather, a case review dated 25 May 2018 states the contrary that ‘Mr </w:t>
      </w:r>
      <w:r w:rsidR="00121B7C">
        <w:rPr>
          <w:rFonts w:cs="Open Sans"/>
        </w:rPr>
        <w:t>NU</w:t>
      </w:r>
      <w:r w:rsidRPr="00451B90">
        <w:rPr>
          <w:rFonts w:cs="Open Sans"/>
        </w:rPr>
        <w:t>’s ongoing detention remains appropriate … No stakeholders have raised any health or welfare issues which warrant referral for an alternative placement’.</w:t>
      </w:r>
    </w:p>
    <w:p w14:paraId="173FE835" w14:textId="217D229A"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28 November 2017, a case officer decided that Mr </w:t>
      </w:r>
      <w:r w:rsidR="00121B7C">
        <w:rPr>
          <w:rFonts w:cs="Open Sans"/>
        </w:rPr>
        <w:t>NU</w:t>
      </w:r>
      <w:r w:rsidRPr="00451B90">
        <w:rPr>
          <w:rFonts w:cs="Open Sans"/>
        </w:rPr>
        <w:t xml:space="preserve"> did not meet the s 197AB intervention guidelines for referral to the Minister. However, the assessment also recognised that there were ‘unique and exceptional circumstances’ and health considerations relevant to the grant of a residence determination. </w:t>
      </w:r>
    </w:p>
    <w:p w14:paraId="09BC0203" w14:textId="734FF88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assessment states that ‘Mr </w:t>
      </w:r>
      <w:r w:rsidR="00121B7C">
        <w:rPr>
          <w:rFonts w:cs="Open Sans"/>
        </w:rPr>
        <w:t>NU</w:t>
      </w:r>
      <w:r w:rsidRPr="00451B90">
        <w:rPr>
          <w:rFonts w:cs="Open Sans"/>
        </w:rPr>
        <w:t xml:space="preserve">’s case may fall within the scope of [the s 197AB guidelines] criteria … However, there are issues relating to his case which indicate that his case may also fall within the types of case which the Minister does not wish to have referred’. The three identified issues are that Mr </w:t>
      </w:r>
      <w:r w:rsidR="00121B7C">
        <w:rPr>
          <w:rFonts w:cs="Open Sans"/>
        </w:rPr>
        <w:t>NU</w:t>
      </w:r>
      <w:r w:rsidRPr="00451B90">
        <w:rPr>
          <w:rFonts w:cs="Open Sans"/>
        </w:rPr>
        <w:t xml:space="preserve"> may fail the character test (noting that at that time </w:t>
      </w:r>
      <w:r w:rsidRPr="00451B90">
        <w:rPr>
          <w:rFonts w:cs="Open Sans"/>
        </w:rPr>
        <w:lastRenderedPageBreak/>
        <w:t xml:space="preserve">his TPV application was under consideration), that there was a ‘real chance’ that he may not comply with conditions specified in a determination or cause harm to the Australian community, and that the UN Working Group provided an opinion that his detention was arbitrary but the Department was ‘currently disputing the WGADs opinion and there is also an ongoing consideration of his case under s 501’. The recommendation made was that Mr </w:t>
      </w:r>
      <w:r w:rsidR="00121B7C">
        <w:rPr>
          <w:rFonts w:cs="Open Sans"/>
        </w:rPr>
        <w:t>NU</w:t>
      </w:r>
      <w:r w:rsidRPr="00451B90">
        <w:rPr>
          <w:rFonts w:cs="Open Sans"/>
        </w:rPr>
        <w:t>’s case did not currently fall within the guidelines, but that the Department would ‘monitor and reassess following [the] outcome of [a section] 501 consideration’.</w:t>
      </w:r>
    </w:p>
    <w:p w14:paraId="0CA5EEE1" w14:textId="15F11631" w:rsidR="00903A38" w:rsidRPr="00451B90" w:rsidRDefault="00903A38" w:rsidP="00C84572">
      <w:pPr>
        <w:numPr>
          <w:ilvl w:val="0"/>
          <w:numId w:val="21"/>
        </w:numPr>
        <w:tabs>
          <w:tab w:val="clear" w:pos="720"/>
          <w:tab w:val="num" w:pos="862"/>
        </w:tabs>
        <w:ind w:left="862" w:hanging="862"/>
        <w:rPr>
          <w:rFonts w:cs="Open Sans"/>
        </w:rPr>
      </w:pPr>
      <w:bookmarkStart w:id="58" w:name="_Hlk23429519"/>
      <w:r w:rsidRPr="00451B90">
        <w:rPr>
          <w:rFonts w:cs="Open Sans"/>
        </w:rPr>
        <w:t xml:space="preserve">On 4 February 2019, the </w:t>
      </w:r>
      <w:r>
        <w:rPr>
          <w:rFonts w:cs="Open Sans"/>
        </w:rPr>
        <w:t xml:space="preserve">then </w:t>
      </w:r>
      <w:r w:rsidRPr="00451B90">
        <w:rPr>
          <w:rFonts w:cs="Open Sans"/>
        </w:rPr>
        <w:t xml:space="preserve">Minister decided not to grant Mr </w:t>
      </w:r>
      <w:r w:rsidR="00121B7C">
        <w:rPr>
          <w:rFonts w:cs="Open Sans"/>
        </w:rPr>
        <w:t>NU</w:t>
      </w:r>
      <w:r w:rsidRPr="00451B90">
        <w:rPr>
          <w:rFonts w:cs="Open Sans"/>
        </w:rPr>
        <w:t xml:space="preserve"> a TPV on the basis that, although he was accepted as a person to whom Australia has </w:t>
      </w:r>
      <w:r w:rsidRPr="00451B90">
        <w:rPr>
          <w:rFonts w:cs="Open Sans"/>
          <w:i/>
          <w:iCs/>
        </w:rPr>
        <w:t>non-refoulement</w:t>
      </w:r>
      <w:r w:rsidRPr="00451B90">
        <w:rPr>
          <w:rFonts w:cs="Open Sans"/>
        </w:rPr>
        <w:t xml:space="preserve"> obligations, the Minister considered that he did not pass the character test under s 501(6)(d)(v). </w:t>
      </w:r>
    </w:p>
    <w:bookmarkEnd w:id="58"/>
    <w:p w14:paraId="54C9F3A5"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Section 501(6)(d)(v) provides that a person does not pass the character test if, in the event that they were allowed to remain in Australia, there is a risk that the person would ‘represent a danger to the Australian community or to a segment of that community, whether by way of being liable to become involved in activities that are disruptive to, or in violence threatening harm to, that community or segment, or in any other way’. </w:t>
      </w:r>
    </w:p>
    <w:p w14:paraId="6294ECD6" w14:textId="5256CF48"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While the Minister accepted that Mr </w:t>
      </w:r>
      <w:r w:rsidR="00121B7C">
        <w:rPr>
          <w:rFonts w:cs="Open Sans"/>
        </w:rPr>
        <w:t>NU</w:t>
      </w:r>
      <w:r w:rsidRPr="00451B90">
        <w:rPr>
          <w:rFonts w:cs="Open Sans"/>
        </w:rPr>
        <w:t>’s conduct had resulted from his bipolar disorder, that he had not been involved in any incident of significance since April 2015, had been recognised for recent good behaviour in immigration detention, that his threat to the community is low, and that his mental health has improved, the reasons for decision state that a risk remains:</w:t>
      </w:r>
    </w:p>
    <w:p w14:paraId="15BBAB8F" w14:textId="7923E046" w:rsidR="00903A38" w:rsidRPr="001A55D2" w:rsidRDefault="00903A38" w:rsidP="001A55D2">
      <w:pPr>
        <w:pStyle w:val="ListParagraph"/>
        <w:ind w:left="1440"/>
        <w:rPr>
          <w:rFonts w:cs="Open Sans"/>
          <w:sz w:val="22"/>
          <w:szCs w:val="22"/>
        </w:rPr>
      </w:pPr>
      <w:r w:rsidRPr="00451B90">
        <w:rPr>
          <w:rFonts w:cs="Open Sans"/>
          <w:sz w:val="22"/>
          <w:szCs w:val="22"/>
        </w:rPr>
        <w:t xml:space="preserve">Although I consider there is a low likelihood of Mr </w:t>
      </w:r>
      <w:r w:rsidR="00121B7C">
        <w:rPr>
          <w:rFonts w:cs="Open Sans"/>
          <w:sz w:val="22"/>
          <w:szCs w:val="22"/>
        </w:rPr>
        <w:t>NU</w:t>
      </w:r>
      <w:r w:rsidRPr="00451B90">
        <w:rPr>
          <w:rFonts w:cs="Open Sans"/>
          <w:sz w:val="22"/>
          <w:szCs w:val="22"/>
        </w:rPr>
        <w:t xml:space="preserve"> carrying out his threats, I consider it to be more than a minimal or remote change …</w:t>
      </w:r>
    </w:p>
    <w:p w14:paraId="3A4C23E8" w14:textId="55591A49" w:rsidR="00903A38" w:rsidRPr="001A55D2" w:rsidRDefault="00903A38" w:rsidP="001A55D2">
      <w:pPr>
        <w:pStyle w:val="ListParagraph"/>
        <w:ind w:left="1440"/>
        <w:rPr>
          <w:rFonts w:cs="Open Sans"/>
          <w:sz w:val="22"/>
          <w:szCs w:val="22"/>
        </w:rPr>
      </w:pPr>
      <w:r w:rsidRPr="00451B90">
        <w:rPr>
          <w:rFonts w:cs="Open Sans"/>
          <w:sz w:val="22"/>
          <w:szCs w:val="22"/>
        </w:rPr>
        <w:t xml:space="preserve">… I have found that there remains a risk that [the applicant] would represent a danger to the Australian community by way of being liable to become involved in activities that are disruptive to, or in violence threatening harm to, the Australian community. In coming to this conclusion, I considered that the pattern of behaviour he has exhibited, including his threats to blow himself up in January 2014 and April 2015, his repeated claims of association with extremist groups and the threats he made to other detainees and Serco staff while in detention, are of significant concern. I have found that, even if his claims about his associations with extremist groups are not true, the very fact that [the applicant] has repeatedly made those claims may demonstrate an ideology of security concern, which I take seriously particularly given the </w:t>
      </w:r>
      <w:r w:rsidRPr="00451B90">
        <w:rPr>
          <w:rFonts w:cs="Open Sans"/>
          <w:sz w:val="22"/>
          <w:szCs w:val="22"/>
        </w:rPr>
        <w:lastRenderedPageBreak/>
        <w:t>current global context. In this regard, I have also considered the non-disclosable information.</w:t>
      </w:r>
    </w:p>
    <w:p w14:paraId="268FCB01" w14:textId="5CFD56D9" w:rsidR="00903A38" w:rsidRPr="00451B90" w:rsidRDefault="00903A38" w:rsidP="001A55D2">
      <w:pPr>
        <w:pStyle w:val="ListParagraph"/>
        <w:ind w:left="1440"/>
        <w:rPr>
          <w:rFonts w:cs="Open Sans"/>
          <w:sz w:val="22"/>
          <w:szCs w:val="22"/>
        </w:rPr>
      </w:pPr>
      <w:r w:rsidRPr="00451B90">
        <w:rPr>
          <w:rFonts w:cs="Open Sans"/>
          <w:sz w:val="22"/>
          <w:szCs w:val="22"/>
        </w:rPr>
        <w:t>…</w:t>
      </w:r>
      <w:r w:rsidRPr="00451B90">
        <w:rPr>
          <w:rFonts w:cs="Open Sans"/>
        </w:rPr>
        <w:t xml:space="preserve"> </w:t>
      </w:r>
      <w:r w:rsidRPr="00451B90">
        <w:rPr>
          <w:rFonts w:cs="Open Sans"/>
          <w:sz w:val="22"/>
          <w:szCs w:val="22"/>
        </w:rPr>
        <w:t xml:space="preserve">I found that the Australian community could be exposed to significant harm should Mr </w:t>
      </w:r>
      <w:r w:rsidR="00121B7C">
        <w:rPr>
          <w:rFonts w:cs="Open Sans"/>
          <w:sz w:val="22"/>
          <w:szCs w:val="22"/>
        </w:rPr>
        <w:t>NU</w:t>
      </w:r>
      <w:r w:rsidRPr="00451B90">
        <w:rPr>
          <w:rFonts w:cs="Open Sans"/>
          <w:sz w:val="22"/>
          <w:szCs w:val="22"/>
        </w:rPr>
        <w:t xml:space="preserve"> engage in conduct similar to that threatened. I could not rule out the possibility of Mr </w:t>
      </w:r>
      <w:r w:rsidR="00121B7C">
        <w:rPr>
          <w:rFonts w:cs="Open Sans"/>
          <w:sz w:val="22"/>
          <w:szCs w:val="22"/>
        </w:rPr>
        <w:t>NU</w:t>
      </w:r>
      <w:r w:rsidRPr="00451B90">
        <w:rPr>
          <w:rFonts w:cs="Open Sans"/>
          <w:sz w:val="22"/>
          <w:szCs w:val="22"/>
        </w:rPr>
        <w:t xml:space="preserve"> engaging in serious conduct akin to that threatened. I have found that the potential harm is so great that any likelihood that it would occur represents a significant risk to the Australian community.</w:t>
      </w:r>
    </w:p>
    <w:p w14:paraId="756BA247" w14:textId="21C4B01A" w:rsidR="00903A38" w:rsidRPr="00451B90" w:rsidRDefault="00903A38" w:rsidP="00903A38">
      <w:pPr>
        <w:pStyle w:val="ListParagraph"/>
        <w:ind w:left="862"/>
        <w:rPr>
          <w:rFonts w:cs="Open Sans"/>
        </w:rPr>
      </w:pPr>
      <w:bookmarkStart w:id="59" w:name="_Hlk23429501"/>
      <w:r w:rsidRPr="00451B90">
        <w:rPr>
          <w:rFonts w:cs="Open Sans"/>
        </w:rPr>
        <w:t xml:space="preserve">The reasons for decision </w:t>
      </w:r>
      <w:bookmarkStart w:id="60" w:name="_Hlk23511510"/>
      <w:r w:rsidRPr="00451B90">
        <w:rPr>
          <w:rFonts w:cs="Open Sans"/>
        </w:rPr>
        <w:t xml:space="preserve">also recognise that ‘there is currently no known prospect of removal to any other country’ and that Mr </w:t>
      </w:r>
      <w:r w:rsidR="00121B7C">
        <w:rPr>
          <w:rFonts w:cs="Open Sans"/>
        </w:rPr>
        <w:t>NU</w:t>
      </w:r>
      <w:r w:rsidRPr="00451B90">
        <w:rPr>
          <w:rFonts w:cs="Open Sans"/>
        </w:rPr>
        <w:t xml:space="preserve"> faces a ‘risk of indefinite detention’. </w:t>
      </w:r>
      <w:bookmarkEnd w:id="60"/>
    </w:p>
    <w:p w14:paraId="3D3D717C" w14:textId="6F68FCB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Notably, the reasons for decision state that the </w:t>
      </w:r>
      <w:r>
        <w:rPr>
          <w:rFonts w:cs="Open Sans"/>
        </w:rPr>
        <w:t xml:space="preserve">then </w:t>
      </w:r>
      <w:r w:rsidRPr="00451B90">
        <w:rPr>
          <w:rFonts w:cs="Open Sans"/>
        </w:rPr>
        <w:t xml:space="preserve">Minister relied on ‘non-disclosable’ information in assessing Mr </w:t>
      </w:r>
      <w:r w:rsidR="00121B7C">
        <w:rPr>
          <w:rFonts w:cs="Open Sans"/>
        </w:rPr>
        <w:t>NU</w:t>
      </w:r>
      <w:r w:rsidRPr="00451B90">
        <w:rPr>
          <w:rFonts w:cs="Open Sans"/>
        </w:rPr>
        <w:t xml:space="preserve">’s level of risk. They state that ‘[t]his information is relevant in considering the application of the </w:t>
      </w:r>
      <w:r w:rsidR="00C50EE3">
        <w:rPr>
          <w:rFonts w:cs="Open Sans"/>
        </w:rPr>
        <w:t>”</w:t>
      </w:r>
      <w:r w:rsidRPr="00451B90">
        <w:rPr>
          <w:rFonts w:cs="Open Sans"/>
        </w:rPr>
        <w:t xml:space="preserve">character </w:t>
      </w:r>
      <w:r w:rsidR="00C50EE3" w:rsidRPr="00451B90">
        <w:rPr>
          <w:rFonts w:cs="Open Sans"/>
        </w:rPr>
        <w:t>test</w:t>
      </w:r>
      <w:r w:rsidR="00C50EE3">
        <w:rPr>
          <w:rFonts w:cs="Open Sans"/>
        </w:rPr>
        <w:t>”</w:t>
      </w:r>
      <w:r w:rsidR="00C50EE3" w:rsidRPr="00451B90">
        <w:rPr>
          <w:rFonts w:cs="Open Sans"/>
        </w:rPr>
        <w:t xml:space="preserve"> </w:t>
      </w:r>
      <w:r w:rsidRPr="00451B90">
        <w:rPr>
          <w:rFonts w:cs="Open Sans"/>
        </w:rPr>
        <w:t>… and in the exercise of my residual discretion as to whether to refuse the visa’.</w:t>
      </w:r>
    </w:p>
    <w:p w14:paraId="793766E7"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‘Non-disclosable’ information is defined in s 5(1) of the Migration Act to include information or matter</w:t>
      </w:r>
      <w:bookmarkStart w:id="61" w:name="paragraph"/>
      <w:r w:rsidRPr="00451B90">
        <w:rPr>
          <w:rFonts w:cs="Open Sans"/>
        </w:rPr>
        <w:t xml:space="preserve"> whose disclosure would, in the Minister's opinion, be contrary to the national interest because it would</w:t>
      </w:r>
      <w:bookmarkStart w:id="62" w:name="paragraphsub"/>
      <w:r w:rsidRPr="00451B90">
        <w:rPr>
          <w:rFonts w:cs="Open Sans"/>
        </w:rPr>
        <w:t xml:space="preserve"> prejudice the security, defence or international relations of Australia</w:t>
      </w:r>
      <w:bookmarkStart w:id="63" w:name="subsection2"/>
      <w:bookmarkEnd w:id="61"/>
      <w:bookmarkEnd w:id="62"/>
      <w:bookmarkEnd w:id="63"/>
      <w:r w:rsidRPr="00451B90">
        <w:rPr>
          <w:rFonts w:cs="Open Sans"/>
        </w:rPr>
        <w:t xml:space="preserve">. Under s 501G(1)(e) of the Migration Act, non-disclosable information is not required to be provided in the reasons for decision. </w:t>
      </w:r>
    </w:p>
    <w:p w14:paraId="5D73A959" w14:textId="2FED0D50"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4 February 2019, the </w:t>
      </w:r>
      <w:r>
        <w:rPr>
          <w:rFonts w:cs="Open Sans"/>
        </w:rPr>
        <w:t xml:space="preserve">then </w:t>
      </w:r>
      <w:r w:rsidRPr="00451B90">
        <w:rPr>
          <w:rFonts w:cs="Open Sans"/>
        </w:rPr>
        <w:t xml:space="preserve">Minister </w:t>
      </w:r>
      <w:bookmarkEnd w:id="59"/>
      <w:r w:rsidRPr="00451B90">
        <w:rPr>
          <w:rFonts w:cs="Open Sans"/>
        </w:rPr>
        <w:t xml:space="preserve">also decided not to consider alternative options for Mr </w:t>
      </w:r>
      <w:r w:rsidR="00121B7C">
        <w:rPr>
          <w:rFonts w:cs="Open Sans"/>
        </w:rPr>
        <w:t>NU</w:t>
      </w:r>
      <w:r w:rsidRPr="00451B90">
        <w:rPr>
          <w:rFonts w:cs="Open Sans"/>
        </w:rPr>
        <w:t xml:space="preserve">, such as the grant of a visa </w:t>
      </w:r>
      <w:bookmarkStart w:id="64" w:name="_Hlk23500952"/>
      <w:r w:rsidRPr="00451B90">
        <w:rPr>
          <w:rFonts w:cs="Open Sans"/>
        </w:rPr>
        <w:t>under s 195A or placement in a community setting under s 197AB.</w:t>
      </w:r>
      <w:bookmarkEnd w:id="64"/>
      <w:r w:rsidRPr="00451B90">
        <w:rPr>
          <w:rFonts w:cs="Open Sans"/>
        </w:rPr>
        <w:t xml:space="preserve"> </w:t>
      </w:r>
    </w:p>
    <w:p w14:paraId="393497DF" w14:textId="7866D17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11 March 2019, Mr </w:t>
      </w:r>
      <w:r w:rsidR="00121B7C">
        <w:rPr>
          <w:rFonts w:cs="Open Sans"/>
        </w:rPr>
        <w:t>NU</w:t>
      </w:r>
      <w:r w:rsidRPr="00451B90">
        <w:rPr>
          <w:rFonts w:cs="Open Sans"/>
        </w:rPr>
        <w:t xml:space="preserve"> lodged an application for a judicial review of the decision to refuse to grant him a TPV under s 501. </w:t>
      </w:r>
    </w:p>
    <w:p w14:paraId="31B30600" w14:textId="4981976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On 17 June 2019, the Federal Court dismissed Mr </w:t>
      </w:r>
      <w:r w:rsidR="00121B7C">
        <w:rPr>
          <w:rFonts w:cs="Open Sans"/>
        </w:rPr>
        <w:t>NU</w:t>
      </w:r>
      <w:r w:rsidRPr="00451B90">
        <w:rPr>
          <w:rFonts w:cs="Open Sans"/>
        </w:rPr>
        <w:t xml:space="preserve">’s application for judicial review. On 15 July 2019, Mr </w:t>
      </w:r>
      <w:r w:rsidR="00121B7C">
        <w:rPr>
          <w:rFonts w:cs="Open Sans"/>
        </w:rPr>
        <w:t>NU</w:t>
      </w:r>
      <w:r w:rsidRPr="00451B90">
        <w:rPr>
          <w:rFonts w:cs="Open Sans"/>
        </w:rPr>
        <w:t xml:space="preserve"> filed an appeal in the Full Federal Court. The outcome of this appeal is not before the Commission. </w:t>
      </w:r>
    </w:p>
    <w:p w14:paraId="3BFA0C7C" w14:textId="3F03661B"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its response to my preliminary view dated 22 February 2020, the Department indicated that, on 19 August 2019, ASIO advised the Department that Mr </w:t>
      </w:r>
      <w:r w:rsidR="00121B7C">
        <w:rPr>
          <w:rFonts w:cs="Open Sans"/>
        </w:rPr>
        <w:t>NU</w:t>
      </w:r>
      <w:r w:rsidRPr="00451B90">
        <w:rPr>
          <w:rFonts w:cs="Open Sans"/>
        </w:rPr>
        <w:t xml:space="preserve">’s security referral had been resolved and that the security concerns raised in the referral were not a barrier to Mr </w:t>
      </w:r>
      <w:r w:rsidR="00121B7C">
        <w:rPr>
          <w:rFonts w:cs="Open Sans"/>
        </w:rPr>
        <w:t>NU</w:t>
      </w:r>
      <w:r w:rsidRPr="00451B90">
        <w:rPr>
          <w:rFonts w:cs="Open Sans"/>
        </w:rPr>
        <w:t>’s release from detention on a temporary visa. The response advised that, following the advice from ASIO, on 25 November 2019, a request for Ministerial intervention under s</w:t>
      </w:r>
      <w:r>
        <w:rPr>
          <w:rFonts w:cs="Open Sans"/>
        </w:rPr>
        <w:t>s</w:t>
      </w:r>
      <w:r w:rsidRPr="00451B90">
        <w:rPr>
          <w:rFonts w:cs="Open Sans"/>
        </w:rPr>
        <w:t xml:space="preserve"> 195A and 197AB was assessed as meeting the guidelines for referral to the Minister and a submission was currently in progress. </w:t>
      </w:r>
    </w:p>
    <w:p w14:paraId="02BDCCC3" w14:textId="0842D8DA"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lastRenderedPageBreak/>
        <w:t xml:space="preserve">However, as of 5 March 2021, the Department has confirmed that Mr </w:t>
      </w:r>
      <w:r w:rsidR="00121B7C">
        <w:rPr>
          <w:rFonts w:cs="Open Sans"/>
        </w:rPr>
        <w:t>NU</w:t>
      </w:r>
      <w:r w:rsidRPr="00451B90">
        <w:rPr>
          <w:rFonts w:cs="Open Sans"/>
        </w:rPr>
        <w:t xml:space="preserve"> remains in closed detention. </w:t>
      </w:r>
    </w:p>
    <w:p w14:paraId="466514E7" w14:textId="33DA098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my view, several factors make Mr </w:t>
      </w:r>
      <w:r w:rsidR="00121B7C">
        <w:rPr>
          <w:rFonts w:cs="Open Sans"/>
        </w:rPr>
        <w:t>NU</w:t>
      </w:r>
      <w:r w:rsidRPr="00451B90">
        <w:rPr>
          <w:rFonts w:cs="Open Sans"/>
        </w:rPr>
        <w:t>’s circumstances strongly ‘unique and exceptional’ or ‘compelling and compassionate’, suggesting that his case is suitable for referral and consideration under either the 195A or 197AB guidelines:</w:t>
      </w:r>
    </w:p>
    <w:p w14:paraId="2EDFC760" w14:textId="77777777"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the absence of any criminal charge or conviction</w:t>
      </w:r>
    </w:p>
    <w:p w14:paraId="59F0761B" w14:textId="614E2ECE"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recognition that Mr </w:t>
      </w:r>
      <w:r w:rsidR="00121B7C">
        <w:rPr>
          <w:rFonts w:cs="Open Sans"/>
        </w:rPr>
        <w:t>NU</w:t>
      </w:r>
      <w:r w:rsidRPr="00451B90">
        <w:rPr>
          <w:rFonts w:cs="Open Sans"/>
        </w:rPr>
        <w:t xml:space="preserve"> has a well-founded fear of persecution should he be returned to Syria, and is owed protection obligations by Australia</w:t>
      </w:r>
    </w:p>
    <w:p w14:paraId="78EFC78A" w14:textId="6BE6A405"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recommendation by the Department to the Minister on or around 5 August 2016 that Mr </w:t>
      </w:r>
      <w:r w:rsidR="00121B7C">
        <w:rPr>
          <w:rFonts w:cs="Open Sans"/>
        </w:rPr>
        <w:t>NU</w:t>
      </w:r>
      <w:r w:rsidRPr="00451B90">
        <w:rPr>
          <w:rFonts w:cs="Open Sans"/>
        </w:rPr>
        <w:t xml:space="preserve"> be granted a bridging visa</w:t>
      </w:r>
    </w:p>
    <w:p w14:paraId="21C70241" w14:textId="53050904"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advice from psychiatric professionals that the closed detention environment is not appropriate or conducive to Mr </w:t>
      </w:r>
      <w:r w:rsidR="00121B7C">
        <w:rPr>
          <w:rFonts w:cs="Open Sans"/>
        </w:rPr>
        <w:t>NU</w:t>
      </w:r>
      <w:r w:rsidRPr="00451B90">
        <w:rPr>
          <w:rFonts w:cs="Open Sans"/>
        </w:rPr>
        <w:t>’s complex mental health needs, which are directly and adversely exacerbated by closed detention, and recommendations that he be placed in the community</w:t>
      </w:r>
    </w:p>
    <w:p w14:paraId="6AAE3AAC" w14:textId="0399EB99"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the lengthy period of time for which he has been detained</w:t>
      </w:r>
      <w:r>
        <w:rPr>
          <w:rFonts w:cs="Open Sans"/>
        </w:rPr>
        <w:t xml:space="preserve"> —</w:t>
      </w:r>
      <w:r w:rsidRPr="00451B90">
        <w:rPr>
          <w:rFonts w:cs="Open Sans"/>
        </w:rPr>
        <w:t xml:space="preserve">approximately seven years as of March 2021 </w:t>
      </w:r>
    </w:p>
    <w:p w14:paraId="390DC821" w14:textId="0CD97915"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findings of the independent UN Working Group that Mr </w:t>
      </w:r>
      <w:r w:rsidR="00121B7C">
        <w:rPr>
          <w:rFonts w:cs="Open Sans"/>
        </w:rPr>
        <w:t>NU</w:t>
      </w:r>
      <w:r w:rsidRPr="00451B90">
        <w:rPr>
          <w:rFonts w:cs="Open Sans"/>
        </w:rPr>
        <w:t>’s human rights have been breached through arbitrary detention</w:t>
      </w:r>
    </w:p>
    <w:p w14:paraId="60C36630" w14:textId="38F509C1"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w:t>
      </w:r>
      <w:r>
        <w:rPr>
          <w:rFonts w:cs="Open Sans"/>
        </w:rPr>
        <w:t>QSA</w:t>
      </w:r>
      <w:r w:rsidRPr="00451B90">
        <w:rPr>
          <w:rFonts w:cs="Open Sans"/>
        </w:rPr>
        <w:t xml:space="preserve"> issued for Mr </w:t>
      </w:r>
      <w:r w:rsidR="00121B7C">
        <w:rPr>
          <w:rFonts w:cs="Open Sans"/>
        </w:rPr>
        <w:t>NU</w:t>
      </w:r>
      <w:r w:rsidRPr="00451B90">
        <w:rPr>
          <w:rFonts w:cs="Open Sans"/>
        </w:rPr>
        <w:t>, as opposed to an Adverse Security Assessment</w:t>
      </w:r>
    </w:p>
    <w:p w14:paraId="4334353A" w14:textId="04A92893"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2019 advice from ASIO that the security concerns raised in the referral are not a barrier to Mr </w:t>
      </w:r>
      <w:r w:rsidR="00121B7C">
        <w:rPr>
          <w:rFonts w:cs="Open Sans"/>
        </w:rPr>
        <w:t>NU</w:t>
      </w:r>
      <w:r w:rsidRPr="00451B90">
        <w:rPr>
          <w:rFonts w:cs="Open Sans"/>
        </w:rPr>
        <w:t xml:space="preserve">’s release from detention </w:t>
      </w:r>
    </w:p>
    <w:p w14:paraId="44EABA3A" w14:textId="77777777"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that there is currently no known prospect of removal to any other country and a significant risk of indefinite detention.</w:t>
      </w:r>
    </w:p>
    <w:p w14:paraId="7BF719D5" w14:textId="02C337C6"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acts or practices of the Commonwealth that I have considered with respect to Mr </w:t>
      </w:r>
      <w:r w:rsidR="00121B7C">
        <w:rPr>
          <w:rFonts w:cs="Open Sans"/>
        </w:rPr>
        <w:t>NU</w:t>
      </w:r>
      <w:r w:rsidRPr="00451B90">
        <w:rPr>
          <w:rFonts w:cs="Open Sans"/>
        </w:rPr>
        <w:t xml:space="preserve"> are: </w:t>
      </w:r>
    </w:p>
    <w:p w14:paraId="51A70D9E" w14:textId="19538440"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delay of the Department in referring Mr </w:t>
      </w:r>
      <w:r w:rsidR="00121B7C">
        <w:rPr>
          <w:rFonts w:cs="Open Sans"/>
        </w:rPr>
        <w:t>NU</w:t>
      </w:r>
      <w:r w:rsidRPr="00451B90">
        <w:rPr>
          <w:rFonts w:cs="Open Sans"/>
        </w:rPr>
        <w:t>’s case to the Minister for consideration of intervention under s 197AB until 30 June 2015, being a period of about 14 months</w:t>
      </w:r>
    </w:p>
    <w:p w14:paraId="10C24F60" w14:textId="4819192F"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delay of the Department in referring Mr </w:t>
      </w:r>
      <w:r w:rsidR="00121B7C">
        <w:rPr>
          <w:rFonts w:cs="Open Sans"/>
        </w:rPr>
        <w:t>NU</w:t>
      </w:r>
      <w:r w:rsidRPr="00451B90">
        <w:rPr>
          <w:rFonts w:cs="Open Sans"/>
        </w:rPr>
        <w:t>’s case to the Minister for consideration of intervention under ss 195A or 197AB again until 5 August 2016, being a period of about 12 months</w:t>
      </w:r>
    </w:p>
    <w:p w14:paraId="096BDBB6" w14:textId="77777777"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lastRenderedPageBreak/>
        <w:t xml:space="preserve">on 1 September 2016, the decision of the </w:t>
      </w:r>
      <w:r>
        <w:rPr>
          <w:rFonts w:cs="Open Sans"/>
        </w:rPr>
        <w:t xml:space="preserve">then </w:t>
      </w:r>
      <w:r w:rsidRPr="00451B90">
        <w:rPr>
          <w:rFonts w:cs="Open Sans"/>
        </w:rPr>
        <w:t>Minister to not consider intervening under s 197AB to grant community detention</w:t>
      </w:r>
    </w:p>
    <w:p w14:paraId="09D893B0" w14:textId="2D1E1231"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delay of the Department in referring Mr </w:t>
      </w:r>
      <w:r w:rsidR="00121B7C">
        <w:rPr>
          <w:rFonts w:cs="Open Sans"/>
        </w:rPr>
        <w:t>NU</w:t>
      </w:r>
      <w:r w:rsidRPr="00451B90">
        <w:rPr>
          <w:rFonts w:cs="Open Sans"/>
        </w:rPr>
        <w:t>’s case to the Minister again for consideration of intervention under ss 195A or 197AB until on or around 4 February 2019, being a period of about 2 years and 5 months</w:t>
      </w:r>
    </w:p>
    <w:p w14:paraId="54A66DC0" w14:textId="77777777"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on 4 February 2019, the decision of the </w:t>
      </w:r>
      <w:r>
        <w:rPr>
          <w:rFonts w:cs="Open Sans"/>
        </w:rPr>
        <w:t xml:space="preserve">then </w:t>
      </w:r>
      <w:r w:rsidRPr="00451B90">
        <w:rPr>
          <w:rFonts w:cs="Open Sans"/>
        </w:rPr>
        <w:t>Minister not to consider intervening under ss 195A or 197AB</w:t>
      </w:r>
    </w:p>
    <w:p w14:paraId="0FCD3C0A" w14:textId="7DD176C2" w:rsidR="00903A38" w:rsidRPr="00451B90" w:rsidRDefault="00903A38" w:rsidP="00C84572">
      <w:pPr>
        <w:pStyle w:val="ListParagraph"/>
        <w:numPr>
          <w:ilvl w:val="1"/>
          <w:numId w:val="21"/>
        </w:numPr>
        <w:spacing w:before="120" w:after="120"/>
        <w:ind w:left="1434" w:hanging="357"/>
        <w:rPr>
          <w:rFonts w:cs="Open Sans"/>
        </w:rPr>
      </w:pPr>
      <w:r w:rsidRPr="00451B90">
        <w:rPr>
          <w:rFonts w:cs="Open Sans"/>
        </w:rPr>
        <w:t xml:space="preserve">the delay of the Department in referring Mr </w:t>
      </w:r>
      <w:r w:rsidR="00121B7C">
        <w:rPr>
          <w:rFonts w:cs="Open Sans"/>
        </w:rPr>
        <w:t>NU</w:t>
      </w:r>
      <w:r w:rsidRPr="00451B90">
        <w:rPr>
          <w:rFonts w:cs="Open Sans"/>
        </w:rPr>
        <w:t xml:space="preserve">’s case to the Minister for consideration of intervention under ss 195A or 197AB since that time, particularly after receiving advice from ASIO that Mr </w:t>
      </w:r>
      <w:r w:rsidR="00121B7C">
        <w:rPr>
          <w:rFonts w:cs="Open Sans"/>
        </w:rPr>
        <w:t>NU</w:t>
      </w:r>
      <w:r w:rsidRPr="00451B90">
        <w:rPr>
          <w:rFonts w:cs="Open Sans"/>
        </w:rPr>
        <w:t xml:space="preserve">’s security concerns were not a barrier to his release from detention. </w:t>
      </w:r>
    </w:p>
    <w:p w14:paraId="4F850494" w14:textId="311C249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It is also my view that the </w:t>
      </w:r>
      <w:r>
        <w:rPr>
          <w:rFonts w:cs="Open Sans"/>
        </w:rPr>
        <w:t xml:space="preserve">then </w:t>
      </w:r>
      <w:r w:rsidRPr="00451B90">
        <w:rPr>
          <w:rFonts w:cs="Open Sans"/>
        </w:rPr>
        <w:t>Minister</w:t>
      </w:r>
      <w:r>
        <w:rPr>
          <w:rFonts w:cs="Open Sans"/>
        </w:rPr>
        <w:t>’</w:t>
      </w:r>
      <w:r w:rsidRPr="00451B90">
        <w:rPr>
          <w:rFonts w:cs="Open Sans"/>
        </w:rPr>
        <w:t xml:space="preserve">s decisions not to consider exercising his discretionary powers under ss 195A or 197AB may have resulted in Mr </w:t>
      </w:r>
      <w:r w:rsidR="00121B7C">
        <w:rPr>
          <w:rFonts w:cs="Open Sans"/>
        </w:rPr>
        <w:t>NU</w:t>
      </w:r>
      <w:r w:rsidRPr="00451B90">
        <w:rPr>
          <w:rFonts w:cs="Open Sans"/>
        </w:rPr>
        <w:t>’s detention becoming arbitrary contrary to article 9 of the ICCPR. I note that I do not express any view as to what the outcome of any such consideration would be.</w:t>
      </w:r>
    </w:p>
    <w:p w14:paraId="3D0D7D67" w14:textId="07E57C8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Further, in my view, the periods of time</w:t>
      </w:r>
      <w:r>
        <w:rPr>
          <w:rFonts w:cs="Open Sans"/>
        </w:rPr>
        <w:t>,</w:t>
      </w:r>
      <w:r w:rsidRPr="00451B90">
        <w:rPr>
          <w:rFonts w:cs="Open Sans"/>
        </w:rPr>
        <w:t xml:space="preserve"> in between referrals of Mr </w:t>
      </w:r>
      <w:r w:rsidR="00121B7C">
        <w:rPr>
          <w:rFonts w:cs="Open Sans"/>
        </w:rPr>
        <w:t>NU</w:t>
      </w:r>
      <w:r w:rsidRPr="00451B90">
        <w:rPr>
          <w:rFonts w:cs="Open Sans"/>
        </w:rPr>
        <w:t>’s case to the Minister for consideration under ss 195A or 197AB</w:t>
      </w:r>
      <w:r>
        <w:rPr>
          <w:rFonts w:cs="Open Sans"/>
        </w:rPr>
        <w:t>,</w:t>
      </w:r>
      <w:r w:rsidRPr="00451B90">
        <w:rPr>
          <w:rFonts w:cs="Open Sans"/>
        </w:rPr>
        <w:t xml:space="preserve"> have been unjustifiably prolonged, and may be inconsistent with the article 9 obligation under the ICCPR to afford periodic re-evaluation of the reasonableness, necessity and proportionality of closed detention.</w:t>
      </w:r>
    </w:p>
    <w:p w14:paraId="4990B7E0" w14:textId="5A62E739"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 acknowledge that </w:t>
      </w:r>
      <w:r>
        <w:rPr>
          <w:rFonts w:cs="Open Sans"/>
        </w:rPr>
        <w:t xml:space="preserve">the former </w:t>
      </w:r>
      <w:r w:rsidRPr="00451B90">
        <w:rPr>
          <w:rFonts w:cs="Open Sans"/>
        </w:rPr>
        <w:t>Minister consider</w:t>
      </w:r>
      <w:r>
        <w:rPr>
          <w:rFonts w:cs="Open Sans"/>
        </w:rPr>
        <w:t>ed</w:t>
      </w:r>
      <w:r w:rsidRPr="00451B90">
        <w:rPr>
          <w:rFonts w:cs="Open Sans"/>
        </w:rPr>
        <w:t xml:space="preserve"> that Mr </w:t>
      </w:r>
      <w:r w:rsidR="00121B7C">
        <w:rPr>
          <w:rFonts w:cs="Open Sans"/>
        </w:rPr>
        <w:t>NU</w:t>
      </w:r>
      <w:r w:rsidRPr="00451B90">
        <w:rPr>
          <w:rFonts w:cs="Open Sans"/>
        </w:rPr>
        <w:t xml:space="preserve"> presents some risk to the community, albeit at a low level. As discussed below, if the Minister ha</w:t>
      </w:r>
      <w:r>
        <w:rPr>
          <w:rFonts w:cs="Open Sans"/>
        </w:rPr>
        <w:t>d</w:t>
      </w:r>
      <w:r w:rsidRPr="00451B90">
        <w:rPr>
          <w:rFonts w:cs="Open Sans"/>
        </w:rPr>
        <w:t xml:space="preserve"> concerns about Mr </w:t>
      </w:r>
      <w:r w:rsidR="00121B7C">
        <w:rPr>
          <w:rFonts w:cs="Open Sans"/>
        </w:rPr>
        <w:t>NU</w:t>
      </w:r>
      <w:r w:rsidRPr="00451B90">
        <w:rPr>
          <w:rFonts w:cs="Open Sans"/>
        </w:rPr>
        <w:t xml:space="preserve"> posing a risk to the community, he could have asked the Department to conduct a risk assessment to consider whether any risks could be mitigated, for example through imposing community detention or visa conditions and ensuring the provision of appropriate mental health support.</w:t>
      </w:r>
    </w:p>
    <w:p w14:paraId="4FEAF5F3" w14:textId="77777777" w:rsidR="00903A38" w:rsidRPr="00451B90" w:rsidRDefault="00903A38" w:rsidP="00C84572">
      <w:pPr>
        <w:pStyle w:val="Heading1"/>
        <w:numPr>
          <w:ilvl w:val="0"/>
          <w:numId w:val="20"/>
        </w:numPr>
        <w:rPr>
          <w:rFonts w:cs="Open Sans"/>
        </w:rPr>
      </w:pPr>
      <w:bookmarkStart w:id="65" w:name="_Toc79503165"/>
      <w:bookmarkStart w:id="66" w:name="_Toc87965784"/>
      <w:r w:rsidRPr="00451B90">
        <w:rPr>
          <w:rFonts w:cs="Open Sans"/>
        </w:rPr>
        <w:t>Recommendations</w:t>
      </w:r>
      <w:bookmarkEnd w:id="65"/>
      <w:bookmarkEnd w:id="66"/>
    </w:p>
    <w:p w14:paraId="03EA427F"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451B90">
        <w:rPr>
          <w:rStyle w:val="EndnoteReference"/>
          <w:rFonts w:cs="Open Sans"/>
        </w:rPr>
        <w:endnoteReference w:id="41"/>
      </w:r>
      <w:r w:rsidRPr="00451B90">
        <w:rPr>
          <w:rFonts w:cs="Open Sans"/>
        </w:rPr>
        <w:t xml:space="preserve"> The Commission may include in the notice any recommendation for preventing a repetition of the act or a continuation of the practice.</w:t>
      </w:r>
      <w:r w:rsidRPr="00C414AE">
        <w:rPr>
          <w:rStyle w:val="EndnoteReference"/>
          <w:rFonts w:cs="Open Sans"/>
        </w:rPr>
        <w:endnoteReference w:id="42"/>
      </w:r>
      <w:r w:rsidRPr="00C414AE">
        <w:rPr>
          <w:rStyle w:val="EndnoteReference"/>
        </w:rPr>
        <w:t xml:space="preserve"> </w:t>
      </w:r>
      <w:r w:rsidRPr="00451B90">
        <w:rPr>
          <w:rFonts w:cs="Open Sans"/>
        </w:rPr>
        <w:t xml:space="preserve">The </w:t>
      </w:r>
      <w:r w:rsidRPr="00451B90">
        <w:rPr>
          <w:rFonts w:cs="Open Sans"/>
        </w:rPr>
        <w:lastRenderedPageBreak/>
        <w:t>Commission may also recommend other action to remedy or reduce the loss or damage suffered by a person.</w:t>
      </w:r>
      <w:r w:rsidRPr="00C414AE">
        <w:rPr>
          <w:rStyle w:val="EndnoteReference"/>
          <w:rFonts w:cs="Open Sans"/>
        </w:rPr>
        <w:endnoteReference w:id="43"/>
      </w:r>
    </w:p>
    <w:p w14:paraId="4D05C619" w14:textId="77777777"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the </w:t>
      </w:r>
      <w:r>
        <w:rPr>
          <w:rFonts w:cs="Open Sans"/>
        </w:rPr>
        <w:t xml:space="preserve">s </w:t>
      </w:r>
      <w:r w:rsidRPr="00451B90">
        <w:rPr>
          <w:rFonts w:cs="Open Sans"/>
        </w:rPr>
        <w:t>501 Inquiry, I made a number of systemic recommendations aimed at preventing a repetition of the acts or a continuation of the practices that are described in my findings.</w:t>
      </w:r>
      <w:r w:rsidRPr="00451B90">
        <w:rPr>
          <w:rStyle w:val="EndnoteReference"/>
          <w:rFonts w:cs="Open Sans"/>
        </w:rPr>
        <w:endnoteReference w:id="44"/>
      </w:r>
      <w:r w:rsidRPr="00451B90">
        <w:rPr>
          <w:rFonts w:cs="Open Sans"/>
        </w:rPr>
        <w:t xml:space="preserve"> I reiterate and rely upon those general recommendations again here. </w:t>
      </w:r>
    </w:p>
    <w:p w14:paraId="718D7D41" w14:textId="736D457A"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Below, I also make recommendations for the individual complainants Mr </w:t>
      </w:r>
      <w:r w:rsidR="00AA64D6">
        <w:rPr>
          <w:rFonts w:cs="Open Sans"/>
        </w:rPr>
        <w:t>NT</w:t>
      </w:r>
      <w:r w:rsidRPr="00451B90">
        <w:rPr>
          <w:rFonts w:cs="Open Sans"/>
        </w:rPr>
        <w:t xml:space="preserve"> and Mr </w:t>
      </w:r>
      <w:r w:rsidR="00121B7C">
        <w:rPr>
          <w:rFonts w:cs="Open Sans"/>
        </w:rPr>
        <w:t>NU</w:t>
      </w:r>
      <w:r w:rsidRPr="00451B90">
        <w:rPr>
          <w:rFonts w:cs="Open Sans"/>
        </w:rPr>
        <w:t xml:space="preserve">. </w:t>
      </w:r>
    </w:p>
    <w:p w14:paraId="5C0B0E16" w14:textId="6182C015" w:rsidR="00903A38" w:rsidRPr="00451B90" w:rsidRDefault="00903A38" w:rsidP="00C84572">
      <w:pPr>
        <w:numPr>
          <w:ilvl w:val="0"/>
          <w:numId w:val="21"/>
        </w:numPr>
        <w:tabs>
          <w:tab w:val="clear" w:pos="720"/>
          <w:tab w:val="num" w:pos="862"/>
        </w:tabs>
        <w:ind w:left="862" w:hanging="862"/>
        <w:rPr>
          <w:rFonts w:cs="Open Sans"/>
        </w:rPr>
      </w:pPr>
      <w:r>
        <w:rPr>
          <w:rFonts w:cs="Open Sans"/>
        </w:rPr>
        <w:t xml:space="preserve">As at March 2021, </w:t>
      </w:r>
      <w:r w:rsidRPr="00451B90">
        <w:rPr>
          <w:rFonts w:cs="Open Sans"/>
        </w:rPr>
        <w:t xml:space="preserve">Mr </w:t>
      </w:r>
      <w:r w:rsidR="00AA64D6">
        <w:rPr>
          <w:rFonts w:cs="Open Sans"/>
        </w:rPr>
        <w:t>NT</w:t>
      </w:r>
      <w:r w:rsidRPr="00451B90">
        <w:rPr>
          <w:rFonts w:cs="Open Sans"/>
        </w:rPr>
        <w:t xml:space="preserve"> and Mr </w:t>
      </w:r>
      <w:r w:rsidR="00121B7C">
        <w:rPr>
          <w:rFonts w:cs="Open Sans"/>
        </w:rPr>
        <w:t>NU</w:t>
      </w:r>
      <w:r w:rsidRPr="00451B90">
        <w:rPr>
          <w:rFonts w:cs="Open Sans"/>
        </w:rPr>
        <w:t xml:space="preserve"> remain</w:t>
      </w:r>
      <w:r>
        <w:rPr>
          <w:rFonts w:cs="Open Sans"/>
        </w:rPr>
        <w:t>ed</w:t>
      </w:r>
      <w:r w:rsidRPr="00451B90">
        <w:rPr>
          <w:rFonts w:cs="Open Sans"/>
        </w:rPr>
        <w:t xml:space="preserve"> in immigration detention and, as a result of this inquiry, I have found their detention to be arbitrary. In Recommendation 1 below, I set out the action that I recommend the Commonwealth take in order to remedy or reduce the loss or damage suffered as a result.</w:t>
      </w:r>
    </w:p>
    <w:p w14:paraId="2F285C5A" w14:textId="77777777" w:rsidR="00903A38" w:rsidRPr="00451B90" w:rsidRDefault="00903A38" w:rsidP="00903A38">
      <w:pPr>
        <w:rPr>
          <w:rFonts w:cs="Open Sans"/>
          <w:b/>
        </w:rPr>
      </w:pPr>
      <w:r w:rsidRPr="00451B90">
        <w:rPr>
          <w:rFonts w:cs="Open Sans"/>
          <w:b/>
        </w:rPr>
        <w:t>Recommendation 1</w:t>
      </w:r>
    </w:p>
    <w:p w14:paraId="3A6BB3ED" w14:textId="2767CDCF"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w:t>
      </w:r>
      <w:r>
        <w:rPr>
          <w:rFonts w:cs="Open Sans"/>
        </w:rPr>
        <w:t xml:space="preserve">relevant Home Affairs portfolio </w:t>
      </w:r>
      <w:r w:rsidRPr="00451B90">
        <w:rPr>
          <w:rFonts w:cs="Open Sans"/>
        </w:rPr>
        <w:t xml:space="preserve">Minister indicate to the Department that </w:t>
      </w:r>
      <w:r>
        <w:rPr>
          <w:rFonts w:cs="Open Sans"/>
        </w:rPr>
        <w:t xml:space="preserve">they </w:t>
      </w:r>
      <w:r w:rsidRPr="00451B90">
        <w:rPr>
          <w:rFonts w:cs="Open Sans"/>
        </w:rPr>
        <w:t xml:space="preserve">will consider a further submission about the exercise of </w:t>
      </w:r>
      <w:r>
        <w:rPr>
          <w:rFonts w:cs="Open Sans"/>
        </w:rPr>
        <w:t>their</w:t>
      </w:r>
      <w:r w:rsidRPr="00451B90">
        <w:rPr>
          <w:rFonts w:cs="Open Sans"/>
        </w:rPr>
        <w:t xml:space="preserve"> powers under s</w:t>
      </w:r>
      <w:r>
        <w:rPr>
          <w:rFonts w:cs="Open Sans"/>
        </w:rPr>
        <w:t>s</w:t>
      </w:r>
      <w:r w:rsidRPr="00451B90">
        <w:rPr>
          <w:rFonts w:cs="Open Sans"/>
        </w:rPr>
        <w:t xml:space="preserve"> 195A and/or 197AB in relation to Mr </w:t>
      </w:r>
      <w:r w:rsidR="00AA64D6">
        <w:rPr>
          <w:rFonts w:cs="Open Sans"/>
        </w:rPr>
        <w:t>NT</w:t>
      </w:r>
      <w:r w:rsidRPr="00451B90">
        <w:rPr>
          <w:rFonts w:cs="Open Sans"/>
        </w:rPr>
        <w:t xml:space="preserve"> and Mr </w:t>
      </w:r>
      <w:r w:rsidR="00121B7C">
        <w:rPr>
          <w:rFonts w:cs="Open Sans"/>
        </w:rPr>
        <w:t>NU</w:t>
      </w:r>
      <w:r w:rsidRPr="00451B90">
        <w:rPr>
          <w:rFonts w:cs="Open Sans"/>
        </w:rPr>
        <w:t>.</w:t>
      </w:r>
    </w:p>
    <w:p w14:paraId="50E24CA9" w14:textId="02A68CAC"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In the event that the </w:t>
      </w:r>
      <w:r>
        <w:rPr>
          <w:rFonts w:cs="Open Sans"/>
        </w:rPr>
        <w:t xml:space="preserve">relevant Home Affairs portfolio Minister </w:t>
      </w:r>
      <w:r w:rsidRPr="00451B90">
        <w:rPr>
          <w:rFonts w:cs="Open Sans"/>
        </w:rPr>
        <w:t xml:space="preserve">is concerned that Mr </w:t>
      </w:r>
      <w:r w:rsidR="00AA64D6">
        <w:rPr>
          <w:rFonts w:cs="Open Sans"/>
        </w:rPr>
        <w:t>NT</w:t>
      </w:r>
      <w:r w:rsidRPr="00451B90">
        <w:rPr>
          <w:rFonts w:cs="Open Sans"/>
        </w:rPr>
        <w:t xml:space="preserve"> or Mr </w:t>
      </w:r>
      <w:r w:rsidR="00121B7C">
        <w:rPr>
          <w:rFonts w:cs="Open Sans"/>
        </w:rPr>
        <w:t>NU</w:t>
      </w:r>
      <w:r w:rsidRPr="00451B90">
        <w:rPr>
          <w:rFonts w:cs="Open Sans"/>
        </w:rPr>
        <w:t xml:space="preserve"> may pose some risk if allowed to reside in the community (such as a risk of re-offending or to public safety), </w:t>
      </w:r>
      <w:r>
        <w:rPr>
          <w:rFonts w:cs="Open Sans"/>
        </w:rPr>
        <w:t>they</w:t>
      </w:r>
      <w:r w:rsidRPr="00451B90">
        <w:rPr>
          <w:rFonts w:cs="Open Sans"/>
        </w:rPr>
        <w:t xml:space="preserve"> direct the Department to prepare a detailed submission including the following:</w:t>
      </w:r>
    </w:p>
    <w:p w14:paraId="14A3C6C4" w14:textId="77777777" w:rsidR="00903A38" w:rsidRPr="00451B90" w:rsidRDefault="00903A38" w:rsidP="00C84572">
      <w:pPr>
        <w:numPr>
          <w:ilvl w:val="1"/>
          <w:numId w:val="21"/>
        </w:numPr>
        <w:tabs>
          <w:tab w:val="num" w:pos="1890"/>
        </w:tabs>
        <w:rPr>
          <w:rFonts w:cs="Open Sans"/>
        </w:rPr>
      </w:pPr>
      <w:r w:rsidRPr="00451B90">
        <w:rPr>
          <w:rFonts w:cs="Open Sans"/>
        </w:rPr>
        <w:t>a personalised assessment of the existence and/or extent of any such risk, including a detailed description of the nature of the risk and of the evidence and reasons leading to the assessment</w:t>
      </w:r>
    </w:p>
    <w:p w14:paraId="6A0CF8BC" w14:textId="2AFF9E87" w:rsidR="00903A38" w:rsidRPr="00451B90" w:rsidRDefault="00903A38" w:rsidP="00C84572">
      <w:pPr>
        <w:numPr>
          <w:ilvl w:val="1"/>
          <w:numId w:val="21"/>
        </w:numPr>
        <w:tabs>
          <w:tab w:val="num" w:pos="1890"/>
        </w:tabs>
        <w:rPr>
          <w:rFonts w:cs="Open Sans"/>
        </w:rPr>
      </w:pPr>
      <w:r w:rsidRPr="00451B90">
        <w:rPr>
          <w:rFonts w:cs="Open Sans"/>
        </w:rPr>
        <w:t xml:space="preserve">a description of what measures might be implemented to ameliorate any risk in the event Mr </w:t>
      </w:r>
      <w:r w:rsidR="00AA64D6">
        <w:rPr>
          <w:rFonts w:cs="Open Sans"/>
        </w:rPr>
        <w:t>NT</w:t>
      </w:r>
      <w:r w:rsidRPr="00451B90">
        <w:rPr>
          <w:rFonts w:cs="Open Sans"/>
        </w:rPr>
        <w:t xml:space="preserve"> or Mr </w:t>
      </w:r>
      <w:r w:rsidR="00121B7C">
        <w:rPr>
          <w:rFonts w:cs="Open Sans"/>
        </w:rPr>
        <w:t>NU</w:t>
      </w:r>
      <w:r w:rsidRPr="00451B90">
        <w:rPr>
          <w:rFonts w:cs="Open Sans"/>
        </w:rPr>
        <w:t xml:space="preserve"> were allowed to reside in the community</w:t>
      </w:r>
    </w:p>
    <w:p w14:paraId="0EAF3298" w14:textId="77777777" w:rsidR="00903A38" w:rsidRPr="00451B90" w:rsidRDefault="00903A38" w:rsidP="00C84572">
      <w:pPr>
        <w:numPr>
          <w:ilvl w:val="1"/>
          <w:numId w:val="21"/>
        </w:numPr>
        <w:tabs>
          <w:tab w:val="num" w:pos="1890"/>
        </w:tabs>
        <w:rPr>
          <w:rFonts w:cs="Open Sans"/>
        </w:rPr>
      </w:pPr>
      <w:r w:rsidRPr="00451B90">
        <w:rPr>
          <w:rFonts w:cs="Open Sans"/>
        </w:rPr>
        <w:t>an assessment of whether any risk, if present, could be satisfactorily addressed by the identified measures.</w:t>
      </w:r>
    </w:p>
    <w:p w14:paraId="7234B314" w14:textId="39537AFE" w:rsidR="00903A38" w:rsidRPr="00451B90" w:rsidRDefault="00903A38" w:rsidP="00C84572">
      <w:pPr>
        <w:numPr>
          <w:ilvl w:val="0"/>
          <w:numId w:val="21"/>
        </w:numPr>
        <w:tabs>
          <w:tab w:val="clear" w:pos="720"/>
          <w:tab w:val="num" w:pos="862"/>
        </w:tabs>
        <w:ind w:left="862" w:hanging="862"/>
        <w:rPr>
          <w:rFonts w:cs="Open Sans"/>
        </w:rPr>
      </w:pPr>
      <w:r w:rsidRPr="00451B90">
        <w:rPr>
          <w:rFonts w:cs="Open Sans"/>
        </w:rPr>
        <w:t xml:space="preserve">The Department prepare a fresh submission to the </w:t>
      </w:r>
      <w:r>
        <w:rPr>
          <w:rFonts w:cs="Open Sans"/>
        </w:rPr>
        <w:t xml:space="preserve">relevant Home Affairs portfolio Minister </w:t>
      </w:r>
      <w:r w:rsidRPr="00451B90">
        <w:rPr>
          <w:rFonts w:cs="Open Sans"/>
        </w:rPr>
        <w:t xml:space="preserve">about the exercise of </w:t>
      </w:r>
      <w:r>
        <w:rPr>
          <w:rFonts w:cs="Open Sans"/>
        </w:rPr>
        <w:t>their</w:t>
      </w:r>
      <w:r w:rsidRPr="00451B90">
        <w:rPr>
          <w:rFonts w:cs="Open Sans"/>
        </w:rPr>
        <w:t xml:space="preserve"> discretionary powers in relation to Mr </w:t>
      </w:r>
      <w:r w:rsidR="00AA64D6">
        <w:rPr>
          <w:rFonts w:cs="Open Sans"/>
        </w:rPr>
        <w:t>NT</w:t>
      </w:r>
      <w:r w:rsidRPr="00451B90">
        <w:rPr>
          <w:rFonts w:cs="Open Sans"/>
        </w:rPr>
        <w:t xml:space="preserve"> and Mr </w:t>
      </w:r>
      <w:r w:rsidR="00121B7C">
        <w:rPr>
          <w:rFonts w:cs="Open Sans"/>
        </w:rPr>
        <w:t>NU</w:t>
      </w:r>
      <w:r w:rsidRPr="00451B90">
        <w:rPr>
          <w:rFonts w:cs="Open Sans"/>
        </w:rPr>
        <w:t>, including (if relevant) any matters referred to in the paragraph above.</w:t>
      </w:r>
    </w:p>
    <w:p w14:paraId="6E5EB1C9" w14:textId="79B921E8" w:rsidR="00903A38" w:rsidRPr="00F25C7B" w:rsidRDefault="00903A38" w:rsidP="00C84572">
      <w:pPr>
        <w:numPr>
          <w:ilvl w:val="0"/>
          <w:numId w:val="21"/>
        </w:numPr>
        <w:tabs>
          <w:tab w:val="clear" w:pos="720"/>
          <w:tab w:val="num" w:pos="862"/>
        </w:tabs>
        <w:ind w:left="862" w:hanging="862"/>
        <w:rPr>
          <w:rFonts w:cs="Open Sans"/>
        </w:rPr>
      </w:pPr>
      <w:r w:rsidRPr="00451B90">
        <w:rPr>
          <w:rFonts w:cs="Open Sans"/>
        </w:rPr>
        <w:lastRenderedPageBreak/>
        <w:t xml:space="preserve">The </w:t>
      </w:r>
      <w:r>
        <w:rPr>
          <w:rFonts w:cs="Open Sans"/>
        </w:rPr>
        <w:t xml:space="preserve">relevant Home Affairs portfolio Minister </w:t>
      </w:r>
      <w:r w:rsidRPr="00451B90">
        <w:rPr>
          <w:rFonts w:cs="Open Sans"/>
        </w:rPr>
        <w:t xml:space="preserve">consider the exercise of </w:t>
      </w:r>
      <w:r>
        <w:rPr>
          <w:rFonts w:cs="Open Sans"/>
        </w:rPr>
        <w:t>their</w:t>
      </w:r>
      <w:r w:rsidRPr="00451B90">
        <w:rPr>
          <w:rFonts w:cs="Open Sans"/>
        </w:rPr>
        <w:t xml:space="preserve"> discretionary powers in light of the fresh Departmental submission.</w:t>
      </w:r>
    </w:p>
    <w:p w14:paraId="7A05923E" w14:textId="77777777" w:rsidR="00E11941" w:rsidRDefault="00E11941" w:rsidP="00C84572">
      <w:pPr>
        <w:pStyle w:val="Heading1"/>
        <w:numPr>
          <w:ilvl w:val="0"/>
          <w:numId w:val="20"/>
        </w:numPr>
        <w:rPr>
          <w:rFonts w:cs="Open Sans"/>
        </w:rPr>
      </w:pPr>
      <w:bookmarkStart w:id="67" w:name="_Toc70681739"/>
      <w:bookmarkStart w:id="68" w:name="_Toc87965785"/>
      <w:r>
        <w:rPr>
          <w:rFonts w:cs="Open Sans"/>
        </w:rPr>
        <w:t>The Department’s response to my findings and recommendations</w:t>
      </w:r>
      <w:bookmarkEnd w:id="67"/>
      <w:bookmarkEnd w:id="68"/>
    </w:p>
    <w:p w14:paraId="6523F361" w14:textId="24362EA0" w:rsidR="00903A38" w:rsidRDefault="00F25C7B" w:rsidP="00C84572">
      <w:pPr>
        <w:pStyle w:val="ListParagraph"/>
        <w:numPr>
          <w:ilvl w:val="0"/>
          <w:numId w:val="21"/>
        </w:numPr>
        <w:rPr>
          <w:noProof/>
        </w:rPr>
      </w:pPr>
      <w:r>
        <w:rPr>
          <w:noProof/>
        </w:rPr>
        <w:t xml:space="preserve">On </w:t>
      </w:r>
      <w:r w:rsidR="00C84572">
        <w:rPr>
          <w:noProof/>
        </w:rPr>
        <w:t>12 August</w:t>
      </w:r>
      <w:r w:rsidR="0070265C">
        <w:rPr>
          <w:noProof/>
        </w:rPr>
        <w:t xml:space="preserve"> 2021, I provided the Department with a notice of my findings and recommendations.</w:t>
      </w:r>
    </w:p>
    <w:p w14:paraId="314E6F9D" w14:textId="6A1596DB" w:rsidR="0070265C" w:rsidRDefault="0070265C" w:rsidP="00C84572">
      <w:pPr>
        <w:pStyle w:val="ListParagraph"/>
        <w:numPr>
          <w:ilvl w:val="0"/>
          <w:numId w:val="21"/>
        </w:numPr>
        <w:rPr>
          <w:noProof/>
        </w:rPr>
      </w:pPr>
      <w:r>
        <w:rPr>
          <w:noProof/>
        </w:rPr>
        <w:t xml:space="preserve">On </w:t>
      </w:r>
      <w:r w:rsidR="00C84572">
        <w:rPr>
          <w:noProof/>
        </w:rPr>
        <w:t xml:space="preserve">14 October </w:t>
      </w:r>
      <w:r>
        <w:rPr>
          <w:noProof/>
        </w:rPr>
        <w:t xml:space="preserve">2021, the Department provided the following response to my findings and recommendations: </w:t>
      </w:r>
    </w:p>
    <w:p w14:paraId="5D7E2290"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Department of Home Affairs (the Department) values the role of the Australian Human Rights Commission (the Commission) to inquire into human rights complaints and acknowledges the findings and recommendations made. </w:t>
      </w:r>
    </w:p>
    <w:p w14:paraId="4B00CCB9"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Department notes that this is a thematic inquiry based on specific complaints made by a group of three persons who have been found to be owed protection obligations by Australia but who were detained as a result of the cancellation or refusal of their visas on character grounds under section 501 of the Migration Act 1958 (the Act). </w:t>
      </w:r>
    </w:p>
    <w:p w14:paraId="78BAA9F3"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Department does not agree that the detention of Mr NS, Mr NU or Mr NT was arbitrary for the purposes of article 9 of the International Covenant on Civil and Political Rights (ICCPR). The Department maintains placement in held detention was appropriate, reasonable and justified in the individual circumstances of each case. </w:t>
      </w:r>
    </w:p>
    <w:p w14:paraId="2C16B9D4"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Department notes recommendations 1, 3 and 4 and has previously advised the Commission of the framework of regular reviews, escalations and referral points in place to ensure that people are detained in the most appropriate placement to manage their health and welfare, and the resolution of their immigration status. The Department regularly considers the appropriateness of detention and where appropriate, the identification of alternate means of detention or the grant of a visa, including through Ministerial Intervention. </w:t>
      </w:r>
    </w:p>
    <w:p w14:paraId="7EE3B8E0"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Portfolio Ministers have personal intervention powers under section 195A and section 197AB of the Act, which allow them to grant a visa to a person in immigration detention or to make a residence determination to allow a person to reside in the community at a specified address and under specified conditions, if they think it is in the public interest to do so. </w:t>
      </w:r>
    </w:p>
    <w:p w14:paraId="013878CB"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public interest powers are non-compellable, that is, the Ministers are not required to exercise or consider exercising their power in a particular case. Further, what is in the public interest is a matter for the Ministers to determine. </w:t>
      </w:r>
    </w:p>
    <w:p w14:paraId="6E7EAA55"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lastRenderedPageBreak/>
        <w:t xml:space="preserve">It is not a legal requirement that a detention case be considered for assessment against Ministerial Intervention guidelines, or be referred to a Portfolio Minister for consideration of their personal intervention powers. Page 3 of 3 </w:t>
      </w:r>
    </w:p>
    <w:p w14:paraId="0C596DA1"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Minister’s guidelines under sections 195A and 197AB of the Act stipulate that generally persons who present character issues or are of security concern should not be referred to the Minister for consideration. </w:t>
      </w:r>
    </w:p>
    <w:p w14:paraId="5DCF63F9" w14:textId="3EC8A641"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Department can advise the Commission that on 25 May 2021, the Minister for Immigration, Citizenship, Migrant Services and Multicultural Affairs signed a first stage submission for Mr NU, indicating he wished to consider intervening under section 195A of the Act. The Department is progressing a second stage submission for the Minister’s consideration under section 195A of the Act. </w:t>
      </w:r>
    </w:p>
    <w:p w14:paraId="783B20EB"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Mr NT’s case will continue to be regularly reviewed by the Department, and should such reviews identify any exceptional circumstances or vulnerabilities that have not been considered by a Minister, his case may be referred for further consideration under the Ministerial Intervention powers. </w:t>
      </w:r>
    </w:p>
    <w:p w14:paraId="0F6AD2EE" w14:textId="77777777" w:rsidR="008F0455"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 xml:space="preserve">The Department notes recommendation 2 and has previously advised the Commission of the use of the Community Protection Assessment Tool (CPAT), which is a decision support tool to assist the Department in assessing the most appropriate placement of a non-citizen while status resolution is pursued. In this context, placement refers to whether the non-citizen should reside in the community or in held immigration detention. The CPAT provides a placement recommendation based on a point in time assessment of the level of risk a person poses to the community, through a set of defined parameters. The CPAT also enables Status Resolution Officers to recommend an alternative placement for a non-citizen on consideration of additional information outside the CPAT parameters. </w:t>
      </w:r>
    </w:p>
    <w:p w14:paraId="4E647AF5" w14:textId="102ABC2C" w:rsidR="008E166B" w:rsidRPr="005254BE" w:rsidRDefault="008F0455" w:rsidP="005254BE">
      <w:pPr>
        <w:keepLines/>
        <w:ind w:left="1440"/>
        <w:rPr>
          <w:rFonts w:eastAsia="Times New Roman" w:cs="Open Sans"/>
          <w:spacing w:val="-5"/>
          <w:sz w:val="22"/>
          <w:szCs w:val="18"/>
          <w:lang w:eastAsia="en-US"/>
        </w:rPr>
      </w:pPr>
      <w:r w:rsidRPr="005254BE">
        <w:rPr>
          <w:rFonts w:eastAsia="Times New Roman" w:cs="Open Sans"/>
          <w:spacing w:val="-5"/>
          <w:sz w:val="22"/>
          <w:szCs w:val="18"/>
          <w:lang w:eastAsia="en-US"/>
        </w:rPr>
        <w:t>The Department is reviewing the CPAT and will explore how the CPAT could give greater consideration to the nature of a detainee’s criminal history when assessing community risk including an individual’s strengths and vulnerabilities and how these factors may affect placement.</w:t>
      </w:r>
    </w:p>
    <w:p w14:paraId="288E8BC6" w14:textId="77777777" w:rsidR="008E166B" w:rsidRDefault="008E166B" w:rsidP="008E166B">
      <w:pPr>
        <w:rPr>
          <w:noProof/>
        </w:rPr>
      </w:pPr>
    </w:p>
    <w:p w14:paraId="09DBAC7E" w14:textId="2E59279B" w:rsidR="008E166B" w:rsidRDefault="008E166B" w:rsidP="008E166B">
      <w:pPr>
        <w:rPr>
          <w:rFonts w:cs="Open Sans"/>
        </w:rPr>
      </w:pPr>
      <w:r w:rsidRPr="005108E2">
        <w:rPr>
          <w:rFonts w:cs="Open Sans"/>
        </w:rPr>
        <w:t>Emeritus Professor Rosalind Croucher AM</w:t>
      </w:r>
      <w:r>
        <w:rPr>
          <w:rFonts w:cs="Open Sans"/>
        </w:rPr>
        <w:br/>
      </w:r>
      <w:r w:rsidRPr="005108E2">
        <w:rPr>
          <w:rFonts w:cs="Open Sans"/>
          <w:b/>
        </w:rPr>
        <w:t xml:space="preserve">President </w:t>
      </w:r>
      <w:r>
        <w:rPr>
          <w:rFonts w:cs="Open Sans"/>
        </w:rPr>
        <w:br/>
      </w:r>
      <w:r w:rsidRPr="005108E2">
        <w:rPr>
          <w:rFonts w:cs="Open Sans"/>
        </w:rPr>
        <w:t>Australian Human Rights Commission</w:t>
      </w:r>
      <w:r>
        <w:rPr>
          <w:rFonts w:cs="Open Sans"/>
        </w:rPr>
        <w:br/>
      </w:r>
      <w:r w:rsidR="00A54DCE">
        <w:rPr>
          <w:rFonts w:cs="Open Sans"/>
        </w:rPr>
        <w:t>March</w:t>
      </w:r>
      <w:r w:rsidRPr="00370F1D">
        <w:rPr>
          <w:rFonts w:cs="Open Sans"/>
        </w:rPr>
        <w:t xml:space="preserve"> 202</w:t>
      </w:r>
      <w:r w:rsidR="006F5882" w:rsidRPr="00370F1D">
        <w:rPr>
          <w:rFonts w:cs="Open Sans"/>
        </w:rPr>
        <w:t>2</w:t>
      </w:r>
    </w:p>
    <w:p w14:paraId="0FEDED62" w14:textId="77777777" w:rsidR="008E166B" w:rsidRDefault="008E166B" w:rsidP="008E166B">
      <w:pPr>
        <w:rPr>
          <w:noProof/>
        </w:rPr>
      </w:pPr>
    </w:p>
    <w:p w14:paraId="36249B78" w14:textId="77777777" w:rsidR="00903A38" w:rsidRDefault="00903A38" w:rsidP="00903A38">
      <w:pPr>
        <w:pStyle w:val="ListParagraph"/>
        <w:ind w:left="0"/>
        <w:rPr>
          <w:rFonts w:cs="Open Sans"/>
        </w:rPr>
      </w:pPr>
    </w:p>
    <w:p w14:paraId="7672D73D" w14:textId="77777777" w:rsidR="00E11941" w:rsidRPr="00451B90" w:rsidRDefault="00E11941" w:rsidP="00903A38">
      <w:pPr>
        <w:pStyle w:val="ListParagraph"/>
        <w:ind w:left="0"/>
        <w:rPr>
          <w:rFonts w:cs="Open Sans"/>
        </w:rPr>
      </w:pPr>
    </w:p>
    <w:p w14:paraId="7C65F582" w14:textId="77777777" w:rsidR="003423F4" w:rsidRPr="00E23DB3" w:rsidRDefault="003423F4" w:rsidP="00EE31DB">
      <w:pPr>
        <w:pStyle w:val="Heading1"/>
        <w:numPr>
          <w:ilvl w:val="0"/>
          <w:numId w:val="0"/>
        </w:numPr>
      </w:pPr>
    </w:p>
    <w:sectPr w:rsidR="003423F4" w:rsidRPr="00E23DB3" w:rsidSect="002B0D81">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418" w:bottom="1134" w:left="1418" w:header="907"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B0C4" w14:textId="77777777" w:rsidR="00B90F5F" w:rsidRDefault="00B90F5F" w:rsidP="00F14C6D">
      <w:r>
        <w:separator/>
      </w:r>
    </w:p>
  </w:endnote>
  <w:endnote w:type="continuationSeparator" w:id="0">
    <w:p w14:paraId="2AE023A7" w14:textId="77777777" w:rsidR="00B90F5F" w:rsidRDefault="00B90F5F" w:rsidP="00F14C6D">
      <w:r>
        <w:continuationSeparator/>
      </w:r>
    </w:p>
  </w:endnote>
  <w:endnote w:type="continuationNotice" w:id="1">
    <w:p w14:paraId="56BEB5DD" w14:textId="77777777" w:rsidR="00B90F5F" w:rsidRDefault="00B90F5F">
      <w:pPr>
        <w:spacing w:before="0" w:after="0"/>
      </w:pPr>
    </w:p>
  </w:endnote>
  <w:endnote w:id="2">
    <w:p w14:paraId="38900A74" w14:textId="252AB6F8" w:rsidR="00903A38" w:rsidRPr="00762BDC" w:rsidRDefault="00903A38" w:rsidP="00903A38">
      <w:pPr>
        <w:pStyle w:val="EndnoteText"/>
        <w:rPr>
          <w:rFonts w:cs="Open Sans"/>
        </w:rPr>
      </w:pPr>
      <w:r w:rsidRPr="0070240E">
        <w:rPr>
          <w:rStyle w:val="EndnoteReference"/>
          <w:rFonts w:cs="Open Sans"/>
        </w:rPr>
        <w:endnoteRef/>
      </w:r>
      <w:r w:rsidRPr="0070240E">
        <w:rPr>
          <w:rFonts w:cs="Open Sans"/>
        </w:rPr>
        <w:t xml:space="preserve"> Australian Human Rights Commission, </w:t>
      </w:r>
      <w:r w:rsidR="00F97D1D" w:rsidRPr="0070240E">
        <w:rPr>
          <w:rFonts w:cs="Open Sans"/>
          <w:i/>
          <w:iCs/>
        </w:rPr>
        <w:t>Immigration detention following visa refusal or cancellation under s 501 of the Migration Act 1958 (Cth</w:t>
      </w:r>
      <w:r w:rsidR="00F97D1D" w:rsidRPr="0070240E">
        <w:rPr>
          <w:rFonts w:cs="Open Sans"/>
        </w:rPr>
        <w:t xml:space="preserve">) </w:t>
      </w:r>
      <w:r w:rsidR="0070240E" w:rsidRPr="0070240E">
        <w:rPr>
          <w:rFonts w:cs="Open Sans"/>
        </w:rPr>
        <w:t>[</w:t>
      </w:r>
      <w:r w:rsidR="00F97D1D" w:rsidRPr="0070240E">
        <w:rPr>
          <w:rFonts w:cs="Open Sans"/>
        </w:rPr>
        <w:t>2021</w:t>
      </w:r>
      <w:r w:rsidR="0070240E" w:rsidRPr="0070240E">
        <w:rPr>
          <w:rFonts w:cs="Open Sans"/>
        </w:rPr>
        <w:t>]</w:t>
      </w:r>
      <w:r w:rsidR="00F97D1D" w:rsidRPr="0070240E">
        <w:rPr>
          <w:rFonts w:cs="Open Sans"/>
        </w:rPr>
        <w:t xml:space="preserve"> </w:t>
      </w:r>
      <w:r w:rsidR="0070240E" w:rsidRPr="0070240E">
        <w:rPr>
          <w:rFonts w:cs="Open Sans"/>
        </w:rPr>
        <w:t>AusHRC 141</w:t>
      </w:r>
      <w:r w:rsidRPr="0070240E">
        <w:rPr>
          <w:rFonts w:cs="Open Sans"/>
        </w:rPr>
        <w:t>.</w:t>
      </w:r>
    </w:p>
  </w:endnote>
  <w:endnote w:id="3">
    <w:p w14:paraId="08EDD451" w14:textId="35C16B3F" w:rsidR="00903A38" w:rsidRPr="00762BDC" w:rsidRDefault="00903A38" w:rsidP="00903A38">
      <w:pPr>
        <w:pStyle w:val="EndnoteText"/>
        <w:rPr>
          <w:rFonts w:cs="Open Sans"/>
        </w:rPr>
      </w:pPr>
      <w:r w:rsidRPr="00762BDC">
        <w:rPr>
          <w:rStyle w:val="EndnoteReference"/>
          <w:rFonts w:cs="Open Sans"/>
        </w:rPr>
        <w:endnoteRef/>
      </w:r>
      <w:r w:rsidRPr="00762BDC">
        <w:rPr>
          <w:rFonts w:cs="Open Sans"/>
        </w:rPr>
        <w:t xml:space="preserve"> Australian Human Rights Commission, </w:t>
      </w:r>
      <w:r w:rsidR="0070240E" w:rsidRPr="0070240E">
        <w:rPr>
          <w:rFonts w:cs="Open Sans"/>
          <w:i/>
          <w:iCs/>
        </w:rPr>
        <w:t>Immigration detention following visa refusal or cancellation under s 501 of the Migration Act 1958 (Cth</w:t>
      </w:r>
      <w:r w:rsidR="0070240E" w:rsidRPr="0070240E">
        <w:rPr>
          <w:rFonts w:cs="Open Sans"/>
        </w:rPr>
        <w:t>) [2021] AusHRC 141</w:t>
      </w:r>
      <w:r w:rsidR="0070240E" w:rsidRPr="00762BDC">
        <w:rPr>
          <w:rFonts w:cs="Open Sans"/>
        </w:rPr>
        <w:t xml:space="preserve"> </w:t>
      </w:r>
      <w:r w:rsidRPr="00762BDC">
        <w:rPr>
          <w:rFonts w:cs="Open Sans"/>
        </w:rPr>
        <w:t>[13].</w:t>
      </w:r>
    </w:p>
  </w:endnote>
  <w:endnote w:id="4">
    <w:p w14:paraId="26F6E88A" w14:textId="6B0AD88C" w:rsidR="00903A38" w:rsidRPr="00762BDC" w:rsidRDefault="00903A38" w:rsidP="00903A38">
      <w:pPr>
        <w:pStyle w:val="EndnoteText"/>
        <w:rPr>
          <w:rFonts w:cs="Open Sans"/>
        </w:rPr>
      </w:pPr>
      <w:r w:rsidRPr="00762BDC">
        <w:rPr>
          <w:rStyle w:val="EndnoteReference"/>
          <w:rFonts w:cs="Open Sans"/>
        </w:rPr>
        <w:endnoteRef/>
      </w:r>
      <w:r w:rsidRPr="00762BDC">
        <w:rPr>
          <w:rFonts w:cs="Open Sans"/>
        </w:rPr>
        <w:t xml:space="preserve"> Australian Human Rights Commission, </w:t>
      </w:r>
      <w:r w:rsidR="0070240E" w:rsidRPr="0070240E">
        <w:rPr>
          <w:rFonts w:cs="Open Sans"/>
          <w:i/>
          <w:iCs/>
        </w:rPr>
        <w:t>Immigration detention following visa refusal or cancellation under s 501 of the Migration Act 1958 (Cth</w:t>
      </w:r>
      <w:r w:rsidR="0070240E" w:rsidRPr="0070240E">
        <w:rPr>
          <w:rFonts w:cs="Open Sans"/>
        </w:rPr>
        <w:t>) [2021] AusHRC 141</w:t>
      </w:r>
      <w:r w:rsidR="0070240E">
        <w:rPr>
          <w:rFonts w:cs="Open Sans"/>
        </w:rPr>
        <w:t xml:space="preserve">, </w:t>
      </w:r>
      <w:r w:rsidRPr="00762BDC">
        <w:rPr>
          <w:rFonts w:cs="Open Sans"/>
        </w:rPr>
        <w:t>Part 4.3.</w:t>
      </w:r>
    </w:p>
  </w:endnote>
  <w:endnote w:id="5">
    <w:p w14:paraId="6943CA0D" w14:textId="2629025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Australian Human Rights</w:t>
      </w:r>
      <w:r w:rsidRPr="00762BDC">
        <w:rPr>
          <w:rFonts w:cs="Open Sans"/>
        </w:rPr>
        <w:t xml:space="preserve"> Commission, Submission</w:t>
      </w:r>
      <w:r>
        <w:rPr>
          <w:rFonts w:cs="Open Sans"/>
        </w:rPr>
        <w:t xml:space="preserve"> No</w:t>
      </w:r>
      <w:r w:rsidR="00845B4F">
        <w:rPr>
          <w:rFonts w:cs="Open Sans"/>
        </w:rPr>
        <w:t>.</w:t>
      </w:r>
      <w:r>
        <w:rPr>
          <w:rFonts w:cs="Open Sans"/>
        </w:rPr>
        <w:t xml:space="preserve"> 11</w:t>
      </w:r>
      <w:r w:rsidRPr="00762BDC">
        <w:rPr>
          <w:rFonts w:cs="Open Sans"/>
        </w:rPr>
        <w:t xml:space="preserve"> to the Joint Standing Committee on Migration</w:t>
      </w:r>
      <w:r>
        <w:rPr>
          <w:rFonts w:cs="Open Sans"/>
        </w:rPr>
        <w:t xml:space="preserve">, </w:t>
      </w:r>
      <w:r w:rsidRPr="00762BDC">
        <w:rPr>
          <w:rFonts w:cs="Open Sans"/>
          <w:i/>
        </w:rPr>
        <w:t>Review processes associated with visa cancellations made on criminal grounds</w:t>
      </w:r>
      <w:r w:rsidRPr="00762BDC">
        <w:rPr>
          <w:rFonts w:cs="Open Sans"/>
        </w:rPr>
        <w:t xml:space="preserve">, </w:t>
      </w:r>
      <w:r>
        <w:rPr>
          <w:rFonts w:cs="Open Sans"/>
        </w:rPr>
        <w:t>(</w:t>
      </w:r>
      <w:r w:rsidRPr="00762BDC">
        <w:rPr>
          <w:rFonts w:cs="Open Sans"/>
        </w:rPr>
        <w:t>27 April 2018</w:t>
      </w:r>
      <w:r>
        <w:rPr>
          <w:rFonts w:cs="Open Sans"/>
        </w:rPr>
        <w:t>)</w:t>
      </w:r>
      <w:r w:rsidRPr="00762BDC">
        <w:rPr>
          <w:rFonts w:cs="Open Sans"/>
        </w:rPr>
        <w:t>.</w:t>
      </w:r>
    </w:p>
  </w:endnote>
  <w:endnote w:id="6">
    <w:p w14:paraId="68AB3F58"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EB6B38">
        <w:rPr>
          <w:rFonts w:cs="Open Sans"/>
        </w:rPr>
        <w:t xml:space="preserve">Human Rights Committee, </w:t>
      </w:r>
      <w:r w:rsidRPr="00EB6B38">
        <w:rPr>
          <w:rFonts w:cs="Open Sans"/>
          <w:i/>
          <w:iCs/>
        </w:rPr>
        <w:t>General Comment No. 35: Article 9 (Liberty and security of person)</w:t>
      </w:r>
      <w:r w:rsidRPr="00EB6B38">
        <w:rPr>
          <w:rFonts w:cs="Open Sans"/>
        </w:rPr>
        <w:t xml:space="preserve">, 112th sess, UN Doc CCPR/C/ GC/35 (16 December 2014) </w:t>
      </w:r>
      <w:r w:rsidRPr="009E700D">
        <w:rPr>
          <w:rFonts w:cs="Open Sans"/>
        </w:rPr>
        <w:t>[21].</w:t>
      </w:r>
    </w:p>
  </w:endnote>
  <w:endnote w:id="7">
    <w:p w14:paraId="0CA9FF05"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022459">
        <w:rPr>
          <w:rFonts w:cs="Open Sans"/>
        </w:rPr>
        <w:t xml:space="preserve">Human Rights Committee, </w:t>
      </w:r>
      <w:r w:rsidRPr="00022459">
        <w:rPr>
          <w:rFonts w:cs="Open Sans"/>
          <w:i/>
          <w:iCs/>
        </w:rPr>
        <w:t>General Comment No. 35: Article 9 (Liberty and security of person)</w:t>
      </w:r>
      <w:r w:rsidRPr="00022459">
        <w:rPr>
          <w:rFonts w:cs="Open Sans"/>
        </w:rPr>
        <w:t xml:space="preserve">, 112th sess, UN Doc CCPR/C/ GC/35 (16 December 2014) </w:t>
      </w:r>
      <w:r w:rsidRPr="00762BDC">
        <w:rPr>
          <w:rFonts w:cs="Open Sans"/>
        </w:rPr>
        <w:t>[18].</w:t>
      </w:r>
    </w:p>
  </w:endnote>
  <w:endnote w:id="8">
    <w:p w14:paraId="70A91371"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rPr>
        <w:t>From 13 April 2017, the Commission’s power to report to the Minister on acts or practices that are inconsistent with human rights is discretionary rather than mandatory. The complainants’ complaints to the Commission were all made after this date and are discretionarily being reported on by the Commission.</w:t>
      </w:r>
    </w:p>
  </w:endnote>
  <w:endnote w:id="9">
    <w:p w14:paraId="215BD1D6"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See </w:t>
      </w:r>
      <w:r w:rsidRPr="006A7992">
        <w:rPr>
          <w:rStyle w:val="Emphasis"/>
          <w:rFonts w:cs="Open Sans"/>
          <w:i/>
          <w:iCs w:val="0"/>
        </w:rPr>
        <w:t>Secretary,</w:t>
      </w:r>
      <w:r w:rsidRPr="00762BDC">
        <w:rPr>
          <w:rStyle w:val="Emphasis"/>
          <w:rFonts w:cs="Open Sans"/>
        </w:rPr>
        <w:t xml:space="preserve"> </w:t>
      </w:r>
      <w:r w:rsidRPr="006A7992">
        <w:rPr>
          <w:rStyle w:val="Emphasis"/>
          <w:rFonts w:cs="Open Sans"/>
          <w:i/>
          <w:iCs w:val="0"/>
        </w:rPr>
        <w:t>Department of Defence v HREOC, Burgess &amp; Ors</w:t>
      </w:r>
      <w:r w:rsidRPr="00762BDC">
        <w:rPr>
          <w:rFonts w:cs="Open Sans"/>
          <w:i/>
          <w:iCs/>
        </w:rPr>
        <w:t xml:space="preserve"> </w:t>
      </w:r>
      <w:r w:rsidRPr="00762BDC">
        <w:rPr>
          <w:rFonts w:cs="Open Sans"/>
        </w:rPr>
        <w:t>(1997) 78 FCR 208, where Branson J found that the Commission could not, in conducting its inquiry, disregard the legal obligations of the Secretary in exercising a</w:t>
      </w:r>
      <w:r>
        <w:rPr>
          <w:rFonts w:cs="Open Sans"/>
        </w:rPr>
        <w:t xml:space="preserve"> </w:t>
      </w:r>
      <w:r w:rsidRPr="004F0427">
        <w:rPr>
          <w:rFonts w:cs="Open Sans"/>
        </w:rPr>
        <w:t xml:space="preserve">statutory power. Note in particular </w:t>
      </w:r>
      <w:r>
        <w:rPr>
          <w:rFonts w:cs="Open Sans"/>
        </w:rPr>
        <w:t>[</w:t>
      </w:r>
      <w:r w:rsidRPr="004F0427">
        <w:rPr>
          <w:rFonts w:cs="Open Sans"/>
        </w:rPr>
        <w:t>212</w:t>
      </w:r>
      <w:r>
        <w:rPr>
          <w:rFonts w:cs="Open Sans"/>
        </w:rPr>
        <w:t>]</w:t>
      </w:r>
      <w:r w:rsidRPr="004F0427">
        <w:rPr>
          <w:rFonts w:cs="Open Sans"/>
        </w:rPr>
        <w:t>-</w:t>
      </w:r>
      <w:r>
        <w:rPr>
          <w:rFonts w:cs="Open Sans"/>
        </w:rPr>
        <w:t>[21</w:t>
      </w:r>
      <w:r w:rsidRPr="004F0427">
        <w:rPr>
          <w:rFonts w:cs="Open Sans"/>
        </w:rPr>
        <w:t>3</w:t>
      </w:r>
      <w:r>
        <w:rPr>
          <w:rFonts w:cs="Open Sans"/>
        </w:rPr>
        <w:t>]</w:t>
      </w:r>
      <w:r w:rsidRPr="004F0427">
        <w:rPr>
          <w:rFonts w:cs="Open Sans"/>
        </w:rPr>
        <w:t xml:space="preserve"> and </w:t>
      </w:r>
      <w:r>
        <w:rPr>
          <w:rFonts w:cs="Open Sans"/>
        </w:rPr>
        <w:t>[</w:t>
      </w:r>
      <w:r w:rsidRPr="004F0427">
        <w:rPr>
          <w:rFonts w:cs="Open Sans"/>
        </w:rPr>
        <w:t>214</w:t>
      </w:r>
      <w:r>
        <w:rPr>
          <w:rFonts w:cs="Open Sans"/>
        </w:rPr>
        <w:t>]</w:t>
      </w:r>
      <w:r w:rsidRPr="004F0427">
        <w:rPr>
          <w:rFonts w:cs="Open Sans"/>
        </w:rPr>
        <w:t>-</w:t>
      </w:r>
      <w:r>
        <w:rPr>
          <w:rFonts w:cs="Open Sans"/>
        </w:rPr>
        <w:t>[21</w:t>
      </w:r>
      <w:r w:rsidRPr="004F0427">
        <w:rPr>
          <w:rFonts w:cs="Open Sans"/>
        </w:rPr>
        <w:t>5</w:t>
      </w:r>
      <w:r>
        <w:rPr>
          <w:rFonts w:cs="Open Sans"/>
        </w:rPr>
        <w:t>]</w:t>
      </w:r>
      <w:r w:rsidRPr="004F0427">
        <w:rPr>
          <w:rFonts w:cs="Open Sans"/>
        </w:rPr>
        <w:t>.</w:t>
      </w:r>
    </w:p>
  </w:endnote>
  <w:endnote w:id="10">
    <w:p w14:paraId="5A8DB4EA"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rPr>
        <w:t xml:space="preserve">Human Rights Committee, </w:t>
      </w:r>
      <w:r w:rsidRPr="00EB6B38">
        <w:rPr>
          <w:rFonts w:cs="Open Sans"/>
          <w:i/>
          <w:iCs/>
        </w:rPr>
        <w:t>General Comment No. 8</w:t>
      </w:r>
      <w:r>
        <w:rPr>
          <w:rFonts w:cs="Open Sans"/>
          <w:i/>
          <w:iCs/>
        </w:rPr>
        <w:t>:</w:t>
      </w:r>
      <w:r w:rsidRPr="00EB6B38">
        <w:rPr>
          <w:rFonts w:cs="Open Sans"/>
          <w:i/>
          <w:iCs/>
        </w:rPr>
        <w:t xml:space="preserve"> Article 9 (Right to liberty and security of persons</w:t>
      </w:r>
      <w:r w:rsidRPr="00762BDC">
        <w:rPr>
          <w:rFonts w:cs="Open Sans"/>
        </w:rPr>
        <w:t xml:space="preserve"> (</w:t>
      </w:r>
      <w:r>
        <w:rPr>
          <w:rFonts w:cs="Open Sans"/>
        </w:rPr>
        <w:t>replaced by General Comment No. 35</w:t>
      </w:r>
      <w:r w:rsidRPr="00762BDC">
        <w:rPr>
          <w:rFonts w:cs="Open Sans"/>
        </w:rPr>
        <w:t>)</w:t>
      </w:r>
      <w:r>
        <w:rPr>
          <w:rFonts w:cs="Open Sans"/>
        </w:rPr>
        <w:t xml:space="preserve"> 16</w:t>
      </w:r>
      <w:r w:rsidRPr="00EB6B38">
        <w:rPr>
          <w:rFonts w:cs="Open Sans"/>
          <w:vertAlign w:val="superscript"/>
        </w:rPr>
        <w:t>th</w:t>
      </w:r>
      <w:r>
        <w:rPr>
          <w:rFonts w:cs="Open Sans"/>
        </w:rPr>
        <w:t xml:space="preserve"> sess, (30 June 1982)</w:t>
      </w:r>
      <w:r w:rsidRPr="00762BDC">
        <w:rPr>
          <w:rFonts w:cs="Open Sans"/>
        </w:rPr>
        <w:t xml:space="preserve">. </w:t>
      </w:r>
      <w:r w:rsidRPr="003E1F5A">
        <w:rPr>
          <w:rFonts w:cs="Open Sans"/>
        </w:rPr>
        <w:t>See also</w:t>
      </w:r>
      <w:r w:rsidRPr="00EB6B38">
        <w:rPr>
          <w:rFonts w:cs="Open Sans"/>
        </w:rPr>
        <w:t xml:space="preserve">: Human Rights Committee, </w:t>
      </w:r>
      <w:r w:rsidRPr="003E1F5A">
        <w:rPr>
          <w:rFonts w:cs="Open Sans"/>
        </w:rPr>
        <w:t xml:space="preserve"> </w:t>
      </w:r>
      <w:r w:rsidRPr="00EB6B38">
        <w:rPr>
          <w:rFonts w:cs="Open Sans"/>
          <w:i/>
          <w:iCs/>
        </w:rPr>
        <w:t>Views: Communication No 560/1993</w:t>
      </w:r>
      <w:r w:rsidRPr="00EB6B38">
        <w:rPr>
          <w:rFonts w:cs="Open Sans"/>
        </w:rPr>
        <w:t>, 59</w:t>
      </w:r>
      <w:r w:rsidRPr="00EB6B38">
        <w:rPr>
          <w:rFonts w:cs="Open Sans"/>
          <w:vertAlign w:val="superscript"/>
        </w:rPr>
        <w:t>th</w:t>
      </w:r>
      <w:r w:rsidRPr="00EB6B38">
        <w:rPr>
          <w:rFonts w:cs="Open Sans"/>
        </w:rPr>
        <w:t xml:space="preserve"> sess, UN Doc CCPR/C/59/D/560/1993 (3 April 1997), (‘</w:t>
      </w:r>
      <w:r w:rsidRPr="00187D5A">
        <w:rPr>
          <w:rFonts w:cs="Open Sans"/>
          <w:i/>
        </w:rPr>
        <w:t>A v Australia</w:t>
      </w:r>
      <w:r w:rsidRPr="00EB6B38">
        <w:rPr>
          <w:rFonts w:cs="Open Sans"/>
        </w:rPr>
        <w:t>’)</w:t>
      </w:r>
      <w:r w:rsidRPr="00187D5A">
        <w:rPr>
          <w:rFonts w:cs="Open Sans"/>
        </w:rPr>
        <w:t xml:space="preserve">; Human Rights Committee, </w:t>
      </w:r>
      <w:r w:rsidRPr="00187D5A">
        <w:rPr>
          <w:rFonts w:cs="Open Sans"/>
          <w:i/>
          <w:iCs/>
        </w:rPr>
        <w:t xml:space="preserve">Views: Communication No. 900/1999, </w:t>
      </w:r>
      <w:r w:rsidRPr="00187D5A">
        <w:rPr>
          <w:rFonts w:cs="Open Sans"/>
        </w:rPr>
        <w:t>77</w:t>
      </w:r>
      <w:r w:rsidRPr="00EB6B38">
        <w:rPr>
          <w:rFonts w:cs="Open Sans"/>
          <w:vertAlign w:val="superscript"/>
        </w:rPr>
        <w:t>th</w:t>
      </w:r>
      <w:r w:rsidRPr="00187D5A">
        <w:rPr>
          <w:rFonts w:cs="Open Sans"/>
        </w:rPr>
        <w:t xml:space="preserve"> sess, </w:t>
      </w:r>
      <w:r w:rsidRPr="00EB6B38">
        <w:rPr>
          <w:rFonts w:cs="Open Sans"/>
        </w:rPr>
        <w:t>UN Doc CCPR/C/76/D/900/1999 (13 November 2002), (‘</w:t>
      </w:r>
      <w:r w:rsidRPr="00187D5A">
        <w:rPr>
          <w:rFonts w:cs="Open Sans"/>
          <w:i/>
        </w:rPr>
        <w:t>C v Australia</w:t>
      </w:r>
      <w:r w:rsidRPr="00EB6B38">
        <w:rPr>
          <w:rFonts w:cs="Open Sans"/>
          <w:i/>
        </w:rPr>
        <w:t>’)</w:t>
      </w:r>
      <w:r w:rsidRPr="00187D5A">
        <w:rPr>
          <w:rFonts w:cs="Open Sans"/>
        </w:rPr>
        <w:t xml:space="preserve">; Human Rights Committee, </w:t>
      </w:r>
      <w:r w:rsidRPr="00187D5A">
        <w:rPr>
          <w:rFonts w:cs="Open Sans"/>
          <w:i/>
          <w:iCs/>
        </w:rPr>
        <w:t xml:space="preserve">Views: Communication No. 1014/2001, </w:t>
      </w:r>
      <w:r w:rsidRPr="00187D5A">
        <w:rPr>
          <w:rFonts w:cs="Open Sans"/>
        </w:rPr>
        <w:t>68</w:t>
      </w:r>
      <w:r w:rsidRPr="00EB6B38">
        <w:rPr>
          <w:rFonts w:cs="Open Sans"/>
          <w:vertAlign w:val="superscript"/>
        </w:rPr>
        <w:t>th</w:t>
      </w:r>
      <w:r w:rsidRPr="00187D5A">
        <w:rPr>
          <w:rFonts w:cs="Open Sans"/>
        </w:rPr>
        <w:t xml:space="preserve"> sess,</w:t>
      </w:r>
      <w:r w:rsidRPr="00187D5A">
        <w:rPr>
          <w:rFonts w:cs="Open Sans"/>
          <w:i/>
          <w:iCs/>
        </w:rPr>
        <w:t xml:space="preserve"> </w:t>
      </w:r>
      <w:r w:rsidRPr="00187D5A">
        <w:rPr>
          <w:rFonts w:cs="Open Sans"/>
        </w:rPr>
        <w:t>UN Doc CCPR/C/78/D/1014/2001</w:t>
      </w:r>
      <w:r w:rsidRPr="00EB6B38">
        <w:rPr>
          <w:rFonts w:cs="Open Sans"/>
        </w:rPr>
        <w:t xml:space="preserve"> (18 September 2003), (‘</w:t>
      </w:r>
      <w:r w:rsidRPr="00EB6B38">
        <w:rPr>
          <w:rFonts w:cs="Open Sans"/>
          <w:i/>
        </w:rPr>
        <w:t>Baban v Australia’).</w:t>
      </w:r>
    </w:p>
  </w:endnote>
  <w:endnote w:id="11">
    <w:p w14:paraId="09625B5D" w14:textId="77777777" w:rsidR="00903A38" w:rsidRPr="004F0427" w:rsidRDefault="00903A38" w:rsidP="00903A38">
      <w:pPr>
        <w:pStyle w:val="EndnoteText"/>
        <w:rPr>
          <w:rFonts w:cs="Open Sans"/>
        </w:rPr>
      </w:pPr>
      <w:r w:rsidRPr="00A15D08">
        <w:rPr>
          <w:rStyle w:val="EndnoteReference"/>
          <w:rFonts w:cs="Open Sans"/>
        </w:rPr>
        <w:endnoteRef/>
      </w:r>
      <w:r w:rsidRPr="00A15D08">
        <w:rPr>
          <w:rFonts w:cs="Open Sans"/>
        </w:rPr>
        <w:t xml:space="preserve"> Human Rights</w:t>
      </w:r>
      <w:r w:rsidRPr="00762BDC">
        <w:rPr>
          <w:rFonts w:cs="Open Sans"/>
        </w:rPr>
        <w:t xml:space="preserve"> Committee, </w:t>
      </w:r>
      <w:r w:rsidRPr="00EB6B38">
        <w:rPr>
          <w:rFonts w:cs="Open Sans"/>
          <w:i/>
          <w:iCs/>
        </w:rPr>
        <w:t>General Comment No. 31: The nature of the general legal obligation imposed on States Parties to the Covenant</w:t>
      </w:r>
      <w:r>
        <w:rPr>
          <w:rFonts w:cs="Open Sans"/>
        </w:rPr>
        <w:t>, 80</w:t>
      </w:r>
      <w:r w:rsidRPr="00EB6B38">
        <w:rPr>
          <w:rFonts w:cs="Open Sans"/>
          <w:vertAlign w:val="superscript"/>
        </w:rPr>
        <w:t>th</w:t>
      </w:r>
      <w:r>
        <w:rPr>
          <w:rFonts w:cs="Open Sans"/>
        </w:rPr>
        <w:t xml:space="preserve"> sess, UN Doc CCPR/21/Rev.1/Add.13</w:t>
      </w:r>
      <w:r w:rsidRPr="00762BDC">
        <w:rPr>
          <w:rFonts w:cs="Open Sans"/>
        </w:rPr>
        <w:t xml:space="preserve"> (</w:t>
      </w:r>
      <w:r>
        <w:rPr>
          <w:rFonts w:cs="Open Sans"/>
        </w:rPr>
        <w:t xml:space="preserve">26 May </w:t>
      </w:r>
      <w:r w:rsidRPr="00762BDC">
        <w:rPr>
          <w:rFonts w:cs="Open Sans"/>
        </w:rPr>
        <w:t>2004)</w:t>
      </w:r>
      <w:r>
        <w:rPr>
          <w:rFonts w:cs="Open Sans"/>
        </w:rPr>
        <w:t>,</w:t>
      </w:r>
      <w:r w:rsidRPr="00762BDC">
        <w:rPr>
          <w:rFonts w:cs="Open Sans"/>
        </w:rPr>
        <w:t xml:space="preserve"> [6]. </w:t>
      </w:r>
      <w:r w:rsidRPr="004F0427">
        <w:rPr>
          <w:rFonts w:cs="Open Sans"/>
        </w:rPr>
        <w:t xml:space="preserve">See also </w:t>
      </w:r>
      <w:r w:rsidRPr="00EB6B38">
        <w:rPr>
          <w:rFonts w:cs="Open Sans"/>
        </w:rPr>
        <w:t xml:space="preserve">Sarah </w:t>
      </w:r>
      <w:r w:rsidRPr="004F0427">
        <w:rPr>
          <w:rFonts w:cs="Open Sans"/>
        </w:rPr>
        <w:t xml:space="preserve">Joseph, </w:t>
      </w:r>
      <w:r w:rsidRPr="00EB6B38">
        <w:rPr>
          <w:rFonts w:cs="Open Sans"/>
        </w:rPr>
        <w:t xml:space="preserve">Jenny </w:t>
      </w:r>
      <w:r w:rsidRPr="004F0427">
        <w:rPr>
          <w:rFonts w:cs="Open Sans"/>
        </w:rPr>
        <w:t xml:space="preserve">Schultz and </w:t>
      </w:r>
      <w:r w:rsidRPr="00EB6B38">
        <w:rPr>
          <w:rFonts w:cs="Open Sans"/>
        </w:rPr>
        <w:t xml:space="preserve">Melissa </w:t>
      </w:r>
      <w:r w:rsidRPr="004F0427">
        <w:rPr>
          <w:rFonts w:cs="Open Sans"/>
        </w:rPr>
        <w:t>Castan</w:t>
      </w:r>
      <w:r w:rsidRPr="00EB6B38">
        <w:rPr>
          <w:rFonts w:cs="Open Sans"/>
        </w:rPr>
        <w:t xml:space="preserve">, </w:t>
      </w:r>
      <w:r w:rsidRPr="00EB6B38">
        <w:rPr>
          <w:rFonts w:cs="Open Sans"/>
          <w:i/>
          <w:iCs/>
        </w:rPr>
        <w:t xml:space="preserve">The International Covenant on Civil and Political Rights Cases, Materials and Commentary, </w:t>
      </w:r>
      <w:r w:rsidRPr="004F0427">
        <w:rPr>
          <w:rFonts w:cs="Open Sans"/>
        </w:rPr>
        <w:t>(</w:t>
      </w:r>
      <w:r w:rsidRPr="00EB6B38">
        <w:rPr>
          <w:rFonts w:cs="Open Sans"/>
        </w:rPr>
        <w:t xml:space="preserve">Oxford University Press, 2nd ed, </w:t>
      </w:r>
      <w:r w:rsidRPr="004F0427">
        <w:rPr>
          <w:rFonts w:cs="Open Sans"/>
        </w:rPr>
        <w:t>2004) 308 at [11.10].</w:t>
      </w:r>
    </w:p>
  </w:endnote>
  <w:endnote w:id="12">
    <w:p w14:paraId="1D57B6E9" w14:textId="77777777" w:rsidR="00903A38" w:rsidRPr="00762BDC" w:rsidRDefault="00903A38" w:rsidP="00903A38">
      <w:pPr>
        <w:pStyle w:val="EndnoteText"/>
        <w:rPr>
          <w:rFonts w:cs="Open Sans"/>
        </w:rPr>
      </w:pPr>
      <w:r w:rsidRPr="004F0427">
        <w:rPr>
          <w:rStyle w:val="EndnoteReference"/>
          <w:rFonts w:cs="Open Sans"/>
        </w:rPr>
        <w:endnoteRef/>
      </w:r>
      <w:r w:rsidRPr="004F0427">
        <w:rPr>
          <w:rFonts w:cs="Open Sans"/>
        </w:rPr>
        <w:t xml:space="preserve"> </w:t>
      </w:r>
      <w:r w:rsidRPr="004F0427">
        <w:rPr>
          <w:rFonts w:cs="Open Sans"/>
          <w:i/>
        </w:rPr>
        <w:t xml:space="preserve">Manga v Attorney-General </w:t>
      </w:r>
      <w:r w:rsidRPr="004F0427">
        <w:rPr>
          <w:rFonts w:cs="Open Sans"/>
        </w:rPr>
        <w:t xml:space="preserve">[2000] 2 NZLR 65 at [40]-[42], (Hammond J). See also the views of the UN Human Rights Committee in </w:t>
      </w:r>
      <w:r w:rsidRPr="004F0427">
        <w:rPr>
          <w:rFonts w:cs="Open Sans"/>
          <w:i/>
          <w:iCs/>
        </w:rPr>
        <w:t>Views: Communication No. 305/1988</w:t>
      </w:r>
      <w:r w:rsidRPr="004F0427">
        <w:rPr>
          <w:rFonts w:cs="Open Sans"/>
        </w:rPr>
        <w:t>, 39th sess, UN Doc CCPR/C/39/D/305/1988</w:t>
      </w:r>
      <w:r w:rsidRPr="003E1F5A">
        <w:rPr>
          <w:rFonts w:cs="Open Sans"/>
        </w:rPr>
        <w:t xml:space="preserve"> (23 July 1990) (‘</w:t>
      </w:r>
      <w:r w:rsidRPr="00022459">
        <w:rPr>
          <w:rFonts w:cs="Open Sans"/>
          <w:i/>
          <w:iCs/>
        </w:rPr>
        <w:t xml:space="preserve">Van </w:t>
      </w:r>
      <w:r w:rsidRPr="003E1F5A">
        <w:rPr>
          <w:rFonts w:cs="Open Sans"/>
          <w:i/>
          <w:iCs/>
        </w:rPr>
        <w:t>Alphen v The Netherlands</w:t>
      </w:r>
      <w:r w:rsidRPr="00022459">
        <w:rPr>
          <w:rFonts w:cs="Open Sans"/>
          <w:i/>
          <w:iCs/>
        </w:rPr>
        <w:t>’</w:t>
      </w:r>
      <w:r w:rsidRPr="003E1F5A">
        <w:rPr>
          <w:rFonts w:cs="Open Sans"/>
        </w:rPr>
        <w:t>)</w:t>
      </w:r>
      <w:r w:rsidRPr="00762BDC">
        <w:rPr>
          <w:rFonts w:cs="Open Sans"/>
        </w:rPr>
        <w:t xml:space="preserve">; </w:t>
      </w:r>
      <w:r w:rsidRPr="00762BDC">
        <w:rPr>
          <w:rFonts w:cs="Open Sans"/>
          <w:i/>
        </w:rPr>
        <w:t>A v Australia</w:t>
      </w:r>
      <w:r>
        <w:rPr>
          <w:rFonts w:cs="Open Sans"/>
        </w:rPr>
        <w:t>,</w:t>
      </w:r>
      <w:r w:rsidRPr="00762BDC">
        <w:rPr>
          <w:rFonts w:cs="Open Sans"/>
        </w:rPr>
        <w:t xml:space="preserve"> UN Doc </w:t>
      </w:r>
      <w:r w:rsidRPr="00207436">
        <w:rPr>
          <w:rFonts w:cs="Open Sans"/>
        </w:rPr>
        <w:t xml:space="preserve">CCPR/C/59/D/560/1993; Human Rights Committee, </w:t>
      </w:r>
      <w:r w:rsidRPr="00207436">
        <w:rPr>
          <w:rFonts w:cs="Open Sans"/>
          <w:i/>
          <w:iCs/>
        </w:rPr>
        <w:t xml:space="preserve">Views: Communication No. 631/1995, </w:t>
      </w:r>
      <w:r w:rsidRPr="00EB6B38">
        <w:rPr>
          <w:rFonts w:cs="Open Sans"/>
        </w:rPr>
        <w:t>UN Doc CCPR/C/67/D/631/1995</w:t>
      </w:r>
      <w:r w:rsidRPr="00207436">
        <w:rPr>
          <w:rFonts w:cs="Open Sans"/>
        </w:rPr>
        <w:t>, (20 March 1997)</w:t>
      </w:r>
      <w:r w:rsidRPr="00207436">
        <w:rPr>
          <w:rFonts w:cs="Open Sans"/>
          <w:i/>
          <w:iCs/>
        </w:rPr>
        <w:t xml:space="preserve"> </w:t>
      </w:r>
      <w:r w:rsidRPr="00207436">
        <w:rPr>
          <w:rFonts w:cs="Open Sans"/>
          <w:i/>
        </w:rPr>
        <w:t>(‘Spakmo v Norway</w:t>
      </w:r>
      <w:r w:rsidRPr="00207436">
        <w:rPr>
          <w:rFonts w:cs="Open Sans"/>
        </w:rPr>
        <w:t>’).</w:t>
      </w:r>
    </w:p>
  </w:endnote>
  <w:endnote w:id="13">
    <w:p w14:paraId="4910BDFE"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i/>
        </w:rPr>
        <w:t>A v Australia</w:t>
      </w:r>
      <w:r>
        <w:rPr>
          <w:rFonts w:cs="Open Sans"/>
        </w:rPr>
        <w:t xml:space="preserve">, </w:t>
      </w:r>
      <w:r w:rsidRPr="00762BDC">
        <w:rPr>
          <w:rFonts w:cs="Open Sans"/>
        </w:rPr>
        <w:t>UN Doc CCPR/C/76/D/900/1993</w:t>
      </w:r>
      <w:r w:rsidRPr="00762BDC">
        <w:rPr>
          <w:rFonts w:cs="Open Sans"/>
          <w:i/>
        </w:rPr>
        <w:t xml:space="preserve"> </w:t>
      </w:r>
      <w:r w:rsidRPr="00762BDC">
        <w:rPr>
          <w:rFonts w:cs="Open Sans"/>
        </w:rPr>
        <w:t>(the fact that the author may abscond if released into the community was not sufficient reason to justify holding the author in immigration detention for four years);</w:t>
      </w:r>
      <w:r w:rsidRPr="00762BDC">
        <w:rPr>
          <w:rFonts w:cs="Open Sans"/>
          <w:i/>
        </w:rPr>
        <w:t xml:space="preserve"> C v Australia</w:t>
      </w:r>
      <w:r>
        <w:rPr>
          <w:rFonts w:cs="Open Sans"/>
        </w:rPr>
        <w:t xml:space="preserve">, </w:t>
      </w:r>
      <w:r w:rsidRPr="00762BDC">
        <w:rPr>
          <w:rFonts w:cs="Open Sans"/>
        </w:rPr>
        <w:t>UN Doc CCPR/C/76/D/900/1999.</w:t>
      </w:r>
    </w:p>
  </w:endnote>
  <w:endnote w:id="14">
    <w:p w14:paraId="22559FB4"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9E700D">
        <w:rPr>
          <w:rFonts w:cs="Open Sans"/>
        </w:rPr>
        <w:t>Human Rights Committee</w:t>
      </w:r>
      <w:r w:rsidRPr="00022459">
        <w:rPr>
          <w:rFonts w:cs="Open Sans"/>
        </w:rPr>
        <w:t xml:space="preserve">, </w:t>
      </w:r>
      <w:r w:rsidRPr="00022459">
        <w:rPr>
          <w:rFonts w:cs="Open Sans"/>
          <w:i/>
          <w:iCs/>
        </w:rPr>
        <w:t>General Comment No. 35: Article 9 (Liberty and security of person)</w:t>
      </w:r>
      <w:r w:rsidRPr="00022459">
        <w:rPr>
          <w:rFonts w:cs="Open Sans"/>
        </w:rPr>
        <w:t>, 112th sess, UN Doc CCPR/C/ GC/35 (16 December 2014)</w:t>
      </w:r>
      <w:r>
        <w:rPr>
          <w:rFonts w:cs="Open Sans"/>
        </w:rPr>
        <w:t xml:space="preserve">, </w:t>
      </w:r>
      <w:r w:rsidRPr="00762BDC">
        <w:rPr>
          <w:rFonts w:cs="Open Sans"/>
        </w:rPr>
        <w:t>[18] footnotes omitted.</w:t>
      </w:r>
    </w:p>
  </w:endnote>
  <w:endnote w:id="15">
    <w:p w14:paraId="49DC7B7B" w14:textId="77777777" w:rsidR="00903A38" w:rsidRPr="000F0800" w:rsidRDefault="00903A38" w:rsidP="00903A38">
      <w:pPr>
        <w:pStyle w:val="EndnoteText"/>
      </w:pPr>
      <w:r w:rsidRPr="003E1F5A">
        <w:rPr>
          <w:rStyle w:val="EndnoteReference"/>
          <w:rFonts w:cs="Open Sans"/>
        </w:rPr>
        <w:endnoteRef/>
      </w:r>
      <w:r w:rsidRPr="00EB6B38">
        <w:rPr>
          <w:rStyle w:val="EndnoteReference"/>
        </w:rPr>
        <w:t xml:space="preserve"> </w:t>
      </w:r>
      <w:r w:rsidRPr="00EB6B38">
        <w:rPr>
          <w:rFonts w:cs="Open Sans"/>
          <w:i/>
          <w:iCs/>
        </w:rPr>
        <w:t xml:space="preserve">Van </w:t>
      </w:r>
      <w:r w:rsidRPr="003E1F5A">
        <w:rPr>
          <w:rFonts w:cs="Open Sans"/>
          <w:i/>
          <w:iCs/>
        </w:rPr>
        <w:t>Alphen v The Netherlands</w:t>
      </w:r>
      <w:r>
        <w:rPr>
          <w:rFonts w:cs="Open Sans"/>
        </w:rPr>
        <w:t>,</w:t>
      </w:r>
      <w:r w:rsidRPr="003E1F5A">
        <w:rPr>
          <w:rFonts w:cs="Open Sans"/>
        </w:rPr>
        <w:t xml:space="preserve"> UN Doc CCPR/C/39/D/305/1988</w:t>
      </w:r>
      <w:r>
        <w:rPr>
          <w:rFonts w:cs="Open Sans"/>
        </w:rPr>
        <w:t>.</w:t>
      </w:r>
    </w:p>
  </w:endnote>
  <w:endnote w:id="16">
    <w:p w14:paraId="2A79F547" w14:textId="77777777" w:rsidR="00903A38" w:rsidRPr="00144457"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rPr>
        <w:t xml:space="preserve">The Hon Scott Morrison MP, Minister for Immigration and Border Protection, </w:t>
      </w:r>
      <w:r w:rsidRPr="00762BDC">
        <w:rPr>
          <w:rFonts w:cs="Open Sans"/>
          <w:i/>
        </w:rPr>
        <w:t>Minister for Immigration and Border Protection’s Residence Determination P</w:t>
      </w:r>
      <w:r w:rsidRPr="00F836B0">
        <w:rPr>
          <w:rFonts w:cs="Open Sans"/>
          <w:i/>
        </w:rPr>
        <w:t>ow</w:t>
      </w:r>
      <w:r w:rsidRPr="00144457">
        <w:rPr>
          <w:rFonts w:cs="Open Sans"/>
          <w:i/>
        </w:rPr>
        <w:t>er under section 197AB and section 197AD of the Migration Act 1958</w:t>
      </w:r>
      <w:r w:rsidRPr="00144457">
        <w:rPr>
          <w:rFonts w:cs="Open Sans"/>
        </w:rPr>
        <w:t>, 18 February 2014. The guidelines are incorporated into the Department’s Procedures Advice Manual.</w:t>
      </w:r>
      <w:r>
        <w:rPr>
          <w:rFonts w:cs="Open Sans"/>
        </w:rPr>
        <w:t xml:space="preserve"> </w:t>
      </w:r>
    </w:p>
  </w:endnote>
  <w:endnote w:id="17">
    <w:p w14:paraId="23C3653C" w14:textId="77777777" w:rsidR="00903A38" w:rsidRPr="00144457"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rPr>
        <w:t xml:space="preserve">The Hon Peter Dutton MP, Minister for Immigration and Border Protection, </w:t>
      </w:r>
      <w:r w:rsidRPr="00762BDC">
        <w:rPr>
          <w:rFonts w:cs="Open Sans"/>
          <w:i/>
        </w:rPr>
        <w:t xml:space="preserve">Minister for </w:t>
      </w:r>
      <w:r w:rsidRPr="00F836B0">
        <w:rPr>
          <w:rFonts w:cs="Open Sans"/>
        </w:rPr>
        <w:t>Immigration</w:t>
      </w:r>
      <w:r w:rsidRPr="00144457">
        <w:rPr>
          <w:rFonts w:cs="Open Sans"/>
          <w:i/>
        </w:rPr>
        <w:t xml:space="preserve"> and Border Protection’s Residence Determination Power under section 197AB and section 197AD of the Migration Act 1958</w:t>
      </w:r>
      <w:r w:rsidRPr="00144457">
        <w:rPr>
          <w:rFonts w:cs="Open Sans"/>
        </w:rPr>
        <w:t>, 29 March 2015. The guidelines are incorporated into the Department’s Procedures Advice Manual.</w:t>
      </w:r>
      <w:r>
        <w:rPr>
          <w:rFonts w:cs="Open Sans"/>
        </w:rPr>
        <w:t xml:space="preserve"> </w:t>
      </w:r>
    </w:p>
  </w:endnote>
  <w:endnote w:id="18">
    <w:p w14:paraId="1A0F6A5E" w14:textId="77777777" w:rsidR="00903A38" w:rsidRPr="00144457"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rPr>
        <w:t xml:space="preserve">The Hon Peter Dutton MP, Minister for Immigration and Border Protection, </w:t>
      </w:r>
      <w:r w:rsidRPr="00762BDC">
        <w:rPr>
          <w:rFonts w:cs="Open Sans"/>
          <w:i/>
        </w:rPr>
        <w:t>Minister for Immigrati</w:t>
      </w:r>
      <w:r w:rsidRPr="00F836B0">
        <w:rPr>
          <w:rFonts w:cs="Open Sans"/>
          <w:i/>
        </w:rPr>
        <w:t>on and Border P</w:t>
      </w:r>
      <w:r w:rsidRPr="00144457">
        <w:rPr>
          <w:rFonts w:cs="Open Sans"/>
          <w:i/>
        </w:rPr>
        <w:t>rotection’s Residence Determination Power under section 197AB and section 197AD of the Migration Act 1958</w:t>
      </w:r>
      <w:r w:rsidRPr="00144457">
        <w:rPr>
          <w:rFonts w:cs="Open Sans"/>
        </w:rPr>
        <w:t>, 21 October 2017. The guidelines are incorporated into the Department’s Procedures Advice Manual.</w:t>
      </w:r>
      <w:r>
        <w:rPr>
          <w:rFonts w:cs="Open Sans"/>
        </w:rPr>
        <w:t xml:space="preserve"> </w:t>
      </w:r>
    </w:p>
  </w:endnote>
  <w:endnote w:id="19">
    <w:p w14:paraId="5C705B22" w14:textId="77777777" w:rsidR="00903A38" w:rsidRPr="00205922" w:rsidRDefault="00903A38" w:rsidP="00903A38">
      <w:pPr>
        <w:pStyle w:val="EndnoteText"/>
        <w:rPr>
          <w:lang w:val="en-US"/>
        </w:rPr>
      </w:pPr>
      <w:r>
        <w:rPr>
          <w:rStyle w:val="EndnoteReference"/>
        </w:rPr>
        <w:endnoteRef/>
      </w:r>
      <w:r>
        <w:t xml:space="preserve"> </w:t>
      </w:r>
      <w:r w:rsidRPr="007D77CD">
        <w:rPr>
          <w:rFonts w:cs="Open Sans"/>
        </w:rPr>
        <w:t xml:space="preserve">The Hon Peter Dutton MP, Minister for Immigration and Border Protection, </w:t>
      </w:r>
      <w:r w:rsidRPr="007D77CD">
        <w:rPr>
          <w:rFonts w:cs="Open Sans"/>
          <w:i/>
          <w:iCs/>
        </w:rPr>
        <w:t>Guidelines on Minister’s detention intervention power under s 195A of the Migration Act 1958</w:t>
      </w:r>
      <w:r w:rsidRPr="007D77CD">
        <w:rPr>
          <w:rFonts w:cs="Open Sans"/>
        </w:rPr>
        <w:t>, 18 August 2017. The guidelines are incorporated into the Department’s Procedures Advice Manual.</w:t>
      </w:r>
    </w:p>
  </w:endnote>
  <w:endnote w:id="20">
    <w:p w14:paraId="5D651006" w14:textId="77777777" w:rsidR="00903A38" w:rsidRPr="00205922" w:rsidRDefault="00903A38" w:rsidP="00903A38">
      <w:pPr>
        <w:pStyle w:val="EndnoteText"/>
        <w:rPr>
          <w:lang w:val="en-US"/>
        </w:rPr>
      </w:pPr>
      <w:r>
        <w:rPr>
          <w:rStyle w:val="EndnoteReference"/>
        </w:rPr>
        <w:endnoteRef/>
      </w:r>
      <w:r>
        <w:t xml:space="preserve"> </w:t>
      </w:r>
      <w:r w:rsidRPr="007D77CD">
        <w:rPr>
          <w:rFonts w:cs="Open Sans"/>
        </w:rPr>
        <w:t>Explanatory Memorandum</w:t>
      </w:r>
      <w:r>
        <w:rPr>
          <w:rFonts w:cs="Open Sans"/>
        </w:rPr>
        <w:t>,</w:t>
      </w:r>
      <w:r w:rsidRPr="007D77CD">
        <w:rPr>
          <w:rFonts w:cs="Open Sans"/>
        </w:rPr>
        <w:t xml:space="preserve"> Statement for Compatibility with Human Rights, Migration Amendment (Character and General Visa Cancellation) Bill 2014, Attachment A [6].</w:t>
      </w:r>
    </w:p>
  </w:endnote>
  <w:endnote w:id="21">
    <w:p w14:paraId="0924ACDF" w14:textId="6660A012" w:rsidR="00903A38" w:rsidRPr="00DA7DFB" w:rsidRDefault="00903A38" w:rsidP="00903A38">
      <w:pPr>
        <w:pStyle w:val="EndnoteText"/>
        <w:rPr>
          <w:lang w:val="en-US"/>
        </w:rPr>
      </w:pPr>
      <w:r>
        <w:rPr>
          <w:rStyle w:val="EndnoteReference"/>
        </w:rPr>
        <w:endnoteRef/>
      </w:r>
      <w:r>
        <w:t xml:space="preserve"> </w:t>
      </w:r>
      <w:r w:rsidRPr="00762BDC">
        <w:rPr>
          <w:rFonts w:cs="Open Sans"/>
        </w:rPr>
        <w:t xml:space="preserve">Australian Human Rights Commission, </w:t>
      </w:r>
      <w:r w:rsidR="0070240E" w:rsidRPr="0070240E">
        <w:rPr>
          <w:rFonts w:cs="Open Sans"/>
          <w:i/>
          <w:iCs/>
        </w:rPr>
        <w:t>Immigration detention following visa refusal or cancellation under s 501 of the Migration Act 1958 (Cth</w:t>
      </w:r>
      <w:r w:rsidR="0070240E" w:rsidRPr="0070240E">
        <w:rPr>
          <w:rFonts w:cs="Open Sans"/>
        </w:rPr>
        <w:t>) [2021] AusHRC 141</w:t>
      </w:r>
      <w:r w:rsidR="0070240E">
        <w:rPr>
          <w:rFonts w:cs="Open Sans"/>
        </w:rPr>
        <w:t xml:space="preserve">, </w:t>
      </w:r>
      <w:r>
        <w:rPr>
          <w:rFonts w:cs="Open Sans"/>
        </w:rPr>
        <w:t xml:space="preserve">Part 5.2. </w:t>
      </w:r>
    </w:p>
  </w:endnote>
  <w:endnote w:id="22">
    <w:p w14:paraId="5F088FB2"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Letter fr</w:t>
      </w:r>
      <w:r w:rsidRPr="00762BDC">
        <w:rPr>
          <w:rFonts w:cs="Open Sans"/>
        </w:rPr>
        <w:t>om the Department to the Commission dated 27 April 2018.</w:t>
      </w:r>
    </w:p>
  </w:endnote>
  <w:endnote w:id="23">
    <w:p w14:paraId="667D91B4" w14:textId="77777777" w:rsidR="00903A38" w:rsidRPr="00F836B0"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i/>
        </w:rPr>
        <w:t>PHNR and Minister for Immigration and Border Protection (Migration)</w:t>
      </w:r>
      <w:r w:rsidRPr="00762BDC">
        <w:rPr>
          <w:rFonts w:cs="Open Sans"/>
        </w:rPr>
        <w:t xml:space="preserve"> [2017] AATA 1742 (10 October 2017) at [28] and [</w:t>
      </w:r>
      <w:r w:rsidRPr="00F836B0">
        <w:rPr>
          <w:rFonts w:cs="Open Sans"/>
        </w:rPr>
        <w:t>33].</w:t>
      </w:r>
    </w:p>
  </w:endnote>
  <w:endnote w:id="24">
    <w:p w14:paraId="7A4B91C2" w14:textId="77777777" w:rsidR="00903A38" w:rsidRPr="00144457" w:rsidRDefault="00903A38" w:rsidP="00903A38">
      <w:pPr>
        <w:pStyle w:val="EndnoteText"/>
        <w:rPr>
          <w:rFonts w:cs="Open Sans"/>
        </w:rPr>
      </w:pPr>
      <w:r w:rsidRPr="00A15D08">
        <w:rPr>
          <w:rStyle w:val="EndnoteReference"/>
          <w:rFonts w:cs="Open Sans"/>
        </w:rPr>
        <w:endnoteRef/>
      </w:r>
      <w:r w:rsidRPr="00A15D08">
        <w:rPr>
          <w:rFonts w:cs="Open Sans"/>
        </w:rPr>
        <w:t xml:space="preserve"> I note that</w:t>
      </w:r>
      <w:r w:rsidRPr="00762BDC">
        <w:rPr>
          <w:rFonts w:cs="Open Sans"/>
        </w:rPr>
        <w:t xml:space="preserve"> his age varies in different sources of information, with some stating that he was 19 </w:t>
      </w:r>
      <w:r w:rsidRPr="00F836B0">
        <w:rPr>
          <w:rFonts w:cs="Open Sans"/>
        </w:rPr>
        <w:t>years old upon arri</w:t>
      </w:r>
      <w:r w:rsidRPr="00144457">
        <w:rPr>
          <w:rFonts w:cs="Open Sans"/>
        </w:rPr>
        <w:t>ving in Australia.</w:t>
      </w:r>
    </w:p>
  </w:endnote>
  <w:endnote w:id="25">
    <w:p w14:paraId="4023CAD8" w14:textId="77777777" w:rsidR="00903A38" w:rsidRPr="00762BDC" w:rsidRDefault="00903A38" w:rsidP="00903A38">
      <w:pPr>
        <w:pStyle w:val="EndnoteText"/>
        <w:rPr>
          <w:rFonts w:cs="Open Sans"/>
        </w:rPr>
      </w:pPr>
      <w:r w:rsidRPr="00762BDC">
        <w:rPr>
          <w:rStyle w:val="EndnoteReference"/>
          <w:rFonts w:cs="Open Sans"/>
        </w:rPr>
        <w:endnoteRef/>
      </w:r>
      <w:r w:rsidRPr="00762BDC">
        <w:rPr>
          <w:rFonts w:cs="Open Sans"/>
        </w:rPr>
        <w:t xml:space="preserve"> </w:t>
      </w:r>
      <w:r w:rsidRPr="00762BDC">
        <w:rPr>
          <w:rFonts w:cs="Open Sans"/>
          <w:i/>
          <w:iCs/>
        </w:rPr>
        <w:t>HYPR v Minister for Immigration and Border Protection</w:t>
      </w:r>
      <w:r w:rsidRPr="00762BDC">
        <w:rPr>
          <w:rFonts w:cs="Open Sans"/>
        </w:rPr>
        <w:t xml:space="preserve"> [2016] AATA 864 [</w:t>
      </w:r>
      <w:r w:rsidRPr="00A15D08">
        <w:rPr>
          <w:rFonts w:cs="Open Sans"/>
        </w:rPr>
        <w:t>10</w:t>
      </w:r>
      <w:r w:rsidRPr="00762BDC">
        <w:rPr>
          <w:rFonts w:cs="Open Sans"/>
        </w:rPr>
        <w:t>].</w:t>
      </w:r>
    </w:p>
  </w:endnote>
  <w:endnote w:id="26">
    <w:p w14:paraId="3829949D"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i/>
          <w:iCs/>
        </w:rPr>
        <w:t>HYPR v Minister for Immigration and Border Protection</w:t>
      </w:r>
      <w:r w:rsidRPr="00762BDC">
        <w:rPr>
          <w:rFonts w:cs="Open Sans"/>
        </w:rPr>
        <w:t xml:space="preserve"> [2016] AATA 864 [9].</w:t>
      </w:r>
    </w:p>
  </w:endnote>
  <w:endnote w:id="27">
    <w:p w14:paraId="2E372434" w14:textId="0F0C1D1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Questionnai</w:t>
      </w:r>
      <w:r w:rsidRPr="00762BDC">
        <w:rPr>
          <w:rFonts w:cs="Open Sans"/>
        </w:rPr>
        <w:t xml:space="preserve">re addressed to the UN Working Group of Arbitrary Detention completed by Mr </w:t>
      </w:r>
      <w:r w:rsidR="008D0DAE">
        <w:rPr>
          <w:rFonts w:cs="Open Sans"/>
        </w:rPr>
        <w:t>NT</w:t>
      </w:r>
      <w:r w:rsidRPr="00762BDC">
        <w:rPr>
          <w:rFonts w:cs="Open Sans"/>
        </w:rPr>
        <w:t>’s legal representative on his behalf, dated 16 August 2017.</w:t>
      </w:r>
    </w:p>
  </w:endnote>
  <w:endnote w:id="28">
    <w:p w14:paraId="14749837" w14:textId="77777777" w:rsidR="00903A38" w:rsidRPr="00762BDC" w:rsidRDefault="00903A38" w:rsidP="00903A38">
      <w:pPr>
        <w:pStyle w:val="EndnoteText"/>
        <w:rPr>
          <w:rFonts w:cs="Open Sans"/>
        </w:rPr>
      </w:pPr>
      <w:r w:rsidRPr="00762BDC">
        <w:rPr>
          <w:rStyle w:val="EndnoteReference"/>
          <w:rFonts w:cs="Open Sans"/>
        </w:rPr>
        <w:endnoteRef/>
      </w:r>
      <w:r w:rsidRPr="00762BDC">
        <w:rPr>
          <w:rFonts w:cs="Open Sans"/>
        </w:rPr>
        <w:t xml:space="preserve"> </w:t>
      </w:r>
      <w:r w:rsidRPr="00A15D08">
        <w:rPr>
          <w:rFonts w:cs="Open Sans"/>
          <w:i/>
          <w:iCs/>
        </w:rPr>
        <w:t>HYPR v Minister for Immigration and B</w:t>
      </w:r>
      <w:r w:rsidRPr="00762BDC">
        <w:rPr>
          <w:rFonts w:cs="Open Sans"/>
          <w:i/>
          <w:iCs/>
        </w:rPr>
        <w:t>order Protection</w:t>
      </w:r>
      <w:r w:rsidRPr="00762BDC">
        <w:rPr>
          <w:rFonts w:cs="Open Sans"/>
        </w:rPr>
        <w:t xml:space="preserve"> [2016] AATA 864 [17].</w:t>
      </w:r>
    </w:p>
  </w:endnote>
  <w:endnote w:id="29">
    <w:p w14:paraId="580027BB" w14:textId="77777777" w:rsidR="00903A38" w:rsidRPr="00762BDC" w:rsidRDefault="00903A38" w:rsidP="00903A38">
      <w:pPr>
        <w:pStyle w:val="EndnoteText"/>
        <w:rPr>
          <w:rFonts w:cs="Open Sans"/>
        </w:rPr>
      </w:pPr>
      <w:r w:rsidRPr="00762BDC">
        <w:rPr>
          <w:rStyle w:val="EndnoteReference"/>
          <w:rFonts w:cs="Open Sans"/>
        </w:rPr>
        <w:endnoteRef/>
      </w:r>
      <w:r w:rsidRPr="00762BDC">
        <w:rPr>
          <w:rFonts w:cs="Open Sans"/>
        </w:rPr>
        <w:t xml:space="preserve"> </w:t>
      </w:r>
      <w:r w:rsidRPr="00A15D08">
        <w:rPr>
          <w:rFonts w:cs="Open Sans"/>
          <w:i/>
          <w:iCs/>
        </w:rPr>
        <w:t>HYPR v Minister for Immigration and B</w:t>
      </w:r>
      <w:r w:rsidRPr="00762BDC">
        <w:rPr>
          <w:rFonts w:cs="Open Sans"/>
          <w:i/>
          <w:iCs/>
        </w:rPr>
        <w:t>order Protection</w:t>
      </w:r>
      <w:r w:rsidRPr="00762BDC">
        <w:rPr>
          <w:rFonts w:cs="Open Sans"/>
        </w:rPr>
        <w:t xml:space="preserve"> [2016] AATA 864 [3</w:t>
      </w:r>
      <w:r>
        <w:rPr>
          <w:rFonts w:cs="Open Sans"/>
        </w:rPr>
        <w:t>0</w:t>
      </w:r>
      <w:r w:rsidRPr="00762BDC">
        <w:rPr>
          <w:rFonts w:cs="Open Sans"/>
        </w:rPr>
        <w:t>].</w:t>
      </w:r>
    </w:p>
  </w:endnote>
  <w:endnote w:id="30">
    <w:p w14:paraId="19012227" w14:textId="77777777" w:rsidR="00903A38" w:rsidRPr="00762BDC" w:rsidRDefault="00903A38" w:rsidP="00903A38">
      <w:pPr>
        <w:pStyle w:val="EndnoteText"/>
        <w:rPr>
          <w:rFonts w:cs="Open Sans"/>
        </w:rPr>
      </w:pPr>
      <w:r w:rsidRPr="00A15D08">
        <w:rPr>
          <w:rStyle w:val="EndnoteReference"/>
          <w:rFonts w:cs="Open Sans"/>
        </w:rPr>
        <w:endnoteRef/>
      </w:r>
      <w:r w:rsidRPr="00A15D08">
        <w:rPr>
          <w:rFonts w:cs="Open Sans"/>
        </w:rPr>
        <w:t xml:space="preserve"> </w:t>
      </w:r>
      <w:r w:rsidRPr="00762BDC">
        <w:rPr>
          <w:rFonts w:cs="Open Sans"/>
          <w:i/>
        </w:rPr>
        <w:t>AZAFQ v MIBP</w:t>
      </w:r>
      <w:r w:rsidRPr="00762BDC">
        <w:rPr>
          <w:rFonts w:cs="Open Sans"/>
        </w:rPr>
        <w:t xml:space="preserve"> [2016] FCAFC 105.</w:t>
      </w:r>
    </w:p>
  </w:endnote>
  <w:endnote w:id="31">
    <w:p w14:paraId="5B87F740" w14:textId="77777777" w:rsidR="00903A38" w:rsidRPr="00762BDC" w:rsidRDefault="00903A38" w:rsidP="00903A38">
      <w:pPr>
        <w:pStyle w:val="EndnoteText"/>
        <w:rPr>
          <w:rFonts w:cs="Open Sans"/>
        </w:rPr>
      </w:pPr>
      <w:r w:rsidRPr="00762BDC">
        <w:rPr>
          <w:rStyle w:val="EndnoteReference"/>
          <w:rFonts w:cs="Open Sans"/>
        </w:rPr>
        <w:endnoteRef/>
      </w:r>
      <w:r w:rsidRPr="00762BDC">
        <w:rPr>
          <w:rFonts w:cs="Open Sans"/>
        </w:rPr>
        <w:t xml:space="preserve"> </w:t>
      </w:r>
      <w:r w:rsidRPr="00A15D08">
        <w:rPr>
          <w:rFonts w:cs="Open Sans"/>
          <w:i/>
          <w:iCs/>
        </w:rPr>
        <w:t>HY</w:t>
      </w:r>
      <w:r w:rsidRPr="00762BDC">
        <w:rPr>
          <w:rFonts w:cs="Open Sans"/>
          <w:i/>
          <w:iCs/>
        </w:rPr>
        <w:t>PR v Minister for Immigration and Border Protection</w:t>
      </w:r>
      <w:r w:rsidRPr="00762BDC">
        <w:rPr>
          <w:rFonts w:cs="Open Sans"/>
        </w:rPr>
        <w:t xml:space="preserve"> [2016] AATA 864 [53].</w:t>
      </w:r>
    </w:p>
  </w:endnote>
  <w:endnote w:id="32">
    <w:p w14:paraId="0A253E3A" w14:textId="02AB4612" w:rsidR="00903A38" w:rsidRPr="00296C90" w:rsidRDefault="00903A38" w:rsidP="00903A38">
      <w:pPr>
        <w:pStyle w:val="EndnoteText"/>
        <w:rPr>
          <w:rFonts w:cs="Open Sans"/>
        </w:rPr>
      </w:pPr>
      <w:r w:rsidRPr="00A15D08">
        <w:rPr>
          <w:rStyle w:val="EndnoteReference"/>
          <w:rFonts w:cs="Open Sans"/>
        </w:rPr>
        <w:endnoteRef/>
      </w:r>
      <w:r w:rsidRPr="00A15D08">
        <w:rPr>
          <w:rFonts w:cs="Open Sans"/>
        </w:rPr>
        <w:t xml:space="preserve"> In a</w:t>
      </w:r>
      <w:r w:rsidRPr="00762BDC">
        <w:rPr>
          <w:rFonts w:cs="Open Sans"/>
        </w:rPr>
        <w:t xml:space="preserve">n undated case report (date redacted), there is a note that on 29 December 2016, </w:t>
      </w:r>
      <w:r w:rsidRPr="00296C90">
        <w:rPr>
          <w:rFonts w:cs="Open Sans"/>
        </w:rPr>
        <w:t>Mr </w:t>
      </w:r>
      <w:r w:rsidR="008D0DAE">
        <w:rPr>
          <w:rFonts w:cs="Open Sans"/>
        </w:rPr>
        <w:t>NT’s</w:t>
      </w:r>
      <w:r w:rsidRPr="00296C90">
        <w:rPr>
          <w:rFonts w:cs="Open Sans"/>
        </w:rPr>
        <w:t xml:space="preserve"> case was </w:t>
      </w:r>
      <w:r>
        <w:rPr>
          <w:rFonts w:cs="Open Sans"/>
        </w:rPr>
        <w:t>‘</w:t>
      </w:r>
      <w:r w:rsidRPr="00296C90">
        <w:rPr>
          <w:rFonts w:cs="Open Sans"/>
        </w:rPr>
        <w:t>referred to WA removals – Invol</w:t>
      </w:r>
      <w:r>
        <w:rPr>
          <w:rFonts w:cs="Open Sans"/>
        </w:rPr>
        <w:t>’</w:t>
      </w:r>
      <w:r w:rsidRPr="00296C90">
        <w:rPr>
          <w:rFonts w:cs="Open Sans"/>
        </w:rPr>
        <w:t xml:space="preserve">. </w:t>
      </w:r>
    </w:p>
  </w:endnote>
  <w:endnote w:id="33">
    <w:p w14:paraId="51D0E0BB" w14:textId="7CDD0CCC" w:rsidR="00903A38" w:rsidRPr="00EB6B38" w:rsidRDefault="00903A38" w:rsidP="00903A38">
      <w:pPr>
        <w:pStyle w:val="EndnoteText"/>
        <w:rPr>
          <w:rFonts w:cs="Open Sans"/>
        </w:rPr>
      </w:pPr>
      <w:r w:rsidRPr="00EB6B38">
        <w:rPr>
          <w:rStyle w:val="EndnoteReference"/>
          <w:rFonts w:cs="Open Sans"/>
        </w:rPr>
        <w:endnoteRef/>
      </w:r>
      <w:r w:rsidRPr="00EB6B38">
        <w:rPr>
          <w:rFonts w:cs="Open Sans"/>
        </w:rPr>
        <w:t xml:space="preserve"> </w:t>
      </w:r>
      <w:r w:rsidRPr="00296C90">
        <w:rPr>
          <w:rFonts w:cs="Open Sans"/>
        </w:rPr>
        <w:t xml:space="preserve">Human Rights Council, </w:t>
      </w:r>
      <w:r w:rsidRPr="00296C90">
        <w:rPr>
          <w:rFonts w:cs="Open Sans"/>
          <w:i/>
          <w:iCs/>
        </w:rPr>
        <w:t>Report of the Working Group on Arbitrary Detention: Opinion No. 20/2018</w:t>
      </w:r>
      <w:r w:rsidR="00792BC4">
        <w:rPr>
          <w:rFonts w:cs="Open Sans"/>
          <w:i/>
          <w:iCs/>
        </w:rPr>
        <w:t>,</w:t>
      </w:r>
      <w:r w:rsidRPr="00296C90">
        <w:rPr>
          <w:rFonts w:cs="Open Sans"/>
          <w:i/>
          <w:iCs/>
        </w:rPr>
        <w:t xml:space="preserve"> </w:t>
      </w:r>
      <w:r w:rsidRPr="00296C90">
        <w:rPr>
          <w:rFonts w:cs="Open Sans"/>
        </w:rPr>
        <w:t xml:space="preserve">UN Doc A/HRC/WGAD/2018/20, (20 June 2018). </w:t>
      </w:r>
    </w:p>
  </w:endnote>
  <w:endnote w:id="34">
    <w:p w14:paraId="554A3F79" w14:textId="4740F282" w:rsidR="00903A38" w:rsidRPr="00515B36" w:rsidRDefault="00903A38" w:rsidP="00903A38">
      <w:pPr>
        <w:pStyle w:val="EndnoteText"/>
        <w:rPr>
          <w:rFonts w:cs="Open Sans"/>
        </w:rPr>
      </w:pPr>
      <w:r>
        <w:rPr>
          <w:rStyle w:val="EndnoteReference"/>
        </w:rPr>
        <w:endnoteRef/>
      </w:r>
      <w:r>
        <w:t xml:space="preserve"> </w:t>
      </w:r>
      <w:r w:rsidRPr="00296C90">
        <w:rPr>
          <w:rFonts w:cs="Open Sans"/>
        </w:rPr>
        <w:t xml:space="preserve">Human Rights Council, </w:t>
      </w:r>
      <w:r w:rsidRPr="00296C90">
        <w:rPr>
          <w:rFonts w:cs="Open Sans"/>
          <w:i/>
          <w:iCs/>
        </w:rPr>
        <w:t>Report of the Working Group on Arbitrary Detention: Opinion No. 20/2018</w:t>
      </w:r>
      <w:r w:rsidR="00792BC4">
        <w:rPr>
          <w:rFonts w:cs="Open Sans"/>
          <w:i/>
          <w:iCs/>
        </w:rPr>
        <w:t>,</w:t>
      </w:r>
      <w:r w:rsidRPr="00296C90">
        <w:rPr>
          <w:rFonts w:cs="Open Sans"/>
          <w:i/>
          <w:iCs/>
        </w:rPr>
        <w:t xml:space="preserve"> </w:t>
      </w:r>
      <w:r w:rsidRPr="00296C90">
        <w:rPr>
          <w:rFonts w:cs="Open Sans"/>
        </w:rPr>
        <w:t>UN Doc A/HRC/WGAD/2018/20, (20 June 2018)</w:t>
      </w:r>
      <w:r>
        <w:rPr>
          <w:rFonts w:cs="Open Sans"/>
        </w:rPr>
        <w:t xml:space="preserve"> [71].</w:t>
      </w:r>
    </w:p>
  </w:endnote>
  <w:endnote w:id="35">
    <w:p w14:paraId="1C71E11F" w14:textId="21A43D92" w:rsidR="00903A38" w:rsidRPr="00515B36" w:rsidRDefault="00903A38" w:rsidP="00903A38">
      <w:pPr>
        <w:pStyle w:val="EndnoteText"/>
        <w:rPr>
          <w:rFonts w:cs="Open Sans"/>
        </w:rPr>
      </w:pPr>
      <w:r>
        <w:rPr>
          <w:rStyle w:val="EndnoteReference"/>
        </w:rPr>
        <w:endnoteRef/>
      </w:r>
      <w:r>
        <w:t xml:space="preserve"> </w:t>
      </w:r>
      <w:r w:rsidRPr="00296C90">
        <w:rPr>
          <w:rFonts w:cs="Open Sans"/>
        </w:rPr>
        <w:t xml:space="preserve">Human Rights Council, </w:t>
      </w:r>
      <w:r w:rsidRPr="00296C90">
        <w:rPr>
          <w:rFonts w:cs="Open Sans"/>
          <w:i/>
          <w:iCs/>
        </w:rPr>
        <w:t>Report of the Working Group on Arbitrary Detention: Opinion No. 20/2018,</w:t>
      </w:r>
      <w:r w:rsidRPr="00296C90">
        <w:rPr>
          <w:rFonts w:cs="Open Sans"/>
        </w:rPr>
        <w:t xml:space="preserve"> UN Doc A/HRC/WGAD/2018/20, (20 June 2018)</w:t>
      </w:r>
      <w:r>
        <w:rPr>
          <w:rFonts w:cs="Open Sans"/>
        </w:rPr>
        <w:t xml:space="preserve"> [68].</w:t>
      </w:r>
    </w:p>
  </w:endnote>
  <w:endnote w:id="36">
    <w:p w14:paraId="57D625C5" w14:textId="34DAC36F" w:rsidR="00903A38" w:rsidRPr="00515B36" w:rsidRDefault="00903A38" w:rsidP="00903A38">
      <w:pPr>
        <w:pStyle w:val="EndnoteText"/>
        <w:rPr>
          <w:rFonts w:cs="Open Sans"/>
        </w:rPr>
      </w:pPr>
      <w:r>
        <w:rPr>
          <w:rStyle w:val="EndnoteReference"/>
        </w:rPr>
        <w:endnoteRef/>
      </w:r>
      <w:r>
        <w:t xml:space="preserve"> </w:t>
      </w:r>
      <w:r w:rsidRPr="00296C90">
        <w:rPr>
          <w:rFonts w:cs="Open Sans"/>
        </w:rPr>
        <w:t xml:space="preserve">Human Rights Council, </w:t>
      </w:r>
      <w:r w:rsidRPr="00296C90">
        <w:rPr>
          <w:rFonts w:cs="Open Sans"/>
          <w:i/>
          <w:iCs/>
        </w:rPr>
        <w:t>Report of the Working Group on Arbitrary Detention: Opinion No. 20/2018,</w:t>
      </w:r>
      <w:r w:rsidRPr="00296C90">
        <w:rPr>
          <w:rFonts w:cs="Open Sans"/>
        </w:rPr>
        <w:t xml:space="preserve"> UN Doc A/HRC/WGAD/2018/20, (20 June 2018)</w:t>
      </w:r>
      <w:r>
        <w:rPr>
          <w:rFonts w:cs="Open Sans"/>
        </w:rPr>
        <w:t xml:space="preserve"> [72-73].</w:t>
      </w:r>
    </w:p>
  </w:endnote>
  <w:endnote w:id="37">
    <w:p w14:paraId="4D73E9A8" w14:textId="77777777" w:rsidR="00903A38" w:rsidRPr="00296C90" w:rsidRDefault="00903A38" w:rsidP="00903A38">
      <w:pPr>
        <w:pStyle w:val="EndnoteText"/>
        <w:rPr>
          <w:rFonts w:cs="Open Sans"/>
        </w:rPr>
      </w:pPr>
      <w:r w:rsidRPr="00296C90">
        <w:rPr>
          <w:rStyle w:val="EndnoteReference"/>
          <w:rFonts w:cs="Open Sans"/>
        </w:rPr>
        <w:endnoteRef/>
      </w:r>
      <w:r w:rsidRPr="00296C90">
        <w:rPr>
          <w:rFonts w:cs="Open Sans"/>
        </w:rPr>
        <w:t xml:space="preserve"> Australian Security Intelligence Organisation, </w:t>
      </w:r>
      <w:r w:rsidRPr="00296C90">
        <w:rPr>
          <w:rFonts w:cs="Open Sans"/>
          <w:i/>
          <w:iCs/>
        </w:rPr>
        <w:t>ASIO Annual report 2017-18</w:t>
      </w:r>
      <w:r w:rsidRPr="00296C90">
        <w:rPr>
          <w:rFonts w:cs="Open Sans"/>
        </w:rPr>
        <w:t xml:space="preserve"> (</w:t>
      </w:r>
      <w:r>
        <w:rPr>
          <w:rFonts w:cs="Open Sans"/>
        </w:rPr>
        <w:t xml:space="preserve">Report, 28 September </w:t>
      </w:r>
      <w:r w:rsidRPr="00296C90">
        <w:rPr>
          <w:rFonts w:cs="Open Sans"/>
        </w:rPr>
        <w:t>2018) 126</w:t>
      </w:r>
      <w:r>
        <w:rPr>
          <w:rFonts w:cs="Open Sans"/>
        </w:rPr>
        <w:t>.</w:t>
      </w:r>
      <w:r w:rsidRPr="00296C90">
        <w:rPr>
          <w:rFonts w:cs="Open Sans"/>
        </w:rPr>
        <w:t xml:space="preserve"> </w:t>
      </w:r>
      <w:r>
        <w:rPr>
          <w:rFonts w:cs="Open Sans"/>
        </w:rPr>
        <w:t>S</w:t>
      </w:r>
      <w:r w:rsidRPr="00296C90">
        <w:rPr>
          <w:rFonts w:cs="Open Sans"/>
        </w:rPr>
        <w:t xml:space="preserve">ee also </w:t>
      </w:r>
      <w:r>
        <w:rPr>
          <w:rFonts w:cs="Open Sans"/>
        </w:rPr>
        <w:t xml:space="preserve">the </w:t>
      </w:r>
      <w:r w:rsidRPr="00296C90">
        <w:rPr>
          <w:rFonts w:cs="Open Sans"/>
        </w:rPr>
        <w:t xml:space="preserve">definition of ‘qualified security assessment’ in the </w:t>
      </w:r>
      <w:r w:rsidRPr="00296C90">
        <w:rPr>
          <w:rFonts w:cs="Open Sans"/>
          <w:i/>
          <w:iCs/>
        </w:rPr>
        <w:t xml:space="preserve">Australian Security Intelligence Organisation Act 1979 </w:t>
      </w:r>
      <w:r w:rsidRPr="00296C90">
        <w:rPr>
          <w:rFonts w:cs="Open Sans"/>
        </w:rPr>
        <w:t>(Cth)</w:t>
      </w:r>
      <w:r>
        <w:rPr>
          <w:rFonts w:cs="Open Sans"/>
        </w:rPr>
        <w:t xml:space="preserve"> s 35</w:t>
      </w:r>
      <w:r w:rsidRPr="00296C90">
        <w:rPr>
          <w:rFonts w:cs="Open Sans"/>
        </w:rPr>
        <w:t>.</w:t>
      </w:r>
    </w:p>
  </w:endnote>
  <w:endnote w:id="38">
    <w:p w14:paraId="72D7ABDE" w14:textId="33812735" w:rsidR="00903A38" w:rsidRPr="00515B36" w:rsidRDefault="00903A38" w:rsidP="00903A38">
      <w:pPr>
        <w:pStyle w:val="EndnoteText"/>
        <w:rPr>
          <w:rFonts w:cs="Open Sans"/>
        </w:rPr>
      </w:pPr>
      <w:r>
        <w:rPr>
          <w:rStyle w:val="EndnoteReference"/>
        </w:rPr>
        <w:endnoteRef/>
      </w:r>
      <w:r>
        <w:t xml:space="preserve"> </w:t>
      </w:r>
      <w:r w:rsidRPr="00296C90">
        <w:rPr>
          <w:rFonts w:cs="Open Sans"/>
        </w:rPr>
        <w:t xml:space="preserve">Human Rights Council, </w:t>
      </w:r>
      <w:r w:rsidRPr="00296C90">
        <w:rPr>
          <w:rFonts w:cs="Open Sans"/>
          <w:i/>
          <w:iCs/>
        </w:rPr>
        <w:t>Report of the Working Group on Arbitrary Detention: Opinion No. 2</w:t>
      </w:r>
      <w:r>
        <w:rPr>
          <w:rFonts w:cs="Open Sans"/>
          <w:i/>
          <w:iCs/>
        </w:rPr>
        <w:t>8</w:t>
      </w:r>
      <w:r w:rsidRPr="00296C90">
        <w:rPr>
          <w:rFonts w:cs="Open Sans"/>
          <w:i/>
          <w:iCs/>
        </w:rPr>
        <w:t>/201</w:t>
      </w:r>
      <w:r>
        <w:rPr>
          <w:rFonts w:cs="Open Sans"/>
          <w:i/>
          <w:iCs/>
        </w:rPr>
        <w:t>7</w:t>
      </w:r>
      <w:r w:rsidRPr="00296C90">
        <w:rPr>
          <w:rFonts w:cs="Open Sans"/>
          <w:i/>
          <w:iCs/>
        </w:rPr>
        <w:t>,</w:t>
      </w:r>
      <w:r w:rsidRPr="00296C90">
        <w:rPr>
          <w:rFonts w:cs="Open Sans"/>
        </w:rPr>
        <w:t xml:space="preserve"> UN Doc A/HRC/WGAD/201</w:t>
      </w:r>
      <w:r>
        <w:rPr>
          <w:rFonts w:cs="Open Sans"/>
        </w:rPr>
        <w:t>7</w:t>
      </w:r>
      <w:r w:rsidRPr="00296C90">
        <w:rPr>
          <w:rFonts w:cs="Open Sans"/>
        </w:rPr>
        <w:t>/2</w:t>
      </w:r>
      <w:r>
        <w:rPr>
          <w:rFonts w:cs="Open Sans"/>
        </w:rPr>
        <w:t>8</w:t>
      </w:r>
      <w:r w:rsidRPr="00296C90">
        <w:rPr>
          <w:rFonts w:cs="Open Sans"/>
        </w:rPr>
        <w:t>, (</w:t>
      </w:r>
      <w:r>
        <w:rPr>
          <w:rFonts w:cs="Open Sans"/>
        </w:rPr>
        <w:t>16</w:t>
      </w:r>
      <w:r w:rsidRPr="00296C90">
        <w:rPr>
          <w:rFonts w:cs="Open Sans"/>
        </w:rPr>
        <w:t xml:space="preserve"> June 201</w:t>
      </w:r>
      <w:r>
        <w:rPr>
          <w:rFonts w:cs="Open Sans"/>
        </w:rPr>
        <w:t>7</w:t>
      </w:r>
      <w:r w:rsidRPr="00296C90">
        <w:rPr>
          <w:rFonts w:cs="Open Sans"/>
        </w:rPr>
        <w:t>)</w:t>
      </w:r>
      <w:r>
        <w:rPr>
          <w:rFonts w:cs="Open Sans"/>
        </w:rPr>
        <w:t>.</w:t>
      </w:r>
    </w:p>
  </w:endnote>
  <w:endnote w:id="39">
    <w:p w14:paraId="56E95BAF" w14:textId="67B9CD81" w:rsidR="00903A38" w:rsidRPr="00515B36" w:rsidRDefault="00903A38" w:rsidP="00903A38">
      <w:pPr>
        <w:pStyle w:val="EndnoteText"/>
        <w:rPr>
          <w:lang w:val="en-US"/>
        </w:rPr>
      </w:pPr>
      <w:r>
        <w:rPr>
          <w:rStyle w:val="EndnoteReference"/>
        </w:rPr>
        <w:endnoteRef/>
      </w:r>
      <w:r>
        <w:t xml:space="preserve"> </w:t>
      </w:r>
      <w:r w:rsidRPr="00296C90">
        <w:rPr>
          <w:rFonts w:cs="Open Sans"/>
        </w:rPr>
        <w:t xml:space="preserve">Human Rights Council, </w:t>
      </w:r>
      <w:r w:rsidRPr="00296C90">
        <w:rPr>
          <w:rFonts w:cs="Open Sans"/>
          <w:i/>
          <w:iCs/>
        </w:rPr>
        <w:t>Report of the Working Group on Arbitrary Detention: Opinion No. 2</w:t>
      </w:r>
      <w:r>
        <w:rPr>
          <w:rFonts w:cs="Open Sans"/>
          <w:i/>
          <w:iCs/>
        </w:rPr>
        <w:t>8</w:t>
      </w:r>
      <w:r w:rsidRPr="00296C90">
        <w:rPr>
          <w:rFonts w:cs="Open Sans"/>
          <w:i/>
          <w:iCs/>
        </w:rPr>
        <w:t>/201</w:t>
      </w:r>
      <w:r>
        <w:rPr>
          <w:rFonts w:cs="Open Sans"/>
          <w:i/>
          <w:iCs/>
        </w:rPr>
        <w:t>7</w:t>
      </w:r>
      <w:r w:rsidRPr="00296C90">
        <w:rPr>
          <w:rFonts w:cs="Open Sans"/>
          <w:i/>
          <w:iCs/>
        </w:rPr>
        <w:t>,</w:t>
      </w:r>
      <w:r w:rsidRPr="00296C90">
        <w:rPr>
          <w:rFonts w:cs="Open Sans"/>
        </w:rPr>
        <w:t xml:space="preserve"> UN Doc A/HRC/WGAD/201</w:t>
      </w:r>
      <w:r>
        <w:rPr>
          <w:rFonts w:cs="Open Sans"/>
        </w:rPr>
        <w:t>7</w:t>
      </w:r>
      <w:r w:rsidRPr="00296C90">
        <w:rPr>
          <w:rFonts w:cs="Open Sans"/>
        </w:rPr>
        <w:t>/2</w:t>
      </w:r>
      <w:r>
        <w:rPr>
          <w:rFonts w:cs="Open Sans"/>
        </w:rPr>
        <w:t>8</w:t>
      </w:r>
      <w:r w:rsidRPr="00296C90">
        <w:rPr>
          <w:rFonts w:cs="Open Sans"/>
        </w:rPr>
        <w:t>, (</w:t>
      </w:r>
      <w:r>
        <w:rPr>
          <w:rFonts w:cs="Open Sans"/>
        </w:rPr>
        <w:t>16</w:t>
      </w:r>
      <w:r w:rsidRPr="00296C90">
        <w:rPr>
          <w:rFonts w:cs="Open Sans"/>
        </w:rPr>
        <w:t xml:space="preserve"> June 201</w:t>
      </w:r>
      <w:r>
        <w:rPr>
          <w:rFonts w:cs="Open Sans"/>
        </w:rPr>
        <w:t>7</w:t>
      </w:r>
      <w:r w:rsidRPr="00296C90">
        <w:rPr>
          <w:rFonts w:cs="Open Sans"/>
        </w:rPr>
        <w:t>)</w:t>
      </w:r>
      <w:r>
        <w:rPr>
          <w:rFonts w:cs="Open Sans"/>
        </w:rPr>
        <w:t xml:space="preserve"> [41].</w:t>
      </w:r>
    </w:p>
  </w:endnote>
  <w:endnote w:id="40">
    <w:p w14:paraId="516F221D" w14:textId="519EBFBF" w:rsidR="00903A38" w:rsidRPr="00515B36" w:rsidRDefault="00903A38" w:rsidP="00903A38">
      <w:pPr>
        <w:pStyle w:val="EndnoteText"/>
        <w:rPr>
          <w:lang w:val="en-US"/>
        </w:rPr>
      </w:pPr>
      <w:r>
        <w:rPr>
          <w:rStyle w:val="EndnoteReference"/>
        </w:rPr>
        <w:endnoteRef/>
      </w:r>
      <w:r>
        <w:t xml:space="preserve"> </w:t>
      </w:r>
      <w:r w:rsidRPr="00296C90">
        <w:rPr>
          <w:rFonts w:cs="Open Sans"/>
        </w:rPr>
        <w:t xml:space="preserve">Human Rights Council, </w:t>
      </w:r>
      <w:r w:rsidRPr="00296C90">
        <w:rPr>
          <w:rFonts w:cs="Open Sans"/>
          <w:i/>
          <w:iCs/>
        </w:rPr>
        <w:t>Report of the Working Group on Arbitrary Detention: Opinion No. 2</w:t>
      </w:r>
      <w:r>
        <w:rPr>
          <w:rFonts w:cs="Open Sans"/>
          <w:i/>
          <w:iCs/>
        </w:rPr>
        <w:t>8</w:t>
      </w:r>
      <w:r w:rsidRPr="00296C90">
        <w:rPr>
          <w:rFonts w:cs="Open Sans"/>
          <w:i/>
          <w:iCs/>
        </w:rPr>
        <w:t>/201</w:t>
      </w:r>
      <w:r>
        <w:rPr>
          <w:rFonts w:cs="Open Sans"/>
          <w:i/>
          <w:iCs/>
        </w:rPr>
        <w:t>7</w:t>
      </w:r>
      <w:r w:rsidRPr="00296C90">
        <w:rPr>
          <w:rFonts w:cs="Open Sans"/>
          <w:i/>
          <w:iCs/>
        </w:rPr>
        <w:t>,</w:t>
      </w:r>
      <w:r w:rsidRPr="00296C90">
        <w:rPr>
          <w:rFonts w:cs="Open Sans"/>
        </w:rPr>
        <w:t xml:space="preserve"> UN Doc A/HRC/WGAD/201</w:t>
      </w:r>
      <w:r>
        <w:rPr>
          <w:rFonts w:cs="Open Sans"/>
        </w:rPr>
        <w:t>7</w:t>
      </w:r>
      <w:r w:rsidRPr="00296C90">
        <w:rPr>
          <w:rFonts w:cs="Open Sans"/>
        </w:rPr>
        <w:t>/2</w:t>
      </w:r>
      <w:r>
        <w:rPr>
          <w:rFonts w:cs="Open Sans"/>
        </w:rPr>
        <w:t>8</w:t>
      </w:r>
      <w:r w:rsidRPr="00296C90">
        <w:rPr>
          <w:rFonts w:cs="Open Sans"/>
        </w:rPr>
        <w:t>, (</w:t>
      </w:r>
      <w:r>
        <w:rPr>
          <w:rFonts w:cs="Open Sans"/>
        </w:rPr>
        <w:t>16</w:t>
      </w:r>
      <w:r w:rsidRPr="00296C90">
        <w:rPr>
          <w:rFonts w:cs="Open Sans"/>
        </w:rPr>
        <w:t xml:space="preserve"> June 201</w:t>
      </w:r>
      <w:r>
        <w:rPr>
          <w:rFonts w:cs="Open Sans"/>
        </w:rPr>
        <w:t>7</w:t>
      </w:r>
      <w:r w:rsidRPr="00296C90">
        <w:rPr>
          <w:rFonts w:cs="Open Sans"/>
        </w:rPr>
        <w:t>)</w:t>
      </w:r>
      <w:r>
        <w:rPr>
          <w:rFonts w:cs="Open Sans"/>
        </w:rPr>
        <w:t xml:space="preserve"> [42-43].</w:t>
      </w:r>
    </w:p>
  </w:endnote>
  <w:endnote w:id="41">
    <w:p w14:paraId="2F7C8EB3" w14:textId="77777777" w:rsidR="00903A38" w:rsidRPr="00296C90" w:rsidRDefault="00903A38" w:rsidP="00903A38">
      <w:pPr>
        <w:pStyle w:val="EndnoteText"/>
        <w:tabs>
          <w:tab w:val="left" w:pos="284"/>
        </w:tabs>
        <w:ind w:left="284" w:hanging="284"/>
        <w:rPr>
          <w:rStyle w:val="EndnoteReference"/>
          <w:rFonts w:cs="Open Sans"/>
        </w:rPr>
      </w:pPr>
      <w:r w:rsidRPr="00296C90">
        <w:rPr>
          <w:rStyle w:val="EndnoteReference"/>
          <w:rFonts w:cs="Open Sans"/>
        </w:rPr>
        <w:endnoteRef/>
      </w:r>
      <w:r w:rsidRPr="00296C90">
        <w:rPr>
          <w:rStyle w:val="EndnoteReference"/>
          <w:rFonts w:cs="Open Sans"/>
        </w:rPr>
        <w:t xml:space="preserve"> </w:t>
      </w:r>
      <w:r w:rsidRPr="00296C90">
        <w:rPr>
          <w:rStyle w:val="EndnoteReference"/>
          <w:rFonts w:cs="Open Sans"/>
        </w:rPr>
        <w:tab/>
      </w:r>
      <w:r w:rsidRPr="00296C90">
        <w:rPr>
          <w:rFonts w:cs="Open Sans"/>
          <w:i/>
        </w:rPr>
        <w:t xml:space="preserve">Australian Human Rights Commission Act 1986 </w:t>
      </w:r>
      <w:r w:rsidRPr="00296C90">
        <w:rPr>
          <w:rFonts w:cs="Open Sans"/>
          <w:iCs/>
        </w:rPr>
        <w:t>(Cth)</w:t>
      </w:r>
      <w:r w:rsidRPr="00296C90">
        <w:rPr>
          <w:rFonts w:cs="Open Sans"/>
          <w:i/>
        </w:rPr>
        <w:t xml:space="preserve"> </w:t>
      </w:r>
      <w:r w:rsidRPr="00515B36">
        <w:rPr>
          <w:rFonts w:cs="Open Sans"/>
          <w:iCs/>
        </w:rPr>
        <w:t>s</w:t>
      </w:r>
      <w:r w:rsidRPr="00296C90">
        <w:rPr>
          <w:rStyle w:val="EndnoteReference"/>
          <w:rFonts w:cs="Open Sans"/>
        </w:rPr>
        <w:t xml:space="preserve"> </w:t>
      </w:r>
      <w:r w:rsidRPr="00296C90">
        <w:rPr>
          <w:rFonts w:cs="Open Sans"/>
        </w:rPr>
        <w:t>29(2)(a).</w:t>
      </w:r>
    </w:p>
  </w:endnote>
  <w:endnote w:id="42">
    <w:p w14:paraId="587B2C89" w14:textId="77777777" w:rsidR="00903A38" w:rsidRPr="00296C90" w:rsidRDefault="00903A38" w:rsidP="00903A38">
      <w:pPr>
        <w:pStyle w:val="EndnoteText"/>
        <w:tabs>
          <w:tab w:val="left" w:pos="284"/>
        </w:tabs>
        <w:ind w:left="284" w:hanging="284"/>
        <w:rPr>
          <w:rStyle w:val="EndnoteReference"/>
          <w:rFonts w:cs="Open Sans"/>
        </w:rPr>
      </w:pPr>
      <w:r w:rsidRPr="00296C90">
        <w:rPr>
          <w:rStyle w:val="EndnoteReference"/>
          <w:rFonts w:cs="Open Sans"/>
        </w:rPr>
        <w:endnoteRef/>
      </w:r>
      <w:r w:rsidRPr="00296C90">
        <w:rPr>
          <w:rStyle w:val="EndnoteReference"/>
          <w:rFonts w:cs="Open Sans"/>
        </w:rPr>
        <w:t xml:space="preserve"> </w:t>
      </w:r>
      <w:r w:rsidRPr="00296C90">
        <w:rPr>
          <w:rStyle w:val="EndnoteReference"/>
          <w:rFonts w:cs="Open Sans"/>
        </w:rPr>
        <w:tab/>
      </w:r>
      <w:r w:rsidRPr="00296C90">
        <w:rPr>
          <w:rFonts w:cs="Open Sans"/>
          <w:i/>
        </w:rPr>
        <w:t xml:space="preserve">Australian Human Rights Commission Act 1986 </w:t>
      </w:r>
      <w:r w:rsidRPr="00296C90">
        <w:rPr>
          <w:rFonts w:cs="Open Sans"/>
          <w:iCs/>
        </w:rPr>
        <w:t>(Cth)</w:t>
      </w:r>
      <w:r w:rsidRPr="00296C90">
        <w:rPr>
          <w:rFonts w:cs="Open Sans"/>
          <w:i/>
        </w:rPr>
        <w:t xml:space="preserve"> </w:t>
      </w:r>
      <w:r w:rsidRPr="00296C90">
        <w:rPr>
          <w:rFonts w:cs="Open Sans"/>
        </w:rPr>
        <w:t>s 29(2)(b).</w:t>
      </w:r>
    </w:p>
  </w:endnote>
  <w:endnote w:id="43">
    <w:p w14:paraId="086876DD" w14:textId="77777777" w:rsidR="00903A38" w:rsidRPr="00AB19FC" w:rsidRDefault="00903A38" w:rsidP="00903A38">
      <w:pPr>
        <w:pStyle w:val="EndnoteText"/>
        <w:tabs>
          <w:tab w:val="left" w:pos="284"/>
        </w:tabs>
        <w:ind w:left="284" w:hanging="284"/>
        <w:rPr>
          <w:rFonts w:cs="Open Sans"/>
        </w:rPr>
      </w:pPr>
      <w:r w:rsidRPr="00296C90">
        <w:rPr>
          <w:rStyle w:val="EndnoteReference"/>
          <w:rFonts w:cs="Open Sans"/>
        </w:rPr>
        <w:endnoteRef/>
      </w:r>
      <w:r w:rsidRPr="00296C90">
        <w:rPr>
          <w:rStyle w:val="EndnoteReference"/>
          <w:rFonts w:cs="Open Sans"/>
        </w:rPr>
        <w:t xml:space="preserve"> </w:t>
      </w:r>
      <w:r w:rsidRPr="00296C90">
        <w:rPr>
          <w:rStyle w:val="EndnoteReference"/>
          <w:rFonts w:cs="Open Sans"/>
        </w:rPr>
        <w:tab/>
      </w:r>
      <w:r w:rsidRPr="00296C90">
        <w:rPr>
          <w:rFonts w:cs="Open Sans"/>
          <w:i/>
        </w:rPr>
        <w:t>Australian Human Rights</w:t>
      </w:r>
      <w:r w:rsidRPr="00AB19FC">
        <w:rPr>
          <w:rFonts w:cs="Open Sans"/>
          <w:i/>
        </w:rPr>
        <w:t xml:space="preserve"> Commission Act 1986</w:t>
      </w:r>
      <w:r w:rsidRPr="00AB19FC">
        <w:rPr>
          <w:rFonts w:cs="Open Sans"/>
        </w:rPr>
        <w:t xml:space="preserve"> (Cth) s 29(2)(c). </w:t>
      </w:r>
    </w:p>
  </w:endnote>
  <w:endnote w:id="44">
    <w:p w14:paraId="2AA4AFC3" w14:textId="15B407E2" w:rsidR="00903A38" w:rsidRPr="00762BDC" w:rsidRDefault="00903A38" w:rsidP="00903A38">
      <w:pPr>
        <w:pStyle w:val="EndnoteText"/>
        <w:rPr>
          <w:rFonts w:cs="Open Sans"/>
        </w:rPr>
      </w:pPr>
      <w:r>
        <w:rPr>
          <w:rStyle w:val="EndnoteReference"/>
        </w:rPr>
        <w:endnoteRef/>
      </w:r>
      <w:r>
        <w:t xml:space="preserve"> </w:t>
      </w:r>
      <w:r w:rsidRPr="00EB6B38">
        <w:rPr>
          <w:rFonts w:cs="Open Sans"/>
          <w:lang w:val="en-US"/>
        </w:rPr>
        <w:t xml:space="preserve">See Recommendations 1 – 6, </w:t>
      </w:r>
      <w:r w:rsidRPr="00AB3D0B">
        <w:rPr>
          <w:rFonts w:cs="Open Sans"/>
        </w:rPr>
        <w:t>Austra</w:t>
      </w:r>
      <w:r w:rsidRPr="00D85C02">
        <w:rPr>
          <w:rFonts w:cs="Open Sans"/>
        </w:rPr>
        <w:t xml:space="preserve">lian </w:t>
      </w:r>
      <w:r w:rsidRPr="00762BDC">
        <w:rPr>
          <w:rFonts w:cs="Open Sans"/>
        </w:rPr>
        <w:t xml:space="preserve">Human Rights Commission, </w:t>
      </w:r>
      <w:r w:rsidR="0070240E" w:rsidRPr="0070240E">
        <w:rPr>
          <w:rFonts w:cs="Open Sans"/>
          <w:i/>
          <w:iCs/>
        </w:rPr>
        <w:t>Immigration detention following visa refusal or cancellation under s 501 of the Migration Act 1958 (Cth</w:t>
      </w:r>
      <w:r w:rsidR="0070240E" w:rsidRPr="0070240E">
        <w:rPr>
          <w:rFonts w:cs="Open Sans"/>
        </w:rPr>
        <w:t>) [2021] AusHRC 141</w:t>
      </w:r>
      <w:r w:rsidRPr="00762BDC">
        <w:rPr>
          <w:rFonts w:cs="Open Sans"/>
        </w:rPr>
        <w:t>.</w:t>
      </w:r>
    </w:p>
    <w:p w14:paraId="0AF79D84" w14:textId="77777777" w:rsidR="00903A38" w:rsidRPr="007D7C3B" w:rsidRDefault="00903A38" w:rsidP="00903A38">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14:paraId="6B6615E6"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30919" w14:textId="77777777" w:rsidR="00DC343B" w:rsidRDefault="00DC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198158"/>
      <w:docPartObj>
        <w:docPartGallery w:val="Page Numbers (Bottom of Page)"/>
        <w:docPartUnique/>
      </w:docPartObj>
    </w:sdtPr>
    <w:sdtEndPr>
      <w:rPr>
        <w:noProof/>
      </w:rPr>
    </w:sdtEndPr>
    <w:sdtContent>
      <w:p w14:paraId="6254964F" w14:textId="2F9A87B6" w:rsidR="002B0D81" w:rsidRDefault="002B0D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3183C9" w14:textId="248A225A" w:rsidR="00DA1D32" w:rsidRDefault="00DA1D32" w:rsidP="00E53546">
    <w:pPr>
      <w:pStyle w:val="FooterOdd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14:paraId="595EB6E7"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9B9BE7"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8FF4" w14:textId="77777777" w:rsidR="00B90F5F" w:rsidRDefault="00B90F5F" w:rsidP="00F14C6D">
      <w:r>
        <w:separator/>
      </w:r>
    </w:p>
  </w:footnote>
  <w:footnote w:type="continuationSeparator" w:id="0">
    <w:p w14:paraId="39117F87" w14:textId="77777777" w:rsidR="00B90F5F" w:rsidRDefault="00B90F5F" w:rsidP="00F14C6D">
      <w:r>
        <w:continuationSeparator/>
      </w:r>
    </w:p>
  </w:footnote>
  <w:footnote w:type="continuationNotice" w:id="1">
    <w:p w14:paraId="58A7F669" w14:textId="77777777" w:rsidR="00B90F5F" w:rsidRDefault="00B90F5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1116" w14:textId="77777777" w:rsidR="00BF6406" w:rsidRPr="00902EC3" w:rsidRDefault="00BF6406" w:rsidP="00902EC3">
    <w:pPr>
      <w:pStyle w:val="Header"/>
    </w:pPr>
    <w:bookmarkStart w:id="69" w:name="_Hlk514672172"/>
    <w:bookmarkStart w:id="70" w:name="_Hlk514672173"/>
    <w:r w:rsidRPr="00902EC3">
      <w:t>Australian Human Rights Commission</w:t>
    </w:r>
  </w:p>
  <w:bookmarkEnd w:id="69"/>
  <w:bookmarkEnd w:id="70"/>
  <w:p w14:paraId="12D2615F" w14:textId="32927D6B" w:rsidR="002F5E96" w:rsidRPr="000465F1" w:rsidRDefault="00995037" w:rsidP="002F5E96">
    <w:pPr>
      <w:pStyle w:val="HeaderDocumentDate"/>
    </w:pPr>
    <w:r>
      <w:rPr>
        <w:rStyle w:val="Reporttitleinheader"/>
      </w:rPr>
      <w:t xml:space="preserve">The detention of refugees following visa refusal or cancellation under s 501 of the </w:t>
    </w:r>
    <w:r w:rsidRPr="00995037">
      <w:rPr>
        <w:rStyle w:val="Reporttitleinheader"/>
        <w:i/>
        <w:iCs/>
      </w:rPr>
      <w:t>Migration Act 1958</w:t>
    </w:r>
    <w:r>
      <w:rPr>
        <w:rStyle w:val="Reporttitleinheader"/>
      </w:rPr>
      <w:t xml:space="preserve"> (Cth) </w:t>
    </w:r>
    <w:r w:rsidR="009B1CCE">
      <w:fldChar w:fldCharType="begin"/>
    </w:r>
    <w:r w:rsidR="009B1CCE">
      <w:instrText xml:space="preserve"> CREATEDATE  \@ "MMMM yyyy"  \* MERGEFORMAT </w:instrText>
    </w:r>
    <w:r w:rsidR="009B1CCE">
      <w:fldChar w:fldCharType="separate"/>
    </w:r>
    <w:r w:rsidR="00A54DCE">
      <w:rPr>
        <w:noProof/>
      </w:rPr>
      <w:t>March</w:t>
    </w:r>
    <w:r>
      <w:rPr>
        <w:noProof/>
      </w:rPr>
      <w:t xml:space="preserve"> 202</w:t>
    </w:r>
    <w:r w:rsidR="009B1CCE">
      <w:fldChar w:fldCharType="end"/>
    </w:r>
    <w:r w:rsidR="00A20EE8">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5F71" w14:textId="77777777" w:rsidR="0063009F" w:rsidRPr="00F51ECD" w:rsidRDefault="0063009F" w:rsidP="0063009F">
    <w:pPr>
      <w:pStyle w:val="Header"/>
      <w:rPr>
        <w:sz w:val="22"/>
        <w:szCs w:val="22"/>
      </w:rPr>
    </w:pPr>
    <w:r w:rsidRPr="00F51ECD">
      <w:rPr>
        <w:sz w:val="22"/>
        <w:szCs w:val="22"/>
      </w:rPr>
      <w:t>Australian Human Rights Commission</w:t>
    </w:r>
  </w:p>
  <w:p w14:paraId="54EC47C5" w14:textId="77777777" w:rsidR="0063009F" w:rsidRPr="000465F1" w:rsidRDefault="00A92D96" w:rsidP="0063009F">
    <w:pPr>
      <w:pStyle w:val="HeaderDocumentDate"/>
    </w:pPr>
    <w:r>
      <w:rPr>
        <w:rStyle w:val="Reporttitleinheader"/>
      </w:rPr>
      <w:t>Report title</w:t>
    </w:r>
    <w:r w:rsidR="0063009F">
      <w:t xml:space="preserve"> </w:t>
    </w:r>
    <w:r w:rsidR="009B1CCE">
      <w:fldChar w:fldCharType="begin"/>
    </w:r>
    <w:r w:rsidR="009B1CCE">
      <w:instrText xml:space="preserve"> CREATEDATE  \@ "MMMM yyyy"  \* MERGEFORMAT </w:instrText>
    </w:r>
    <w:r w:rsidR="009B1CCE">
      <w:fldChar w:fldCharType="separate"/>
    </w:r>
    <w:r w:rsidR="00995037">
      <w:rPr>
        <w:noProof/>
      </w:rPr>
      <w:t>November 2021</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E050F50"/>
    <w:multiLevelType w:val="hybridMultilevel"/>
    <w:tmpl w:val="1FA458E6"/>
    <w:styleLink w:val="ImportedStyle30"/>
    <w:lvl w:ilvl="0" w:tplc="DB445D1A">
      <w:start w:val="1"/>
      <w:numFmt w:val="bullet"/>
      <w:lvlText w:val="•"/>
      <w:lvlJc w:val="left"/>
      <w:pPr>
        <w:tabs>
          <w:tab w:val="left" w:pos="1440"/>
        </w:tabs>
        <w:ind w:left="432" w:hanging="43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286292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E4C5C44">
      <w:start w:val="1"/>
      <w:numFmt w:val="bullet"/>
      <w:lvlText w:val="·"/>
      <w:lvlJc w:val="left"/>
      <w:pPr>
        <w:tabs>
          <w:tab w:val="left" w:pos="144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E04A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440228">
      <w:start w:val="1"/>
      <w:numFmt w:val="bullet"/>
      <w:lvlText w:val="·"/>
      <w:lvlJc w:val="left"/>
      <w:pPr>
        <w:tabs>
          <w:tab w:val="left" w:pos="1440"/>
        </w:tabs>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36C2E76">
      <w:start w:val="1"/>
      <w:numFmt w:val="bullet"/>
      <w:lvlText w:val="·"/>
      <w:lvlJc w:val="left"/>
      <w:pPr>
        <w:tabs>
          <w:tab w:val="left" w:pos="1440"/>
        </w:tabs>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1CB834">
      <w:start w:val="1"/>
      <w:numFmt w:val="bullet"/>
      <w:lvlText w:val="·"/>
      <w:lvlJc w:val="left"/>
      <w:pPr>
        <w:tabs>
          <w:tab w:val="left" w:pos="14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C4BFC">
      <w:start w:val="1"/>
      <w:numFmt w:val="bullet"/>
      <w:lvlText w:val="·"/>
      <w:lvlJc w:val="left"/>
      <w:pPr>
        <w:tabs>
          <w:tab w:val="left" w:pos="1440"/>
        </w:tabs>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E6ADEA2">
      <w:start w:val="1"/>
      <w:numFmt w:val="bullet"/>
      <w:lvlText w:val="·"/>
      <w:lvlJc w:val="left"/>
      <w:pPr>
        <w:tabs>
          <w:tab w:val="left" w:pos="1440"/>
        </w:tabs>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04363D"/>
    <w:multiLevelType w:val="hybridMultilevel"/>
    <w:tmpl w:val="0CAED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C1B7FCD"/>
    <w:multiLevelType w:val="hybridMultilevel"/>
    <w:tmpl w:val="63620CA0"/>
    <w:styleLink w:val="ImportedStyle3"/>
    <w:lvl w:ilvl="0" w:tplc="C66EF07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9029150">
      <w:start w:val="1"/>
      <w:numFmt w:val="decimal"/>
      <w:lvlText w:val="%2."/>
      <w:lvlJc w:val="left"/>
      <w:pPr>
        <w:tabs>
          <w:tab w:val="left" w:pos="720"/>
        </w:tabs>
        <w:ind w:left="1440" w:hanging="517"/>
      </w:pPr>
      <w:rPr>
        <w:rFonts w:hAnsi="Arial Unicode MS"/>
        <w:caps w:val="0"/>
        <w:smallCaps w:val="0"/>
        <w:strike w:val="0"/>
        <w:dstrike w:val="0"/>
        <w:outline w:val="0"/>
        <w:emboss w:val="0"/>
        <w:imprint w:val="0"/>
        <w:spacing w:val="0"/>
        <w:w w:val="100"/>
        <w:kern w:val="0"/>
        <w:position w:val="0"/>
        <w:highlight w:val="none"/>
        <w:vertAlign w:val="baseline"/>
      </w:rPr>
    </w:lvl>
    <w:lvl w:ilvl="2" w:tplc="49BAB57E">
      <w:start w:val="1"/>
      <w:numFmt w:val="lowerRoman"/>
      <w:lvlText w:val="%3."/>
      <w:lvlJc w:val="left"/>
      <w:pPr>
        <w:tabs>
          <w:tab w:val="left" w:pos="72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1442DD0">
      <w:start w:val="1"/>
      <w:numFmt w:val="lowerRoman"/>
      <w:lvlText w:val="%4."/>
      <w:lvlJc w:val="left"/>
      <w:pPr>
        <w:tabs>
          <w:tab w:val="left" w:pos="720"/>
        </w:tabs>
        <w:ind w:left="2880"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EDF09F1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1AE6CE">
      <w:start w:val="1"/>
      <w:numFmt w:val="lowerRoman"/>
      <w:lvlText w:val="%6."/>
      <w:lvlJc w:val="left"/>
      <w:pPr>
        <w:tabs>
          <w:tab w:val="left" w:pos="72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3B8A9B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04DC0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F21F14">
      <w:start w:val="1"/>
      <w:numFmt w:val="lowerRoman"/>
      <w:lvlText w:val="%9."/>
      <w:lvlJc w:val="left"/>
      <w:pPr>
        <w:tabs>
          <w:tab w:val="left" w:pos="72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2C7852"/>
    <w:multiLevelType w:val="hybridMultilevel"/>
    <w:tmpl w:val="7C34374A"/>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3D945FB"/>
    <w:multiLevelType w:val="hybridMultilevel"/>
    <w:tmpl w:val="04101282"/>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4C74663"/>
    <w:multiLevelType w:val="hybridMultilevel"/>
    <w:tmpl w:val="FEBADC92"/>
    <w:lvl w:ilvl="0" w:tplc="08284B42">
      <w:start w:val="1"/>
      <w:numFmt w:val="decimal"/>
      <w:lvlText w:val="%1."/>
      <w:lvlJc w:val="left"/>
      <w:pPr>
        <w:tabs>
          <w:tab w:val="num" w:pos="720"/>
        </w:tabs>
        <w:ind w:left="720" w:hanging="720"/>
      </w:pPr>
      <w:rPr>
        <w:rFonts w:cs="Times New Roman" w:hint="default"/>
        <w:b w:val="0"/>
        <w:i w:val="0"/>
        <w:sz w:val="24"/>
        <w:szCs w:val="24"/>
      </w:rPr>
    </w:lvl>
    <w:lvl w:ilvl="1" w:tplc="7BC255CA">
      <w:start w:val="1"/>
      <w:numFmt w:val="lowerLetter"/>
      <w:lvlText w:val="%2)"/>
      <w:lvlJc w:val="left"/>
      <w:pPr>
        <w:tabs>
          <w:tab w:val="num" w:pos="1440"/>
        </w:tabs>
        <w:ind w:left="1440" w:hanging="360"/>
      </w:pPr>
      <w:rPr>
        <w:rFonts w:hint="default"/>
        <w:b w:val="0"/>
        <w:color w:val="231F20"/>
        <w:w w:val="100"/>
        <w:sz w:val="24"/>
        <w:szCs w:val="24"/>
      </w:rPr>
    </w:lvl>
    <w:lvl w:ilvl="2" w:tplc="0C090019">
      <w:start w:val="1"/>
      <w:numFmt w:val="lowerLetter"/>
      <w:lvlText w:val="%3."/>
      <w:lvlJc w:val="left"/>
      <w:pPr>
        <w:tabs>
          <w:tab w:val="num" w:pos="2160"/>
        </w:tabs>
        <w:ind w:left="2160" w:hanging="180"/>
      </w:p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E6B2A3E"/>
    <w:multiLevelType w:val="multilevel"/>
    <w:tmpl w:val="8BE444DC"/>
    <w:numStyleLink w:val="AHRCReportHeadings"/>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3"/>
  </w:num>
  <w:num w:numId="13">
    <w:abstractNumId w:val="21"/>
  </w:num>
  <w:num w:numId="14">
    <w:abstractNumId w:val="17"/>
  </w:num>
  <w:num w:numId="15">
    <w:abstractNumId w:val="15"/>
  </w:num>
  <w:num w:numId="16">
    <w:abstractNumId w:val="10"/>
  </w:num>
  <w:num w:numId="17">
    <w:abstractNumId w:val="11"/>
  </w:num>
  <w:num w:numId="18">
    <w:abstractNumId w:val="25"/>
  </w:num>
  <w:num w:numId="19">
    <w:abstractNumId w:val="18"/>
  </w:num>
  <w:num w:numId="20">
    <w:abstractNumId w:val="19"/>
  </w:num>
  <w:num w:numId="21">
    <w:abstractNumId w:val="24"/>
  </w:num>
  <w:num w:numId="22">
    <w:abstractNumId w:val="14"/>
  </w:num>
  <w:num w:numId="23">
    <w:abstractNumId w:val="12"/>
  </w:num>
  <w:num w:numId="24">
    <w:abstractNumId w:val="13"/>
  </w:num>
  <w:num w:numId="25">
    <w:abstractNumId w:val="20"/>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37"/>
    <w:rsid w:val="000015EC"/>
    <w:rsid w:val="00003EA5"/>
    <w:rsid w:val="000152B3"/>
    <w:rsid w:val="000161C2"/>
    <w:rsid w:val="0002476A"/>
    <w:rsid w:val="00036BE4"/>
    <w:rsid w:val="000430B8"/>
    <w:rsid w:val="00043BCB"/>
    <w:rsid w:val="00045712"/>
    <w:rsid w:val="00045C4B"/>
    <w:rsid w:val="000465F1"/>
    <w:rsid w:val="000534AC"/>
    <w:rsid w:val="000579B1"/>
    <w:rsid w:val="00061C6C"/>
    <w:rsid w:val="00065EEA"/>
    <w:rsid w:val="00066AAE"/>
    <w:rsid w:val="00066C68"/>
    <w:rsid w:val="00072EDA"/>
    <w:rsid w:val="00092868"/>
    <w:rsid w:val="000A1DB8"/>
    <w:rsid w:val="000A48AC"/>
    <w:rsid w:val="000A520E"/>
    <w:rsid w:val="000B0603"/>
    <w:rsid w:val="000B0A5D"/>
    <w:rsid w:val="000B107B"/>
    <w:rsid w:val="000B5B68"/>
    <w:rsid w:val="000C5608"/>
    <w:rsid w:val="000C5DA6"/>
    <w:rsid w:val="000D1D1C"/>
    <w:rsid w:val="000E130A"/>
    <w:rsid w:val="00121B7C"/>
    <w:rsid w:val="00134774"/>
    <w:rsid w:val="00134F94"/>
    <w:rsid w:val="00140274"/>
    <w:rsid w:val="00151263"/>
    <w:rsid w:val="0015239E"/>
    <w:rsid w:val="0016266F"/>
    <w:rsid w:val="00162A8D"/>
    <w:rsid w:val="00163314"/>
    <w:rsid w:val="00165CB6"/>
    <w:rsid w:val="00165E3C"/>
    <w:rsid w:val="001664F5"/>
    <w:rsid w:val="0017056D"/>
    <w:rsid w:val="00173FB5"/>
    <w:rsid w:val="00174D9A"/>
    <w:rsid w:val="001839D6"/>
    <w:rsid w:val="0019048E"/>
    <w:rsid w:val="00195EDE"/>
    <w:rsid w:val="001A55D2"/>
    <w:rsid w:val="001B0353"/>
    <w:rsid w:val="001C1F8B"/>
    <w:rsid w:val="001D0285"/>
    <w:rsid w:val="001E45BA"/>
    <w:rsid w:val="001E5676"/>
    <w:rsid w:val="001E6E5F"/>
    <w:rsid w:val="001F2499"/>
    <w:rsid w:val="001F2BBB"/>
    <w:rsid w:val="001F3E5F"/>
    <w:rsid w:val="001F52FD"/>
    <w:rsid w:val="001F62CC"/>
    <w:rsid w:val="00200677"/>
    <w:rsid w:val="002012F7"/>
    <w:rsid w:val="002027F6"/>
    <w:rsid w:val="0020420C"/>
    <w:rsid w:val="0020576C"/>
    <w:rsid w:val="002068EB"/>
    <w:rsid w:val="00211ABC"/>
    <w:rsid w:val="00214DB2"/>
    <w:rsid w:val="00231ED1"/>
    <w:rsid w:val="002329AE"/>
    <w:rsid w:val="00241523"/>
    <w:rsid w:val="00242624"/>
    <w:rsid w:val="0024557E"/>
    <w:rsid w:val="002471FD"/>
    <w:rsid w:val="0025176E"/>
    <w:rsid w:val="00257344"/>
    <w:rsid w:val="002627C8"/>
    <w:rsid w:val="002632EA"/>
    <w:rsid w:val="00266697"/>
    <w:rsid w:val="002712F5"/>
    <w:rsid w:val="00275C6E"/>
    <w:rsid w:val="002845A6"/>
    <w:rsid w:val="0028506A"/>
    <w:rsid w:val="002850B0"/>
    <w:rsid w:val="002862BF"/>
    <w:rsid w:val="002863D7"/>
    <w:rsid w:val="002873B4"/>
    <w:rsid w:val="00292AB5"/>
    <w:rsid w:val="002A2430"/>
    <w:rsid w:val="002A3EE9"/>
    <w:rsid w:val="002A43C2"/>
    <w:rsid w:val="002B0D81"/>
    <w:rsid w:val="002B1B65"/>
    <w:rsid w:val="002C02DB"/>
    <w:rsid w:val="002C1866"/>
    <w:rsid w:val="002C5943"/>
    <w:rsid w:val="002E5A1B"/>
    <w:rsid w:val="002F4CE1"/>
    <w:rsid w:val="002F5E96"/>
    <w:rsid w:val="0030053D"/>
    <w:rsid w:val="00300F22"/>
    <w:rsid w:val="003026A0"/>
    <w:rsid w:val="00304441"/>
    <w:rsid w:val="00304A37"/>
    <w:rsid w:val="0031040E"/>
    <w:rsid w:val="00310ED4"/>
    <w:rsid w:val="00312301"/>
    <w:rsid w:val="00312F85"/>
    <w:rsid w:val="0031492A"/>
    <w:rsid w:val="00316C1A"/>
    <w:rsid w:val="00321095"/>
    <w:rsid w:val="00323C73"/>
    <w:rsid w:val="00331141"/>
    <w:rsid w:val="00333204"/>
    <w:rsid w:val="00335A5E"/>
    <w:rsid w:val="003423F4"/>
    <w:rsid w:val="00344758"/>
    <w:rsid w:val="00347142"/>
    <w:rsid w:val="00350D1B"/>
    <w:rsid w:val="00353245"/>
    <w:rsid w:val="0035616C"/>
    <w:rsid w:val="003565A8"/>
    <w:rsid w:val="003566EA"/>
    <w:rsid w:val="0036470D"/>
    <w:rsid w:val="0036611F"/>
    <w:rsid w:val="00370F1D"/>
    <w:rsid w:val="003724A9"/>
    <w:rsid w:val="00372C79"/>
    <w:rsid w:val="003A168E"/>
    <w:rsid w:val="003A1DAD"/>
    <w:rsid w:val="003A47A8"/>
    <w:rsid w:val="003A48B7"/>
    <w:rsid w:val="003E52DB"/>
    <w:rsid w:val="003E5DEF"/>
    <w:rsid w:val="003E65F1"/>
    <w:rsid w:val="003E6898"/>
    <w:rsid w:val="0040497E"/>
    <w:rsid w:val="00405F8E"/>
    <w:rsid w:val="0040674A"/>
    <w:rsid w:val="00420EEE"/>
    <w:rsid w:val="00422417"/>
    <w:rsid w:val="00424233"/>
    <w:rsid w:val="00434945"/>
    <w:rsid w:val="00445CB5"/>
    <w:rsid w:val="00446A66"/>
    <w:rsid w:val="00460EE0"/>
    <w:rsid w:val="00463C15"/>
    <w:rsid w:val="00467349"/>
    <w:rsid w:val="00467F2E"/>
    <w:rsid w:val="004712FB"/>
    <w:rsid w:val="00471BB7"/>
    <w:rsid w:val="00472EFF"/>
    <w:rsid w:val="00474063"/>
    <w:rsid w:val="00476793"/>
    <w:rsid w:val="004804BD"/>
    <w:rsid w:val="00481B2A"/>
    <w:rsid w:val="00482091"/>
    <w:rsid w:val="00494AAE"/>
    <w:rsid w:val="004A187B"/>
    <w:rsid w:val="004A24A5"/>
    <w:rsid w:val="004A2D3C"/>
    <w:rsid w:val="004A6716"/>
    <w:rsid w:val="004C7412"/>
    <w:rsid w:val="004D04BF"/>
    <w:rsid w:val="004D4159"/>
    <w:rsid w:val="004E0DFF"/>
    <w:rsid w:val="004F1C7C"/>
    <w:rsid w:val="00510390"/>
    <w:rsid w:val="005123F0"/>
    <w:rsid w:val="00513540"/>
    <w:rsid w:val="00513941"/>
    <w:rsid w:val="005254BE"/>
    <w:rsid w:val="0053051D"/>
    <w:rsid w:val="0054572C"/>
    <w:rsid w:val="00561019"/>
    <w:rsid w:val="00564208"/>
    <w:rsid w:val="00571CEB"/>
    <w:rsid w:val="00591951"/>
    <w:rsid w:val="00592D1C"/>
    <w:rsid w:val="005A0964"/>
    <w:rsid w:val="005A2F77"/>
    <w:rsid w:val="005A6459"/>
    <w:rsid w:val="005B36F6"/>
    <w:rsid w:val="005C2ECF"/>
    <w:rsid w:val="005C4730"/>
    <w:rsid w:val="005C5D41"/>
    <w:rsid w:val="005C7982"/>
    <w:rsid w:val="005D1F34"/>
    <w:rsid w:val="005D383D"/>
    <w:rsid w:val="005D4ED1"/>
    <w:rsid w:val="0060445D"/>
    <w:rsid w:val="00616F88"/>
    <w:rsid w:val="00622508"/>
    <w:rsid w:val="006242F1"/>
    <w:rsid w:val="0063009F"/>
    <w:rsid w:val="006356C5"/>
    <w:rsid w:val="00644B30"/>
    <w:rsid w:val="00650E26"/>
    <w:rsid w:val="00654793"/>
    <w:rsid w:val="00655BF2"/>
    <w:rsid w:val="00661965"/>
    <w:rsid w:val="00663A5A"/>
    <w:rsid w:val="00664316"/>
    <w:rsid w:val="00677DCA"/>
    <w:rsid w:val="0068300F"/>
    <w:rsid w:val="00691E8A"/>
    <w:rsid w:val="00696AB3"/>
    <w:rsid w:val="006A6BB3"/>
    <w:rsid w:val="006A7992"/>
    <w:rsid w:val="006B3DE1"/>
    <w:rsid w:val="006C0642"/>
    <w:rsid w:val="006D0407"/>
    <w:rsid w:val="006D2D2C"/>
    <w:rsid w:val="006D5EE5"/>
    <w:rsid w:val="006E02B4"/>
    <w:rsid w:val="006E616B"/>
    <w:rsid w:val="006E6D3B"/>
    <w:rsid w:val="006F5882"/>
    <w:rsid w:val="0070240E"/>
    <w:rsid w:val="0070265C"/>
    <w:rsid w:val="00714FF5"/>
    <w:rsid w:val="0071638A"/>
    <w:rsid w:val="007227A8"/>
    <w:rsid w:val="00730BD2"/>
    <w:rsid w:val="007540BF"/>
    <w:rsid w:val="0075445D"/>
    <w:rsid w:val="00754FE6"/>
    <w:rsid w:val="007637A8"/>
    <w:rsid w:val="00763E0E"/>
    <w:rsid w:val="00765B58"/>
    <w:rsid w:val="00770DCB"/>
    <w:rsid w:val="00775485"/>
    <w:rsid w:val="00783532"/>
    <w:rsid w:val="007846B5"/>
    <w:rsid w:val="00792BC4"/>
    <w:rsid w:val="007A23D3"/>
    <w:rsid w:val="007B06EA"/>
    <w:rsid w:val="007B17AB"/>
    <w:rsid w:val="007B444D"/>
    <w:rsid w:val="007C04EE"/>
    <w:rsid w:val="007C5CF6"/>
    <w:rsid w:val="007D2F00"/>
    <w:rsid w:val="007D5111"/>
    <w:rsid w:val="007E5B88"/>
    <w:rsid w:val="007F0D0B"/>
    <w:rsid w:val="008007A8"/>
    <w:rsid w:val="008042D9"/>
    <w:rsid w:val="00810682"/>
    <w:rsid w:val="00814FC0"/>
    <w:rsid w:val="00817C73"/>
    <w:rsid w:val="00823005"/>
    <w:rsid w:val="00826B0B"/>
    <w:rsid w:val="00835577"/>
    <w:rsid w:val="008449B9"/>
    <w:rsid w:val="00845B4F"/>
    <w:rsid w:val="00847191"/>
    <w:rsid w:val="0085583E"/>
    <w:rsid w:val="0086254F"/>
    <w:rsid w:val="008724DE"/>
    <w:rsid w:val="008758D9"/>
    <w:rsid w:val="00882B0A"/>
    <w:rsid w:val="008967FC"/>
    <w:rsid w:val="008A3D57"/>
    <w:rsid w:val="008A442C"/>
    <w:rsid w:val="008A7305"/>
    <w:rsid w:val="008A7EFF"/>
    <w:rsid w:val="008B23BC"/>
    <w:rsid w:val="008B3899"/>
    <w:rsid w:val="008D0263"/>
    <w:rsid w:val="008D0DAE"/>
    <w:rsid w:val="008E166B"/>
    <w:rsid w:val="008E328C"/>
    <w:rsid w:val="008E3D60"/>
    <w:rsid w:val="008E3F4C"/>
    <w:rsid w:val="008E78F0"/>
    <w:rsid w:val="008F0455"/>
    <w:rsid w:val="008F062E"/>
    <w:rsid w:val="008F1297"/>
    <w:rsid w:val="0090165F"/>
    <w:rsid w:val="00901B82"/>
    <w:rsid w:val="00902D9D"/>
    <w:rsid w:val="00902EC3"/>
    <w:rsid w:val="00903A38"/>
    <w:rsid w:val="009079CD"/>
    <w:rsid w:val="00912B09"/>
    <w:rsid w:val="00914B70"/>
    <w:rsid w:val="0091791D"/>
    <w:rsid w:val="00934E5F"/>
    <w:rsid w:val="00937852"/>
    <w:rsid w:val="009432CF"/>
    <w:rsid w:val="00961135"/>
    <w:rsid w:val="00966C2F"/>
    <w:rsid w:val="0096742A"/>
    <w:rsid w:val="0097063D"/>
    <w:rsid w:val="00974468"/>
    <w:rsid w:val="0097512B"/>
    <w:rsid w:val="00982404"/>
    <w:rsid w:val="00990B81"/>
    <w:rsid w:val="00993F53"/>
    <w:rsid w:val="00995037"/>
    <w:rsid w:val="009A1259"/>
    <w:rsid w:val="009B1CCE"/>
    <w:rsid w:val="009C0A9F"/>
    <w:rsid w:val="009D2D3E"/>
    <w:rsid w:val="009D4F31"/>
    <w:rsid w:val="009D634E"/>
    <w:rsid w:val="009D67F6"/>
    <w:rsid w:val="009E08D1"/>
    <w:rsid w:val="009E0FE1"/>
    <w:rsid w:val="009E4BD0"/>
    <w:rsid w:val="009F00BC"/>
    <w:rsid w:val="009F2764"/>
    <w:rsid w:val="00A0406E"/>
    <w:rsid w:val="00A10406"/>
    <w:rsid w:val="00A11307"/>
    <w:rsid w:val="00A13AF3"/>
    <w:rsid w:val="00A20EE8"/>
    <w:rsid w:val="00A21388"/>
    <w:rsid w:val="00A27683"/>
    <w:rsid w:val="00A27791"/>
    <w:rsid w:val="00A27ABE"/>
    <w:rsid w:val="00A355F9"/>
    <w:rsid w:val="00A372B3"/>
    <w:rsid w:val="00A41355"/>
    <w:rsid w:val="00A437B6"/>
    <w:rsid w:val="00A43B92"/>
    <w:rsid w:val="00A445FC"/>
    <w:rsid w:val="00A47BCC"/>
    <w:rsid w:val="00A51C1D"/>
    <w:rsid w:val="00A54251"/>
    <w:rsid w:val="00A54DCE"/>
    <w:rsid w:val="00A6179E"/>
    <w:rsid w:val="00A64316"/>
    <w:rsid w:val="00A804D9"/>
    <w:rsid w:val="00A8260A"/>
    <w:rsid w:val="00A8411A"/>
    <w:rsid w:val="00A8573B"/>
    <w:rsid w:val="00A921C2"/>
    <w:rsid w:val="00A92915"/>
    <w:rsid w:val="00A92D96"/>
    <w:rsid w:val="00A92F92"/>
    <w:rsid w:val="00A96892"/>
    <w:rsid w:val="00AA2051"/>
    <w:rsid w:val="00AA64D6"/>
    <w:rsid w:val="00AA70C4"/>
    <w:rsid w:val="00AB7C8F"/>
    <w:rsid w:val="00AC2192"/>
    <w:rsid w:val="00AC636D"/>
    <w:rsid w:val="00AE4B00"/>
    <w:rsid w:val="00AF1CEB"/>
    <w:rsid w:val="00AF56A5"/>
    <w:rsid w:val="00B00F61"/>
    <w:rsid w:val="00B13EF7"/>
    <w:rsid w:val="00B237FB"/>
    <w:rsid w:val="00B24B1D"/>
    <w:rsid w:val="00B26C33"/>
    <w:rsid w:val="00B277E0"/>
    <w:rsid w:val="00B34946"/>
    <w:rsid w:val="00B519FD"/>
    <w:rsid w:val="00B520BC"/>
    <w:rsid w:val="00B5287A"/>
    <w:rsid w:val="00B539CC"/>
    <w:rsid w:val="00B6372F"/>
    <w:rsid w:val="00B63D24"/>
    <w:rsid w:val="00B822C5"/>
    <w:rsid w:val="00B82C35"/>
    <w:rsid w:val="00B90F5F"/>
    <w:rsid w:val="00B924E6"/>
    <w:rsid w:val="00B93F2A"/>
    <w:rsid w:val="00B95EDB"/>
    <w:rsid w:val="00BA23E3"/>
    <w:rsid w:val="00BA262D"/>
    <w:rsid w:val="00BA5698"/>
    <w:rsid w:val="00BB3A8E"/>
    <w:rsid w:val="00BC79EB"/>
    <w:rsid w:val="00BD7FCF"/>
    <w:rsid w:val="00BE377B"/>
    <w:rsid w:val="00BE57B8"/>
    <w:rsid w:val="00BF1AB8"/>
    <w:rsid w:val="00BF6406"/>
    <w:rsid w:val="00C064DC"/>
    <w:rsid w:val="00C132CA"/>
    <w:rsid w:val="00C149BD"/>
    <w:rsid w:val="00C207CA"/>
    <w:rsid w:val="00C2383A"/>
    <w:rsid w:val="00C25BDA"/>
    <w:rsid w:val="00C33104"/>
    <w:rsid w:val="00C332D4"/>
    <w:rsid w:val="00C44AE3"/>
    <w:rsid w:val="00C47067"/>
    <w:rsid w:val="00C471D1"/>
    <w:rsid w:val="00C50EE3"/>
    <w:rsid w:val="00C51011"/>
    <w:rsid w:val="00C5322A"/>
    <w:rsid w:val="00C5510C"/>
    <w:rsid w:val="00C560AC"/>
    <w:rsid w:val="00C5781C"/>
    <w:rsid w:val="00C60036"/>
    <w:rsid w:val="00C60343"/>
    <w:rsid w:val="00C66E4C"/>
    <w:rsid w:val="00C709FD"/>
    <w:rsid w:val="00C72387"/>
    <w:rsid w:val="00C7371E"/>
    <w:rsid w:val="00C7387B"/>
    <w:rsid w:val="00C84572"/>
    <w:rsid w:val="00C854D4"/>
    <w:rsid w:val="00C90556"/>
    <w:rsid w:val="00CA0D78"/>
    <w:rsid w:val="00CA4855"/>
    <w:rsid w:val="00CA5D90"/>
    <w:rsid w:val="00CB24FE"/>
    <w:rsid w:val="00CB2E7C"/>
    <w:rsid w:val="00CC2AA0"/>
    <w:rsid w:val="00CC4738"/>
    <w:rsid w:val="00CD58FD"/>
    <w:rsid w:val="00CE4078"/>
    <w:rsid w:val="00CF52CF"/>
    <w:rsid w:val="00CF66B5"/>
    <w:rsid w:val="00D03307"/>
    <w:rsid w:val="00D079BA"/>
    <w:rsid w:val="00D16774"/>
    <w:rsid w:val="00D207F0"/>
    <w:rsid w:val="00D23F1C"/>
    <w:rsid w:val="00D32172"/>
    <w:rsid w:val="00D343FA"/>
    <w:rsid w:val="00D418FF"/>
    <w:rsid w:val="00D51521"/>
    <w:rsid w:val="00D65533"/>
    <w:rsid w:val="00D65C76"/>
    <w:rsid w:val="00D734C7"/>
    <w:rsid w:val="00D7542B"/>
    <w:rsid w:val="00D767FA"/>
    <w:rsid w:val="00D8351F"/>
    <w:rsid w:val="00D869B5"/>
    <w:rsid w:val="00DA01D2"/>
    <w:rsid w:val="00DA1D32"/>
    <w:rsid w:val="00DA2F73"/>
    <w:rsid w:val="00DA4C74"/>
    <w:rsid w:val="00DA7A55"/>
    <w:rsid w:val="00DC1BF9"/>
    <w:rsid w:val="00DC307B"/>
    <w:rsid w:val="00DC343B"/>
    <w:rsid w:val="00DC462F"/>
    <w:rsid w:val="00DC499A"/>
    <w:rsid w:val="00DD604A"/>
    <w:rsid w:val="00DD6A21"/>
    <w:rsid w:val="00DE18A7"/>
    <w:rsid w:val="00DE2EFB"/>
    <w:rsid w:val="00DE60CA"/>
    <w:rsid w:val="00DF01B6"/>
    <w:rsid w:val="00DF28F1"/>
    <w:rsid w:val="00E01650"/>
    <w:rsid w:val="00E02517"/>
    <w:rsid w:val="00E11941"/>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3546"/>
    <w:rsid w:val="00E55F24"/>
    <w:rsid w:val="00E60C48"/>
    <w:rsid w:val="00E63765"/>
    <w:rsid w:val="00E74601"/>
    <w:rsid w:val="00EA44D9"/>
    <w:rsid w:val="00EA6CAB"/>
    <w:rsid w:val="00EB6A76"/>
    <w:rsid w:val="00EC424C"/>
    <w:rsid w:val="00EC7041"/>
    <w:rsid w:val="00ED4D6B"/>
    <w:rsid w:val="00ED6EDE"/>
    <w:rsid w:val="00EE6ED3"/>
    <w:rsid w:val="00EF155E"/>
    <w:rsid w:val="00EF4F68"/>
    <w:rsid w:val="00F05454"/>
    <w:rsid w:val="00F0799D"/>
    <w:rsid w:val="00F107A0"/>
    <w:rsid w:val="00F127A8"/>
    <w:rsid w:val="00F14C6D"/>
    <w:rsid w:val="00F220A5"/>
    <w:rsid w:val="00F25C7B"/>
    <w:rsid w:val="00F34362"/>
    <w:rsid w:val="00F34BC9"/>
    <w:rsid w:val="00F513AE"/>
    <w:rsid w:val="00F51ECD"/>
    <w:rsid w:val="00F530C8"/>
    <w:rsid w:val="00F81458"/>
    <w:rsid w:val="00F8302E"/>
    <w:rsid w:val="00F86DAB"/>
    <w:rsid w:val="00F91C47"/>
    <w:rsid w:val="00F97D1D"/>
    <w:rsid w:val="00FA22A8"/>
    <w:rsid w:val="00FA4916"/>
    <w:rsid w:val="00FA4BA7"/>
    <w:rsid w:val="00FA7E5C"/>
    <w:rsid w:val="00FB11A7"/>
    <w:rsid w:val="00FB193D"/>
    <w:rsid w:val="00FB3422"/>
    <w:rsid w:val="00FC2821"/>
    <w:rsid w:val="00FC5C09"/>
    <w:rsid w:val="00FC7AA2"/>
    <w:rsid w:val="00FD01B5"/>
    <w:rsid w:val="00FD5BF0"/>
    <w:rsid w:val="00FD647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7CD77"/>
  <w15:chartTrackingRefBased/>
  <w15:docId w15:val="{7198E8C7-71CD-4609-9703-264F3306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annotation text" w:uiPriority="99"/>
    <w:lsdException w:name="header" w:locked="0" w:uiPriority="99" w:qFormat="1"/>
    <w:lsdException w:name="footer" w:locked="0" w:uiPriority="99"/>
    <w:lsdException w:name="caption" w:semiHidden="1" w:unhideWhenUsed="1" w:qFormat="1"/>
    <w:lsdException w:name="footnote reference" w:uiPriority="99"/>
    <w:lsdException w:name="annotation reference" w:uiPriority="99"/>
    <w:lsdException w:name="endnote reference" w:locked="0" w:qFormat="1"/>
    <w:lsdException w:name="endnote text" w:locked="0" w:uiPriority="99"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FollowedHyperlink" w:uiPriority="99"/>
    <w:lsdException w:name="Strong" w:locked="0"/>
    <w:lsdException w:name="Emphasis" w:uiPriority="20" w:qFormat="1"/>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locked="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uiPriority w:val="99"/>
    <w:qFormat/>
    <w:rsid w:val="00902EC3"/>
    <w:pPr>
      <w:tabs>
        <w:tab w:val="center" w:pos="4513"/>
        <w:tab w:val="right" w:pos="9026"/>
      </w:tabs>
      <w:spacing w:after="0"/>
      <w:jc w:val="right"/>
    </w:pPr>
    <w:rPr>
      <w:sz w:val="18"/>
    </w:rPr>
  </w:style>
  <w:style w:type="character" w:customStyle="1" w:styleId="HeaderChar">
    <w:name w:val="Header Char"/>
    <w:link w:val="Header"/>
    <w:uiPriority w:val="99"/>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uiPriority w:val="99"/>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link w:val="DateChar"/>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uiPriority w:val="99"/>
    <w:semiHidden/>
    <w:rsid w:val="00045C4B"/>
    <w:rPr>
      <w:rFonts w:ascii="Open Sans" w:hAnsi="Open Sans"/>
      <w:color w:val="800080"/>
      <w:u w:val="single"/>
    </w:rPr>
  </w:style>
  <w:style w:type="paragraph" w:customStyle="1" w:styleId="MainTitle">
    <w:name w:val="Main Title"/>
    <w:next w:val="Subtitle"/>
    <w:uiPriority w:val="99"/>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uiPriority w:val="99"/>
    <w:semiHidden/>
    <w:rsid w:val="00045C4B"/>
    <w:pPr>
      <w:spacing w:before="0" w:after="0"/>
    </w:pPr>
    <w:rPr>
      <w:rFonts w:cs="Tahoma"/>
      <w:sz w:val="16"/>
      <w:szCs w:val="16"/>
    </w:rPr>
  </w:style>
  <w:style w:type="character" w:customStyle="1" w:styleId="BalloonTextChar">
    <w:name w:val="Balloon Text Char"/>
    <w:link w:val="BalloonText"/>
    <w:uiPriority w:val="99"/>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No Spacing1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uiPriority w:val="99"/>
    <w:rsid w:val="00045C4B"/>
    <w:rPr>
      <w:b/>
      <w:bCs/>
    </w:rPr>
  </w:style>
  <w:style w:type="character" w:customStyle="1" w:styleId="CommentSubjectChar">
    <w:name w:val="Comment Subject Char"/>
    <w:link w:val="CommentSubject"/>
    <w:uiPriority w:val="99"/>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1"/>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customStyle="1" w:styleId="DateChar">
    <w:name w:val="Date Char"/>
    <w:basedOn w:val="DefaultParagraphFont"/>
    <w:link w:val="Date"/>
    <w:semiHidden/>
    <w:rsid w:val="00995037"/>
    <w:rPr>
      <w:rFonts w:ascii="Open Sans" w:eastAsia="MS Mincho" w:hAnsi="Open Sans"/>
      <w:sz w:val="24"/>
      <w:szCs w:val="24"/>
    </w:rPr>
  </w:style>
  <w:style w:type="table" w:customStyle="1" w:styleId="TableNormal1">
    <w:name w:val="Table Normal1"/>
    <w:uiPriority w:val="2"/>
    <w:semiHidden/>
    <w:unhideWhenUsed/>
    <w:qFormat/>
    <w:rsid w:val="00903A3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3A38"/>
    <w:pPr>
      <w:widowControl w:val="0"/>
      <w:spacing w:before="179" w:after="0"/>
      <w:ind w:left="221"/>
    </w:pPr>
    <w:rPr>
      <w:rFonts w:ascii="Arial" w:eastAsia="Arial" w:hAnsi="Arial" w:cs="Arial"/>
      <w:sz w:val="22"/>
      <w:szCs w:val="22"/>
      <w:lang w:val="en-US" w:eastAsia="en-US"/>
    </w:rPr>
  </w:style>
  <w:style w:type="paragraph" w:styleId="FootnoteText">
    <w:name w:val="footnote text"/>
    <w:basedOn w:val="Normal"/>
    <w:link w:val="FootnoteTextChar"/>
    <w:uiPriority w:val="99"/>
    <w:unhideWhenUsed/>
    <w:locked/>
    <w:rsid w:val="00903A38"/>
    <w:pPr>
      <w:spacing w:before="0" w:after="0"/>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903A38"/>
    <w:rPr>
      <w:rFonts w:ascii="Calibri" w:eastAsia="Calibri" w:hAnsi="Calibri"/>
      <w:lang w:eastAsia="en-US"/>
    </w:rPr>
  </w:style>
  <w:style w:type="character" w:styleId="FootnoteReference">
    <w:name w:val="footnote reference"/>
    <w:uiPriority w:val="99"/>
    <w:unhideWhenUsed/>
    <w:locked/>
    <w:rsid w:val="00903A38"/>
    <w:rPr>
      <w:vertAlign w:val="superscript"/>
    </w:rPr>
  </w:style>
  <w:style w:type="numbering" w:customStyle="1" w:styleId="ImportedStyle3">
    <w:name w:val="Imported Style 3"/>
    <w:rsid w:val="00903A38"/>
    <w:pPr>
      <w:numPr>
        <w:numId w:val="22"/>
      </w:numPr>
    </w:pPr>
  </w:style>
  <w:style w:type="paragraph" w:customStyle="1" w:styleId="NameInsert">
    <w:name w:val="Name Insert"/>
    <w:rsid w:val="00903A38"/>
    <w:pPr>
      <w:pBdr>
        <w:top w:val="nil"/>
        <w:left w:val="nil"/>
        <w:bottom w:val="nil"/>
        <w:right w:val="nil"/>
        <w:between w:val="nil"/>
        <w:bar w:val="nil"/>
      </w:pBdr>
      <w:spacing w:after="120"/>
      <w:jc w:val="both"/>
    </w:pPr>
    <w:rPr>
      <w:rFonts w:ascii="Arial" w:eastAsia="Arial Unicode MS" w:hAnsi="Arial" w:cs="Arial Unicode MS"/>
      <w:color w:val="000000"/>
      <w:sz w:val="24"/>
      <w:szCs w:val="24"/>
      <w:u w:color="000000"/>
      <w:bdr w:val="nil"/>
      <w:lang w:val="en-US"/>
    </w:rPr>
  </w:style>
  <w:style w:type="character" w:customStyle="1" w:styleId="None">
    <w:name w:val="None"/>
    <w:rsid w:val="00903A38"/>
  </w:style>
  <w:style w:type="character" w:customStyle="1" w:styleId="Hyperlink0">
    <w:name w:val="Hyperlink.0"/>
    <w:rsid w:val="00903A38"/>
    <w:rPr>
      <w:lang w:val="en-US"/>
    </w:rPr>
  </w:style>
  <w:style w:type="character" w:customStyle="1" w:styleId="Hyperlink1">
    <w:name w:val="Hyperlink.1"/>
    <w:rsid w:val="00903A38"/>
    <w:rPr>
      <w:color w:val="0000FF"/>
      <w:u w:val="single" w:color="0000FF"/>
    </w:rPr>
  </w:style>
  <w:style w:type="numbering" w:customStyle="1" w:styleId="ImportedStyle30">
    <w:name w:val="Imported Style 3.0"/>
    <w:rsid w:val="00903A38"/>
    <w:pPr>
      <w:numPr>
        <w:numId w:val="23"/>
      </w:numPr>
    </w:pPr>
  </w:style>
  <w:style w:type="character" w:customStyle="1" w:styleId="gwt-inlinelabel">
    <w:name w:val="gwt-inlinelabel"/>
    <w:rsid w:val="00903A38"/>
  </w:style>
  <w:style w:type="paragraph" w:customStyle="1" w:styleId="DocumentLabel">
    <w:name w:val="Document Label"/>
    <w:basedOn w:val="Normal"/>
    <w:next w:val="Normal"/>
    <w:uiPriority w:val="99"/>
    <w:rsid w:val="00903A38"/>
    <w:pPr>
      <w:keepNext/>
      <w:keepLines/>
      <w:spacing w:before="400" w:after="120" w:line="240" w:lineRule="atLeast"/>
      <w:ind w:left="-840"/>
    </w:pPr>
    <w:rPr>
      <w:rFonts w:ascii="Arial Black" w:eastAsia="Times New Roman" w:hAnsi="Arial Black"/>
      <w:spacing w:val="-5"/>
      <w:kern w:val="28"/>
      <w:sz w:val="96"/>
      <w:szCs w:val="20"/>
      <w:lang w:eastAsia="en-US"/>
    </w:rPr>
  </w:style>
  <w:style w:type="paragraph" w:styleId="Revision">
    <w:name w:val="Revision"/>
    <w:hidden/>
    <w:uiPriority w:val="99"/>
    <w:semiHidden/>
    <w:rsid w:val="00903A38"/>
    <w:rPr>
      <w:rFonts w:ascii="Arial" w:hAnsi="Arial"/>
      <w:sz w:val="24"/>
      <w:szCs w:val="24"/>
    </w:rPr>
  </w:style>
  <w:style w:type="table" w:styleId="GridTable1Light">
    <w:name w:val="Grid Table 1 Light"/>
    <w:basedOn w:val="TableNormal"/>
    <w:uiPriority w:val="46"/>
    <w:locked/>
    <w:rsid w:val="00446A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9" ma:contentTypeDescription="Create a new document." ma:contentTypeScope="" ma:versionID="d43b1c146c8770040619003af98f77ad">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7db26b79a9e708a1d24ca521f147448b"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DGE6U7RJ2EFV-5382029-10838</_dlc_DocId>
    <_dlc_DocIdUrl xmlns="6500fe01-343b-4fb9-a1b0-68ac19d62e01">
      <Url>https://australianhrc.sharepoint.com/sites/LegalServicesWorkspace/_layouts/15/DocIdRedir.aspx?ID=DGE6U7RJ2EFV-5382029-10838</Url>
      <Description>DGE6U7RJ2EFV-5382029-10838</Description>
    </_dlc_DocIdUrl>
    <Divider xmlns="6500fe01-343b-4fb9-a1b0-68ac19d62e01">Report</Divider>
    <Reportstatus xmlns="0544bb73-b9b2-4315-b463-f353efb89b0b" xsi:nil="true"/>
    <Report_x0020_No_x002e_ xmlns="0544bb73-b9b2-4315-b463-f353efb89b0b" xsi:nil="true"/>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documentManagement>
</p:properties>
</file>

<file path=customXml/itemProps1.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2.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3.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4.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5.xml><?xml version="1.0" encoding="utf-8"?>
<ds:datastoreItem xmlns:ds="http://schemas.openxmlformats.org/officeDocument/2006/customXml" ds:itemID="{AE0B7612-54C0-4579-BFC5-191D620D9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7.xml><?xml version="1.0" encoding="utf-8"?>
<ds:datastoreItem xmlns:ds="http://schemas.openxmlformats.org/officeDocument/2006/customXml" ds:itemID="{DE2ACD7C-2BA9-47F9-8579-76DB6345E23F}">
  <ds:schemaRefs>
    <ds:schemaRef ds:uri="http://schemas.microsoft.com/office/2006/documentManagement/types"/>
    <ds:schemaRef ds:uri="http://schemas.microsoft.com/office/2006/metadata/properties"/>
    <ds:schemaRef ds:uri="0544bb73-b9b2-4315-b463-f353efb89b0b"/>
    <ds:schemaRef ds:uri="http://purl.org/dc/terms/"/>
    <ds:schemaRef ds:uri="http://purl.org/dc/dcmitype/"/>
    <ds:schemaRef ds:uri="http://purl.org/dc/elements/1.1/"/>
    <ds:schemaRef ds:uri="6500fe01-343b-4fb9-a1b0-68ac19d62e01"/>
    <ds:schemaRef ds:uri="http://schemas.microsoft.com/office/infopath/2007/PartnerControls"/>
    <ds:schemaRef ds:uri="http://schemas.openxmlformats.org/package/2006/metadata/core-properties"/>
    <ds:schemaRef ds:uri="ccf9782b-c747-4be8-886f-341168625564"/>
    <ds:schemaRef ds:uri="57f1fb52-79b9-4278-9d54-1e5db41bfc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1</TotalTime>
  <Pages>41</Pages>
  <Words>13235</Words>
  <Characters>66570</Characters>
  <Application>Microsoft Office Word</Application>
  <DocSecurity>0</DocSecurity>
  <Lines>1358</Lines>
  <Paragraphs>415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79390</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Sara Evison-Rose</dc:creator>
  <cp:keywords/>
  <cp:lastModifiedBy>Sara Evison-Rose</cp:lastModifiedBy>
  <cp:revision>3</cp:revision>
  <cp:lastPrinted>1900-12-31T13:00:00Z</cp:lastPrinted>
  <dcterms:created xsi:type="dcterms:W3CDTF">2022-03-21T01:18:00Z</dcterms:created>
  <dcterms:modified xsi:type="dcterms:W3CDTF">2022-03-21T01:18:00Z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acf21b33-b580-4a96-8cb8-341f992c8d1e</vt:lpwstr>
  </property>
  <property fmtid="{D5CDD505-2E9C-101B-9397-08002B2CF9AE}" pid="4" name="TaxKeyword">
    <vt:lpwstr/>
  </property>
</Properties>
</file>